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1ECF" w14:textId="77777777" w:rsidR="00B276B1" w:rsidRDefault="00B276B1" w:rsidP="00B276B1">
      <w:pPr>
        <w:pStyle w:val="Title"/>
        <w:rPr>
          <w:rFonts w:ascii="Arial" w:hAnsi="Arial"/>
          <w:color w:val="auto"/>
          <w:sz w:val="44"/>
          <w:szCs w:val="44"/>
        </w:rPr>
      </w:pPr>
      <w:r>
        <w:rPr>
          <w:sz w:val="44"/>
          <w:szCs w:val="44"/>
        </w:rPr>
        <w:t>Regional Agricultural Show Development Grants</w:t>
      </w:r>
    </w:p>
    <w:p w14:paraId="64E7EA80" w14:textId="77777777" w:rsidR="00B276B1" w:rsidRDefault="00B276B1" w:rsidP="00B276B1">
      <w:pPr>
        <w:rPr>
          <w:sz w:val="40"/>
          <w:szCs w:val="40"/>
        </w:rPr>
      </w:pPr>
      <w:r>
        <w:rPr>
          <w:sz w:val="40"/>
          <w:szCs w:val="40"/>
        </w:rPr>
        <w:t xml:space="preserve">Questions and Answers </w:t>
      </w:r>
    </w:p>
    <w:p w14:paraId="301C21B8" w14:textId="77777777" w:rsidR="00B276B1" w:rsidRPr="00874C4F" w:rsidRDefault="00B276B1" w:rsidP="00B276B1">
      <w:pPr>
        <w:pStyle w:val="Heading2"/>
        <w:numPr>
          <w:ilvl w:val="0"/>
          <w:numId w:val="6"/>
        </w:numPr>
        <w:ind w:left="426" w:hanging="426"/>
        <w:rPr>
          <w:rFonts w:eastAsia="Calibri"/>
          <w:sz w:val="22"/>
          <w:szCs w:val="22"/>
        </w:rPr>
      </w:pPr>
      <w:r w:rsidRPr="00874C4F">
        <w:rPr>
          <w:rFonts w:eastAsia="Calibri"/>
          <w:sz w:val="22"/>
          <w:szCs w:val="22"/>
        </w:rPr>
        <w:t>What is the closing time and date for applications?</w:t>
      </w:r>
    </w:p>
    <w:p w14:paraId="424654EE" w14:textId="77777777" w:rsidR="00B276B1" w:rsidRPr="00874C4F" w:rsidRDefault="007E764B" w:rsidP="00B276B1">
      <w:pPr>
        <w:ind w:left="426"/>
        <w:rPr>
          <w:lang w:val="en" w:eastAsia="en-AU"/>
        </w:rPr>
      </w:pPr>
      <w:r>
        <w:rPr>
          <w:lang w:val="en" w:eastAsia="en-AU"/>
        </w:rPr>
        <w:t>The application f</w:t>
      </w:r>
      <w:r w:rsidR="00B276B1" w:rsidRPr="00874C4F">
        <w:rPr>
          <w:lang w:val="en" w:eastAsia="en-AU"/>
        </w:rPr>
        <w:t xml:space="preserve">orm must be submitted by </w:t>
      </w:r>
      <w:r w:rsidR="00B276B1" w:rsidRPr="00874C4F">
        <w:rPr>
          <w:b/>
          <w:lang w:val="en" w:eastAsia="en-AU"/>
        </w:rPr>
        <w:t>11.00pm AEDT on Friday, 13 December 2019</w:t>
      </w:r>
      <w:r w:rsidR="00B276B1" w:rsidRPr="00874C4F">
        <w:rPr>
          <w:lang w:val="en" w:eastAsia="en-AU"/>
        </w:rPr>
        <w:t xml:space="preserve">. It </w:t>
      </w:r>
      <w:proofErr w:type="gramStart"/>
      <w:r w:rsidR="00B276B1" w:rsidRPr="00874C4F">
        <w:rPr>
          <w:lang w:val="en" w:eastAsia="en-AU"/>
        </w:rPr>
        <w:t>is recommended</w:t>
      </w:r>
      <w:proofErr w:type="gramEnd"/>
      <w:r w:rsidR="00B276B1" w:rsidRPr="00874C4F">
        <w:rPr>
          <w:lang w:val="en" w:eastAsia="en-AU"/>
        </w:rPr>
        <w:t xml:space="preserve"> that you submit your application </w:t>
      </w:r>
      <w:r w:rsidR="00B276B1" w:rsidRPr="00874C4F">
        <w:rPr>
          <w:b/>
          <w:lang w:val="en" w:eastAsia="en-AU"/>
        </w:rPr>
        <w:t>well before the closing time and date</w:t>
      </w:r>
      <w:r w:rsidR="00B276B1" w:rsidRPr="00874C4F">
        <w:rPr>
          <w:lang w:val="en" w:eastAsia="en-AU"/>
        </w:rPr>
        <w:t>. There will be one funding application round only.</w:t>
      </w:r>
    </w:p>
    <w:p w14:paraId="1F34F412" w14:textId="77777777" w:rsidR="00B276B1" w:rsidRPr="00874C4F" w:rsidRDefault="00B276B1" w:rsidP="00B276B1">
      <w:pPr>
        <w:pStyle w:val="Heading2"/>
        <w:numPr>
          <w:ilvl w:val="0"/>
          <w:numId w:val="6"/>
        </w:numPr>
        <w:ind w:left="426" w:hanging="426"/>
        <w:rPr>
          <w:rFonts w:eastAsia="Calibri"/>
          <w:sz w:val="22"/>
          <w:szCs w:val="22"/>
        </w:rPr>
      </w:pPr>
      <w:r w:rsidRPr="00874C4F">
        <w:rPr>
          <w:rFonts w:eastAsia="Calibri"/>
          <w:sz w:val="22"/>
          <w:szCs w:val="22"/>
        </w:rPr>
        <w:t>If I am not able to submit my application by the due time and date, can I be granted an extension?</w:t>
      </w:r>
    </w:p>
    <w:p w14:paraId="4D842690" w14:textId="77777777" w:rsidR="00B276B1" w:rsidRPr="00874C4F" w:rsidRDefault="00B276B1" w:rsidP="00B276B1">
      <w:pPr>
        <w:ind w:left="426"/>
        <w:rPr>
          <w:rFonts w:cs="Arial"/>
          <w:b/>
          <w:color w:val="2C2A29"/>
          <w:lang w:val="en"/>
        </w:rPr>
      </w:pPr>
      <w:r>
        <w:t xml:space="preserve">Late applications </w:t>
      </w:r>
      <w:proofErr w:type="gramStart"/>
      <w:r>
        <w:t>will only be considered</w:t>
      </w:r>
      <w:proofErr w:type="gramEnd"/>
      <w:r>
        <w:t xml:space="preserve"> where an applicant has experienced exceptional circumstances that are reasonably unforeseeable, beyond the applicant’s control and unable to be managed or resolved within the application period</w:t>
      </w:r>
      <w:r w:rsidRPr="00874C4F">
        <w:t>.</w:t>
      </w:r>
    </w:p>
    <w:p w14:paraId="61C83BDA" w14:textId="3B0FED68" w:rsidR="00B276B1" w:rsidRPr="00874C4F" w:rsidRDefault="00B276B1" w:rsidP="00B276B1">
      <w:pPr>
        <w:ind w:left="426"/>
        <w:rPr>
          <w:lang w:eastAsia="en-AU"/>
        </w:rPr>
      </w:pPr>
      <w:r w:rsidRPr="00874C4F">
        <w:rPr>
          <w:lang w:eastAsia="en-AU"/>
        </w:rPr>
        <w:t xml:space="preserve">If an application is late or the Community Grants Hub </w:t>
      </w:r>
      <w:proofErr w:type="gramStart"/>
      <w:r w:rsidRPr="00874C4F">
        <w:rPr>
          <w:lang w:eastAsia="en-AU"/>
        </w:rPr>
        <w:t>is requested</w:t>
      </w:r>
      <w:proofErr w:type="gramEnd"/>
      <w:r w:rsidRPr="00874C4F">
        <w:rPr>
          <w:lang w:eastAsia="en-AU"/>
        </w:rPr>
        <w:t xml:space="preserve"> to approve a lodgement after the closing date the </w:t>
      </w:r>
      <w:r w:rsidRPr="00874C4F">
        <w:rPr>
          <w:color w:val="0000FF"/>
          <w:u w:val="single"/>
          <w:lang w:eastAsia="en-AU"/>
        </w:rPr>
        <w:t>late application policy</w:t>
      </w:r>
      <w:r w:rsidRPr="00874C4F">
        <w:rPr>
          <w:lang w:eastAsia="en-AU"/>
        </w:rPr>
        <w:t xml:space="preserve"> available on the Community Grants Hub website will apply.</w:t>
      </w:r>
    </w:p>
    <w:p w14:paraId="59ACF65B" w14:textId="77777777" w:rsidR="00B276B1" w:rsidRPr="00874C4F" w:rsidRDefault="00B276B1" w:rsidP="00B276B1">
      <w:pPr>
        <w:pStyle w:val="Heading2"/>
        <w:numPr>
          <w:ilvl w:val="0"/>
          <w:numId w:val="6"/>
        </w:numPr>
        <w:ind w:left="426" w:hanging="426"/>
        <w:rPr>
          <w:rFonts w:eastAsia="Calibri"/>
          <w:sz w:val="22"/>
          <w:szCs w:val="22"/>
        </w:rPr>
      </w:pPr>
      <w:r w:rsidRPr="00874C4F">
        <w:rPr>
          <w:rFonts w:eastAsia="Calibri"/>
          <w:sz w:val="22"/>
          <w:szCs w:val="22"/>
        </w:rPr>
        <w:t>How much funding is available?</w:t>
      </w:r>
    </w:p>
    <w:p w14:paraId="5B73EAEE" w14:textId="77777777" w:rsidR="00B276B1" w:rsidRPr="00874C4F" w:rsidRDefault="00B276B1" w:rsidP="00B276B1">
      <w:pPr>
        <w:ind w:left="426"/>
      </w:pPr>
      <w:r w:rsidRPr="00874C4F">
        <w:t xml:space="preserve">The Australian Government, through the Department of Agriculture, is providing $20 million </w:t>
      </w:r>
      <w:r>
        <w:t xml:space="preserve">(GST exclusive) </w:t>
      </w:r>
      <w:r w:rsidRPr="00D66EDD">
        <w:t xml:space="preserve">for eligible </w:t>
      </w:r>
      <w:r>
        <w:t xml:space="preserve">agricultural </w:t>
      </w:r>
      <w:r w:rsidRPr="00D66EDD">
        <w:t>show societies</w:t>
      </w:r>
      <w:r>
        <w:t xml:space="preserve"> under the Regional Agricultural </w:t>
      </w:r>
      <w:r w:rsidR="007E764B">
        <w:t>Show Development Grants Program.</w:t>
      </w:r>
    </w:p>
    <w:p w14:paraId="09089F8E" w14:textId="77777777" w:rsidR="00B276B1" w:rsidRDefault="00B276B1" w:rsidP="00B276B1">
      <w:pPr>
        <w:pStyle w:val="Heading2"/>
        <w:numPr>
          <w:ilvl w:val="0"/>
          <w:numId w:val="6"/>
        </w:numPr>
        <w:ind w:left="426" w:hanging="426"/>
        <w:rPr>
          <w:rFonts w:eastAsia="Calibri"/>
          <w:sz w:val="22"/>
          <w:szCs w:val="22"/>
        </w:rPr>
      </w:pPr>
      <w:r>
        <w:rPr>
          <w:rFonts w:eastAsia="Calibri"/>
          <w:sz w:val="22"/>
          <w:szCs w:val="22"/>
        </w:rPr>
        <w:t xml:space="preserve">How much funding can I apply </w:t>
      </w:r>
      <w:proofErr w:type="gramStart"/>
      <w:r>
        <w:rPr>
          <w:rFonts w:eastAsia="Calibri"/>
          <w:sz w:val="22"/>
          <w:szCs w:val="22"/>
        </w:rPr>
        <w:t>for</w:t>
      </w:r>
      <w:proofErr w:type="gramEnd"/>
      <w:r>
        <w:rPr>
          <w:rFonts w:eastAsia="Calibri"/>
          <w:sz w:val="22"/>
          <w:szCs w:val="22"/>
        </w:rPr>
        <w:t>?</w:t>
      </w:r>
    </w:p>
    <w:p w14:paraId="2ADDBE10" w14:textId="77777777" w:rsidR="00B276B1" w:rsidRPr="00FA3264" w:rsidRDefault="00B276B1" w:rsidP="00B276B1">
      <w:pPr>
        <w:pStyle w:val="BodyText"/>
        <w:ind w:left="426"/>
      </w:pPr>
      <w:r w:rsidRPr="00874C4F">
        <w:t>There is no minimum funding amount for eligible projects. The maximum grant will be $500,000 (GST exclusive).</w:t>
      </w:r>
      <w:r>
        <w:t xml:space="preserve"> Applicants may apply for multiple grants under different funding streams (see question 12).</w:t>
      </w:r>
    </w:p>
    <w:p w14:paraId="17D13D7D" w14:textId="77777777" w:rsidR="00B276B1" w:rsidRPr="00874C4F" w:rsidRDefault="00B276B1" w:rsidP="00B276B1">
      <w:pPr>
        <w:pStyle w:val="Heading2"/>
        <w:numPr>
          <w:ilvl w:val="0"/>
          <w:numId w:val="6"/>
        </w:numPr>
        <w:ind w:left="426" w:hanging="426"/>
        <w:rPr>
          <w:rFonts w:eastAsia="Calibri"/>
          <w:sz w:val="22"/>
          <w:szCs w:val="22"/>
        </w:rPr>
      </w:pPr>
      <w:r w:rsidRPr="00874C4F">
        <w:rPr>
          <w:rFonts w:eastAsia="Calibri"/>
          <w:sz w:val="22"/>
          <w:szCs w:val="22"/>
        </w:rPr>
        <w:t xml:space="preserve">Is the funding </w:t>
      </w:r>
      <w:proofErr w:type="gramStart"/>
      <w:r w:rsidRPr="00874C4F">
        <w:rPr>
          <w:rFonts w:eastAsia="Calibri"/>
          <w:sz w:val="22"/>
          <w:szCs w:val="22"/>
        </w:rPr>
        <w:t>on-going</w:t>
      </w:r>
      <w:proofErr w:type="gramEnd"/>
      <w:r w:rsidRPr="00874C4F">
        <w:rPr>
          <w:rFonts w:eastAsia="Calibri"/>
          <w:sz w:val="22"/>
          <w:szCs w:val="22"/>
        </w:rPr>
        <w:t>?</w:t>
      </w:r>
    </w:p>
    <w:p w14:paraId="51309770" w14:textId="77777777" w:rsidR="00B276B1" w:rsidRPr="00874C4F" w:rsidRDefault="00B276B1" w:rsidP="00B276B1">
      <w:pPr>
        <w:ind w:left="426"/>
      </w:pPr>
      <w:r w:rsidRPr="00874C4F">
        <w:t>No, funding is not ongoing</w:t>
      </w:r>
      <w:r>
        <w:t>. This is the only funding round anticipated under</w:t>
      </w:r>
      <w:r w:rsidRPr="00874C4F">
        <w:t xml:space="preserve"> </w:t>
      </w:r>
      <w:r>
        <w:t>the program and funding will not be available after 30 June 20</w:t>
      </w:r>
      <w:r w:rsidRPr="00874C4F">
        <w:t>21.</w:t>
      </w:r>
    </w:p>
    <w:p w14:paraId="502E71E9" w14:textId="77777777" w:rsidR="00B276B1" w:rsidRPr="00874C4F" w:rsidRDefault="00B276B1" w:rsidP="00B276B1">
      <w:pPr>
        <w:pStyle w:val="Heading2"/>
        <w:numPr>
          <w:ilvl w:val="0"/>
          <w:numId w:val="6"/>
        </w:numPr>
        <w:ind w:left="426" w:hanging="426"/>
        <w:rPr>
          <w:rFonts w:eastAsia="Calibri"/>
          <w:sz w:val="22"/>
          <w:szCs w:val="22"/>
        </w:rPr>
      </w:pPr>
      <w:r w:rsidRPr="00874C4F">
        <w:rPr>
          <w:rFonts w:eastAsia="Calibri"/>
          <w:sz w:val="22"/>
          <w:szCs w:val="22"/>
        </w:rPr>
        <w:t>When will I know the outcome of my application?</w:t>
      </w:r>
    </w:p>
    <w:p w14:paraId="20D4E9C3" w14:textId="77777777" w:rsidR="00B276B1" w:rsidRPr="00874C4F" w:rsidRDefault="00B276B1" w:rsidP="00B276B1">
      <w:pPr>
        <w:ind w:left="426"/>
        <w:rPr>
          <w:lang w:eastAsia="en-AU"/>
        </w:rPr>
      </w:pPr>
      <w:r w:rsidRPr="00874C4F">
        <w:rPr>
          <w:lang w:eastAsia="en-AU"/>
        </w:rPr>
        <w:t xml:space="preserve">You </w:t>
      </w:r>
      <w:proofErr w:type="gramStart"/>
      <w:r w:rsidRPr="00874C4F">
        <w:rPr>
          <w:lang w:eastAsia="en-AU"/>
        </w:rPr>
        <w:t>will be notified</w:t>
      </w:r>
      <w:proofErr w:type="gramEnd"/>
      <w:r w:rsidRPr="00874C4F">
        <w:rPr>
          <w:lang w:eastAsia="en-AU"/>
        </w:rPr>
        <w:t xml:space="preserve"> of the outcome of your application at the end of the selection process.</w:t>
      </w:r>
      <w:r w:rsidR="007E764B">
        <w:rPr>
          <w:lang w:eastAsia="en-AU"/>
        </w:rPr>
        <w:br/>
      </w:r>
      <w:r w:rsidRPr="00874C4F">
        <w:rPr>
          <w:lang w:eastAsia="en-AU"/>
        </w:rPr>
        <w:t>For probity reasons, to treat all applicants fairly and equally, it is not possible to give you information about the status of individual applications during the assessment process.</w:t>
      </w:r>
    </w:p>
    <w:p w14:paraId="2318A9D2" w14:textId="77777777" w:rsidR="00B276B1" w:rsidRPr="00874C4F" w:rsidRDefault="007E764B" w:rsidP="00B276B1">
      <w:pPr>
        <w:pStyle w:val="Heading2"/>
        <w:numPr>
          <w:ilvl w:val="0"/>
          <w:numId w:val="6"/>
        </w:numPr>
        <w:ind w:left="426" w:hanging="426"/>
        <w:rPr>
          <w:rFonts w:eastAsia="Calibri"/>
          <w:sz w:val="22"/>
          <w:szCs w:val="22"/>
        </w:rPr>
      </w:pPr>
      <w:r>
        <w:rPr>
          <w:rFonts w:eastAsia="Calibri"/>
          <w:sz w:val="22"/>
          <w:szCs w:val="22"/>
        </w:rPr>
        <w:lastRenderedPageBreak/>
        <w:t>How can I submit the application f</w:t>
      </w:r>
      <w:r w:rsidR="00B276B1" w:rsidRPr="00874C4F">
        <w:rPr>
          <w:rFonts w:eastAsia="Calibri"/>
          <w:sz w:val="22"/>
          <w:szCs w:val="22"/>
        </w:rPr>
        <w:t>orm?</w:t>
      </w:r>
    </w:p>
    <w:p w14:paraId="043797D0" w14:textId="77777777" w:rsidR="00B276B1" w:rsidRPr="00874C4F" w:rsidRDefault="00B276B1" w:rsidP="00B276B1">
      <w:pPr>
        <w:ind w:left="426"/>
        <w:rPr>
          <w:lang w:eastAsia="en-AU"/>
        </w:rPr>
      </w:pPr>
      <w:r w:rsidRPr="00874C4F">
        <w:rPr>
          <w:lang w:eastAsia="en-AU"/>
        </w:rPr>
        <w:t>The</w:t>
      </w:r>
      <w:r w:rsidR="007E764B">
        <w:rPr>
          <w:lang w:eastAsia="en-AU"/>
        </w:rPr>
        <w:t xml:space="preserve"> form is an online application f</w:t>
      </w:r>
      <w:r w:rsidRPr="00874C4F">
        <w:rPr>
          <w:lang w:eastAsia="en-AU"/>
        </w:rPr>
        <w:t>orm that you must submit electronically. The Community Grants Hub will not provide application forms or accept application forms for this grant opportunity by fax, email or through Australia Post.</w:t>
      </w:r>
    </w:p>
    <w:p w14:paraId="63C7B4B7" w14:textId="77777777" w:rsidR="00B276B1" w:rsidRPr="00874C4F" w:rsidRDefault="00B276B1" w:rsidP="00B276B1">
      <w:pPr>
        <w:pStyle w:val="Heading2"/>
        <w:numPr>
          <w:ilvl w:val="0"/>
          <w:numId w:val="6"/>
        </w:numPr>
        <w:ind w:left="426" w:hanging="426"/>
        <w:rPr>
          <w:rFonts w:eastAsia="Calibri"/>
          <w:sz w:val="22"/>
          <w:szCs w:val="22"/>
        </w:rPr>
      </w:pPr>
      <w:r w:rsidRPr="00874C4F">
        <w:rPr>
          <w:rFonts w:eastAsia="Calibri"/>
          <w:sz w:val="22"/>
          <w:szCs w:val="22"/>
        </w:rPr>
        <w:t xml:space="preserve">Do character limits apply to my application? </w:t>
      </w:r>
    </w:p>
    <w:p w14:paraId="7F6CCC7C" w14:textId="77777777" w:rsidR="00B276B1" w:rsidRPr="00002F06" w:rsidRDefault="00B276B1" w:rsidP="00B276B1">
      <w:pPr>
        <w:ind w:left="426"/>
        <w:rPr>
          <w:lang w:eastAsia="en-AU"/>
        </w:rPr>
      </w:pPr>
      <w:r w:rsidRPr="00874C4F">
        <w:rPr>
          <w:lang w:eastAsia="en-AU"/>
        </w:rPr>
        <w:t>Yes, the application form includes character limits – up to 6000 characters (approx. 900</w:t>
      </w:r>
      <w:r w:rsidRPr="00002F06">
        <w:rPr>
          <w:lang w:eastAsia="en-AU"/>
        </w:rPr>
        <w:t xml:space="preserve"> </w:t>
      </w:r>
      <w:r w:rsidRPr="00874C4F">
        <w:rPr>
          <w:lang w:eastAsia="en-AU"/>
        </w:rPr>
        <w:t xml:space="preserve">words) per assessment criterion. Please note spaces are included in the character limit. </w:t>
      </w:r>
    </w:p>
    <w:p w14:paraId="0BEDA27E" w14:textId="77777777" w:rsidR="00B276B1" w:rsidRDefault="00B276B1" w:rsidP="00B276B1">
      <w:pPr>
        <w:pStyle w:val="Heading2"/>
        <w:numPr>
          <w:ilvl w:val="0"/>
          <w:numId w:val="6"/>
        </w:numPr>
        <w:ind w:left="426" w:hanging="426"/>
        <w:rPr>
          <w:rFonts w:eastAsia="Calibri"/>
          <w:sz w:val="22"/>
          <w:szCs w:val="22"/>
        </w:rPr>
      </w:pPr>
      <w:proofErr w:type="gramStart"/>
      <w:r>
        <w:rPr>
          <w:rFonts w:eastAsia="Calibri"/>
          <w:sz w:val="22"/>
          <w:szCs w:val="22"/>
        </w:rPr>
        <w:t>Who</w:t>
      </w:r>
      <w:proofErr w:type="gramEnd"/>
      <w:r>
        <w:rPr>
          <w:rFonts w:eastAsia="Calibri"/>
          <w:sz w:val="22"/>
          <w:szCs w:val="22"/>
        </w:rPr>
        <w:t xml:space="preserve"> is ‘the applicant’ as referred to in the application form?</w:t>
      </w:r>
    </w:p>
    <w:p w14:paraId="367F6F8D" w14:textId="77777777" w:rsidR="00B276B1" w:rsidRDefault="00B276B1" w:rsidP="00B276B1">
      <w:pPr>
        <w:pStyle w:val="BodyText"/>
        <w:ind w:left="426"/>
      </w:pPr>
      <w:r>
        <w:t xml:space="preserve">The applicant is the intended recipient of the grant – i.e. the agricultural show society. </w:t>
      </w:r>
      <w:proofErr w:type="gramStart"/>
      <w:r>
        <w:t>It may not be the individual who is completing the form.</w:t>
      </w:r>
      <w:proofErr w:type="gramEnd"/>
    </w:p>
    <w:p w14:paraId="51E73B67" w14:textId="77777777" w:rsidR="00B84C77" w:rsidRDefault="00B84C77" w:rsidP="00B276B1">
      <w:pPr>
        <w:pStyle w:val="BodyText"/>
        <w:ind w:left="426"/>
      </w:pPr>
    </w:p>
    <w:p w14:paraId="2EDECDB0" w14:textId="77777777" w:rsidR="00B84C77" w:rsidRDefault="00B84C77" w:rsidP="00B84C77">
      <w:pPr>
        <w:shd w:val="clear" w:color="auto" w:fill="DFE1DF" w:themeFill="text2"/>
        <w:rPr>
          <w:b/>
          <w:sz w:val="24"/>
          <w:szCs w:val="24"/>
          <w:u w:val="single"/>
        </w:rPr>
      </w:pPr>
      <w:r w:rsidRPr="00B84C77">
        <w:rPr>
          <w:b/>
          <w:sz w:val="24"/>
          <w:szCs w:val="24"/>
          <w:u w:val="single"/>
        </w:rPr>
        <w:t>Questions 10 and 11 amended</w:t>
      </w:r>
      <w:r w:rsidR="00BE0674">
        <w:rPr>
          <w:b/>
          <w:sz w:val="24"/>
          <w:szCs w:val="24"/>
          <w:u w:val="single"/>
        </w:rPr>
        <w:t xml:space="preserve"> 05 November 2019.</w:t>
      </w:r>
    </w:p>
    <w:p w14:paraId="3485A8AA" w14:textId="77777777" w:rsidR="00B276B1" w:rsidRPr="00160299" w:rsidRDefault="00B276B1" w:rsidP="00B276B1">
      <w:pPr>
        <w:pStyle w:val="Heading2"/>
        <w:numPr>
          <w:ilvl w:val="0"/>
          <w:numId w:val="6"/>
        </w:numPr>
        <w:ind w:left="426" w:hanging="426"/>
        <w:rPr>
          <w:rFonts w:eastAsia="Calibri"/>
          <w:sz w:val="22"/>
          <w:szCs w:val="22"/>
        </w:rPr>
      </w:pPr>
      <w:r w:rsidRPr="00160299">
        <w:rPr>
          <w:rFonts w:eastAsia="Calibri"/>
          <w:sz w:val="22"/>
          <w:szCs w:val="22"/>
        </w:rPr>
        <w:t>Who is eligible to apply for funding?</w:t>
      </w:r>
    </w:p>
    <w:p w14:paraId="06A43F6D" w14:textId="77777777" w:rsidR="00B84C77" w:rsidRDefault="00B84C77" w:rsidP="00B84C77">
      <w:pPr>
        <w:pStyle w:val="BodyText"/>
        <w:ind w:left="426"/>
        <w:rPr>
          <w:szCs w:val="22"/>
        </w:rPr>
      </w:pPr>
      <w:r w:rsidRPr="00160299">
        <w:rPr>
          <w:szCs w:val="22"/>
        </w:rPr>
        <w:t xml:space="preserve">To be eligible for funding </w:t>
      </w:r>
      <w:r>
        <w:rPr>
          <w:szCs w:val="22"/>
        </w:rPr>
        <w:t>the applicant</w:t>
      </w:r>
      <w:r w:rsidRPr="00160299">
        <w:rPr>
          <w:szCs w:val="22"/>
        </w:rPr>
        <w:t xml:space="preserve"> must meet the eligibility requirements (section 4</w:t>
      </w:r>
      <w:r>
        <w:rPr>
          <w:szCs w:val="22"/>
        </w:rPr>
        <w:t xml:space="preserve"> of the </w:t>
      </w:r>
      <w:r>
        <w:rPr>
          <w:rFonts w:cstheme="minorHAnsi"/>
        </w:rPr>
        <w:t>Grant Opportunity G</w:t>
      </w:r>
      <w:r w:rsidRPr="00160299">
        <w:rPr>
          <w:rFonts w:cstheme="minorHAnsi"/>
        </w:rPr>
        <w:t>uidelines</w:t>
      </w:r>
      <w:r>
        <w:rPr>
          <w:szCs w:val="22"/>
        </w:rPr>
        <w:t>) which include:</w:t>
      </w:r>
    </w:p>
    <w:p w14:paraId="6621FEE1" w14:textId="77777777" w:rsidR="00B84C77" w:rsidRDefault="00B84C77" w:rsidP="00B84C77">
      <w:pPr>
        <w:pStyle w:val="BodyText"/>
        <w:numPr>
          <w:ilvl w:val="0"/>
          <w:numId w:val="14"/>
        </w:numPr>
        <w:rPr>
          <w:szCs w:val="22"/>
        </w:rPr>
      </w:pPr>
      <w:r>
        <w:rPr>
          <w:szCs w:val="22"/>
        </w:rPr>
        <w:t>be an eligible entity (full list in the guidelines)</w:t>
      </w:r>
    </w:p>
    <w:p w14:paraId="413BE61D" w14:textId="77777777" w:rsidR="00B84C77" w:rsidRDefault="00B84C77" w:rsidP="00B84C77">
      <w:pPr>
        <w:pStyle w:val="BodyText"/>
        <w:numPr>
          <w:ilvl w:val="0"/>
          <w:numId w:val="14"/>
        </w:numPr>
        <w:rPr>
          <w:szCs w:val="22"/>
        </w:rPr>
      </w:pPr>
      <w:r>
        <w:rPr>
          <w:szCs w:val="22"/>
        </w:rPr>
        <w:t>be a regional show society that is, or intends to become, a member of Agricultural Shows Australia (ASA) or one of their state or territory members</w:t>
      </w:r>
    </w:p>
    <w:p w14:paraId="31F7C159" w14:textId="77777777" w:rsidR="00B84C77" w:rsidRDefault="00B84C77" w:rsidP="00B84C77">
      <w:pPr>
        <w:pStyle w:val="BodyText"/>
        <w:numPr>
          <w:ilvl w:val="0"/>
          <w:numId w:val="14"/>
        </w:numPr>
        <w:rPr>
          <w:szCs w:val="22"/>
        </w:rPr>
      </w:pPr>
      <w:r>
        <w:rPr>
          <w:szCs w:val="22"/>
        </w:rPr>
        <w:t xml:space="preserve">conduct a regular agricultural show </w:t>
      </w:r>
    </w:p>
    <w:p w14:paraId="08C152DF" w14:textId="77777777" w:rsidR="00B84C77" w:rsidRDefault="00B84C77" w:rsidP="00B84C77">
      <w:pPr>
        <w:pStyle w:val="BodyText"/>
        <w:numPr>
          <w:ilvl w:val="0"/>
          <w:numId w:val="14"/>
        </w:numPr>
        <w:rPr>
          <w:szCs w:val="22"/>
        </w:rPr>
      </w:pPr>
      <w:r>
        <w:rPr>
          <w:szCs w:val="22"/>
        </w:rPr>
        <w:t>provide evidence of ownership of the affected land/building, or evidence of support of the land/building owner (if the applicant is not the owner)</w:t>
      </w:r>
    </w:p>
    <w:p w14:paraId="7B94D8D3" w14:textId="77777777" w:rsidR="00B84C77" w:rsidRDefault="00B84C77" w:rsidP="00B84C77">
      <w:pPr>
        <w:pStyle w:val="BodyText"/>
        <w:numPr>
          <w:ilvl w:val="0"/>
          <w:numId w:val="14"/>
        </w:numPr>
        <w:rPr>
          <w:szCs w:val="22"/>
        </w:rPr>
      </w:pPr>
      <w:r>
        <w:rPr>
          <w:szCs w:val="22"/>
        </w:rPr>
        <w:t xml:space="preserve">ASA member state peak bodies representing regional agricultural shows can also apply for </w:t>
      </w:r>
      <w:proofErr w:type="gramStart"/>
      <w:r>
        <w:rPr>
          <w:szCs w:val="22"/>
        </w:rPr>
        <w:t>state wide</w:t>
      </w:r>
      <w:proofErr w:type="gramEnd"/>
      <w:r>
        <w:rPr>
          <w:szCs w:val="22"/>
        </w:rPr>
        <w:t xml:space="preserve"> grants if they provide evidence the project will benefit regional agricultural shows and show societies.</w:t>
      </w:r>
    </w:p>
    <w:p w14:paraId="184F101D" w14:textId="77777777" w:rsidR="00B84C77" w:rsidRPr="00B84C77" w:rsidRDefault="00B84C77" w:rsidP="00B84C77">
      <w:pPr>
        <w:pStyle w:val="BodyText"/>
        <w:ind w:left="426"/>
        <w:rPr>
          <w:szCs w:val="22"/>
          <w:u w:val="single"/>
        </w:rPr>
      </w:pPr>
      <w:r>
        <w:rPr>
          <w:szCs w:val="22"/>
        </w:rPr>
        <w:t xml:space="preserve">The applicant should also have an ABN, </w:t>
      </w:r>
      <w:proofErr w:type="gramStart"/>
      <w:r>
        <w:rPr>
          <w:szCs w:val="22"/>
        </w:rPr>
        <w:t>be registered</w:t>
      </w:r>
      <w:proofErr w:type="gramEnd"/>
      <w:r>
        <w:rPr>
          <w:szCs w:val="22"/>
        </w:rPr>
        <w:t xml:space="preserve"> for GST and have a bank account with an Australian financial institution. </w:t>
      </w:r>
      <w:r w:rsidRPr="00BE0674">
        <w:rPr>
          <w:szCs w:val="22"/>
        </w:rPr>
        <w:t>(See also question 28.)</w:t>
      </w:r>
    </w:p>
    <w:p w14:paraId="2C29ECF2" w14:textId="77777777" w:rsidR="00BE0674" w:rsidRPr="00BE0674" w:rsidRDefault="00BE0674" w:rsidP="00B84C77">
      <w:pPr>
        <w:pStyle w:val="BodyText"/>
        <w:ind w:left="426"/>
        <w:rPr>
          <w:b/>
          <w:szCs w:val="22"/>
          <w:u w:val="single"/>
        </w:rPr>
      </w:pPr>
      <w:r>
        <w:rPr>
          <w:b/>
          <w:szCs w:val="22"/>
          <w:u w:val="single"/>
        </w:rPr>
        <w:br/>
      </w:r>
      <w:r w:rsidRPr="00BE0674">
        <w:rPr>
          <w:b/>
          <w:szCs w:val="22"/>
          <w:u w:val="single"/>
        </w:rPr>
        <w:t>Update to question</w:t>
      </w:r>
    </w:p>
    <w:p w14:paraId="5F73D388" w14:textId="77777777" w:rsidR="00B84C77" w:rsidRDefault="00B84C77" w:rsidP="00B84C77">
      <w:pPr>
        <w:pStyle w:val="BodyText"/>
        <w:ind w:left="426"/>
        <w:rPr>
          <w:szCs w:val="22"/>
        </w:rPr>
      </w:pPr>
      <w:r w:rsidRPr="00BE0674">
        <w:rPr>
          <w:szCs w:val="22"/>
        </w:rPr>
        <w:t xml:space="preserve">The decision maker can choose to waive the eligibility </w:t>
      </w:r>
      <w:proofErr w:type="gramStart"/>
      <w:r w:rsidRPr="00BE0674">
        <w:rPr>
          <w:szCs w:val="22"/>
        </w:rPr>
        <w:t>criteria,</w:t>
      </w:r>
      <w:proofErr w:type="gramEnd"/>
      <w:r w:rsidRPr="00BE0674">
        <w:rPr>
          <w:szCs w:val="22"/>
        </w:rPr>
        <w:t xml:space="preserve"> however they must be made aware of the risks. Applicants who believe an eligibility criterion </w:t>
      </w:r>
      <w:proofErr w:type="gramStart"/>
      <w:r w:rsidRPr="00BE0674">
        <w:rPr>
          <w:szCs w:val="22"/>
        </w:rPr>
        <w:t>should be waived</w:t>
      </w:r>
      <w:proofErr w:type="gramEnd"/>
      <w:r w:rsidRPr="00BE0674">
        <w:rPr>
          <w:szCs w:val="22"/>
        </w:rPr>
        <w:t xml:space="preserve"> for their application need to provide justification that can be considered by the decision maker.</w:t>
      </w:r>
    </w:p>
    <w:p w14:paraId="7986FD84" w14:textId="77777777" w:rsidR="00C63F89" w:rsidRDefault="00C63F89" w:rsidP="00B84C77">
      <w:pPr>
        <w:pStyle w:val="BodyText"/>
        <w:ind w:left="426"/>
        <w:rPr>
          <w:szCs w:val="22"/>
        </w:rPr>
      </w:pPr>
    </w:p>
    <w:p w14:paraId="4AB8AD7C" w14:textId="77777777" w:rsidR="008C4A88" w:rsidRDefault="008C4A88" w:rsidP="00B84C77">
      <w:pPr>
        <w:pStyle w:val="BodyText"/>
        <w:ind w:left="426"/>
        <w:rPr>
          <w:szCs w:val="22"/>
        </w:rPr>
      </w:pPr>
    </w:p>
    <w:p w14:paraId="29E443B1" w14:textId="77777777" w:rsidR="00C63F89" w:rsidRPr="00B84C77" w:rsidRDefault="00C63F89" w:rsidP="00C63F89">
      <w:pPr>
        <w:shd w:val="clear" w:color="auto" w:fill="DFE1DF" w:themeFill="text2"/>
        <w:rPr>
          <w:b/>
          <w:sz w:val="24"/>
          <w:szCs w:val="24"/>
          <w:u w:val="single"/>
        </w:rPr>
      </w:pPr>
      <w:r w:rsidRPr="00B84C77">
        <w:rPr>
          <w:b/>
          <w:sz w:val="24"/>
          <w:szCs w:val="24"/>
          <w:u w:val="single"/>
        </w:rPr>
        <w:lastRenderedPageBreak/>
        <w:t>Questions 11 amended</w:t>
      </w:r>
      <w:r>
        <w:rPr>
          <w:b/>
          <w:sz w:val="24"/>
          <w:szCs w:val="24"/>
          <w:u w:val="single"/>
        </w:rPr>
        <w:t xml:space="preserve"> 07 November 2019.</w:t>
      </w:r>
    </w:p>
    <w:p w14:paraId="3505A861" w14:textId="77777777" w:rsidR="00B276B1" w:rsidRPr="00160299" w:rsidRDefault="00B276B1" w:rsidP="00B276B1">
      <w:pPr>
        <w:pStyle w:val="Heading2"/>
        <w:numPr>
          <w:ilvl w:val="0"/>
          <w:numId w:val="6"/>
        </w:numPr>
        <w:ind w:left="426" w:hanging="426"/>
        <w:rPr>
          <w:rFonts w:eastAsia="Calibri"/>
          <w:sz w:val="22"/>
          <w:szCs w:val="22"/>
        </w:rPr>
      </w:pPr>
      <w:r>
        <w:rPr>
          <w:rFonts w:eastAsia="Calibri"/>
          <w:sz w:val="22"/>
          <w:szCs w:val="22"/>
        </w:rPr>
        <w:t>How do I know if I a</w:t>
      </w:r>
      <w:r w:rsidRPr="00160299">
        <w:rPr>
          <w:rFonts w:eastAsia="Calibri"/>
          <w:sz w:val="22"/>
          <w:szCs w:val="22"/>
        </w:rPr>
        <w:t>m in an eligible regional area?</w:t>
      </w:r>
    </w:p>
    <w:p w14:paraId="35196B3A" w14:textId="21CEC90A" w:rsidR="00B276B1" w:rsidRDefault="00B276B1" w:rsidP="00B276B1">
      <w:pPr>
        <w:ind w:left="426"/>
        <w:rPr>
          <w:rFonts w:cs="Arial"/>
        </w:rPr>
      </w:pPr>
      <w:r w:rsidRPr="004B670F">
        <w:t xml:space="preserve">Eligible areas </w:t>
      </w:r>
      <w:proofErr w:type="gramStart"/>
      <w:r w:rsidRPr="004B670F">
        <w:t xml:space="preserve">are </w:t>
      </w:r>
      <w:r>
        <w:t>defined</w:t>
      </w:r>
      <w:proofErr w:type="gramEnd"/>
      <w:r>
        <w:t xml:space="preserve"> by postcodes in </w:t>
      </w:r>
      <w:r w:rsidRPr="004B670F">
        <w:t xml:space="preserve">all of Australia excluding the </w:t>
      </w:r>
      <w:r>
        <w:t xml:space="preserve">Urban Centre and Locality (UCL) </w:t>
      </w:r>
      <w:r w:rsidRPr="004B670F">
        <w:t xml:space="preserve">capital cities of Sydney, Melbourne, Brisbane, Perth, Adelaide, Hobart, Canberra and Darwin, as defined by the </w:t>
      </w:r>
      <w:r w:rsidRPr="003A2B54">
        <w:rPr>
          <w:rStyle w:val="Hyperlink"/>
          <w:rFonts w:cs="Arial"/>
        </w:rPr>
        <w:t>Australian Bureau of Statistics’ (ABS) Australian Statistical Geography Standard</w:t>
      </w:r>
      <w:r>
        <w:rPr>
          <w:rFonts w:cs="Arial"/>
        </w:rPr>
        <w:t xml:space="preserve">. </w:t>
      </w:r>
    </w:p>
    <w:p w14:paraId="2B336FAE" w14:textId="397AC59A" w:rsidR="00B276B1" w:rsidRDefault="00B276B1" w:rsidP="00B276B1">
      <w:pPr>
        <w:ind w:left="426"/>
        <w:rPr>
          <w:rFonts w:cs="Arial"/>
        </w:rPr>
      </w:pPr>
      <w:r>
        <w:t>You can f</w:t>
      </w:r>
      <w:r w:rsidRPr="007D5355">
        <w:t xml:space="preserve">ind a list of postcodes excluded from the program on the GrantConnect </w:t>
      </w:r>
      <w:r>
        <w:t xml:space="preserve">and Community Grants Hub </w:t>
      </w:r>
      <w:r w:rsidRPr="007D5355">
        <w:t>website</w:t>
      </w:r>
      <w:r>
        <w:t>s</w:t>
      </w:r>
      <w:r w:rsidRPr="007D5355">
        <w:t xml:space="preserve">. If the location of the showground is in one of these postcodes, your grant application </w:t>
      </w:r>
      <w:r>
        <w:t>will be</w:t>
      </w:r>
      <w:r w:rsidRPr="007D5355">
        <w:t xml:space="preserve"> ineligible.</w:t>
      </w:r>
      <w:r>
        <w:t xml:space="preserve"> </w:t>
      </w:r>
      <w:r>
        <w:rPr>
          <w:rFonts w:cs="Arial"/>
        </w:rPr>
        <w:t xml:space="preserve">The ABS has a </w:t>
      </w:r>
      <w:r w:rsidRPr="003A2B54">
        <w:rPr>
          <w:rStyle w:val="Hyperlink"/>
          <w:rFonts w:cs="Arial"/>
        </w:rPr>
        <w:t>mapping tool</w:t>
      </w:r>
      <w:r>
        <w:rPr>
          <w:rFonts w:cs="Arial"/>
        </w:rPr>
        <w:t xml:space="preserve"> that may also help you determine if your postcode lies within an eligible regional area. </w:t>
      </w:r>
    </w:p>
    <w:p w14:paraId="6F50375B" w14:textId="77777777" w:rsidR="00BE0674" w:rsidRPr="00BE0674" w:rsidRDefault="00BE0674" w:rsidP="00BE0674">
      <w:pPr>
        <w:pStyle w:val="BodyText"/>
        <w:ind w:left="426"/>
        <w:rPr>
          <w:b/>
          <w:szCs w:val="22"/>
          <w:u w:val="single"/>
        </w:rPr>
      </w:pPr>
      <w:r w:rsidRPr="00BE0674">
        <w:rPr>
          <w:b/>
          <w:szCs w:val="22"/>
          <w:u w:val="single"/>
        </w:rPr>
        <w:t>Update to question</w:t>
      </w:r>
    </w:p>
    <w:p w14:paraId="73689365" w14:textId="77777777" w:rsidR="00C63F89" w:rsidRDefault="00C63F89" w:rsidP="00C63F89">
      <w:pPr>
        <w:ind w:left="426"/>
      </w:pPr>
      <w:r>
        <w:t xml:space="preserve">The decision maker can choose to waive the eligibility </w:t>
      </w:r>
      <w:proofErr w:type="gramStart"/>
      <w:r>
        <w:t>criteria,</w:t>
      </w:r>
      <w:proofErr w:type="gramEnd"/>
      <w:r>
        <w:t xml:space="preserve"> however they must be made aware of the risks. Applicants who believe the criterion relating to ineligible postcodes </w:t>
      </w:r>
      <w:proofErr w:type="gramStart"/>
      <w:r>
        <w:t>should be waived</w:t>
      </w:r>
      <w:proofErr w:type="gramEnd"/>
      <w:r>
        <w:t xml:space="preserve"> for their application need to provide justification that can be considered by the decision maker.</w:t>
      </w:r>
    </w:p>
    <w:p w14:paraId="0DEB74EB" w14:textId="77777777" w:rsidR="00BE0674" w:rsidRDefault="00C63F89" w:rsidP="00C63F89">
      <w:pPr>
        <w:ind w:left="426"/>
        <w:rPr>
          <w:rFonts w:asciiTheme="majorHAnsi" w:eastAsia="Calibri" w:hAnsiTheme="majorHAnsi" w:cstheme="majorHAnsi"/>
          <w:b/>
          <w:bCs/>
          <w:color w:val="000000" w:themeColor="text1"/>
          <w:highlight w:val="lightGray"/>
        </w:rPr>
      </w:pPr>
      <w:r w:rsidRPr="00BE0674">
        <w:rPr>
          <w:rFonts w:cs="Arial"/>
        </w:rPr>
        <w:t xml:space="preserve"> </w:t>
      </w:r>
      <w:r w:rsidR="00B276B1" w:rsidRPr="00BE0674">
        <w:rPr>
          <w:rFonts w:cs="Arial"/>
        </w:rPr>
        <w:t xml:space="preserve">Applicants applying for a grant under the </w:t>
      </w:r>
      <w:proofErr w:type="gramStart"/>
      <w:r w:rsidR="00B276B1" w:rsidRPr="00BE0674">
        <w:rPr>
          <w:rFonts w:cs="Arial"/>
        </w:rPr>
        <w:t>state-wide</w:t>
      </w:r>
      <w:proofErr w:type="gramEnd"/>
      <w:r w:rsidR="00B276B1" w:rsidRPr="00BE0674">
        <w:rPr>
          <w:rFonts w:cs="Arial"/>
        </w:rPr>
        <w:t xml:space="preserve"> stream are not required to be located in a regional area, but must demonstrate the funding they are applying for will be used to benefit regional agricultural shows.</w:t>
      </w:r>
    </w:p>
    <w:p w14:paraId="1CF10C27" w14:textId="77777777" w:rsidR="00B276B1" w:rsidRPr="00160299" w:rsidRDefault="00B276B1" w:rsidP="00BE0674">
      <w:pPr>
        <w:pStyle w:val="Heading2"/>
        <w:numPr>
          <w:ilvl w:val="0"/>
          <w:numId w:val="6"/>
        </w:numPr>
        <w:ind w:left="426" w:hanging="426"/>
      </w:pPr>
      <w:r w:rsidRPr="00160299">
        <w:t xml:space="preserve">Are there </w:t>
      </w:r>
      <w:r w:rsidRPr="00BE0674">
        <w:rPr>
          <w:rFonts w:eastAsia="Calibri"/>
          <w:sz w:val="22"/>
          <w:szCs w:val="22"/>
        </w:rPr>
        <w:t>different</w:t>
      </w:r>
      <w:r w:rsidRPr="00160299">
        <w:t xml:space="preserve"> funding streams for this program?</w:t>
      </w:r>
    </w:p>
    <w:p w14:paraId="666BF128" w14:textId="77777777" w:rsidR="00B276B1" w:rsidRDefault="00B276B1" w:rsidP="00B276B1">
      <w:pPr>
        <w:pStyle w:val="BodyText"/>
        <w:ind w:left="426"/>
        <w:rPr>
          <w:szCs w:val="22"/>
        </w:rPr>
      </w:pPr>
      <w:r w:rsidRPr="00160299">
        <w:rPr>
          <w:szCs w:val="22"/>
        </w:rPr>
        <w:t xml:space="preserve">Yes. </w:t>
      </w:r>
      <w:r>
        <w:rPr>
          <w:szCs w:val="22"/>
        </w:rPr>
        <w:t>There are five funding streams under the program:</w:t>
      </w:r>
    </w:p>
    <w:p w14:paraId="560F8630" w14:textId="77777777" w:rsidR="00B276B1" w:rsidRPr="004D36E4" w:rsidRDefault="00B276B1" w:rsidP="00B276B1">
      <w:pPr>
        <w:numPr>
          <w:ilvl w:val="0"/>
          <w:numId w:val="15"/>
        </w:numPr>
        <w:shd w:val="clear" w:color="auto" w:fill="FFFFFF"/>
        <w:spacing w:before="100" w:beforeAutospacing="1" w:after="100" w:afterAutospacing="1" w:line="240" w:lineRule="auto"/>
        <w:textAlignment w:val="top"/>
        <w:rPr>
          <w:rFonts w:eastAsia="Times New Roman" w:cs="Arial"/>
          <w:lang w:val="en" w:eastAsia="en-AU"/>
        </w:rPr>
      </w:pPr>
      <w:r w:rsidRPr="004D36E4">
        <w:rPr>
          <w:rFonts w:eastAsia="Times New Roman" w:cs="Arial"/>
          <w:lang w:val="en" w:eastAsia="en-AU"/>
        </w:rPr>
        <w:t xml:space="preserve">Category 1 - Small </w:t>
      </w:r>
      <w:r>
        <w:rPr>
          <w:rFonts w:eastAsia="Times New Roman" w:cs="Arial"/>
          <w:lang w:val="en" w:eastAsia="en-AU"/>
        </w:rPr>
        <w:t>g</w:t>
      </w:r>
      <w:r w:rsidRPr="004D36E4">
        <w:rPr>
          <w:rFonts w:eastAsia="Times New Roman" w:cs="Arial"/>
          <w:lang w:val="en" w:eastAsia="en-AU"/>
        </w:rPr>
        <w:t xml:space="preserve">rants for </w:t>
      </w:r>
      <w:r>
        <w:rPr>
          <w:rFonts w:eastAsia="Times New Roman" w:cs="Arial"/>
          <w:lang w:val="en" w:eastAsia="en-AU"/>
        </w:rPr>
        <w:t>s</w:t>
      </w:r>
      <w:r w:rsidRPr="004D36E4">
        <w:rPr>
          <w:rFonts w:eastAsia="Times New Roman" w:cs="Arial"/>
          <w:lang w:val="en" w:eastAsia="en-AU"/>
        </w:rPr>
        <w:t xml:space="preserve">mall </w:t>
      </w:r>
      <w:r>
        <w:rPr>
          <w:rFonts w:eastAsia="Times New Roman" w:cs="Arial"/>
          <w:lang w:val="en" w:eastAsia="en-AU"/>
        </w:rPr>
        <w:t>s</w:t>
      </w:r>
      <w:r w:rsidRPr="004D36E4">
        <w:rPr>
          <w:rFonts w:eastAsia="Times New Roman" w:cs="Arial"/>
          <w:lang w:val="en" w:eastAsia="en-AU"/>
        </w:rPr>
        <w:t>hows</w:t>
      </w:r>
    </w:p>
    <w:p w14:paraId="2C9BC68A" w14:textId="77777777" w:rsidR="00B276B1" w:rsidRDefault="00B276B1" w:rsidP="00B276B1">
      <w:pPr>
        <w:numPr>
          <w:ilvl w:val="0"/>
          <w:numId w:val="15"/>
        </w:numPr>
        <w:shd w:val="clear" w:color="auto" w:fill="FFFFFF"/>
        <w:spacing w:before="100" w:beforeAutospacing="1" w:after="100" w:afterAutospacing="1" w:line="240" w:lineRule="auto"/>
        <w:textAlignment w:val="top"/>
        <w:rPr>
          <w:rFonts w:eastAsia="Times New Roman" w:cs="Arial"/>
          <w:lang w:val="en" w:eastAsia="en-AU"/>
        </w:rPr>
      </w:pPr>
      <w:r w:rsidRPr="004D36E4">
        <w:rPr>
          <w:rFonts w:eastAsia="Times New Roman" w:cs="Arial"/>
          <w:lang w:val="en" w:eastAsia="en-AU"/>
        </w:rPr>
        <w:t xml:space="preserve">Category 2 - Small </w:t>
      </w:r>
      <w:r>
        <w:rPr>
          <w:rFonts w:eastAsia="Times New Roman" w:cs="Arial"/>
          <w:lang w:val="en" w:eastAsia="en-AU"/>
        </w:rPr>
        <w:t>g</w:t>
      </w:r>
      <w:r w:rsidRPr="004D36E4">
        <w:rPr>
          <w:rFonts w:eastAsia="Times New Roman" w:cs="Arial"/>
          <w:lang w:val="en" w:eastAsia="en-AU"/>
        </w:rPr>
        <w:t xml:space="preserve">rants for </w:t>
      </w:r>
      <w:r>
        <w:rPr>
          <w:rFonts w:eastAsia="Times New Roman" w:cs="Arial"/>
          <w:lang w:val="en" w:eastAsia="en-AU"/>
        </w:rPr>
        <w:t>l</w:t>
      </w:r>
      <w:r w:rsidRPr="004D36E4">
        <w:rPr>
          <w:rFonts w:eastAsia="Times New Roman" w:cs="Arial"/>
          <w:lang w:val="en" w:eastAsia="en-AU"/>
        </w:rPr>
        <w:t xml:space="preserve">arge </w:t>
      </w:r>
      <w:r>
        <w:rPr>
          <w:rFonts w:eastAsia="Times New Roman" w:cs="Arial"/>
          <w:lang w:val="en" w:eastAsia="en-AU"/>
        </w:rPr>
        <w:t>s</w:t>
      </w:r>
      <w:r w:rsidRPr="004D36E4">
        <w:rPr>
          <w:rFonts w:eastAsia="Times New Roman" w:cs="Arial"/>
          <w:lang w:val="en" w:eastAsia="en-AU"/>
        </w:rPr>
        <w:t>hows</w:t>
      </w:r>
    </w:p>
    <w:p w14:paraId="6F1C7392" w14:textId="77777777" w:rsidR="00B276B1" w:rsidRPr="004D36E4" w:rsidRDefault="00B276B1" w:rsidP="00B276B1">
      <w:pPr>
        <w:numPr>
          <w:ilvl w:val="0"/>
          <w:numId w:val="15"/>
        </w:numPr>
        <w:shd w:val="clear" w:color="auto" w:fill="FFFFFF"/>
        <w:spacing w:before="100" w:beforeAutospacing="1" w:after="100" w:afterAutospacing="1" w:line="240" w:lineRule="auto"/>
        <w:textAlignment w:val="top"/>
        <w:rPr>
          <w:rFonts w:eastAsia="Times New Roman" w:cs="Arial"/>
          <w:lang w:val="en" w:eastAsia="en-AU"/>
        </w:rPr>
      </w:pPr>
      <w:r w:rsidRPr="004D36E4">
        <w:rPr>
          <w:rFonts w:eastAsia="Times New Roman" w:cs="Arial"/>
          <w:lang w:val="en" w:eastAsia="en-AU"/>
        </w:rPr>
        <w:t xml:space="preserve">Category 3 - Large </w:t>
      </w:r>
      <w:r>
        <w:rPr>
          <w:rFonts w:eastAsia="Times New Roman" w:cs="Arial"/>
          <w:lang w:val="en" w:eastAsia="en-AU"/>
        </w:rPr>
        <w:t>g</w:t>
      </w:r>
      <w:r w:rsidRPr="004D36E4">
        <w:rPr>
          <w:rFonts w:eastAsia="Times New Roman" w:cs="Arial"/>
          <w:lang w:val="en" w:eastAsia="en-AU"/>
        </w:rPr>
        <w:t xml:space="preserve">rants for </w:t>
      </w:r>
      <w:r>
        <w:rPr>
          <w:rFonts w:eastAsia="Times New Roman" w:cs="Arial"/>
          <w:lang w:val="en" w:eastAsia="en-AU"/>
        </w:rPr>
        <w:t>s</w:t>
      </w:r>
      <w:r w:rsidRPr="004D36E4">
        <w:rPr>
          <w:rFonts w:eastAsia="Times New Roman" w:cs="Arial"/>
          <w:lang w:val="en" w:eastAsia="en-AU"/>
        </w:rPr>
        <w:t xml:space="preserve">mall </w:t>
      </w:r>
      <w:r>
        <w:rPr>
          <w:rFonts w:eastAsia="Times New Roman" w:cs="Arial"/>
          <w:lang w:val="en" w:eastAsia="en-AU"/>
        </w:rPr>
        <w:t>s</w:t>
      </w:r>
      <w:r w:rsidRPr="004D36E4">
        <w:rPr>
          <w:rFonts w:eastAsia="Times New Roman" w:cs="Arial"/>
          <w:lang w:val="en" w:eastAsia="en-AU"/>
        </w:rPr>
        <w:t>hows</w:t>
      </w:r>
    </w:p>
    <w:p w14:paraId="318AA745" w14:textId="77777777" w:rsidR="00B276B1" w:rsidRPr="004D36E4" w:rsidRDefault="00B276B1" w:rsidP="00B276B1">
      <w:pPr>
        <w:numPr>
          <w:ilvl w:val="0"/>
          <w:numId w:val="15"/>
        </w:numPr>
        <w:shd w:val="clear" w:color="auto" w:fill="FFFFFF"/>
        <w:spacing w:before="100" w:beforeAutospacing="1" w:after="100" w:afterAutospacing="1" w:line="240" w:lineRule="auto"/>
        <w:textAlignment w:val="top"/>
        <w:rPr>
          <w:rFonts w:eastAsia="Times New Roman" w:cs="Arial"/>
          <w:lang w:val="en" w:eastAsia="en-AU"/>
        </w:rPr>
      </w:pPr>
      <w:r w:rsidRPr="004D36E4">
        <w:rPr>
          <w:rFonts w:eastAsia="Times New Roman" w:cs="Arial"/>
          <w:lang w:val="en" w:eastAsia="en-AU"/>
        </w:rPr>
        <w:t xml:space="preserve">Category 4 </w:t>
      </w:r>
      <w:r>
        <w:rPr>
          <w:rFonts w:eastAsia="Times New Roman" w:cs="Arial"/>
          <w:lang w:val="en" w:eastAsia="en-AU"/>
        </w:rPr>
        <w:t>-</w:t>
      </w:r>
      <w:r w:rsidRPr="004D36E4">
        <w:rPr>
          <w:rFonts w:eastAsia="Times New Roman" w:cs="Arial"/>
          <w:lang w:val="en" w:eastAsia="en-AU"/>
        </w:rPr>
        <w:t xml:space="preserve"> Large</w:t>
      </w:r>
      <w:r>
        <w:rPr>
          <w:rFonts w:eastAsia="Times New Roman" w:cs="Arial"/>
          <w:lang w:val="en" w:eastAsia="en-AU"/>
        </w:rPr>
        <w:t xml:space="preserve"> </w:t>
      </w:r>
      <w:r w:rsidRPr="004D36E4">
        <w:rPr>
          <w:rFonts w:eastAsia="Times New Roman" w:cs="Arial"/>
          <w:lang w:val="en" w:eastAsia="en-AU"/>
        </w:rPr>
        <w:t xml:space="preserve">grants for </w:t>
      </w:r>
      <w:r>
        <w:rPr>
          <w:rFonts w:eastAsia="Times New Roman" w:cs="Arial"/>
          <w:lang w:val="en" w:eastAsia="en-AU"/>
        </w:rPr>
        <w:t>l</w:t>
      </w:r>
      <w:r w:rsidRPr="004D36E4">
        <w:rPr>
          <w:rFonts w:eastAsia="Times New Roman" w:cs="Arial"/>
          <w:lang w:val="en" w:eastAsia="en-AU"/>
        </w:rPr>
        <w:t xml:space="preserve">arge </w:t>
      </w:r>
      <w:r>
        <w:rPr>
          <w:rFonts w:eastAsia="Times New Roman" w:cs="Arial"/>
          <w:lang w:val="en" w:eastAsia="en-AU"/>
        </w:rPr>
        <w:t>s</w:t>
      </w:r>
      <w:r w:rsidRPr="004D36E4">
        <w:rPr>
          <w:rFonts w:eastAsia="Times New Roman" w:cs="Arial"/>
          <w:lang w:val="en" w:eastAsia="en-AU"/>
        </w:rPr>
        <w:t>hows</w:t>
      </w:r>
    </w:p>
    <w:p w14:paraId="2F3FC607" w14:textId="77777777" w:rsidR="00B276B1" w:rsidRPr="004D36E4" w:rsidRDefault="00B276B1" w:rsidP="00B276B1">
      <w:pPr>
        <w:numPr>
          <w:ilvl w:val="0"/>
          <w:numId w:val="15"/>
        </w:numPr>
        <w:shd w:val="clear" w:color="auto" w:fill="FFFFFF"/>
        <w:spacing w:before="100" w:beforeAutospacing="1" w:after="100" w:afterAutospacing="1" w:line="240" w:lineRule="auto"/>
        <w:textAlignment w:val="top"/>
        <w:rPr>
          <w:rFonts w:eastAsia="Times New Roman" w:cs="Arial"/>
          <w:lang w:val="en" w:eastAsia="en-AU"/>
        </w:rPr>
      </w:pPr>
      <w:r w:rsidRPr="004D36E4">
        <w:rPr>
          <w:rFonts w:eastAsia="Times New Roman" w:cs="Arial"/>
          <w:lang w:val="en" w:eastAsia="en-AU"/>
        </w:rPr>
        <w:t xml:space="preserve">Category 5 - State-wide </w:t>
      </w:r>
      <w:r>
        <w:rPr>
          <w:rFonts w:eastAsia="Times New Roman" w:cs="Arial"/>
          <w:lang w:val="en" w:eastAsia="en-AU"/>
        </w:rPr>
        <w:t>g</w:t>
      </w:r>
      <w:r w:rsidRPr="004D36E4">
        <w:rPr>
          <w:rFonts w:eastAsia="Times New Roman" w:cs="Arial"/>
          <w:lang w:val="en" w:eastAsia="en-AU"/>
        </w:rPr>
        <w:t>rants</w:t>
      </w:r>
    </w:p>
    <w:p w14:paraId="3C9CCAB7" w14:textId="77777777" w:rsidR="00B276B1" w:rsidRPr="00160299" w:rsidRDefault="00B276B1" w:rsidP="007E764B">
      <w:pPr>
        <w:pStyle w:val="Style2"/>
      </w:pPr>
      <w:r>
        <w:t>12a.</w:t>
      </w:r>
      <w:r w:rsidRPr="00160299">
        <w:t xml:space="preserve"> </w:t>
      </w:r>
      <w:proofErr w:type="gramStart"/>
      <w:r w:rsidRPr="00160299">
        <w:t>How</w:t>
      </w:r>
      <w:proofErr w:type="gramEnd"/>
      <w:r w:rsidRPr="00160299">
        <w:t xml:space="preserve"> does the program define large and small shows?</w:t>
      </w:r>
    </w:p>
    <w:p w14:paraId="6619B5F4" w14:textId="77777777" w:rsidR="00B276B1" w:rsidRPr="00160299" w:rsidRDefault="00B276B1" w:rsidP="00B276B1">
      <w:pPr>
        <w:pStyle w:val="BodyText"/>
        <w:ind w:left="426"/>
        <w:rPr>
          <w:szCs w:val="22"/>
        </w:rPr>
      </w:pPr>
      <w:r w:rsidRPr="00160299">
        <w:rPr>
          <w:szCs w:val="22"/>
        </w:rPr>
        <w:t>A large show is define</w:t>
      </w:r>
      <w:r>
        <w:rPr>
          <w:szCs w:val="22"/>
        </w:rPr>
        <w:t xml:space="preserve">d as </w:t>
      </w:r>
      <w:proofErr w:type="gramStart"/>
      <w:r>
        <w:rPr>
          <w:szCs w:val="22"/>
        </w:rPr>
        <w:t>one which</w:t>
      </w:r>
      <w:proofErr w:type="gramEnd"/>
      <w:r>
        <w:rPr>
          <w:szCs w:val="22"/>
        </w:rPr>
        <w:t xml:space="preserve"> collects $20,000 </w:t>
      </w:r>
      <w:r w:rsidRPr="00160299">
        <w:rPr>
          <w:szCs w:val="22"/>
        </w:rPr>
        <w:t>or more in</w:t>
      </w:r>
      <w:r>
        <w:rPr>
          <w:szCs w:val="22"/>
        </w:rPr>
        <w:t xml:space="preserve"> their annual show</w:t>
      </w:r>
      <w:r w:rsidRPr="00160299">
        <w:rPr>
          <w:szCs w:val="22"/>
        </w:rPr>
        <w:t xml:space="preserve"> gate takings. A small show is defined as </w:t>
      </w:r>
      <w:proofErr w:type="gramStart"/>
      <w:r w:rsidRPr="00160299">
        <w:rPr>
          <w:szCs w:val="22"/>
        </w:rPr>
        <w:t>one which</w:t>
      </w:r>
      <w:proofErr w:type="gramEnd"/>
      <w:r w:rsidRPr="00160299">
        <w:rPr>
          <w:szCs w:val="22"/>
        </w:rPr>
        <w:t xml:space="preserve"> collects under $20,000 in </w:t>
      </w:r>
      <w:r>
        <w:rPr>
          <w:szCs w:val="22"/>
        </w:rPr>
        <w:t xml:space="preserve">their annual show </w:t>
      </w:r>
      <w:r w:rsidRPr="00160299">
        <w:rPr>
          <w:szCs w:val="22"/>
        </w:rPr>
        <w:t>gate takings.</w:t>
      </w:r>
    </w:p>
    <w:p w14:paraId="03664BED" w14:textId="77777777" w:rsidR="00B276B1" w:rsidRPr="00160299" w:rsidRDefault="00B276B1" w:rsidP="00B276B1">
      <w:pPr>
        <w:pStyle w:val="Heading2"/>
        <w:ind w:left="426"/>
        <w:rPr>
          <w:rFonts w:eastAsia="Calibri"/>
          <w:sz w:val="22"/>
          <w:szCs w:val="22"/>
        </w:rPr>
      </w:pPr>
      <w:r>
        <w:rPr>
          <w:rFonts w:eastAsia="Calibri"/>
          <w:sz w:val="22"/>
          <w:szCs w:val="22"/>
        </w:rPr>
        <w:t xml:space="preserve">12b. </w:t>
      </w:r>
      <w:proofErr w:type="gramStart"/>
      <w:r w:rsidRPr="00160299">
        <w:rPr>
          <w:rFonts w:eastAsia="Calibri"/>
          <w:sz w:val="22"/>
          <w:szCs w:val="22"/>
        </w:rPr>
        <w:t>How</w:t>
      </w:r>
      <w:proofErr w:type="gramEnd"/>
      <w:r w:rsidRPr="00160299">
        <w:rPr>
          <w:rFonts w:eastAsia="Calibri"/>
          <w:sz w:val="22"/>
          <w:szCs w:val="22"/>
        </w:rPr>
        <w:t xml:space="preserve"> does the program define large and small grants?</w:t>
      </w:r>
    </w:p>
    <w:p w14:paraId="067B875C" w14:textId="77777777" w:rsidR="00B276B1" w:rsidRPr="00160299" w:rsidRDefault="00B276B1" w:rsidP="00B276B1">
      <w:pPr>
        <w:pStyle w:val="BodyText"/>
        <w:ind w:left="426"/>
        <w:rPr>
          <w:szCs w:val="22"/>
        </w:rPr>
      </w:pPr>
      <w:r w:rsidRPr="00160299">
        <w:rPr>
          <w:szCs w:val="22"/>
        </w:rPr>
        <w:t>A small grant is up to $124,999</w:t>
      </w:r>
      <w:r>
        <w:rPr>
          <w:szCs w:val="22"/>
        </w:rPr>
        <w:t xml:space="preserve"> </w:t>
      </w:r>
      <w:r w:rsidRPr="005F52DB">
        <w:rPr>
          <w:szCs w:val="22"/>
        </w:rPr>
        <w:t>(GST excl</w:t>
      </w:r>
      <w:r>
        <w:rPr>
          <w:szCs w:val="22"/>
        </w:rPr>
        <w:t>usive</w:t>
      </w:r>
      <w:r w:rsidRPr="005F52DB">
        <w:rPr>
          <w:szCs w:val="22"/>
        </w:rPr>
        <w:t>)</w:t>
      </w:r>
      <w:r w:rsidRPr="0035675C">
        <w:rPr>
          <w:szCs w:val="22"/>
        </w:rPr>
        <w:t xml:space="preserve"> and can be for a single project or comprised of up to four sub projects</w:t>
      </w:r>
      <w:r w:rsidRPr="003D0379">
        <w:rPr>
          <w:szCs w:val="22"/>
        </w:rPr>
        <w:t xml:space="preserve">. A large grant is between $125,000 </w:t>
      </w:r>
      <w:r w:rsidRPr="005F52DB">
        <w:rPr>
          <w:szCs w:val="22"/>
        </w:rPr>
        <w:t>(GST excl</w:t>
      </w:r>
      <w:r>
        <w:rPr>
          <w:szCs w:val="22"/>
        </w:rPr>
        <w:t>usive</w:t>
      </w:r>
      <w:r w:rsidRPr="005F52DB">
        <w:rPr>
          <w:szCs w:val="22"/>
        </w:rPr>
        <w:t>)</w:t>
      </w:r>
      <w:r w:rsidRPr="0035675C">
        <w:rPr>
          <w:szCs w:val="22"/>
        </w:rPr>
        <w:t xml:space="preserve"> and $500,000 </w:t>
      </w:r>
      <w:r w:rsidRPr="005F52DB">
        <w:rPr>
          <w:szCs w:val="22"/>
        </w:rPr>
        <w:t>(GST excl</w:t>
      </w:r>
      <w:r>
        <w:rPr>
          <w:szCs w:val="22"/>
        </w:rPr>
        <w:t>usive</w:t>
      </w:r>
      <w:r w:rsidRPr="005F52DB">
        <w:rPr>
          <w:szCs w:val="22"/>
        </w:rPr>
        <w:t>)</w:t>
      </w:r>
      <w:r w:rsidRPr="0035675C">
        <w:rPr>
          <w:szCs w:val="22"/>
        </w:rPr>
        <w:t xml:space="preserve"> and can be for a single project or comprised of up to two sub projects of at least $125,000 </w:t>
      </w:r>
      <w:r w:rsidRPr="005F52DB">
        <w:rPr>
          <w:szCs w:val="22"/>
        </w:rPr>
        <w:t>(GST excl</w:t>
      </w:r>
      <w:r>
        <w:rPr>
          <w:szCs w:val="22"/>
        </w:rPr>
        <w:t>usive</w:t>
      </w:r>
      <w:r w:rsidRPr="005F52DB">
        <w:rPr>
          <w:szCs w:val="22"/>
        </w:rPr>
        <w:t>)</w:t>
      </w:r>
      <w:r w:rsidRPr="0035675C">
        <w:rPr>
          <w:szCs w:val="22"/>
        </w:rPr>
        <w:t xml:space="preserve"> each.</w:t>
      </w:r>
    </w:p>
    <w:p w14:paraId="4C049A1B" w14:textId="77777777" w:rsidR="00B276B1" w:rsidRPr="00874C4F" w:rsidRDefault="00B276B1" w:rsidP="00B276B1">
      <w:pPr>
        <w:pStyle w:val="Heading2"/>
        <w:numPr>
          <w:ilvl w:val="0"/>
          <w:numId w:val="6"/>
        </w:numPr>
        <w:ind w:left="426" w:hanging="426"/>
        <w:rPr>
          <w:rFonts w:eastAsia="Calibri"/>
          <w:sz w:val="22"/>
          <w:szCs w:val="22"/>
        </w:rPr>
      </w:pPr>
      <w:r w:rsidRPr="00874C4F">
        <w:rPr>
          <w:rFonts w:eastAsia="Calibri"/>
          <w:sz w:val="22"/>
          <w:szCs w:val="22"/>
        </w:rPr>
        <w:lastRenderedPageBreak/>
        <w:t>Can I apply for more than one grant under this program?</w:t>
      </w:r>
    </w:p>
    <w:p w14:paraId="6798D4CC" w14:textId="77777777" w:rsidR="00B276B1" w:rsidRDefault="00B276B1" w:rsidP="00B276B1">
      <w:pPr>
        <w:pStyle w:val="BodyText"/>
        <w:ind w:left="426"/>
        <w:rPr>
          <w:szCs w:val="22"/>
        </w:rPr>
      </w:pPr>
      <w:r w:rsidRPr="00874C4F">
        <w:rPr>
          <w:szCs w:val="22"/>
        </w:rPr>
        <w:t xml:space="preserve">Yes, </w:t>
      </w:r>
      <w:r>
        <w:rPr>
          <w:szCs w:val="22"/>
        </w:rPr>
        <w:t>you</w:t>
      </w:r>
      <w:r w:rsidRPr="00874C4F">
        <w:rPr>
          <w:szCs w:val="22"/>
        </w:rPr>
        <w:t xml:space="preserve"> can apply for </w:t>
      </w:r>
      <w:r>
        <w:rPr>
          <w:szCs w:val="22"/>
        </w:rPr>
        <w:t xml:space="preserve">one grant under each funding stream that you qualify for; </w:t>
      </w:r>
      <w:r w:rsidRPr="00874C4F">
        <w:rPr>
          <w:szCs w:val="22"/>
        </w:rPr>
        <w:t xml:space="preserve">one small grant, one large grant, and one grant as a consortium (three </w:t>
      </w:r>
      <w:r>
        <w:rPr>
          <w:szCs w:val="22"/>
        </w:rPr>
        <w:t>grants</w:t>
      </w:r>
      <w:r w:rsidRPr="00874C4F">
        <w:rPr>
          <w:szCs w:val="22"/>
        </w:rPr>
        <w:t xml:space="preserve"> in total).</w:t>
      </w:r>
      <w:r>
        <w:rPr>
          <w:szCs w:val="22"/>
        </w:rPr>
        <w:t xml:space="preserve"> A separate application form will need to </w:t>
      </w:r>
      <w:proofErr w:type="gramStart"/>
      <w:r>
        <w:rPr>
          <w:szCs w:val="22"/>
        </w:rPr>
        <w:t>be completed</w:t>
      </w:r>
      <w:proofErr w:type="gramEnd"/>
      <w:r>
        <w:rPr>
          <w:szCs w:val="22"/>
        </w:rPr>
        <w:t xml:space="preserve"> for each grant. Each application can comprise more than one subproject. </w:t>
      </w:r>
    </w:p>
    <w:p w14:paraId="6D2891E3" w14:textId="77777777" w:rsidR="00B276B1" w:rsidRPr="00874C4F" w:rsidRDefault="00B276B1" w:rsidP="00B276B1">
      <w:pPr>
        <w:pStyle w:val="BodyText"/>
        <w:ind w:left="426"/>
        <w:rPr>
          <w:szCs w:val="22"/>
        </w:rPr>
      </w:pPr>
      <w:r w:rsidRPr="006E27F0">
        <w:rPr>
          <w:szCs w:val="22"/>
        </w:rPr>
        <w:t xml:space="preserve">If more than one application is submitted under the same </w:t>
      </w:r>
      <w:proofErr w:type="gramStart"/>
      <w:r w:rsidRPr="006E27F0">
        <w:rPr>
          <w:szCs w:val="22"/>
        </w:rPr>
        <w:t>stream</w:t>
      </w:r>
      <w:proofErr w:type="gramEnd"/>
      <w:r w:rsidRPr="006E27F0">
        <w:rPr>
          <w:szCs w:val="22"/>
        </w:rPr>
        <w:t xml:space="preserve"> the latest accepted application will progress.</w:t>
      </w:r>
    </w:p>
    <w:p w14:paraId="4871B45D" w14:textId="77777777" w:rsidR="00B276B1" w:rsidRDefault="00B276B1" w:rsidP="00B276B1">
      <w:pPr>
        <w:pStyle w:val="Heading2"/>
        <w:ind w:left="426"/>
        <w:rPr>
          <w:sz w:val="22"/>
          <w:szCs w:val="22"/>
        </w:rPr>
      </w:pPr>
      <w:r>
        <w:rPr>
          <w:sz w:val="22"/>
          <w:szCs w:val="22"/>
        </w:rPr>
        <w:t>13</w:t>
      </w:r>
      <w:r w:rsidRPr="002203D2">
        <w:rPr>
          <w:sz w:val="22"/>
          <w:szCs w:val="22"/>
        </w:rPr>
        <w:t>a. If I put in more than one</w:t>
      </w:r>
      <w:r>
        <w:rPr>
          <w:sz w:val="22"/>
          <w:szCs w:val="22"/>
        </w:rPr>
        <w:t xml:space="preserve"> application, or include more than one sub project in my application, </w:t>
      </w:r>
      <w:proofErr w:type="gramStart"/>
      <w:r>
        <w:rPr>
          <w:sz w:val="22"/>
          <w:szCs w:val="22"/>
        </w:rPr>
        <w:t>will they all be funded</w:t>
      </w:r>
      <w:proofErr w:type="gramEnd"/>
      <w:r>
        <w:rPr>
          <w:sz w:val="22"/>
          <w:szCs w:val="22"/>
        </w:rPr>
        <w:t>?</w:t>
      </w:r>
    </w:p>
    <w:p w14:paraId="4D213A36" w14:textId="77777777" w:rsidR="00B276B1" w:rsidRPr="006D2A14" w:rsidRDefault="00B276B1" w:rsidP="00B276B1">
      <w:pPr>
        <w:ind w:left="426"/>
      </w:pPr>
      <w:r>
        <w:t>This will be at the discretion of the Selection Advisory Panel. They may recommend all or some of the applications and/or sub projects for funding.</w:t>
      </w:r>
    </w:p>
    <w:p w14:paraId="0EC30F13" w14:textId="77777777" w:rsidR="00B276B1" w:rsidRPr="00874C4F" w:rsidRDefault="00B276B1" w:rsidP="00B276B1">
      <w:pPr>
        <w:pStyle w:val="Heading2"/>
        <w:ind w:left="426"/>
        <w:rPr>
          <w:rFonts w:eastAsia="Calibri" w:cstheme="majorHAnsi"/>
          <w:sz w:val="22"/>
          <w:szCs w:val="22"/>
        </w:rPr>
      </w:pPr>
      <w:r>
        <w:rPr>
          <w:sz w:val="22"/>
          <w:szCs w:val="22"/>
        </w:rPr>
        <w:t>13</w:t>
      </w:r>
      <w:r w:rsidRPr="002203D2">
        <w:rPr>
          <w:sz w:val="22"/>
          <w:szCs w:val="22"/>
        </w:rPr>
        <w:t xml:space="preserve">b. </w:t>
      </w:r>
      <w:proofErr w:type="gramStart"/>
      <w:r w:rsidRPr="002203D2">
        <w:rPr>
          <w:rFonts w:eastAsia="Calibri" w:cstheme="majorHAnsi"/>
          <w:sz w:val="22"/>
          <w:szCs w:val="22"/>
        </w:rPr>
        <w:t>If</w:t>
      </w:r>
      <w:proofErr w:type="gramEnd"/>
      <w:r w:rsidRPr="002203D2">
        <w:rPr>
          <w:rFonts w:eastAsia="Calibri" w:cstheme="majorHAnsi"/>
          <w:sz w:val="22"/>
          <w:szCs w:val="22"/>
        </w:rPr>
        <w:t xml:space="preserve"> I put in more than one application, is there a requirement to prioritise the applications</w:t>
      </w:r>
      <w:r w:rsidRPr="00874C4F">
        <w:rPr>
          <w:rFonts w:eastAsia="Calibri" w:cstheme="majorHAnsi"/>
          <w:sz w:val="22"/>
          <w:szCs w:val="22"/>
        </w:rPr>
        <w:t>?</w:t>
      </w:r>
    </w:p>
    <w:p w14:paraId="6C25FD21" w14:textId="77777777" w:rsidR="00B276B1" w:rsidRPr="00874C4F" w:rsidRDefault="00B276B1" w:rsidP="00B276B1">
      <w:pPr>
        <w:ind w:left="426"/>
        <w:rPr>
          <w:rFonts w:asciiTheme="majorHAnsi" w:hAnsiTheme="majorHAnsi" w:cstheme="majorHAnsi"/>
          <w:lang w:eastAsia="ja-JP"/>
        </w:rPr>
      </w:pPr>
      <w:r w:rsidRPr="00874C4F">
        <w:rPr>
          <w:rFonts w:asciiTheme="majorHAnsi" w:hAnsiTheme="majorHAnsi" w:cstheme="majorHAnsi"/>
          <w:lang w:eastAsia="ja-JP"/>
        </w:rPr>
        <w:t xml:space="preserve">You may submit one application for a small grant and one application for a large grant but there is no need to provide your perspective on the relative priority of your applications. Each project </w:t>
      </w:r>
      <w:proofErr w:type="gramStart"/>
      <w:r w:rsidRPr="00874C4F">
        <w:rPr>
          <w:rFonts w:asciiTheme="majorHAnsi" w:hAnsiTheme="majorHAnsi" w:cstheme="majorHAnsi"/>
          <w:lang w:eastAsia="ja-JP"/>
        </w:rPr>
        <w:t>will be assessed</w:t>
      </w:r>
      <w:proofErr w:type="gramEnd"/>
      <w:r w:rsidRPr="00874C4F">
        <w:rPr>
          <w:rFonts w:asciiTheme="majorHAnsi" w:hAnsiTheme="majorHAnsi" w:cstheme="majorHAnsi"/>
          <w:lang w:eastAsia="ja-JP"/>
        </w:rPr>
        <w:t xml:space="preserve"> on its own merits against the assessment criteria and in competition with other projects. </w:t>
      </w:r>
    </w:p>
    <w:p w14:paraId="086CC1CB" w14:textId="77777777" w:rsidR="00B276B1" w:rsidRDefault="00B276B1" w:rsidP="00B276B1">
      <w:pPr>
        <w:pStyle w:val="Heading2"/>
        <w:numPr>
          <w:ilvl w:val="0"/>
          <w:numId w:val="6"/>
        </w:numPr>
        <w:ind w:left="426" w:hanging="426"/>
        <w:rPr>
          <w:rFonts w:eastAsia="Calibri"/>
          <w:sz w:val="22"/>
          <w:szCs w:val="22"/>
        </w:rPr>
      </w:pPr>
      <w:r w:rsidRPr="00160299">
        <w:rPr>
          <w:rFonts w:eastAsia="Calibri"/>
          <w:sz w:val="22"/>
          <w:szCs w:val="22"/>
        </w:rPr>
        <w:t>What is a consorti</w:t>
      </w:r>
      <w:r>
        <w:rPr>
          <w:rFonts w:eastAsia="Calibri"/>
          <w:sz w:val="22"/>
          <w:szCs w:val="22"/>
        </w:rPr>
        <w:t>um</w:t>
      </w:r>
      <w:r w:rsidRPr="00160299">
        <w:rPr>
          <w:rFonts w:eastAsia="Calibri"/>
          <w:sz w:val="22"/>
          <w:szCs w:val="22"/>
        </w:rPr>
        <w:t>?</w:t>
      </w:r>
    </w:p>
    <w:p w14:paraId="4F534450" w14:textId="77777777" w:rsidR="00B276B1" w:rsidRDefault="00B276B1" w:rsidP="00B276B1">
      <w:pPr>
        <w:pStyle w:val="BodyText"/>
        <w:ind w:left="426"/>
        <w:rPr>
          <w:szCs w:val="22"/>
        </w:rPr>
      </w:pPr>
      <w:r>
        <w:t xml:space="preserve">A consortium is when two or more regional show societies </w:t>
      </w:r>
      <w:r w:rsidRPr="006639D9">
        <w:t xml:space="preserve">and/or ASA member state peak bodies work together to develop and deliver a grant activity. One show society or </w:t>
      </w:r>
      <w:proofErr w:type="gramStart"/>
      <w:r w:rsidRPr="006639D9">
        <w:t>ASA member state peak body</w:t>
      </w:r>
      <w:proofErr w:type="gramEnd"/>
      <w:r w:rsidRPr="006639D9">
        <w:t xml:space="preserve"> must be nominated as the lead organisation in the consortium</w:t>
      </w:r>
      <w:r>
        <w:t xml:space="preserve">. </w:t>
      </w:r>
      <w:r w:rsidRPr="006639D9">
        <w:t xml:space="preserve">The lead organisation must be an eligible entity type as listed in Section 4.1 of the Grant Opportunity Guidelines. </w:t>
      </w:r>
      <w:r>
        <w:t xml:space="preserve">Only the lead organisation can submit the application and receive the Commonwealth funds. The lead organisation will be responsible for ensuring all requirements of the grant agreement </w:t>
      </w:r>
      <w:proofErr w:type="gramStart"/>
      <w:r>
        <w:t>are met</w:t>
      </w:r>
      <w:proofErr w:type="gramEnd"/>
      <w:r>
        <w:t xml:space="preserve">, including any co-contributions. </w:t>
      </w:r>
      <w:r>
        <w:rPr>
          <w:szCs w:val="22"/>
        </w:rPr>
        <w:t xml:space="preserve">The maximum grant amount sought per consortium application can be no more than $500,000 </w:t>
      </w:r>
      <w:r w:rsidRPr="0094255E">
        <w:rPr>
          <w:szCs w:val="22"/>
        </w:rPr>
        <w:t>(GST excl</w:t>
      </w:r>
      <w:r>
        <w:rPr>
          <w:szCs w:val="22"/>
        </w:rPr>
        <w:t>usive</w:t>
      </w:r>
      <w:r w:rsidRPr="0094255E">
        <w:rPr>
          <w:szCs w:val="22"/>
        </w:rPr>
        <w:t>)</w:t>
      </w:r>
      <w:r>
        <w:rPr>
          <w:szCs w:val="22"/>
        </w:rPr>
        <w:t>.</w:t>
      </w:r>
    </w:p>
    <w:p w14:paraId="48709A69" w14:textId="77777777" w:rsidR="00B276B1" w:rsidRPr="005F52DB" w:rsidRDefault="00B276B1" w:rsidP="007E764B">
      <w:pPr>
        <w:pStyle w:val="Level2"/>
      </w:pPr>
      <w:r w:rsidRPr="005F52DB">
        <w:t>14</w:t>
      </w:r>
      <w:r>
        <w:t>a</w:t>
      </w:r>
      <w:r w:rsidRPr="005F52DB">
        <w:t xml:space="preserve">. </w:t>
      </w:r>
      <w:proofErr w:type="gramStart"/>
      <w:r w:rsidRPr="005F52DB">
        <w:t>If</w:t>
      </w:r>
      <w:proofErr w:type="gramEnd"/>
      <w:r w:rsidRPr="005F52DB">
        <w:t xml:space="preserve"> I put in an application as part of a consortium, can I put in another individual application?</w:t>
      </w:r>
    </w:p>
    <w:p w14:paraId="22E096D2" w14:textId="77777777" w:rsidR="00B276B1" w:rsidRDefault="00B276B1" w:rsidP="00B276B1">
      <w:pPr>
        <w:pStyle w:val="BodyText"/>
        <w:ind w:left="426"/>
        <w:rPr>
          <w:szCs w:val="22"/>
        </w:rPr>
      </w:pPr>
      <w:r>
        <w:t>Yes. You</w:t>
      </w:r>
      <w:r w:rsidRPr="00874C4F">
        <w:rPr>
          <w:szCs w:val="22"/>
        </w:rPr>
        <w:t xml:space="preserve"> can apply for </w:t>
      </w:r>
      <w:r>
        <w:rPr>
          <w:szCs w:val="22"/>
        </w:rPr>
        <w:t xml:space="preserve">one grant under each funding stream that you qualify for; </w:t>
      </w:r>
      <w:r w:rsidRPr="00874C4F">
        <w:rPr>
          <w:szCs w:val="22"/>
        </w:rPr>
        <w:t xml:space="preserve">one small grant, one large grant, and one grant as a consortium (three </w:t>
      </w:r>
      <w:r>
        <w:rPr>
          <w:szCs w:val="22"/>
        </w:rPr>
        <w:t>grants</w:t>
      </w:r>
      <w:r w:rsidRPr="00874C4F">
        <w:rPr>
          <w:szCs w:val="22"/>
        </w:rPr>
        <w:t xml:space="preserve"> in total).</w:t>
      </w:r>
      <w:r>
        <w:rPr>
          <w:szCs w:val="22"/>
        </w:rPr>
        <w:t xml:space="preserve"> A separate application form will need to </w:t>
      </w:r>
      <w:proofErr w:type="gramStart"/>
      <w:r>
        <w:rPr>
          <w:szCs w:val="22"/>
        </w:rPr>
        <w:t>be completed</w:t>
      </w:r>
      <w:proofErr w:type="gramEnd"/>
      <w:r>
        <w:rPr>
          <w:szCs w:val="22"/>
        </w:rPr>
        <w:t xml:space="preserve"> for each grant. Each application can comprise more than one subproject.</w:t>
      </w:r>
    </w:p>
    <w:p w14:paraId="1D06C69D" w14:textId="77777777" w:rsidR="00B276B1" w:rsidRPr="005F52DB" w:rsidRDefault="00B276B1" w:rsidP="007E764B">
      <w:pPr>
        <w:pStyle w:val="Level2"/>
      </w:pPr>
      <w:r w:rsidRPr="005F52DB">
        <w:lastRenderedPageBreak/>
        <w:t xml:space="preserve">14b. </w:t>
      </w:r>
      <w:proofErr w:type="gramStart"/>
      <w:r w:rsidRPr="005F52DB">
        <w:t>Can</w:t>
      </w:r>
      <w:proofErr w:type="gramEnd"/>
      <w:r w:rsidRPr="005F52DB">
        <w:t xml:space="preserve"> state-wide organisations </w:t>
      </w:r>
      <w:r>
        <w:t>be part of</w:t>
      </w:r>
      <w:r w:rsidRPr="005F52DB">
        <w:t xml:space="preserve"> a consortium application? </w:t>
      </w:r>
    </w:p>
    <w:p w14:paraId="27FE4416" w14:textId="77777777" w:rsidR="00B276B1" w:rsidRPr="006D2A14" w:rsidRDefault="00B276B1" w:rsidP="00B276B1">
      <w:pPr>
        <w:pStyle w:val="BodyText"/>
        <w:ind w:left="426"/>
      </w:pPr>
      <w:r>
        <w:rPr>
          <w:szCs w:val="22"/>
        </w:rPr>
        <w:t xml:space="preserve">Yes. </w:t>
      </w:r>
      <w:proofErr w:type="gramStart"/>
      <w:r>
        <w:rPr>
          <w:szCs w:val="22"/>
        </w:rPr>
        <w:t>ASA member state peak bodies</w:t>
      </w:r>
      <w:proofErr w:type="gramEnd"/>
      <w:r>
        <w:rPr>
          <w:szCs w:val="22"/>
        </w:rPr>
        <w:t xml:space="preserve"> can be part of a consortium application, both with other state peak bodies, and/or with other show societies. The maximum grant amount sought per consortium application can be no more than $500,000 </w:t>
      </w:r>
      <w:r w:rsidRPr="0094255E">
        <w:rPr>
          <w:szCs w:val="22"/>
        </w:rPr>
        <w:t>(GST excl</w:t>
      </w:r>
      <w:r>
        <w:rPr>
          <w:szCs w:val="22"/>
        </w:rPr>
        <w:t>usive</w:t>
      </w:r>
      <w:r w:rsidRPr="0094255E">
        <w:rPr>
          <w:szCs w:val="22"/>
        </w:rPr>
        <w:t>)</w:t>
      </w:r>
      <w:r>
        <w:rPr>
          <w:szCs w:val="22"/>
        </w:rPr>
        <w:t>.</w:t>
      </w:r>
    </w:p>
    <w:p w14:paraId="6086CBAB" w14:textId="77777777" w:rsidR="00B276B1" w:rsidRPr="00160299" w:rsidRDefault="00B276B1" w:rsidP="00B276B1">
      <w:pPr>
        <w:pStyle w:val="Heading2"/>
        <w:numPr>
          <w:ilvl w:val="0"/>
          <w:numId w:val="6"/>
        </w:numPr>
        <w:ind w:left="426" w:hanging="426"/>
        <w:rPr>
          <w:rFonts w:eastAsia="Calibri"/>
          <w:sz w:val="22"/>
          <w:szCs w:val="22"/>
        </w:rPr>
      </w:pPr>
      <w:r w:rsidRPr="00160299">
        <w:rPr>
          <w:rFonts w:eastAsia="Calibri"/>
          <w:sz w:val="22"/>
          <w:szCs w:val="22"/>
        </w:rPr>
        <w:t>Do I need to provide a co-contribution?</w:t>
      </w:r>
    </w:p>
    <w:p w14:paraId="2E404A7F" w14:textId="77777777" w:rsidR="00B276B1" w:rsidRDefault="00B276B1" w:rsidP="00B276B1">
      <w:pPr>
        <w:ind w:left="426"/>
        <w:rPr>
          <w:rFonts w:cs="Arial"/>
        </w:rPr>
      </w:pPr>
      <w:r w:rsidRPr="00874C4F">
        <w:rPr>
          <w:rFonts w:cs="Arial"/>
        </w:rPr>
        <w:t xml:space="preserve">A co-contribution is the provision of cash or in-kind resources to the project by an applicant or other entities. All co-contributions are in addition to grant funding. </w:t>
      </w:r>
      <w:r>
        <w:rPr>
          <w:rFonts w:cs="Arial"/>
        </w:rPr>
        <w:t xml:space="preserve">Different co-contributions are required depending on the funding stream (see question 12). </w:t>
      </w:r>
      <w:r w:rsidRPr="00874C4F">
        <w:rPr>
          <w:rFonts w:cs="Arial"/>
        </w:rPr>
        <w:t xml:space="preserve">Section 3.5 of the </w:t>
      </w:r>
      <w:r>
        <w:rPr>
          <w:rFonts w:asciiTheme="minorHAnsi" w:hAnsiTheme="minorHAnsi" w:cstheme="minorHAnsi"/>
        </w:rPr>
        <w:t>Grant Opportunity G</w:t>
      </w:r>
      <w:r w:rsidRPr="00160299">
        <w:rPr>
          <w:rFonts w:asciiTheme="minorHAnsi" w:hAnsiTheme="minorHAnsi" w:cstheme="minorHAnsi"/>
        </w:rPr>
        <w:t xml:space="preserve">uidelines </w:t>
      </w:r>
      <w:r w:rsidRPr="00874C4F">
        <w:rPr>
          <w:rFonts w:cs="Arial"/>
        </w:rPr>
        <w:t>outlines the minimum co-contribution required</w:t>
      </w:r>
      <w:r>
        <w:rPr>
          <w:rFonts w:cs="Arial"/>
        </w:rPr>
        <w:t xml:space="preserve"> for each funding stream</w:t>
      </w:r>
      <w:r w:rsidRPr="00874C4F">
        <w:rPr>
          <w:rFonts w:cs="Arial"/>
        </w:rPr>
        <w:t>.</w:t>
      </w:r>
      <w:r>
        <w:rPr>
          <w:rFonts w:cs="Arial"/>
        </w:rPr>
        <w:t xml:space="preserve"> Small grants for small shows and </w:t>
      </w:r>
      <w:proofErr w:type="gramStart"/>
      <w:r>
        <w:rPr>
          <w:rFonts w:cs="Arial"/>
        </w:rPr>
        <w:t>state-wide</w:t>
      </w:r>
      <w:proofErr w:type="gramEnd"/>
      <w:r>
        <w:rPr>
          <w:rFonts w:cs="Arial"/>
        </w:rPr>
        <w:t xml:space="preserve"> grants are exempt from co-contribution requirements.</w:t>
      </w:r>
    </w:p>
    <w:p w14:paraId="7376A8C6" w14:textId="77777777" w:rsidR="00B276B1" w:rsidRDefault="00B276B1" w:rsidP="00B276B1">
      <w:pPr>
        <w:ind w:left="426"/>
        <w:rPr>
          <w:rFonts w:cs="Arial"/>
        </w:rPr>
      </w:pPr>
      <w:r>
        <w:rPr>
          <w:rFonts w:cs="Arial"/>
        </w:rPr>
        <w:t xml:space="preserve">Co-contributions can be provided by the applicant, an individual, local, </w:t>
      </w:r>
      <w:proofErr w:type="gramStart"/>
      <w:r>
        <w:rPr>
          <w:rFonts w:cs="Arial"/>
        </w:rPr>
        <w:t>state</w:t>
      </w:r>
      <w:proofErr w:type="gramEnd"/>
      <w:r>
        <w:rPr>
          <w:rFonts w:cs="Arial"/>
        </w:rPr>
        <w:t xml:space="preserve"> or territory governments, not for profit organisations or private companies.</w:t>
      </w:r>
      <w:r w:rsidR="007E764B">
        <w:rPr>
          <w:rFonts w:cs="Arial"/>
        </w:rPr>
        <w:br/>
      </w:r>
    </w:p>
    <w:p w14:paraId="2A35AE70" w14:textId="77777777" w:rsidR="00B276B1" w:rsidRPr="00874C4F" w:rsidRDefault="00B276B1" w:rsidP="007E764B">
      <w:pPr>
        <w:pStyle w:val="Level2"/>
      </w:pPr>
      <w:r w:rsidRPr="004B670F">
        <w:t>1</w:t>
      </w:r>
      <w:r>
        <w:t>5</w:t>
      </w:r>
      <w:r w:rsidRPr="004B670F">
        <w:t>a.</w:t>
      </w:r>
      <w:r>
        <w:t xml:space="preserve"> </w:t>
      </w:r>
      <w:proofErr w:type="gramStart"/>
      <w:r w:rsidRPr="00160299">
        <w:t>W</w:t>
      </w:r>
      <w:r>
        <w:t>hat</w:t>
      </w:r>
      <w:proofErr w:type="gramEnd"/>
      <w:r>
        <w:t xml:space="preserve"> does in-</w:t>
      </w:r>
      <w:r w:rsidRPr="00160299">
        <w:t>kind co-contribution mean?</w:t>
      </w:r>
    </w:p>
    <w:p w14:paraId="6871D7ED" w14:textId="77777777" w:rsidR="00B276B1" w:rsidRPr="003B048E" w:rsidRDefault="00B276B1" w:rsidP="00B276B1">
      <w:pPr>
        <w:pStyle w:val="BodyText"/>
        <w:ind w:left="426"/>
        <w:rPr>
          <w:szCs w:val="22"/>
        </w:rPr>
      </w:pPr>
      <w:r w:rsidRPr="003B048E">
        <w:rPr>
          <w:szCs w:val="22"/>
        </w:rPr>
        <w:t>In-kind co-contributions can include direct salary or wage costs for staff to manage the grant activity, including a project manager. In-kind contributions may also include materials, machinery or equipment required to undertake the project.</w:t>
      </w:r>
      <w:r w:rsidRPr="0012221B">
        <w:t xml:space="preserve"> </w:t>
      </w:r>
      <w:r w:rsidRPr="0012221B">
        <w:rPr>
          <w:szCs w:val="22"/>
        </w:rPr>
        <w:t xml:space="preserve">Volunteer labour </w:t>
      </w:r>
      <w:proofErr w:type="gramStart"/>
      <w:r w:rsidRPr="0012221B">
        <w:rPr>
          <w:szCs w:val="22"/>
        </w:rPr>
        <w:t>is not permitted</w:t>
      </w:r>
      <w:proofErr w:type="gramEnd"/>
      <w:r w:rsidRPr="0012221B">
        <w:rPr>
          <w:szCs w:val="22"/>
        </w:rPr>
        <w:t xml:space="preserve"> as a required co-contribution.</w:t>
      </w:r>
    </w:p>
    <w:p w14:paraId="727585BF" w14:textId="77777777" w:rsidR="00B276B1" w:rsidRPr="00874C4F" w:rsidRDefault="00B276B1" w:rsidP="007E764B">
      <w:pPr>
        <w:pStyle w:val="Heading2"/>
        <w:numPr>
          <w:ilvl w:val="0"/>
          <w:numId w:val="6"/>
        </w:numPr>
        <w:ind w:left="426" w:hanging="426"/>
        <w:rPr>
          <w:rFonts w:eastAsia="Calibri"/>
        </w:rPr>
      </w:pPr>
      <w:r w:rsidRPr="00874C4F">
        <w:rPr>
          <w:rFonts w:eastAsia="Calibri"/>
        </w:rPr>
        <w:t xml:space="preserve">What </w:t>
      </w:r>
      <w:proofErr w:type="gramStart"/>
      <w:r w:rsidRPr="00874C4F">
        <w:rPr>
          <w:rFonts w:eastAsia="Calibri"/>
        </w:rPr>
        <w:t xml:space="preserve">can grant </w:t>
      </w:r>
      <w:r w:rsidRPr="007E764B">
        <w:rPr>
          <w:rFonts w:eastAsia="Calibri"/>
          <w:sz w:val="22"/>
          <w:szCs w:val="22"/>
        </w:rPr>
        <w:t>funding</w:t>
      </w:r>
      <w:r w:rsidRPr="00874C4F">
        <w:rPr>
          <w:rFonts w:eastAsia="Calibri"/>
        </w:rPr>
        <w:t xml:space="preserve"> be used</w:t>
      </w:r>
      <w:proofErr w:type="gramEnd"/>
      <w:r w:rsidRPr="00874C4F">
        <w:rPr>
          <w:rFonts w:eastAsia="Calibri"/>
        </w:rPr>
        <w:t xml:space="preserve"> for?</w:t>
      </w:r>
    </w:p>
    <w:p w14:paraId="2198EABF" w14:textId="77777777" w:rsidR="00B276B1" w:rsidRPr="00874C4F" w:rsidRDefault="00B276B1" w:rsidP="00B276B1">
      <w:pPr>
        <w:pStyle w:val="BodyText"/>
        <w:ind w:left="426"/>
        <w:rPr>
          <w:szCs w:val="22"/>
        </w:rPr>
      </w:pPr>
      <w:r w:rsidRPr="00874C4F">
        <w:rPr>
          <w:szCs w:val="22"/>
        </w:rPr>
        <w:t xml:space="preserve">Grants </w:t>
      </w:r>
      <w:proofErr w:type="gramStart"/>
      <w:r w:rsidRPr="00874C4F">
        <w:rPr>
          <w:szCs w:val="22"/>
        </w:rPr>
        <w:t>can be used</w:t>
      </w:r>
      <w:proofErr w:type="gramEnd"/>
      <w:r w:rsidRPr="00874C4F">
        <w:rPr>
          <w:szCs w:val="22"/>
        </w:rPr>
        <w:t xml:space="preserve"> for activities such as:</w:t>
      </w:r>
    </w:p>
    <w:p w14:paraId="02726CB2" w14:textId="77777777" w:rsidR="00B276B1" w:rsidRPr="00874C4F" w:rsidRDefault="00B276B1" w:rsidP="00B276B1">
      <w:pPr>
        <w:pStyle w:val="BodyText"/>
        <w:numPr>
          <w:ilvl w:val="0"/>
          <w:numId w:val="13"/>
        </w:numPr>
        <w:rPr>
          <w:szCs w:val="22"/>
        </w:rPr>
      </w:pPr>
      <w:r>
        <w:rPr>
          <w:szCs w:val="22"/>
        </w:rPr>
        <w:t>r</w:t>
      </w:r>
      <w:r w:rsidRPr="00874C4F">
        <w:rPr>
          <w:szCs w:val="22"/>
        </w:rPr>
        <w:t>epairing or upgrading existing showground infrastructure</w:t>
      </w:r>
    </w:p>
    <w:p w14:paraId="7AC08AD4" w14:textId="77777777" w:rsidR="00B276B1" w:rsidRPr="00874C4F" w:rsidRDefault="00B276B1" w:rsidP="00B276B1">
      <w:pPr>
        <w:pStyle w:val="BodyText"/>
        <w:numPr>
          <w:ilvl w:val="0"/>
          <w:numId w:val="13"/>
        </w:numPr>
        <w:rPr>
          <w:szCs w:val="22"/>
        </w:rPr>
      </w:pPr>
      <w:r>
        <w:rPr>
          <w:szCs w:val="22"/>
        </w:rPr>
        <w:t>c</w:t>
      </w:r>
      <w:r w:rsidRPr="00874C4F">
        <w:rPr>
          <w:szCs w:val="22"/>
        </w:rPr>
        <w:t>onstructing new showground infrastructure</w:t>
      </w:r>
    </w:p>
    <w:p w14:paraId="479AE0A0" w14:textId="77777777" w:rsidR="00B276B1" w:rsidRDefault="00B276B1" w:rsidP="00B276B1">
      <w:pPr>
        <w:pStyle w:val="BodyText"/>
        <w:numPr>
          <w:ilvl w:val="0"/>
          <w:numId w:val="13"/>
        </w:numPr>
        <w:rPr>
          <w:szCs w:val="22"/>
        </w:rPr>
      </w:pPr>
      <w:r>
        <w:rPr>
          <w:szCs w:val="22"/>
        </w:rPr>
        <w:t>p</w:t>
      </w:r>
      <w:r w:rsidRPr="00874C4F">
        <w:rPr>
          <w:szCs w:val="22"/>
        </w:rPr>
        <w:t xml:space="preserve">urchasing </w:t>
      </w:r>
      <w:r>
        <w:rPr>
          <w:szCs w:val="22"/>
        </w:rPr>
        <w:t xml:space="preserve">or renting </w:t>
      </w:r>
      <w:r w:rsidRPr="00874C4F">
        <w:rPr>
          <w:szCs w:val="22"/>
        </w:rPr>
        <w:t xml:space="preserve">tangible infrastructure-related assets that will boost the capacity and sustainability of a regional show or a number of regional shows across </w:t>
      </w:r>
      <w:r>
        <w:rPr>
          <w:szCs w:val="22"/>
        </w:rPr>
        <w:t>a particular state or territory</w:t>
      </w:r>
    </w:p>
    <w:p w14:paraId="1BA84367" w14:textId="77777777" w:rsidR="00B276B1" w:rsidRPr="00874C4F" w:rsidRDefault="00B276B1" w:rsidP="00B276B1">
      <w:pPr>
        <w:pStyle w:val="BodyText"/>
        <w:numPr>
          <w:ilvl w:val="0"/>
          <w:numId w:val="13"/>
        </w:numPr>
        <w:rPr>
          <w:szCs w:val="22"/>
        </w:rPr>
      </w:pPr>
      <w:proofErr w:type="gramStart"/>
      <w:r>
        <w:t>purchasing</w:t>
      </w:r>
      <w:proofErr w:type="gramEnd"/>
      <w:r>
        <w:t>, renting or constructing attractions that increase the attractiveness of shows and encourage visitors.</w:t>
      </w:r>
    </w:p>
    <w:p w14:paraId="212E81C3" w14:textId="77777777" w:rsidR="00B276B1" w:rsidRDefault="00B276B1" w:rsidP="00B276B1">
      <w:pPr>
        <w:ind w:left="426"/>
      </w:pPr>
      <w:r w:rsidRPr="00874C4F">
        <w:t xml:space="preserve">The </w:t>
      </w:r>
      <w:r w:rsidRPr="0077632A">
        <w:rPr>
          <w:rFonts w:cs="Arial"/>
        </w:rPr>
        <w:t>table</w:t>
      </w:r>
      <w:r w:rsidRPr="00874C4F">
        <w:t xml:space="preserve"> at section 5.1 of the </w:t>
      </w:r>
      <w:r>
        <w:rPr>
          <w:rFonts w:asciiTheme="minorHAnsi" w:hAnsiTheme="minorHAnsi" w:cstheme="minorHAnsi"/>
        </w:rPr>
        <w:t>Grant Opportunity G</w:t>
      </w:r>
      <w:r w:rsidRPr="00160299">
        <w:rPr>
          <w:rFonts w:asciiTheme="minorHAnsi" w:hAnsiTheme="minorHAnsi" w:cstheme="minorHAnsi"/>
        </w:rPr>
        <w:t xml:space="preserve">uidelines </w:t>
      </w:r>
      <w:r w:rsidRPr="00874C4F">
        <w:t>lists</w:t>
      </w:r>
      <w:r>
        <w:t xml:space="preserve"> the</w:t>
      </w:r>
      <w:r w:rsidRPr="00874C4F">
        <w:t xml:space="preserve"> types of activities that </w:t>
      </w:r>
      <w:proofErr w:type="gramStart"/>
      <w:r w:rsidRPr="00874C4F">
        <w:t>can be funded</w:t>
      </w:r>
      <w:proofErr w:type="gramEnd"/>
      <w:r w:rsidRPr="00874C4F">
        <w:t>. This list is not exhaustive – other activities may be eligible under the broad categories in the dot points above.</w:t>
      </w:r>
    </w:p>
    <w:p w14:paraId="1034EA4A" w14:textId="77777777" w:rsidR="00B276B1" w:rsidRPr="003B048E" w:rsidRDefault="00B276B1" w:rsidP="00B276B1">
      <w:pPr>
        <w:ind w:left="426"/>
      </w:pPr>
      <w:r>
        <w:t xml:space="preserve">Grant </w:t>
      </w:r>
      <w:r w:rsidRPr="0077632A">
        <w:rPr>
          <w:rFonts w:cs="Arial"/>
        </w:rPr>
        <w:t>funding</w:t>
      </w:r>
      <w:r>
        <w:t xml:space="preserve"> </w:t>
      </w:r>
      <w:proofErr w:type="gramStart"/>
      <w:r>
        <w:t>can also be used</w:t>
      </w:r>
      <w:proofErr w:type="gramEnd"/>
      <w:r>
        <w:t xml:space="preserve"> for management and administration of the grant, employing a project manager for the project, labour and materials for construction, and purchase or rent of attractions.</w:t>
      </w:r>
      <w:r w:rsidRPr="00874C4F">
        <w:rPr>
          <w:rFonts w:eastAsia="Calibri"/>
          <w:highlight w:val="yellow"/>
        </w:rPr>
        <w:t xml:space="preserve"> </w:t>
      </w:r>
    </w:p>
    <w:p w14:paraId="590CC131" w14:textId="77777777" w:rsidR="00B276B1" w:rsidRDefault="00B276B1" w:rsidP="007E764B">
      <w:pPr>
        <w:pStyle w:val="Level2"/>
      </w:pPr>
      <w:r>
        <w:lastRenderedPageBreak/>
        <w:t>16</w:t>
      </w:r>
      <w:r w:rsidRPr="00794DAC">
        <w:t>a.</w:t>
      </w:r>
      <w:r>
        <w:t xml:space="preserve"> Can I use grant money to conduct a feasibility study for new </w:t>
      </w:r>
      <w:proofErr w:type="gramStart"/>
      <w:r>
        <w:t>infrastructure?</w:t>
      </w:r>
      <w:proofErr w:type="gramEnd"/>
    </w:p>
    <w:p w14:paraId="595C6A5D" w14:textId="77777777" w:rsidR="00B276B1" w:rsidRDefault="00B276B1" w:rsidP="00B276B1">
      <w:pPr>
        <w:ind w:left="426"/>
        <w:rPr>
          <w:rFonts w:eastAsia="Calibri"/>
        </w:rPr>
      </w:pPr>
      <w:r>
        <w:rPr>
          <w:rFonts w:eastAsia="Calibri"/>
        </w:rPr>
        <w:t xml:space="preserve">No, </w:t>
      </w:r>
      <w:r w:rsidRPr="0077632A">
        <w:rPr>
          <w:rFonts w:cs="Arial"/>
        </w:rPr>
        <w:t>grant</w:t>
      </w:r>
      <w:r>
        <w:rPr>
          <w:rFonts w:eastAsia="Calibri"/>
        </w:rPr>
        <w:t xml:space="preserve"> funding </w:t>
      </w:r>
      <w:proofErr w:type="gramStart"/>
      <w:r>
        <w:rPr>
          <w:rFonts w:eastAsia="Calibri"/>
        </w:rPr>
        <w:t>cannot be used</w:t>
      </w:r>
      <w:proofErr w:type="gramEnd"/>
      <w:r>
        <w:rPr>
          <w:rFonts w:eastAsia="Calibri"/>
        </w:rPr>
        <w:t xml:space="preserve"> for planning or conducting feasibility studies.</w:t>
      </w:r>
    </w:p>
    <w:p w14:paraId="49694B66" w14:textId="77777777" w:rsidR="00B276B1" w:rsidRPr="002869E0" w:rsidRDefault="00B276B1" w:rsidP="007E764B">
      <w:pPr>
        <w:pStyle w:val="Level2"/>
      </w:pPr>
      <w:r w:rsidRPr="002869E0">
        <w:t xml:space="preserve">16b. Can I use grant money for infrastructure that </w:t>
      </w:r>
      <w:proofErr w:type="gramStart"/>
      <w:r w:rsidRPr="002869E0">
        <w:t>is not specifically related</w:t>
      </w:r>
      <w:proofErr w:type="gramEnd"/>
      <w:r w:rsidRPr="002869E0">
        <w:t xml:space="preserve"> to agriculture?</w:t>
      </w:r>
    </w:p>
    <w:p w14:paraId="677E6B2F" w14:textId="77777777" w:rsidR="00B276B1" w:rsidRPr="00794DAC" w:rsidRDefault="00B276B1" w:rsidP="00B276B1">
      <w:pPr>
        <w:ind w:left="426"/>
        <w:rPr>
          <w:rFonts w:eastAsia="Calibri"/>
        </w:rPr>
      </w:pPr>
      <w:r w:rsidRPr="002869E0">
        <w:rPr>
          <w:rFonts w:eastAsia="Calibri"/>
        </w:rPr>
        <w:t xml:space="preserve">Yes, </w:t>
      </w:r>
      <w:r w:rsidRPr="0077632A">
        <w:rPr>
          <w:rFonts w:cs="Arial"/>
        </w:rPr>
        <w:t>grant</w:t>
      </w:r>
      <w:r w:rsidRPr="002869E0">
        <w:rPr>
          <w:rFonts w:eastAsia="Calibri"/>
        </w:rPr>
        <w:t xml:space="preserve"> funding </w:t>
      </w:r>
      <w:proofErr w:type="gramStart"/>
      <w:r w:rsidRPr="002869E0">
        <w:rPr>
          <w:rFonts w:eastAsia="Calibri"/>
        </w:rPr>
        <w:t>can be used</w:t>
      </w:r>
      <w:proofErr w:type="gramEnd"/>
      <w:r w:rsidRPr="002869E0">
        <w:rPr>
          <w:rFonts w:eastAsia="Calibri"/>
        </w:rPr>
        <w:t xml:space="preserve"> to build or repair general infrastructure, for example a display hall or seating, as long as that infrastructure</w:t>
      </w:r>
      <w:r>
        <w:rPr>
          <w:rFonts w:eastAsia="Calibri"/>
        </w:rPr>
        <w:t xml:space="preserve"> will benefit the regional agricultural show.</w:t>
      </w:r>
    </w:p>
    <w:p w14:paraId="77E2CFD3" w14:textId="77777777" w:rsidR="00B276B1" w:rsidRPr="00CD7FFC" w:rsidRDefault="00B276B1" w:rsidP="00B276B1">
      <w:pPr>
        <w:pStyle w:val="Heading2"/>
        <w:numPr>
          <w:ilvl w:val="0"/>
          <w:numId w:val="6"/>
        </w:numPr>
        <w:ind w:left="426" w:hanging="426"/>
        <w:rPr>
          <w:rFonts w:eastAsia="Calibri"/>
          <w:sz w:val="22"/>
          <w:szCs w:val="22"/>
        </w:rPr>
      </w:pPr>
      <w:r w:rsidRPr="00CD7FFC">
        <w:rPr>
          <w:rFonts w:eastAsia="Calibri"/>
          <w:sz w:val="22"/>
          <w:szCs w:val="22"/>
        </w:rPr>
        <w:t xml:space="preserve">If I buy something </w:t>
      </w:r>
      <w:proofErr w:type="gramStart"/>
      <w:r>
        <w:rPr>
          <w:rFonts w:eastAsia="Calibri"/>
          <w:sz w:val="22"/>
          <w:szCs w:val="22"/>
        </w:rPr>
        <w:t>moveable</w:t>
      </w:r>
      <w:proofErr w:type="gramEnd"/>
      <w:r>
        <w:rPr>
          <w:rFonts w:eastAsia="Calibri"/>
          <w:sz w:val="22"/>
          <w:szCs w:val="22"/>
        </w:rPr>
        <w:t xml:space="preserve"> </w:t>
      </w:r>
      <w:r w:rsidRPr="00CD7FFC">
        <w:rPr>
          <w:rFonts w:eastAsia="Calibri"/>
          <w:sz w:val="22"/>
          <w:szCs w:val="22"/>
        </w:rPr>
        <w:t>(for example a mobile sheep run) for an agricultural show, can I also use it in other locations or for other purposes?</w:t>
      </w:r>
    </w:p>
    <w:p w14:paraId="534BC51E" w14:textId="77777777" w:rsidR="00B276B1" w:rsidRDefault="00B276B1" w:rsidP="00B276B1">
      <w:pPr>
        <w:ind w:left="426"/>
      </w:pPr>
      <w:r>
        <w:t xml:space="preserve">Moveable infrastructure </w:t>
      </w:r>
      <w:proofErr w:type="gramStart"/>
      <w:r>
        <w:t>can be used</w:t>
      </w:r>
      <w:proofErr w:type="gramEnd"/>
      <w:r>
        <w:t xml:space="preserve"> in other locations, but the purpose of the item must be to </w:t>
      </w:r>
      <w:r w:rsidRPr="00CD7FFC">
        <w:t>boost the capacity and sustainability of a regional show</w:t>
      </w:r>
      <w:r>
        <w:t>,</w:t>
      </w:r>
      <w:r w:rsidRPr="00CD7FFC">
        <w:t xml:space="preserve"> or a number of shows. The applicant would need to demonstrate that the grant </w:t>
      </w:r>
      <w:proofErr w:type="gramStart"/>
      <w:r w:rsidRPr="0077632A">
        <w:rPr>
          <w:rFonts w:cs="Arial"/>
        </w:rPr>
        <w:t>funding’s</w:t>
      </w:r>
      <w:proofErr w:type="gramEnd"/>
      <w:r w:rsidRPr="00CD7FFC">
        <w:t xml:space="preserve"> primary purpose is benefiting a regional show</w:t>
      </w:r>
      <w:r>
        <w:t>, and not for other purposes</w:t>
      </w:r>
      <w:r w:rsidRPr="00CD7FFC">
        <w:t>.</w:t>
      </w:r>
    </w:p>
    <w:p w14:paraId="1CD5E64B" w14:textId="77777777" w:rsidR="00B276B1" w:rsidRPr="00794DAC" w:rsidRDefault="007E764B" w:rsidP="00B276B1">
      <w:pPr>
        <w:ind w:left="426"/>
      </w:pPr>
      <w:r>
        <w:t>Section 5.1 of t</w:t>
      </w:r>
      <w:r w:rsidR="00B276B1" w:rsidRPr="00834228">
        <w:t xml:space="preserve">he </w:t>
      </w:r>
      <w:r w:rsidR="00B276B1">
        <w:rPr>
          <w:rFonts w:asciiTheme="minorHAnsi" w:hAnsiTheme="minorHAnsi" w:cstheme="minorHAnsi"/>
        </w:rPr>
        <w:t>Grant Opportunity G</w:t>
      </w:r>
      <w:r w:rsidR="00B276B1" w:rsidRPr="00160299">
        <w:rPr>
          <w:rFonts w:asciiTheme="minorHAnsi" w:hAnsiTheme="minorHAnsi" w:cstheme="minorHAnsi"/>
        </w:rPr>
        <w:t xml:space="preserve">uidelines </w:t>
      </w:r>
      <w:r w:rsidR="00B276B1" w:rsidRPr="00834228">
        <w:t>also state</w:t>
      </w:r>
      <w:r>
        <w:t>s</w:t>
      </w:r>
      <w:r w:rsidR="00B276B1" w:rsidRPr="00834228">
        <w:t xml:space="preserve"> that any building built, extended or modified using grant funding, or any assets </w:t>
      </w:r>
      <w:r w:rsidR="00B276B1" w:rsidRPr="0077632A">
        <w:rPr>
          <w:rFonts w:cs="Arial"/>
        </w:rPr>
        <w:t>purchased</w:t>
      </w:r>
      <w:r w:rsidR="00B276B1" w:rsidRPr="00834228">
        <w:t xml:space="preserve"> using grant funding, must be used for the intended purpose for an agreed period, which will be agreed between the department and the applicant and included in the grant agreement.</w:t>
      </w:r>
    </w:p>
    <w:p w14:paraId="54F08F48" w14:textId="77777777" w:rsidR="00B276B1" w:rsidRPr="00160299" w:rsidRDefault="00B276B1" w:rsidP="00B276B1">
      <w:pPr>
        <w:pStyle w:val="Heading2"/>
        <w:numPr>
          <w:ilvl w:val="0"/>
          <w:numId w:val="6"/>
        </w:numPr>
        <w:ind w:left="426" w:hanging="426"/>
        <w:rPr>
          <w:rFonts w:eastAsia="Calibri"/>
          <w:sz w:val="22"/>
          <w:szCs w:val="22"/>
        </w:rPr>
      </w:pPr>
      <w:r w:rsidRPr="00160299">
        <w:rPr>
          <w:rFonts w:eastAsia="Calibri"/>
          <w:sz w:val="22"/>
          <w:szCs w:val="22"/>
        </w:rPr>
        <w:t xml:space="preserve">I am not a </w:t>
      </w:r>
      <w:r>
        <w:rPr>
          <w:rFonts w:eastAsia="Calibri"/>
          <w:sz w:val="22"/>
          <w:szCs w:val="22"/>
        </w:rPr>
        <w:t>show society but I own the show</w:t>
      </w:r>
      <w:r w:rsidRPr="00160299">
        <w:rPr>
          <w:rFonts w:eastAsia="Calibri"/>
          <w:sz w:val="22"/>
          <w:szCs w:val="22"/>
        </w:rPr>
        <w:t>ground, can I apply?</w:t>
      </w:r>
    </w:p>
    <w:p w14:paraId="2BB5944D" w14:textId="77777777" w:rsidR="00B276B1" w:rsidRPr="00160299" w:rsidRDefault="00B276B1" w:rsidP="00B276B1">
      <w:pPr>
        <w:ind w:left="426"/>
      </w:pPr>
      <w:r w:rsidRPr="00160299">
        <w:t xml:space="preserve">No, </w:t>
      </w:r>
      <w:r>
        <w:t xml:space="preserve">only agricultural show societies that are a member of Agricultural Shows Australia or one of its </w:t>
      </w:r>
      <w:r w:rsidRPr="0077632A">
        <w:rPr>
          <w:rFonts w:cs="Arial"/>
        </w:rPr>
        <w:t>members</w:t>
      </w:r>
      <w:r>
        <w:rPr>
          <w:rFonts w:cs="Arial"/>
        </w:rPr>
        <w:t xml:space="preserve">, or an </w:t>
      </w:r>
      <w:proofErr w:type="gramStart"/>
      <w:r>
        <w:rPr>
          <w:rFonts w:cs="Arial"/>
        </w:rPr>
        <w:t>ASA member state peak body</w:t>
      </w:r>
      <w:proofErr w:type="gramEnd"/>
      <w:r>
        <w:rPr>
          <w:rFonts w:cs="Arial"/>
        </w:rPr>
        <w:t>,</w:t>
      </w:r>
      <w:r>
        <w:t xml:space="preserve"> are eligible to apply. If you own the showground or infrastructure, you </w:t>
      </w:r>
      <w:proofErr w:type="gramStart"/>
      <w:r>
        <w:t>may be asked</w:t>
      </w:r>
      <w:proofErr w:type="gramEnd"/>
      <w:r>
        <w:t xml:space="preserve"> to </w:t>
      </w:r>
      <w:r w:rsidRPr="00160299">
        <w:t>provide</w:t>
      </w:r>
      <w:r>
        <w:t xml:space="preserve"> a letter of</w:t>
      </w:r>
      <w:r w:rsidRPr="00160299">
        <w:t xml:space="preserve"> support to applications from the show societies using your showground.</w:t>
      </w:r>
    </w:p>
    <w:p w14:paraId="70070AF6" w14:textId="77777777" w:rsidR="00B276B1" w:rsidRPr="00160299" w:rsidRDefault="00B276B1" w:rsidP="00B276B1">
      <w:pPr>
        <w:pStyle w:val="Heading2"/>
        <w:numPr>
          <w:ilvl w:val="0"/>
          <w:numId w:val="6"/>
        </w:numPr>
        <w:ind w:left="426" w:hanging="426"/>
        <w:rPr>
          <w:rFonts w:eastAsia="Calibri"/>
          <w:sz w:val="22"/>
          <w:szCs w:val="22"/>
        </w:rPr>
      </w:pPr>
      <w:r w:rsidRPr="00160299">
        <w:rPr>
          <w:rFonts w:eastAsia="Calibri"/>
          <w:sz w:val="22"/>
          <w:szCs w:val="22"/>
        </w:rPr>
        <w:t xml:space="preserve">What </w:t>
      </w:r>
      <w:proofErr w:type="gramStart"/>
      <w:r>
        <w:rPr>
          <w:rFonts w:eastAsia="Calibri"/>
          <w:sz w:val="22"/>
          <w:szCs w:val="22"/>
        </w:rPr>
        <w:t>will I be assessed</w:t>
      </w:r>
      <w:proofErr w:type="gramEnd"/>
      <w:r>
        <w:rPr>
          <w:rFonts w:eastAsia="Calibri"/>
          <w:sz w:val="22"/>
          <w:szCs w:val="22"/>
        </w:rPr>
        <w:t xml:space="preserve"> on?</w:t>
      </w:r>
    </w:p>
    <w:p w14:paraId="593C7A06" w14:textId="77777777" w:rsidR="00B276B1" w:rsidRDefault="00B276B1" w:rsidP="00B276B1">
      <w:pPr>
        <w:ind w:left="426"/>
      </w:pPr>
      <w:r>
        <w:t xml:space="preserve">You </w:t>
      </w:r>
      <w:proofErr w:type="gramStart"/>
      <w:r>
        <w:t xml:space="preserve">will be </w:t>
      </w:r>
      <w:r w:rsidRPr="0077632A">
        <w:rPr>
          <w:rFonts w:cs="Arial"/>
        </w:rPr>
        <w:t>asked</w:t>
      </w:r>
      <w:proofErr w:type="gramEnd"/>
      <w:r>
        <w:t xml:space="preserve"> to address three assessment criteria (see section 6 of the </w:t>
      </w:r>
      <w:r>
        <w:rPr>
          <w:rFonts w:asciiTheme="minorHAnsi" w:hAnsiTheme="minorHAnsi" w:cstheme="minorHAnsi"/>
        </w:rPr>
        <w:t>Grant Opportunity G</w:t>
      </w:r>
      <w:r w:rsidRPr="00160299">
        <w:rPr>
          <w:rFonts w:asciiTheme="minorHAnsi" w:hAnsiTheme="minorHAnsi" w:cstheme="minorHAnsi"/>
        </w:rPr>
        <w:t>uidelines</w:t>
      </w:r>
      <w:r>
        <w:t>) on:</w:t>
      </w:r>
    </w:p>
    <w:p w14:paraId="00221F5C" w14:textId="77777777" w:rsidR="00B276B1" w:rsidRDefault="00B276B1" w:rsidP="00B276B1">
      <w:pPr>
        <w:pStyle w:val="ListParagraph"/>
        <w:numPr>
          <w:ilvl w:val="0"/>
          <w:numId w:val="12"/>
        </w:numPr>
        <w:ind w:left="851"/>
      </w:pPr>
      <w:r>
        <w:t xml:space="preserve">the need for the </w:t>
      </w:r>
      <w:r w:rsidRPr="00BE40C3">
        <w:rPr>
          <w:rFonts w:asciiTheme="majorHAnsi" w:hAnsiTheme="majorHAnsi" w:cstheme="majorHAnsi"/>
          <w:iCs/>
        </w:rPr>
        <w:t>project</w:t>
      </w:r>
      <w:r>
        <w:t xml:space="preserve"> and benefits to the community</w:t>
      </w:r>
    </w:p>
    <w:p w14:paraId="3819C478" w14:textId="77777777" w:rsidR="00B276B1" w:rsidRDefault="00B276B1" w:rsidP="00B276B1">
      <w:pPr>
        <w:pStyle w:val="ListParagraph"/>
        <w:numPr>
          <w:ilvl w:val="0"/>
          <w:numId w:val="12"/>
        </w:numPr>
        <w:ind w:left="851"/>
      </w:pPr>
      <w:r>
        <w:t xml:space="preserve">impact on the </w:t>
      </w:r>
      <w:r w:rsidRPr="00BE40C3">
        <w:rPr>
          <w:rFonts w:asciiTheme="majorHAnsi" w:hAnsiTheme="majorHAnsi" w:cstheme="majorHAnsi"/>
          <w:iCs/>
        </w:rPr>
        <w:t>sustainability</w:t>
      </w:r>
      <w:r>
        <w:t xml:space="preserve"> of the show</w:t>
      </w:r>
    </w:p>
    <w:p w14:paraId="4F930457" w14:textId="77777777" w:rsidR="00B276B1" w:rsidRPr="000A1B06" w:rsidRDefault="00B276B1" w:rsidP="00B276B1">
      <w:pPr>
        <w:pStyle w:val="ListParagraph"/>
        <w:numPr>
          <w:ilvl w:val="0"/>
          <w:numId w:val="12"/>
        </w:numPr>
        <w:ind w:left="851"/>
      </w:pPr>
      <w:proofErr w:type="gramStart"/>
      <w:r>
        <w:t>your</w:t>
      </w:r>
      <w:proofErr w:type="gramEnd"/>
      <w:r>
        <w:t xml:space="preserve"> capacity to </w:t>
      </w:r>
      <w:r w:rsidRPr="00BE40C3">
        <w:rPr>
          <w:rFonts w:asciiTheme="majorHAnsi" w:hAnsiTheme="majorHAnsi" w:cstheme="majorHAnsi"/>
          <w:iCs/>
        </w:rPr>
        <w:t>deliver</w:t>
      </w:r>
      <w:r>
        <w:t xml:space="preserve"> the project.</w:t>
      </w:r>
    </w:p>
    <w:p w14:paraId="561A502D" w14:textId="77777777" w:rsidR="00B276B1" w:rsidRPr="00160299" w:rsidRDefault="00B276B1" w:rsidP="00B276B1">
      <w:pPr>
        <w:pStyle w:val="Heading2"/>
        <w:numPr>
          <w:ilvl w:val="0"/>
          <w:numId w:val="6"/>
        </w:numPr>
        <w:ind w:left="426" w:hanging="426"/>
        <w:rPr>
          <w:rFonts w:eastAsia="Calibri"/>
          <w:sz w:val="22"/>
          <w:szCs w:val="22"/>
        </w:rPr>
      </w:pPr>
      <w:r w:rsidRPr="00160299">
        <w:rPr>
          <w:rFonts w:eastAsia="Calibri"/>
          <w:sz w:val="22"/>
          <w:szCs w:val="22"/>
        </w:rPr>
        <w:t>What do I need to provide with my application?</w:t>
      </w:r>
    </w:p>
    <w:p w14:paraId="4A82AEA1" w14:textId="77777777" w:rsidR="00B276B1" w:rsidRPr="00160299" w:rsidRDefault="00B276B1" w:rsidP="00B276B1">
      <w:pPr>
        <w:ind w:left="426"/>
      </w:pPr>
      <w:r>
        <w:rPr>
          <w:rFonts w:cs="Arial"/>
        </w:rPr>
        <w:t>You</w:t>
      </w:r>
      <w:r w:rsidRPr="00160299">
        <w:t xml:space="preserve"> must use the templates provided to attach a budget proposal and a project </w:t>
      </w:r>
      <w:r>
        <w:t>plan</w:t>
      </w:r>
      <w:r w:rsidRPr="00160299">
        <w:t xml:space="preserve">. </w:t>
      </w:r>
      <w:r>
        <w:t xml:space="preserve">You </w:t>
      </w:r>
      <w:r w:rsidRPr="00160299">
        <w:t xml:space="preserve">must also attach </w:t>
      </w:r>
      <w:r w:rsidRPr="006639D9">
        <w:t xml:space="preserve">evidence of land/building ownership or </w:t>
      </w:r>
      <w:r w:rsidRPr="00160299">
        <w:t>a letter of support from the showground owner (where this is not the applicant).</w:t>
      </w:r>
    </w:p>
    <w:p w14:paraId="12723FFE" w14:textId="77777777" w:rsidR="00B276B1" w:rsidRDefault="00B276B1" w:rsidP="00B276B1">
      <w:pPr>
        <w:ind w:left="426"/>
      </w:pPr>
      <w:r w:rsidRPr="00160299">
        <w:lastRenderedPageBreak/>
        <w:t xml:space="preserve">The applicant needs to provide </w:t>
      </w:r>
      <w:r>
        <w:t xml:space="preserve">all other information required by the application form, including </w:t>
      </w:r>
      <w:r w:rsidRPr="00160299">
        <w:t>their ABN</w:t>
      </w:r>
      <w:r>
        <w:t xml:space="preserve">, </w:t>
      </w:r>
      <w:r w:rsidRPr="0077632A">
        <w:rPr>
          <w:rFonts w:cs="Arial"/>
        </w:rPr>
        <w:t>GST</w:t>
      </w:r>
      <w:r>
        <w:t xml:space="preserve"> registration information and details of their Australian bank account.</w:t>
      </w:r>
    </w:p>
    <w:p w14:paraId="440D9D29" w14:textId="77777777" w:rsidR="00B276B1" w:rsidRDefault="00B276B1" w:rsidP="00B276B1">
      <w:pPr>
        <w:pStyle w:val="Heading2"/>
        <w:numPr>
          <w:ilvl w:val="0"/>
          <w:numId w:val="6"/>
        </w:numPr>
        <w:ind w:left="426" w:hanging="426"/>
        <w:rPr>
          <w:rFonts w:eastAsia="Calibri"/>
          <w:sz w:val="22"/>
          <w:szCs w:val="22"/>
        </w:rPr>
      </w:pPr>
      <w:r w:rsidRPr="009A7046">
        <w:rPr>
          <w:rFonts w:eastAsia="Calibri"/>
          <w:sz w:val="22"/>
          <w:szCs w:val="22"/>
        </w:rPr>
        <w:t>Do I need to consider risks</w:t>
      </w:r>
      <w:r>
        <w:rPr>
          <w:rFonts w:eastAsia="Calibri"/>
          <w:sz w:val="22"/>
          <w:szCs w:val="22"/>
        </w:rPr>
        <w:t xml:space="preserve"> associated with my application?</w:t>
      </w:r>
    </w:p>
    <w:p w14:paraId="5952F5F9" w14:textId="77777777" w:rsidR="00B276B1" w:rsidRPr="009A7046" w:rsidRDefault="00B276B1" w:rsidP="00B276B1">
      <w:pPr>
        <w:ind w:left="426"/>
      </w:pPr>
      <w:r>
        <w:t xml:space="preserve">Yes. Risks will vary according to the complexity and size of the project and may include, for example, </w:t>
      </w:r>
      <w:r w:rsidRPr="0077632A">
        <w:rPr>
          <w:rFonts w:cs="Arial"/>
        </w:rPr>
        <w:t>health</w:t>
      </w:r>
      <w:r>
        <w:t xml:space="preserve"> and safety risks, delays to the project, or financial risks.</w:t>
      </w:r>
    </w:p>
    <w:p w14:paraId="5EB3479E" w14:textId="77777777" w:rsidR="00B276B1" w:rsidRDefault="00B276B1" w:rsidP="00B276B1">
      <w:pPr>
        <w:ind w:left="426"/>
      </w:pPr>
      <w:r>
        <w:t xml:space="preserve">You must </w:t>
      </w:r>
      <w:r w:rsidRPr="009A7046">
        <w:rPr>
          <w:rFonts w:asciiTheme="minorHAnsi" w:hAnsiTheme="minorHAnsi" w:cs="Times New Roman"/>
          <w:color w:val="000000" w:themeColor="text1"/>
        </w:rPr>
        <w:t>demonstr</w:t>
      </w:r>
      <w:r>
        <w:t>ate</w:t>
      </w:r>
      <w:r w:rsidRPr="009A7046">
        <w:rPr>
          <w:rFonts w:asciiTheme="minorHAnsi" w:hAnsiTheme="minorHAnsi" w:cs="Times New Roman"/>
          <w:color w:val="000000" w:themeColor="text1"/>
        </w:rPr>
        <w:t xml:space="preserve"> </w:t>
      </w:r>
      <w:r>
        <w:rPr>
          <w:rFonts w:asciiTheme="minorHAnsi" w:hAnsiTheme="minorHAnsi" w:cs="Times New Roman"/>
          <w:color w:val="000000" w:themeColor="text1"/>
        </w:rPr>
        <w:t xml:space="preserve">in your project plan </w:t>
      </w:r>
      <w:r w:rsidRPr="009A7046">
        <w:rPr>
          <w:rFonts w:asciiTheme="minorHAnsi" w:hAnsiTheme="minorHAnsi" w:cs="Times New Roman"/>
          <w:color w:val="000000" w:themeColor="text1"/>
        </w:rPr>
        <w:t xml:space="preserve">that </w:t>
      </w:r>
      <w:r>
        <w:t xml:space="preserve">you have identified and assessed possible </w:t>
      </w:r>
      <w:r w:rsidRPr="009A7046">
        <w:rPr>
          <w:rFonts w:asciiTheme="minorHAnsi" w:hAnsiTheme="minorHAnsi" w:cs="Times New Roman"/>
          <w:color w:val="000000" w:themeColor="text1"/>
        </w:rPr>
        <w:t xml:space="preserve">project risks </w:t>
      </w:r>
      <w:r>
        <w:t>and have</w:t>
      </w:r>
      <w:r w:rsidRPr="009A7046">
        <w:rPr>
          <w:rFonts w:asciiTheme="minorHAnsi" w:hAnsiTheme="minorHAnsi" w:cs="Times New Roman"/>
          <w:color w:val="000000" w:themeColor="text1"/>
        </w:rPr>
        <w:t xml:space="preserve"> appropriate mitigation or management strategies in place</w:t>
      </w:r>
      <w:r>
        <w:rPr>
          <w:rFonts w:asciiTheme="minorHAnsi" w:hAnsiTheme="minorHAnsi" w:cs="Times New Roman"/>
          <w:color w:val="000000" w:themeColor="text1"/>
        </w:rPr>
        <w:t>, where relevant</w:t>
      </w:r>
      <w:r>
        <w:t xml:space="preserve">. </w:t>
      </w:r>
    </w:p>
    <w:p w14:paraId="1ECF6366" w14:textId="77777777" w:rsidR="00B276B1" w:rsidRPr="00874C4F" w:rsidRDefault="00B276B1" w:rsidP="00B276B1">
      <w:pPr>
        <w:pStyle w:val="Heading2"/>
        <w:numPr>
          <w:ilvl w:val="0"/>
          <w:numId w:val="6"/>
        </w:numPr>
        <w:ind w:left="426" w:hanging="426"/>
        <w:rPr>
          <w:rFonts w:eastAsia="Calibri"/>
          <w:sz w:val="22"/>
          <w:szCs w:val="22"/>
        </w:rPr>
      </w:pPr>
      <w:r w:rsidRPr="00874C4F">
        <w:rPr>
          <w:rFonts w:eastAsia="Calibri"/>
          <w:sz w:val="22"/>
          <w:szCs w:val="22"/>
        </w:rPr>
        <w:t xml:space="preserve">How </w:t>
      </w:r>
      <w:proofErr w:type="gramStart"/>
      <w:r w:rsidRPr="00874C4F">
        <w:rPr>
          <w:rFonts w:eastAsia="Calibri"/>
          <w:sz w:val="22"/>
          <w:szCs w:val="22"/>
        </w:rPr>
        <w:t>will successful applications be selected</w:t>
      </w:r>
      <w:proofErr w:type="gramEnd"/>
      <w:r w:rsidRPr="00874C4F">
        <w:rPr>
          <w:rFonts w:eastAsia="Calibri"/>
          <w:sz w:val="22"/>
          <w:szCs w:val="22"/>
        </w:rPr>
        <w:t>?</w:t>
      </w:r>
    </w:p>
    <w:p w14:paraId="15250238" w14:textId="77777777" w:rsidR="00B276B1" w:rsidRPr="002203D2" w:rsidRDefault="00B276B1" w:rsidP="00B276B1">
      <w:pPr>
        <w:ind w:left="426"/>
      </w:pPr>
      <w:r w:rsidRPr="00874C4F">
        <w:t>A</w:t>
      </w:r>
      <w:r>
        <w:t>n independent S</w:t>
      </w:r>
      <w:r w:rsidRPr="00874C4F">
        <w:t xml:space="preserve">election Advisory Panel will provide recommendations to the decision maker, </w:t>
      </w:r>
      <w:r w:rsidRPr="0077632A">
        <w:rPr>
          <w:rFonts w:cs="Arial"/>
        </w:rPr>
        <w:t>based</w:t>
      </w:r>
      <w:r w:rsidRPr="00874C4F">
        <w:t xml:space="preserve"> on </w:t>
      </w:r>
      <w:r w:rsidRPr="0012221B">
        <w:t>how well they met the assessment criteria</w:t>
      </w:r>
      <w:r>
        <w:t xml:space="preserve"> and value for money.</w:t>
      </w:r>
    </w:p>
    <w:p w14:paraId="47D2E0BB" w14:textId="77777777" w:rsidR="00B276B1" w:rsidRPr="00874C4F" w:rsidRDefault="00B276B1" w:rsidP="00B276B1">
      <w:pPr>
        <w:pStyle w:val="Heading2"/>
        <w:numPr>
          <w:ilvl w:val="0"/>
          <w:numId w:val="6"/>
        </w:numPr>
        <w:ind w:left="426" w:hanging="426"/>
        <w:rPr>
          <w:rFonts w:eastAsia="Calibri" w:cstheme="majorHAnsi"/>
          <w:sz w:val="22"/>
          <w:szCs w:val="22"/>
        </w:rPr>
      </w:pPr>
      <w:r w:rsidRPr="00874C4F">
        <w:rPr>
          <w:rFonts w:eastAsia="Calibri" w:cstheme="majorHAnsi"/>
          <w:sz w:val="22"/>
          <w:szCs w:val="22"/>
        </w:rPr>
        <w:t xml:space="preserve">Will the decision maker approve a different grant amount to what I requested? </w:t>
      </w:r>
    </w:p>
    <w:p w14:paraId="00043D3B" w14:textId="77777777" w:rsidR="00B276B1" w:rsidRPr="00874C4F" w:rsidRDefault="00B276B1" w:rsidP="00B276B1">
      <w:pPr>
        <w:ind w:left="426"/>
        <w:rPr>
          <w:rFonts w:asciiTheme="majorHAnsi" w:hAnsiTheme="majorHAnsi" w:cstheme="majorHAnsi"/>
          <w:iCs/>
        </w:rPr>
      </w:pPr>
      <w:r w:rsidRPr="00874C4F">
        <w:rPr>
          <w:rFonts w:asciiTheme="majorHAnsi" w:hAnsiTheme="majorHAnsi" w:cstheme="majorHAnsi"/>
          <w:iCs/>
        </w:rPr>
        <w:t xml:space="preserve">It is possible that the grant amount offered to successful applicants </w:t>
      </w:r>
      <w:r>
        <w:rPr>
          <w:rFonts w:asciiTheme="majorHAnsi" w:hAnsiTheme="majorHAnsi" w:cstheme="majorHAnsi"/>
          <w:iCs/>
        </w:rPr>
        <w:t>will be</w:t>
      </w:r>
      <w:r w:rsidRPr="00874C4F">
        <w:rPr>
          <w:rFonts w:asciiTheme="majorHAnsi" w:hAnsiTheme="majorHAnsi" w:cstheme="majorHAnsi"/>
          <w:iCs/>
        </w:rPr>
        <w:t xml:space="preserve"> less than the funding requested. There is no obligation to accept an offer of grant funding. The decision maker’s decision is final in all matters, including</w:t>
      </w:r>
      <w:r>
        <w:rPr>
          <w:rFonts w:asciiTheme="majorHAnsi" w:hAnsiTheme="majorHAnsi" w:cstheme="majorHAnsi"/>
          <w:iCs/>
        </w:rPr>
        <w:t xml:space="preserve"> the:</w:t>
      </w:r>
    </w:p>
    <w:p w14:paraId="3DADA500" w14:textId="77777777" w:rsidR="00B276B1" w:rsidRPr="00874C4F" w:rsidRDefault="00B276B1" w:rsidP="00B276B1">
      <w:pPr>
        <w:pStyle w:val="ListParagraph"/>
        <w:numPr>
          <w:ilvl w:val="0"/>
          <w:numId w:val="12"/>
        </w:numPr>
        <w:ind w:left="851" w:hanging="348"/>
        <w:rPr>
          <w:rFonts w:asciiTheme="majorHAnsi" w:hAnsiTheme="majorHAnsi" w:cstheme="majorHAnsi"/>
          <w:iCs/>
        </w:rPr>
      </w:pPr>
      <w:r w:rsidRPr="00874C4F">
        <w:rPr>
          <w:rFonts w:asciiTheme="majorHAnsi" w:hAnsiTheme="majorHAnsi" w:cstheme="majorHAnsi"/>
          <w:iCs/>
        </w:rPr>
        <w:t>approval of the grant</w:t>
      </w:r>
    </w:p>
    <w:p w14:paraId="499FBD0E" w14:textId="77777777" w:rsidR="00B276B1" w:rsidRPr="00874C4F" w:rsidRDefault="00B276B1" w:rsidP="00B276B1">
      <w:pPr>
        <w:pStyle w:val="ListParagraph"/>
        <w:numPr>
          <w:ilvl w:val="0"/>
          <w:numId w:val="12"/>
        </w:numPr>
        <w:ind w:left="851" w:hanging="348"/>
        <w:rPr>
          <w:rFonts w:asciiTheme="majorHAnsi" w:hAnsiTheme="majorHAnsi" w:cstheme="majorHAnsi"/>
          <w:iCs/>
        </w:rPr>
      </w:pPr>
      <w:r w:rsidRPr="00874C4F">
        <w:rPr>
          <w:rFonts w:asciiTheme="majorHAnsi" w:hAnsiTheme="majorHAnsi" w:cstheme="majorHAnsi"/>
          <w:iCs/>
        </w:rPr>
        <w:t>grant funding amount to be awarded</w:t>
      </w:r>
    </w:p>
    <w:p w14:paraId="10249170" w14:textId="77777777" w:rsidR="00B276B1" w:rsidRPr="00874C4F" w:rsidRDefault="00B276B1" w:rsidP="00B276B1">
      <w:pPr>
        <w:pStyle w:val="ListParagraph"/>
        <w:numPr>
          <w:ilvl w:val="0"/>
          <w:numId w:val="12"/>
        </w:numPr>
        <w:ind w:left="851" w:hanging="348"/>
        <w:rPr>
          <w:rFonts w:asciiTheme="majorHAnsi" w:hAnsiTheme="majorHAnsi" w:cstheme="majorHAnsi"/>
          <w:iCs/>
        </w:rPr>
      </w:pPr>
      <w:proofErr w:type="gramStart"/>
      <w:r w:rsidRPr="00874C4F">
        <w:rPr>
          <w:rFonts w:asciiTheme="majorHAnsi" w:hAnsiTheme="majorHAnsi" w:cstheme="majorHAnsi"/>
          <w:iCs/>
        </w:rPr>
        <w:t>terms</w:t>
      </w:r>
      <w:proofErr w:type="gramEnd"/>
      <w:r w:rsidRPr="00874C4F">
        <w:rPr>
          <w:rFonts w:asciiTheme="majorHAnsi" w:hAnsiTheme="majorHAnsi" w:cstheme="majorHAnsi"/>
          <w:iCs/>
        </w:rPr>
        <w:t xml:space="preserve"> and conditions of the grant. </w:t>
      </w:r>
    </w:p>
    <w:p w14:paraId="65EC36E0" w14:textId="77777777" w:rsidR="00B276B1" w:rsidRDefault="00B276B1" w:rsidP="00B276B1">
      <w:pPr>
        <w:pStyle w:val="Heading2"/>
        <w:numPr>
          <w:ilvl w:val="0"/>
          <w:numId w:val="6"/>
        </w:numPr>
        <w:ind w:left="426" w:hanging="426"/>
        <w:rPr>
          <w:rFonts w:eastAsia="Calibri"/>
          <w:sz w:val="22"/>
          <w:szCs w:val="22"/>
        </w:rPr>
      </w:pPr>
      <w:r>
        <w:rPr>
          <w:rFonts w:eastAsia="Calibri"/>
          <w:sz w:val="22"/>
          <w:szCs w:val="22"/>
        </w:rPr>
        <w:t>If my application is not successful, can I apply elsewhere?</w:t>
      </w:r>
    </w:p>
    <w:p w14:paraId="32020A44" w14:textId="77777777" w:rsidR="00B276B1" w:rsidRPr="00A57790" w:rsidRDefault="00B276B1" w:rsidP="00B276B1">
      <w:pPr>
        <w:ind w:left="426"/>
      </w:pPr>
      <w:r>
        <w:t xml:space="preserve">There are a number of other Australian Government and state and territory grant programs available for which you may be eligible. These include the Building Better Regions Fund, the </w:t>
      </w:r>
      <w:r w:rsidRPr="00844FD2">
        <w:rPr>
          <w:rFonts w:eastAsia="Times New Roman"/>
          <w:szCs w:val="24"/>
        </w:rPr>
        <w:t>New South Wales’ Community Building Partnerships Program</w:t>
      </w:r>
      <w:r>
        <w:rPr>
          <w:rFonts w:eastAsia="Times New Roman"/>
          <w:szCs w:val="24"/>
        </w:rPr>
        <w:t xml:space="preserve">, </w:t>
      </w:r>
      <w:r w:rsidRPr="005C16F7">
        <w:rPr>
          <w:rFonts w:eastAsia="Times New Roman"/>
          <w:szCs w:val="24"/>
        </w:rPr>
        <w:t>Queensland’s Show Societies Grants Program</w:t>
      </w:r>
      <w:r>
        <w:rPr>
          <w:rFonts w:eastAsia="Times New Roman"/>
          <w:szCs w:val="24"/>
        </w:rPr>
        <w:t xml:space="preserve">, South Australia’s Grants SA, </w:t>
      </w:r>
      <w:r w:rsidRPr="00BC4F32">
        <w:rPr>
          <w:rFonts w:eastAsia="Times New Roman"/>
          <w:szCs w:val="24"/>
        </w:rPr>
        <w:t>Tasmania’s Agricultural Show Development Grants Program</w:t>
      </w:r>
      <w:r>
        <w:rPr>
          <w:rFonts w:eastAsia="Times New Roman"/>
          <w:szCs w:val="24"/>
        </w:rPr>
        <w:t>, and Victoria’s Agricultural and Pastoral Society Grants program.</w:t>
      </w:r>
    </w:p>
    <w:p w14:paraId="135092D8" w14:textId="77777777" w:rsidR="00B276B1" w:rsidRPr="0077632A" w:rsidRDefault="00B276B1" w:rsidP="00B276B1">
      <w:pPr>
        <w:pStyle w:val="Heading2"/>
        <w:numPr>
          <w:ilvl w:val="0"/>
          <w:numId w:val="6"/>
        </w:numPr>
        <w:ind w:left="426" w:hanging="426"/>
        <w:rPr>
          <w:rFonts w:asciiTheme="minorHAnsi" w:hAnsiTheme="minorHAnsi" w:cstheme="minorHAnsi"/>
          <w:b w:val="0"/>
          <w:sz w:val="22"/>
          <w:szCs w:val="22"/>
        </w:rPr>
      </w:pPr>
      <w:r w:rsidRPr="00160299">
        <w:rPr>
          <w:rFonts w:eastAsia="Calibri"/>
          <w:sz w:val="22"/>
          <w:szCs w:val="22"/>
        </w:rPr>
        <w:t>When can the project start? Is there a time limit on the project?</w:t>
      </w:r>
    </w:p>
    <w:p w14:paraId="151E2E88" w14:textId="77777777" w:rsidR="00B276B1" w:rsidRDefault="00B276B1" w:rsidP="00B276B1">
      <w:pPr>
        <w:ind w:left="426"/>
        <w:rPr>
          <w:rFonts w:asciiTheme="minorHAnsi" w:hAnsiTheme="minorHAnsi" w:cstheme="minorHAnsi"/>
          <w:b/>
        </w:rPr>
      </w:pPr>
      <w:r w:rsidRPr="00160299">
        <w:rPr>
          <w:rFonts w:asciiTheme="minorHAnsi" w:hAnsiTheme="minorHAnsi" w:cstheme="minorHAnsi"/>
        </w:rPr>
        <w:t xml:space="preserve">A </w:t>
      </w:r>
      <w:r w:rsidR="001C27A3">
        <w:rPr>
          <w:rFonts w:asciiTheme="minorHAnsi" w:hAnsiTheme="minorHAnsi" w:cstheme="minorHAnsi"/>
        </w:rPr>
        <w:t xml:space="preserve">grantee </w:t>
      </w:r>
      <w:r w:rsidRPr="00160299">
        <w:rPr>
          <w:rFonts w:asciiTheme="minorHAnsi" w:hAnsiTheme="minorHAnsi" w:cstheme="minorHAnsi"/>
        </w:rPr>
        <w:t xml:space="preserve">must not commence work on their project before a funding </w:t>
      </w:r>
      <w:r w:rsidR="007E764B">
        <w:rPr>
          <w:rFonts w:asciiTheme="minorHAnsi" w:hAnsiTheme="minorHAnsi" w:cstheme="minorHAnsi"/>
        </w:rPr>
        <w:t xml:space="preserve">agreement </w:t>
      </w:r>
      <w:proofErr w:type="gramStart"/>
      <w:r w:rsidR="007E764B">
        <w:rPr>
          <w:rFonts w:asciiTheme="minorHAnsi" w:hAnsiTheme="minorHAnsi" w:cstheme="minorHAnsi"/>
        </w:rPr>
        <w:t>is executed</w:t>
      </w:r>
      <w:proofErr w:type="gramEnd"/>
      <w:r w:rsidR="007E764B">
        <w:rPr>
          <w:rFonts w:asciiTheme="minorHAnsi" w:hAnsiTheme="minorHAnsi" w:cstheme="minorHAnsi"/>
        </w:rPr>
        <w:t xml:space="preserve"> with the d</w:t>
      </w:r>
      <w:r w:rsidRPr="00160299">
        <w:rPr>
          <w:rFonts w:asciiTheme="minorHAnsi" w:hAnsiTheme="minorHAnsi" w:cstheme="minorHAnsi"/>
        </w:rPr>
        <w:t xml:space="preserve">epartment. Payment </w:t>
      </w:r>
      <w:proofErr w:type="gramStart"/>
      <w:r w:rsidRPr="00160299">
        <w:rPr>
          <w:rFonts w:asciiTheme="minorHAnsi" w:hAnsiTheme="minorHAnsi" w:cstheme="minorHAnsi"/>
        </w:rPr>
        <w:t>will not be backdated</w:t>
      </w:r>
      <w:proofErr w:type="gramEnd"/>
      <w:r w:rsidRPr="00160299">
        <w:rPr>
          <w:rFonts w:asciiTheme="minorHAnsi" w:hAnsiTheme="minorHAnsi" w:cstheme="minorHAnsi"/>
        </w:rPr>
        <w:t xml:space="preserve"> for activities that commenced before the execution of the funding agreement, and no payments will be made unless a funding agreement has been executed. </w:t>
      </w:r>
      <w:r>
        <w:rPr>
          <w:rFonts w:asciiTheme="minorHAnsi" w:hAnsiTheme="minorHAnsi" w:cstheme="minorHAnsi"/>
        </w:rPr>
        <w:t xml:space="preserve">Final payments </w:t>
      </w:r>
      <w:proofErr w:type="gramStart"/>
      <w:r>
        <w:rPr>
          <w:rFonts w:asciiTheme="minorHAnsi" w:hAnsiTheme="minorHAnsi" w:cstheme="minorHAnsi"/>
        </w:rPr>
        <w:t>will be made</w:t>
      </w:r>
      <w:proofErr w:type="gramEnd"/>
      <w:r>
        <w:rPr>
          <w:rFonts w:asciiTheme="minorHAnsi" w:hAnsiTheme="minorHAnsi" w:cstheme="minorHAnsi"/>
        </w:rPr>
        <w:t xml:space="preserve"> by 30 June 2021 and grant activity should be complete by this time. </w:t>
      </w:r>
      <w:r w:rsidRPr="00160299">
        <w:rPr>
          <w:rFonts w:asciiTheme="minorHAnsi" w:hAnsiTheme="minorHAnsi" w:cstheme="minorHAnsi"/>
        </w:rPr>
        <w:t xml:space="preserve">Please refer to </w:t>
      </w:r>
      <w:r>
        <w:rPr>
          <w:rFonts w:asciiTheme="minorHAnsi" w:hAnsiTheme="minorHAnsi" w:cstheme="minorHAnsi"/>
        </w:rPr>
        <w:t>section</w:t>
      </w:r>
      <w:r w:rsidRPr="00160299">
        <w:rPr>
          <w:rFonts w:asciiTheme="minorHAnsi" w:hAnsiTheme="minorHAnsi" w:cstheme="minorHAnsi"/>
        </w:rPr>
        <w:t xml:space="preserve"> </w:t>
      </w:r>
      <w:r>
        <w:rPr>
          <w:rFonts w:asciiTheme="minorHAnsi" w:hAnsiTheme="minorHAnsi" w:cstheme="minorHAnsi"/>
        </w:rPr>
        <w:t>7.3</w:t>
      </w:r>
      <w:r w:rsidRPr="00160299">
        <w:rPr>
          <w:rFonts w:asciiTheme="minorHAnsi" w:hAnsiTheme="minorHAnsi" w:cstheme="minorHAnsi"/>
        </w:rPr>
        <w:t xml:space="preserve"> of the </w:t>
      </w:r>
      <w:r>
        <w:rPr>
          <w:rFonts w:asciiTheme="minorHAnsi" w:hAnsiTheme="minorHAnsi" w:cstheme="minorHAnsi"/>
        </w:rPr>
        <w:t>Grant Opportunity G</w:t>
      </w:r>
      <w:r w:rsidRPr="00160299">
        <w:rPr>
          <w:rFonts w:asciiTheme="minorHAnsi" w:hAnsiTheme="minorHAnsi" w:cstheme="minorHAnsi"/>
        </w:rPr>
        <w:t>uidelines for application process timing.</w:t>
      </w:r>
    </w:p>
    <w:p w14:paraId="41EBC483" w14:textId="77777777" w:rsidR="00B276B1" w:rsidRPr="000A1B06" w:rsidRDefault="00B276B1" w:rsidP="00B276B1">
      <w:pPr>
        <w:ind w:left="426"/>
      </w:pPr>
      <w:r w:rsidRPr="000A1B06">
        <w:rPr>
          <w:rFonts w:asciiTheme="majorHAnsi" w:eastAsia="Calibri" w:hAnsiTheme="majorHAnsi" w:cstheme="majorBidi"/>
          <w:bCs/>
        </w:rPr>
        <w:t xml:space="preserve">Building approvals do not need to be in place before you apply, but they will need to be in place before a grant agreement </w:t>
      </w:r>
      <w:proofErr w:type="gramStart"/>
      <w:r w:rsidRPr="000A1B06">
        <w:rPr>
          <w:rFonts w:asciiTheme="majorHAnsi" w:eastAsia="Calibri" w:hAnsiTheme="majorHAnsi" w:cstheme="majorBidi"/>
          <w:bCs/>
        </w:rPr>
        <w:t>can be executed</w:t>
      </w:r>
      <w:proofErr w:type="gramEnd"/>
      <w:r w:rsidRPr="000A1B06">
        <w:rPr>
          <w:rFonts w:asciiTheme="majorHAnsi" w:eastAsia="Calibri" w:hAnsiTheme="majorHAnsi" w:cstheme="majorBidi"/>
          <w:bCs/>
        </w:rPr>
        <w:t>.</w:t>
      </w:r>
    </w:p>
    <w:p w14:paraId="0CDEBCC5" w14:textId="77777777" w:rsidR="00B276B1" w:rsidRPr="00160299" w:rsidRDefault="00B276B1" w:rsidP="00B276B1">
      <w:pPr>
        <w:pStyle w:val="Heading2"/>
        <w:numPr>
          <w:ilvl w:val="0"/>
          <w:numId w:val="6"/>
        </w:numPr>
        <w:ind w:left="426" w:hanging="426"/>
        <w:rPr>
          <w:sz w:val="22"/>
          <w:szCs w:val="22"/>
        </w:rPr>
      </w:pPr>
      <w:proofErr w:type="gramStart"/>
      <w:r w:rsidRPr="00160299">
        <w:rPr>
          <w:sz w:val="22"/>
          <w:szCs w:val="22"/>
        </w:rPr>
        <w:lastRenderedPageBreak/>
        <w:t>Will all applications be funded</w:t>
      </w:r>
      <w:proofErr w:type="gramEnd"/>
      <w:r w:rsidRPr="00160299">
        <w:rPr>
          <w:sz w:val="22"/>
          <w:szCs w:val="22"/>
        </w:rPr>
        <w:t>?</w:t>
      </w:r>
    </w:p>
    <w:p w14:paraId="57FC899D" w14:textId="77777777" w:rsidR="00B276B1" w:rsidRPr="00160299" w:rsidRDefault="00B276B1" w:rsidP="00B276B1">
      <w:pPr>
        <w:ind w:left="426"/>
      </w:pPr>
      <w:r w:rsidRPr="00160299">
        <w:t xml:space="preserve">It is unlikely that all applications </w:t>
      </w:r>
      <w:proofErr w:type="gramStart"/>
      <w:r w:rsidRPr="00160299">
        <w:t>will be funded</w:t>
      </w:r>
      <w:proofErr w:type="gramEnd"/>
      <w:r w:rsidRPr="00160299">
        <w:t xml:space="preserve">. The </w:t>
      </w:r>
      <w:r>
        <w:t>funding available under the program cannot exceed $20 million (GST exclusive)</w:t>
      </w:r>
      <w:r w:rsidRPr="00160299">
        <w:t xml:space="preserve">. The </w:t>
      </w:r>
      <w:r>
        <w:t>Selection Advisory P</w:t>
      </w:r>
      <w:r w:rsidRPr="00160299">
        <w:t xml:space="preserve">anel will be looking for applications that represent good value for money, </w:t>
      </w:r>
      <w:proofErr w:type="gramStart"/>
      <w:r w:rsidRPr="00160299">
        <w:t>are spread</w:t>
      </w:r>
      <w:proofErr w:type="gramEnd"/>
      <w:r w:rsidRPr="00160299">
        <w:t xml:space="preserve"> </w:t>
      </w:r>
      <w:r>
        <w:t xml:space="preserve">geographically </w:t>
      </w:r>
      <w:r w:rsidRPr="00160299">
        <w:t>across Australia</w:t>
      </w:r>
      <w:r>
        <w:t xml:space="preserve"> and demonstrate benefit to their local agricultural show and community.</w:t>
      </w:r>
    </w:p>
    <w:p w14:paraId="0E3820C8" w14:textId="77777777" w:rsidR="00B276B1" w:rsidRPr="00576E37" w:rsidRDefault="00B276B1" w:rsidP="00B276B1">
      <w:pPr>
        <w:pStyle w:val="Heading2"/>
        <w:numPr>
          <w:ilvl w:val="0"/>
          <w:numId w:val="6"/>
        </w:numPr>
        <w:ind w:left="426" w:hanging="426"/>
        <w:rPr>
          <w:rFonts w:eastAsia="Calibri"/>
          <w:sz w:val="22"/>
          <w:szCs w:val="22"/>
        </w:rPr>
      </w:pPr>
      <w:r w:rsidRPr="00576E37">
        <w:rPr>
          <w:rFonts w:eastAsia="Calibri"/>
          <w:sz w:val="22"/>
          <w:szCs w:val="22"/>
        </w:rPr>
        <w:t xml:space="preserve">Where should I go for further information? </w:t>
      </w:r>
    </w:p>
    <w:p w14:paraId="1A4E5CD8" w14:textId="096D1707" w:rsidR="00B276B1" w:rsidRDefault="00B276B1" w:rsidP="00B276B1">
      <w:pPr>
        <w:ind w:left="426"/>
      </w:pPr>
      <w:r w:rsidRPr="00874C4F">
        <w:t xml:space="preserve">Please email your enquiries to </w:t>
      </w:r>
      <w:r w:rsidRPr="003A2B54">
        <w:rPr>
          <w:rStyle w:val="Hyperlink"/>
        </w:rPr>
        <w:t>support@communitygrants.gov.au</w:t>
      </w:r>
      <w:r w:rsidRPr="00874C4F">
        <w:rPr>
          <w:rStyle w:val="Hyperlink"/>
          <w:u w:val="none"/>
        </w:rPr>
        <w:t xml:space="preserve"> </w:t>
      </w:r>
      <w:r w:rsidRPr="00874C4F">
        <w:t>or call 1800 020 283</w:t>
      </w:r>
      <w:r>
        <w:t xml:space="preserve"> </w:t>
      </w:r>
      <w:r>
        <w:br/>
        <w:t>(Option 1)</w:t>
      </w:r>
      <w:r w:rsidRPr="00874C4F">
        <w:t>.</w:t>
      </w:r>
    </w:p>
    <w:p w14:paraId="4B4C892F" w14:textId="77777777" w:rsidR="000F359D" w:rsidRPr="000F359D" w:rsidRDefault="000F359D" w:rsidP="000F359D">
      <w:pPr>
        <w:rPr>
          <w:b/>
          <w:sz w:val="24"/>
          <w:szCs w:val="24"/>
          <w:u w:val="single"/>
        </w:rPr>
      </w:pPr>
      <w:r w:rsidRPr="000F359D">
        <w:rPr>
          <w:b/>
          <w:sz w:val="24"/>
          <w:szCs w:val="24"/>
          <w:u w:val="single"/>
        </w:rPr>
        <w:t>Question</w:t>
      </w:r>
      <w:r w:rsidR="000075CD">
        <w:rPr>
          <w:b/>
          <w:sz w:val="24"/>
          <w:szCs w:val="24"/>
          <w:u w:val="single"/>
        </w:rPr>
        <w:t xml:space="preserve">s 28-29 </w:t>
      </w:r>
      <w:r w:rsidRPr="000F359D">
        <w:rPr>
          <w:b/>
          <w:sz w:val="24"/>
          <w:szCs w:val="24"/>
          <w:u w:val="single"/>
        </w:rPr>
        <w:t>added 15 October 2019</w:t>
      </w:r>
    </w:p>
    <w:p w14:paraId="5237AB30" w14:textId="77777777" w:rsidR="000F359D" w:rsidRPr="000075CD" w:rsidRDefault="000F359D" w:rsidP="000075CD">
      <w:pPr>
        <w:pStyle w:val="Heading2"/>
        <w:numPr>
          <w:ilvl w:val="0"/>
          <w:numId w:val="6"/>
        </w:numPr>
        <w:ind w:left="426" w:hanging="426"/>
        <w:rPr>
          <w:rFonts w:eastAsia="Calibri"/>
          <w:sz w:val="22"/>
          <w:szCs w:val="22"/>
        </w:rPr>
      </w:pPr>
      <w:proofErr w:type="gramStart"/>
      <w:r w:rsidRPr="000075CD">
        <w:rPr>
          <w:rFonts w:eastAsia="Calibri"/>
          <w:sz w:val="22"/>
          <w:szCs w:val="22"/>
        </w:rPr>
        <w:t>Must</w:t>
      </w:r>
      <w:r w:rsidRPr="000F559C">
        <w:t xml:space="preserve"> my organisation be registered</w:t>
      </w:r>
      <w:proofErr w:type="gramEnd"/>
      <w:r w:rsidRPr="000F559C">
        <w:t xml:space="preserve"> for the purposes of GST to apply for and </w:t>
      </w:r>
      <w:r w:rsidRPr="000075CD">
        <w:rPr>
          <w:rFonts w:eastAsia="Calibri"/>
          <w:sz w:val="22"/>
          <w:szCs w:val="22"/>
        </w:rPr>
        <w:t>receive a grant?</w:t>
      </w:r>
    </w:p>
    <w:p w14:paraId="3CAF257B" w14:textId="77777777" w:rsidR="000F359D" w:rsidRDefault="000F359D" w:rsidP="000F359D">
      <w:pPr>
        <w:ind w:left="426"/>
      </w:pPr>
      <w:r>
        <w:t xml:space="preserve">The Grant Opportunity Guidelines state that to be eligible the applicant should have a current Australian Business Number (ABN), </w:t>
      </w:r>
      <w:proofErr w:type="gramStart"/>
      <w:r>
        <w:t>be registered</w:t>
      </w:r>
      <w:proofErr w:type="gramEnd"/>
      <w:r>
        <w:t xml:space="preserve"> for the purposes of GST, and have an account with an Australian financial institution. While organisations can apply without having these, all successful grantees </w:t>
      </w:r>
      <w:r>
        <w:rPr>
          <w:b/>
          <w:bCs/>
        </w:rPr>
        <w:t>will</w:t>
      </w:r>
      <w:r>
        <w:t xml:space="preserve"> be required to have an ABN and an account with an Australian financial institution. A successful grantee </w:t>
      </w:r>
      <w:r>
        <w:rPr>
          <w:b/>
          <w:bCs/>
        </w:rPr>
        <w:t>will not</w:t>
      </w:r>
      <w:r>
        <w:t>, however, have to be GST-registered (a note in the online application form when it was first launched indicated this would be a requirement, but has since been corrected).</w:t>
      </w:r>
    </w:p>
    <w:p w14:paraId="263DBFBE" w14:textId="77777777" w:rsidR="000F359D" w:rsidRDefault="000F359D" w:rsidP="000F359D">
      <w:pPr>
        <w:ind w:left="426"/>
      </w:pPr>
      <w:r>
        <w:t xml:space="preserve">Project budgets are prepared on a GST </w:t>
      </w:r>
      <w:r>
        <w:rPr>
          <w:u w:val="single"/>
        </w:rPr>
        <w:t>exclusive</w:t>
      </w:r>
      <w:r>
        <w:t xml:space="preserve"> basis. Grants to successful applicants that are GST-registered will include GST (i.e. the approved budget plus 10 per cent). </w:t>
      </w:r>
      <w:r>
        <w:rPr>
          <w:b/>
          <w:bCs/>
        </w:rPr>
        <w:t xml:space="preserve">Grants to successful applicants that are </w:t>
      </w:r>
      <w:r>
        <w:rPr>
          <w:b/>
          <w:bCs/>
          <w:u w:val="single"/>
        </w:rPr>
        <w:t>not</w:t>
      </w:r>
      <w:r>
        <w:rPr>
          <w:b/>
          <w:bCs/>
        </w:rPr>
        <w:t xml:space="preserve"> GST-registered will </w:t>
      </w:r>
      <w:r>
        <w:rPr>
          <w:b/>
          <w:bCs/>
          <w:u w:val="single"/>
        </w:rPr>
        <w:t>not</w:t>
      </w:r>
      <w:r>
        <w:rPr>
          <w:b/>
          <w:bCs/>
        </w:rPr>
        <w:t xml:space="preserve"> include </w:t>
      </w:r>
      <w:proofErr w:type="gramStart"/>
      <w:r>
        <w:rPr>
          <w:b/>
          <w:bCs/>
        </w:rPr>
        <w:t>GST</w:t>
      </w:r>
      <w:r>
        <w:t>,</w:t>
      </w:r>
      <w:proofErr w:type="gramEnd"/>
      <w:r>
        <w:t xml:space="preserve"> however grantees will still need to undertake the project activity as proposed including paying GST on inputs where applicable.</w:t>
      </w:r>
    </w:p>
    <w:p w14:paraId="29F1B09F" w14:textId="12486AD6" w:rsidR="000F359D" w:rsidRDefault="000F359D" w:rsidP="000F359D">
      <w:pPr>
        <w:ind w:left="426"/>
      </w:pPr>
      <w:r>
        <w:rPr>
          <w:b/>
          <w:bCs/>
        </w:rPr>
        <w:t>Applicants should obtain independent professional advice on their taxation obligations or seek assistance from the Australian Tax Office</w:t>
      </w:r>
      <w:r>
        <w:t xml:space="preserve">. Initial information relating to GST and becoming GST-registered is available on the Australian Tax Office </w:t>
      </w:r>
      <w:r w:rsidRPr="003A2B54">
        <w:rPr>
          <w:rStyle w:val="Hyperlink"/>
        </w:rPr>
        <w:t>website</w:t>
      </w:r>
      <w:r>
        <w:t>.</w:t>
      </w:r>
    </w:p>
    <w:p w14:paraId="38117A03" w14:textId="77777777" w:rsidR="000F359D" w:rsidRPr="000F559C" w:rsidRDefault="000F359D" w:rsidP="000075CD">
      <w:pPr>
        <w:pStyle w:val="Heading2"/>
        <w:numPr>
          <w:ilvl w:val="0"/>
          <w:numId w:val="6"/>
        </w:numPr>
        <w:ind w:left="426" w:hanging="426"/>
        <w:rPr>
          <w:rFonts w:ascii="Calibri" w:hAnsi="Calibri" w:cs="Calibri"/>
          <w:b w:val="0"/>
          <w:bCs w:val="0"/>
        </w:rPr>
      </w:pPr>
      <w:r w:rsidRPr="000075CD">
        <w:rPr>
          <w:rFonts w:eastAsia="Calibri"/>
          <w:sz w:val="22"/>
          <w:szCs w:val="22"/>
        </w:rPr>
        <w:t>What is</w:t>
      </w:r>
      <w:r w:rsidRPr="000F559C">
        <w:t xml:space="preserve"> the definition of ‘Agricultural Show’?</w:t>
      </w:r>
    </w:p>
    <w:p w14:paraId="11828C0D" w14:textId="77777777" w:rsidR="000F359D" w:rsidRPr="00597FF3" w:rsidRDefault="000F359D" w:rsidP="00597FF3">
      <w:pPr>
        <w:ind w:left="426"/>
      </w:pPr>
      <w:r w:rsidRPr="00597FF3">
        <w:t xml:space="preserve">‘Agricultural show’ </w:t>
      </w:r>
      <w:proofErr w:type="gramStart"/>
      <w:r w:rsidRPr="00597FF3">
        <w:t>is not defined</w:t>
      </w:r>
      <w:proofErr w:type="gramEnd"/>
      <w:r w:rsidRPr="00597FF3">
        <w:t xml:space="preserve"> for the purposes of this grants program. To be eligible, applicants must be an agricultural show society that is a member of a State/Territory agricultural show peak body or the national peak body, Agriculture Shows Australia (ASA). </w:t>
      </w:r>
    </w:p>
    <w:p w14:paraId="584382B9" w14:textId="77777777" w:rsidR="00597FF3" w:rsidRDefault="000F359D" w:rsidP="00597FF3">
      <w:pPr>
        <w:pStyle w:val="ListParagraph"/>
        <w:ind w:left="426"/>
        <w:rPr>
          <w:iCs/>
        </w:rPr>
      </w:pPr>
      <w:r w:rsidRPr="00597FF3">
        <w:t>This requirement aims to provide a consistent basis for determining eligibility and fair comparison</w:t>
      </w:r>
      <w:r w:rsidRPr="000F559C">
        <w:rPr>
          <w:iCs/>
        </w:rPr>
        <w:t xml:space="preserve"> by the independent panel in its merit-based, competitive grant assessment process.</w:t>
      </w:r>
    </w:p>
    <w:p w14:paraId="30FACF4C" w14:textId="77777777" w:rsidR="00597FF3" w:rsidRDefault="00597FF3" w:rsidP="00597FF3">
      <w:pPr>
        <w:pStyle w:val="ListParagraph"/>
        <w:ind w:left="426"/>
        <w:rPr>
          <w:iCs/>
        </w:rPr>
      </w:pPr>
    </w:p>
    <w:p w14:paraId="20EF5327" w14:textId="77777777" w:rsidR="000F359D" w:rsidRPr="00597FF3" w:rsidRDefault="000F359D" w:rsidP="00597FF3">
      <w:pPr>
        <w:pStyle w:val="ListParagraph"/>
        <w:ind w:left="426"/>
        <w:rPr>
          <w:iCs/>
        </w:rPr>
      </w:pPr>
      <w:r w:rsidRPr="00597FF3">
        <w:rPr>
          <w:iCs/>
        </w:rPr>
        <w:lastRenderedPageBreak/>
        <w:t>Becoming a member of a State/Territory agricultural show peak body or ASA follows an application process that includes eligibility and governance requirements.</w:t>
      </w:r>
    </w:p>
    <w:p w14:paraId="1855D005" w14:textId="77777777" w:rsidR="003F0F30" w:rsidRDefault="003F0F30" w:rsidP="000F359D">
      <w:pPr>
        <w:pStyle w:val="ListParagraph"/>
        <w:ind w:left="426"/>
        <w:rPr>
          <w:iCs/>
        </w:rPr>
      </w:pPr>
    </w:p>
    <w:p w14:paraId="2F1A02EB" w14:textId="77777777" w:rsidR="003F0F30" w:rsidRDefault="003F0F30" w:rsidP="003F0F30">
      <w:pPr>
        <w:rPr>
          <w:b/>
          <w:sz w:val="24"/>
          <w:szCs w:val="24"/>
          <w:u w:val="single"/>
        </w:rPr>
      </w:pPr>
      <w:r w:rsidRPr="003F0F30">
        <w:rPr>
          <w:b/>
          <w:sz w:val="24"/>
          <w:szCs w:val="24"/>
          <w:u w:val="single"/>
        </w:rPr>
        <w:t>Qu</w:t>
      </w:r>
      <w:r>
        <w:rPr>
          <w:b/>
          <w:sz w:val="24"/>
          <w:szCs w:val="24"/>
          <w:u w:val="single"/>
        </w:rPr>
        <w:t>estion 30 added 17 October 2019</w:t>
      </w:r>
    </w:p>
    <w:p w14:paraId="13EEC691" w14:textId="77777777" w:rsidR="003F0F30" w:rsidRPr="003F0F30" w:rsidRDefault="003F0F30" w:rsidP="003F0F30">
      <w:pPr>
        <w:pStyle w:val="Level1"/>
      </w:pPr>
      <w:r w:rsidRPr="003F0F30">
        <w:t xml:space="preserve">As we are a show society registered for GST, I would like clarification if </w:t>
      </w:r>
      <w:r w:rsidR="006C7DBE">
        <w:t>the $20,</w:t>
      </w:r>
      <w:r>
        <w:t>000 gate receipts is GST</w:t>
      </w:r>
      <w:r w:rsidRPr="003F0F30">
        <w:t xml:space="preserve"> inclusive or </w:t>
      </w:r>
      <w:proofErr w:type="gramStart"/>
      <w:r w:rsidRPr="003F0F30">
        <w:t>exclusive</w:t>
      </w:r>
      <w:r>
        <w:t>?</w:t>
      </w:r>
      <w:proofErr w:type="gramEnd"/>
    </w:p>
    <w:p w14:paraId="4A44704F" w14:textId="77777777" w:rsidR="00B276B1" w:rsidRDefault="003F0F30" w:rsidP="00597FF3">
      <w:pPr>
        <w:pStyle w:val="ListParagraph"/>
        <w:ind w:left="426"/>
        <w:rPr>
          <w:iCs/>
        </w:rPr>
      </w:pPr>
      <w:r w:rsidRPr="003F0F30">
        <w:rPr>
          <w:rFonts w:eastAsia="Times New Roman" w:cs="Arial"/>
          <w:color w:val="000000"/>
          <w:lang w:eastAsia="en-AU"/>
        </w:rPr>
        <w:t>T</w:t>
      </w:r>
      <w:r w:rsidRPr="003F0F30">
        <w:rPr>
          <w:iCs/>
        </w:rPr>
        <w:t>he gate receipts are GST exclusive</w:t>
      </w:r>
      <w:r>
        <w:rPr>
          <w:iCs/>
        </w:rPr>
        <w:t>.</w:t>
      </w:r>
    </w:p>
    <w:p w14:paraId="3E95530D" w14:textId="77777777" w:rsidR="00770798" w:rsidRDefault="00770798" w:rsidP="00597FF3">
      <w:pPr>
        <w:pStyle w:val="ListParagraph"/>
        <w:ind w:left="426"/>
      </w:pPr>
    </w:p>
    <w:p w14:paraId="019FF716" w14:textId="77777777" w:rsidR="00770798" w:rsidRPr="00956275" w:rsidRDefault="00770798" w:rsidP="00770798">
      <w:pPr>
        <w:rPr>
          <w:b/>
          <w:sz w:val="24"/>
          <w:szCs w:val="24"/>
          <w:u w:val="single"/>
        </w:rPr>
      </w:pPr>
      <w:r w:rsidRPr="00956275">
        <w:rPr>
          <w:b/>
          <w:sz w:val="24"/>
          <w:szCs w:val="24"/>
          <w:u w:val="single"/>
        </w:rPr>
        <w:t>Question 31</w:t>
      </w:r>
      <w:r>
        <w:rPr>
          <w:b/>
          <w:sz w:val="24"/>
          <w:szCs w:val="24"/>
          <w:u w:val="single"/>
        </w:rPr>
        <w:t xml:space="preserve"> </w:t>
      </w:r>
      <w:r w:rsidRPr="00956275">
        <w:rPr>
          <w:b/>
          <w:sz w:val="24"/>
          <w:szCs w:val="24"/>
          <w:u w:val="single"/>
        </w:rPr>
        <w:t>added 23 October 2019</w:t>
      </w:r>
    </w:p>
    <w:p w14:paraId="70D6C6E7" w14:textId="77777777" w:rsidR="00770798" w:rsidRPr="00770798" w:rsidRDefault="00770798" w:rsidP="00770798">
      <w:pPr>
        <w:pStyle w:val="Level1"/>
      </w:pPr>
      <w:r w:rsidRPr="00770798">
        <w:t>In reference to</w:t>
      </w:r>
      <w:r w:rsidR="00341CA0">
        <w:t xml:space="preserve"> section 4.1 of</w:t>
      </w:r>
      <w:r w:rsidRPr="00770798">
        <w:t xml:space="preserve"> the Grant Opportunity Guidelines</w:t>
      </w:r>
      <w:r w:rsidR="00341CA0">
        <w:t>.</w:t>
      </w:r>
      <w:r w:rsidRPr="00770798">
        <w:t xml:space="preserve"> </w:t>
      </w:r>
    </w:p>
    <w:p w14:paraId="7A9989CC" w14:textId="77777777" w:rsidR="00770798" w:rsidRPr="00770798" w:rsidRDefault="00770798" w:rsidP="00770798">
      <w:pPr>
        <w:spacing w:line="240" w:lineRule="auto"/>
        <w:rPr>
          <w:rFonts w:eastAsia="Times New Roman" w:cs="Arial"/>
          <w:b/>
          <w:color w:val="000000"/>
          <w:lang w:eastAsia="en-AU"/>
        </w:rPr>
      </w:pPr>
      <w:r w:rsidRPr="00770798">
        <w:rPr>
          <w:rFonts w:eastAsia="Times New Roman" w:cs="Arial"/>
          <w:b/>
          <w:color w:val="000000"/>
          <w:lang w:eastAsia="en-AU"/>
        </w:rPr>
        <w:t xml:space="preserve">I am unclear as to what documentation is required. </w:t>
      </w:r>
      <w:proofErr w:type="gramStart"/>
      <w:r w:rsidRPr="00770798">
        <w:rPr>
          <w:rFonts w:eastAsia="Times New Roman" w:cs="Arial"/>
          <w:b/>
          <w:color w:val="000000"/>
          <w:lang w:eastAsia="en-AU"/>
        </w:rPr>
        <w:t>The showgrounds affected by the proposed project is owned freehold by ourselves</w:t>
      </w:r>
      <w:proofErr w:type="gramEnd"/>
      <w:r w:rsidRPr="00770798">
        <w:rPr>
          <w:rFonts w:eastAsia="Times New Roman" w:cs="Arial"/>
          <w:b/>
          <w:color w:val="000000"/>
          <w:lang w:eastAsia="en-AU"/>
        </w:rPr>
        <w:t xml:space="preserve">. Is the documentation required proof of ownership (in which case could you please suggest what documentation would be acceptable) or, is it our public liability and insurance of the grounds which is required? (We have </w:t>
      </w:r>
      <w:proofErr w:type="gramStart"/>
      <w:r w:rsidRPr="00770798">
        <w:rPr>
          <w:rFonts w:eastAsia="Times New Roman" w:cs="Arial"/>
          <w:b/>
          <w:color w:val="000000"/>
          <w:lang w:eastAsia="en-AU"/>
        </w:rPr>
        <w:t>2</w:t>
      </w:r>
      <w:proofErr w:type="gramEnd"/>
      <w:r w:rsidRPr="00770798">
        <w:rPr>
          <w:rFonts w:eastAsia="Times New Roman" w:cs="Arial"/>
          <w:b/>
          <w:color w:val="000000"/>
          <w:lang w:eastAsia="en-AU"/>
        </w:rPr>
        <w:t xml:space="preserve"> separate insurances over the showgrounds and the online application will only allow 1 attachment). </w:t>
      </w:r>
      <w:r w:rsidR="00341CA0">
        <w:rPr>
          <w:rFonts w:eastAsia="Times New Roman" w:cs="Arial"/>
          <w:b/>
          <w:color w:val="000000"/>
          <w:lang w:eastAsia="en-AU"/>
        </w:rPr>
        <w:br/>
      </w:r>
      <w:r w:rsidR="00341CA0">
        <w:rPr>
          <w:rFonts w:eastAsia="Times New Roman" w:cs="Arial"/>
          <w:b/>
          <w:color w:val="000000"/>
          <w:lang w:eastAsia="en-AU"/>
        </w:rPr>
        <w:br/>
      </w:r>
      <w:r w:rsidRPr="00770798">
        <w:rPr>
          <w:rFonts w:eastAsia="Times New Roman" w:cs="Arial"/>
          <w:b/>
          <w:color w:val="000000"/>
          <w:lang w:eastAsia="en-AU"/>
        </w:rPr>
        <w:t>Should I therefore just att</w:t>
      </w:r>
      <w:r w:rsidR="00341CA0">
        <w:rPr>
          <w:rFonts w:eastAsia="Times New Roman" w:cs="Arial"/>
          <w:b/>
          <w:color w:val="000000"/>
          <w:lang w:eastAsia="en-AU"/>
        </w:rPr>
        <w:t>ach our public liability policy?</w:t>
      </w:r>
    </w:p>
    <w:p w14:paraId="6F48427B" w14:textId="77777777" w:rsidR="00770798" w:rsidRDefault="00770798" w:rsidP="00770798">
      <w:pPr>
        <w:rPr>
          <w:rFonts w:cs="Arial"/>
        </w:rPr>
      </w:pPr>
      <w:r>
        <w:rPr>
          <w:rFonts w:cs="Arial"/>
        </w:rPr>
        <w:t>The required documentation is as follows:</w:t>
      </w:r>
    </w:p>
    <w:p w14:paraId="422B4DC3" w14:textId="77777777" w:rsidR="00770798" w:rsidRDefault="00770798" w:rsidP="00770798">
      <w:pPr>
        <w:pStyle w:val="ListParagraph"/>
        <w:numPr>
          <w:ilvl w:val="0"/>
          <w:numId w:val="21"/>
        </w:numPr>
        <w:spacing w:after="0" w:line="280" w:lineRule="atLeast"/>
        <w:contextualSpacing w:val="0"/>
        <w:rPr>
          <w:rFonts w:cs="Arial"/>
        </w:rPr>
      </w:pPr>
      <w:r>
        <w:rPr>
          <w:rFonts w:cs="Arial"/>
        </w:rPr>
        <w:t xml:space="preserve">A copy of the Deed/Title of the property with the applicant’s name on it (matching the </w:t>
      </w:r>
      <w:proofErr w:type="spellStart"/>
      <w:r>
        <w:rPr>
          <w:rFonts w:cs="Arial"/>
        </w:rPr>
        <w:t>AgShow</w:t>
      </w:r>
      <w:proofErr w:type="spellEnd"/>
      <w:r>
        <w:rPr>
          <w:rFonts w:cs="Arial"/>
        </w:rPr>
        <w:t xml:space="preserve"> Society/entity)</w:t>
      </w:r>
      <w:r w:rsidR="00341CA0">
        <w:rPr>
          <w:rFonts w:cs="Arial"/>
        </w:rPr>
        <w:t>.</w:t>
      </w:r>
    </w:p>
    <w:p w14:paraId="12530D08" w14:textId="77777777" w:rsidR="00770798" w:rsidRDefault="00770798" w:rsidP="00770798">
      <w:pPr>
        <w:pStyle w:val="ListParagraph"/>
        <w:numPr>
          <w:ilvl w:val="0"/>
          <w:numId w:val="21"/>
        </w:numPr>
        <w:spacing w:after="0" w:line="280" w:lineRule="atLeast"/>
        <w:contextualSpacing w:val="0"/>
        <w:rPr>
          <w:rFonts w:cs="Arial"/>
        </w:rPr>
      </w:pPr>
      <w:r>
        <w:rPr>
          <w:rFonts w:cs="Arial"/>
        </w:rPr>
        <w:t xml:space="preserve">A copy of rates notices with the applicant’s name on it (matching the </w:t>
      </w:r>
      <w:proofErr w:type="spellStart"/>
      <w:r>
        <w:rPr>
          <w:rFonts w:cs="Arial"/>
        </w:rPr>
        <w:t>AgShow</w:t>
      </w:r>
      <w:proofErr w:type="spellEnd"/>
      <w:r>
        <w:rPr>
          <w:rFonts w:cs="Arial"/>
        </w:rPr>
        <w:t xml:space="preserve"> Society/entity)</w:t>
      </w:r>
      <w:r w:rsidR="00341CA0">
        <w:rPr>
          <w:rFonts w:cs="Arial"/>
        </w:rPr>
        <w:t>.</w:t>
      </w:r>
    </w:p>
    <w:p w14:paraId="1727A18F" w14:textId="77777777" w:rsidR="00770798" w:rsidRDefault="00770798" w:rsidP="00770798">
      <w:pPr>
        <w:pStyle w:val="ListParagraph"/>
        <w:numPr>
          <w:ilvl w:val="0"/>
          <w:numId w:val="21"/>
        </w:numPr>
        <w:spacing w:after="0" w:line="280" w:lineRule="atLeast"/>
        <w:contextualSpacing w:val="0"/>
        <w:rPr>
          <w:rFonts w:cs="Arial"/>
        </w:rPr>
      </w:pPr>
      <w:proofErr w:type="gramStart"/>
      <w:r>
        <w:rPr>
          <w:rFonts w:cs="Arial"/>
        </w:rPr>
        <w:t xml:space="preserve">If the name of the Deed/Title (or rates notice) is not the </w:t>
      </w:r>
      <w:proofErr w:type="spellStart"/>
      <w:r>
        <w:rPr>
          <w:rFonts w:cs="Arial"/>
        </w:rPr>
        <w:t>AgShow</w:t>
      </w:r>
      <w:proofErr w:type="spellEnd"/>
      <w:r>
        <w:rPr>
          <w:rFonts w:cs="Arial"/>
        </w:rPr>
        <w:t xml:space="preserve"> society/entity, then there should be a letter of support from the person/entity that is the actual legal owner.</w:t>
      </w:r>
      <w:proofErr w:type="gramEnd"/>
    </w:p>
    <w:p w14:paraId="666DA085" w14:textId="77777777" w:rsidR="00770798" w:rsidRDefault="00770798" w:rsidP="00770798">
      <w:pPr>
        <w:rPr>
          <w:rFonts w:cs="Arial"/>
        </w:rPr>
      </w:pPr>
    </w:p>
    <w:p w14:paraId="16B409A7" w14:textId="77777777" w:rsidR="00770798" w:rsidRDefault="00770798" w:rsidP="00770798">
      <w:pPr>
        <w:rPr>
          <w:rFonts w:cs="Arial"/>
        </w:rPr>
      </w:pPr>
      <w:r>
        <w:rPr>
          <w:rFonts w:cs="Arial"/>
        </w:rPr>
        <w:t>Public Liability and Public Insurance will be required for any works undertaken, and does not necessarily correlate with ownership of lands.</w:t>
      </w:r>
    </w:p>
    <w:p w14:paraId="13E2FE66" w14:textId="77777777" w:rsidR="00DA3EE9" w:rsidRDefault="00DA3EE9" w:rsidP="00DA3EE9">
      <w:pPr>
        <w:rPr>
          <w:b/>
          <w:sz w:val="24"/>
          <w:szCs w:val="24"/>
          <w:u w:val="single"/>
        </w:rPr>
      </w:pPr>
      <w:r>
        <w:rPr>
          <w:b/>
          <w:sz w:val="24"/>
          <w:szCs w:val="24"/>
          <w:u w:val="single"/>
        </w:rPr>
        <w:t>Question 32 added 24 October 2019</w:t>
      </w:r>
    </w:p>
    <w:p w14:paraId="06464169" w14:textId="77777777" w:rsidR="00DA3EE9" w:rsidRDefault="00DA3EE9" w:rsidP="00DA3EE9">
      <w:pPr>
        <w:pStyle w:val="Level1"/>
        <w:ind w:left="426" w:hanging="426"/>
      </w:pPr>
      <w:r>
        <w:t>How much co-contribution must I provide?</w:t>
      </w:r>
    </w:p>
    <w:p w14:paraId="50480F04" w14:textId="77777777" w:rsidR="00DA3EE9" w:rsidRDefault="00DA3EE9" w:rsidP="00DA3EE9">
      <w:pPr>
        <w:spacing w:before="120" w:after="120"/>
      </w:pPr>
      <w:r>
        <w:t>Question 15 above and section 3.5 of the Grant Opportunity Guidelines note the requirement for successful grantees to provide co-contributions in some instances.</w:t>
      </w:r>
    </w:p>
    <w:p w14:paraId="7774FD4B" w14:textId="77777777" w:rsidR="00DA3EE9" w:rsidRDefault="00DA3EE9" w:rsidP="00DA3EE9">
      <w:pPr>
        <w:spacing w:before="120" w:after="120"/>
      </w:pPr>
      <w:r>
        <w:t xml:space="preserve">Co-contributions are required in accordance with the table presented here, which </w:t>
      </w:r>
      <w:proofErr w:type="gramStart"/>
      <w:r>
        <w:t>has been clarified</w:t>
      </w:r>
      <w:proofErr w:type="gramEnd"/>
      <w:r>
        <w:t xml:space="preserve"> in the Grant Opportunity Guidelines: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369"/>
        <w:gridCol w:w="1369"/>
        <w:gridCol w:w="1369"/>
        <w:gridCol w:w="1370"/>
      </w:tblGrid>
      <w:tr w:rsidR="00DA3EE9" w14:paraId="07752F1B" w14:textId="77777777" w:rsidTr="00DA3EE9">
        <w:tc>
          <w:tcPr>
            <w:tcW w:w="3539" w:type="dxa"/>
          </w:tcPr>
          <w:p w14:paraId="5E261537" w14:textId="77777777" w:rsidR="00DA3EE9" w:rsidRDefault="00DA3EE9">
            <w:pPr>
              <w:spacing w:before="120" w:after="120"/>
              <w:rPr>
                <w:b/>
              </w:rPr>
            </w:pPr>
          </w:p>
        </w:tc>
        <w:tc>
          <w:tcPr>
            <w:tcW w:w="2738" w:type="dxa"/>
            <w:gridSpan w:val="2"/>
            <w:hideMark/>
          </w:tcPr>
          <w:p w14:paraId="7608B944" w14:textId="77777777" w:rsidR="00DA3EE9" w:rsidRDefault="00DA3EE9">
            <w:pPr>
              <w:spacing w:before="120" w:after="120"/>
              <w:jc w:val="center"/>
              <w:rPr>
                <w:b/>
              </w:rPr>
            </w:pPr>
            <w:r>
              <w:rPr>
                <w:b/>
              </w:rPr>
              <w:t>Small grant</w:t>
            </w:r>
          </w:p>
        </w:tc>
        <w:tc>
          <w:tcPr>
            <w:tcW w:w="2739" w:type="dxa"/>
            <w:gridSpan w:val="2"/>
            <w:hideMark/>
          </w:tcPr>
          <w:p w14:paraId="47B8612F" w14:textId="77777777" w:rsidR="00DA3EE9" w:rsidRDefault="00DA3EE9">
            <w:pPr>
              <w:spacing w:before="120" w:after="120"/>
              <w:jc w:val="center"/>
              <w:rPr>
                <w:b/>
              </w:rPr>
            </w:pPr>
            <w:r>
              <w:rPr>
                <w:b/>
              </w:rPr>
              <w:t>Large grant</w:t>
            </w:r>
          </w:p>
        </w:tc>
      </w:tr>
      <w:tr w:rsidR="00DA3EE9" w14:paraId="46A79348" w14:textId="77777777" w:rsidTr="00DA3EE9">
        <w:tc>
          <w:tcPr>
            <w:tcW w:w="3539" w:type="dxa"/>
          </w:tcPr>
          <w:p w14:paraId="359CC8EB" w14:textId="77777777" w:rsidR="00DA3EE9" w:rsidRDefault="00DA3EE9">
            <w:pPr>
              <w:spacing w:before="120" w:after="120"/>
              <w:rPr>
                <w:b/>
                <w:i/>
              </w:rPr>
            </w:pPr>
          </w:p>
        </w:tc>
        <w:tc>
          <w:tcPr>
            <w:tcW w:w="1369" w:type="dxa"/>
            <w:hideMark/>
          </w:tcPr>
          <w:p w14:paraId="5AD4BC5B" w14:textId="77777777" w:rsidR="00DA3EE9" w:rsidRDefault="00DA3EE9">
            <w:pPr>
              <w:spacing w:before="120" w:after="120"/>
              <w:jc w:val="center"/>
              <w:rPr>
                <w:b/>
                <w:i/>
              </w:rPr>
            </w:pPr>
            <w:r>
              <w:rPr>
                <w:b/>
                <w:i/>
              </w:rPr>
              <w:t>Small show</w:t>
            </w:r>
          </w:p>
        </w:tc>
        <w:tc>
          <w:tcPr>
            <w:tcW w:w="1369" w:type="dxa"/>
            <w:hideMark/>
          </w:tcPr>
          <w:p w14:paraId="2E4AD8DC" w14:textId="77777777" w:rsidR="00DA3EE9" w:rsidRDefault="00DA3EE9">
            <w:pPr>
              <w:spacing w:before="120" w:after="120"/>
              <w:jc w:val="center"/>
              <w:rPr>
                <w:b/>
                <w:i/>
              </w:rPr>
            </w:pPr>
            <w:r>
              <w:rPr>
                <w:b/>
                <w:i/>
              </w:rPr>
              <w:t>Large show</w:t>
            </w:r>
          </w:p>
        </w:tc>
        <w:tc>
          <w:tcPr>
            <w:tcW w:w="1369" w:type="dxa"/>
            <w:hideMark/>
          </w:tcPr>
          <w:p w14:paraId="086E35AF" w14:textId="77777777" w:rsidR="00DA3EE9" w:rsidRDefault="00DA3EE9">
            <w:pPr>
              <w:spacing w:before="120" w:after="120"/>
              <w:jc w:val="center"/>
              <w:rPr>
                <w:b/>
                <w:i/>
              </w:rPr>
            </w:pPr>
            <w:r>
              <w:rPr>
                <w:b/>
                <w:i/>
              </w:rPr>
              <w:t>Small show</w:t>
            </w:r>
          </w:p>
        </w:tc>
        <w:tc>
          <w:tcPr>
            <w:tcW w:w="1370" w:type="dxa"/>
            <w:hideMark/>
          </w:tcPr>
          <w:p w14:paraId="070E322D" w14:textId="77777777" w:rsidR="00DA3EE9" w:rsidRDefault="00DA3EE9">
            <w:pPr>
              <w:spacing w:before="120" w:after="120"/>
              <w:jc w:val="center"/>
              <w:rPr>
                <w:b/>
                <w:i/>
              </w:rPr>
            </w:pPr>
            <w:r>
              <w:rPr>
                <w:b/>
                <w:i/>
              </w:rPr>
              <w:t>Large show</w:t>
            </w:r>
          </w:p>
        </w:tc>
      </w:tr>
      <w:tr w:rsidR="00DA3EE9" w14:paraId="0A2E1E3F" w14:textId="77777777" w:rsidTr="00DA3EE9">
        <w:tc>
          <w:tcPr>
            <w:tcW w:w="3539" w:type="dxa"/>
            <w:hideMark/>
          </w:tcPr>
          <w:p w14:paraId="25CA0E12" w14:textId="77777777" w:rsidR="00DA3EE9" w:rsidRDefault="00DA3EE9">
            <w:pPr>
              <w:spacing w:before="120" w:after="120"/>
              <w:rPr>
                <w:b/>
              </w:rPr>
            </w:pPr>
            <w:r>
              <w:rPr>
                <w:b/>
              </w:rPr>
              <w:t>Co-contribution to grant ratio</w:t>
            </w:r>
          </w:p>
        </w:tc>
        <w:tc>
          <w:tcPr>
            <w:tcW w:w="1369" w:type="dxa"/>
            <w:hideMark/>
          </w:tcPr>
          <w:p w14:paraId="538A8501" w14:textId="77777777" w:rsidR="00DA3EE9" w:rsidRDefault="00DA3EE9">
            <w:pPr>
              <w:spacing w:before="120" w:after="120"/>
              <w:jc w:val="center"/>
            </w:pPr>
            <w:r>
              <w:t>Nil</w:t>
            </w:r>
          </w:p>
        </w:tc>
        <w:tc>
          <w:tcPr>
            <w:tcW w:w="1369" w:type="dxa"/>
            <w:hideMark/>
          </w:tcPr>
          <w:p w14:paraId="041D679C" w14:textId="77777777" w:rsidR="00DA3EE9" w:rsidRDefault="00DA3EE9">
            <w:pPr>
              <w:spacing w:before="120" w:after="120"/>
              <w:jc w:val="center"/>
            </w:pPr>
            <w:r>
              <w:t>1:4</w:t>
            </w:r>
          </w:p>
        </w:tc>
        <w:tc>
          <w:tcPr>
            <w:tcW w:w="1369" w:type="dxa"/>
            <w:hideMark/>
          </w:tcPr>
          <w:p w14:paraId="771C82E4" w14:textId="77777777" w:rsidR="00DA3EE9" w:rsidRDefault="00DA3EE9">
            <w:pPr>
              <w:spacing w:before="120" w:after="120"/>
              <w:jc w:val="center"/>
            </w:pPr>
            <w:r>
              <w:t>1:4</w:t>
            </w:r>
          </w:p>
        </w:tc>
        <w:tc>
          <w:tcPr>
            <w:tcW w:w="1370" w:type="dxa"/>
            <w:hideMark/>
          </w:tcPr>
          <w:p w14:paraId="1BD66003" w14:textId="77777777" w:rsidR="00DA3EE9" w:rsidRDefault="00DA3EE9">
            <w:pPr>
              <w:spacing w:before="120" w:after="120"/>
              <w:jc w:val="center"/>
            </w:pPr>
            <w:r>
              <w:t>1:1</w:t>
            </w:r>
          </w:p>
        </w:tc>
      </w:tr>
      <w:tr w:rsidR="00DA3EE9" w14:paraId="7299AD36" w14:textId="77777777" w:rsidTr="00DA3EE9">
        <w:tc>
          <w:tcPr>
            <w:tcW w:w="3539" w:type="dxa"/>
            <w:hideMark/>
          </w:tcPr>
          <w:p w14:paraId="264B117C" w14:textId="77777777" w:rsidR="00DA3EE9" w:rsidRDefault="00DA3EE9">
            <w:pPr>
              <w:spacing w:before="120" w:after="120"/>
              <w:rPr>
                <w:b/>
              </w:rPr>
            </w:pPr>
            <w:r>
              <w:rPr>
                <w:b/>
              </w:rPr>
              <w:t>Minimum rate of co-contribution</w:t>
            </w:r>
          </w:p>
        </w:tc>
        <w:tc>
          <w:tcPr>
            <w:tcW w:w="1369" w:type="dxa"/>
            <w:hideMark/>
          </w:tcPr>
          <w:p w14:paraId="28EA772C" w14:textId="77777777" w:rsidR="00DA3EE9" w:rsidRDefault="00DA3EE9">
            <w:pPr>
              <w:spacing w:before="120" w:after="120"/>
              <w:jc w:val="center"/>
            </w:pPr>
            <w:r>
              <w:t>0%</w:t>
            </w:r>
          </w:p>
        </w:tc>
        <w:tc>
          <w:tcPr>
            <w:tcW w:w="1369" w:type="dxa"/>
            <w:hideMark/>
          </w:tcPr>
          <w:p w14:paraId="45EAA482" w14:textId="77777777" w:rsidR="00DA3EE9" w:rsidRDefault="00DA3EE9">
            <w:pPr>
              <w:spacing w:before="120" w:after="120"/>
              <w:jc w:val="center"/>
            </w:pPr>
            <w:r>
              <w:t>25%</w:t>
            </w:r>
          </w:p>
        </w:tc>
        <w:tc>
          <w:tcPr>
            <w:tcW w:w="1369" w:type="dxa"/>
            <w:hideMark/>
          </w:tcPr>
          <w:p w14:paraId="55B5DAAE" w14:textId="77777777" w:rsidR="00DA3EE9" w:rsidRDefault="00DA3EE9">
            <w:pPr>
              <w:spacing w:before="120" w:after="120"/>
              <w:jc w:val="center"/>
            </w:pPr>
            <w:r>
              <w:t>25%</w:t>
            </w:r>
          </w:p>
        </w:tc>
        <w:tc>
          <w:tcPr>
            <w:tcW w:w="1370" w:type="dxa"/>
            <w:hideMark/>
          </w:tcPr>
          <w:p w14:paraId="3C931BAE" w14:textId="77777777" w:rsidR="00DA3EE9" w:rsidRDefault="00DA3EE9">
            <w:pPr>
              <w:spacing w:before="120" w:after="120"/>
              <w:jc w:val="center"/>
            </w:pPr>
            <w:r>
              <w:t>100%</w:t>
            </w:r>
          </w:p>
        </w:tc>
      </w:tr>
    </w:tbl>
    <w:p w14:paraId="0C96EA01" w14:textId="77777777" w:rsidR="00DA3EE9" w:rsidRDefault="00DA3EE9" w:rsidP="00DA3EE9">
      <w:pPr>
        <w:spacing w:before="120" w:after="120"/>
        <w:rPr>
          <w:sz w:val="18"/>
          <w:szCs w:val="18"/>
        </w:rPr>
      </w:pPr>
      <w:r>
        <w:rPr>
          <w:sz w:val="18"/>
          <w:szCs w:val="18"/>
        </w:rPr>
        <w:t>Note: For these calculations, the grant amount and the value of co-contributions are GST exclusive.</w:t>
      </w:r>
    </w:p>
    <w:p w14:paraId="149BE5BC" w14:textId="77777777" w:rsidR="00DA3EE9" w:rsidRDefault="00DA3EE9" w:rsidP="00DA3EE9">
      <w:pPr>
        <w:spacing w:before="120" w:after="120"/>
      </w:pPr>
      <w:r>
        <w:t xml:space="preserve">A </w:t>
      </w:r>
      <w:r>
        <w:rPr>
          <w:b/>
        </w:rPr>
        <w:t>small show</w:t>
      </w:r>
      <w:r>
        <w:t xml:space="preserve"> that applies successfully for a </w:t>
      </w:r>
      <w:r>
        <w:rPr>
          <w:b/>
        </w:rPr>
        <w:t>small grant</w:t>
      </w:r>
      <w:r>
        <w:t xml:space="preserve"> will not have to provide a co-</w:t>
      </w:r>
      <w:proofErr w:type="gramStart"/>
      <w:r>
        <w:t>contribution,</w:t>
      </w:r>
      <w:proofErr w:type="gramEnd"/>
      <w:r>
        <w:t xml:space="preserve"> however doing so may improve the competitiveness of the application.</w:t>
      </w:r>
    </w:p>
    <w:p w14:paraId="3BC907B5" w14:textId="77777777" w:rsidR="00DA3EE9" w:rsidRDefault="00DA3EE9" w:rsidP="00DA3EE9">
      <w:pPr>
        <w:spacing w:before="120" w:after="120"/>
      </w:pPr>
      <w:r>
        <w:t>A large show applying for a small grant</w:t>
      </w:r>
      <w:r w:rsidR="003D05DB">
        <w:t>,</w:t>
      </w:r>
      <w:r>
        <w:t xml:space="preserve"> and a small show applying for a large grant will need to show in the budget template a minimum co-contribution value (cash and/or in-kind) of $1 for every $4 of grant funding.</w:t>
      </w:r>
    </w:p>
    <w:p w14:paraId="2A397D40" w14:textId="77777777" w:rsidR="00DA3EE9" w:rsidRDefault="00DA3EE9" w:rsidP="00DA3EE9">
      <w:pPr>
        <w:spacing w:before="120" w:after="120"/>
      </w:pPr>
      <w:r>
        <w:t>A large show applying for a large grant will need to show in the budget template a minimum co</w:t>
      </w:r>
      <w:r>
        <w:noBreakHyphen/>
        <w:t>contribution value (cash and/or in-kind) of $1 for every $1 of grant funding, i.e. matching co</w:t>
      </w:r>
      <w:r>
        <w:noBreakHyphen/>
        <w:t>contributions.</w:t>
      </w:r>
    </w:p>
    <w:p w14:paraId="7A86D990" w14:textId="77777777" w:rsidR="00DA3EE9" w:rsidRDefault="00DA3EE9" w:rsidP="00DA3EE9">
      <w:pPr>
        <w:spacing w:before="120" w:after="120"/>
      </w:pPr>
      <w:r>
        <w:t>For example:</w:t>
      </w:r>
    </w:p>
    <w:p w14:paraId="225556EF" w14:textId="77777777" w:rsidR="00DA3EE9" w:rsidRDefault="00DA3EE9" w:rsidP="00DA3EE9">
      <w:pPr>
        <w:pStyle w:val="ListParagraph"/>
        <w:numPr>
          <w:ilvl w:val="0"/>
          <w:numId w:val="24"/>
        </w:numPr>
        <w:spacing w:before="120" w:after="120" w:line="256" w:lineRule="auto"/>
      </w:pPr>
      <w:r>
        <w:t xml:space="preserve">A </w:t>
      </w:r>
      <w:r>
        <w:rPr>
          <w:b/>
        </w:rPr>
        <w:t xml:space="preserve">large show </w:t>
      </w:r>
      <w:r>
        <w:t>costs a project at a total of $80,000 (GST exclusive).</w:t>
      </w:r>
    </w:p>
    <w:p w14:paraId="3EF4DEC6" w14:textId="77777777" w:rsidR="00DA3EE9" w:rsidRDefault="00DA3EE9" w:rsidP="00DA3EE9">
      <w:pPr>
        <w:spacing w:before="120" w:after="120"/>
        <w:ind w:left="360"/>
      </w:pPr>
      <w:r>
        <w:t xml:space="preserve">This project will require a minimum $16,000 co-contribution (20% of $80,000) and attract maximum funding under the </w:t>
      </w:r>
      <w:r>
        <w:rPr>
          <w:b/>
        </w:rPr>
        <w:t>small grant</w:t>
      </w:r>
      <w:r>
        <w:t xml:space="preserve"> stream of $64,000 (80% of $80,000); i.e. 20:80 = 1:4.</w:t>
      </w:r>
    </w:p>
    <w:p w14:paraId="53132480" w14:textId="77777777" w:rsidR="00DA3EE9" w:rsidRDefault="00DA3EE9" w:rsidP="00DA3EE9">
      <w:pPr>
        <w:spacing w:before="120" w:after="120"/>
        <w:ind w:left="360"/>
      </w:pPr>
      <w:r>
        <w:t>The minimum rate of co-contribution is 25% – the grantee must provide at least one dollar for every four dollars received; i.e. 25% of a $64,000 grant is $16,000.</w:t>
      </w:r>
    </w:p>
    <w:p w14:paraId="206C22C9" w14:textId="77777777" w:rsidR="00DA3EE9" w:rsidRDefault="00DA3EE9" w:rsidP="00DA3EE9">
      <w:pPr>
        <w:pStyle w:val="ListParagraph"/>
        <w:numPr>
          <w:ilvl w:val="0"/>
          <w:numId w:val="24"/>
        </w:numPr>
        <w:spacing w:before="120" w:after="120" w:line="256" w:lineRule="auto"/>
      </w:pPr>
      <w:r>
        <w:t xml:space="preserve">A </w:t>
      </w:r>
      <w:r>
        <w:rPr>
          <w:b/>
        </w:rPr>
        <w:t>small show</w:t>
      </w:r>
      <w:r>
        <w:t xml:space="preserve"> costs a project at a total of $620,000 (GST exclusive).</w:t>
      </w:r>
    </w:p>
    <w:p w14:paraId="6F7F3C27" w14:textId="77777777" w:rsidR="00DA3EE9" w:rsidRDefault="00DA3EE9" w:rsidP="00DA3EE9">
      <w:pPr>
        <w:spacing w:before="120" w:after="120"/>
        <w:ind w:left="360"/>
      </w:pPr>
      <w:r>
        <w:t xml:space="preserve">This project will require a minimum $124,000 co-contribution (20% of $620,000) and attract maximum grant funding under the </w:t>
      </w:r>
      <w:r>
        <w:rPr>
          <w:b/>
        </w:rPr>
        <w:t>large grant</w:t>
      </w:r>
      <w:r>
        <w:t xml:space="preserve"> stream of $496,000 (80% of $620,000); i.e. 20:80 = 1:4.</w:t>
      </w:r>
    </w:p>
    <w:p w14:paraId="7F339AC7" w14:textId="77777777" w:rsidR="00DA3EE9" w:rsidRDefault="00DA3EE9" w:rsidP="00DA3EE9">
      <w:pPr>
        <w:spacing w:before="120" w:after="120"/>
        <w:ind w:left="360"/>
      </w:pPr>
      <w:r>
        <w:t>The minimum rate of co-contribution is 25% – the grantee must provide at least one dollar for every four dollars received; i.e. 25% of a $496,000 grant is $124,000.</w:t>
      </w:r>
    </w:p>
    <w:p w14:paraId="79C5B2CF" w14:textId="77777777" w:rsidR="00DA3EE9" w:rsidRDefault="00DA3EE9" w:rsidP="00DA3EE9">
      <w:pPr>
        <w:pStyle w:val="ListParagraph"/>
        <w:numPr>
          <w:ilvl w:val="0"/>
          <w:numId w:val="24"/>
        </w:numPr>
        <w:spacing w:before="120" w:after="120" w:line="256" w:lineRule="auto"/>
      </w:pPr>
      <w:r>
        <w:t xml:space="preserve">A </w:t>
      </w:r>
      <w:r>
        <w:rPr>
          <w:b/>
        </w:rPr>
        <w:t>large show</w:t>
      </w:r>
      <w:r>
        <w:t xml:space="preserve"> costs a project at a total of $875,000 (GST exclusive).</w:t>
      </w:r>
    </w:p>
    <w:p w14:paraId="3069AC68" w14:textId="77777777" w:rsidR="00DA3EE9" w:rsidRDefault="00DA3EE9" w:rsidP="00DA3EE9">
      <w:pPr>
        <w:spacing w:before="120" w:after="120"/>
        <w:ind w:left="360"/>
      </w:pPr>
      <w:r>
        <w:t xml:space="preserve">The project will require a minimum of $435,500 co-contribution (50% of $875,000) and attract maximum grant funding under the </w:t>
      </w:r>
      <w:r>
        <w:rPr>
          <w:b/>
        </w:rPr>
        <w:t>large grant</w:t>
      </w:r>
      <w:r>
        <w:t xml:space="preserve"> stream of $435,500 (50% of $875,000); i.e. 50:50 = 1:1.</w:t>
      </w:r>
    </w:p>
    <w:p w14:paraId="6107D956" w14:textId="77777777" w:rsidR="00DA3EE9" w:rsidRDefault="00DA3EE9" w:rsidP="00DA3EE9">
      <w:pPr>
        <w:spacing w:before="120" w:after="120"/>
        <w:ind w:left="360"/>
      </w:pPr>
      <w:r>
        <w:t>The minimum rate of co-contribution is 100% – the grantee must provide at least one dollar for every one dollar received; i.e. 100% of a $435,000 grant is $435,000.</w:t>
      </w:r>
    </w:p>
    <w:p w14:paraId="29850265" w14:textId="3F095610" w:rsidR="009F2B21" w:rsidRDefault="009F2B21" w:rsidP="009766D4">
      <w:pPr>
        <w:keepNext/>
        <w:keepLines/>
        <w:rPr>
          <w:b/>
          <w:sz w:val="24"/>
          <w:szCs w:val="24"/>
          <w:u w:val="single"/>
        </w:rPr>
      </w:pPr>
      <w:r>
        <w:rPr>
          <w:b/>
          <w:sz w:val="24"/>
          <w:szCs w:val="24"/>
          <w:u w:val="single"/>
        </w:rPr>
        <w:lastRenderedPageBreak/>
        <w:t xml:space="preserve">Question 33 added </w:t>
      </w:r>
      <w:r w:rsidR="00B9397B">
        <w:rPr>
          <w:b/>
          <w:sz w:val="24"/>
          <w:szCs w:val="24"/>
          <w:u w:val="single"/>
        </w:rPr>
        <w:t>5 November</w:t>
      </w:r>
      <w:r>
        <w:rPr>
          <w:b/>
          <w:sz w:val="24"/>
          <w:szCs w:val="24"/>
          <w:u w:val="single"/>
        </w:rPr>
        <w:t xml:space="preserve"> 2019</w:t>
      </w:r>
    </w:p>
    <w:p w14:paraId="6EB99C3A" w14:textId="77777777" w:rsidR="00770798" w:rsidRPr="00A449D9" w:rsidRDefault="009F2B21" w:rsidP="00A449D9">
      <w:pPr>
        <w:pStyle w:val="Level1"/>
        <w:ind w:left="426" w:hanging="426"/>
      </w:pPr>
      <w:r w:rsidRPr="009F2B21">
        <w:t xml:space="preserve">Please provide clarification on how an organisation </w:t>
      </w:r>
      <w:proofErr w:type="gramStart"/>
      <w:r w:rsidRPr="009F2B21">
        <w:t>is classified</w:t>
      </w:r>
      <w:proofErr w:type="gramEnd"/>
      <w:r w:rsidRPr="009F2B21">
        <w:t xml:space="preserve"> as a small or large show?</w:t>
      </w:r>
    </w:p>
    <w:p w14:paraId="61AB5E78" w14:textId="77777777" w:rsidR="009F2B21" w:rsidRPr="009F2B21" w:rsidRDefault="009F2B21" w:rsidP="00584618">
      <w:pPr>
        <w:spacing w:after="120"/>
        <w:ind w:left="360"/>
      </w:pPr>
      <w:r w:rsidRPr="009F2B21">
        <w:t xml:space="preserve">A large show is defined as </w:t>
      </w:r>
      <w:proofErr w:type="gramStart"/>
      <w:r w:rsidRPr="009F2B21">
        <w:t>one which</w:t>
      </w:r>
      <w:proofErr w:type="gramEnd"/>
      <w:r w:rsidRPr="009F2B21">
        <w:t xml:space="preserve"> collects $20,000 or more in their annual show gate takings. A small show is defined as one which collects under $20,000 in their annual show gate takings”.</w:t>
      </w:r>
    </w:p>
    <w:p w14:paraId="0654161C" w14:textId="22309EF4" w:rsidR="009F2B21" w:rsidRPr="009F2B21" w:rsidRDefault="001B2539" w:rsidP="009F2B21">
      <w:pPr>
        <w:ind w:left="360"/>
      </w:pPr>
      <w:r>
        <w:t>The</w:t>
      </w:r>
      <w:r w:rsidRPr="009F2B21">
        <w:t xml:space="preserve"> </w:t>
      </w:r>
      <w:r w:rsidR="009F2B21" w:rsidRPr="009F2B21">
        <w:t xml:space="preserve">$20,000 delineator between large/small shows </w:t>
      </w:r>
      <w:proofErr w:type="gramStart"/>
      <w:r>
        <w:t>is</w:t>
      </w:r>
      <w:r w:rsidRPr="009F2B21">
        <w:t xml:space="preserve"> </w:t>
      </w:r>
      <w:r w:rsidR="009F2B21" w:rsidRPr="009F2B21">
        <w:t>based</w:t>
      </w:r>
      <w:proofErr w:type="gramEnd"/>
      <w:r w:rsidR="009F2B21" w:rsidRPr="009F2B21">
        <w:t xml:space="preserve"> on </w:t>
      </w:r>
      <w:r>
        <w:t xml:space="preserve">analysis of annual show gate takings data over a couple of financial years. </w:t>
      </w:r>
    </w:p>
    <w:p w14:paraId="62E0F4F4" w14:textId="5C5D1A23" w:rsidR="00584618" w:rsidRDefault="00584618" w:rsidP="00584618">
      <w:pPr>
        <w:rPr>
          <w:b/>
          <w:sz w:val="24"/>
          <w:szCs w:val="24"/>
          <w:u w:val="single"/>
        </w:rPr>
      </w:pPr>
      <w:r>
        <w:rPr>
          <w:b/>
          <w:sz w:val="24"/>
          <w:szCs w:val="24"/>
          <w:u w:val="single"/>
        </w:rPr>
        <w:t>Question</w:t>
      </w:r>
      <w:r w:rsidR="00646A99">
        <w:rPr>
          <w:b/>
          <w:sz w:val="24"/>
          <w:szCs w:val="24"/>
          <w:u w:val="single"/>
        </w:rPr>
        <w:t>s</w:t>
      </w:r>
      <w:r>
        <w:rPr>
          <w:b/>
          <w:sz w:val="24"/>
          <w:szCs w:val="24"/>
          <w:u w:val="single"/>
        </w:rPr>
        <w:t xml:space="preserve"> 34</w:t>
      </w:r>
      <w:r w:rsidR="00646A99">
        <w:rPr>
          <w:b/>
          <w:sz w:val="24"/>
          <w:szCs w:val="24"/>
          <w:u w:val="single"/>
        </w:rPr>
        <w:t xml:space="preserve"> - </w:t>
      </w:r>
      <w:r>
        <w:rPr>
          <w:b/>
          <w:sz w:val="24"/>
          <w:szCs w:val="24"/>
          <w:u w:val="single"/>
        </w:rPr>
        <w:t>3</w:t>
      </w:r>
      <w:r w:rsidR="00113FD8">
        <w:rPr>
          <w:b/>
          <w:sz w:val="24"/>
          <w:szCs w:val="24"/>
          <w:u w:val="single"/>
        </w:rPr>
        <w:t>7</w:t>
      </w:r>
      <w:r>
        <w:rPr>
          <w:b/>
          <w:sz w:val="24"/>
          <w:szCs w:val="24"/>
          <w:u w:val="single"/>
        </w:rPr>
        <w:t xml:space="preserve"> added 1</w:t>
      </w:r>
      <w:r w:rsidR="003E1771">
        <w:rPr>
          <w:b/>
          <w:sz w:val="24"/>
          <w:szCs w:val="24"/>
          <w:u w:val="single"/>
        </w:rPr>
        <w:t>4</w:t>
      </w:r>
      <w:r>
        <w:rPr>
          <w:b/>
          <w:sz w:val="24"/>
          <w:szCs w:val="24"/>
          <w:u w:val="single"/>
        </w:rPr>
        <w:t xml:space="preserve"> November 2019</w:t>
      </w:r>
    </w:p>
    <w:p w14:paraId="6B222B1A" w14:textId="77777777" w:rsidR="00584618" w:rsidRPr="00C106B5" w:rsidRDefault="00584618" w:rsidP="009766D4">
      <w:pPr>
        <w:pStyle w:val="Level1"/>
        <w:spacing w:before="360"/>
        <w:ind w:left="425" w:hanging="425"/>
      </w:pPr>
      <w:r w:rsidRPr="00584618">
        <w:t>How many quotes do applicants need to provide?</w:t>
      </w:r>
    </w:p>
    <w:p w14:paraId="18DC64F5" w14:textId="77777777" w:rsidR="00584618" w:rsidRPr="00584618" w:rsidRDefault="00584618" w:rsidP="00584618">
      <w:pPr>
        <w:spacing w:after="120"/>
        <w:ind w:left="360"/>
      </w:pPr>
      <w:r w:rsidRPr="00584618">
        <w:t xml:space="preserve">It is up to applicants </w:t>
      </w:r>
      <w:r w:rsidR="00646A99">
        <w:t xml:space="preserve">on </w:t>
      </w:r>
      <w:r w:rsidRPr="00584618">
        <w:t>how they populate and justify their project budget and demonstrate value for money.</w:t>
      </w:r>
    </w:p>
    <w:p w14:paraId="5A19BCAE" w14:textId="77777777" w:rsidR="00584618" w:rsidRPr="00C106B5" w:rsidRDefault="00584618" w:rsidP="009766D4">
      <w:pPr>
        <w:pStyle w:val="Level1"/>
        <w:spacing w:before="360"/>
        <w:ind w:left="425" w:hanging="425"/>
      </w:pPr>
      <w:r w:rsidRPr="00584618">
        <w:t xml:space="preserve">If electrical work is being </w:t>
      </w:r>
      <w:proofErr w:type="gramStart"/>
      <w:r w:rsidRPr="00584618">
        <w:t>undertaken</w:t>
      </w:r>
      <w:proofErr w:type="gramEnd"/>
      <w:r w:rsidRPr="00584618">
        <w:t xml:space="preserve"> can electrical design be included in the grant?</w:t>
      </w:r>
    </w:p>
    <w:p w14:paraId="28684976" w14:textId="27E1AC4A" w:rsidR="00584618" w:rsidRDefault="00584618" w:rsidP="009766D4">
      <w:pPr>
        <w:spacing w:after="120"/>
        <w:ind w:left="360"/>
      </w:pPr>
      <w:r w:rsidRPr="00584618">
        <w:t>Applicants can use grant money for professional services. However, grant program objectives are to maintain, upgrade, build or purchase new infrastructure, not just design it.</w:t>
      </w:r>
    </w:p>
    <w:p w14:paraId="43D6FD12" w14:textId="77777777" w:rsidR="00584618" w:rsidRPr="00C106B5" w:rsidRDefault="00584618" w:rsidP="009766D4">
      <w:pPr>
        <w:pStyle w:val="Level1"/>
        <w:spacing w:before="360"/>
        <w:ind w:left="425" w:hanging="425"/>
      </w:pPr>
      <w:r w:rsidRPr="00584618">
        <w:t>How can shows demonstrate they are a small show?</w:t>
      </w:r>
    </w:p>
    <w:p w14:paraId="29B78723" w14:textId="68466E8F" w:rsidR="00584618" w:rsidRDefault="00291EAC" w:rsidP="009766D4">
      <w:pPr>
        <w:spacing w:after="120"/>
        <w:ind w:left="360"/>
      </w:pPr>
      <w:r>
        <w:t xml:space="preserve">Applicants are required to indicate whether they are a large or small show on their Online Application. </w:t>
      </w:r>
      <w:r w:rsidR="001D0FD9">
        <w:t xml:space="preserve">Verification of gate takings will be sought from applicants who are deemed </w:t>
      </w:r>
      <w:proofErr w:type="gramStart"/>
      <w:r w:rsidR="001D0FD9">
        <w:t>to be eligible</w:t>
      </w:r>
      <w:proofErr w:type="gramEnd"/>
      <w:r w:rsidR="001D0FD9">
        <w:t>.</w:t>
      </w:r>
    </w:p>
    <w:p w14:paraId="00C81D44" w14:textId="77777777" w:rsidR="00584618" w:rsidRPr="00C106B5" w:rsidRDefault="00584618" w:rsidP="009766D4">
      <w:pPr>
        <w:pStyle w:val="Level1"/>
        <w:spacing w:before="360"/>
        <w:ind w:left="425" w:hanging="425"/>
      </w:pPr>
      <w:r w:rsidRPr="00584618">
        <w:t>How are you confirming that shows</w:t>
      </w:r>
      <w:r w:rsidR="00646A99" w:rsidRPr="00C106B5">
        <w:t xml:space="preserve"> are members of the state body or </w:t>
      </w:r>
      <w:r w:rsidRPr="00584618">
        <w:t>ASA?</w:t>
      </w:r>
    </w:p>
    <w:p w14:paraId="18175B20" w14:textId="598B4289" w:rsidR="00584618" w:rsidRDefault="001B2539" w:rsidP="009766D4">
      <w:pPr>
        <w:spacing w:after="120"/>
        <w:ind w:left="360"/>
      </w:pPr>
      <w:r>
        <w:t xml:space="preserve">Confirmation </w:t>
      </w:r>
      <w:proofErr w:type="gramStart"/>
      <w:r>
        <w:t>will be sought</w:t>
      </w:r>
      <w:proofErr w:type="gramEnd"/>
      <w:r>
        <w:t xml:space="preserve"> from </w:t>
      </w:r>
      <w:r w:rsidR="00584618" w:rsidRPr="00584618">
        <w:t xml:space="preserve">ASA and </w:t>
      </w:r>
      <w:r>
        <w:t xml:space="preserve">other agricultural society </w:t>
      </w:r>
      <w:r w:rsidR="00584618" w:rsidRPr="00584618">
        <w:t>peak bodies</w:t>
      </w:r>
      <w:r>
        <w:t>.</w:t>
      </w:r>
    </w:p>
    <w:p w14:paraId="4E8460B4" w14:textId="477EB88D" w:rsidR="00113FD8" w:rsidRDefault="00113FD8" w:rsidP="009766D4">
      <w:pPr>
        <w:spacing w:after="120"/>
        <w:ind w:left="360"/>
      </w:pPr>
    </w:p>
    <w:p w14:paraId="637AC6EC" w14:textId="2F333A57" w:rsidR="00113FD8" w:rsidRPr="00F25771" w:rsidRDefault="00113FD8" w:rsidP="00113FD8">
      <w:pPr>
        <w:spacing w:after="120"/>
        <w:rPr>
          <w:b/>
          <w:u w:val="single"/>
        </w:rPr>
      </w:pPr>
      <w:r w:rsidRPr="00F25771">
        <w:rPr>
          <w:b/>
          <w:u w:val="single"/>
        </w:rPr>
        <w:t>Question added 9 December 2019</w:t>
      </w:r>
    </w:p>
    <w:p w14:paraId="7DB97B6D" w14:textId="0C78BF10" w:rsidR="00113FD8" w:rsidRPr="00F25771" w:rsidRDefault="00113FD8" w:rsidP="00113FD8">
      <w:pPr>
        <w:pStyle w:val="Level1"/>
        <w:spacing w:before="360"/>
        <w:ind w:left="425" w:hanging="425"/>
      </w:pPr>
      <w:r w:rsidRPr="00F25771">
        <w:t>Can grants be used to fund activities such as promotion,</w:t>
      </w:r>
      <w:r w:rsidR="00645579">
        <w:t xml:space="preserve"> advertising and media aimed at</w:t>
      </w:r>
      <w:bookmarkStart w:id="0" w:name="_GoBack"/>
      <w:bookmarkEnd w:id="0"/>
      <w:r w:rsidRPr="00F25771">
        <w:t xml:space="preserve"> raising the profile of regional agricultural shows, improving attendance, etc.?</w:t>
      </w:r>
    </w:p>
    <w:p w14:paraId="36E720DF" w14:textId="77777777" w:rsidR="00113FD8" w:rsidRPr="00113FD8" w:rsidRDefault="00113FD8" w:rsidP="00113FD8">
      <w:pPr>
        <w:ind w:left="425"/>
      </w:pPr>
      <w:r w:rsidRPr="00F25771">
        <w:t>These kinds of activities would not be eligible for funding under this grants program. Section 5.1 of the Grant Opportunity Guidelines sets out the kinds of activities that may be eligible for funding. The focus is on the repair, upgrade and construction of infrastructure, the purchase or renting of tangible infrastructure-related assets, and the purchase, renting or construction of attractions.</w:t>
      </w:r>
    </w:p>
    <w:p w14:paraId="6660EB64" w14:textId="77777777" w:rsidR="00113FD8" w:rsidRPr="00584618" w:rsidRDefault="00113FD8" w:rsidP="00113FD8">
      <w:pPr>
        <w:spacing w:after="120"/>
      </w:pPr>
    </w:p>
    <w:sectPr w:rsidR="00113FD8" w:rsidRPr="00584618" w:rsidSect="00105397">
      <w:headerReference w:type="even" r:id="rId8"/>
      <w:headerReference w:type="default" r:id="rId9"/>
      <w:footerReference w:type="even" r:id="rId10"/>
      <w:footerReference w:type="default" r:id="rId11"/>
      <w:headerReference w:type="first" r:id="rId12"/>
      <w:footerReference w:type="first" r:id="rId13"/>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767F3" w14:textId="77777777" w:rsidR="00E1078B" w:rsidRDefault="00E1078B" w:rsidP="00772718">
      <w:pPr>
        <w:spacing w:line="240" w:lineRule="auto"/>
      </w:pPr>
      <w:r>
        <w:separator/>
      </w:r>
    </w:p>
  </w:endnote>
  <w:endnote w:type="continuationSeparator" w:id="0">
    <w:p w14:paraId="07DB379A" w14:textId="77777777" w:rsidR="00E1078B" w:rsidRDefault="00E1078B"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E90DF" w14:textId="77777777" w:rsidR="003A2B54" w:rsidRDefault="003A2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F1F0C"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51C78573" wp14:editId="6E575D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5C9687"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7093" w14:textId="77777777" w:rsidR="003A2B54" w:rsidRDefault="003A2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C5737" w14:textId="77777777" w:rsidR="00E1078B" w:rsidRDefault="00E1078B" w:rsidP="00772718">
      <w:pPr>
        <w:spacing w:line="240" w:lineRule="auto"/>
      </w:pPr>
      <w:r>
        <w:separator/>
      </w:r>
    </w:p>
  </w:footnote>
  <w:footnote w:type="continuationSeparator" w:id="0">
    <w:p w14:paraId="698B9799" w14:textId="77777777" w:rsidR="00E1078B" w:rsidRDefault="00E1078B"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73E4F" w14:textId="77777777" w:rsidR="003A2B54" w:rsidRDefault="003A2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92C85"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354229E0" wp14:editId="464D44A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18DC62"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1D507392" wp14:editId="326E6FE5">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6C420" w14:textId="77777777" w:rsidR="00D91B18" w:rsidRDefault="0016612C">
    <w:pPr>
      <w:pStyle w:val="Header"/>
    </w:pPr>
    <w:r>
      <w:rPr>
        <w:noProof/>
        <w:lang w:eastAsia="en-AU"/>
      </w:rPr>
      <w:drawing>
        <wp:anchor distT="0" distB="0" distL="114300" distR="114300" simplePos="0" relativeHeight="251673600" behindDoc="0" locked="1" layoutInCell="1" allowOverlap="1" wp14:anchorId="28B55C55" wp14:editId="50A3F5D4">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3D1AB4C3" wp14:editId="44956226">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069843"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OMIA&#10;AADaAAAADwAAAGRycy9kb3ducmV2LnhtbESPQYvCMBSE74L/ITxhb5oqKNI1yiIIgqCr9uLt0Tzb&#10;7jYvJYm1/febBcHjMDPfMKtNZ2rRkvOVZQXTSQKCOLe64kJBdt2NlyB8QNZYWyYFPXnYrIeDFaba&#10;PvlM7SUUIkLYp6igDKFJpfR5SQb9xDbE0btbZzBE6QqpHT4j3NRyliQLabDiuFBiQ9uS8t/Lwyjg&#10;U37q+6Q7fjtZ3H4Whzbb1nelPkbd1yeIQF14h1/tvVYwh/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44wgAAANoAAAAPAAAAAAAAAAAAAAAAAJgCAABkcnMvZG93&#10;bnJldi54bWxQSwUGAAAAAAQABAD1AAAAhwM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h7cMA&#10;AADaAAAADwAAAGRycy9kb3ducmV2LnhtbESPwWrDMBBE74X8g9hALqWRa6gxjpUQCoEcG7c59LZY&#10;G1vEWjmWajt/HxUKPQ4z84Ypd7PtxEiDN44VvK4TEMS104YbBV+fh5cchA/IGjvHpOBOHnbbxVOJ&#10;hXYTn2isQiMihH2BCtoQ+kJKX7dk0a9dTxy9ixsshiiHRuoBpwi3nUyTJJMWDceFFnt6b6m+Vj9W&#10;wTk/Vpk5pNlYPRt257f97Vt/KLVazvsNiEBz+A//tY9aQQa/V+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vh7cMAAADaAAAADwAAAAAAAAAAAAAAAACYAgAAZHJzL2Rv&#10;d25yZXYueG1sUEsFBgAAAAAEAAQA9QAAAIgD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oP8AA&#10;AADaAAAADwAAAGRycy9kb3ducmV2LnhtbESP0YrCMBRE3xf8h3AF39ZUQVerUUQQBAXZ6gdcm2tb&#10;bG5KE231640g+DjMzBlmvmxNKe5Uu8KygkE/AkGcWl1wpuB03PxOQDiPrLG0TAoe5GC56PzMMda2&#10;4X+6Jz4TAcIuRgW591UspUtzMuj6tiIO3sXWBn2QdSZ1jU2Am1IOo2gsDRYcFnKsaJ1Tek1uRoE+&#10;N/7pDqNqp0/TkrTdX4etU6rXbVczEJ5a/w1/2lut4A/eV8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FoP8AAAADaAAAADwAAAAAAAAAAAAAAAACYAgAAZHJzL2Rvd25y&#10;ZXYueG1sUEsFBgAAAAAEAAQA9QAAAIUD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or8A&#10;AADaAAAADwAAAGRycy9kb3ducmV2LnhtbERPy4rCMBTdC/5DuII7TZ2FjNUoIgrjQmZ8IC4vzbUp&#10;NjelibX16yeLgVkeznuxam0pGqp94VjBZJyAIM6cLjhXcDnvRp8gfEDWWDomBR15WC37vQWm2r34&#10;SM0p5CKGsE9RgQmhSqX0mSGLfuwq4sjdXW0xRFjnUtf4iuG2lB9JMpUWC44NBivaGMoep6dV8FMd&#10;zAy1vbbbW/Lums33vjNSqeGgXc9BBGrDv/jP/aU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BmivwAAANoAAAAPAAAAAAAAAAAAAAAAAJgCAABkcnMvZG93bnJl&#10;di54bWxQSwUGAAAAAAQABAD1AAAAhAM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1cEA&#10;AADaAAAADwAAAGRycy9kb3ducmV2LnhtbESPQYvCMBSE78L+h/AW9qaJLrhajSKiIHgo1t37o3m2&#10;xealNlHrvzeCsMdhZr5h5svO1uJGra8caxgOFAji3JmKCw2/x21/AsIHZIO1Y9LwIA/LxUdvjolx&#10;dz7QLQuFiBD2CWooQ2gSKX1ekkU/cA1x9E6utRiibAtpWrxHuK3lSKmxtFhxXCixoXVJ+Tm7Wg2p&#10;/6vSnTp8r3+m9qI2V2k2+1Trr89uNQMRqAv/4Xd7ZzR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qzNXBAAAA2gAAAA8AAAAAAAAAAAAAAAAAmAIAAGRycy9kb3du&#10;cmV2LnhtbFBLBQYAAAAABAAEAPUAAACGAw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bwMIA&#10;AADbAAAADwAAAGRycy9kb3ducmV2LnhtbESPT4vCMBDF78J+hzALXkRTV5ClGkXEZcWbfw57HJqx&#10;KW0mpclq/fbOQfA2w3vz3m+W69436kZdrAIbmE4yUMRFsBWXBi7nn/E3qJiQLTaBycCDIqxXH4Ml&#10;5jbc+Ui3UyqVhHDM0YBLqc21joUjj3ESWmLRrqHzmGTtSm07vEu4b/RXls21x4qlwWFLW0dFffr3&#10;Bs6/aTebP0Lt3WG03ff8d6xdMGb42W8WoBL16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9vAwgAAANsAAAAPAAAAAAAAAAAAAAAAAJgCAABkcnMvZG93&#10;bnJldi54bWxQSwUGAAAAAAQABAD1AAAAhwM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A+sQA&#10;AADbAAAADwAAAGRycy9kb3ducmV2LnhtbERPS2vCQBC+F/wPyxR6Kbqx4oM0q2hqoXgzitDbJDtN&#10;otnZkN1q+u+7QqG3+fiek6x604grda62rGA8ikAQF1bXXCo4Ht6HCxDOI2tsLJOCH3KwWg4eEoy1&#10;vfGerpkvRQhhF6OCyvs2ltIVFRl0I9sSB+7LdgZ9gF0pdYe3EG4a+RJFM2mw5tBQYUtpRcUl+zYK&#10;Ts9p7ufnfvP2udhtJ7tzPc2nqVJPj/36FYSn3v+L/9wfOswfw/2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wPrEAAAA2wAAAA8AAAAAAAAAAAAAAAAAmAIAAGRycy9k&#10;b3ducmV2LnhtbFBLBQYAAAAABAAEAPUAAACJAw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H78A&#10;AADbAAAADwAAAGRycy9kb3ducmV2LnhtbERP24rCMBB9F/yHMIJvmqqwSDVKsQiiIGzrBwzN2Fab&#10;SWmi1r83wsK+zeFcZ73tTSOe1LnasoLZNAJBXFhdc6ngku8nSxDOI2tsLJOCNznYboaDNcbavviX&#10;npkvRQhhF6OCyvs2ltIVFRl0U9sSB+5qO4M+wK6UusNXCDeNnEfRjzRYc2iosKVdRcU9exgFtyjN&#10;9eKYpYu+Sc51cnLpKV8qNR71yQqEp97/i//cBx3mz+H7Sz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I4fvwAAANsAAAAPAAAAAAAAAAAAAAAAAJgCAABkcnMvZG93bnJl&#10;di54bWxQSwUGAAAAAAQABAD1AAAAhAM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Ft8AA&#10;AADbAAAADwAAAGRycy9kb3ducmV2LnhtbERPTYvCMBC9C/sfwizsRTR1BZFqWkSUlb1pPXgcmrEp&#10;bSaliVr//WZB8DaP9znrfLCtuFPva8cKZtMEBHHpdM2VgnOxnyxB+ICssXVMCp7kIc8+RmtMtXvw&#10;ke6nUIkYwj5FBSaELpXSl4Ys+qnriCN3db3FEGFfSd3jI4bbVn4nyUJarDk2GOxoa6hsTjeroPgJ&#10;u/ni6Rprfsfbw8CXY2OcUl+fw2YFItAQ3uKX+6Dj/Dn8/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lFt8AAAADbAAAADwAAAAAAAAAAAAAAAACYAgAAZHJzL2Rvd25y&#10;ZXYueG1sUEsFBgAAAAAEAAQA9QAAAIUD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SMMA&#10;AADbAAAADwAAAGRycy9kb3ducmV2LnhtbERPTWvCQBC9F/oflil4qxtbSTW6hhIoWjxVK+htyI7Z&#10;YHY2ZFeN/fXdgtDbPN7nzPPeNuJCna8dKxgNExDEpdM1Vwq+tx/PExA+IGtsHJOCG3nIF48Pc8y0&#10;u/IXXTahEjGEfYYKTAhtJqUvDVn0Q9cSR+7oOoshwq6SusNrDLeNfEmSVFqsOTYYbKkwVJ42Z6tA&#10;7/ZT8/ljzv5tWx5ed+siXaY3pQZP/fsMRKA+/Ivv7pWO88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KSMMAAADbAAAADwAAAAAAAAAAAAAAAACYAgAAZHJzL2Rv&#10;d25yZXYueG1sUEsFBgAAAAAEAAQA9QAAAIgD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ef8EA&#10;AADbAAAADwAAAGRycy9kb3ducmV2LnhtbERPTYvCMBC9C/6HMMLeNFXcItUoYhEURFhX70MztqXN&#10;pDZZrf76jbCwt3m8z1msOlOLO7WutKxgPIpAEGdWl5wrOH9vhzMQziNrrC2Tgic5WC37vQUm2j74&#10;i+4nn4sQwi5BBYX3TSKlywoy6Ea2IQ7c1bYGfYBtLnWLjxBuajmJolgaLDk0FNjQpqCsOv0YBdP9&#10;YXu8ZLtbmk7TqNpX8Ss9xEp9DLr1HISnzv+L/9w7HeZ/wvu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nn/BAAAA2wAAAA8AAAAAAAAAAAAAAAAAmAIAAGRycy9kb3du&#10;cmV2LnhtbFBLBQYAAAAABAAEAPUAAACGAw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I9b0A&#10;AADbAAAADwAAAGRycy9kb3ducmV2LnhtbERPSwrCMBDdC94hjOBOUwVFqlFKQVHc+OkBhmZsi82k&#10;NFHr7Y0guJvH+85q05laPKl1lWUFk3EEgji3uuJCQXbdjhYgnEfWWFsmBW9ysFn3eyuMtX3xmZ4X&#10;X4gQwi5GBaX3TSyly0sy6Ma2IQ7czbYGfYBtIXWLrxBuajmNork0WHFoKLGhtKT8fnkYBadslxb1&#10;UR/26WyRJJia6rSbKjUcdMkShKfO/8U/916H+X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6I9b0AAADbAAAADwAAAAAAAAAAAAAAAACYAgAAZHJzL2Rvd25yZXYu&#10;eG1sUEsFBgAAAAAEAAQA9QAAAIID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eJMEA&#10;AADbAAAADwAAAGRycy9kb3ducmV2LnhtbERPS2sCMRC+F/wPYQRvNasHu6xGER9gCz101fuwGXcX&#10;N5OQRHf775tCobf5+J6z2gymE0/yobWsYDbNQBBXVrdcK7icj685iBCRNXaWScE3BdisRy8rLLTt&#10;+YueZaxFCuFQoIImRldIGaqGDIapdcSJu1lvMCboa6k99incdHKeZQtpsOXU0KCjXUPVvXwYBYdF&#10;ft6+O5fvy+Hz4+izy7XtD0pNxsN2CSLSEP/Ff+6TTvPf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7niTBAAAA2wAAAA8AAAAAAAAAAAAAAAAAmAIAAGRycy9kb3du&#10;cmV2LnhtbFBLBQYAAAAABAAEAPUAAACGAw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WbcMA&#10;AADbAAAADwAAAGRycy9kb3ducmV2LnhtbESPQW/CMAyF75P2HyIj7TJBCpsmVAhoQmKM46CX3Uxj&#10;morGqZIMun8/HyZxs/We3/u8XA++U1eKqQ1sYDopQBHXwbbcGKiO2/EcVMrIFrvAZOCXEqxXjw9L&#10;LG248RddD7lREsKpRAMu577UOtWOPKZJ6IlFO4foMcsaG20j3iTcd3pWFG/aY8vS4LCnjaP6cvjx&#10;Bp6/d6cquop3+WW7v7yGmW6GD2OeRsP7AlSmId/N/9efV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WbcMAAADbAAAADwAAAAAAAAAAAAAAAACYAgAAZHJzL2Rv&#10;d25yZXYueG1sUEsFBgAAAAAEAAQA9QAAAIgD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5sAA&#10;AADbAAAADwAAAGRycy9kb3ducmV2LnhtbERPTYvCMBC9C/sfwizsTRNdcLUaRURB8FCsu/ehGdti&#10;M6lN1PrvjSDsbR7vc+bLztbiRq2vHGsYDhQI4tyZigsNv8dtfwLCB2SDtWPS8CAPy8VHb46JcXc+&#10;0C0LhYgh7BPUUIbQJFL6vCSLfuAa4sidXGsxRNgW0rR4j+G2liOlxtJixbGhxIbWJeXn7Go1pP6v&#10;Snfq8L3+mdqL2lyl2exTrb8+u9UMRKAu/Ivf7p2J8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345sAAAADbAAAADwAAAAAAAAAAAAAAAACYAgAAZHJzL2Rvd25y&#10;ZXYueG1sUEsFBgAAAAAEAAQA9QAAAIUD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9sIA&#10;AADbAAAADwAAAGRycy9kb3ducmV2LnhtbERPz2vCMBS+D/Y/hCfsNlM76GY1yiiIGztNJ+jt0Tyb&#10;YvNSmmjb/fXLYeDx4/u9XA+2ETfqfO1YwWyagCAuna65UvCz3zy/gfABWWPjmBSM5GG9enxYYq5d&#10;z99024VKxBD2OSowIbS5lL40ZNFPXUscubPrLIYIu0rqDvsYbhuZJkkmLdYcGwy2VBgqL7urVaAP&#10;x7n5/DVX/7ovTy+HryLbZqNST5PhfQEi0BDu4n/3h1aQxv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4b2wgAAANsAAAAPAAAAAAAAAAAAAAAAAJgCAABkcnMvZG93&#10;bnJldi54bWxQSwUGAAAAAAQABAD1AAAAhwM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b5McA&#10;AADbAAAADwAAAGRycy9kb3ducmV2LnhtbESPT2sCMRTE74V+h/AKvRRNFBFZjVLFilBs/dNDj4/N&#10;6+7i5mVNorv99k2h0OMwM79hZovO1uJGPlSONQz6CgRx7kzFhYaP00tvAiJEZIO1Y9LwTQEW8/u7&#10;GWbGtXyg2zEWIkE4ZKihjLHJpAx5SRZD3zXEyfty3mJM0hfSeGwT3NZyqNRYWqw4LZTY0Kqk/Hy8&#10;Wg3rp0379jrebS77z51V2+Xaj96V1o8P3fMURKQu/of/2lujYTiA3y/p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2+THAAAA2wAAAA8AAAAAAAAAAAAAAAAAmAIAAGRy&#10;cy9kb3ducmV2LnhtbFBLBQYAAAAABAAEAPUAAACMAw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sIA&#10;AADbAAAADwAAAGRycy9kb3ducmV2LnhtbESPQWsCMRSE74L/ITzBi9Ss2yKyNYoIanus7sXb6+Z1&#10;s7h5WZKo23/fFASPw8x8wyzXvW3FjXxoHCuYTTMQxJXTDdcKytPuZQEiRGSNrWNS8EsB1qvhYImF&#10;dnf+otsx1iJBOBSowMTYFVKGypDFMHUdcfJ+nLcYk/S11B7vCW5bmWfZXFpsOC0Y7GhrqLocr1bB&#10;5Hz4Lr0p+RBfd5+XN5fLut8rNR71m3cQkfr4DD/aH1pBns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Ws6wgAAANsAAAAPAAAAAAAAAAAAAAAAAJgCAABkcnMvZG93&#10;bnJldi54bWxQSwUGAAAAAAQABAD1AAAAhwM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YgcUA&#10;AADbAAAADwAAAGRycy9kb3ducmV2LnhtbESPQWvCQBSE7wX/w/KE3urGCGmbugYRxJaeNBXa2yP7&#10;zAazb0N21dhf3xUKHoeZ+YaZF4NtxZl63zhWMJ0kIIgrpxuuFXyV66cXED4ga2wdk4IreSgWo4c5&#10;5tpdeEvnXahFhLDPUYEJocul9JUhi37iOuLoHVxvMUTZ11L3eIlw28o0STJpseG4YLCjlaHquDtZ&#10;BXr//Wo+fs3JP5fVz2z/uco22VWpx/GwfAMRaAj38H/7XStIZ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iBxQAAANsAAAAPAAAAAAAAAAAAAAAAAJgCAABkcnMv&#10;ZG93bnJldi54bWxQSwUGAAAAAAQABAD1AAAAigM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uisQA&#10;AADbAAAADwAAAGRycy9kb3ducmV2LnhtbESPQWvCQBSE74L/YXmCt7pRSqnRNZSgUA+l1Rbx+Mg+&#10;s6HZtyG7xqS/vlsoeBxm5htmnfW2Fh21vnKsYD5LQBAXTldcKvj63D08g/ABWWPtmBQM5CHbjEdr&#10;TLW78YG6YyhFhLBPUYEJoUml9IUhi37mGuLoXVxrMUTZllK3eItwW8tFkjxJixXHBYMN5YaK7+PV&#10;Kvho3swStT3123PyM3T5+34wUqnppH9ZgQjUh3v4v/2qFSw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SrorEAAAA2wAAAA8AAAAAAAAAAAAAAAAAmAIAAGRycy9k&#10;b3ducmV2LnhtbFBLBQYAAAAABAAEAPUAAACJAw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52MEA&#10;AADbAAAADwAAAGRycy9kb3ducmV2LnhtbESPS4vCMBSF94L/IVzBnaZKR5yOUXyM4NYqM9tLc21L&#10;m5vSRNv592ZAcHk4j4+z2vSmFg9qXWlZwWwagSDOrC45V3C9HCdLEM4ja6wtk4I/crBZDwcrTLTt&#10;+EyP1OcijLBLUEHhfZNI6bKCDLqpbYiDd7OtQR9km0vdYhfGTS3nUbSQBksOhAIb2heUVendBMjn&#10;hapZFW/j7uf3EJfd7tvrs1LjUb/9AuGp9+/wq33SCuYf8P8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djBAAAA2wAAAA8AAAAAAAAAAAAAAAAAmAIAAGRycy9kb3du&#10;cmV2LnhtbFBLBQYAAAAABAAEAPUAAACGAw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YMUA&#10;AADbAAAADwAAAGRycy9kb3ducmV2LnhtbESPQWvCQBSE74X+h+UVvBTdGMFK6ipFUASh0ERojo/s&#10;Mwlm34bdVeO/d4VCj8PMfMMs14PpxJWcby0rmE4SEMSV1S3XCo7FdrwA4QOyxs4yKbiTh/Xq9WWJ&#10;mbY3/qFrHmoRIewzVNCE0GdS+qohg35ie+LonawzGKJ0tdQObxFuOpkmyVwabDkuNNjTpqHqnF+M&#10;guL3fPzIZ5v0e1+eyvdiVx5yZ5UavQ1fnyACDeE//NfeawXpH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dNgxQAAANsAAAAPAAAAAAAAAAAAAAAAAJgCAABkcnMv&#10;ZG93bnJldi54bWxQSwUGAAAAAAQABAD1AAAAigM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IF8QA&#10;AADbAAAADwAAAGRycy9kb3ducmV2LnhtbESPQUvDQBSE74L/YXlCL2I3zSGV2G0RsbTgQY2C10f2&#10;mQ1m34bsa5L++64geBxm5htms5t9p0YaYhvYwGqZgSKug225MfD5sb+7BxUF2WIXmAycKcJue321&#10;wdKGid9prKRRCcKxRANOpC+1jrUjj3EZeuLkfYfBoyQ5NNoOOCW473SeZYX22HJacNjTk6P6pzp5&#10;A8/i85d2ffv6JUU16kMxubl6M2ZxMz8+gBKa5T/81z5aA/kafr+kH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CBfEAAAA2wAAAA8AAAAAAAAAAAAAAAAAmAIAAGRycy9k&#10;b3ducmV2LnhtbFBLBQYAAAAABAAEAPUAAACJAw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sLwA&#10;AADbAAAADwAAAGRycy9kb3ducmV2LnhtbERPuwrCMBTdBf8hXMFNUx1Eq1FEUFx94Hxtrmm1uSlN&#10;rNWvN4PgeDjvxaq1pWio9oVjBaNhAoI4c7pgo+B82g6mIHxA1lg6JgVv8rBadjsLTLV78YGaYzAi&#10;hrBPUUEeQpVK6bOcLPqhq4gjd3O1xRBhbaSu8RXDbSnHSTKRFguODTlWtMkpexyfVsG1mRXmYs0j&#10;a673yXb9vvvd+aNUv9eu5yACteEv/rn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BfuwvAAAANsAAAAPAAAAAAAAAAAAAAAAAJgCAABkcnMvZG93bnJldi54&#10;bWxQSwUGAAAAAAQABAD1AAAAgQM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378A&#10;AADbAAAADwAAAGRycy9kb3ducmV2LnhtbESPzQrCMBCE74LvEFbwpqk9iFajiKCIN39AvS3N2hab&#10;TW2i1rc3guBxmJlvmOm8MaV4Uu0KywoG/QgEcWp1wZmC42HVG4FwHlljaZkUvMnBfNZuTTHR9sU7&#10;eu59JgKEXYIKcu+rREqX5mTQ9W1FHLyrrQ36IOtM6hpfAW5KGUfRUBosOCzkWNEyp/S2fxgF1+by&#10;4O25TDne3E/reMXn5fGk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1zfvwAAANsAAAAPAAAAAAAAAAAAAAAAAJgCAABkcnMvZG93bnJl&#10;di54bWxQSwUGAAAAAAQABAD1AAAAhAM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RTb8A&#10;AADbAAAADwAAAGRycy9kb3ducmV2LnhtbERPz2vCMBS+D/Y/hCd4W1MVZetMZYrCPKrd/dE8m9Lm&#10;pTTRdvvrl4Pg8eP7vd6MthV36n3tWMEsSUEQl07XXCkoLoe3dxA+IGtsHZOCX/KwyV9f1phpN/CJ&#10;7udQiRjCPkMFJoQuk9KXhiz6xHXEkbu63mKIsK+k7nGI4baV8zRdSYs1xwaDHe0Mlc35ZhX8Ne3P&#10;8Tp87Atz2LlBh61eXkalppPx6xNEoDE8xQ/3t1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NFNvwAAANsAAAAPAAAAAAAAAAAAAAAAAJgCAABkcnMvZG93bnJl&#10;di54bWxQSwUGAAAAAAQABAD1AAAAhAM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PMUA&#10;AADbAAAADwAAAGRycy9kb3ducmV2LnhtbESPQWvCQBSE7wX/w/KE3uomFaSmrqJSaw9FaSw9P7LP&#10;bEj2bchuYvrvu4VCj8PMfMOsNqNtxECdrxwrSGcJCOLC6YpLBZ+Xw8MTCB+QNTaOScE3edisJ3cr&#10;zLS78QcNeShFhLDPUIEJoc2k9IUhi37mWuLoXV1nMUTZlVJ3eItw28jHJFlIixXHBYMt7Q0Vdd5b&#10;Bf2lbs6vu+GU90v3Ndbm/Zi+FErdT8ftM4hAY/gP/7XftIJ5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448xQAAANsAAAAPAAAAAAAAAAAAAAAAAJgCAABkcnMv&#10;ZG93bnJldi54bWxQSwUGAAAAAAQABAD1AAAAigM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f8QA&#10;AADbAAAADwAAAGRycy9kb3ducmV2LnhtbESPQYvCMBSE7wv+h/AEL7KmKqh0jaKCKAgr2j14fDRv&#10;29LmpTTR1n9vhIU9DjPzDbNcd6YSD2pcYVnBeBSBIE6tLjhT8JPsPxcgnEfWWFkmBU9ysF71PpYY&#10;a9vyhR5Xn4kAYRejgtz7OpbSpTkZdCNbEwfv1zYGfZBNJnWDbYCbSk6iaCYNFhwWcqxpl1NaXu9G&#10;wbk97Mthkuj5sy1v39vTcV6Mb0oN+t3mC4Snzv+H/9pHrWA6gfe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dX/EAAAA2wAAAA8AAAAAAAAAAAAAAAAAmAIAAGRycy9k&#10;b3ducmV2LnhtbFBLBQYAAAAABAAEAPUAAACJAw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5MYA&#10;AADbAAAADwAAAGRycy9kb3ducmV2LnhtbESPQWvCQBSE7wX/w/IEL6XZaKBK6ipakAqFiqaHHB/Z&#10;1yQk+zZktyb5991CocdhZr5htvvRtOJOvastK1hGMQjiwuqaSwWf2elpA8J5ZI2tZVIwkYP9bvaw&#10;xVTbga90v/lSBAi7FBVU3neplK6oyKCLbEccvC/bG/RB9qXUPQ4Bblq5iuNnabDmsFBhR68VFc3t&#10;2yi4DG+n5jHL9Hoamvzj+H5e18tcqcV8PLyA8DT6//Bf+6wVJAn8fgk/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Q5MYAAADbAAAADwAAAAAAAAAAAAAAAACYAgAAZHJz&#10;L2Rvd25yZXYueG1sUEsFBgAAAAAEAAQA9QAAAIsD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G8MEA&#10;AADbAAAADwAAAGRycy9kb3ducmV2LnhtbESPwWrDMBBE74H+g9hCb7GUNpjgWAmhYEiOdU3PW2tj&#10;mVgrYymJ+/dVIdDjMDNvmHI/u0HcaAq9Zw2rTIEgbr3pudPQfFbLDYgQkQ0OnknDDwXY754WJRbG&#10;3/mDbnXsRIJwKFCDjXEspAytJYch8yNx8s5+chiTnDppJrwnuBvkq1K5dNhzWrA40rul9lJfnQav&#10;vqp62Mj29H3K1bHBlbLXSuuX5/mwBRFpjv/hR/toNLyt4e9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JhvDBAAAA2wAAAA8AAAAAAAAAAAAAAAAAmAIAAGRycy9kb3du&#10;cmV2LnhtbFBLBQYAAAAABAAEAPUAAACGAw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kp8UA&#10;AADbAAAADwAAAGRycy9kb3ducmV2LnhtbESPQWvCQBSE7wX/w/IKvRTdpEUrqauINLR4sE3U+yP7&#10;TILZtyG7Nem/dwWhx2FmvmEWq8E04kKdqy0riCcRCOLC6ppLBYd9Op6DcB5ZY2OZFPyRg9Vy9LDA&#10;RNueM7rkvhQBwi5BBZX3bSKlKyoy6Ca2JQ7eyXYGfZBdKXWHfYCbRr5E0UwarDksVNjSpqLinP8a&#10;BUae3qLsMx0+ptv4+1kf+91h9qPU0+OwfgfhafD/4Xv7Sy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GSnxQAAANsAAAAPAAAAAAAAAAAAAAAAAJgCAABkcnMv&#10;ZG93bnJldi54bWxQSwUGAAAAAAQABAD1AAAAigM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KrcIA&#10;AADbAAAADwAAAGRycy9kb3ducmV2LnhtbESPQYvCMBSE74L/ITzBm6aroNI1iiiKIIrWvXh7NM+2&#10;bPNSmqj13xtB8DjMzDfMdN6YUtypdoVlBT/9CARxanXBmYK/87o3AeE8ssbSMil4koP5rN2aYqzt&#10;g090T3wmAoRdjApy76tYSpfmZND1bUUcvKutDfog60zqGh8Bbko5iKKRNFhwWMixomVO6X9yMwpW&#10;m93+sOHozMfscrkmx/Gi2O6U6naaxS8IT43/hj/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oqtwgAAANsAAAAPAAAAAAAAAAAAAAAAAJgCAABkcnMvZG93&#10;bnJldi54bWxQSwUGAAAAAAQABAD1AAAAhwM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uMYA&#10;AADbAAAADwAAAGRycy9kb3ducmV2LnhtbESPT4vCMBTE74LfITxhL7Km/kHXapRlYcGDKOrC4u3R&#10;PNti81KbqNVPbwTB4zAzv2Gm89oU4kKVyy0r6HYiEMSJ1TmnCv52v59fIJxH1lhYJgU3cjCfNRtT&#10;jLW98oYuW5+KAGEXo4LM+zKW0iUZGXQdWxIH72Argz7IKpW6wmuAm0L2omgoDeYcFjIs6Sej5Lg9&#10;GwWb9np5Lg7jUzLuHff/g/Xu7lZ3pT5a9fcEhKfav8Ov9kIr6I/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lLuMYAAADbAAAADwAAAAAAAAAAAAAAAACYAgAAZHJz&#10;L2Rvd25yZXYueG1sUEsFBgAAAAAEAAQA9QAAAIsD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0t8MA&#10;AADbAAAADwAAAGRycy9kb3ducmV2LnhtbERPz2vCMBS+D/wfwhvsIpqug02qUaR0MIYXrSK7vTXP&#10;pqx5KU2s3X+/HIQdP77fq81oWzFQ7xvHCp7nCQjiyumGawXH8n22AOEDssbWMSn4JQ+b9eRhhZl2&#10;N97TcAi1iCHsM1RgQugyKX1lyKKfu444chfXWwwR9rXUPd5iuG1lmiSv0mLDscFgR7mh6udwtQo+&#10;p19v1+KUn5NpmRYsv/e7Y2mUenoct0sQgcbwL767P7SClzg2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0t8MAAADbAAAADwAAAAAAAAAAAAAAAACYAgAAZHJzL2Rv&#10;d25yZXYueG1sUEsFBgAAAAAEAAQA9QAAAIgD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MMQA&#10;AADbAAAADwAAAGRycy9kb3ducmV2LnhtbESPQWvCQBSE74X+h+UVvIhuqtDW6CpFVEoPgkbvL9ln&#10;Etx9G7Krxn/vFoQeh5n5hpktOmvElVpfO1bwPkxAEBdO11wqOGTrwRcIH5A1Gsek4E4eFvPXlxmm&#10;2t14R9d9KEWEsE9RQRVCk0rpi4os+qFriKN3cq3FEGVbSt3iLcKtkaMk+ZAWa44LFTa0rKg47y9W&#10;QfbbP/oVmu3nJN9k2uSjLO82SvXeuu8piEBd+A8/2z9awXgC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6zDEAAAA2wAAAA8AAAAAAAAAAAAAAAAAmAIAAGRycy9k&#10;b3ducmV2LnhtbFBLBQYAAAAABAAEAPUAAACJAw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nq8IA&#10;AADbAAAADwAAAGRycy9kb3ducmV2LnhtbERPy4rCMBTdD/gP4QruxlTRQapRRBAVHfAF6u7SXNvS&#10;5qY0Uevfm8XALA/nPZk1phRPql1uWUGvG4EgTqzOOVVwPi2/RyCcR9ZYWiYFb3Iwm7a+Jhhr++ID&#10;PY8+FSGEXYwKMu+rWEqXZGTQdW1FHLi7rQ36AOtU6hpfIdyUsh9FP9JgzqEhw4oWGSXF8WEULC7X&#10;yz0vit/tsvc473frzeo2GCrVaTfzMQhPjf8X/7nXWsEgrA9fwg+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OerwgAAANsAAAAPAAAAAAAAAAAAAAAAAJgCAABkcnMvZG93&#10;bnJldi54bWxQSwUGAAAAAAQABAD1AAAAhwM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qKcYA&#10;AADbAAAADwAAAGRycy9kb3ducmV2LnhtbESPQWvCQBSE70L/w/IK3nSjWNHoKhIQYwuFpjno7TX7&#10;mqTNvg3ZVdN/3y0IPQ4z8w2z3vamEVfqXG1ZwWQcgSAurK65VJC/70cLEM4ja2wsk4IfcrDdPAzW&#10;GGt74ze6Zr4UAcIuRgWV920spSsqMujGtiUO3qftDPogu1LqDm8Bbho5jaK5NFhzWKiwpaSi4ju7&#10;GAX09WKflsnHIj0/v57ywzHLkzRTavjY71YgPPX+P3xvp1rBbA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qKcYAAADbAAAADwAAAAAAAAAAAAAAAACYAgAAZHJz&#10;L2Rvd25yZXYueG1sUEsFBgAAAAAEAAQA9QAAAIsD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Fb8MA&#10;AADbAAAADwAAAGRycy9kb3ducmV2LnhtbESPQYvCMBSE7wv+h/AEL4um6iJajSKConsQrHrw9mie&#10;bbF5KU3U+u+NsLDHYWa+YWaLxpTiQbUrLCvo9yIQxKnVBWcKTsd1dwzCeWSNpWVS8CIHi3nra4ax&#10;tk8+0CPxmQgQdjEqyL2vYildmpNB17MVcfCutjbog6wzqWt8Brgp5SCKRtJgwWEhx4pWOaW35G4U&#10;bLaTy/CwwxUnl9fv8LSn9Rm/leq0m+UUhKfG/4f/2lut4GcAn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Fb8MAAADbAAAADwAAAAAAAAAAAAAAAACYAgAAZHJzL2Rv&#10;d25yZXYueG1sUEsFBgAAAAAEAAQA9QAAAIgD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xsYA&#10;AADbAAAADwAAAGRycy9kb3ducmV2LnhtbESPS4vCQBCE74L/YWjBi6wTH8gaHUUEwYMoPmDZW5Np&#10;k2CmJ2ZGjf56R1jYY1FVX1HTeW0KcafK5ZYV9LoRCOLE6pxTBafj6usbhPPIGgvLpOBJDuazZmOK&#10;sbYP3tP94FMRIOxiVJB5X8ZSuiQjg65rS+LgnW1l0AdZpVJX+AhwU8h+FI2kwZzDQoYlLTNKLoeb&#10;UbDv7Da34jy+JuP+5fdnuDu+3PalVLtVLyYgPNX+P/zXXmsFwwF8voQf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Q+xsYAAADbAAAADwAAAAAAAAAAAAAAAACYAgAAZHJz&#10;L2Rvd25yZXYueG1sUEsFBgAAAAAEAAQA9QAAAIsD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Iq8MA&#10;AADbAAAADwAAAGRycy9kb3ducmV2LnhtbESPQYvCMBSE74L/ITzBm6Yrsmg1iggugnvRFtHbo3m2&#10;ZZuXkmS1/vvNguBxmJlvmOW6M424k/O1ZQUf4wQEcWF1zaWCPNuNZiB8QNbYWCYFT/KwXvV7S0y1&#10;ffCR7qdQighhn6KCKoQ2ldIXFRn0Y9sSR+9mncEQpSuldviIcNPISZJ8SoM1x4UKW9pWVPycfo2C&#10;6yabf++e7f58uRzPX/nskAd2Sg0H3WYBIlAX3uFXe68VT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Iq8MAAADbAAAADwAAAAAAAAAAAAAAAACYAgAAZHJzL2Rv&#10;d25yZXYueG1sUEsFBgAAAAAEAAQA9QAAAIgD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OAcIA&#10;AADbAAAADwAAAGRycy9kb3ducmV2LnhtbESPQWsCMRSE7wX/Q3hCbzWrtiKrUUQQeyu7Cl6fm+fu&#10;spuXJYma/vumUOhxmJlvmPU2ml48yPnWsoLpJANBXFndcq3gfDq8LUH4gKyxt0wKvsnDdjN6WWOu&#10;7ZMLepShFgnCPkcFTQhDLqWvGjLoJ3YgTt7NOoMhSVdL7fCZ4KaXsyxbSIMtp4UGB9o3VHXl3Si4&#10;xkW8tH7uLrfu4IruWHD5VSj1Oo67FYhAMfyH/9qfWsH7B/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U4BwgAAANsAAAAPAAAAAAAAAAAAAAAAAJgCAABkcnMvZG93&#10;bnJldi54bWxQSwUGAAAAAAQABAD1AAAAhwM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j38YA&#10;AADbAAAADwAAAGRycy9kb3ducmV2LnhtbESPT2sCMRTE70K/Q3iCl6LZ2lZ0NUqRlnrwUv8g3h6b&#10;52bp5iVs0nX77ZuC4HGYmd8wi1Vna9FSEyrHCp5GGQjiwumKSwWH/cdwCiJEZI21Y1LwSwFWy4fe&#10;AnPtrvxF7S6WIkE45KjAxOhzKUNhyGIYOU+cvItrLMYkm1LqBq8Jbms5zrKJtFhxWjDoaW2o+N79&#10;WAWzz1f/bh6361ifN9JPi+fjtj0pNeh3b3MQkbp4D9/aG63gZQL/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Aj38YAAADbAAAADwAAAAAAAAAAAAAAAACYAgAAZHJz&#10;L2Rvd25yZXYueG1sUEsFBgAAAAAEAAQA9QAAAIsD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P8IA&#10;AADbAAAADwAAAGRycy9kb3ducmV2LnhtbESPQWsCMRSE7wX/Q3iCt5q1aCurUVQo7cWCVu+PzXOz&#10;uHlZNtk1/feNIHgcZuYbZrmOthY9tb5yrGAyzkAQF05XXCo4/X6+zkH4gKyxdkwK/sjDejV4WWKu&#10;3Y0P1B9DKRKEfY4KTAhNLqUvDFn0Y9cQJ+/iWoshybaUusVbgttavmXZu7RYcVow2NDOUHE9dlbB&#10;tpM/df/VHXb7yznOm4nxs31UajSMmwWIQDE8w4/2t1Yw/YD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1g/wgAAANsAAAAPAAAAAAAAAAAAAAAAAJgCAABkcnMvZG93&#10;bnJldi54bWxQSwUGAAAAAAQABAD1AAAAhwM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Freeform 51" o:spid="_x0000_s1071" style="position:absolute;left:7848;top:3702;width:235;height:158;visibility:visible;mso-wrap-style:square;v-text-anchor:top" coordsize="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fMMA&#10;AADbAAAADwAAAGRycy9kb3ducmV2LnhtbESPQWuDQBSE74H+h+UVcotrQgitdRNKQAjeYkrI8eG+&#10;qui+FXejpr++Gyj0OMzMN0x6mE0nRhpcY1nBOopBEJdWN1wp+LpkqzcQziNr7CyTggc5OOxfFikm&#10;2k58prHwlQgQdgkqqL3vEyldWZNBF9meOHjfdjDogxwqqQecAtx0chPHO2mw4bBQY0/Hmsq2uBsF&#10;RdVuzBTf++N1neWX7Gdnmluu1PJ1/vwA4Wn2/+G/9kkr2L7D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LfMMAAADbAAAADwAAAAAAAAAAAAAAAACYAgAAZHJzL2Rv&#10;d25yZXYueG1sUEsFBgAAAAAEAAQA9QAAAIgD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c8AA&#10;AADbAAAADwAAAGRycy9kb3ducmV2LnhtbERPTYvCMBC9C/6HMII3TVUUqUbRdRe8iLvqxdvQjG2x&#10;mZQk1u6/NwfB4+N9L9etqURDzpeWFYyGCQjizOqScwWX889gDsIHZI2VZVLwTx7Wq25niam2T/6j&#10;5hRyEUPYp6igCKFOpfRZQQb90NbEkbtZZzBE6HKpHT5juKnkOElm0mDJsaHAmr4Kyu6nh1HwO/ve&#10;7dvdo9lOr5Px8UiH+c0Fpfq9drMAEagNH/HbvdcKp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fLc8AAAADbAAAADwAAAAAAAAAAAAAAAACYAgAAZHJzL2Rvd25y&#10;ZXYueG1sUEsFBgAAAAAEAAQA9QAAAIUD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cIA&#10;AADbAAAADwAAAGRycy9kb3ducmV2LnhtbESP0YrCMBRE3wX/IVzBF9HUFV3pGkUWFkV8se4HXJpr&#10;07W5qU1W698bQfBxmJkzzGLV2kpcqfGlYwXjUQKCOHe65ELB7/FnOAfhA7LGyjEpuJOH1bLbWWCq&#10;3Y0PdM1CISKEfYoKTAh1KqXPDVn0I1cTR+/kGoshyqaQusFbhNtKfiTJTFosOS4YrOnbUH7O/q0C&#10;fTzvqunp8unMoN5MDnJv/5xXqt9r118gArXhHX61t1rBd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m21wgAAANsAAAAPAAAAAAAAAAAAAAAAAJgCAABkcnMvZG93&#10;bnJldi54bWxQSwUGAAAAAAQABAD1AAAAhwM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58MA&#10;AADbAAAADwAAAGRycy9kb3ducmV2LnhtbESP3WrCQBSE7wu+w3IE7+pGpaLRVaQgSCmKPw9wyB6T&#10;YPZsmj3G9O27BcHLYWa+YZbrzlWqpSaUng2Mhgko4szbknMDl/P2fQYqCLLFyjMZ+KUA61XvbYmp&#10;9Q8+UnuSXEUIhxQNFCJ1qnXICnIYhr4mjt7VNw4lyibXtsFHhLtKj5Nkqh2WHBcKrOmzoOx2ujsD&#10;P7dDvd/JfdJOv7vRZbtvv2R+MGbQ7zYLUEKdvMLP9s4a+Bj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a58MAAADbAAAADwAAAAAAAAAAAAAAAACYAgAAZHJzL2Rv&#10;d25yZXYueG1sUEsFBgAAAAAEAAQA9QAAAIgD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rV8UA&#10;AADbAAAADwAAAGRycy9kb3ducmV2LnhtbESP3WoCMRSE74W+QziF3tWslW5lNYotlFaEtv7dH5Lj&#10;7uLmZJukur69EQpeDjPzDTOZdbYRR/Khdqxg0M9AEGtnai4VbDfvjyMQISIbbByTgjMFmE3vehMs&#10;jDvxio7rWIoE4VCggirGtpAy6Ioshr5riZO3d95iTNKX0ng8Jbht5FOW5dJizWmhwpbeKtKH9Z9V&#10;sN/k9W/+8nPe6bZZvn4vPrT/Gir1cN/NxyAidfEW/m9/GgXPQ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CtXxQAAANsAAAAPAAAAAAAAAAAAAAAAAJgCAABkcnMv&#10;ZG93bnJldi54bWxQSwUGAAAAAAQABAD1AAAAigM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sQA&#10;AADbAAAADwAAAGRycy9kb3ducmV2LnhtbESPQWsCMRSE7wX/Q3hCbzWrtiKrUcS6Yg8KtaXnx+a5&#10;Wdy8LEnU9d83QqHHYWa+YebLzjbiSj7UjhUMBxkI4tLpmisF31/FyxREiMgaG8ek4E4Blove0xxz&#10;7W78SddjrESCcMhRgYmxzaUMpSGLYeBa4uSdnLcYk/SV1B5vCW4bOcqyibRYc1ow2NLaUHk+XqyC&#10;Yrzng71v12b8M10V73HjPzZnpZ773WoGIlIX/8N/7Z1W8PYK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GSLEAAAA2wAAAA8AAAAAAAAAAAAAAAAAmAIAAGRycy9k&#10;b3ducmV2LnhtbFBLBQYAAAAABAAEAPUAAACJAw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y3MQA&#10;AADbAAAADwAAAGRycy9kb3ducmV2LnhtbESPQWvCQBSE74L/YXlCb7qxJSLRVVpB9Joolt6e2dds&#10;MPs2ZLea+uvdQsHjMDPfMMt1bxtxpc7XjhVMJwkI4tLpmisFx8N2PAfhA7LGxjEp+CUP69VwsMRM&#10;uxvndC1CJSKEfYYKTAhtJqUvDVn0E9cSR+/bdRZDlF0ldYe3CLeNfE2SmbRYc1ww2NLGUHkpfqyC&#10;r93b7pynbq8PH5vLvci35vM0Vepl1L8vQATqwzP8395r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ctzEAAAA2wAAAA8AAAAAAAAAAAAAAAAAmAIAAGRycy9k&#10;b3ducmV2LnhtbFBLBQYAAAAABAAEAPUAAACJAw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OMMA&#10;AADbAAAADwAAAGRycy9kb3ducmV2LnhtbESPQYvCMBSE78L+h/AWvGmqi+7SbRQRRUEvWqXXR/O2&#10;LTYvpclq/fdGEDwOM/MNk8w7U4srta6yrGA0jEAQ51ZXXCg4pevBDwjnkTXWlknBnRzMZx+9BGNt&#10;b3yg69EXIkDYxaig9L6JpXR5SQbd0DbEwfuzrUEfZFtI3eItwE0tx1E0lQYrDgslNrQsKb8c/42C&#10;Om/WmTWn9J59p110Pm/2u9WXUv3PbvELwlPn3+FXe6sVT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hOMMAAADbAAAADwAAAAAAAAAAAAAAAACYAgAAZHJzL2Rv&#10;d25yZXYueG1sUEsFBgAAAAAEAAQA9QAAAIgD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n4cIA&#10;AADbAAAADwAAAGRycy9kb3ducmV2LnhtbESPQYvCMBSE74L/ITzBm6YuuErXKCIsCApi9bK3t83b&#10;tti8xCZq9ddvBMHjMDPfMLNFa2pxpcZXlhWMhgkI4tzqigsFx8P3YArCB2SNtWVScCcPi3m3M8NU&#10;2xvv6ZqFQkQI+xQVlCG4VEqfl2TQD60jjt6fbQyGKJtC6gZvEW5q+ZEkn9JgxXGhREerkvJTdjEK&#10;HP/8nk/ahfWDsna3Sybbi9ko1e+1yy8QgdrwDr/aa61gPI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WfhwgAAANsAAAAPAAAAAAAAAAAAAAAAAJgCAABkcnMvZG93&#10;bnJldi54bWxQSwUGAAAAAAQABAD1AAAAhwM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CDsAA&#10;AADbAAAADwAAAGRycy9kb3ducmV2LnhtbERPS2rDMBDdB3oHMYXuErlxmxQnsgmGQuiq+RxgsKa2&#10;U2vkSIrt3D5aFLp8vP+2mEwnBnK+tazgdZGAIK6sbrlWcD59zj9A+ICssbNMCu7kocifZlvMtB35&#10;QMMx1CKGsM9QQRNCn0npq4YM+oXtiSP3Y53BEKGrpXY4xnDTyWWSrKTBlmNDgz2VDVW/x5tRkO7e&#10;ll0Zvi9fGul8Peh1ut47pV6ep90GRKAp/Iv/3Hut4D2OjV/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aCDsAAAADbAAAADwAAAAAAAAAAAAAAAACYAgAAZHJzL2Rvd25y&#10;ZXYueG1sUEsFBgAAAAAEAAQA9QAAAIUD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42cQA&#10;AADbAAAADwAAAGRycy9kb3ducmV2LnhtbESPQWvCQBSE74X+h+UVvNWNFaVNXUUF0WuitHh7Zl+z&#10;wezbkN1q9Ne7guBxmJlvmMmss7U4UesrxwoG/QQEceF0xaWC3Xb1/gnCB2SNtWNScCEPs+nrywRT&#10;7c6c0SkPpYgQ9ikqMCE0qZS+MGTR911DHL0/11oMUbal1C2eI9zW8iNJxtJixXHBYENLQ8Ux/7cK&#10;9uvh+pCN3EZvF8vjNc9W5vdnoFTvrZt/gwjUhWf40d5oBaMv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eNnEAAAA2wAAAA8AAAAAAAAAAAAAAAAAmAIAAGRycy9k&#10;b3ducmV2LnhtbFBLBQYAAAAABAAEAPUAAACJAw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Ck8EA&#10;AADbAAAADwAAAGRycy9kb3ducmV2LnhtbERP3WrCMBS+H/gO4QjejJmqzI3OtIggiuxG3QMcmmPT&#10;2ZzUJrb17c3FYJcf3/8qH2wtOmp95VjBbJqAIC6crrhU8HPevn2C8AFZY+2YFDzIQ56NXlaYatfz&#10;kbpTKEUMYZ+iAhNCk0rpC0MW/dQ1xJG7uNZiiLAtpW6xj+G2lvMkWUqLFccGgw1tDBXX090q0Ofr&#10;oX6/3D6ceW12i6P8tr/OKzUZD+svEIGG8C/+c++1gm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ApPBAAAA2wAAAA8AAAAAAAAAAAAAAAAAmAIAAGRycy9kb3du&#10;cmV2LnhtbFBLBQYAAAAABAAEAPUAAACGAw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z8cMA&#10;AADbAAAADwAAAGRycy9kb3ducmV2LnhtbESPQYvCMBSE74L/ITxhb5qq4EptKiKKC+5lW8Xro3m2&#10;xealNFHrvzcLC3scZuYbJln3phEP6lxtWcF0EoEgLqyuuVRwyvfjJQjnkTU2lknBixys0+EgwVjb&#10;J//QI/OlCBB2MSqovG9jKV1RkUE3sS1x8K62M+iD7EqpO3wGuGnkLIoW0mDNYaHClrYVFbfsbhQ0&#10;Rbu/WHPKX5fPvI/O58P3cTdX6mPUb1YgPPX+P/zX/tIKFlP4/RJ+gE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z8cMAAADbAAAADwAAAAAAAAAAAAAAAACYAgAAZHJzL2Rv&#10;d25yZXYueG1sUEsFBgAAAAAEAAQA9QAAAIgD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f8QA&#10;AADbAAAADwAAAGRycy9kb3ducmV2LnhtbESP0WrCQBRE3wv+w3ILvpS60VIr0VWkIJbSlyR+wCV7&#10;zaZm78bs1sS/7wqCj8PMnGFWm8E24kKdrx0rmE4SEMSl0zVXCg7F7nUBwgdkjY1jUnAlD5v16GmF&#10;qXY9Z3TJQyUihH2KCkwIbSqlLw1Z9BPXEkfv6DqLIcqukrrDPsJtI2dJMpcWa44LBlv6NFSe8j+r&#10;QBen7+b9eP5w5qXdv2Xyx/46r9T4edguQQQawiN8b39pBfMZ3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OX/EAAAA2wAAAA8AAAAAAAAAAAAAAAAAmAIAAGRycy9k&#10;b3ducmV2LnhtbFBLBQYAAAAABAAEAPUAAACJAw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3MEA&#10;AADbAAAADwAAAGRycy9kb3ducmV2LnhtbESPQWsCMRSE74X+h/AEL0WzKmx1a5QqCD0Jq/X+2Lzu&#10;LiYvSxJ1/feNIHgcZuYbZrnurRFX8qF1rGAyzkAQV063XCv4Pe5GcxAhIms0jknBnQKsV+9vSyy0&#10;u3FJ10OsRYJwKFBBE2NXSBmqhiyGseuIk/fnvMWYpK+l9nhLcGvkNMtyabHltNBgR9uGqvPhYhXM&#10;Fh9cfk5bc6+9yTnfnMp9b5QaDvrvLxCR+vgKP9s/WkE+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dzBAAAA2wAAAA8AAAAAAAAAAAAAAAAAmAIAAGRycy9kb3du&#10;cmV2LnhtbFBLBQYAAAAABAAEAPUAAACGAw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d+sQA&#10;AADbAAAADwAAAGRycy9kb3ducmV2LnhtbESPQWvCQBSE70L/w/KE3nSjrSKpq1RB9JooLd5es89s&#10;MPs2ZLea9te7guBxmJlvmPmys7W4UOsrxwpGwwQEceF0xaWCw34zmIHwAVlj7ZgU/JGH5eKlN8dU&#10;uytndMlDKSKEfYoKTAhNKqUvDFn0Q9cQR+/kWoshyraUusVrhNtajpNkKi1WHBcMNrQ2VJzzX6vg&#10;uH3b/mQTt9P71fr8n2cb8/01Uuq1331+gAjUhWf40d5p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HfrEAAAA2wAAAA8AAAAAAAAAAAAAAAAAmAIAAGRycy9k&#10;b3ducmV2LnhtbFBLBQYAAAAABAAEAPUAAACJAw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9vb4A&#10;AADbAAAADwAAAGRycy9kb3ducmV2LnhtbESPzQrCMBCE74LvEFbwpqmCItUoIggexP+Dx6VZ22Kz&#10;KUnU+vZGEDwOM/MNM1s0phJPcr60rGDQT0AQZ1aXnCu4nNe9CQgfkDVWlknBmzws5u3WDFNtX3yk&#10;5ynkIkLYp6igCKFOpfRZQQZ939bE0btZZzBE6XKpHb4i3FRymCRjabDkuFBgTauCsvvpYRRsD8Hr&#10;fO3Q+P15JK+T8r47rJTqdprlFESgJvzDv/ZGKxiP4P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q/b2+AAAA2wAAAA8AAAAAAAAAAAAAAAAAmAIAAGRycy9kb3ducmV2&#10;LnhtbFBLBQYAAAAABAAEAPUAAACDAw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PW8UA&#10;AADbAAAADwAAAGRycy9kb3ducmV2LnhtbESPT2sCMRTE74V+h/AKvdWsrSyyGkVKhfai9S8eH5vn&#10;Zu3mZZukun77plDwOMzMb5jxtLONOJMPtWMF/V4Ggrh0uuZKwXYzfxqCCBFZY+OYFFwpwHRyfzfG&#10;QrsLr+i8jpVIEA4FKjAxtoWUoTRkMfRcS5y8o/MWY5K+ktrjJcFtI5+zLJcWa04LBlt6NVR+rX+s&#10;gsNu+fH5chq0xtf775UJ87fFsK/U40M3G4GI1MVb+L/9rhXkO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9bxQAAANsAAAAPAAAAAAAAAAAAAAAAAJgCAABkcnMv&#10;ZG93bnJldi54bWxQSwUGAAAAAAQABAD1AAAAigM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bsUA&#10;AADbAAAADwAAAGRycy9kb3ducmV2LnhtbESP0WrCQBRE3wX/YblCX0Q35kEldRUJFkpKoRo/4JK9&#10;zabN3g3ZbUz79d1CwcdhZs4wu8NoWzFQ7xvHClbLBARx5XTDtYJr+bTYgvABWWPrmBR8k4fDfjrZ&#10;Yabdjc80XEItIoR9hgpMCF0mpa8MWfRL1xFH7931FkOUfS11j7cIt61Mk2QtLTYcFwx2lBuqPi9f&#10;VkFZ5Nuf1/SIZ2lKPZ5e5m8fxVyph9l4fAQRaAz38H/7WStYb+DvS/w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NuxQAAANsAAAAPAAAAAAAAAAAAAAAAAJgCAABkcnMv&#10;ZG93bnJldi54bWxQSwUGAAAAAAQABAD1AAAAigM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NyMAA&#10;AADbAAAADwAAAGRycy9kb3ducmV2LnhtbERPTYvCMBC9C/sfwix403QVi1Sj7K4KXkTX9eJtaMa2&#10;2ExKEmv99+YgeHy87/myM7VoyfnKsoKvYQKCOLe64kLB6X8zmILwAVljbZkUPMjDcvHRm2Om7Z3/&#10;qD2GQsQQ9hkqKENoMil9XpJBP7QNceQu1hkMEbpCaof3GG5qOUqSVBqsODaU2NBvSfn1eDMKDul6&#10;te1Wt/Znch6P9nvaTS8uKNX/7L5nIAJ14S1+ub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0NyMAAAADbAAAADwAAAAAAAAAAAAAAAACYAgAAZHJzL2Rvd25y&#10;ZXYueG1sUEsFBgAAAAAEAAQA9QAAAIUD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b8MA&#10;AADbAAAADwAAAGRycy9kb3ducmV2LnhtbESPT4vCMBTE74LfITzBi6ypHsR2jeIuCF7Ef4vnR/Ns&#10;ujYvpYna3U9vBMHjMPObYWaL1lbiRo0vHSsYDRMQxLnTJRcKfo6rjykIH5A1Vo5JwR95WMy7nRlm&#10;2t15T7dDKEQsYZ+hAhNCnUnpc0MW/dDVxNE7u8ZiiLIppG7wHsttJcdJMpEWS44LBmv6NpRfDler&#10;ID0f06/fnZHJ9jSoN/+RPW03SvV77fITRKA2vMMveq0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b8MAAADbAAAADwAAAAAAAAAAAAAAAACYAgAAZHJzL2Rv&#10;d25yZXYueG1sUEsFBgAAAAAEAAQA9QAAAIgD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BsEA&#10;AADbAAAADwAAAGRycy9kb3ducmV2LnhtbERPy2rCQBTdF/oPwy24ayZNwUp0FCko7UqMLrK8ZK5J&#10;NHMnZCYP+/XOQujycN6rzWQaMVDnassKPqIYBHFhdc2lgvNp974A4TyyxsYyKbiTg8369WWFqbYj&#10;H2nIfClCCLsUFVTet6mUrqjIoItsSxy4i+0M+gC7UuoOxxBuGpnE8VwarDk0VNjSd0XFLeuNgrqf&#10;+yTPbp/XvfyT5dbki99DrtTsbdouQXia/L/46f7RCr7C+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FAbBAAAA2wAAAA8AAAAAAAAAAAAAAAAAmAIAAGRycy9kb3du&#10;cmV2LnhtbFBLBQYAAAAABAAEAPUAAACGAw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2sMA&#10;AADbAAAADwAAAGRycy9kb3ducmV2LnhtbESPQWsCMRSE70L/Q3iF3jRrBZWtUcS6pR4U1NLzY/O6&#10;Wdy8LEmq6783guBxmJlvmNmis404kw+1YwXDQQaCuHS65krBz7HoT0GEiKyxcUwKrhRgMX/pzTDX&#10;7sJ7Oh9iJRKEQ44KTIxtLmUoDVkMA9cSJ+/PeYsxSV9J7fGS4LaR71k2lhZrTgsGW1oZKk+Hf6ug&#10;GG15Z69fKzP6nS6Lz7j2m/VJqbfXbvkBIlIXn+FH+1srmAz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m2sMAAADbAAAADwAAAAAAAAAAAAAAAACYAgAAZHJzL2Rv&#10;d25yZXYueG1sUEsFBgAAAAAEAAQA9QAAAIgD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fhcUA&#10;AADbAAAADwAAAGRycy9kb3ducmV2LnhtbESPQWsCMRSE74L/ITzBm2bV0spqFJEK7aVVq6XHx+a5&#10;2Xbzsk1SXf99IxR6HGbmG2a+bG0tzuRD5VjBaJiBIC6crrhUcHjbDKYgQkTWWDsmBVcKsFx0O3PM&#10;tbvwjs77WIoE4ZCjAhNjk0sZCkMWw9A1xMk7OW8xJulLqT1eEtzWcpxl99JixWnBYENrQ8XX/scq&#10;+Di+Pm8nn3eN8dX7986EzePLdKRUv9euZiAitfE//Nd+0goexnD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V+FxQAAANsAAAAPAAAAAAAAAAAAAAAAAJgCAABkcnMv&#10;ZG93bnJldi54bWxQSwUGAAAAAAQABAD1AAAAigM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8IA&#10;AADbAAAADwAAAGRycy9kb3ducmV2LnhtbESPQYvCMBSE7wv+h/AEb2vqLqh0jSJdhD3sxSqeH83b&#10;tti8hCTa6q/fCILHYWa+YVabwXTiSj60lhXMphkI4srqlmsFx8PufQkiRGSNnWVScKMAm/XobYW5&#10;tj3v6VrGWiQIhxwVNDG6XMpQNWQwTK0jTt6f9QZjkr6W2mOf4KaTH1k2lwZbTgsNOioaqs7lxShY&#10;9sWxDXNvLtm9PDlX/G6/Y1BqMh62XyAiDfEVfrZ/tILFJz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j/wgAAANsAAAAPAAAAAAAAAAAAAAAAAJgCAABkcnMvZG93&#10;bnJldi54bWxQSwUGAAAAAAQABAD1AAAAhwM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iasUA&#10;AADbAAAADwAAAGRycy9kb3ducmV2LnhtbESPW2sCMRSE3wv+h3CEvtWsF6psjVKKQvvSei19PGxO&#10;N9tuTtYk6vbfm4Lg4zAz3zDTeWtrcSIfKscK+r0MBHHhdMWlgt12+TABESKyxtoxKfijAPNZ526K&#10;uXZnXtNpE0uRIBxyVGBibHIpQ2HIYui5hjh5385bjEn6UmqP5wS3tRxk2aO0WHFaMNjQi6Hid3O0&#10;Cr72H2+r4c+oMb76PKxNWC7eJ32l7rvt8xOISG28ha/tV61gPIL/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JqxQAAANsAAAAPAAAAAAAAAAAAAAAAAJgCAABkcnMv&#10;ZG93bnJldi54bWxQSwUGAAAAAAQABAD1AAAAigM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2t8QA&#10;AADbAAAADwAAAGRycy9kb3ducmV2LnhtbESPT2sCMRTE70K/Q3gFL1KzCvXP1ihVELyI7Vo8PzbP&#10;zbabl2UTdeunN4LgcZj5zTCzRWsrcabGl44VDPoJCOLc6ZILBT/79dsEhA/IGivHpOCfPCzmL50Z&#10;ptpd+JvOWShELGGfogITQp1K6XNDFn3f1cTRO7rGYoiyKaRu8BLLbSWHSTKSFkuOCwZrWhnK/7KT&#10;VTA97qfL3y8jk92hV2+vkT3stkp1X9vPDxCB2vAMP+iNVjB+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drfEAAAA2wAAAA8AAAAAAAAAAAAAAAAAmAIAAGRycy9k&#10;b3ducmV2LnhtbFBLBQYAAAAABAAEAPUAAACJAw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31E32652" wp14:editId="7241DB72">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97CF75"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38CA570" wp14:editId="25B3B1CD">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19DDC4"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4EA3FBF"/>
    <w:multiLevelType w:val="hybridMultilevel"/>
    <w:tmpl w:val="87D2FB3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50B18AB"/>
    <w:multiLevelType w:val="hybridMultilevel"/>
    <w:tmpl w:val="097C4A7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11FE738A"/>
    <w:multiLevelType w:val="hybridMultilevel"/>
    <w:tmpl w:val="6B1A1AF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E74512"/>
    <w:multiLevelType w:val="hybridMultilevel"/>
    <w:tmpl w:val="EAE60398"/>
    <w:lvl w:ilvl="0" w:tplc="532EA038">
      <w:start w:val="1"/>
      <w:numFmt w:val="decimal"/>
      <w:pStyle w:val="Level1"/>
      <w:lvlText w:val="%1."/>
      <w:lvlJc w:val="left"/>
      <w:pPr>
        <w:ind w:left="785" w:hanging="360"/>
      </w:pPr>
      <w:rPr>
        <w:rFonts w:asciiTheme="majorHAnsi" w:hAnsiTheme="majorHAnsi" w:cstheme="majorHAnsi" w:hint="default"/>
        <w:b/>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680C87"/>
    <w:multiLevelType w:val="hybridMultilevel"/>
    <w:tmpl w:val="97DC528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332FCE"/>
    <w:multiLevelType w:val="hybridMultilevel"/>
    <w:tmpl w:val="757462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C22B54"/>
    <w:multiLevelType w:val="hybridMultilevel"/>
    <w:tmpl w:val="40C2B7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26318F0"/>
    <w:multiLevelType w:val="multilevel"/>
    <w:tmpl w:val="B9E6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16C03"/>
    <w:multiLevelType w:val="hybridMultilevel"/>
    <w:tmpl w:val="8E723A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B694DB8"/>
    <w:multiLevelType w:val="hybridMultilevel"/>
    <w:tmpl w:val="85488FF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560240E7"/>
    <w:multiLevelType w:val="hybridMultilevel"/>
    <w:tmpl w:val="2B3E3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5A366C0"/>
    <w:multiLevelType w:val="multilevel"/>
    <w:tmpl w:val="2948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372E1D"/>
    <w:multiLevelType w:val="hybridMultilevel"/>
    <w:tmpl w:val="A394D5F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2" w15:restartNumberingAfterBreak="0">
    <w:nsid w:val="7E5C6B93"/>
    <w:multiLevelType w:val="multilevel"/>
    <w:tmpl w:val="6BA0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1"/>
  </w:num>
  <w:num w:numId="3">
    <w:abstractNumId w:val="8"/>
  </w:num>
  <w:num w:numId="4">
    <w:abstractNumId w:val="14"/>
  </w:num>
  <w:num w:numId="5">
    <w:abstractNumId w:val="12"/>
  </w:num>
  <w:num w:numId="6">
    <w:abstractNumId w:val="6"/>
  </w:num>
  <w:num w:numId="7">
    <w:abstractNumId w:val="5"/>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4"/>
  </w:num>
  <w:num w:numId="13">
    <w:abstractNumId w:val="3"/>
  </w:num>
  <w:num w:numId="14">
    <w:abstractNumId w:val="7"/>
  </w:num>
  <w:num w:numId="15">
    <w:abstractNumId w:val="15"/>
  </w:num>
  <w:num w:numId="16">
    <w:abstractNumId w:val="19"/>
  </w:num>
  <w:num w:numId="17">
    <w:abstractNumId w:val="22"/>
  </w:num>
  <w:num w:numId="18">
    <w:abstractNumId w:val="17"/>
  </w:num>
  <w:num w:numId="19">
    <w:abstractNumId w:val="20"/>
  </w:num>
  <w:num w:numId="20">
    <w:abstractNumId w:val="10"/>
  </w:num>
  <w:num w:numId="21">
    <w:abstractNumId w:val="18"/>
  </w:num>
  <w:num w:numId="22">
    <w:abstractNumId w:val="1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1"/>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5CD"/>
    <w:rsid w:val="00007DE9"/>
    <w:rsid w:val="00015AE4"/>
    <w:rsid w:val="0003018E"/>
    <w:rsid w:val="00033BC3"/>
    <w:rsid w:val="00044E09"/>
    <w:rsid w:val="00046AC0"/>
    <w:rsid w:val="0004784D"/>
    <w:rsid w:val="00053A00"/>
    <w:rsid w:val="00054520"/>
    <w:rsid w:val="000739CD"/>
    <w:rsid w:val="000A1B06"/>
    <w:rsid w:val="000B378A"/>
    <w:rsid w:val="000B6C00"/>
    <w:rsid w:val="000B71F8"/>
    <w:rsid w:val="000C1F06"/>
    <w:rsid w:val="000E6697"/>
    <w:rsid w:val="000E6B5E"/>
    <w:rsid w:val="000F1DD1"/>
    <w:rsid w:val="000F28B8"/>
    <w:rsid w:val="000F359D"/>
    <w:rsid w:val="000F3766"/>
    <w:rsid w:val="00105397"/>
    <w:rsid w:val="00106FC4"/>
    <w:rsid w:val="00111F0C"/>
    <w:rsid w:val="00113FD8"/>
    <w:rsid w:val="00145E2D"/>
    <w:rsid w:val="00156F53"/>
    <w:rsid w:val="00160299"/>
    <w:rsid w:val="0016612C"/>
    <w:rsid w:val="001763D4"/>
    <w:rsid w:val="00181433"/>
    <w:rsid w:val="001834DD"/>
    <w:rsid w:val="0018576A"/>
    <w:rsid w:val="001B2539"/>
    <w:rsid w:val="001C096E"/>
    <w:rsid w:val="001C27A3"/>
    <w:rsid w:val="001C53CE"/>
    <w:rsid w:val="001C5D96"/>
    <w:rsid w:val="001D0FD9"/>
    <w:rsid w:val="001D341B"/>
    <w:rsid w:val="001E3D2B"/>
    <w:rsid w:val="001E66CE"/>
    <w:rsid w:val="001E6F21"/>
    <w:rsid w:val="00207788"/>
    <w:rsid w:val="002203D2"/>
    <w:rsid w:val="00221DC2"/>
    <w:rsid w:val="002245CA"/>
    <w:rsid w:val="002405A2"/>
    <w:rsid w:val="00244B48"/>
    <w:rsid w:val="002573D5"/>
    <w:rsid w:val="00262C17"/>
    <w:rsid w:val="00264E26"/>
    <w:rsid w:val="00265580"/>
    <w:rsid w:val="0027498C"/>
    <w:rsid w:val="00280E74"/>
    <w:rsid w:val="00282F81"/>
    <w:rsid w:val="002869E0"/>
    <w:rsid w:val="00291EAC"/>
    <w:rsid w:val="00297D1F"/>
    <w:rsid w:val="002A41E1"/>
    <w:rsid w:val="002B6574"/>
    <w:rsid w:val="002D4D48"/>
    <w:rsid w:val="002E21D2"/>
    <w:rsid w:val="002E37A4"/>
    <w:rsid w:val="002E54EC"/>
    <w:rsid w:val="002F7D3C"/>
    <w:rsid w:val="00305720"/>
    <w:rsid w:val="003075BD"/>
    <w:rsid w:val="003131AB"/>
    <w:rsid w:val="0031554B"/>
    <w:rsid w:val="00316A06"/>
    <w:rsid w:val="003217BE"/>
    <w:rsid w:val="003322E5"/>
    <w:rsid w:val="00341CA0"/>
    <w:rsid w:val="00355677"/>
    <w:rsid w:val="0035675C"/>
    <w:rsid w:val="00371ECF"/>
    <w:rsid w:val="003A2640"/>
    <w:rsid w:val="003A2B54"/>
    <w:rsid w:val="003A3215"/>
    <w:rsid w:val="003A647A"/>
    <w:rsid w:val="003B048E"/>
    <w:rsid w:val="003C370E"/>
    <w:rsid w:val="003D0379"/>
    <w:rsid w:val="003D05DB"/>
    <w:rsid w:val="003D0647"/>
    <w:rsid w:val="003D1265"/>
    <w:rsid w:val="003D3B1D"/>
    <w:rsid w:val="003D5DBE"/>
    <w:rsid w:val="003E1771"/>
    <w:rsid w:val="003F0F30"/>
    <w:rsid w:val="00404841"/>
    <w:rsid w:val="00412059"/>
    <w:rsid w:val="0041496C"/>
    <w:rsid w:val="00425633"/>
    <w:rsid w:val="00432ACE"/>
    <w:rsid w:val="004402BB"/>
    <w:rsid w:val="00441E79"/>
    <w:rsid w:val="004445D9"/>
    <w:rsid w:val="00450486"/>
    <w:rsid w:val="004537DC"/>
    <w:rsid w:val="004663C0"/>
    <w:rsid w:val="004709E9"/>
    <w:rsid w:val="00472FBB"/>
    <w:rsid w:val="00483A58"/>
    <w:rsid w:val="00486155"/>
    <w:rsid w:val="004924DA"/>
    <w:rsid w:val="00497036"/>
    <w:rsid w:val="004A4AB9"/>
    <w:rsid w:val="004B670F"/>
    <w:rsid w:val="004C26E1"/>
    <w:rsid w:val="004C48C8"/>
    <w:rsid w:val="004D36E4"/>
    <w:rsid w:val="004D700E"/>
    <w:rsid w:val="004D7F17"/>
    <w:rsid w:val="004E0670"/>
    <w:rsid w:val="004E5655"/>
    <w:rsid w:val="004E7F37"/>
    <w:rsid w:val="004F31BA"/>
    <w:rsid w:val="0051299F"/>
    <w:rsid w:val="00516180"/>
    <w:rsid w:val="00516672"/>
    <w:rsid w:val="0052601E"/>
    <w:rsid w:val="00526A90"/>
    <w:rsid w:val="00526B85"/>
    <w:rsid w:val="005306A1"/>
    <w:rsid w:val="00546ED1"/>
    <w:rsid w:val="005765C1"/>
    <w:rsid w:val="00576E37"/>
    <w:rsid w:val="00584618"/>
    <w:rsid w:val="0059000C"/>
    <w:rsid w:val="00593A13"/>
    <w:rsid w:val="00597FF3"/>
    <w:rsid w:val="005A02A1"/>
    <w:rsid w:val="005A0CA3"/>
    <w:rsid w:val="005A3922"/>
    <w:rsid w:val="005B3B68"/>
    <w:rsid w:val="005C0B69"/>
    <w:rsid w:val="005D5B5B"/>
    <w:rsid w:val="005D6D33"/>
    <w:rsid w:val="005D7A24"/>
    <w:rsid w:val="005F3384"/>
    <w:rsid w:val="005F52DB"/>
    <w:rsid w:val="00602091"/>
    <w:rsid w:val="00614871"/>
    <w:rsid w:val="00616EBA"/>
    <w:rsid w:val="00631564"/>
    <w:rsid w:val="00632C08"/>
    <w:rsid w:val="00645579"/>
    <w:rsid w:val="006468F4"/>
    <w:rsid w:val="00646A99"/>
    <w:rsid w:val="006528A0"/>
    <w:rsid w:val="00654C42"/>
    <w:rsid w:val="0067074A"/>
    <w:rsid w:val="00672994"/>
    <w:rsid w:val="006914EE"/>
    <w:rsid w:val="006933F2"/>
    <w:rsid w:val="00694B73"/>
    <w:rsid w:val="006B162A"/>
    <w:rsid w:val="006C15C5"/>
    <w:rsid w:val="006C66A6"/>
    <w:rsid w:val="006C771A"/>
    <w:rsid w:val="006C7DBE"/>
    <w:rsid w:val="006D2A14"/>
    <w:rsid w:val="007241D3"/>
    <w:rsid w:val="00724564"/>
    <w:rsid w:val="00736A76"/>
    <w:rsid w:val="00741651"/>
    <w:rsid w:val="00752C6B"/>
    <w:rsid w:val="00760CE6"/>
    <w:rsid w:val="00765764"/>
    <w:rsid w:val="00770798"/>
    <w:rsid w:val="007719C9"/>
    <w:rsid w:val="00772718"/>
    <w:rsid w:val="00774FC8"/>
    <w:rsid w:val="0077632A"/>
    <w:rsid w:val="00794DAC"/>
    <w:rsid w:val="007D249D"/>
    <w:rsid w:val="007D30A8"/>
    <w:rsid w:val="007D5355"/>
    <w:rsid w:val="007D7536"/>
    <w:rsid w:val="007E31CA"/>
    <w:rsid w:val="007E764B"/>
    <w:rsid w:val="007F6B85"/>
    <w:rsid w:val="00814FB1"/>
    <w:rsid w:val="00815E9F"/>
    <w:rsid w:val="00815EFB"/>
    <w:rsid w:val="00820F20"/>
    <w:rsid w:val="00825213"/>
    <w:rsid w:val="0082528A"/>
    <w:rsid w:val="00825754"/>
    <w:rsid w:val="00834228"/>
    <w:rsid w:val="00835210"/>
    <w:rsid w:val="00844C2D"/>
    <w:rsid w:val="00851DB8"/>
    <w:rsid w:val="00853C63"/>
    <w:rsid w:val="0087438E"/>
    <w:rsid w:val="00874C4F"/>
    <w:rsid w:val="00884668"/>
    <w:rsid w:val="008B2B46"/>
    <w:rsid w:val="008B2C58"/>
    <w:rsid w:val="008C404B"/>
    <w:rsid w:val="008C4A88"/>
    <w:rsid w:val="008D153F"/>
    <w:rsid w:val="008E5DEB"/>
    <w:rsid w:val="008F161A"/>
    <w:rsid w:val="0091415C"/>
    <w:rsid w:val="00917FC9"/>
    <w:rsid w:val="00921840"/>
    <w:rsid w:val="009270A3"/>
    <w:rsid w:val="009331B4"/>
    <w:rsid w:val="009345F1"/>
    <w:rsid w:val="00937DA6"/>
    <w:rsid w:val="00944BBB"/>
    <w:rsid w:val="009547B6"/>
    <w:rsid w:val="00955D33"/>
    <w:rsid w:val="00961072"/>
    <w:rsid w:val="009631B1"/>
    <w:rsid w:val="009766D4"/>
    <w:rsid w:val="00982554"/>
    <w:rsid w:val="009A7046"/>
    <w:rsid w:val="009B1196"/>
    <w:rsid w:val="009D405C"/>
    <w:rsid w:val="009E539C"/>
    <w:rsid w:val="009E750F"/>
    <w:rsid w:val="009F2B21"/>
    <w:rsid w:val="009F49A7"/>
    <w:rsid w:val="00A04D96"/>
    <w:rsid w:val="00A0629B"/>
    <w:rsid w:val="00A136BF"/>
    <w:rsid w:val="00A14495"/>
    <w:rsid w:val="00A16BE1"/>
    <w:rsid w:val="00A22202"/>
    <w:rsid w:val="00A40E43"/>
    <w:rsid w:val="00A449D9"/>
    <w:rsid w:val="00A454BF"/>
    <w:rsid w:val="00A456CC"/>
    <w:rsid w:val="00A52E3A"/>
    <w:rsid w:val="00A57790"/>
    <w:rsid w:val="00A66B66"/>
    <w:rsid w:val="00A814CB"/>
    <w:rsid w:val="00A90D1B"/>
    <w:rsid w:val="00AB4C3D"/>
    <w:rsid w:val="00AF33D2"/>
    <w:rsid w:val="00AF55F8"/>
    <w:rsid w:val="00B0422F"/>
    <w:rsid w:val="00B10ABA"/>
    <w:rsid w:val="00B276B1"/>
    <w:rsid w:val="00B36683"/>
    <w:rsid w:val="00B420D4"/>
    <w:rsid w:val="00B426B1"/>
    <w:rsid w:val="00B51F28"/>
    <w:rsid w:val="00B56180"/>
    <w:rsid w:val="00B56D4C"/>
    <w:rsid w:val="00B57910"/>
    <w:rsid w:val="00B7600D"/>
    <w:rsid w:val="00B84C77"/>
    <w:rsid w:val="00B9397B"/>
    <w:rsid w:val="00BA6686"/>
    <w:rsid w:val="00BC093A"/>
    <w:rsid w:val="00BC4ACC"/>
    <w:rsid w:val="00BC4FCC"/>
    <w:rsid w:val="00BD02F8"/>
    <w:rsid w:val="00BE0674"/>
    <w:rsid w:val="00BE40C3"/>
    <w:rsid w:val="00BF146B"/>
    <w:rsid w:val="00BF53B2"/>
    <w:rsid w:val="00C10569"/>
    <w:rsid w:val="00C106B5"/>
    <w:rsid w:val="00C12E71"/>
    <w:rsid w:val="00C217A8"/>
    <w:rsid w:val="00C4188F"/>
    <w:rsid w:val="00C63517"/>
    <w:rsid w:val="00C63F89"/>
    <w:rsid w:val="00C819A4"/>
    <w:rsid w:val="00C82A1B"/>
    <w:rsid w:val="00C82E6F"/>
    <w:rsid w:val="00C84EA8"/>
    <w:rsid w:val="00C87A02"/>
    <w:rsid w:val="00C918A2"/>
    <w:rsid w:val="00C92998"/>
    <w:rsid w:val="00C96752"/>
    <w:rsid w:val="00C976C1"/>
    <w:rsid w:val="00CA720A"/>
    <w:rsid w:val="00CC1B7B"/>
    <w:rsid w:val="00CD38EE"/>
    <w:rsid w:val="00CD5925"/>
    <w:rsid w:val="00CD7FFC"/>
    <w:rsid w:val="00CE557A"/>
    <w:rsid w:val="00D031B2"/>
    <w:rsid w:val="00D1410C"/>
    <w:rsid w:val="00D24324"/>
    <w:rsid w:val="00D31029"/>
    <w:rsid w:val="00D36662"/>
    <w:rsid w:val="00D40D16"/>
    <w:rsid w:val="00D42E0E"/>
    <w:rsid w:val="00D45393"/>
    <w:rsid w:val="00D51419"/>
    <w:rsid w:val="00D53031"/>
    <w:rsid w:val="00D53DA9"/>
    <w:rsid w:val="00D548F0"/>
    <w:rsid w:val="00D553A2"/>
    <w:rsid w:val="00D57F79"/>
    <w:rsid w:val="00D6481D"/>
    <w:rsid w:val="00D64FAC"/>
    <w:rsid w:val="00D65704"/>
    <w:rsid w:val="00D668F6"/>
    <w:rsid w:val="00D66EDD"/>
    <w:rsid w:val="00D72F98"/>
    <w:rsid w:val="00D84875"/>
    <w:rsid w:val="00D904F0"/>
    <w:rsid w:val="00D91378"/>
    <w:rsid w:val="00D91B18"/>
    <w:rsid w:val="00DA3EE9"/>
    <w:rsid w:val="00DC0747"/>
    <w:rsid w:val="00DC2647"/>
    <w:rsid w:val="00DD1408"/>
    <w:rsid w:val="00DD356D"/>
    <w:rsid w:val="00DD6735"/>
    <w:rsid w:val="00DF0607"/>
    <w:rsid w:val="00DF136A"/>
    <w:rsid w:val="00E0448C"/>
    <w:rsid w:val="00E1078B"/>
    <w:rsid w:val="00E13525"/>
    <w:rsid w:val="00E4237A"/>
    <w:rsid w:val="00E47250"/>
    <w:rsid w:val="00E61535"/>
    <w:rsid w:val="00E7578E"/>
    <w:rsid w:val="00E84012"/>
    <w:rsid w:val="00E854DE"/>
    <w:rsid w:val="00E9373C"/>
    <w:rsid w:val="00E94149"/>
    <w:rsid w:val="00EA0724"/>
    <w:rsid w:val="00EA6251"/>
    <w:rsid w:val="00EB6414"/>
    <w:rsid w:val="00EE5747"/>
    <w:rsid w:val="00EF1D52"/>
    <w:rsid w:val="00EF3804"/>
    <w:rsid w:val="00EF5E05"/>
    <w:rsid w:val="00EF6C04"/>
    <w:rsid w:val="00F14AA4"/>
    <w:rsid w:val="00F227AF"/>
    <w:rsid w:val="00F25771"/>
    <w:rsid w:val="00F26296"/>
    <w:rsid w:val="00F27370"/>
    <w:rsid w:val="00F3068C"/>
    <w:rsid w:val="00F43870"/>
    <w:rsid w:val="00F52FA0"/>
    <w:rsid w:val="00F5341C"/>
    <w:rsid w:val="00F56954"/>
    <w:rsid w:val="00F66049"/>
    <w:rsid w:val="00F6703D"/>
    <w:rsid w:val="00F7110C"/>
    <w:rsid w:val="00F72894"/>
    <w:rsid w:val="00F879F2"/>
    <w:rsid w:val="00F948AF"/>
    <w:rsid w:val="00FA3264"/>
    <w:rsid w:val="00FA4E23"/>
    <w:rsid w:val="00FA5A7B"/>
    <w:rsid w:val="00FA5D07"/>
    <w:rsid w:val="00FB0100"/>
    <w:rsid w:val="00FB11B1"/>
    <w:rsid w:val="00FC0935"/>
    <w:rsid w:val="00FE00E8"/>
    <w:rsid w:val="00FE6962"/>
    <w:rsid w:val="00FF30B3"/>
    <w:rsid w:val="00FF6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96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basedOn w:val="Normal"/>
    <w:uiPriority w:val="34"/>
    <w:qFormat/>
    <w:rsid w:val="0091415C"/>
    <w:pPr>
      <w:ind w:left="720"/>
      <w:contextualSpacing/>
    </w:pPr>
  </w:style>
  <w:style w:type="paragraph" w:styleId="CommentSubject">
    <w:name w:val="annotation subject"/>
    <w:basedOn w:val="CommentText"/>
    <w:next w:val="CommentText"/>
    <w:link w:val="CommentSubjectChar"/>
    <w:uiPriority w:val="99"/>
    <w:semiHidden/>
    <w:unhideWhenUsed/>
    <w:rsid w:val="00EF1D52"/>
    <w:rPr>
      <w:b/>
      <w:bCs/>
    </w:rPr>
  </w:style>
  <w:style w:type="character" w:customStyle="1" w:styleId="CommentSubjectChar">
    <w:name w:val="Comment Subject Char"/>
    <w:basedOn w:val="CommentTextChar"/>
    <w:link w:val="CommentSubject"/>
    <w:uiPriority w:val="99"/>
    <w:semiHidden/>
    <w:rsid w:val="00EF1D52"/>
    <w:rPr>
      <w:rFonts w:ascii="Arial" w:hAnsi="Arial" w:cstheme="minorBidi"/>
      <w:b/>
      <w:bCs/>
    </w:rPr>
  </w:style>
  <w:style w:type="character" w:styleId="FollowedHyperlink">
    <w:name w:val="FollowedHyperlink"/>
    <w:basedOn w:val="DefaultParagraphFont"/>
    <w:uiPriority w:val="99"/>
    <w:semiHidden/>
    <w:unhideWhenUsed/>
    <w:rsid w:val="002E37A4"/>
    <w:rPr>
      <w:color w:val="800080" w:themeColor="followedHyperlink"/>
      <w:u w:val="single"/>
    </w:rPr>
  </w:style>
  <w:style w:type="paragraph" w:customStyle="1" w:styleId="Level1">
    <w:name w:val="Level 1"/>
    <w:basedOn w:val="Heading2"/>
    <w:link w:val="Level1Char"/>
    <w:uiPriority w:val="96"/>
    <w:qFormat/>
    <w:rsid w:val="007E764B"/>
    <w:pPr>
      <w:numPr>
        <w:numId w:val="6"/>
      </w:numPr>
    </w:pPr>
    <w:rPr>
      <w:rFonts w:eastAsia="Calibri"/>
      <w:sz w:val="22"/>
      <w:szCs w:val="22"/>
    </w:rPr>
  </w:style>
  <w:style w:type="paragraph" w:customStyle="1" w:styleId="Level2">
    <w:name w:val="Level 2"/>
    <w:basedOn w:val="Heading2"/>
    <w:link w:val="Level2Char"/>
    <w:uiPriority w:val="96"/>
    <w:qFormat/>
    <w:rsid w:val="007E764B"/>
    <w:pPr>
      <w:ind w:left="426"/>
    </w:pPr>
    <w:rPr>
      <w:rFonts w:eastAsia="Calibri"/>
      <w:sz w:val="22"/>
      <w:szCs w:val="22"/>
    </w:rPr>
  </w:style>
  <w:style w:type="character" w:customStyle="1" w:styleId="Level1Char">
    <w:name w:val="Level 1 Char"/>
    <w:basedOn w:val="Heading2Char"/>
    <w:link w:val="Level1"/>
    <w:uiPriority w:val="96"/>
    <w:rsid w:val="007E764B"/>
    <w:rPr>
      <w:rFonts w:asciiTheme="majorHAnsi" w:eastAsia="Calibri" w:hAnsiTheme="majorHAnsi" w:cstheme="majorBidi"/>
      <w:b/>
      <w:bCs/>
      <w:color w:val="000000" w:themeColor="text1"/>
      <w:sz w:val="22"/>
      <w:szCs w:val="22"/>
    </w:rPr>
  </w:style>
  <w:style w:type="paragraph" w:customStyle="1" w:styleId="Style2">
    <w:name w:val="Style2"/>
    <w:basedOn w:val="Level2"/>
    <w:next w:val="Level2"/>
    <w:link w:val="Style2Char"/>
    <w:uiPriority w:val="96"/>
    <w:qFormat/>
    <w:rsid w:val="007E764B"/>
  </w:style>
  <w:style w:type="character" w:customStyle="1" w:styleId="Level2Char">
    <w:name w:val="Level 2 Char"/>
    <w:basedOn w:val="Heading2Char"/>
    <w:link w:val="Level2"/>
    <w:uiPriority w:val="96"/>
    <w:rsid w:val="007E764B"/>
    <w:rPr>
      <w:rFonts w:asciiTheme="majorHAnsi" w:eastAsia="Calibri" w:hAnsiTheme="majorHAnsi" w:cstheme="majorBidi"/>
      <w:b/>
      <w:bCs/>
      <w:color w:val="000000" w:themeColor="text1"/>
      <w:sz w:val="22"/>
      <w:szCs w:val="22"/>
    </w:rPr>
  </w:style>
  <w:style w:type="character" w:customStyle="1" w:styleId="Style2Char">
    <w:name w:val="Style2 Char"/>
    <w:basedOn w:val="Level2Char"/>
    <w:link w:val="Style2"/>
    <w:uiPriority w:val="96"/>
    <w:rsid w:val="007E764B"/>
    <w:rPr>
      <w:rFonts w:asciiTheme="majorHAnsi" w:eastAsia="Calibri" w:hAnsiTheme="majorHAnsi" w:cstheme="majorBidi"/>
      <w:b/>
      <w:bCs/>
      <w:color w:val="000000" w:themeColor="text1"/>
      <w:sz w:val="22"/>
      <w:szCs w:val="22"/>
    </w:rPr>
  </w:style>
  <w:style w:type="paragraph" w:customStyle="1" w:styleId="Default">
    <w:name w:val="Default"/>
    <w:rsid w:val="00291EAC"/>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766D4"/>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7625953">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538014826">
      <w:bodyDiv w:val="1"/>
      <w:marLeft w:val="0"/>
      <w:marRight w:val="0"/>
      <w:marTop w:val="0"/>
      <w:marBottom w:val="0"/>
      <w:divBdr>
        <w:top w:val="none" w:sz="0" w:space="0" w:color="auto"/>
        <w:left w:val="none" w:sz="0" w:space="0" w:color="auto"/>
        <w:bottom w:val="none" w:sz="0" w:space="0" w:color="auto"/>
        <w:right w:val="none" w:sz="0" w:space="0" w:color="auto"/>
      </w:divBdr>
    </w:div>
    <w:div w:id="556086112">
      <w:bodyDiv w:val="1"/>
      <w:marLeft w:val="0"/>
      <w:marRight w:val="0"/>
      <w:marTop w:val="0"/>
      <w:marBottom w:val="0"/>
      <w:divBdr>
        <w:top w:val="none" w:sz="0" w:space="0" w:color="auto"/>
        <w:left w:val="none" w:sz="0" w:space="0" w:color="auto"/>
        <w:bottom w:val="none" w:sz="0" w:space="0" w:color="auto"/>
        <w:right w:val="none" w:sz="0" w:space="0" w:color="auto"/>
      </w:divBdr>
    </w:div>
    <w:div w:id="584725708">
      <w:bodyDiv w:val="1"/>
      <w:marLeft w:val="0"/>
      <w:marRight w:val="0"/>
      <w:marTop w:val="0"/>
      <w:marBottom w:val="0"/>
      <w:divBdr>
        <w:top w:val="none" w:sz="0" w:space="0" w:color="auto"/>
        <w:left w:val="none" w:sz="0" w:space="0" w:color="auto"/>
        <w:bottom w:val="none" w:sz="0" w:space="0" w:color="auto"/>
        <w:right w:val="none" w:sz="0" w:space="0" w:color="auto"/>
      </w:divBdr>
    </w:div>
    <w:div w:id="769811324">
      <w:bodyDiv w:val="1"/>
      <w:marLeft w:val="0"/>
      <w:marRight w:val="0"/>
      <w:marTop w:val="0"/>
      <w:marBottom w:val="0"/>
      <w:divBdr>
        <w:top w:val="none" w:sz="0" w:space="0" w:color="auto"/>
        <w:left w:val="none" w:sz="0" w:space="0" w:color="auto"/>
        <w:bottom w:val="none" w:sz="0" w:space="0" w:color="auto"/>
        <w:right w:val="none" w:sz="0" w:space="0" w:color="auto"/>
      </w:divBdr>
      <w:divsChild>
        <w:div w:id="885793599">
          <w:marLeft w:val="0"/>
          <w:marRight w:val="0"/>
          <w:marTop w:val="0"/>
          <w:marBottom w:val="0"/>
          <w:divBdr>
            <w:top w:val="none" w:sz="0" w:space="0" w:color="auto"/>
            <w:left w:val="none" w:sz="0" w:space="0" w:color="auto"/>
            <w:bottom w:val="none" w:sz="0" w:space="0" w:color="auto"/>
            <w:right w:val="none" w:sz="0" w:space="0" w:color="auto"/>
          </w:divBdr>
          <w:divsChild>
            <w:div w:id="1400321279">
              <w:marLeft w:val="0"/>
              <w:marRight w:val="0"/>
              <w:marTop w:val="0"/>
              <w:marBottom w:val="0"/>
              <w:divBdr>
                <w:top w:val="none" w:sz="0" w:space="0" w:color="auto"/>
                <w:left w:val="none" w:sz="0" w:space="0" w:color="auto"/>
                <w:bottom w:val="none" w:sz="0" w:space="0" w:color="auto"/>
                <w:right w:val="none" w:sz="0" w:space="0" w:color="auto"/>
              </w:divBdr>
              <w:divsChild>
                <w:div w:id="537788975">
                  <w:marLeft w:val="0"/>
                  <w:marRight w:val="0"/>
                  <w:marTop w:val="0"/>
                  <w:marBottom w:val="0"/>
                  <w:divBdr>
                    <w:top w:val="none" w:sz="0" w:space="0" w:color="auto"/>
                    <w:left w:val="none" w:sz="0" w:space="0" w:color="auto"/>
                    <w:bottom w:val="none" w:sz="0" w:space="0" w:color="auto"/>
                    <w:right w:val="none" w:sz="0" w:space="0" w:color="auto"/>
                  </w:divBdr>
                  <w:divsChild>
                    <w:div w:id="477914357">
                      <w:marLeft w:val="0"/>
                      <w:marRight w:val="0"/>
                      <w:marTop w:val="0"/>
                      <w:marBottom w:val="0"/>
                      <w:divBdr>
                        <w:top w:val="none" w:sz="0" w:space="0" w:color="auto"/>
                        <w:left w:val="none" w:sz="0" w:space="0" w:color="auto"/>
                        <w:bottom w:val="none" w:sz="0" w:space="0" w:color="auto"/>
                        <w:right w:val="none" w:sz="0" w:space="0" w:color="auto"/>
                      </w:divBdr>
                      <w:divsChild>
                        <w:div w:id="1322734178">
                          <w:marLeft w:val="0"/>
                          <w:marRight w:val="0"/>
                          <w:marTop w:val="0"/>
                          <w:marBottom w:val="0"/>
                          <w:divBdr>
                            <w:top w:val="none" w:sz="0" w:space="0" w:color="auto"/>
                            <w:left w:val="none" w:sz="0" w:space="0" w:color="auto"/>
                            <w:bottom w:val="none" w:sz="0" w:space="0" w:color="auto"/>
                            <w:right w:val="none" w:sz="0" w:space="0" w:color="auto"/>
                          </w:divBdr>
                          <w:divsChild>
                            <w:div w:id="2004701986">
                              <w:marLeft w:val="0"/>
                              <w:marRight w:val="0"/>
                              <w:marTop w:val="0"/>
                              <w:marBottom w:val="0"/>
                              <w:divBdr>
                                <w:top w:val="none" w:sz="0" w:space="0" w:color="auto"/>
                                <w:left w:val="none" w:sz="0" w:space="0" w:color="auto"/>
                                <w:bottom w:val="none" w:sz="0" w:space="0" w:color="auto"/>
                                <w:right w:val="none" w:sz="0" w:space="0" w:color="auto"/>
                              </w:divBdr>
                              <w:divsChild>
                                <w:div w:id="1622035938">
                                  <w:marLeft w:val="0"/>
                                  <w:marRight w:val="0"/>
                                  <w:marTop w:val="0"/>
                                  <w:marBottom w:val="0"/>
                                  <w:divBdr>
                                    <w:top w:val="none" w:sz="0" w:space="0" w:color="auto"/>
                                    <w:left w:val="none" w:sz="0" w:space="0" w:color="auto"/>
                                    <w:bottom w:val="none" w:sz="0" w:space="0" w:color="auto"/>
                                    <w:right w:val="none" w:sz="0" w:space="0" w:color="auto"/>
                                  </w:divBdr>
                                  <w:divsChild>
                                    <w:div w:id="2078939737">
                                      <w:marLeft w:val="0"/>
                                      <w:marRight w:val="0"/>
                                      <w:marTop w:val="0"/>
                                      <w:marBottom w:val="0"/>
                                      <w:divBdr>
                                        <w:top w:val="none" w:sz="0" w:space="0" w:color="auto"/>
                                        <w:left w:val="none" w:sz="0" w:space="0" w:color="auto"/>
                                        <w:bottom w:val="none" w:sz="0" w:space="0" w:color="auto"/>
                                        <w:right w:val="none" w:sz="0" w:space="0" w:color="auto"/>
                                      </w:divBdr>
                                      <w:divsChild>
                                        <w:div w:id="1365212802">
                                          <w:marLeft w:val="0"/>
                                          <w:marRight w:val="0"/>
                                          <w:marTop w:val="0"/>
                                          <w:marBottom w:val="0"/>
                                          <w:divBdr>
                                            <w:top w:val="none" w:sz="0" w:space="0" w:color="auto"/>
                                            <w:left w:val="none" w:sz="0" w:space="0" w:color="auto"/>
                                            <w:bottom w:val="none" w:sz="0" w:space="0" w:color="auto"/>
                                            <w:right w:val="none" w:sz="0" w:space="0" w:color="auto"/>
                                          </w:divBdr>
                                          <w:divsChild>
                                            <w:div w:id="506678519">
                                              <w:marLeft w:val="0"/>
                                              <w:marRight w:val="0"/>
                                              <w:marTop w:val="0"/>
                                              <w:marBottom w:val="0"/>
                                              <w:divBdr>
                                                <w:top w:val="none" w:sz="0" w:space="0" w:color="auto"/>
                                                <w:left w:val="none" w:sz="0" w:space="0" w:color="auto"/>
                                                <w:bottom w:val="none" w:sz="0" w:space="0" w:color="auto"/>
                                                <w:right w:val="none" w:sz="0" w:space="0" w:color="auto"/>
                                              </w:divBdr>
                                              <w:divsChild>
                                                <w:div w:id="1285623573">
                                                  <w:marLeft w:val="0"/>
                                                  <w:marRight w:val="0"/>
                                                  <w:marTop w:val="0"/>
                                                  <w:marBottom w:val="0"/>
                                                  <w:divBdr>
                                                    <w:top w:val="none" w:sz="0" w:space="0" w:color="auto"/>
                                                    <w:left w:val="none" w:sz="0" w:space="0" w:color="auto"/>
                                                    <w:bottom w:val="none" w:sz="0" w:space="0" w:color="auto"/>
                                                    <w:right w:val="none" w:sz="0" w:space="0" w:color="auto"/>
                                                  </w:divBdr>
                                                  <w:divsChild>
                                                    <w:div w:id="1344865152">
                                                      <w:marLeft w:val="0"/>
                                                      <w:marRight w:val="0"/>
                                                      <w:marTop w:val="0"/>
                                                      <w:marBottom w:val="0"/>
                                                      <w:divBdr>
                                                        <w:top w:val="none" w:sz="0" w:space="0" w:color="auto"/>
                                                        <w:left w:val="none" w:sz="0" w:space="0" w:color="auto"/>
                                                        <w:bottom w:val="none" w:sz="0" w:space="0" w:color="auto"/>
                                                        <w:right w:val="none" w:sz="0" w:space="0" w:color="auto"/>
                                                      </w:divBdr>
                                                      <w:divsChild>
                                                        <w:div w:id="1707949089">
                                                          <w:marLeft w:val="0"/>
                                                          <w:marRight w:val="0"/>
                                                          <w:marTop w:val="0"/>
                                                          <w:marBottom w:val="0"/>
                                                          <w:divBdr>
                                                            <w:top w:val="none" w:sz="0" w:space="0" w:color="auto"/>
                                                            <w:left w:val="none" w:sz="0" w:space="0" w:color="auto"/>
                                                            <w:bottom w:val="none" w:sz="0" w:space="0" w:color="auto"/>
                                                            <w:right w:val="none" w:sz="0" w:space="0" w:color="auto"/>
                                                          </w:divBdr>
                                                          <w:divsChild>
                                                            <w:div w:id="614796929">
                                                              <w:marLeft w:val="0"/>
                                                              <w:marRight w:val="0"/>
                                                              <w:marTop w:val="0"/>
                                                              <w:marBottom w:val="0"/>
                                                              <w:divBdr>
                                                                <w:top w:val="none" w:sz="0" w:space="0" w:color="auto"/>
                                                                <w:left w:val="none" w:sz="0" w:space="0" w:color="auto"/>
                                                                <w:bottom w:val="none" w:sz="0" w:space="0" w:color="auto"/>
                                                                <w:right w:val="none" w:sz="0" w:space="0" w:color="auto"/>
                                                              </w:divBdr>
                                                              <w:divsChild>
                                                                <w:div w:id="1953433027">
                                                                  <w:marLeft w:val="0"/>
                                                                  <w:marRight w:val="0"/>
                                                                  <w:marTop w:val="0"/>
                                                                  <w:marBottom w:val="0"/>
                                                                  <w:divBdr>
                                                                    <w:top w:val="none" w:sz="0" w:space="0" w:color="auto"/>
                                                                    <w:left w:val="none" w:sz="0" w:space="0" w:color="auto"/>
                                                                    <w:bottom w:val="none" w:sz="0" w:space="0" w:color="auto"/>
                                                                    <w:right w:val="none" w:sz="0" w:space="0" w:color="auto"/>
                                                                  </w:divBdr>
                                                                  <w:divsChild>
                                                                    <w:div w:id="11587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3906090">
      <w:bodyDiv w:val="1"/>
      <w:marLeft w:val="0"/>
      <w:marRight w:val="0"/>
      <w:marTop w:val="0"/>
      <w:marBottom w:val="0"/>
      <w:divBdr>
        <w:top w:val="none" w:sz="0" w:space="0" w:color="auto"/>
        <w:left w:val="none" w:sz="0" w:space="0" w:color="auto"/>
        <w:bottom w:val="none" w:sz="0" w:space="0" w:color="auto"/>
        <w:right w:val="none" w:sz="0" w:space="0" w:color="auto"/>
      </w:divBdr>
    </w:div>
    <w:div w:id="821392339">
      <w:bodyDiv w:val="1"/>
      <w:marLeft w:val="0"/>
      <w:marRight w:val="0"/>
      <w:marTop w:val="0"/>
      <w:marBottom w:val="0"/>
      <w:divBdr>
        <w:top w:val="none" w:sz="0" w:space="0" w:color="auto"/>
        <w:left w:val="none" w:sz="0" w:space="0" w:color="auto"/>
        <w:bottom w:val="none" w:sz="0" w:space="0" w:color="auto"/>
        <w:right w:val="none" w:sz="0" w:space="0" w:color="auto"/>
      </w:divBdr>
    </w:div>
    <w:div w:id="877821312">
      <w:bodyDiv w:val="1"/>
      <w:marLeft w:val="0"/>
      <w:marRight w:val="0"/>
      <w:marTop w:val="0"/>
      <w:marBottom w:val="0"/>
      <w:divBdr>
        <w:top w:val="none" w:sz="0" w:space="0" w:color="auto"/>
        <w:left w:val="none" w:sz="0" w:space="0" w:color="auto"/>
        <w:bottom w:val="none" w:sz="0" w:space="0" w:color="auto"/>
        <w:right w:val="none" w:sz="0" w:space="0" w:color="auto"/>
      </w:divBdr>
    </w:div>
    <w:div w:id="996690099">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81702324">
      <w:bodyDiv w:val="1"/>
      <w:marLeft w:val="0"/>
      <w:marRight w:val="0"/>
      <w:marTop w:val="0"/>
      <w:marBottom w:val="0"/>
      <w:divBdr>
        <w:top w:val="none" w:sz="0" w:space="0" w:color="auto"/>
        <w:left w:val="none" w:sz="0" w:space="0" w:color="auto"/>
        <w:bottom w:val="none" w:sz="0" w:space="0" w:color="auto"/>
        <w:right w:val="none" w:sz="0" w:space="0" w:color="auto"/>
      </w:divBdr>
    </w:div>
    <w:div w:id="1220164495">
      <w:bodyDiv w:val="1"/>
      <w:marLeft w:val="0"/>
      <w:marRight w:val="0"/>
      <w:marTop w:val="0"/>
      <w:marBottom w:val="0"/>
      <w:divBdr>
        <w:top w:val="none" w:sz="0" w:space="0" w:color="auto"/>
        <w:left w:val="none" w:sz="0" w:space="0" w:color="auto"/>
        <w:bottom w:val="none" w:sz="0" w:space="0" w:color="auto"/>
        <w:right w:val="none" w:sz="0" w:space="0" w:color="auto"/>
      </w:divBdr>
    </w:div>
    <w:div w:id="1491864676">
      <w:bodyDiv w:val="1"/>
      <w:marLeft w:val="0"/>
      <w:marRight w:val="0"/>
      <w:marTop w:val="0"/>
      <w:marBottom w:val="0"/>
      <w:divBdr>
        <w:top w:val="none" w:sz="0" w:space="0" w:color="auto"/>
        <w:left w:val="none" w:sz="0" w:space="0" w:color="auto"/>
        <w:bottom w:val="none" w:sz="0" w:space="0" w:color="auto"/>
        <w:right w:val="none" w:sz="0" w:space="0" w:color="auto"/>
      </w:divBdr>
    </w:div>
    <w:div w:id="1500732043">
      <w:bodyDiv w:val="1"/>
      <w:marLeft w:val="0"/>
      <w:marRight w:val="0"/>
      <w:marTop w:val="0"/>
      <w:marBottom w:val="0"/>
      <w:divBdr>
        <w:top w:val="none" w:sz="0" w:space="0" w:color="auto"/>
        <w:left w:val="none" w:sz="0" w:space="0" w:color="auto"/>
        <w:bottom w:val="none" w:sz="0" w:space="0" w:color="auto"/>
        <w:right w:val="none" w:sz="0" w:space="0" w:color="auto"/>
      </w:divBdr>
    </w:div>
    <w:div w:id="1684817395">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781491418">
      <w:bodyDiv w:val="1"/>
      <w:marLeft w:val="0"/>
      <w:marRight w:val="0"/>
      <w:marTop w:val="0"/>
      <w:marBottom w:val="0"/>
      <w:divBdr>
        <w:top w:val="none" w:sz="0" w:space="0" w:color="auto"/>
        <w:left w:val="none" w:sz="0" w:space="0" w:color="auto"/>
        <w:bottom w:val="none" w:sz="0" w:space="0" w:color="auto"/>
        <w:right w:val="none" w:sz="0" w:space="0" w:color="auto"/>
      </w:divBdr>
    </w:div>
    <w:div w:id="18358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3504</Words>
  <Characters>19975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2019-11-14T01:42:00Z</cp:lastPrinted>
  <dcterms:created xsi:type="dcterms:W3CDTF">2019-12-09T05:20:00Z</dcterms:created>
  <dcterms:modified xsi:type="dcterms:W3CDTF">2019-12-09T05:21:00Z</dcterms:modified>
</cp:coreProperties>
</file>