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6BE" w:rsidRDefault="005316BE" w:rsidP="00537B50">
      <w:pPr>
        <w:spacing w:before="0" w:after="0"/>
        <w:ind w:left="-850"/>
      </w:pPr>
    </w:p>
    <w:p w:rsidR="00C80192" w:rsidRPr="00F0373D" w:rsidRDefault="00D20713" w:rsidP="00C80192">
      <w:pPr>
        <w:pStyle w:val="Title"/>
        <w:rPr>
          <w:color w:val="005A70"/>
        </w:rPr>
      </w:pPr>
      <w:bookmarkStart w:id="0" w:name="_GoBack"/>
      <w:bookmarkEnd w:id="0"/>
      <w:r w:rsidRPr="00F0373D">
        <w:rPr>
          <w:color w:val="005A70"/>
        </w:rPr>
        <w:t>Feedback for Applicants</w:t>
      </w:r>
    </w:p>
    <w:p w:rsidR="00C80192" w:rsidRPr="00754D44" w:rsidRDefault="005B3C0F" w:rsidP="00C80192">
      <w:pPr>
        <w:pStyle w:val="Subtitle"/>
      </w:pPr>
      <w:r>
        <w:t>2018-2570 Accredited Training for Sexual violence Responses</w:t>
      </w:r>
    </w:p>
    <w:p w:rsidR="00C80192" w:rsidRPr="00F0373D" w:rsidRDefault="00D20713" w:rsidP="00C80192">
      <w:pPr>
        <w:pStyle w:val="Heading1"/>
        <w:rPr>
          <w:color w:val="005A70"/>
        </w:rPr>
      </w:pPr>
      <w:r w:rsidRPr="00F0373D">
        <w:rPr>
          <w:color w:val="005A70"/>
        </w:rPr>
        <w:t>Overview</w:t>
      </w:r>
    </w:p>
    <w:p w:rsidR="005B3C0F" w:rsidRPr="00714026" w:rsidRDefault="005B3C0F" w:rsidP="005B3C0F">
      <w:pPr>
        <w:pStyle w:val="BodyText"/>
        <w:spacing w:before="0" w:after="0" w:line="240" w:lineRule="auto"/>
        <w:rPr>
          <w:rFonts w:ascii="Arial" w:eastAsia="Times New Roman" w:hAnsi="Arial"/>
          <w:color w:val="auto"/>
          <w:spacing w:val="4"/>
          <w:sz w:val="24"/>
          <w:szCs w:val="24"/>
          <w:lang w:eastAsia="en-AU"/>
        </w:rPr>
      </w:pPr>
      <w:bookmarkStart w:id="1" w:name="_Toc391890681"/>
      <w:proofErr w:type="gramStart"/>
      <w:r w:rsidRPr="00714026">
        <w:rPr>
          <w:rFonts w:ascii="Arial" w:eastAsia="Times New Roman" w:hAnsi="Arial"/>
          <w:color w:val="auto"/>
          <w:spacing w:val="4"/>
          <w:sz w:val="24"/>
          <w:szCs w:val="24"/>
          <w:lang w:eastAsia="en-AU"/>
        </w:rPr>
        <w:t>The Australian Government’s commitment to the Fourth Action Plan of the National Plan to Reduce Violence against Women and their Children 2010-2022 (National Plan) included funding of $4.494 million over three years (FY2019–20 to 2021–22) for the development and delivery of training that builds the capacity of frontline workers to better recognise and respond to all victims of sexual violence.</w:t>
      </w:r>
      <w:proofErr w:type="gramEnd"/>
    </w:p>
    <w:p w:rsidR="005B3C0F" w:rsidRPr="00714026" w:rsidRDefault="005B3C0F" w:rsidP="005B3C0F">
      <w:pPr>
        <w:pStyle w:val="BodyText"/>
        <w:spacing w:before="0" w:after="0" w:line="240" w:lineRule="auto"/>
        <w:rPr>
          <w:rFonts w:ascii="Arial" w:eastAsia="Times New Roman" w:hAnsi="Arial"/>
          <w:color w:val="auto"/>
          <w:spacing w:val="4"/>
          <w:sz w:val="24"/>
          <w:szCs w:val="24"/>
          <w:lang w:eastAsia="en-AU"/>
        </w:rPr>
      </w:pPr>
    </w:p>
    <w:p w:rsidR="005B3C0F" w:rsidRPr="00714026" w:rsidRDefault="00714026" w:rsidP="00714026">
      <w:pPr>
        <w:pStyle w:val="BodyText"/>
        <w:spacing w:before="0" w:after="0" w:line="240" w:lineRule="auto"/>
        <w:rPr>
          <w:rFonts w:ascii="Arial" w:eastAsia="Times New Roman" w:hAnsi="Arial"/>
          <w:color w:val="auto"/>
          <w:spacing w:val="4"/>
          <w:sz w:val="24"/>
          <w:szCs w:val="24"/>
          <w:lang w:eastAsia="en-AU"/>
        </w:rPr>
      </w:pPr>
      <w:r w:rsidRPr="00714026">
        <w:rPr>
          <w:rFonts w:ascii="Arial" w:eastAsia="Times New Roman" w:hAnsi="Arial"/>
          <w:color w:val="auto"/>
          <w:spacing w:val="4"/>
          <w:sz w:val="24"/>
          <w:szCs w:val="24"/>
          <w:lang w:eastAsia="en-AU"/>
        </w:rPr>
        <w:t xml:space="preserve">This grant opportunity sought </w:t>
      </w:r>
      <w:r w:rsidR="005B3C0F" w:rsidRPr="00714026">
        <w:rPr>
          <w:rFonts w:ascii="Arial" w:eastAsia="Times New Roman" w:hAnsi="Arial"/>
          <w:color w:val="auto"/>
          <w:spacing w:val="4"/>
          <w:sz w:val="24"/>
          <w:szCs w:val="24"/>
          <w:lang w:eastAsia="en-AU"/>
        </w:rPr>
        <w:t>applications from cons</w:t>
      </w:r>
      <w:r w:rsidRPr="00714026">
        <w:rPr>
          <w:rFonts w:ascii="Arial" w:eastAsia="Times New Roman" w:hAnsi="Arial"/>
          <w:color w:val="auto"/>
          <w:spacing w:val="4"/>
          <w:sz w:val="24"/>
          <w:szCs w:val="24"/>
          <w:lang w:eastAsia="en-AU"/>
        </w:rPr>
        <w:t xml:space="preserve">ortia partnerships to develop and deliver a national training </w:t>
      </w:r>
      <w:proofErr w:type="gramStart"/>
      <w:r w:rsidRPr="00714026">
        <w:rPr>
          <w:rFonts w:ascii="Arial" w:eastAsia="Times New Roman" w:hAnsi="Arial"/>
          <w:color w:val="auto"/>
          <w:spacing w:val="4"/>
          <w:sz w:val="24"/>
          <w:szCs w:val="24"/>
          <w:lang w:eastAsia="en-AU"/>
        </w:rPr>
        <w:t>program which</w:t>
      </w:r>
      <w:proofErr w:type="gramEnd"/>
      <w:r w:rsidRPr="00714026">
        <w:rPr>
          <w:rFonts w:ascii="Arial" w:eastAsia="Times New Roman" w:hAnsi="Arial"/>
          <w:color w:val="auto"/>
          <w:spacing w:val="4"/>
          <w:sz w:val="24"/>
          <w:szCs w:val="24"/>
          <w:lang w:eastAsia="en-AU"/>
        </w:rPr>
        <w:t xml:space="preserve"> has broad reach across a range of professions that interact with people affected by sexual violence. Lead organisations were required to be s</w:t>
      </w:r>
      <w:r w:rsidR="005B3C0F" w:rsidRPr="00714026">
        <w:rPr>
          <w:rFonts w:ascii="Arial" w:eastAsia="Times New Roman" w:hAnsi="Arial"/>
          <w:color w:val="auto"/>
          <w:spacing w:val="4"/>
          <w:sz w:val="24"/>
          <w:szCs w:val="24"/>
          <w:lang w:eastAsia="en-AU"/>
        </w:rPr>
        <w:t xml:space="preserve">pecialist organisations </w:t>
      </w:r>
      <w:r w:rsidRPr="00714026">
        <w:rPr>
          <w:rFonts w:ascii="Arial" w:eastAsia="Times New Roman" w:hAnsi="Arial"/>
          <w:color w:val="auto"/>
          <w:spacing w:val="4"/>
          <w:sz w:val="24"/>
          <w:szCs w:val="24"/>
          <w:lang w:eastAsia="en-AU"/>
        </w:rPr>
        <w:t>with sexual violence expertise and be able to demonstrate relationships with other specialist organisations who work with, or represent, people from diverse backgrounds.</w:t>
      </w:r>
    </w:p>
    <w:p w:rsidR="008A3507" w:rsidRDefault="008A3507" w:rsidP="008A3507">
      <w:r>
        <w:t xml:space="preserve">The application period opened on </w:t>
      </w:r>
      <w:r w:rsidR="00714026">
        <w:t>11July 2019</w:t>
      </w:r>
      <w:r w:rsidRPr="008A3507">
        <w:t xml:space="preserve"> </w:t>
      </w:r>
      <w:r>
        <w:t>and closed on</w:t>
      </w:r>
      <w:r w:rsidR="00714026">
        <w:t xml:space="preserve"> 4 September 2019</w:t>
      </w:r>
      <w:r>
        <w:t xml:space="preserve">. </w:t>
      </w:r>
      <w:proofErr w:type="gramStart"/>
      <w:r>
        <w:t xml:space="preserve">A total of </w:t>
      </w:r>
      <w:r w:rsidR="00714026">
        <w:t>eight</w:t>
      </w:r>
      <w:proofErr w:type="gramEnd"/>
      <w:r>
        <w:t xml:space="preserve"> applications were received, </w:t>
      </w:r>
      <w:r w:rsidR="00714026">
        <w:t xml:space="preserve">all </w:t>
      </w:r>
      <w:r>
        <w:t xml:space="preserve">of which were eligible, making the selection of successful grant recipients competitive. </w:t>
      </w:r>
      <w:r w:rsidRPr="00BB27B7">
        <w:t xml:space="preserve">After assessment, </w:t>
      </w:r>
      <w:r w:rsidR="00714026" w:rsidRPr="00BB27B7">
        <w:t xml:space="preserve">no applications </w:t>
      </w:r>
      <w:proofErr w:type="gramStart"/>
      <w:r w:rsidRPr="00BB27B7">
        <w:t>were selected</w:t>
      </w:r>
      <w:proofErr w:type="gramEnd"/>
      <w:r w:rsidRPr="00BB27B7">
        <w:t xml:space="preserve"> for funding</w:t>
      </w:r>
      <w:r w:rsidR="00714026" w:rsidRPr="00BB27B7">
        <w:t>.</w:t>
      </w:r>
    </w:p>
    <w:p w:rsidR="008A3507" w:rsidRDefault="008A3507" w:rsidP="008A3507">
      <w:r>
        <w:t>The feedback provided below on behalf of the Department of Social Services is to help grant applicants understand how to strengthen future applications.</w:t>
      </w:r>
    </w:p>
    <w:p w:rsidR="008A3507" w:rsidRDefault="008A3507" w:rsidP="008A3507">
      <w:r>
        <w:t>You can find out about new gra</w:t>
      </w:r>
      <w:r w:rsidR="00024729">
        <w:t xml:space="preserve">nt opportunities </w:t>
      </w:r>
      <w:r w:rsidR="00024729" w:rsidRPr="00024729">
        <w:rPr>
          <w:rFonts w:asciiTheme="minorHAnsi" w:hAnsiTheme="minorHAnsi" w:cstheme="minorHAnsi"/>
        </w:rPr>
        <w:t xml:space="preserve">on </w:t>
      </w:r>
      <w:hyperlink r:id="rId8" w:history="1">
        <w:r w:rsidR="00024729" w:rsidRPr="00024729">
          <w:rPr>
            <w:rStyle w:val="Hyperlink"/>
            <w:rFonts w:asciiTheme="minorHAnsi" w:hAnsiTheme="minorHAnsi" w:cstheme="minorHAnsi"/>
          </w:rPr>
          <w:t>GrantC</w:t>
        </w:r>
        <w:r w:rsidR="00024729" w:rsidRPr="00024729">
          <w:rPr>
            <w:rStyle w:val="Hyperlink"/>
            <w:rFonts w:asciiTheme="minorHAnsi" w:hAnsiTheme="minorHAnsi" w:cstheme="minorHAnsi"/>
          </w:rPr>
          <w:t>o</w:t>
        </w:r>
        <w:r w:rsidR="00024729" w:rsidRPr="00024729">
          <w:rPr>
            <w:rStyle w:val="Hyperlink"/>
            <w:rFonts w:asciiTheme="minorHAnsi" w:hAnsiTheme="minorHAnsi" w:cstheme="minorHAnsi"/>
          </w:rPr>
          <w:t>nnect.</w:t>
        </w:r>
      </w:hyperlink>
    </w:p>
    <w:bookmarkEnd w:id="1"/>
    <w:p w:rsidR="00C80192" w:rsidRPr="00F0373D" w:rsidRDefault="00D20713" w:rsidP="00C80192">
      <w:pPr>
        <w:pStyle w:val="Heading1"/>
        <w:rPr>
          <w:color w:val="005A70"/>
        </w:rPr>
      </w:pPr>
      <w:r w:rsidRPr="00F0373D">
        <w:rPr>
          <w:color w:val="005A70"/>
        </w:rPr>
        <w:t>Selection Process</w:t>
      </w:r>
    </w:p>
    <w:p w:rsidR="00024729" w:rsidRPr="00024729" w:rsidRDefault="00024729" w:rsidP="00024729">
      <w:pPr>
        <w:pStyle w:val="BodyText"/>
        <w:spacing w:line="276" w:lineRule="auto"/>
        <w:rPr>
          <w:rFonts w:ascii="Arial" w:hAnsi="Arial" w:cs="Arial"/>
          <w:sz w:val="24"/>
          <w:szCs w:val="24"/>
        </w:rPr>
      </w:pPr>
      <w:r w:rsidRPr="00024729">
        <w:rPr>
          <w:rFonts w:ascii="Arial" w:hAnsi="Arial" w:cs="Arial"/>
          <w:color w:val="auto"/>
          <w:sz w:val="24"/>
          <w:szCs w:val="24"/>
        </w:rPr>
        <w:t xml:space="preserve">An </w:t>
      </w:r>
      <w:r w:rsidRPr="00172ED9">
        <w:rPr>
          <w:rFonts w:ascii="Arial" w:hAnsi="Arial" w:cs="Arial"/>
          <w:color w:val="auto"/>
          <w:sz w:val="24"/>
          <w:szCs w:val="24"/>
        </w:rPr>
        <w:t xml:space="preserve">open </w:t>
      </w:r>
      <w:r w:rsidRPr="00024729">
        <w:rPr>
          <w:rFonts w:ascii="Arial" w:hAnsi="Arial" w:cs="Arial"/>
          <w:color w:val="auto"/>
          <w:sz w:val="24"/>
          <w:szCs w:val="24"/>
        </w:rPr>
        <w:t xml:space="preserve">competitive selection process was undertaken, allowing a range of organisations that met the </w:t>
      </w:r>
      <w:r w:rsidRPr="00024729">
        <w:rPr>
          <w:rFonts w:ascii="Arial" w:hAnsi="Arial" w:cs="Arial"/>
          <w:sz w:val="24"/>
          <w:szCs w:val="24"/>
        </w:rPr>
        <w:t>eligibility criteria to apply.</w:t>
      </w:r>
    </w:p>
    <w:p w:rsidR="00172ED9" w:rsidRDefault="00024729" w:rsidP="00024729">
      <w:pPr>
        <w:pStyle w:val="BodyText"/>
        <w:spacing w:line="276" w:lineRule="auto"/>
        <w:rPr>
          <w:rFonts w:ascii="Arial" w:hAnsi="Arial" w:cs="Arial"/>
          <w:sz w:val="24"/>
          <w:szCs w:val="24"/>
        </w:rPr>
      </w:pPr>
      <w:r w:rsidRPr="00024729">
        <w:rPr>
          <w:rFonts w:ascii="Arial" w:hAnsi="Arial" w:cs="Arial"/>
          <w:sz w:val="24"/>
          <w:szCs w:val="24"/>
        </w:rPr>
        <w:t xml:space="preserve">Applications </w:t>
      </w:r>
      <w:proofErr w:type="gramStart"/>
      <w:r w:rsidRPr="00024729">
        <w:rPr>
          <w:rFonts w:ascii="Arial" w:hAnsi="Arial" w:cs="Arial"/>
          <w:sz w:val="24"/>
          <w:szCs w:val="24"/>
        </w:rPr>
        <w:t>were first screened</w:t>
      </w:r>
      <w:proofErr w:type="gramEnd"/>
      <w:r w:rsidRPr="00024729">
        <w:rPr>
          <w:rFonts w:ascii="Arial" w:hAnsi="Arial" w:cs="Arial"/>
          <w:sz w:val="24"/>
          <w:szCs w:val="24"/>
        </w:rPr>
        <w:t xml:space="preserve"> for eligibility and compliance against the requirements outlined in the Grant Opportunity Guidelines, including</w:t>
      </w:r>
      <w:r w:rsidR="00172ED9">
        <w:rPr>
          <w:rFonts w:ascii="Arial" w:hAnsi="Arial" w:cs="Arial"/>
          <w:sz w:val="24"/>
          <w:szCs w:val="24"/>
        </w:rPr>
        <w:t xml:space="preserve"> the requirement for lead organisations to be specialist organisations with sexual violence expertise, such as</w:t>
      </w:r>
    </w:p>
    <w:p w:rsidR="00172ED9" w:rsidRDefault="00172ED9" w:rsidP="00172ED9">
      <w:pPr>
        <w:pStyle w:val="BodyText"/>
        <w:numPr>
          <w:ilvl w:val="0"/>
          <w:numId w:val="6"/>
        </w:numPr>
        <w:spacing w:before="0" w:after="0" w:line="276" w:lineRule="auto"/>
        <w:rPr>
          <w:rFonts w:ascii="Arial" w:hAnsi="Arial" w:cs="Arial"/>
          <w:sz w:val="24"/>
          <w:szCs w:val="24"/>
        </w:rPr>
      </w:pPr>
      <w:r>
        <w:rPr>
          <w:rFonts w:ascii="Arial" w:hAnsi="Arial" w:cs="Arial"/>
          <w:sz w:val="24"/>
          <w:szCs w:val="24"/>
        </w:rPr>
        <w:t>Specialist women’s sector and / or sexual violence service</w:t>
      </w:r>
    </w:p>
    <w:p w:rsidR="00172ED9" w:rsidRDefault="00172ED9" w:rsidP="00172ED9">
      <w:pPr>
        <w:pStyle w:val="BodyText"/>
        <w:numPr>
          <w:ilvl w:val="0"/>
          <w:numId w:val="6"/>
        </w:numPr>
        <w:spacing w:before="0" w:after="0" w:line="276" w:lineRule="auto"/>
        <w:rPr>
          <w:rFonts w:ascii="Arial" w:hAnsi="Arial" w:cs="Arial"/>
          <w:sz w:val="24"/>
          <w:szCs w:val="24"/>
        </w:rPr>
      </w:pPr>
      <w:r>
        <w:rPr>
          <w:rFonts w:ascii="Arial" w:hAnsi="Arial" w:cs="Arial"/>
          <w:sz w:val="24"/>
          <w:szCs w:val="24"/>
        </w:rPr>
        <w:t>Peak advocacy organisation in the sexual violence sector</w:t>
      </w:r>
    </w:p>
    <w:p w:rsidR="00172ED9" w:rsidRDefault="00172ED9" w:rsidP="00172ED9">
      <w:pPr>
        <w:pStyle w:val="BodyText"/>
        <w:numPr>
          <w:ilvl w:val="0"/>
          <w:numId w:val="6"/>
        </w:numPr>
        <w:spacing w:before="0" w:after="0" w:line="276" w:lineRule="auto"/>
        <w:rPr>
          <w:rFonts w:ascii="Arial" w:hAnsi="Arial" w:cs="Arial"/>
          <w:sz w:val="24"/>
          <w:szCs w:val="24"/>
        </w:rPr>
      </w:pPr>
      <w:r>
        <w:rPr>
          <w:rFonts w:ascii="Arial" w:hAnsi="Arial" w:cs="Arial"/>
          <w:sz w:val="24"/>
          <w:szCs w:val="24"/>
        </w:rPr>
        <w:t>Researcher and/or university with expertise is sexual violence</w:t>
      </w:r>
      <w:r w:rsidR="00A1365F">
        <w:rPr>
          <w:rFonts w:ascii="Arial" w:hAnsi="Arial" w:cs="Arial"/>
          <w:sz w:val="24"/>
          <w:szCs w:val="24"/>
        </w:rPr>
        <w:t>.</w:t>
      </w:r>
    </w:p>
    <w:p w:rsidR="00024729" w:rsidRPr="00024729" w:rsidRDefault="00024729" w:rsidP="00024729">
      <w:pPr>
        <w:pStyle w:val="BodyText"/>
        <w:spacing w:line="276" w:lineRule="auto"/>
        <w:rPr>
          <w:rFonts w:ascii="Arial" w:hAnsi="Arial" w:cs="Arial"/>
          <w:sz w:val="24"/>
          <w:szCs w:val="24"/>
        </w:rPr>
      </w:pPr>
      <w:r w:rsidRPr="00024729">
        <w:rPr>
          <w:rFonts w:ascii="Arial" w:hAnsi="Arial" w:cs="Arial"/>
          <w:sz w:val="24"/>
          <w:szCs w:val="24"/>
        </w:rPr>
        <w:lastRenderedPageBreak/>
        <w:t xml:space="preserve">All eligible and compliant applications </w:t>
      </w:r>
      <w:proofErr w:type="gramStart"/>
      <w:r w:rsidRPr="00024729">
        <w:rPr>
          <w:rFonts w:ascii="Arial" w:hAnsi="Arial" w:cs="Arial"/>
          <w:sz w:val="24"/>
          <w:szCs w:val="24"/>
        </w:rPr>
        <w:t xml:space="preserve">were then assessed and moderated by the </w:t>
      </w:r>
      <w:r>
        <w:rPr>
          <w:rFonts w:ascii="Arial" w:hAnsi="Arial" w:cs="Arial"/>
          <w:sz w:val="24"/>
          <w:szCs w:val="24"/>
        </w:rPr>
        <w:t xml:space="preserve">Department of Social Services </w:t>
      </w:r>
      <w:r w:rsidRPr="00024729">
        <w:rPr>
          <w:rFonts w:ascii="Arial" w:hAnsi="Arial" w:cs="Arial"/>
          <w:sz w:val="24"/>
          <w:szCs w:val="24"/>
        </w:rPr>
        <w:t xml:space="preserve">against </w:t>
      </w:r>
      <w:r w:rsidRPr="00B9108A">
        <w:rPr>
          <w:rFonts w:ascii="Arial" w:hAnsi="Arial" w:cs="Arial"/>
          <w:sz w:val="24"/>
          <w:szCs w:val="24"/>
        </w:rPr>
        <w:t xml:space="preserve">the </w:t>
      </w:r>
      <w:r w:rsidR="00172ED9">
        <w:rPr>
          <w:rFonts w:ascii="Arial" w:hAnsi="Arial" w:cs="Arial"/>
          <w:sz w:val="24"/>
          <w:szCs w:val="24"/>
        </w:rPr>
        <w:t xml:space="preserve">four </w:t>
      </w:r>
      <w:r w:rsidRPr="00B9108A">
        <w:rPr>
          <w:rFonts w:ascii="Arial" w:hAnsi="Arial" w:cs="Arial"/>
          <w:sz w:val="24"/>
          <w:szCs w:val="24"/>
        </w:rPr>
        <w:t>assessment</w:t>
      </w:r>
      <w:r w:rsidRPr="00024729">
        <w:rPr>
          <w:rFonts w:ascii="Arial" w:hAnsi="Arial" w:cs="Arial"/>
          <w:sz w:val="24"/>
          <w:szCs w:val="24"/>
        </w:rPr>
        <w:t xml:space="preserve"> criteria</w:t>
      </w:r>
      <w:proofErr w:type="gramEnd"/>
      <w:r w:rsidRPr="00024729">
        <w:rPr>
          <w:rFonts w:ascii="Arial" w:hAnsi="Arial" w:cs="Arial"/>
          <w:sz w:val="24"/>
          <w:szCs w:val="24"/>
        </w:rPr>
        <w:t>.</w:t>
      </w:r>
    </w:p>
    <w:p w:rsidR="00024729" w:rsidRPr="00024729" w:rsidRDefault="00024729" w:rsidP="00024729">
      <w:pPr>
        <w:pStyle w:val="BodyText"/>
        <w:spacing w:line="276" w:lineRule="auto"/>
        <w:rPr>
          <w:rFonts w:ascii="Arial" w:hAnsi="Arial" w:cs="Arial"/>
          <w:sz w:val="24"/>
          <w:szCs w:val="24"/>
        </w:rPr>
      </w:pPr>
      <w:r w:rsidRPr="00024729">
        <w:rPr>
          <w:rFonts w:ascii="Arial" w:hAnsi="Arial" w:cs="Arial"/>
          <w:sz w:val="24"/>
          <w:szCs w:val="24"/>
        </w:rPr>
        <w:t xml:space="preserve">A </w:t>
      </w:r>
      <w:r w:rsidR="00B9108A">
        <w:rPr>
          <w:rFonts w:ascii="Arial" w:hAnsi="Arial" w:cs="Arial"/>
          <w:sz w:val="24"/>
          <w:szCs w:val="24"/>
        </w:rPr>
        <w:t>Department of Social Services</w:t>
      </w:r>
      <w:r w:rsidR="00B9108A" w:rsidRPr="00024729">
        <w:rPr>
          <w:rFonts w:ascii="Arial" w:hAnsi="Arial" w:cs="Arial"/>
          <w:sz w:val="24"/>
          <w:szCs w:val="24"/>
        </w:rPr>
        <w:t xml:space="preserve"> </w:t>
      </w:r>
      <w:r w:rsidRPr="00024729">
        <w:rPr>
          <w:rFonts w:ascii="Arial" w:hAnsi="Arial" w:cs="Arial"/>
          <w:sz w:val="24"/>
          <w:szCs w:val="24"/>
        </w:rPr>
        <w:t xml:space="preserve">Selection Advisory Panel, with a mix of relevant policy, program and delivery expertise, </w:t>
      </w:r>
      <w:r w:rsidRPr="002705E7">
        <w:rPr>
          <w:rFonts w:ascii="Arial" w:hAnsi="Arial" w:cs="Arial"/>
          <w:sz w:val="24"/>
          <w:szCs w:val="24"/>
        </w:rPr>
        <w:t>then</w:t>
      </w:r>
      <w:r w:rsidRPr="00024729">
        <w:rPr>
          <w:rFonts w:ascii="Arial" w:hAnsi="Arial" w:cs="Arial"/>
          <w:sz w:val="24"/>
          <w:szCs w:val="24"/>
        </w:rPr>
        <w:t xml:space="preserve"> made funding recommendations to the </w:t>
      </w:r>
      <w:r w:rsidR="00B9108A">
        <w:rPr>
          <w:rFonts w:ascii="Arial" w:hAnsi="Arial" w:cs="Arial"/>
          <w:sz w:val="24"/>
          <w:szCs w:val="24"/>
        </w:rPr>
        <w:t>Department of Social Services’</w:t>
      </w:r>
      <w:r w:rsidRPr="00024729">
        <w:rPr>
          <w:rFonts w:ascii="Arial" w:hAnsi="Arial" w:cs="Arial"/>
          <w:sz w:val="24"/>
          <w:szCs w:val="24"/>
        </w:rPr>
        <w:t xml:space="preserve"> </w:t>
      </w:r>
      <w:r w:rsidR="00B9108A" w:rsidRPr="00024729">
        <w:rPr>
          <w:rFonts w:ascii="Arial" w:hAnsi="Arial" w:cs="Arial"/>
          <w:sz w:val="24"/>
          <w:szCs w:val="24"/>
        </w:rPr>
        <w:t>De</w:t>
      </w:r>
      <w:r w:rsidR="00B9108A">
        <w:rPr>
          <w:rFonts w:ascii="Arial" w:hAnsi="Arial" w:cs="Arial"/>
          <w:sz w:val="24"/>
          <w:szCs w:val="24"/>
        </w:rPr>
        <w:t>cision Maker</w:t>
      </w:r>
      <w:r w:rsidRPr="00024729">
        <w:rPr>
          <w:rFonts w:ascii="Arial" w:hAnsi="Arial" w:cs="Arial"/>
          <w:color w:val="auto"/>
          <w:sz w:val="24"/>
          <w:szCs w:val="24"/>
        </w:rPr>
        <w:t>.</w:t>
      </w:r>
      <w:r w:rsidRPr="00024729">
        <w:rPr>
          <w:rFonts w:ascii="Arial" w:hAnsi="Arial" w:cs="Arial"/>
          <w:color w:val="FF0000"/>
          <w:sz w:val="24"/>
          <w:szCs w:val="24"/>
        </w:rPr>
        <w:t xml:space="preserve"> </w:t>
      </w:r>
      <w:r w:rsidRPr="00024729">
        <w:rPr>
          <w:rFonts w:ascii="Arial" w:hAnsi="Arial" w:cs="Arial"/>
          <w:sz w:val="24"/>
          <w:szCs w:val="24"/>
        </w:rPr>
        <w:t xml:space="preserve">The recommendations </w:t>
      </w:r>
      <w:proofErr w:type="gramStart"/>
      <w:r w:rsidRPr="00024729">
        <w:rPr>
          <w:rFonts w:ascii="Arial" w:hAnsi="Arial" w:cs="Arial"/>
          <w:sz w:val="24"/>
          <w:szCs w:val="24"/>
        </w:rPr>
        <w:t>were based</w:t>
      </w:r>
      <w:proofErr w:type="gramEnd"/>
      <w:r w:rsidRPr="00024729">
        <w:rPr>
          <w:rFonts w:ascii="Arial" w:hAnsi="Arial" w:cs="Arial"/>
          <w:sz w:val="24"/>
          <w:szCs w:val="24"/>
        </w:rPr>
        <w:t xml:space="preserve"> on the strength of responses to the assessment criteria and the applicant’s ability to meet the grant requirements outlined in the Grant Opportunity Guidelines.</w:t>
      </w:r>
    </w:p>
    <w:p w:rsidR="004D6A91" w:rsidRDefault="004D6A91" w:rsidP="004D6A91">
      <w:pPr>
        <w:pStyle w:val="BodyText"/>
        <w:spacing w:line="276" w:lineRule="auto"/>
        <w:rPr>
          <w:rFonts w:ascii="Arial" w:eastAsia="Times New Roman" w:hAnsi="Arial" w:cs="Arial"/>
          <w:color w:val="auto"/>
          <w:sz w:val="24"/>
          <w:szCs w:val="24"/>
        </w:rPr>
      </w:pPr>
      <w:r w:rsidRPr="00B26A61">
        <w:rPr>
          <w:rFonts w:ascii="Arial" w:eastAsia="Times New Roman" w:hAnsi="Arial" w:cs="Arial"/>
          <w:color w:val="auto"/>
          <w:sz w:val="24"/>
          <w:szCs w:val="24"/>
        </w:rPr>
        <w:t xml:space="preserve">DSS established an Expert Advisory Group to provide supplementary advice to the Selection Advisory Panel on suitability, value for money, sector specific knowledge, service delivery expertise regarding priority cohorts, </w:t>
      </w:r>
      <w:r>
        <w:rPr>
          <w:rFonts w:ascii="Arial" w:eastAsia="Times New Roman" w:hAnsi="Arial" w:cs="Arial"/>
          <w:color w:val="auto"/>
          <w:sz w:val="24"/>
          <w:szCs w:val="24"/>
        </w:rPr>
        <w:t>development and delivery of training programs and sexual violence.</w:t>
      </w:r>
    </w:p>
    <w:p w:rsidR="00024729" w:rsidRPr="00024729" w:rsidRDefault="00024729" w:rsidP="00024729">
      <w:pPr>
        <w:pStyle w:val="CommentText"/>
        <w:spacing w:line="276" w:lineRule="auto"/>
        <w:rPr>
          <w:rFonts w:ascii="Arial" w:hAnsi="Arial" w:cs="Arial"/>
          <w:sz w:val="24"/>
          <w:szCs w:val="24"/>
        </w:rPr>
      </w:pPr>
      <w:r w:rsidRPr="00024729">
        <w:rPr>
          <w:rFonts w:ascii="Arial" w:hAnsi="Arial" w:cs="Arial"/>
          <w:sz w:val="24"/>
          <w:szCs w:val="24"/>
        </w:rPr>
        <w:t xml:space="preserve">The Selection Advisory Panel considered all applications and their assessment results and made recommendations on applications having regard </w:t>
      </w:r>
      <w:proofErr w:type="gramStart"/>
      <w:r w:rsidRPr="00024729">
        <w:rPr>
          <w:rFonts w:ascii="Arial" w:hAnsi="Arial" w:cs="Arial"/>
          <w:sz w:val="24"/>
          <w:szCs w:val="24"/>
        </w:rPr>
        <w:t>to</w:t>
      </w:r>
      <w:proofErr w:type="gramEnd"/>
      <w:r w:rsidRPr="00024729">
        <w:rPr>
          <w:rFonts w:ascii="Arial" w:hAnsi="Arial" w:cs="Arial"/>
          <w:sz w:val="24"/>
          <w:szCs w:val="24"/>
        </w:rPr>
        <w:t>:</w:t>
      </w:r>
    </w:p>
    <w:p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whether the project, or any of its elements did not align with the program objectives</w:t>
      </w:r>
    </w:p>
    <w:p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value for money</w:t>
      </w:r>
    </w:p>
    <w:p w:rsidR="00024729" w:rsidRPr="00024729" w:rsidRDefault="00024729" w:rsidP="003A1BC3">
      <w:pPr>
        <w:pStyle w:val="ListParagraph"/>
        <w:numPr>
          <w:ilvl w:val="0"/>
          <w:numId w:val="3"/>
        </w:numPr>
        <w:spacing w:after="120" w:line="276" w:lineRule="auto"/>
        <w:ind w:left="714" w:hanging="357"/>
        <w:rPr>
          <w:rFonts w:cs="Arial"/>
        </w:rPr>
      </w:pPr>
      <w:r w:rsidRPr="00024729">
        <w:rPr>
          <w:rFonts w:cs="Arial"/>
        </w:rPr>
        <w:t>conformance with eligibility criteria</w:t>
      </w:r>
    </w:p>
    <w:p w:rsidR="00024729" w:rsidRDefault="00024729" w:rsidP="003A1BC3">
      <w:pPr>
        <w:pStyle w:val="ListParagraph"/>
        <w:numPr>
          <w:ilvl w:val="0"/>
          <w:numId w:val="3"/>
        </w:numPr>
        <w:spacing w:after="120" w:line="276" w:lineRule="auto"/>
        <w:ind w:left="714" w:hanging="357"/>
        <w:rPr>
          <w:rFonts w:cs="Arial"/>
        </w:rPr>
      </w:pPr>
      <w:r w:rsidRPr="00024729">
        <w:rPr>
          <w:rFonts w:cs="Arial"/>
        </w:rPr>
        <w:t>service provider mix</w:t>
      </w:r>
    </w:p>
    <w:p w:rsidR="004D6A91" w:rsidRPr="00024729" w:rsidRDefault="004D6A91" w:rsidP="003A1BC3">
      <w:pPr>
        <w:pStyle w:val="ListParagraph"/>
        <w:numPr>
          <w:ilvl w:val="0"/>
          <w:numId w:val="3"/>
        </w:numPr>
        <w:spacing w:after="120" w:line="276" w:lineRule="auto"/>
        <w:ind w:left="714" w:hanging="357"/>
        <w:rPr>
          <w:rFonts w:cs="Arial"/>
        </w:rPr>
      </w:pPr>
      <w:r>
        <w:rPr>
          <w:rFonts w:cs="Arial"/>
        </w:rPr>
        <w:t>level of innovation</w:t>
      </w:r>
    </w:p>
    <w:p w:rsidR="00024729" w:rsidRPr="00024729" w:rsidRDefault="00024729" w:rsidP="003A1BC3">
      <w:pPr>
        <w:pStyle w:val="ListParagraph"/>
        <w:numPr>
          <w:ilvl w:val="0"/>
          <w:numId w:val="3"/>
        </w:numPr>
        <w:spacing w:after="120" w:line="276" w:lineRule="auto"/>
        <w:ind w:left="714" w:hanging="357"/>
        <w:rPr>
          <w:rFonts w:cs="Arial"/>
        </w:rPr>
      </w:pPr>
      <w:proofErr w:type="gramStart"/>
      <w:r w:rsidRPr="00024729">
        <w:rPr>
          <w:rFonts w:cs="Arial"/>
        </w:rPr>
        <w:t>how</w:t>
      </w:r>
      <w:proofErr w:type="gramEnd"/>
      <w:r w:rsidRPr="00024729">
        <w:rPr>
          <w:rFonts w:cs="Arial"/>
        </w:rPr>
        <w:t xml:space="preserve"> the services and/or project will be delivered.</w:t>
      </w:r>
    </w:p>
    <w:p w:rsidR="00573622" w:rsidRDefault="00573622" w:rsidP="00024729">
      <w:pPr>
        <w:spacing w:after="120" w:line="276" w:lineRule="auto"/>
        <w:rPr>
          <w:rFonts w:cs="Arial"/>
        </w:rPr>
      </w:pPr>
      <w:r>
        <w:rPr>
          <w:rFonts w:cs="Arial"/>
        </w:rPr>
        <w:t xml:space="preserve">After assessment, one application </w:t>
      </w:r>
      <w:proofErr w:type="gramStart"/>
      <w:r>
        <w:rPr>
          <w:rFonts w:cs="Arial"/>
        </w:rPr>
        <w:t>was selected</w:t>
      </w:r>
      <w:proofErr w:type="gramEnd"/>
      <w:r>
        <w:rPr>
          <w:rFonts w:cs="Arial"/>
        </w:rPr>
        <w:t xml:space="preserve"> for funding, totalling $4.494 million (GST exclusive). The DSS Delegate, the Deputy Secretary, Family and Communities, approved funding to the successful grant recipient.</w:t>
      </w:r>
    </w:p>
    <w:p w:rsidR="00573622" w:rsidRPr="00F86441" w:rsidRDefault="00573622" w:rsidP="00573622">
      <w:pPr>
        <w:pStyle w:val="BodyText"/>
        <w:spacing w:line="276" w:lineRule="auto"/>
        <w:rPr>
          <w:rFonts w:ascii="Arial" w:eastAsia="Times New Roman" w:hAnsi="Arial" w:cs="Arial"/>
          <w:color w:val="auto"/>
          <w:sz w:val="24"/>
          <w:szCs w:val="24"/>
        </w:rPr>
      </w:pPr>
      <w:r w:rsidRPr="000E5984">
        <w:rPr>
          <w:rFonts w:ascii="Arial" w:eastAsia="Times New Roman" w:hAnsi="Arial" w:cs="Arial"/>
          <w:color w:val="auto"/>
          <w:spacing w:val="4"/>
          <w:sz w:val="24"/>
          <w:szCs w:val="24"/>
          <w:lang w:eastAsia="en-AU"/>
        </w:rPr>
        <w:t xml:space="preserve">The successful applicant provided a proposal </w:t>
      </w:r>
      <w:r>
        <w:rPr>
          <w:rFonts w:ascii="Arial" w:eastAsia="Times New Roman" w:hAnsi="Arial" w:cs="Arial"/>
          <w:color w:val="auto"/>
          <w:spacing w:val="4"/>
          <w:sz w:val="24"/>
          <w:szCs w:val="24"/>
          <w:lang w:eastAsia="en-AU"/>
        </w:rPr>
        <w:t>that</w:t>
      </w:r>
      <w:r w:rsidRPr="000E5984">
        <w:rPr>
          <w:rFonts w:ascii="Arial" w:eastAsia="Times New Roman" w:hAnsi="Arial" w:cs="Arial"/>
          <w:color w:val="auto"/>
          <w:spacing w:val="4"/>
          <w:sz w:val="24"/>
          <w:szCs w:val="24"/>
          <w:lang w:eastAsia="en-AU"/>
        </w:rPr>
        <w:t xml:space="preserve"> was eligible, innovative and considered effective for achieving the program objectives</w:t>
      </w:r>
      <w:r>
        <w:rPr>
          <w:rFonts w:ascii="Arial" w:eastAsia="Times New Roman" w:hAnsi="Arial" w:cs="Arial"/>
          <w:color w:val="auto"/>
          <w:spacing w:val="4"/>
          <w:sz w:val="24"/>
          <w:szCs w:val="24"/>
          <w:lang w:eastAsia="en-AU"/>
        </w:rPr>
        <w:t>.</w:t>
      </w:r>
      <w:r w:rsidRPr="000E5984">
        <w:rPr>
          <w:rFonts w:ascii="Arial" w:eastAsia="Times New Roman" w:hAnsi="Arial" w:cs="Arial"/>
          <w:color w:val="auto"/>
          <w:spacing w:val="4"/>
          <w:sz w:val="24"/>
          <w:szCs w:val="24"/>
          <w:lang w:eastAsia="en-AU"/>
        </w:rPr>
        <w:t xml:space="preserve"> They</w:t>
      </w:r>
      <w:r w:rsidRPr="00F86441">
        <w:rPr>
          <w:rFonts w:ascii="Arial" w:eastAsia="Times New Roman" w:hAnsi="Arial" w:cs="Arial"/>
          <w:color w:val="auto"/>
          <w:sz w:val="24"/>
          <w:szCs w:val="24"/>
        </w:rPr>
        <w:t xml:space="preserve"> demonstrated their suitability for public funding, value for money and met all of the eligibility requirements in the Grant Opportunity Guidelines.</w:t>
      </w:r>
    </w:p>
    <w:p w:rsidR="00B9108A" w:rsidRPr="00F0373D" w:rsidRDefault="00B9108A" w:rsidP="00B9108A">
      <w:pPr>
        <w:pStyle w:val="Heading1"/>
        <w:rPr>
          <w:color w:val="005A70"/>
        </w:rPr>
      </w:pPr>
      <w:r w:rsidRPr="00F0373D">
        <w:rPr>
          <w:color w:val="005A70"/>
        </w:rPr>
        <w:t>General feedback</w:t>
      </w:r>
    </w:p>
    <w:p w:rsidR="00B9108A" w:rsidRPr="00B9108A" w:rsidRDefault="00B9108A" w:rsidP="00B9108A">
      <w:pPr>
        <w:pStyle w:val="BodyText"/>
        <w:spacing w:line="276" w:lineRule="auto"/>
        <w:rPr>
          <w:rFonts w:cstheme="minorHAnsi"/>
          <w:sz w:val="24"/>
          <w:szCs w:val="24"/>
        </w:rPr>
      </w:pPr>
      <w:r w:rsidRPr="00B9108A">
        <w:rPr>
          <w:rFonts w:cstheme="minorHAnsi"/>
          <w:sz w:val="24"/>
          <w:szCs w:val="24"/>
        </w:rPr>
        <w:t>Applicants could have generally strengthened their application by:</w:t>
      </w:r>
    </w:p>
    <w:p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ensuring they thoroughly read the Grant Opportunity Guidelines</w:t>
      </w:r>
    </w:p>
    <w:p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ensuring all aspects of the criteria were addressed</w:t>
      </w:r>
    </w:p>
    <w:p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demonstrating their consideration of the Grant Program’s objectives</w:t>
      </w:r>
      <w:r w:rsidR="00AA2B0D">
        <w:rPr>
          <w:rFonts w:asciiTheme="minorHAnsi" w:hAnsiTheme="minorHAnsi" w:cstheme="minorHAnsi"/>
        </w:rPr>
        <w:t>, particularly in relation to addressing the needs of a wide range of cohorts</w:t>
      </w:r>
    </w:p>
    <w:p w:rsidR="00B9108A" w:rsidRPr="00B9108A" w:rsidRDefault="00B9108A" w:rsidP="003A1BC3">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only including relevant information that is not ambiguous</w:t>
      </w:r>
    </w:p>
    <w:p w:rsidR="002E2029" w:rsidRPr="002E2029" w:rsidRDefault="00B9108A" w:rsidP="00B9108A">
      <w:pPr>
        <w:pStyle w:val="ListParagraph"/>
        <w:numPr>
          <w:ilvl w:val="0"/>
          <w:numId w:val="3"/>
        </w:numPr>
        <w:spacing w:after="120" w:line="276" w:lineRule="auto"/>
        <w:ind w:left="714" w:hanging="357"/>
        <w:rPr>
          <w:rFonts w:asciiTheme="minorHAnsi" w:hAnsiTheme="minorHAnsi" w:cstheme="minorHAnsi"/>
        </w:rPr>
      </w:pPr>
      <w:r w:rsidRPr="00B9108A">
        <w:rPr>
          <w:rFonts w:asciiTheme="minorHAnsi" w:hAnsiTheme="minorHAnsi" w:cstheme="minorHAnsi"/>
        </w:rPr>
        <w:t>supporting claims with relevant, reliable and current evidence</w:t>
      </w:r>
      <w:r w:rsidR="001F2C51">
        <w:rPr>
          <w:rFonts w:asciiTheme="minorHAnsi" w:hAnsiTheme="minorHAnsi" w:cstheme="minorHAnsi"/>
        </w:rPr>
        <w:t xml:space="preserve"> </w:t>
      </w:r>
      <w:r w:rsidRPr="001F2C51">
        <w:rPr>
          <w:rFonts w:cstheme="minorHAnsi"/>
        </w:rPr>
        <w:t xml:space="preserve">linking claims back to the policy objectives and the </w:t>
      </w:r>
      <w:r w:rsidR="00872116" w:rsidRPr="00872116">
        <w:rPr>
          <w:rFonts w:cstheme="minorHAnsi"/>
        </w:rPr>
        <w:t xml:space="preserve">training program </w:t>
      </w:r>
      <w:r w:rsidRPr="00872116">
        <w:rPr>
          <w:rFonts w:cstheme="minorHAnsi"/>
        </w:rPr>
        <w:t>to be</w:t>
      </w:r>
      <w:r w:rsidRPr="001F2C51">
        <w:rPr>
          <w:rFonts w:cstheme="minorHAnsi"/>
        </w:rPr>
        <w:t xml:space="preserve"> delivered</w:t>
      </w:r>
    </w:p>
    <w:p w:rsidR="00B9108A" w:rsidRPr="00872116" w:rsidRDefault="002E2029" w:rsidP="00B9108A">
      <w:pPr>
        <w:pStyle w:val="ListParagraph"/>
        <w:numPr>
          <w:ilvl w:val="0"/>
          <w:numId w:val="3"/>
        </w:numPr>
        <w:spacing w:after="120" w:line="276" w:lineRule="auto"/>
        <w:ind w:left="714" w:hanging="357"/>
        <w:rPr>
          <w:rFonts w:asciiTheme="minorHAnsi" w:hAnsiTheme="minorHAnsi" w:cstheme="minorHAnsi"/>
        </w:rPr>
      </w:pPr>
      <w:proofErr w:type="gramStart"/>
      <w:r>
        <w:rPr>
          <w:rFonts w:cstheme="minorHAnsi"/>
        </w:rPr>
        <w:t>ensuring</w:t>
      </w:r>
      <w:proofErr w:type="gramEnd"/>
      <w:r>
        <w:rPr>
          <w:rFonts w:cstheme="minorHAnsi"/>
        </w:rPr>
        <w:t xml:space="preserve"> key concepts within the proposed project are clearly defined – for example, defining who is considered to be a “frontline worker”</w:t>
      </w:r>
      <w:r w:rsidR="00B9108A" w:rsidRPr="001F2C51">
        <w:rPr>
          <w:rFonts w:cstheme="minorHAnsi"/>
        </w:rPr>
        <w:t>.</w:t>
      </w:r>
    </w:p>
    <w:p w:rsidR="002E2029" w:rsidRDefault="00872116" w:rsidP="002E2029">
      <w:pPr>
        <w:spacing w:after="120" w:line="276" w:lineRule="auto"/>
        <w:rPr>
          <w:rFonts w:asciiTheme="minorHAnsi" w:hAnsiTheme="minorHAnsi" w:cstheme="minorHAnsi"/>
        </w:rPr>
      </w:pPr>
      <w:r>
        <w:rPr>
          <w:rFonts w:asciiTheme="minorHAnsi" w:hAnsiTheme="minorHAnsi" w:cstheme="minorHAnsi"/>
        </w:rPr>
        <w:t xml:space="preserve">As this grant opportunity sought applications from consortia partnerships, applications </w:t>
      </w:r>
      <w:proofErr w:type="gramStart"/>
      <w:r>
        <w:rPr>
          <w:rFonts w:asciiTheme="minorHAnsi" w:hAnsiTheme="minorHAnsi" w:cstheme="minorHAnsi"/>
        </w:rPr>
        <w:t>could also have been strengthened</w:t>
      </w:r>
      <w:proofErr w:type="gramEnd"/>
      <w:r>
        <w:rPr>
          <w:rFonts w:asciiTheme="minorHAnsi" w:hAnsiTheme="minorHAnsi" w:cstheme="minorHAnsi"/>
        </w:rPr>
        <w:t xml:space="preserve"> by</w:t>
      </w:r>
      <w:r w:rsidR="002E2029">
        <w:rPr>
          <w:rFonts w:asciiTheme="minorHAnsi" w:hAnsiTheme="minorHAnsi" w:cstheme="minorHAnsi"/>
        </w:rPr>
        <w:t>:</w:t>
      </w:r>
    </w:p>
    <w:p w:rsidR="002E2029" w:rsidRDefault="00872116" w:rsidP="002E2029">
      <w:pPr>
        <w:pStyle w:val="ListParagraph"/>
        <w:numPr>
          <w:ilvl w:val="0"/>
          <w:numId w:val="3"/>
        </w:numPr>
        <w:spacing w:after="120" w:line="276" w:lineRule="auto"/>
        <w:ind w:left="714" w:hanging="357"/>
        <w:rPr>
          <w:rFonts w:cstheme="minorHAnsi"/>
        </w:rPr>
      </w:pPr>
      <w:r>
        <w:rPr>
          <w:rFonts w:cstheme="minorHAnsi"/>
        </w:rPr>
        <w:t xml:space="preserve">providing adequate information about </w:t>
      </w:r>
      <w:r w:rsidR="00B37046">
        <w:rPr>
          <w:rFonts w:cstheme="minorHAnsi"/>
        </w:rPr>
        <w:t>what each consorti</w:t>
      </w:r>
      <w:r w:rsidR="002E2029">
        <w:rPr>
          <w:rFonts w:cstheme="minorHAnsi"/>
        </w:rPr>
        <w:t>um</w:t>
      </w:r>
      <w:r w:rsidR="00B37046">
        <w:rPr>
          <w:rFonts w:cstheme="minorHAnsi"/>
        </w:rPr>
        <w:t xml:space="preserve"> member will bring to the project</w:t>
      </w:r>
    </w:p>
    <w:p w:rsidR="002E2029" w:rsidRDefault="002E2029" w:rsidP="002E2029">
      <w:pPr>
        <w:pStyle w:val="ListParagraph"/>
        <w:numPr>
          <w:ilvl w:val="0"/>
          <w:numId w:val="3"/>
        </w:numPr>
        <w:spacing w:after="120" w:line="276" w:lineRule="auto"/>
        <w:ind w:left="714" w:hanging="357"/>
        <w:rPr>
          <w:rFonts w:cstheme="minorHAnsi"/>
        </w:rPr>
      </w:pPr>
      <w:r>
        <w:rPr>
          <w:rFonts w:cstheme="minorHAnsi"/>
        </w:rPr>
        <w:lastRenderedPageBreak/>
        <w:t>including details relating to how governance arrangements within the consortium would operate</w:t>
      </w:r>
    </w:p>
    <w:p w:rsidR="002E2029" w:rsidRDefault="002E2029" w:rsidP="002E2029">
      <w:pPr>
        <w:pStyle w:val="ListParagraph"/>
        <w:numPr>
          <w:ilvl w:val="0"/>
          <w:numId w:val="3"/>
        </w:numPr>
        <w:spacing w:after="120" w:line="276" w:lineRule="auto"/>
        <w:ind w:left="714" w:hanging="357"/>
        <w:rPr>
          <w:rFonts w:cstheme="minorHAnsi"/>
        </w:rPr>
      </w:pPr>
      <w:proofErr w:type="gramStart"/>
      <w:r>
        <w:rPr>
          <w:rFonts w:cstheme="minorHAnsi"/>
        </w:rPr>
        <w:t>describing</w:t>
      </w:r>
      <w:proofErr w:type="gramEnd"/>
      <w:r>
        <w:rPr>
          <w:rFonts w:cstheme="minorHAnsi"/>
        </w:rPr>
        <w:t xml:space="preserve"> how consortium members will contribute to successful sector engagement and participation.</w:t>
      </w:r>
    </w:p>
    <w:p w:rsidR="00B37046" w:rsidRPr="00B37046" w:rsidRDefault="00B37046" w:rsidP="002E2029">
      <w:pPr>
        <w:spacing w:after="120" w:line="276" w:lineRule="auto"/>
        <w:rPr>
          <w:rFonts w:asciiTheme="minorHAnsi" w:hAnsiTheme="minorHAnsi" w:cstheme="minorHAnsi"/>
        </w:rPr>
      </w:pPr>
    </w:p>
    <w:sectPr w:rsidR="00B37046" w:rsidRPr="00B37046" w:rsidSect="00B9108A">
      <w:headerReference w:type="first" r:id="rId9"/>
      <w:pgSz w:w="11906" w:h="16838" w:code="9"/>
      <w:pgMar w:top="568" w:right="1134" w:bottom="1134" w:left="851"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2C0" w:rsidRDefault="000662C0">
      <w:r>
        <w:separator/>
      </w:r>
    </w:p>
  </w:endnote>
  <w:endnote w:type="continuationSeparator" w:id="0">
    <w:p w:rsidR="000662C0" w:rsidRDefault="0006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2C0" w:rsidRDefault="000662C0">
      <w:r>
        <w:separator/>
      </w:r>
    </w:p>
  </w:footnote>
  <w:footnote w:type="continuationSeparator" w:id="0">
    <w:p w:rsidR="000662C0" w:rsidRDefault="0006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2F3E" w:rsidRDefault="00F0373D" w:rsidP="00F0373D">
    <w:pPr>
      <w:pStyle w:val="Header"/>
      <w:ind w:left="-426"/>
    </w:pPr>
    <w:r>
      <w:rPr>
        <w:noProof/>
      </w:rPr>
      <w:drawing>
        <wp:inline distT="0" distB="0" distL="0" distR="0" wp14:anchorId="2EB4B94C" wp14:editId="7F1D6B61">
          <wp:extent cx="6709559" cy="1282037"/>
          <wp:effectExtent l="0" t="0" r="0" b="0"/>
          <wp:docPr id="1" name="Picture 1" descr="Australian Government, Department of Soci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1">
                    <a:extLst>
                      <a:ext uri="{28A0092B-C50C-407E-A947-70E740481C1C}">
                        <a14:useLocalDpi xmlns:a14="http://schemas.microsoft.com/office/drawing/2010/main" val="0"/>
                      </a:ext>
                    </a:extLst>
                  </a:blip>
                  <a:stretch>
                    <a:fillRect/>
                  </a:stretch>
                </pic:blipFill>
                <pic:spPr>
                  <a:xfrm>
                    <a:off x="0" y="0"/>
                    <a:ext cx="6740389" cy="128792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6537F"/>
    <w:multiLevelType w:val="hybridMultilevel"/>
    <w:tmpl w:val="B70CD9EA"/>
    <w:lvl w:ilvl="0" w:tplc="B5FAC41A">
      <w:start w:val="1"/>
      <w:numFmt w:val="bullet"/>
      <w:pStyle w:val="ListBullet"/>
      <w:lvlText w:val=""/>
      <w:lvlJc w:val="left"/>
      <w:pPr>
        <w:ind w:left="53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3407DA"/>
    <w:multiLevelType w:val="hybridMultilevel"/>
    <w:tmpl w:val="AAFC0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E854531"/>
    <w:multiLevelType w:val="hybridMultilevel"/>
    <w:tmpl w:val="313C56E4"/>
    <w:lvl w:ilvl="0" w:tplc="F132AB74">
      <w:start w:val="1"/>
      <w:numFmt w:val="bullet"/>
      <w:lvlText w:val=""/>
      <w:lvlJc w:val="left"/>
      <w:pPr>
        <w:ind w:left="720" w:hanging="360"/>
      </w:pPr>
      <w:rPr>
        <w:rFonts w:ascii="Symbol" w:hAnsi="Symbol" w:hint="default"/>
        <w:sz w:val="20"/>
        <w:szCs w:val="20"/>
      </w:rPr>
    </w:lvl>
    <w:lvl w:ilvl="1" w:tplc="E99487AE">
      <w:start w:val="1"/>
      <w:numFmt w:val="bullet"/>
      <w:lvlText w:val="o"/>
      <w:lvlJc w:val="left"/>
      <w:pPr>
        <w:ind w:left="1440" w:hanging="360"/>
      </w:pPr>
      <w:rPr>
        <w:rFonts w:ascii="Courier New" w:hAnsi="Courier New" w:cs="Courier New" w:hint="default"/>
        <w:sz w:val="20"/>
        <w:szCs w:val="20"/>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13"/>
    <w:rsid w:val="00002C18"/>
    <w:rsid w:val="00010549"/>
    <w:rsid w:val="00012F84"/>
    <w:rsid w:val="00013F99"/>
    <w:rsid w:val="00024729"/>
    <w:rsid w:val="00025376"/>
    <w:rsid w:val="00027B26"/>
    <w:rsid w:val="0003104E"/>
    <w:rsid w:val="00031195"/>
    <w:rsid w:val="00032861"/>
    <w:rsid w:val="00035CA1"/>
    <w:rsid w:val="0003679F"/>
    <w:rsid w:val="000435BB"/>
    <w:rsid w:val="00045CCD"/>
    <w:rsid w:val="00047524"/>
    <w:rsid w:val="00047ACD"/>
    <w:rsid w:val="000505B2"/>
    <w:rsid w:val="00050BCF"/>
    <w:rsid w:val="00050E5B"/>
    <w:rsid w:val="000547EF"/>
    <w:rsid w:val="00054B89"/>
    <w:rsid w:val="000662C0"/>
    <w:rsid w:val="00067CD0"/>
    <w:rsid w:val="00080F2E"/>
    <w:rsid w:val="00081CEB"/>
    <w:rsid w:val="00083791"/>
    <w:rsid w:val="00086E3C"/>
    <w:rsid w:val="00087B2C"/>
    <w:rsid w:val="00087DBD"/>
    <w:rsid w:val="00090570"/>
    <w:rsid w:val="00090753"/>
    <w:rsid w:val="00096F54"/>
    <w:rsid w:val="00097BFF"/>
    <w:rsid w:val="000A669D"/>
    <w:rsid w:val="000A66A8"/>
    <w:rsid w:val="000B3D39"/>
    <w:rsid w:val="000C014D"/>
    <w:rsid w:val="000D0178"/>
    <w:rsid w:val="000D4703"/>
    <w:rsid w:val="000D693C"/>
    <w:rsid w:val="000E12D4"/>
    <w:rsid w:val="000E5984"/>
    <w:rsid w:val="00104669"/>
    <w:rsid w:val="00110028"/>
    <w:rsid w:val="00116EDF"/>
    <w:rsid w:val="00124B26"/>
    <w:rsid w:val="00130C4E"/>
    <w:rsid w:val="00131B54"/>
    <w:rsid w:val="001354B7"/>
    <w:rsid w:val="001404FA"/>
    <w:rsid w:val="001413C5"/>
    <w:rsid w:val="00142956"/>
    <w:rsid w:val="00143502"/>
    <w:rsid w:val="00144494"/>
    <w:rsid w:val="00144868"/>
    <w:rsid w:val="00157709"/>
    <w:rsid w:val="00167330"/>
    <w:rsid w:val="00167CF4"/>
    <w:rsid w:val="001709C1"/>
    <w:rsid w:val="00172ED9"/>
    <w:rsid w:val="00185F6A"/>
    <w:rsid w:val="001943DD"/>
    <w:rsid w:val="00195374"/>
    <w:rsid w:val="001A127F"/>
    <w:rsid w:val="001A1F53"/>
    <w:rsid w:val="001A3CA4"/>
    <w:rsid w:val="001A3EA4"/>
    <w:rsid w:val="001B3782"/>
    <w:rsid w:val="001B3AEC"/>
    <w:rsid w:val="001B5000"/>
    <w:rsid w:val="001B6F28"/>
    <w:rsid w:val="001D4585"/>
    <w:rsid w:val="001D5D54"/>
    <w:rsid w:val="001E41C8"/>
    <w:rsid w:val="001F2C51"/>
    <w:rsid w:val="001F3AD7"/>
    <w:rsid w:val="001F45EB"/>
    <w:rsid w:val="00207630"/>
    <w:rsid w:val="00213082"/>
    <w:rsid w:val="0021714E"/>
    <w:rsid w:val="00222187"/>
    <w:rsid w:val="00222C8D"/>
    <w:rsid w:val="00222E33"/>
    <w:rsid w:val="00227B95"/>
    <w:rsid w:val="0023523A"/>
    <w:rsid w:val="002353DF"/>
    <w:rsid w:val="00235F71"/>
    <w:rsid w:val="0025272A"/>
    <w:rsid w:val="002705E7"/>
    <w:rsid w:val="00271922"/>
    <w:rsid w:val="0027204E"/>
    <w:rsid w:val="00273412"/>
    <w:rsid w:val="00273FA6"/>
    <w:rsid w:val="00274ACF"/>
    <w:rsid w:val="00285F1B"/>
    <w:rsid w:val="00295831"/>
    <w:rsid w:val="00296F1B"/>
    <w:rsid w:val="002A6DF5"/>
    <w:rsid w:val="002D00B0"/>
    <w:rsid w:val="002D2E16"/>
    <w:rsid w:val="002E2029"/>
    <w:rsid w:val="002F19EF"/>
    <w:rsid w:val="00302415"/>
    <w:rsid w:val="0030693C"/>
    <w:rsid w:val="003102F6"/>
    <w:rsid w:val="00313304"/>
    <w:rsid w:val="00313C48"/>
    <w:rsid w:val="00314D15"/>
    <w:rsid w:val="003162AD"/>
    <w:rsid w:val="00321148"/>
    <w:rsid w:val="00321798"/>
    <w:rsid w:val="00325F44"/>
    <w:rsid w:val="00326976"/>
    <w:rsid w:val="003311D7"/>
    <w:rsid w:val="00332B8B"/>
    <w:rsid w:val="00342476"/>
    <w:rsid w:val="00347104"/>
    <w:rsid w:val="0035213F"/>
    <w:rsid w:val="003555D2"/>
    <w:rsid w:val="00363DF3"/>
    <w:rsid w:val="003656B1"/>
    <w:rsid w:val="0037056B"/>
    <w:rsid w:val="00377173"/>
    <w:rsid w:val="003774DA"/>
    <w:rsid w:val="00392557"/>
    <w:rsid w:val="003945C0"/>
    <w:rsid w:val="00395480"/>
    <w:rsid w:val="003A06C2"/>
    <w:rsid w:val="003A1BC3"/>
    <w:rsid w:val="003B6D2E"/>
    <w:rsid w:val="003C430D"/>
    <w:rsid w:val="003C7404"/>
    <w:rsid w:val="003D3C5A"/>
    <w:rsid w:val="003D404A"/>
    <w:rsid w:val="003D745F"/>
    <w:rsid w:val="003E6FDA"/>
    <w:rsid w:val="003F3072"/>
    <w:rsid w:val="00401A2A"/>
    <w:rsid w:val="004103D7"/>
    <w:rsid w:val="0041307C"/>
    <w:rsid w:val="004167B4"/>
    <w:rsid w:val="00421E68"/>
    <w:rsid w:val="00430D7E"/>
    <w:rsid w:val="00433B04"/>
    <w:rsid w:val="00440BD3"/>
    <w:rsid w:val="00446F93"/>
    <w:rsid w:val="00453343"/>
    <w:rsid w:val="004649E2"/>
    <w:rsid w:val="00464E8C"/>
    <w:rsid w:val="00466D36"/>
    <w:rsid w:val="00467185"/>
    <w:rsid w:val="0047050C"/>
    <w:rsid w:val="00475504"/>
    <w:rsid w:val="00480F21"/>
    <w:rsid w:val="00484FED"/>
    <w:rsid w:val="00487723"/>
    <w:rsid w:val="00495AF1"/>
    <w:rsid w:val="004D44E8"/>
    <w:rsid w:val="004D6A91"/>
    <w:rsid w:val="004F775C"/>
    <w:rsid w:val="004F77BF"/>
    <w:rsid w:val="005015E4"/>
    <w:rsid w:val="0050291D"/>
    <w:rsid w:val="0050697E"/>
    <w:rsid w:val="00524B3C"/>
    <w:rsid w:val="005300B9"/>
    <w:rsid w:val="005315A9"/>
    <w:rsid w:val="005316BE"/>
    <w:rsid w:val="00532B56"/>
    <w:rsid w:val="00537B50"/>
    <w:rsid w:val="00540AD0"/>
    <w:rsid w:val="0054322A"/>
    <w:rsid w:val="00543923"/>
    <w:rsid w:val="005519C9"/>
    <w:rsid w:val="005523D1"/>
    <w:rsid w:val="00554A9C"/>
    <w:rsid w:val="00557624"/>
    <w:rsid w:val="0056023E"/>
    <w:rsid w:val="005658EF"/>
    <w:rsid w:val="00573622"/>
    <w:rsid w:val="005822A3"/>
    <w:rsid w:val="0059070B"/>
    <w:rsid w:val="00594445"/>
    <w:rsid w:val="005B1225"/>
    <w:rsid w:val="005B3C0F"/>
    <w:rsid w:val="005C09F4"/>
    <w:rsid w:val="005C561A"/>
    <w:rsid w:val="005C5B93"/>
    <w:rsid w:val="005C66FF"/>
    <w:rsid w:val="005C785A"/>
    <w:rsid w:val="005D03CA"/>
    <w:rsid w:val="005D45AB"/>
    <w:rsid w:val="005E4662"/>
    <w:rsid w:val="005F093F"/>
    <w:rsid w:val="005F214A"/>
    <w:rsid w:val="005F4329"/>
    <w:rsid w:val="005F6BD6"/>
    <w:rsid w:val="00601C99"/>
    <w:rsid w:val="00607597"/>
    <w:rsid w:val="006255E4"/>
    <w:rsid w:val="006325E2"/>
    <w:rsid w:val="00641020"/>
    <w:rsid w:val="006410C1"/>
    <w:rsid w:val="00647F05"/>
    <w:rsid w:val="006530EF"/>
    <w:rsid w:val="00654D06"/>
    <w:rsid w:val="00661536"/>
    <w:rsid w:val="006678ED"/>
    <w:rsid w:val="00667CCF"/>
    <w:rsid w:val="0067233D"/>
    <w:rsid w:val="006745AE"/>
    <w:rsid w:val="00675BEF"/>
    <w:rsid w:val="00676AF3"/>
    <w:rsid w:val="00676D10"/>
    <w:rsid w:val="00680F71"/>
    <w:rsid w:val="00682A53"/>
    <w:rsid w:val="0069174B"/>
    <w:rsid w:val="00693FA1"/>
    <w:rsid w:val="006B05E3"/>
    <w:rsid w:val="006B09BC"/>
    <w:rsid w:val="006B42A0"/>
    <w:rsid w:val="006B4E59"/>
    <w:rsid w:val="006C3402"/>
    <w:rsid w:val="006C3622"/>
    <w:rsid w:val="006C395C"/>
    <w:rsid w:val="006C45D4"/>
    <w:rsid w:val="006E1F3C"/>
    <w:rsid w:val="006E6073"/>
    <w:rsid w:val="006F7300"/>
    <w:rsid w:val="00703C09"/>
    <w:rsid w:val="00712300"/>
    <w:rsid w:val="00714026"/>
    <w:rsid w:val="00720739"/>
    <w:rsid w:val="00721695"/>
    <w:rsid w:val="0072348D"/>
    <w:rsid w:val="007242B4"/>
    <w:rsid w:val="00725FB2"/>
    <w:rsid w:val="00730C64"/>
    <w:rsid w:val="007322AF"/>
    <w:rsid w:val="00732754"/>
    <w:rsid w:val="00735477"/>
    <w:rsid w:val="00736DCA"/>
    <w:rsid w:val="00742399"/>
    <w:rsid w:val="007457E8"/>
    <w:rsid w:val="0074640C"/>
    <w:rsid w:val="0075003D"/>
    <w:rsid w:val="00751B37"/>
    <w:rsid w:val="00754D44"/>
    <w:rsid w:val="00767B7E"/>
    <w:rsid w:val="007746A9"/>
    <w:rsid w:val="00785465"/>
    <w:rsid w:val="00787656"/>
    <w:rsid w:val="007924F6"/>
    <w:rsid w:val="007A67EA"/>
    <w:rsid w:val="007B15AF"/>
    <w:rsid w:val="007B7E83"/>
    <w:rsid w:val="007C1631"/>
    <w:rsid w:val="007C636F"/>
    <w:rsid w:val="007D0EF8"/>
    <w:rsid w:val="007D39EB"/>
    <w:rsid w:val="00800A4D"/>
    <w:rsid w:val="00802E3B"/>
    <w:rsid w:val="008131E7"/>
    <w:rsid w:val="00813711"/>
    <w:rsid w:val="00814279"/>
    <w:rsid w:val="008263C2"/>
    <w:rsid w:val="00842959"/>
    <w:rsid w:val="008451FE"/>
    <w:rsid w:val="008466A1"/>
    <w:rsid w:val="00846C1D"/>
    <w:rsid w:val="00851758"/>
    <w:rsid w:val="00856D5A"/>
    <w:rsid w:val="008609EB"/>
    <w:rsid w:val="00862D6D"/>
    <w:rsid w:val="008653E0"/>
    <w:rsid w:val="008657FB"/>
    <w:rsid w:val="00871D4F"/>
    <w:rsid w:val="00872116"/>
    <w:rsid w:val="00872731"/>
    <w:rsid w:val="00874FB3"/>
    <w:rsid w:val="00880BE3"/>
    <w:rsid w:val="00882588"/>
    <w:rsid w:val="00895792"/>
    <w:rsid w:val="008A3507"/>
    <w:rsid w:val="008A3738"/>
    <w:rsid w:val="008A384C"/>
    <w:rsid w:val="008A6981"/>
    <w:rsid w:val="008B645B"/>
    <w:rsid w:val="008B67B8"/>
    <w:rsid w:val="008B774D"/>
    <w:rsid w:val="008C123E"/>
    <w:rsid w:val="008C3ED0"/>
    <w:rsid w:val="008C5585"/>
    <w:rsid w:val="008C5E94"/>
    <w:rsid w:val="008D4E4B"/>
    <w:rsid w:val="008E6E9D"/>
    <w:rsid w:val="008F1897"/>
    <w:rsid w:val="008F4774"/>
    <w:rsid w:val="008F68F7"/>
    <w:rsid w:val="008F7480"/>
    <w:rsid w:val="009037B6"/>
    <w:rsid w:val="00906CBE"/>
    <w:rsid w:val="00906FFA"/>
    <w:rsid w:val="00910384"/>
    <w:rsid w:val="009139C0"/>
    <w:rsid w:val="009161C8"/>
    <w:rsid w:val="009164AD"/>
    <w:rsid w:val="00922289"/>
    <w:rsid w:val="00936F46"/>
    <w:rsid w:val="0094271E"/>
    <w:rsid w:val="00943142"/>
    <w:rsid w:val="00943A29"/>
    <w:rsid w:val="0095197E"/>
    <w:rsid w:val="00952AB2"/>
    <w:rsid w:val="009551E0"/>
    <w:rsid w:val="00955801"/>
    <w:rsid w:val="0095654E"/>
    <w:rsid w:val="00956F3C"/>
    <w:rsid w:val="0095779B"/>
    <w:rsid w:val="0096485D"/>
    <w:rsid w:val="009775D3"/>
    <w:rsid w:val="009900F0"/>
    <w:rsid w:val="00991769"/>
    <w:rsid w:val="00994E9F"/>
    <w:rsid w:val="00996931"/>
    <w:rsid w:val="009A0F18"/>
    <w:rsid w:val="009A4CD8"/>
    <w:rsid w:val="009A6AFA"/>
    <w:rsid w:val="009B3ED1"/>
    <w:rsid w:val="009C07EC"/>
    <w:rsid w:val="009C206F"/>
    <w:rsid w:val="009C433C"/>
    <w:rsid w:val="009D28B7"/>
    <w:rsid w:val="009D7E1A"/>
    <w:rsid w:val="009E2162"/>
    <w:rsid w:val="009F2F95"/>
    <w:rsid w:val="00A006EB"/>
    <w:rsid w:val="00A03709"/>
    <w:rsid w:val="00A06C77"/>
    <w:rsid w:val="00A10147"/>
    <w:rsid w:val="00A1365F"/>
    <w:rsid w:val="00A13D26"/>
    <w:rsid w:val="00A146A5"/>
    <w:rsid w:val="00A17411"/>
    <w:rsid w:val="00A2223D"/>
    <w:rsid w:val="00A223EF"/>
    <w:rsid w:val="00A34A74"/>
    <w:rsid w:val="00A35351"/>
    <w:rsid w:val="00A42ADE"/>
    <w:rsid w:val="00A60693"/>
    <w:rsid w:val="00A61146"/>
    <w:rsid w:val="00A6496E"/>
    <w:rsid w:val="00A67728"/>
    <w:rsid w:val="00A81A4F"/>
    <w:rsid w:val="00A82E14"/>
    <w:rsid w:val="00A901E9"/>
    <w:rsid w:val="00A9762C"/>
    <w:rsid w:val="00AA2B0D"/>
    <w:rsid w:val="00AA4067"/>
    <w:rsid w:val="00AB1A5B"/>
    <w:rsid w:val="00AC0A54"/>
    <w:rsid w:val="00AC125E"/>
    <w:rsid w:val="00AC45DF"/>
    <w:rsid w:val="00AC474D"/>
    <w:rsid w:val="00AC4DFD"/>
    <w:rsid w:val="00AC58FD"/>
    <w:rsid w:val="00AC60CD"/>
    <w:rsid w:val="00AD60E6"/>
    <w:rsid w:val="00AD793A"/>
    <w:rsid w:val="00AE457D"/>
    <w:rsid w:val="00AE5956"/>
    <w:rsid w:val="00AE619F"/>
    <w:rsid w:val="00AF373A"/>
    <w:rsid w:val="00AF7EFE"/>
    <w:rsid w:val="00B03BEE"/>
    <w:rsid w:val="00B049AA"/>
    <w:rsid w:val="00B0517E"/>
    <w:rsid w:val="00B056E2"/>
    <w:rsid w:val="00B11314"/>
    <w:rsid w:val="00B1192C"/>
    <w:rsid w:val="00B138E3"/>
    <w:rsid w:val="00B20B5C"/>
    <w:rsid w:val="00B23267"/>
    <w:rsid w:val="00B25891"/>
    <w:rsid w:val="00B27149"/>
    <w:rsid w:val="00B37046"/>
    <w:rsid w:val="00B40D26"/>
    <w:rsid w:val="00B4451B"/>
    <w:rsid w:val="00B51316"/>
    <w:rsid w:val="00B72D62"/>
    <w:rsid w:val="00B76920"/>
    <w:rsid w:val="00B843C8"/>
    <w:rsid w:val="00B9108A"/>
    <w:rsid w:val="00B951E2"/>
    <w:rsid w:val="00B96F37"/>
    <w:rsid w:val="00BA607C"/>
    <w:rsid w:val="00BB27B7"/>
    <w:rsid w:val="00BB3E2A"/>
    <w:rsid w:val="00BC16F5"/>
    <w:rsid w:val="00BC287D"/>
    <w:rsid w:val="00BC4A76"/>
    <w:rsid w:val="00BD32E5"/>
    <w:rsid w:val="00BD7ADD"/>
    <w:rsid w:val="00BE41C3"/>
    <w:rsid w:val="00BE6767"/>
    <w:rsid w:val="00BE68D7"/>
    <w:rsid w:val="00BF0784"/>
    <w:rsid w:val="00BF7763"/>
    <w:rsid w:val="00C02ED3"/>
    <w:rsid w:val="00C04D5E"/>
    <w:rsid w:val="00C24EA2"/>
    <w:rsid w:val="00C24F70"/>
    <w:rsid w:val="00C25D5B"/>
    <w:rsid w:val="00C325C4"/>
    <w:rsid w:val="00C33479"/>
    <w:rsid w:val="00C47BA2"/>
    <w:rsid w:val="00C612DC"/>
    <w:rsid w:val="00C622CB"/>
    <w:rsid w:val="00C64D15"/>
    <w:rsid w:val="00C74F74"/>
    <w:rsid w:val="00C7554B"/>
    <w:rsid w:val="00C80192"/>
    <w:rsid w:val="00C83E31"/>
    <w:rsid w:val="00C916A4"/>
    <w:rsid w:val="00CA2A52"/>
    <w:rsid w:val="00CA2B15"/>
    <w:rsid w:val="00CA6490"/>
    <w:rsid w:val="00CB05BE"/>
    <w:rsid w:val="00CB5744"/>
    <w:rsid w:val="00CB7022"/>
    <w:rsid w:val="00CD1937"/>
    <w:rsid w:val="00CE214C"/>
    <w:rsid w:val="00CE6858"/>
    <w:rsid w:val="00CF50BE"/>
    <w:rsid w:val="00CF553B"/>
    <w:rsid w:val="00CF6A52"/>
    <w:rsid w:val="00CF7CCE"/>
    <w:rsid w:val="00D03583"/>
    <w:rsid w:val="00D117B4"/>
    <w:rsid w:val="00D169F7"/>
    <w:rsid w:val="00D20713"/>
    <w:rsid w:val="00D21382"/>
    <w:rsid w:val="00D26D01"/>
    <w:rsid w:val="00D270AB"/>
    <w:rsid w:val="00D33DA3"/>
    <w:rsid w:val="00D45D9D"/>
    <w:rsid w:val="00D4723B"/>
    <w:rsid w:val="00D55EE8"/>
    <w:rsid w:val="00D5785A"/>
    <w:rsid w:val="00D64C48"/>
    <w:rsid w:val="00D731C4"/>
    <w:rsid w:val="00D76BB8"/>
    <w:rsid w:val="00D81BAA"/>
    <w:rsid w:val="00D85BE0"/>
    <w:rsid w:val="00D87C1A"/>
    <w:rsid w:val="00D87F42"/>
    <w:rsid w:val="00D87FD7"/>
    <w:rsid w:val="00D92167"/>
    <w:rsid w:val="00D9502B"/>
    <w:rsid w:val="00D97047"/>
    <w:rsid w:val="00D97108"/>
    <w:rsid w:val="00DC5665"/>
    <w:rsid w:val="00DD46FC"/>
    <w:rsid w:val="00DD4F44"/>
    <w:rsid w:val="00DD5B58"/>
    <w:rsid w:val="00DD5D8B"/>
    <w:rsid w:val="00DE0F9E"/>
    <w:rsid w:val="00DE5D76"/>
    <w:rsid w:val="00E04C8D"/>
    <w:rsid w:val="00E128D8"/>
    <w:rsid w:val="00E30D45"/>
    <w:rsid w:val="00E42FE4"/>
    <w:rsid w:val="00E46FAA"/>
    <w:rsid w:val="00E50FB5"/>
    <w:rsid w:val="00E5750B"/>
    <w:rsid w:val="00E60E2E"/>
    <w:rsid w:val="00E63A24"/>
    <w:rsid w:val="00E65D1B"/>
    <w:rsid w:val="00E67913"/>
    <w:rsid w:val="00E71A2D"/>
    <w:rsid w:val="00E8698A"/>
    <w:rsid w:val="00E923F2"/>
    <w:rsid w:val="00EA31CC"/>
    <w:rsid w:val="00EB14DF"/>
    <w:rsid w:val="00EB2B64"/>
    <w:rsid w:val="00EB3A07"/>
    <w:rsid w:val="00EB4143"/>
    <w:rsid w:val="00EB4728"/>
    <w:rsid w:val="00EC207A"/>
    <w:rsid w:val="00EC3F31"/>
    <w:rsid w:val="00ED3C91"/>
    <w:rsid w:val="00ED4112"/>
    <w:rsid w:val="00EF1347"/>
    <w:rsid w:val="00EF2BEB"/>
    <w:rsid w:val="00F01129"/>
    <w:rsid w:val="00F0373D"/>
    <w:rsid w:val="00F03D93"/>
    <w:rsid w:val="00F03D9E"/>
    <w:rsid w:val="00F227BF"/>
    <w:rsid w:val="00F374B2"/>
    <w:rsid w:val="00F40AFC"/>
    <w:rsid w:val="00F40E2C"/>
    <w:rsid w:val="00F43553"/>
    <w:rsid w:val="00F4730E"/>
    <w:rsid w:val="00F50A92"/>
    <w:rsid w:val="00F53F24"/>
    <w:rsid w:val="00F63341"/>
    <w:rsid w:val="00F7536E"/>
    <w:rsid w:val="00F81F93"/>
    <w:rsid w:val="00F839A8"/>
    <w:rsid w:val="00F86F1B"/>
    <w:rsid w:val="00F91E60"/>
    <w:rsid w:val="00F92A21"/>
    <w:rsid w:val="00F92E9B"/>
    <w:rsid w:val="00F95814"/>
    <w:rsid w:val="00FA01D9"/>
    <w:rsid w:val="00FA031C"/>
    <w:rsid w:val="00FB13C1"/>
    <w:rsid w:val="00FB420B"/>
    <w:rsid w:val="00FC1C5F"/>
    <w:rsid w:val="00FC5A4D"/>
    <w:rsid w:val="00FC5C0C"/>
    <w:rsid w:val="00FC64EF"/>
    <w:rsid w:val="00FD2673"/>
    <w:rsid w:val="00FE22FA"/>
    <w:rsid w:val="00FE26C9"/>
    <w:rsid w:val="00FE2A29"/>
    <w:rsid w:val="00FF3801"/>
    <w:rsid w:val="00FF5B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AA6E0"/>
  <w15:docId w15:val="{0D9177D8-965A-4494-929F-AD33058C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AFA"/>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72731"/>
    <w:pPr>
      <w:keepNext/>
      <w:keepLines/>
      <w:spacing w:before="240" w:line="240" w:lineRule="auto"/>
      <w:contextualSpacing/>
      <w:outlineLvl w:val="0"/>
    </w:pPr>
    <w:rPr>
      <w:rFonts w:ascii="Georgia" w:hAnsi="Georgia" w:cs="Arial"/>
      <w:bCs/>
      <w:color w:val="275D38"/>
      <w:kern w:val="32"/>
      <w:sz w:val="36"/>
      <w:szCs w:val="32"/>
    </w:rPr>
  </w:style>
  <w:style w:type="paragraph" w:styleId="Heading2">
    <w:name w:val="heading 2"/>
    <w:basedOn w:val="Normal"/>
    <w:next w:val="Normal"/>
    <w:link w:val="Heading2Char"/>
    <w:uiPriority w:val="2"/>
    <w:qFormat/>
    <w:rsid w:val="00872731"/>
    <w:pPr>
      <w:keepNext/>
      <w:keepLines/>
      <w:spacing w:before="240" w:line="240" w:lineRule="auto"/>
      <w:contextualSpacing/>
      <w:outlineLvl w:val="1"/>
    </w:pPr>
    <w:rPr>
      <w:rFonts w:ascii="Georgia" w:hAnsi="Georgia" w:cs="Arial"/>
      <w:bCs/>
      <w:iCs/>
      <w:color w:val="275D38"/>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872731"/>
    <w:pPr>
      <w:spacing w:before="240" w:line="240" w:lineRule="auto"/>
      <w:contextualSpacing/>
      <w:outlineLvl w:val="0"/>
    </w:pPr>
    <w:rPr>
      <w:rFonts w:ascii="Georgia" w:hAnsi="Georgia" w:cs="Arial"/>
      <w:bCs/>
      <w:color w:val="275D38"/>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rsid w:val="00E65D1B"/>
    <w:rPr>
      <w:rFonts w:ascii="Arial" w:hAnsi="Arial"/>
      <w:sz w:val="24"/>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72731"/>
    <w:pPr>
      <w:spacing w:before="120" w:after="120"/>
      <w:ind w:left="397"/>
      <w:contextualSpacing/>
    </w:pPr>
    <w:rPr>
      <w:rFonts w:ascii="Georgia" w:hAnsi="Georgia" w:cs="Arial"/>
      <w:bCs/>
      <w:iCs/>
      <w:color w:val="275D38"/>
      <w:sz w:val="24"/>
      <w:szCs w:val="28"/>
    </w:rPr>
  </w:style>
  <w:style w:type="character" w:customStyle="1" w:styleId="Heading2Char">
    <w:name w:val="Heading 2 Char"/>
    <w:basedOn w:val="DefaultParagraphFont"/>
    <w:link w:val="Heading2"/>
    <w:uiPriority w:val="2"/>
    <w:rsid w:val="00872731"/>
    <w:rPr>
      <w:rFonts w:ascii="Georgia" w:hAnsi="Georgia" w:cs="Arial"/>
      <w:bCs/>
      <w:iCs/>
      <w:color w:val="275D38"/>
      <w:spacing w:val="4"/>
      <w:sz w:val="32"/>
      <w:szCs w:val="28"/>
    </w:rPr>
  </w:style>
  <w:style w:type="character" w:customStyle="1" w:styleId="PullouttextChar">
    <w:name w:val="Pullout text Char"/>
    <w:basedOn w:val="Heading2Char"/>
    <w:link w:val="Pullouttext"/>
    <w:uiPriority w:val="3"/>
    <w:rsid w:val="00872731"/>
    <w:rPr>
      <w:rFonts w:ascii="Georgia" w:hAnsi="Georgia" w:cs="Arial"/>
      <w:bCs/>
      <w:iCs/>
      <w:color w:val="275D38"/>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72731"/>
    <w:rPr>
      <w:rFonts w:ascii="Georgia" w:hAnsi="Georgia" w:cs="Arial"/>
      <w:bCs/>
      <w:color w:val="275D38"/>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872731"/>
    <w:rPr>
      <w:rFonts w:ascii="Georgia" w:hAnsi="Georgia" w:cs="Arial"/>
      <w:bCs/>
      <w:color w:val="275D38"/>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DD5B5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D5B58"/>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1,Recommendation,Bullet Points,NFP GP Bulleted List,Bullet point,#List Paragraph,L,List Paragraph*"/>
    <w:basedOn w:val="Normal"/>
    <w:uiPriority w:val="34"/>
    <w:qFormat/>
    <w:rsid w:val="00C80192"/>
    <w:pPr>
      <w:ind w:left="720"/>
      <w:contextualSpacing/>
    </w:pPr>
  </w:style>
  <w:style w:type="table" w:styleId="TableClassic2">
    <w:name w:val="Table Classic 2"/>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1">
    <w:name w:val="Table 3D effects 1"/>
    <w:basedOn w:val="TableNormal"/>
    <w:rsid w:val="00E65D1B"/>
    <w:pPr>
      <w:spacing w:before="120" w:after="180" w:line="280" w:lineRule="atLeast"/>
    </w:pPr>
    <w:rPr>
      <w:rFonts w:asciiTheme="minorHAnsi" w:hAnsiTheme="minorHAnsi"/>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65D1B"/>
    <w:pPr>
      <w:spacing w:before="120" w:after="180" w:line="280" w:lineRule="atLeast"/>
    </w:pPr>
    <w:rPr>
      <w:rFonts w:ascii="Arial" w:hAnsi="Arial"/>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65D1B"/>
    <w:pPr>
      <w:spacing w:before="120" w:after="180" w:line="280" w:lineRule="atLeast"/>
    </w:pPr>
    <w:rPr>
      <w:rFonts w:ascii="Arial" w:hAnsi="Arial"/>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E65D1B"/>
    <w:pPr>
      <w:spacing w:before="120" w:after="180" w:line="280" w:lineRule="atLeast"/>
    </w:pPr>
    <w:rPr>
      <w:rFonts w:ascii="Arial" w:hAnsi="Arial"/>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65D1B"/>
    <w:pPr>
      <w:spacing w:before="120" w:after="180" w:line="280" w:lineRule="atLeast"/>
    </w:pPr>
    <w:rPr>
      <w:rFonts w:ascii="Arial" w:hAnsi="Arial"/>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65D1B"/>
    <w:pPr>
      <w:spacing w:before="120" w:after="180" w:line="280" w:lineRule="atLeast"/>
    </w:pPr>
    <w:rPr>
      <w:rFonts w:ascii="Arial" w:hAnsi="Arial"/>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fulList">
    <w:name w:val="Colorful List"/>
    <w:basedOn w:val="TableNormal"/>
    <w:uiPriority w:val="72"/>
    <w:rsid w:val="00E65D1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2">
    <w:name w:val="Colorful List Accent 2"/>
    <w:basedOn w:val="TableNormal"/>
    <w:uiPriority w:val="72"/>
    <w:rsid w:val="00E65D1B"/>
    <w:rPr>
      <w:color w:val="000000" w:themeColor="text1"/>
    </w:rPr>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paragraph" w:styleId="BodyText">
    <w:name w:val="Body Text"/>
    <w:link w:val="BodyTextChar"/>
    <w:qFormat/>
    <w:rsid w:val="00024729"/>
    <w:pPr>
      <w:spacing w:before="120" w:after="140" w:line="280" w:lineRule="atLeast"/>
    </w:pPr>
    <w:rPr>
      <w:rFonts w:asciiTheme="minorHAnsi" w:eastAsiaTheme="minorHAnsi" w:hAnsiTheme="minorHAnsi"/>
      <w:color w:val="000000" w:themeColor="text1"/>
      <w:sz w:val="22"/>
      <w:lang w:eastAsia="en-US"/>
    </w:rPr>
  </w:style>
  <w:style w:type="character" w:customStyle="1" w:styleId="BodyTextChar">
    <w:name w:val="Body Text Char"/>
    <w:basedOn w:val="DefaultParagraphFont"/>
    <w:link w:val="BodyText"/>
    <w:rsid w:val="00024729"/>
    <w:rPr>
      <w:rFonts w:asciiTheme="minorHAnsi" w:eastAsiaTheme="minorHAnsi" w:hAnsiTheme="minorHAnsi"/>
      <w:color w:val="000000" w:themeColor="text1"/>
      <w:sz w:val="22"/>
      <w:lang w:eastAsia="en-US"/>
    </w:rPr>
  </w:style>
  <w:style w:type="paragraph" w:styleId="CommentText">
    <w:name w:val="annotation text"/>
    <w:basedOn w:val="Normal"/>
    <w:link w:val="CommentTextChar"/>
    <w:uiPriority w:val="99"/>
    <w:unhideWhenUsed/>
    <w:rsid w:val="00024729"/>
    <w:pPr>
      <w:spacing w:before="0" w:after="0" w:line="240" w:lineRule="auto"/>
    </w:pPr>
    <w:rPr>
      <w:rFonts w:asciiTheme="minorHAnsi" w:eastAsiaTheme="minorHAnsi" w:hAnsiTheme="minorHAnsi"/>
      <w:color w:val="000000" w:themeColor="text1"/>
      <w:spacing w:val="0"/>
      <w:sz w:val="20"/>
      <w:szCs w:val="20"/>
      <w:lang w:eastAsia="en-US"/>
    </w:rPr>
  </w:style>
  <w:style w:type="character" w:customStyle="1" w:styleId="CommentTextChar">
    <w:name w:val="Comment Text Char"/>
    <w:basedOn w:val="DefaultParagraphFont"/>
    <w:link w:val="CommentText"/>
    <w:uiPriority w:val="99"/>
    <w:rsid w:val="00024729"/>
    <w:rPr>
      <w:rFonts w:asciiTheme="minorHAnsi" w:eastAsiaTheme="minorHAnsi" w:hAnsiTheme="minorHAnsi"/>
      <w:color w:val="000000" w:themeColor="text1"/>
      <w:lang w:eastAsia="en-US"/>
    </w:rPr>
  </w:style>
  <w:style w:type="numbering" w:customStyle="1" w:styleId="Numbers">
    <w:name w:val="Numbers"/>
    <w:basedOn w:val="NoList"/>
    <w:uiPriority w:val="99"/>
    <w:rsid w:val="00B9108A"/>
    <w:pPr>
      <w:numPr>
        <w:numId w:val="4"/>
      </w:numPr>
    </w:pPr>
  </w:style>
  <w:style w:type="paragraph" w:customStyle="1" w:styleId="Numbers1">
    <w:name w:val="Numbers 1"/>
    <w:basedOn w:val="Heading3"/>
    <w:uiPriority w:val="9"/>
    <w:qFormat/>
    <w:rsid w:val="00B9108A"/>
    <w:pPr>
      <w:numPr>
        <w:numId w:val="4"/>
      </w:numPr>
      <w:spacing w:before="400" w:after="120" w:line="280" w:lineRule="atLeast"/>
      <w:contextualSpacing w:val="0"/>
    </w:pPr>
    <w:rPr>
      <w:rFonts w:asciiTheme="majorHAnsi" w:eastAsiaTheme="majorEastAsia" w:hAnsiTheme="majorHAnsi" w:cstheme="majorBidi"/>
      <w:b/>
      <w:color w:val="000000" w:themeColor="text1"/>
      <w:spacing w:val="0"/>
      <w:sz w:val="22"/>
      <w:szCs w:val="20"/>
      <w:lang w:eastAsia="en-US"/>
    </w:rPr>
  </w:style>
  <w:style w:type="paragraph" w:customStyle="1" w:styleId="Numbers2">
    <w:name w:val="Numbers 2"/>
    <w:basedOn w:val="BodyText"/>
    <w:uiPriority w:val="9"/>
    <w:qFormat/>
    <w:rsid w:val="00B9108A"/>
    <w:pPr>
      <w:numPr>
        <w:ilvl w:val="1"/>
        <w:numId w:val="4"/>
      </w:numPr>
    </w:pPr>
  </w:style>
  <w:style w:type="paragraph" w:customStyle="1" w:styleId="Numbers3">
    <w:name w:val="Numbers 3"/>
    <w:basedOn w:val="BodyText"/>
    <w:uiPriority w:val="9"/>
    <w:qFormat/>
    <w:rsid w:val="00B9108A"/>
    <w:pPr>
      <w:numPr>
        <w:ilvl w:val="2"/>
        <w:numId w:val="4"/>
      </w:numPr>
    </w:pPr>
  </w:style>
  <w:style w:type="character" w:styleId="CommentReference">
    <w:name w:val="annotation reference"/>
    <w:basedOn w:val="DefaultParagraphFont"/>
    <w:uiPriority w:val="99"/>
    <w:semiHidden/>
    <w:unhideWhenUsed/>
    <w:rsid w:val="00B9108A"/>
    <w:rPr>
      <w:sz w:val="16"/>
      <w:szCs w:val="16"/>
    </w:rPr>
  </w:style>
  <w:style w:type="paragraph" w:customStyle="1" w:styleId="Boxed2Text">
    <w:name w:val="Boxed 2 Text"/>
    <w:basedOn w:val="Normal"/>
    <w:qFormat/>
    <w:rsid w:val="00B9108A"/>
    <w:pPr>
      <w:pBdr>
        <w:top w:val="single" w:sz="4" w:space="14" w:color="BBBADB"/>
        <w:left w:val="single" w:sz="4" w:space="14" w:color="BBBADB"/>
        <w:bottom w:val="single" w:sz="4" w:space="14" w:color="BBBADB"/>
        <w:right w:val="single" w:sz="4" w:space="14" w:color="BBBADB"/>
      </w:pBdr>
      <w:shd w:val="clear" w:color="auto" w:fill="BBBADB"/>
      <w:suppressAutoHyphens/>
      <w:spacing w:before="180" w:after="60"/>
      <w:ind w:left="284" w:right="284"/>
    </w:pPr>
    <w:rPr>
      <w:rFonts w:eastAsia="Arial"/>
      <w:spacing w:val="0"/>
      <w:sz w:val="22"/>
      <w:szCs w:val="22"/>
      <w:lang w:eastAsia="en-US"/>
    </w:rPr>
  </w:style>
  <w:style w:type="table" w:customStyle="1" w:styleId="CGHTableBanded">
    <w:name w:val="CGH Table Banded"/>
    <w:basedOn w:val="TableNormal"/>
    <w:uiPriority w:val="99"/>
    <w:rsid w:val="00B9108A"/>
    <w:rPr>
      <w:rFonts w:asciiTheme="minorHAnsi" w:eastAsiaTheme="minorHAnsi" w:hAnsiTheme="minorHAnsi"/>
      <w:lang w:eastAsia="en-US"/>
    </w:rPr>
    <w:tblPr>
      <w:tblStyleRowBandSize w:val="1"/>
      <w:tblBorders>
        <w:insideH w:val="single" w:sz="4" w:space="0" w:color="FFFFFF"/>
        <w:insideV w:val="single" w:sz="4" w:space="0" w:color="FFFFFF"/>
      </w:tblBorders>
      <w:tblCellMar>
        <w:left w:w="0" w:type="dxa"/>
        <w:right w:w="0" w:type="dxa"/>
      </w:tblCellMar>
    </w:tblPr>
    <w:tcPr>
      <w:shd w:val="clear" w:color="auto" w:fill="EFF0EF"/>
    </w:tcPr>
    <w:tblStylePr w:type="firstRow">
      <w:tblPr/>
      <w:tcPr>
        <w:tcBorders>
          <w:top w:val="nil"/>
          <w:left w:val="nil"/>
          <w:bottom w:val="single" w:sz="6" w:space="0" w:color="FFFFFF"/>
          <w:right w:val="nil"/>
          <w:insideH w:val="nil"/>
          <w:insideV w:val="single" w:sz="4" w:space="0" w:color="FFFFFF"/>
          <w:tl2br w:val="nil"/>
          <w:tr2bl w:val="nil"/>
        </w:tcBorders>
        <w:shd w:val="clear" w:color="auto" w:fill="FFD923"/>
      </w:tcPr>
    </w:tblStylePr>
    <w:tblStylePr w:type="band1Horz">
      <w:tblPr/>
      <w:tcPr>
        <w:shd w:val="clear" w:color="auto" w:fill="DFE1DF"/>
      </w:tcPr>
    </w:tblStylePr>
  </w:style>
  <w:style w:type="table" w:styleId="GridTable4-Accent3">
    <w:name w:val="Grid Table 4 Accent 3"/>
    <w:basedOn w:val="TableNormal"/>
    <w:uiPriority w:val="49"/>
    <w:rsid w:val="00A6496E"/>
    <w:tblPr>
      <w:tblStyleRowBandSize w:val="1"/>
      <w:tblStyleColBandSize w:val="1"/>
      <w:tblBorders>
        <w:top w:val="single" w:sz="4" w:space="0" w:color="DAEDB8" w:themeColor="accent3" w:themeTint="99"/>
        <w:left w:val="single" w:sz="4" w:space="0" w:color="DAEDB8" w:themeColor="accent3" w:themeTint="99"/>
        <w:bottom w:val="single" w:sz="4" w:space="0" w:color="DAEDB8" w:themeColor="accent3" w:themeTint="99"/>
        <w:right w:val="single" w:sz="4" w:space="0" w:color="DAEDB8" w:themeColor="accent3" w:themeTint="99"/>
        <w:insideH w:val="single" w:sz="4" w:space="0" w:color="DAEDB8" w:themeColor="accent3" w:themeTint="99"/>
        <w:insideV w:val="single" w:sz="4" w:space="0" w:color="DAEDB8" w:themeColor="accent3" w:themeTint="99"/>
      </w:tblBorders>
    </w:tblPr>
    <w:tblStylePr w:type="firstRow">
      <w:rPr>
        <w:b/>
        <w:bCs/>
        <w:color w:val="FFFFFF" w:themeColor="background1"/>
      </w:rPr>
      <w:tblPr/>
      <w:tcPr>
        <w:tcBorders>
          <w:top w:val="single" w:sz="4" w:space="0" w:color="C2E189" w:themeColor="accent3"/>
          <w:left w:val="single" w:sz="4" w:space="0" w:color="C2E189" w:themeColor="accent3"/>
          <w:bottom w:val="single" w:sz="4" w:space="0" w:color="C2E189" w:themeColor="accent3"/>
          <w:right w:val="single" w:sz="4" w:space="0" w:color="C2E189" w:themeColor="accent3"/>
          <w:insideH w:val="nil"/>
          <w:insideV w:val="nil"/>
        </w:tcBorders>
        <w:shd w:val="clear" w:color="auto" w:fill="C2E189" w:themeFill="accent3"/>
      </w:tcPr>
    </w:tblStylePr>
    <w:tblStylePr w:type="lastRow">
      <w:rPr>
        <w:b/>
        <w:bCs/>
      </w:rPr>
      <w:tblPr/>
      <w:tcPr>
        <w:tcBorders>
          <w:top w:val="double" w:sz="4" w:space="0" w:color="C2E189" w:themeColor="accent3"/>
        </w:tcBorders>
      </w:tcPr>
    </w:tblStylePr>
    <w:tblStylePr w:type="firstCol">
      <w:rPr>
        <w:b/>
        <w:bCs/>
      </w:rPr>
    </w:tblStylePr>
    <w:tblStylePr w:type="lastCol">
      <w:rPr>
        <w:b/>
        <w:bCs/>
      </w:rPr>
    </w:tblStylePr>
    <w:tblStylePr w:type="band1Vert">
      <w:tblPr/>
      <w:tcPr>
        <w:shd w:val="clear" w:color="auto" w:fill="F2F9E7" w:themeFill="accent3" w:themeFillTint="33"/>
      </w:tcPr>
    </w:tblStylePr>
    <w:tblStylePr w:type="band1Horz">
      <w:tblPr/>
      <w:tcPr>
        <w:shd w:val="clear" w:color="auto" w:fill="F2F9E7" w:themeFill="accent3" w:themeFillTint="33"/>
      </w:tcPr>
    </w:tblStylePr>
  </w:style>
  <w:style w:type="paragraph" w:styleId="CommentSubject">
    <w:name w:val="annotation subject"/>
    <w:basedOn w:val="CommentText"/>
    <w:next w:val="CommentText"/>
    <w:link w:val="CommentSubjectChar"/>
    <w:semiHidden/>
    <w:unhideWhenUsed/>
    <w:rsid w:val="00F91E60"/>
    <w:pPr>
      <w:spacing w:before="120" w:after="180"/>
    </w:pPr>
    <w:rPr>
      <w:rFonts w:ascii="Arial" w:eastAsia="Times New Roman" w:hAnsi="Arial"/>
      <w:b/>
      <w:bCs/>
      <w:color w:val="auto"/>
      <w:spacing w:val="4"/>
      <w:lang w:eastAsia="en-AU"/>
    </w:rPr>
  </w:style>
  <w:style w:type="character" w:customStyle="1" w:styleId="CommentSubjectChar">
    <w:name w:val="Comment Subject Char"/>
    <w:basedOn w:val="CommentTextChar"/>
    <w:link w:val="CommentSubject"/>
    <w:semiHidden/>
    <w:rsid w:val="00F91E60"/>
    <w:rPr>
      <w:rFonts w:ascii="Arial" w:eastAsiaTheme="minorHAnsi" w:hAnsi="Arial"/>
      <w:b/>
      <w:bCs/>
      <w:color w:val="000000" w:themeColor="text1"/>
      <w:spacing w:val="4"/>
      <w:lang w:eastAsia="en-US"/>
    </w:rPr>
  </w:style>
  <w:style w:type="table" w:styleId="GridTable4-Accent6">
    <w:name w:val="Grid Table 4 Accent 6"/>
    <w:basedOn w:val="TableNormal"/>
    <w:uiPriority w:val="49"/>
    <w:rsid w:val="00D270AB"/>
    <w:tblPr>
      <w:tblStyleRowBandSize w:val="1"/>
      <w:tblStyleColBandSize w:val="1"/>
      <w:tblBorders>
        <w:top w:val="single" w:sz="4" w:space="0" w:color="DAEDB8" w:themeColor="accent6" w:themeTint="99"/>
        <w:left w:val="single" w:sz="4" w:space="0" w:color="DAEDB8" w:themeColor="accent6" w:themeTint="99"/>
        <w:bottom w:val="single" w:sz="4" w:space="0" w:color="DAEDB8" w:themeColor="accent6" w:themeTint="99"/>
        <w:right w:val="single" w:sz="4" w:space="0" w:color="DAEDB8" w:themeColor="accent6" w:themeTint="99"/>
        <w:insideH w:val="single" w:sz="4" w:space="0" w:color="DAEDB8" w:themeColor="accent6" w:themeTint="99"/>
        <w:insideV w:val="single" w:sz="4" w:space="0" w:color="DAEDB8" w:themeColor="accent6" w:themeTint="99"/>
      </w:tblBorders>
    </w:tblPr>
    <w:tblStylePr w:type="firstRow">
      <w:rPr>
        <w:b/>
        <w:bCs/>
        <w:color w:val="FFFFFF" w:themeColor="background1"/>
      </w:rPr>
      <w:tblPr/>
      <w:tcPr>
        <w:shd w:val="clear" w:color="auto" w:fill="00838A"/>
      </w:tcPr>
    </w:tblStylePr>
    <w:tblStylePr w:type="lastRow">
      <w:rPr>
        <w:b/>
        <w:bCs/>
      </w:rPr>
      <w:tblPr/>
      <w:tcPr>
        <w:tcBorders>
          <w:top w:val="double" w:sz="4" w:space="0" w:color="C2E189" w:themeColor="accent6"/>
        </w:tcBorders>
      </w:tcPr>
    </w:tblStylePr>
    <w:tblStylePr w:type="firstCol">
      <w:rPr>
        <w:b/>
        <w:bCs/>
      </w:rPr>
    </w:tblStylePr>
    <w:tblStylePr w:type="lastCol">
      <w:rPr>
        <w:b/>
        <w:bCs/>
      </w:rPr>
    </w:tblStylePr>
    <w:tblStylePr w:type="band1Vert">
      <w:tblPr/>
      <w:tcPr>
        <w:shd w:val="clear" w:color="auto" w:fill="F2F9E7" w:themeFill="accent6" w:themeFillTint="33"/>
      </w:tcPr>
    </w:tblStylePr>
    <w:tblStylePr w:type="band1Horz">
      <w:tblPr/>
      <w:tcPr>
        <w:shd w:val="clear" w:color="auto" w:fill="DFF4F3"/>
      </w:tcPr>
    </w:tblStylePr>
  </w:style>
  <w:style w:type="table" w:styleId="GridTable4-Accent5">
    <w:name w:val="Grid Table 4 Accent 5"/>
    <w:basedOn w:val="TableNormal"/>
    <w:uiPriority w:val="49"/>
    <w:rsid w:val="003D745F"/>
    <w:tblPr>
      <w:tblStyleRowBandSize w:val="1"/>
      <w:tblStyleColBandSize w:val="1"/>
      <w:tblBorders>
        <w:top w:val="single" w:sz="4" w:space="0" w:color="AFE66A" w:themeColor="accent5" w:themeTint="99"/>
        <w:left w:val="single" w:sz="4" w:space="0" w:color="AFE66A" w:themeColor="accent5" w:themeTint="99"/>
        <w:bottom w:val="single" w:sz="4" w:space="0" w:color="AFE66A" w:themeColor="accent5" w:themeTint="99"/>
        <w:right w:val="single" w:sz="4" w:space="0" w:color="AFE66A" w:themeColor="accent5" w:themeTint="99"/>
        <w:insideH w:val="single" w:sz="4" w:space="0" w:color="AFE66A" w:themeColor="accent5" w:themeTint="99"/>
        <w:insideV w:val="single" w:sz="4" w:space="0" w:color="AFE66A" w:themeColor="accent5" w:themeTint="99"/>
      </w:tblBorders>
    </w:tblPr>
    <w:tblStylePr w:type="firstRow">
      <w:rPr>
        <w:b/>
        <w:bCs/>
        <w:color w:val="FFFFFF" w:themeColor="background1"/>
      </w:rPr>
      <w:tblPr/>
      <w:tcPr>
        <w:tcBorders>
          <w:top w:val="single" w:sz="4" w:space="0" w:color="78BE20" w:themeColor="accent5"/>
          <w:left w:val="single" w:sz="4" w:space="0" w:color="78BE20" w:themeColor="accent5"/>
          <w:bottom w:val="single" w:sz="4" w:space="0" w:color="78BE20" w:themeColor="accent5"/>
          <w:right w:val="single" w:sz="4" w:space="0" w:color="78BE20" w:themeColor="accent5"/>
          <w:insideH w:val="nil"/>
          <w:insideV w:val="nil"/>
        </w:tcBorders>
        <w:shd w:val="clear" w:color="auto" w:fill="78BE20" w:themeFill="accent5"/>
      </w:tcPr>
    </w:tblStylePr>
    <w:tblStylePr w:type="lastRow">
      <w:rPr>
        <w:b/>
        <w:bCs/>
      </w:rPr>
      <w:tblPr/>
      <w:tcPr>
        <w:tcBorders>
          <w:top w:val="double" w:sz="4" w:space="0" w:color="78BE20" w:themeColor="accent5"/>
        </w:tcBorders>
      </w:tcPr>
    </w:tblStylePr>
    <w:tblStylePr w:type="firstCol">
      <w:rPr>
        <w:b/>
        <w:bCs/>
      </w:rPr>
    </w:tblStylePr>
    <w:tblStylePr w:type="lastCol">
      <w:rPr>
        <w:b/>
        <w:bCs/>
      </w:rPr>
    </w:tblStylePr>
    <w:tblStylePr w:type="band1Vert">
      <w:tblPr/>
      <w:tcPr>
        <w:shd w:val="clear" w:color="auto" w:fill="E4F6CD" w:themeFill="accent5" w:themeFillTint="33"/>
      </w:tcPr>
    </w:tblStylePr>
    <w:tblStylePr w:type="band1Horz">
      <w:tblPr/>
      <w:tcPr>
        <w:shd w:val="clear" w:color="auto" w:fill="E4F6CD" w:themeFill="accent5" w:themeFillTint="33"/>
      </w:tcPr>
    </w:tblStylePr>
  </w:style>
  <w:style w:type="table" w:styleId="GridTable4-Accent2">
    <w:name w:val="Grid Table 4 Accent 2"/>
    <w:basedOn w:val="TableNormal"/>
    <w:uiPriority w:val="49"/>
    <w:rsid w:val="003D745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character" w:styleId="FollowedHyperlink">
    <w:name w:val="FollowedHyperlink"/>
    <w:basedOn w:val="DefaultParagraphFont"/>
    <w:uiPriority w:val="99"/>
    <w:semiHidden/>
    <w:unhideWhenUsed/>
    <w:rsid w:val="00A1365F"/>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90322127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nts.gov.au/?event=public.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Factsheet%20Templates\DSS%20Fact%20Sheet%20Portrait%20Green.dotx" TargetMode="External"/></Relationships>
</file>

<file path=word/theme/theme1.xml><?xml version="1.0" encoding="utf-8"?>
<a:theme xmlns:a="http://schemas.openxmlformats.org/drawingml/2006/main" name="DSS Green">
  <a:themeElements>
    <a:clrScheme name="DSS Green">
      <a:dk1>
        <a:sysClr val="windowText" lastClr="000000"/>
      </a:dk1>
      <a:lt1>
        <a:sysClr val="window" lastClr="FFFFFF"/>
      </a:lt1>
      <a:dk2>
        <a:srgbClr val="000000"/>
      </a:dk2>
      <a:lt2>
        <a:srgbClr val="F8F8F8"/>
      </a:lt2>
      <a:accent1>
        <a:srgbClr val="275D38"/>
      </a:accent1>
      <a:accent2>
        <a:srgbClr val="78BE20"/>
      </a:accent2>
      <a:accent3>
        <a:srgbClr val="C2E189"/>
      </a:accent3>
      <a:accent4>
        <a:srgbClr val="275D38"/>
      </a:accent4>
      <a:accent5>
        <a:srgbClr val="78BE20"/>
      </a:accent5>
      <a:accent6>
        <a:srgbClr val="C2E189"/>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2304A4-3130-4D6F-96CD-2ADAFEB7F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Fact Sheet Portrait Green</Template>
  <TotalTime>9</TotalTime>
  <Pages>1</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Insert Document Title</vt:lpstr>
    </vt:vector>
  </TitlesOfParts>
  <Company>Department of Social Services</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Document Title</dc:title>
  <dc:creator>LONG, Andrew</dc:creator>
  <cp:lastModifiedBy>DONATH, Kristen</cp:lastModifiedBy>
  <cp:revision>4</cp:revision>
  <cp:lastPrinted>2019-12-09T22:28:00Z</cp:lastPrinted>
  <dcterms:created xsi:type="dcterms:W3CDTF">2019-12-09T22:20:00Z</dcterms:created>
  <dcterms:modified xsi:type="dcterms:W3CDTF">2019-12-09T22:29:00Z</dcterms:modified>
</cp:coreProperties>
</file>