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2D7C1" w14:textId="652BE4BD" w:rsidR="00267C03" w:rsidRDefault="00033937" w:rsidP="0093619D">
      <w:pPr>
        <w:pStyle w:val="Heading1"/>
        <w:tabs>
          <w:tab w:val="left" w:pos="6849"/>
        </w:tabs>
        <w:spacing w:after="120"/>
      </w:pPr>
      <w:bookmarkStart w:id="0" w:name="_Toc394504362"/>
      <w:r>
        <w:t>Murray</w:t>
      </w:r>
      <w:r w:rsidR="00B31681">
        <w:t>-</w:t>
      </w:r>
      <w:r>
        <w:t>Darling Basin Economic Development Program</w:t>
      </w:r>
      <w:bookmarkEnd w:id="0"/>
      <w:r w:rsidR="00B31681">
        <w:t xml:space="preserve"> (Round 2)</w:t>
      </w:r>
      <w:r w:rsidR="00267C03" w:rsidRPr="00624853">
        <w:br/>
      </w:r>
    </w:p>
    <w:p w14:paraId="2BFBDFD4" w14:textId="77777777" w:rsidR="00267C03" w:rsidRPr="00DE3E36" w:rsidRDefault="00267C03" w:rsidP="00267C03">
      <w:pPr>
        <w:rPr>
          <w:color w:val="264F90"/>
          <w:sz w:val="40"/>
          <w:szCs w:val="40"/>
        </w:rPr>
      </w:pPr>
      <w:r>
        <w:rPr>
          <w:color w:val="264F90"/>
          <w:sz w:val="40"/>
          <w:szCs w:val="40"/>
        </w:rPr>
        <w:t>Grant Opportunity Guidelines</w:t>
      </w:r>
    </w:p>
    <w:p w14:paraId="78C6A440" w14:textId="77777777" w:rsidR="00267C03" w:rsidRDefault="00267C0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7592432E" w14:textId="77777777" w:rsidTr="00F016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77981C17" w14:textId="77777777" w:rsidR="00B1460B" w:rsidRPr="0004098F" w:rsidRDefault="00B1460B" w:rsidP="00624853">
            <w:pPr>
              <w:rPr>
                <w:color w:val="264F90"/>
              </w:rPr>
            </w:pPr>
            <w:r w:rsidRPr="0004098F">
              <w:rPr>
                <w:color w:val="264F90"/>
              </w:rPr>
              <w:t>Opening date:</w:t>
            </w:r>
          </w:p>
        </w:tc>
        <w:tc>
          <w:tcPr>
            <w:tcW w:w="5983" w:type="dxa"/>
          </w:tcPr>
          <w:p w14:paraId="217A8D7A" w14:textId="1716B7EB" w:rsidR="00B1460B" w:rsidRPr="00F65C53" w:rsidRDefault="00A05872" w:rsidP="00EC24EC">
            <w:pPr>
              <w:cnfStyle w:val="100000000000" w:firstRow="1" w:lastRow="0" w:firstColumn="0" w:lastColumn="0" w:oddVBand="0" w:evenVBand="0" w:oddHBand="0" w:evenHBand="0" w:firstRowFirstColumn="0" w:firstRowLastColumn="0" w:lastRowFirstColumn="0" w:lastRowLastColumn="0"/>
              <w:rPr>
                <w:b w:val="0"/>
              </w:rPr>
            </w:pPr>
            <w:r>
              <w:rPr>
                <w:b w:val="0"/>
              </w:rPr>
              <w:t>Wednesday, 20 November</w:t>
            </w:r>
            <w:r w:rsidR="00033937" w:rsidRPr="008072B2">
              <w:rPr>
                <w:b w:val="0"/>
              </w:rPr>
              <w:t xml:space="preserve"> </w:t>
            </w:r>
            <w:r w:rsidR="00F01662" w:rsidRPr="008072B2">
              <w:rPr>
                <w:b w:val="0"/>
              </w:rPr>
              <w:t>2019</w:t>
            </w:r>
          </w:p>
        </w:tc>
      </w:tr>
      <w:tr w:rsidR="00B1460B" w:rsidRPr="007040EB" w14:paraId="68AD8A41" w14:textId="77777777" w:rsidTr="00F01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7282EF4"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2B9E0834" w14:textId="3ECADB20" w:rsidR="00B1460B" w:rsidRPr="00F65C53" w:rsidRDefault="00B31681" w:rsidP="00B31681">
            <w:pPr>
              <w:cnfStyle w:val="000000100000" w:firstRow="0" w:lastRow="0" w:firstColumn="0" w:lastColumn="0" w:oddVBand="0" w:evenVBand="0" w:oddHBand="1" w:evenHBand="0" w:firstRowFirstColumn="0" w:firstRowLastColumn="0" w:lastRowFirstColumn="0" w:lastRowLastColumn="0"/>
            </w:pPr>
            <w:r w:rsidRPr="000A33E3">
              <w:t>11.00PM</w:t>
            </w:r>
            <w:r w:rsidR="00F01662" w:rsidRPr="000A33E3">
              <w:t xml:space="preserve"> AEDT </w:t>
            </w:r>
            <w:r w:rsidR="006C4910">
              <w:t>Thursday</w:t>
            </w:r>
            <w:r w:rsidR="00F01662" w:rsidRPr="008072B2">
              <w:t>, 2</w:t>
            </w:r>
            <w:r w:rsidR="00EC24EC" w:rsidRPr="008072B2">
              <w:t>0</w:t>
            </w:r>
            <w:r w:rsidR="00F01662" w:rsidRPr="008072B2">
              <w:t xml:space="preserve"> </w:t>
            </w:r>
            <w:r w:rsidR="006C4910">
              <w:t>February</w:t>
            </w:r>
            <w:r w:rsidR="00033937" w:rsidRPr="008072B2">
              <w:t xml:space="preserve"> </w:t>
            </w:r>
            <w:r w:rsidR="00F01662" w:rsidRPr="008072B2">
              <w:t>20</w:t>
            </w:r>
            <w:r w:rsidR="00EC24EC" w:rsidRPr="008072B2">
              <w:t>20</w:t>
            </w:r>
          </w:p>
        </w:tc>
      </w:tr>
      <w:tr w:rsidR="00B1460B" w:rsidRPr="007040EB" w14:paraId="4CCDBC90" w14:textId="77777777" w:rsidTr="00F01662">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49DD7DF"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166F744F" w14:textId="77777777" w:rsidR="00B1460B" w:rsidRPr="00F65C53" w:rsidRDefault="00F01662" w:rsidP="00624853">
            <w:pPr>
              <w:cnfStyle w:val="000000000000" w:firstRow="0" w:lastRow="0" w:firstColumn="0" w:lastColumn="0" w:oddVBand="0" w:evenVBand="0" w:oddHBand="0" w:evenHBand="0" w:firstRowFirstColumn="0" w:firstRowLastColumn="0" w:lastRowFirstColumn="0" w:lastRowLastColumn="0"/>
            </w:pPr>
            <w:r w:rsidRPr="002C624E">
              <w:t>Department of Agriculture</w:t>
            </w:r>
          </w:p>
        </w:tc>
      </w:tr>
      <w:tr w:rsidR="0077121A" w:rsidRPr="007040EB" w14:paraId="2A97F169" w14:textId="77777777" w:rsidTr="00F01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BC7AD31"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064BF238" w14:textId="2972C519"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158F337A" w14:textId="77777777" w:rsidTr="00F01662">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2152349"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1FF76EB4"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725EB84B"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36D10B55" w14:textId="16E3EFF3"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r w:rsidR="0069312A">
              <w:t xml:space="preserve"> (option1</w:t>
            </w:r>
            <w:r w:rsidR="00026AA7">
              <w:t>)</w:t>
            </w:r>
          </w:p>
          <w:p w14:paraId="0CAC9FE9"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3" w:history="1">
              <w:r w:rsidRPr="00D13426">
                <w:rPr>
                  <w:rStyle w:val="Hyperlink"/>
                </w:rPr>
                <w:t>support@communitygrants.gov.au</w:t>
              </w:r>
            </w:hyperlink>
          </w:p>
          <w:p w14:paraId="557F73ED" w14:textId="704088FD" w:rsidR="0077121A" w:rsidRPr="00F65C53" w:rsidRDefault="0077121A" w:rsidP="00BE7CE0">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DC4010">
              <w:t xml:space="preserve"> 5.</w:t>
            </w:r>
            <w:r w:rsidR="00DC4010" w:rsidRPr="00B31681">
              <w:t>00PM AEDT on</w:t>
            </w:r>
            <w:r w:rsidR="00EC24EC">
              <w:t xml:space="preserve"> </w:t>
            </w:r>
            <w:r w:rsidR="006C4910">
              <w:t>Thursday</w:t>
            </w:r>
            <w:r w:rsidR="00EC24EC" w:rsidRPr="008072B2">
              <w:t xml:space="preserve">, </w:t>
            </w:r>
            <w:r w:rsidR="00BE7CE0" w:rsidRPr="008072B2">
              <w:t xml:space="preserve">13 </w:t>
            </w:r>
            <w:r w:rsidR="006C4910">
              <w:t>February</w:t>
            </w:r>
            <w:r w:rsidR="00EC24EC" w:rsidRPr="008072B2">
              <w:t xml:space="preserve"> 2020</w:t>
            </w:r>
          </w:p>
        </w:tc>
      </w:tr>
      <w:tr w:rsidR="0077121A" w:rsidRPr="007040EB" w14:paraId="48793BA0" w14:textId="77777777" w:rsidTr="00F01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1B683C5"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41E9FC1A" w14:textId="0C4B1748" w:rsidR="0077121A" w:rsidRPr="00F65C53" w:rsidRDefault="00A05872" w:rsidP="00D57643">
            <w:pPr>
              <w:cnfStyle w:val="000000100000" w:firstRow="0" w:lastRow="0" w:firstColumn="0" w:lastColumn="0" w:oddVBand="0" w:evenVBand="0" w:oddHBand="1" w:evenHBand="0" w:firstRowFirstColumn="0" w:firstRowLastColumn="0" w:lastRowFirstColumn="0" w:lastRowLastColumn="0"/>
            </w:pPr>
            <w:r>
              <w:t>Wednesday, 20</w:t>
            </w:r>
            <w:r w:rsidR="00EC24EC" w:rsidRPr="008072B2">
              <w:t xml:space="preserve"> November</w:t>
            </w:r>
            <w:r w:rsidR="0034568F" w:rsidRPr="008072B2">
              <w:t xml:space="preserve"> </w:t>
            </w:r>
            <w:r w:rsidR="00F01662" w:rsidRPr="008072B2">
              <w:t>2019</w:t>
            </w:r>
          </w:p>
        </w:tc>
      </w:tr>
      <w:tr w:rsidR="0077121A" w14:paraId="4B3A41A6" w14:textId="77777777" w:rsidTr="00F01662">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6DF13C38"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5AA01B0A" w14:textId="77777777" w:rsidR="0077121A" w:rsidRPr="00F65C53" w:rsidRDefault="00F01662">
            <w:pPr>
              <w:cnfStyle w:val="000000000000" w:firstRow="0" w:lastRow="0" w:firstColumn="0" w:lastColumn="0" w:oddVBand="0" w:evenVBand="0" w:oddHBand="0" w:evenHBand="0" w:firstRowFirstColumn="0" w:firstRowLastColumn="0" w:lastRowFirstColumn="0" w:lastRowLastColumn="0"/>
            </w:pPr>
            <w:r w:rsidRPr="002C624E">
              <w:t>Open competitive</w:t>
            </w:r>
          </w:p>
        </w:tc>
      </w:tr>
    </w:tbl>
    <w:p w14:paraId="47D2B477" w14:textId="77777777" w:rsidR="00FC5223" w:rsidRDefault="00FC5223" w:rsidP="00077C3D"/>
    <w:p w14:paraId="79621996" w14:textId="77777777" w:rsidR="00FC5223" w:rsidRDefault="00FC5223">
      <w:pPr>
        <w:spacing w:before="0" w:after="0" w:line="240" w:lineRule="auto"/>
      </w:pPr>
      <w:r>
        <w:br w:type="page"/>
      </w:r>
    </w:p>
    <w:p w14:paraId="437C7FF6" w14:textId="77777777" w:rsidR="00227D98" w:rsidRDefault="00E31F9B" w:rsidP="00B34AEF">
      <w:pPr>
        <w:pStyle w:val="TOCHeading"/>
      </w:pPr>
      <w:r>
        <w:lastRenderedPageBreak/>
        <w:t>Contents</w:t>
      </w:r>
    </w:p>
    <w:p w14:paraId="0D7CAE8C" w14:textId="415B73F3" w:rsidR="00BD2974" w:rsidRDefault="004A238A">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BD2974">
        <w:rPr>
          <w:noProof/>
        </w:rPr>
        <w:t>1</w:t>
      </w:r>
      <w:r w:rsidR="00BD2974">
        <w:rPr>
          <w:rFonts w:asciiTheme="minorHAnsi" w:eastAsiaTheme="minorEastAsia" w:hAnsiTheme="minorHAnsi" w:cstheme="minorBidi"/>
          <w:b w:val="0"/>
          <w:noProof/>
          <w:sz w:val="22"/>
          <w:lang w:val="en-AU" w:eastAsia="en-AU"/>
        </w:rPr>
        <w:tab/>
      </w:r>
      <w:r w:rsidR="00BD2974">
        <w:rPr>
          <w:noProof/>
        </w:rPr>
        <w:t>Murray-Darling Basin Economic Development Program (Round 2): grant processes</w:t>
      </w:r>
      <w:r w:rsidR="00BD2974">
        <w:rPr>
          <w:noProof/>
        </w:rPr>
        <w:tab/>
      </w:r>
      <w:r w:rsidR="00BD2974">
        <w:rPr>
          <w:noProof/>
        </w:rPr>
        <w:fldChar w:fldCharType="begin"/>
      </w:r>
      <w:r w:rsidR="00BD2974">
        <w:rPr>
          <w:noProof/>
        </w:rPr>
        <w:instrText xml:space="preserve"> PAGEREF _Toc17703997 \h </w:instrText>
      </w:r>
      <w:r w:rsidR="00BD2974">
        <w:rPr>
          <w:noProof/>
        </w:rPr>
      </w:r>
      <w:r w:rsidR="00BD2974">
        <w:rPr>
          <w:noProof/>
        </w:rPr>
        <w:fldChar w:fldCharType="separate"/>
      </w:r>
      <w:r w:rsidR="000335C1">
        <w:rPr>
          <w:noProof/>
        </w:rPr>
        <w:t>4</w:t>
      </w:r>
      <w:r w:rsidR="00BD2974">
        <w:rPr>
          <w:noProof/>
        </w:rPr>
        <w:fldChar w:fldCharType="end"/>
      </w:r>
    </w:p>
    <w:p w14:paraId="0340F75F" w14:textId="6CEE9923" w:rsidR="00BD2974" w:rsidRDefault="00BD2974">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_Toc17703998 \h </w:instrText>
      </w:r>
      <w:r>
        <w:rPr>
          <w:noProof/>
        </w:rPr>
      </w:r>
      <w:r>
        <w:rPr>
          <w:noProof/>
        </w:rPr>
        <w:fldChar w:fldCharType="separate"/>
      </w:r>
      <w:r w:rsidR="000335C1">
        <w:rPr>
          <w:noProof/>
        </w:rPr>
        <w:t>5</w:t>
      </w:r>
      <w:r>
        <w:rPr>
          <w:noProof/>
        </w:rPr>
        <w:fldChar w:fldCharType="end"/>
      </w:r>
    </w:p>
    <w:p w14:paraId="6E5EA810" w14:textId="7AF3B441" w:rsidR="00BD2974" w:rsidRDefault="00BD2974">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_Toc17703999 \h </w:instrText>
      </w:r>
      <w:r>
        <w:rPr>
          <w:noProof/>
        </w:rPr>
      </w:r>
      <w:r>
        <w:rPr>
          <w:noProof/>
        </w:rPr>
        <w:fldChar w:fldCharType="separate"/>
      </w:r>
      <w:r w:rsidR="000335C1">
        <w:rPr>
          <w:noProof/>
        </w:rPr>
        <w:t>5</w:t>
      </w:r>
      <w:r>
        <w:rPr>
          <w:noProof/>
        </w:rPr>
        <w:fldChar w:fldCharType="end"/>
      </w:r>
    </w:p>
    <w:p w14:paraId="406262A1" w14:textId="11775ABF" w:rsidR="00BD2974" w:rsidRDefault="00BD2974">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_Toc17704000 \h </w:instrText>
      </w:r>
      <w:r>
        <w:rPr>
          <w:noProof/>
        </w:rPr>
      </w:r>
      <w:r>
        <w:rPr>
          <w:noProof/>
        </w:rPr>
        <w:fldChar w:fldCharType="separate"/>
      </w:r>
      <w:r w:rsidR="000335C1">
        <w:rPr>
          <w:noProof/>
        </w:rPr>
        <w:t>7</w:t>
      </w:r>
      <w:r>
        <w:rPr>
          <w:noProof/>
        </w:rPr>
        <w:fldChar w:fldCharType="end"/>
      </w:r>
    </w:p>
    <w:p w14:paraId="196E8BCA" w14:textId="1533E795" w:rsidR="00BD2974" w:rsidRDefault="00BD2974">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_Toc17704001 \h </w:instrText>
      </w:r>
      <w:r>
        <w:rPr>
          <w:noProof/>
        </w:rPr>
      </w:r>
      <w:r>
        <w:rPr>
          <w:noProof/>
        </w:rPr>
        <w:fldChar w:fldCharType="separate"/>
      </w:r>
      <w:r w:rsidR="000335C1">
        <w:rPr>
          <w:noProof/>
        </w:rPr>
        <w:t>7</w:t>
      </w:r>
      <w:r>
        <w:rPr>
          <w:noProof/>
        </w:rPr>
        <w:fldChar w:fldCharType="end"/>
      </w:r>
    </w:p>
    <w:p w14:paraId="40F57AEE" w14:textId="7A2D363C" w:rsidR="00BD2974" w:rsidRDefault="00BD2974">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_Toc17704002 \h </w:instrText>
      </w:r>
      <w:r>
        <w:rPr>
          <w:noProof/>
        </w:rPr>
      </w:r>
      <w:r>
        <w:rPr>
          <w:noProof/>
        </w:rPr>
        <w:fldChar w:fldCharType="separate"/>
      </w:r>
      <w:r w:rsidR="000335C1">
        <w:rPr>
          <w:noProof/>
        </w:rPr>
        <w:t>7</w:t>
      </w:r>
      <w:r>
        <w:rPr>
          <w:noProof/>
        </w:rPr>
        <w:fldChar w:fldCharType="end"/>
      </w:r>
    </w:p>
    <w:p w14:paraId="2479DF4B" w14:textId="4F468739" w:rsidR="00BD2974" w:rsidRDefault="00BD2974">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_Toc17704003 \h </w:instrText>
      </w:r>
      <w:r>
        <w:rPr>
          <w:noProof/>
        </w:rPr>
      </w:r>
      <w:r>
        <w:rPr>
          <w:noProof/>
        </w:rPr>
        <w:fldChar w:fldCharType="separate"/>
      </w:r>
      <w:r w:rsidR="000335C1">
        <w:rPr>
          <w:noProof/>
        </w:rPr>
        <w:t>7</w:t>
      </w:r>
      <w:r>
        <w:rPr>
          <w:noProof/>
        </w:rPr>
        <w:fldChar w:fldCharType="end"/>
      </w:r>
    </w:p>
    <w:p w14:paraId="72780A1F" w14:textId="2B1FD91F" w:rsidR="00BD2974" w:rsidRDefault="00BD2974">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_Toc17704004 \h </w:instrText>
      </w:r>
      <w:r>
        <w:rPr>
          <w:noProof/>
        </w:rPr>
      </w:r>
      <w:r>
        <w:rPr>
          <w:noProof/>
        </w:rPr>
        <w:fldChar w:fldCharType="separate"/>
      </w:r>
      <w:r w:rsidR="000335C1">
        <w:rPr>
          <w:noProof/>
        </w:rPr>
        <w:t>7</w:t>
      </w:r>
      <w:r>
        <w:rPr>
          <w:noProof/>
        </w:rPr>
        <w:fldChar w:fldCharType="end"/>
      </w:r>
    </w:p>
    <w:p w14:paraId="02294B37" w14:textId="4FF7D58E" w:rsidR="00BD2974" w:rsidRDefault="00BD2974">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_Toc17704005 \h </w:instrText>
      </w:r>
      <w:r>
        <w:rPr>
          <w:noProof/>
        </w:rPr>
      </w:r>
      <w:r>
        <w:rPr>
          <w:noProof/>
        </w:rPr>
        <w:fldChar w:fldCharType="separate"/>
      </w:r>
      <w:r w:rsidR="000335C1">
        <w:rPr>
          <w:noProof/>
        </w:rPr>
        <w:t>8</w:t>
      </w:r>
      <w:r>
        <w:rPr>
          <w:noProof/>
        </w:rPr>
        <w:fldChar w:fldCharType="end"/>
      </w:r>
    </w:p>
    <w:p w14:paraId="05372B84" w14:textId="366288B3" w:rsidR="00BD2974" w:rsidRDefault="00BD2974">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_Toc17704006 \h </w:instrText>
      </w:r>
      <w:r>
        <w:rPr>
          <w:noProof/>
        </w:rPr>
      </w:r>
      <w:r>
        <w:rPr>
          <w:noProof/>
        </w:rPr>
        <w:fldChar w:fldCharType="separate"/>
      </w:r>
      <w:r w:rsidR="000335C1">
        <w:rPr>
          <w:noProof/>
        </w:rPr>
        <w:t>8</w:t>
      </w:r>
      <w:r>
        <w:rPr>
          <w:noProof/>
        </w:rPr>
        <w:fldChar w:fldCharType="end"/>
      </w:r>
    </w:p>
    <w:p w14:paraId="308D12B7" w14:textId="43777641" w:rsidR="00BD2974" w:rsidRDefault="00BD2974">
      <w:pPr>
        <w:pStyle w:val="TOC4"/>
        <w:rPr>
          <w:rFonts w:asciiTheme="minorHAnsi" w:eastAsiaTheme="minorEastAsia" w:hAnsiTheme="minorHAnsi" w:cstheme="minorBidi"/>
          <w:sz w:val="22"/>
          <w:szCs w:val="22"/>
          <w:lang w:eastAsia="en-AU"/>
        </w:rPr>
      </w:pPr>
      <w:r>
        <w:t>4.3.1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_Toc17704007 \h </w:instrText>
      </w:r>
      <w:r>
        <w:fldChar w:fldCharType="separate"/>
      </w:r>
      <w:r w:rsidR="000335C1">
        <w:t>8</w:t>
      </w:r>
      <w:r>
        <w:fldChar w:fldCharType="end"/>
      </w:r>
    </w:p>
    <w:p w14:paraId="2F13C3F3" w14:textId="02C627E2" w:rsidR="00BD2974" w:rsidRDefault="00BD2974">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_Toc17704008 \h </w:instrText>
      </w:r>
      <w:r>
        <w:rPr>
          <w:noProof/>
        </w:rPr>
      </w:r>
      <w:r>
        <w:rPr>
          <w:noProof/>
        </w:rPr>
        <w:fldChar w:fldCharType="separate"/>
      </w:r>
      <w:r w:rsidR="000335C1">
        <w:rPr>
          <w:noProof/>
        </w:rPr>
        <w:t>8</w:t>
      </w:r>
      <w:r>
        <w:rPr>
          <w:noProof/>
        </w:rPr>
        <w:fldChar w:fldCharType="end"/>
      </w:r>
    </w:p>
    <w:p w14:paraId="245104D4" w14:textId="775D7B24" w:rsidR="00BD2974" w:rsidRDefault="00BD2974">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_Toc17704009 \h </w:instrText>
      </w:r>
      <w:r>
        <w:rPr>
          <w:noProof/>
        </w:rPr>
      </w:r>
      <w:r>
        <w:rPr>
          <w:noProof/>
        </w:rPr>
        <w:fldChar w:fldCharType="separate"/>
      </w:r>
      <w:r w:rsidR="000335C1">
        <w:rPr>
          <w:noProof/>
        </w:rPr>
        <w:t>8</w:t>
      </w:r>
      <w:r>
        <w:rPr>
          <w:noProof/>
        </w:rPr>
        <w:fldChar w:fldCharType="end"/>
      </w:r>
    </w:p>
    <w:p w14:paraId="5332F60B" w14:textId="2D46207A" w:rsidR="00BD2974" w:rsidRDefault="00BD2974">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_Toc17704010 \h </w:instrText>
      </w:r>
      <w:r>
        <w:rPr>
          <w:noProof/>
        </w:rPr>
      </w:r>
      <w:r>
        <w:rPr>
          <w:noProof/>
        </w:rPr>
        <w:fldChar w:fldCharType="separate"/>
      </w:r>
      <w:r w:rsidR="000335C1">
        <w:rPr>
          <w:noProof/>
        </w:rPr>
        <w:t>9</w:t>
      </w:r>
      <w:r>
        <w:rPr>
          <w:noProof/>
        </w:rPr>
        <w:fldChar w:fldCharType="end"/>
      </w:r>
    </w:p>
    <w:p w14:paraId="6515EEF4" w14:textId="42A53887" w:rsidR="00BD2974" w:rsidRDefault="00BD2974">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_Toc17704011 \h </w:instrText>
      </w:r>
      <w:r>
        <w:rPr>
          <w:noProof/>
        </w:rPr>
      </w:r>
      <w:r>
        <w:rPr>
          <w:noProof/>
        </w:rPr>
        <w:fldChar w:fldCharType="separate"/>
      </w:r>
      <w:r w:rsidR="000335C1">
        <w:rPr>
          <w:noProof/>
        </w:rPr>
        <w:t>10</w:t>
      </w:r>
      <w:r>
        <w:rPr>
          <w:noProof/>
        </w:rPr>
        <w:fldChar w:fldCharType="end"/>
      </w:r>
    </w:p>
    <w:p w14:paraId="157CFED4" w14:textId="764A1F9D" w:rsidR="00BD2974" w:rsidRDefault="00BD2974">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_Toc17704012 \h </w:instrText>
      </w:r>
      <w:r>
        <w:rPr>
          <w:noProof/>
        </w:rPr>
      </w:r>
      <w:r>
        <w:rPr>
          <w:noProof/>
        </w:rPr>
        <w:fldChar w:fldCharType="separate"/>
      </w:r>
      <w:r w:rsidR="000335C1">
        <w:rPr>
          <w:noProof/>
        </w:rPr>
        <w:t>10</w:t>
      </w:r>
      <w:r>
        <w:rPr>
          <w:noProof/>
        </w:rPr>
        <w:fldChar w:fldCharType="end"/>
      </w:r>
    </w:p>
    <w:p w14:paraId="7748CBFA" w14:textId="1CD95F27" w:rsidR="00BD2974" w:rsidRDefault="00BD2974">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_Toc17704013 \h </w:instrText>
      </w:r>
      <w:r>
        <w:rPr>
          <w:noProof/>
        </w:rPr>
      </w:r>
      <w:r>
        <w:rPr>
          <w:noProof/>
        </w:rPr>
        <w:fldChar w:fldCharType="separate"/>
      </w:r>
      <w:r w:rsidR="000335C1">
        <w:rPr>
          <w:noProof/>
        </w:rPr>
        <w:t>11</w:t>
      </w:r>
      <w:r>
        <w:rPr>
          <w:noProof/>
        </w:rPr>
        <w:fldChar w:fldCharType="end"/>
      </w:r>
    </w:p>
    <w:p w14:paraId="3EC6222B" w14:textId="3563B554" w:rsidR="00BD2974" w:rsidRDefault="00BD2974">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_Toc17704014 \h </w:instrText>
      </w:r>
      <w:r>
        <w:rPr>
          <w:noProof/>
        </w:rPr>
      </w:r>
      <w:r>
        <w:rPr>
          <w:noProof/>
        </w:rPr>
        <w:fldChar w:fldCharType="separate"/>
      </w:r>
      <w:r w:rsidR="000335C1">
        <w:rPr>
          <w:noProof/>
        </w:rPr>
        <w:t>12</w:t>
      </w:r>
      <w:r>
        <w:rPr>
          <w:noProof/>
        </w:rPr>
        <w:fldChar w:fldCharType="end"/>
      </w:r>
    </w:p>
    <w:p w14:paraId="52199846" w14:textId="4BA33016" w:rsidR="00BD2974" w:rsidRDefault="00BD2974">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_Toc17704015 \h </w:instrText>
      </w:r>
      <w:r>
        <w:rPr>
          <w:noProof/>
        </w:rPr>
      </w:r>
      <w:r>
        <w:rPr>
          <w:noProof/>
        </w:rPr>
        <w:fldChar w:fldCharType="separate"/>
      </w:r>
      <w:r w:rsidR="000335C1">
        <w:rPr>
          <w:noProof/>
        </w:rPr>
        <w:t>13</w:t>
      </w:r>
      <w:r>
        <w:rPr>
          <w:noProof/>
        </w:rPr>
        <w:fldChar w:fldCharType="end"/>
      </w:r>
    </w:p>
    <w:p w14:paraId="3AF3884D" w14:textId="029783E0" w:rsidR="00BD2974" w:rsidRDefault="00BD2974">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_Toc17704016 \h </w:instrText>
      </w:r>
      <w:r>
        <w:rPr>
          <w:noProof/>
        </w:rPr>
      </w:r>
      <w:r>
        <w:rPr>
          <w:noProof/>
        </w:rPr>
        <w:fldChar w:fldCharType="separate"/>
      </w:r>
      <w:r w:rsidR="000335C1">
        <w:rPr>
          <w:noProof/>
        </w:rPr>
        <w:t>13</w:t>
      </w:r>
      <w:r>
        <w:rPr>
          <w:noProof/>
        </w:rPr>
        <w:fldChar w:fldCharType="end"/>
      </w:r>
    </w:p>
    <w:p w14:paraId="2BC0C7C4" w14:textId="79BB77A3" w:rsidR="00BD2974" w:rsidRDefault="00BD2974">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_Toc17704017 \h </w:instrText>
      </w:r>
      <w:r>
        <w:rPr>
          <w:noProof/>
        </w:rPr>
      </w:r>
      <w:r>
        <w:rPr>
          <w:noProof/>
        </w:rPr>
        <w:fldChar w:fldCharType="separate"/>
      </w:r>
      <w:r w:rsidR="000335C1">
        <w:rPr>
          <w:noProof/>
        </w:rPr>
        <w:t>14</w:t>
      </w:r>
      <w:r>
        <w:rPr>
          <w:noProof/>
        </w:rPr>
        <w:fldChar w:fldCharType="end"/>
      </w:r>
    </w:p>
    <w:p w14:paraId="1DBC8338" w14:textId="464570C4" w:rsidR="00BD2974" w:rsidRDefault="00BD2974">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_Toc17704018 \h </w:instrText>
      </w:r>
      <w:r>
        <w:rPr>
          <w:noProof/>
        </w:rPr>
      </w:r>
      <w:r>
        <w:rPr>
          <w:noProof/>
        </w:rPr>
        <w:fldChar w:fldCharType="separate"/>
      </w:r>
      <w:r w:rsidR="000335C1">
        <w:rPr>
          <w:noProof/>
        </w:rPr>
        <w:t>15</w:t>
      </w:r>
      <w:r>
        <w:rPr>
          <w:noProof/>
        </w:rPr>
        <w:fldChar w:fldCharType="end"/>
      </w:r>
    </w:p>
    <w:p w14:paraId="6402CD17" w14:textId="3ED673BF" w:rsidR="00BD2974" w:rsidRDefault="00BD2974">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_Toc17704019 \h </w:instrText>
      </w:r>
      <w:r>
        <w:rPr>
          <w:noProof/>
        </w:rPr>
      </w:r>
      <w:r>
        <w:rPr>
          <w:noProof/>
        </w:rPr>
        <w:fldChar w:fldCharType="separate"/>
      </w:r>
      <w:r w:rsidR="000335C1">
        <w:rPr>
          <w:noProof/>
        </w:rPr>
        <w:t>15</w:t>
      </w:r>
      <w:r>
        <w:rPr>
          <w:noProof/>
        </w:rPr>
        <w:fldChar w:fldCharType="end"/>
      </w:r>
    </w:p>
    <w:p w14:paraId="5A82CBB6" w14:textId="14F6DEAE" w:rsidR="00BD2974" w:rsidRDefault="00BD2974">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_Toc17704020 \h </w:instrText>
      </w:r>
      <w:r>
        <w:rPr>
          <w:noProof/>
        </w:rPr>
      </w:r>
      <w:r>
        <w:rPr>
          <w:noProof/>
        </w:rPr>
        <w:fldChar w:fldCharType="separate"/>
      </w:r>
      <w:r w:rsidR="000335C1">
        <w:rPr>
          <w:noProof/>
        </w:rPr>
        <w:t>15</w:t>
      </w:r>
      <w:r>
        <w:rPr>
          <w:noProof/>
        </w:rPr>
        <w:fldChar w:fldCharType="end"/>
      </w:r>
    </w:p>
    <w:p w14:paraId="66CDF595" w14:textId="147520F0" w:rsidR="00BD2974" w:rsidRDefault="00BD2974">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_Toc17704021 \h </w:instrText>
      </w:r>
      <w:r>
        <w:rPr>
          <w:noProof/>
        </w:rPr>
      </w:r>
      <w:r>
        <w:rPr>
          <w:noProof/>
        </w:rPr>
        <w:fldChar w:fldCharType="separate"/>
      </w:r>
      <w:r w:rsidR="000335C1">
        <w:rPr>
          <w:noProof/>
        </w:rPr>
        <w:t>15</w:t>
      </w:r>
      <w:r>
        <w:rPr>
          <w:noProof/>
        </w:rPr>
        <w:fldChar w:fldCharType="end"/>
      </w:r>
    </w:p>
    <w:p w14:paraId="065347A0" w14:textId="204C8EE9" w:rsidR="00BD2974" w:rsidRDefault="00BD2974">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_Toc17704022 \h </w:instrText>
      </w:r>
      <w:r>
        <w:rPr>
          <w:noProof/>
        </w:rPr>
      </w:r>
      <w:r>
        <w:rPr>
          <w:noProof/>
        </w:rPr>
        <w:fldChar w:fldCharType="separate"/>
      </w:r>
      <w:r w:rsidR="000335C1">
        <w:rPr>
          <w:noProof/>
        </w:rPr>
        <w:t>15</w:t>
      </w:r>
      <w:r>
        <w:rPr>
          <w:noProof/>
        </w:rPr>
        <w:fldChar w:fldCharType="end"/>
      </w:r>
    </w:p>
    <w:p w14:paraId="43EF6738" w14:textId="63723083" w:rsidR="00BD2974" w:rsidRDefault="00BD2974">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_Toc17704023 \h </w:instrText>
      </w:r>
      <w:r>
        <w:rPr>
          <w:noProof/>
        </w:rPr>
      </w:r>
      <w:r>
        <w:rPr>
          <w:noProof/>
        </w:rPr>
        <w:fldChar w:fldCharType="separate"/>
      </w:r>
      <w:r w:rsidR="000335C1">
        <w:rPr>
          <w:noProof/>
        </w:rPr>
        <w:t>16</w:t>
      </w:r>
      <w:r>
        <w:rPr>
          <w:noProof/>
        </w:rPr>
        <w:fldChar w:fldCharType="end"/>
      </w:r>
    </w:p>
    <w:p w14:paraId="52579B9F" w14:textId="7E993AB6" w:rsidR="00BD2974" w:rsidRDefault="00BD2974">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_Toc17704024 \h </w:instrText>
      </w:r>
      <w:r>
        <w:rPr>
          <w:noProof/>
        </w:rPr>
      </w:r>
      <w:r>
        <w:rPr>
          <w:noProof/>
        </w:rPr>
        <w:fldChar w:fldCharType="separate"/>
      </w:r>
      <w:r w:rsidR="000335C1">
        <w:rPr>
          <w:noProof/>
        </w:rPr>
        <w:t>16</w:t>
      </w:r>
      <w:r>
        <w:rPr>
          <w:noProof/>
        </w:rPr>
        <w:fldChar w:fldCharType="end"/>
      </w:r>
    </w:p>
    <w:p w14:paraId="05F9F928" w14:textId="3C81B318" w:rsidR="00BD2974" w:rsidRDefault="00BD2974">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_Toc17704025 \h </w:instrText>
      </w:r>
      <w:r>
        <w:rPr>
          <w:noProof/>
        </w:rPr>
      </w:r>
      <w:r>
        <w:rPr>
          <w:noProof/>
        </w:rPr>
        <w:fldChar w:fldCharType="separate"/>
      </w:r>
      <w:r w:rsidR="000335C1">
        <w:rPr>
          <w:noProof/>
        </w:rPr>
        <w:t>17</w:t>
      </w:r>
      <w:r>
        <w:rPr>
          <w:noProof/>
        </w:rPr>
        <w:fldChar w:fldCharType="end"/>
      </w:r>
    </w:p>
    <w:p w14:paraId="61D83790" w14:textId="2D74FD9E" w:rsidR="00BD2974" w:rsidRDefault="00BD2974">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_Toc17704026 \h </w:instrText>
      </w:r>
      <w:r>
        <w:rPr>
          <w:noProof/>
        </w:rPr>
      </w:r>
      <w:r>
        <w:rPr>
          <w:noProof/>
        </w:rPr>
        <w:fldChar w:fldCharType="separate"/>
      </w:r>
      <w:r w:rsidR="000335C1">
        <w:rPr>
          <w:noProof/>
        </w:rPr>
        <w:t>17</w:t>
      </w:r>
      <w:r>
        <w:rPr>
          <w:noProof/>
        </w:rPr>
        <w:fldChar w:fldCharType="end"/>
      </w:r>
    </w:p>
    <w:p w14:paraId="3ED88CD1" w14:textId="3645031E"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_Toc17704027 \h </w:instrText>
      </w:r>
      <w:r>
        <w:rPr>
          <w:noProof/>
        </w:rPr>
      </w:r>
      <w:r>
        <w:rPr>
          <w:noProof/>
        </w:rPr>
        <w:fldChar w:fldCharType="separate"/>
      </w:r>
      <w:r w:rsidR="000335C1">
        <w:rPr>
          <w:noProof/>
        </w:rPr>
        <w:t>17</w:t>
      </w:r>
      <w:r>
        <w:rPr>
          <w:noProof/>
        </w:rPr>
        <w:fldChar w:fldCharType="end"/>
      </w:r>
    </w:p>
    <w:p w14:paraId="149F1149" w14:textId="4E6588EB"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_Toc17704028 \h </w:instrText>
      </w:r>
      <w:r>
        <w:rPr>
          <w:noProof/>
        </w:rPr>
      </w:r>
      <w:r>
        <w:rPr>
          <w:noProof/>
        </w:rPr>
        <w:fldChar w:fldCharType="separate"/>
      </w:r>
      <w:r w:rsidR="000335C1">
        <w:rPr>
          <w:noProof/>
        </w:rPr>
        <w:t>17</w:t>
      </w:r>
      <w:r>
        <w:rPr>
          <w:noProof/>
        </w:rPr>
        <w:fldChar w:fldCharType="end"/>
      </w:r>
    </w:p>
    <w:p w14:paraId="3566CB74" w14:textId="1CA076B8"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_Toc17704029 \h </w:instrText>
      </w:r>
      <w:r>
        <w:rPr>
          <w:noProof/>
        </w:rPr>
      </w:r>
      <w:r>
        <w:rPr>
          <w:noProof/>
        </w:rPr>
        <w:fldChar w:fldCharType="separate"/>
      </w:r>
      <w:r w:rsidR="000335C1">
        <w:rPr>
          <w:noProof/>
        </w:rPr>
        <w:t>18</w:t>
      </w:r>
      <w:r>
        <w:rPr>
          <w:noProof/>
        </w:rPr>
        <w:fldChar w:fldCharType="end"/>
      </w:r>
    </w:p>
    <w:p w14:paraId="34C14C2E" w14:textId="6EE5A7B3" w:rsidR="00BD2974" w:rsidRPr="003910D4" w:rsidRDefault="00BD2974" w:rsidP="003910D4">
      <w:pPr>
        <w:pStyle w:val="TOC2"/>
        <w:rPr>
          <w:noProof/>
        </w:rPr>
      </w:pPr>
      <w:r>
        <w:rPr>
          <w:noProof/>
        </w:rPr>
        <w:t>11.</w:t>
      </w:r>
      <w:r w:rsidRPr="003910D4">
        <w:rPr>
          <w:noProof/>
        </w:rPr>
        <w:tab/>
      </w:r>
      <w:r>
        <w:rPr>
          <w:noProof/>
        </w:rPr>
        <w:t>Announcement of grants</w:t>
      </w:r>
      <w:r>
        <w:rPr>
          <w:noProof/>
        </w:rPr>
        <w:tab/>
      </w:r>
      <w:r>
        <w:rPr>
          <w:noProof/>
        </w:rPr>
        <w:fldChar w:fldCharType="begin"/>
      </w:r>
      <w:r>
        <w:rPr>
          <w:noProof/>
        </w:rPr>
        <w:instrText xml:space="preserve"> PAGEREF _Toc17704031 \h </w:instrText>
      </w:r>
      <w:r>
        <w:rPr>
          <w:noProof/>
        </w:rPr>
      </w:r>
      <w:r>
        <w:rPr>
          <w:noProof/>
        </w:rPr>
        <w:fldChar w:fldCharType="separate"/>
      </w:r>
      <w:r w:rsidR="000335C1">
        <w:rPr>
          <w:noProof/>
        </w:rPr>
        <w:t>18</w:t>
      </w:r>
      <w:r>
        <w:rPr>
          <w:noProof/>
        </w:rPr>
        <w:fldChar w:fldCharType="end"/>
      </w:r>
    </w:p>
    <w:p w14:paraId="76945993" w14:textId="16D9CD72" w:rsidR="00BD2974" w:rsidRDefault="00BD2974">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_Toc17704032 \h </w:instrText>
      </w:r>
      <w:r>
        <w:rPr>
          <w:noProof/>
        </w:rPr>
      </w:r>
      <w:r>
        <w:rPr>
          <w:noProof/>
        </w:rPr>
        <w:fldChar w:fldCharType="separate"/>
      </w:r>
      <w:r w:rsidR="000335C1">
        <w:rPr>
          <w:noProof/>
        </w:rPr>
        <w:t>19</w:t>
      </w:r>
      <w:r>
        <w:rPr>
          <w:noProof/>
        </w:rPr>
        <w:fldChar w:fldCharType="end"/>
      </w:r>
    </w:p>
    <w:p w14:paraId="343D4694" w14:textId="12D1C512"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_Toc17704033 \h </w:instrText>
      </w:r>
      <w:r>
        <w:rPr>
          <w:noProof/>
        </w:rPr>
      </w:r>
      <w:r>
        <w:rPr>
          <w:noProof/>
        </w:rPr>
        <w:fldChar w:fldCharType="separate"/>
      </w:r>
      <w:r w:rsidR="000335C1">
        <w:rPr>
          <w:noProof/>
        </w:rPr>
        <w:t>19</w:t>
      </w:r>
      <w:r>
        <w:rPr>
          <w:noProof/>
        </w:rPr>
        <w:fldChar w:fldCharType="end"/>
      </w:r>
    </w:p>
    <w:p w14:paraId="2DC95E14" w14:textId="59052517"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_Toc17704034 \h </w:instrText>
      </w:r>
      <w:r>
        <w:rPr>
          <w:noProof/>
        </w:rPr>
      </w:r>
      <w:r>
        <w:rPr>
          <w:noProof/>
        </w:rPr>
        <w:fldChar w:fldCharType="separate"/>
      </w:r>
      <w:r w:rsidR="000335C1">
        <w:rPr>
          <w:noProof/>
        </w:rPr>
        <w:t>19</w:t>
      </w:r>
      <w:r>
        <w:rPr>
          <w:noProof/>
        </w:rPr>
        <w:fldChar w:fldCharType="end"/>
      </w:r>
    </w:p>
    <w:p w14:paraId="212AF597" w14:textId="2860B04D"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lastRenderedPageBreak/>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_Toc17704035 \h </w:instrText>
      </w:r>
      <w:r>
        <w:rPr>
          <w:noProof/>
        </w:rPr>
      </w:r>
      <w:r>
        <w:rPr>
          <w:noProof/>
        </w:rPr>
        <w:fldChar w:fldCharType="separate"/>
      </w:r>
      <w:r w:rsidR="000335C1">
        <w:rPr>
          <w:noProof/>
        </w:rPr>
        <w:t>20</w:t>
      </w:r>
      <w:r>
        <w:rPr>
          <w:noProof/>
        </w:rPr>
        <w:fldChar w:fldCharType="end"/>
      </w:r>
    </w:p>
    <w:p w14:paraId="081C70E9" w14:textId="76FEAAF5"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_Toc17704036 \h </w:instrText>
      </w:r>
      <w:r>
        <w:rPr>
          <w:noProof/>
        </w:rPr>
      </w:r>
      <w:r>
        <w:rPr>
          <w:noProof/>
        </w:rPr>
        <w:fldChar w:fldCharType="separate"/>
      </w:r>
      <w:r w:rsidR="000335C1">
        <w:rPr>
          <w:noProof/>
        </w:rPr>
        <w:t>20</w:t>
      </w:r>
      <w:r>
        <w:rPr>
          <w:noProof/>
        </w:rPr>
        <w:fldChar w:fldCharType="end"/>
      </w:r>
    </w:p>
    <w:p w14:paraId="46243FF5" w14:textId="22511432"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_Toc17704037 \h </w:instrText>
      </w:r>
      <w:r>
        <w:rPr>
          <w:noProof/>
        </w:rPr>
      </w:r>
      <w:r>
        <w:rPr>
          <w:noProof/>
        </w:rPr>
        <w:fldChar w:fldCharType="separate"/>
      </w:r>
      <w:r w:rsidR="000335C1">
        <w:rPr>
          <w:noProof/>
        </w:rPr>
        <w:t>20</w:t>
      </w:r>
      <w:r>
        <w:rPr>
          <w:noProof/>
        </w:rPr>
        <w:fldChar w:fldCharType="end"/>
      </w:r>
    </w:p>
    <w:p w14:paraId="77B68560" w14:textId="2D8F1F53"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_Toc17704038 \h </w:instrText>
      </w:r>
      <w:r>
        <w:rPr>
          <w:noProof/>
        </w:rPr>
      </w:r>
      <w:r>
        <w:rPr>
          <w:noProof/>
        </w:rPr>
        <w:fldChar w:fldCharType="separate"/>
      </w:r>
      <w:r w:rsidR="000335C1">
        <w:rPr>
          <w:noProof/>
        </w:rPr>
        <w:t>20</w:t>
      </w:r>
      <w:r>
        <w:rPr>
          <w:noProof/>
        </w:rPr>
        <w:fldChar w:fldCharType="end"/>
      </w:r>
    </w:p>
    <w:p w14:paraId="302798E1" w14:textId="427DF4D6"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_Toc17704039 \h </w:instrText>
      </w:r>
      <w:r>
        <w:rPr>
          <w:noProof/>
        </w:rPr>
      </w:r>
      <w:r>
        <w:rPr>
          <w:noProof/>
        </w:rPr>
        <w:fldChar w:fldCharType="separate"/>
      </w:r>
      <w:r w:rsidR="000335C1">
        <w:rPr>
          <w:noProof/>
        </w:rPr>
        <w:t>20</w:t>
      </w:r>
      <w:r>
        <w:rPr>
          <w:noProof/>
        </w:rPr>
        <w:fldChar w:fldCharType="end"/>
      </w:r>
    </w:p>
    <w:p w14:paraId="7A20C3E1" w14:textId="6361F8AB"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_Toc17704040 \h </w:instrText>
      </w:r>
      <w:r>
        <w:rPr>
          <w:noProof/>
        </w:rPr>
      </w:r>
      <w:r>
        <w:rPr>
          <w:noProof/>
        </w:rPr>
        <w:fldChar w:fldCharType="separate"/>
      </w:r>
      <w:r w:rsidR="000335C1">
        <w:rPr>
          <w:noProof/>
        </w:rPr>
        <w:t>20</w:t>
      </w:r>
      <w:r>
        <w:rPr>
          <w:noProof/>
        </w:rPr>
        <w:fldChar w:fldCharType="end"/>
      </w:r>
    </w:p>
    <w:p w14:paraId="56078E44" w14:textId="1738A196" w:rsidR="00BD2974" w:rsidRDefault="00BD2974">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_Toc17704041 \h </w:instrText>
      </w:r>
      <w:r>
        <w:rPr>
          <w:noProof/>
        </w:rPr>
      </w:r>
      <w:r>
        <w:rPr>
          <w:noProof/>
        </w:rPr>
        <w:fldChar w:fldCharType="separate"/>
      </w:r>
      <w:r w:rsidR="000335C1">
        <w:rPr>
          <w:noProof/>
        </w:rPr>
        <w:t>21</w:t>
      </w:r>
      <w:r>
        <w:rPr>
          <w:noProof/>
        </w:rPr>
        <w:fldChar w:fldCharType="end"/>
      </w:r>
    </w:p>
    <w:p w14:paraId="7AE9A688" w14:textId="5B78E10E"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_Toc17704042 \h </w:instrText>
      </w:r>
      <w:r>
        <w:rPr>
          <w:noProof/>
        </w:rPr>
      </w:r>
      <w:r>
        <w:rPr>
          <w:noProof/>
        </w:rPr>
        <w:fldChar w:fldCharType="separate"/>
      </w:r>
      <w:r w:rsidR="000335C1">
        <w:rPr>
          <w:noProof/>
        </w:rPr>
        <w:t>21</w:t>
      </w:r>
      <w:r>
        <w:rPr>
          <w:noProof/>
        </w:rPr>
        <w:fldChar w:fldCharType="end"/>
      </w:r>
    </w:p>
    <w:p w14:paraId="70A6BBD2" w14:textId="175EDF76"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_Toc17704043 \h </w:instrText>
      </w:r>
      <w:r>
        <w:rPr>
          <w:noProof/>
        </w:rPr>
      </w:r>
      <w:r>
        <w:rPr>
          <w:noProof/>
        </w:rPr>
        <w:fldChar w:fldCharType="separate"/>
      </w:r>
      <w:r w:rsidR="000335C1">
        <w:rPr>
          <w:noProof/>
        </w:rPr>
        <w:t>21</w:t>
      </w:r>
      <w:r>
        <w:rPr>
          <w:noProof/>
        </w:rPr>
        <w:fldChar w:fldCharType="end"/>
      </w:r>
    </w:p>
    <w:p w14:paraId="4780506A" w14:textId="3E4561D4"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_Toc17704044 \h </w:instrText>
      </w:r>
      <w:r>
        <w:rPr>
          <w:noProof/>
        </w:rPr>
      </w:r>
      <w:r>
        <w:rPr>
          <w:noProof/>
        </w:rPr>
        <w:fldChar w:fldCharType="separate"/>
      </w:r>
      <w:r w:rsidR="000335C1">
        <w:rPr>
          <w:noProof/>
        </w:rPr>
        <w:t>22</w:t>
      </w:r>
      <w:r>
        <w:rPr>
          <w:noProof/>
        </w:rPr>
        <w:fldChar w:fldCharType="end"/>
      </w:r>
    </w:p>
    <w:p w14:paraId="2099C65B" w14:textId="160FB0AE"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_Toc17704045 \h </w:instrText>
      </w:r>
      <w:r>
        <w:rPr>
          <w:noProof/>
        </w:rPr>
      </w:r>
      <w:r>
        <w:rPr>
          <w:noProof/>
        </w:rPr>
        <w:fldChar w:fldCharType="separate"/>
      </w:r>
      <w:r w:rsidR="000335C1">
        <w:rPr>
          <w:noProof/>
        </w:rPr>
        <w:t>22</w:t>
      </w:r>
      <w:r>
        <w:rPr>
          <w:noProof/>
        </w:rPr>
        <w:fldChar w:fldCharType="end"/>
      </w:r>
    </w:p>
    <w:p w14:paraId="465B4E5A" w14:textId="74E7614F" w:rsidR="00BD2974" w:rsidRDefault="00BD2974">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_Toc17704046 \h </w:instrText>
      </w:r>
      <w:r>
        <w:rPr>
          <w:noProof/>
        </w:rPr>
      </w:r>
      <w:r>
        <w:rPr>
          <w:noProof/>
        </w:rPr>
        <w:fldChar w:fldCharType="separate"/>
      </w:r>
      <w:r w:rsidR="000335C1">
        <w:rPr>
          <w:noProof/>
        </w:rPr>
        <w:t>23</w:t>
      </w:r>
      <w:r>
        <w:rPr>
          <w:noProof/>
        </w:rPr>
        <w:fldChar w:fldCharType="end"/>
      </w:r>
    </w:p>
    <w:p w14:paraId="37D99C80" w14:textId="1B8F75B5" w:rsidR="00BD2974" w:rsidRDefault="00BD2974">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_Toc17704047 \h </w:instrText>
      </w:r>
      <w:r>
        <w:rPr>
          <w:noProof/>
        </w:rPr>
      </w:r>
      <w:r>
        <w:rPr>
          <w:noProof/>
        </w:rPr>
        <w:fldChar w:fldCharType="separate"/>
      </w:r>
      <w:r w:rsidR="000335C1">
        <w:rPr>
          <w:noProof/>
        </w:rPr>
        <w:t>23</w:t>
      </w:r>
      <w:r>
        <w:rPr>
          <w:noProof/>
        </w:rPr>
        <w:fldChar w:fldCharType="end"/>
      </w:r>
    </w:p>
    <w:p w14:paraId="3255B11E" w14:textId="399E3036" w:rsidR="00BD2974" w:rsidRDefault="00BD2974">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_Toc17704048 \h </w:instrText>
      </w:r>
      <w:r>
        <w:rPr>
          <w:noProof/>
        </w:rPr>
      </w:r>
      <w:r>
        <w:rPr>
          <w:noProof/>
        </w:rPr>
        <w:fldChar w:fldCharType="separate"/>
      </w:r>
      <w:r w:rsidR="000335C1">
        <w:rPr>
          <w:noProof/>
        </w:rPr>
        <w:t>24</w:t>
      </w:r>
      <w:r>
        <w:rPr>
          <w:noProof/>
        </w:rPr>
        <w:fldChar w:fldCharType="end"/>
      </w:r>
    </w:p>
    <w:p w14:paraId="1C78A4D7" w14:textId="61A573E2" w:rsidR="00BD2974" w:rsidRDefault="00BD2974">
      <w:pPr>
        <w:pStyle w:val="TOC2"/>
        <w:rPr>
          <w:rFonts w:asciiTheme="minorHAnsi" w:eastAsiaTheme="minorEastAsia" w:hAnsiTheme="minorHAnsi" w:cstheme="minorBidi"/>
          <w:b w:val="0"/>
          <w:noProof/>
          <w:sz w:val="22"/>
          <w:lang w:val="en-AU" w:eastAsia="en-AU"/>
        </w:rPr>
      </w:pPr>
      <w:r>
        <w:rPr>
          <w:noProof/>
        </w:rPr>
        <w:t>Appendix A. Map of communities eligible for funding under the Murray-Darling Basin Economic Development Program (Round 2)</w:t>
      </w:r>
      <w:r>
        <w:rPr>
          <w:noProof/>
        </w:rPr>
        <w:tab/>
      </w:r>
      <w:r>
        <w:rPr>
          <w:noProof/>
        </w:rPr>
        <w:fldChar w:fldCharType="begin"/>
      </w:r>
      <w:r>
        <w:rPr>
          <w:noProof/>
        </w:rPr>
        <w:instrText xml:space="preserve"> PAGEREF _Toc17704049 \h </w:instrText>
      </w:r>
      <w:r>
        <w:rPr>
          <w:noProof/>
        </w:rPr>
      </w:r>
      <w:r>
        <w:rPr>
          <w:noProof/>
        </w:rPr>
        <w:fldChar w:fldCharType="separate"/>
      </w:r>
      <w:r w:rsidR="000335C1">
        <w:rPr>
          <w:noProof/>
        </w:rPr>
        <w:t>27</w:t>
      </w:r>
      <w:r>
        <w:rPr>
          <w:noProof/>
        </w:rPr>
        <w:fldChar w:fldCharType="end"/>
      </w:r>
    </w:p>
    <w:p w14:paraId="532C54A9" w14:textId="3A529721" w:rsidR="00DD3C0D" w:rsidRDefault="004A238A" w:rsidP="00DD3C0D">
      <w:pPr>
        <w:sectPr w:rsidR="00DD3C0D" w:rsidSect="00CA3DD9">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66B8B128" w14:textId="0917E732" w:rsidR="003B4369" w:rsidRPr="002C624E" w:rsidRDefault="003B4369" w:rsidP="003B4369">
      <w:pPr>
        <w:pStyle w:val="Heading2"/>
        <w:numPr>
          <w:ilvl w:val="0"/>
          <w:numId w:val="8"/>
        </w:numPr>
      </w:pPr>
      <w:bookmarkStart w:id="1" w:name="_[Program_name]:_[Grant"/>
      <w:bookmarkStart w:id="2" w:name="_Toc536100639"/>
      <w:bookmarkStart w:id="3" w:name="_Toc17703997"/>
      <w:bookmarkEnd w:id="1"/>
      <w:r w:rsidRPr="002C624E">
        <w:lastRenderedPageBreak/>
        <w:t>Murray-Darling Basin Economic Development Program</w:t>
      </w:r>
      <w:r w:rsidR="00B31681">
        <w:t xml:space="preserve"> (Round 2)</w:t>
      </w:r>
      <w:r w:rsidRPr="002C624E">
        <w:t xml:space="preserve">: </w:t>
      </w:r>
      <w:r w:rsidR="00B31681">
        <w:t>g</w:t>
      </w:r>
      <w:r w:rsidRPr="002C624E">
        <w:t>rant process</w:t>
      </w:r>
      <w:bookmarkEnd w:id="2"/>
      <w:r w:rsidR="00B31681">
        <w:t>es</w:t>
      </w:r>
      <w:bookmarkEnd w:id="3"/>
    </w:p>
    <w:p w14:paraId="56713C99" w14:textId="73D6A704" w:rsidR="00CE6D9D" w:rsidRPr="00221667" w:rsidRDefault="00CE6D9D" w:rsidP="003B4369">
      <w:pPr>
        <w:pBdr>
          <w:top w:val="single" w:sz="4" w:space="1" w:color="auto"/>
          <w:left w:val="single" w:sz="4" w:space="4" w:color="auto"/>
          <w:bottom w:val="single" w:sz="4" w:space="0" w:color="auto"/>
          <w:right w:val="single" w:sz="4" w:space="4" w:color="auto"/>
        </w:pBdr>
        <w:spacing w:after="0"/>
        <w:jc w:val="center"/>
        <w:rPr>
          <w:b/>
        </w:rPr>
      </w:pPr>
      <w:r w:rsidRPr="00221667">
        <w:rPr>
          <w:b/>
        </w:rPr>
        <w:t xml:space="preserve">The </w:t>
      </w:r>
      <w:r w:rsidR="003B4369" w:rsidRPr="00221667">
        <w:rPr>
          <w:rFonts w:cs="Arial"/>
          <w:b/>
        </w:rPr>
        <w:t>Murray-Darling Basin Economic Development Program</w:t>
      </w:r>
      <w:r w:rsidR="00B31681" w:rsidRPr="00221667">
        <w:rPr>
          <w:rFonts w:cs="Arial"/>
          <w:b/>
        </w:rPr>
        <w:t xml:space="preserve"> </w:t>
      </w:r>
      <w:proofErr w:type="gramStart"/>
      <w:r w:rsidRPr="00221667">
        <w:rPr>
          <w:b/>
        </w:rPr>
        <w:t>is</w:t>
      </w:r>
      <w:r w:rsidR="00181A24" w:rsidRPr="00221667">
        <w:rPr>
          <w:b/>
        </w:rPr>
        <w:t xml:space="preserve"> </w:t>
      </w:r>
      <w:r w:rsidRPr="00221667">
        <w:rPr>
          <w:b/>
        </w:rPr>
        <w:t>designed</w:t>
      </w:r>
      <w:proofErr w:type="gramEnd"/>
      <w:r w:rsidRPr="00221667">
        <w:rPr>
          <w:b/>
        </w:rPr>
        <w:t xml:space="preserve"> to achieve Australian Government objectives</w:t>
      </w:r>
      <w:r w:rsidR="00B31681" w:rsidRPr="00221667">
        <w:rPr>
          <w:b/>
        </w:rPr>
        <w:t>.</w:t>
      </w:r>
    </w:p>
    <w:p w14:paraId="512E9718" w14:textId="0CEB40F7" w:rsidR="00FA5A51" w:rsidRPr="00221667" w:rsidRDefault="00E52373" w:rsidP="003B4369">
      <w:pPr>
        <w:pBdr>
          <w:top w:val="single" w:sz="4" w:space="1" w:color="auto"/>
          <w:left w:val="single" w:sz="4" w:space="4" w:color="auto"/>
          <w:bottom w:val="single" w:sz="4" w:space="0" w:color="auto"/>
          <w:right w:val="single" w:sz="4" w:space="4" w:color="auto"/>
        </w:pBdr>
        <w:spacing w:before="0" w:after="0" w:line="240" w:lineRule="auto"/>
        <w:jc w:val="center"/>
      </w:pPr>
      <w:r w:rsidRPr="00221667">
        <w:t xml:space="preserve">This grant opportunity is part of the above </w:t>
      </w:r>
      <w:r w:rsidR="00D164B1" w:rsidRPr="00221667">
        <w:t>g</w:t>
      </w:r>
      <w:r w:rsidRPr="00221667">
        <w:t xml:space="preserve">rant </w:t>
      </w:r>
      <w:r w:rsidR="00D164B1" w:rsidRPr="00221667">
        <w:t>p</w:t>
      </w:r>
      <w:r w:rsidRPr="00221667">
        <w:t>rogram</w:t>
      </w:r>
      <w:r w:rsidR="00221667" w:rsidRPr="00221667">
        <w:t>,</w:t>
      </w:r>
      <w:r w:rsidRPr="00221667">
        <w:t xml:space="preserve"> which contributes to </w:t>
      </w:r>
      <w:r w:rsidR="003B4369" w:rsidRPr="00221667">
        <w:t>the Department of Agriculture</w:t>
      </w:r>
      <w:r w:rsidRPr="00221667">
        <w:t xml:space="preserve">’s Outcome </w:t>
      </w:r>
      <w:r w:rsidR="003B4369" w:rsidRPr="00221667">
        <w:t>3</w:t>
      </w:r>
      <w:r w:rsidR="00221667" w:rsidRPr="00221667">
        <w:t>.1 – Water Reform</w:t>
      </w:r>
      <w:r w:rsidR="003B4369" w:rsidRPr="00221667">
        <w:t xml:space="preserve">. </w:t>
      </w:r>
      <w:r w:rsidRPr="00221667">
        <w:t xml:space="preserve">The </w:t>
      </w:r>
      <w:r w:rsidR="003F441F">
        <w:t>D</w:t>
      </w:r>
      <w:r w:rsidR="003B4369" w:rsidRPr="00221667">
        <w:t xml:space="preserve">epartment </w:t>
      </w:r>
      <w:r w:rsidR="003F441F">
        <w:t xml:space="preserve">of Agriculture </w:t>
      </w:r>
      <w:r w:rsidRPr="00221667">
        <w:t>works with stakeholders to plan and design the grant program according to the</w:t>
      </w:r>
    </w:p>
    <w:p w14:paraId="03674193" w14:textId="1D41AAD2" w:rsidR="003B4369" w:rsidRPr="00221667" w:rsidRDefault="000633FD" w:rsidP="003B4369">
      <w:pPr>
        <w:pBdr>
          <w:top w:val="single" w:sz="4" w:space="1" w:color="auto"/>
          <w:left w:val="single" w:sz="4" w:space="4" w:color="auto"/>
          <w:bottom w:val="single" w:sz="4" w:space="0" w:color="auto"/>
          <w:right w:val="single" w:sz="4" w:space="4" w:color="auto"/>
        </w:pBdr>
        <w:spacing w:before="0" w:after="0" w:line="240" w:lineRule="auto"/>
        <w:jc w:val="center"/>
        <w:rPr>
          <w:i/>
          <w:color w:val="3366CC"/>
          <w:u w:val="single"/>
        </w:rPr>
      </w:pPr>
      <w:hyperlink r:id="rId17" w:history="1">
        <w:r w:rsidR="006F145A" w:rsidRPr="000633FD">
          <w:rPr>
            <w:rStyle w:val="Hyperlink"/>
            <w:i/>
          </w:rPr>
          <w:t>Commonwealth Grants Rules and Gu</w:t>
        </w:r>
        <w:r w:rsidR="006F145A" w:rsidRPr="000633FD">
          <w:rPr>
            <w:rStyle w:val="Hyperlink"/>
            <w:i/>
          </w:rPr>
          <w:t>i</w:t>
        </w:r>
        <w:r w:rsidR="006F145A" w:rsidRPr="000633FD">
          <w:rPr>
            <w:rStyle w:val="Hyperlink"/>
            <w:i/>
          </w:rPr>
          <w:t>delines</w:t>
        </w:r>
        <w:r w:rsidR="00A2674E" w:rsidRPr="000633FD">
          <w:rPr>
            <w:rStyle w:val="Hyperlink"/>
            <w:i/>
          </w:rPr>
          <w:t xml:space="preserve"> 2017</w:t>
        </w:r>
        <w:r w:rsidR="006F145A" w:rsidRPr="000633FD">
          <w:rPr>
            <w:rStyle w:val="Hyperlink"/>
            <w:i/>
          </w:rPr>
          <w:t xml:space="preserve"> (CGRGs)</w:t>
        </w:r>
        <w:r w:rsidR="00FA5A51" w:rsidRPr="000633FD">
          <w:rPr>
            <w:rStyle w:val="Hyperlink"/>
            <w:i/>
          </w:rPr>
          <w:t>.</w:t>
        </w:r>
      </w:hyperlink>
    </w:p>
    <w:p w14:paraId="2B4B4D51" w14:textId="77777777" w:rsidR="003B4369" w:rsidRPr="00221667" w:rsidRDefault="003B4369" w:rsidP="003B4369">
      <w:pPr>
        <w:spacing w:after="0"/>
        <w:jc w:val="center"/>
        <w:rPr>
          <w:rFonts w:ascii="Wingdings" w:hAnsi="Wingdings"/>
        </w:rPr>
      </w:pPr>
      <w:r w:rsidRPr="00221667">
        <w:rPr>
          <w:rFonts w:ascii="Wingdings" w:hAnsi="Wingdings"/>
        </w:rPr>
        <w:t></w:t>
      </w:r>
    </w:p>
    <w:p w14:paraId="02E1D6A6" w14:textId="77777777" w:rsidR="003B4369" w:rsidRPr="00221667" w:rsidRDefault="003B4369" w:rsidP="003B4369">
      <w:pPr>
        <w:pBdr>
          <w:top w:val="single" w:sz="2" w:space="1" w:color="auto"/>
          <w:left w:val="single" w:sz="2" w:space="4" w:color="auto"/>
          <w:bottom w:val="single" w:sz="2" w:space="0" w:color="auto"/>
          <w:right w:val="single" w:sz="2" w:space="4" w:color="auto"/>
        </w:pBdr>
        <w:spacing w:after="0"/>
        <w:jc w:val="center"/>
        <w:rPr>
          <w:b/>
        </w:rPr>
      </w:pPr>
      <w:r w:rsidRPr="00221667">
        <w:rPr>
          <w:b/>
        </w:rPr>
        <w:t>The grant opportunity opens</w:t>
      </w:r>
    </w:p>
    <w:p w14:paraId="2CF456F4" w14:textId="77777777" w:rsidR="003B4369" w:rsidRPr="00221667" w:rsidRDefault="003B4369" w:rsidP="003B4369">
      <w:pPr>
        <w:pBdr>
          <w:top w:val="single" w:sz="2" w:space="1" w:color="auto"/>
          <w:left w:val="single" w:sz="2" w:space="4" w:color="auto"/>
          <w:bottom w:val="single" w:sz="2" w:space="0" w:color="auto"/>
          <w:right w:val="single" w:sz="2" w:space="4" w:color="auto"/>
        </w:pBdr>
        <w:spacing w:after="0"/>
        <w:jc w:val="center"/>
        <w:rPr>
          <w:b/>
        </w:rPr>
      </w:pPr>
      <w:r w:rsidRPr="00221667">
        <w:t xml:space="preserve">We publish the grant guidelines on </w:t>
      </w:r>
      <w:hyperlink r:id="rId18" w:history="1">
        <w:r w:rsidRPr="00221667">
          <w:rPr>
            <w:rStyle w:val="Hyperlink"/>
          </w:rPr>
          <w:t>GrantConnect</w:t>
        </w:r>
      </w:hyperlink>
      <w:r w:rsidRPr="00221667">
        <w:t xml:space="preserve"> and </w:t>
      </w:r>
      <w:hyperlink r:id="rId19" w:history="1">
        <w:r w:rsidRPr="00221667">
          <w:rPr>
            <w:rStyle w:val="Hyperlink"/>
          </w:rPr>
          <w:t>Community Grants Hub</w:t>
        </w:r>
      </w:hyperlink>
      <w:r w:rsidRPr="00221667">
        <w:t xml:space="preserve"> websites.</w:t>
      </w:r>
    </w:p>
    <w:p w14:paraId="34B88E68" w14:textId="77777777" w:rsidR="00CE6D9D" w:rsidRPr="00221667" w:rsidRDefault="00CE6D9D" w:rsidP="00CE6D9D">
      <w:pPr>
        <w:spacing w:after="0"/>
        <w:jc w:val="center"/>
        <w:rPr>
          <w:rFonts w:ascii="Wingdings" w:hAnsi="Wingdings"/>
        </w:rPr>
      </w:pPr>
      <w:r w:rsidRPr="00221667">
        <w:rPr>
          <w:rFonts w:ascii="Wingdings" w:hAnsi="Wingdings"/>
        </w:rPr>
        <w:t></w:t>
      </w:r>
    </w:p>
    <w:p w14:paraId="273C0C5E" w14:textId="77777777" w:rsidR="00C70C37" w:rsidRPr="0022166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221667">
        <w:rPr>
          <w:b/>
        </w:rPr>
        <w:t>You complete and submit a grant application</w:t>
      </w:r>
    </w:p>
    <w:p w14:paraId="45B32ACB" w14:textId="77777777" w:rsidR="00CE6D9D" w:rsidRPr="00221667" w:rsidRDefault="00C70C37" w:rsidP="00CE6D9D">
      <w:pPr>
        <w:pBdr>
          <w:top w:val="single" w:sz="2" w:space="1" w:color="auto"/>
          <w:left w:val="single" w:sz="2" w:space="4" w:color="auto"/>
          <w:bottom w:val="single" w:sz="2" w:space="1" w:color="auto"/>
          <w:right w:val="single" w:sz="2" w:space="4" w:color="auto"/>
        </w:pBdr>
        <w:spacing w:after="0"/>
        <w:jc w:val="center"/>
      </w:pPr>
      <w:r w:rsidRPr="00221667">
        <w:t xml:space="preserve">You complete the application form and address all of the eligibility and assessment criteria to </w:t>
      </w:r>
      <w:proofErr w:type="gramStart"/>
      <w:r w:rsidRPr="00221667">
        <w:t>be considered</w:t>
      </w:r>
      <w:proofErr w:type="gramEnd"/>
      <w:r w:rsidRPr="00221667">
        <w:t xml:space="preserve"> for a grant.</w:t>
      </w:r>
    </w:p>
    <w:p w14:paraId="057D93E1" w14:textId="77777777" w:rsidR="00CE6D9D" w:rsidRPr="00221667" w:rsidRDefault="00CE6D9D" w:rsidP="00CE6D9D">
      <w:pPr>
        <w:spacing w:after="0"/>
        <w:jc w:val="center"/>
        <w:rPr>
          <w:rFonts w:ascii="Wingdings" w:hAnsi="Wingdings"/>
        </w:rPr>
      </w:pPr>
      <w:r w:rsidRPr="00221667">
        <w:rPr>
          <w:rFonts w:ascii="Wingdings" w:hAnsi="Wingdings"/>
        </w:rPr>
        <w:t></w:t>
      </w:r>
    </w:p>
    <w:p w14:paraId="3D9EC1F4" w14:textId="77777777" w:rsidR="00CE6D9D" w:rsidRPr="00221667" w:rsidRDefault="00293465" w:rsidP="00CE6D9D">
      <w:pPr>
        <w:pBdr>
          <w:top w:val="single" w:sz="2" w:space="1" w:color="auto"/>
          <w:left w:val="single" w:sz="2" w:space="4" w:color="auto"/>
          <w:bottom w:val="single" w:sz="2" w:space="1" w:color="auto"/>
          <w:right w:val="single" w:sz="2" w:space="4" w:color="auto"/>
        </w:pBdr>
        <w:spacing w:after="0"/>
        <w:jc w:val="center"/>
        <w:rPr>
          <w:bCs/>
        </w:rPr>
      </w:pPr>
      <w:r w:rsidRPr="00221667">
        <w:rPr>
          <w:b/>
        </w:rPr>
        <w:t>We</w:t>
      </w:r>
      <w:r w:rsidR="00C327FC" w:rsidRPr="00221667">
        <w:rPr>
          <w:b/>
        </w:rPr>
        <w:t xml:space="preserve"> </w:t>
      </w:r>
      <w:r w:rsidR="00CE6D9D" w:rsidRPr="00221667">
        <w:rPr>
          <w:b/>
        </w:rPr>
        <w:t>assess all grant application</w:t>
      </w:r>
      <w:r w:rsidR="00DA43F0" w:rsidRPr="00221667">
        <w:rPr>
          <w:b/>
        </w:rPr>
        <w:t>s</w:t>
      </w:r>
    </w:p>
    <w:p w14:paraId="0E8395B8" w14:textId="0CD24136" w:rsidR="00E52373" w:rsidRPr="00221667" w:rsidRDefault="00293465" w:rsidP="00E52373">
      <w:pPr>
        <w:pBdr>
          <w:top w:val="single" w:sz="2" w:space="1" w:color="auto"/>
          <w:left w:val="single" w:sz="2" w:space="4" w:color="auto"/>
          <w:bottom w:val="single" w:sz="2" w:space="1" w:color="auto"/>
          <w:right w:val="single" w:sz="2" w:space="4" w:color="auto"/>
        </w:pBdr>
        <w:spacing w:after="0"/>
        <w:jc w:val="center"/>
      </w:pPr>
      <w:r w:rsidRPr="00221667">
        <w:t>We</w:t>
      </w:r>
      <w:r w:rsidR="00E52373" w:rsidRPr="00221667">
        <w:t xml:space="preserve"> assess the applications against eligibility criteria </w:t>
      </w:r>
      <w:r w:rsidR="0087265C" w:rsidRPr="00221667">
        <w:t xml:space="preserve">and </w:t>
      </w:r>
      <w:r w:rsidR="00E52373" w:rsidRPr="00221667">
        <w:t>notify you if you are not eligible</w:t>
      </w:r>
      <w:r w:rsidR="00A41003" w:rsidRPr="00221667">
        <w:t>.</w:t>
      </w:r>
      <w:r w:rsidR="000F48FA" w:rsidRPr="00221667">
        <w:t xml:space="preserve"> </w:t>
      </w:r>
      <w:r w:rsidR="00BE34F3" w:rsidRPr="00221667">
        <w:t>If you are eligible, w</w:t>
      </w:r>
      <w:r w:rsidRPr="00221667">
        <w:t>e</w:t>
      </w:r>
      <w:r w:rsidR="00543A99" w:rsidRPr="00221667">
        <w:t xml:space="preserve"> then </w:t>
      </w:r>
      <w:r w:rsidR="00E52373" w:rsidRPr="00221667">
        <w:t>assess your application against the assessment criteria</w:t>
      </w:r>
      <w:r w:rsidR="00BE7CE0">
        <w:t>,</w:t>
      </w:r>
      <w:r w:rsidR="00E52373" w:rsidRPr="00221667">
        <w:t xml:space="preserve"> including an overall consideration of value </w:t>
      </w:r>
      <w:r w:rsidR="0001641E" w:rsidRPr="00221667">
        <w:t>with</w:t>
      </w:r>
      <w:r w:rsidR="00BE7CE0">
        <w:t xml:space="preserve"> relevant</w:t>
      </w:r>
      <w:r w:rsidR="00E52373" w:rsidRPr="00221667">
        <w:t xml:space="preserve"> money </w:t>
      </w:r>
      <w:r w:rsidR="0087265C" w:rsidRPr="00221667">
        <w:t xml:space="preserve">and </w:t>
      </w:r>
      <w:r w:rsidR="00E52373" w:rsidRPr="00221667">
        <w:t>compare it to other applications</w:t>
      </w:r>
      <w:r w:rsidR="00A41003" w:rsidRPr="00221667">
        <w:t>.</w:t>
      </w:r>
    </w:p>
    <w:p w14:paraId="691372C8" w14:textId="77777777" w:rsidR="00CE6D9D" w:rsidRPr="00221667" w:rsidRDefault="00CE6D9D" w:rsidP="00CE6D9D">
      <w:pPr>
        <w:spacing w:after="0"/>
        <w:jc w:val="center"/>
        <w:rPr>
          <w:rFonts w:ascii="Wingdings" w:hAnsi="Wingdings"/>
        </w:rPr>
      </w:pPr>
      <w:r w:rsidRPr="00221667">
        <w:rPr>
          <w:rFonts w:ascii="Wingdings" w:hAnsi="Wingdings"/>
        </w:rPr>
        <w:t></w:t>
      </w:r>
    </w:p>
    <w:p w14:paraId="2A2752AD" w14:textId="77777777" w:rsidR="00CE6D9D" w:rsidRPr="00221667"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221667">
        <w:rPr>
          <w:b/>
        </w:rPr>
        <w:t xml:space="preserve">We </w:t>
      </w:r>
      <w:r w:rsidR="00CE6D9D" w:rsidRPr="00221667">
        <w:rPr>
          <w:b/>
        </w:rPr>
        <w:t>make grant recommendations</w:t>
      </w:r>
    </w:p>
    <w:p w14:paraId="419B7F87" w14:textId="0A1307F6" w:rsidR="00CE6D9D" w:rsidRPr="00221667" w:rsidRDefault="00293465" w:rsidP="00CE6D9D">
      <w:pPr>
        <w:pBdr>
          <w:top w:val="single" w:sz="2" w:space="1" w:color="auto"/>
          <w:left w:val="single" w:sz="2" w:space="4" w:color="auto"/>
          <w:bottom w:val="single" w:sz="2" w:space="1" w:color="auto"/>
          <w:right w:val="single" w:sz="2" w:space="4" w:color="auto"/>
        </w:pBdr>
        <w:spacing w:after="0"/>
        <w:jc w:val="center"/>
      </w:pPr>
      <w:r w:rsidRPr="00221667">
        <w:t>We</w:t>
      </w:r>
      <w:r w:rsidR="00543A99" w:rsidRPr="00221667">
        <w:t xml:space="preserve"> </w:t>
      </w:r>
      <w:r w:rsidR="00CE6D9D" w:rsidRPr="00221667">
        <w:t>provide advice</w:t>
      </w:r>
      <w:r w:rsidR="00543A99" w:rsidRPr="00221667">
        <w:t>, through the</w:t>
      </w:r>
      <w:r w:rsidR="0070001C" w:rsidRPr="00221667">
        <w:t xml:space="preserve"> </w:t>
      </w:r>
      <w:r w:rsidR="00191523" w:rsidRPr="00221667">
        <w:t>selection advisory panel</w:t>
      </w:r>
      <w:r w:rsidR="00BE7CE0">
        <w:t>,</w:t>
      </w:r>
      <w:r w:rsidR="00CE6D9D" w:rsidRPr="00221667">
        <w:t xml:space="preserve"> to the decision maker on the merits of each application.</w:t>
      </w:r>
    </w:p>
    <w:p w14:paraId="05783F3B" w14:textId="77777777" w:rsidR="00CE6D9D" w:rsidRPr="00221667" w:rsidRDefault="00CE6D9D" w:rsidP="00CE6D9D">
      <w:pPr>
        <w:spacing w:after="0"/>
        <w:jc w:val="center"/>
        <w:rPr>
          <w:rFonts w:ascii="Wingdings" w:hAnsi="Wingdings"/>
        </w:rPr>
      </w:pPr>
      <w:r w:rsidRPr="00221667">
        <w:rPr>
          <w:rFonts w:ascii="Wingdings" w:hAnsi="Wingdings"/>
        </w:rPr>
        <w:t></w:t>
      </w:r>
    </w:p>
    <w:p w14:paraId="711E5E19" w14:textId="77777777" w:rsidR="00CE6D9D" w:rsidRPr="0022166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221667">
        <w:rPr>
          <w:b/>
        </w:rPr>
        <w:t xml:space="preserve">Grant </w:t>
      </w:r>
      <w:r w:rsidR="007B4CC0" w:rsidRPr="00221667">
        <w:rPr>
          <w:b/>
        </w:rPr>
        <w:t>d</w:t>
      </w:r>
      <w:r w:rsidRPr="00221667">
        <w:rPr>
          <w:b/>
        </w:rPr>
        <w:t xml:space="preserve">ecisions </w:t>
      </w:r>
      <w:proofErr w:type="gramStart"/>
      <w:r w:rsidRPr="00221667">
        <w:rPr>
          <w:b/>
        </w:rPr>
        <w:t>are made</w:t>
      </w:r>
      <w:proofErr w:type="gramEnd"/>
    </w:p>
    <w:p w14:paraId="350CD09B" w14:textId="37F070F0" w:rsidR="00CE6D9D" w:rsidRPr="00221667" w:rsidRDefault="00CE6D9D" w:rsidP="00CE6D9D">
      <w:pPr>
        <w:pBdr>
          <w:top w:val="single" w:sz="2" w:space="1" w:color="auto"/>
          <w:left w:val="single" w:sz="2" w:space="4" w:color="auto"/>
          <w:bottom w:val="single" w:sz="2" w:space="1" w:color="auto"/>
          <w:right w:val="single" w:sz="2" w:space="4" w:color="auto"/>
        </w:pBdr>
        <w:spacing w:after="0"/>
        <w:jc w:val="center"/>
      </w:pPr>
      <w:r w:rsidRPr="00221667">
        <w:t>The decision maker</w:t>
      </w:r>
      <w:r w:rsidR="00542819">
        <w:t xml:space="preserve"> (</w:t>
      </w:r>
      <w:r w:rsidR="00842A08">
        <w:t>Minister for Water Resources, Drought, Rural Finance, Natural Disaster and Emergency Management</w:t>
      </w:r>
      <w:r w:rsidR="00542819">
        <w:t>)</w:t>
      </w:r>
      <w:r w:rsidR="00DA43F0" w:rsidRPr="00221667">
        <w:t xml:space="preserve"> </w:t>
      </w:r>
      <w:r w:rsidRPr="00221667">
        <w:t>decides which applications are successful.</w:t>
      </w:r>
    </w:p>
    <w:p w14:paraId="47AB96F6" w14:textId="77777777" w:rsidR="00CE6D9D" w:rsidRPr="00221667" w:rsidRDefault="00CE6D9D" w:rsidP="00CE6D9D">
      <w:pPr>
        <w:spacing w:after="0"/>
        <w:jc w:val="center"/>
        <w:rPr>
          <w:rFonts w:ascii="Wingdings" w:hAnsi="Wingdings"/>
        </w:rPr>
      </w:pPr>
      <w:r w:rsidRPr="00221667">
        <w:rPr>
          <w:rFonts w:ascii="Wingdings" w:hAnsi="Wingdings"/>
        </w:rPr>
        <w:t></w:t>
      </w:r>
    </w:p>
    <w:p w14:paraId="1CCB2E3E" w14:textId="77777777" w:rsidR="00CE6D9D" w:rsidRPr="00221667"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221667">
        <w:rPr>
          <w:b/>
        </w:rPr>
        <w:t>We</w:t>
      </w:r>
      <w:r w:rsidR="00C327FC" w:rsidRPr="00221667">
        <w:rPr>
          <w:b/>
        </w:rPr>
        <w:t xml:space="preserve"> </w:t>
      </w:r>
      <w:r w:rsidR="00CE6D9D" w:rsidRPr="00221667">
        <w:rPr>
          <w:b/>
        </w:rPr>
        <w:t>notify you of the outcome</w:t>
      </w:r>
    </w:p>
    <w:p w14:paraId="39B9AFF4" w14:textId="36316A7D" w:rsidR="00CE6D9D" w:rsidRPr="00221667" w:rsidRDefault="00293465" w:rsidP="00CE6D9D">
      <w:pPr>
        <w:pBdr>
          <w:top w:val="single" w:sz="2" w:space="1" w:color="auto"/>
          <w:left w:val="single" w:sz="2" w:space="4" w:color="auto"/>
          <w:bottom w:val="single" w:sz="2" w:space="1" w:color="auto"/>
          <w:right w:val="single" w:sz="2" w:space="4" w:color="auto"/>
        </w:pBdr>
        <w:spacing w:after="0"/>
        <w:jc w:val="center"/>
      </w:pPr>
      <w:r w:rsidRPr="00221667">
        <w:t>We</w:t>
      </w:r>
      <w:r w:rsidR="00105D44" w:rsidRPr="00221667">
        <w:rPr>
          <w:color w:val="0070C0"/>
        </w:rPr>
        <w:t xml:space="preserve"> </w:t>
      </w:r>
      <w:r w:rsidR="00CE6D9D" w:rsidRPr="00221667">
        <w:t>advise you of the outcome of your application. We may not notify unsuccessful applicants</w:t>
      </w:r>
      <w:r w:rsidR="003B4369" w:rsidRPr="00221667">
        <w:rPr>
          <w:rFonts w:cs="Arial"/>
        </w:rPr>
        <w:t xml:space="preserve"> </w:t>
      </w:r>
      <w:r w:rsidR="007E75C7">
        <w:rPr>
          <w:rFonts w:cs="Arial"/>
        </w:rPr>
        <w:t xml:space="preserve">until </w:t>
      </w:r>
      <w:r w:rsidR="003B4369" w:rsidRPr="00221667">
        <w:t xml:space="preserve">successful applicants </w:t>
      </w:r>
      <w:proofErr w:type="gramStart"/>
      <w:r w:rsidR="003B4369" w:rsidRPr="00221667">
        <w:t>are announced</w:t>
      </w:r>
      <w:proofErr w:type="gramEnd"/>
      <w:r w:rsidR="003B4369" w:rsidRPr="00221667">
        <w:t>. Individual feedback will be available on request.</w:t>
      </w:r>
    </w:p>
    <w:p w14:paraId="239FFCA8" w14:textId="77777777" w:rsidR="00CE6D9D" w:rsidRPr="00221667" w:rsidRDefault="00CE6D9D" w:rsidP="00CE6D9D">
      <w:pPr>
        <w:spacing w:after="0"/>
        <w:jc w:val="center"/>
        <w:rPr>
          <w:rFonts w:ascii="Wingdings" w:hAnsi="Wingdings"/>
        </w:rPr>
      </w:pPr>
      <w:r w:rsidRPr="00221667">
        <w:rPr>
          <w:rFonts w:ascii="Wingdings" w:hAnsi="Wingdings"/>
        </w:rPr>
        <w:t></w:t>
      </w:r>
    </w:p>
    <w:p w14:paraId="4BAC8AC7" w14:textId="77777777" w:rsidR="00CE6D9D" w:rsidRPr="00221667" w:rsidRDefault="00293465" w:rsidP="00CE6D9D">
      <w:pPr>
        <w:pBdr>
          <w:top w:val="single" w:sz="2" w:space="1" w:color="auto"/>
          <w:left w:val="single" w:sz="2" w:space="4" w:color="auto"/>
          <w:bottom w:val="single" w:sz="2" w:space="1" w:color="auto"/>
          <w:right w:val="single" w:sz="2" w:space="4" w:color="auto"/>
        </w:pBdr>
        <w:spacing w:after="0"/>
        <w:jc w:val="center"/>
        <w:rPr>
          <w:b/>
        </w:rPr>
      </w:pPr>
      <w:r w:rsidRPr="00221667">
        <w:rPr>
          <w:b/>
        </w:rPr>
        <w:t>We</w:t>
      </w:r>
      <w:r w:rsidR="00C327FC" w:rsidRPr="00221667">
        <w:rPr>
          <w:b/>
          <w:color w:val="0070C0"/>
        </w:rPr>
        <w:t xml:space="preserve"> </w:t>
      </w:r>
      <w:r w:rsidR="00CE6D9D" w:rsidRPr="00221667">
        <w:rPr>
          <w:b/>
        </w:rPr>
        <w:t>enter into a grant agreement</w:t>
      </w:r>
    </w:p>
    <w:p w14:paraId="3554D4A7" w14:textId="545055AE" w:rsidR="00CE6D9D" w:rsidRPr="00221667" w:rsidRDefault="00BE7CE0" w:rsidP="00CE6D9D">
      <w:pPr>
        <w:pBdr>
          <w:top w:val="single" w:sz="2" w:space="1" w:color="auto"/>
          <w:left w:val="single" w:sz="2" w:space="4" w:color="auto"/>
          <w:bottom w:val="single" w:sz="2" w:space="1" w:color="auto"/>
          <w:right w:val="single" w:sz="2" w:space="4" w:color="auto"/>
        </w:pBdr>
        <w:spacing w:after="0"/>
        <w:jc w:val="center"/>
        <w:rPr>
          <w:b/>
          <w:bCs/>
        </w:rPr>
      </w:pPr>
      <w:r>
        <w:t>If you are successful, w</w:t>
      </w:r>
      <w:r w:rsidR="00293465" w:rsidRPr="00221667">
        <w:t>e</w:t>
      </w:r>
      <w:r w:rsidR="00CE6D9D" w:rsidRPr="00221667">
        <w:t xml:space="preserve"> enter into a </w:t>
      </w:r>
      <w:r w:rsidR="00842A08">
        <w:t>Commonwealth S</w:t>
      </w:r>
      <w:r w:rsidR="003B4369" w:rsidRPr="00221667">
        <w:t xml:space="preserve">tandard </w:t>
      </w:r>
      <w:r w:rsidR="00842A08">
        <w:t>G</w:t>
      </w:r>
      <w:r w:rsidR="00CE6D9D" w:rsidRPr="00221667">
        <w:t xml:space="preserve">rant </w:t>
      </w:r>
      <w:r w:rsidR="00842A08">
        <w:t>A</w:t>
      </w:r>
      <w:r w:rsidR="00CE6D9D" w:rsidRPr="00221667">
        <w:t>greement with</w:t>
      </w:r>
      <w:r w:rsidR="00D676ED" w:rsidRPr="00221667">
        <w:t xml:space="preserve"> you.</w:t>
      </w:r>
      <w:r w:rsidR="00CE6D9D" w:rsidRPr="00221667">
        <w:t xml:space="preserve"> </w:t>
      </w:r>
    </w:p>
    <w:p w14:paraId="126ED4C6" w14:textId="77777777" w:rsidR="00CE6D9D" w:rsidRPr="00221667" w:rsidRDefault="00CE6D9D" w:rsidP="00CE6D9D">
      <w:pPr>
        <w:spacing w:after="0"/>
        <w:jc w:val="center"/>
        <w:rPr>
          <w:rFonts w:ascii="Wingdings" w:hAnsi="Wingdings"/>
        </w:rPr>
      </w:pPr>
      <w:r w:rsidRPr="00221667">
        <w:rPr>
          <w:rFonts w:ascii="Wingdings" w:hAnsi="Wingdings"/>
        </w:rPr>
        <w:t></w:t>
      </w:r>
    </w:p>
    <w:p w14:paraId="40E57C0F" w14:textId="77777777" w:rsidR="00CE6D9D" w:rsidRPr="00221667"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221667">
        <w:rPr>
          <w:b/>
        </w:rPr>
        <w:t>Delivery of grant</w:t>
      </w:r>
    </w:p>
    <w:p w14:paraId="3ED513E8" w14:textId="77777777" w:rsidR="00CE6D9D" w:rsidRPr="00221667"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221667">
        <w:rPr>
          <w:bCs/>
        </w:rPr>
        <w:t xml:space="preserve">You undertake the grant activity as set out in your grant agreement. </w:t>
      </w:r>
      <w:r w:rsidR="00827752" w:rsidRPr="00221667">
        <w:rPr>
          <w:bCs/>
        </w:rPr>
        <w:t xml:space="preserve">We </w:t>
      </w:r>
      <w:r w:rsidRPr="00221667">
        <w:rPr>
          <w:bCs/>
        </w:rPr>
        <w:t>manage the grant by working with you, monitoring your progress and making payments.</w:t>
      </w:r>
    </w:p>
    <w:p w14:paraId="0F697790" w14:textId="77777777" w:rsidR="00CE6D9D" w:rsidRPr="00221667" w:rsidRDefault="00CE6D9D" w:rsidP="00CE6D9D">
      <w:pPr>
        <w:spacing w:after="0"/>
        <w:jc w:val="center"/>
        <w:rPr>
          <w:rFonts w:ascii="Wingdings" w:hAnsi="Wingdings"/>
        </w:rPr>
      </w:pPr>
      <w:r w:rsidRPr="00221667">
        <w:rPr>
          <w:rFonts w:ascii="Wingdings" w:hAnsi="Wingdings"/>
        </w:rPr>
        <w:t></w:t>
      </w:r>
    </w:p>
    <w:p w14:paraId="5C1C7F57" w14:textId="77777777" w:rsidR="00CE6D9D" w:rsidRPr="0022166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221667">
        <w:rPr>
          <w:b/>
        </w:rPr>
        <w:t xml:space="preserve">Evaluation of the </w:t>
      </w:r>
      <w:r w:rsidR="00806392" w:rsidRPr="00221667">
        <w:rPr>
          <w:rFonts w:cs="Arial"/>
          <w:b/>
        </w:rPr>
        <w:t>Murray-Darling Basin Economic Development Program</w:t>
      </w:r>
    </w:p>
    <w:p w14:paraId="4C4E1701" w14:textId="3AA6C0CC" w:rsidR="00843AFD" w:rsidRPr="00221667" w:rsidRDefault="00293465" w:rsidP="00221667">
      <w:pPr>
        <w:pBdr>
          <w:top w:val="single" w:sz="2" w:space="1" w:color="auto"/>
          <w:left w:val="single" w:sz="2" w:space="4" w:color="auto"/>
          <w:bottom w:val="single" w:sz="2" w:space="1" w:color="auto"/>
          <w:right w:val="single" w:sz="2" w:space="4" w:color="auto"/>
        </w:pBdr>
        <w:spacing w:after="0"/>
        <w:jc w:val="center"/>
      </w:pPr>
      <w:r w:rsidRPr="00221667">
        <w:t>We</w:t>
      </w:r>
      <w:r w:rsidR="00105D44" w:rsidRPr="00221667">
        <w:rPr>
          <w:color w:val="0070C0"/>
        </w:rPr>
        <w:t xml:space="preserve"> </w:t>
      </w:r>
      <w:r w:rsidR="00CE6D9D" w:rsidRPr="00221667">
        <w:t xml:space="preserve">evaluate </w:t>
      </w:r>
      <w:r w:rsidR="001B4EAA" w:rsidRPr="00221667">
        <w:t xml:space="preserve">your </w:t>
      </w:r>
      <w:r w:rsidR="00CE6D9D" w:rsidRPr="00221667">
        <w:t xml:space="preserve">specific grant activity and </w:t>
      </w:r>
      <w:r w:rsidR="001B4EAA" w:rsidRPr="00221667">
        <w:t xml:space="preserve">the </w:t>
      </w:r>
      <w:r w:rsidR="00806392" w:rsidRPr="00221667">
        <w:t xml:space="preserve">Murray-Darling Basin Economic Development Program </w:t>
      </w:r>
      <w:r w:rsidR="00CE6D9D" w:rsidRPr="00221667">
        <w:t>as a whole. We base this on information you provide us and that we collect from various sources.</w:t>
      </w:r>
    </w:p>
    <w:p w14:paraId="6AD55881" w14:textId="77777777" w:rsidR="00E00BAF" w:rsidRPr="00181A24" w:rsidRDefault="00E00BAF" w:rsidP="00A8702B">
      <w:pPr>
        <w:pStyle w:val="Heading3"/>
      </w:pPr>
      <w:bookmarkStart w:id="4" w:name="_Toc17703998"/>
      <w:r w:rsidRPr="00181A24">
        <w:lastRenderedPageBreak/>
        <w:t>Introduction</w:t>
      </w:r>
      <w:bookmarkEnd w:id="4"/>
    </w:p>
    <w:p w14:paraId="15B13039" w14:textId="11A8F5C6" w:rsidR="00D3694B" w:rsidRPr="00464604" w:rsidRDefault="00D3694B" w:rsidP="00D3694B">
      <w:pPr>
        <w:rPr>
          <w:color w:val="000000" w:themeColor="text1"/>
        </w:rPr>
      </w:pPr>
      <w:r>
        <w:t xml:space="preserve">These guidelines contain </w:t>
      </w:r>
      <w:r w:rsidR="002D7273">
        <w:rPr>
          <w:color w:val="000000" w:themeColor="text1"/>
        </w:rPr>
        <w:t>information for</w:t>
      </w:r>
      <w:r w:rsidR="001E7CD1" w:rsidRPr="00464604">
        <w:rPr>
          <w:color w:val="000000" w:themeColor="text1"/>
        </w:rPr>
        <w:t xml:space="preserve"> </w:t>
      </w:r>
      <w:r w:rsidRPr="00464604">
        <w:rPr>
          <w:color w:val="000000" w:themeColor="text1"/>
        </w:rPr>
        <w:t xml:space="preserve">the </w:t>
      </w:r>
      <w:r w:rsidR="00806392" w:rsidRPr="00464604">
        <w:rPr>
          <w:color w:val="000000" w:themeColor="text1"/>
        </w:rPr>
        <w:t xml:space="preserve">Murray-Darling Basin Economic Development Program </w:t>
      </w:r>
      <w:r w:rsidR="00BE7CE0" w:rsidRPr="00464604">
        <w:rPr>
          <w:color w:val="000000" w:themeColor="text1"/>
        </w:rPr>
        <w:t xml:space="preserve">Round </w:t>
      </w:r>
      <w:r w:rsidR="00BE7CE0">
        <w:rPr>
          <w:color w:val="000000" w:themeColor="text1"/>
        </w:rPr>
        <w:t xml:space="preserve">2 </w:t>
      </w:r>
      <w:r w:rsidRPr="00464604">
        <w:rPr>
          <w:color w:val="000000" w:themeColor="text1"/>
        </w:rPr>
        <w:t xml:space="preserve">grants. </w:t>
      </w:r>
    </w:p>
    <w:p w14:paraId="4993A8CA" w14:textId="714605F9" w:rsidR="00D3694B" w:rsidRPr="00464604" w:rsidRDefault="00D3694B" w:rsidP="00D3694B">
      <w:pPr>
        <w:rPr>
          <w:color w:val="000000" w:themeColor="text1"/>
        </w:rPr>
      </w:pPr>
      <w:r w:rsidRPr="00464604">
        <w:rPr>
          <w:color w:val="000000" w:themeColor="text1"/>
        </w:rPr>
        <w:t xml:space="preserve">You must read </w:t>
      </w:r>
      <w:r w:rsidR="00B06214">
        <w:rPr>
          <w:color w:val="000000" w:themeColor="text1"/>
        </w:rPr>
        <w:t xml:space="preserve">and understand </w:t>
      </w:r>
      <w:r w:rsidRPr="00464604">
        <w:rPr>
          <w:color w:val="000000" w:themeColor="text1"/>
        </w:rPr>
        <w:t xml:space="preserve">these guidelines before filling out an application. </w:t>
      </w:r>
    </w:p>
    <w:p w14:paraId="40BF1C0F" w14:textId="77777777" w:rsidR="00E00BAF" w:rsidRPr="00464604" w:rsidRDefault="00E00BAF" w:rsidP="00D3694B">
      <w:pPr>
        <w:rPr>
          <w:color w:val="000000" w:themeColor="text1"/>
        </w:rPr>
      </w:pPr>
      <w:r w:rsidRPr="00464604">
        <w:rPr>
          <w:color w:val="000000" w:themeColor="text1"/>
        </w:rPr>
        <w:t>This document sets out:</w:t>
      </w:r>
    </w:p>
    <w:p w14:paraId="7EA43AA5" w14:textId="77777777" w:rsidR="00E00BAF" w:rsidRPr="00464604" w:rsidRDefault="00E00BAF" w:rsidP="009E283B">
      <w:pPr>
        <w:pStyle w:val="ListBullet"/>
        <w:rPr>
          <w:rStyle w:val="highlightedtextChar"/>
          <w:rFonts w:ascii="Arial" w:hAnsi="Arial" w:cs="Arial"/>
          <w:b w:val="0"/>
          <w:color w:val="000000" w:themeColor="text1"/>
          <w:sz w:val="20"/>
          <w:szCs w:val="20"/>
        </w:rPr>
      </w:pPr>
      <w:r w:rsidRPr="00464604">
        <w:rPr>
          <w:rStyle w:val="highlightedtextChar"/>
          <w:rFonts w:ascii="Arial" w:hAnsi="Arial" w:cs="Arial"/>
          <w:b w:val="0"/>
          <w:color w:val="000000" w:themeColor="text1"/>
          <w:sz w:val="20"/>
          <w:szCs w:val="20"/>
        </w:rPr>
        <w:t>the purpose of the grant program/grant opportunity</w:t>
      </w:r>
    </w:p>
    <w:p w14:paraId="7D6ACBEA" w14:textId="77777777" w:rsidR="00E00BAF" w:rsidRPr="00464604" w:rsidRDefault="00E00BAF" w:rsidP="009E283B">
      <w:pPr>
        <w:pStyle w:val="ListBullet"/>
        <w:rPr>
          <w:rStyle w:val="highlightedtextChar"/>
          <w:rFonts w:ascii="Arial" w:hAnsi="Arial" w:cs="Arial"/>
          <w:b w:val="0"/>
          <w:color w:val="000000" w:themeColor="text1"/>
          <w:sz w:val="20"/>
          <w:szCs w:val="20"/>
        </w:rPr>
      </w:pPr>
      <w:r w:rsidRPr="00464604">
        <w:rPr>
          <w:rStyle w:val="highlightedtextChar"/>
          <w:rFonts w:ascii="Arial" w:hAnsi="Arial" w:cs="Arial"/>
          <w:b w:val="0"/>
          <w:color w:val="000000" w:themeColor="text1"/>
          <w:sz w:val="20"/>
          <w:szCs w:val="20"/>
        </w:rPr>
        <w:t>the eligibility and assessment criteria</w:t>
      </w:r>
    </w:p>
    <w:p w14:paraId="051DD981" w14:textId="77777777" w:rsidR="00E00BAF" w:rsidRPr="00464604" w:rsidRDefault="00E00BAF" w:rsidP="009E283B">
      <w:pPr>
        <w:pStyle w:val="ListBullet"/>
        <w:rPr>
          <w:rStyle w:val="highlightedtextChar"/>
          <w:rFonts w:ascii="Arial" w:hAnsi="Arial" w:cs="Arial"/>
          <w:b w:val="0"/>
          <w:color w:val="000000" w:themeColor="text1"/>
          <w:sz w:val="20"/>
          <w:szCs w:val="20"/>
        </w:rPr>
      </w:pPr>
      <w:r w:rsidRPr="00464604">
        <w:rPr>
          <w:rStyle w:val="highlightedtextChar"/>
          <w:rFonts w:ascii="Arial" w:hAnsi="Arial" w:cs="Arial"/>
          <w:b w:val="0"/>
          <w:color w:val="000000" w:themeColor="text1"/>
          <w:sz w:val="20"/>
          <w:szCs w:val="20"/>
        </w:rPr>
        <w:t>how grant applications are considered and selected</w:t>
      </w:r>
    </w:p>
    <w:p w14:paraId="652DE953" w14:textId="77777777" w:rsidR="00E00BAF" w:rsidRPr="00464604" w:rsidRDefault="00E00BAF" w:rsidP="009E283B">
      <w:pPr>
        <w:pStyle w:val="ListBullet"/>
        <w:rPr>
          <w:rStyle w:val="highlightedtextChar"/>
          <w:rFonts w:ascii="Arial" w:hAnsi="Arial" w:cs="Arial"/>
          <w:b w:val="0"/>
          <w:color w:val="000000" w:themeColor="text1"/>
          <w:sz w:val="20"/>
          <w:szCs w:val="20"/>
        </w:rPr>
      </w:pPr>
      <w:r w:rsidRPr="00464604">
        <w:rPr>
          <w:rStyle w:val="highlightedtextChar"/>
          <w:rFonts w:ascii="Arial" w:hAnsi="Arial" w:cs="Arial"/>
          <w:b w:val="0"/>
          <w:color w:val="000000" w:themeColor="text1"/>
          <w:sz w:val="20"/>
          <w:szCs w:val="20"/>
        </w:rPr>
        <w:t>how grantee</w:t>
      </w:r>
      <w:r w:rsidR="007114A2" w:rsidRPr="00464604">
        <w:rPr>
          <w:rStyle w:val="highlightedtextChar"/>
          <w:rFonts w:ascii="Arial" w:hAnsi="Arial" w:cs="Arial"/>
          <w:b w:val="0"/>
          <w:color w:val="000000" w:themeColor="text1"/>
          <w:sz w:val="20"/>
          <w:szCs w:val="20"/>
        </w:rPr>
        <w:t>s</w:t>
      </w:r>
      <w:r w:rsidRPr="00464604">
        <w:rPr>
          <w:rStyle w:val="highlightedtextChar"/>
          <w:rFonts w:ascii="Arial" w:hAnsi="Arial" w:cs="Arial"/>
          <w:b w:val="0"/>
          <w:color w:val="000000" w:themeColor="text1"/>
          <w:sz w:val="20"/>
          <w:szCs w:val="20"/>
        </w:rPr>
        <w:t xml:space="preserve"> are notified and receive grant payments</w:t>
      </w:r>
    </w:p>
    <w:p w14:paraId="2D5D0F96" w14:textId="77777777" w:rsidR="00E00BAF" w:rsidRPr="00464604" w:rsidRDefault="00E00BAF" w:rsidP="009E283B">
      <w:pPr>
        <w:pStyle w:val="ListBullet"/>
        <w:rPr>
          <w:rStyle w:val="highlightedtextChar"/>
          <w:rFonts w:ascii="Arial" w:hAnsi="Arial" w:cs="Arial"/>
          <w:b w:val="0"/>
          <w:color w:val="000000" w:themeColor="text1"/>
          <w:sz w:val="20"/>
          <w:szCs w:val="20"/>
        </w:rPr>
      </w:pPr>
      <w:r w:rsidRPr="00464604">
        <w:rPr>
          <w:rStyle w:val="highlightedtextChar"/>
          <w:rFonts w:ascii="Arial" w:hAnsi="Arial" w:cs="Arial"/>
          <w:b w:val="0"/>
          <w:color w:val="000000" w:themeColor="text1"/>
          <w:sz w:val="20"/>
          <w:szCs w:val="20"/>
        </w:rPr>
        <w:t>how grantees will be monitored and evaluated</w:t>
      </w:r>
    </w:p>
    <w:p w14:paraId="662BBFB0" w14:textId="77777777" w:rsidR="00E00BAF" w:rsidRPr="00464604" w:rsidRDefault="00E00BAF" w:rsidP="009E283B">
      <w:pPr>
        <w:pStyle w:val="ListBullet"/>
        <w:rPr>
          <w:rStyle w:val="highlightedtextChar"/>
          <w:rFonts w:ascii="Arial" w:hAnsi="Arial" w:cs="Arial"/>
          <w:b w:val="0"/>
          <w:color w:val="000000" w:themeColor="text1"/>
          <w:sz w:val="20"/>
          <w:szCs w:val="20"/>
        </w:rPr>
      </w:pPr>
      <w:proofErr w:type="gramStart"/>
      <w:r w:rsidRPr="00464604">
        <w:rPr>
          <w:rStyle w:val="highlightedtextChar"/>
          <w:rFonts w:ascii="Arial" w:hAnsi="Arial" w:cs="Arial"/>
          <w:b w:val="0"/>
          <w:color w:val="000000" w:themeColor="text1"/>
          <w:sz w:val="20"/>
          <w:szCs w:val="20"/>
        </w:rPr>
        <w:t>responsibilities</w:t>
      </w:r>
      <w:proofErr w:type="gramEnd"/>
      <w:r w:rsidRPr="00464604">
        <w:rPr>
          <w:rStyle w:val="highlightedtextChar"/>
          <w:rFonts w:ascii="Arial" w:hAnsi="Arial" w:cs="Arial"/>
          <w:b w:val="0"/>
          <w:color w:val="000000" w:themeColor="text1"/>
          <w:sz w:val="20"/>
          <w:szCs w:val="20"/>
        </w:rPr>
        <w:t xml:space="preserve"> and expectations in relation to the opportunity.</w:t>
      </w:r>
    </w:p>
    <w:p w14:paraId="3765A6BE" w14:textId="257CEFF3" w:rsidR="00D3694B" w:rsidRPr="00464604" w:rsidRDefault="00D3694B">
      <w:pPr>
        <w:pStyle w:val="ListBullet"/>
        <w:numPr>
          <w:ilvl w:val="0"/>
          <w:numId w:val="0"/>
        </w:numPr>
        <w:rPr>
          <w:rStyle w:val="highlightedtextChar"/>
          <w:rFonts w:ascii="Arial" w:hAnsi="Arial" w:cs="Arial"/>
          <w:b w:val="0"/>
          <w:iCs w:val="0"/>
          <w:color w:val="000000" w:themeColor="text1"/>
          <w:sz w:val="20"/>
          <w:szCs w:val="20"/>
        </w:rPr>
      </w:pPr>
      <w:proofErr w:type="gramStart"/>
      <w:r w:rsidRPr="00464604">
        <w:rPr>
          <w:rStyle w:val="highlightedtextChar"/>
          <w:rFonts w:ascii="Arial" w:hAnsi="Arial" w:cs="Arial"/>
          <w:b w:val="0"/>
          <w:color w:val="000000" w:themeColor="text1"/>
          <w:sz w:val="20"/>
          <w:szCs w:val="20"/>
        </w:rPr>
        <w:t xml:space="preserve">This grant opportunity and process will be administered by the </w:t>
      </w:r>
      <w:r w:rsidRPr="00BD0104">
        <w:rPr>
          <w:rStyle w:val="highlightedtextChar"/>
          <w:rFonts w:ascii="Arial" w:hAnsi="Arial" w:cs="Arial"/>
          <w:b w:val="0"/>
          <w:color w:val="000000" w:themeColor="text1"/>
          <w:sz w:val="20"/>
          <w:szCs w:val="20"/>
        </w:rPr>
        <w:t>Community Grants Hub</w:t>
      </w:r>
      <w:r w:rsidRPr="00464604">
        <w:rPr>
          <w:rStyle w:val="highlightedtextChar"/>
          <w:rFonts w:ascii="Arial" w:hAnsi="Arial" w:cs="Arial"/>
          <w:b w:val="0"/>
          <w:color w:val="000000" w:themeColor="text1"/>
          <w:sz w:val="20"/>
          <w:szCs w:val="20"/>
        </w:rPr>
        <w:t xml:space="preserve"> on behalf of </w:t>
      </w:r>
      <w:r w:rsidRPr="008072B2">
        <w:rPr>
          <w:rStyle w:val="highlightedtextChar"/>
          <w:rFonts w:ascii="Arial" w:hAnsi="Arial" w:cs="Arial"/>
          <w:b w:val="0"/>
          <w:color w:val="000000" w:themeColor="text1"/>
          <w:sz w:val="20"/>
          <w:szCs w:val="20"/>
        </w:rPr>
        <w:t xml:space="preserve">the </w:t>
      </w:r>
      <w:r w:rsidR="008878B9" w:rsidRPr="008072B2">
        <w:rPr>
          <w:rStyle w:val="highlightedtextChar"/>
          <w:rFonts w:ascii="Arial" w:hAnsi="Arial" w:cs="Arial"/>
          <w:b w:val="0"/>
          <w:color w:val="000000" w:themeColor="text1"/>
          <w:sz w:val="20"/>
          <w:szCs w:val="20"/>
        </w:rPr>
        <w:t>Department of Agriculture</w:t>
      </w:r>
      <w:r w:rsidR="00221667">
        <w:rPr>
          <w:rStyle w:val="highlightedtextChar"/>
          <w:rFonts w:ascii="Arial" w:hAnsi="Arial" w:cs="Arial"/>
          <w:b w:val="0"/>
          <w:color w:val="000000" w:themeColor="text1"/>
          <w:sz w:val="20"/>
          <w:szCs w:val="20"/>
        </w:rPr>
        <w:t xml:space="preserve"> (the department)</w:t>
      </w:r>
      <w:proofErr w:type="gramEnd"/>
      <w:r w:rsidR="008878B9" w:rsidRPr="00464604">
        <w:rPr>
          <w:rStyle w:val="highlightedtextChar"/>
          <w:rFonts w:ascii="Arial" w:hAnsi="Arial" w:cs="Arial"/>
          <w:b w:val="0"/>
          <w:color w:val="000000" w:themeColor="text1"/>
          <w:sz w:val="20"/>
          <w:szCs w:val="20"/>
        </w:rPr>
        <w:t>.</w:t>
      </w:r>
    </w:p>
    <w:p w14:paraId="51BA9EC4" w14:textId="77777777" w:rsidR="00907078" w:rsidRPr="00F40BDA" w:rsidRDefault="005C7B4A" w:rsidP="009668F6">
      <w:pPr>
        <w:pStyle w:val="Heading2"/>
      </w:pPr>
      <w:bookmarkStart w:id="5" w:name="_Toc17703999"/>
      <w:r>
        <w:t xml:space="preserve">About the </w:t>
      </w:r>
      <w:r w:rsidR="00FE6C6F">
        <w:t>g</w:t>
      </w:r>
      <w:r>
        <w:t xml:space="preserve">rant </w:t>
      </w:r>
      <w:r w:rsidR="00FE6C6F">
        <w:t>p</w:t>
      </w:r>
      <w:r w:rsidR="00EB5DA7">
        <w:t>rogram</w:t>
      </w:r>
      <w:bookmarkEnd w:id="5"/>
    </w:p>
    <w:p w14:paraId="7F699393" w14:textId="2124F82B" w:rsidR="00022A7F" w:rsidRPr="002E1351" w:rsidRDefault="00022A7F" w:rsidP="00022A7F">
      <w:pPr>
        <w:rPr>
          <w:rFonts w:cs="Arial"/>
          <w:color w:val="000000" w:themeColor="text1"/>
        </w:rPr>
      </w:pPr>
      <w:r w:rsidRPr="00B10CE0">
        <w:rPr>
          <w:color w:val="000000" w:themeColor="text1"/>
        </w:rPr>
        <w:t xml:space="preserve">The </w:t>
      </w:r>
      <w:r w:rsidR="00F473DE" w:rsidRPr="00B10CE0">
        <w:rPr>
          <w:rFonts w:cs="Arial"/>
          <w:color w:val="000000" w:themeColor="text1"/>
        </w:rPr>
        <w:t>Murray-Darling Basin Economic Development Program</w:t>
      </w:r>
      <w:r w:rsidRPr="00B10CE0">
        <w:rPr>
          <w:color w:val="000000" w:themeColor="text1"/>
        </w:rPr>
        <w:t xml:space="preserve"> (the </w:t>
      </w:r>
      <w:r w:rsidR="007B4CC0" w:rsidRPr="00B10CE0">
        <w:rPr>
          <w:color w:val="000000" w:themeColor="text1"/>
        </w:rPr>
        <w:t>p</w:t>
      </w:r>
      <w:r w:rsidRPr="00B10CE0">
        <w:rPr>
          <w:color w:val="000000" w:themeColor="text1"/>
        </w:rPr>
        <w:t xml:space="preserve">rogram) will run over </w:t>
      </w:r>
      <w:r w:rsidR="00B06214">
        <w:rPr>
          <w:rStyle w:val="highlightedtextChar"/>
          <w:b w:val="0"/>
          <w:color w:val="000000" w:themeColor="text1"/>
        </w:rPr>
        <w:t>5</w:t>
      </w:r>
      <w:r w:rsidRPr="00B10CE0">
        <w:rPr>
          <w:color w:val="000000" w:themeColor="text1"/>
        </w:rPr>
        <w:t xml:space="preserve"> years from </w:t>
      </w:r>
      <w:r w:rsidR="00F473DE" w:rsidRPr="00B10CE0">
        <w:rPr>
          <w:color w:val="000000" w:themeColor="text1"/>
        </w:rPr>
        <w:t>2</w:t>
      </w:r>
      <w:r w:rsidR="00340BDC">
        <w:rPr>
          <w:color w:val="000000" w:themeColor="text1"/>
        </w:rPr>
        <w:t>0</w:t>
      </w:r>
      <w:r w:rsidR="00B06214">
        <w:rPr>
          <w:color w:val="000000" w:themeColor="text1"/>
        </w:rPr>
        <w:t>18-</w:t>
      </w:r>
      <w:r w:rsidR="00340BDC">
        <w:rPr>
          <w:color w:val="000000" w:themeColor="text1"/>
        </w:rPr>
        <w:t>19 to 20</w:t>
      </w:r>
      <w:r w:rsidR="00B06214">
        <w:rPr>
          <w:color w:val="000000" w:themeColor="text1"/>
        </w:rPr>
        <w:t>22-</w:t>
      </w:r>
      <w:r w:rsidR="00F473DE" w:rsidRPr="002E1351">
        <w:rPr>
          <w:color w:val="000000" w:themeColor="text1"/>
        </w:rPr>
        <w:t>2</w:t>
      </w:r>
      <w:r w:rsidR="00340BDC">
        <w:rPr>
          <w:color w:val="000000" w:themeColor="text1"/>
        </w:rPr>
        <w:t>3</w:t>
      </w:r>
      <w:r w:rsidRPr="002E1351">
        <w:rPr>
          <w:rFonts w:cs="Arial"/>
          <w:color w:val="000000" w:themeColor="text1"/>
        </w:rPr>
        <w:t>.</w:t>
      </w:r>
    </w:p>
    <w:p w14:paraId="104F6E75" w14:textId="18B523D4" w:rsidR="00080BB5" w:rsidRPr="00B10CE0" w:rsidRDefault="00080BB5" w:rsidP="00080BB5">
      <w:pPr>
        <w:rPr>
          <w:rFonts w:cs="Arial"/>
          <w:color w:val="000000" w:themeColor="text1"/>
        </w:rPr>
      </w:pPr>
      <w:r w:rsidRPr="00B10CE0">
        <w:rPr>
          <w:rFonts w:cs="Arial"/>
          <w:color w:val="000000" w:themeColor="text1"/>
        </w:rPr>
        <w:t xml:space="preserve">The program was announced by the then Minister for Agriculture and Water Resources on </w:t>
      </w:r>
      <w:r w:rsidR="008072B2">
        <w:rPr>
          <w:rFonts w:cs="Arial"/>
          <w:color w:val="000000" w:themeColor="text1"/>
        </w:rPr>
        <w:br/>
      </w:r>
      <w:r w:rsidRPr="00B10CE0">
        <w:rPr>
          <w:rFonts w:cs="Arial"/>
          <w:color w:val="000000" w:themeColor="text1"/>
        </w:rPr>
        <w:t xml:space="preserve">7 May 2018, as part of the Basin Plan Commitments Package, to support those communities identified as most impacted by water recovery under the Murray-Darling Basin Plan (the Basin Plan). </w:t>
      </w:r>
      <w:r w:rsidR="00845073" w:rsidRPr="00B10CE0">
        <w:rPr>
          <w:rFonts w:cs="Arial"/>
          <w:color w:val="000000" w:themeColor="text1"/>
        </w:rPr>
        <w:t>The program is part of the Sustainable Rural Water Use and Infrastructure Program (SRWUIP</w:t>
      </w:r>
      <w:r w:rsidR="003F441F" w:rsidRPr="00B10CE0">
        <w:rPr>
          <w:rFonts w:cs="Arial"/>
          <w:color w:val="000000" w:themeColor="text1"/>
        </w:rPr>
        <w:t>), which</w:t>
      </w:r>
      <w:r w:rsidR="00845073" w:rsidRPr="00B10CE0">
        <w:rPr>
          <w:rFonts w:cs="Arial"/>
          <w:color w:val="000000" w:themeColor="text1"/>
        </w:rPr>
        <w:t xml:space="preserve"> also provides funding for a range of water recovery programs.</w:t>
      </w:r>
      <w:r w:rsidR="0034568F" w:rsidRPr="0034568F">
        <w:rPr>
          <w:rFonts w:cs="Arial"/>
          <w:color w:val="000000" w:themeColor="text1"/>
        </w:rPr>
        <w:t xml:space="preserve"> </w:t>
      </w:r>
      <w:r w:rsidR="0034568F" w:rsidRPr="00B10CE0">
        <w:rPr>
          <w:rFonts w:cs="Arial"/>
          <w:color w:val="000000" w:themeColor="text1"/>
        </w:rPr>
        <w:t xml:space="preserve">The </w:t>
      </w:r>
      <w:r w:rsidR="003F441F">
        <w:rPr>
          <w:rFonts w:cs="Arial"/>
          <w:color w:val="000000" w:themeColor="text1"/>
        </w:rPr>
        <w:t>department</w:t>
      </w:r>
      <w:r w:rsidR="0034568F">
        <w:rPr>
          <w:rFonts w:cs="Arial"/>
          <w:color w:val="000000" w:themeColor="text1"/>
        </w:rPr>
        <w:t xml:space="preserve"> </w:t>
      </w:r>
      <w:r w:rsidR="0034568F" w:rsidRPr="00B10CE0">
        <w:rPr>
          <w:rFonts w:cs="Arial"/>
          <w:color w:val="000000" w:themeColor="text1"/>
        </w:rPr>
        <w:t>is responsible for delivering water recovery programs and projects under the Basin Plan.</w:t>
      </w:r>
    </w:p>
    <w:p w14:paraId="524D4250" w14:textId="782C443E" w:rsidR="00080BB5" w:rsidRPr="00B10CE0" w:rsidRDefault="00080BB5" w:rsidP="00080BB5">
      <w:pPr>
        <w:rPr>
          <w:rFonts w:cs="Arial"/>
          <w:color w:val="000000" w:themeColor="text1"/>
        </w:rPr>
      </w:pPr>
      <w:r w:rsidRPr="00B10CE0">
        <w:rPr>
          <w:rFonts w:cs="Arial"/>
          <w:color w:val="000000" w:themeColor="text1"/>
        </w:rPr>
        <w:t xml:space="preserve">The Basin Plan provides an integrated and strategic framework for water reform consistent with the requirements of the </w:t>
      </w:r>
      <w:r w:rsidRPr="00D53DC2">
        <w:rPr>
          <w:rFonts w:cs="Arial"/>
          <w:i/>
          <w:color w:val="000000" w:themeColor="text1"/>
        </w:rPr>
        <w:t>Water Act 2007 (</w:t>
      </w:r>
      <w:proofErr w:type="spellStart"/>
      <w:r w:rsidRPr="00D53DC2">
        <w:rPr>
          <w:rFonts w:cs="Arial"/>
          <w:i/>
          <w:color w:val="000000" w:themeColor="text1"/>
        </w:rPr>
        <w:t>Cth</w:t>
      </w:r>
      <w:proofErr w:type="spellEnd"/>
      <w:r w:rsidRPr="00D53DC2">
        <w:rPr>
          <w:rFonts w:cs="Arial"/>
          <w:i/>
          <w:color w:val="000000" w:themeColor="text1"/>
        </w:rPr>
        <w:t>)</w:t>
      </w:r>
      <w:r w:rsidRPr="00B10CE0">
        <w:rPr>
          <w:rFonts w:cs="Arial"/>
          <w:color w:val="000000" w:themeColor="text1"/>
        </w:rPr>
        <w:t xml:space="preserve"> (the Water Act). </w:t>
      </w:r>
      <w:r w:rsidR="0034568F" w:rsidRPr="00B10CE0">
        <w:rPr>
          <w:rFonts w:cs="Arial"/>
          <w:color w:val="000000" w:themeColor="text1"/>
        </w:rPr>
        <w:t>The Murray-Darling Basin is a complex, diverse and dynamic system. The water resources of the Basin support an irrigated agricultural sector, communities and the environment.</w:t>
      </w:r>
      <w:r w:rsidR="0034568F">
        <w:rPr>
          <w:rFonts w:cs="Arial"/>
          <w:color w:val="000000" w:themeColor="text1"/>
        </w:rPr>
        <w:t xml:space="preserve"> </w:t>
      </w:r>
      <w:r w:rsidRPr="00B10CE0">
        <w:rPr>
          <w:rFonts w:cs="Arial"/>
          <w:color w:val="000000" w:themeColor="text1"/>
        </w:rPr>
        <w:t xml:space="preserve">The Basin Plan aims to find a balance between the water needs of all Basin users to ensure communities, industries, and the environment share a sustainable future. The Basin Plan </w:t>
      </w:r>
      <w:proofErr w:type="gramStart"/>
      <w:r w:rsidRPr="00B10CE0">
        <w:rPr>
          <w:rFonts w:cs="Arial"/>
          <w:color w:val="000000" w:themeColor="text1"/>
        </w:rPr>
        <w:t>was made</w:t>
      </w:r>
      <w:proofErr w:type="gramEnd"/>
      <w:r w:rsidRPr="00B10CE0">
        <w:rPr>
          <w:rFonts w:cs="Arial"/>
          <w:color w:val="000000" w:themeColor="text1"/>
        </w:rPr>
        <w:t xml:space="preserve"> under the </w:t>
      </w:r>
      <w:r w:rsidRPr="00F553E5">
        <w:rPr>
          <w:rFonts w:cs="Arial"/>
          <w:color w:val="000000" w:themeColor="text1"/>
        </w:rPr>
        <w:t>Water Act</w:t>
      </w:r>
      <w:r w:rsidRPr="00B10CE0">
        <w:rPr>
          <w:rFonts w:cs="Arial"/>
          <w:color w:val="000000" w:themeColor="text1"/>
        </w:rPr>
        <w:t xml:space="preserve"> </w:t>
      </w:r>
      <w:r w:rsidR="00F553E5">
        <w:rPr>
          <w:rFonts w:cs="Arial"/>
          <w:color w:val="000000" w:themeColor="text1"/>
        </w:rPr>
        <w:t>and</w:t>
      </w:r>
      <w:r w:rsidR="00F553E5" w:rsidRPr="00B10CE0">
        <w:rPr>
          <w:rFonts w:cs="Arial"/>
          <w:color w:val="000000" w:themeColor="text1"/>
        </w:rPr>
        <w:t xml:space="preserve"> </w:t>
      </w:r>
      <w:r w:rsidRPr="00B10CE0">
        <w:rPr>
          <w:rFonts w:cs="Arial"/>
          <w:color w:val="000000" w:themeColor="text1"/>
        </w:rPr>
        <w:t xml:space="preserve">was passed by the Federal Parliament with bipartisan support in November 2012, after several years of research and analysis to help achieve the best balance between water users and the environment. </w:t>
      </w:r>
    </w:p>
    <w:p w14:paraId="78F5DFA9" w14:textId="77777777" w:rsidR="00080BB5" w:rsidRPr="00B10CE0" w:rsidRDefault="00080BB5" w:rsidP="00080BB5">
      <w:pPr>
        <w:rPr>
          <w:rFonts w:cs="Arial"/>
          <w:color w:val="000000" w:themeColor="text1"/>
        </w:rPr>
      </w:pPr>
      <w:r w:rsidRPr="00B10CE0">
        <w:rPr>
          <w:rFonts w:cs="Arial"/>
          <w:color w:val="000000" w:themeColor="text1"/>
        </w:rPr>
        <w:t xml:space="preserve">A central feature of the Basin Plan is re-balancing how water </w:t>
      </w:r>
      <w:proofErr w:type="gramStart"/>
      <w:r w:rsidRPr="00B10CE0">
        <w:rPr>
          <w:rFonts w:cs="Arial"/>
          <w:color w:val="000000" w:themeColor="text1"/>
        </w:rPr>
        <w:t>is shared</w:t>
      </w:r>
      <w:proofErr w:type="gramEnd"/>
      <w:r w:rsidRPr="00B10CE0">
        <w:rPr>
          <w:rFonts w:cs="Arial"/>
          <w:color w:val="000000" w:themeColor="text1"/>
        </w:rPr>
        <w:t xml:space="preserve"> between consumptive uses and the environment. The transition to the new water sharing arrangements under the Basin Plan is happening over a 12-year period to 2024. Implementing the Basin Plan has resulted in some social and economic impacts arising from the transition to the new water sharing arrangements. </w:t>
      </w:r>
    </w:p>
    <w:p w14:paraId="059899C9" w14:textId="11C4ACFC" w:rsidR="00080BB5" w:rsidRPr="00B10CE0" w:rsidRDefault="00080BB5" w:rsidP="00080BB5">
      <w:pPr>
        <w:rPr>
          <w:rFonts w:cs="Arial"/>
          <w:color w:val="000000" w:themeColor="text1"/>
        </w:rPr>
      </w:pPr>
      <w:r w:rsidRPr="00B10CE0">
        <w:rPr>
          <w:rFonts w:cs="Arial"/>
          <w:color w:val="000000" w:themeColor="text1"/>
        </w:rPr>
        <w:t xml:space="preserve">The </w:t>
      </w:r>
      <w:r w:rsidR="003F441F">
        <w:rPr>
          <w:rFonts w:cs="Arial"/>
          <w:color w:val="000000" w:themeColor="text1"/>
        </w:rPr>
        <w:t>department</w:t>
      </w:r>
      <w:r w:rsidRPr="00B10CE0">
        <w:rPr>
          <w:rFonts w:cs="Arial"/>
          <w:color w:val="000000" w:themeColor="text1"/>
        </w:rPr>
        <w:t xml:space="preserve"> considered a range of information, including research by the Murray-Darling Basin Authority (the MDBA)</w:t>
      </w:r>
      <w:r w:rsidR="00BE7CE0">
        <w:rPr>
          <w:rFonts w:cs="Arial"/>
          <w:color w:val="000000" w:themeColor="text1"/>
        </w:rPr>
        <w:t>,</w:t>
      </w:r>
      <w:r w:rsidRPr="00B10CE0">
        <w:rPr>
          <w:rFonts w:cs="Arial"/>
          <w:color w:val="000000" w:themeColor="text1"/>
        </w:rPr>
        <w:t xml:space="preserve"> to </w:t>
      </w:r>
      <w:r w:rsidR="0034568F">
        <w:rPr>
          <w:rFonts w:cs="Arial"/>
          <w:color w:val="000000" w:themeColor="text1"/>
        </w:rPr>
        <w:t xml:space="preserve">understand the impact of water recovery and to </w:t>
      </w:r>
      <w:r w:rsidRPr="00B10CE0">
        <w:rPr>
          <w:rFonts w:cs="Arial"/>
          <w:color w:val="000000" w:themeColor="text1"/>
        </w:rPr>
        <w:t>identify communities for inclusion in the progr</w:t>
      </w:r>
      <w:r w:rsidR="002D7273">
        <w:rPr>
          <w:rFonts w:cs="Arial"/>
          <w:color w:val="000000" w:themeColor="text1"/>
        </w:rPr>
        <w:t xml:space="preserve">am. The MDBA’s research, the </w:t>
      </w:r>
      <w:hyperlink r:id="rId20" w:history="1">
        <w:r w:rsidR="00F552B9" w:rsidRPr="00F552B9">
          <w:rPr>
            <w:rStyle w:val="Hyperlink"/>
            <w:rFonts w:cs="Arial"/>
          </w:rPr>
          <w:t>2016 Northern Basin Review</w:t>
        </w:r>
      </w:hyperlink>
      <w:r w:rsidRPr="00B10CE0">
        <w:rPr>
          <w:rFonts w:cs="Arial"/>
          <w:color w:val="000000" w:themeColor="text1"/>
        </w:rPr>
        <w:t xml:space="preserve"> and </w:t>
      </w:r>
      <w:hyperlink r:id="rId21" w:history="1">
        <w:r w:rsidRPr="00FE08DF">
          <w:rPr>
            <w:rStyle w:val="Hyperlink"/>
            <w:rFonts w:cs="Arial"/>
          </w:rPr>
          <w:t>2017 Basin Plan Evaluation</w:t>
        </w:r>
      </w:hyperlink>
      <w:r w:rsidR="002D7273">
        <w:rPr>
          <w:rFonts w:cs="Arial"/>
          <w:color w:val="000000" w:themeColor="text1"/>
        </w:rPr>
        <w:t>,</w:t>
      </w:r>
      <w:r w:rsidRPr="00B10CE0">
        <w:rPr>
          <w:rFonts w:cs="Arial"/>
          <w:color w:val="000000" w:themeColor="text1"/>
        </w:rPr>
        <w:t xml:space="preserve"> identified varying degrees of social and economic impacts on Basin communities. </w:t>
      </w:r>
    </w:p>
    <w:p w14:paraId="4A505FED" w14:textId="2D267CB6" w:rsidR="00080BB5" w:rsidRPr="00B10CE0" w:rsidRDefault="00080BB5" w:rsidP="00080BB5">
      <w:pPr>
        <w:rPr>
          <w:rFonts w:cs="Arial"/>
          <w:color w:val="000000" w:themeColor="text1"/>
        </w:rPr>
      </w:pPr>
      <w:r w:rsidRPr="00B10CE0">
        <w:rPr>
          <w:rFonts w:cs="Arial"/>
          <w:color w:val="000000" w:themeColor="text1"/>
        </w:rPr>
        <w:t>The MDBA research considered change to employment with</w:t>
      </w:r>
      <w:r w:rsidR="0034568F">
        <w:rPr>
          <w:rFonts w:cs="Arial"/>
          <w:color w:val="000000" w:themeColor="text1"/>
        </w:rPr>
        <w:t>in</w:t>
      </w:r>
      <w:r w:rsidRPr="00B10CE0">
        <w:rPr>
          <w:rFonts w:cs="Arial"/>
          <w:color w:val="000000" w:themeColor="text1"/>
        </w:rPr>
        <w:t xml:space="preserve"> the context of a number of factors related to Basin Plan water recovery. These include the scale, pace and method of water recovery, the influences of temporary and permanent water trade, the change in employment </w:t>
      </w:r>
      <w:proofErr w:type="gramStart"/>
      <w:r w:rsidRPr="00B10CE0">
        <w:rPr>
          <w:rFonts w:cs="Arial"/>
          <w:color w:val="000000" w:themeColor="text1"/>
        </w:rPr>
        <w:t>as a consequence</w:t>
      </w:r>
      <w:proofErr w:type="gramEnd"/>
      <w:r w:rsidRPr="00B10CE0">
        <w:rPr>
          <w:rFonts w:cs="Arial"/>
          <w:color w:val="000000" w:themeColor="text1"/>
        </w:rPr>
        <w:t xml:space="preserve"> of factors outside the Basin Plan, the size and economic diversity of each community, and whether employment is increasing or decreasing over the time period examined. </w:t>
      </w:r>
      <w:r w:rsidRPr="00B10CE0">
        <w:rPr>
          <w:rFonts w:cs="Arial"/>
          <w:color w:val="000000" w:themeColor="text1"/>
        </w:rPr>
        <w:lastRenderedPageBreak/>
        <w:t>For example, purchasing water entitlements reduces the volume of water available for crop production</w:t>
      </w:r>
      <w:r w:rsidR="002D7273">
        <w:rPr>
          <w:rFonts w:cs="Arial"/>
          <w:color w:val="000000" w:themeColor="text1"/>
        </w:rPr>
        <w:t>,</w:t>
      </w:r>
      <w:r w:rsidRPr="00B10CE0">
        <w:rPr>
          <w:rFonts w:cs="Arial"/>
          <w:color w:val="000000" w:themeColor="text1"/>
        </w:rPr>
        <w:t xml:space="preserve"> and when a large pro</w:t>
      </w:r>
      <w:r w:rsidR="002D7273">
        <w:rPr>
          <w:rFonts w:cs="Arial"/>
          <w:color w:val="000000" w:themeColor="text1"/>
        </w:rPr>
        <w:t xml:space="preserve">portion of water entitlements </w:t>
      </w:r>
      <w:proofErr w:type="gramStart"/>
      <w:r w:rsidR="002D7273">
        <w:rPr>
          <w:rFonts w:cs="Arial"/>
          <w:color w:val="000000" w:themeColor="text1"/>
        </w:rPr>
        <w:t>are</w:t>
      </w:r>
      <w:r w:rsidRPr="00B10CE0">
        <w:rPr>
          <w:rFonts w:cs="Arial"/>
          <w:color w:val="000000" w:themeColor="text1"/>
        </w:rPr>
        <w:t xml:space="preserve"> sold</w:t>
      </w:r>
      <w:proofErr w:type="gramEnd"/>
      <w:r w:rsidRPr="00B10CE0">
        <w:rPr>
          <w:rFonts w:cs="Arial"/>
          <w:color w:val="000000" w:themeColor="text1"/>
        </w:rPr>
        <w:t xml:space="preserve"> in communities with irrigation-dependent economies there can be a substantive direct and indirect impact on jobs. A rapid change in available water entitlements in an irrigation-dependent community </w:t>
      </w:r>
      <w:r w:rsidR="00EA7F54">
        <w:rPr>
          <w:rFonts w:cs="Arial"/>
          <w:color w:val="000000" w:themeColor="text1"/>
        </w:rPr>
        <w:t xml:space="preserve">may </w:t>
      </w:r>
      <w:r w:rsidRPr="00B10CE0">
        <w:rPr>
          <w:rFonts w:cs="Arial"/>
          <w:color w:val="000000" w:themeColor="text1"/>
        </w:rPr>
        <w:t xml:space="preserve">result in a lower ability for local economies to adapt. </w:t>
      </w:r>
    </w:p>
    <w:p w14:paraId="087CF1E0" w14:textId="27B82DDB" w:rsidR="00080BB5" w:rsidRPr="00B10CE0" w:rsidRDefault="00080BB5" w:rsidP="00080BB5">
      <w:pPr>
        <w:rPr>
          <w:rFonts w:cs="Arial"/>
          <w:color w:val="000000" w:themeColor="text1"/>
        </w:rPr>
      </w:pPr>
      <w:r w:rsidRPr="00B10CE0">
        <w:rPr>
          <w:rFonts w:cs="Arial"/>
          <w:color w:val="000000" w:themeColor="text1"/>
        </w:rPr>
        <w:t xml:space="preserve">For Round 1 of the program, the </w:t>
      </w:r>
      <w:r w:rsidR="003F441F">
        <w:rPr>
          <w:rFonts w:cs="Arial"/>
          <w:color w:val="000000" w:themeColor="text1"/>
        </w:rPr>
        <w:t>department</w:t>
      </w:r>
      <w:r w:rsidR="0034568F">
        <w:rPr>
          <w:rFonts w:cs="Arial"/>
          <w:color w:val="000000" w:themeColor="text1"/>
        </w:rPr>
        <w:t xml:space="preserve"> </w:t>
      </w:r>
      <w:r w:rsidRPr="00B10CE0">
        <w:rPr>
          <w:rFonts w:cs="Arial"/>
          <w:color w:val="000000" w:themeColor="text1"/>
        </w:rPr>
        <w:t xml:space="preserve">identified </w:t>
      </w:r>
      <w:r w:rsidR="00D460DF">
        <w:rPr>
          <w:rFonts w:cs="Arial"/>
          <w:color w:val="000000" w:themeColor="text1"/>
        </w:rPr>
        <w:t>14 c</w:t>
      </w:r>
      <w:r w:rsidRPr="00B10CE0">
        <w:rPr>
          <w:rFonts w:cs="Arial"/>
          <w:color w:val="000000" w:themeColor="text1"/>
        </w:rPr>
        <w:t xml:space="preserve">ommunities in the Basin eligible for </w:t>
      </w:r>
      <w:r w:rsidR="002D7273">
        <w:rPr>
          <w:rFonts w:cs="Arial"/>
          <w:color w:val="000000" w:themeColor="text1"/>
        </w:rPr>
        <w:t xml:space="preserve">priority </w:t>
      </w:r>
      <w:r w:rsidRPr="00B10CE0">
        <w:rPr>
          <w:rFonts w:cs="Arial"/>
          <w:color w:val="000000" w:themeColor="text1"/>
        </w:rPr>
        <w:t xml:space="preserve">funding support because those communities were the </w:t>
      </w:r>
      <w:r w:rsidR="00D53DC2">
        <w:rPr>
          <w:rFonts w:cs="Arial"/>
          <w:color w:val="000000" w:themeColor="text1"/>
        </w:rPr>
        <w:t>‘</w:t>
      </w:r>
      <w:r w:rsidRPr="00B10CE0">
        <w:rPr>
          <w:rFonts w:cs="Arial"/>
          <w:color w:val="000000" w:themeColor="text1"/>
        </w:rPr>
        <w:t>most impacted</w:t>
      </w:r>
      <w:r w:rsidR="00D53DC2">
        <w:rPr>
          <w:rFonts w:cs="Arial"/>
          <w:color w:val="000000" w:themeColor="text1"/>
        </w:rPr>
        <w:t>’</w:t>
      </w:r>
      <w:r w:rsidRPr="00B10CE0">
        <w:rPr>
          <w:rFonts w:cs="Arial"/>
          <w:color w:val="000000" w:themeColor="text1"/>
        </w:rPr>
        <w:t xml:space="preserve"> by water recovery activities under the Basin Plan. The </w:t>
      </w:r>
      <w:r w:rsidR="003F441F">
        <w:rPr>
          <w:rFonts w:cs="Arial"/>
          <w:color w:val="000000" w:themeColor="text1"/>
        </w:rPr>
        <w:t xml:space="preserve">department </w:t>
      </w:r>
      <w:r w:rsidRPr="00B10CE0">
        <w:rPr>
          <w:rFonts w:cs="Arial"/>
          <w:color w:val="000000" w:themeColor="text1"/>
        </w:rPr>
        <w:t xml:space="preserve">also identified the community of Cunnamulla as eligible for support due to water recovery as well as its remote and rural nature as specified in the Basin commitments package. </w:t>
      </w:r>
      <w:r w:rsidR="001C5CA8" w:rsidRPr="00B10CE0">
        <w:rPr>
          <w:rFonts w:cs="Arial"/>
          <w:color w:val="000000" w:themeColor="text1"/>
        </w:rPr>
        <w:t>The communities eligible for funding under Round 1 of the program are not eligible for funding in Round 2.</w:t>
      </w:r>
    </w:p>
    <w:p w14:paraId="3D3DA51F" w14:textId="552EA9D6" w:rsidR="00F553E5" w:rsidRDefault="00080BB5" w:rsidP="00080BB5">
      <w:pPr>
        <w:rPr>
          <w:rFonts w:cs="Arial"/>
          <w:color w:val="000000" w:themeColor="text1"/>
        </w:rPr>
      </w:pPr>
      <w:r w:rsidRPr="00B10CE0">
        <w:rPr>
          <w:rFonts w:cs="Arial"/>
          <w:color w:val="000000" w:themeColor="text1"/>
        </w:rPr>
        <w:t xml:space="preserve">The </w:t>
      </w:r>
      <w:r w:rsidR="003F441F">
        <w:rPr>
          <w:rFonts w:cs="Arial"/>
          <w:color w:val="000000" w:themeColor="text1"/>
        </w:rPr>
        <w:t xml:space="preserve">department </w:t>
      </w:r>
      <w:r w:rsidRPr="00B10CE0">
        <w:rPr>
          <w:rFonts w:cs="Arial"/>
          <w:color w:val="000000" w:themeColor="text1"/>
        </w:rPr>
        <w:t>identified 31 communities for inclusion in Round 2 of the program using</w:t>
      </w:r>
      <w:r w:rsidR="00A96927">
        <w:rPr>
          <w:rFonts w:cs="Arial"/>
          <w:color w:val="000000" w:themeColor="text1"/>
        </w:rPr>
        <w:t xml:space="preserve"> a number of methods, including</w:t>
      </w:r>
      <w:r w:rsidRPr="00B10CE0">
        <w:rPr>
          <w:rFonts w:cs="Arial"/>
          <w:color w:val="000000" w:themeColor="text1"/>
        </w:rPr>
        <w:t xml:space="preserve"> </w:t>
      </w:r>
      <w:r w:rsidR="00A96927">
        <w:rPr>
          <w:rFonts w:cs="Arial"/>
          <w:color w:val="000000" w:themeColor="text1"/>
        </w:rPr>
        <w:t>the MDBA research on the impacts of water recovery and the identification of communities</w:t>
      </w:r>
      <w:r w:rsidRPr="00B10CE0">
        <w:rPr>
          <w:rFonts w:cs="Arial"/>
          <w:color w:val="000000" w:themeColor="text1"/>
        </w:rPr>
        <w:t xml:space="preserve">. </w:t>
      </w:r>
      <w:r w:rsidR="0034568F" w:rsidRPr="00B10CE0">
        <w:rPr>
          <w:rFonts w:cs="Arial"/>
          <w:color w:val="000000" w:themeColor="text1"/>
        </w:rPr>
        <w:t xml:space="preserve">Applicants should note that the community boundaries are not the same as local government </w:t>
      </w:r>
      <w:r w:rsidR="0037100C">
        <w:rPr>
          <w:rFonts w:cs="Arial"/>
          <w:color w:val="000000" w:themeColor="text1"/>
        </w:rPr>
        <w:t xml:space="preserve">area </w:t>
      </w:r>
      <w:r w:rsidR="0034568F" w:rsidRPr="00B10CE0">
        <w:rPr>
          <w:rFonts w:cs="Arial"/>
          <w:color w:val="000000" w:themeColor="text1"/>
        </w:rPr>
        <w:t>boundaries.</w:t>
      </w:r>
      <w:r w:rsidR="0034568F">
        <w:rPr>
          <w:rFonts w:cs="Arial"/>
          <w:color w:val="000000" w:themeColor="text1"/>
        </w:rPr>
        <w:t xml:space="preserve"> </w:t>
      </w:r>
      <w:r w:rsidRPr="00B10CE0">
        <w:rPr>
          <w:rFonts w:cs="Arial"/>
          <w:color w:val="000000" w:themeColor="text1"/>
        </w:rPr>
        <w:t>The communities included in Round 2 include all the communities</w:t>
      </w:r>
      <w:r w:rsidR="00D460DF">
        <w:rPr>
          <w:rFonts w:cs="Arial"/>
          <w:color w:val="000000" w:themeColor="text1"/>
        </w:rPr>
        <w:t xml:space="preserve"> assessed by the MDBA as</w:t>
      </w:r>
      <w:r w:rsidRPr="00B10CE0">
        <w:rPr>
          <w:rFonts w:cs="Arial"/>
          <w:color w:val="000000" w:themeColor="text1"/>
        </w:rPr>
        <w:t xml:space="preserve"> ‘moderately’ impacted by water recovery under the Basin Plan. These include</w:t>
      </w:r>
      <w:r w:rsidR="00301E23">
        <w:rPr>
          <w:rFonts w:cs="Arial"/>
          <w:color w:val="000000" w:themeColor="text1"/>
        </w:rPr>
        <w:t>:</w:t>
      </w:r>
      <w:r w:rsidRPr="00B10CE0">
        <w:rPr>
          <w:rFonts w:cs="Arial"/>
          <w:color w:val="000000" w:themeColor="text1"/>
        </w:rPr>
        <w:t xml:space="preserve"> </w:t>
      </w:r>
    </w:p>
    <w:p w14:paraId="33104291" w14:textId="25774C9A" w:rsidR="00F553E5" w:rsidRDefault="00080BB5" w:rsidP="00A52D97">
      <w:pPr>
        <w:pStyle w:val="ListParagraph"/>
        <w:numPr>
          <w:ilvl w:val="0"/>
          <w:numId w:val="50"/>
        </w:numPr>
        <w:rPr>
          <w:rFonts w:cs="Arial"/>
          <w:color w:val="000000" w:themeColor="text1"/>
        </w:rPr>
      </w:pPr>
      <w:r w:rsidRPr="00A52D97">
        <w:rPr>
          <w:rFonts w:cs="Arial"/>
          <w:color w:val="000000" w:themeColor="text1"/>
        </w:rPr>
        <w:t xml:space="preserve">Bourke, </w:t>
      </w:r>
      <w:proofErr w:type="spellStart"/>
      <w:r w:rsidRPr="00A52D97">
        <w:rPr>
          <w:rFonts w:cs="Arial"/>
          <w:color w:val="000000" w:themeColor="text1"/>
        </w:rPr>
        <w:t>Coomealla</w:t>
      </w:r>
      <w:proofErr w:type="spellEnd"/>
      <w:r w:rsidRPr="00A52D97">
        <w:rPr>
          <w:rFonts w:cs="Arial"/>
          <w:color w:val="000000" w:themeColor="text1"/>
        </w:rPr>
        <w:t xml:space="preserve">, </w:t>
      </w:r>
      <w:proofErr w:type="spellStart"/>
      <w:r w:rsidRPr="00A52D97">
        <w:rPr>
          <w:rFonts w:cs="Arial"/>
          <w:color w:val="000000" w:themeColor="text1"/>
        </w:rPr>
        <w:t>Deniboota</w:t>
      </w:r>
      <w:proofErr w:type="spellEnd"/>
      <w:r w:rsidRPr="00A52D97">
        <w:rPr>
          <w:rFonts w:cs="Arial"/>
          <w:color w:val="000000" w:themeColor="text1"/>
        </w:rPr>
        <w:t xml:space="preserve">, </w:t>
      </w:r>
      <w:proofErr w:type="spellStart"/>
      <w:r w:rsidRPr="00A52D97">
        <w:rPr>
          <w:rFonts w:cs="Arial"/>
          <w:color w:val="000000" w:themeColor="text1"/>
        </w:rPr>
        <w:t>Denimein</w:t>
      </w:r>
      <w:proofErr w:type="spellEnd"/>
      <w:r w:rsidRPr="00A52D97">
        <w:rPr>
          <w:rFonts w:cs="Arial"/>
          <w:color w:val="000000" w:themeColor="text1"/>
        </w:rPr>
        <w:t xml:space="preserve">, Hay, Narromine, Moree, Trangie, Wee Waa, Wentworth (Pooncarie) and West </w:t>
      </w:r>
      <w:proofErr w:type="spellStart"/>
      <w:r w:rsidRPr="00A52D97">
        <w:rPr>
          <w:rFonts w:cs="Arial"/>
          <w:color w:val="000000" w:themeColor="text1"/>
        </w:rPr>
        <w:t>Berriquin</w:t>
      </w:r>
      <w:proofErr w:type="spellEnd"/>
      <w:r w:rsidRPr="00A52D97">
        <w:rPr>
          <w:rFonts w:cs="Arial"/>
          <w:color w:val="000000" w:themeColor="text1"/>
        </w:rPr>
        <w:t xml:space="preserve"> in </w:t>
      </w:r>
      <w:r w:rsidR="00F553E5">
        <w:rPr>
          <w:rFonts w:cs="Arial"/>
          <w:color w:val="000000" w:themeColor="text1"/>
        </w:rPr>
        <w:t>New South Wales</w:t>
      </w:r>
    </w:p>
    <w:p w14:paraId="5C27CC89" w14:textId="6512EBBC" w:rsidR="00F553E5" w:rsidRDefault="00080BB5" w:rsidP="00A52D97">
      <w:pPr>
        <w:pStyle w:val="ListParagraph"/>
        <w:numPr>
          <w:ilvl w:val="0"/>
          <w:numId w:val="50"/>
        </w:numPr>
        <w:rPr>
          <w:rFonts w:cs="Arial"/>
          <w:color w:val="000000" w:themeColor="text1"/>
        </w:rPr>
      </w:pPr>
      <w:r w:rsidRPr="00A52D97">
        <w:rPr>
          <w:rFonts w:cs="Arial"/>
          <w:color w:val="000000" w:themeColor="text1"/>
        </w:rPr>
        <w:t xml:space="preserve">Cullulleraine, Kerang-Cohuna and Swan Hill in </w:t>
      </w:r>
      <w:r w:rsidR="00F553E5">
        <w:rPr>
          <w:rFonts w:cs="Arial"/>
          <w:color w:val="000000" w:themeColor="text1"/>
        </w:rPr>
        <w:t>New South Wales</w:t>
      </w:r>
      <w:r w:rsidR="000E4DB9">
        <w:rPr>
          <w:rFonts w:cs="Arial"/>
          <w:color w:val="000000" w:themeColor="text1"/>
        </w:rPr>
        <w:t>/</w:t>
      </w:r>
      <w:r w:rsidRPr="00A52D97">
        <w:rPr>
          <w:rFonts w:cs="Arial"/>
          <w:color w:val="000000" w:themeColor="text1"/>
        </w:rPr>
        <w:t>Victoria</w:t>
      </w:r>
    </w:p>
    <w:p w14:paraId="06CF415E" w14:textId="7390A45B" w:rsidR="00F553E5" w:rsidRDefault="00080BB5" w:rsidP="00A52D97">
      <w:pPr>
        <w:pStyle w:val="ListParagraph"/>
        <w:numPr>
          <w:ilvl w:val="0"/>
          <w:numId w:val="50"/>
        </w:numPr>
        <w:rPr>
          <w:rFonts w:cs="Arial"/>
          <w:color w:val="000000" w:themeColor="text1"/>
        </w:rPr>
      </w:pPr>
      <w:r w:rsidRPr="00A52D97">
        <w:rPr>
          <w:rFonts w:cs="Arial"/>
          <w:color w:val="000000" w:themeColor="text1"/>
        </w:rPr>
        <w:t>Cobram, Kyabram-Tatura, Mildura, Pyramid Hill-Boort and Shepparton Irrigation Area in Victoria</w:t>
      </w:r>
    </w:p>
    <w:p w14:paraId="3C57CBA2" w14:textId="6FF0E006" w:rsidR="00080BB5" w:rsidRPr="00A52D97" w:rsidRDefault="00080BB5" w:rsidP="00A52D97">
      <w:pPr>
        <w:pStyle w:val="ListParagraph"/>
        <w:numPr>
          <w:ilvl w:val="0"/>
          <w:numId w:val="50"/>
        </w:numPr>
        <w:rPr>
          <w:rFonts w:cs="Arial"/>
          <w:color w:val="000000" w:themeColor="text1"/>
        </w:rPr>
      </w:pPr>
      <w:r w:rsidRPr="00A52D97">
        <w:rPr>
          <w:rFonts w:cs="Arial"/>
          <w:color w:val="000000" w:themeColor="text1"/>
        </w:rPr>
        <w:t>Mannum, Murray Bridge, Tailem Bend and Waikerie</w:t>
      </w:r>
      <w:r w:rsidR="001C5CA8" w:rsidRPr="00A52D97">
        <w:rPr>
          <w:rFonts w:cs="Arial"/>
          <w:color w:val="000000" w:themeColor="text1"/>
        </w:rPr>
        <w:t xml:space="preserve"> in South Australia</w:t>
      </w:r>
      <w:r w:rsidRPr="00A52D97">
        <w:rPr>
          <w:rFonts w:cs="Arial"/>
          <w:color w:val="000000" w:themeColor="text1"/>
        </w:rPr>
        <w:t>.</w:t>
      </w:r>
    </w:p>
    <w:p w14:paraId="50182417" w14:textId="388B2729" w:rsidR="00F4165A" w:rsidRDefault="00080BB5" w:rsidP="00080BB5">
      <w:pPr>
        <w:rPr>
          <w:rFonts w:cs="Arial"/>
          <w:color w:val="000000" w:themeColor="text1"/>
        </w:rPr>
      </w:pPr>
      <w:r w:rsidRPr="00B10CE0">
        <w:rPr>
          <w:rFonts w:cs="Arial"/>
          <w:color w:val="000000" w:themeColor="text1"/>
        </w:rPr>
        <w:t xml:space="preserve">Other communities in Round 2 </w:t>
      </w:r>
      <w:r w:rsidR="00D460DF">
        <w:rPr>
          <w:rFonts w:cs="Arial"/>
          <w:color w:val="000000" w:themeColor="text1"/>
        </w:rPr>
        <w:t>are included due to</w:t>
      </w:r>
      <w:r w:rsidRPr="00B10CE0">
        <w:rPr>
          <w:rFonts w:cs="Arial"/>
          <w:color w:val="000000" w:themeColor="text1"/>
        </w:rPr>
        <w:t xml:space="preserve"> the proposed acquisition of </w:t>
      </w:r>
      <w:r w:rsidR="00EA7F54">
        <w:rPr>
          <w:rFonts w:cs="Arial"/>
          <w:color w:val="000000" w:themeColor="text1"/>
        </w:rPr>
        <w:t xml:space="preserve">water entitlements </w:t>
      </w:r>
      <w:r w:rsidRPr="00B10CE0">
        <w:rPr>
          <w:rFonts w:cs="Arial"/>
          <w:color w:val="000000" w:themeColor="text1"/>
        </w:rPr>
        <w:t>in the Lower Darling and Barwon-Darling</w:t>
      </w:r>
      <w:r w:rsidR="00EA7F54">
        <w:rPr>
          <w:rFonts w:cs="Arial"/>
          <w:color w:val="000000" w:themeColor="text1"/>
        </w:rPr>
        <w:t xml:space="preserve">, including </w:t>
      </w:r>
      <w:r w:rsidR="00EA7F54" w:rsidRPr="00B10CE0">
        <w:rPr>
          <w:rFonts w:cs="Arial"/>
          <w:color w:val="000000" w:themeColor="text1"/>
        </w:rPr>
        <w:t>A Class licences</w:t>
      </w:r>
      <w:r w:rsidRPr="00B10CE0">
        <w:rPr>
          <w:rFonts w:cs="Arial"/>
          <w:color w:val="000000" w:themeColor="text1"/>
        </w:rPr>
        <w:t>. Th</w:t>
      </w:r>
      <w:r w:rsidR="00F4165A">
        <w:rPr>
          <w:rFonts w:cs="Arial"/>
          <w:color w:val="000000" w:themeColor="text1"/>
        </w:rPr>
        <w:t>ese acquisitions are</w:t>
      </w:r>
      <w:r w:rsidRPr="00B10CE0">
        <w:rPr>
          <w:rFonts w:cs="Arial"/>
          <w:color w:val="000000" w:themeColor="text1"/>
        </w:rPr>
        <w:t xml:space="preserve"> part of the Australian Government’s response to the </w:t>
      </w:r>
      <w:r w:rsidR="00F4165A" w:rsidRPr="00F4165A">
        <w:rPr>
          <w:rFonts w:cs="Arial"/>
          <w:i/>
          <w:color w:val="000000" w:themeColor="text1"/>
        </w:rPr>
        <w:t>Independent assessment of the 2018-19 fish deaths in the lower Darling</w:t>
      </w:r>
      <w:r w:rsidR="00F4165A">
        <w:rPr>
          <w:rFonts w:cs="Arial"/>
          <w:i/>
          <w:color w:val="000000" w:themeColor="text1"/>
        </w:rPr>
        <w:t xml:space="preserve"> </w:t>
      </w:r>
      <w:r w:rsidR="003227FA">
        <w:rPr>
          <w:rFonts w:cs="Arial"/>
          <w:i/>
          <w:color w:val="000000" w:themeColor="text1"/>
        </w:rPr>
        <w:t xml:space="preserve">Final Report </w:t>
      </w:r>
      <w:r w:rsidR="00F4165A" w:rsidRPr="00F4165A">
        <w:rPr>
          <w:rFonts w:cs="Arial"/>
          <w:color w:val="000000" w:themeColor="text1"/>
        </w:rPr>
        <w:t xml:space="preserve">and </w:t>
      </w:r>
      <w:proofErr w:type="gramStart"/>
      <w:r w:rsidR="00F4165A" w:rsidRPr="00F4165A">
        <w:rPr>
          <w:rFonts w:cs="Arial"/>
          <w:color w:val="000000" w:themeColor="text1"/>
        </w:rPr>
        <w:t>are expected</w:t>
      </w:r>
      <w:proofErr w:type="gramEnd"/>
      <w:r w:rsidR="00F4165A" w:rsidRPr="00F4165A">
        <w:rPr>
          <w:rFonts w:cs="Arial"/>
          <w:color w:val="000000" w:themeColor="text1"/>
        </w:rPr>
        <w:t xml:space="preserve"> to have some impact on communities in the region. </w:t>
      </w:r>
      <w:r w:rsidRPr="00B10CE0">
        <w:rPr>
          <w:rFonts w:cs="Arial"/>
          <w:color w:val="000000" w:themeColor="text1"/>
        </w:rPr>
        <w:t>The additional communities included are</w:t>
      </w:r>
      <w:r w:rsidR="00F4165A">
        <w:rPr>
          <w:rFonts w:cs="Arial"/>
          <w:color w:val="000000" w:themeColor="text1"/>
        </w:rPr>
        <w:t>:</w:t>
      </w:r>
    </w:p>
    <w:p w14:paraId="7E95469A" w14:textId="6ED4066E" w:rsidR="00F4165A" w:rsidRDefault="00080BB5" w:rsidP="00F4165A">
      <w:pPr>
        <w:pStyle w:val="ListParagraph"/>
        <w:numPr>
          <w:ilvl w:val="0"/>
          <w:numId w:val="50"/>
        </w:numPr>
        <w:rPr>
          <w:rFonts w:cs="Arial"/>
          <w:color w:val="000000" w:themeColor="text1"/>
        </w:rPr>
      </w:pPr>
      <w:r w:rsidRPr="00B10CE0">
        <w:rPr>
          <w:rFonts w:cs="Arial"/>
          <w:color w:val="000000" w:themeColor="text1"/>
        </w:rPr>
        <w:t xml:space="preserve">Menindee, Wilcannia, Brewarrina and Walgett in </w:t>
      </w:r>
      <w:r w:rsidR="0087522E">
        <w:rPr>
          <w:rFonts w:cs="Arial"/>
          <w:color w:val="000000" w:themeColor="text1"/>
        </w:rPr>
        <w:t>New South Wales</w:t>
      </w:r>
      <w:r w:rsidRPr="00B10CE0">
        <w:rPr>
          <w:rFonts w:cs="Arial"/>
          <w:color w:val="000000" w:themeColor="text1"/>
        </w:rPr>
        <w:t xml:space="preserve"> </w:t>
      </w:r>
    </w:p>
    <w:p w14:paraId="0F2BD49B" w14:textId="581B6CD7" w:rsidR="00080BB5" w:rsidRPr="00B10CE0" w:rsidRDefault="00080BB5" w:rsidP="00F4165A">
      <w:pPr>
        <w:pStyle w:val="ListParagraph"/>
        <w:numPr>
          <w:ilvl w:val="0"/>
          <w:numId w:val="50"/>
        </w:numPr>
        <w:rPr>
          <w:rFonts w:cs="Arial"/>
          <w:color w:val="000000" w:themeColor="text1"/>
        </w:rPr>
      </w:pPr>
      <w:r w:rsidRPr="00B10CE0">
        <w:rPr>
          <w:rFonts w:cs="Arial"/>
          <w:color w:val="000000" w:themeColor="text1"/>
        </w:rPr>
        <w:t>Mungindi in Queensland</w:t>
      </w:r>
      <w:r w:rsidR="00F4165A">
        <w:rPr>
          <w:rFonts w:cs="Arial"/>
          <w:color w:val="000000" w:themeColor="text1"/>
        </w:rPr>
        <w:t>/</w:t>
      </w:r>
      <w:r w:rsidR="006A12C0">
        <w:rPr>
          <w:rFonts w:cs="Arial"/>
          <w:color w:val="000000" w:themeColor="text1"/>
        </w:rPr>
        <w:t>New South Wales</w:t>
      </w:r>
      <w:r w:rsidRPr="00B10CE0">
        <w:rPr>
          <w:rFonts w:cs="Arial"/>
          <w:color w:val="000000" w:themeColor="text1"/>
        </w:rPr>
        <w:t xml:space="preserve">. </w:t>
      </w:r>
    </w:p>
    <w:p w14:paraId="6251E213" w14:textId="31E836A2" w:rsidR="00F4165A" w:rsidRDefault="00080BB5" w:rsidP="00080BB5">
      <w:pPr>
        <w:rPr>
          <w:rFonts w:cs="Arial"/>
          <w:color w:val="000000" w:themeColor="text1"/>
        </w:rPr>
      </w:pPr>
      <w:r w:rsidRPr="00B10CE0">
        <w:rPr>
          <w:rFonts w:cs="Arial"/>
          <w:color w:val="000000" w:themeColor="text1"/>
        </w:rPr>
        <w:t xml:space="preserve">In addition, </w:t>
      </w:r>
      <w:r w:rsidR="00F4165A">
        <w:rPr>
          <w:rFonts w:cs="Arial"/>
          <w:color w:val="000000" w:themeColor="text1"/>
        </w:rPr>
        <w:t xml:space="preserve">three communities </w:t>
      </w:r>
      <w:r w:rsidR="00A96927">
        <w:rPr>
          <w:rFonts w:cs="Arial"/>
          <w:color w:val="000000" w:themeColor="text1"/>
        </w:rPr>
        <w:t>assessed by the MDBA as</w:t>
      </w:r>
      <w:r w:rsidR="00A96927" w:rsidRPr="00B10CE0">
        <w:rPr>
          <w:rFonts w:cs="Arial"/>
          <w:color w:val="000000" w:themeColor="text1"/>
        </w:rPr>
        <w:t xml:space="preserve"> </w:t>
      </w:r>
      <w:r w:rsidR="00A96927">
        <w:rPr>
          <w:rFonts w:cs="Arial"/>
          <w:color w:val="000000" w:themeColor="text1"/>
        </w:rPr>
        <w:t>experiencing</w:t>
      </w:r>
      <w:r w:rsidR="00A96927" w:rsidRPr="00B10CE0">
        <w:rPr>
          <w:rFonts w:cs="Arial"/>
          <w:color w:val="000000" w:themeColor="text1"/>
        </w:rPr>
        <w:t xml:space="preserve"> </w:t>
      </w:r>
      <w:r w:rsidR="00A96927">
        <w:rPr>
          <w:rFonts w:cs="Arial"/>
          <w:color w:val="000000" w:themeColor="text1"/>
        </w:rPr>
        <w:t>‘</w:t>
      </w:r>
      <w:r w:rsidR="00A96927" w:rsidRPr="00B10CE0">
        <w:rPr>
          <w:rFonts w:cs="Arial"/>
          <w:color w:val="000000" w:themeColor="text1"/>
        </w:rPr>
        <w:t>small impacts</w:t>
      </w:r>
      <w:r w:rsidR="00A96927">
        <w:rPr>
          <w:rFonts w:cs="Arial"/>
          <w:color w:val="000000" w:themeColor="text1"/>
        </w:rPr>
        <w:t>’</w:t>
      </w:r>
      <w:r w:rsidR="00A96927" w:rsidRPr="00B10CE0">
        <w:rPr>
          <w:rFonts w:cs="Arial"/>
          <w:color w:val="000000" w:themeColor="text1"/>
        </w:rPr>
        <w:t xml:space="preserve"> from water recovery under the Basin Plan</w:t>
      </w:r>
      <w:r w:rsidR="00A96927">
        <w:rPr>
          <w:rFonts w:cs="Arial"/>
          <w:color w:val="000000" w:themeColor="text1"/>
        </w:rPr>
        <w:t xml:space="preserve"> </w:t>
      </w:r>
      <w:r w:rsidR="00F4165A">
        <w:rPr>
          <w:rFonts w:cs="Arial"/>
          <w:color w:val="000000" w:themeColor="text1"/>
        </w:rPr>
        <w:t>have been</w:t>
      </w:r>
      <w:r w:rsidR="00F4165A" w:rsidRPr="00F4165A">
        <w:rPr>
          <w:rFonts w:cs="Arial"/>
          <w:color w:val="000000" w:themeColor="text1"/>
        </w:rPr>
        <w:t xml:space="preserve"> </w:t>
      </w:r>
      <w:r w:rsidR="00F4165A" w:rsidRPr="00B10CE0">
        <w:rPr>
          <w:rFonts w:cs="Arial"/>
          <w:color w:val="000000" w:themeColor="text1"/>
        </w:rPr>
        <w:t>included due to election commitments</w:t>
      </w:r>
      <w:r w:rsidR="00F4165A">
        <w:rPr>
          <w:rFonts w:cs="Arial"/>
          <w:color w:val="000000" w:themeColor="text1"/>
        </w:rPr>
        <w:t>. They are:</w:t>
      </w:r>
    </w:p>
    <w:p w14:paraId="31868949" w14:textId="17E04F85" w:rsidR="00F4165A" w:rsidRDefault="00080BB5" w:rsidP="00F4165A">
      <w:pPr>
        <w:pStyle w:val="ListParagraph"/>
        <w:numPr>
          <w:ilvl w:val="0"/>
          <w:numId w:val="50"/>
        </w:numPr>
        <w:rPr>
          <w:rFonts w:cs="Arial"/>
          <w:color w:val="000000" w:themeColor="text1"/>
        </w:rPr>
      </w:pPr>
      <w:r w:rsidRPr="00B10CE0">
        <w:rPr>
          <w:rFonts w:cs="Arial"/>
          <w:color w:val="000000" w:themeColor="text1"/>
        </w:rPr>
        <w:t xml:space="preserve">Berrigan-Finley in </w:t>
      </w:r>
      <w:r w:rsidR="00301E23">
        <w:rPr>
          <w:rFonts w:cs="Arial"/>
          <w:color w:val="000000" w:themeColor="text1"/>
        </w:rPr>
        <w:t>New South Wales</w:t>
      </w:r>
      <w:r w:rsidRPr="00B10CE0">
        <w:rPr>
          <w:rFonts w:cs="Arial"/>
          <w:color w:val="000000" w:themeColor="text1"/>
        </w:rPr>
        <w:t xml:space="preserve"> </w:t>
      </w:r>
    </w:p>
    <w:p w14:paraId="1F87EE1D" w14:textId="0EA2274B" w:rsidR="00080BB5" w:rsidRPr="00B10CE0" w:rsidRDefault="00080BB5" w:rsidP="00F4165A">
      <w:pPr>
        <w:pStyle w:val="ListParagraph"/>
        <w:numPr>
          <w:ilvl w:val="0"/>
          <w:numId w:val="50"/>
        </w:numPr>
        <w:rPr>
          <w:rFonts w:cs="Arial"/>
          <w:color w:val="000000" w:themeColor="text1"/>
        </w:rPr>
      </w:pPr>
      <w:r w:rsidRPr="00B10CE0">
        <w:rPr>
          <w:rFonts w:cs="Arial"/>
          <w:color w:val="000000" w:themeColor="text1"/>
        </w:rPr>
        <w:t>Blanchetown and Morgan in South Australia</w:t>
      </w:r>
      <w:r w:rsidR="00A96927">
        <w:rPr>
          <w:rFonts w:cs="Arial"/>
          <w:color w:val="000000" w:themeColor="text1"/>
        </w:rPr>
        <w:t>.</w:t>
      </w:r>
      <w:r w:rsidRPr="00B10CE0">
        <w:rPr>
          <w:rFonts w:cs="Arial"/>
          <w:color w:val="000000" w:themeColor="text1"/>
        </w:rPr>
        <w:t xml:space="preserve"> </w:t>
      </w:r>
    </w:p>
    <w:p w14:paraId="3CC6A407" w14:textId="4C82664B" w:rsidR="005822A9" w:rsidRPr="00B10CE0" w:rsidRDefault="00080BB5" w:rsidP="00080BB5">
      <w:pPr>
        <w:rPr>
          <w:rFonts w:cs="Arial"/>
          <w:color w:val="000000" w:themeColor="text1"/>
        </w:rPr>
      </w:pPr>
      <w:r w:rsidRPr="00B10CE0">
        <w:rPr>
          <w:rFonts w:cs="Arial"/>
          <w:color w:val="000000" w:themeColor="text1"/>
        </w:rPr>
        <w:t xml:space="preserve">A </w:t>
      </w:r>
      <w:r w:rsidR="00BE7CE0">
        <w:rPr>
          <w:rFonts w:cs="Arial"/>
          <w:color w:val="000000" w:themeColor="text1"/>
        </w:rPr>
        <w:t xml:space="preserve">series of </w:t>
      </w:r>
      <w:r w:rsidRPr="00B10CE0">
        <w:rPr>
          <w:rFonts w:cs="Arial"/>
          <w:color w:val="000000" w:themeColor="text1"/>
        </w:rPr>
        <w:t>map</w:t>
      </w:r>
      <w:r w:rsidR="00BE7CE0">
        <w:rPr>
          <w:rFonts w:cs="Arial"/>
          <w:color w:val="000000" w:themeColor="text1"/>
        </w:rPr>
        <w:t xml:space="preserve">s showing </w:t>
      </w:r>
      <w:r w:rsidRPr="00B10CE0">
        <w:rPr>
          <w:rFonts w:cs="Arial"/>
          <w:color w:val="000000" w:themeColor="text1"/>
        </w:rPr>
        <w:t xml:space="preserve">the boundaries of all </w:t>
      </w:r>
      <w:r w:rsidR="00BE7CE0">
        <w:rPr>
          <w:rFonts w:cs="Arial"/>
          <w:color w:val="000000" w:themeColor="text1"/>
        </w:rPr>
        <w:t xml:space="preserve">31 </w:t>
      </w:r>
      <w:r w:rsidRPr="00B10CE0">
        <w:rPr>
          <w:rFonts w:cs="Arial"/>
          <w:color w:val="000000" w:themeColor="text1"/>
        </w:rPr>
        <w:t xml:space="preserve">communities </w:t>
      </w:r>
      <w:r w:rsidR="001C5CA8" w:rsidRPr="00B10CE0">
        <w:rPr>
          <w:rFonts w:cs="Arial"/>
          <w:color w:val="000000" w:themeColor="text1"/>
        </w:rPr>
        <w:t>eligible for funding under</w:t>
      </w:r>
      <w:r w:rsidRPr="00B10CE0">
        <w:rPr>
          <w:rFonts w:cs="Arial"/>
          <w:color w:val="000000" w:themeColor="text1"/>
        </w:rPr>
        <w:t xml:space="preserve"> </w:t>
      </w:r>
      <w:r w:rsidR="00BE7CE0" w:rsidRPr="00B10CE0">
        <w:rPr>
          <w:rFonts w:cs="Arial"/>
          <w:color w:val="000000" w:themeColor="text1"/>
        </w:rPr>
        <w:t>Round</w:t>
      </w:r>
      <w:r w:rsidR="00BE7CE0">
        <w:rPr>
          <w:rFonts w:cs="Arial"/>
          <w:color w:val="000000" w:themeColor="text1"/>
        </w:rPr>
        <w:t> </w:t>
      </w:r>
      <w:r w:rsidRPr="00B10CE0">
        <w:rPr>
          <w:rFonts w:cs="Arial"/>
          <w:color w:val="000000" w:themeColor="text1"/>
        </w:rPr>
        <w:t xml:space="preserve">2 of the program </w:t>
      </w:r>
      <w:r w:rsidR="003402DE" w:rsidRPr="00B10CE0">
        <w:rPr>
          <w:rFonts w:cs="Arial"/>
          <w:color w:val="000000" w:themeColor="text1"/>
        </w:rPr>
        <w:t>is</w:t>
      </w:r>
      <w:r w:rsidRPr="00B10CE0">
        <w:rPr>
          <w:rFonts w:cs="Arial"/>
          <w:color w:val="000000" w:themeColor="text1"/>
        </w:rPr>
        <w:t xml:space="preserve"> </w:t>
      </w:r>
      <w:r w:rsidR="002F3780" w:rsidRPr="00B10CE0">
        <w:rPr>
          <w:rFonts w:cs="Arial"/>
          <w:color w:val="000000" w:themeColor="text1"/>
        </w:rPr>
        <w:t xml:space="preserve">at </w:t>
      </w:r>
      <w:r w:rsidR="002F3780" w:rsidRPr="004C7D2B">
        <w:rPr>
          <w:rFonts w:cs="Arial"/>
          <w:b/>
          <w:color w:val="000000" w:themeColor="text1"/>
        </w:rPr>
        <w:t>Appendix A</w:t>
      </w:r>
      <w:r w:rsidRPr="00B10CE0">
        <w:rPr>
          <w:rFonts w:cs="Arial"/>
          <w:color w:val="000000" w:themeColor="text1"/>
        </w:rPr>
        <w:t>.</w:t>
      </w:r>
    </w:p>
    <w:p w14:paraId="3BC9A297" w14:textId="2F587018" w:rsidR="00022A7F" w:rsidRPr="005250EA" w:rsidRDefault="00022A7F" w:rsidP="00D97265">
      <w:pPr>
        <w:rPr>
          <w:rFonts w:eastAsiaTheme="minorHAnsi"/>
        </w:rPr>
      </w:pPr>
      <w:r w:rsidRPr="005250EA">
        <w:rPr>
          <w:color w:val="000000" w:themeColor="text1"/>
        </w:rPr>
        <w:t xml:space="preserve">The objective of the </w:t>
      </w:r>
      <w:r w:rsidR="007B4CC0" w:rsidRPr="005250EA">
        <w:rPr>
          <w:color w:val="000000" w:themeColor="text1"/>
        </w:rPr>
        <w:t>p</w:t>
      </w:r>
      <w:r w:rsidRPr="005250EA">
        <w:rPr>
          <w:color w:val="000000" w:themeColor="text1"/>
        </w:rPr>
        <w:t xml:space="preserve">rogram </w:t>
      </w:r>
      <w:r w:rsidR="00876857" w:rsidRPr="005250EA">
        <w:rPr>
          <w:color w:val="000000" w:themeColor="text1"/>
        </w:rPr>
        <w:t>is</w:t>
      </w:r>
      <w:r w:rsidRPr="005250EA">
        <w:rPr>
          <w:color w:val="000000" w:themeColor="text1"/>
        </w:rPr>
        <w:t xml:space="preserve"> </w:t>
      </w:r>
      <w:r w:rsidR="00876857" w:rsidRPr="005250EA">
        <w:rPr>
          <w:rStyle w:val="highlightedtextChar"/>
          <w:rFonts w:ascii="Arial" w:hAnsi="Arial" w:cs="Arial"/>
          <w:b w:val="0"/>
          <w:color w:val="000000" w:themeColor="text1"/>
          <w:sz w:val="20"/>
          <w:szCs w:val="20"/>
        </w:rPr>
        <w:t>to assist eligible communities to undertake economic development projects to respond to the impact of water recovery activities under the Basin Plan</w:t>
      </w:r>
      <w:r w:rsidR="00845073" w:rsidRPr="005250EA">
        <w:rPr>
          <w:rStyle w:val="highlightedtextChar"/>
          <w:rFonts w:ascii="Arial" w:hAnsi="Arial" w:cs="Arial"/>
          <w:b w:val="0"/>
          <w:color w:val="000000" w:themeColor="text1"/>
          <w:sz w:val="20"/>
          <w:szCs w:val="20"/>
        </w:rPr>
        <w:t>.</w:t>
      </w:r>
    </w:p>
    <w:p w14:paraId="416F59B7" w14:textId="77777777" w:rsidR="00022A7F" w:rsidRPr="005250EA" w:rsidRDefault="00022A7F" w:rsidP="00022A7F">
      <w:pPr>
        <w:rPr>
          <w:rStyle w:val="highlightedtextChar"/>
          <w:b w:val="0"/>
          <w:color w:val="000000" w:themeColor="text1"/>
        </w:rPr>
      </w:pPr>
      <w:r w:rsidRPr="005250EA">
        <w:rPr>
          <w:color w:val="000000" w:themeColor="text1"/>
        </w:rPr>
        <w:t xml:space="preserve">The </w:t>
      </w:r>
      <w:r w:rsidR="00E23548" w:rsidRPr="005250EA">
        <w:rPr>
          <w:color w:val="000000" w:themeColor="text1"/>
        </w:rPr>
        <w:t xml:space="preserve">intended </w:t>
      </w:r>
      <w:r w:rsidRPr="005250EA">
        <w:rPr>
          <w:color w:val="000000" w:themeColor="text1"/>
        </w:rPr>
        <w:t xml:space="preserve">outcomes of the </w:t>
      </w:r>
      <w:r w:rsidR="007B4CC0" w:rsidRPr="005250EA">
        <w:rPr>
          <w:color w:val="000000" w:themeColor="text1"/>
        </w:rPr>
        <w:t>p</w:t>
      </w:r>
      <w:r w:rsidRPr="005250EA">
        <w:rPr>
          <w:color w:val="000000" w:themeColor="text1"/>
        </w:rPr>
        <w:t>rogram are</w:t>
      </w:r>
      <w:r w:rsidR="0034568F" w:rsidRPr="005250EA">
        <w:rPr>
          <w:color w:val="000000" w:themeColor="text1"/>
        </w:rPr>
        <w:t xml:space="preserve"> to</w:t>
      </w:r>
      <w:r w:rsidR="004149EB" w:rsidRPr="005250EA">
        <w:rPr>
          <w:color w:val="000000" w:themeColor="text1"/>
        </w:rPr>
        <w:t>:</w:t>
      </w:r>
    </w:p>
    <w:p w14:paraId="67D199AB" w14:textId="43BBBCF4" w:rsidR="00876857" w:rsidRPr="005250EA" w:rsidRDefault="00876857" w:rsidP="00876857">
      <w:pPr>
        <w:pStyle w:val="ListBullet"/>
        <w:rPr>
          <w:rFonts w:eastAsiaTheme="minorHAnsi" w:cs="Arial"/>
          <w:color w:val="000000" w:themeColor="text1"/>
        </w:rPr>
      </w:pPr>
      <w:r w:rsidRPr="005250EA">
        <w:rPr>
          <w:color w:val="000000" w:themeColor="text1"/>
        </w:rPr>
        <w:t xml:space="preserve">increase capacity of </w:t>
      </w:r>
      <w:r w:rsidR="00301E23" w:rsidRPr="005250EA">
        <w:rPr>
          <w:color w:val="000000" w:themeColor="text1"/>
        </w:rPr>
        <w:t xml:space="preserve">eligible </w:t>
      </w:r>
      <w:r w:rsidRPr="005250EA">
        <w:rPr>
          <w:color w:val="000000" w:themeColor="text1"/>
        </w:rPr>
        <w:t xml:space="preserve">communities to diversify and strengthen local economies </w:t>
      </w:r>
    </w:p>
    <w:p w14:paraId="6F012D4E" w14:textId="3A04B9F2" w:rsidR="00876857" w:rsidRPr="005250EA" w:rsidRDefault="00876857" w:rsidP="00876857">
      <w:pPr>
        <w:pStyle w:val="ListBullet"/>
        <w:rPr>
          <w:rFonts w:eastAsiaTheme="minorHAnsi" w:cs="Arial"/>
          <w:color w:val="000000" w:themeColor="text1"/>
        </w:rPr>
      </w:pPr>
      <w:r w:rsidRPr="005250EA">
        <w:rPr>
          <w:color w:val="000000" w:themeColor="text1"/>
        </w:rPr>
        <w:t xml:space="preserve">enhance resilience of </w:t>
      </w:r>
      <w:r w:rsidR="00301E23" w:rsidRPr="005250EA">
        <w:rPr>
          <w:color w:val="000000" w:themeColor="text1"/>
        </w:rPr>
        <w:t xml:space="preserve">eligible </w:t>
      </w:r>
      <w:r w:rsidRPr="005250EA">
        <w:rPr>
          <w:color w:val="000000" w:themeColor="text1"/>
        </w:rPr>
        <w:t xml:space="preserve">communities to manage current and future economic challenges and changes </w:t>
      </w:r>
    </w:p>
    <w:p w14:paraId="1B33F0AA" w14:textId="612523FE" w:rsidR="00845073" w:rsidRPr="005250EA" w:rsidRDefault="00876857" w:rsidP="00845073">
      <w:pPr>
        <w:pStyle w:val="ListBullet"/>
        <w:rPr>
          <w:rFonts w:eastAsiaTheme="minorHAnsi" w:cs="Arial"/>
          <w:color w:val="000000" w:themeColor="text1"/>
        </w:rPr>
      </w:pPr>
      <w:proofErr w:type="gramStart"/>
      <w:r w:rsidRPr="005250EA">
        <w:rPr>
          <w:color w:val="000000" w:themeColor="text1"/>
        </w:rPr>
        <w:t>increase</w:t>
      </w:r>
      <w:proofErr w:type="gramEnd"/>
      <w:r w:rsidRPr="005250EA">
        <w:rPr>
          <w:color w:val="000000" w:themeColor="text1"/>
        </w:rPr>
        <w:t xml:space="preserve"> opportunities for employment within </w:t>
      </w:r>
      <w:r w:rsidR="00301E23" w:rsidRPr="005250EA">
        <w:rPr>
          <w:color w:val="000000" w:themeColor="text1"/>
        </w:rPr>
        <w:t xml:space="preserve">eligible </w:t>
      </w:r>
      <w:r w:rsidRPr="005250EA">
        <w:rPr>
          <w:color w:val="000000" w:themeColor="text1"/>
        </w:rPr>
        <w:t>communities</w:t>
      </w:r>
      <w:r w:rsidR="00845073" w:rsidRPr="005250EA">
        <w:rPr>
          <w:color w:val="000000" w:themeColor="text1"/>
        </w:rPr>
        <w:t>.</w:t>
      </w:r>
    </w:p>
    <w:p w14:paraId="32A46FD1" w14:textId="63AF8D17" w:rsidR="005A02A4" w:rsidRPr="005250EA" w:rsidRDefault="00845073" w:rsidP="00845073">
      <w:pPr>
        <w:rPr>
          <w:color w:val="000000" w:themeColor="text1"/>
        </w:rPr>
      </w:pPr>
      <w:r w:rsidRPr="005250EA">
        <w:rPr>
          <w:rFonts w:cs="Arial"/>
          <w:color w:val="000000" w:themeColor="text1"/>
        </w:rPr>
        <w:lastRenderedPageBreak/>
        <w:t xml:space="preserve">The </w:t>
      </w:r>
      <w:r w:rsidR="00914D58" w:rsidRPr="005250EA">
        <w:rPr>
          <w:rFonts w:cs="Arial"/>
          <w:color w:val="000000" w:themeColor="text1"/>
        </w:rPr>
        <w:t>outputs</w:t>
      </w:r>
      <w:r w:rsidRPr="005250EA">
        <w:rPr>
          <w:rFonts w:cs="Arial"/>
          <w:color w:val="000000" w:themeColor="text1"/>
        </w:rPr>
        <w:t xml:space="preserve"> will be the </w:t>
      </w:r>
      <w:r w:rsidR="00876857" w:rsidRPr="005250EA">
        <w:rPr>
          <w:color w:val="000000" w:themeColor="text1"/>
        </w:rPr>
        <w:t xml:space="preserve">number of jobs created </w:t>
      </w:r>
      <w:proofErr w:type="gramStart"/>
      <w:r w:rsidR="00876857" w:rsidRPr="005250EA">
        <w:rPr>
          <w:color w:val="000000" w:themeColor="text1"/>
        </w:rPr>
        <w:t>as a result</w:t>
      </w:r>
      <w:proofErr w:type="gramEnd"/>
      <w:r w:rsidR="00876857" w:rsidRPr="005250EA">
        <w:rPr>
          <w:color w:val="000000" w:themeColor="text1"/>
        </w:rPr>
        <w:t xml:space="preserve"> of the projects and the number of projects supporting </w:t>
      </w:r>
      <w:r w:rsidR="00914D58" w:rsidRPr="005250EA">
        <w:rPr>
          <w:color w:val="000000" w:themeColor="text1"/>
        </w:rPr>
        <w:t xml:space="preserve">economic development </w:t>
      </w:r>
      <w:r w:rsidR="00876857" w:rsidRPr="005250EA">
        <w:rPr>
          <w:color w:val="000000" w:themeColor="text1"/>
        </w:rPr>
        <w:t xml:space="preserve">activities that continue after the end of the projects. </w:t>
      </w:r>
    </w:p>
    <w:p w14:paraId="69627865" w14:textId="6E4478E6" w:rsidR="00022A7F" w:rsidRPr="000F576B" w:rsidRDefault="000D53D9" w:rsidP="00022A7F">
      <w:r w:rsidRPr="005250EA">
        <w:rPr>
          <w:color w:val="000000" w:themeColor="text1"/>
        </w:rPr>
        <w:t xml:space="preserve">The </w:t>
      </w:r>
      <w:r w:rsidR="003F441F" w:rsidRPr="005250EA">
        <w:rPr>
          <w:rFonts w:cs="Arial"/>
          <w:color w:val="000000" w:themeColor="text1"/>
        </w:rPr>
        <w:t xml:space="preserve">department </w:t>
      </w:r>
      <w:r w:rsidR="00080BB5" w:rsidRPr="005250EA">
        <w:rPr>
          <w:color w:val="000000" w:themeColor="text1"/>
        </w:rPr>
        <w:t xml:space="preserve">and the </w:t>
      </w:r>
      <w:r w:rsidRPr="005250EA">
        <w:rPr>
          <w:color w:val="000000" w:themeColor="text1"/>
        </w:rPr>
        <w:t xml:space="preserve">Community Grants Hub </w:t>
      </w:r>
      <w:r w:rsidR="00C2349D" w:rsidRPr="005250EA">
        <w:rPr>
          <w:color w:val="000000" w:themeColor="text1"/>
        </w:rPr>
        <w:t>administer</w:t>
      </w:r>
      <w:r w:rsidR="00E23548" w:rsidRPr="005250EA">
        <w:rPr>
          <w:color w:val="000000" w:themeColor="text1"/>
        </w:rPr>
        <w:t xml:space="preserve"> the program accord</w:t>
      </w:r>
      <w:r w:rsidR="00E23548" w:rsidRPr="005250EA">
        <w:t xml:space="preserve">ing to </w:t>
      </w:r>
      <w:r w:rsidR="00022A7F" w:rsidRPr="005250EA">
        <w:t>the</w:t>
      </w:r>
      <w:r w:rsidR="006F145A" w:rsidRPr="005250EA">
        <w:rPr>
          <w:rStyle w:val="Hyperlink"/>
          <w:i/>
        </w:rPr>
        <w:t xml:space="preserve"> </w:t>
      </w:r>
      <w:hyperlink r:id="rId22" w:history="1">
        <w:r w:rsidR="006F145A" w:rsidRPr="000633FD">
          <w:rPr>
            <w:rStyle w:val="Hyperlink"/>
            <w:i/>
          </w:rPr>
          <w:t>Commonwealth Grants Rules and Guideline</w:t>
        </w:r>
        <w:r w:rsidR="006F145A" w:rsidRPr="000633FD">
          <w:rPr>
            <w:rStyle w:val="Hyperlink"/>
            <w:i/>
          </w:rPr>
          <w:t>s</w:t>
        </w:r>
        <w:r w:rsidR="00756EAF" w:rsidRPr="000633FD">
          <w:rPr>
            <w:rStyle w:val="Hyperlink"/>
            <w:i/>
          </w:rPr>
          <w:t xml:space="preserve"> 2017</w:t>
        </w:r>
        <w:r w:rsidR="006F145A" w:rsidRPr="000633FD">
          <w:rPr>
            <w:rStyle w:val="Hyperlink"/>
          </w:rPr>
          <w:t xml:space="preserve"> (CGRGs)</w:t>
        </w:r>
        <w:r w:rsidR="005A02A4" w:rsidRPr="000633FD">
          <w:rPr>
            <w:rStyle w:val="Hyperlink"/>
            <w:i/>
          </w:rPr>
          <w:t>.</w:t>
        </w:r>
      </w:hyperlink>
    </w:p>
    <w:p w14:paraId="01B1A1DF" w14:textId="77777777" w:rsidR="000E08D0" w:rsidRDefault="000E08D0" w:rsidP="009668F6">
      <w:pPr>
        <w:pStyle w:val="Heading2"/>
      </w:pPr>
      <w:bookmarkStart w:id="6" w:name="_Toc494290488"/>
      <w:bookmarkStart w:id="7" w:name="_Toc17704000"/>
      <w:bookmarkEnd w:id="6"/>
      <w:r>
        <w:t>Grant</w:t>
      </w:r>
      <w:r w:rsidR="00B62A3A">
        <w:t xml:space="preserve"> amount</w:t>
      </w:r>
      <w:r w:rsidR="00492E57">
        <w:t xml:space="preserve"> </w:t>
      </w:r>
      <w:r w:rsidR="00D450B6">
        <w:t>and grant period</w:t>
      </w:r>
      <w:bookmarkEnd w:id="7"/>
    </w:p>
    <w:p w14:paraId="169BA010" w14:textId="77777777" w:rsidR="001E60B8" w:rsidRDefault="001E60B8" w:rsidP="00A8702B">
      <w:pPr>
        <w:pStyle w:val="Heading3"/>
      </w:pPr>
      <w:bookmarkStart w:id="8" w:name="_Toc17704001"/>
      <w:r>
        <w:t>Grants available</w:t>
      </w:r>
      <w:bookmarkEnd w:id="8"/>
    </w:p>
    <w:p w14:paraId="6B583431" w14:textId="7479F029" w:rsidR="005D5D1D" w:rsidRDefault="005D5D1D" w:rsidP="00685918">
      <w:r w:rsidRPr="005250EA">
        <w:t>The Australian Government has announced a total of $</w:t>
      </w:r>
      <w:r w:rsidR="00033937" w:rsidRPr="005250EA">
        <w:t>15 million</w:t>
      </w:r>
      <w:r w:rsidR="00C91BE9" w:rsidRPr="005250EA">
        <w:t xml:space="preserve"> </w:t>
      </w:r>
      <w:r w:rsidR="00E56365" w:rsidRPr="005250EA">
        <w:t>(</w:t>
      </w:r>
      <w:r w:rsidR="00C91BE9" w:rsidRPr="005250EA">
        <w:t>GST exclusive</w:t>
      </w:r>
      <w:r w:rsidR="00E56365" w:rsidRPr="005250EA">
        <w:t>)</w:t>
      </w:r>
      <w:r w:rsidR="00C91BE9" w:rsidRPr="005250EA">
        <w:t xml:space="preserve"> </w:t>
      </w:r>
      <w:r w:rsidRPr="005250EA">
        <w:t xml:space="preserve">for </w:t>
      </w:r>
      <w:r w:rsidR="00191523" w:rsidRPr="005250EA">
        <w:t xml:space="preserve">the </w:t>
      </w:r>
      <w:r w:rsidR="00044E4A" w:rsidRPr="005250EA">
        <w:br/>
      </w:r>
      <w:r w:rsidR="00033937" w:rsidRPr="005250EA">
        <w:t>Murray-Darling Basin Economic Development Program</w:t>
      </w:r>
      <w:r w:rsidR="00191523" w:rsidRPr="005250EA">
        <w:t xml:space="preserve"> Round 2</w:t>
      </w:r>
      <w:r w:rsidR="00C64238" w:rsidRPr="005250EA">
        <w:t xml:space="preserve"> grant opportunity</w:t>
      </w:r>
      <w:r w:rsidRPr="005250EA">
        <w:t xml:space="preserve">. </w:t>
      </w:r>
      <w:r w:rsidR="00845073" w:rsidRPr="005250EA">
        <w:t xml:space="preserve">Each of the </w:t>
      </w:r>
      <w:r w:rsidR="00044E4A" w:rsidRPr="005250EA">
        <w:br/>
      </w:r>
      <w:r w:rsidR="00845073" w:rsidRPr="005250EA">
        <w:t>31 communities has a notional allocation of $450,000</w:t>
      </w:r>
      <w:r w:rsidR="00C64238" w:rsidRPr="005250EA">
        <w:t xml:space="preserve"> (GST exclusive)</w:t>
      </w:r>
      <w:r w:rsidR="00845073" w:rsidRPr="005250EA">
        <w:t>.</w:t>
      </w:r>
    </w:p>
    <w:p w14:paraId="31D73D5A" w14:textId="18C67A71" w:rsidR="00B73AB6" w:rsidRPr="00B72EE8" w:rsidRDefault="00B73AB6" w:rsidP="00B73AB6">
      <w:r>
        <w:t xml:space="preserve">The grant </w:t>
      </w:r>
      <w:r w:rsidR="00191523">
        <w:t>opportunity</w:t>
      </w:r>
      <w:r w:rsidR="001447E1">
        <w:t xml:space="preserve"> </w:t>
      </w:r>
      <w:r>
        <w:t xml:space="preserve">will run from </w:t>
      </w:r>
      <w:r w:rsidR="00044E4A">
        <w:t xml:space="preserve">1 </w:t>
      </w:r>
      <w:r w:rsidR="006A12C0" w:rsidRPr="004C7D2B">
        <w:t xml:space="preserve">May </w:t>
      </w:r>
      <w:r w:rsidR="00033937" w:rsidRPr="004C7D2B">
        <w:t>2020</w:t>
      </w:r>
      <w:r w:rsidR="00033937">
        <w:t xml:space="preserve"> to 30 </w:t>
      </w:r>
      <w:r w:rsidR="006A12C0">
        <w:t xml:space="preserve">April </w:t>
      </w:r>
      <w:r w:rsidR="00033937">
        <w:t>202</w:t>
      </w:r>
      <w:r w:rsidR="00340BDC">
        <w:t>3</w:t>
      </w:r>
      <w:r w:rsidR="002A4F37">
        <w:t>.</w:t>
      </w:r>
    </w:p>
    <w:p w14:paraId="295981C9" w14:textId="66CB6E42" w:rsidR="005D5D1D" w:rsidRDefault="005D5D1D" w:rsidP="00381A8E">
      <w:pPr>
        <w:pStyle w:val="ListBullet"/>
        <w:numPr>
          <w:ilvl w:val="0"/>
          <w:numId w:val="0"/>
        </w:numPr>
      </w:pPr>
      <w:r>
        <w:t xml:space="preserve">The minimum grant amount is </w:t>
      </w:r>
      <w:r w:rsidRPr="00B10CE0">
        <w:rPr>
          <w:color w:val="000000" w:themeColor="text1"/>
        </w:rPr>
        <w:t>$</w:t>
      </w:r>
      <w:r w:rsidR="00033937" w:rsidRPr="00B10CE0">
        <w:rPr>
          <w:color w:val="000000" w:themeColor="text1"/>
        </w:rPr>
        <w:t>10,000</w:t>
      </w:r>
      <w:r w:rsidR="00C91BE9" w:rsidRPr="00B10CE0">
        <w:rPr>
          <w:color w:val="000000" w:themeColor="text1"/>
        </w:rPr>
        <w:t xml:space="preserve"> </w:t>
      </w:r>
      <w:r w:rsidR="00B850CE">
        <w:rPr>
          <w:color w:val="000000" w:themeColor="text1"/>
        </w:rPr>
        <w:t>(</w:t>
      </w:r>
      <w:r w:rsidR="00C91BE9" w:rsidRPr="00B10CE0">
        <w:rPr>
          <w:color w:val="000000" w:themeColor="text1"/>
        </w:rPr>
        <w:t>GST exclusive</w:t>
      </w:r>
      <w:r w:rsidR="00756319">
        <w:rPr>
          <w:color w:val="000000" w:themeColor="text1"/>
        </w:rPr>
        <w:t>)</w:t>
      </w:r>
      <w:r w:rsidRPr="00B10CE0">
        <w:rPr>
          <w:color w:val="000000" w:themeColor="text1"/>
        </w:rPr>
        <w:t>.</w:t>
      </w:r>
      <w:r w:rsidR="002A4F37">
        <w:rPr>
          <w:color w:val="000000" w:themeColor="text1"/>
        </w:rPr>
        <w:t xml:space="preserve"> </w:t>
      </w:r>
      <w:r w:rsidR="002A4F37" w:rsidRPr="002A4F37">
        <w:rPr>
          <w:color w:val="000000" w:themeColor="text1"/>
        </w:rPr>
        <w:t xml:space="preserve">An application for grant funding below the set minimum amount </w:t>
      </w:r>
      <w:proofErr w:type="gramStart"/>
      <w:r w:rsidR="002A4F37" w:rsidRPr="002A4F37">
        <w:rPr>
          <w:color w:val="000000" w:themeColor="text1"/>
        </w:rPr>
        <w:t>will be deemed</w:t>
      </w:r>
      <w:proofErr w:type="gramEnd"/>
      <w:r w:rsidR="002A4F37" w:rsidRPr="002A4F37">
        <w:rPr>
          <w:color w:val="000000" w:themeColor="text1"/>
        </w:rPr>
        <w:t xml:space="preserve"> ineligible and the application will not be assessed.</w:t>
      </w:r>
    </w:p>
    <w:p w14:paraId="69D4B88F" w14:textId="06FA9855" w:rsidR="00066B99" w:rsidRDefault="00284561" w:rsidP="00381A8E">
      <w:pPr>
        <w:pStyle w:val="ListBullet"/>
        <w:numPr>
          <w:ilvl w:val="0"/>
          <w:numId w:val="0"/>
        </w:numPr>
      </w:pPr>
      <w:r>
        <w:t xml:space="preserve">There is no </w:t>
      </w:r>
      <w:r w:rsidR="00DD14B8">
        <w:t xml:space="preserve">specific </w:t>
      </w:r>
      <w:r>
        <w:t>maximum grant amount but grants cannot exceed the amount of funds</w:t>
      </w:r>
      <w:r w:rsidR="002A0890">
        <w:t xml:space="preserve"> </w:t>
      </w:r>
      <w:r w:rsidR="0061397A">
        <w:t xml:space="preserve">available </w:t>
      </w:r>
      <w:r w:rsidR="002A0890">
        <w:t xml:space="preserve">for </w:t>
      </w:r>
      <w:r w:rsidR="0087522E">
        <w:t xml:space="preserve">eligible </w:t>
      </w:r>
      <w:r w:rsidR="002A0890">
        <w:t>communit</w:t>
      </w:r>
      <w:r w:rsidR="003B740D">
        <w:t>ies</w:t>
      </w:r>
      <w:r>
        <w:t>.</w:t>
      </w:r>
      <w:r w:rsidR="002A0890">
        <w:t xml:space="preserve"> </w:t>
      </w:r>
      <w:r w:rsidR="003B740D">
        <w:t xml:space="preserve">The </w:t>
      </w:r>
      <w:r w:rsidR="0061397A">
        <w:t xml:space="preserve">notional allocation for each community </w:t>
      </w:r>
      <w:r w:rsidR="00DD14B8">
        <w:t>is $450,000</w:t>
      </w:r>
      <w:r w:rsidR="00C64238">
        <w:t xml:space="preserve"> (GST exclusive)</w:t>
      </w:r>
      <w:r w:rsidR="00DD14B8">
        <w:t xml:space="preserve">, and the </w:t>
      </w:r>
      <w:r w:rsidR="003B740D">
        <w:t xml:space="preserve">assessment process outlined in </w:t>
      </w:r>
      <w:r w:rsidR="00201EE0">
        <w:t>S</w:t>
      </w:r>
      <w:r w:rsidR="003B740D">
        <w:t>ection 8.3 strongly advantages g</w:t>
      </w:r>
      <w:r w:rsidR="00066B99">
        <w:t xml:space="preserve">rant applications </w:t>
      </w:r>
      <w:r w:rsidR="003B740D">
        <w:t>under</w:t>
      </w:r>
      <w:r w:rsidR="00DD14B8">
        <w:t xml:space="preserve"> this amount</w:t>
      </w:r>
      <w:r w:rsidR="00066B99">
        <w:t xml:space="preserve">. </w:t>
      </w:r>
      <w:r w:rsidR="003B740D">
        <w:t xml:space="preserve">The </w:t>
      </w:r>
      <w:r w:rsidR="00191523">
        <w:t>selection advisory panel</w:t>
      </w:r>
      <w:r w:rsidR="003B740D">
        <w:t xml:space="preserve"> may recommend grant applications seeking more than $450,000 </w:t>
      </w:r>
      <w:r w:rsidR="00C64238">
        <w:t xml:space="preserve">(GST exclusive) </w:t>
      </w:r>
      <w:r w:rsidR="003B740D">
        <w:t xml:space="preserve">for funding, but only if there is sufficient unallocated funding after projects </w:t>
      </w:r>
      <w:r w:rsidR="0034568F">
        <w:t xml:space="preserve">equal to or </w:t>
      </w:r>
      <w:r w:rsidR="003B740D">
        <w:t xml:space="preserve">less than $450,000 </w:t>
      </w:r>
      <w:r w:rsidR="00C64238">
        <w:t xml:space="preserve">(GST exclusive) </w:t>
      </w:r>
      <w:r w:rsidR="003B740D">
        <w:t>are recommended for funding.</w:t>
      </w:r>
    </w:p>
    <w:p w14:paraId="20B93D2A" w14:textId="77777777" w:rsidR="005D5D1D" w:rsidRDefault="00066B99" w:rsidP="00A8702B">
      <w:pPr>
        <w:pStyle w:val="Heading3"/>
      </w:pPr>
      <w:r w:rsidDel="00066B99">
        <w:t xml:space="preserve"> </w:t>
      </w:r>
      <w:bookmarkStart w:id="9" w:name="_Toc530486324"/>
      <w:bookmarkStart w:id="10" w:name="_Toc530579967"/>
      <w:bookmarkStart w:id="11" w:name="_Toc17704002"/>
      <w:bookmarkEnd w:id="9"/>
      <w:bookmarkEnd w:id="10"/>
      <w:r w:rsidR="00387218">
        <w:t>Grant</w:t>
      </w:r>
      <w:r w:rsidR="005D5D1D">
        <w:t xml:space="preserve"> </w:t>
      </w:r>
      <w:r w:rsidR="009F1E2B">
        <w:t>period</w:t>
      </w:r>
      <w:bookmarkEnd w:id="11"/>
    </w:p>
    <w:p w14:paraId="7D6C275B" w14:textId="04FF58B3" w:rsidR="005D5D1D" w:rsidRDefault="00D56114" w:rsidP="005D5D1D">
      <w:r>
        <w:t xml:space="preserve">The maximum grant period is </w:t>
      </w:r>
      <w:r w:rsidR="002A4F37">
        <w:t xml:space="preserve">3 </w:t>
      </w:r>
      <w:r>
        <w:t xml:space="preserve">years. </w:t>
      </w:r>
      <w:r w:rsidR="005D5D1D">
        <w:t xml:space="preserve">You must complete your </w:t>
      </w:r>
      <w:r w:rsidR="00387218">
        <w:t xml:space="preserve">grant </w:t>
      </w:r>
      <w:r w:rsidR="0091398D">
        <w:t xml:space="preserve">activity </w:t>
      </w:r>
      <w:r w:rsidR="005D5D1D">
        <w:t xml:space="preserve">by </w:t>
      </w:r>
      <w:r w:rsidR="00914D58">
        <w:t>30 </w:t>
      </w:r>
      <w:r w:rsidR="00340BDC">
        <w:t>April 2023.</w:t>
      </w:r>
      <w:r w:rsidR="000363BF">
        <w:t xml:space="preserve"> Following the</w:t>
      </w:r>
      <w:r w:rsidR="00387218">
        <w:t xml:space="preserve"> </w:t>
      </w:r>
      <w:r w:rsidR="00E60699">
        <w:t>grant</w:t>
      </w:r>
      <w:r w:rsidR="00387218">
        <w:t xml:space="preserve"> </w:t>
      </w:r>
      <w:r w:rsidR="00AF03B8">
        <w:t>period</w:t>
      </w:r>
      <w:r w:rsidR="00387218">
        <w:t>,</w:t>
      </w:r>
      <w:r w:rsidR="000363BF">
        <w:t xml:space="preserve"> a</w:t>
      </w:r>
      <w:r w:rsidR="00044E4A">
        <w:t xml:space="preserve"> project</w:t>
      </w:r>
      <w:r w:rsidR="000363BF">
        <w:t xml:space="preserve"> evaluation</w:t>
      </w:r>
      <w:r w:rsidR="00907078">
        <w:t xml:space="preserve"> </w:t>
      </w:r>
      <w:r w:rsidR="000363BF">
        <w:t xml:space="preserve">period of </w:t>
      </w:r>
      <w:r w:rsidR="00EE4FCF">
        <w:t>five</w:t>
      </w:r>
      <w:r w:rsidR="00066B99">
        <w:t xml:space="preserve"> month</w:t>
      </w:r>
      <w:r w:rsidR="00EE4FCF">
        <w:t>s</w:t>
      </w:r>
      <w:r w:rsidR="000363BF">
        <w:t xml:space="preserve"> will commence.</w:t>
      </w:r>
    </w:p>
    <w:p w14:paraId="392EC99E" w14:textId="77777777" w:rsidR="00285F58" w:rsidRPr="00DF637B" w:rsidRDefault="000E2D44" w:rsidP="009668F6">
      <w:pPr>
        <w:pStyle w:val="Heading2"/>
      </w:pPr>
      <w:bookmarkStart w:id="12" w:name="_Toc17704003"/>
      <w:r>
        <w:t>E</w:t>
      </w:r>
      <w:r w:rsidR="00285F58">
        <w:t>ligibility criteria</w:t>
      </w:r>
      <w:bookmarkEnd w:id="12"/>
    </w:p>
    <w:p w14:paraId="52F97A1B" w14:textId="1D693669" w:rsidR="00BA0783" w:rsidRDefault="00BA0783" w:rsidP="00BA0783">
      <w:pPr>
        <w:pStyle w:val="ListBullet"/>
        <w:numPr>
          <w:ilvl w:val="0"/>
          <w:numId w:val="0"/>
        </w:numPr>
      </w:pPr>
      <w:bookmarkStart w:id="13" w:name="_Ref437348317"/>
      <w:bookmarkStart w:id="14" w:name="_Ref437348323"/>
      <w:bookmarkStart w:id="15" w:name="_Ref437349175"/>
      <w:r w:rsidRPr="00452C7A">
        <w:t xml:space="preserve">The </w:t>
      </w:r>
      <w:r>
        <w:t xml:space="preserve">decision maker can choose to waive the </w:t>
      </w:r>
      <w:r w:rsidRPr="00452C7A">
        <w:t xml:space="preserve">eligibility </w:t>
      </w:r>
      <w:r w:rsidR="0073429A" w:rsidRPr="00452C7A">
        <w:t>criteria</w:t>
      </w:r>
      <w:r w:rsidR="0073429A">
        <w:t>;</w:t>
      </w:r>
      <w:r>
        <w:t xml:space="preserve"> </w:t>
      </w:r>
      <w:r w:rsidR="0073429A">
        <w:t>however,</w:t>
      </w:r>
      <w:r>
        <w:t xml:space="preserve"> they </w:t>
      </w:r>
      <w:proofErr w:type="gramStart"/>
      <w:r>
        <w:t>must be made</w:t>
      </w:r>
      <w:proofErr w:type="gramEnd"/>
      <w:r>
        <w:t xml:space="preserve"> aware of the risks. </w:t>
      </w:r>
    </w:p>
    <w:p w14:paraId="47CE3121" w14:textId="77777777" w:rsidR="00A35F51" w:rsidRDefault="001A6862" w:rsidP="00A8702B">
      <w:pPr>
        <w:pStyle w:val="Heading3"/>
      </w:pPr>
      <w:bookmarkStart w:id="16" w:name="_Ref485202969"/>
      <w:bookmarkStart w:id="17" w:name="_Toc17704004"/>
      <w:r>
        <w:t xml:space="preserve">Who </w:t>
      </w:r>
      <w:r w:rsidR="009F7B46">
        <w:t>is eligible</w:t>
      </w:r>
      <w:r w:rsidR="00A60CA0">
        <w:t xml:space="preserve"> to apply for a grant</w:t>
      </w:r>
      <w:r w:rsidR="009F7B46">
        <w:t>?</w:t>
      </w:r>
      <w:bookmarkEnd w:id="13"/>
      <w:bookmarkEnd w:id="14"/>
      <w:bookmarkEnd w:id="15"/>
      <w:bookmarkEnd w:id="16"/>
      <w:bookmarkEnd w:id="17"/>
    </w:p>
    <w:p w14:paraId="4C3F983A" w14:textId="77777777" w:rsidR="003271A6" w:rsidRPr="000A271A" w:rsidRDefault="008B647C" w:rsidP="00EE4FCF">
      <w:pPr>
        <w:pStyle w:val="ListBullet"/>
        <w:numPr>
          <w:ilvl w:val="0"/>
          <w:numId w:val="0"/>
        </w:numPr>
      </w:pPr>
      <w:r>
        <w:t xml:space="preserve">To be eligible you must </w:t>
      </w:r>
      <w:r w:rsidR="003271A6" w:rsidRPr="000A271A">
        <w:t xml:space="preserve">be one </w:t>
      </w:r>
      <w:r w:rsidR="003271A6">
        <w:t>of the following entity types:</w:t>
      </w:r>
    </w:p>
    <w:p w14:paraId="3EBFCFB9" w14:textId="77777777" w:rsidR="003271A6" w:rsidRPr="000A271A" w:rsidRDefault="00EE0ABE" w:rsidP="00A815E0">
      <w:pPr>
        <w:pStyle w:val="ListBullet"/>
      </w:pPr>
      <w:r>
        <w:t>I</w:t>
      </w:r>
      <w:r w:rsidR="008B647C">
        <w:t xml:space="preserve">ndigenous </w:t>
      </w:r>
      <w:r>
        <w:t>C</w:t>
      </w:r>
      <w:r w:rsidR="008B647C">
        <w:t xml:space="preserve">orporation </w:t>
      </w:r>
    </w:p>
    <w:p w14:paraId="5F90C033" w14:textId="77777777" w:rsidR="00EE0ABE" w:rsidRDefault="00EE0ABE" w:rsidP="00A815E0">
      <w:pPr>
        <w:pStyle w:val="ListBullet"/>
      </w:pPr>
      <w:r>
        <w:t>Local Government</w:t>
      </w:r>
      <w:r w:rsidR="001B6272">
        <w:rPr>
          <w:rStyle w:val="FootnoteReference"/>
        </w:rPr>
        <w:footnoteReference w:id="2"/>
      </w:r>
    </w:p>
    <w:p w14:paraId="4F2A561E" w14:textId="77777777" w:rsidR="003271A6" w:rsidRPr="000A271A" w:rsidRDefault="00EE0ABE" w:rsidP="00EE0ABE">
      <w:pPr>
        <w:pStyle w:val="ListBullet"/>
      </w:pPr>
      <w:r>
        <w:t>Cooperative</w:t>
      </w:r>
    </w:p>
    <w:p w14:paraId="2636A4D3" w14:textId="77777777" w:rsidR="003271A6" w:rsidRDefault="00EE0ABE" w:rsidP="00A815E0">
      <w:pPr>
        <w:pStyle w:val="ListBullet"/>
      </w:pPr>
      <w:r>
        <w:t>I</w:t>
      </w:r>
      <w:r w:rsidR="003271A6" w:rsidRPr="000A271A">
        <w:t xml:space="preserve">ncorporated </w:t>
      </w:r>
      <w:r>
        <w:t>A</w:t>
      </w:r>
      <w:r w:rsidR="003271A6" w:rsidRPr="000A271A">
        <w:t>ssociation</w:t>
      </w:r>
    </w:p>
    <w:p w14:paraId="2FCBF6DD" w14:textId="5AB0668E" w:rsidR="00340BDC" w:rsidRPr="0073429A" w:rsidRDefault="00340BDC" w:rsidP="00A815E0">
      <w:pPr>
        <w:pStyle w:val="ListBullet"/>
      </w:pPr>
      <w:r w:rsidRPr="0073429A">
        <w:t>Company</w:t>
      </w:r>
    </w:p>
    <w:p w14:paraId="195E0A05" w14:textId="586A4B78" w:rsidR="00323F19" w:rsidRDefault="00EC2B2A" w:rsidP="00EC2B2A">
      <w:pPr>
        <w:pStyle w:val="ListBullet"/>
        <w:numPr>
          <w:ilvl w:val="0"/>
          <w:numId w:val="0"/>
        </w:numPr>
      </w:pPr>
      <w:r>
        <w:lastRenderedPageBreak/>
        <w:t>Applications from consortia are acceptable, as long as you have a lead applicant who is solely accountable to the Commonwealth for the delivery of grant activities and is an eligible entity as per the list above</w:t>
      </w:r>
      <w:r w:rsidR="003B740D">
        <w:t>.</w:t>
      </w:r>
      <w:r>
        <w:rPr>
          <w:rStyle w:val="FootnoteReference"/>
        </w:rPr>
        <w:footnoteReference w:id="3"/>
      </w:r>
      <w:r w:rsidR="006E3F05">
        <w:rPr>
          <w:iCs w:val="0"/>
        </w:rPr>
        <w:t xml:space="preserve"> Eligible organisations can form consortia </w:t>
      </w:r>
      <w:r w:rsidR="0093619D">
        <w:rPr>
          <w:iCs w:val="0"/>
        </w:rPr>
        <w:t>with ineligible organisations.</w:t>
      </w:r>
    </w:p>
    <w:p w14:paraId="47B333B6" w14:textId="77777777" w:rsidR="00323F19" w:rsidRPr="005E5DCD" w:rsidRDefault="00323F19" w:rsidP="00A8702B">
      <w:pPr>
        <w:pStyle w:val="Heading3"/>
      </w:pPr>
      <w:bookmarkStart w:id="18" w:name="_Toc17704005"/>
      <w:bookmarkStart w:id="19" w:name="_Toc531868017"/>
      <w:r>
        <w:t>Additional eligibility requirements</w:t>
      </w:r>
      <w:bookmarkEnd w:id="18"/>
      <w:r>
        <w:t xml:space="preserve"> </w:t>
      </w:r>
      <w:bookmarkStart w:id="20" w:name="_Toc529276510"/>
      <w:bookmarkEnd w:id="19"/>
      <w:bookmarkEnd w:id="20"/>
    </w:p>
    <w:p w14:paraId="40D3BB69" w14:textId="77777777" w:rsidR="00CB0FBC" w:rsidRDefault="00CB0FBC" w:rsidP="00B43D09">
      <w:pPr>
        <w:pStyle w:val="ListBullet"/>
        <w:numPr>
          <w:ilvl w:val="0"/>
          <w:numId w:val="0"/>
        </w:numPr>
      </w:pPr>
      <w:r>
        <w:t>We can only accept applications from</w:t>
      </w:r>
      <w:r w:rsidR="001C5CA8">
        <w:t xml:space="preserve"> organisations that</w:t>
      </w:r>
      <w:r>
        <w:t>:</w:t>
      </w:r>
    </w:p>
    <w:p w14:paraId="15C9935F" w14:textId="1152D00E" w:rsidR="009C252B" w:rsidRPr="00E60699" w:rsidRDefault="001611A3" w:rsidP="009C252B">
      <w:pPr>
        <w:pStyle w:val="ListBullet"/>
        <w:rPr>
          <w:rFonts w:cs="Arial"/>
          <w:color w:val="000000" w:themeColor="text1"/>
        </w:rPr>
      </w:pPr>
      <w:bookmarkStart w:id="21" w:name="_Toc529276511"/>
      <w:bookmarkStart w:id="22" w:name="_Toc529276512"/>
      <w:bookmarkStart w:id="23" w:name="_Toc529276513"/>
      <w:bookmarkEnd w:id="21"/>
      <w:bookmarkEnd w:id="22"/>
      <w:bookmarkEnd w:id="23"/>
      <w:r>
        <w:rPr>
          <w:rFonts w:cs="Arial"/>
          <w:color w:val="000000" w:themeColor="text1"/>
        </w:rPr>
        <w:t xml:space="preserve">are </w:t>
      </w:r>
      <w:r w:rsidR="009C252B" w:rsidRPr="00E60699">
        <w:rPr>
          <w:rFonts w:cs="Arial"/>
          <w:color w:val="000000" w:themeColor="text1"/>
        </w:rPr>
        <w:t>a not-for-profit organisation</w:t>
      </w:r>
    </w:p>
    <w:p w14:paraId="71277063" w14:textId="14A9D78F" w:rsidR="009C252B" w:rsidRPr="00E60699" w:rsidRDefault="001611A3" w:rsidP="009C252B">
      <w:pPr>
        <w:pStyle w:val="ListBullet"/>
        <w:rPr>
          <w:rFonts w:cs="Arial"/>
          <w:color w:val="000000" w:themeColor="text1"/>
        </w:rPr>
      </w:pPr>
      <w:r>
        <w:rPr>
          <w:rFonts w:cs="Arial"/>
          <w:color w:val="000000" w:themeColor="text1"/>
        </w:rPr>
        <w:t>h</w:t>
      </w:r>
      <w:r w:rsidRPr="00E60699">
        <w:rPr>
          <w:rFonts w:cs="Arial"/>
          <w:color w:val="000000" w:themeColor="text1"/>
        </w:rPr>
        <w:t xml:space="preserve">ave </w:t>
      </w:r>
      <w:r w:rsidR="009C252B" w:rsidRPr="00E60699">
        <w:rPr>
          <w:rFonts w:cs="Arial"/>
          <w:color w:val="000000" w:themeColor="text1"/>
        </w:rPr>
        <w:t xml:space="preserve">an Australian Business Number (ABN) or </w:t>
      </w:r>
      <w:r w:rsidR="006A12C0">
        <w:rPr>
          <w:rFonts w:cs="Arial"/>
          <w:color w:val="000000" w:themeColor="text1"/>
        </w:rPr>
        <w:t>are</w:t>
      </w:r>
      <w:r w:rsidR="006A12C0" w:rsidRPr="00E60699">
        <w:rPr>
          <w:rFonts w:cs="Arial"/>
          <w:color w:val="000000" w:themeColor="text1"/>
        </w:rPr>
        <w:t xml:space="preserve"> </w:t>
      </w:r>
      <w:r w:rsidR="009C252B" w:rsidRPr="00E60699">
        <w:rPr>
          <w:rFonts w:cs="Arial"/>
          <w:color w:val="000000" w:themeColor="text1"/>
        </w:rPr>
        <w:t xml:space="preserve">willing to obtain one prior to the execution of the </w:t>
      </w:r>
      <w:r>
        <w:rPr>
          <w:rFonts w:cs="Arial"/>
          <w:color w:val="000000" w:themeColor="text1"/>
        </w:rPr>
        <w:t>g</w:t>
      </w:r>
      <w:r w:rsidRPr="00E60699">
        <w:rPr>
          <w:rFonts w:cs="Arial"/>
          <w:color w:val="000000" w:themeColor="text1"/>
        </w:rPr>
        <w:t xml:space="preserve">rant </w:t>
      </w:r>
      <w:r>
        <w:rPr>
          <w:rFonts w:cs="Arial"/>
          <w:color w:val="000000" w:themeColor="text1"/>
        </w:rPr>
        <w:t>a</w:t>
      </w:r>
      <w:r w:rsidRPr="00E60699">
        <w:rPr>
          <w:rFonts w:cs="Arial"/>
          <w:color w:val="000000" w:themeColor="text1"/>
        </w:rPr>
        <w:t>greement</w:t>
      </w:r>
    </w:p>
    <w:p w14:paraId="110F6DBE" w14:textId="0FE9BAA4" w:rsidR="009C252B" w:rsidRPr="00E60699" w:rsidRDefault="001611A3" w:rsidP="009C252B">
      <w:pPr>
        <w:pStyle w:val="ListBullet"/>
        <w:rPr>
          <w:rFonts w:cs="Arial"/>
          <w:color w:val="000000" w:themeColor="text1"/>
        </w:rPr>
      </w:pPr>
      <w:proofErr w:type="gramStart"/>
      <w:r>
        <w:rPr>
          <w:rFonts w:cs="Arial"/>
          <w:color w:val="000000" w:themeColor="text1"/>
        </w:rPr>
        <w:t>h</w:t>
      </w:r>
      <w:r w:rsidRPr="00E60699">
        <w:rPr>
          <w:rFonts w:cs="Arial"/>
          <w:color w:val="000000" w:themeColor="text1"/>
        </w:rPr>
        <w:t>ave</w:t>
      </w:r>
      <w:proofErr w:type="gramEnd"/>
      <w:r w:rsidRPr="00E60699">
        <w:rPr>
          <w:rFonts w:cs="Arial"/>
          <w:color w:val="000000" w:themeColor="text1"/>
        </w:rPr>
        <w:t xml:space="preserve"> </w:t>
      </w:r>
      <w:r w:rsidR="009C252B" w:rsidRPr="00E60699">
        <w:rPr>
          <w:rFonts w:cs="Arial"/>
          <w:color w:val="000000" w:themeColor="text1"/>
        </w:rPr>
        <w:t>an account with an Australian financial institution.</w:t>
      </w:r>
    </w:p>
    <w:p w14:paraId="17F1DB88" w14:textId="77777777" w:rsidR="002A0E03" w:rsidRDefault="002A0E03" w:rsidP="00A8702B">
      <w:pPr>
        <w:pStyle w:val="Heading3"/>
      </w:pPr>
      <w:bookmarkStart w:id="24" w:name="_Toc529276516"/>
      <w:bookmarkStart w:id="25" w:name="_Toc529276517"/>
      <w:bookmarkStart w:id="26" w:name="_Toc529276518"/>
      <w:bookmarkStart w:id="27" w:name="_Toc494290495"/>
      <w:bookmarkStart w:id="28" w:name="_Toc17704006"/>
      <w:bookmarkEnd w:id="24"/>
      <w:bookmarkEnd w:id="25"/>
      <w:bookmarkEnd w:id="26"/>
      <w:bookmarkEnd w:id="27"/>
      <w:r>
        <w:t>Who is not eligible</w:t>
      </w:r>
      <w:r w:rsidR="003271A6">
        <w:t xml:space="preserve"> to apply for a grant</w:t>
      </w:r>
      <w:r>
        <w:t>?</w:t>
      </w:r>
      <w:bookmarkEnd w:id="28"/>
    </w:p>
    <w:p w14:paraId="347FAB27" w14:textId="77777777" w:rsidR="003C19C8" w:rsidRDefault="003C19C8" w:rsidP="003C19C8">
      <w:r w:rsidRPr="00A668C8">
        <w:t>You are not eligible to apply if you are</w:t>
      </w:r>
      <w:r w:rsidR="0034568F">
        <w:t xml:space="preserve"> a</w:t>
      </w:r>
      <w:r w:rsidRPr="00A668C8">
        <w:t xml:space="preserve">: </w:t>
      </w:r>
    </w:p>
    <w:p w14:paraId="425632B7" w14:textId="77777777" w:rsidR="009C252B" w:rsidRPr="00E60699" w:rsidRDefault="009C252B" w:rsidP="009C252B">
      <w:pPr>
        <w:pStyle w:val="ListBullet"/>
        <w:rPr>
          <w:color w:val="000000" w:themeColor="text1"/>
        </w:rPr>
      </w:pPr>
      <w:r w:rsidRPr="00E60699">
        <w:rPr>
          <w:color w:val="000000" w:themeColor="text1"/>
        </w:rPr>
        <w:t>Corporate Commonwealth Entity</w:t>
      </w:r>
    </w:p>
    <w:p w14:paraId="7FE462AE" w14:textId="77777777" w:rsidR="009C252B" w:rsidRPr="00E60699" w:rsidRDefault="009C252B" w:rsidP="009C252B">
      <w:pPr>
        <w:pStyle w:val="ListBullet"/>
        <w:rPr>
          <w:color w:val="000000" w:themeColor="text1"/>
        </w:rPr>
      </w:pPr>
      <w:r w:rsidRPr="00E60699">
        <w:rPr>
          <w:color w:val="000000" w:themeColor="text1"/>
        </w:rPr>
        <w:t>Non-Corporate Commonwealth Entity</w:t>
      </w:r>
    </w:p>
    <w:p w14:paraId="77AAA2FF" w14:textId="77777777" w:rsidR="009C252B" w:rsidRPr="00E60699" w:rsidRDefault="009C252B" w:rsidP="009C252B">
      <w:pPr>
        <w:pStyle w:val="ListBullet"/>
        <w:rPr>
          <w:color w:val="000000" w:themeColor="text1"/>
        </w:rPr>
      </w:pPr>
      <w:r w:rsidRPr="00E60699">
        <w:rPr>
          <w:color w:val="000000" w:themeColor="text1"/>
        </w:rPr>
        <w:t xml:space="preserve">Non-Corporate Commonwealth Statutory Authority </w:t>
      </w:r>
    </w:p>
    <w:p w14:paraId="683BFF27" w14:textId="77777777" w:rsidR="009C252B" w:rsidRPr="00E60699" w:rsidRDefault="009C252B" w:rsidP="009C252B">
      <w:pPr>
        <w:pStyle w:val="ListBullet"/>
        <w:rPr>
          <w:color w:val="000000" w:themeColor="text1"/>
        </w:rPr>
      </w:pPr>
      <w:r w:rsidRPr="00E60699">
        <w:rPr>
          <w:color w:val="000000" w:themeColor="text1"/>
        </w:rPr>
        <w:t xml:space="preserve">Commonwealth Company </w:t>
      </w:r>
    </w:p>
    <w:p w14:paraId="60B8785F" w14:textId="77777777" w:rsidR="009C252B" w:rsidRPr="00E60699" w:rsidRDefault="009C252B" w:rsidP="009C252B">
      <w:pPr>
        <w:pStyle w:val="ListBullet"/>
        <w:rPr>
          <w:color w:val="000000" w:themeColor="text1"/>
        </w:rPr>
      </w:pPr>
      <w:r w:rsidRPr="00E60699">
        <w:rPr>
          <w:color w:val="000000" w:themeColor="text1"/>
        </w:rPr>
        <w:t xml:space="preserve">Corporate State or Territory Entity </w:t>
      </w:r>
    </w:p>
    <w:p w14:paraId="1FEEC25C" w14:textId="77777777" w:rsidR="009C252B" w:rsidRPr="00E60699" w:rsidRDefault="009C252B" w:rsidP="009C252B">
      <w:pPr>
        <w:pStyle w:val="ListBullet"/>
        <w:rPr>
          <w:color w:val="000000" w:themeColor="text1"/>
        </w:rPr>
      </w:pPr>
      <w:r w:rsidRPr="00E60699">
        <w:rPr>
          <w:color w:val="000000" w:themeColor="text1"/>
        </w:rPr>
        <w:t xml:space="preserve">Non-corporate State or Territory Entity </w:t>
      </w:r>
    </w:p>
    <w:p w14:paraId="25A301D7" w14:textId="77777777" w:rsidR="009C252B" w:rsidRPr="00E60699" w:rsidRDefault="009C252B" w:rsidP="009C252B">
      <w:pPr>
        <w:pStyle w:val="ListBullet"/>
        <w:rPr>
          <w:color w:val="000000" w:themeColor="text1"/>
        </w:rPr>
      </w:pPr>
      <w:r w:rsidRPr="00E60699">
        <w:rPr>
          <w:color w:val="000000" w:themeColor="text1"/>
        </w:rPr>
        <w:t>Non-corporate State or Territory Statutory Authority</w:t>
      </w:r>
    </w:p>
    <w:p w14:paraId="798A5457" w14:textId="77777777" w:rsidR="009C252B" w:rsidRPr="00E60699" w:rsidRDefault="009C252B" w:rsidP="009C252B">
      <w:pPr>
        <w:pStyle w:val="ListBullet"/>
        <w:rPr>
          <w:color w:val="000000" w:themeColor="text1"/>
        </w:rPr>
      </w:pPr>
      <w:r w:rsidRPr="00E60699">
        <w:rPr>
          <w:color w:val="000000" w:themeColor="text1"/>
        </w:rPr>
        <w:t>International Entity</w:t>
      </w:r>
    </w:p>
    <w:p w14:paraId="4AD2997F" w14:textId="77777777" w:rsidR="009C252B" w:rsidRPr="00E60699" w:rsidRDefault="009C252B" w:rsidP="009C252B">
      <w:pPr>
        <w:pStyle w:val="ListBullet"/>
        <w:rPr>
          <w:color w:val="000000" w:themeColor="text1"/>
        </w:rPr>
      </w:pPr>
      <w:r w:rsidRPr="00E60699">
        <w:rPr>
          <w:color w:val="000000" w:themeColor="text1"/>
        </w:rPr>
        <w:t xml:space="preserve">Sole Trader </w:t>
      </w:r>
    </w:p>
    <w:p w14:paraId="0C577BC6" w14:textId="77777777" w:rsidR="002E1351" w:rsidRDefault="009C252B" w:rsidP="009C252B">
      <w:pPr>
        <w:pStyle w:val="ListBullet"/>
        <w:rPr>
          <w:color w:val="000000" w:themeColor="text1"/>
        </w:rPr>
      </w:pPr>
      <w:r w:rsidRPr="00E60699">
        <w:rPr>
          <w:color w:val="000000" w:themeColor="text1"/>
        </w:rPr>
        <w:t xml:space="preserve">Statutory Entity </w:t>
      </w:r>
    </w:p>
    <w:p w14:paraId="13341E38" w14:textId="77777777" w:rsidR="009C252B" w:rsidRPr="00E60699" w:rsidRDefault="009C252B" w:rsidP="009C252B">
      <w:pPr>
        <w:pStyle w:val="ListBullet"/>
        <w:rPr>
          <w:color w:val="000000" w:themeColor="text1"/>
        </w:rPr>
      </w:pPr>
      <w:r w:rsidRPr="00E60699">
        <w:rPr>
          <w:color w:val="000000" w:themeColor="text1"/>
        </w:rPr>
        <w:t xml:space="preserve">Partnership </w:t>
      </w:r>
    </w:p>
    <w:p w14:paraId="5178022A" w14:textId="77777777" w:rsidR="009C252B" w:rsidRPr="00E60699" w:rsidRDefault="009C252B" w:rsidP="009C252B">
      <w:pPr>
        <w:pStyle w:val="ListBullet"/>
        <w:rPr>
          <w:color w:val="000000" w:themeColor="text1"/>
        </w:rPr>
      </w:pPr>
      <w:r w:rsidRPr="00E60699">
        <w:rPr>
          <w:color w:val="000000" w:themeColor="text1"/>
        </w:rPr>
        <w:t xml:space="preserve">Person </w:t>
      </w:r>
    </w:p>
    <w:p w14:paraId="03F7EB77" w14:textId="0C7DF137" w:rsidR="009C252B" w:rsidRPr="00E60699" w:rsidRDefault="009C252B" w:rsidP="009C252B">
      <w:pPr>
        <w:pStyle w:val="ListBullet"/>
        <w:rPr>
          <w:color w:val="000000" w:themeColor="text1"/>
        </w:rPr>
      </w:pPr>
      <w:r w:rsidRPr="00E60699">
        <w:rPr>
          <w:color w:val="000000" w:themeColor="text1"/>
        </w:rPr>
        <w:t>Trustee on behalf of a Trust</w:t>
      </w:r>
      <w:r w:rsidR="00B31681">
        <w:rPr>
          <w:color w:val="000000" w:themeColor="text1"/>
        </w:rPr>
        <w:t xml:space="preserve"> </w:t>
      </w:r>
    </w:p>
    <w:p w14:paraId="5910DE6A" w14:textId="685909B9" w:rsidR="009C252B" w:rsidRPr="0073429A" w:rsidRDefault="009C252B" w:rsidP="009C252B">
      <w:pPr>
        <w:pStyle w:val="ListBullet"/>
        <w:rPr>
          <w:color w:val="000000" w:themeColor="text1"/>
        </w:rPr>
      </w:pPr>
      <w:r w:rsidRPr="0073429A">
        <w:rPr>
          <w:color w:val="000000" w:themeColor="text1"/>
        </w:rPr>
        <w:t>Unincorporated Association</w:t>
      </w:r>
    </w:p>
    <w:p w14:paraId="77316C76" w14:textId="77777777" w:rsidR="001B0DE1" w:rsidRDefault="001B0DE1" w:rsidP="00A8702B">
      <w:pPr>
        <w:pStyle w:val="Heading4"/>
      </w:pPr>
      <w:bookmarkStart w:id="29" w:name="_Toc17704007"/>
      <w:r>
        <w:t>Unincorporated Associations</w:t>
      </w:r>
      <w:bookmarkEnd w:id="29"/>
      <w:r>
        <w:t xml:space="preserve"> </w:t>
      </w:r>
    </w:p>
    <w:p w14:paraId="3E1AD08C" w14:textId="6D8FE4C8" w:rsidR="001B0DE1" w:rsidRDefault="001B0DE1" w:rsidP="001B0DE1">
      <w:pPr>
        <w:pStyle w:val="ListBullet"/>
        <w:numPr>
          <w:ilvl w:val="0"/>
          <w:numId w:val="0"/>
        </w:numPr>
      </w:pPr>
      <w:r>
        <w:t>Non-</w:t>
      </w:r>
      <w:r w:rsidR="004B0468">
        <w:t>l</w:t>
      </w:r>
      <w:r>
        <w:t xml:space="preserve">egal </w:t>
      </w:r>
      <w:r w:rsidR="004B0468">
        <w:t>e</w:t>
      </w:r>
      <w:r>
        <w:t>ntities such as an Unincorporated Association may be able to receive funding where a legal parent organisation, or a legal entity connected to the Unincorporated Association can enter into a legally binding agreement on its</w:t>
      </w:r>
      <w:r w:rsidR="002D6428">
        <w:t xml:space="preserve"> behalf</w:t>
      </w:r>
      <w:r w:rsidR="00914D58">
        <w:t xml:space="preserve"> and is an eligible entity as per Sections 4.1 and 4.2</w:t>
      </w:r>
      <w:r>
        <w:t xml:space="preserve">. </w:t>
      </w:r>
    </w:p>
    <w:p w14:paraId="25BF5112" w14:textId="77777777" w:rsidR="00A35F51" w:rsidRDefault="00907078" w:rsidP="009668F6">
      <w:pPr>
        <w:pStyle w:val="Heading2"/>
      </w:pPr>
      <w:bookmarkStart w:id="30" w:name="_Toc17704008"/>
      <w:r>
        <w:t>What the grant money can be used for</w:t>
      </w:r>
      <w:bookmarkEnd w:id="30"/>
    </w:p>
    <w:p w14:paraId="3795DA95" w14:textId="77777777" w:rsidR="00387218" w:rsidRDefault="007101E7" w:rsidP="00A8702B">
      <w:pPr>
        <w:pStyle w:val="Heading3"/>
      </w:pPr>
      <w:bookmarkStart w:id="31" w:name="_Toc11318230"/>
      <w:bookmarkStart w:id="32" w:name="_Toc11318231"/>
      <w:bookmarkStart w:id="33" w:name="_Toc17704009"/>
      <w:bookmarkEnd w:id="31"/>
      <w:bookmarkEnd w:id="32"/>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33"/>
    </w:p>
    <w:p w14:paraId="0AEF6511" w14:textId="06947725" w:rsidR="0034568F" w:rsidRDefault="003848A4" w:rsidP="006959F1">
      <w:pPr>
        <w:rPr>
          <w:rFonts w:cs="Arial"/>
          <w:color w:val="000000" w:themeColor="text1"/>
        </w:rPr>
      </w:pPr>
      <w:bookmarkStart w:id="34" w:name="_Ref468355814"/>
      <w:bookmarkStart w:id="35" w:name="_Toc383003258"/>
      <w:bookmarkStart w:id="36" w:name="_Toc164844265"/>
      <w:r w:rsidRPr="009C167A">
        <w:rPr>
          <w:rFonts w:cs="Arial"/>
        </w:rPr>
        <w:t xml:space="preserve">To be eligible </w:t>
      </w:r>
      <w:r w:rsidRPr="00D53DC2">
        <w:rPr>
          <w:rFonts w:cs="Arial"/>
          <w:color w:val="000000" w:themeColor="text1"/>
        </w:rPr>
        <w:t xml:space="preserve">your </w:t>
      </w:r>
      <w:r w:rsidR="006E0B42" w:rsidRPr="00D53DC2">
        <w:rPr>
          <w:rFonts w:cs="Arial"/>
          <w:color w:val="000000" w:themeColor="text1"/>
        </w:rPr>
        <w:t>grant activity</w:t>
      </w:r>
      <w:r w:rsidR="00635ACF" w:rsidRPr="00D53DC2">
        <w:rPr>
          <w:rFonts w:cs="Arial"/>
          <w:color w:val="000000" w:themeColor="text1"/>
        </w:rPr>
        <w:t xml:space="preserve"> </w:t>
      </w:r>
      <w:r w:rsidRPr="009C167A">
        <w:rPr>
          <w:rFonts w:cs="Arial"/>
        </w:rPr>
        <w:t>must</w:t>
      </w:r>
      <w:r w:rsidR="006959F1">
        <w:rPr>
          <w:rFonts w:cs="Arial"/>
        </w:rPr>
        <w:t xml:space="preserve"> </w:t>
      </w:r>
      <w:r w:rsidR="009C252B" w:rsidRPr="00B10CE0">
        <w:rPr>
          <w:rFonts w:cs="Arial"/>
          <w:color w:val="000000" w:themeColor="text1"/>
        </w:rPr>
        <w:t>be in accordance with these guidelines</w:t>
      </w:r>
      <w:r w:rsidR="006959F1">
        <w:rPr>
          <w:rFonts w:cs="Arial"/>
          <w:color w:val="000000" w:themeColor="text1"/>
        </w:rPr>
        <w:t xml:space="preserve"> and </w:t>
      </w:r>
      <w:r w:rsidR="00DF4A1B">
        <w:rPr>
          <w:rFonts w:cs="Arial"/>
          <w:color w:val="000000" w:themeColor="text1"/>
        </w:rPr>
        <w:t>should meet</w:t>
      </w:r>
      <w:r w:rsidR="006A12C0">
        <w:rPr>
          <w:rFonts w:cs="Arial"/>
          <w:color w:val="000000" w:themeColor="text1"/>
        </w:rPr>
        <w:t xml:space="preserve"> </w:t>
      </w:r>
      <w:r w:rsidR="006959F1">
        <w:rPr>
          <w:rFonts w:cs="Arial"/>
          <w:color w:val="000000" w:themeColor="text1"/>
        </w:rPr>
        <w:t>the following requirements:</w:t>
      </w:r>
    </w:p>
    <w:p w14:paraId="4448C7C3" w14:textId="0BAE90EB" w:rsidR="00914D58" w:rsidRDefault="009C252B" w:rsidP="009C252B">
      <w:pPr>
        <w:pStyle w:val="ListBullet"/>
        <w:rPr>
          <w:rFonts w:cs="Arial"/>
          <w:color w:val="000000" w:themeColor="text1"/>
        </w:rPr>
      </w:pPr>
      <w:r w:rsidRPr="00B10CE0">
        <w:rPr>
          <w:rFonts w:cs="Arial"/>
          <w:color w:val="000000" w:themeColor="text1"/>
        </w:rPr>
        <w:lastRenderedPageBreak/>
        <w:t xml:space="preserve">Eligible organisations are encouraged to collaborate with the broader </w:t>
      </w:r>
      <w:r w:rsidR="00914D58">
        <w:rPr>
          <w:rFonts w:cs="Arial"/>
          <w:color w:val="000000" w:themeColor="text1"/>
        </w:rPr>
        <w:t xml:space="preserve">eligible </w:t>
      </w:r>
      <w:r w:rsidRPr="00B10CE0">
        <w:rPr>
          <w:rFonts w:cs="Arial"/>
          <w:color w:val="000000" w:themeColor="text1"/>
        </w:rPr>
        <w:t>community and, as appropriate, act in partnership with other organisations to propose projects that stimulate economic activity and growth</w:t>
      </w:r>
      <w:r w:rsidR="007E75C7">
        <w:rPr>
          <w:rFonts w:cs="Arial"/>
          <w:color w:val="000000" w:themeColor="text1"/>
        </w:rPr>
        <w:t xml:space="preserve">. </w:t>
      </w:r>
    </w:p>
    <w:p w14:paraId="1D04F5F9" w14:textId="53B814AD" w:rsidR="009C252B" w:rsidRPr="005250EA" w:rsidRDefault="000269EC" w:rsidP="009C252B">
      <w:pPr>
        <w:pStyle w:val="ListBullet"/>
        <w:rPr>
          <w:rFonts w:cs="Arial"/>
          <w:color w:val="000000" w:themeColor="text1"/>
        </w:rPr>
      </w:pPr>
      <w:proofErr w:type="gramStart"/>
      <w:r w:rsidRPr="005250EA">
        <w:rPr>
          <w:rFonts w:cs="Arial"/>
          <w:color w:val="000000" w:themeColor="text1"/>
        </w:rPr>
        <w:t xml:space="preserve">Eligible projects should be in the communities identified in the list in Section 5.2 and shown in the maps in </w:t>
      </w:r>
      <w:r w:rsidRPr="005250EA">
        <w:rPr>
          <w:rFonts w:cs="Arial"/>
          <w:b/>
          <w:color w:val="000000" w:themeColor="text1"/>
        </w:rPr>
        <w:t>Appendix A</w:t>
      </w:r>
      <w:r w:rsidRPr="005250EA">
        <w:rPr>
          <w:rFonts w:cs="Arial"/>
          <w:color w:val="000000" w:themeColor="text1"/>
        </w:rPr>
        <w:t xml:space="preserve"> and must</w:t>
      </w:r>
      <w:r w:rsidR="009C252B" w:rsidRPr="005250EA">
        <w:rPr>
          <w:rFonts w:cs="Arial"/>
          <w:color w:val="000000" w:themeColor="text1"/>
        </w:rPr>
        <w:t xml:space="preserve"> </w:t>
      </w:r>
      <w:r w:rsidR="00914D58" w:rsidRPr="005250EA">
        <w:rPr>
          <w:rFonts w:cs="Arial"/>
          <w:color w:val="000000" w:themeColor="text1"/>
        </w:rPr>
        <w:t xml:space="preserve">conduct economic development activities that will </w:t>
      </w:r>
      <w:r w:rsidR="009C252B" w:rsidRPr="005250EA">
        <w:rPr>
          <w:rFonts w:cs="Arial"/>
          <w:color w:val="000000" w:themeColor="text1"/>
        </w:rPr>
        <w:t xml:space="preserve">mitigate the effects of </w:t>
      </w:r>
      <w:r w:rsidR="007E75C7" w:rsidRPr="005250EA">
        <w:rPr>
          <w:rFonts w:cs="Arial"/>
          <w:color w:val="000000" w:themeColor="text1"/>
        </w:rPr>
        <w:t xml:space="preserve">the </w:t>
      </w:r>
      <w:r w:rsidR="009C252B" w:rsidRPr="005250EA">
        <w:rPr>
          <w:rFonts w:cs="Arial"/>
          <w:color w:val="000000" w:themeColor="text1"/>
        </w:rPr>
        <w:t>Basin Plan water recovery activities</w:t>
      </w:r>
      <w:r w:rsidRPr="005250EA">
        <w:rPr>
          <w:rFonts w:cs="Arial"/>
          <w:color w:val="000000" w:themeColor="text1"/>
        </w:rPr>
        <w:t xml:space="preserve"> in those communities.</w:t>
      </w:r>
      <w:proofErr w:type="gramEnd"/>
      <w:r w:rsidR="009C252B" w:rsidRPr="005250EA">
        <w:rPr>
          <w:rFonts w:cs="Arial"/>
          <w:color w:val="000000" w:themeColor="text1"/>
        </w:rPr>
        <w:t xml:space="preserve"> </w:t>
      </w:r>
    </w:p>
    <w:p w14:paraId="625D1F28" w14:textId="77777777" w:rsidR="009C252B" w:rsidRPr="00B10CE0" w:rsidRDefault="009C252B" w:rsidP="009C252B">
      <w:pPr>
        <w:pStyle w:val="ListBullet"/>
        <w:rPr>
          <w:rFonts w:cs="Arial"/>
          <w:color w:val="000000" w:themeColor="text1"/>
        </w:rPr>
      </w:pPr>
      <w:r w:rsidRPr="00B10CE0">
        <w:rPr>
          <w:rFonts w:cs="Arial"/>
          <w:color w:val="000000" w:themeColor="text1"/>
        </w:rPr>
        <w:t xml:space="preserve">Broadly, the program supports projects that create economic development and employment opportunities. This would include innovative projects or proposals to build community capacity to make the most of the resources available. Projects do not </w:t>
      </w:r>
      <w:r w:rsidR="0034568F">
        <w:rPr>
          <w:rFonts w:cs="Arial"/>
          <w:color w:val="000000" w:themeColor="text1"/>
        </w:rPr>
        <w:t>have</w:t>
      </w:r>
      <w:r w:rsidRPr="00B10CE0">
        <w:rPr>
          <w:rFonts w:cs="Arial"/>
          <w:color w:val="000000" w:themeColor="text1"/>
        </w:rPr>
        <w:t xml:space="preserve"> to relate to irrigation or agriculture. Ideally, applications should bring enduring benefits to the </w:t>
      </w:r>
      <w:r w:rsidR="0034568F">
        <w:rPr>
          <w:rFonts w:cs="Arial"/>
          <w:color w:val="000000" w:themeColor="text1"/>
        </w:rPr>
        <w:t>entire</w:t>
      </w:r>
      <w:r w:rsidRPr="00B10CE0">
        <w:rPr>
          <w:rFonts w:cs="Arial"/>
          <w:color w:val="000000" w:themeColor="text1"/>
        </w:rPr>
        <w:t xml:space="preserve"> eligible community. </w:t>
      </w:r>
    </w:p>
    <w:p w14:paraId="2981293C" w14:textId="12EF4582" w:rsidR="009C252B" w:rsidRPr="00B10CE0" w:rsidRDefault="009C252B" w:rsidP="00DF4A1B">
      <w:pPr>
        <w:pStyle w:val="ListBullet"/>
        <w:numPr>
          <w:ilvl w:val="0"/>
          <w:numId w:val="0"/>
        </w:numPr>
        <w:rPr>
          <w:rFonts w:cs="Arial"/>
          <w:color w:val="000000" w:themeColor="text1"/>
        </w:rPr>
      </w:pPr>
      <w:r w:rsidRPr="00B10CE0">
        <w:rPr>
          <w:rFonts w:cs="Arial"/>
          <w:color w:val="000000" w:themeColor="text1"/>
        </w:rPr>
        <w:t>Projects</w:t>
      </w:r>
      <w:r w:rsidR="007E75C7">
        <w:rPr>
          <w:rFonts w:cs="Arial"/>
          <w:color w:val="000000" w:themeColor="text1"/>
        </w:rPr>
        <w:t xml:space="preserve"> should</w:t>
      </w:r>
      <w:r w:rsidRPr="00B10CE0">
        <w:rPr>
          <w:rFonts w:cs="Arial"/>
          <w:color w:val="000000" w:themeColor="text1"/>
        </w:rPr>
        <w:t xml:space="preserve"> involve activities to support the unique situations faced by eligible communities and may:</w:t>
      </w:r>
    </w:p>
    <w:p w14:paraId="5B17A542" w14:textId="77777777" w:rsidR="009C252B" w:rsidRPr="00B10CE0" w:rsidRDefault="009C252B" w:rsidP="00756319">
      <w:pPr>
        <w:pStyle w:val="ListBullet"/>
        <w:rPr>
          <w:rFonts w:cs="Arial"/>
          <w:color w:val="000000" w:themeColor="text1"/>
        </w:rPr>
      </w:pPr>
      <w:r w:rsidRPr="00B10CE0">
        <w:rPr>
          <w:rFonts w:cs="Arial"/>
          <w:color w:val="000000" w:themeColor="text1"/>
        </w:rPr>
        <w:t>focus on future economic development needs through the development of non-technical skills such as business management, risk management, strategic planning and leadership in order to support resilience and adaptive management capability</w:t>
      </w:r>
    </w:p>
    <w:p w14:paraId="352BB33D" w14:textId="77777777" w:rsidR="009C252B" w:rsidRPr="00B10CE0" w:rsidRDefault="009C252B" w:rsidP="00756319">
      <w:pPr>
        <w:pStyle w:val="ListBullet"/>
        <w:rPr>
          <w:rFonts w:cs="Arial"/>
          <w:color w:val="000000" w:themeColor="text1"/>
        </w:rPr>
      </w:pPr>
      <w:r w:rsidRPr="00B10CE0">
        <w:rPr>
          <w:rFonts w:cs="Arial"/>
          <w:color w:val="000000" w:themeColor="text1"/>
        </w:rPr>
        <w:t xml:space="preserve">strengthen workforce capabilities through skills and capabilities development, entrepreneurialism, resilience and adaptive capacities in ways that are enduring </w:t>
      </w:r>
    </w:p>
    <w:p w14:paraId="6887F1F7" w14:textId="77777777" w:rsidR="009C252B" w:rsidRPr="00B10CE0" w:rsidRDefault="009C252B" w:rsidP="00756319">
      <w:pPr>
        <w:pStyle w:val="ListBullet"/>
        <w:rPr>
          <w:rFonts w:cs="Arial"/>
          <w:color w:val="000000" w:themeColor="text1"/>
        </w:rPr>
      </w:pPr>
      <w:r w:rsidRPr="00B10CE0">
        <w:rPr>
          <w:rFonts w:cs="Arial"/>
          <w:color w:val="000000" w:themeColor="text1"/>
        </w:rPr>
        <w:t>deliver Indigenous-focussed outcomes</w:t>
      </w:r>
    </w:p>
    <w:p w14:paraId="425A8385" w14:textId="77777777" w:rsidR="009C252B" w:rsidRPr="00B10CE0" w:rsidRDefault="009C252B" w:rsidP="00756319">
      <w:pPr>
        <w:pStyle w:val="ListBullet"/>
        <w:rPr>
          <w:rFonts w:cs="Arial"/>
          <w:color w:val="000000" w:themeColor="text1"/>
        </w:rPr>
      </w:pPr>
      <w:r w:rsidRPr="00B10CE0">
        <w:rPr>
          <w:rFonts w:cs="Arial"/>
          <w:color w:val="000000" w:themeColor="text1"/>
        </w:rPr>
        <w:t xml:space="preserve">develop industry clusters or networks that bring together representatives of regional businesses, research centres and other partners </w:t>
      </w:r>
    </w:p>
    <w:p w14:paraId="257469A6" w14:textId="77777777" w:rsidR="009C252B" w:rsidRPr="00B10CE0" w:rsidRDefault="009C252B" w:rsidP="00756319">
      <w:pPr>
        <w:pStyle w:val="ListBullet"/>
        <w:rPr>
          <w:rFonts w:cs="Arial"/>
          <w:color w:val="000000" w:themeColor="text1"/>
        </w:rPr>
      </w:pPr>
      <w:r w:rsidRPr="00B10CE0">
        <w:rPr>
          <w:rFonts w:cs="Arial"/>
          <w:color w:val="000000" w:themeColor="text1"/>
        </w:rPr>
        <w:t>integrate new technology or processes for improved capability, productivity and competitiveness</w:t>
      </w:r>
    </w:p>
    <w:p w14:paraId="7E05C118" w14:textId="77777777" w:rsidR="009C252B" w:rsidRPr="00B10CE0" w:rsidRDefault="009C252B" w:rsidP="00756319">
      <w:pPr>
        <w:pStyle w:val="ListBullet"/>
        <w:rPr>
          <w:rFonts w:cs="Arial"/>
          <w:color w:val="000000" w:themeColor="text1"/>
        </w:rPr>
      </w:pPr>
      <w:r w:rsidRPr="00B10CE0">
        <w:rPr>
          <w:rFonts w:cs="Arial"/>
          <w:color w:val="000000" w:themeColor="text1"/>
        </w:rPr>
        <w:t xml:space="preserve">assist local businesses and industries (including tourism) to grow and/or diversify, attracting new investment and new job creation </w:t>
      </w:r>
    </w:p>
    <w:p w14:paraId="3DCDB3F9" w14:textId="77777777" w:rsidR="009C252B" w:rsidRPr="00B10CE0" w:rsidRDefault="009C252B" w:rsidP="00756319">
      <w:pPr>
        <w:pStyle w:val="ListBullet"/>
        <w:rPr>
          <w:rFonts w:cs="Arial"/>
          <w:color w:val="000000" w:themeColor="text1"/>
        </w:rPr>
      </w:pPr>
      <w:r w:rsidRPr="00B10CE0">
        <w:rPr>
          <w:rFonts w:cs="Arial"/>
          <w:color w:val="000000" w:themeColor="text1"/>
        </w:rPr>
        <w:t>address barriers to commerce such as inadequate mobile or internet services, or local banking opportunities</w:t>
      </w:r>
    </w:p>
    <w:p w14:paraId="177E33D9" w14:textId="77777777" w:rsidR="009C252B" w:rsidRPr="00B10CE0" w:rsidRDefault="009C252B" w:rsidP="00756319">
      <w:pPr>
        <w:pStyle w:val="ListBullet"/>
        <w:rPr>
          <w:rFonts w:cs="Arial"/>
          <w:color w:val="000000" w:themeColor="text1"/>
        </w:rPr>
      </w:pPr>
      <w:r w:rsidRPr="00B10CE0">
        <w:rPr>
          <w:rFonts w:cs="Arial"/>
          <w:color w:val="000000" w:themeColor="text1"/>
        </w:rPr>
        <w:t>address environmental needs, including management, education and tourism</w:t>
      </w:r>
    </w:p>
    <w:p w14:paraId="5F97BDE2" w14:textId="77777777" w:rsidR="009C252B" w:rsidRPr="00B10CE0" w:rsidRDefault="009C252B" w:rsidP="00756319">
      <w:pPr>
        <w:pStyle w:val="ListBullet"/>
        <w:rPr>
          <w:rFonts w:cs="Arial"/>
          <w:color w:val="000000" w:themeColor="text1"/>
        </w:rPr>
      </w:pPr>
      <w:r w:rsidRPr="00B10CE0">
        <w:rPr>
          <w:rFonts w:cs="Arial"/>
          <w:color w:val="000000" w:themeColor="text1"/>
        </w:rPr>
        <w:t>address infrastructure challenges impacting on industry sustainability or expansion</w:t>
      </w:r>
    </w:p>
    <w:p w14:paraId="5B5C6DD4" w14:textId="77777777" w:rsidR="009C252B" w:rsidRPr="00B10CE0" w:rsidRDefault="009C252B" w:rsidP="00756319">
      <w:pPr>
        <w:pStyle w:val="ListBullet"/>
        <w:rPr>
          <w:rFonts w:cs="Arial"/>
          <w:color w:val="000000" w:themeColor="text1"/>
        </w:rPr>
      </w:pPr>
      <w:r w:rsidRPr="00B10CE0">
        <w:rPr>
          <w:rFonts w:cs="Arial"/>
          <w:color w:val="000000" w:themeColor="text1"/>
        </w:rPr>
        <w:t xml:space="preserve">improve infrastructure, plant or equipment for enhanced efficiency and competitiveness of local industry </w:t>
      </w:r>
    </w:p>
    <w:p w14:paraId="03EE38FC" w14:textId="77777777" w:rsidR="009C252B" w:rsidRPr="00B10CE0" w:rsidRDefault="009C252B" w:rsidP="00756319">
      <w:pPr>
        <w:pStyle w:val="ListBullet"/>
        <w:rPr>
          <w:rFonts w:cs="Arial"/>
          <w:color w:val="000000" w:themeColor="text1"/>
        </w:rPr>
      </w:pPr>
      <w:r w:rsidRPr="00B10CE0">
        <w:rPr>
          <w:rFonts w:cs="Arial"/>
          <w:color w:val="000000" w:themeColor="text1"/>
        </w:rPr>
        <w:t xml:space="preserve">strengthen supply chain efficiencies and linkages </w:t>
      </w:r>
    </w:p>
    <w:p w14:paraId="650CBC4A" w14:textId="388CC978" w:rsidR="009C252B" w:rsidRPr="00B10CE0" w:rsidRDefault="009C252B" w:rsidP="00756319">
      <w:pPr>
        <w:pStyle w:val="ListBullet"/>
        <w:rPr>
          <w:rFonts w:cs="Arial"/>
          <w:color w:val="000000" w:themeColor="text1"/>
        </w:rPr>
      </w:pPr>
      <w:r w:rsidRPr="00B10CE0">
        <w:rPr>
          <w:rFonts w:cs="Arial"/>
          <w:color w:val="000000" w:themeColor="text1"/>
        </w:rPr>
        <w:t>deliver strategic planning that addresses and responds to the economic challenges a community faces as a result of water recovery activities under the Basin Plan</w:t>
      </w:r>
    </w:p>
    <w:p w14:paraId="34A04B2F" w14:textId="77777777" w:rsidR="009C252B" w:rsidRPr="00B10CE0" w:rsidRDefault="009C252B" w:rsidP="00756319">
      <w:pPr>
        <w:pStyle w:val="ListBullet"/>
        <w:rPr>
          <w:rFonts w:cs="Arial"/>
          <w:color w:val="000000" w:themeColor="text1"/>
        </w:rPr>
      </w:pPr>
      <w:proofErr w:type="gramStart"/>
      <w:r w:rsidRPr="00B10CE0">
        <w:rPr>
          <w:rFonts w:cs="Arial"/>
          <w:color w:val="000000" w:themeColor="text1"/>
        </w:rPr>
        <w:t>leverage</w:t>
      </w:r>
      <w:proofErr w:type="gramEnd"/>
      <w:r w:rsidRPr="00B10CE0">
        <w:rPr>
          <w:rFonts w:cs="Arial"/>
          <w:color w:val="000000" w:themeColor="text1"/>
        </w:rPr>
        <w:t xml:space="preserve"> other Commonwealth or State grant programs to increase the value of the grant. </w:t>
      </w:r>
    </w:p>
    <w:p w14:paraId="04711DEC" w14:textId="77777777" w:rsidR="009C252B" w:rsidRPr="00B10CE0" w:rsidRDefault="009C252B" w:rsidP="00D97265">
      <w:pPr>
        <w:pStyle w:val="ListBullet"/>
        <w:numPr>
          <w:ilvl w:val="0"/>
          <w:numId w:val="0"/>
        </w:numPr>
        <w:rPr>
          <w:rFonts w:cs="Arial"/>
          <w:color w:val="000000" w:themeColor="text1"/>
        </w:rPr>
      </w:pPr>
      <w:r w:rsidRPr="00B10CE0">
        <w:rPr>
          <w:rFonts w:cs="Arial"/>
          <w:color w:val="000000" w:themeColor="text1"/>
        </w:rPr>
        <w:t xml:space="preserve">The above list is not comprehensive and other project activities </w:t>
      </w:r>
      <w:proofErr w:type="gramStart"/>
      <w:r w:rsidRPr="00B10CE0">
        <w:rPr>
          <w:rFonts w:cs="Arial"/>
          <w:color w:val="000000" w:themeColor="text1"/>
        </w:rPr>
        <w:t>will be considered</w:t>
      </w:r>
      <w:proofErr w:type="gramEnd"/>
      <w:r w:rsidRPr="00B10CE0">
        <w:rPr>
          <w:rFonts w:cs="Arial"/>
          <w:color w:val="000000" w:themeColor="text1"/>
        </w:rPr>
        <w:t>.</w:t>
      </w:r>
    </w:p>
    <w:p w14:paraId="0295A408" w14:textId="5EA3C4AB" w:rsidR="009C252B" w:rsidRPr="00B10CE0" w:rsidRDefault="009C252B" w:rsidP="00D97265">
      <w:pPr>
        <w:pStyle w:val="ListBullet"/>
        <w:numPr>
          <w:ilvl w:val="0"/>
          <w:numId w:val="0"/>
        </w:numPr>
        <w:rPr>
          <w:rFonts w:cs="Arial"/>
          <w:color w:val="000000" w:themeColor="text1"/>
        </w:rPr>
      </w:pPr>
      <w:r w:rsidRPr="00B10CE0">
        <w:rPr>
          <w:rFonts w:cs="Arial"/>
          <w:color w:val="000000" w:themeColor="text1"/>
        </w:rPr>
        <w:t>With the exception of the activities listed in Section 5.4 that we will not fund, we are providing flexibility in the type of project eligible for funding to enable local communities to identify the projects that best address their particular circumstances.</w:t>
      </w:r>
    </w:p>
    <w:p w14:paraId="41C26A59" w14:textId="77777777" w:rsidR="00E832A7" w:rsidRDefault="00E832A7" w:rsidP="00A8702B">
      <w:pPr>
        <w:pStyle w:val="Heading3"/>
      </w:pPr>
      <w:bookmarkStart w:id="37" w:name="_Toc506537727"/>
      <w:bookmarkStart w:id="38" w:name="_Toc506537728"/>
      <w:bookmarkStart w:id="39" w:name="_Toc506537729"/>
      <w:bookmarkStart w:id="40" w:name="_Toc506537730"/>
      <w:bookmarkStart w:id="41" w:name="_Toc506537731"/>
      <w:bookmarkStart w:id="42" w:name="_Toc506537732"/>
      <w:bookmarkStart w:id="43" w:name="_Toc506537733"/>
      <w:bookmarkStart w:id="44" w:name="_Toc506537734"/>
      <w:bookmarkStart w:id="45" w:name="_Toc506537735"/>
      <w:bookmarkStart w:id="46" w:name="_Toc506537736"/>
      <w:bookmarkStart w:id="47" w:name="_Toc506537737"/>
      <w:bookmarkStart w:id="48" w:name="_Toc506537738"/>
      <w:bookmarkStart w:id="49" w:name="_Toc506537739"/>
      <w:bookmarkStart w:id="50" w:name="_Toc506537740"/>
      <w:bookmarkStart w:id="51" w:name="_Toc506537741"/>
      <w:bookmarkStart w:id="52" w:name="_Toc506537742"/>
      <w:bookmarkStart w:id="53" w:name="_Toc17704010"/>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Eligible locations</w:t>
      </w:r>
      <w:bookmarkEnd w:id="53"/>
    </w:p>
    <w:p w14:paraId="35335A59" w14:textId="3D2E3EF8" w:rsidR="00764DF5" w:rsidRPr="00764DF5" w:rsidRDefault="00E832A7" w:rsidP="00764DF5">
      <w:r>
        <w:t xml:space="preserve">Your </w:t>
      </w:r>
      <w:r w:rsidR="00585950" w:rsidRPr="003F0F0F">
        <w:rPr>
          <w:color w:val="000000" w:themeColor="text1"/>
        </w:rPr>
        <w:t>grant</w:t>
      </w:r>
      <w:r w:rsidR="008C051B" w:rsidRPr="003F0F0F">
        <w:rPr>
          <w:color w:val="000000" w:themeColor="text1"/>
        </w:rPr>
        <w:t xml:space="preserve"> activities</w:t>
      </w:r>
      <w:r w:rsidR="008C051B" w:rsidRPr="00106FD8">
        <w:rPr>
          <w:color w:val="0070C0"/>
        </w:rPr>
        <w:t xml:space="preserve"> </w:t>
      </w:r>
      <w:proofErr w:type="gramStart"/>
      <w:r>
        <w:t>must be delivered</w:t>
      </w:r>
      <w:proofErr w:type="gramEnd"/>
      <w:r>
        <w:t xml:space="preserve"> in</w:t>
      </w:r>
      <w:r w:rsidR="007E75C7">
        <w:t>,</w:t>
      </w:r>
      <w:r w:rsidR="009C252B" w:rsidRPr="002C624E">
        <w:t xml:space="preserve"> or for the benefit of</w:t>
      </w:r>
      <w:r w:rsidR="007E75C7">
        <w:t>,</w:t>
      </w:r>
      <w:r w:rsidR="009C252B" w:rsidRPr="002C624E">
        <w:t xml:space="preserve"> an eligible community. Table </w:t>
      </w:r>
      <w:r w:rsidR="0091398D">
        <w:t xml:space="preserve">1 </w:t>
      </w:r>
      <w:r w:rsidR="009C252B" w:rsidRPr="002C624E">
        <w:t>below lists the eligible communities</w:t>
      </w:r>
      <w:r w:rsidR="009B5AC6">
        <w:t xml:space="preserve">. The boundaries of these communities </w:t>
      </w:r>
      <w:proofErr w:type="gramStart"/>
      <w:r w:rsidR="009C252B" w:rsidRPr="002C624E">
        <w:t>are clearly defined</w:t>
      </w:r>
      <w:proofErr w:type="gramEnd"/>
      <w:r w:rsidR="009C252B" w:rsidRPr="002C624E">
        <w:t xml:space="preserve"> in the maps at </w:t>
      </w:r>
      <w:r w:rsidR="009C252B" w:rsidRPr="002A4F37">
        <w:rPr>
          <w:b/>
        </w:rPr>
        <w:t>Appendix A</w:t>
      </w:r>
      <w:r w:rsidR="009C252B" w:rsidRPr="006959F1">
        <w:t>.</w:t>
      </w:r>
      <w:r w:rsidR="009B5AC6">
        <w:t xml:space="preserve"> You </w:t>
      </w:r>
      <w:r w:rsidR="00024C19">
        <w:t>will</w:t>
      </w:r>
      <w:r w:rsidR="009B5AC6">
        <w:t xml:space="preserve"> not be eligible for funding if your project </w:t>
      </w:r>
      <w:proofErr w:type="gramStart"/>
      <w:r w:rsidR="009B5AC6">
        <w:t>is not focused</w:t>
      </w:r>
      <w:proofErr w:type="gramEnd"/>
      <w:r w:rsidR="009B5AC6">
        <w:t xml:space="preserve"> on one or more of these community areas.</w:t>
      </w:r>
    </w:p>
    <w:p w14:paraId="47039C6B" w14:textId="77777777" w:rsidR="009C252B" w:rsidRPr="00764DF5" w:rsidRDefault="009C252B" w:rsidP="009C252B">
      <w:pPr>
        <w:pStyle w:val="Caption"/>
        <w:keepNext/>
        <w:rPr>
          <w:rFonts w:cs="Arial"/>
          <w:bCs/>
          <w:color w:val="auto"/>
          <w:szCs w:val="20"/>
        </w:rPr>
      </w:pPr>
      <w:r w:rsidRPr="00764DF5">
        <w:rPr>
          <w:rFonts w:cs="Arial"/>
          <w:b/>
          <w:bCs/>
          <w:color w:val="auto"/>
          <w:szCs w:val="20"/>
        </w:rPr>
        <w:lastRenderedPageBreak/>
        <w:t>Table 1:</w:t>
      </w:r>
      <w:r w:rsidRPr="00764DF5">
        <w:rPr>
          <w:rFonts w:cs="Arial"/>
          <w:bCs/>
          <w:color w:val="auto"/>
          <w:szCs w:val="20"/>
        </w:rPr>
        <w:t xml:space="preserve"> Eligible communities </w:t>
      </w:r>
    </w:p>
    <w:tbl>
      <w:tblPr>
        <w:tblStyle w:val="TableGrid1"/>
        <w:tblW w:w="9344" w:type="dxa"/>
        <w:tblLook w:val="04A0" w:firstRow="1" w:lastRow="0" w:firstColumn="1" w:lastColumn="0" w:noHBand="0" w:noVBand="1"/>
      </w:tblPr>
      <w:tblGrid>
        <w:gridCol w:w="4672"/>
        <w:gridCol w:w="4672"/>
      </w:tblGrid>
      <w:tr w:rsidR="009C252B" w:rsidRPr="00764DF5" w14:paraId="0FEB7A01" w14:textId="77777777" w:rsidTr="00876857">
        <w:tc>
          <w:tcPr>
            <w:tcW w:w="9344" w:type="dxa"/>
            <w:gridSpan w:val="2"/>
            <w:shd w:val="clear" w:color="auto" w:fill="DBE5F1" w:themeFill="accent1" w:themeFillTint="33"/>
          </w:tcPr>
          <w:p w14:paraId="70949A2C" w14:textId="77777777" w:rsidR="009C252B" w:rsidRPr="00764DF5" w:rsidRDefault="009C252B" w:rsidP="00876857">
            <w:pPr>
              <w:spacing w:after="0"/>
              <w:jc w:val="center"/>
              <w:rPr>
                <w:rFonts w:ascii="Arial" w:hAnsi="Arial" w:cs="Arial"/>
                <w:sz w:val="20"/>
                <w:szCs w:val="20"/>
              </w:rPr>
            </w:pPr>
            <w:r w:rsidRPr="00764DF5">
              <w:rPr>
                <w:rFonts w:ascii="Arial" w:hAnsi="Arial" w:cs="Arial"/>
                <w:b/>
                <w:sz w:val="20"/>
                <w:szCs w:val="20"/>
              </w:rPr>
              <w:t>Queensland / New South Wales</w:t>
            </w:r>
          </w:p>
        </w:tc>
      </w:tr>
      <w:tr w:rsidR="009C252B" w:rsidRPr="00764DF5" w14:paraId="752F2CA1" w14:textId="77777777" w:rsidTr="00876857">
        <w:tc>
          <w:tcPr>
            <w:tcW w:w="4672" w:type="dxa"/>
          </w:tcPr>
          <w:p w14:paraId="57B4411E"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rPr>
              <w:t>Mungindi</w:t>
            </w:r>
          </w:p>
        </w:tc>
        <w:tc>
          <w:tcPr>
            <w:tcW w:w="4672" w:type="dxa"/>
          </w:tcPr>
          <w:p w14:paraId="3933040D" w14:textId="77777777" w:rsidR="009C252B" w:rsidRPr="00764DF5" w:rsidRDefault="009C252B" w:rsidP="00876857">
            <w:pPr>
              <w:spacing w:after="0"/>
              <w:rPr>
                <w:rFonts w:ascii="Arial" w:hAnsi="Arial" w:cs="Arial"/>
                <w:sz w:val="20"/>
                <w:szCs w:val="20"/>
              </w:rPr>
            </w:pPr>
          </w:p>
        </w:tc>
      </w:tr>
      <w:tr w:rsidR="009C252B" w:rsidRPr="00764DF5" w14:paraId="20DE8706" w14:textId="77777777" w:rsidTr="00876857">
        <w:tc>
          <w:tcPr>
            <w:tcW w:w="9344" w:type="dxa"/>
            <w:gridSpan w:val="2"/>
            <w:shd w:val="clear" w:color="auto" w:fill="DBE5F1" w:themeFill="accent1" w:themeFillTint="33"/>
          </w:tcPr>
          <w:p w14:paraId="2DD00863" w14:textId="77777777" w:rsidR="009C252B" w:rsidRPr="00764DF5" w:rsidRDefault="009C252B" w:rsidP="00876857">
            <w:pPr>
              <w:spacing w:after="0"/>
              <w:jc w:val="center"/>
              <w:rPr>
                <w:rFonts w:ascii="Arial" w:hAnsi="Arial" w:cs="Arial"/>
                <w:sz w:val="20"/>
                <w:szCs w:val="20"/>
              </w:rPr>
            </w:pPr>
            <w:r w:rsidRPr="00764DF5">
              <w:rPr>
                <w:rFonts w:ascii="Arial" w:hAnsi="Arial" w:cs="Arial"/>
                <w:b/>
                <w:sz w:val="20"/>
                <w:szCs w:val="20"/>
              </w:rPr>
              <w:t>New South Wales</w:t>
            </w:r>
          </w:p>
        </w:tc>
      </w:tr>
      <w:tr w:rsidR="009C252B" w:rsidRPr="00764DF5" w14:paraId="4522F534" w14:textId="77777777" w:rsidTr="00876857">
        <w:tc>
          <w:tcPr>
            <w:tcW w:w="4672" w:type="dxa"/>
          </w:tcPr>
          <w:p w14:paraId="13EEA87B"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lang w:eastAsia="ja-JP"/>
              </w:rPr>
              <w:t>Berrigan-Finley</w:t>
            </w:r>
          </w:p>
        </w:tc>
        <w:tc>
          <w:tcPr>
            <w:tcW w:w="4672" w:type="dxa"/>
          </w:tcPr>
          <w:p w14:paraId="45C22C1C"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rPr>
              <w:t>Brewarrina</w:t>
            </w:r>
          </w:p>
        </w:tc>
      </w:tr>
      <w:tr w:rsidR="009C252B" w:rsidRPr="00764DF5" w14:paraId="10C518C4" w14:textId="77777777" w:rsidTr="00876857">
        <w:tc>
          <w:tcPr>
            <w:tcW w:w="4672" w:type="dxa"/>
          </w:tcPr>
          <w:p w14:paraId="6925AD38"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rPr>
              <w:t>Bourke</w:t>
            </w:r>
          </w:p>
        </w:tc>
        <w:tc>
          <w:tcPr>
            <w:tcW w:w="4672" w:type="dxa"/>
          </w:tcPr>
          <w:p w14:paraId="65733BAC" w14:textId="77777777" w:rsidR="009C252B" w:rsidRPr="00764DF5" w:rsidRDefault="009C252B" w:rsidP="00876857">
            <w:pPr>
              <w:spacing w:after="0"/>
              <w:rPr>
                <w:rFonts w:ascii="Arial" w:hAnsi="Arial" w:cs="Arial"/>
                <w:sz w:val="20"/>
                <w:szCs w:val="20"/>
              </w:rPr>
            </w:pPr>
            <w:proofErr w:type="spellStart"/>
            <w:r w:rsidRPr="00764DF5">
              <w:rPr>
                <w:rFonts w:ascii="Arial" w:hAnsi="Arial" w:cs="Arial"/>
                <w:sz w:val="20"/>
                <w:szCs w:val="20"/>
                <w:lang w:eastAsia="ja-JP"/>
              </w:rPr>
              <w:t>Coomealla</w:t>
            </w:r>
            <w:proofErr w:type="spellEnd"/>
          </w:p>
        </w:tc>
      </w:tr>
      <w:tr w:rsidR="009C252B" w:rsidRPr="00764DF5" w14:paraId="42F7D9D8" w14:textId="77777777" w:rsidTr="00876857">
        <w:tc>
          <w:tcPr>
            <w:tcW w:w="4672" w:type="dxa"/>
          </w:tcPr>
          <w:p w14:paraId="7453E487" w14:textId="77777777" w:rsidR="009C252B" w:rsidRPr="00764DF5" w:rsidRDefault="009C252B" w:rsidP="00876857">
            <w:pPr>
              <w:spacing w:after="0"/>
              <w:rPr>
                <w:rFonts w:ascii="Arial" w:hAnsi="Arial" w:cs="Arial"/>
                <w:sz w:val="20"/>
                <w:szCs w:val="20"/>
              </w:rPr>
            </w:pPr>
            <w:proofErr w:type="spellStart"/>
            <w:r w:rsidRPr="00764DF5">
              <w:rPr>
                <w:rFonts w:ascii="Arial" w:hAnsi="Arial" w:cs="Arial"/>
                <w:sz w:val="20"/>
                <w:szCs w:val="20"/>
                <w:lang w:eastAsia="ja-JP"/>
              </w:rPr>
              <w:t>Deniboota</w:t>
            </w:r>
            <w:proofErr w:type="spellEnd"/>
          </w:p>
        </w:tc>
        <w:tc>
          <w:tcPr>
            <w:tcW w:w="4672" w:type="dxa"/>
          </w:tcPr>
          <w:p w14:paraId="5172FA44" w14:textId="77777777" w:rsidR="009C252B" w:rsidRPr="00764DF5" w:rsidRDefault="009C252B" w:rsidP="00876857">
            <w:pPr>
              <w:spacing w:after="0"/>
              <w:rPr>
                <w:rFonts w:ascii="Arial" w:hAnsi="Arial" w:cs="Arial"/>
                <w:sz w:val="20"/>
                <w:szCs w:val="20"/>
              </w:rPr>
            </w:pPr>
            <w:proofErr w:type="spellStart"/>
            <w:r w:rsidRPr="00764DF5">
              <w:rPr>
                <w:rFonts w:ascii="Arial" w:hAnsi="Arial" w:cs="Arial"/>
                <w:sz w:val="20"/>
                <w:szCs w:val="20"/>
                <w:lang w:eastAsia="ja-JP"/>
              </w:rPr>
              <w:t>Denimein</w:t>
            </w:r>
            <w:proofErr w:type="spellEnd"/>
          </w:p>
        </w:tc>
      </w:tr>
      <w:tr w:rsidR="009C252B" w:rsidRPr="00764DF5" w14:paraId="1D26DB05" w14:textId="77777777" w:rsidTr="00876857">
        <w:tc>
          <w:tcPr>
            <w:tcW w:w="4672" w:type="dxa"/>
          </w:tcPr>
          <w:p w14:paraId="396D16D3"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lang w:eastAsia="ja-JP"/>
              </w:rPr>
              <w:t>Hay</w:t>
            </w:r>
          </w:p>
        </w:tc>
        <w:tc>
          <w:tcPr>
            <w:tcW w:w="4672" w:type="dxa"/>
          </w:tcPr>
          <w:p w14:paraId="291170F3"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rPr>
              <w:t>Menindee</w:t>
            </w:r>
          </w:p>
        </w:tc>
      </w:tr>
      <w:tr w:rsidR="009C252B" w:rsidRPr="00764DF5" w14:paraId="22847C69" w14:textId="77777777" w:rsidTr="00876857">
        <w:tc>
          <w:tcPr>
            <w:tcW w:w="4672" w:type="dxa"/>
          </w:tcPr>
          <w:p w14:paraId="76ACFFE4"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rPr>
              <w:t>Moree</w:t>
            </w:r>
          </w:p>
        </w:tc>
        <w:tc>
          <w:tcPr>
            <w:tcW w:w="4672" w:type="dxa"/>
          </w:tcPr>
          <w:p w14:paraId="65E1CD0E"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rPr>
              <w:t>Narromine</w:t>
            </w:r>
          </w:p>
        </w:tc>
      </w:tr>
      <w:tr w:rsidR="009C252B" w:rsidRPr="00764DF5" w14:paraId="5D006BD6" w14:textId="77777777" w:rsidTr="00876857">
        <w:tc>
          <w:tcPr>
            <w:tcW w:w="4672" w:type="dxa"/>
          </w:tcPr>
          <w:p w14:paraId="4FA59851"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rPr>
              <w:t>Trangie</w:t>
            </w:r>
          </w:p>
        </w:tc>
        <w:tc>
          <w:tcPr>
            <w:tcW w:w="4672" w:type="dxa"/>
          </w:tcPr>
          <w:p w14:paraId="1ED142E7"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rPr>
              <w:t>Walgett</w:t>
            </w:r>
          </w:p>
        </w:tc>
      </w:tr>
      <w:tr w:rsidR="009C252B" w:rsidRPr="00764DF5" w14:paraId="56684485" w14:textId="77777777" w:rsidTr="00876857">
        <w:tc>
          <w:tcPr>
            <w:tcW w:w="4672" w:type="dxa"/>
          </w:tcPr>
          <w:p w14:paraId="7435DB5D"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rPr>
              <w:t>Wee Waa</w:t>
            </w:r>
          </w:p>
        </w:tc>
        <w:tc>
          <w:tcPr>
            <w:tcW w:w="4672" w:type="dxa"/>
          </w:tcPr>
          <w:p w14:paraId="512D6AD5" w14:textId="4F532F7B" w:rsidR="009C252B" w:rsidRPr="00764DF5" w:rsidRDefault="009C252B" w:rsidP="000B7B90">
            <w:pPr>
              <w:spacing w:after="0"/>
              <w:rPr>
                <w:rFonts w:ascii="Arial" w:hAnsi="Arial" w:cs="Arial"/>
                <w:sz w:val="20"/>
                <w:szCs w:val="20"/>
              </w:rPr>
            </w:pPr>
            <w:r w:rsidRPr="00764DF5">
              <w:rPr>
                <w:rFonts w:ascii="Arial" w:hAnsi="Arial" w:cs="Arial"/>
                <w:sz w:val="20"/>
                <w:szCs w:val="20"/>
                <w:lang w:eastAsia="ja-JP"/>
              </w:rPr>
              <w:t>Wentworth</w:t>
            </w:r>
          </w:p>
        </w:tc>
      </w:tr>
      <w:tr w:rsidR="009C252B" w:rsidRPr="00764DF5" w14:paraId="5A471878" w14:textId="77777777" w:rsidTr="00876857">
        <w:tc>
          <w:tcPr>
            <w:tcW w:w="4672" w:type="dxa"/>
          </w:tcPr>
          <w:p w14:paraId="791985AB"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lang w:eastAsia="ja-JP"/>
              </w:rPr>
              <w:t xml:space="preserve">West </w:t>
            </w:r>
            <w:proofErr w:type="spellStart"/>
            <w:r w:rsidRPr="00764DF5">
              <w:rPr>
                <w:rFonts w:ascii="Arial" w:hAnsi="Arial" w:cs="Arial"/>
                <w:sz w:val="20"/>
                <w:szCs w:val="20"/>
                <w:lang w:eastAsia="ja-JP"/>
              </w:rPr>
              <w:t>Berriquin</w:t>
            </w:r>
            <w:proofErr w:type="spellEnd"/>
          </w:p>
        </w:tc>
        <w:tc>
          <w:tcPr>
            <w:tcW w:w="4672" w:type="dxa"/>
          </w:tcPr>
          <w:p w14:paraId="6329EBC7"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rPr>
              <w:t>Wilcannia</w:t>
            </w:r>
          </w:p>
        </w:tc>
      </w:tr>
      <w:tr w:rsidR="009C252B" w:rsidRPr="00764DF5" w14:paraId="5028051B" w14:textId="77777777" w:rsidTr="00876857">
        <w:tc>
          <w:tcPr>
            <w:tcW w:w="9344" w:type="dxa"/>
            <w:gridSpan w:val="2"/>
            <w:shd w:val="clear" w:color="auto" w:fill="DBE5F1" w:themeFill="accent1" w:themeFillTint="33"/>
          </w:tcPr>
          <w:p w14:paraId="74829200" w14:textId="77777777" w:rsidR="009C252B" w:rsidRPr="00764DF5" w:rsidRDefault="009C252B" w:rsidP="00876857">
            <w:pPr>
              <w:spacing w:after="0"/>
              <w:jc w:val="center"/>
              <w:rPr>
                <w:rFonts w:ascii="Arial" w:hAnsi="Arial" w:cs="Arial"/>
                <w:sz w:val="20"/>
                <w:szCs w:val="20"/>
              </w:rPr>
            </w:pPr>
            <w:r w:rsidRPr="00764DF5">
              <w:rPr>
                <w:rFonts w:ascii="Arial" w:hAnsi="Arial" w:cs="Arial"/>
                <w:b/>
                <w:sz w:val="20"/>
                <w:szCs w:val="20"/>
              </w:rPr>
              <w:t>New South Wales / Victoria</w:t>
            </w:r>
          </w:p>
        </w:tc>
      </w:tr>
      <w:tr w:rsidR="009C252B" w:rsidRPr="00764DF5" w14:paraId="15CB2AB9" w14:textId="77777777" w:rsidTr="00876857">
        <w:tc>
          <w:tcPr>
            <w:tcW w:w="4672" w:type="dxa"/>
          </w:tcPr>
          <w:p w14:paraId="2A58C76F"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lang w:eastAsia="ja-JP"/>
              </w:rPr>
              <w:t>Cullulleraine</w:t>
            </w:r>
          </w:p>
        </w:tc>
        <w:tc>
          <w:tcPr>
            <w:tcW w:w="4672" w:type="dxa"/>
          </w:tcPr>
          <w:p w14:paraId="2AE7B302"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lang w:eastAsia="ja-JP"/>
              </w:rPr>
              <w:t>Kerang-Cohuna</w:t>
            </w:r>
          </w:p>
        </w:tc>
      </w:tr>
      <w:tr w:rsidR="009C252B" w:rsidRPr="00764DF5" w14:paraId="5BED7FBA" w14:textId="77777777" w:rsidTr="00876857">
        <w:tc>
          <w:tcPr>
            <w:tcW w:w="4672" w:type="dxa"/>
          </w:tcPr>
          <w:p w14:paraId="2E32AA43"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lang w:eastAsia="ja-JP"/>
              </w:rPr>
              <w:t>Swan Hill</w:t>
            </w:r>
          </w:p>
        </w:tc>
        <w:tc>
          <w:tcPr>
            <w:tcW w:w="4672" w:type="dxa"/>
          </w:tcPr>
          <w:p w14:paraId="68BAA8E0" w14:textId="77777777" w:rsidR="009C252B" w:rsidRPr="00764DF5" w:rsidRDefault="009C252B" w:rsidP="00876857">
            <w:pPr>
              <w:spacing w:after="0"/>
              <w:rPr>
                <w:rFonts w:ascii="Arial" w:hAnsi="Arial" w:cs="Arial"/>
                <w:sz w:val="20"/>
                <w:szCs w:val="20"/>
              </w:rPr>
            </w:pPr>
          </w:p>
        </w:tc>
      </w:tr>
      <w:tr w:rsidR="009C252B" w:rsidRPr="00764DF5" w14:paraId="4A4BB1CC" w14:textId="77777777" w:rsidTr="00876857">
        <w:tc>
          <w:tcPr>
            <w:tcW w:w="9344" w:type="dxa"/>
            <w:gridSpan w:val="2"/>
            <w:shd w:val="clear" w:color="auto" w:fill="DBE5F1" w:themeFill="accent1" w:themeFillTint="33"/>
          </w:tcPr>
          <w:p w14:paraId="4149E10E" w14:textId="77777777" w:rsidR="009C252B" w:rsidRPr="00764DF5" w:rsidRDefault="009C252B" w:rsidP="00876857">
            <w:pPr>
              <w:spacing w:after="0"/>
              <w:jc w:val="center"/>
              <w:rPr>
                <w:rFonts w:ascii="Arial" w:hAnsi="Arial" w:cs="Arial"/>
                <w:sz w:val="20"/>
                <w:szCs w:val="20"/>
              </w:rPr>
            </w:pPr>
            <w:r w:rsidRPr="00764DF5">
              <w:rPr>
                <w:rFonts w:ascii="Arial" w:hAnsi="Arial" w:cs="Arial"/>
                <w:b/>
                <w:sz w:val="20"/>
                <w:szCs w:val="20"/>
              </w:rPr>
              <w:t>Victoria</w:t>
            </w:r>
          </w:p>
        </w:tc>
      </w:tr>
      <w:tr w:rsidR="009C252B" w:rsidRPr="00764DF5" w14:paraId="59E3A84C" w14:textId="77777777" w:rsidTr="00876857">
        <w:tc>
          <w:tcPr>
            <w:tcW w:w="4672" w:type="dxa"/>
          </w:tcPr>
          <w:p w14:paraId="54F0C589"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lang w:eastAsia="ja-JP"/>
              </w:rPr>
              <w:t>Cobram</w:t>
            </w:r>
          </w:p>
        </w:tc>
        <w:tc>
          <w:tcPr>
            <w:tcW w:w="4672" w:type="dxa"/>
          </w:tcPr>
          <w:p w14:paraId="33D6FE39"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lang w:eastAsia="ja-JP"/>
              </w:rPr>
              <w:t>Kyabram-Tatura</w:t>
            </w:r>
          </w:p>
        </w:tc>
      </w:tr>
      <w:tr w:rsidR="009C252B" w:rsidRPr="00764DF5" w14:paraId="334F8A41" w14:textId="77777777" w:rsidTr="00876857">
        <w:tc>
          <w:tcPr>
            <w:tcW w:w="4672" w:type="dxa"/>
          </w:tcPr>
          <w:p w14:paraId="0DBC526A"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lang w:eastAsia="ja-JP"/>
              </w:rPr>
              <w:t>Mildura</w:t>
            </w:r>
          </w:p>
        </w:tc>
        <w:tc>
          <w:tcPr>
            <w:tcW w:w="4672" w:type="dxa"/>
          </w:tcPr>
          <w:p w14:paraId="0CB26814"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lang w:eastAsia="ja-JP"/>
              </w:rPr>
              <w:t>Pyramid Hill-Boort</w:t>
            </w:r>
          </w:p>
        </w:tc>
      </w:tr>
      <w:tr w:rsidR="009C252B" w:rsidRPr="00764DF5" w14:paraId="2BEDEB49" w14:textId="77777777" w:rsidTr="00876857">
        <w:tc>
          <w:tcPr>
            <w:tcW w:w="4672" w:type="dxa"/>
          </w:tcPr>
          <w:p w14:paraId="0D77A1EE" w14:textId="77777777" w:rsidR="009C252B" w:rsidRPr="00764DF5" w:rsidRDefault="009C252B" w:rsidP="00876857">
            <w:pPr>
              <w:spacing w:after="0"/>
              <w:rPr>
                <w:rFonts w:ascii="Arial" w:hAnsi="Arial" w:cs="Arial"/>
                <w:sz w:val="20"/>
                <w:szCs w:val="20"/>
                <w:lang w:eastAsia="ja-JP"/>
              </w:rPr>
            </w:pPr>
            <w:r w:rsidRPr="00764DF5">
              <w:rPr>
                <w:rFonts w:ascii="Arial" w:hAnsi="Arial" w:cs="Arial"/>
                <w:sz w:val="20"/>
                <w:szCs w:val="20"/>
                <w:lang w:eastAsia="ja-JP"/>
              </w:rPr>
              <w:t>Shepparton Irrigation Area</w:t>
            </w:r>
          </w:p>
        </w:tc>
        <w:tc>
          <w:tcPr>
            <w:tcW w:w="4672" w:type="dxa"/>
          </w:tcPr>
          <w:p w14:paraId="418BD16C" w14:textId="77777777" w:rsidR="009C252B" w:rsidRPr="00764DF5" w:rsidRDefault="009C252B" w:rsidP="00876857">
            <w:pPr>
              <w:spacing w:after="0"/>
              <w:rPr>
                <w:rFonts w:ascii="Arial" w:hAnsi="Arial" w:cs="Arial"/>
                <w:sz w:val="20"/>
                <w:szCs w:val="20"/>
              </w:rPr>
            </w:pPr>
          </w:p>
        </w:tc>
      </w:tr>
      <w:tr w:rsidR="009C252B" w:rsidRPr="00764DF5" w14:paraId="71E83889" w14:textId="77777777" w:rsidTr="00876857">
        <w:tc>
          <w:tcPr>
            <w:tcW w:w="9344" w:type="dxa"/>
            <w:gridSpan w:val="2"/>
            <w:shd w:val="clear" w:color="auto" w:fill="DBE5F1" w:themeFill="accent1" w:themeFillTint="33"/>
          </w:tcPr>
          <w:p w14:paraId="61681B32" w14:textId="77777777" w:rsidR="009C252B" w:rsidRPr="00764DF5" w:rsidRDefault="009C252B" w:rsidP="00876857">
            <w:pPr>
              <w:spacing w:after="0"/>
              <w:jc w:val="center"/>
              <w:rPr>
                <w:rFonts w:ascii="Arial" w:hAnsi="Arial" w:cs="Arial"/>
                <w:sz w:val="20"/>
                <w:szCs w:val="20"/>
              </w:rPr>
            </w:pPr>
            <w:r w:rsidRPr="00764DF5">
              <w:rPr>
                <w:rFonts w:ascii="Arial" w:hAnsi="Arial" w:cs="Arial"/>
                <w:b/>
                <w:sz w:val="20"/>
                <w:szCs w:val="20"/>
              </w:rPr>
              <w:t>South Australia</w:t>
            </w:r>
          </w:p>
        </w:tc>
      </w:tr>
      <w:tr w:rsidR="009C252B" w:rsidRPr="00764DF5" w14:paraId="23C31625" w14:textId="77777777" w:rsidTr="00876857">
        <w:tc>
          <w:tcPr>
            <w:tcW w:w="4672" w:type="dxa"/>
          </w:tcPr>
          <w:p w14:paraId="74CDC4C5"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rPr>
              <w:t>Blanchetown</w:t>
            </w:r>
          </w:p>
        </w:tc>
        <w:tc>
          <w:tcPr>
            <w:tcW w:w="4672" w:type="dxa"/>
          </w:tcPr>
          <w:p w14:paraId="1502B414"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rPr>
              <w:t>Mannum</w:t>
            </w:r>
          </w:p>
        </w:tc>
      </w:tr>
      <w:tr w:rsidR="009C252B" w:rsidRPr="00764DF5" w14:paraId="7EF89BAF" w14:textId="77777777" w:rsidTr="00876857">
        <w:tc>
          <w:tcPr>
            <w:tcW w:w="4672" w:type="dxa"/>
          </w:tcPr>
          <w:p w14:paraId="0E3549BC"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rPr>
              <w:t>Morgan</w:t>
            </w:r>
          </w:p>
        </w:tc>
        <w:tc>
          <w:tcPr>
            <w:tcW w:w="4672" w:type="dxa"/>
          </w:tcPr>
          <w:p w14:paraId="2D5A5EEE"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lang w:eastAsia="ja-JP"/>
              </w:rPr>
              <w:t>Murray Bridge</w:t>
            </w:r>
          </w:p>
        </w:tc>
      </w:tr>
      <w:tr w:rsidR="009C252B" w:rsidRPr="00764DF5" w14:paraId="0C6D7F70" w14:textId="77777777" w:rsidTr="00876857">
        <w:tc>
          <w:tcPr>
            <w:tcW w:w="4672" w:type="dxa"/>
          </w:tcPr>
          <w:p w14:paraId="227996DD" w14:textId="77777777" w:rsidR="009C252B" w:rsidRPr="00764DF5" w:rsidRDefault="009C252B" w:rsidP="00876857">
            <w:pPr>
              <w:spacing w:after="0"/>
              <w:rPr>
                <w:rFonts w:ascii="Arial" w:hAnsi="Arial" w:cs="Arial"/>
                <w:sz w:val="20"/>
                <w:szCs w:val="20"/>
              </w:rPr>
            </w:pPr>
            <w:r w:rsidRPr="00764DF5">
              <w:rPr>
                <w:rFonts w:ascii="Arial" w:hAnsi="Arial" w:cs="Arial"/>
                <w:sz w:val="20"/>
                <w:szCs w:val="20"/>
                <w:lang w:eastAsia="ja-JP"/>
              </w:rPr>
              <w:t xml:space="preserve">Tailem Bend </w:t>
            </w:r>
          </w:p>
        </w:tc>
        <w:tc>
          <w:tcPr>
            <w:tcW w:w="4672" w:type="dxa"/>
          </w:tcPr>
          <w:p w14:paraId="2D9D73BA" w14:textId="77777777" w:rsidR="009C252B" w:rsidRPr="00764DF5" w:rsidRDefault="009C252B" w:rsidP="00876857">
            <w:pPr>
              <w:spacing w:after="0"/>
              <w:rPr>
                <w:rFonts w:ascii="Arial" w:hAnsi="Arial" w:cs="Arial"/>
                <w:sz w:val="20"/>
                <w:szCs w:val="20"/>
                <w:lang w:eastAsia="ja-JP"/>
              </w:rPr>
            </w:pPr>
            <w:r w:rsidRPr="00764DF5">
              <w:rPr>
                <w:rFonts w:ascii="Arial" w:hAnsi="Arial" w:cs="Arial"/>
                <w:sz w:val="20"/>
                <w:szCs w:val="20"/>
                <w:lang w:eastAsia="ja-JP"/>
              </w:rPr>
              <w:t>Waikerie</w:t>
            </w:r>
          </w:p>
        </w:tc>
      </w:tr>
    </w:tbl>
    <w:p w14:paraId="5FBEAF7F" w14:textId="77777777" w:rsidR="00EC04E1" w:rsidRDefault="00EC04E1" w:rsidP="00A8702B">
      <w:pPr>
        <w:pStyle w:val="Heading3"/>
      </w:pPr>
      <w:bookmarkStart w:id="54" w:name="_Toc17704011"/>
      <w:r>
        <w:t>Eligible expenditure</w:t>
      </w:r>
      <w:bookmarkEnd w:id="54"/>
      <w:r w:rsidR="00AD6183">
        <w:t xml:space="preserve"> </w:t>
      </w:r>
    </w:p>
    <w:p w14:paraId="315F83BD" w14:textId="77777777" w:rsidR="00C24F4A" w:rsidRDefault="00EC04E1" w:rsidP="00C24F4A">
      <w:r w:rsidRPr="00BB5D57">
        <w:t xml:space="preserve">You can only spend </w:t>
      </w:r>
      <w:r w:rsidR="00E66F1B">
        <w:t xml:space="preserve">the </w:t>
      </w:r>
      <w:r w:rsidRPr="00BB5D57">
        <w:t xml:space="preserve">grant on eligible expenditure you have incurred </w:t>
      </w:r>
      <w:r w:rsidR="00A44085" w:rsidRPr="00E60699">
        <w:rPr>
          <w:color w:val="000000" w:themeColor="text1"/>
        </w:rPr>
        <w:t>on eligible grant activities</w:t>
      </w:r>
      <w:r w:rsidRPr="00BB5D57">
        <w:t>.</w:t>
      </w:r>
      <w:r w:rsidR="00C24F4A">
        <w:t xml:space="preserve"> The program provides flexibility for eligible organisations to identify projects that best address an eligible community’s particular circumstances. Therefore, </w:t>
      </w:r>
      <w:r w:rsidR="009B5AC6">
        <w:t>these guidelines</w:t>
      </w:r>
      <w:r w:rsidR="00C24F4A">
        <w:t xml:space="preserve"> are not prescriptive </w:t>
      </w:r>
      <w:r w:rsidR="001C5CA8">
        <w:t>about</w:t>
      </w:r>
      <w:r w:rsidR="00C24F4A">
        <w:t xml:space="preserve"> the type of project expenditure eligible for funding under the program.</w:t>
      </w:r>
    </w:p>
    <w:p w14:paraId="58E89443" w14:textId="45744106" w:rsidR="00632EC2" w:rsidRDefault="00632EC2" w:rsidP="00632EC2">
      <w:pPr>
        <w:pStyle w:val="ListBullet"/>
        <w:numPr>
          <w:ilvl w:val="0"/>
          <w:numId w:val="0"/>
        </w:numPr>
        <w:ind w:left="360" w:hanging="360"/>
      </w:pPr>
      <w:r>
        <w:t>Eligible expenditure items are:</w:t>
      </w:r>
      <w:r w:rsidR="00C24F4A">
        <w:t xml:space="preserve"> </w:t>
      </w:r>
    </w:p>
    <w:p w14:paraId="3BA524D2" w14:textId="17EF5800" w:rsidR="00632EC2" w:rsidRDefault="00C24F4A" w:rsidP="00632EC2">
      <w:pPr>
        <w:pStyle w:val="ListBullet"/>
      </w:pPr>
      <w:proofErr w:type="gramStart"/>
      <w:r>
        <w:t>eligible</w:t>
      </w:r>
      <w:proofErr w:type="gramEnd"/>
      <w:r>
        <w:t xml:space="preserve"> </w:t>
      </w:r>
      <w:r w:rsidR="000B7B90">
        <w:t xml:space="preserve">costs </w:t>
      </w:r>
      <w:r>
        <w:t>you incur on agreed project activities specifie</w:t>
      </w:r>
      <w:r w:rsidR="00041CA2">
        <w:t>d in your grant agreement (i.e.</w:t>
      </w:r>
      <w:r>
        <w:t xml:space="preserve"> we will not pay for any expenses you incur before the grant agreement is signed). </w:t>
      </w:r>
    </w:p>
    <w:p w14:paraId="384DB304" w14:textId="1A6DC4AC" w:rsidR="00EC04E1" w:rsidRDefault="00C24F4A" w:rsidP="00C24F4A">
      <w:r>
        <w:t xml:space="preserve">You must incur the </w:t>
      </w:r>
      <w:r w:rsidR="00041CA2">
        <w:t xml:space="preserve">eligible </w:t>
      </w:r>
      <w:r w:rsidR="000B7B90">
        <w:t xml:space="preserve">expenses </w:t>
      </w:r>
      <w:r>
        <w:t xml:space="preserve">on your project activities between the start date and completion date </w:t>
      </w:r>
      <w:r w:rsidR="002D7273">
        <w:t>of</w:t>
      </w:r>
      <w:r w:rsidR="00632EC2">
        <w:t xml:space="preserve"> </w:t>
      </w:r>
      <w:r>
        <w:t>your grant agreement</w:t>
      </w:r>
      <w:r w:rsidR="00632EC2">
        <w:t xml:space="preserve"> for it to be eligible</w:t>
      </w:r>
      <w:r>
        <w:t>.</w:t>
      </w:r>
    </w:p>
    <w:p w14:paraId="17D973A0" w14:textId="77777777" w:rsidR="00E95540" w:rsidRPr="00C330AE" w:rsidRDefault="00907078" w:rsidP="00A8702B">
      <w:pPr>
        <w:pStyle w:val="Heading3"/>
      </w:pPr>
      <w:bookmarkStart w:id="55" w:name="_Toc506537745"/>
      <w:bookmarkStart w:id="56" w:name="_Toc506537746"/>
      <w:bookmarkStart w:id="57" w:name="_Toc506537747"/>
      <w:bookmarkStart w:id="58" w:name="_Toc506537748"/>
      <w:bookmarkStart w:id="59" w:name="_Toc506537749"/>
      <w:bookmarkStart w:id="60" w:name="_Toc506537751"/>
      <w:bookmarkStart w:id="61" w:name="_Toc506537752"/>
      <w:bookmarkStart w:id="62" w:name="_Toc506537753"/>
      <w:bookmarkStart w:id="63" w:name="_Toc506537754"/>
      <w:bookmarkStart w:id="64" w:name="_Toc506537755"/>
      <w:bookmarkStart w:id="65" w:name="_Toc506537756"/>
      <w:bookmarkStart w:id="66" w:name="_Toc506537757"/>
      <w:bookmarkStart w:id="67" w:name="_Toc17704012"/>
      <w:bookmarkEnd w:id="34"/>
      <w:bookmarkEnd w:id="55"/>
      <w:bookmarkEnd w:id="56"/>
      <w:bookmarkEnd w:id="57"/>
      <w:bookmarkEnd w:id="58"/>
      <w:bookmarkEnd w:id="59"/>
      <w:bookmarkEnd w:id="60"/>
      <w:bookmarkEnd w:id="61"/>
      <w:bookmarkEnd w:id="62"/>
      <w:bookmarkEnd w:id="63"/>
      <w:bookmarkEnd w:id="64"/>
      <w:bookmarkEnd w:id="65"/>
      <w:bookmarkEnd w:id="66"/>
      <w:r>
        <w:t>What the grant money cannot be used for</w:t>
      </w:r>
      <w:bookmarkEnd w:id="67"/>
    </w:p>
    <w:p w14:paraId="0C358C6E" w14:textId="5C75E65C" w:rsidR="00CB0227" w:rsidRDefault="00CB0227" w:rsidP="00FB0031">
      <w:pPr>
        <w:pStyle w:val="ListBullet"/>
        <w:numPr>
          <w:ilvl w:val="0"/>
          <w:numId w:val="0"/>
        </w:numPr>
        <w:ind w:left="360" w:hanging="360"/>
      </w:pPr>
      <w:r>
        <w:t xml:space="preserve">You cannot use the grant for: </w:t>
      </w:r>
      <w:bookmarkStart w:id="68" w:name="_Ref468355804"/>
    </w:p>
    <w:p w14:paraId="7D59207D" w14:textId="6DC10D91" w:rsidR="00C24F4A" w:rsidRPr="000A271A" w:rsidRDefault="00C24F4A" w:rsidP="00C24F4A">
      <w:pPr>
        <w:pStyle w:val="ListBullet"/>
      </w:pPr>
      <w:r w:rsidRPr="000A271A">
        <w:t>retrospective</w:t>
      </w:r>
      <w:r w:rsidR="00632EC2">
        <w:t xml:space="preserve"> activities (project</w:t>
      </w:r>
      <w:r w:rsidR="000B7B90">
        <w:t xml:space="preserve"> activities that have commenced or been completed</w:t>
      </w:r>
      <w:r w:rsidRPr="000A271A">
        <w:t xml:space="preserve"> </w:t>
      </w:r>
      <w:r w:rsidR="005C08AF">
        <w:t xml:space="preserve">before signing </w:t>
      </w:r>
      <w:r w:rsidR="00632EC2">
        <w:t>the</w:t>
      </w:r>
      <w:r w:rsidR="005C08AF">
        <w:t xml:space="preserve"> grant </w:t>
      </w:r>
      <w:r w:rsidR="000B7B90">
        <w:t>agreement</w:t>
      </w:r>
      <w:r w:rsidR="00632EC2">
        <w:t>)</w:t>
      </w:r>
    </w:p>
    <w:p w14:paraId="5F405504" w14:textId="77777777" w:rsidR="00C24F4A" w:rsidRPr="000A271A" w:rsidRDefault="00C24F4A" w:rsidP="00C24F4A">
      <w:pPr>
        <w:pStyle w:val="ListBullet"/>
      </w:pPr>
      <w:r w:rsidRPr="000A271A">
        <w:t xml:space="preserve">costs incurred in the preparation of a grant application or related documentation </w:t>
      </w:r>
    </w:p>
    <w:p w14:paraId="420A732A" w14:textId="77777777" w:rsidR="00C24F4A" w:rsidRPr="000A271A" w:rsidRDefault="00C24F4A" w:rsidP="00C24F4A">
      <w:pPr>
        <w:pStyle w:val="ListBullet"/>
      </w:pPr>
      <w:r w:rsidRPr="000A271A">
        <w:t xml:space="preserve">subsidy of general ongoing administration of an organisation such as electricity, phone and rent </w:t>
      </w:r>
    </w:p>
    <w:p w14:paraId="247385B7" w14:textId="026F491E" w:rsidR="00C24F4A" w:rsidRPr="000A271A" w:rsidRDefault="00C24F4A" w:rsidP="00B557DF">
      <w:pPr>
        <w:pStyle w:val="ListBullet"/>
      </w:pPr>
      <w:r>
        <w:t xml:space="preserve">“business as usual” operation and administration costs of the local government authority or the organisation delivering the project, including maintenance, repairs, utilities and staffing (this </w:t>
      </w:r>
      <w:r>
        <w:lastRenderedPageBreak/>
        <w:t>does not extend to staff, consultants or contractors engaged specifically and solely for the purposes of the project)</w:t>
      </w:r>
    </w:p>
    <w:p w14:paraId="7EDD8C9A" w14:textId="77777777" w:rsidR="00C24F4A" w:rsidRPr="00D97265" w:rsidRDefault="00C24F4A" w:rsidP="00C24F4A">
      <w:pPr>
        <w:pStyle w:val="ListBullet"/>
      </w:pPr>
      <w:r w:rsidRPr="00D97265">
        <w:t>activities for which other Commonwealth, state, territory or local government bodies have primary responsibility</w:t>
      </w:r>
    </w:p>
    <w:p w14:paraId="7160BFF7" w14:textId="04347046" w:rsidR="00C24F4A" w:rsidRDefault="00C24F4A" w:rsidP="00C24F4A">
      <w:pPr>
        <w:pStyle w:val="ListBullet"/>
      </w:pPr>
      <w:r>
        <w:t xml:space="preserve">activities </w:t>
      </w:r>
      <w:r w:rsidR="00A41BA0">
        <w:t xml:space="preserve">funded through, or </w:t>
      </w:r>
      <w:r>
        <w:t>to be funded through</w:t>
      </w:r>
      <w:r w:rsidR="00A41BA0">
        <w:t>,</w:t>
      </w:r>
      <w:r>
        <w:t xml:space="preserve"> other Australian </w:t>
      </w:r>
      <w:r w:rsidR="00A8702B">
        <w:t>Government</w:t>
      </w:r>
      <w:r>
        <w:t xml:space="preserve"> or </w:t>
      </w:r>
      <w:r w:rsidR="00A8748D">
        <w:t>s</w:t>
      </w:r>
      <w:r>
        <w:t xml:space="preserve">tate </w:t>
      </w:r>
      <w:r w:rsidR="00A8748D">
        <w:t>g</w:t>
      </w:r>
      <w:r>
        <w:t xml:space="preserve">overnment investment </w:t>
      </w:r>
    </w:p>
    <w:p w14:paraId="27B15314" w14:textId="763ED77A" w:rsidR="00C24F4A" w:rsidRDefault="00C24F4A" w:rsidP="00C24F4A">
      <w:pPr>
        <w:pStyle w:val="ListBullet"/>
      </w:pPr>
      <w:r>
        <w:t xml:space="preserve">labour, operational and maintenance costs associated with the project </w:t>
      </w:r>
      <w:r w:rsidR="000B7B90">
        <w:t>post completion</w:t>
      </w:r>
    </w:p>
    <w:p w14:paraId="58CCF2EB" w14:textId="692101B6" w:rsidR="00C24F4A" w:rsidRDefault="00C24F4A" w:rsidP="00C24F4A">
      <w:pPr>
        <w:pStyle w:val="ListBullet"/>
      </w:pPr>
      <w:r>
        <w:t xml:space="preserve">projects requiring recurrent funding from a </w:t>
      </w:r>
      <w:r w:rsidR="00A8748D">
        <w:t>s</w:t>
      </w:r>
      <w:r>
        <w:t>tate government or the Australian Government once completed</w:t>
      </w:r>
    </w:p>
    <w:p w14:paraId="498FF43E" w14:textId="77777777" w:rsidR="00C24F4A" w:rsidRDefault="00C24F4A" w:rsidP="00C24F4A">
      <w:pPr>
        <w:pStyle w:val="ListBullet"/>
      </w:pPr>
      <w:r>
        <w:t>projects that only benefit private individuals or enterprises within the community (as opposed to projects that benefit the community)</w:t>
      </w:r>
    </w:p>
    <w:p w14:paraId="3299C451" w14:textId="77777777" w:rsidR="00C24F4A" w:rsidRDefault="00C24F4A" w:rsidP="00C24F4A">
      <w:pPr>
        <w:pStyle w:val="ListBullet"/>
      </w:pPr>
      <w:r>
        <w:t>projects involving financial or debt restructuring</w:t>
      </w:r>
    </w:p>
    <w:p w14:paraId="500D3071" w14:textId="77777777" w:rsidR="00C24F4A" w:rsidRDefault="00C24F4A" w:rsidP="00C24F4A">
      <w:pPr>
        <w:pStyle w:val="ListBullet"/>
      </w:pPr>
      <w:r>
        <w:t>research and development projects</w:t>
      </w:r>
    </w:p>
    <w:p w14:paraId="7DDAAF4D" w14:textId="67F4613A" w:rsidR="00A41BA0" w:rsidRDefault="00C24F4A" w:rsidP="00A41BA0">
      <w:pPr>
        <w:pStyle w:val="ListBullet"/>
      </w:pPr>
      <w:r>
        <w:t>purchase of land, unless as an integ</w:t>
      </w:r>
      <w:r w:rsidR="00A8748D">
        <w:t>ral part of an eligible project</w:t>
      </w:r>
    </w:p>
    <w:p w14:paraId="4644E278" w14:textId="77777777" w:rsidR="00C24F4A" w:rsidRDefault="00C24F4A" w:rsidP="00C24F4A">
      <w:pPr>
        <w:pStyle w:val="ListBullet"/>
      </w:pPr>
      <w:proofErr w:type="gramStart"/>
      <w:r>
        <w:t>any</w:t>
      </w:r>
      <w:proofErr w:type="gramEnd"/>
      <w:r>
        <w:t xml:space="preserve"> activity which is contrary to the objectives and intent of the program.</w:t>
      </w:r>
    </w:p>
    <w:p w14:paraId="5BB0DFB2" w14:textId="77777777" w:rsidR="000752EC" w:rsidRDefault="000752EC" w:rsidP="00EE0C10">
      <w:pPr>
        <w:pStyle w:val="ListBullet"/>
        <w:numPr>
          <w:ilvl w:val="0"/>
          <w:numId w:val="0"/>
        </w:numPr>
      </w:pPr>
      <w:r>
        <w:t>We cannot provide a grant if you receive funding from another government source for the same purpose.</w:t>
      </w:r>
    </w:p>
    <w:p w14:paraId="2B82A228" w14:textId="77777777" w:rsidR="0039610D" w:rsidRPr="00747B26" w:rsidRDefault="0036055C" w:rsidP="009668F6">
      <w:pPr>
        <w:pStyle w:val="Heading2"/>
      </w:pPr>
      <w:bookmarkStart w:id="69" w:name="_Toc494290504"/>
      <w:bookmarkStart w:id="70" w:name="_Toc494290505"/>
      <w:bookmarkStart w:id="71" w:name="_Toc494290506"/>
      <w:bookmarkStart w:id="72" w:name="_Toc494290507"/>
      <w:bookmarkStart w:id="73" w:name="_Toc494290508"/>
      <w:bookmarkStart w:id="74" w:name="_Toc494290509"/>
      <w:bookmarkStart w:id="75" w:name="_Toc494290510"/>
      <w:bookmarkStart w:id="76" w:name="_Toc494290511"/>
      <w:bookmarkStart w:id="77" w:name="_Ref485221187"/>
      <w:bookmarkStart w:id="78" w:name="_Toc17704013"/>
      <w:bookmarkEnd w:id="68"/>
      <w:bookmarkEnd w:id="69"/>
      <w:bookmarkEnd w:id="70"/>
      <w:bookmarkEnd w:id="71"/>
      <w:bookmarkEnd w:id="72"/>
      <w:bookmarkEnd w:id="73"/>
      <w:bookmarkEnd w:id="74"/>
      <w:bookmarkEnd w:id="75"/>
      <w:bookmarkEnd w:id="76"/>
      <w:r>
        <w:t xml:space="preserve">The </w:t>
      </w:r>
      <w:r w:rsidR="00B94249">
        <w:t>assessment criteria</w:t>
      </w:r>
      <w:bookmarkEnd w:id="77"/>
      <w:bookmarkEnd w:id="78"/>
    </w:p>
    <w:p w14:paraId="4D93A0FD" w14:textId="77777777" w:rsidR="00910BD5" w:rsidRDefault="00CF2674" w:rsidP="00494050">
      <w:r>
        <w:t>Y</w:t>
      </w:r>
      <w:r w:rsidR="00494050" w:rsidRPr="00E44E21">
        <w:t xml:space="preserve">ou </w:t>
      </w:r>
      <w:r w:rsidR="003816D7">
        <w:t>must</w:t>
      </w:r>
      <w:r w:rsidR="00494050" w:rsidRPr="00E44E21">
        <w:t xml:space="preserve"> </w:t>
      </w:r>
      <w:r w:rsidR="00494050" w:rsidRPr="00EB1075">
        <w:t>address</w:t>
      </w:r>
      <w:r w:rsidR="00B2026E" w:rsidRPr="00EB1075">
        <w:t xml:space="preserve"> </w:t>
      </w:r>
      <w:r w:rsidR="00494050" w:rsidRPr="00EE0C10">
        <w:t>all</w:t>
      </w:r>
      <w:r w:rsidR="00B2026E" w:rsidRPr="00EB1075">
        <w:t xml:space="preserve"> </w:t>
      </w:r>
      <w:r w:rsidR="00832270">
        <w:t>of</w:t>
      </w:r>
      <w:r w:rsidR="00494050" w:rsidRPr="00342D0A">
        <w:t xml:space="preserve"> </w:t>
      </w:r>
      <w:r w:rsidR="00494050" w:rsidRPr="00E44E21">
        <w:t xml:space="preserve">the following assessment criteria in </w:t>
      </w:r>
      <w:r w:rsidR="007F7815">
        <w:t>the</w:t>
      </w:r>
      <w:r w:rsidR="00494050" w:rsidRPr="00E44E21">
        <w:t xml:space="preserve"> application. </w:t>
      </w:r>
      <w:r w:rsidR="00FA2CD8">
        <w:t>We</w:t>
      </w:r>
      <w:r w:rsidR="007F0A7D">
        <w:t xml:space="preserve"> </w:t>
      </w:r>
      <w:r w:rsidR="00494050" w:rsidRPr="00E44E21">
        <w:t xml:space="preserve">will </w:t>
      </w:r>
      <w:r>
        <w:t>assess</w:t>
      </w:r>
      <w:r w:rsidR="00494050" w:rsidRPr="00E44E21">
        <w:t xml:space="preserve"> your application based on the weighting given to each criterion</w:t>
      </w:r>
      <w:r w:rsidR="00123536">
        <w:t xml:space="preserve"> detailed below.</w:t>
      </w:r>
    </w:p>
    <w:p w14:paraId="3393D630" w14:textId="77777777" w:rsidR="006E166D" w:rsidRPr="00E44E21" w:rsidRDefault="006E166D" w:rsidP="006E166D">
      <w:r>
        <w:t xml:space="preserve">The application form includes </w:t>
      </w:r>
      <w:r w:rsidR="0000687C">
        <w:t>character</w:t>
      </w:r>
      <w:r>
        <w:t xml:space="preserve"> limits – up to </w:t>
      </w:r>
      <w:r w:rsidR="009B5AC6" w:rsidRPr="001E3492">
        <w:rPr>
          <w:color w:val="000000" w:themeColor="text1"/>
        </w:rPr>
        <w:t>6000</w:t>
      </w:r>
      <w:r w:rsidRPr="001E3492">
        <w:rPr>
          <w:color w:val="000000" w:themeColor="text1"/>
        </w:rPr>
        <w:t xml:space="preserve"> </w:t>
      </w:r>
      <w:r w:rsidR="0000687C">
        <w:t>characters</w:t>
      </w:r>
      <w:r>
        <w:t xml:space="preserve"> </w:t>
      </w:r>
      <w:r w:rsidR="005832B1">
        <w:t>(</w:t>
      </w:r>
      <w:r w:rsidR="00C4124E">
        <w:t>approx.</w:t>
      </w:r>
      <w:r w:rsidR="001B09DE" w:rsidRPr="005832B1">
        <w:rPr>
          <w:color w:val="0070C0"/>
        </w:rPr>
        <w:t xml:space="preserve"> </w:t>
      </w:r>
      <w:r w:rsidR="009B5AC6" w:rsidRPr="001E3492">
        <w:rPr>
          <w:color w:val="000000" w:themeColor="text1"/>
        </w:rPr>
        <w:t>900</w:t>
      </w:r>
      <w:r w:rsidR="005832B1" w:rsidRPr="001E3492">
        <w:rPr>
          <w:color w:val="000000" w:themeColor="text1"/>
        </w:rPr>
        <w:t xml:space="preserve"> </w:t>
      </w:r>
      <w:r w:rsidR="005832B1">
        <w:t xml:space="preserve">words) </w:t>
      </w:r>
      <w:r>
        <w:t>per criter</w:t>
      </w:r>
      <w:r w:rsidR="00AA6C92">
        <w:t>ion</w:t>
      </w:r>
      <w:r>
        <w:t xml:space="preserve">. The application form will not accept </w:t>
      </w:r>
      <w:r w:rsidR="0000687C">
        <w:t>characters</w:t>
      </w:r>
      <w:r>
        <w:t xml:space="preserve"> beyond this limit. </w:t>
      </w:r>
      <w:r w:rsidR="00AA6C92">
        <w:t>Please note spaces are included in the character limit.</w:t>
      </w:r>
    </w:p>
    <w:p w14:paraId="498CC5D4" w14:textId="77777777" w:rsidR="00C24F4A" w:rsidRPr="001E3492" w:rsidRDefault="00C24F4A" w:rsidP="00C24F4A">
      <w:r w:rsidRPr="001E3492">
        <w:t xml:space="preserve">You must address all of the assessment criteria in the application. Applications that score highly against all criteria are more likely to </w:t>
      </w:r>
      <w:proofErr w:type="gramStart"/>
      <w:r w:rsidRPr="001E3492">
        <w:t>be recommended</w:t>
      </w:r>
      <w:proofErr w:type="gramEnd"/>
      <w:r w:rsidR="001E3492">
        <w:t xml:space="preserve"> for funding</w:t>
      </w:r>
      <w:r w:rsidRPr="001E3492">
        <w:t xml:space="preserve">. </w:t>
      </w:r>
    </w:p>
    <w:p w14:paraId="388E406A" w14:textId="4256B27D" w:rsidR="00C24F4A" w:rsidRPr="001E3492" w:rsidRDefault="00C24F4A" w:rsidP="00C24F4A">
      <w:r w:rsidRPr="001E3492">
        <w:t xml:space="preserve">All projects must deliver value with </w:t>
      </w:r>
      <w:r w:rsidR="00A41BA0">
        <w:t xml:space="preserve">relevant </w:t>
      </w:r>
      <w:r w:rsidRPr="001E3492">
        <w:t>money in the context of the criteria outlined below. We will assess each application on its merits and the weighting given to each criterion detailed below. We will recommend funding for projects based on a competitive evaluation against all assessment criteria.</w:t>
      </w:r>
    </w:p>
    <w:p w14:paraId="64FB38A8" w14:textId="77777777" w:rsidR="00C24F4A" w:rsidRPr="00523F5A" w:rsidRDefault="00C24F4A" w:rsidP="00C24F4A">
      <w:pPr>
        <w:rPr>
          <w:b/>
        </w:rPr>
      </w:pPr>
      <w:r w:rsidRPr="00523F5A">
        <w:rPr>
          <w:b/>
        </w:rPr>
        <w:t>Criterion 1: Economic benefits [weighting of 40%]</w:t>
      </w:r>
    </w:p>
    <w:p w14:paraId="14B97FB1" w14:textId="6EAE7409" w:rsidR="00C24F4A" w:rsidRPr="00A57425" w:rsidRDefault="008C1298" w:rsidP="00C24F4A">
      <w:pPr>
        <w:rPr>
          <w:iCs/>
          <w:color w:val="000000" w:themeColor="text1"/>
          <w:lang w:val="en-GB"/>
        </w:rPr>
      </w:pPr>
      <w:r w:rsidRPr="00A57425">
        <w:rPr>
          <w:iCs/>
          <w:color w:val="000000" w:themeColor="text1"/>
          <w:lang w:val="en-GB"/>
        </w:rPr>
        <w:t>You must d</w:t>
      </w:r>
      <w:r w:rsidR="00C24F4A" w:rsidRPr="00A57425">
        <w:rPr>
          <w:iCs/>
          <w:color w:val="000000" w:themeColor="text1"/>
          <w:lang w:val="en-GB"/>
        </w:rPr>
        <w:t>escribe your project in detail</w:t>
      </w:r>
      <w:r w:rsidR="0034568F">
        <w:rPr>
          <w:iCs/>
          <w:color w:val="000000" w:themeColor="text1"/>
          <w:lang w:val="en-GB"/>
        </w:rPr>
        <w:t>. You must</w:t>
      </w:r>
      <w:r w:rsidR="00C24F4A" w:rsidRPr="00A57425">
        <w:rPr>
          <w:iCs/>
          <w:color w:val="000000" w:themeColor="text1"/>
          <w:lang w:val="en-GB"/>
        </w:rPr>
        <w:t xml:space="preserve"> identify which community your project relates to, specify the location of the activities, and describe how it will deliver economic benefits that address the impacts of water recovery on the community. </w:t>
      </w:r>
      <w:r w:rsidR="0034568F">
        <w:rPr>
          <w:iCs/>
          <w:color w:val="000000" w:themeColor="text1"/>
          <w:lang w:val="en-GB"/>
        </w:rPr>
        <w:t>Do</w:t>
      </w:r>
      <w:r w:rsidR="00C24F4A" w:rsidRPr="00A57425">
        <w:rPr>
          <w:iCs/>
          <w:color w:val="000000" w:themeColor="text1"/>
          <w:lang w:val="en-GB"/>
        </w:rPr>
        <w:t xml:space="preserve"> not provide a description of the impacts</w:t>
      </w:r>
      <w:r w:rsidRPr="00A57425">
        <w:rPr>
          <w:iCs/>
          <w:color w:val="000000" w:themeColor="text1"/>
          <w:lang w:val="en-GB"/>
        </w:rPr>
        <w:t xml:space="preserve"> of water recovery on the community</w:t>
      </w:r>
      <w:r w:rsidR="00B52810">
        <w:rPr>
          <w:iCs/>
          <w:color w:val="000000" w:themeColor="text1"/>
          <w:lang w:val="en-GB"/>
        </w:rPr>
        <w:t>. When addressing the</w:t>
      </w:r>
      <w:r w:rsidR="00C24F4A" w:rsidRPr="00A57425">
        <w:rPr>
          <w:iCs/>
          <w:color w:val="000000" w:themeColor="text1"/>
          <w:lang w:val="en-GB"/>
        </w:rPr>
        <w:t xml:space="preserve"> criterion</w:t>
      </w:r>
      <w:r w:rsidRPr="00A57425">
        <w:rPr>
          <w:iCs/>
          <w:color w:val="000000" w:themeColor="text1"/>
          <w:lang w:val="en-GB"/>
        </w:rPr>
        <w:t>,</w:t>
      </w:r>
      <w:r w:rsidR="00C24F4A" w:rsidRPr="00A57425">
        <w:rPr>
          <w:iCs/>
          <w:color w:val="000000" w:themeColor="text1"/>
          <w:lang w:val="en-GB"/>
        </w:rPr>
        <w:t xml:space="preserve"> strong </w:t>
      </w:r>
      <w:r w:rsidR="00A41BA0">
        <w:rPr>
          <w:iCs/>
          <w:color w:val="000000" w:themeColor="text1"/>
          <w:lang w:val="en-GB"/>
        </w:rPr>
        <w:t>applications</w:t>
      </w:r>
      <w:r w:rsidR="00A41BA0" w:rsidRPr="00A57425">
        <w:rPr>
          <w:iCs/>
          <w:color w:val="000000" w:themeColor="text1"/>
          <w:lang w:val="en-GB"/>
        </w:rPr>
        <w:t xml:space="preserve"> </w:t>
      </w:r>
      <w:r w:rsidR="00C24F4A" w:rsidRPr="00A57425">
        <w:rPr>
          <w:iCs/>
          <w:color w:val="000000" w:themeColor="text1"/>
          <w:lang w:val="en-GB"/>
        </w:rPr>
        <w:t xml:space="preserve">will discuss </w:t>
      </w:r>
      <w:r w:rsidR="00A41BA0">
        <w:rPr>
          <w:iCs/>
          <w:color w:val="000000" w:themeColor="text1"/>
          <w:lang w:val="en-GB"/>
        </w:rPr>
        <w:t xml:space="preserve">how the project will provide </w:t>
      </w:r>
      <w:r w:rsidR="00C24F4A" w:rsidRPr="00A57425">
        <w:rPr>
          <w:iCs/>
          <w:color w:val="000000" w:themeColor="text1"/>
          <w:lang w:val="en-GB"/>
        </w:rPr>
        <w:t>economic benefits</w:t>
      </w:r>
      <w:r w:rsidR="00A41BA0">
        <w:rPr>
          <w:iCs/>
          <w:color w:val="000000" w:themeColor="text1"/>
          <w:lang w:val="en-GB"/>
        </w:rPr>
        <w:t>,</w:t>
      </w:r>
      <w:r w:rsidR="00C24F4A" w:rsidRPr="00A57425">
        <w:rPr>
          <w:iCs/>
          <w:color w:val="000000" w:themeColor="text1"/>
          <w:lang w:val="en-GB"/>
        </w:rPr>
        <w:t xml:space="preserve"> including how </w:t>
      </w:r>
      <w:r w:rsidR="00A41BA0">
        <w:rPr>
          <w:iCs/>
          <w:color w:val="000000" w:themeColor="text1"/>
          <w:lang w:val="en-GB"/>
        </w:rPr>
        <w:t>it</w:t>
      </w:r>
      <w:r w:rsidR="00C24F4A" w:rsidRPr="00A57425">
        <w:rPr>
          <w:iCs/>
          <w:color w:val="000000" w:themeColor="text1"/>
          <w:lang w:val="en-GB"/>
        </w:rPr>
        <w:t xml:space="preserve"> will:</w:t>
      </w:r>
    </w:p>
    <w:p w14:paraId="2B646A0A" w14:textId="77777777" w:rsidR="00C24F4A" w:rsidRPr="00A57425" w:rsidRDefault="00C24F4A" w:rsidP="00C24F4A">
      <w:pPr>
        <w:numPr>
          <w:ilvl w:val="0"/>
          <w:numId w:val="7"/>
        </w:numPr>
        <w:rPr>
          <w:iCs/>
          <w:color w:val="000000" w:themeColor="text1"/>
        </w:rPr>
      </w:pPr>
      <w:r w:rsidRPr="00A57425">
        <w:rPr>
          <w:iCs/>
          <w:color w:val="000000" w:themeColor="text1"/>
        </w:rPr>
        <w:t>diversify and strengthen an identified community’s economy</w:t>
      </w:r>
    </w:p>
    <w:p w14:paraId="4644D913" w14:textId="748B62FC" w:rsidR="00C24F4A" w:rsidRPr="00A57425" w:rsidRDefault="00C24F4A" w:rsidP="00C24F4A">
      <w:pPr>
        <w:numPr>
          <w:ilvl w:val="0"/>
          <w:numId w:val="7"/>
        </w:numPr>
        <w:rPr>
          <w:iCs/>
          <w:color w:val="000000" w:themeColor="text1"/>
        </w:rPr>
      </w:pPr>
      <w:r w:rsidRPr="00A57425">
        <w:rPr>
          <w:iCs/>
          <w:color w:val="000000" w:themeColor="text1"/>
        </w:rPr>
        <w:t xml:space="preserve">enhance resilience of the community to manage current and future </w:t>
      </w:r>
      <w:r w:rsidR="00B52810">
        <w:rPr>
          <w:iCs/>
          <w:color w:val="000000" w:themeColor="text1"/>
        </w:rPr>
        <w:t>economic challenges and changes</w:t>
      </w:r>
    </w:p>
    <w:p w14:paraId="5A4886C4" w14:textId="77777777" w:rsidR="00C24F4A" w:rsidRDefault="00C24F4A" w:rsidP="00C24F4A">
      <w:pPr>
        <w:numPr>
          <w:ilvl w:val="0"/>
          <w:numId w:val="7"/>
        </w:numPr>
        <w:rPr>
          <w:iCs/>
          <w:color w:val="000000" w:themeColor="text1"/>
        </w:rPr>
      </w:pPr>
      <w:proofErr w:type="gramStart"/>
      <w:r w:rsidRPr="00A57425">
        <w:rPr>
          <w:iCs/>
          <w:color w:val="000000" w:themeColor="text1"/>
        </w:rPr>
        <w:t>increase</w:t>
      </w:r>
      <w:proofErr w:type="gramEnd"/>
      <w:r w:rsidRPr="00A57425">
        <w:rPr>
          <w:iCs/>
          <w:color w:val="000000" w:themeColor="text1"/>
        </w:rPr>
        <w:t xml:space="preserve"> opportunities within the community for employment.</w:t>
      </w:r>
    </w:p>
    <w:p w14:paraId="14BDE66A" w14:textId="759BB277" w:rsidR="00553576" w:rsidRPr="00A57425" w:rsidRDefault="00553576" w:rsidP="00553576">
      <w:pPr>
        <w:pStyle w:val="ListBullet"/>
        <w:numPr>
          <w:ilvl w:val="0"/>
          <w:numId w:val="0"/>
        </w:numPr>
      </w:pPr>
      <w:r w:rsidRPr="005250EA">
        <w:t xml:space="preserve">Applications that outline measurable outputs of the proposed projects, such as </w:t>
      </w:r>
      <w:r w:rsidRPr="005250EA">
        <w:rPr>
          <w:rFonts w:cs="Arial"/>
          <w:color w:val="000000" w:themeColor="text1"/>
        </w:rPr>
        <w:t xml:space="preserve">the </w:t>
      </w:r>
      <w:r w:rsidRPr="005250EA">
        <w:rPr>
          <w:color w:val="000000" w:themeColor="text1"/>
        </w:rPr>
        <w:t>number of jobs cre</w:t>
      </w:r>
      <w:r w:rsidR="00070CB6" w:rsidRPr="005250EA">
        <w:rPr>
          <w:color w:val="000000" w:themeColor="text1"/>
        </w:rPr>
        <w:t xml:space="preserve">ated </w:t>
      </w:r>
      <w:proofErr w:type="gramStart"/>
      <w:r w:rsidR="00070CB6" w:rsidRPr="005250EA">
        <w:rPr>
          <w:color w:val="000000" w:themeColor="text1"/>
        </w:rPr>
        <w:t>as a result</w:t>
      </w:r>
      <w:proofErr w:type="gramEnd"/>
      <w:r w:rsidR="00070CB6" w:rsidRPr="005250EA">
        <w:rPr>
          <w:color w:val="000000" w:themeColor="text1"/>
        </w:rPr>
        <w:t xml:space="preserve"> of the project</w:t>
      </w:r>
      <w:r w:rsidRPr="005250EA">
        <w:rPr>
          <w:color w:val="000000" w:themeColor="text1"/>
        </w:rPr>
        <w:t>, will be highly regarded.</w:t>
      </w:r>
      <w:r>
        <w:rPr>
          <w:color w:val="000000" w:themeColor="text1"/>
        </w:rPr>
        <w:t xml:space="preserve"> </w:t>
      </w:r>
    </w:p>
    <w:p w14:paraId="2B66F761" w14:textId="77777777" w:rsidR="00C24F4A" w:rsidRPr="00523F5A" w:rsidRDefault="00C24F4A" w:rsidP="00C24F4A">
      <w:pPr>
        <w:rPr>
          <w:b/>
        </w:rPr>
      </w:pPr>
      <w:r w:rsidRPr="00523F5A">
        <w:rPr>
          <w:b/>
        </w:rPr>
        <w:lastRenderedPageBreak/>
        <w:t>Criterion 2: Community support and benefit [weighting of 30%]</w:t>
      </w:r>
    </w:p>
    <w:p w14:paraId="282D067A" w14:textId="356FFBFD" w:rsidR="00C24F4A" w:rsidRPr="00A57425" w:rsidRDefault="008C1298" w:rsidP="00C24F4A">
      <w:pPr>
        <w:rPr>
          <w:iCs/>
          <w:color w:val="000000" w:themeColor="text1"/>
          <w:lang w:val="en-GB"/>
        </w:rPr>
      </w:pPr>
      <w:r w:rsidRPr="00A57425">
        <w:rPr>
          <w:iCs/>
          <w:color w:val="000000" w:themeColor="text1"/>
          <w:lang w:val="en-GB"/>
        </w:rPr>
        <w:t>Y</w:t>
      </w:r>
      <w:r w:rsidR="00C24F4A" w:rsidRPr="00A57425">
        <w:rPr>
          <w:iCs/>
          <w:color w:val="000000" w:themeColor="text1"/>
          <w:lang w:val="en-GB"/>
        </w:rPr>
        <w:t>ou</w:t>
      </w:r>
      <w:r w:rsidR="00C24F4A" w:rsidRPr="00A57425" w:rsidDel="00E55676">
        <w:rPr>
          <w:iCs/>
          <w:color w:val="000000" w:themeColor="text1"/>
          <w:lang w:val="en-GB"/>
        </w:rPr>
        <w:t xml:space="preserve"> </w:t>
      </w:r>
      <w:r w:rsidR="00C24F4A" w:rsidRPr="00A57425">
        <w:rPr>
          <w:iCs/>
          <w:color w:val="000000" w:themeColor="text1"/>
          <w:lang w:val="en-GB"/>
        </w:rPr>
        <w:t xml:space="preserve">must describe how your project will provide </w:t>
      </w:r>
      <w:r w:rsidR="00C24F4A" w:rsidRPr="00A57425">
        <w:rPr>
          <w:iCs/>
          <w:color w:val="000000" w:themeColor="text1"/>
        </w:rPr>
        <w:t xml:space="preserve">support for and benefit to the community, as opposed to only individuals or enterprises within the community. </w:t>
      </w:r>
      <w:r w:rsidR="00A41BA0">
        <w:rPr>
          <w:iCs/>
          <w:color w:val="000000" w:themeColor="text1"/>
        </w:rPr>
        <w:t xml:space="preserve">You must detail how </w:t>
      </w:r>
      <w:proofErr w:type="gramStart"/>
      <w:r w:rsidR="00A41BA0">
        <w:rPr>
          <w:iCs/>
          <w:color w:val="000000" w:themeColor="text1"/>
        </w:rPr>
        <w:t>your p</w:t>
      </w:r>
      <w:r w:rsidR="00C24F4A" w:rsidRPr="00A57425">
        <w:rPr>
          <w:iCs/>
          <w:color w:val="000000" w:themeColor="text1"/>
        </w:rPr>
        <w:t xml:space="preserve">roject </w:t>
      </w:r>
      <w:r w:rsidR="00A41BA0">
        <w:rPr>
          <w:iCs/>
          <w:color w:val="000000" w:themeColor="text1"/>
        </w:rPr>
        <w:t>is</w:t>
      </w:r>
      <w:r w:rsidR="00C24F4A" w:rsidRPr="00A57425">
        <w:rPr>
          <w:iCs/>
          <w:color w:val="000000" w:themeColor="text1"/>
        </w:rPr>
        <w:t xml:space="preserve"> supported by the community</w:t>
      </w:r>
      <w:proofErr w:type="gramEnd"/>
      <w:r w:rsidR="00C24F4A" w:rsidRPr="00A57425">
        <w:rPr>
          <w:iCs/>
          <w:color w:val="000000" w:themeColor="text1"/>
        </w:rPr>
        <w:t>. When addressing the criterion</w:t>
      </w:r>
      <w:r w:rsidR="0034568F">
        <w:rPr>
          <w:iCs/>
          <w:color w:val="000000" w:themeColor="text1"/>
        </w:rPr>
        <w:t>,</w:t>
      </w:r>
      <w:r w:rsidR="00C24F4A" w:rsidRPr="00A57425">
        <w:rPr>
          <w:iCs/>
          <w:color w:val="000000" w:themeColor="text1"/>
        </w:rPr>
        <w:t xml:space="preserve"> strong </w:t>
      </w:r>
      <w:r w:rsidR="00A41BA0">
        <w:rPr>
          <w:iCs/>
          <w:color w:val="000000" w:themeColor="text1"/>
        </w:rPr>
        <w:t>applications</w:t>
      </w:r>
      <w:r w:rsidR="00A41BA0" w:rsidRPr="00A57425">
        <w:rPr>
          <w:iCs/>
          <w:color w:val="000000" w:themeColor="text1"/>
        </w:rPr>
        <w:t xml:space="preserve"> </w:t>
      </w:r>
      <w:r w:rsidR="00C24F4A" w:rsidRPr="00A57425">
        <w:rPr>
          <w:iCs/>
          <w:color w:val="000000" w:themeColor="text1"/>
        </w:rPr>
        <w:t>will include</w:t>
      </w:r>
      <w:r w:rsidR="00C24F4A" w:rsidRPr="00A57425">
        <w:rPr>
          <w:iCs/>
          <w:color w:val="000000" w:themeColor="text1"/>
          <w:lang w:val="en-GB"/>
        </w:rPr>
        <w:t>:</w:t>
      </w:r>
    </w:p>
    <w:p w14:paraId="625E3FAC" w14:textId="38431728" w:rsidR="00C24F4A" w:rsidRPr="00A57425" w:rsidRDefault="00C24F4A" w:rsidP="00C24F4A">
      <w:pPr>
        <w:numPr>
          <w:ilvl w:val="0"/>
          <w:numId w:val="7"/>
        </w:numPr>
        <w:rPr>
          <w:iCs/>
          <w:color w:val="000000" w:themeColor="text1"/>
        </w:rPr>
      </w:pPr>
      <w:r w:rsidRPr="00A57425">
        <w:rPr>
          <w:iCs/>
          <w:color w:val="000000" w:themeColor="text1"/>
        </w:rPr>
        <w:t xml:space="preserve">a description of the linkages to relevant local economic development strategies, including the plans, priorities or challenges outlined in any relevant local, </w:t>
      </w:r>
      <w:r w:rsidR="00B52810">
        <w:rPr>
          <w:iCs/>
          <w:color w:val="000000" w:themeColor="text1"/>
        </w:rPr>
        <w:t>s</w:t>
      </w:r>
      <w:r w:rsidRPr="00A57425">
        <w:rPr>
          <w:iCs/>
          <w:color w:val="000000" w:themeColor="text1"/>
        </w:rPr>
        <w:t xml:space="preserve">tate or Australian </w:t>
      </w:r>
      <w:r w:rsidR="00A8702B">
        <w:rPr>
          <w:iCs/>
          <w:color w:val="000000" w:themeColor="text1"/>
        </w:rPr>
        <w:t>Government</w:t>
      </w:r>
      <w:r w:rsidRPr="00A57425">
        <w:rPr>
          <w:iCs/>
          <w:color w:val="000000" w:themeColor="text1"/>
        </w:rPr>
        <w:t xml:space="preserve"> policies</w:t>
      </w:r>
      <w:r w:rsidRPr="00A57425" w:rsidDel="009C6D00">
        <w:rPr>
          <w:iCs/>
          <w:color w:val="000000" w:themeColor="text1"/>
        </w:rPr>
        <w:t xml:space="preserve"> </w:t>
      </w:r>
      <w:r w:rsidRPr="00A57425">
        <w:rPr>
          <w:iCs/>
          <w:color w:val="000000" w:themeColor="text1"/>
        </w:rPr>
        <w:t>or other</w:t>
      </w:r>
      <w:r w:rsidR="00B52810">
        <w:rPr>
          <w:iCs/>
          <w:color w:val="000000" w:themeColor="text1"/>
        </w:rPr>
        <w:t xml:space="preserve"> documentation that demonstrate</w:t>
      </w:r>
      <w:r w:rsidRPr="00A57425">
        <w:rPr>
          <w:iCs/>
          <w:color w:val="000000" w:themeColor="text1"/>
        </w:rPr>
        <w:t xml:space="preserve"> the project is a strategic priority</w:t>
      </w:r>
    </w:p>
    <w:p w14:paraId="54BDA304" w14:textId="77777777" w:rsidR="00C24F4A" w:rsidRPr="00A57425" w:rsidRDefault="00C24F4A" w:rsidP="00C24F4A">
      <w:pPr>
        <w:numPr>
          <w:ilvl w:val="0"/>
          <w:numId w:val="7"/>
        </w:numPr>
        <w:rPr>
          <w:iCs/>
          <w:color w:val="000000" w:themeColor="text1"/>
        </w:rPr>
      </w:pPr>
      <w:r w:rsidRPr="00A57425">
        <w:rPr>
          <w:iCs/>
          <w:color w:val="000000" w:themeColor="text1"/>
        </w:rPr>
        <w:t>an analysis of the public benefit</w:t>
      </w:r>
    </w:p>
    <w:p w14:paraId="0A23C21F" w14:textId="77777777" w:rsidR="00C24F4A" w:rsidRPr="00A57425" w:rsidRDefault="00C24F4A" w:rsidP="00C24F4A">
      <w:pPr>
        <w:numPr>
          <w:ilvl w:val="0"/>
          <w:numId w:val="7"/>
        </w:numPr>
        <w:rPr>
          <w:iCs/>
          <w:color w:val="000000" w:themeColor="text1"/>
        </w:rPr>
      </w:pPr>
      <w:proofErr w:type="gramStart"/>
      <w:r w:rsidRPr="00A57425">
        <w:rPr>
          <w:iCs/>
          <w:color w:val="000000" w:themeColor="text1"/>
        </w:rPr>
        <w:t>recent</w:t>
      </w:r>
      <w:proofErr w:type="gramEnd"/>
      <w:r w:rsidRPr="00A57425">
        <w:rPr>
          <w:iCs/>
          <w:color w:val="000000" w:themeColor="text1"/>
        </w:rPr>
        <w:t xml:space="preserve"> written support from key stakeholders for this project, including but not limited to relevant local governments, community stakeholders and Indigenous communities (you may include up to five written letters of support</w:t>
      </w:r>
      <w:r w:rsidR="008C1298" w:rsidRPr="00A57425">
        <w:rPr>
          <w:iCs/>
          <w:color w:val="000000" w:themeColor="text1"/>
        </w:rPr>
        <w:t xml:space="preserve"> consolidated into a single attachment</w:t>
      </w:r>
      <w:r w:rsidRPr="00A57425">
        <w:rPr>
          <w:iCs/>
          <w:color w:val="000000" w:themeColor="text1"/>
        </w:rPr>
        <w:t>).</w:t>
      </w:r>
    </w:p>
    <w:p w14:paraId="18DAE7CC" w14:textId="17393CB7" w:rsidR="00C24F4A" w:rsidRPr="00523F5A" w:rsidRDefault="00A8748D" w:rsidP="00C24F4A">
      <w:pPr>
        <w:rPr>
          <w:b/>
        </w:rPr>
      </w:pPr>
      <w:r>
        <w:rPr>
          <w:b/>
        </w:rPr>
        <w:t>Criterion 3: Organisational c</w:t>
      </w:r>
      <w:r w:rsidR="00C24F4A" w:rsidRPr="00523F5A">
        <w:rPr>
          <w:b/>
        </w:rPr>
        <w:t>apability [weighting of 30%]</w:t>
      </w:r>
    </w:p>
    <w:p w14:paraId="20FB29FE" w14:textId="77777777" w:rsidR="00C24F4A" w:rsidRPr="00A57425" w:rsidRDefault="0034568F" w:rsidP="00C24F4A">
      <w:pPr>
        <w:rPr>
          <w:iCs/>
          <w:color w:val="000000" w:themeColor="text1"/>
          <w:lang w:val="en-GB"/>
        </w:rPr>
      </w:pPr>
      <w:r>
        <w:rPr>
          <w:iCs/>
          <w:color w:val="000000" w:themeColor="text1"/>
          <w:lang w:val="en-GB"/>
        </w:rPr>
        <w:t>You must describe how you will manage and deliver the project, including your financial control</w:t>
      </w:r>
      <w:r w:rsidR="006959F1">
        <w:rPr>
          <w:iCs/>
          <w:color w:val="000000" w:themeColor="text1"/>
          <w:lang w:val="en-GB"/>
        </w:rPr>
        <w:t xml:space="preserve"> </w:t>
      </w:r>
      <w:r>
        <w:rPr>
          <w:iCs/>
          <w:color w:val="000000" w:themeColor="text1"/>
          <w:lang w:val="en-GB"/>
        </w:rPr>
        <w:t>s</w:t>
      </w:r>
      <w:r w:rsidR="006959F1">
        <w:rPr>
          <w:iCs/>
          <w:color w:val="000000" w:themeColor="text1"/>
          <w:lang w:val="en-GB"/>
        </w:rPr>
        <w:t>ystems</w:t>
      </w:r>
      <w:r>
        <w:rPr>
          <w:iCs/>
          <w:color w:val="000000" w:themeColor="text1"/>
          <w:lang w:val="en-GB"/>
        </w:rPr>
        <w:t xml:space="preserve"> and project management arrangements. You should provide enough detail to demonstrate that your organisation has the capacity to manage grant funding and deliver the project. </w:t>
      </w:r>
      <w:r w:rsidR="00C24F4A" w:rsidRPr="00A57425">
        <w:rPr>
          <w:iCs/>
          <w:color w:val="000000" w:themeColor="text1"/>
          <w:lang w:val="en-GB"/>
        </w:rPr>
        <w:t>When addressing the criterion</w:t>
      </w:r>
      <w:r w:rsidR="003402DE" w:rsidRPr="00A57425">
        <w:rPr>
          <w:iCs/>
          <w:color w:val="000000" w:themeColor="text1"/>
          <w:lang w:val="en-GB"/>
        </w:rPr>
        <w:t>,</w:t>
      </w:r>
      <w:r w:rsidR="00C24F4A" w:rsidRPr="00A57425">
        <w:rPr>
          <w:iCs/>
          <w:color w:val="000000" w:themeColor="text1"/>
          <w:lang w:val="en-GB"/>
        </w:rPr>
        <w:t xml:space="preserve"> strong applicants will include:</w:t>
      </w:r>
    </w:p>
    <w:p w14:paraId="5E86C78B" w14:textId="77777777" w:rsidR="00C24F4A" w:rsidRPr="00A57425" w:rsidRDefault="00C24F4A" w:rsidP="00C24F4A">
      <w:pPr>
        <w:numPr>
          <w:ilvl w:val="0"/>
          <w:numId w:val="7"/>
        </w:numPr>
        <w:rPr>
          <w:iCs/>
          <w:color w:val="000000" w:themeColor="text1"/>
        </w:rPr>
      </w:pPr>
      <w:r w:rsidRPr="00A57425">
        <w:rPr>
          <w:iCs/>
          <w:color w:val="000000" w:themeColor="text1"/>
        </w:rPr>
        <w:t>a detailed itemised budget, including contingency allowances, in the template provided</w:t>
      </w:r>
    </w:p>
    <w:p w14:paraId="73A20A44" w14:textId="77777777" w:rsidR="00C24F4A" w:rsidRPr="00A57425" w:rsidRDefault="00C24F4A" w:rsidP="00C24F4A">
      <w:pPr>
        <w:numPr>
          <w:ilvl w:val="0"/>
          <w:numId w:val="7"/>
        </w:numPr>
        <w:rPr>
          <w:iCs/>
          <w:color w:val="000000" w:themeColor="text1"/>
        </w:rPr>
      </w:pPr>
      <w:r w:rsidRPr="00A57425">
        <w:rPr>
          <w:iCs/>
          <w:color w:val="000000" w:themeColor="text1"/>
        </w:rPr>
        <w:t>details of your proposed governance arrangements and how you will manage the project</w:t>
      </w:r>
    </w:p>
    <w:p w14:paraId="2A70CCB0" w14:textId="6F029AA6" w:rsidR="00C24F4A" w:rsidRPr="00A57425" w:rsidRDefault="00C24F4A" w:rsidP="00C24F4A">
      <w:pPr>
        <w:numPr>
          <w:ilvl w:val="0"/>
          <w:numId w:val="7"/>
        </w:numPr>
        <w:rPr>
          <w:iCs/>
          <w:color w:val="000000" w:themeColor="text1"/>
        </w:rPr>
      </w:pPr>
      <w:r w:rsidRPr="00A57425">
        <w:rPr>
          <w:iCs/>
          <w:color w:val="000000" w:themeColor="text1"/>
        </w:rPr>
        <w:t>a summary of your plan to deliver the project,</w:t>
      </w:r>
      <w:r w:rsidR="006D65FC">
        <w:rPr>
          <w:iCs/>
          <w:color w:val="000000" w:themeColor="text1"/>
        </w:rPr>
        <w:t xml:space="preserve"> in the form of a detailed project plan,</w:t>
      </w:r>
      <w:r w:rsidRPr="00A57425">
        <w:rPr>
          <w:iCs/>
          <w:color w:val="000000" w:themeColor="text1"/>
        </w:rPr>
        <w:t xml:space="preserve"> including subcontracting arrangements</w:t>
      </w:r>
    </w:p>
    <w:p w14:paraId="44694AB0" w14:textId="77777777" w:rsidR="00C24F4A" w:rsidRPr="00A57425" w:rsidRDefault="00C24F4A" w:rsidP="00C24F4A">
      <w:pPr>
        <w:numPr>
          <w:ilvl w:val="0"/>
          <w:numId w:val="7"/>
        </w:numPr>
        <w:rPr>
          <w:iCs/>
          <w:color w:val="000000" w:themeColor="text1"/>
        </w:rPr>
      </w:pPr>
      <w:proofErr w:type="gramStart"/>
      <w:r w:rsidRPr="00A57425">
        <w:rPr>
          <w:iCs/>
          <w:color w:val="000000" w:themeColor="text1"/>
        </w:rPr>
        <w:t>a</w:t>
      </w:r>
      <w:proofErr w:type="gramEnd"/>
      <w:r w:rsidRPr="00A57425">
        <w:rPr>
          <w:iCs/>
          <w:color w:val="000000" w:themeColor="text1"/>
        </w:rPr>
        <w:t xml:space="preserve"> description of the experience of the personnel who will be delivering and managing the project/s.</w:t>
      </w:r>
    </w:p>
    <w:p w14:paraId="1663181C" w14:textId="77777777" w:rsidR="00C347D8" w:rsidRPr="00FD47D5" w:rsidRDefault="00C347D8" w:rsidP="009668F6">
      <w:pPr>
        <w:pStyle w:val="Heading2"/>
      </w:pPr>
      <w:bookmarkStart w:id="79" w:name="_Toc17704014"/>
      <w:bookmarkStart w:id="80" w:name="_Toc164844283"/>
      <w:bookmarkStart w:id="81" w:name="_Toc383003272"/>
      <w:bookmarkEnd w:id="35"/>
      <w:bookmarkEnd w:id="36"/>
      <w:r w:rsidRPr="00FD47D5">
        <w:t xml:space="preserve">How to </w:t>
      </w:r>
      <w:r w:rsidR="00C7753F" w:rsidRPr="00FD47D5">
        <w:t>a</w:t>
      </w:r>
      <w:r w:rsidRPr="00FD47D5">
        <w:t>pply</w:t>
      </w:r>
      <w:bookmarkEnd w:id="79"/>
    </w:p>
    <w:p w14:paraId="72A0994D" w14:textId="300175B6" w:rsidR="00635ACF" w:rsidRPr="00E60699" w:rsidRDefault="00C347D8" w:rsidP="007C2638">
      <w:pPr>
        <w:rPr>
          <w:color w:val="000000" w:themeColor="text1"/>
        </w:rPr>
      </w:pPr>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FF6B6A">
        <w:t xml:space="preserve">terms and </w:t>
      </w:r>
      <w:r w:rsidR="00FF6B6A" w:rsidRPr="00E60699">
        <w:rPr>
          <w:color w:val="000000" w:themeColor="text1"/>
        </w:rPr>
        <w:t xml:space="preserve">conditions, </w:t>
      </w:r>
      <w:r w:rsidR="007C2638" w:rsidRPr="00E60699">
        <w:rPr>
          <w:color w:val="000000" w:themeColor="text1"/>
        </w:rPr>
        <w:t>sample grant agreemen</w:t>
      </w:r>
      <w:r w:rsidR="00E60699">
        <w:rPr>
          <w:color w:val="000000" w:themeColor="text1"/>
        </w:rPr>
        <w:t>t</w:t>
      </w:r>
      <w:r w:rsidR="005E08F7" w:rsidRPr="00E60699">
        <w:rPr>
          <w:color w:val="000000" w:themeColor="text1"/>
        </w:rPr>
        <w:t xml:space="preserve">, </w:t>
      </w:r>
      <w:r w:rsidR="00261986" w:rsidRPr="00E60699">
        <w:rPr>
          <w:color w:val="000000" w:themeColor="text1"/>
        </w:rPr>
        <w:t xml:space="preserve">and </w:t>
      </w:r>
      <w:r w:rsidR="00B52810">
        <w:rPr>
          <w:color w:val="000000" w:themeColor="text1"/>
        </w:rPr>
        <w:t>q</w:t>
      </w:r>
      <w:r w:rsidR="00975DDF" w:rsidRPr="00E60699">
        <w:rPr>
          <w:color w:val="000000" w:themeColor="text1"/>
        </w:rPr>
        <w:t xml:space="preserve">uestions and </w:t>
      </w:r>
      <w:r w:rsidR="00B52810">
        <w:rPr>
          <w:color w:val="000000" w:themeColor="text1"/>
        </w:rPr>
        <w:t>a</w:t>
      </w:r>
      <w:r w:rsidR="00975DDF" w:rsidRPr="00E60699">
        <w:rPr>
          <w:color w:val="000000" w:themeColor="text1"/>
        </w:rPr>
        <w:t>nswers.</w:t>
      </w:r>
    </w:p>
    <w:p w14:paraId="1626027B" w14:textId="1CA45551" w:rsidR="007C2638" w:rsidRDefault="007C2638" w:rsidP="007C2638">
      <w:r w:rsidRPr="00122BE1">
        <w:t xml:space="preserve">These documents </w:t>
      </w:r>
      <w:proofErr w:type="gramStart"/>
      <w:r w:rsidR="00A3719C">
        <w:t>are</w:t>
      </w:r>
      <w:r w:rsidRPr="00122BE1">
        <w:t xml:space="preserve"> found</w:t>
      </w:r>
      <w:proofErr w:type="gramEnd"/>
      <w:r w:rsidRPr="00122BE1">
        <w:t xml:space="preserve"> at</w:t>
      </w:r>
      <w:r w:rsidR="00247042">
        <w:t xml:space="preserve"> </w:t>
      </w:r>
      <w:hyperlink r:id="rId23" w:history="1">
        <w:r w:rsidR="00247042" w:rsidRPr="00247042">
          <w:rPr>
            <w:rStyle w:val="Hyperlink"/>
          </w:rPr>
          <w:t>GrantConnect</w:t>
        </w:r>
      </w:hyperlink>
      <w:r w:rsidR="00247042">
        <w:t xml:space="preserve"> and </w:t>
      </w:r>
      <w:hyperlink r:id="rId24" w:history="1">
        <w:r w:rsidR="00247042" w:rsidRPr="00247042">
          <w:rPr>
            <w:rStyle w:val="Hyperlink"/>
          </w:rPr>
          <w:t>Community Grants Hub</w:t>
        </w:r>
      </w:hyperlink>
      <w:r w:rsidR="00247042">
        <w:t xml:space="preserve"> websites.</w:t>
      </w:r>
      <w:r w:rsidR="00746AF0">
        <w:t xml:space="preserve"> </w:t>
      </w:r>
      <w:r w:rsidRPr="00122BE1">
        <w:t xml:space="preserve">Any </w:t>
      </w:r>
      <w:r w:rsidR="00C37B9D">
        <w:t>changes</w:t>
      </w:r>
      <w:r w:rsidR="00C37B9D" w:rsidRPr="00122BE1">
        <w:t xml:space="preserve"> </w:t>
      </w:r>
      <w:r w:rsidR="00742B12">
        <w:t xml:space="preserve">to grant documentation </w:t>
      </w:r>
      <w:proofErr w:type="gramStart"/>
      <w:r w:rsidR="00742B12">
        <w:t>are published</w:t>
      </w:r>
      <w:proofErr w:type="gramEnd"/>
      <w:r w:rsidR="00742B12">
        <w:t xml:space="preserve"> on both sites </w:t>
      </w:r>
      <w:r w:rsidRPr="00122BE1">
        <w:t>and addenda</w:t>
      </w:r>
      <w:r w:rsidRPr="00122BE1">
        <w:rPr>
          <w:rStyle w:val="FootnoteReference"/>
        </w:rPr>
        <w:footnoteReference w:id="4"/>
      </w:r>
      <w:r w:rsidRPr="00122BE1">
        <w:t xml:space="preserve"> will be published on GrantConnect</w:t>
      </w:r>
      <w:r w:rsidR="00742B12">
        <w:t>.</w:t>
      </w:r>
      <w:r w:rsidRPr="00122BE1">
        <w:t xml:space="preserve"> </w:t>
      </w:r>
      <w:r w:rsidR="00742B12">
        <w:t>B</w:t>
      </w:r>
      <w:r w:rsidRPr="00122BE1">
        <w:t xml:space="preserve">y registering on this </w:t>
      </w:r>
      <w:r w:rsidR="00C90253" w:rsidRPr="00122BE1">
        <w:t>website,</w:t>
      </w:r>
      <w:r w:rsidRPr="00122BE1">
        <w:t xml:space="preserve"> you </w:t>
      </w:r>
      <w:proofErr w:type="gramStart"/>
      <w:r w:rsidRPr="00122BE1">
        <w:t xml:space="preserve">will automatically </w:t>
      </w:r>
      <w:r w:rsidR="00410A95">
        <w:t xml:space="preserve">be </w:t>
      </w:r>
      <w:r w:rsidRPr="00122BE1">
        <w:t>notified</w:t>
      </w:r>
      <w:proofErr w:type="gramEnd"/>
      <w:r w:rsidRPr="00122BE1">
        <w:t xml:space="preserve">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4B39E48D" w14:textId="001ECA4A" w:rsidR="001061F9" w:rsidRPr="001E3492" w:rsidRDefault="001061F9" w:rsidP="001061F9">
      <w:pPr>
        <w:rPr>
          <w:color w:val="000000" w:themeColor="text1"/>
        </w:rPr>
      </w:pPr>
      <w:r w:rsidRPr="001E3492">
        <w:rPr>
          <w:color w:val="000000" w:themeColor="text1"/>
        </w:rPr>
        <w:t>You can only submit one application form</w:t>
      </w:r>
      <w:r w:rsidR="0055361B">
        <w:rPr>
          <w:color w:val="000000" w:themeColor="text1"/>
        </w:rPr>
        <w:t xml:space="preserve"> per project</w:t>
      </w:r>
      <w:r w:rsidRPr="001E3492">
        <w:rPr>
          <w:color w:val="000000" w:themeColor="text1"/>
        </w:rPr>
        <w:t xml:space="preserve"> </w:t>
      </w:r>
      <w:r w:rsidR="0000687C" w:rsidRPr="001E3492">
        <w:rPr>
          <w:color w:val="000000" w:themeColor="text1"/>
        </w:rPr>
        <w:t xml:space="preserve">for this grant opportunity. If more than one application </w:t>
      </w:r>
      <w:proofErr w:type="gramStart"/>
      <w:r w:rsidR="0000687C" w:rsidRPr="001E3492">
        <w:rPr>
          <w:color w:val="000000" w:themeColor="text1"/>
        </w:rPr>
        <w:t>is submitted</w:t>
      </w:r>
      <w:proofErr w:type="gramEnd"/>
      <w:r w:rsidR="0055361B">
        <w:rPr>
          <w:color w:val="000000" w:themeColor="text1"/>
        </w:rPr>
        <w:t xml:space="preserve"> for a project</w:t>
      </w:r>
      <w:r w:rsidR="0000687C" w:rsidRPr="001E3492">
        <w:rPr>
          <w:color w:val="000000" w:themeColor="text1"/>
        </w:rPr>
        <w:t xml:space="preserve">, </w:t>
      </w:r>
      <w:r w:rsidR="002D7273">
        <w:rPr>
          <w:color w:val="000000" w:themeColor="text1"/>
        </w:rPr>
        <w:t xml:space="preserve">only </w:t>
      </w:r>
      <w:r w:rsidR="0000687C" w:rsidRPr="001E3492">
        <w:rPr>
          <w:color w:val="000000" w:themeColor="text1"/>
        </w:rPr>
        <w:t>the latest accepted</w:t>
      </w:r>
      <w:r w:rsidR="00FD3353" w:rsidRPr="001E3492">
        <w:rPr>
          <w:color w:val="000000" w:themeColor="text1"/>
        </w:rPr>
        <w:t xml:space="preserve"> application form will progress.</w:t>
      </w:r>
    </w:p>
    <w:p w14:paraId="0701D416" w14:textId="77777777" w:rsidR="006740D4" w:rsidRDefault="00C347D8" w:rsidP="006740D4">
      <w:pPr>
        <w:pStyle w:val="ListBullet"/>
        <w:numPr>
          <w:ilvl w:val="0"/>
          <w:numId w:val="0"/>
        </w:numPr>
        <w:ind w:left="360" w:hanging="360"/>
      </w:pPr>
      <w:r>
        <w:t>To apply you must</w:t>
      </w:r>
      <w:r w:rsidR="006740D4">
        <w:t>:</w:t>
      </w:r>
      <w:r w:rsidR="00742B12">
        <w:t xml:space="preserve"> </w:t>
      </w:r>
    </w:p>
    <w:p w14:paraId="6C3201D1" w14:textId="778212FB" w:rsidR="000644EE" w:rsidRPr="00670D60" w:rsidRDefault="00C347D8" w:rsidP="006740D4">
      <w:pPr>
        <w:pStyle w:val="ListBullet"/>
      </w:pPr>
      <w:r>
        <w:t xml:space="preserve">complete the online application form on </w:t>
      </w:r>
      <w:hyperlink r:id="rId25" w:history="1">
        <w:r w:rsidR="00756319" w:rsidRPr="00247042">
          <w:rPr>
            <w:rStyle w:val="Hyperlink"/>
          </w:rPr>
          <w:t>GrantConnect</w:t>
        </w:r>
      </w:hyperlink>
      <w:r w:rsidR="00BA18AE" w:rsidRPr="001E3492">
        <w:rPr>
          <w:rStyle w:val="Hyperlink"/>
          <w:color w:val="000000" w:themeColor="text1"/>
          <w:u w:val="none"/>
        </w:rPr>
        <w:t xml:space="preserve"> or </w:t>
      </w:r>
      <w:hyperlink r:id="rId26" w:history="1">
        <w:r w:rsidR="00756319" w:rsidRPr="00247042">
          <w:rPr>
            <w:rStyle w:val="Hyperlink"/>
          </w:rPr>
          <w:t>Community Grants Hub</w:t>
        </w:r>
      </w:hyperlink>
      <w:r w:rsidR="00BA18AE" w:rsidRPr="001E3492">
        <w:rPr>
          <w:rStyle w:val="Hyperlink"/>
          <w:color w:val="000000" w:themeColor="text1"/>
        </w:rPr>
        <w:t xml:space="preserve"> </w:t>
      </w:r>
    </w:p>
    <w:p w14:paraId="557CA71C" w14:textId="77777777" w:rsidR="00C347D8" w:rsidRDefault="00C347D8" w:rsidP="00C347D8">
      <w:pPr>
        <w:pStyle w:val="ListBullet"/>
      </w:pPr>
      <w:r>
        <w:t>provide all the information requested</w:t>
      </w:r>
    </w:p>
    <w:p w14:paraId="2A23C480" w14:textId="77777777" w:rsidR="00C347D8" w:rsidRDefault="00C347D8" w:rsidP="00C347D8">
      <w:pPr>
        <w:pStyle w:val="ListBullet"/>
      </w:pPr>
      <w:r>
        <w:t xml:space="preserve">address all eligibility </w:t>
      </w:r>
      <w:r w:rsidR="000644EE">
        <w:t xml:space="preserve">criteria </w:t>
      </w:r>
      <w:r>
        <w:t>and assessment criteria</w:t>
      </w:r>
    </w:p>
    <w:p w14:paraId="3936287C" w14:textId="77777777" w:rsidR="00C347D8" w:rsidRPr="00D14444" w:rsidRDefault="00C347D8" w:rsidP="00D14444">
      <w:pPr>
        <w:pStyle w:val="ListBullet"/>
      </w:pPr>
      <w:r>
        <w:t>include all necessary attachments</w:t>
      </w:r>
    </w:p>
    <w:p w14:paraId="6DBBE98C" w14:textId="141CF6C8" w:rsidR="007C2638" w:rsidRPr="000A33E3" w:rsidRDefault="00A52D97" w:rsidP="00FE416B">
      <w:pPr>
        <w:pStyle w:val="ListBullet"/>
      </w:pPr>
      <w:proofErr w:type="gramStart"/>
      <w:r>
        <w:t>submit</w:t>
      </w:r>
      <w:proofErr w:type="gramEnd"/>
      <w:r>
        <w:t xml:space="preserve"> your application</w:t>
      </w:r>
      <w:r w:rsidR="007C2638" w:rsidRPr="000A33E3">
        <w:t xml:space="preserve"> to </w:t>
      </w:r>
      <w:r w:rsidR="00261986" w:rsidRPr="000A33E3">
        <w:t xml:space="preserve">the Community Grants Hub </w:t>
      </w:r>
      <w:r w:rsidR="007C2638" w:rsidRPr="000A33E3">
        <w:t xml:space="preserve">by </w:t>
      </w:r>
      <w:r w:rsidR="000A33E3" w:rsidRPr="000A33E3">
        <w:t xml:space="preserve">11.00PM AEDT on </w:t>
      </w:r>
      <w:r w:rsidR="006C4910">
        <w:t xml:space="preserve">Thursday </w:t>
      </w:r>
      <w:r w:rsidR="006C4910">
        <w:br/>
        <w:t>20 February</w:t>
      </w:r>
      <w:r w:rsidR="002F4BE0" w:rsidRPr="00B73DB1">
        <w:t xml:space="preserve"> 2020</w:t>
      </w:r>
      <w:r w:rsidR="000A33E3" w:rsidRPr="00B73DB1">
        <w:t>.</w:t>
      </w:r>
    </w:p>
    <w:p w14:paraId="5CFB8B28" w14:textId="77777777" w:rsidR="00F96204" w:rsidRPr="00B72EE8" w:rsidRDefault="00FA2CD8" w:rsidP="00F96204">
      <w:pPr>
        <w:pStyle w:val="ListBullet"/>
        <w:numPr>
          <w:ilvl w:val="0"/>
          <w:numId w:val="0"/>
        </w:numPr>
      </w:pPr>
      <w:r>
        <w:lastRenderedPageBreak/>
        <w:t>We</w:t>
      </w:r>
      <w:r w:rsidR="00F96204">
        <w:t xml:space="preserve"> will not provide application forms or accept applications for this grant opportunity by fax or mail.</w:t>
      </w:r>
    </w:p>
    <w:p w14:paraId="39165B91" w14:textId="77777777" w:rsidR="00DD159B" w:rsidRDefault="00A3719C" w:rsidP="00BE551F">
      <w:r>
        <w:t xml:space="preserve">The application form includes help information. </w:t>
      </w:r>
      <w:r w:rsidR="00C347D8">
        <w:t>You</w:t>
      </w:r>
      <w:r w:rsidR="00C347D8" w:rsidRPr="00B72EE8">
        <w:t xml:space="preserve"> are</w:t>
      </w:r>
      <w:r w:rsidR="00C347D8">
        <w:t xml:space="preserve"> responsible for </w:t>
      </w:r>
      <w:r w:rsidR="00C37B9D">
        <w:t>making sure</w:t>
      </w:r>
      <w:r w:rsidR="00C347D8">
        <w:t xml:space="preserve"> your</w:t>
      </w:r>
      <w:r w:rsidR="00C347D8" w:rsidRPr="00B72EE8">
        <w:t xml:space="preserve"> application is complete and accurate. Giving false or misleading information</w:t>
      </w:r>
      <w:r w:rsidR="006567FA">
        <w:t xml:space="preserve"> </w:t>
      </w:r>
      <w:r w:rsidR="00C347D8">
        <w:t>is a serious offence under the</w:t>
      </w:r>
      <w:r w:rsidR="0008479B" w:rsidRPr="000633FD">
        <w:rPr>
          <w:rStyle w:val="Hyperlink"/>
          <w:i/>
          <w:color w:val="auto"/>
          <w:u w:val="none"/>
        </w:rPr>
        <w:t xml:space="preserve"> </w:t>
      </w:r>
      <w:hyperlink r:id="rId27" w:history="1">
        <w:r w:rsidR="0008479B" w:rsidRPr="0008479B">
          <w:rPr>
            <w:rStyle w:val="Hyperlink"/>
            <w:i/>
          </w:rPr>
          <w:t>Criminal Code 1995</w:t>
        </w:r>
      </w:hyperlink>
      <w:r w:rsidR="00C347D8">
        <w:t xml:space="preserve"> </w:t>
      </w:r>
      <w:r w:rsidR="00BD16D3">
        <w:t xml:space="preserve">and </w:t>
      </w:r>
      <w:r w:rsidR="006567FA">
        <w:t>w</w:t>
      </w:r>
      <w:r w:rsidR="00C347D8">
        <w:t xml:space="preserve">e will investigate any false or misleading information and </w:t>
      </w:r>
      <w:r w:rsidR="00BE551F">
        <w:t>may exclude</w:t>
      </w:r>
      <w:r w:rsidR="00C347D8" w:rsidRPr="00B72EE8">
        <w:t xml:space="preserve"> your application from </w:t>
      </w:r>
      <w:r w:rsidR="00C347D8">
        <w:t xml:space="preserve">further </w:t>
      </w:r>
      <w:r w:rsidR="00C347D8" w:rsidRPr="00B72EE8">
        <w:t>consideration.</w:t>
      </w:r>
    </w:p>
    <w:p w14:paraId="29C3A1F1" w14:textId="31508C91" w:rsidR="00BE551F" w:rsidRPr="00B72EE8" w:rsidRDefault="00A3719C" w:rsidP="00BE551F">
      <w:r>
        <w:t xml:space="preserve">If you </w:t>
      </w:r>
      <w:r w:rsidR="00014DD7">
        <w:t xml:space="preserve">need </w:t>
      </w:r>
      <w:r w:rsidR="00C37B9D">
        <w:t>more help</w:t>
      </w:r>
      <w:r w:rsidR="00014DD7">
        <w:t xml:space="preserve"> </w:t>
      </w:r>
      <w:r w:rsidR="00B73DB1">
        <w:t xml:space="preserve">with </w:t>
      </w:r>
      <w:r w:rsidR="00014DD7">
        <w:t>the application process,</w:t>
      </w:r>
      <w:r w:rsidR="00732300">
        <w:t xml:space="preserve"> submitting an application online</w:t>
      </w:r>
      <w:r w:rsidR="00014DD7">
        <w:t xml:space="preserve">, </w:t>
      </w:r>
      <w:r>
        <w:t xml:space="preserve">have any technical difficulties or </w:t>
      </w:r>
      <w:r w:rsidR="00C347D8">
        <w:t xml:space="preserve">find an error in your application after </w:t>
      </w:r>
      <w:r w:rsidR="00DA7801">
        <w:t>submission, but before the closing date and time</w:t>
      </w:r>
      <w:r w:rsidR="00C347D8">
        <w:t xml:space="preserve">, you should </w:t>
      </w:r>
      <w:r w:rsidR="00A735FE">
        <w:t>contact</w:t>
      </w:r>
      <w:r w:rsidR="00C347D8">
        <w:t xml:space="preserve"> </w:t>
      </w:r>
      <w:r w:rsidR="00261986">
        <w:t xml:space="preserve">the Community Grants Hub </w:t>
      </w:r>
      <w:r w:rsidR="00C347D8">
        <w:t>immediately on</w:t>
      </w:r>
      <w:r w:rsidR="00732300">
        <w:t xml:space="preserve"> 1800 020 </w:t>
      </w:r>
      <w:r w:rsidR="00261986">
        <w:t xml:space="preserve">283 </w:t>
      </w:r>
      <w:r w:rsidR="00026AA7">
        <w:t xml:space="preserve">(option1) </w:t>
      </w:r>
      <w:r w:rsidR="00261986">
        <w:t xml:space="preserve">or email </w:t>
      </w:r>
      <w:hyperlink r:id="rId28" w:history="1">
        <w:r w:rsidR="00247042">
          <w:rPr>
            <w:rStyle w:val="Hyperlink"/>
          </w:rPr>
          <w:t>support@communitygrants.gov.au</w:t>
        </w:r>
      </w:hyperlink>
      <w:r w:rsidR="00C347D8">
        <w:t>.</w:t>
      </w:r>
      <w:r w:rsidR="00BE551F" w:rsidRPr="00BE551F">
        <w:t xml:space="preserve"> </w:t>
      </w:r>
      <w:r w:rsidR="007F0A7D">
        <w:t>The Community Grants Hub</w:t>
      </w:r>
      <w:r w:rsidR="007F0A7D" w:rsidRPr="00780114">
        <w:t xml:space="preserve"> </w:t>
      </w:r>
      <w:r w:rsidR="00BE551F" w:rsidRPr="00103A95">
        <w:t>do</w:t>
      </w:r>
      <w:r w:rsidR="002A4F37">
        <w:t>es</w:t>
      </w:r>
      <w:r w:rsidR="00BE551F" w:rsidRPr="00103A95">
        <w:t xml:space="preserve"> not have to accept any additional information, or requests</w:t>
      </w:r>
      <w:r w:rsidR="00BE551F">
        <w:t xml:space="preserve"> from </w:t>
      </w:r>
      <w:r w:rsidR="007F2D02">
        <w:t xml:space="preserve">you </w:t>
      </w:r>
      <w:r w:rsidR="00BE551F" w:rsidRPr="00B72EE8">
        <w:t xml:space="preserve">to </w:t>
      </w:r>
      <w:r w:rsidR="00BE551F">
        <w:t>correct</w:t>
      </w:r>
      <w:r w:rsidR="00BE551F" w:rsidRPr="00B72EE8">
        <w:t xml:space="preserve"> </w:t>
      </w:r>
      <w:r w:rsidR="007F2D02">
        <w:t xml:space="preserve">your </w:t>
      </w:r>
      <w:r w:rsidR="00BE551F">
        <w:t>application</w:t>
      </w:r>
      <w:r w:rsidR="00BE551F" w:rsidRPr="00B72EE8">
        <w:t xml:space="preserve"> after the closing time.</w:t>
      </w:r>
    </w:p>
    <w:p w14:paraId="51287357" w14:textId="77777777" w:rsidR="00BE551F" w:rsidRPr="00780114" w:rsidRDefault="00BE551F" w:rsidP="00BE551F">
      <w:r w:rsidRPr="00780114">
        <w:t xml:space="preserve">You cannot change your application after the closing date and time. </w:t>
      </w:r>
    </w:p>
    <w:p w14:paraId="17DDB3D0" w14:textId="08FF84AF" w:rsidR="00C347D8" w:rsidRDefault="00C347D8" w:rsidP="00C347D8">
      <w:r>
        <w:t xml:space="preserve">If </w:t>
      </w:r>
      <w:r w:rsidR="00705C93">
        <w:t>we</w:t>
      </w:r>
      <w:r w:rsidR="001E7CCD">
        <w:t xml:space="preserve"> </w:t>
      </w:r>
      <w:r>
        <w:t>find an error or</w:t>
      </w:r>
      <w:r w:rsidR="0078618B">
        <w:t xml:space="preserve"> </w:t>
      </w:r>
      <w:r w:rsidR="00410A95">
        <w:t xml:space="preserve">note information is </w:t>
      </w:r>
      <w:r>
        <w:t xml:space="preserve">missing, </w:t>
      </w:r>
      <w:r w:rsidR="007F0A7D">
        <w:t>we</w:t>
      </w:r>
      <w:r>
        <w:t xml:space="preserve"> may</w:t>
      </w:r>
      <w:r w:rsidR="001E7CCD">
        <w:t xml:space="preserve"> </w:t>
      </w:r>
      <w:r>
        <w:t>ask</w:t>
      </w:r>
      <w:r w:rsidR="00974279">
        <w:t xml:space="preserve"> you</w:t>
      </w:r>
      <w:r>
        <w:t xml:space="preserve"> for clarification or additional information</w:t>
      </w:r>
      <w:r w:rsidR="003402DE">
        <w:t>.</w:t>
      </w:r>
      <w:r>
        <w:t xml:space="preserve"> </w:t>
      </w:r>
      <w:r w:rsidR="00974279">
        <w:t>This</w:t>
      </w:r>
      <w:r>
        <w:t xml:space="preserve"> will not change the nature of your application. However, </w:t>
      </w:r>
      <w:r w:rsidR="00705C93">
        <w:t>we</w:t>
      </w:r>
      <w:r w:rsidR="001E7CCD">
        <w:t xml:space="preserve"> </w:t>
      </w:r>
      <w:r>
        <w:t xml:space="preserve">can refuse to accept any additional information from you that would change your application </w:t>
      </w:r>
      <w:r w:rsidR="00974279">
        <w:t xml:space="preserve">after the </w:t>
      </w:r>
      <w:r>
        <w:t xml:space="preserve">closing time. </w:t>
      </w:r>
    </w:p>
    <w:p w14:paraId="36F4342A" w14:textId="77777777" w:rsidR="00B52810" w:rsidRDefault="00C347D8" w:rsidP="00410A95">
      <w:r>
        <w:t>You should</w:t>
      </w:r>
      <w:r w:rsidRPr="00B72EE8">
        <w:t xml:space="preserve"> keep a copy of your applica</w:t>
      </w:r>
      <w:r>
        <w:t>tion and any supporting documents</w:t>
      </w:r>
      <w:r w:rsidRPr="00B72EE8">
        <w:t xml:space="preserve">. </w:t>
      </w:r>
    </w:p>
    <w:p w14:paraId="77253EB6" w14:textId="2B820B31" w:rsidR="00C347D8" w:rsidRDefault="000220D6" w:rsidP="00410A95">
      <w:r>
        <w:t xml:space="preserve">You will receive an automated notification acknowledging </w:t>
      </w:r>
      <w:r w:rsidR="00C347D8">
        <w:t>th</w:t>
      </w:r>
      <w:r>
        <w:t>e</w:t>
      </w:r>
      <w:r w:rsidR="00C347D8">
        <w:t xml:space="preserve"> </w:t>
      </w:r>
      <w:r>
        <w:t xml:space="preserve">receipt </w:t>
      </w:r>
      <w:r w:rsidR="005E08F7">
        <w:t xml:space="preserve">of </w:t>
      </w:r>
      <w:r>
        <w:t>y</w:t>
      </w:r>
      <w:r w:rsidR="00C347D8">
        <w:t>our a</w:t>
      </w:r>
      <w:r w:rsidR="00C347D8" w:rsidRPr="00B72EE8">
        <w:t>pplication</w:t>
      </w:r>
      <w:r>
        <w:t>.</w:t>
      </w:r>
    </w:p>
    <w:p w14:paraId="6AE3C92C" w14:textId="77777777" w:rsidR="00DB695B" w:rsidRDefault="00DB695B" w:rsidP="00A8702B">
      <w:pPr>
        <w:pStyle w:val="Heading3"/>
      </w:pPr>
      <w:bookmarkStart w:id="82" w:name="_Toc525295534"/>
      <w:bookmarkStart w:id="83" w:name="_Toc525552132"/>
      <w:bookmarkStart w:id="84" w:name="_Toc525722832"/>
      <w:bookmarkStart w:id="85" w:name="_Toc17704015"/>
      <w:bookmarkEnd w:id="82"/>
      <w:bookmarkEnd w:id="83"/>
      <w:bookmarkEnd w:id="84"/>
      <w:r>
        <w:t>Attachments to the application</w:t>
      </w:r>
      <w:bookmarkEnd w:id="85"/>
    </w:p>
    <w:p w14:paraId="3FA97CF8" w14:textId="2BB334FA" w:rsidR="00D64802" w:rsidRPr="001A2806" w:rsidRDefault="00410A95" w:rsidP="001A2806">
      <w:r>
        <w:rPr>
          <w:iCs/>
        </w:rPr>
        <w:t>T</w:t>
      </w:r>
      <w:r w:rsidR="00D64802" w:rsidRPr="00D64802">
        <w:rPr>
          <w:iCs/>
        </w:rPr>
        <w:t xml:space="preserve">he following supporting documents </w:t>
      </w:r>
      <w:proofErr w:type="gramStart"/>
      <w:r>
        <w:rPr>
          <w:iCs/>
        </w:rPr>
        <w:t>must</w:t>
      </w:r>
      <w:r w:rsidRPr="00D64802">
        <w:rPr>
          <w:iCs/>
        </w:rPr>
        <w:t xml:space="preserve"> </w:t>
      </w:r>
      <w:r w:rsidR="00D64802" w:rsidRPr="00D64802">
        <w:rPr>
          <w:iCs/>
        </w:rPr>
        <w:t>be attached</w:t>
      </w:r>
      <w:proofErr w:type="gramEnd"/>
      <w:r w:rsidR="00D64802" w:rsidRPr="00D64802">
        <w:rPr>
          <w:iCs/>
        </w:rPr>
        <w:t xml:space="preserve"> to your application</w:t>
      </w:r>
      <w:r w:rsidR="00D64802">
        <w:rPr>
          <w:iCs/>
        </w:rPr>
        <w:t>.</w:t>
      </w:r>
      <w:r w:rsidR="00D64802" w:rsidRPr="00D64802">
        <w:t xml:space="preserve"> </w:t>
      </w:r>
      <w:r w:rsidR="00D64802">
        <w:t xml:space="preserve">Templates </w:t>
      </w:r>
      <w:proofErr w:type="gramStart"/>
      <w:r w:rsidR="00D64802">
        <w:t>are provided</w:t>
      </w:r>
      <w:proofErr w:type="gramEnd"/>
      <w:r w:rsidR="00D64802">
        <w:t xml:space="preserve"> for your use with the grant opportunity documents as specified</w:t>
      </w:r>
      <w:r>
        <w:t xml:space="preserve"> below. Applications using the provided templates </w:t>
      </w:r>
      <w:proofErr w:type="gramStart"/>
      <w:r>
        <w:t>will be viewed</w:t>
      </w:r>
      <w:proofErr w:type="gramEnd"/>
      <w:r>
        <w:t xml:space="preserve"> more favourably.</w:t>
      </w:r>
    </w:p>
    <w:p w14:paraId="642C03CB" w14:textId="6A9964C0" w:rsidR="00077923" w:rsidRPr="00E60699" w:rsidRDefault="00410A95" w:rsidP="00077923">
      <w:pPr>
        <w:pStyle w:val="ListBullet"/>
        <w:rPr>
          <w:color w:val="000000" w:themeColor="text1"/>
        </w:rPr>
      </w:pPr>
      <w:r>
        <w:rPr>
          <w:color w:val="000000" w:themeColor="text1"/>
        </w:rPr>
        <w:t>A</w:t>
      </w:r>
      <w:r w:rsidRPr="00E60699">
        <w:rPr>
          <w:color w:val="000000" w:themeColor="text1"/>
        </w:rPr>
        <w:t xml:space="preserve"> </w:t>
      </w:r>
      <w:r w:rsidR="00077923" w:rsidRPr="00E60699">
        <w:rPr>
          <w:color w:val="000000" w:themeColor="text1"/>
        </w:rPr>
        <w:t xml:space="preserve">project </w:t>
      </w:r>
      <w:r w:rsidR="006D65FC">
        <w:rPr>
          <w:color w:val="000000" w:themeColor="text1"/>
        </w:rPr>
        <w:t>plan</w:t>
      </w:r>
      <w:r w:rsidR="00077923" w:rsidRPr="00E60699">
        <w:rPr>
          <w:color w:val="000000" w:themeColor="text1"/>
        </w:rPr>
        <w:t>, including description of the proposed activity, resourcing, justification for grant amount, and outline of plan for project and risk management –</w:t>
      </w:r>
      <w:r w:rsidR="00B73DB1">
        <w:rPr>
          <w:color w:val="000000" w:themeColor="text1"/>
        </w:rPr>
        <w:t xml:space="preserve"> </w:t>
      </w:r>
      <w:r w:rsidR="00077923" w:rsidRPr="00E60699">
        <w:rPr>
          <w:color w:val="000000" w:themeColor="text1"/>
        </w:rPr>
        <w:t>template provided</w:t>
      </w:r>
    </w:p>
    <w:p w14:paraId="079A6A73" w14:textId="3702784B" w:rsidR="00077923" w:rsidRPr="00E60699" w:rsidRDefault="00410A95" w:rsidP="00077923">
      <w:pPr>
        <w:pStyle w:val="ListBullet"/>
        <w:rPr>
          <w:color w:val="000000" w:themeColor="text1"/>
        </w:rPr>
      </w:pPr>
      <w:r>
        <w:rPr>
          <w:color w:val="000000" w:themeColor="text1"/>
        </w:rPr>
        <w:t xml:space="preserve">A </w:t>
      </w:r>
      <w:r w:rsidR="00077923" w:rsidRPr="00E60699">
        <w:rPr>
          <w:color w:val="000000" w:themeColor="text1"/>
        </w:rPr>
        <w:t>project budget –</w:t>
      </w:r>
      <w:r w:rsidR="00B73DB1">
        <w:rPr>
          <w:color w:val="000000" w:themeColor="text1"/>
        </w:rPr>
        <w:t xml:space="preserve"> </w:t>
      </w:r>
      <w:r w:rsidR="00077923" w:rsidRPr="00E60699">
        <w:rPr>
          <w:color w:val="000000" w:themeColor="text1"/>
        </w:rPr>
        <w:t xml:space="preserve">template provided </w:t>
      </w:r>
    </w:p>
    <w:p w14:paraId="49F2803D" w14:textId="10A066A0" w:rsidR="00077923" w:rsidRPr="00E60699" w:rsidRDefault="00410A95" w:rsidP="00410A95">
      <w:pPr>
        <w:pStyle w:val="ListBullet"/>
        <w:numPr>
          <w:ilvl w:val="0"/>
          <w:numId w:val="0"/>
        </w:numPr>
        <w:rPr>
          <w:color w:val="000000" w:themeColor="text1"/>
        </w:rPr>
      </w:pPr>
      <w:r>
        <w:rPr>
          <w:color w:val="000000" w:themeColor="text1"/>
        </w:rPr>
        <w:t xml:space="preserve">You may also attach </w:t>
      </w:r>
      <w:r w:rsidR="00077923" w:rsidRPr="00E60699">
        <w:rPr>
          <w:color w:val="000000" w:themeColor="text1"/>
        </w:rPr>
        <w:t xml:space="preserve">copies of written support </w:t>
      </w:r>
      <w:r w:rsidRPr="00E60699">
        <w:rPr>
          <w:color w:val="000000" w:themeColor="text1"/>
        </w:rPr>
        <w:t xml:space="preserve">– consolidated into a single attachment </w:t>
      </w:r>
      <w:r>
        <w:rPr>
          <w:color w:val="000000" w:themeColor="text1"/>
        </w:rPr>
        <w:t xml:space="preserve">– </w:t>
      </w:r>
      <w:r w:rsidR="00077923" w:rsidRPr="00E60699">
        <w:rPr>
          <w:color w:val="000000" w:themeColor="text1"/>
        </w:rPr>
        <w:t xml:space="preserve">as requested in Criterion </w:t>
      </w:r>
      <w:proofErr w:type="gramStart"/>
      <w:r w:rsidR="00077923" w:rsidRPr="00E60699">
        <w:rPr>
          <w:color w:val="000000" w:themeColor="text1"/>
        </w:rPr>
        <w:t>2 .</w:t>
      </w:r>
      <w:proofErr w:type="gramEnd"/>
    </w:p>
    <w:p w14:paraId="772E826B" w14:textId="5DA902D7" w:rsidR="00DB695B" w:rsidRDefault="00DB695B" w:rsidP="00DB695B">
      <w:r>
        <w:t xml:space="preserve">You </w:t>
      </w:r>
      <w:r w:rsidR="00B52810">
        <w:t xml:space="preserve">should </w:t>
      </w:r>
      <w:r>
        <w:t>attach s</w:t>
      </w:r>
      <w:r w:rsidRPr="00B72EE8">
        <w:t xml:space="preserve">upporting documentation </w:t>
      </w:r>
      <w:r w:rsidR="00635352">
        <w:t>according to the</w:t>
      </w:r>
      <w:r>
        <w:t xml:space="preserve"> instructions provided within the </w:t>
      </w:r>
      <w:r w:rsidR="00635352">
        <w:t xml:space="preserve">application </w:t>
      </w:r>
      <w:r>
        <w:t xml:space="preserve">form. You should only attach requested documents. </w:t>
      </w:r>
      <w:r w:rsidR="003015F1">
        <w:t>We</w:t>
      </w:r>
      <w:r w:rsidR="00A21E0A">
        <w:t xml:space="preserve"> </w:t>
      </w:r>
      <w:r>
        <w:t xml:space="preserve">will not consider information in attachments </w:t>
      </w:r>
      <w:r w:rsidR="00974279">
        <w:t xml:space="preserve">we have not asked for. </w:t>
      </w:r>
    </w:p>
    <w:p w14:paraId="4E4E300B" w14:textId="77777777" w:rsidR="006A44FD" w:rsidRDefault="006A44FD" w:rsidP="00DB695B">
      <w:r w:rsidRPr="006A44FD">
        <w:rPr>
          <w:b/>
        </w:rPr>
        <w:t>Please note</w:t>
      </w:r>
      <w:r>
        <w:t xml:space="preserve">: There is a 2mb limit for each attachment. </w:t>
      </w:r>
    </w:p>
    <w:p w14:paraId="2895E280" w14:textId="77777777" w:rsidR="00E50C87" w:rsidRDefault="00E50C87" w:rsidP="00A8702B">
      <w:pPr>
        <w:pStyle w:val="Heading3"/>
      </w:pPr>
      <w:bookmarkStart w:id="86" w:name="_Toc17704016"/>
      <w:r>
        <w:t>Joint (consortia) applications</w:t>
      </w:r>
      <w:bookmarkEnd w:id="86"/>
    </w:p>
    <w:p w14:paraId="191F0D70" w14:textId="77777777" w:rsidR="00E50C87" w:rsidRDefault="00705C93" w:rsidP="00E50C87">
      <w:r w:rsidRPr="00EE0C10">
        <w:t>We</w:t>
      </w:r>
      <w:r w:rsidR="00E50C87" w:rsidRPr="00EC417F">
        <w:rPr>
          <w:color w:val="0070C0"/>
        </w:rPr>
        <w:t xml:space="preserve"> </w:t>
      </w:r>
      <w:r w:rsidR="00E50C87">
        <w:t xml:space="preserve">recognise that some organisations may want to </w:t>
      </w:r>
      <w:proofErr w:type="gramStart"/>
      <w:r w:rsidR="00E50C87">
        <w:t>join together</w:t>
      </w:r>
      <w:proofErr w:type="gramEnd"/>
      <w:r w:rsidR="00E50C87">
        <w:t xml:space="preserve"> as a group to deliver </w:t>
      </w:r>
      <w:r w:rsidR="008C1298" w:rsidRPr="00E60699">
        <w:rPr>
          <w:color w:val="000000" w:themeColor="text1"/>
        </w:rPr>
        <w:t>a grant activity</w:t>
      </w:r>
      <w:r w:rsidR="00E50C87" w:rsidRPr="00E60699">
        <w:rPr>
          <w:color w:val="000000" w:themeColor="text1"/>
        </w:rPr>
        <w:t>.</w:t>
      </w:r>
      <w:r w:rsidR="00E50C87">
        <w:t xml:space="preserve"> </w:t>
      </w:r>
    </w:p>
    <w:p w14:paraId="5753395C" w14:textId="77777777"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r w:rsidR="00A21E0A">
        <w:t>.</w:t>
      </w:r>
    </w:p>
    <w:p w14:paraId="2ECC56B0" w14:textId="1504BBEA" w:rsidR="00E50C87" w:rsidRDefault="00E50C87" w:rsidP="00E50C87">
      <w:r>
        <w:t>You must have a formal arrangement in place with all parties</w:t>
      </w:r>
      <w:r w:rsidR="00410A95">
        <w:t xml:space="preserve">, and supply evidence of this arrangement to the </w:t>
      </w:r>
      <w:r w:rsidR="005C08AF">
        <w:t>department</w:t>
      </w:r>
      <w:r w:rsidR="00410A95">
        <w:t>,</w:t>
      </w:r>
      <w:r>
        <w:t xml:space="preserve"> prior to execution of the </w:t>
      </w:r>
      <w:r w:rsidR="005C08AF">
        <w:t xml:space="preserve">grant </w:t>
      </w:r>
      <w:r>
        <w:t xml:space="preserve">agreement. </w:t>
      </w:r>
    </w:p>
    <w:p w14:paraId="541F1DF2" w14:textId="77777777" w:rsidR="00756319" w:rsidRDefault="00756319" w:rsidP="00E50C87"/>
    <w:p w14:paraId="48CCA302" w14:textId="77777777" w:rsidR="00756319" w:rsidRPr="00103A95" w:rsidRDefault="00756319" w:rsidP="00E50C87"/>
    <w:p w14:paraId="702676BA" w14:textId="77777777" w:rsidR="00C347D8" w:rsidRDefault="00C347D8" w:rsidP="00A8702B">
      <w:pPr>
        <w:pStyle w:val="Heading3"/>
      </w:pPr>
      <w:bookmarkStart w:id="87" w:name="_Toc17704017"/>
      <w:r>
        <w:lastRenderedPageBreak/>
        <w:t xml:space="preserve">Timing of grant opportunity </w:t>
      </w:r>
      <w:r w:rsidR="00635ACF">
        <w:t>processes</w:t>
      </w:r>
      <w:bookmarkEnd w:id="87"/>
    </w:p>
    <w:p w14:paraId="0EA5A0C7" w14:textId="77777777" w:rsidR="000A4D8A" w:rsidRDefault="00C347D8" w:rsidP="00C347D8">
      <w:r>
        <w:t xml:space="preserve">You </w:t>
      </w:r>
      <w:r w:rsidR="00311CBF">
        <w:t>must</w:t>
      </w:r>
      <w:r>
        <w:t xml:space="preserve"> submit an application between the published opening and closing dates. </w:t>
      </w:r>
    </w:p>
    <w:p w14:paraId="7359A7A5" w14:textId="77777777" w:rsidR="00587B4B" w:rsidRPr="00587B4B" w:rsidRDefault="00587B4B" w:rsidP="00A21E0A">
      <w:pPr>
        <w:rPr>
          <w:b/>
        </w:rPr>
      </w:pPr>
      <w:r w:rsidRPr="00587B4B">
        <w:rPr>
          <w:b/>
        </w:rPr>
        <w:t xml:space="preserve">Late applications </w:t>
      </w:r>
    </w:p>
    <w:p w14:paraId="51816200" w14:textId="77777777" w:rsidR="00A21E0A" w:rsidRDefault="00705C93" w:rsidP="00A21E0A">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6B996A8C" w14:textId="77777777" w:rsidR="00A21E0A" w:rsidRPr="00A21E0A" w:rsidRDefault="00A21E0A" w:rsidP="00A21E0A">
      <w:pPr>
        <w:pStyle w:val="ListParagraph"/>
        <w:numPr>
          <w:ilvl w:val="0"/>
          <w:numId w:val="28"/>
        </w:numPr>
        <w:rPr>
          <w:rFonts w:cs="Arial"/>
          <w:szCs w:val="22"/>
        </w:rPr>
      </w:pPr>
      <w:r w:rsidRPr="00A21E0A">
        <w:rPr>
          <w:rFonts w:cs="Arial"/>
          <w:szCs w:val="22"/>
        </w:rPr>
        <w:t>reasonably unforeseeable</w:t>
      </w:r>
    </w:p>
    <w:p w14:paraId="779960D0" w14:textId="77777777" w:rsidR="00A21E0A" w:rsidRPr="00A21E0A" w:rsidRDefault="00A21E0A" w:rsidP="00A21E0A">
      <w:pPr>
        <w:pStyle w:val="ListParagraph"/>
        <w:numPr>
          <w:ilvl w:val="0"/>
          <w:numId w:val="28"/>
        </w:numPr>
        <w:rPr>
          <w:rFonts w:cs="Arial"/>
          <w:szCs w:val="22"/>
        </w:rPr>
      </w:pPr>
      <w:r w:rsidRPr="00A21E0A">
        <w:rPr>
          <w:rFonts w:cs="Arial"/>
          <w:szCs w:val="22"/>
        </w:rPr>
        <w:t>beyond the applicant’s control</w:t>
      </w:r>
    </w:p>
    <w:p w14:paraId="5223F164" w14:textId="77777777" w:rsidR="00A21E0A" w:rsidRPr="00A21E0A" w:rsidRDefault="00A21E0A" w:rsidP="00A21E0A">
      <w:pPr>
        <w:pStyle w:val="ListParagraph"/>
        <w:numPr>
          <w:ilvl w:val="0"/>
          <w:numId w:val="28"/>
        </w:numPr>
        <w:rPr>
          <w:rFonts w:cs="Arial"/>
          <w:szCs w:val="22"/>
        </w:rPr>
      </w:pPr>
      <w:proofErr w:type="gramStart"/>
      <w:r w:rsidRPr="00A21E0A">
        <w:rPr>
          <w:rFonts w:cs="Arial"/>
          <w:szCs w:val="22"/>
        </w:rPr>
        <w:t>unable</w:t>
      </w:r>
      <w:proofErr w:type="gramEnd"/>
      <w:r w:rsidRPr="00A21E0A">
        <w:rPr>
          <w:rFonts w:cs="Arial"/>
          <w:szCs w:val="22"/>
        </w:rPr>
        <w:t xml:space="preserve"> to be managed or resolved within the application period. </w:t>
      </w:r>
    </w:p>
    <w:p w14:paraId="47F05D79" w14:textId="77777777" w:rsidR="00A21E0A" w:rsidRPr="00A21E0A" w:rsidRDefault="00A21E0A" w:rsidP="00A21E0A">
      <w:pPr>
        <w:rPr>
          <w:rFonts w:ascii="Calibri" w:hAnsi="Calibri" w:cs="Calibri"/>
          <w:sz w:val="22"/>
          <w:szCs w:val="22"/>
        </w:rPr>
      </w:pPr>
      <w:r>
        <w:t xml:space="preserve">Exceptional circumstances </w:t>
      </w:r>
      <w:proofErr w:type="gramStart"/>
      <w:r>
        <w:t>will be considered</w:t>
      </w:r>
      <w:proofErr w:type="gramEnd"/>
      <w:r>
        <w:t xml:space="preserve"> on their merits and in accordance with probity principles.</w:t>
      </w:r>
    </w:p>
    <w:p w14:paraId="6B3EC41F" w14:textId="77777777" w:rsidR="00A21E0A" w:rsidRDefault="00A21E0A" w:rsidP="00A21E0A">
      <w:pPr>
        <w:rPr>
          <w:b/>
          <w:bCs/>
        </w:rPr>
      </w:pPr>
      <w:r>
        <w:rPr>
          <w:b/>
          <w:bCs/>
        </w:rPr>
        <w:t>How to lodge a late application</w:t>
      </w:r>
    </w:p>
    <w:p w14:paraId="61F6B8F2" w14:textId="77777777" w:rsidR="00A21E0A" w:rsidRDefault="00A21E0A" w:rsidP="00A21E0A">
      <w:r>
        <w:t xml:space="preserve">Applicants seeking to submit a late application will be required to submit a late application request to the Community Grants Hub via </w:t>
      </w:r>
      <w:hyperlink r:id="rId29" w:history="1">
        <w:r>
          <w:rPr>
            <w:rStyle w:val="Hyperlink"/>
          </w:rPr>
          <w:t>support@communitygrants.gov.au</w:t>
        </w:r>
      </w:hyperlink>
      <w:r>
        <w:t>.</w:t>
      </w:r>
    </w:p>
    <w:p w14:paraId="5121F41B" w14:textId="77777777" w:rsidR="00A21E0A" w:rsidRPr="00A21E0A" w:rsidRDefault="00A21E0A" w:rsidP="00A21E0A">
      <w:pPr>
        <w:pStyle w:val="BodyText"/>
        <w:rPr>
          <w:sz w:val="20"/>
        </w:rPr>
      </w:pPr>
      <w:r w:rsidRPr="00A21E0A">
        <w:rPr>
          <w:sz w:val="20"/>
        </w:rPr>
        <w:t xml:space="preserve">The request should include a detailed explanation of the circumstances that prevented the application </w:t>
      </w:r>
      <w:proofErr w:type="gramStart"/>
      <w:r w:rsidRPr="00A21E0A">
        <w:rPr>
          <w:sz w:val="20"/>
        </w:rPr>
        <w:t>being submitted</w:t>
      </w:r>
      <w:proofErr w:type="gramEnd"/>
      <w:r w:rsidRPr="00A21E0A">
        <w:rPr>
          <w:sz w:val="20"/>
        </w:rPr>
        <w:t xml:space="preserve"> prior to the closing time. Where appropriate, supporting evidence </w:t>
      </w:r>
      <w:proofErr w:type="gramStart"/>
      <w:r w:rsidRPr="00A21E0A">
        <w:rPr>
          <w:sz w:val="20"/>
        </w:rPr>
        <w:t>can be provided</w:t>
      </w:r>
      <w:proofErr w:type="gramEnd"/>
      <w:r w:rsidRPr="00A21E0A">
        <w:rPr>
          <w:sz w:val="20"/>
        </w:rPr>
        <w:t xml:space="preserve"> to verify the claim of exceptional circumstances. </w:t>
      </w:r>
    </w:p>
    <w:p w14:paraId="1E9E81A2" w14:textId="77777777" w:rsidR="00A21E0A" w:rsidRDefault="00A21E0A" w:rsidP="00A21E0A">
      <w:r>
        <w:t xml:space="preserve">Written requests to lodge a late application </w:t>
      </w:r>
      <w:proofErr w:type="gramStart"/>
      <w:r>
        <w:t>will only be accepted</w:t>
      </w:r>
      <w:proofErr w:type="gramEnd"/>
      <w:r>
        <w:t xml:space="preserve"> within three days after the grant opportunity has closed. </w:t>
      </w:r>
    </w:p>
    <w:p w14:paraId="41DFE4D1" w14:textId="748DD393" w:rsidR="00A21E0A" w:rsidRPr="00A21E0A" w:rsidRDefault="00A21E0A" w:rsidP="00A21E0A">
      <w:pPr>
        <w:rPr>
          <w:rFonts w:ascii="Times New Roman" w:hAnsi="Times New Roman"/>
          <w:sz w:val="24"/>
          <w:szCs w:val="24"/>
          <w:lang w:eastAsia="en-AU"/>
        </w:rPr>
      </w:pPr>
      <w:r>
        <w:t>The Delegate or their appointed representative</w:t>
      </w:r>
      <w:r w:rsidR="00244FEB">
        <w:rPr>
          <w:rStyle w:val="FootnoteReference"/>
        </w:rPr>
        <w:footnoteReference w:id="5"/>
      </w:r>
      <w:r>
        <w:t xml:space="preserve"> will determine whether a late application </w:t>
      </w:r>
      <w:proofErr w:type="gramStart"/>
      <w:r>
        <w:t>will be accepted</w:t>
      </w:r>
      <w:proofErr w:type="gramEnd"/>
      <w:r>
        <w:t>. The decision of the delegate will be final and not subject to a review or appeals process.</w:t>
      </w:r>
    </w:p>
    <w:p w14:paraId="4559EBE9" w14:textId="77777777" w:rsidR="00A21E0A" w:rsidRPr="009B46E3" w:rsidRDefault="00A21E0A" w:rsidP="00C347D8">
      <w:pPr>
        <w:rPr>
          <w:sz w:val="22"/>
          <w:szCs w:val="22"/>
        </w:rPr>
      </w:pPr>
      <w:r>
        <w:t>Once the outcome is determined, the Community Grants Hub will advise the applicant if their request is accepted or declined.</w:t>
      </w:r>
    </w:p>
    <w:p w14:paraId="25BC1626" w14:textId="77777777" w:rsidR="00587B4B" w:rsidRPr="00587B4B" w:rsidRDefault="00587B4B" w:rsidP="00C347D8">
      <w:pPr>
        <w:spacing w:before="200"/>
        <w:rPr>
          <w:b/>
        </w:rPr>
      </w:pPr>
      <w:r w:rsidRPr="00632292">
        <w:rPr>
          <w:b/>
        </w:rPr>
        <w:t xml:space="preserve">Expected timing for this grant opportunity </w:t>
      </w:r>
    </w:p>
    <w:p w14:paraId="154D54B3" w14:textId="113986CC" w:rsidR="00C347D8" w:rsidRPr="00456DA5" w:rsidRDefault="00C347D8" w:rsidP="00C347D8">
      <w:pPr>
        <w:pStyle w:val="Caption"/>
        <w:keepNext/>
        <w:rPr>
          <w:color w:val="auto"/>
        </w:rPr>
      </w:pPr>
      <w:r w:rsidRPr="00456DA5">
        <w:rPr>
          <w:bCs/>
          <w:color w:val="auto"/>
        </w:rPr>
        <w:t xml:space="preserve">Table </w:t>
      </w:r>
      <w:r w:rsidR="0091398D">
        <w:rPr>
          <w:bCs/>
          <w:color w:val="auto"/>
        </w:rPr>
        <w:t>2</w:t>
      </w:r>
      <w:r w:rsidRPr="00456DA5">
        <w:rPr>
          <w:bCs/>
          <w:color w:val="auto"/>
        </w:rPr>
        <w:t>: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C347D8" w:rsidRPr="00DB5819" w14:paraId="39C55975" w14:textId="77777777" w:rsidTr="005E75D9">
        <w:trPr>
          <w:cantSplit/>
          <w:tblHeader/>
        </w:trPr>
        <w:tc>
          <w:tcPr>
            <w:tcW w:w="4815" w:type="dxa"/>
            <w:shd w:val="clear" w:color="auto" w:fill="264F90"/>
          </w:tcPr>
          <w:p w14:paraId="52B708EE" w14:textId="77777777" w:rsidR="00C347D8" w:rsidRPr="00DB5819" w:rsidRDefault="00C347D8" w:rsidP="005E75D9">
            <w:pPr>
              <w:pStyle w:val="TableHeadingNumbered"/>
            </w:pPr>
            <w:r w:rsidRPr="00DB5819">
              <w:t>Activity</w:t>
            </w:r>
          </w:p>
        </w:tc>
        <w:tc>
          <w:tcPr>
            <w:tcW w:w="3974" w:type="dxa"/>
            <w:shd w:val="clear" w:color="auto" w:fill="264F90"/>
          </w:tcPr>
          <w:p w14:paraId="52DE6B40" w14:textId="77777777" w:rsidR="00C347D8" w:rsidRPr="00DB5819" w:rsidRDefault="00C347D8" w:rsidP="005E75D9">
            <w:pPr>
              <w:pStyle w:val="TableHeadingNumbered"/>
            </w:pPr>
            <w:r w:rsidRPr="00DB5819">
              <w:t>Timeframe</w:t>
            </w:r>
          </w:p>
        </w:tc>
      </w:tr>
      <w:tr w:rsidR="00C347D8" w14:paraId="50D1ED65" w14:textId="77777777" w:rsidTr="005E75D9">
        <w:trPr>
          <w:cantSplit/>
        </w:trPr>
        <w:tc>
          <w:tcPr>
            <w:tcW w:w="4815" w:type="dxa"/>
          </w:tcPr>
          <w:p w14:paraId="6305A3DC" w14:textId="77777777" w:rsidR="00C347D8" w:rsidRPr="00B16B54" w:rsidRDefault="00C347D8" w:rsidP="005E75D9">
            <w:pPr>
              <w:pStyle w:val="TableText"/>
            </w:pPr>
            <w:r w:rsidRPr="00B16B54">
              <w:t>Assessment of applications</w:t>
            </w:r>
          </w:p>
        </w:tc>
        <w:tc>
          <w:tcPr>
            <w:tcW w:w="3974" w:type="dxa"/>
          </w:tcPr>
          <w:p w14:paraId="6A6C1E43" w14:textId="77777777" w:rsidR="00C347D8" w:rsidRPr="00B16B54" w:rsidRDefault="00C347D8" w:rsidP="00F72DA9">
            <w:pPr>
              <w:pStyle w:val="TableText"/>
            </w:pPr>
            <w:r w:rsidRPr="00B16B54">
              <w:t xml:space="preserve">4 weeks </w:t>
            </w:r>
          </w:p>
        </w:tc>
      </w:tr>
      <w:tr w:rsidR="00C347D8" w14:paraId="2A3F5DCD" w14:textId="77777777" w:rsidTr="005E75D9">
        <w:trPr>
          <w:cantSplit/>
        </w:trPr>
        <w:tc>
          <w:tcPr>
            <w:tcW w:w="4815" w:type="dxa"/>
          </w:tcPr>
          <w:p w14:paraId="208D1B9A" w14:textId="77777777" w:rsidR="00C347D8" w:rsidRPr="00B16B54" w:rsidRDefault="00C347D8" w:rsidP="005E75D9">
            <w:pPr>
              <w:pStyle w:val="TableText"/>
            </w:pPr>
            <w:r w:rsidRPr="00B16B54">
              <w:t>Approval of outcomes of selection process</w:t>
            </w:r>
          </w:p>
        </w:tc>
        <w:tc>
          <w:tcPr>
            <w:tcW w:w="3974" w:type="dxa"/>
          </w:tcPr>
          <w:p w14:paraId="6068A99A" w14:textId="349C57D8" w:rsidR="00C347D8" w:rsidRPr="00B16B54" w:rsidRDefault="00C347D8" w:rsidP="00F317AC">
            <w:pPr>
              <w:pStyle w:val="TableText"/>
            </w:pPr>
            <w:r w:rsidRPr="00B16B54">
              <w:t xml:space="preserve">4 weeks </w:t>
            </w:r>
            <w:r w:rsidR="005C08AF">
              <w:t>following the assessment of applications</w:t>
            </w:r>
          </w:p>
        </w:tc>
      </w:tr>
      <w:tr w:rsidR="00C347D8" w14:paraId="2E93EF55" w14:textId="77777777" w:rsidTr="005E75D9">
        <w:trPr>
          <w:cantSplit/>
        </w:trPr>
        <w:tc>
          <w:tcPr>
            <w:tcW w:w="4815" w:type="dxa"/>
          </w:tcPr>
          <w:p w14:paraId="5BFE47AE" w14:textId="77777777" w:rsidR="00C347D8" w:rsidRPr="00B16B54" w:rsidRDefault="00C347D8" w:rsidP="005E75D9">
            <w:pPr>
              <w:pStyle w:val="TableText"/>
            </w:pPr>
            <w:r w:rsidRPr="00B16B54">
              <w:t>Negotiations and award of grant agreements</w:t>
            </w:r>
          </w:p>
        </w:tc>
        <w:tc>
          <w:tcPr>
            <w:tcW w:w="3974" w:type="dxa"/>
          </w:tcPr>
          <w:p w14:paraId="4510BF9E" w14:textId="4E87E7F3" w:rsidR="00C347D8" w:rsidRPr="00B16B54" w:rsidRDefault="005C08AF" w:rsidP="005C08AF">
            <w:pPr>
              <w:pStyle w:val="TableText"/>
            </w:pPr>
            <w:r>
              <w:t>Approximately</w:t>
            </w:r>
            <w:r w:rsidR="00F72DA9" w:rsidRPr="007F6D34">
              <w:t xml:space="preserve"> </w:t>
            </w:r>
            <w:r>
              <w:t>8</w:t>
            </w:r>
            <w:r w:rsidR="00F72DA9" w:rsidRPr="007F6D34">
              <w:t xml:space="preserve"> weeks</w:t>
            </w:r>
          </w:p>
        </w:tc>
      </w:tr>
      <w:tr w:rsidR="00C347D8" w14:paraId="1A9CC4A8" w14:textId="77777777" w:rsidTr="005E75D9">
        <w:trPr>
          <w:cantSplit/>
        </w:trPr>
        <w:tc>
          <w:tcPr>
            <w:tcW w:w="4815" w:type="dxa"/>
          </w:tcPr>
          <w:p w14:paraId="7C516F09" w14:textId="77777777" w:rsidR="00C347D8" w:rsidRPr="00B16B54" w:rsidRDefault="00C347D8" w:rsidP="005E75D9">
            <w:pPr>
              <w:pStyle w:val="TableText"/>
            </w:pPr>
            <w:r w:rsidRPr="00B16B54">
              <w:t>Notification to unsuccessful applicants</w:t>
            </w:r>
          </w:p>
        </w:tc>
        <w:tc>
          <w:tcPr>
            <w:tcW w:w="3974" w:type="dxa"/>
          </w:tcPr>
          <w:p w14:paraId="5B1DA055" w14:textId="42413BE5" w:rsidR="00C347D8" w:rsidRPr="00B16B54" w:rsidRDefault="005C08AF" w:rsidP="00F72DA9">
            <w:pPr>
              <w:pStyle w:val="TableText"/>
            </w:pPr>
            <w:r>
              <w:t xml:space="preserve">Approximately </w:t>
            </w:r>
            <w:r w:rsidR="00C347D8" w:rsidRPr="00B16B54">
              <w:t>2 weeks</w:t>
            </w:r>
            <w:r>
              <w:t xml:space="preserve"> following notification to successful applicants</w:t>
            </w:r>
            <w:r w:rsidR="00AB177E">
              <w:t xml:space="preserve"> </w:t>
            </w:r>
          </w:p>
        </w:tc>
      </w:tr>
      <w:tr w:rsidR="00C347D8" w14:paraId="6916D2E8" w14:textId="77777777" w:rsidTr="005E75D9">
        <w:trPr>
          <w:cantSplit/>
        </w:trPr>
        <w:tc>
          <w:tcPr>
            <w:tcW w:w="4815" w:type="dxa"/>
          </w:tcPr>
          <w:p w14:paraId="0B312A77" w14:textId="77777777" w:rsidR="00C347D8" w:rsidRPr="00B16B54" w:rsidRDefault="00C347D8" w:rsidP="005A20F7">
            <w:pPr>
              <w:pStyle w:val="TableText"/>
            </w:pPr>
            <w:r>
              <w:t>Earliest start date of grant a</w:t>
            </w:r>
            <w:r w:rsidRPr="00B16B54">
              <w:t>ctivity</w:t>
            </w:r>
            <w:r w:rsidR="00AB177E">
              <w:t xml:space="preserve"> </w:t>
            </w:r>
          </w:p>
        </w:tc>
        <w:tc>
          <w:tcPr>
            <w:tcW w:w="3974" w:type="dxa"/>
          </w:tcPr>
          <w:p w14:paraId="7836CB01" w14:textId="6EA598BF" w:rsidR="00C347D8" w:rsidRPr="00B73DB1" w:rsidRDefault="003A138C" w:rsidP="005E75D9">
            <w:pPr>
              <w:pStyle w:val="TableText"/>
            </w:pPr>
            <w:r w:rsidRPr="00B73DB1">
              <w:t>May</w:t>
            </w:r>
            <w:r w:rsidR="001447E1" w:rsidRPr="00B73DB1">
              <w:t xml:space="preserve"> 2020</w:t>
            </w:r>
          </w:p>
        </w:tc>
      </w:tr>
      <w:tr w:rsidR="00C347D8" w14:paraId="70CED0B9" w14:textId="77777777" w:rsidTr="005E75D9">
        <w:trPr>
          <w:cantSplit/>
        </w:trPr>
        <w:tc>
          <w:tcPr>
            <w:tcW w:w="4815" w:type="dxa"/>
          </w:tcPr>
          <w:p w14:paraId="2BA5FDB4"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3974" w:type="dxa"/>
          </w:tcPr>
          <w:p w14:paraId="1A0299B1" w14:textId="4EDA364F" w:rsidR="00C347D8" w:rsidRPr="00B73DB1" w:rsidRDefault="005C08AF" w:rsidP="00077923">
            <w:pPr>
              <w:pStyle w:val="TableText"/>
            </w:pPr>
            <w:r w:rsidRPr="00B73DB1">
              <w:rPr>
                <w:color w:val="000000" w:themeColor="text1"/>
              </w:rPr>
              <w:t xml:space="preserve">30 </w:t>
            </w:r>
            <w:r w:rsidR="0091398D" w:rsidRPr="00B73DB1">
              <w:rPr>
                <w:color w:val="000000" w:themeColor="text1"/>
              </w:rPr>
              <w:t xml:space="preserve">April </w:t>
            </w:r>
            <w:r w:rsidR="00077923" w:rsidRPr="00B73DB1">
              <w:rPr>
                <w:color w:val="000000" w:themeColor="text1"/>
              </w:rPr>
              <w:t>202</w:t>
            </w:r>
            <w:r w:rsidR="002F4BE0" w:rsidRPr="00B73DB1">
              <w:rPr>
                <w:color w:val="000000" w:themeColor="text1"/>
              </w:rPr>
              <w:t>3</w:t>
            </w:r>
          </w:p>
        </w:tc>
      </w:tr>
    </w:tbl>
    <w:p w14:paraId="492A369A" w14:textId="77777777" w:rsidR="008778C3" w:rsidRDefault="008778C3" w:rsidP="00A8702B">
      <w:pPr>
        <w:pStyle w:val="Heading3"/>
      </w:pPr>
      <w:bookmarkStart w:id="88" w:name="_Toc17704018"/>
      <w:r w:rsidRPr="00181A24">
        <w:lastRenderedPageBreak/>
        <w:t>Questions during the application process</w:t>
      </w:r>
      <w:bookmarkEnd w:id="88"/>
    </w:p>
    <w:p w14:paraId="737D9346" w14:textId="69C67F2B" w:rsidR="008778C3" w:rsidRDefault="008778C3" w:rsidP="008778C3">
      <w:r>
        <w:t xml:space="preserve">If you have any questions during the application period, contact </w:t>
      </w:r>
      <w:r w:rsidR="0081304B">
        <w:t>the Community Grants H</w:t>
      </w:r>
      <w:r w:rsidR="00F90355">
        <w:t xml:space="preserve">ub on 1800 020 283 </w:t>
      </w:r>
      <w:r w:rsidR="00026AA7">
        <w:t xml:space="preserve">(option1) </w:t>
      </w:r>
      <w:r w:rsidR="00F90355">
        <w:t xml:space="preserve">or email </w:t>
      </w:r>
      <w:hyperlink r:id="rId30" w:history="1">
        <w:r w:rsidR="00F90355" w:rsidRPr="000675F4">
          <w:rPr>
            <w:rStyle w:val="Hyperlink"/>
          </w:rPr>
          <w:t>support@communitygrants.gov.au</w:t>
        </w:r>
      </w:hyperlink>
      <w:r w:rsidR="00F90355">
        <w:t xml:space="preserve">. </w:t>
      </w:r>
    </w:p>
    <w:p w14:paraId="3387E2C3" w14:textId="77777777" w:rsidR="008778C3" w:rsidRDefault="008778C3" w:rsidP="008778C3">
      <w:r>
        <w:t xml:space="preserve">The </w:t>
      </w:r>
      <w:r w:rsidR="00F90355">
        <w:t>Community Grants Hub</w:t>
      </w:r>
      <w:r>
        <w:t xml:space="preserve"> will respond to emailed questions within</w:t>
      </w:r>
      <w:r w:rsidR="00F90355">
        <w:t xml:space="preserve"> five</w:t>
      </w:r>
      <w:r>
        <w:t xml:space="preserve"> working days. Answers to questions </w:t>
      </w:r>
      <w:proofErr w:type="gramStart"/>
      <w:r w:rsidR="002F7E8A">
        <w:t xml:space="preserve">are </w:t>
      </w:r>
      <w:r>
        <w:t>posted</w:t>
      </w:r>
      <w:proofErr w:type="gramEnd"/>
      <w:r>
        <w:t xml:space="preserve"> on</w:t>
      </w:r>
      <w:r w:rsidR="002B1AB0">
        <w:t xml:space="preserve"> the</w:t>
      </w:r>
      <w:r>
        <w:t xml:space="preserve"> </w:t>
      </w:r>
      <w:hyperlink r:id="rId31" w:history="1">
        <w:r w:rsidRPr="004D3D46">
          <w:rPr>
            <w:rStyle w:val="Hyperlink"/>
          </w:rPr>
          <w:t>GrantConnect</w:t>
        </w:r>
      </w:hyperlink>
      <w:r w:rsidR="00F90355">
        <w:t xml:space="preserve"> </w:t>
      </w:r>
      <w:r w:rsidR="00F90355" w:rsidRPr="00E60699">
        <w:t xml:space="preserve">and </w:t>
      </w:r>
      <w:hyperlink r:id="rId32" w:history="1">
        <w:r w:rsidR="00F90355" w:rsidRPr="00E60699">
          <w:rPr>
            <w:rStyle w:val="Hyperlink"/>
          </w:rPr>
          <w:t>Community Grants Hub</w:t>
        </w:r>
      </w:hyperlink>
      <w:r w:rsidR="00F90355" w:rsidRPr="00E60699">
        <w:t xml:space="preserve"> websites</w:t>
      </w:r>
      <w:r w:rsidRPr="00E60699">
        <w:t>.</w:t>
      </w:r>
      <w:r w:rsidR="0086382B" w:rsidRPr="0086382B">
        <w:rPr>
          <w:color w:val="0070C0"/>
        </w:rPr>
        <w:t xml:space="preserve"> </w:t>
      </w:r>
    </w:p>
    <w:p w14:paraId="7F130FE7" w14:textId="124DAF8C" w:rsidR="00125362" w:rsidRPr="000673F8" w:rsidRDefault="00125362" w:rsidP="008778C3">
      <w:pPr>
        <w:rPr>
          <w:rFonts w:eastAsiaTheme="minorHAnsi" w:cstheme="minorBidi"/>
          <w:szCs w:val="22"/>
        </w:rPr>
      </w:pPr>
      <w:r w:rsidRPr="00125362">
        <w:rPr>
          <w:rFonts w:eastAsiaTheme="minorHAnsi" w:cstheme="minorBidi"/>
          <w:szCs w:val="22"/>
        </w:rPr>
        <w:t>The question period will close at 5:00PM</w:t>
      </w:r>
      <w:r w:rsidRPr="0087522E">
        <w:rPr>
          <w:rFonts w:eastAsiaTheme="minorHAnsi" w:cstheme="minorBidi"/>
          <w:szCs w:val="22"/>
        </w:rPr>
        <w:t xml:space="preserve"> AEDT </w:t>
      </w:r>
      <w:r w:rsidR="000A33E3">
        <w:rPr>
          <w:rFonts w:eastAsiaTheme="minorHAnsi" w:cstheme="minorBidi"/>
          <w:szCs w:val="22"/>
        </w:rPr>
        <w:t xml:space="preserve">on </w:t>
      </w:r>
      <w:r w:rsidR="006C4910">
        <w:t>Thursday</w:t>
      </w:r>
      <w:r w:rsidR="006A12C0" w:rsidRPr="00B73DB1">
        <w:t xml:space="preserve"> 13</w:t>
      </w:r>
      <w:r w:rsidR="002F4BE0" w:rsidRPr="00B73DB1">
        <w:t xml:space="preserve"> </w:t>
      </w:r>
      <w:r w:rsidR="006C4910">
        <w:t>February</w:t>
      </w:r>
      <w:r w:rsidR="006A12C0" w:rsidRPr="00B73DB1">
        <w:t xml:space="preserve"> </w:t>
      </w:r>
      <w:r w:rsidR="002F4BE0" w:rsidRPr="00B73DB1">
        <w:t>2020</w:t>
      </w:r>
      <w:r w:rsidRPr="000A33E3">
        <w:rPr>
          <w:rFonts w:eastAsiaTheme="minorHAnsi" w:cstheme="minorBidi"/>
          <w:color w:val="0070C0"/>
          <w:szCs w:val="22"/>
        </w:rPr>
        <w:t>.</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sidR="0004214E">
        <w:rPr>
          <w:rFonts w:eastAsiaTheme="minorHAnsi" w:cstheme="minorBidi"/>
          <w:szCs w:val="22"/>
        </w:rPr>
        <w:t>about</w:t>
      </w:r>
      <w:r w:rsidRPr="00125362">
        <w:rPr>
          <w:rFonts w:eastAsiaTheme="minorHAnsi" w:cstheme="minorBidi"/>
          <w:szCs w:val="22"/>
        </w:rPr>
        <w:t xml:space="preserve"> using and/or submitting the appl</w:t>
      </w:r>
      <w:r w:rsidR="000673F8">
        <w:rPr>
          <w:rFonts w:eastAsiaTheme="minorHAnsi" w:cstheme="minorBidi"/>
          <w:szCs w:val="22"/>
        </w:rPr>
        <w:t xml:space="preserve">ication form </w:t>
      </w:r>
      <w:proofErr w:type="gramStart"/>
      <w:r w:rsidR="000673F8">
        <w:rPr>
          <w:rFonts w:eastAsiaTheme="minorHAnsi" w:cstheme="minorBidi"/>
          <w:szCs w:val="22"/>
        </w:rPr>
        <w:t>will be answered</w:t>
      </w:r>
      <w:proofErr w:type="gramEnd"/>
      <w:r w:rsidR="000673F8">
        <w:rPr>
          <w:rFonts w:eastAsiaTheme="minorHAnsi" w:cstheme="minorBidi"/>
          <w:szCs w:val="22"/>
        </w:rPr>
        <w:t xml:space="preserve">. </w:t>
      </w:r>
    </w:p>
    <w:p w14:paraId="1956128C" w14:textId="77777777" w:rsidR="006E0B42" w:rsidRDefault="006E0B42" w:rsidP="009668F6">
      <w:pPr>
        <w:pStyle w:val="Heading2"/>
      </w:pPr>
      <w:bookmarkStart w:id="89" w:name="_Toc17704019"/>
      <w:r>
        <w:t>The grant selection process</w:t>
      </w:r>
      <w:bookmarkEnd w:id="89"/>
    </w:p>
    <w:p w14:paraId="161241A1" w14:textId="77777777" w:rsidR="00032BB0" w:rsidRDefault="00032BB0" w:rsidP="00A8702B">
      <w:pPr>
        <w:pStyle w:val="Heading3"/>
      </w:pPr>
      <w:bookmarkStart w:id="90" w:name="_Toc17704020"/>
      <w:r>
        <w:t>Assessment of grant applications</w:t>
      </w:r>
      <w:bookmarkEnd w:id="90"/>
      <w:r>
        <w:t xml:space="preserve"> </w:t>
      </w:r>
    </w:p>
    <w:p w14:paraId="556C7CE0" w14:textId="77777777" w:rsidR="00B50162" w:rsidRDefault="00B50162" w:rsidP="00B50162">
      <w:pPr>
        <w:rPr>
          <w:rFonts w:cstheme="minorHAnsi"/>
        </w:rPr>
      </w:pPr>
      <w:r>
        <w:t xml:space="preserve">We will </w:t>
      </w:r>
      <w:r>
        <w:rPr>
          <w:rFonts w:cstheme="minorHAnsi"/>
        </w:rPr>
        <w:t xml:space="preserve">review your application against the eligibility criteria. Only eligible applications will move to the next stage. Eligible applications </w:t>
      </w:r>
      <w:proofErr w:type="gramStart"/>
      <w:r>
        <w:rPr>
          <w:rFonts w:cstheme="minorHAnsi"/>
        </w:rPr>
        <w:t>will be considered</w:t>
      </w:r>
      <w:proofErr w:type="gramEnd"/>
      <w:r>
        <w:rPr>
          <w:rFonts w:cstheme="minorHAnsi"/>
        </w:rPr>
        <w:t xml:space="preserve"> through an </w:t>
      </w:r>
      <w:r w:rsidRPr="00E60699">
        <w:rPr>
          <w:rFonts w:cstheme="minorHAnsi"/>
          <w:color w:val="000000" w:themeColor="text1"/>
        </w:rPr>
        <w:t>open competitive</w:t>
      </w:r>
      <w:r w:rsidRPr="00E60699">
        <w:rPr>
          <w:rFonts w:cstheme="minorHAnsi"/>
        </w:rPr>
        <w:t xml:space="preserve"> </w:t>
      </w:r>
      <w:r>
        <w:rPr>
          <w:rFonts w:cstheme="minorHAnsi"/>
        </w:rPr>
        <w:t>grant process.</w:t>
      </w:r>
    </w:p>
    <w:p w14:paraId="3DFF90D7" w14:textId="087A9B9E" w:rsidR="00B50162" w:rsidRDefault="00B50162" w:rsidP="00B50162">
      <w:r>
        <w:t xml:space="preserve">If eligible, </w:t>
      </w:r>
      <w:r w:rsidR="002F4BE0">
        <w:t xml:space="preserve">the </w:t>
      </w:r>
      <w:r w:rsidR="00191523">
        <w:t>selection advisory panel</w:t>
      </w:r>
      <w:r w:rsidR="002F4BE0">
        <w:t xml:space="preserve"> </w:t>
      </w:r>
      <w:r>
        <w:t xml:space="preserve">will then assess your application against the assessment criteria (see Section 6) and against other </w:t>
      </w:r>
      <w:r w:rsidRPr="002F4BE0">
        <w:t xml:space="preserve">applications. </w:t>
      </w:r>
      <w:r w:rsidR="002F4BE0" w:rsidRPr="002F4BE0">
        <w:t xml:space="preserve">The </w:t>
      </w:r>
      <w:r w:rsidR="00191523">
        <w:t>selection advisory panel</w:t>
      </w:r>
      <w:r w:rsidRPr="002F4BE0">
        <w:t xml:space="preserve"> will</w:t>
      </w:r>
      <w:r>
        <w:t xml:space="preserve"> consider</w:t>
      </w:r>
      <w:r w:rsidR="00957057">
        <w:t xml:space="preserve"> your application on its merits</w:t>
      </w:r>
      <w:r>
        <w:t xml:space="preserve"> based on:</w:t>
      </w:r>
    </w:p>
    <w:p w14:paraId="39C00167" w14:textId="3E0B6AA7" w:rsidR="00957057" w:rsidRDefault="00957057" w:rsidP="00B50162">
      <w:pPr>
        <w:pStyle w:val="ListBullet"/>
        <w:numPr>
          <w:ilvl w:val="0"/>
          <w:numId w:val="42"/>
        </w:numPr>
      </w:pPr>
      <w:r>
        <w:t>how well it meets the criteria</w:t>
      </w:r>
    </w:p>
    <w:p w14:paraId="758738A9" w14:textId="7BEC77E2" w:rsidR="00B50162" w:rsidDel="00B52810" w:rsidRDefault="00B50162" w:rsidP="00B50162">
      <w:pPr>
        <w:pStyle w:val="ListBullet"/>
        <w:numPr>
          <w:ilvl w:val="0"/>
          <w:numId w:val="42"/>
        </w:numPr>
      </w:pPr>
      <w:proofErr w:type="gramStart"/>
      <w:r w:rsidDel="00B52810">
        <w:t>how</w:t>
      </w:r>
      <w:proofErr w:type="gramEnd"/>
      <w:r w:rsidDel="00B52810">
        <w:t xml:space="preserve"> it compares to other applications</w:t>
      </w:r>
      <w:r w:rsidR="005F38B3" w:rsidDel="00B52810">
        <w:t>.</w:t>
      </w:r>
      <w:r w:rsidDel="00B52810">
        <w:t xml:space="preserve"> </w:t>
      </w:r>
    </w:p>
    <w:p w14:paraId="0C1B7BF3" w14:textId="6DEB78BA" w:rsidR="00B50162" w:rsidRDefault="002E1351" w:rsidP="00957057">
      <w:pPr>
        <w:pStyle w:val="ListBullet"/>
        <w:numPr>
          <w:ilvl w:val="0"/>
          <w:numId w:val="0"/>
        </w:numPr>
      </w:pPr>
      <w:r>
        <w:t xml:space="preserve">A </w:t>
      </w:r>
      <w:r w:rsidR="00191523">
        <w:t>selection advisory panel</w:t>
      </w:r>
      <w:r w:rsidR="00B50162">
        <w:t xml:space="preserve"> will consider</w:t>
      </w:r>
      <w:r w:rsidR="00957057">
        <w:t xml:space="preserve"> </w:t>
      </w:r>
      <w:r w:rsidR="00B50162">
        <w:t>whether it provides value with relevant money.</w:t>
      </w:r>
      <w:r w:rsidR="00B50162">
        <w:rPr>
          <w:rStyle w:val="FootnoteReference"/>
          <w:rFonts w:eastAsiaTheme="majorEastAsia"/>
        </w:rPr>
        <w:footnoteReference w:id="6"/>
      </w:r>
    </w:p>
    <w:p w14:paraId="156ED8AB" w14:textId="7D837B24" w:rsidR="00B50162" w:rsidRDefault="00B50162" w:rsidP="00B50162">
      <w:pPr>
        <w:pStyle w:val="ListBullet"/>
        <w:numPr>
          <w:ilvl w:val="0"/>
          <w:numId w:val="0"/>
        </w:numPr>
        <w:rPr>
          <w:rFonts w:cs="Arial"/>
        </w:rPr>
      </w:pPr>
      <w:r>
        <w:rPr>
          <w:rFonts w:cs="Arial"/>
        </w:rPr>
        <w:t xml:space="preserve">When assessing the extent to which the application represents value with relevant money, the </w:t>
      </w:r>
      <w:r w:rsidR="00191523">
        <w:t>selection advisory panel</w:t>
      </w:r>
      <w:r w:rsidR="00A13542">
        <w:t xml:space="preserve"> </w:t>
      </w:r>
      <w:r>
        <w:rPr>
          <w:rFonts w:cs="Arial"/>
        </w:rPr>
        <w:t>will have regard to:</w:t>
      </w:r>
      <w:r>
        <w:rPr>
          <w:rFonts w:cs="Arial"/>
          <w:color w:val="0070C0"/>
        </w:rPr>
        <w:t xml:space="preserve"> </w:t>
      </w:r>
    </w:p>
    <w:p w14:paraId="587AE539" w14:textId="77777777" w:rsidR="002306D9" w:rsidRDefault="00B50162" w:rsidP="00B50162">
      <w:pPr>
        <w:pStyle w:val="ListBullet"/>
        <w:numPr>
          <w:ilvl w:val="0"/>
          <w:numId w:val="42"/>
        </w:numPr>
      </w:pPr>
      <w:r>
        <w:t>the overall objective/s to be achieved in providing the grant</w:t>
      </w:r>
    </w:p>
    <w:p w14:paraId="7DB89205" w14:textId="77777777" w:rsidR="00B50162" w:rsidRDefault="00B50162" w:rsidP="00B50162">
      <w:pPr>
        <w:pStyle w:val="ListBullet"/>
        <w:numPr>
          <w:ilvl w:val="0"/>
          <w:numId w:val="42"/>
        </w:numPr>
      </w:pPr>
      <w:r>
        <w:t>the relative value of the grant sought</w:t>
      </w:r>
    </w:p>
    <w:p w14:paraId="2CC6D39C" w14:textId="6BD53EBE" w:rsidR="00B50162" w:rsidRDefault="005C08AF" w:rsidP="00B50162">
      <w:pPr>
        <w:pStyle w:val="ListBullet"/>
        <w:numPr>
          <w:ilvl w:val="0"/>
          <w:numId w:val="42"/>
        </w:numPr>
      </w:pPr>
      <w:r>
        <w:t xml:space="preserve">the </w:t>
      </w:r>
      <w:r w:rsidR="00B50162">
        <w:t xml:space="preserve">extent to which the geographic location of the application matches identified </w:t>
      </w:r>
      <w:r w:rsidR="002306D9">
        <w:t>communities</w:t>
      </w:r>
    </w:p>
    <w:p w14:paraId="62B0E302" w14:textId="6ED4E094" w:rsidR="00B50162" w:rsidRDefault="00B50162" w:rsidP="00B50162">
      <w:pPr>
        <w:pStyle w:val="ListBullet"/>
        <w:numPr>
          <w:ilvl w:val="0"/>
          <w:numId w:val="42"/>
        </w:numPr>
      </w:pPr>
      <w:r>
        <w:t xml:space="preserve">the extent to which the evidence in the application demonstrates that it will contribute to </w:t>
      </w:r>
      <w:r w:rsidR="00957057">
        <w:t xml:space="preserve">meeting the </w:t>
      </w:r>
      <w:r w:rsidR="005C08AF">
        <w:t xml:space="preserve">program </w:t>
      </w:r>
      <w:r w:rsidR="00957057">
        <w:t>outcomes/objectives</w:t>
      </w:r>
    </w:p>
    <w:p w14:paraId="3701ADAD" w14:textId="77777777" w:rsidR="00B50162" w:rsidRPr="00903AE7" w:rsidRDefault="00B50162" w:rsidP="00903AE7">
      <w:pPr>
        <w:pStyle w:val="ListBullet"/>
        <w:numPr>
          <w:ilvl w:val="0"/>
          <w:numId w:val="42"/>
        </w:numPr>
      </w:pPr>
      <w:proofErr w:type="gramStart"/>
      <w:r>
        <w:t>how</w:t>
      </w:r>
      <w:proofErr w:type="gramEnd"/>
      <w:r>
        <w:t xml:space="preserve"> the grant activities will target </w:t>
      </w:r>
      <w:r w:rsidR="00077923">
        <w:t>economic development in the identified communities</w:t>
      </w:r>
      <w:r>
        <w:t>.</w:t>
      </w:r>
      <w:r w:rsidRPr="00903AE7">
        <w:t xml:space="preserve"> </w:t>
      </w:r>
    </w:p>
    <w:p w14:paraId="5670998B" w14:textId="77777777" w:rsidR="00866D16" w:rsidRPr="00A8702B" w:rsidRDefault="00866D16" w:rsidP="00A8702B">
      <w:pPr>
        <w:pStyle w:val="Heading3"/>
      </w:pPr>
      <w:bookmarkStart w:id="91" w:name="_Toc17704021"/>
      <w:r w:rsidRPr="00A8702B">
        <w:t xml:space="preserve">Financial </w:t>
      </w:r>
      <w:r w:rsidR="00A23D90" w:rsidRPr="00A8702B">
        <w:t>v</w:t>
      </w:r>
      <w:r w:rsidRPr="00A8702B">
        <w:t>iability</w:t>
      </w:r>
      <w:bookmarkEnd w:id="91"/>
    </w:p>
    <w:p w14:paraId="38BF3F37" w14:textId="77777777" w:rsidR="00866D16" w:rsidRPr="002D2C06" w:rsidRDefault="00866D16" w:rsidP="00FB0031">
      <w:pPr>
        <w:pStyle w:val="BodyTextnospace"/>
        <w:rPr>
          <w:rFonts w:cs="Arial"/>
        </w:rPr>
      </w:pPr>
      <w:r w:rsidRPr="00FB0031">
        <w:rPr>
          <w:rFonts w:ascii="Arial" w:hAnsi="Arial" w:cs="Arial"/>
          <w:sz w:val="20"/>
        </w:rPr>
        <w:t xml:space="preserve">Applicants may be subject to a </w:t>
      </w:r>
      <w:r w:rsidR="0070001C" w:rsidRPr="00FB0031">
        <w:rPr>
          <w:rFonts w:ascii="Arial" w:hAnsi="Arial" w:cs="Arial"/>
          <w:sz w:val="20"/>
        </w:rPr>
        <w:t>f</w:t>
      </w:r>
      <w:r w:rsidRPr="00FB0031">
        <w:rPr>
          <w:rFonts w:ascii="Arial" w:hAnsi="Arial" w:cs="Arial"/>
          <w:sz w:val="20"/>
        </w:rPr>
        <w:t xml:space="preserve">inancial </w:t>
      </w:r>
      <w:r w:rsidR="0070001C" w:rsidRPr="00FB0031">
        <w:rPr>
          <w:rFonts w:ascii="Arial" w:hAnsi="Arial" w:cs="Arial"/>
          <w:sz w:val="20"/>
        </w:rPr>
        <w:t>v</w:t>
      </w:r>
      <w:r w:rsidRPr="00FB0031">
        <w:rPr>
          <w:rFonts w:ascii="Arial" w:hAnsi="Arial" w:cs="Arial"/>
          <w:sz w:val="20"/>
        </w:rPr>
        <w:t xml:space="preserve">iability assessment. The </w:t>
      </w:r>
      <w:r w:rsidR="0070001C" w:rsidRPr="00FB0031">
        <w:rPr>
          <w:rFonts w:ascii="Arial" w:hAnsi="Arial" w:cs="Arial"/>
          <w:sz w:val="20"/>
        </w:rPr>
        <w:t>f</w:t>
      </w:r>
      <w:r w:rsidRPr="00FB0031">
        <w:rPr>
          <w:rFonts w:ascii="Arial" w:hAnsi="Arial" w:cs="Arial"/>
          <w:sz w:val="20"/>
        </w:rPr>
        <w:t xml:space="preserve">inancial </w:t>
      </w:r>
      <w:r w:rsidR="0070001C" w:rsidRPr="00FB0031">
        <w:rPr>
          <w:rFonts w:ascii="Arial" w:hAnsi="Arial" w:cs="Arial"/>
          <w:sz w:val="20"/>
        </w:rPr>
        <w:t>v</w:t>
      </w:r>
      <w:r w:rsidRPr="00FB0031">
        <w:rPr>
          <w:rFonts w:ascii="Arial" w:hAnsi="Arial" w:cs="Arial"/>
          <w:sz w:val="20"/>
        </w:rPr>
        <w:t xml:space="preserve">iability assessment forms part of the risk mitigation strategy and can include: </w:t>
      </w:r>
    </w:p>
    <w:p w14:paraId="1BE8F308" w14:textId="77777777" w:rsidR="00866D16" w:rsidRDefault="0070001C" w:rsidP="00866D16">
      <w:pPr>
        <w:pStyle w:val="ListBullet"/>
      </w:pPr>
      <w:r>
        <w:t>e</w:t>
      </w:r>
      <w:r w:rsidR="00866D16">
        <w:t>stablishing whether relevant persons have any adverse business history (for example current or past bankruptcy)</w:t>
      </w:r>
    </w:p>
    <w:p w14:paraId="52C02969" w14:textId="77777777" w:rsidR="00866D16" w:rsidRPr="00866D16" w:rsidRDefault="0070001C" w:rsidP="00866D16">
      <w:pPr>
        <w:pStyle w:val="ListBullet"/>
      </w:pPr>
      <w:proofErr w:type="gramStart"/>
      <w:r>
        <w:t>a</w:t>
      </w:r>
      <w:r w:rsidR="00866D16">
        <w:t>ssessment</w:t>
      </w:r>
      <w:proofErr w:type="gramEnd"/>
      <w:r w:rsidR="00866D16">
        <w:t xml:space="preserve"> of the financial health of an entity</w:t>
      </w:r>
      <w:r w:rsidR="00C41F8B">
        <w:t>.</w:t>
      </w:r>
    </w:p>
    <w:p w14:paraId="31018121" w14:textId="381812C8" w:rsidR="00E22FDF" w:rsidRDefault="00E22FDF" w:rsidP="00A8702B">
      <w:pPr>
        <w:pStyle w:val="Heading3"/>
      </w:pPr>
      <w:r>
        <w:t xml:space="preserve"> </w:t>
      </w:r>
      <w:bookmarkStart w:id="92" w:name="_Toc17704022"/>
      <w:r>
        <w:t>Who will assess and select applications?</w:t>
      </w:r>
      <w:bookmarkEnd w:id="92"/>
    </w:p>
    <w:p w14:paraId="21C39C9E" w14:textId="2E11352C" w:rsidR="00BC7D18" w:rsidRDefault="00D53DC2" w:rsidP="00B50162">
      <w:r>
        <w:t xml:space="preserve">The </w:t>
      </w:r>
      <w:r w:rsidR="00191523">
        <w:t>selection advisory panel</w:t>
      </w:r>
      <w:r w:rsidR="00A13542">
        <w:t xml:space="preserve"> </w:t>
      </w:r>
      <w:r>
        <w:t xml:space="preserve">will </w:t>
      </w:r>
      <w:r w:rsidR="00B50162">
        <w:t>as</w:t>
      </w:r>
      <w:r w:rsidR="004C7D2B">
        <w:t>sess each eligible a</w:t>
      </w:r>
      <w:r w:rsidR="00B50162">
        <w:t>pplication on its merit</w:t>
      </w:r>
      <w:r w:rsidR="00B928B6">
        <w:t>s</w:t>
      </w:r>
      <w:r w:rsidR="00B50162">
        <w:t xml:space="preserve"> and compare it to other eligible applications.</w:t>
      </w:r>
      <w:r w:rsidR="00077923">
        <w:t xml:space="preserve"> </w:t>
      </w:r>
      <w:r>
        <w:t xml:space="preserve">The </w:t>
      </w:r>
      <w:r w:rsidR="00191523">
        <w:t>selection advisory panel</w:t>
      </w:r>
      <w:r w:rsidR="00A13542">
        <w:t xml:space="preserve"> </w:t>
      </w:r>
      <w:r>
        <w:t>will also make recommendations t</w:t>
      </w:r>
      <w:r w:rsidR="0061397A">
        <w:t>o the decision maker on allocating</w:t>
      </w:r>
      <w:r>
        <w:t xml:space="preserve"> </w:t>
      </w:r>
      <w:r w:rsidR="0061397A">
        <w:t xml:space="preserve">projects </w:t>
      </w:r>
      <w:r>
        <w:t xml:space="preserve">across all eligible communities. </w:t>
      </w:r>
      <w:r w:rsidR="00BC7D18">
        <w:t>The assessment will have three phases:</w:t>
      </w:r>
    </w:p>
    <w:p w14:paraId="685C13C4" w14:textId="452FFA81" w:rsidR="00BC7D18" w:rsidRDefault="00BC7D18" w:rsidP="008C1298">
      <w:pPr>
        <w:pStyle w:val="ListBullet"/>
        <w:numPr>
          <w:ilvl w:val="0"/>
          <w:numId w:val="42"/>
        </w:numPr>
      </w:pPr>
      <w:r>
        <w:t xml:space="preserve">Phase </w:t>
      </w:r>
      <w:r w:rsidR="003F5003">
        <w:t>1</w:t>
      </w:r>
      <w:r>
        <w:t>: ranking of all eligible applications into an order of merit</w:t>
      </w:r>
      <w:r w:rsidR="00612597">
        <w:t>.</w:t>
      </w:r>
    </w:p>
    <w:p w14:paraId="2F6F3326" w14:textId="071556B1" w:rsidR="00BC7D18" w:rsidRDefault="003F5003" w:rsidP="008C1298">
      <w:pPr>
        <w:pStyle w:val="ListBullet"/>
        <w:numPr>
          <w:ilvl w:val="0"/>
          <w:numId w:val="42"/>
        </w:numPr>
      </w:pPr>
      <w:r>
        <w:lastRenderedPageBreak/>
        <w:t>Phase 2</w:t>
      </w:r>
      <w:r w:rsidR="00BC7D18">
        <w:t xml:space="preserve">: assigning the highest ranked projects </w:t>
      </w:r>
      <w:r w:rsidR="00903AE7">
        <w:t xml:space="preserve">equal to or </w:t>
      </w:r>
      <w:r w:rsidR="00BC7D18">
        <w:t xml:space="preserve">under $450,000 </w:t>
      </w:r>
      <w:r w:rsidR="00957057">
        <w:t xml:space="preserve">(GST exclusive) </w:t>
      </w:r>
      <w:r w:rsidR="00BC7D18">
        <w:t xml:space="preserve">in the order of merit to each identified community until the notional allocation of $450,000 </w:t>
      </w:r>
      <w:r w:rsidR="00957057">
        <w:t xml:space="preserve">(GST exclusive) </w:t>
      </w:r>
      <w:r w:rsidR="00BC7D18">
        <w:t>is reached</w:t>
      </w:r>
      <w:r w:rsidR="002306D9">
        <w:t xml:space="preserve"> for each community</w:t>
      </w:r>
      <w:r w:rsidR="00612597">
        <w:t>.</w:t>
      </w:r>
    </w:p>
    <w:p w14:paraId="580A16B0" w14:textId="5D2E0C89" w:rsidR="00BC7D18" w:rsidRPr="005250EA" w:rsidRDefault="00BC7D18" w:rsidP="008C1298">
      <w:pPr>
        <w:pStyle w:val="ListBullet"/>
        <w:numPr>
          <w:ilvl w:val="0"/>
          <w:numId w:val="42"/>
        </w:numPr>
      </w:pPr>
      <w:r w:rsidRPr="005250EA">
        <w:t xml:space="preserve">Phase </w:t>
      </w:r>
      <w:r w:rsidR="003F5003" w:rsidRPr="005250EA">
        <w:t>3</w:t>
      </w:r>
      <w:r w:rsidRPr="005250EA">
        <w:t xml:space="preserve">: assigning remaining funding available after phase two to the highest ranked projects </w:t>
      </w:r>
      <w:r w:rsidR="00B928B6" w:rsidRPr="005250EA">
        <w:t xml:space="preserve">according to </w:t>
      </w:r>
      <w:r w:rsidR="00D90005" w:rsidRPr="005250EA">
        <w:t>the order of merit</w:t>
      </w:r>
      <w:r w:rsidR="00B928B6" w:rsidRPr="005250EA">
        <w:t>,</w:t>
      </w:r>
      <w:r w:rsidR="00D90005" w:rsidRPr="005250EA">
        <w:t xml:space="preserve"> </w:t>
      </w:r>
      <w:r w:rsidRPr="005250EA">
        <w:t>until available prog</w:t>
      </w:r>
      <w:r w:rsidR="000269EC" w:rsidRPr="005250EA">
        <w:t>ram funding has been exhausted and all notional allocations have been met.</w:t>
      </w:r>
    </w:p>
    <w:p w14:paraId="16154EA2" w14:textId="6A1F38E7" w:rsidR="00BC7D18" w:rsidRDefault="00BC7D18" w:rsidP="00B50162">
      <w:r>
        <w:t xml:space="preserve">Applicants should note this process means there is a low probability that projects over $450,000 </w:t>
      </w:r>
      <w:r w:rsidR="00957057">
        <w:t xml:space="preserve">(GST exclusive) </w:t>
      </w:r>
      <w:proofErr w:type="gramStart"/>
      <w:r>
        <w:t>will be recommended</w:t>
      </w:r>
      <w:proofErr w:type="gramEnd"/>
      <w:r>
        <w:t xml:space="preserve"> for funding. Applicants should consider splitting projects into separate applications where appropriate and clearly indicat</w:t>
      </w:r>
      <w:r w:rsidR="00D90005">
        <w:t>e</w:t>
      </w:r>
      <w:r>
        <w:t xml:space="preserve"> </w:t>
      </w:r>
      <w:r w:rsidR="00D90005">
        <w:t xml:space="preserve">the organisation’s priority for funding each of those </w:t>
      </w:r>
      <w:r>
        <w:t>application</w:t>
      </w:r>
      <w:r w:rsidR="00D90005">
        <w:t>s</w:t>
      </w:r>
      <w:r>
        <w:t xml:space="preserve">. </w:t>
      </w:r>
    </w:p>
    <w:p w14:paraId="4A765785" w14:textId="40F424A3" w:rsidR="00BC7D18" w:rsidRDefault="00BC7D18" w:rsidP="00B50162">
      <w:r>
        <w:t xml:space="preserve">Applicants should also note that the </w:t>
      </w:r>
      <w:r w:rsidR="00191523">
        <w:t>selection advisory panel</w:t>
      </w:r>
      <w:r w:rsidR="00A13542">
        <w:t xml:space="preserve"> </w:t>
      </w:r>
      <w:proofErr w:type="gramStart"/>
      <w:r>
        <w:t>may</w:t>
      </w:r>
      <w:proofErr w:type="gramEnd"/>
      <w:r>
        <w:t xml:space="preserve"> recommend </w:t>
      </w:r>
      <w:r w:rsidR="00D90005">
        <w:t>a lower amount of</w:t>
      </w:r>
      <w:r>
        <w:t xml:space="preserve"> funding </w:t>
      </w:r>
      <w:r w:rsidR="00D90005">
        <w:t xml:space="preserve">for projects </w:t>
      </w:r>
      <w:r>
        <w:t>to the decision maker</w:t>
      </w:r>
      <w:r w:rsidR="00D90005">
        <w:t>,</w:t>
      </w:r>
      <w:r>
        <w:t xml:space="preserve"> in order to maximise the number of projects </w:t>
      </w:r>
      <w:r w:rsidR="00DF5FA2">
        <w:t xml:space="preserve">to be funded </w:t>
      </w:r>
      <w:r w:rsidR="00D90005">
        <w:t xml:space="preserve">and maximise the </w:t>
      </w:r>
      <w:r>
        <w:t>number of communities</w:t>
      </w:r>
      <w:r w:rsidR="00D90005">
        <w:t xml:space="preserve"> with projects</w:t>
      </w:r>
      <w:r>
        <w:t>.</w:t>
      </w:r>
      <w:r w:rsidR="00E131AE">
        <w:t xml:space="preserve"> The </w:t>
      </w:r>
      <w:r w:rsidR="00191523">
        <w:t>selection advisory panel</w:t>
      </w:r>
      <w:r w:rsidR="00A13542">
        <w:t xml:space="preserve"> </w:t>
      </w:r>
      <w:r w:rsidR="00E131AE">
        <w:t xml:space="preserve">may also recommend additional value </w:t>
      </w:r>
      <w:r w:rsidR="00B928B6">
        <w:t xml:space="preserve">with relevant </w:t>
      </w:r>
      <w:r w:rsidR="00E131AE">
        <w:t xml:space="preserve">money projects </w:t>
      </w:r>
      <w:r w:rsidR="00D90005">
        <w:t xml:space="preserve">from the order of merit </w:t>
      </w:r>
      <w:r w:rsidR="00E131AE">
        <w:t xml:space="preserve">to the decision maker for future funding if additional funding beyond the $15 million </w:t>
      </w:r>
      <w:r w:rsidR="00957057">
        <w:t xml:space="preserve">(GST exclusive) </w:t>
      </w:r>
      <w:r w:rsidR="00E131AE">
        <w:t>allocated to Round 2 of the program become</w:t>
      </w:r>
      <w:r w:rsidR="00D90005">
        <w:t>s</w:t>
      </w:r>
      <w:r w:rsidR="00E131AE">
        <w:t xml:space="preserve"> available.</w:t>
      </w:r>
    </w:p>
    <w:p w14:paraId="5AABA238" w14:textId="1AFB82A2" w:rsidR="000D19F9" w:rsidRPr="00ED3649" w:rsidRDefault="000D19F9" w:rsidP="007B6165">
      <w:r w:rsidRPr="007B6165">
        <w:t xml:space="preserve">The </w:t>
      </w:r>
      <w:r w:rsidR="00191523">
        <w:t>selection advisory panel</w:t>
      </w:r>
      <w:r w:rsidR="007B6165" w:rsidRPr="007B6165">
        <w:t xml:space="preserve"> will comprise d</w:t>
      </w:r>
      <w:r w:rsidRPr="007B6165">
        <w:t>epartmental officers, one (or more) economic development exper</w:t>
      </w:r>
      <w:r w:rsidR="007B6165" w:rsidRPr="007B6165">
        <w:t>t(s), and other members at the d</w:t>
      </w:r>
      <w:r w:rsidRPr="007B6165">
        <w:t>epartment’s discretion.</w:t>
      </w:r>
      <w:r w:rsidR="007B6165" w:rsidRPr="007B6165">
        <w:t xml:space="preserve"> </w:t>
      </w:r>
      <w:r w:rsidR="007B6165">
        <w:t xml:space="preserve">Panel </w:t>
      </w:r>
      <w:r w:rsidR="00B73DB1">
        <w:t>m</w:t>
      </w:r>
      <w:r w:rsidR="007B6165">
        <w:t>embers will undertake training to ensure consistent assessment of all applications.</w:t>
      </w:r>
      <w:r w:rsidRPr="007B6165">
        <w:t xml:space="preserve"> During consideration of proposals, </w:t>
      </w:r>
      <w:r w:rsidR="00B928B6">
        <w:t xml:space="preserve">the </w:t>
      </w:r>
      <w:r w:rsidR="00191523">
        <w:t>selection advisory panel</w:t>
      </w:r>
      <w:r w:rsidR="00B928B6" w:rsidRPr="007B6165">
        <w:t xml:space="preserve"> </w:t>
      </w:r>
      <w:r w:rsidRPr="007B6165">
        <w:t>may seek external advice on any aspect of a proposal to inform the assessment process</w:t>
      </w:r>
      <w:r w:rsidR="00B928B6">
        <w:t>,</w:t>
      </w:r>
      <w:r w:rsidRPr="007B6165">
        <w:t xml:space="preserve"> including from relevant local government agencies, state governments and/or the Australian Local Government Association. </w:t>
      </w:r>
    </w:p>
    <w:p w14:paraId="131B5855" w14:textId="69F77E82" w:rsidR="00B50162" w:rsidRPr="00E60699" w:rsidRDefault="00B50162" w:rsidP="00B50162">
      <w:pPr>
        <w:rPr>
          <w:rFonts w:cs="Arial"/>
          <w:iCs/>
          <w:color w:val="000000" w:themeColor="text1"/>
        </w:rPr>
      </w:pPr>
      <w:r>
        <w:t xml:space="preserve">Any expert/advisor, </w:t>
      </w:r>
      <w:r w:rsidR="00B928B6">
        <w:t>including</w:t>
      </w:r>
      <w:r>
        <w:t xml:space="preserve"> Commonwealth Official</w:t>
      </w:r>
      <w:r w:rsidR="00B928B6">
        <w:t>s</w:t>
      </w:r>
      <w:r>
        <w:t xml:space="preserve">, will be required/expected to perform their duties in accordance with the </w:t>
      </w:r>
      <w:hyperlink r:id="rId33" w:history="1">
        <w:r w:rsidR="001C428F" w:rsidRPr="000633FD" w:rsidDel="00457E6C">
          <w:rPr>
            <w:rStyle w:val="Hyperlink"/>
          </w:rPr>
          <w:t>CG</w:t>
        </w:r>
        <w:r w:rsidR="001C428F" w:rsidRPr="000633FD" w:rsidDel="00457E6C">
          <w:rPr>
            <w:rStyle w:val="Hyperlink"/>
          </w:rPr>
          <w:t>R</w:t>
        </w:r>
        <w:r w:rsidR="001C428F" w:rsidRPr="000633FD" w:rsidDel="00457E6C">
          <w:rPr>
            <w:rStyle w:val="Hyperlink"/>
          </w:rPr>
          <w:t>Gs</w:t>
        </w:r>
        <w:r w:rsidRPr="000633FD">
          <w:rPr>
            <w:rStyle w:val="Hyperlink"/>
          </w:rPr>
          <w:t>.</w:t>
        </w:r>
      </w:hyperlink>
    </w:p>
    <w:p w14:paraId="1B1880B5" w14:textId="021E2587" w:rsidR="00B50162" w:rsidRDefault="00B50162" w:rsidP="00B50162">
      <w:pPr>
        <w:rPr>
          <w:rFonts w:ascii="Calibri" w:eastAsiaTheme="minorHAnsi" w:hAnsi="Calibri" w:cs="Calibri"/>
          <w:sz w:val="22"/>
          <w:szCs w:val="22"/>
        </w:rPr>
      </w:pPr>
      <w:r w:rsidRPr="00E60699">
        <w:rPr>
          <w:color w:val="000000" w:themeColor="text1"/>
        </w:rPr>
        <w:t xml:space="preserve">The </w:t>
      </w:r>
      <w:r w:rsidR="00191523">
        <w:t>selection advisory panel</w:t>
      </w:r>
      <w:r w:rsidR="00A13542">
        <w:t xml:space="preserve"> </w:t>
      </w:r>
      <w:r w:rsidRPr="00E60699">
        <w:rPr>
          <w:color w:val="000000" w:themeColor="text1"/>
        </w:rPr>
        <w:t xml:space="preserve">may seek additional </w:t>
      </w:r>
      <w:r>
        <w:t xml:space="preserve">information about you or your application and this may delay completion of the selection process. </w:t>
      </w:r>
      <w:r w:rsidR="00B928B6">
        <w:t xml:space="preserve">It </w:t>
      </w:r>
      <w:r>
        <w:t xml:space="preserve">may do this from within the Commonwealth, even if </w:t>
      </w:r>
      <w:proofErr w:type="gramStart"/>
      <w:r>
        <w:t>the sources are not nominated by you</w:t>
      </w:r>
      <w:proofErr w:type="gramEnd"/>
      <w:r>
        <w:t xml:space="preserve"> as referees. The </w:t>
      </w:r>
      <w:r w:rsidR="00191523">
        <w:t>selection advisory panel</w:t>
      </w:r>
      <w:r w:rsidR="00612597">
        <w:t xml:space="preserve"> </w:t>
      </w:r>
      <w:r>
        <w:t>may also consider information about you or your application that is available through the normal course of business.</w:t>
      </w:r>
    </w:p>
    <w:p w14:paraId="160E72B4" w14:textId="4CE06F02" w:rsidR="00B50162" w:rsidRDefault="00B50162" w:rsidP="00B50162">
      <w:r>
        <w:t xml:space="preserve">The </w:t>
      </w:r>
      <w:r w:rsidR="00191523">
        <w:t>selection advisory panel</w:t>
      </w:r>
      <w:r w:rsidR="00A13542">
        <w:t xml:space="preserve"> </w:t>
      </w:r>
      <w:r>
        <w:t xml:space="preserve">recommends </w:t>
      </w:r>
      <w:r w:rsidR="00B928B6">
        <w:t xml:space="preserve">grant applications </w:t>
      </w:r>
      <w:r>
        <w:t xml:space="preserve">to the decision maker </w:t>
      </w:r>
      <w:r w:rsidR="00B928B6">
        <w:t>for</w:t>
      </w:r>
      <w:r>
        <w:t xml:space="preserve"> </w:t>
      </w:r>
      <w:r w:rsidR="00B928B6">
        <w:t>approval</w:t>
      </w:r>
      <w:r>
        <w:t>.</w:t>
      </w:r>
    </w:p>
    <w:p w14:paraId="435319CA" w14:textId="77777777" w:rsidR="00C157E9" w:rsidRDefault="00C157E9" w:rsidP="00A8702B">
      <w:pPr>
        <w:pStyle w:val="Heading3"/>
      </w:pPr>
      <w:bookmarkStart w:id="93" w:name="_Toc17704023"/>
      <w:r>
        <w:t>Who will approve grants?</w:t>
      </w:r>
      <w:bookmarkEnd w:id="93"/>
    </w:p>
    <w:p w14:paraId="66112F46" w14:textId="590F6CFA" w:rsidR="00C157E9" w:rsidRDefault="00C157E9" w:rsidP="00C157E9">
      <w:r>
        <w:t>The</w:t>
      </w:r>
      <w:r w:rsidR="00AA2994">
        <w:t xml:space="preserve"> </w:t>
      </w:r>
      <w:r w:rsidR="00BC7D18">
        <w:t>Minister for Water Resources, Drought,</w:t>
      </w:r>
      <w:r w:rsidR="00844D61">
        <w:t xml:space="preserve"> Rural Finance, Natural Disaster and Emergency Management</w:t>
      </w:r>
      <w:r w:rsidR="002B5733" w:rsidRPr="00A65BDC">
        <w:rPr>
          <w:iCs/>
          <w:color w:val="0070C0"/>
        </w:rPr>
        <w:t xml:space="preserve"> </w:t>
      </w:r>
      <w:r w:rsidR="004F222D">
        <w:rPr>
          <w:iCs/>
        </w:rPr>
        <w:t>(the decision m</w:t>
      </w:r>
      <w:r w:rsidR="008D34C3" w:rsidRPr="008D34C3">
        <w:rPr>
          <w:iCs/>
        </w:rPr>
        <w:t xml:space="preserve">aker) </w:t>
      </w:r>
      <w:r w:rsidR="002B5733">
        <w:t>d</w:t>
      </w:r>
      <w:r>
        <w:t xml:space="preserve">ecides which grants to approve </w:t>
      </w:r>
      <w:r w:rsidR="004F222D">
        <w:t>based on</w:t>
      </w:r>
      <w:r>
        <w:t xml:space="preserve"> the recommendations of the </w:t>
      </w:r>
      <w:r w:rsidR="00191523">
        <w:t>selection advisory panel</w:t>
      </w:r>
      <w:r w:rsidR="00A13542">
        <w:t xml:space="preserve"> </w:t>
      </w:r>
      <w:r>
        <w:t>and the availability of grant funds</w:t>
      </w:r>
      <w:r w:rsidR="00BB272F">
        <w:t xml:space="preserve"> for the purposes of the </w:t>
      </w:r>
      <w:r w:rsidR="00090431">
        <w:t xml:space="preserve">grant </w:t>
      </w:r>
      <w:r w:rsidR="00BB272F">
        <w:t>program</w:t>
      </w:r>
      <w:r>
        <w:t>.</w:t>
      </w:r>
    </w:p>
    <w:p w14:paraId="3C4F88EA" w14:textId="69D9181D"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A85227">
        <w:t xml:space="preserve"> the</w:t>
      </w:r>
      <w:r w:rsidRPr="00103A95">
        <w:t>:</w:t>
      </w:r>
    </w:p>
    <w:p w14:paraId="524455D8" w14:textId="5ED1B9CE" w:rsidR="00C157E9" w:rsidRPr="00103A95" w:rsidRDefault="00C157E9" w:rsidP="00C157E9">
      <w:pPr>
        <w:pStyle w:val="ListBullet"/>
      </w:pPr>
      <w:r w:rsidRPr="00103A95">
        <w:t>approval of the grant</w:t>
      </w:r>
    </w:p>
    <w:p w14:paraId="229E1B55" w14:textId="02B4AE59" w:rsidR="00C157E9" w:rsidRPr="00103A95" w:rsidRDefault="00C157E9" w:rsidP="00C157E9">
      <w:pPr>
        <w:pStyle w:val="ListBullet"/>
      </w:pPr>
      <w:proofErr w:type="gramStart"/>
      <w:r w:rsidRPr="00103A95">
        <w:t>grant</w:t>
      </w:r>
      <w:proofErr w:type="gramEnd"/>
      <w:r w:rsidRPr="00103A95">
        <w:t xml:space="preserve"> funding amount to be awarded</w:t>
      </w:r>
      <w:r w:rsidR="008C748F">
        <w:t>.</w:t>
      </w:r>
    </w:p>
    <w:p w14:paraId="268B59E2" w14:textId="77777777" w:rsidR="00E459C5" w:rsidRPr="00103A95" w:rsidRDefault="00E459C5" w:rsidP="00181A24">
      <w:pPr>
        <w:pStyle w:val="ListBullet"/>
        <w:numPr>
          <w:ilvl w:val="0"/>
          <w:numId w:val="0"/>
        </w:numPr>
      </w:pPr>
      <w:r>
        <w:t>There is no appeal mechanism for decisions to approve or not approve a grant.</w:t>
      </w:r>
    </w:p>
    <w:p w14:paraId="4B03E9F3" w14:textId="77777777" w:rsidR="00DB5819" w:rsidRDefault="00FB0C71" w:rsidP="009668F6">
      <w:pPr>
        <w:pStyle w:val="Heading2"/>
      </w:pPr>
      <w:bookmarkStart w:id="94" w:name="_Toc17704024"/>
      <w:r>
        <w:t>Notification of application outcomes</w:t>
      </w:r>
      <w:bookmarkEnd w:id="94"/>
    </w:p>
    <w:p w14:paraId="7032E79D" w14:textId="59B48F17"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proofErr w:type="gramStart"/>
      <w:r w:rsidR="0062051D">
        <w:t>will be</w:t>
      </w:r>
      <w:r w:rsidR="00272178">
        <w:t xml:space="preserve"> advise</w:t>
      </w:r>
      <w:r w:rsidR="00A65BDC">
        <w:t>d</w:t>
      </w:r>
      <w:proofErr w:type="gramEnd"/>
      <w:r w:rsidR="00272178">
        <w:t xml:space="preserve"> </w:t>
      </w:r>
      <w:r w:rsidR="00B928B6">
        <w:t>if</w:t>
      </w:r>
      <w:r w:rsidR="00B928B6" w:rsidRPr="00C25555">
        <w:t xml:space="preserve"> </w:t>
      </w:r>
      <w:r w:rsidR="00FB0C71" w:rsidRPr="00C25555">
        <w:t xml:space="preserve">any </w:t>
      </w:r>
      <w:r w:rsidR="00FB0C71" w:rsidRPr="00B72EE8">
        <w:t xml:space="preserve">specific conditions </w:t>
      </w:r>
      <w:r w:rsidR="00B928B6">
        <w:t xml:space="preserve">are </w:t>
      </w:r>
      <w:r w:rsidR="00FB0C71" w:rsidRPr="00B72EE8">
        <w:t xml:space="preserve">attached to the </w:t>
      </w:r>
      <w:r w:rsidR="00FB0C71">
        <w:t>grant</w:t>
      </w:r>
      <w:r w:rsidR="00FB0C71" w:rsidRPr="00B72EE8">
        <w:t xml:space="preserve">. </w:t>
      </w:r>
    </w:p>
    <w:p w14:paraId="6BEC7828" w14:textId="77777777" w:rsidR="00FB0C71" w:rsidRDefault="00FB0C71" w:rsidP="00A8702B">
      <w:pPr>
        <w:pStyle w:val="Heading3"/>
      </w:pPr>
      <w:bookmarkStart w:id="95" w:name="_Toc17704025"/>
      <w:r w:rsidRPr="00FB0C71">
        <w:lastRenderedPageBreak/>
        <w:t>Feedback on your application</w:t>
      </w:r>
      <w:bookmarkEnd w:id="95"/>
    </w:p>
    <w:p w14:paraId="4E77C10F" w14:textId="7EE2415D" w:rsidR="00842A08" w:rsidRPr="00842A08" w:rsidRDefault="00842A08" w:rsidP="00FB0C71">
      <w:r>
        <w:t xml:space="preserve">A </w:t>
      </w:r>
      <w:r w:rsidRPr="006734C3">
        <w:t>Feedback Summary</w:t>
      </w:r>
      <w:r>
        <w:t xml:space="preserve"> </w:t>
      </w:r>
      <w:proofErr w:type="gramStart"/>
      <w:r>
        <w:t>will be published</w:t>
      </w:r>
      <w:proofErr w:type="gramEnd"/>
      <w:r>
        <w:t xml:space="preserve"> on the Community Grants Hub website to provide all organisations with easy access to information about the grant selection process and the main strengths and areas for improving applications.</w:t>
      </w:r>
    </w:p>
    <w:p w14:paraId="69CA75C3" w14:textId="48F28F16" w:rsidR="003349F3" w:rsidRPr="00523F5A" w:rsidRDefault="003349F3" w:rsidP="00FB0C71">
      <w:pPr>
        <w:rPr>
          <w:color w:val="000000" w:themeColor="text1"/>
        </w:rPr>
      </w:pPr>
      <w:r w:rsidRPr="00523F5A">
        <w:rPr>
          <w:color w:val="000000" w:themeColor="text1"/>
        </w:rPr>
        <w:t xml:space="preserve">Individual feedback will be available. The process for requesting individual feedback will be included in the letter advising the outcome of your application. </w:t>
      </w:r>
    </w:p>
    <w:p w14:paraId="1714B4F3" w14:textId="77777777" w:rsidR="00DB5819" w:rsidRDefault="00FB0C71" w:rsidP="009668F6">
      <w:pPr>
        <w:pStyle w:val="Heading2"/>
      </w:pPr>
      <w:bookmarkStart w:id="96" w:name="_Toc525295546"/>
      <w:bookmarkStart w:id="97" w:name="_Toc525552144"/>
      <w:bookmarkStart w:id="98" w:name="_Toc525722844"/>
      <w:bookmarkStart w:id="99" w:name="_Toc17704026"/>
      <w:bookmarkEnd w:id="96"/>
      <w:bookmarkEnd w:id="97"/>
      <w:bookmarkEnd w:id="98"/>
      <w:r>
        <w:t>Successful grant applications</w:t>
      </w:r>
      <w:bookmarkEnd w:id="99"/>
    </w:p>
    <w:p w14:paraId="106E9277" w14:textId="77777777" w:rsidR="00FB0C71" w:rsidRPr="00FB0C71" w:rsidRDefault="00FB0C71" w:rsidP="00A8702B">
      <w:pPr>
        <w:pStyle w:val="Heading3"/>
      </w:pPr>
      <w:bookmarkStart w:id="100" w:name="_Toc17704027"/>
      <w:r>
        <w:t>The grant agreement</w:t>
      </w:r>
      <w:bookmarkEnd w:id="100"/>
    </w:p>
    <w:p w14:paraId="7CF59DF1" w14:textId="482F81C9" w:rsidR="000A4D8A" w:rsidRDefault="0000694F" w:rsidP="00756BBB">
      <w:bookmarkStart w:id="101" w:name="_Toc466898121"/>
      <w:bookmarkEnd w:id="80"/>
      <w:bookmarkEnd w:id="81"/>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705C93">
        <w:t>We</w:t>
      </w:r>
      <w:r w:rsidR="00961BC2">
        <w:t xml:space="preserve"> </w:t>
      </w:r>
      <w:r w:rsidR="00DA3DCF">
        <w:t>will offer successful applicants</w:t>
      </w:r>
      <w:r w:rsidR="00CA3900">
        <w:t xml:space="preserve"> a</w:t>
      </w:r>
      <w:r w:rsidR="000D0A9A">
        <w:t xml:space="preserve"> </w:t>
      </w:r>
      <w:r w:rsidR="0091398D">
        <w:t xml:space="preserve">Commonwealth </w:t>
      </w:r>
      <w:r w:rsidR="00381648" w:rsidRPr="00523F5A">
        <w:rPr>
          <w:color w:val="000000" w:themeColor="text1"/>
        </w:rPr>
        <w:t>S</w:t>
      </w:r>
      <w:r w:rsidR="001A6742" w:rsidRPr="00523F5A">
        <w:rPr>
          <w:color w:val="000000" w:themeColor="text1"/>
        </w:rPr>
        <w:t>tandard</w:t>
      </w:r>
      <w:r w:rsidR="00381648" w:rsidRPr="00523F5A">
        <w:rPr>
          <w:color w:val="000000" w:themeColor="text1"/>
        </w:rPr>
        <w:t xml:space="preserve"> Grant Agreement </w:t>
      </w:r>
      <w:r w:rsidR="00DA3DCF">
        <w:t>for</w:t>
      </w:r>
      <w:r w:rsidR="00A51A3F">
        <w:t xml:space="preserve"> </w:t>
      </w:r>
      <w:r w:rsidR="00B65B88">
        <w:t>this</w:t>
      </w:r>
      <w:r w:rsidR="00A51A3F">
        <w:t xml:space="preserve"> </w:t>
      </w:r>
      <w:r w:rsidR="00DA3DCF">
        <w:t>grant opportunity.</w:t>
      </w:r>
    </w:p>
    <w:p w14:paraId="75B92806" w14:textId="491DA59A" w:rsidR="00756BBB" w:rsidRPr="007B4969" w:rsidRDefault="0028277B" w:rsidP="00756BBB">
      <w:r>
        <w:t xml:space="preserve">Each </w:t>
      </w:r>
      <w:r w:rsidR="005C08AF">
        <w:t xml:space="preserve">grant </w:t>
      </w:r>
      <w:r w:rsidR="00AE3DAF">
        <w:t>a</w:t>
      </w:r>
      <w:r>
        <w:t xml:space="preserve">greement has </w:t>
      </w:r>
      <w:r w:rsidR="00F4677D">
        <w:t>general</w:t>
      </w:r>
      <w:r w:rsidR="00FE3713">
        <w:t>/standard</w:t>
      </w:r>
      <w:r w:rsidR="00F4677D">
        <w:t xml:space="preserve"> </w:t>
      </w:r>
      <w:r w:rsidR="00AE3DAF">
        <w:t>g</w:t>
      </w:r>
      <w:r w:rsidR="00FE3713">
        <w:t>rant</w:t>
      </w:r>
      <w:r>
        <w:t xml:space="preserve"> </w:t>
      </w:r>
      <w:r w:rsidR="00AE3DAF">
        <w:t>c</w:t>
      </w:r>
      <w:r>
        <w:t xml:space="preserve">onditions that </w:t>
      </w:r>
      <w:proofErr w:type="gramStart"/>
      <w:r>
        <w:t>cannot be changed</w:t>
      </w:r>
      <w:proofErr w:type="gramEnd"/>
      <w:r>
        <w:t>.</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hyperlink r:id="rId34" w:history="1">
        <w:r w:rsidR="00B928B6" w:rsidRPr="00221667">
          <w:rPr>
            <w:rStyle w:val="Hyperlink"/>
          </w:rPr>
          <w:t>GrantConnect</w:t>
        </w:r>
      </w:hyperlink>
      <w:r w:rsidR="00B928B6" w:rsidRPr="00221667">
        <w:t xml:space="preserve"> and </w:t>
      </w:r>
      <w:hyperlink r:id="rId35" w:history="1">
        <w:r w:rsidR="00B928B6" w:rsidRPr="00221667">
          <w:rPr>
            <w:rStyle w:val="Hyperlink"/>
          </w:rPr>
          <w:t>Community Grants Hub</w:t>
        </w:r>
      </w:hyperlink>
      <w:r w:rsidR="00B928B6">
        <w:rPr>
          <w:rStyle w:val="Hyperlink"/>
          <w:color w:val="000000" w:themeColor="text1"/>
          <w:u w:val="none"/>
        </w:rPr>
        <w:t xml:space="preserve"> </w:t>
      </w:r>
      <w:r w:rsidR="00A51A3F" w:rsidRPr="00523F5A">
        <w:t>websites</w:t>
      </w:r>
      <w:r w:rsidR="0086382B">
        <w:t xml:space="preserve"> </w:t>
      </w:r>
      <w:r w:rsidR="002F7E8A">
        <w:t>as part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5B416996" w14:textId="77777777" w:rsidR="00756BBB" w:rsidRPr="00523F5A" w:rsidRDefault="00705C93" w:rsidP="00756BBB">
      <w:pPr>
        <w:rPr>
          <w:color w:val="000000" w:themeColor="text1"/>
        </w:rPr>
      </w:pPr>
      <w:r>
        <w:t>We</w:t>
      </w:r>
      <w:r w:rsidR="00EE739C" w:rsidRPr="00EE739C">
        <w:rPr>
          <w:color w:val="0070C0"/>
        </w:rPr>
        <w:t xml:space="preserve"> </w:t>
      </w:r>
      <w:r w:rsidR="00756BBB">
        <w:t xml:space="preserve">must execute a </w:t>
      </w:r>
      <w:r w:rsidR="00AE3DAF" w:rsidRPr="00AE3DAF">
        <w:t>grant agreement</w:t>
      </w:r>
      <w:r w:rsidR="00320EA3">
        <w:t xml:space="preserve"> </w:t>
      </w:r>
      <w:r w:rsidR="00756BBB">
        <w:t xml:space="preserve">with you before we can make any payments. </w:t>
      </w:r>
      <w:r>
        <w:t>We are</w:t>
      </w:r>
      <w:r w:rsidR="00756BBB">
        <w:t xml:space="preserve"> not responsible for any of your</w:t>
      </w:r>
      <w:r w:rsidR="00CD5027">
        <w:t xml:space="preserve"> </w:t>
      </w:r>
      <w:r w:rsidR="00756BBB">
        <w:t xml:space="preserve">expenditure until a </w:t>
      </w:r>
      <w:r w:rsidR="00AE3DAF" w:rsidRPr="00AE3DAF">
        <w:t>grant agreement</w:t>
      </w:r>
      <w:r w:rsidR="00320EA3">
        <w:t xml:space="preserve"> </w:t>
      </w:r>
      <w:proofErr w:type="gramStart"/>
      <w:r w:rsidR="00AC289B">
        <w:t>is executed</w:t>
      </w:r>
      <w:proofErr w:type="gramEnd"/>
      <w:r w:rsidR="00AC289B" w:rsidRPr="00523F5A">
        <w:rPr>
          <w:color w:val="000000" w:themeColor="text1"/>
        </w:rPr>
        <w:t>.</w:t>
      </w:r>
      <w:r w:rsidR="00756BBB" w:rsidRPr="00523F5A">
        <w:rPr>
          <w:color w:val="000000" w:themeColor="text1"/>
        </w:rPr>
        <w:t xml:space="preserve"> </w:t>
      </w:r>
    </w:p>
    <w:p w14:paraId="777C7F9F" w14:textId="782CA42E" w:rsidR="00756BBB" w:rsidRDefault="009D51CA" w:rsidP="00756BBB">
      <w:r>
        <w:t xml:space="preserve">Your </w:t>
      </w:r>
      <w:r w:rsidR="00AE3DAF" w:rsidRPr="00AE3DAF">
        <w:t>grant agreement</w:t>
      </w:r>
      <w:r w:rsidR="00320EA3">
        <w:t xml:space="preserve"> </w:t>
      </w:r>
      <w:r w:rsidR="00756BBB">
        <w:t xml:space="preserve">may have specific conditions determined by the assessment process or other considerations made by </w:t>
      </w:r>
      <w:r w:rsidR="00756BBB" w:rsidRPr="00523F5A">
        <w:rPr>
          <w:color w:val="000000" w:themeColor="text1"/>
        </w:rPr>
        <w:t>the</w:t>
      </w:r>
      <w:r w:rsidR="00916B94" w:rsidRPr="00523F5A">
        <w:rPr>
          <w:color w:val="000000" w:themeColor="text1"/>
        </w:rPr>
        <w:t xml:space="preserve"> </w:t>
      </w:r>
      <w:r w:rsidR="004712C0" w:rsidRPr="00523F5A">
        <w:rPr>
          <w:color w:val="000000" w:themeColor="text1"/>
        </w:rPr>
        <w:t>decision maker</w:t>
      </w:r>
      <w:r w:rsidR="00756BBB" w:rsidRPr="00523F5A">
        <w:rPr>
          <w:color w:val="000000" w:themeColor="text1"/>
        </w:rPr>
        <w:t xml:space="preserve">. </w:t>
      </w:r>
      <w:r w:rsidR="004712C0">
        <w:t>These</w:t>
      </w:r>
      <w:r w:rsidR="00756BBB">
        <w:t xml:space="preserve"> </w:t>
      </w:r>
      <w:proofErr w:type="gramStart"/>
      <w:r w:rsidR="00B928B6">
        <w:t xml:space="preserve">will be </w:t>
      </w:r>
      <w:r w:rsidR="00756BBB">
        <w:t>identif</w:t>
      </w:r>
      <w:r w:rsidR="00FE3713">
        <w:t>ied</w:t>
      </w:r>
      <w:proofErr w:type="gramEnd"/>
      <w:r w:rsidR="00756BBB">
        <w:t xml:space="preserve"> in the </w:t>
      </w:r>
      <w:r w:rsidR="005C08AF">
        <w:t xml:space="preserve">grant </w:t>
      </w:r>
      <w:r w:rsidR="00AE3DAF">
        <w:t>a</w:t>
      </w:r>
      <w:r>
        <w:t>greement</w:t>
      </w:r>
      <w:r w:rsidR="00756BBB">
        <w:t xml:space="preserve">. </w:t>
      </w:r>
    </w:p>
    <w:p w14:paraId="7E38F8AF" w14:textId="77777777" w:rsidR="00756BBB" w:rsidRDefault="00756BBB" w:rsidP="00756BBB">
      <w:r>
        <w:t xml:space="preserve">The Commonwealth may recover grant funds if there is a breach of the </w:t>
      </w:r>
      <w:r w:rsidR="00AE3DAF" w:rsidRPr="00AE3DAF">
        <w:t>grant agreement</w:t>
      </w:r>
      <w:r>
        <w:t>.</w:t>
      </w:r>
    </w:p>
    <w:p w14:paraId="6AA95093" w14:textId="77777777" w:rsidR="00756BBB" w:rsidRPr="00F1569F" w:rsidRDefault="00381648" w:rsidP="009E283B">
      <w:pPr>
        <w:rPr>
          <w:b/>
        </w:rPr>
      </w:pPr>
      <w:bookmarkStart w:id="102" w:name="_Toc468693652"/>
      <w:r w:rsidRPr="00F1569F">
        <w:rPr>
          <w:b/>
        </w:rPr>
        <w:t xml:space="preserve">Commonwealth </w:t>
      </w:r>
      <w:r w:rsidR="00D242BE" w:rsidRPr="00523F5A">
        <w:rPr>
          <w:b/>
          <w:color w:val="000000" w:themeColor="text1"/>
        </w:rPr>
        <w:t>Standard</w:t>
      </w:r>
      <w:r w:rsidR="00756BBB" w:rsidRPr="00523F5A">
        <w:rPr>
          <w:b/>
          <w:color w:val="000000" w:themeColor="text1"/>
        </w:rPr>
        <w:t xml:space="preserve"> </w:t>
      </w:r>
      <w:r w:rsidR="00CE01EF" w:rsidRPr="00F1569F">
        <w:rPr>
          <w:b/>
        </w:rPr>
        <w:t>G</w:t>
      </w:r>
      <w:r w:rsidR="00756BBB" w:rsidRPr="00F1569F">
        <w:rPr>
          <w:b/>
        </w:rPr>
        <w:t xml:space="preserve">rant </w:t>
      </w:r>
      <w:r w:rsidR="005163DB" w:rsidRPr="00F1569F">
        <w:rPr>
          <w:b/>
        </w:rPr>
        <w:t>A</w:t>
      </w:r>
      <w:r w:rsidR="00756BBB" w:rsidRPr="00F1569F">
        <w:rPr>
          <w:b/>
        </w:rPr>
        <w:t>greement</w:t>
      </w:r>
      <w:bookmarkEnd w:id="102"/>
      <w:r w:rsidR="002D13CB" w:rsidRPr="00F1569F">
        <w:rPr>
          <w:b/>
        </w:rPr>
        <w:t xml:space="preserve"> </w:t>
      </w:r>
    </w:p>
    <w:p w14:paraId="7C85131B" w14:textId="3C9C97A5" w:rsidR="00756BBB" w:rsidRPr="005E5DCD" w:rsidRDefault="00705C93" w:rsidP="00BC16E5">
      <w:r>
        <w:rPr>
          <w:iCs/>
        </w:rPr>
        <w:t>We</w:t>
      </w:r>
      <w:r w:rsidR="004712C0" w:rsidRPr="00F1569F">
        <w:rPr>
          <w:iCs/>
          <w:color w:val="548DD4" w:themeColor="text2" w:themeTint="99"/>
        </w:rPr>
        <w:t xml:space="preserve"> </w:t>
      </w:r>
      <w:r w:rsidR="00756BBB" w:rsidRPr="008B5C65">
        <w:rPr>
          <w:iCs/>
        </w:rPr>
        <w:t xml:space="preserve">will use a </w:t>
      </w:r>
      <w:r w:rsidR="00381648" w:rsidRPr="00F1569F">
        <w:rPr>
          <w:iCs/>
        </w:rPr>
        <w:t xml:space="preserve">Commonwealth </w:t>
      </w:r>
      <w:r w:rsidR="00D242BE" w:rsidRPr="00523F5A">
        <w:rPr>
          <w:iCs/>
          <w:color w:val="000000" w:themeColor="text1"/>
        </w:rPr>
        <w:t>Standard</w:t>
      </w:r>
      <w:r w:rsidR="00756BBB" w:rsidRPr="00523F5A">
        <w:rPr>
          <w:iCs/>
          <w:color w:val="000000" w:themeColor="text1"/>
        </w:rPr>
        <w:t xml:space="preserve"> </w:t>
      </w:r>
      <w:r w:rsidR="0091398D">
        <w:rPr>
          <w:iCs/>
        </w:rPr>
        <w:t>Grant A</w:t>
      </w:r>
      <w:r w:rsidR="00AE3DAF" w:rsidRPr="00AE3DAF">
        <w:rPr>
          <w:iCs/>
        </w:rPr>
        <w:t>greement</w:t>
      </w:r>
      <w:r w:rsidR="00D242BE" w:rsidRPr="00F1569F">
        <w:rPr>
          <w:iCs/>
        </w:rPr>
        <w:t>.</w:t>
      </w:r>
    </w:p>
    <w:p w14:paraId="183AEEBE" w14:textId="77BB225C" w:rsidR="005163DB" w:rsidRDefault="00756BBB" w:rsidP="00756BBB">
      <w:pPr>
        <w:rPr>
          <w:iCs/>
        </w:rPr>
      </w:pPr>
      <w:r w:rsidRPr="0001641E">
        <w:rPr>
          <w:iCs/>
        </w:rPr>
        <w:t xml:space="preserve">You will </w:t>
      </w:r>
      <w:r w:rsidRPr="00705C93">
        <w:rPr>
          <w:iCs/>
        </w:rPr>
        <w:t>have</w:t>
      </w:r>
      <w:r w:rsidR="00BA18AE">
        <w:rPr>
          <w:iCs/>
        </w:rPr>
        <w:t xml:space="preserve"> twenty (</w:t>
      </w:r>
      <w:r w:rsidR="00827752">
        <w:rPr>
          <w:iCs/>
        </w:rPr>
        <w:t>2</w:t>
      </w:r>
      <w:r w:rsidRPr="00705C93">
        <w:rPr>
          <w:iCs/>
        </w:rPr>
        <w:t>0</w:t>
      </w:r>
      <w:r w:rsidR="00BA18AE">
        <w:rPr>
          <w:iCs/>
        </w:rPr>
        <w:t>) business</w:t>
      </w:r>
      <w:r w:rsidRPr="00705C93">
        <w:rPr>
          <w:iCs/>
        </w:rPr>
        <w:t xml:space="preserve"> days from</w:t>
      </w:r>
      <w:r w:rsidRPr="0001641E">
        <w:rPr>
          <w:iCs/>
        </w:rPr>
        <w:t xml:space="preserve"> the date of a written offer to</w:t>
      </w:r>
      <w:r w:rsidR="00BA18AE">
        <w:rPr>
          <w:iCs/>
        </w:rPr>
        <w:t xml:space="preserve"> sign and return</w:t>
      </w:r>
      <w:r w:rsidRPr="0001641E">
        <w:rPr>
          <w:iCs/>
        </w:rPr>
        <w:t xml:space="preserve"> this </w:t>
      </w:r>
      <w:r w:rsidR="00AE3DAF" w:rsidRPr="00AE3DAF">
        <w:rPr>
          <w:iCs/>
        </w:rPr>
        <w:t>grant agreement</w:t>
      </w:r>
      <w:r w:rsidR="00BA18AE">
        <w:rPr>
          <w:iCs/>
        </w:rPr>
        <w:t xml:space="preserve">. The grant agreement </w:t>
      </w:r>
      <w:proofErr w:type="gramStart"/>
      <w:r w:rsidR="00BA18AE">
        <w:rPr>
          <w:iCs/>
        </w:rPr>
        <w:t>is not considered to be executed</w:t>
      </w:r>
      <w:proofErr w:type="gramEnd"/>
      <w:r w:rsidR="00BA18AE">
        <w:rPr>
          <w:iCs/>
        </w:rPr>
        <w:t xml:space="preserve"> until </w:t>
      </w:r>
      <w:r w:rsidRPr="0001641E">
        <w:rPr>
          <w:iCs/>
        </w:rPr>
        <w:t xml:space="preserve">both you and the Commonwealth have signed the </w:t>
      </w:r>
      <w:r w:rsidR="005C08AF">
        <w:rPr>
          <w:iCs/>
        </w:rPr>
        <w:t xml:space="preserve">grant </w:t>
      </w:r>
      <w:r w:rsidR="00AE3DAF">
        <w:rPr>
          <w:iCs/>
        </w:rPr>
        <w:t>a</w:t>
      </w:r>
      <w:r w:rsidR="00BA18AE">
        <w:rPr>
          <w:iCs/>
        </w:rPr>
        <w:t>greement</w:t>
      </w:r>
      <w:r w:rsidRPr="0001641E">
        <w:rPr>
          <w:iCs/>
        </w:rPr>
        <w:t xml:space="preserve">. During this time, </w:t>
      </w:r>
      <w:r w:rsidR="00705C93">
        <w:rPr>
          <w:iCs/>
        </w:rPr>
        <w:t xml:space="preserve">we </w:t>
      </w:r>
      <w:r w:rsidRPr="0001641E">
        <w:rPr>
          <w:iCs/>
        </w:rPr>
        <w:t xml:space="preserve">will work with you to finalise details. </w:t>
      </w:r>
    </w:p>
    <w:p w14:paraId="27E5B349" w14:textId="77777777"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321BBD34" w14:textId="77777777" w:rsidR="002A535A" w:rsidRDefault="002A535A" w:rsidP="00A8702B">
      <w:pPr>
        <w:pStyle w:val="Heading3"/>
      </w:pPr>
      <w:bookmarkStart w:id="103" w:name="_Toc17704028"/>
      <w:r>
        <w:t>Commonwealth Child Safe Framework</w:t>
      </w:r>
      <w:bookmarkEnd w:id="103"/>
      <w:r>
        <w:t xml:space="preserve"> </w:t>
      </w:r>
    </w:p>
    <w:p w14:paraId="6D364AE1" w14:textId="77777777" w:rsidR="002A535A" w:rsidRDefault="002A535A" w:rsidP="002A535A">
      <w:pPr>
        <w:spacing w:afterLines="120" w:after="288"/>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56E39585" w14:textId="77777777" w:rsidR="002A535A" w:rsidRDefault="002A535A" w:rsidP="002A535A">
      <w:pPr>
        <w:spacing w:afterLines="120" w:after="288"/>
        <w:rPr>
          <w:rFonts w:cs="Arial"/>
        </w:rPr>
      </w:pPr>
      <w:r>
        <w:rPr>
          <w:rFonts w:cs="Arial"/>
        </w:rPr>
        <w:t>The Australian Government is considering appropriate ways to apply the requirements o</w:t>
      </w:r>
      <w:r w:rsidR="00D90005">
        <w:rPr>
          <w:rFonts w:cs="Arial"/>
        </w:rPr>
        <w:t xml:space="preserve">f the CCSF to grant recipients. </w:t>
      </w:r>
      <w:r>
        <w:rPr>
          <w:rFonts w:cs="Arial"/>
        </w:rPr>
        <w:t xml:space="preserve">A child safety clause is likely to be included in a grant agreement where the Commonwealth considers the grant is </w:t>
      </w:r>
      <w:proofErr w:type="gramStart"/>
      <w:r>
        <w:rPr>
          <w:rFonts w:cs="Arial"/>
        </w:rPr>
        <w:t>for</w:t>
      </w:r>
      <w:proofErr w:type="gramEnd"/>
      <w:r>
        <w:rPr>
          <w:rFonts w:cs="Arial"/>
        </w:rPr>
        <w:t>:</w:t>
      </w:r>
    </w:p>
    <w:p w14:paraId="73EBEBDA" w14:textId="3A01C50A" w:rsidR="002A535A" w:rsidRDefault="002A535A" w:rsidP="002A535A">
      <w:pPr>
        <w:numPr>
          <w:ilvl w:val="0"/>
          <w:numId w:val="29"/>
        </w:numPr>
        <w:suppressAutoHyphens/>
        <w:spacing w:before="60" w:after="60"/>
        <w:rPr>
          <w:rFonts w:cs="Arial"/>
        </w:rPr>
      </w:pPr>
      <w:r>
        <w:rPr>
          <w:rFonts w:cs="Arial"/>
        </w:rPr>
        <w:t>services directly to children</w:t>
      </w:r>
    </w:p>
    <w:p w14:paraId="3CC3F08C" w14:textId="77777777" w:rsidR="002A535A" w:rsidRDefault="002A535A" w:rsidP="002A535A">
      <w:pPr>
        <w:numPr>
          <w:ilvl w:val="0"/>
          <w:numId w:val="29"/>
        </w:numPr>
        <w:suppressAutoHyphens/>
        <w:spacing w:before="60" w:after="60"/>
        <w:rPr>
          <w:rFonts w:cs="Arial"/>
        </w:rPr>
      </w:pPr>
      <w:proofErr w:type="gramStart"/>
      <w:r>
        <w:rPr>
          <w:rFonts w:cs="Arial"/>
        </w:rPr>
        <w:t>activities</w:t>
      </w:r>
      <w:proofErr w:type="gramEnd"/>
      <w:r>
        <w:rPr>
          <w:rFonts w:cs="Arial"/>
        </w:rPr>
        <w:t xml:space="preserve"> that involve contact with children that is a usual part of, and more than incidental to, the grant activity.</w:t>
      </w:r>
    </w:p>
    <w:p w14:paraId="43F0097E" w14:textId="77777777" w:rsidR="002A535A" w:rsidRDefault="002A535A" w:rsidP="002A535A">
      <w:pPr>
        <w:spacing w:afterLines="120" w:after="288"/>
        <w:rPr>
          <w:rFonts w:cs="Arial"/>
        </w:rPr>
      </w:pPr>
      <w:r>
        <w:rPr>
          <w:rFonts w:cs="Arial"/>
        </w:rPr>
        <w:lastRenderedPageBreak/>
        <w:t>A child safety clause may also be included in the grant agreement if the Commonwealth considers the grant activity involves children more broadly.</w:t>
      </w:r>
    </w:p>
    <w:p w14:paraId="6AA9106C" w14:textId="77777777" w:rsidR="002A535A" w:rsidRDefault="002A535A" w:rsidP="002A535A">
      <w:pPr>
        <w:spacing w:afterLines="120" w:after="288"/>
        <w:rPr>
          <w:bCs/>
          <w:lang w:eastAsia="en-AU"/>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w:t>
      </w:r>
      <w:proofErr w:type="gramStart"/>
      <w:r>
        <w:rPr>
          <w:rFonts w:cs="Arial"/>
        </w:rPr>
        <w:t>agreement</w:t>
      </w:r>
      <w:proofErr w:type="gramEnd"/>
      <w:r>
        <w:rPr>
          <w:rFonts w:cs="Arial"/>
        </w:rPr>
        <w:t xml:space="preserve"> you must always comply with your state and territory legislative requirements for working with children </w:t>
      </w:r>
      <w:r w:rsidRPr="00830B56">
        <w:rPr>
          <w:rFonts w:cs="Arial"/>
        </w:rPr>
        <w:t>and mandatory reporting.</w:t>
      </w:r>
      <w:r w:rsidRPr="00830B56">
        <w:rPr>
          <w:bCs/>
          <w:lang w:eastAsia="en-AU"/>
        </w:rPr>
        <w:t xml:space="preserve"> </w:t>
      </w:r>
    </w:p>
    <w:p w14:paraId="3CFC7997" w14:textId="2E326B6C" w:rsidR="00814A8D" w:rsidRPr="00436036" w:rsidRDefault="00814A8D" w:rsidP="00E10247">
      <w:pPr>
        <w:pStyle w:val="Heading3"/>
        <w:ind w:left="993" w:hanging="284"/>
      </w:pPr>
      <w:bookmarkStart w:id="104" w:name="_Toc13143450"/>
      <w:r w:rsidRPr="00436036">
        <w:t>Multicultural Access and Equity</w:t>
      </w:r>
      <w:bookmarkEnd w:id="104"/>
      <w:r>
        <w:t xml:space="preserve"> </w:t>
      </w:r>
    </w:p>
    <w:p w14:paraId="3CD178E9" w14:textId="77777777" w:rsidR="00814A8D" w:rsidRDefault="00814A8D" w:rsidP="00814A8D">
      <w:pPr>
        <w:pStyle w:val="ListBullet"/>
        <w:numPr>
          <w:ilvl w:val="0"/>
          <w:numId w:val="0"/>
        </w:numPr>
        <w:rPr>
          <w:iCs w:val="0"/>
        </w:rPr>
      </w:pPr>
      <w:r w:rsidRPr="00436036">
        <w:rPr>
          <w:iCs w:val="0"/>
        </w:rPr>
        <w:t xml:space="preserve">The Australian Government’s </w:t>
      </w:r>
      <w:r w:rsidRPr="00CA3DD9">
        <w:rPr>
          <w:i/>
          <w:iCs w:val="0"/>
        </w:rPr>
        <w:t xml:space="preserve">Multicultural Access and Equity Policy </w:t>
      </w:r>
      <w:r w:rsidRPr="00436036">
        <w:rPr>
          <w:iCs w:val="0"/>
        </w:rPr>
        <w:t xml:space="preserve">obliges Australian government agencies to ensure their policies, programs and services - including those provided by contractors and service delivery partners - are accessible to, and deliver equitable outcomes for, people from culturally and linguistically diverse (CALD) backgrounds. </w:t>
      </w:r>
    </w:p>
    <w:p w14:paraId="4B18616E" w14:textId="77777777" w:rsidR="00814A8D" w:rsidRDefault="00814A8D" w:rsidP="00814A8D">
      <w:pPr>
        <w:pStyle w:val="ListBullet"/>
        <w:numPr>
          <w:ilvl w:val="0"/>
          <w:numId w:val="0"/>
        </w:numPr>
        <w:rPr>
          <w:iCs w:val="0"/>
        </w:rPr>
      </w:pPr>
      <w:r w:rsidRPr="00436036">
        <w:rPr>
          <w:iCs w:val="0"/>
        </w:rPr>
        <w:t xml:space="preserve">Grant applicants should consider how they </w:t>
      </w:r>
      <w:proofErr w:type="gramStart"/>
      <w:r w:rsidRPr="00436036">
        <w:rPr>
          <w:iCs w:val="0"/>
        </w:rPr>
        <w:t>will</w:t>
      </w:r>
      <w:proofErr w:type="gramEnd"/>
      <w:r w:rsidRPr="00436036">
        <w:rPr>
          <w:iCs w:val="0"/>
        </w:rPr>
        <w:t xml:space="preserve">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w:t>
      </w:r>
      <w:r w:rsidRPr="00E10247">
        <w:rPr>
          <w:iCs w:val="0"/>
        </w:rPr>
        <w:t>(to assist with identifying these costs see the Translating and Interpreting Services costing tool in the grant opportunity documents).</w:t>
      </w:r>
    </w:p>
    <w:p w14:paraId="72E7DD6B" w14:textId="77777777" w:rsidR="00D057B9" w:rsidRPr="00F4677D" w:rsidRDefault="004545F3" w:rsidP="00A8702B">
      <w:pPr>
        <w:pStyle w:val="Heading3"/>
      </w:pPr>
      <w:bookmarkStart w:id="105" w:name="_Toc530579998"/>
      <w:bookmarkStart w:id="106" w:name="_Toc17704029"/>
      <w:bookmarkEnd w:id="101"/>
      <w:bookmarkEnd w:id="105"/>
      <w:r w:rsidRPr="00F4677D">
        <w:t xml:space="preserve">How </w:t>
      </w:r>
      <w:r w:rsidR="006C764B">
        <w:t>we</w:t>
      </w:r>
      <w:r w:rsidR="00756BBB" w:rsidRPr="00F4677D">
        <w:t xml:space="preserve"> pay </w:t>
      </w:r>
      <w:r w:rsidRPr="00F4677D">
        <w:t>the grant</w:t>
      </w:r>
      <w:bookmarkEnd w:id="106"/>
    </w:p>
    <w:p w14:paraId="44263813" w14:textId="293C6321" w:rsidR="004545F3" w:rsidRPr="00DB0315" w:rsidRDefault="004545F3" w:rsidP="004545F3">
      <w:pPr>
        <w:tabs>
          <w:tab w:val="left" w:pos="0"/>
        </w:tabs>
        <w:rPr>
          <w:bCs/>
          <w:lang w:eastAsia="en-AU"/>
        </w:rPr>
      </w:pPr>
      <w:bookmarkStart w:id="107" w:name="_Toc466898122"/>
      <w:r w:rsidRPr="00DB0315">
        <w:rPr>
          <w:bCs/>
          <w:lang w:eastAsia="en-AU"/>
        </w:rPr>
        <w:t xml:space="preserve">The </w:t>
      </w:r>
      <w:r w:rsidR="00AE3DAF" w:rsidRPr="00AE3DAF">
        <w:rPr>
          <w:bCs/>
          <w:lang w:eastAsia="en-AU"/>
        </w:rPr>
        <w:t>grant agreement</w:t>
      </w:r>
      <w:r w:rsidR="00AE3DAF">
        <w:rPr>
          <w:bCs/>
          <w:lang w:eastAsia="en-AU"/>
        </w:rPr>
        <w:t xml:space="preserve"> </w:t>
      </w:r>
      <w:r w:rsidR="00024C19">
        <w:rPr>
          <w:bCs/>
          <w:lang w:eastAsia="en-AU"/>
        </w:rPr>
        <w:t>will state</w:t>
      </w:r>
      <w:r w:rsidRPr="00DB0315">
        <w:rPr>
          <w:bCs/>
          <w:lang w:eastAsia="en-AU"/>
        </w:rPr>
        <w:t>:</w:t>
      </w:r>
    </w:p>
    <w:p w14:paraId="09420174" w14:textId="486FD12C" w:rsidR="004545F3" w:rsidRPr="00DB0315" w:rsidRDefault="00024C19" w:rsidP="004545F3">
      <w:pPr>
        <w:pStyle w:val="ListBullet"/>
      </w:pPr>
      <w:r>
        <w:t xml:space="preserve">the </w:t>
      </w:r>
      <w:r w:rsidR="004545F3" w:rsidRPr="00DB0315">
        <w:t>maximum grant amount to be paid</w:t>
      </w:r>
    </w:p>
    <w:p w14:paraId="443E7CBB" w14:textId="77777777" w:rsidR="004622C2" w:rsidRDefault="004622C2" w:rsidP="004545F3">
      <w:pPr>
        <w:pStyle w:val="ListBullet"/>
      </w:pPr>
      <w:r w:rsidRPr="004622C2">
        <w:t xml:space="preserve">any </w:t>
      </w:r>
      <w:r w:rsidR="00B501CF">
        <w:t xml:space="preserve">financial </w:t>
      </w:r>
      <w:r w:rsidRPr="004622C2">
        <w:t>contributions you must make</w:t>
      </w:r>
    </w:p>
    <w:p w14:paraId="467F082B" w14:textId="77777777" w:rsidR="00933357" w:rsidRDefault="00933357" w:rsidP="004545F3">
      <w:pPr>
        <w:pStyle w:val="ListBullet"/>
      </w:pPr>
      <w:r>
        <w:t xml:space="preserve">any financial contribution provided </w:t>
      </w:r>
      <w:r w:rsidR="00E00BF7">
        <w:t xml:space="preserve">by </w:t>
      </w:r>
      <w:r>
        <w:t>a third party</w:t>
      </w:r>
    </w:p>
    <w:p w14:paraId="12693410" w14:textId="77777777" w:rsidR="004B2923" w:rsidRDefault="00705C93" w:rsidP="004545F3">
      <w:pPr>
        <w:tabs>
          <w:tab w:val="left" w:pos="0"/>
        </w:tabs>
        <w:rPr>
          <w:bCs/>
          <w:lang w:eastAsia="en-AU"/>
        </w:rPr>
      </w:pPr>
      <w:r>
        <w:rPr>
          <w:bCs/>
          <w:lang w:eastAsia="en-AU"/>
        </w:rPr>
        <w:t>We</w:t>
      </w:r>
      <w:r w:rsidR="00110267">
        <w:rPr>
          <w:bCs/>
          <w:lang w:eastAsia="en-AU"/>
        </w:rPr>
        <w:t xml:space="preserve"> </w:t>
      </w:r>
      <w:r w:rsidR="004545F3" w:rsidRPr="00DB0315">
        <w:rPr>
          <w:bCs/>
          <w:lang w:eastAsia="en-AU"/>
        </w:rPr>
        <w:t xml:space="preserve">will not exceed the maximum grant amount under any circumstances. If you incur extra </w:t>
      </w:r>
      <w:r w:rsidR="00933357">
        <w:rPr>
          <w:bCs/>
          <w:lang w:eastAsia="en-AU"/>
        </w:rPr>
        <w:t>costs</w:t>
      </w:r>
      <w:r w:rsidR="004545F3" w:rsidRPr="00DB0315">
        <w:rPr>
          <w:bCs/>
          <w:lang w:eastAsia="en-AU"/>
        </w:rPr>
        <w:t xml:space="preserve">, you must </w:t>
      </w:r>
      <w:r w:rsidR="00933357">
        <w:rPr>
          <w:bCs/>
          <w:lang w:eastAsia="en-AU"/>
        </w:rPr>
        <w:t>meet them</w:t>
      </w:r>
      <w:r w:rsidR="004545F3" w:rsidRPr="00DB0315">
        <w:rPr>
          <w:bCs/>
          <w:lang w:eastAsia="en-AU"/>
        </w:rPr>
        <w:t xml:space="preserve"> yourself.</w:t>
      </w:r>
    </w:p>
    <w:p w14:paraId="1AA961A6" w14:textId="592DC499" w:rsidR="00E403B5" w:rsidRPr="00E10247" w:rsidRDefault="00E10247" w:rsidP="00E10247">
      <w:pPr>
        <w:tabs>
          <w:tab w:val="left" w:pos="0"/>
        </w:tabs>
        <w:rPr>
          <w:bCs/>
          <w:lang w:eastAsia="en-AU"/>
        </w:rPr>
      </w:pPr>
      <w:r w:rsidRPr="00E10247">
        <w:rPr>
          <w:bCs/>
          <w:lang w:eastAsia="en-AU"/>
        </w:rPr>
        <w:t xml:space="preserve">We will make payments according to an agreed schedule set out in the grant agreement. Payments are subject to satisfactory progress on the </w:t>
      </w:r>
      <w:r>
        <w:rPr>
          <w:bCs/>
          <w:lang w:eastAsia="en-AU"/>
        </w:rPr>
        <w:t>project</w:t>
      </w:r>
      <w:bookmarkStart w:id="108" w:name="_Toc529276547"/>
      <w:bookmarkStart w:id="109" w:name="_Toc529458389"/>
      <w:bookmarkStart w:id="110" w:name="_Toc530486357"/>
      <w:bookmarkStart w:id="111" w:name="_Toc530580001"/>
      <w:bookmarkEnd w:id="108"/>
      <w:bookmarkEnd w:id="109"/>
      <w:bookmarkEnd w:id="110"/>
      <w:bookmarkEnd w:id="111"/>
      <w:r>
        <w:rPr>
          <w:bCs/>
          <w:lang w:eastAsia="en-AU"/>
        </w:rPr>
        <w:t>.</w:t>
      </w:r>
    </w:p>
    <w:p w14:paraId="6F13EE86" w14:textId="77777777" w:rsidR="008B5C65" w:rsidRDefault="008B5C65" w:rsidP="008B5C65">
      <w:r w:rsidRPr="0008705C">
        <w:t xml:space="preserve">If you </w:t>
      </w:r>
      <w:proofErr w:type="gramStart"/>
      <w:r w:rsidRPr="0008705C">
        <w:t>are registered</w:t>
      </w:r>
      <w:proofErr w:type="gramEnd"/>
      <w:r w:rsidRPr="0008705C">
        <w:t xml:space="preserve"> for the </w:t>
      </w:r>
      <w:hyperlink r:id="rId36" w:history="1">
        <w:r w:rsidRPr="00A0120E">
          <w:rPr>
            <w:rStyle w:val="Hyperlink"/>
          </w:rPr>
          <w:t>Goods and Services Tax (GST)</w:t>
        </w:r>
      </w:hyperlink>
      <w:r w:rsidRPr="00815A59">
        <w:t xml:space="preserve">, where applicable, </w:t>
      </w:r>
      <w:r w:rsidR="000F2AE0">
        <w:t>w</w:t>
      </w:r>
      <w:r w:rsidR="00827752">
        <w:t>e</w:t>
      </w:r>
      <w:r w:rsidRPr="00815A59">
        <w:t xml:space="preserve"> will add GST to your grant payment</w:t>
      </w:r>
      <w:r>
        <w:t xml:space="preserve"> and issue you with a </w:t>
      </w:r>
      <w:hyperlink r:id="rId37" w:history="1">
        <w:r w:rsidRPr="00A0120E">
          <w:rPr>
            <w:rStyle w:val="Hyperlink"/>
          </w:rPr>
          <w:t>Recipient Created Tax Invoice</w:t>
        </w:r>
      </w:hyperlink>
      <w:r>
        <w:t>.</w:t>
      </w:r>
    </w:p>
    <w:p w14:paraId="6AB286FC" w14:textId="77777777" w:rsidR="007A4AEB" w:rsidRPr="007A4AEB" w:rsidRDefault="007A4AEB" w:rsidP="007A4AEB">
      <w:r w:rsidRPr="00EE0C10">
        <w:t xml:space="preserve">If a </w:t>
      </w:r>
      <w:r w:rsidRPr="009539EF">
        <w:t>Government</w:t>
      </w:r>
      <w:r w:rsidRPr="00EE0C10">
        <w:t xml:space="preserve"> </w:t>
      </w:r>
      <w:r w:rsidRPr="009539EF">
        <w:t>R</w:t>
      </w:r>
      <w:r w:rsidRPr="00EE0C10">
        <w:t>elated</w:t>
      </w:r>
      <w:r w:rsidRPr="009539EF">
        <w:t xml:space="preserve"> Entity </w:t>
      </w:r>
      <w:proofErr w:type="gramStart"/>
      <w:r w:rsidRPr="009539EF">
        <w:t>is deemed</w:t>
      </w:r>
      <w:proofErr w:type="gramEnd"/>
      <w:r w:rsidRPr="009539EF">
        <w:t xml:space="preserve"> successful, </w:t>
      </w:r>
      <w:r w:rsidRPr="00523F5A">
        <w:rPr>
          <w:color w:val="000000" w:themeColor="text1"/>
        </w:rPr>
        <w:t>GST will not apply</w:t>
      </w:r>
      <w:r w:rsidRPr="009539EF">
        <w:t>.</w:t>
      </w:r>
    </w:p>
    <w:p w14:paraId="5DF15892" w14:textId="40B5C833" w:rsidR="00D22A04" w:rsidRPr="004223FA" w:rsidRDefault="00D22A04" w:rsidP="00E65040">
      <w:r w:rsidRPr="00E162FF">
        <w:t xml:space="preserve">Grants are assessable income for taxation purposes, unless exempted by a taxation law. </w:t>
      </w:r>
      <w:r w:rsidR="00705C93">
        <w:t>We</w:t>
      </w:r>
      <w:r>
        <w:t xml:space="preserve"> recommend you</w:t>
      </w:r>
      <w:r w:rsidRPr="00E162FF">
        <w:t xml:space="preserve"> seek independent professional advice on </w:t>
      </w:r>
      <w:r>
        <w:t>your</w:t>
      </w:r>
      <w:r w:rsidRPr="00E162FF">
        <w:t xml:space="preserve"> taxation obligations</w:t>
      </w:r>
      <w:r>
        <w:t xml:space="preserve"> or seek assistance from the </w:t>
      </w:r>
      <w:hyperlink r:id="rId38" w:history="1">
        <w:r w:rsidRPr="002612BF">
          <w:rPr>
            <w:rStyle w:val="Hyperlink"/>
          </w:rPr>
          <w:t>Australian Taxation Office</w:t>
        </w:r>
      </w:hyperlink>
      <w:r w:rsidRPr="00E162FF">
        <w:t xml:space="preserve">. </w:t>
      </w:r>
      <w:r w:rsidR="00705C93">
        <w:t>We</w:t>
      </w:r>
      <w:r>
        <w:t xml:space="preserve"> do not</w:t>
      </w:r>
      <w:r w:rsidRPr="00E162FF">
        <w:t xml:space="preserve"> provide advice on </w:t>
      </w:r>
      <w:r w:rsidR="00780216">
        <w:t xml:space="preserve">your particular </w:t>
      </w:r>
      <w:r w:rsidRPr="004223FA">
        <w:t>tax</w:t>
      </w:r>
      <w:r w:rsidR="00780216" w:rsidRPr="004223FA">
        <w:t>ation circumstances</w:t>
      </w:r>
      <w:r w:rsidRPr="004223FA">
        <w:t>.</w:t>
      </w:r>
      <w:r w:rsidR="004161D7" w:rsidRPr="004223FA">
        <w:t xml:space="preserve"> </w:t>
      </w:r>
    </w:p>
    <w:p w14:paraId="0EDFCFE1" w14:textId="77777777" w:rsidR="00E1311F" w:rsidRPr="004223FA" w:rsidDel="00457E6C" w:rsidRDefault="00E1311F" w:rsidP="009668F6">
      <w:pPr>
        <w:pStyle w:val="Heading2"/>
      </w:pPr>
      <w:bookmarkStart w:id="112" w:name="_Toc494290551"/>
      <w:bookmarkStart w:id="113" w:name="_Toc485726977"/>
      <w:bookmarkStart w:id="114" w:name="_Toc485736597"/>
      <w:bookmarkStart w:id="115" w:name="_Toc17704031"/>
      <w:bookmarkStart w:id="116" w:name="_Toc164844284"/>
      <w:bookmarkEnd w:id="107"/>
      <w:bookmarkEnd w:id="112"/>
      <w:r w:rsidRPr="004223FA" w:rsidDel="00457E6C">
        <w:t>Announcement of grants</w:t>
      </w:r>
      <w:bookmarkEnd w:id="113"/>
      <w:bookmarkEnd w:id="114"/>
      <w:bookmarkEnd w:id="115"/>
    </w:p>
    <w:p w14:paraId="3B36A15D" w14:textId="51A567CF" w:rsidR="00E1311F" w:rsidDel="00457E6C" w:rsidRDefault="00E1311F" w:rsidP="00E1311F">
      <w:pPr>
        <w:rPr>
          <w:i/>
        </w:rPr>
      </w:pPr>
      <w:r w:rsidDel="00457E6C">
        <w:t xml:space="preserve">If successful, your </w:t>
      </w:r>
      <w:r w:rsidR="00AE3DAF">
        <w:t>g</w:t>
      </w:r>
      <w:r w:rsidDel="00457E6C">
        <w:t xml:space="preserve">rant </w:t>
      </w:r>
      <w:proofErr w:type="gramStart"/>
      <w:r w:rsidDel="0035202F">
        <w:t>will be listed</w:t>
      </w:r>
      <w:proofErr w:type="gramEnd"/>
      <w:r w:rsidRPr="00B72EE8" w:rsidDel="0035202F">
        <w:t xml:space="preserve"> </w:t>
      </w:r>
      <w:r w:rsidRPr="00B72EE8" w:rsidDel="00457E6C">
        <w:t>on</w:t>
      </w:r>
      <w:r w:rsidDel="00457E6C">
        <w:t xml:space="preserve"> the </w:t>
      </w:r>
      <w:hyperlink r:id="rId39" w:history="1">
        <w:r w:rsidR="001C428F" w:rsidRPr="00221667">
          <w:rPr>
            <w:rStyle w:val="Hyperlink"/>
          </w:rPr>
          <w:t>GrantConnect</w:t>
        </w:r>
      </w:hyperlink>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40" w:history="1">
        <w:r w:rsidR="004D3D46" w:rsidRPr="000633FD" w:rsidDel="00457E6C">
          <w:rPr>
            <w:rStyle w:val="Hyperlink"/>
          </w:rPr>
          <w:t>CG</w:t>
        </w:r>
        <w:r w:rsidR="004D3D46" w:rsidRPr="000633FD" w:rsidDel="00457E6C">
          <w:rPr>
            <w:rStyle w:val="Hyperlink"/>
          </w:rPr>
          <w:t>R</w:t>
        </w:r>
        <w:r w:rsidR="004D3D46" w:rsidRPr="000633FD" w:rsidDel="00457E6C">
          <w:rPr>
            <w:rStyle w:val="Hyperlink"/>
          </w:rPr>
          <w:t>Gs</w:t>
        </w:r>
        <w:r w:rsidRPr="000633FD" w:rsidDel="00457E6C">
          <w:rPr>
            <w:rStyle w:val="Hyperlink"/>
          </w:rPr>
          <w:t>.</w:t>
        </w:r>
      </w:hyperlink>
      <w:r w:rsidRPr="00F27CA7" w:rsidDel="00457E6C">
        <w:rPr>
          <w:i/>
        </w:rPr>
        <w:t xml:space="preserve"> </w:t>
      </w:r>
    </w:p>
    <w:p w14:paraId="39D93039" w14:textId="77777777" w:rsidR="00E1311F" w:rsidRDefault="00492B00" w:rsidP="009668F6">
      <w:pPr>
        <w:pStyle w:val="Heading2"/>
      </w:pPr>
      <w:bookmarkStart w:id="117" w:name="_Toc530486361"/>
      <w:bookmarkStart w:id="118" w:name="_Toc530580006"/>
      <w:bookmarkStart w:id="119" w:name="_Toc17704032"/>
      <w:bookmarkEnd w:id="117"/>
      <w:bookmarkEnd w:id="118"/>
      <w:r>
        <w:lastRenderedPageBreak/>
        <w:t xml:space="preserve">How </w:t>
      </w:r>
      <w:r w:rsidR="00705C93">
        <w:t>we</w:t>
      </w:r>
      <w:r w:rsidR="00110267">
        <w:t xml:space="preserve"> </w:t>
      </w:r>
      <w:r>
        <w:t>monitor your grant activity</w:t>
      </w:r>
      <w:bookmarkEnd w:id="119"/>
    </w:p>
    <w:p w14:paraId="5C1BC077" w14:textId="77777777" w:rsidR="004A2224" w:rsidRPr="00170226" w:rsidRDefault="004A2224" w:rsidP="00A8702B">
      <w:pPr>
        <w:pStyle w:val="Heading3"/>
      </w:pPr>
      <w:bookmarkStart w:id="120" w:name="_Toc17704033"/>
      <w:r w:rsidRPr="00170226">
        <w:t>Keeping us informed</w:t>
      </w:r>
      <w:bookmarkEnd w:id="120"/>
    </w:p>
    <w:p w14:paraId="2FB37331" w14:textId="77777777" w:rsidR="004A2224" w:rsidRDefault="004A2224" w:rsidP="004A2224">
      <w:r>
        <w:t xml:space="preserve">You should let </w:t>
      </w:r>
      <w:r w:rsidR="00705C93">
        <w:t>us</w:t>
      </w:r>
      <w:r w:rsidR="00115A51">
        <w:t xml:space="preserve"> </w:t>
      </w:r>
      <w:r>
        <w:t xml:space="preserve">know if anything is likely to affect your </w:t>
      </w:r>
      <w:r w:rsidRPr="00523F5A">
        <w:rPr>
          <w:color w:val="000000" w:themeColor="text1"/>
        </w:rPr>
        <w:t>grant activit</w:t>
      </w:r>
      <w:r w:rsidR="00C54560" w:rsidRPr="00523F5A">
        <w:rPr>
          <w:color w:val="000000" w:themeColor="text1"/>
        </w:rPr>
        <w:t>ies</w:t>
      </w:r>
      <w:r w:rsidR="00512EB0" w:rsidRPr="00523F5A">
        <w:rPr>
          <w:color w:val="000000" w:themeColor="text1"/>
        </w:rPr>
        <w:t xml:space="preserve"> </w:t>
      </w:r>
      <w:r>
        <w:t xml:space="preserve">or organisation. </w:t>
      </w:r>
    </w:p>
    <w:p w14:paraId="1256F01A" w14:textId="62D5561F" w:rsidR="004A2224" w:rsidRDefault="00705C93" w:rsidP="004A2224">
      <w:r w:rsidRPr="00EE0C10">
        <w:t>We</w:t>
      </w:r>
      <w:r w:rsidR="00115A51">
        <w:t xml:space="preserve"> </w:t>
      </w:r>
      <w:r w:rsidR="004A2224">
        <w:t>need to know of any changes to your organisation or its business activities, particularly if they affect your ability to complete your grant, carry on business and pay debts due</w:t>
      </w:r>
      <w:r w:rsidR="00F713CF">
        <w:t xml:space="preserve"> because of these changes</w:t>
      </w:r>
      <w:r w:rsidR="004A2224">
        <w:t>.</w:t>
      </w:r>
    </w:p>
    <w:p w14:paraId="2C45CBFF" w14:textId="77777777" w:rsidR="004A2224" w:rsidRDefault="004A2224" w:rsidP="004A2224">
      <w:r>
        <w:t xml:space="preserve">If you become aware of a breach of </w:t>
      </w:r>
      <w:r w:rsidR="00AE3DAF">
        <w:t>the t</w:t>
      </w:r>
      <w:r>
        <w:t xml:space="preserve">erms and </w:t>
      </w:r>
      <w:r w:rsidR="00AE3DAF">
        <w:t>c</w:t>
      </w:r>
      <w:r>
        <w:t xml:space="preserve">onditions under the </w:t>
      </w:r>
      <w:r w:rsidR="00AE3DAF" w:rsidRPr="00AE3DAF">
        <w:t>grant agreement</w:t>
      </w:r>
      <w:r>
        <w:t xml:space="preserve">, you must contact </w:t>
      </w:r>
      <w:r w:rsidR="001F45CE">
        <w:t>us</w:t>
      </w:r>
      <w:r>
        <w:t xml:space="preserve"> immediately. </w:t>
      </w:r>
    </w:p>
    <w:p w14:paraId="0CAFB21B" w14:textId="77777777" w:rsidR="004C3151" w:rsidRDefault="004A2224" w:rsidP="004A2224">
      <w:r>
        <w:t xml:space="preserve">You must notify </w:t>
      </w:r>
      <w:r w:rsidR="00E96DD6">
        <w:t>us</w:t>
      </w:r>
      <w:r w:rsidRPr="00F1569F">
        <w:rPr>
          <w:color w:val="0070C0"/>
        </w:rPr>
        <w:t xml:space="preserve"> </w:t>
      </w:r>
      <w:r>
        <w:t xml:space="preserve">of events relating to your </w:t>
      </w:r>
      <w:r w:rsidR="00AE3DAF">
        <w:t>g</w:t>
      </w:r>
      <w:r>
        <w:t>rant and provide an opportunity for the Minister or their representative to attend.</w:t>
      </w:r>
    </w:p>
    <w:p w14:paraId="4B507FB0" w14:textId="77777777" w:rsidR="003159B5" w:rsidRPr="00683955" w:rsidRDefault="002536AC" w:rsidP="00A8702B">
      <w:pPr>
        <w:pStyle w:val="Heading3"/>
      </w:pPr>
      <w:bookmarkStart w:id="121" w:name="_Toc529276553"/>
      <w:bookmarkStart w:id="122" w:name="_Toc17704034"/>
      <w:bookmarkEnd w:id="121"/>
      <w:r w:rsidRPr="00683955">
        <w:t>Reporting</w:t>
      </w:r>
      <w:bookmarkEnd w:id="122"/>
      <w:r w:rsidRPr="00683955">
        <w:t xml:space="preserve"> </w:t>
      </w:r>
    </w:p>
    <w:p w14:paraId="30209920" w14:textId="1E0736DD" w:rsidR="007B6165" w:rsidRPr="005853C4" w:rsidRDefault="00E1311F" w:rsidP="007B6165">
      <w:pPr>
        <w:spacing w:before="120"/>
        <w:rPr>
          <w:color w:val="000000" w:themeColor="text1"/>
        </w:rPr>
      </w:pPr>
      <w:r w:rsidRPr="00726710">
        <w:rPr>
          <w:rFonts w:cstheme="minorHAnsi"/>
        </w:rPr>
        <w:t>You must submit reports</w:t>
      </w:r>
      <w:r w:rsidRPr="00726710">
        <w:rPr>
          <w:rFonts w:cstheme="minorHAnsi"/>
          <w:b/>
        </w:rPr>
        <w:t xml:space="preserve"> </w:t>
      </w:r>
      <w:r w:rsidRPr="00726710">
        <w:rPr>
          <w:rFonts w:cstheme="minorHAnsi"/>
        </w:rPr>
        <w:t>in line with the</w:t>
      </w:r>
      <w:r w:rsidRPr="00726710" w:rsidDel="00D505A5">
        <w:rPr>
          <w:rFonts w:cstheme="minorHAnsi"/>
        </w:rPr>
        <w:t xml:space="preserve"> </w:t>
      </w:r>
      <w:r w:rsidR="00AE3DAF" w:rsidRPr="00AE3DAF">
        <w:rPr>
          <w:rFonts w:cstheme="minorHAnsi"/>
        </w:rPr>
        <w:t>grant agreement</w:t>
      </w:r>
      <w:r w:rsidR="007B6165">
        <w:rPr>
          <w:rFonts w:cstheme="minorHAnsi"/>
        </w:rPr>
        <w:t xml:space="preserve"> and the attached activity work plan</w:t>
      </w:r>
      <w:r w:rsidRPr="00A355EF">
        <w:rPr>
          <w:rFonts w:cstheme="minorHAnsi"/>
        </w:rPr>
        <w:t xml:space="preserve">. </w:t>
      </w:r>
      <w:r w:rsidR="007B6165">
        <w:rPr>
          <w:color w:val="000000" w:themeColor="text1"/>
        </w:rPr>
        <w:t xml:space="preserve">The </w:t>
      </w:r>
      <w:proofErr w:type="gramStart"/>
      <w:r w:rsidR="001C428F">
        <w:rPr>
          <w:color w:val="000000" w:themeColor="text1"/>
        </w:rPr>
        <w:t>activity w</w:t>
      </w:r>
      <w:r w:rsidR="001C428F" w:rsidRPr="00C22B25">
        <w:rPr>
          <w:color w:val="000000" w:themeColor="text1"/>
        </w:rPr>
        <w:t>ork</w:t>
      </w:r>
      <w:r w:rsidR="001C428F">
        <w:rPr>
          <w:color w:val="000000" w:themeColor="text1"/>
        </w:rPr>
        <w:t xml:space="preserve"> p</w:t>
      </w:r>
      <w:r w:rsidR="001C428F" w:rsidRPr="00C22B25">
        <w:rPr>
          <w:color w:val="000000" w:themeColor="text1"/>
        </w:rPr>
        <w:t xml:space="preserve">lan </w:t>
      </w:r>
      <w:r w:rsidR="007B6165" w:rsidRPr="00C22B25">
        <w:rPr>
          <w:color w:val="000000" w:themeColor="text1"/>
        </w:rPr>
        <w:t>documents</w:t>
      </w:r>
      <w:proofErr w:type="gramEnd"/>
      <w:r w:rsidR="007B6165" w:rsidRPr="00C22B25">
        <w:rPr>
          <w:color w:val="000000" w:themeColor="text1"/>
        </w:rPr>
        <w:t xml:space="preserve"> planned deliv</w:t>
      </w:r>
      <w:r w:rsidR="007B6165">
        <w:rPr>
          <w:color w:val="000000" w:themeColor="text1"/>
        </w:rPr>
        <w:t>erables, milestones and</w:t>
      </w:r>
      <w:r w:rsidR="007B6165" w:rsidRPr="00C22B25">
        <w:rPr>
          <w:color w:val="000000" w:themeColor="text1"/>
        </w:rPr>
        <w:t xml:space="preserve"> </w:t>
      </w:r>
      <w:r w:rsidR="007B6165" w:rsidRPr="0050033E">
        <w:rPr>
          <w:color w:val="000000" w:themeColor="text1"/>
        </w:rPr>
        <w:t>outputs for the funded project</w:t>
      </w:r>
      <w:r w:rsidR="007B6165">
        <w:rPr>
          <w:color w:val="000000" w:themeColor="text1"/>
        </w:rPr>
        <w:t>.</w:t>
      </w:r>
      <w:r w:rsidR="007B6165" w:rsidRPr="007B6165">
        <w:rPr>
          <w:color w:val="000000" w:themeColor="text1"/>
        </w:rPr>
        <w:t xml:space="preserve"> </w:t>
      </w:r>
      <w:r w:rsidR="007B6165">
        <w:rPr>
          <w:color w:val="000000" w:themeColor="text1"/>
        </w:rPr>
        <w:t>Successful applicants’</w:t>
      </w:r>
      <w:r w:rsidR="007B6165" w:rsidRPr="00C22B25">
        <w:rPr>
          <w:color w:val="000000" w:themeColor="text1"/>
        </w:rPr>
        <w:t xml:space="preserve"> progress and outcomes against the </w:t>
      </w:r>
      <w:r w:rsidR="001C428F">
        <w:rPr>
          <w:color w:val="000000" w:themeColor="text1"/>
        </w:rPr>
        <w:t>activity</w:t>
      </w:r>
      <w:r w:rsidR="001C428F" w:rsidRPr="00C22B25">
        <w:rPr>
          <w:color w:val="000000" w:themeColor="text1"/>
        </w:rPr>
        <w:t xml:space="preserve"> </w:t>
      </w:r>
      <w:r w:rsidR="001C428F">
        <w:rPr>
          <w:color w:val="000000" w:themeColor="text1"/>
        </w:rPr>
        <w:t>w</w:t>
      </w:r>
      <w:r w:rsidR="001C428F" w:rsidRPr="00C22B25">
        <w:rPr>
          <w:color w:val="000000" w:themeColor="text1"/>
        </w:rPr>
        <w:t>ork</w:t>
      </w:r>
      <w:r w:rsidR="001C428F">
        <w:rPr>
          <w:color w:val="000000" w:themeColor="text1"/>
        </w:rPr>
        <w:t xml:space="preserve"> p</w:t>
      </w:r>
      <w:r w:rsidR="001C428F" w:rsidRPr="00C22B25">
        <w:rPr>
          <w:color w:val="000000" w:themeColor="text1"/>
        </w:rPr>
        <w:t xml:space="preserve">lan </w:t>
      </w:r>
      <w:proofErr w:type="gramStart"/>
      <w:r w:rsidR="007B6165">
        <w:rPr>
          <w:color w:val="000000" w:themeColor="text1"/>
        </w:rPr>
        <w:t xml:space="preserve">will be </w:t>
      </w:r>
      <w:r w:rsidR="007B6165" w:rsidRPr="00C22B25">
        <w:rPr>
          <w:color w:val="000000" w:themeColor="text1"/>
        </w:rPr>
        <w:t>monitored</w:t>
      </w:r>
      <w:proofErr w:type="gramEnd"/>
      <w:r w:rsidR="007B6165" w:rsidRPr="00C22B25">
        <w:rPr>
          <w:color w:val="000000" w:themeColor="text1"/>
        </w:rPr>
        <w:t xml:space="preserve"> throughout the </w:t>
      </w:r>
      <w:r w:rsidR="007B6165">
        <w:rPr>
          <w:color w:val="000000" w:themeColor="text1"/>
        </w:rPr>
        <w:t>grant</w:t>
      </w:r>
      <w:r w:rsidR="007B6165" w:rsidRPr="00C22B25">
        <w:rPr>
          <w:color w:val="000000" w:themeColor="text1"/>
        </w:rPr>
        <w:t xml:space="preserve"> through regular reports. </w:t>
      </w:r>
    </w:p>
    <w:p w14:paraId="6A3F6085" w14:textId="58D67AF6" w:rsidR="00E1311F" w:rsidRPr="00726710" w:rsidRDefault="00E96DD6" w:rsidP="00E1311F">
      <w:pPr>
        <w:rPr>
          <w:rFonts w:cstheme="minorHAnsi"/>
        </w:rPr>
      </w:pPr>
      <w:r>
        <w:t>We</w:t>
      </w:r>
      <w:r w:rsidR="00E1311F" w:rsidRPr="00726710">
        <w:rPr>
          <w:rFonts w:cstheme="minorHAnsi"/>
        </w:rPr>
        <w:t xml:space="preserve"> </w:t>
      </w:r>
      <w:r w:rsidR="00E1311F" w:rsidRPr="00544BAA">
        <w:rPr>
          <w:rFonts w:cstheme="minorHAnsi"/>
        </w:rPr>
        <w:t>will provide sample templates for these reports.</w:t>
      </w:r>
      <w:r w:rsidR="00D6463C" w:rsidRPr="00544BAA">
        <w:rPr>
          <w:rFonts w:cstheme="minorHAnsi"/>
        </w:rPr>
        <w:t xml:space="preserve"> </w:t>
      </w:r>
      <w:r w:rsidR="00F96705">
        <w:rPr>
          <w:rFonts w:cstheme="minorHAnsi"/>
        </w:rPr>
        <w:t xml:space="preserve">We will remind you of your reporting obligations before a report is due. </w:t>
      </w:r>
      <w:r>
        <w:t>We</w:t>
      </w:r>
      <w:r w:rsidR="00E1311F" w:rsidRPr="00726710">
        <w:rPr>
          <w:rFonts w:cstheme="minorHAnsi"/>
        </w:rPr>
        <w:t xml:space="preserve"> will expect you to report on</w:t>
      </w:r>
      <w:r w:rsidR="00F2002A">
        <w:rPr>
          <w:rFonts w:cstheme="minorHAnsi"/>
        </w:rPr>
        <w:t>:</w:t>
      </w:r>
    </w:p>
    <w:p w14:paraId="1C66C980" w14:textId="77777777" w:rsidR="00E1311F" w:rsidRPr="00726710" w:rsidRDefault="00E1311F" w:rsidP="00E1311F">
      <w:pPr>
        <w:pStyle w:val="ListBullet"/>
      </w:pPr>
      <w:r w:rsidRPr="00726710">
        <w:t xml:space="preserve">progress against agreed </w:t>
      </w:r>
      <w:r w:rsidR="00512EB0" w:rsidRPr="00523F5A">
        <w:rPr>
          <w:color w:val="000000" w:themeColor="text1"/>
        </w:rPr>
        <w:t>grant activity</w:t>
      </w:r>
      <w:r w:rsidRPr="00523F5A">
        <w:rPr>
          <w:color w:val="000000" w:themeColor="text1"/>
        </w:rPr>
        <w:t xml:space="preserve"> </w:t>
      </w:r>
      <w:r w:rsidRPr="00726710">
        <w:t>milestones</w:t>
      </w:r>
      <w:r w:rsidR="00780216">
        <w:t xml:space="preserve"> and outcomes</w:t>
      </w:r>
    </w:p>
    <w:p w14:paraId="2E4CFEA8" w14:textId="77777777" w:rsidR="00E1311F" w:rsidRPr="00726710" w:rsidRDefault="00B168D7" w:rsidP="00E1311F">
      <w:pPr>
        <w:pStyle w:val="ListBullet"/>
      </w:pPr>
      <w:proofErr w:type="gramStart"/>
      <w:r>
        <w:t>expenditure</w:t>
      </w:r>
      <w:proofErr w:type="gramEnd"/>
      <w:r>
        <w:t xml:space="preserve"> of the grant</w:t>
      </w:r>
      <w:r w:rsidR="00E1311F" w:rsidRPr="00726710">
        <w:t>.</w:t>
      </w:r>
    </w:p>
    <w:p w14:paraId="5AD22DA0" w14:textId="77777777" w:rsidR="009A072D" w:rsidRDefault="009A072D" w:rsidP="009A072D">
      <w:r w:rsidRPr="00E10247">
        <w:t>The amount of detail you provide in your reports should be relative to the size</w:t>
      </w:r>
      <w:r w:rsidR="008517EA" w:rsidRPr="00E10247">
        <w:t xml:space="preserve"> and</w:t>
      </w:r>
      <w:r w:rsidRPr="00E10247">
        <w:t xml:space="preserve"> complexity</w:t>
      </w:r>
      <w:r w:rsidR="008517EA" w:rsidRPr="00E10247">
        <w:t xml:space="preserve"> of the grant</w:t>
      </w:r>
      <w:r w:rsidRPr="00E10247">
        <w:t xml:space="preserve"> and </w:t>
      </w:r>
      <w:r w:rsidR="008517EA" w:rsidRPr="00E10247">
        <w:t xml:space="preserve">the </w:t>
      </w:r>
      <w:r w:rsidRPr="00E10247">
        <w:t>grant amount.</w:t>
      </w:r>
      <w:r w:rsidRPr="003B18C7">
        <w:t xml:space="preserve"> </w:t>
      </w:r>
    </w:p>
    <w:p w14:paraId="4C2D2E9D" w14:textId="364FE31E" w:rsidR="009A072D" w:rsidRDefault="00E96DD6" w:rsidP="009A072D">
      <w:r>
        <w:t xml:space="preserve">We </w:t>
      </w:r>
      <w:r w:rsidR="009A072D">
        <w:t>will monitor progress by assessing reports you submit and may conduct site visits</w:t>
      </w:r>
      <w:r w:rsidR="00DC4884">
        <w:t xml:space="preserve"> or request records</w:t>
      </w:r>
      <w:r w:rsidR="009A072D">
        <w:t xml:space="preserve"> to confirm details of your reports if necessary. Occasionally</w:t>
      </w:r>
      <w:r w:rsidR="001C428F">
        <w:t>,</w:t>
      </w:r>
      <w:r w:rsidR="009A072D">
        <w:t xml:space="preserve"> we may need to re-examine claims, </w:t>
      </w:r>
      <w:r w:rsidR="007A677A">
        <w:t xml:space="preserve">ask for more </w:t>
      </w:r>
      <w:r w:rsidR="009A072D">
        <w:t xml:space="preserve">information or request an independent audit of claims and payments. </w:t>
      </w:r>
    </w:p>
    <w:p w14:paraId="7C620E8E" w14:textId="77777777" w:rsidR="009A072D" w:rsidRPr="00183EED" w:rsidRDefault="009A072D" w:rsidP="00181A24">
      <w:bookmarkStart w:id="123" w:name="_Toc468693655"/>
      <w:bookmarkStart w:id="124" w:name="_Toc509838910"/>
      <w:r w:rsidRPr="00181A24">
        <w:rPr>
          <w:b/>
        </w:rPr>
        <w:t>Progress reports</w:t>
      </w:r>
      <w:bookmarkEnd w:id="123"/>
      <w:bookmarkEnd w:id="124"/>
    </w:p>
    <w:p w14:paraId="58D54F67" w14:textId="77777777" w:rsidR="009A072D" w:rsidRDefault="009A072D" w:rsidP="009A072D">
      <w:r>
        <w:t>Progress</w:t>
      </w:r>
      <w:r w:rsidRPr="00E162FF">
        <w:t xml:space="preserve"> reports must</w:t>
      </w:r>
      <w:r w:rsidR="00601F72">
        <w:t>:</w:t>
      </w:r>
    </w:p>
    <w:p w14:paraId="0A53F8F7" w14:textId="77777777" w:rsidR="009A072D" w:rsidRDefault="009A072D" w:rsidP="009A072D">
      <w:pPr>
        <w:pStyle w:val="ListBullet"/>
        <w:numPr>
          <w:ilvl w:val="0"/>
          <w:numId w:val="7"/>
        </w:numPr>
        <w:spacing w:before="60" w:after="60"/>
        <w:ind w:left="357" w:hanging="357"/>
      </w:pPr>
      <w:r w:rsidRPr="00E162FF">
        <w:t>include evidence</w:t>
      </w:r>
      <w:r>
        <w:t xml:space="preserve"> of your progress toward completion of agreed activities</w:t>
      </w:r>
      <w:r w:rsidR="00780216">
        <w:t xml:space="preserve"> and outcomes</w:t>
      </w:r>
    </w:p>
    <w:p w14:paraId="5282C757" w14:textId="77777777" w:rsidR="009A072D" w:rsidRDefault="009A072D" w:rsidP="009A072D">
      <w:pPr>
        <w:pStyle w:val="ListBullet"/>
        <w:numPr>
          <w:ilvl w:val="0"/>
          <w:numId w:val="7"/>
        </w:numPr>
        <w:spacing w:before="60" w:after="60"/>
        <w:ind w:left="357" w:hanging="357"/>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7E262380" w14:textId="4619B688" w:rsidR="009A072D" w:rsidRDefault="009A072D" w:rsidP="009A072D">
      <w:pPr>
        <w:pStyle w:val="ListBullet"/>
        <w:numPr>
          <w:ilvl w:val="0"/>
          <w:numId w:val="7"/>
        </w:numPr>
        <w:spacing w:before="60" w:after="60"/>
        <w:ind w:left="357" w:hanging="357"/>
      </w:pPr>
      <w:proofErr w:type="gramStart"/>
      <w:r>
        <w:t>be</w:t>
      </w:r>
      <w:proofErr w:type="gramEnd"/>
      <w:r>
        <w:t xml:space="preserve"> submitted by the report due date </w:t>
      </w:r>
      <w:r w:rsidR="00456E23">
        <w:t xml:space="preserve">outlined in the grant agreement </w:t>
      </w:r>
      <w:r>
        <w:t>(you can submit reports ahead of time if you have completed relevant activities).</w:t>
      </w:r>
    </w:p>
    <w:p w14:paraId="182CEFF8" w14:textId="77777777" w:rsidR="009A072D" w:rsidRDefault="00E96DD6" w:rsidP="009A072D">
      <w:r>
        <w:t>We</w:t>
      </w:r>
      <w:r w:rsidR="009A072D">
        <w:t xml:space="preserve"> will only make grant p</w:t>
      </w:r>
      <w:r w:rsidR="009A072D" w:rsidRPr="00E162FF">
        <w:t xml:space="preserve">ayments </w:t>
      </w:r>
      <w:r w:rsidR="009A072D">
        <w:t xml:space="preserve">when we receive </w:t>
      </w:r>
      <w:r w:rsidR="009A072D" w:rsidRPr="00E162FF">
        <w:t xml:space="preserve">satisfactory </w:t>
      </w:r>
      <w:r w:rsidR="009A072D">
        <w:t>progress</w:t>
      </w:r>
      <w:r w:rsidR="009A072D" w:rsidRPr="00E162FF">
        <w:t xml:space="preserve"> reports.</w:t>
      </w:r>
      <w:r w:rsidR="009A072D">
        <w:t xml:space="preserve"> </w:t>
      </w:r>
    </w:p>
    <w:p w14:paraId="0EFECA59" w14:textId="77777777" w:rsidR="00194969" w:rsidRDefault="009A072D" w:rsidP="009A072D">
      <w:r>
        <w:t xml:space="preserve">You must </w:t>
      </w:r>
      <w:r w:rsidR="003106BC">
        <w:t>tell us of</w:t>
      </w:r>
      <w:r>
        <w:t xml:space="preserve"> any reporting delays with us as soon as you become aware of them.</w:t>
      </w:r>
    </w:p>
    <w:p w14:paraId="5FA57639" w14:textId="77777777" w:rsidR="00565996" w:rsidRPr="00183EED" w:rsidRDefault="00565996" w:rsidP="00181A24">
      <w:bookmarkStart w:id="125" w:name="_Toc509838911"/>
      <w:bookmarkStart w:id="126" w:name="_Toc468693656"/>
      <w:r w:rsidRPr="00181A24">
        <w:rPr>
          <w:b/>
        </w:rPr>
        <w:t>Ad-hoc reports</w:t>
      </w:r>
      <w:r w:rsidR="00561C96" w:rsidRPr="00181A24">
        <w:rPr>
          <w:b/>
        </w:rPr>
        <w:t xml:space="preserve"> </w:t>
      </w:r>
      <w:bookmarkEnd w:id="125"/>
    </w:p>
    <w:p w14:paraId="69B543E4" w14:textId="77777777" w:rsidR="00565996" w:rsidRDefault="00565996" w:rsidP="00565996">
      <w:r>
        <w:t xml:space="preserve">We may ask you for ad-hoc reports on your </w:t>
      </w:r>
      <w:r w:rsidR="00B501CF">
        <w:t>grant</w:t>
      </w:r>
      <w:r>
        <w:t xml:space="preserve">. This may be to provide an update on progress, or any significant delays or difficulties in completing the </w:t>
      </w:r>
      <w:r w:rsidR="00B501CF" w:rsidRPr="00523F5A">
        <w:rPr>
          <w:color w:val="000000" w:themeColor="text1"/>
        </w:rPr>
        <w:t>grant activity</w:t>
      </w:r>
      <w:r w:rsidRPr="00523F5A">
        <w:rPr>
          <w:color w:val="000000" w:themeColor="text1"/>
        </w:rPr>
        <w:t>.</w:t>
      </w:r>
    </w:p>
    <w:p w14:paraId="69FA8433" w14:textId="77777777" w:rsidR="009A072D" w:rsidRPr="00183EED" w:rsidRDefault="009A072D" w:rsidP="00181A24">
      <w:bookmarkStart w:id="127" w:name="_Toc509838912"/>
      <w:r w:rsidRPr="00181A24">
        <w:rPr>
          <w:b/>
        </w:rPr>
        <w:t>Final report</w:t>
      </w:r>
      <w:bookmarkEnd w:id="126"/>
      <w:bookmarkEnd w:id="127"/>
    </w:p>
    <w:p w14:paraId="4AAE9AD4" w14:textId="77777777" w:rsidR="009A072D" w:rsidRDefault="009A072D" w:rsidP="009A072D">
      <w:r>
        <w:t xml:space="preserve">When you complete the </w:t>
      </w:r>
      <w:r w:rsidR="00B501CF" w:rsidRPr="00523F5A">
        <w:rPr>
          <w:color w:val="000000" w:themeColor="text1"/>
        </w:rPr>
        <w:t>grant activity</w:t>
      </w:r>
      <w:r>
        <w:t>, you must submit a final report.</w:t>
      </w:r>
    </w:p>
    <w:p w14:paraId="27768BFC" w14:textId="77777777" w:rsidR="009A072D" w:rsidRDefault="009A072D" w:rsidP="009A072D">
      <w:r>
        <w:t>Final reports must</w:t>
      </w:r>
      <w:r w:rsidR="000F48FA">
        <w:t>:</w:t>
      </w:r>
    </w:p>
    <w:p w14:paraId="09E51BA4" w14:textId="77777777" w:rsidR="00AD6169" w:rsidRDefault="000F48FA" w:rsidP="009A072D">
      <w:pPr>
        <w:pStyle w:val="ListBullet"/>
        <w:numPr>
          <w:ilvl w:val="0"/>
          <w:numId w:val="7"/>
        </w:numPr>
        <w:spacing w:before="60" w:after="60"/>
        <w:ind w:left="357" w:hanging="357"/>
      </w:pPr>
      <w:r>
        <w:t>i</w:t>
      </w:r>
      <w:r w:rsidR="00AD6169">
        <w:t>dentify if and how outcomes have been achieved</w:t>
      </w:r>
    </w:p>
    <w:p w14:paraId="356214EE" w14:textId="77777777" w:rsidR="009A072D" w:rsidRDefault="009A072D" w:rsidP="009A072D">
      <w:pPr>
        <w:pStyle w:val="ListBullet"/>
        <w:numPr>
          <w:ilvl w:val="0"/>
          <w:numId w:val="7"/>
        </w:numPr>
        <w:spacing w:before="60" w:after="60"/>
        <w:ind w:left="357" w:hanging="357"/>
      </w:pPr>
      <w:r w:rsidRPr="00E162FF">
        <w:lastRenderedPageBreak/>
        <w:t>include the agreed evidence</w:t>
      </w:r>
      <w:r>
        <w:t xml:space="preserve"> as specified in the grant agreement</w:t>
      </w:r>
    </w:p>
    <w:p w14:paraId="0EC9CAB3" w14:textId="77777777" w:rsidR="009A072D" w:rsidRDefault="009A072D" w:rsidP="009A072D">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rsidR="00B501CF">
        <w:t>incurred</w:t>
      </w:r>
    </w:p>
    <w:p w14:paraId="411E0386" w14:textId="77777777" w:rsidR="00A8702B" w:rsidRDefault="009A072D" w:rsidP="009A072D">
      <w:pPr>
        <w:pStyle w:val="ListBullet"/>
        <w:numPr>
          <w:ilvl w:val="0"/>
          <w:numId w:val="7"/>
        </w:numPr>
        <w:spacing w:before="60" w:after="60"/>
        <w:ind w:left="357" w:hanging="357"/>
      </w:pPr>
      <w:r>
        <w:t xml:space="preserve">be submitted </w:t>
      </w:r>
      <w:r w:rsidR="0086382B">
        <w:t xml:space="preserve">by the due date and </w:t>
      </w:r>
      <w:r w:rsidR="00782A88">
        <w:t>in</w:t>
      </w:r>
      <w:r>
        <w:t xml:space="preserve"> the format provided in the grant agreement</w:t>
      </w:r>
    </w:p>
    <w:p w14:paraId="6E71FF81" w14:textId="15D06FFD" w:rsidR="009A072D" w:rsidRDefault="00A8702B" w:rsidP="009A072D">
      <w:pPr>
        <w:pStyle w:val="ListBullet"/>
        <w:numPr>
          <w:ilvl w:val="0"/>
          <w:numId w:val="7"/>
        </w:numPr>
        <w:spacing w:before="60" w:after="60"/>
        <w:ind w:left="357" w:hanging="357"/>
      </w:pPr>
      <w:proofErr w:type="gramStart"/>
      <w:r>
        <w:t>include</w:t>
      </w:r>
      <w:proofErr w:type="gramEnd"/>
      <w:r>
        <w:t xml:space="preserve"> an independently audited financial acquittal report.</w:t>
      </w:r>
    </w:p>
    <w:p w14:paraId="3CF566BD" w14:textId="5F4FCAA1" w:rsidR="0076105C" w:rsidRDefault="0076105C">
      <w:pPr>
        <w:spacing w:before="0" w:after="0" w:line="240" w:lineRule="auto"/>
        <w:rPr>
          <w:rFonts w:cs="Arial"/>
          <w:b/>
          <w:bCs/>
          <w:iCs/>
          <w:color w:val="264F90"/>
          <w:sz w:val="24"/>
          <w:szCs w:val="32"/>
        </w:rPr>
      </w:pPr>
      <w:bookmarkStart w:id="128" w:name="_Toc509572409"/>
      <w:bookmarkStart w:id="129" w:name="_Toc509572410"/>
      <w:bookmarkStart w:id="130" w:name="_Toc509572411"/>
      <w:bookmarkEnd w:id="128"/>
      <w:bookmarkEnd w:id="129"/>
      <w:bookmarkEnd w:id="130"/>
    </w:p>
    <w:p w14:paraId="2663E6D5" w14:textId="4FDF1A01" w:rsidR="009A072D" w:rsidRPr="0052630B" w:rsidRDefault="00EC727B" w:rsidP="00A8702B">
      <w:pPr>
        <w:pStyle w:val="Heading3"/>
      </w:pPr>
      <w:bookmarkStart w:id="131" w:name="_Toc17704035"/>
      <w:r w:rsidRPr="0052630B">
        <w:t>Audited financial acquittal report</w:t>
      </w:r>
      <w:bookmarkEnd w:id="131"/>
    </w:p>
    <w:p w14:paraId="619B53AA" w14:textId="7864FD1F" w:rsidR="00C006A3" w:rsidRDefault="00E96DD6" w:rsidP="009A072D">
      <w:r>
        <w:t>We</w:t>
      </w:r>
      <w:r w:rsidR="007A19D9" w:rsidRPr="007A19D9">
        <w:rPr>
          <w:color w:val="0070C0"/>
        </w:rPr>
        <w:t xml:space="preserve"> </w:t>
      </w:r>
      <w:r w:rsidR="001C428F">
        <w:t xml:space="preserve">will </w:t>
      </w:r>
      <w:r w:rsidR="009A072D">
        <w:t xml:space="preserve">ask you to provide </w:t>
      </w:r>
      <w:r w:rsidR="009A072D" w:rsidRPr="004800A3">
        <w:t>a</w:t>
      </w:r>
      <w:r w:rsidR="009A072D">
        <w:t xml:space="preserve">n </w:t>
      </w:r>
      <w:r w:rsidR="009A072D" w:rsidRPr="005757A8">
        <w:t>independently audited financial acquittal report</w:t>
      </w:r>
      <w:r w:rsidR="009A072D">
        <w:t>.</w:t>
      </w:r>
      <w:r w:rsidR="009A072D" w:rsidRPr="004800A3">
        <w:t xml:space="preserve"> A</w:t>
      </w:r>
      <w:r w:rsidR="009A072D">
        <w:t xml:space="preserve"> </w:t>
      </w:r>
      <w:r w:rsidR="009A072D" w:rsidRPr="005757A8">
        <w:t>financial acquittal report</w:t>
      </w:r>
      <w:r w:rsidR="009A072D">
        <w:t xml:space="preserve"> </w:t>
      </w:r>
      <w:r w:rsidR="009A072D" w:rsidRPr="004800A3">
        <w:t xml:space="preserve">will verify that </w:t>
      </w:r>
      <w:r w:rsidR="009A072D">
        <w:t xml:space="preserve">you spent the grant in </w:t>
      </w:r>
      <w:r w:rsidR="00827752" w:rsidRPr="0052630B">
        <w:t>accordance with the grant agreement.</w:t>
      </w:r>
    </w:p>
    <w:p w14:paraId="1EE59C3E" w14:textId="77777777" w:rsidR="004A2224" w:rsidRPr="00F4677D" w:rsidRDefault="004A2224" w:rsidP="00A8702B">
      <w:pPr>
        <w:pStyle w:val="Heading3"/>
      </w:pPr>
      <w:bookmarkStart w:id="132" w:name="_Toc17704036"/>
      <w:bookmarkStart w:id="133" w:name="_Toc468693659"/>
      <w:r w:rsidRPr="00F4677D">
        <w:t xml:space="preserve">Grant </w:t>
      </w:r>
      <w:r w:rsidR="009400E0">
        <w:t>a</w:t>
      </w:r>
      <w:r w:rsidRPr="00F4677D">
        <w:t>greement variations</w:t>
      </w:r>
      <w:bookmarkEnd w:id="132"/>
    </w:p>
    <w:p w14:paraId="69A7B72F" w14:textId="25D83E93" w:rsidR="004A2224" w:rsidRPr="00523F5A" w:rsidRDefault="00E96DD6" w:rsidP="004A2224">
      <w:pPr>
        <w:tabs>
          <w:tab w:val="left" w:pos="0"/>
        </w:tabs>
        <w:rPr>
          <w:bCs/>
          <w:color w:val="000000" w:themeColor="text1"/>
          <w:lang w:eastAsia="en-AU"/>
        </w:rPr>
      </w:pPr>
      <w:r>
        <w:t>We</w:t>
      </w:r>
      <w:r w:rsidR="00B30DA9">
        <w:rPr>
          <w:bCs/>
          <w:lang w:eastAsia="en-AU"/>
        </w:rPr>
        <w:t xml:space="preserve"> </w:t>
      </w:r>
      <w:r w:rsidR="004A2224" w:rsidRPr="00795673">
        <w:rPr>
          <w:bCs/>
          <w:lang w:eastAsia="en-AU"/>
        </w:rPr>
        <w:t xml:space="preserve">recognise that unexpected events may affect your progress. In these circumstances, you can request a variation to your </w:t>
      </w:r>
      <w:r w:rsidR="006F16B1" w:rsidRPr="006F16B1">
        <w:rPr>
          <w:bCs/>
          <w:lang w:eastAsia="en-AU"/>
        </w:rPr>
        <w:t>grant agreement</w:t>
      </w:r>
      <w:r w:rsidR="00DD22BF">
        <w:rPr>
          <w:bCs/>
          <w:lang w:eastAsia="en-AU"/>
        </w:rPr>
        <w:t xml:space="preserve">. You can request a variation </w:t>
      </w:r>
      <w:r w:rsidR="00DD22BF" w:rsidRPr="00523F5A">
        <w:rPr>
          <w:bCs/>
          <w:color w:val="000000" w:themeColor="text1"/>
          <w:lang w:eastAsia="en-AU"/>
        </w:rPr>
        <w:t xml:space="preserve">by </w:t>
      </w:r>
      <w:r w:rsidR="00C6593B" w:rsidRPr="00523F5A">
        <w:rPr>
          <w:bCs/>
          <w:color w:val="000000" w:themeColor="text1"/>
          <w:lang w:eastAsia="en-AU"/>
        </w:rPr>
        <w:t xml:space="preserve">contacting </w:t>
      </w:r>
      <w:r w:rsidR="00112022" w:rsidRPr="00523F5A">
        <w:rPr>
          <w:bCs/>
          <w:color w:val="000000" w:themeColor="text1"/>
          <w:lang w:eastAsia="en-AU"/>
        </w:rPr>
        <w:t xml:space="preserve">the </w:t>
      </w:r>
      <w:r w:rsidR="003F441F">
        <w:rPr>
          <w:rFonts w:cs="Arial"/>
          <w:color w:val="000000" w:themeColor="text1"/>
        </w:rPr>
        <w:t>department</w:t>
      </w:r>
      <w:r w:rsidR="001C428F">
        <w:rPr>
          <w:rFonts w:cs="Arial"/>
          <w:color w:val="000000" w:themeColor="text1"/>
        </w:rPr>
        <w:t xml:space="preserve"> in writing</w:t>
      </w:r>
      <w:r w:rsidR="00C6593B" w:rsidRPr="00523F5A">
        <w:rPr>
          <w:bCs/>
          <w:color w:val="000000" w:themeColor="text1"/>
          <w:lang w:eastAsia="en-AU"/>
        </w:rPr>
        <w:t xml:space="preserve">. </w:t>
      </w:r>
    </w:p>
    <w:p w14:paraId="622B7CE9" w14:textId="77777777" w:rsidR="00164671" w:rsidRDefault="004A2224" w:rsidP="00164671">
      <w:r w:rsidRPr="00164671">
        <w:t xml:space="preserve">You should not assume that a variation request </w:t>
      </w:r>
      <w:proofErr w:type="gramStart"/>
      <w:r w:rsidRPr="00164671">
        <w:t>will</w:t>
      </w:r>
      <w:proofErr w:type="gramEnd"/>
      <w:r w:rsidRPr="00164671">
        <w:t xml:space="preserve"> be successful. </w:t>
      </w:r>
      <w:r w:rsidR="00E96DD6">
        <w:t>We</w:t>
      </w:r>
      <w:r w:rsidRPr="00164671">
        <w:t xml:space="preserve"> will consider your request based on </w:t>
      </w:r>
      <w:r w:rsidR="00AD6169">
        <w:t xml:space="preserve">provisions in the </w:t>
      </w:r>
      <w:r w:rsidR="006F16B1" w:rsidRPr="006F16B1">
        <w:t>grant agreement</w:t>
      </w:r>
      <w:r w:rsidR="006F16B1">
        <w:t xml:space="preserve"> </w:t>
      </w:r>
      <w:r w:rsidR="00802523">
        <w:t>and the</w:t>
      </w:r>
      <w:r w:rsidR="00796F89">
        <w:t xml:space="preserve"> likely</w:t>
      </w:r>
      <w:r w:rsidR="00802523">
        <w:t xml:space="preserve"> impact on achieving</w:t>
      </w:r>
      <w:r w:rsidR="00AD6169">
        <w:t xml:space="preserve"> outcomes</w:t>
      </w:r>
      <w:r w:rsidR="00DD22BF">
        <w:t>.</w:t>
      </w:r>
    </w:p>
    <w:p w14:paraId="3963D3A2" w14:textId="77777777" w:rsidR="00832FC6" w:rsidRDefault="00492B00" w:rsidP="00A8702B">
      <w:pPr>
        <w:pStyle w:val="Heading3"/>
      </w:pPr>
      <w:bookmarkStart w:id="134" w:name="_Toc17704037"/>
      <w:r>
        <w:t>Compliance visits</w:t>
      </w:r>
      <w:bookmarkEnd w:id="133"/>
      <w:bookmarkEnd w:id="134"/>
      <w:r w:rsidR="00DC4884">
        <w:t xml:space="preserve"> </w:t>
      </w:r>
    </w:p>
    <w:p w14:paraId="45BAB149" w14:textId="77777777" w:rsidR="00795673" w:rsidRPr="00E067F3" w:rsidRDefault="00E96DD6" w:rsidP="00BB5D57">
      <w:r>
        <w:t>We</w:t>
      </w:r>
      <w:r w:rsidR="00C6593B" w:rsidRPr="00C6593B">
        <w:rPr>
          <w:color w:val="0070C0"/>
        </w:rPr>
        <w:t xml:space="preserve"> </w:t>
      </w:r>
      <w:r w:rsidR="00AD6169">
        <w:t xml:space="preserve">may visit you during or at the completion of your grant activity to review your compliance with the </w:t>
      </w:r>
      <w:r w:rsidR="006F16B1" w:rsidRPr="006F16B1">
        <w:t>grant agreement</w:t>
      </w:r>
      <w:r w:rsidR="00164671">
        <w:t>.</w:t>
      </w:r>
      <w:r w:rsidR="00AD6169">
        <w:t xml:space="preserve"> We will provide you with rea</w:t>
      </w:r>
      <w:r w:rsidR="00AD6169" w:rsidRPr="00E067F3">
        <w:t>sonable notice of any compliance visit</w:t>
      </w:r>
      <w:r w:rsidR="006567FA" w:rsidRPr="00E067F3">
        <w:t>.</w:t>
      </w:r>
    </w:p>
    <w:p w14:paraId="263029A5" w14:textId="77777777" w:rsidR="00492B00" w:rsidRPr="00E067F3" w:rsidRDefault="00832FC6" w:rsidP="00A8702B">
      <w:pPr>
        <w:pStyle w:val="Heading3"/>
      </w:pPr>
      <w:bookmarkStart w:id="135" w:name="_Toc17704038"/>
      <w:r w:rsidRPr="00E067F3">
        <w:t>R</w:t>
      </w:r>
      <w:r w:rsidR="00DC4884" w:rsidRPr="00E067F3">
        <w:t>ecord keeping</w:t>
      </w:r>
      <w:bookmarkEnd w:id="135"/>
    </w:p>
    <w:p w14:paraId="20BA568A" w14:textId="77777777" w:rsidR="00795673" w:rsidRDefault="00E96DD6" w:rsidP="00795673">
      <w:r>
        <w:t>We</w:t>
      </w:r>
      <w:r w:rsidR="0028433B">
        <w:t xml:space="preserve"> may also inspect the records you are required to keep under the </w:t>
      </w:r>
      <w:r w:rsidR="006F16B1" w:rsidRPr="006F16B1">
        <w:t>grant agreement</w:t>
      </w:r>
      <w:r w:rsidR="00795673">
        <w:t>.</w:t>
      </w:r>
      <w:r w:rsidR="00164671">
        <w:t xml:space="preserve"> </w:t>
      </w:r>
    </w:p>
    <w:p w14:paraId="2796BD6F" w14:textId="77777777" w:rsidR="00E1311F" w:rsidRDefault="004B1409" w:rsidP="00A8702B">
      <w:pPr>
        <w:pStyle w:val="Heading3"/>
      </w:pPr>
      <w:bookmarkStart w:id="136" w:name="_Toc17704039"/>
      <w:r>
        <w:t>Evaluation</w:t>
      </w:r>
      <w:bookmarkEnd w:id="136"/>
    </w:p>
    <w:p w14:paraId="5CEE01DF" w14:textId="547CCB50" w:rsidR="00B501CF" w:rsidRDefault="00E96DD6" w:rsidP="004B1409">
      <w:r>
        <w:t>We</w:t>
      </w:r>
      <w:r w:rsidR="00C6593B" w:rsidRPr="00726710">
        <w:rPr>
          <w:color w:val="4F6228" w:themeColor="accent3" w:themeShade="80"/>
        </w:rPr>
        <w:t xml:space="preserve"> </w:t>
      </w:r>
      <w:r w:rsidR="004B1409">
        <w:t xml:space="preserve">will </w:t>
      </w:r>
      <w:r w:rsidR="004B1409" w:rsidRPr="00B72EE8">
        <w:t>evaluat</w:t>
      </w:r>
      <w:r w:rsidR="004B1409">
        <w:t>e</w:t>
      </w:r>
      <w:r w:rsidR="004B1409" w:rsidRPr="00B72EE8">
        <w:t xml:space="preserve"> </w:t>
      </w:r>
      <w:r w:rsidR="004B1409" w:rsidRPr="00726710">
        <w:t>the</w:t>
      </w:r>
      <w:r w:rsidR="004B1409" w:rsidRPr="0073429A">
        <w:t xml:space="preserve"> </w:t>
      </w:r>
      <w:r w:rsidR="008521C4" w:rsidRPr="0073429A">
        <w:t>Murray-Darling Basin Economic Development</w:t>
      </w:r>
      <w:r w:rsidR="008521C4" w:rsidRPr="008521C4">
        <w:rPr>
          <w:color w:val="4F6228" w:themeColor="accent3" w:themeShade="80"/>
        </w:rPr>
        <w:t xml:space="preserve"> </w:t>
      </w:r>
      <w:r w:rsidR="00E10247" w:rsidRPr="00756319">
        <w:t>Round 2</w:t>
      </w:r>
      <w:r w:rsidR="00E10247">
        <w:rPr>
          <w:color w:val="4F6228" w:themeColor="accent3" w:themeShade="80"/>
        </w:rPr>
        <w:t xml:space="preserve"> </w:t>
      </w:r>
      <w:r w:rsidR="004B1409" w:rsidRPr="00056158">
        <w:t xml:space="preserve">grant </w:t>
      </w:r>
      <w:r w:rsidR="00056158" w:rsidRPr="00523F5A">
        <w:rPr>
          <w:color w:val="000000" w:themeColor="text1"/>
        </w:rPr>
        <w:t>opportunity</w:t>
      </w:r>
      <w:r w:rsidR="004B1409" w:rsidRPr="00523F5A">
        <w:rPr>
          <w:b/>
          <w:color w:val="000000" w:themeColor="text1"/>
        </w:rPr>
        <w:t xml:space="preserve"> </w:t>
      </w:r>
      <w:r w:rsidR="004B1409" w:rsidRPr="00B72EE8">
        <w:t>to</w:t>
      </w:r>
      <w:r w:rsidR="004B1409">
        <w:t xml:space="preserve"> </w:t>
      </w:r>
      <w:r w:rsidR="00A53C2A">
        <w:t xml:space="preserve">see </w:t>
      </w:r>
      <w:r w:rsidR="004B1409">
        <w:t xml:space="preserve">how well </w:t>
      </w:r>
      <w:r w:rsidR="004B1409" w:rsidRPr="00B72EE8">
        <w:t xml:space="preserve">the outcomes and objectives have been achieved. </w:t>
      </w:r>
      <w:r w:rsidR="009A072D">
        <w:t xml:space="preserve">We may use information from your application and reports for this purpose. We may also </w:t>
      </w:r>
      <w:r w:rsidR="007A677A">
        <w:t xml:space="preserve">ask you </w:t>
      </w:r>
      <w:r w:rsidR="009A072D">
        <w:t xml:space="preserve">for more information to help us understand how the grant </w:t>
      </w:r>
      <w:proofErr w:type="gramStart"/>
      <w:r w:rsidR="009A072D">
        <w:t>impacted</w:t>
      </w:r>
      <w:proofErr w:type="gramEnd"/>
      <w:r w:rsidR="009A072D">
        <w:t xml:space="preserve"> you and to evaluate how effective the program</w:t>
      </w:r>
      <w:r w:rsidR="00B501CF">
        <w:t xml:space="preserve"> was in achieving its outcomes.</w:t>
      </w:r>
    </w:p>
    <w:p w14:paraId="31CAAAD8" w14:textId="74236940" w:rsidR="004B1409" w:rsidRDefault="00E96DD6" w:rsidP="004B1409">
      <w:r>
        <w:t xml:space="preserve">We </w:t>
      </w:r>
      <w:r w:rsidR="009A072D">
        <w:t xml:space="preserve">may contact you up to </w:t>
      </w:r>
      <w:r w:rsidR="002306D9" w:rsidRPr="00523F5A">
        <w:rPr>
          <w:color w:val="000000" w:themeColor="text1"/>
        </w:rPr>
        <w:t>two</w:t>
      </w:r>
      <w:r w:rsidR="009A072D" w:rsidRPr="00523F5A">
        <w:rPr>
          <w:color w:val="000000" w:themeColor="text1"/>
        </w:rPr>
        <w:t xml:space="preserve"> </w:t>
      </w:r>
      <w:r w:rsidR="009A072D">
        <w:t>year</w:t>
      </w:r>
      <w:r w:rsidR="00523F5A">
        <w:t>s</w:t>
      </w:r>
      <w:r w:rsidR="009A072D">
        <w:t xml:space="preserve"> after you finish your </w:t>
      </w:r>
      <w:r w:rsidR="00B501CF">
        <w:t>grant</w:t>
      </w:r>
      <w:r w:rsidR="009A072D">
        <w:t xml:space="preserve"> for more information to assist with </w:t>
      </w:r>
      <w:r w:rsidR="00E10247">
        <w:t>program</w:t>
      </w:r>
      <w:r w:rsidR="009A072D">
        <w:t xml:space="preserve"> evaluation</w:t>
      </w:r>
      <w:r w:rsidR="004B1409" w:rsidRPr="00B72EE8">
        <w:t>.</w:t>
      </w:r>
      <w:r w:rsidR="00D54F36">
        <w:t xml:space="preserve"> </w:t>
      </w:r>
    </w:p>
    <w:p w14:paraId="4708EA59" w14:textId="77777777" w:rsidR="00E1311F" w:rsidRDefault="004B1409" w:rsidP="00A8702B">
      <w:pPr>
        <w:pStyle w:val="Heading3"/>
      </w:pPr>
      <w:bookmarkStart w:id="137" w:name="_Toc17704040"/>
      <w:r>
        <w:t>Acknowledgement</w:t>
      </w:r>
      <w:bookmarkEnd w:id="137"/>
    </w:p>
    <w:p w14:paraId="3C1335EB" w14:textId="77777777" w:rsidR="00512E13" w:rsidRDefault="00512E13" w:rsidP="00512E13">
      <w:pPr>
        <w:rPr>
          <w:rFonts w:eastAsiaTheme="minorHAnsi"/>
        </w:rPr>
      </w:pPr>
      <w:r>
        <w:t xml:space="preserve">If you make a public statement about a </w:t>
      </w:r>
      <w:r w:rsidR="005163DB" w:rsidRPr="00523F5A">
        <w:rPr>
          <w:color w:val="000000" w:themeColor="text1"/>
        </w:rPr>
        <w:t>grant activity</w:t>
      </w:r>
      <w:r w:rsidRPr="00523F5A">
        <w:rPr>
          <w:color w:val="000000" w:themeColor="text1"/>
        </w:rPr>
        <w:t xml:space="preserve"> funded </w:t>
      </w:r>
      <w:r>
        <w:t>under the program, we require you to acknowledge the grant by using the following:</w:t>
      </w:r>
    </w:p>
    <w:p w14:paraId="48084D31" w14:textId="7E577A8B" w:rsidR="004B1409" w:rsidRDefault="00903AE7" w:rsidP="001678AE">
      <w:pPr>
        <w:spacing w:after="0"/>
      </w:pPr>
      <w:r>
        <w:t>‘</w:t>
      </w:r>
      <w:r w:rsidR="004B1409" w:rsidRPr="008B782D">
        <w:t xml:space="preserve">This </w:t>
      </w:r>
      <w:r w:rsidR="008521C4" w:rsidRPr="008521C4">
        <w:rPr>
          <w:color w:val="000000" w:themeColor="text1"/>
        </w:rPr>
        <w:t xml:space="preserve">Murray-Darling Basin Economic Development Program </w:t>
      </w:r>
      <w:r w:rsidR="007C4B85">
        <w:rPr>
          <w:color w:val="000000" w:themeColor="text1"/>
        </w:rPr>
        <w:t>project</w:t>
      </w:r>
      <w:r w:rsidR="007C4B85" w:rsidRPr="00523F5A">
        <w:rPr>
          <w:color w:val="000000" w:themeColor="text1"/>
        </w:rPr>
        <w:t xml:space="preserve"> </w:t>
      </w:r>
      <w:r w:rsidR="004B1409" w:rsidRPr="008B782D">
        <w:t>received gra</w:t>
      </w:r>
      <w:r w:rsidR="007A677A">
        <w:t xml:space="preserve">nt funding from the Australian </w:t>
      </w:r>
      <w:r w:rsidR="007C4B85">
        <w:t>G</w:t>
      </w:r>
      <w:r w:rsidR="007C4B85" w:rsidRPr="008B782D">
        <w:t>overnment</w:t>
      </w:r>
      <w:r w:rsidR="004B1409" w:rsidRPr="008B782D">
        <w:t>.</w:t>
      </w:r>
      <w:r w:rsidR="004B1409">
        <w:t>’</w:t>
      </w:r>
    </w:p>
    <w:p w14:paraId="708532F1" w14:textId="686EB40E" w:rsidR="003F0134" w:rsidRPr="00756319" w:rsidRDefault="00756319" w:rsidP="003F0134">
      <w:pPr>
        <w:rPr>
          <w:i/>
        </w:rPr>
      </w:pPr>
      <w:proofErr w:type="gramStart"/>
      <w:r w:rsidRPr="00756319">
        <w:rPr>
          <w:i/>
        </w:rPr>
        <w:t>or</w:t>
      </w:r>
      <w:proofErr w:type="gramEnd"/>
    </w:p>
    <w:p w14:paraId="72FE0CA2" w14:textId="6139BEDB" w:rsidR="007C4B85" w:rsidRPr="00B72EE8" w:rsidRDefault="003F0134" w:rsidP="003F0134">
      <w:r>
        <w:t>‘</w:t>
      </w:r>
      <w:r w:rsidR="007C4B85" w:rsidRPr="003F0134">
        <w:t>This project was funded by the Australian Government under the Murray</w:t>
      </w:r>
      <w:r w:rsidR="006D65FC">
        <w:t>-</w:t>
      </w:r>
      <w:r w:rsidR="007C4B85" w:rsidRPr="003F0134">
        <w:t>Darling Basi</w:t>
      </w:r>
      <w:r>
        <w:t>n Economic Development Program.’</w:t>
      </w:r>
    </w:p>
    <w:p w14:paraId="01861BF5" w14:textId="77777777" w:rsidR="00E1311F" w:rsidRDefault="004B1409" w:rsidP="009668F6">
      <w:pPr>
        <w:pStyle w:val="Heading2"/>
      </w:pPr>
      <w:bookmarkStart w:id="138" w:name="_Toc17704041"/>
      <w:r>
        <w:lastRenderedPageBreak/>
        <w:t>Probity</w:t>
      </w:r>
      <w:bookmarkEnd w:id="138"/>
    </w:p>
    <w:p w14:paraId="10EB409A" w14:textId="31D96DA3" w:rsidR="004B1409" w:rsidRPr="00726710" w:rsidRDefault="007A677A" w:rsidP="004B1409">
      <w:r>
        <w:t xml:space="preserve">The Australian </w:t>
      </w:r>
      <w:r w:rsidR="00A8702B">
        <w:t>Government</w:t>
      </w:r>
      <w:r w:rsidR="004B1409" w:rsidRPr="00B72EE8">
        <w:t xml:space="preserve"> </w:t>
      </w:r>
      <w:r w:rsidR="004B1409">
        <w:t xml:space="preserve">will make sure that </w:t>
      </w:r>
      <w:r w:rsidR="004B1409" w:rsidRPr="00B72EE8">
        <w:t>the</w:t>
      </w:r>
      <w:r w:rsidR="004B1409">
        <w:t xml:space="preserve"> </w:t>
      </w:r>
      <w:r w:rsidR="00B501CF">
        <w:t xml:space="preserve">grant opportunity </w:t>
      </w:r>
      <w:r w:rsidR="004B1409" w:rsidRPr="00B72EE8">
        <w:t>process is fai</w:t>
      </w:r>
      <w:r w:rsidR="004B1409">
        <w:t xml:space="preserve">r, </w:t>
      </w:r>
      <w:r w:rsidR="004B1409" w:rsidRPr="00B72EE8">
        <w:t>accord</w:t>
      </w:r>
      <w:r w:rsidR="004B1409">
        <w:t>ing to</w:t>
      </w:r>
      <w:r w:rsidR="004B1409" w:rsidRPr="00B72EE8">
        <w:t xml:space="preserve"> the </w:t>
      </w:r>
      <w:r w:rsidR="004B1409" w:rsidRPr="00726710">
        <w:t xml:space="preserve">published guidelines, incorporates appropriate safeguards against fraud, unlawful activities and other inappropriate conduct and is consistent with the </w:t>
      </w:r>
      <w:hyperlink r:id="rId41" w:history="1">
        <w:r w:rsidR="001C428F" w:rsidRPr="000633FD" w:rsidDel="00457E6C">
          <w:rPr>
            <w:rStyle w:val="Hyperlink"/>
          </w:rPr>
          <w:t>CGR</w:t>
        </w:r>
        <w:r w:rsidR="001C428F" w:rsidRPr="000633FD" w:rsidDel="00457E6C">
          <w:rPr>
            <w:rStyle w:val="Hyperlink"/>
          </w:rPr>
          <w:t>G</w:t>
        </w:r>
        <w:r w:rsidR="001C428F" w:rsidRPr="000633FD" w:rsidDel="00457E6C">
          <w:rPr>
            <w:rStyle w:val="Hyperlink"/>
          </w:rPr>
          <w:t>s</w:t>
        </w:r>
        <w:r w:rsidR="004B1409" w:rsidRPr="000633FD">
          <w:rPr>
            <w:rStyle w:val="Hyperlink"/>
          </w:rPr>
          <w:t>.</w:t>
        </w:r>
      </w:hyperlink>
    </w:p>
    <w:p w14:paraId="2C1A0912" w14:textId="3877A217" w:rsidR="004B1409" w:rsidRPr="00122DEC" w:rsidRDefault="004B1409" w:rsidP="004B1409">
      <w:proofErr w:type="gramStart"/>
      <w:r w:rsidRPr="00726710">
        <w:t xml:space="preserve">These guidelines may be changed </w:t>
      </w:r>
      <w:r w:rsidRPr="00122DEC">
        <w:t>by</w:t>
      </w:r>
      <w:r w:rsidRPr="00516E21">
        <w:t xml:space="preserve"> </w:t>
      </w:r>
      <w:r w:rsidR="00112022" w:rsidRPr="00523F5A">
        <w:rPr>
          <w:color w:val="000000" w:themeColor="text1"/>
        </w:rPr>
        <w:t xml:space="preserve">the </w:t>
      </w:r>
      <w:r w:rsidR="003F441F">
        <w:rPr>
          <w:rFonts w:cs="Arial"/>
          <w:color w:val="000000" w:themeColor="text1"/>
        </w:rPr>
        <w:t>department</w:t>
      </w:r>
      <w:proofErr w:type="gramEnd"/>
      <w:r w:rsidR="00790775">
        <w:rPr>
          <w:color w:val="0070C0"/>
        </w:rPr>
        <w:t xml:space="preserve">. </w:t>
      </w:r>
      <w:r w:rsidRPr="00122DEC">
        <w:t xml:space="preserve">When this </w:t>
      </w:r>
      <w:r w:rsidR="00782A88" w:rsidRPr="00122DEC">
        <w:t>happens,</w:t>
      </w:r>
      <w:r w:rsidRPr="00122DEC">
        <w:t xml:space="preserve"> the revised guidelines </w:t>
      </w:r>
      <w:proofErr w:type="gramStart"/>
      <w:r w:rsidR="001C428F">
        <w:t>will be</w:t>
      </w:r>
      <w:r w:rsidR="001C428F" w:rsidRPr="00122DEC">
        <w:t xml:space="preserve"> </w:t>
      </w:r>
      <w:r w:rsidRPr="00122DEC">
        <w:t>published</w:t>
      </w:r>
      <w:proofErr w:type="gramEnd"/>
      <w:r w:rsidRPr="00122DEC">
        <w:t xml:space="preserve"> on </w:t>
      </w:r>
      <w:hyperlink r:id="rId42" w:history="1">
        <w:r w:rsidRPr="00790775">
          <w:rPr>
            <w:rStyle w:val="Hyperlink"/>
          </w:rPr>
          <w:t>GrantConnect</w:t>
        </w:r>
      </w:hyperlink>
      <w:r w:rsidR="00790775">
        <w:t xml:space="preserve"> and the </w:t>
      </w:r>
      <w:hyperlink r:id="rId43" w:history="1">
        <w:r w:rsidR="00790775" w:rsidRPr="00790775">
          <w:rPr>
            <w:rStyle w:val="Hyperlink"/>
          </w:rPr>
          <w:t>Community Grants Hub</w:t>
        </w:r>
      </w:hyperlink>
      <w:r w:rsidR="00790775">
        <w:t xml:space="preserve"> websites. </w:t>
      </w:r>
    </w:p>
    <w:p w14:paraId="7DDAD48F" w14:textId="77777777" w:rsidR="004B1409" w:rsidRDefault="00A0109E" w:rsidP="00A8702B">
      <w:pPr>
        <w:pStyle w:val="Heading3"/>
      </w:pPr>
      <w:bookmarkStart w:id="139" w:name="_Toc17704042"/>
      <w:r>
        <w:t>Enquiries and feedback</w:t>
      </w:r>
      <w:bookmarkEnd w:id="139"/>
    </w:p>
    <w:p w14:paraId="4F19726A" w14:textId="2D36ADDE" w:rsidR="00790775" w:rsidRPr="00925DED" w:rsidRDefault="00790775" w:rsidP="00122DEC">
      <w:pPr>
        <w:rPr>
          <w:rStyle w:val="Hyperlink"/>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r w:rsidR="00925DED">
        <w:fldChar w:fldCharType="begin"/>
      </w:r>
      <w:r w:rsidR="00925DED">
        <w:instrText xml:space="preserve"> HYPERLINK "http://www.agriculture.gov.au/SiteCollectionDocuments/about/client-service-charter/client-service-charter.pdf" </w:instrText>
      </w:r>
      <w:r w:rsidR="00925DED">
        <w:fldChar w:fldCharType="separate"/>
      </w:r>
    </w:p>
    <w:p w14:paraId="1E472380" w14:textId="313DCD79" w:rsidR="004B1409" w:rsidRPr="00FE3B8C" w:rsidRDefault="004B1409" w:rsidP="00FE3B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0" w:after="0" w:line="240" w:lineRule="auto"/>
        <w:rPr>
          <w:rFonts w:ascii="Segoe Print" w:hAnsi="Segoe Print" w:cs="Segoe Print"/>
          <w:sz w:val="22"/>
          <w:szCs w:val="22"/>
        </w:rPr>
      </w:pPr>
      <w:r w:rsidRPr="00925DED">
        <w:rPr>
          <w:rStyle w:val="Hyperlink"/>
        </w:rPr>
        <w:t xml:space="preserve">The </w:t>
      </w:r>
      <w:r w:rsidR="002306D9" w:rsidRPr="00925DED">
        <w:rPr>
          <w:rStyle w:val="Hyperlink"/>
        </w:rPr>
        <w:t>Department of Agriculture</w:t>
      </w:r>
      <w:r w:rsidRPr="00925DED">
        <w:rPr>
          <w:rStyle w:val="Hyperlink"/>
        </w:rPr>
        <w:t xml:space="preserve"> </w:t>
      </w:r>
      <w:r w:rsidR="00FE3B8C" w:rsidRPr="00925DED">
        <w:rPr>
          <w:rStyle w:val="Hyperlink"/>
        </w:rPr>
        <w:t>Client Service Charter</w:t>
      </w:r>
      <w:r w:rsidR="00925DED">
        <w:fldChar w:fldCharType="end"/>
      </w:r>
      <w:r w:rsidR="00FE3B8C" w:rsidRPr="00FE3B8C">
        <w:rPr>
          <w:color w:val="000000" w:themeColor="text1"/>
        </w:rPr>
        <w:t xml:space="preserve"> </w:t>
      </w:r>
      <w:r w:rsidR="00FE3B8C" w:rsidRPr="00FE3B8C">
        <w:t>applies</w:t>
      </w:r>
      <w:r w:rsidRPr="00B72EE8">
        <w:t xml:space="preserve"> to complaints </w:t>
      </w:r>
      <w:r w:rsidR="00B501CF">
        <w:t>about this grant opportunity</w:t>
      </w:r>
      <w:r>
        <w:t>.</w:t>
      </w:r>
      <w:r w:rsidRPr="009E25CE">
        <w:rPr>
          <w:b/>
        </w:rPr>
        <w:t xml:space="preserve"> </w:t>
      </w:r>
      <w:r>
        <w:t>A</w:t>
      </w:r>
      <w:r w:rsidRPr="00B72EE8">
        <w:t xml:space="preserve">ll complaints </w:t>
      </w:r>
      <w:r>
        <w:t>about</w:t>
      </w:r>
      <w:r w:rsidRPr="00B72EE8">
        <w:t xml:space="preserve"> </w:t>
      </w:r>
      <w:r w:rsidR="00790775">
        <w:t>this grant opportunity, including grant decisions,</w:t>
      </w:r>
      <w:r w:rsidRPr="00B72EE8">
        <w:t xml:space="preserve"> </w:t>
      </w:r>
      <w:proofErr w:type="gramStart"/>
      <w:r>
        <w:t xml:space="preserve">must </w:t>
      </w:r>
      <w:r w:rsidRPr="00B72EE8">
        <w:t>be</w:t>
      </w:r>
      <w:r w:rsidR="00EA7AD7">
        <w:t xml:space="preserve"> </w:t>
      </w:r>
      <w:r w:rsidR="007A677A">
        <w:t>made</w:t>
      </w:r>
      <w:proofErr w:type="gramEnd"/>
      <w:r w:rsidRPr="00B72EE8">
        <w:t xml:space="preserve"> in writing.</w:t>
      </w:r>
    </w:p>
    <w:p w14:paraId="2A29BAEB" w14:textId="77777777" w:rsidR="006F0483" w:rsidRPr="00227821" w:rsidRDefault="006F0483" w:rsidP="00122DEC">
      <w:pPr>
        <w:rPr>
          <w:color w:val="000000" w:themeColor="text1"/>
        </w:rPr>
      </w:pPr>
      <w:r>
        <w:t xml:space="preserve">Any questions you have about grant decisions for this grant opportunity </w:t>
      </w:r>
      <w:proofErr w:type="gramStart"/>
      <w:r>
        <w:t>should be sent</w:t>
      </w:r>
      <w:proofErr w:type="gramEnd"/>
      <w:r>
        <w:t xml:space="preserve"> to </w:t>
      </w:r>
      <w:hyperlink r:id="rId44" w:history="1">
        <w:r w:rsidR="00F96705" w:rsidRPr="00B90861">
          <w:rPr>
            <w:rStyle w:val="Hyperlink"/>
          </w:rPr>
          <w:t>MDBEDP@agriculture.gov.au</w:t>
        </w:r>
      </w:hyperlink>
      <w:r w:rsidR="00F96705">
        <w:rPr>
          <w:color w:val="000000" w:themeColor="text1"/>
        </w:rPr>
        <w:t xml:space="preserve"> </w:t>
      </w:r>
    </w:p>
    <w:p w14:paraId="1DF4A5E9" w14:textId="77777777" w:rsidR="00790775" w:rsidRPr="00790775" w:rsidRDefault="00790775" w:rsidP="00122DEC">
      <w:pPr>
        <w:rPr>
          <w:b/>
        </w:rPr>
      </w:pPr>
      <w:r w:rsidRPr="00790775">
        <w:rPr>
          <w:b/>
        </w:rPr>
        <w:t xml:space="preserve">Complaints about the </w:t>
      </w:r>
      <w:r w:rsidR="006F16B1">
        <w:rPr>
          <w:b/>
        </w:rPr>
        <w:t>s</w:t>
      </w:r>
      <w:r w:rsidRPr="00790775">
        <w:rPr>
          <w:b/>
        </w:rPr>
        <w:t xml:space="preserve">election </w:t>
      </w:r>
      <w:r w:rsidR="006F16B1">
        <w:rPr>
          <w:b/>
        </w:rPr>
        <w:t>p</w:t>
      </w:r>
      <w:r w:rsidRPr="00790775">
        <w:rPr>
          <w:b/>
        </w:rPr>
        <w:t xml:space="preserve">rocess </w:t>
      </w:r>
    </w:p>
    <w:p w14:paraId="4D8D9BA2" w14:textId="77777777" w:rsidR="006734C3" w:rsidRDefault="004D58C0" w:rsidP="00122DEC">
      <w:r>
        <w:t xml:space="preserve">Applicants can contact </w:t>
      </w:r>
      <w:r w:rsidR="006734C3">
        <w:t xml:space="preserve">the complaints service with </w:t>
      </w:r>
      <w:r w:rsidR="00A04CCA">
        <w:t>complaints</w:t>
      </w:r>
      <w:r w:rsidR="006734C3">
        <w:t xml:space="preserve"> about the Community Grants Hub’s service(s) or the selection process. </w:t>
      </w:r>
    </w:p>
    <w:p w14:paraId="4C987456" w14:textId="77777777" w:rsidR="0093180B" w:rsidRDefault="0093180B" w:rsidP="0093180B">
      <w:r>
        <w:t xml:space="preserve">Details of what makes an eligible complaint </w:t>
      </w:r>
      <w:proofErr w:type="gramStart"/>
      <w:r>
        <w:t>can be provided</w:t>
      </w:r>
      <w:proofErr w:type="gramEnd"/>
      <w:r>
        <w:t xml:space="preserve"> by asking the Community Grants Hub. Applicants can use the </w:t>
      </w:r>
      <w:hyperlink r:id="rId45" w:history="1">
        <w:r w:rsidRPr="00002D0A">
          <w:rPr>
            <w:rStyle w:val="Hyperlink"/>
          </w:rPr>
          <w:t>online complaints form</w:t>
        </w:r>
      </w:hyperlink>
      <w:r>
        <w:t xml:space="preserve"> on the </w:t>
      </w:r>
      <w:hyperlink r:id="rId46" w:history="1">
        <w:r w:rsidRPr="00002D0A">
          <w:rPr>
            <w:rStyle w:val="Hyperlink"/>
          </w:rPr>
          <w:t>Department of Social Services</w:t>
        </w:r>
      </w:hyperlink>
      <w:r>
        <w:t xml:space="preserve"> (DSS) website, or contact the DSS Complaints line.</w:t>
      </w:r>
    </w:p>
    <w:p w14:paraId="0FB3E2F5" w14:textId="77777777" w:rsidR="0093180B" w:rsidRDefault="0093180B" w:rsidP="0093180B">
      <w:r>
        <w:t>Phone:</w:t>
      </w:r>
      <w:r>
        <w:tab/>
        <w:t>1800 634 035</w:t>
      </w:r>
    </w:p>
    <w:p w14:paraId="03169112" w14:textId="77777777" w:rsidR="0093180B" w:rsidRDefault="0093180B" w:rsidP="0093180B">
      <w:r>
        <w:t xml:space="preserve">Email: </w:t>
      </w:r>
      <w:r>
        <w:tab/>
      </w:r>
      <w:hyperlink r:id="rId47" w:history="1">
        <w:r w:rsidRPr="007F6B3C">
          <w:rPr>
            <w:rStyle w:val="Hyperlink"/>
          </w:rPr>
          <w:t>complaints@dss.gov.au</w:t>
        </w:r>
      </w:hyperlink>
      <w:r>
        <w:t xml:space="preserve"> </w:t>
      </w:r>
    </w:p>
    <w:p w14:paraId="13C81EA2" w14:textId="77777777" w:rsidR="0093180B" w:rsidRDefault="0093180B" w:rsidP="0093180B">
      <w:pPr>
        <w:spacing w:after="40" w:line="240" w:lineRule="auto"/>
      </w:pPr>
      <w:r>
        <w:t>Mail:</w:t>
      </w:r>
      <w:r>
        <w:tab/>
        <w:t xml:space="preserve">Complaints </w:t>
      </w:r>
    </w:p>
    <w:p w14:paraId="7F4BDE14" w14:textId="77777777" w:rsidR="0093180B" w:rsidRDefault="0093180B" w:rsidP="0093180B">
      <w:pPr>
        <w:spacing w:after="40" w:line="240" w:lineRule="auto"/>
      </w:pPr>
      <w:r>
        <w:tab/>
        <w:t>GPO Box 9820</w:t>
      </w:r>
    </w:p>
    <w:p w14:paraId="1C93A313" w14:textId="77777777" w:rsidR="0093180B" w:rsidRDefault="0093180B" w:rsidP="0093180B">
      <w:pPr>
        <w:spacing w:after="40" w:line="240" w:lineRule="auto"/>
      </w:pPr>
      <w:r>
        <w:tab/>
        <w:t>Canberra ACT 2601</w:t>
      </w:r>
    </w:p>
    <w:p w14:paraId="66E3C27A" w14:textId="77777777" w:rsidR="004B1409" w:rsidRPr="00122DEC" w:rsidRDefault="004B1409" w:rsidP="00122DEC"/>
    <w:p w14:paraId="4AA8B376" w14:textId="77777777" w:rsidR="00790775" w:rsidRPr="00790775" w:rsidRDefault="00790775" w:rsidP="00122DEC">
      <w:pPr>
        <w:rPr>
          <w:b/>
        </w:rPr>
      </w:pPr>
      <w:r w:rsidRPr="00790775">
        <w:rPr>
          <w:b/>
        </w:rPr>
        <w:t>Complaints to the Ombudsman</w:t>
      </w:r>
    </w:p>
    <w:p w14:paraId="44F99A59" w14:textId="1BEF37A0" w:rsidR="004B1409" w:rsidRPr="00122DEC" w:rsidRDefault="004B1409" w:rsidP="00122DEC">
      <w:r w:rsidRPr="00122DEC">
        <w:t>If you do not agree with the way the</w:t>
      </w:r>
      <w:r w:rsidR="00470E18">
        <w:t xml:space="preserve"> Community Grants Hub</w:t>
      </w:r>
      <w:r w:rsidRPr="00F1475D">
        <w:t xml:space="preserve"> </w:t>
      </w:r>
      <w:r w:rsidR="00470E18" w:rsidRPr="00D30E2D">
        <w:t xml:space="preserve">or </w:t>
      </w:r>
      <w:r w:rsidR="006A12C0">
        <w:t xml:space="preserve">the </w:t>
      </w:r>
      <w:r w:rsidR="006A12C0">
        <w:rPr>
          <w:color w:val="000000" w:themeColor="text1"/>
        </w:rPr>
        <w:t>d</w:t>
      </w:r>
      <w:r w:rsidR="006A12C0" w:rsidRPr="00227821">
        <w:rPr>
          <w:color w:val="000000" w:themeColor="text1"/>
        </w:rPr>
        <w:t xml:space="preserve">epartment </w:t>
      </w:r>
      <w:r w:rsidRPr="00122DEC">
        <w:t xml:space="preserve">has handled your complaint, </w:t>
      </w:r>
      <w:r w:rsidRPr="00F1475D">
        <w:t xml:space="preserve">you may complain to the </w:t>
      </w:r>
      <w:hyperlink r:id="rId48" w:history="1">
        <w:r w:rsidRPr="00132512">
          <w:rPr>
            <w:rStyle w:val="Hyperlink"/>
          </w:rPr>
          <w:t>Commonwealth Ombudsman</w:t>
        </w:r>
      </w:hyperlink>
      <w:r w:rsidRPr="00F1475D">
        <w:t xml:space="preserve">. The Ombudsman will not usually look into a complaint unless the matter </w:t>
      </w:r>
      <w:proofErr w:type="gramStart"/>
      <w:r w:rsidRPr="00F1475D">
        <w:t>has first been raised</w:t>
      </w:r>
      <w:proofErr w:type="gramEnd"/>
      <w:r w:rsidRPr="00F1475D">
        <w:t xml:space="preserve"> directly with the</w:t>
      </w:r>
      <w:r w:rsidRPr="00516E21">
        <w:t xml:space="preserve"> </w:t>
      </w:r>
      <w:r w:rsidR="00470E18">
        <w:t xml:space="preserve">Community Grants Hub </w:t>
      </w:r>
      <w:r w:rsidR="00D30E2D" w:rsidRPr="00D30E2D">
        <w:t xml:space="preserve">or </w:t>
      </w:r>
      <w:r w:rsidR="006A12C0">
        <w:t>the department</w:t>
      </w:r>
      <w:r w:rsidRPr="00516E21">
        <w:t>.</w:t>
      </w:r>
    </w:p>
    <w:p w14:paraId="36A31210" w14:textId="77777777" w:rsidR="004B1409" w:rsidRDefault="004B1409" w:rsidP="004B1409">
      <w:pPr>
        <w:ind w:left="5040" w:hanging="5040"/>
      </w:pPr>
      <w:r w:rsidRPr="00B72EE8">
        <w:t xml:space="preserve">The Commonwealth Ombudsman </w:t>
      </w:r>
      <w:proofErr w:type="gramStart"/>
      <w:r w:rsidRPr="00B72EE8">
        <w:t>can be contacted</w:t>
      </w:r>
      <w:proofErr w:type="gramEnd"/>
      <w:r w:rsidRPr="00B72EE8">
        <w:t xml:space="preserve"> on: </w:t>
      </w:r>
    </w:p>
    <w:p w14:paraId="28F8BF77" w14:textId="77777777" w:rsidR="004B1409" w:rsidRPr="00B72EE8" w:rsidRDefault="004B1409" w:rsidP="004B1409">
      <w:pPr>
        <w:ind w:left="1276" w:hanging="1276"/>
      </w:pPr>
      <w:r w:rsidRPr="00B72EE8">
        <w:tab/>
        <w:t>Phone (Toll free): 1300 362 072</w:t>
      </w:r>
      <w:r w:rsidRPr="00B72EE8">
        <w:br/>
        <w:t xml:space="preserve">Email: </w:t>
      </w:r>
      <w:hyperlink r:id="rId49" w:history="1">
        <w:r w:rsidRPr="00B72EE8">
          <w:t>ombudsman@ombudsman.gov.au</w:t>
        </w:r>
      </w:hyperlink>
      <w:r w:rsidRPr="00B72EE8">
        <w:t xml:space="preserve"> </w:t>
      </w:r>
      <w:r w:rsidRPr="00B72EE8">
        <w:br/>
        <w:t xml:space="preserve">Website: </w:t>
      </w:r>
      <w:hyperlink r:id="rId50" w:history="1">
        <w:r w:rsidRPr="00B72EE8">
          <w:t>www.ombudsman.gov.au</w:t>
        </w:r>
      </w:hyperlink>
    </w:p>
    <w:p w14:paraId="69D5EEED" w14:textId="77777777" w:rsidR="004B1409" w:rsidRPr="00A04CCA" w:rsidRDefault="004B1409" w:rsidP="00A8702B">
      <w:pPr>
        <w:pStyle w:val="Heading3"/>
      </w:pPr>
      <w:bookmarkStart w:id="140" w:name="_Toc17704043"/>
      <w:r w:rsidRPr="00A04CCA">
        <w:t>Conflicts of interest</w:t>
      </w:r>
      <w:bookmarkEnd w:id="140"/>
    </w:p>
    <w:p w14:paraId="4F3BEADD" w14:textId="02AAC9E4" w:rsidR="004B1409" w:rsidRPr="00F1475D" w:rsidRDefault="004B1409" w:rsidP="004B1409">
      <w:r w:rsidRPr="00122DEC">
        <w:t>Any conflicts of interest could affect the performance of the grant</w:t>
      </w:r>
      <w:r w:rsidR="00B501CF">
        <w:t xml:space="preserve"> opportunity or program</w:t>
      </w:r>
      <w:r w:rsidRPr="00122DEC">
        <w:t xml:space="preserve">. There may be a </w:t>
      </w:r>
      <w:hyperlink r:id="rId51" w:history="1">
        <w:r w:rsidRPr="00122DEC">
          <w:t>conflict of interest</w:t>
        </w:r>
      </w:hyperlink>
      <w:r w:rsidRPr="00122DEC">
        <w:t>, or perceived conflict of interest, if</w:t>
      </w:r>
      <w:r w:rsidRPr="00F1475D">
        <w:t xml:space="preserve"> </w:t>
      </w:r>
      <w:r w:rsidR="00BD2974">
        <w:t xml:space="preserve">the </w:t>
      </w:r>
      <w:r w:rsidR="00112022" w:rsidRPr="00227821">
        <w:rPr>
          <w:color w:val="000000" w:themeColor="text1"/>
        </w:rPr>
        <w:t>Department of Agriculture</w:t>
      </w:r>
      <w:r w:rsidR="00470E18" w:rsidRPr="00227821">
        <w:rPr>
          <w:color w:val="000000" w:themeColor="text1"/>
        </w:rPr>
        <w:t xml:space="preserve"> and Community Grants Hub</w:t>
      </w:r>
      <w:r w:rsidRPr="00227821">
        <w:rPr>
          <w:color w:val="000000" w:themeColor="text1"/>
        </w:rPr>
        <w:t xml:space="preserve"> staff, any member of a committee or advisor and/or you or any of </w:t>
      </w:r>
      <w:r w:rsidRPr="00F1475D">
        <w:t>your personnel</w:t>
      </w:r>
      <w:r w:rsidR="006F16B1">
        <w:t xml:space="preserve"> has a</w:t>
      </w:r>
      <w:r w:rsidRPr="00F1475D">
        <w:t>:</w:t>
      </w:r>
    </w:p>
    <w:p w14:paraId="48AE0849" w14:textId="7CBD0BAD" w:rsidR="004B1409" w:rsidRPr="00227821" w:rsidRDefault="004B1409" w:rsidP="004B1409">
      <w:pPr>
        <w:pStyle w:val="ListBullet"/>
        <w:rPr>
          <w:color w:val="000000" w:themeColor="text1"/>
        </w:rPr>
      </w:pPr>
      <w:r w:rsidRPr="00F1475D">
        <w:t xml:space="preserve">professional, commercial or personal relationship with a party who is able to influence the application selection </w:t>
      </w:r>
      <w:r w:rsidR="00A9533B">
        <w:t xml:space="preserve">process, such as an Australian </w:t>
      </w:r>
      <w:r w:rsidR="00A8702B">
        <w:t>Government</w:t>
      </w:r>
      <w:r w:rsidRPr="00F1475D">
        <w:t xml:space="preserve"> </w:t>
      </w:r>
      <w:r w:rsidRPr="00227821">
        <w:rPr>
          <w:color w:val="000000" w:themeColor="text1"/>
        </w:rPr>
        <w:t>officer</w:t>
      </w:r>
    </w:p>
    <w:p w14:paraId="5780B6DA" w14:textId="77777777" w:rsidR="004B1409" w:rsidRPr="00F1475D" w:rsidRDefault="004B1409" w:rsidP="004B1409">
      <w:pPr>
        <w:pStyle w:val="ListBullet"/>
      </w:pPr>
      <w:r w:rsidRPr="00227821">
        <w:rPr>
          <w:color w:val="000000" w:themeColor="text1"/>
        </w:rPr>
        <w:lastRenderedPageBreak/>
        <w:t xml:space="preserve">relationship with </w:t>
      </w:r>
      <w:r w:rsidR="00B501CF" w:rsidRPr="00227821">
        <w:rPr>
          <w:color w:val="000000" w:themeColor="text1"/>
        </w:rPr>
        <w:t>or interest in</w:t>
      </w:r>
      <w:r w:rsidRPr="00227821">
        <w:rPr>
          <w:color w:val="000000" w:themeColor="text1"/>
        </w:rPr>
        <w:t xml:space="preserve">, an organisation, which is likely to interfere with </w:t>
      </w:r>
      <w:r w:rsidRPr="00F1475D">
        <w:t xml:space="preserve">or restrict the applicants from carrying out the proposed activities fairly and independently </w:t>
      </w:r>
    </w:p>
    <w:p w14:paraId="7FF3BD55" w14:textId="77777777" w:rsidR="004B1409" w:rsidRPr="00F1475D" w:rsidRDefault="004B1409" w:rsidP="004B1409">
      <w:pPr>
        <w:pStyle w:val="ListBullet"/>
      </w:pPr>
      <w:proofErr w:type="gramStart"/>
      <w:r w:rsidRPr="00F1475D">
        <w:t>relationship</w:t>
      </w:r>
      <w:proofErr w:type="gramEnd"/>
      <w:r w:rsidRPr="00F1475D">
        <w:t xml:space="preserve"> with, or interest in, an organisation from which they will receive personal gain because the organisation receives </w:t>
      </w:r>
      <w:r w:rsidR="00182EAC">
        <w:t>a grant under the grant program/ grant opportunity</w:t>
      </w:r>
      <w:r w:rsidRPr="00F1475D">
        <w:t>.</w:t>
      </w:r>
    </w:p>
    <w:p w14:paraId="44B3548C" w14:textId="77777777" w:rsidR="004B1409" w:rsidRPr="00F1475D" w:rsidRDefault="004B1409" w:rsidP="004B1409">
      <w:r w:rsidRPr="00F1475D">
        <w:t xml:space="preserve">You </w:t>
      </w:r>
      <w:proofErr w:type="gramStart"/>
      <w:r w:rsidRPr="00F1475D">
        <w:t>will be asked</w:t>
      </w:r>
      <w:proofErr w:type="gramEnd"/>
      <w:r w:rsidRPr="00F1475D">
        <w:t xml:space="preserve"> to declare, as part of your application, any perceived or existing conflicts of interests or that, to the best of your knowledge, there is no conflict of interest.</w:t>
      </w:r>
    </w:p>
    <w:p w14:paraId="2EBF63A4" w14:textId="7B75D425" w:rsidR="004B1409" w:rsidRDefault="004B1409" w:rsidP="004B1409">
      <w:r w:rsidRPr="00F1475D">
        <w:t xml:space="preserve">If you later </w:t>
      </w:r>
      <w:r w:rsidR="00A9533B">
        <w:t xml:space="preserve">think there is an </w:t>
      </w:r>
      <w:r w:rsidRPr="00F1475D">
        <w:t xml:space="preserve">actual, apparent, or </w:t>
      </w:r>
      <w:r w:rsidR="00182EAC">
        <w:t xml:space="preserve">perceived </w:t>
      </w:r>
      <w:r w:rsidRPr="00F1475D">
        <w:t>conflict of interest, you must inform the</w:t>
      </w:r>
      <w:r w:rsidRPr="00516E21">
        <w:t xml:space="preserve"> </w:t>
      </w:r>
      <w:r w:rsidR="00112022" w:rsidRPr="00227821">
        <w:rPr>
          <w:color w:val="000000" w:themeColor="text1"/>
        </w:rPr>
        <w:t>Department of Agriculture</w:t>
      </w:r>
      <w:r w:rsidRPr="00227821">
        <w:rPr>
          <w:color w:val="000000" w:themeColor="text1"/>
        </w:rPr>
        <w:t xml:space="preserve"> </w:t>
      </w:r>
      <w:r w:rsidR="00470E18">
        <w:t xml:space="preserve">and Community Grants Hub </w:t>
      </w:r>
      <w:r w:rsidRPr="00B72EE8">
        <w:t xml:space="preserve">in writing immediately. </w:t>
      </w:r>
    </w:p>
    <w:p w14:paraId="7F5E49D0" w14:textId="7CD9418B" w:rsidR="00182EAC" w:rsidRDefault="004B1409" w:rsidP="004B1409">
      <w:r w:rsidRPr="00B72EE8">
        <w:t xml:space="preserve">Conflicts of interest for </w:t>
      </w:r>
      <w:r w:rsidR="00A9533B">
        <w:t xml:space="preserve">Australian </w:t>
      </w:r>
      <w:r w:rsidR="00A8702B">
        <w:t>Government</w:t>
      </w:r>
      <w:r>
        <w:t xml:space="preserve"> </w:t>
      </w:r>
      <w:r w:rsidRPr="00B72EE8">
        <w:t xml:space="preserve">staff </w:t>
      </w:r>
      <w:proofErr w:type="gramStart"/>
      <w:r w:rsidRPr="00B72EE8">
        <w:t>will be handled</w:t>
      </w:r>
      <w:proofErr w:type="gramEnd"/>
      <w:r w:rsidRPr="00B72EE8">
        <w:t xml:space="preserve"> </w:t>
      </w:r>
      <w:r>
        <w:t xml:space="preserve">as set out in </w:t>
      </w:r>
      <w:r w:rsidRPr="00B72EE8">
        <w:t xml:space="preserve">the </w:t>
      </w:r>
      <w:r>
        <w:t xml:space="preserve">Australian </w:t>
      </w:r>
      <w:hyperlink r:id="rId52" w:history="1">
        <w:r w:rsidRPr="009C7586">
          <w:rPr>
            <w:rStyle w:val="Hyperlink"/>
          </w:rPr>
          <w:t>Public Service Code of Conduct (Section 13(7))</w:t>
        </w:r>
      </w:hyperlink>
      <w:r>
        <w:t xml:space="preserve"> of the </w:t>
      </w:r>
      <w:hyperlink r:id="rId53" w:history="1">
        <w:r w:rsidRPr="00132512">
          <w:rPr>
            <w:rStyle w:val="Hyperlink"/>
            <w:i/>
          </w:rPr>
          <w:t>Public Service Act 1999</w:t>
        </w:r>
      </w:hyperlink>
      <w:r>
        <w:t xml:space="preserve">. </w:t>
      </w:r>
      <w:r w:rsidR="00756319">
        <w:t>S</w:t>
      </w:r>
      <w:r w:rsidR="00191523">
        <w:t>election advisory panel</w:t>
      </w:r>
      <w:r w:rsidR="006A12C0">
        <w:t xml:space="preserve"> </w:t>
      </w:r>
      <w:r w:rsidR="00182EAC">
        <w:t>members and other officials including the decision maker must also declare any conflicts of interest.</w:t>
      </w:r>
    </w:p>
    <w:p w14:paraId="5F42BC74" w14:textId="77777777" w:rsidR="004B1409" w:rsidRPr="00B72EE8" w:rsidRDefault="004B1409" w:rsidP="004B1409">
      <w:r w:rsidRPr="00470E18">
        <w:t>We publish our conflict of i</w:t>
      </w:r>
      <w:r w:rsidR="007E6B1A" w:rsidRPr="00470E18">
        <w:t>nterest policy</w:t>
      </w:r>
      <w:r w:rsidR="007E6B1A">
        <w:t xml:space="preserve"> on the</w:t>
      </w:r>
      <w:r w:rsidRPr="00726710">
        <w:rPr>
          <w:b/>
          <w:color w:val="4F6228" w:themeColor="accent3" w:themeShade="80"/>
        </w:rPr>
        <w:t xml:space="preserve"> </w:t>
      </w:r>
      <w:hyperlink r:id="rId54" w:history="1">
        <w:r w:rsidR="00E96DD6" w:rsidRPr="00EE0C10">
          <w:rPr>
            <w:rStyle w:val="Hyperlink"/>
          </w:rPr>
          <w:t>Community Grants Hub</w:t>
        </w:r>
      </w:hyperlink>
      <w:r w:rsidR="00E96DD6" w:rsidRPr="00EE0C10">
        <w:rPr>
          <w:color w:val="4F6228" w:themeColor="accent3" w:themeShade="80"/>
        </w:rPr>
        <w:t xml:space="preserve"> </w:t>
      </w:r>
      <w:r w:rsidRPr="00122DEC">
        <w:t>website</w:t>
      </w:r>
      <w:r>
        <w:t xml:space="preserve">. </w:t>
      </w:r>
    </w:p>
    <w:p w14:paraId="1E448CC7" w14:textId="77777777" w:rsidR="004B1409" w:rsidRDefault="007E6B1A" w:rsidP="00A8702B">
      <w:pPr>
        <w:pStyle w:val="Heading3"/>
      </w:pPr>
      <w:bookmarkStart w:id="141" w:name="_Toc17704044"/>
      <w:r>
        <w:t>Privacy</w:t>
      </w:r>
      <w:bookmarkEnd w:id="141"/>
    </w:p>
    <w:p w14:paraId="46D97194" w14:textId="77777777"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55"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56" w:history="1">
        <w:r w:rsidR="007E6B1A" w:rsidRPr="009D794C">
          <w:rPr>
            <w:rStyle w:val="Hyperlink"/>
          </w:rPr>
          <w:t>Australian Privacy Principles</w:t>
        </w:r>
      </w:hyperlink>
      <w:r w:rsidR="00164671" w:rsidRPr="00164671">
        <w:t>.</w:t>
      </w:r>
      <w:r w:rsidR="007E6B1A" w:rsidRPr="00164671">
        <w:t xml:space="preserve"> This includes letting you know:</w:t>
      </w:r>
      <w:r w:rsidR="007E6B1A" w:rsidRPr="000D1F02">
        <w:t xml:space="preserve"> </w:t>
      </w:r>
    </w:p>
    <w:p w14:paraId="1EE718F4" w14:textId="77777777" w:rsidR="007E6B1A" w:rsidRPr="00E86A67" w:rsidRDefault="007E6B1A" w:rsidP="007E6B1A">
      <w:pPr>
        <w:pStyle w:val="ListBullet"/>
      </w:pPr>
      <w:r w:rsidRPr="00E86A67">
        <w:t>what personal information we collect</w:t>
      </w:r>
    </w:p>
    <w:p w14:paraId="22B5087B" w14:textId="77777777" w:rsidR="007E6B1A" w:rsidRPr="00E86A67" w:rsidRDefault="007E6B1A" w:rsidP="007E6B1A">
      <w:pPr>
        <w:pStyle w:val="ListBullet"/>
      </w:pPr>
      <w:r w:rsidRPr="00E86A67">
        <w:t>why we co</w:t>
      </w:r>
      <w:r>
        <w:t>llect your personal information</w:t>
      </w:r>
    </w:p>
    <w:p w14:paraId="1613273C" w14:textId="77777777" w:rsidR="007E6B1A" w:rsidRDefault="007E6B1A" w:rsidP="007E6B1A">
      <w:pPr>
        <w:pStyle w:val="ListBullet"/>
      </w:pPr>
      <w:proofErr w:type="gramStart"/>
      <w:r w:rsidRPr="00E86A67">
        <w:t>who</w:t>
      </w:r>
      <w:proofErr w:type="gramEnd"/>
      <w:r w:rsidRPr="00E86A67">
        <w:t xml:space="preserve"> we gi</w:t>
      </w:r>
      <w:r>
        <w:t>ve your personal information to</w:t>
      </w:r>
      <w:r w:rsidR="00EA7AD7">
        <w:t>.</w:t>
      </w:r>
    </w:p>
    <w:p w14:paraId="77D4E663" w14:textId="77777777" w:rsidR="00A95129" w:rsidRDefault="00A95129" w:rsidP="007E6B1A">
      <w:r>
        <w:t xml:space="preserve">Your personal information </w:t>
      </w:r>
      <w:proofErr w:type="gramStart"/>
      <w:r>
        <w:t>can only be disclosed</w:t>
      </w:r>
      <w:proofErr w:type="gramEnd"/>
      <w:r>
        <w:t xml:space="preserve"> to someone else for the primary purpose for which it was collected, unless an exemption applies.</w:t>
      </w:r>
    </w:p>
    <w:p w14:paraId="3D9749A5" w14:textId="24357A90" w:rsidR="00A95129" w:rsidRDefault="00A95129" w:rsidP="00A95129">
      <w:r w:rsidRPr="00763129">
        <w:t xml:space="preserve">The </w:t>
      </w:r>
      <w:r w:rsidR="00370E02">
        <w:t xml:space="preserve">Australian </w:t>
      </w:r>
      <w:r w:rsidR="00A8702B">
        <w:t>Government</w:t>
      </w:r>
      <w:r w:rsidRPr="00B12804">
        <w:t xml:space="preserve">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370E02">
        <w:t xml:space="preserve">in any other Australian </w:t>
      </w:r>
      <w:r w:rsidR="00A8702B">
        <w:t>Government</w:t>
      </w:r>
      <w:r w:rsidRPr="00763129">
        <w:t xml:space="preserve">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6FF10526" w14:textId="4C61C9F1"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0C5F6437" w14:textId="70E78E61"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 </w:t>
      </w:r>
      <w:r w:rsidR="00112022" w:rsidRPr="00227821">
        <w:rPr>
          <w:color w:val="000000" w:themeColor="text1"/>
        </w:rPr>
        <w:t>Department of Agriculture</w:t>
      </w:r>
      <w:r w:rsidR="007A46B8" w:rsidRPr="00227821">
        <w:rPr>
          <w:color w:val="000000" w:themeColor="text1"/>
        </w:rPr>
        <w:t xml:space="preserve"> </w:t>
      </w:r>
      <w:r w:rsidR="007A46B8">
        <w:t>would breach an Australian Privacy Principle as defined in the Act.</w:t>
      </w:r>
    </w:p>
    <w:p w14:paraId="42944A8D" w14:textId="77777777" w:rsidR="00D35A39" w:rsidRDefault="00D35A39" w:rsidP="00A8702B">
      <w:pPr>
        <w:pStyle w:val="Heading3"/>
      </w:pPr>
      <w:bookmarkStart w:id="142" w:name="_Toc17704045"/>
      <w:r>
        <w:t xml:space="preserve">Confidential </w:t>
      </w:r>
      <w:r w:rsidR="00810E9A">
        <w:t>i</w:t>
      </w:r>
      <w:r>
        <w:t>nformation</w:t>
      </w:r>
      <w:bookmarkEnd w:id="142"/>
    </w:p>
    <w:p w14:paraId="4DFCE262"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t>
      </w:r>
      <w:proofErr w:type="gramStart"/>
      <w:r w:rsidR="007A46B8">
        <w:rPr>
          <w:lang w:eastAsia="en-AU"/>
        </w:rPr>
        <w:t>will not be breached</w:t>
      </w:r>
      <w:proofErr w:type="gramEnd"/>
      <w:r w:rsidR="007A46B8">
        <w:rPr>
          <w:lang w:eastAsia="en-AU"/>
        </w:rPr>
        <w:t xml:space="preserve">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7985974D" w14:textId="77777777" w:rsidR="007A46B8" w:rsidRPr="00E96DD6" w:rsidRDefault="007A46B8" w:rsidP="007E6B1A">
      <w:pPr>
        <w:rPr>
          <w:lang w:eastAsia="en-AU"/>
        </w:rPr>
      </w:pPr>
      <w:r w:rsidRPr="00EE0C10">
        <w:rPr>
          <w:lang w:eastAsia="en-AU"/>
        </w:rPr>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r w:rsidRPr="00E96DD6">
        <w:rPr>
          <w:lang w:eastAsia="en-AU"/>
        </w:rPr>
        <w:t xml:space="preserve"> </w:t>
      </w:r>
    </w:p>
    <w:p w14:paraId="150A4CAD" w14:textId="77777777" w:rsidR="002B4620" w:rsidRPr="00E96DD6" w:rsidRDefault="002B4620" w:rsidP="007E6B1A">
      <w:pPr>
        <w:rPr>
          <w:lang w:eastAsia="en-AU"/>
        </w:rPr>
      </w:pPr>
      <w:r w:rsidRPr="00EE0C10">
        <w:rPr>
          <w:lang w:eastAsia="en-AU"/>
        </w:rPr>
        <w:lastRenderedPageBreak/>
        <w:t>We</w:t>
      </w:r>
      <w:r w:rsidRPr="00E96DD6">
        <w:rPr>
          <w:lang w:eastAsia="en-AU"/>
        </w:rPr>
        <w:t xml:space="preserve"> will keep any information in connection with the grant agreement confidential to the extent that it meets all of the three conditions below:</w:t>
      </w:r>
    </w:p>
    <w:p w14:paraId="472C4B4F" w14:textId="77777777" w:rsidR="002B4620" w:rsidRPr="00E96DD6" w:rsidRDefault="00370E02" w:rsidP="009668F6">
      <w:pPr>
        <w:pStyle w:val="ListNumber"/>
        <w:numPr>
          <w:ilvl w:val="0"/>
          <w:numId w:val="16"/>
        </w:numPr>
      </w:pPr>
      <w:r>
        <w:t>y</w:t>
      </w:r>
      <w:r w:rsidR="002B4620" w:rsidRPr="00E96DD6">
        <w:t>ou clearly identify the information as confidential and explain why we should treat it as confidential</w:t>
      </w:r>
    </w:p>
    <w:p w14:paraId="0951F3F6" w14:textId="77777777" w:rsidR="002B4620" w:rsidRPr="00E96DD6" w:rsidRDefault="00370E02" w:rsidP="002B4620">
      <w:pPr>
        <w:pStyle w:val="ListNumber"/>
      </w:pPr>
      <w:r>
        <w:t>t</w:t>
      </w:r>
      <w:r w:rsidR="002B4620" w:rsidRPr="00E96DD6">
        <w:t>he information is commercially sensitive</w:t>
      </w:r>
    </w:p>
    <w:p w14:paraId="2808EB2D" w14:textId="77777777" w:rsidR="002B4620" w:rsidRPr="00E96DD6" w:rsidRDefault="00370E02" w:rsidP="002B4620">
      <w:pPr>
        <w:pStyle w:val="ListNumber"/>
      </w:pPr>
      <w:proofErr w:type="gramStart"/>
      <w:r>
        <w:t>r</w:t>
      </w:r>
      <w:r w:rsidR="002B4620" w:rsidRPr="00E96DD6">
        <w:t>evealing</w:t>
      </w:r>
      <w:proofErr w:type="gramEnd"/>
      <w:r w:rsidR="002B4620" w:rsidRPr="00E96DD6">
        <w:t xml:space="preserve"> the information would cause unreasonable harm to you or someone else.</w:t>
      </w:r>
    </w:p>
    <w:p w14:paraId="7932E9C5"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 xml:space="preserve">will not be in breach of any confidentiality agreement if the information </w:t>
      </w:r>
      <w:proofErr w:type="gramStart"/>
      <w:r w:rsidR="002B4620" w:rsidRPr="00E96DD6">
        <w:rPr>
          <w:lang w:eastAsia="en-AU"/>
        </w:rPr>
        <w:t>is disclosed</w:t>
      </w:r>
      <w:proofErr w:type="gramEnd"/>
      <w:r w:rsidR="002B4620" w:rsidRPr="00E96DD6">
        <w:rPr>
          <w:lang w:eastAsia="en-AU"/>
        </w:rPr>
        <w:t xml:space="preserve"> to: </w:t>
      </w:r>
    </w:p>
    <w:p w14:paraId="313F3543" w14:textId="77777777" w:rsidR="007E6B1A" w:rsidRPr="00E96DD6" w:rsidRDefault="007E6B1A" w:rsidP="002D2607">
      <w:pPr>
        <w:pStyle w:val="ListBullet"/>
      </w:pPr>
      <w:r w:rsidRPr="00E96DD6">
        <w:t>Commonwealth employees and contractors to help us manage the program effectively</w:t>
      </w:r>
    </w:p>
    <w:p w14:paraId="60EB0735"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33805B1D" w14:textId="01033B88" w:rsidR="007E6B1A" w:rsidRDefault="007E6B1A" w:rsidP="002D2607">
      <w:pPr>
        <w:pStyle w:val="ListBullet"/>
      </w:pPr>
      <w:r>
        <w:t>employees and contractors of other Commonwealth agencies for any purposes, including government administration, research or service delivery</w:t>
      </w:r>
    </w:p>
    <w:p w14:paraId="5E343FB9"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157D9465" w14:textId="77777777" w:rsidR="007E6B1A" w:rsidRPr="0033741C" w:rsidRDefault="007E6B1A" w:rsidP="002D2607">
      <w:pPr>
        <w:pStyle w:val="ListBullet"/>
      </w:pPr>
      <w:r w:rsidRPr="0033741C">
        <w:t>the Auditor-General, Ombudsman or Privacy Commissioner</w:t>
      </w:r>
    </w:p>
    <w:p w14:paraId="0DB2A7A8" w14:textId="77777777" w:rsidR="007E6B1A" w:rsidRPr="00BA6D16" w:rsidRDefault="007E6B1A" w:rsidP="002D2607">
      <w:pPr>
        <w:pStyle w:val="ListBullet"/>
      </w:pPr>
      <w:r w:rsidRPr="00BA6D16">
        <w:t>the responsible Minister or Parliamentary Secretary</w:t>
      </w:r>
    </w:p>
    <w:p w14:paraId="19D69E04" w14:textId="77777777" w:rsidR="007E6B1A" w:rsidRPr="0033741C" w:rsidRDefault="007E6B1A" w:rsidP="002D2607">
      <w:pPr>
        <w:pStyle w:val="ListBullet"/>
      </w:pPr>
      <w:proofErr w:type="gramStart"/>
      <w:r w:rsidRPr="0033741C">
        <w:t>a</w:t>
      </w:r>
      <w:proofErr w:type="gramEnd"/>
      <w:r w:rsidRPr="0033741C">
        <w:t xml:space="preserve"> House or a Committee of the </w:t>
      </w:r>
      <w:r>
        <w:t xml:space="preserve">Australian </w:t>
      </w:r>
      <w:r w:rsidRPr="0033741C">
        <w:t>Parliament</w:t>
      </w:r>
      <w:r>
        <w:t>.</w:t>
      </w:r>
    </w:p>
    <w:p w14:paraId="5978CBF4" w14:textId="6A280634"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Pr="00E86A67">
        <w:t xml:space="preserve">agreement. </w:t>
      </w:r>
    </w:p>
    <w:p w14:paraId="0A353AF1" w14:textId="77777777" w:rsidR="004B1409" w:rsidRDefault="002D2607" w:rsidP="00A8702B">
      <w:pPr>
        <w:pStyle w:val="Heading3"/>
      </w:pPr>
      <w:bookmarkStart w:id="143" w:name="_Toc17704046"/>
      <w:r>
        <w:t>Freedom of information</w:t>
      </w:r>
      <w:bookmarkEnd w:id="143"/>
    </w:p>
    <w:p w14:paraId="3722E739" w14:textId="7D06A2BD" w:rsidR="002D2607" w:rsidRPr="00B72EE8" w:rsidRDefault="002D2607" w:rsidP="002D2607">
      <w:r w:rsidRPr="00B72EE8">
        <w:t xml:space="preserve">All documents </w:t>
      </w:r>
      <w:r w:rsidR="00346B05">
        <w:t>that the</w:t>
      </w:r>
      <w:r w:rsidR="00346B05" w:rsidRPr="00B72EE8">
        <w:t xml:space="preserve"> </w:t>
      </w:r>
      <w:r>
        <w:t xml:space="preserve">Australian </w:t>
      </w:r>
      <w:r w:rsidR="00A8702B">
        <w:t>Government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57" w:history="1">
        <w:r w:rsidRPr="00443FC0">
          <w:rPr>
            <w:rStyle w:val="Hyperlink"/>
            <w:i/>
          </w:rPr>
          <w:t>Freedom of Information Act 1982</w:t>
        </w:r>
      </w:hyperlink>
      <w:r w:rsidRPr="00B72EE8">
        <w:t xml:space="preserve"> </w:t>
      </w:r>
      <w:r w:rsidRPr="0049044C">
        <w:t>(FOI Act)</w:t>
      </w:r>
      <w:r w:rsidRPr="00333BAC">
        <w:rPr>
          <w:i/>
        </w:rPr>
        <w:t>.</w:t>
      </w:r>
    </w:p>
    <w:p w14:paraId="510D4DF9" w14:textId="677EFF29"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 xml:space="preserve">rmation held by the Australian </w:t>
      </w:r>
      <w:r w:rsidR="00A8702B">
        <w:t>Government</w:t>
      </w:r>
      <w:r w:rsidRPr="00B72EE8">
        <w:t xml:space="preserve"> and its </w:t>
      </w:r>
      <w:r w:rsidR="00346B05">
        <w:t>organisations</w:t>
      </w:r>
      <w:r w:rsidRPr="00B72EE8">
        <w:t xml:space="preserve">. Under the FOI Act, </w:t>
      </w:r>
      <w:r w:rsidR="00346B05">
        <w:t>people can ask for</w:t>
      </w:r>
      <w:r w:rsidRPr="00B72EE8">
        <w:t xml:space="preserve"> documents the </w:t>
      </w:r>
      <w:r w:rsidR="00370E02">
        <w:t xml:space="preserve">Australian </w:t>
      </w:r>
      <w:r w:rsidR="00A8702B">
        <w:t>Government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w:t>
      </w:r>
      <w:proofErr w:type="gramStart"/>
      <w:r w:rsidR="00346B05">
        <w:t>to</w:t>
      </w:r>
      <w:proofErr w:type="gramEnd"/>
      <w:r w:rsidRPr="00B72EE8">
        <w:t>.</w:t>
      </w:r>
    </w:p>
    <w:p w14:paraId="06752240" w14:textId="77777777" w:rsidR="002D2607" w:rsidRPr="00B72EE8" w:rsidRDefault="002D2607" w:rsidP="002D2607">
      <w:r w:rsidRPr="00B72EE8">
        <w:t>All F</w:t>
      </w:r>
      <w:r>
        <w:t xml:space="preserve">reedom of Information </w:t>
      </w:r>
      <w:r w:rsidRPr="00B72EE8">
        <w:t xml:space="preserve">requests </w:t>
      </w:r>
      <w:proofErr w:type="gramStart"/>
      <w:r w:rsidRPr="00B72EE8">
        <w:t>must be referred</w:t>
      </w:r>
      <w:proofErr w:type="gramEnd"/>
      <w:r w:rsidRPr="00B72EE8">
        <w:t xml:space="preserve"> to the Freedom of Information Coordinator in writing.</w:t>
      </w:r>
    </w:p>
    <w:p w14:paraId="56AFAE17" w14:textId="77777777" w:rsidR="002D2607" w:rsidRPr="00B72EE8" w:rsidRDefault="002D2607" w:rsidP="00C319D9">
      <w:pPr>
        <w:tabs>
          <w:tab w:val="left" w:pos="1418"/>
        </w:tabs>
        <w:spacing w:after="40"/>
        <w:ind w:left="1418" w:hanging="1418"/>
      </w:pPr>
      <w:r w:rsidRPr="00B72EE8">
        <w:t>By mail:</w:t>
      </w:r>
      <w:r w:rsidRPr="00B72EE8">
        <w:tab/>
        <w:t xml:space="preserve">Freedom of Information </w:t>
      </w:r>
      <w:r w:rsidR="00C319D9">
        <w:t>Team</w:t>
      </w:r>
    </w:p>
    <w:p w14:paraId="2CB69514" w14:textId="77777777" w:rsidR="00C319D9" w:rsidRDefault="00C319D9" w:rsidP="00C319D9">
      <w:pPr>
        <w:tabs>
          <w:tab w:val="left" w:pos="1418"/>
        </w:tabs>
        <w:spacing w:after="40" w:line="240" w:lineRule="auto"/>
        <w:ind w:left="2836" w:hanging="1418"/>
      </w:pPr>
      <w:r>
        <w:t xml:space="preserve">Government and Executive Services Branch </w:t>
      </w:r>
    </w:p>
    <w:p w14:paraId="7381E93E" w14:textId="77777777" w:rsidR="00C319D9" w:rsidRDefault="00C319D9" w:rsidP="00C319D9">
      <w:pPr>
        <w:tabs>
          <w:tab w:val="left" w:pos="1418"/>
        </w:tabs>
        <w:spacing w:after="40" w:line="240" w:lineRule="auto"/>
        <w:ind w:left="2836" w:hanging="1418"/>
      </w:pPr>
      <w:r>
        <w:t>Department of Social Services (DSS)</w:t>
      </w:r>
    </w:p>
    <w:p w14:paraId="59DDEC94" w14:textId="77777777" w:rsidR="00C319D9" w:rsidRDefault="00C319D9" w:rsidP="00C319D9">
      <w:pPr>
        <w:tabs>
          <w:tab w:val="left" w:pos="1418"/>
        </w:tabs>
        <w:spacing w:after="40" w:line="240" w:lineRule="auto"/>
        <w:ind w:left="2836" w:hanging="1418"/>
      </w:pPr>
      <w:r>
        <w:t>GPO Box 9820</w:t>
      </w:r>
    </w:p>
    <w:p w14:paraId="31C9C9C0" w14:textId="77777777" w:rsidR="00C319D9" w:rsidRPr="00516E21" w:rsidRDefault="00C319D9" w:rsidP="00C319D9">
      <w:pPr>
        <w:tabs>
          <w:tab w:val="left" w:pos="1418"/>
        </w:tabs>
        <w:spacing w:after="40" w:line="240" w:lineRule="auto"/>
        <w:ind w:left="2836" w:hanging="1418"/>
      </w:pPr>
      <w:r>
        <w:t>Canberra ACT 2601</w:t>
      </w:r>
    </w:p>
    <w:p w14:paraId="254D9861" w14:textId="77777777" w:rsidR="002D2607" w:rsidRPr="00122DEC" w:rsidRDefault="002D2607" w:rsidP="002D2607">
      <w:r w:rsidRPr="00122DEC">
        <w:t>By email:</w:t>
      </w:r>
      <w:r w:rsidRPr="00122DEC">
        <w:tab/>
      </w:r>
      <w:hyperlink r:id="rId58" w:history="1">
        <w:r w:rsidR="00C319D9" w:rsidRPr="00C42A3F">
          <w:rPr>
            <w:rStyle w:val="Hyperlink"/>
          </w:rPr>
          <w:t>foi@dss.gov.au</w:t>
        </w:r>
      </w:hyperlink>
      <w:r w:rsidR="00C319D9">
        <w:t xml:space="preserve"> </w:t>
      </w:r>
    </w:p>
    <w:p w14:paraId="2CDB7B9C" w14:textId="77777777" w:rsidR="007E6B1A" w:rsidRDefault="002D2607" w:rsidP="009668F6">
      <w:pPr>
        <w:pStyle w:val="Heading2"/>
      </w:pPr>
      <w:bookmarkStart w:id="144" w:name="_Toc16515111"/>
      <w:bookmarkStart w:id="145" w:name="_Toc17704047"/>
      <w:r>
        <w:t>Consultation</w:t>
      </w:r>
      <w:bookmarkEnd w:id="144"/>
      <w:bookmarkEnd w:id="145"/>
    </w:p>
    <w:p w14:paraId="7B21D640" w14:textId="0E0FA4BC" w:rsidR="00B26EB3" w:rsidRPr="00227821" w:rsidRDefault="00B26EB3" w:rsidP="00227821">
      <w:r w:rsidRPr="004C7D2B">
        <w:t xml:space="preserve">The Murray-Darling Basin Authority </w:t>
      </w:r>
      <w:proofErr w:type="gramStart"/>
      <w:r w:rsidRPr="004C7D2B">
        <w:t>was consulted</w:t>
      </w:r>
      <w:proofErr w:type="gramEnd"/>
      <w:r w:rsidRPr="004C7D2B">
        <w:t xml:space="preserve"> on the </w:t>
      </w:r>
      <w:r w:rsidR="004C7D2B" w:rsidRPr="004C7D2B">
        <w:t>design of the program</w:t>
      </w:r>
      <w:r w:rsidRPr="004C7D2B">
        <w:t>.</w:t>
      </w:r>
      <w:r w:rsidRPr="00227821">
        <w:t xml:space="preserve"> </w:t>
      </w:r>
    </w:p>
    <w:p w14:paraId="5C25597F" w14:textId="77777777" w:rsidR="00B26EB3" w:rsidRDefault="00B26EB3">
      <w:pPr>
        <w:spacing w:before="0" w:after="0" w:line="240" w:lineRule="auto"/>
        <w:rPr>
          <w:b/>
        </w:rPr>
      </w:pPr>
    </w:p>
    <w:p w14:paraId="1FE74DE8" w14:textId="77777777" w:rsidR="0001007B" w:rsidRDefault="0001007B">
      <w:pPr>
        <w:spacing w:before="0" w:after="0" w:line="240" w:lineRule="auto"/>
        <w:rPr>
          <w:b/>
          <w:iCs/>
        </w:rPr>
      </w:pPr>
      <w:r>
        <w:rPr>
          <w:b/>
        </w:rPr>
        <w:br w:type="page"/>
      </w:r>
    </w:p>
    <w:p w14:paraId="4CA5DBB5" w14:textId="77777777" w:rsidR="00D96D08" w:rsidRDefault="002D2607" w:rsidP="009668F6">
      <w:pPr>
        <w:pStyle w:val="Heading2"/>
      </w:pPr>
      <w:bookmarkStart w:id="146" w:name="_Toc17704048"/>
      <w:bookmarkEnd w:id="116"/>
      <w:r w:rsidRPr="002D2607">
        <w:lastRenderedPageBreak/>
        <w:t>Glossary</w:t>
      </w:r>
      <w:bookmarkEnd w:id="146"/>
    </w:p>
    <w:p w14:paraId="11EA7C88"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CC235ED" w14:textId="77777777" w:rsidTr="004960E4">
        <w:trPr>
          <w:cantSplit/>
          <w:tblHeader/>
        </w:trPr>
        <w:tc>
          <w:tcPr>
            <w:tcW w:w="1843" w:type="pct"/>
            <w:shd w:val="clear" w:color="auto" w:fill="264F90"/>
          </w:tcPr>
          <w:p w14:paraId="6BB835B6" w14:textId="77777777" w:rsidR="002A7660" w:rsidRPr="004D41A5" w:rsidRDefault="002A7660" w:rsidP="004B1409">
            <w:pPr>
              <w:pStyle w:val="TableHeadingNumbered"/>
            </w:pPr>
            <w:r w:rsidRPr="004D41A5">
              <w:t>Term</w:t>
            </w:r>
          </w:p>
        </w:tc>
        <w:tc>
          <w:tcPr>
            <w:tcW w:w="3157" w:type="pct"/>
            <w:shd w:val="clear" w:color="auto" w:fill="264F90"/>
          </w:tcPr>
          <w:p w14:paraId="14F16BD3" w14:textId="77777777" w:rsidR="002A7660" w:rsidRPr="004D41A5" w:rsidRDefault="002A7660" w:rsidP="004B1409">
            <w:pPr>
              <w:pStyle w:val="TableHeadingNumbered"/>
            </w:pPr>
            <w:r w:rsidRPr="004D41A5">
              <w:t>Definition</w:t>
            </w:r>
          </w:p>
        </w:tc>
      </w:tr>
      <w:tr w:rsidR="002547F6" w:rsidRPr="00274AE2" w14:paraId="29A10639" w14:textId="77777777" w:rsidTr="004960E4">
        <w:trPr>
          <w:cantSplit/>
        </w:trPr>
        <w:tc>
          <w:tcPr>
            <w:tcW w:w="1843" w:type="pct"/>
          </w:tcPr>
          <w:p w14:paraId="119B8863" w14:textId="77777777" w:rsidR="002547F6" w:rsidRPr="00274AE2" w:rsidRDefault="002547F6" w:rsidP="00455160">
            <w:r w:rsidRPr="00274AE2">
              <w:t>accountable authority</w:t>
            </w:r>
          </w:p>
        </w:tc>
        <w:tc>
          <w:tcPr>
            <w:tcW w:w="3157" w:type="pct"/>
          </w:tcPr>
          <w:p w14:paraId="16CBF5CA" w14:textId="00E9A152"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59" w:history="1">
              <w:r w:rsidR="00452C26" w:rsidRPr="000633FD">
                <w:rPr>
                  <w:rStyle w:val="Hyperlink"/>
                  <w:i/>
                </w:rPr>
                <w:t>Pub</w:t>
              </w:r>
              <w:r w:rsidR="00452C26" w:rsidRPr="000633FD">
                <w:rPr>
                  <w:rStyle w:val="Hyperlink"/>
                  <w:i/>
                </w:rPr>
                <w:t>l</w:t>
              </w:r>
              <w:r w:rsidR="00452C26" w:rsidRPr="000633FD">
                <w:rPr>
                  <w:rStyle w:val="Hyperlink"/>
                  <w:i/>
                </w:rPr>
                <w:t>ic Gov</w:t>
              </w:r>
              <w:r w:rsidR="00452C26" w:rsidRPr="000633FD">
                <w:rPr>
                  <w:rStyle w:val="Hyperlink"/>
                  <w:i/>
                </w:rPr>
                <w:t>e</w:t>
              </w:r>
              <w:r w:rsidR="00452C26" w:rsidRPr="000633FD">
                <w:rPr>
                  <w:rStyle w:val="Hyperlink"/>
                  <w:i/>
                </w:rPr>
                <w:t>rnance, Performance and Accountability Act 2013</w:t>
              </w:r>
            </w:hyperlink>
          </w:p>
        </w:tc>
      </w:tr>
      <w:tr w:rsidR="002547F6" w:rsidRPr="00274AE2" w14:paraId="4A09AE5A" w14:textId="77777777" w:rsidTr="004960E4">
        <w:trPr>
          <w:cantSplit/>
        </w:trPr>
        <w:tc>
          <w:tcPr>
            <w:tcW w:w="1843" w:type="pct"/>
          </w:tcPr>
          <w:p w14:paraId="21788942" w14:textId="77777777" w:rsidR="002547F6" w:rsidRPr="00274AE2" w:rsidRDefault="008463BB" w:rsidP="00455160">
            <w:r>
              <w:t>a</w:t>
            </w:r>
            <w:r w:rsidR="002547F6" w:rsidRPr="00274AE2">
              <w:t>dministering entity</w:t>
            </w:r>
          </w:p>
        </w:tc>
        <w:tc>
          <w:tcPr>
            <w:tcW w:w="3157" w:type="pct"/>
          </w:tcPr>
          <w:p w14:paraId="28366692"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7B3A0849" w14:textId="77777777" w:rsidTr="004960E4">
        <w:trPr>
          <w:cantSplit/>
        </w:trPr>
        <w:tc>
          <w:tcPr>
            <w:tcW w:w="1843" w:type="pct"/>
          </w:tcPr>
          <w:p w14:paraId="70729F30" w14:textId="77777777" w:rsidR="002D2607" w:rsidRDefault="002D2607" w:rsidP="002D2607">
            <w:r w:rsidRPr="001B21A4">
              <w:t>assessment criteria</w:t>
            </w:r>
          </w:p>
        </w:tc>
        <w:tc>
          <w:tcPr>
            <w:tcW w:w="3157" w:type="pct"/>
          </w:tcPr>
          <w:p w14:paraId="7851F53C" w14:textId="23FC9859" w:rsidR="002D2607" w:rsidRPr="006C4678" w:rsidRDefault="001D76D4" w:rsidP="00613D08">
            <w:proofErr w:type="gramStart"/>
            <w:r>
              <w:rPr>
                <w:rFonts w:cs="Arial"/>
                <w:lang w:eastAsia="en-AU"/>
              </w:rPr>
              <w:t>a</w:t>
            </w:r>
            <w:r w:rsidR="00932BB0" w:rsidRPr="00932BB0">
              <w:rPr>
                <w:rFonts w:cs="Arial"/>
                <w:lang w:eastAsia="en-AU"/>
              </w:rPr>
              <w:t>re</w:t>
            </w:r>
            <w:proofErr w:type="gramEnd"/>
            <w:r w:rsidR="00932BB0" w:rsidRPr="00932BB0">
              <w:rPr>
                <w:rFonts w:cs="Arial"/>
                <w:lang w:eastAsia="en-AU"/>
              </w:rPr>
              <w:t xml:space="preserve"> the specified principles or standards, against which applications will be </w:t>
            </w:r>
            <w:r w:rsidR="004C7D2B">
              <w:rPr>
                <w:rFonts w:cs="Arial"/>
                <w:lang w:eastAsia="en-AU"/>
              </w:rPr>
              <w:t xml:space="preserve">judged. These criteria </w:t>
            </w:r>
            <w:proofErr w:type="gramStart"/>
            <w:r w:rsidR="004C7D2B">
              <w:rPr>
                <w:rFonts w:cs="Arial"/>
                <w:lang w:eastAsia="en-AU"/>
              </w:rPr>
              <w:t xml:space="preserve">are also </w:t>
            </w:r>
            <w:r w:rsidR="00932BB0" w:rsidRPr="00932BB0">
              <w:rPr>
                <w:rFonts w:cs="Arial"/>
                <w:lang w:eastAsia="en-AU"/>
              </w:rPr>
              <w:t>used</w:t>
            </w:r>
            <w:proofErr w:type="gramEnd"/>
            <w:r w:rsidR="00932BB0" w:rsidRPr="00932BB0">
              <w:rPr>
                <w:rFonts w:cs="Arial"/>
                <w:lang w:eastAsia="en-AU"/>
              </w:rPr>
              <w:t xml:space="preserve"> to assess the merits of proposals and, in the case of a competitive grant opportunity, to determine application rankings</w:t>
            </w:r>
            <w:r w:rsidR="008A499A">
              <w:rPr>
                <w:rFonts w:cs="Arial"/>
                <w:lang w:eastAsia="en-AU"/>
              </w:rPr>
              <w:t>.</w:t>
            </w:r>
          </w:p>
        </w:tc>
      </w:tr>
      <w:tr w:rsidR="002D2607" w:rsidRPr="009E3949" w14:paraId="41C75994" w14:textId="77777777" w:rsidTr="004960E4">
        <w:trPr>
          <w:cantSplit/>
        </w:trPr>
        <w:tc>
          <w:tcPr>
            <w:tcW w:w="1843" w:type="pct"/>
          </w:tcPr>
          <w:p w14:paraId="7C5CE4B5" w14:textId="77777777" w:rsidR="002D2607" w:rsidRDefault="002D2607" w:rsidP="002D2607">
            <w:r>
              <w:t>c</w:t>
            </w:r>
            <w:r w:rsidRPr="00463AB3">
              <w:t>ommencement date</w:t>
            </w:r>
          </w:p>
        </w:tc>
        <w:tc>
          <w:tcPr>
            <w:tcW w:w="3157" w:type="pct"/>
          </w:tcPr>
          <w:p w14:paraId="12BEEE44" w14:textId="77777777" w:rsidR="002D2607" w:rsidRPr="006C4678" w:rsidRDefault="001D76D4" w:rsidP="00A05845">
            <w:r>
              <w:t>t</w:t>
            </w:r>
            <w:r w:rsidR="002D2607" w:rsidRPr="00463AB3">
              <w:t xml:space="preserve">he expected start date for the grant activity </w:t>
            </w:r>
          </w:p>
        </w:tc>
      </w:tr>
      <w:tr w:rsidR="002D2607" w:rsidRPr="009E3949" w14:paraId="3F0D6CE0" w14:textId="77777777" w:rsidTr="004960E4">
        <w:trPr>
          <w:cantSplit/>
        </w:trPr>
        <w:tc>
          <w:tcPr>
            <w:tcW w:w="1843" w:type="pct"/>
          </w:tcPr>
          <w:p w14:paraId="17C4696C" w14:textId="77777777" w:rsidR="002D2607" w:rsidRDefault="002D2607" w:rsidP="002D2607">
            <w:r>
              <w:t>c</w:t>
            </w:r>
            <w:r w:rsidRPr="00463AB3">
              <w:t>ompletion date</w:t>
            </w:r>
          </w:p>
        </w:tc>
        <w:tc>
          <w:tcPr>
            <w:tcW w:w="3157" w:type="pct"/>
          </w:tcPr>
          <w:p w14:paraId="650D01DD" w14:textId="77777777" w:rsidR="002D2607" w:rsidRPr="006C4678" w:rsidRDefault="001D76D4" w:rsidP="00A05845">
            <w:r>
              <w:t>t</w:t>
            </w:r>
            <w:r w:rsidR="002D2607" w:rsidRPr="00463AB3">
              <w:t xml:space="preserve">he expected date that the grant activity must be completed and the grant spent by </w:t>
            </w:r>
          </w:p>
        </w:tc>
      </w:tr>
      <w:tr w:rsidR="004960E4" w:rsidRPr="00274AE2" w14:paraId="3AD03581" w14:textId="77777777" w:rsidTr="004960E4">
        <w:trPr>
          <w:cantSplit/>
        </w:trPr>
        <w:tc>
          <w:tcPr>
            <w:tcW w:w="1843" w:type="pct"/>
          </w:tcPr>
          <w:p w14:paraId="0116B54E" w14:textId="77777777" w:rsidR="004960E4" w:rsidRPr="00274AE2" w:rsidRDefault="008463BB" w:rsidP="00455160">
            <w:r>
              <w:t>c</w:t>
            </w:r>
            <w:r w:rsidR="004960E4" w:rsidRPr="00274AE2">
              <w:t>o-sponsoring entity</w:t>
            </w:r>
          </w:p>
        </w:tc>
        <w:tc>
          <w:tcPr>
            <w:tcW w:w="3157" w:type="pct"/>
          </w:tcPr>
          <w:p w14:paraId="5F362256"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B20BF7" w:rsidRPr="009E3949" w14:paraId="33B1929B" w14:textId="77777777" w:rsidTr="004960E4">
        <w:trPr>
          <w:cantSplit/>
        </w:trPr>
        <w:tc>
          <w:tcPr>
            <w:tcW w:w="1843" w:type="pct"/>
          </w:tcPr>
          <w:p w14:paraId="60A16942" w14:textId="77777777" w:rsidR="00B20BF7" w:rsidRDefault="00B20BF7" w:rsidP="00B20BF7">
            <w:r>
              <w:t xml:space="preserve">Commonwealth </w:t>
            </w:r>
            <w:r w:rsidRPr="001B21A4">
              <w:t>entity</w:t>
            </w:r>
          </w:p>
        </w:tc>
        <w:tc>
          <w:tcPr>
            <w:tcW w:w="3157" w:type="pct"/>
          </w:tcPr>
          <w:p w14:paraId="2B4FE930" w14:textId="77777777" w:rsidR="00B20BF7" w:rsidRPr="00164671" w:rsidRDefault="00B20BF7" w:rsidP="00370E02">
            <w:pPr>
              <w:rPr>
                <w:rFonts w:cs="Arial"/>
                <w:lang w:eastAsia="en-AU"/>
              </w:rPr>
            </w:pPr>
            <w:proofErr w:type="gramStart"/>
            <w:r>
              <w:rPr>
                <w:rFonts w:cs="Arial"/>
                <w:lang w:eastAsia="en-AU"/>
              </w:rPr>
              <w:t>a</w:t>
            </w:r>
            <w:proofErr w:type="gramEnd"/>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B20BF7" w:rsidRPr="009E3949" w14:paraId="2ED614B1" w14:textId="77777777" w:rsidTr="004960E4">
        <w:trPr>
          <w:cantSplit/>
        </w:trPr>
        <w:tc>
          <w:tcPr>
            <w:tcW w:w="1843" w:type="pct"/>
          </w:tcPr>
          <w:p w14:paraId="3E5218AE" w14:textId="623A0987" w:rsidR="00B20BF7" w:rsidRDefault="000633FD" w:rsidP="00B20BF7">
            <w:hyperlink r:id="rId60" w:history="1">
              <w:r w:rsidR="00B20BF7" w:rsidRPr="000633FD">
                <w:rPr>
                  <w:rStyle w:val="Hyperlink"/>
                  <w:i/>
                </w:rPr>
                <w:t>Commonwealth Gran</w:t>
              </w:r>
              <w:r w:rsidR="00B20BF7" w:rsidRPr="000633FD">
                <w:rPr>
                  <w:rStyle w:val="Hyperlink"/>
                  <w:i/>
                </w:rPr>
                <w:t>t</w:t>
              </w:r>
              <w:r w:rsidR="00B20BF7" w:rsidRPr="000633FD">
                <w:rPr>
                  <w:rStyle w:val="Hyperlink"/>
                  <w:i/>
                </w:rPr>
                <w:t>s Rules and Guidelines (CGRGs)</w:t>
              </w:r>
            </w:hyperlink>
            <w:r w:rsidR="00B20BF7">
              <w:rPr>
                <w:rStyle w:val="Hyperlink"/>
                <w:i/>
              </w:rPr>
              <w:t xml:space="preserve"> </w:t>
            </w:r>
          </w:p>
        </w:tc>
        <w:tc>
          <w:tcPr>
            <w:tcW w:w="3157" w:type="pct"/>
          </w:tcPr>
          <w:p w14:paraId="6E8992EA" w14:textId="77777777" w:rsidR="00B20BF7" w:rsidRPr="00164671" w:rsidRDefault="00B20BF7" w:rsidP="00B20BF7">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5C30B203" w14:textId="77777777" w:rsidTr="004960E4">
        <w:trPr>
          <w:cantSplit/>
        </w:trPr>
        <w:tc>
          <w:tcPr>
            <w:tcW w:w="1843" w:type="pct"/>
          </w:tcPr>
          <w:p w14:paraId="65E4A38A" w14:textId="77777777" w:rsidR="002D2607" w:rsidRDefault="002D2607" w:rsidP="002D2607">
            <w:r>
              <w:t>date of effect</w:t>
            </w:r>
          </w:p>
        </w:tc>
        <w:tc>
          <w:tcPr>
            <w:tcW w:w="3157" w:type="pct"/>
          </w:tcPr>
          <w:p w14:paraId="0F62CBCA" w14:textId="77777777" w:rsidR="002D2607" w:rsidRPr="006C4678" w:rsidRDefault="002D2607" w:rsidP="00A05845">
            <w:pPr>
              <w:rPr>
                <w:i/>
              </w:rPr>
            </w:pPr>
            <w:proofErr w:type="gramStart"/>
            <w:r w:rsidRPr="00164671">
              <w:rPr>
                <w:rFonts w:cs="Arial"/>
                <w:lang w:eastAsia="en-AU"/>
              </w:rPr>
              <w:t>can</w:t>
            </w:r>
            <w:proofErr w:type="gramEnd"/>
            <w:r w:rsidRPr="00164671">
              <w:rPr>
                <w:rFonts w:cs="Arial"/>
                <w:lang w:eastAsia="en-AU"/>
              </w:rPr>
              <w:t xml:space="preserve">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0BD84316" w14:textId="77777777" w:rsidTr="004960E4">
        <w:trPr>
          <w:cantSplit/>
        </w:trPr>
        <w:tc>
          <w:tcPr>
            <w:tcW w:w="1843" w:type="pct"/>
          </w:tcPr>
          <w:p w14:paraId="532A0EAE" w14:textId="77777777" w:rsidR="002D2607" w:rsidRDefault="002D2607" w:rsidP="002D2607">
            <w:r w:rsidRPr="001B21A4">
              <w:t>decision maker</w:t>
            </w:r>
          </w:p>
        </w:tc>
        <w:tc>
          <w:tcPr>
            <w:tcW w:w="3157" w:type="pct"/>
          </w:tcPr>
          <w:p w14:paraId="0F821124"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16F130B0" w14:textId="77777777" w:rsidTr="004960E4">
        <w:trPr>
          <w:cantSplit/>
        </w:trPr>
        <w:tc>
          <w:tcPr>
            <w:tcW w:w="1843" w:type="pct"/>
          </w:tcPr>
          <w:p w14:paraId="02924E88" w14:textId="77777777" w:rsidR="002D2607" w:rsidRDefault="002D2607" w:rsidP="002D2607">
            <w:r w:rsidRPr="001B21A4">
              <w:t>eligibility criteria</w:t>
            </w:r>
          </w:p>
        </w:tc>
        <w:tc>
          <w:tcPr>
            <w:tcW w:w="3157" w:type="pct"/>
          </w:tcPr>
          <w:p w14:paraId="41DB58F9" w14:textId="77777777" w:rsidR="002D2607" w:rsidRPr="006C4678" w:rsidRDefault="00A05845" w:rsidP="00613D08">
            <w:pPr>
              <w:rPr>
                <w:bCs/>
              </w:rPr>
            </w:pPr>
            <w:proofErr w:type="gramStart"/>
            <w:r>
              <w:rPr>
                <w:rFonts w:cs="Arial"/>
                <w:lang w:eastAsia="en-AU"/>
              </w:rPr>
              <w:t>r</w:t>
            </w:r>
            <w:r w:rsidR="00932BB0" w:rsidRPr="00932BB0">
              <w:rPr>
                <w:rFonts w:cs="Arial"/>
                <w:lang w:eastAsia="en-AU"/>
              </w:rPr>
              <w:t>efer</w:t>
            </w:r>
            <w:proofErr w:type="gramEnd"/>
            <w:r w:rsidR="00932BB0" w:rsidRPr="00932BB0">
              <w:rPr>
                <w:rFonts w:cs="Arial"/>
                <w:lang w:eastAsia="en-AU"/>
              </w:rPr>
              <w:t xml:space="preserve"> to the mandatory criteria which must be met to qualify for a grant. Assessment criteria may apply in addition to eligibility criteria</w:t>
            </w:r>
            <w:r w:rsidR="001B7CCF">
              <w:rPr>
                <w:rFonts w:cs="Arial"/>
                <w:lang w:eastAsia="en-AU"/>
              </w:rPr>
              <w:t>.</w:t>
            </w:r>
          </w:p>
        </w:tc>
      </w:tr>
      <w:tr w:rsidR="001F45CE" w:rsidRPr="009E3949" w14:paraId="37FF6A73" w14:textId="77777777" w:rsidTr="004960E4">
        <w:trPr>
          <w:cantSplit/>
        </w:trPr>
        <w:tc>
          <w:tcPr>
            <w:tcW w:w="1843" w:type="pct"/>
          </w:tcPr>
          <w:p w14:paraId="3DE58D74" w14:textId="7777777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2A7079DA" w14:textId="77777777" w:rsidR="001F45CE" w:rsidRDefault="00666176" w:rsidP="003B575D">
            <w:pPr>
              <w:suppressAutoHyphens/>
              <w:spacing w:before="60"/>
            </w:pPr>
            <w:proofErr w:type="gramStart"/>
            <w:r>
              <w:t>is</w:t>
            </w:r>
            <w:proofErr w:type="gramEnd"/>
            <w:r>
              <w:t xml:space="preserve"> t</w:t>
            </w:r>
            <w:r w:rsidR="009023CF">
              <w:t>he officer responsible for the ongoing management of the grantee and their compliance with the grant agreement.</w:t>
            </w:r>
          </w:p>
        </w:tc>
      </w:tr>
      <w:tr w:rsidR="002D2607" w:rsidRPr="009E3949" w14:paraId="3A862ECC" w14:textId="77777777" w:rsidTr="004960E4">
        <w:trPr>
          <w:cantSplit/>
        </w:trPr>
        <w:tc>
          <w:tcPr>
            <w:tcW w:w="1843" w:type="pct"/>
          </w:tcPr>
          <w:p w14:paraId="5CA397D7" w14:textId="77777777" w:rsidR="002D2607" w:rsidRPr="0007627E" w:rsidRDefault="002D2607" w:rsidP="002D2607">
            <w:r w:rsidRPr="00463AB3">
              <w:rPr>
                <w:rFonts w:cs="Arial"/>
                <w:lang w:eastAsia="en-AU"/>
              </w:rPr>
              <w:lastRenderedPageBreak/>
              <w:t xml:space="preserve">grant </w:t>
            </w:r>
          </w:p>
        </w:tc>
        <w:tc>
          <w:tcPr>
            <w:tcW w:w="3157" w:type="pct"/>
          </w:tcPr>
          <w:p w14:paraId="0B04F9B0" w14:textId="14C4C78B" w:rsidR="00ED6108" w:rsidRPr="006A6E10" w:rsidRDefault="00A05845" w:rsidP="003B575D">
            <w:pPr>
              <w:suppressAutoHyphens/>
              <w:spacing w:before="60"/>
              <w:rPr>
                <w:rFonts w:cs="Arial"/>
              </w:rPr>
            </w:pPr>
            <w:r>
              <w:t xml:space="preserve">for </w:t>
            </w:r>
            <w:r w:rsidR="00ED6108">
              <w:t xml:space="preserve">the purposes of the </w:t>
            </w:r>
            <w:hyperlink r:id="rId61" w:history="1">
              <w:r w:rsidR="001C428F" w:rsidRPr="000633FD" w:rsidDel="00457E6C">
                <w:rPr>
                  <w:rStyle w:val="Hyperlink"/>
                </w:rPr>
                <w:t>CG</w:t>
              </w:r>
              <w:r w:rsidR="001C428F" w:rsidRPr="000633FD" w:rsidDel="00457E6C">
                <w:rPr>
                  <w:rStyle w:val="Hyperlink"/>
                </w:rPr>
                <w:t>R</w:t>
              </w:r>
              <w:r w:rsidR="001C428F" w:rsidRPr="000633FD" w:rsidDel="00457E6C">
                <w:rPr>
                  <w:rStyle w:val="Hyperlink"/>
                </w:rPr>
                <w:t>Gs</w:t>
              </w:r>
            </w:hyperlink>
            <w:r w:rsidR="00ED6108">
              <w:t xml:space="preserve">, a ‘grant’ is an arrangement for the provision of financial assistance by the </w:t>
            </w:r>
            <w:r w:rsidR="00ED6108" w:rsidRPr="006A6E10">
              <w:rPr>
                <w:rFonts w:cs="Arial"/>
              </w:rPr>
              <w:t>Commonwealth or on behalf of the Commonwealth:</w:t>
            </w:r>
          </w:p>
          <w:p w14:paraId="58EB7B99" w14:textId="2AF7B356"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sidR="00A13E60">
              <w:rPr>
                <w:rFonts w:ascii="Arial" w:hAnsi="Arial" w:cs="Arial"/>
                <w:sz w:val="20"/>
                <w:szCs w:val="20"/>
              </w:rPr>
              <w:t xml:space="preserve"> </w:t>
            </w:r>
            <w:hyperlink r:id="rId62" w:history="1">
              <w:r w:rsidR="00A13E60" w:rsidRPr="000633FD">
                <w:rPr>
                  <w:rStyle w:val="Hyperlink"/>
                  <w:rFonts w:ascii="Arial" w:hAnsi="Arial" w:cs="Arial"/>
                  <w:sz w:val="20"/>
                  <w:szCs w:val="20"/>
                </w:rPr>
                <w:t>Consolidate</w:t>
              </w:r>
              <w:r w:rsidR="00A13E60" w:rsidRPr="000633FD">
                <w:rPr>
                  <w:rStyle w:val="Hyperlink"/>
                  <w:rFonts w:ascii="Arial" w:hAnsi="Arial" w:cs="Arial"/>
                  <w:sz w:val="20"/>
                  <w:szCs w:val="20"/>
                </w:rPr>
                <w:t>d</w:t>
              </w:r>
              <w:r w:rsidR="00A13E60" w:rsidRPr="000633FD">
                <w:rPr>
                  <w:rStyle w:val="Hyperlink"/>
                  <w:rFonts w:ascii="Arial" w:hAnsi="Arial" w:cs="Arial"/>
                  <w:sz w:val="20"/>
                  <w:szCs w:val="20"/>
                </w:rPr>
                <w:t xml:space="preserve"> Reve</w:t>
              </w:r>
              <w:r w:rsidR="00A13E60" w:rsidRPr="000633FD">
                <w:rPr>
                  <w:rStyle w:val="Hyperlink"/>
                  <w:rFonts w:ascii="Arial" w:hAnsi="Arial" w:cs="Arial"/>
                  <w:sz w:val="20"/>
                  <w:szCs w:val="20"/>
                </w:rPr>
                <w:t>n</w:t>
              </w:r>
              <w:r w:rsidR="00A13E60" w:rsidRPr="000633FD">
                <w:rPr>
                  <w:rStyle w:val="Hyperlink"/>
                  <w:rFonts w:ascii="Arial" w:hAnsi="Arial" w:cs="Arial"/>
                  <w:sz w:val="20"/>
                  <w:szCs w:val="20"/>
                </w:rPr>
                <w:t>ue Fund</w:t>
              </w:r>
              <w:r w:rsidRPr="000633FD">
                <w:rPr>
                  <w:rStyle w:val="Hyperlink"/>
                  <w:rFonts w:ascii="Arial" w:hAnsi="Arial" w:cs="Arial"/>
                  <w:sz w:val="20"/>
                  <w:szCs w:val="20"/>
                </w:rPr>
                <w:t xml:space="preserve"> </w:t>
              </w:r>
              <w:r w:rsidR="00A13E60" w:rsidRPr="000633FD">
                <w:rPr>
                  <w:rStyle w:val="Hyperlink"/>
                  <w:rFonts w:ascii="Arial" w:hAnsi="Arial" w:cs="Arial"/>
                  <w:sz w:val="20"/>
                  <w:szCs w:val="20"/>
                </w:rPr>
                <w:t>(</w:t>
              </w:r>
              <w:r w:rsidRPr="000633FD">
                <w:rPr>
                  <w:rStyle w:val="Hyperlink"/>
                  <w:rFonts w:ascii="Arial" w:hAnsi="Arial" w:cs="Arial"/>
                  <w:sz w:val="20"/>
                  <w:szCs w:val="20"/>
                </w:rPr>
                <w:t>CRF</w:t>
              </w:r>
              <w:r w:rsidR="00A13E60" w:rsidRPr="000633FD">
                <w:rPr>
                  <w:rStyle w:val="Hyperlink"/>
                  <w:rFonts w:ascii="Arial" w:hAnsi="Arial" w:cs="Arial"/>
                  <w:sz w:val="20"/>
                  <w:szCs w:val="20"/>
                </w:rPr>
                <w:t>)</w:t>
              </w:r>
            </w:hyperlink>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5CF1924B" w14:textId="77777777" w:rsidR="002D2607" w:rsidRPr="00710FAB" w:rsidRDefault="00ED6108" w:rsidP="009668F6">
            <w:pPr>
              <w:pStyle w:val="NumberedList2"/>
              <w:numPr>
                <w:ilvl w:val="1"/>
                <w:numId w:val="18"/>
              </w:numPr>
              <w:spacing w:before="60"/>
              <w:ind w:left="113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6D546622" w14:textId="77777777" w:rsidTr="004960E4">
        <w:trPr>
          <w:cantSplit/>
        </w:trPr>
        <w:tc>
          <w:tcPr>
            <w:tcW w:w="1843" w:type="pct"/>
          </w:tcPr>
          <w:p w14:paraId="48BE22FF"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41517724"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12173F67" w14:textId="77777777" w:rsidTr="004960E4">
        <w:trPr>
          <w:cantSplit/>
        </w:trPr>
        <w:tc>
          <w:tcPr>
            <w:tcW w:w="1843" w:type="pct"/>
          </w:tcPr>
          <w:p w14:paraId="59DF202F" w14:textId="77777777" w:rsidR="002D2607" w:rsidRDefault="002D2607" w:rsidP="002D2607">
            <w:r w:rsidRPr="001B21A4">
              <w:t>grant agreement</w:t>
            </w:r>
          </w:p>
        </w:tc>
        <w:tc>
          <w:tcPr>
            <w:tcW w:w="3157" w:type="pct"/>
          </w:tcPr>
          <w:p w14:paraId="5FE29266"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37146628" w14:textId="77777777" w:rsidTr="004960E4">
        <w:trPr>
          <w:cantSplit/>
        </w:trPr>
        <w:tc>
          <w:tcPr>
            <w:tcW w:w="1843" w:type="pct"/>
          </w:tcPr>
          <w:p w14:paraId="20E81EEC" w14:textId="77777777" w:rsidR="004960E4" w:rsidRDefault="00387CF1" w:rsidP="004960E4">
            <w:hyperlink r:id="rId63" w:history="1">
              <w:r w:rsidR="004960E4" w:rsidRPr="00132512">
                <w:rPr>
                  <w:rStyle w:val="Hyperlink"/>
                </w:rPr>
                <w:t>GrantConnect</w:t>
              </w:r>
            </w:hyperlink>
          </w:p>
        </w:tc>
        <w:tc>
          <w:tcPr>
            <w:tcW w:w="3157" w:type="pct"/>
          </w:tcPr>
          <w:p w14:paraId="03F708AC" w14:textId="1C640C77" w:rsidR="004960E4" w:rsidRPr="00710FAB" w:rsidRDefault="00A05845" w:rsidP="00613D08">
            <w:r>
              <w:t>i</w:t>
            </w:r>
            <w:r w:rsidR="00370E02">
              <w:t xml:space="preserve">s the Australian </w:t>
            </w:r>
            <w:r w:rsidR="00A8702B">
              <w:t>Government</w:t>
            </w:r>
            <w:r w:rsidR="00A77F5D" w:rsidRPr="00A77F5D">
              <w:t xml:space="preserve">’s whole-of-government grants information system, which centralises the publication and reporting of Commonwealth grants in accordance with the </w:t>
            </w:r>
            <w:hyperlink r:id="rId64" w:history="1">
              <w:r w:rsidR="001C428F" w:rsidRPr="000633FD" w:rsidDel="00457E6C">
                <w:rPr>
                  <w:rStyle w:val="Hyperlink"/>
                </w:rPr>
                <w:t>CGR</w:t>
              </w:r>
              <w:r w:rsidR="001C428F" w:rsidRPr="000633FD" w:rsidDel="00457E6C">
                <w:rPr>
                  <w:rStyle w:val="Hyperlink"/>
                </w:rPr>
                <w:t>G</w:t>
              </w:r>
              <w:r w:rsidR="001C428F" w:rsidRPr="000633FD" w:rsidDel="00457E6C">
                <w:rPr>
                  <w:rStyle w:val="Hyperlink"/>
                </w:rPr>
                <w:t>s</w:t>
              </w:r>
            </w:hyperlink>
          </w:p>
        </w:tc>
      </w:tr>
      <w:tr w:rsidR="002D2607" w:rsidRPr="009E3949" w14:paraId="548EE0C2" w14:textId="77777777" w:rsidTr="004960E4">
        <w:trPr>
          <w:cantSplit/>
        </w:trPr>
        <w:tc>
          <w:tcPr>
            <w:tcW w:w="1843" w:type="pct"/>
          </w:tcPr>
          <w:p w14:paraId="249FE4CC" w14:textId="77777777" w:rsidR="002D2607" w:rsidRPr="001B21A4" w:rsidRDefault="002D2607" w:rsidP="002D2607">
            <w:r>
              <w:t>grant opportunity</w:t>
            </w:r>
          </w:p>
        </w:tc>
        <w:tc>
          <w:tcPr>
            <w:tcW w:w="3157" w:type="pct"/>
          </w:tcPr>
          <w:p w14:paraId="25193EE7" w14:textId="77777777" w:rsidR="002D2607" w:rsidRPr="00710FAB" w:rsidRDefault="00A05845" w:rsidP="00613D08">
            <w:proofErr w:type="gramStart"/>
            <w:r>
              <w:t>r</w:t>
            </w:r>
            <w:r w:rsidR="00A77F5D" w:rsidRPr="00A77F5D">
              <w:t>efers</w:t>
            </w:r>
            <w:proofErr w:type="gramEnd"/>
            <w:r w:rsidR="00A77F5D" w:rsidRPr="00A77F5D">
              <w:t xml:space="preserve">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75C081EA" w14:textId="77777777" w:rsidTr="004960E4">
        <w:trPr>
          <w:cantSplit/>
        </w:trPr>
        <w:tc>
          <w:tcPr>
            <w:tcW w:w="1843" w:type="pct"/>
          </w:tcPr>
          <w:p w14:paraId="08515F34" w14:textId="77777777" w:rsidR="002D2607" w:rsidRDefault="002D2607" w:rsidP="002D2607">
            <w:r w:rsidRPr="001B21A4">
              <w:t xml:space="preserve">grant </w:t>
            </w:r>
            <w:r>
              <w:t>program</w:t>
            </w:r>
          </w:p>
        </w:tc>
        <w:tc>
          <w:tcPr>
            <w:tcW w:w="3157" w:type="pct"/>
          </w:tcPr>
          <w:p w14:paraId="34BDF082" w14:textId="77777777" w:rsidR="00F85418" w:rsidRPr="00F85418" w:rsidRDefault="00F85418" w:rsidP="00A05845">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7962F47D" w14:textId="77777777" w:rsidTr="004960E4">
        <w:trPr>
          <w:cantSplit/>
        </w:trPr>
        <w:tc>
          <w:tcPr>
            <w:tcW w:w="1843" w:type="pct"/>
          </w:tcPr>
          <w:p w14:paraId="7544F447" w14:textId="77777777" w:rsidR="002D2607" w:rsidRPr="001B21A4" w:rsidRDefault="002D2607" w:rsidP="002D2607">
            <w:r>
              <w:t>grantee</w:t>
            </w:r>
          </w:p>
        </w:tc>
        <w:tc>
          <w:tcPr>
            <w:tcW w:w="3157" w:type="pct"/>
          </w:tcPr>
          <w:p w14:paraId="715C34D0" w14:textId="77777777" w:rsidR="002D2607" w:rsidRPr="00710FAB" w:rsidRDefault="00A05845" w:rsidP="00A05845">
            <w:pPr>
              <w:rPr>
                <w:rFonts w:cs="Arial"/>
              </w:rPr>
            </w:pPr>
            <w:r>
              <w:t>t</w:t>
            </w:r>
            <w:r w:rsidR="006E2EEE">
              <w:t>he individual/organisation which has been selected to receive a grant</w:t>
            </w:r>
          </w:p>
        </w:tc>
      </w:tr>
      <w:tr w:rsidR="002D2607" w:rsidRPr="009E3949" w14:paraId="05C0EA63" w14:textId="77777777" w:rsidTr="004960E4">
        <w:trPr>
          <w:cantSplit/>
        </w:trPr>
        <w:tc>
          <w:tcPr>
            <w:tcW w:w="1843" w:type="pct"/>
          </w:tcPr>
          <w:p w14:paraId="644A5306"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125FF183" w14:textId="6EDC7B21" w:rsidR="002D2607" w:rsidRPr="00710FAB" w:rsidRDefault="00A05845" w:rsidP="00562162">
            <w:proofErr w:type="gramStart"/>
            <w:r>
              <w:rPr>
                <w:rFonts w:cs="Arial"/>
              </w:rPr>
              <w:t>d</w:t>
            </w:r>
            <w:r w:rsidR="002D2607" w:rsidRPr="00463AB3">
              <w:rPr>
                <w:rFonts w:cs="Arial"/>
              </w:rPr>
              <w:t>escribed</w:t>
            </w:r>
            <w:proofErr w:type="gramEnd"/>
            <w:r w:rsidR="002D2607" w:rsidRPr="00463AB3">
              <w:rPr>
                <w:rFonts w:cs="Arial"/>
              </w:rPr>
              <w:t xml:space="preserve"> within the entity’s </w:t>
            </w:r>
            <w:hyperlink r:id="rId65" w:history="1">
              <w:r w:rsidR="002D2607" w:rsidRPr="000633FD">
                <w:rPr>
                  <w:rStyle w:val="Hyperlink"/>
                  <w:rFonts w:cs="Arial"/>
                </w:rPr>
                <w:t>Portfolio Bud</w:t>
              </w:r>
              <w:r w:rsidR="002D2607" w:rsidRPr="000633FD">
                <w:rPr>
                  <w:rStyle w:val="Hyperlink"/>
                  <w:rFonts w:cs="Arial"/>
                </w:rPr>
                <w:t>g</w:t>
              </w:r>
              <w:r w:rsidR="002D2607" w:rsidRPr="000633FD">
                <w:rPr>
                  <w:rStyle w:val="Hyperlink"/>
                  <w:rFonts w:cs="Arial"/>
                </w:rPr>
                <w:t>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2D2607" w:rsidRPr="00463AB3">
              <w:t xml:space="preserve">rant Programs. A PBS Program may have more than one </w:t>
            </w:r>
            <w:r w:rsidR="00370E02">
              <w:t>g</w:t>
            </w:r>
            <w:r w:rsidR="00F317AC">
              <w:t xml:space="preserve">rant </w:t>
            </w:r>
            <w:r w:rsidR="00562162">
              <w:t>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31A8B471" w14:textId="77777777" w:rsidTr="004960E4">
        <w:trPr>
          <w:cantSplit/>
        </w:trPr>
        <w:tc>
          <w:tcPr>
            <w:tcW w:w="1843" w:type="pct"/>
          </w:tcPr>
          <w:p w14:paraId="54EC897E" w14:textId="77777777" w:rsidR="002D2607" w:rsidRPr="00463AB3" w:rsidRDefault="002D2607" w:rsidP="002D2607">
            <w:r w:rsidRPr="001B21A4">
              <w:t>selection criteria</w:t>
            </w:r>
          </w:p>
        </w:tc>
        <w:tc>
          <w:tcPr>
            <w:tcW w:w="3157" w:type="pct"/>
          </w:tcPr>
          <w:p w14:paraId="11638317" w14:textId="77777777" w:rsidR="002D2607" w:rsidRPr="00463AB3" w:rsidRDefault="00A05845" w:rsidP="00613D08">
            <w:pPr>
              <w:rPr>
                <w:rFonts w:cs="Arial"/>
              </w:rPr>
            </w:pPr>
            <w:proofErr w:type="gramStart"/>
            <w:r>
              <w:t>c</w:t>
            </w:r>
            <w:r w:rsidR="002D2607" w:rsidRPr="00710FAB">
              <w:t>omprise</w:t>
            </w:r>
            <w:proofErr w:type="gramEnd"/>
            <w:r w:rsidR="002D2607" w:rsidRPr="00710FAB">
              <w:t xml:space="preserve"> eligibility criteria </w:t>
            </w:r>
            <w:r w:rsidR="00A71623">
              <w:t>and assessment criteria.</w:t>
            </w:r>
          </w:p>
        </w:tc>
      </w:tr>
      <w:tr w:rsidR="002D2607" w:rsidRPr="009E3949" w14:paraId="502B3D0D" w14:textId="77777777" w:rsidTr="004960E4">
        <w:trPr>
          <w:cantSplit/>
        </w:trPr>
        <w:tc>
          <w:tcPr>
            <w:tcW w:w="1843" w:type="pct"/>
          </w:tcPr>
          <w:p w14:paraId="301F1789" w14:textId="77777777" w:rsidR="002D2607" w:rsidRPr="001B21A4" w:rsidRDefault="002D2607" w:rsidP="002D2607">
            <w:r w:rsidRPr="001B21A4">
              <w:lastRenderedPageBreak/>
              <w:t>selection process</w:t>
            </w:r>
          </w:p>
        </w:tc>
        <w:tc>
          <w:tcPr>
            <w:tcW w:w="3157" w:type="pct"/>
          </w:tcPr>
          <w:p w14:paraId="33D6BD5C" w14:textId="77777777" w:rsidR="002D2607" w:rsidRPr="00710FAB" w:rsidRDefault="00A05845" w:rsidP="00613D08">
            <w:proofErr w:type="gramStart"/>
            <w:r>
              <w:t>t</w:t>
            </w:r>
            <w:r w:rsidR="002D2607" w:rsidRPr="00710FAB">
              <w:t>he</w:t>
            </w:r>
            <w:proofErr w:type="gramEnd"/>
            <w:r w:rsidR="002D2607" w:rsidRPr="00710FAB">
              <w:t xml:space="preserv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1C4F77C0" w14:textId="77777777" w:rsidTr="00117DE3">
        <w:trPr>
          <w:cantSplit/>
          <w:trHeight w:val="1133"/>
        </w:trPr>
        <w:tc>
          <w:tcPr>
            <w:tcW w:w="1843" w:type="pct"/>
          </w:tcPr>
          <w:p w14:paraId="25D1F244" w14:textId="4B070604" w:rsidR="00456C23" w:rsidRPr="001B21A4" w:rsidRDefault="00191523" w:rsidP="002D2607">
            <w:r>
              <w:t>s</w:t>
            </w:r>
            <w:bookmarkStart w:id="147" w:name="_GoBack"/>
            <w:bookmarkEnd w:id="147"/>
            <w:r>
              <w:t>election advisory panel</w:t>
            </w:r>
            <w:r w:rsidR="00456C23">
              <w:t xml:space="preserve"> </w:t>
            </w:r>
          </w:p>
        </w:tc>
        <w:tc>
          <w:tcPr>
            <w:tcW w:w="3157" w:type="pct"/>
            <w:vAlign w:val="center"/>
          </w:tcPr>
          <w:p w14:paraId="0247ECAE" w14:textId="77777777" w:rsidR="00456C23" w:rsidRPr="00117DE3" w:rsidRDefault="00117DE3" w:rsidP="00117DE3">
            <w:pPr>
              <w:pStyle w:val="BodyText"/>
              <w:spacing w:before="0" w:after="0" w:line="240" w:lineRule="auto"/>
              <w:rPr>
                <w:sz w:val="20"/>
                <w:szCs w:val="20"/>
                <w:lang w:eastAsia="en-US"/>
              </w:rPr>
            </w:pPr>
            <w:proofErr w:type="gramStart"/>
            <w:r w:rsidRPr="00117DE3">
              <w:rPr>
                <w:sz w:val="20"/>
                <w:szCs w:val="20"/>
                <w:lang w:eastAsia="en-US"/>
              </w:rPr>
              <w:t>provide</w:t>
            </w:r>
            <w:r>
              <w:rPr>
                <w:sz w:val="20"/>
                <w:szCs w:val="20"/>
                <w:lang w:eastAsia="en-US"/>
              </w:rPr>
              <w:t>s</w:t>
            </w:r>
            <w:proofErr w:type="gramEnd"/>
            <w:r w:rsidRPr="00117DE3">
              <w:rPr>
                <w:sz w:val="20"/>
                <w:szCs w:val="20"/>
                <w:lang w:eastAsia="en-US"/>
              </w:rPr>
              <w:t xml:space="preserve"> strategic oversight, advice and recommendations to the </w:t>
            </w:r>
            <w:r w:rsidR="006F16B1">
              <w:rPr>
                <w:sz w:val="20"/>
                <w:szCs w:val="20"/>
                <w:lang w:eastAsia="en-US"/>
              </w:rPr>
              <w:t>d</w:t>
            </w:r>
            <w:r w:rsidRPr="00117DE3">
              <w:rPr>
                <w:sz w:val="20"/>
                <w:szCs w:val="20"/>
                <w:lang w:eastAsia="en-US"/>
              </w:rPr>
              <w:t xml:space="preserve">ecision </w:t>
            </w:r>
            <w:r w:rsidR="006F16B1">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4960E4" w:rsidRPr="009E3949" w14:paraId="4667D61F" w14:textId="77777777" w:rsidTr="004960E4">
        <w:trPr>
          <w:cantSplit/>
        </w:trPr>
        <w:tc>
          <w:tcPr>
            <w:tcW w:w="1843" w:type="pct"/>
          </w:tcPr>
          <w:p w14:paraId="2FB1BE7F" w14:textId="4394ACA1" w:rsidR="004960E4" w:rsidRPr="001B21A4" w:rsidRDefault="008463BB" w:rsidP="00D57F95">
            <w:r>
              <w:t>v</w:t>
            </w:r>
            <w:r w:rsidR="00D57F95">
              <w:t xml:space="preserve">alue with </w:t>
            </w:r>
            <w:r w:rsidR="001C428F">
              <w:t xml:space="preserve">relevant </w:t>
            </w:r>
            <w:r w:rsidR="004960E4" w:rsidRPr="00274AE2">
              <w:t>money</w:t>
            </w:r>
          </w:p>
        </w:tc>
        <w:tc>
          <w:tcPr>
            <w:tcW w:w="3157" w:type="pct"/>
          </w:tcPr>
          <w:p w14:paraId="50E5CC07" w14:textId="46DA448F" w:rsidR="004960E4" w:rsidRPr="00274AE2" w:rsidRDefault="001C428F" w:rsidP="00613D08">
            <w:r>
              <w:t xml:space="preserve">one of the key principles of the </w:t>
            </w:r>
            <w:hyperlink r:id="rId66" w:history="1">
              <w:r w:rsidRPr="000633FD" w:rsidDel="00457E6C">
                <w:rPr>
                  <w:rStyle w:val="Hyperlink"/>
                </w:rPr>
                <w:t>CGR</w:t>
              </w:r>
              <w:r w:rsidRPr="000633FD" w:rsidDel="00457E6C">
                <w:rPr>
                  <w:rStyle w:val="Hyperlink"/>
                </w:rPr>
                <w:t>G</w:t>
              </w:r>
              <w:r w:rsidRPr="000633FD" w:rsidDel="00457E6C">
                <w:rPr>
                  <w:rStyle w:val="Hyperlink"/>
                </w:rPr>
                <w:t>s</w:t>
              </w:r>
              <w:r w:rsidRPr="000633FD">
                <w:rPr>
                  <w:rStyle w:val="Hyperlink"/>
                </w:rPr>
                <w:t>,</w:t>
              </w:r>
            </w:hyperlink>
            <w:r w:rsidRPr="000633FD">
              <w:rPr>
                <w:rStyle w:val="Hyperlink"/>
                <w:color w:val="auto"/>
              </w:rPr>
              <w:t xml:space="preserve"> </w:t>
            </w:r>
            <w:r w:rsidRPr="00756319">
              <w:rPr>
                <w:rStyle w:val="Hyperlink"/>
                <w:color w:val="auto"/>
                <w:u w:val="none"/>
              </w:rPr>
              <w:t>this</w:t>
            </w:r>
            <w:r w:rsidRPr="00756319">
              <w:rPr>
                <w:rStyle w:val="Hyperlink"/>
                <w:u w:val="none"/>
              </w:rPr>
              <w:t xml:space="preserve"> </w:t>
            </w:r>
            <w:r w:rsidR="00D57F95">
              <w:t xml:space="preserve">is a </w:t>
            </w:r>
            <w:r w:rsidR="004960E4" w:rsidRPr="00274AE2">
              <w:t xml:space="preserve">judgement </w:t>
            </w:r>
            <w:r>
              <w:t>of the extent to which</w:t>
            </w:r>
            <w:r w:rsidR="004960E4" w:rsidRPr="00274AE2">
              <w:t xml:space="preserve"> the grant proposal </w:t>
            </w:r>
            <w:r w:rsidRPr="00274AE2">
              <w:t>represent</w:t>
            </w:r>
            <w:r>
              <w:t>s</w:t>
            </w:r>
            <w:r w:rsidRPr="00274AE2">
              <w:t xml:space="preserve"> </w:t>
            </w:r>
            <w:r w:rsidR="004960E4" w:rsidRPr="00274AE2">
              <w:t xml:space="preserve">an efficient, effective, economical and ethical use of public resources and </w:t>
            </w:r>
            <w:r>
              <w:t xml:space="preserve">is </w:t>
            </w:r>
            <w:r w:rsidR="00D57F95">
              <w:t>dete</w:t>
            </w:r>
            <w:r w:rsidR="004960E4" w:rsidRPr="00274AE2">
              <w:t xml:space="preserve">rmined </w:t>
            </w:r>
            <w:r w:rsidR="00D57F95">
              <w:t>from</w:t>
            </w:r>
            <w:r w:rsidR="004960E4" w:rsidRPr="00274AE2">
              <w:t xml:space="preserve"> a variety of considerations.</w:t>
            </w:r>
          </w:p>
          <w:p w14:paraId="1AD103BC"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5F88F8F2" w14:textId="77777777"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quality of the project proposal and activities;</w:t>
            </w:r>
          </w:p>
          <w:p w14:paraId="24C337DA" w14:textId="56CC3902" w:rsidR="004960E4" w:rsidRPr="00274AE2" w:rsidRDefault="00077FB0" w:rsidP="009668F6">
            <w:pPr>
              <w:numPr>
                <w:ilvl w:val="0"/>
                <w:numId w:val="17"/>
              </w:numPr>
              <w:spacing w:before="0" w:after="40" w:line="240" w:lineRule="auto"/>
              <w:ind w:left="342" w:hanging="342"/>
              <w:rPr>
                <w:rFonts w:cs="Arial"/>
                <w:lang w:eastAsia="en-AU"/>
              </w:rPr>
            </w:pPr>
            <w:r>
              <w:rPr>
                <w:rFonts w:cs="Arial"/>
                <w:lang w:eastAsia="en-AU"/>
              </w:rPr>
              <w:t xml:space="preserve">extent to which the proposal is </w:t>
            </w:r>
            <w:r w:rsidR="00370E02">
              <w:rPr>
                <w:rFonts w:cs="Arial"/>
                <w:lang w:eastAsia="en-AU"/>
              </w:rPr>
              <w:t>fit</w:t>
            </w:r>
            <w:r w:rsidR="004960E4" w:rsidRPr="00274AE2">
              <w:rPr>
                <w:rFonts w:cs="Arial"/>
                <w:lang w:eastAsia="en-AU"/>
              </w:rPr>
              <w:t xml:space="preserve"> for purpose of the proposal in contributing to government objectives;</w:t>
            </w:r>
          </w:p>
          <w:p w14:paraId="70427B29" w14:textId="73B3F424" w:rsidR="00D57F95" w:rsidRPr="00D57F95" w:rsidRDefault="00077FB0" w:rsidP="009668F6">
            <w:pPr>
              <w:numPr>
                <w:ilvl w:val="0"/>
                <w:numId w:val="17"/>
              </w:numPr>
              <w:spacing w:before="0" w:after="40" w:line="240" w:lineRule="auto"/>
              <w:ind w:left="342" w:hanging="342"/>
            </w:pPr>
            <w:r>
              <w:rPr>
                <w:rFonts w:cs="Arial"/>
                <w:lang w:eastAsia="en-AU"/>
              </w:rPr>
              <w:t xml:space="preserve">extent to which the </w:t>
            </w:r>
            <w:r w:rsidR="004960E4" w:rsidRPr="00274AE2">
              <w:rPr>
                <w:rFonts w:cs="Arial"/>
                <w:lang w:eastAsia="en-AU"/>
              </w:rPr>
              <w:t>absence of a grant is likely to prevent the grantee and gover</w:t>
            </w:r>
            <w:r w:rsidR="00370E02">
              <w:rPr>
                <w:rFonts w:cs="Arial"/>
                <w:lang w:eastAsia="en-AU"/>
              </w:rPr>
              <w:t>nment’s outcomes being achieved</w:t>
            </w:r>
          </w:p>
          <w:p w14:paraId="417BD359" w14:textId="77777777" w:rsidR="004960E4" w:rsidRPr="00710FAB" w:rsidRDefault="004960E4" w:rsidP="00370E02">
            <w:pPr>
              <w:numPr>
                <w:ilvl w:val="0"/>
                <w:numId w:val="17"/>
              </w:numPr>
              <w:spacing w:before="0" w:after="40" w:line="240" w:lineRule="auto"/>
              <w:ind w:left="342" w:hanging="342"/>
            </w:pPr>
            <w:proofErr w:type="gramStart"/>
            <w:r w:rsidRPr="00274AE2">
              <w:rPr>
                <w:rFonts w:cs="Arial"/>
                <w:lang w:eastAsia="en-AU"/>
              </w:rPr>
              <w:t>potential</w:t>
            </w:r>
            <w:proofErr w:type="gramEnd"/>
            <w:r w:rsidRPr="00274AE2">
              <w:rPr>
                <w:rFonts w:cs="Arial"/>
                <w:lang w:eastAsia="en-AU"/>
              </w:rPr>
              <w:t xml:space="preserve"> grantee’s relevant experience and performance history</w:t>
            </w:r>
            <w:r w:rsidRPr="00274AE2">
              <w:rPr>
                <w:rFonts w:ascii="Times New Roman" w:hAnsi="Times New Roman"/>
                <w:sz w:val="24"/>
                <w:szCs w:val="24"/>
                <w:lang w:val="en" w:eastAsia="en-AU"/>
              </w:rPr>
              <w:t>.</w:t>
            </w:r>
          </w:p>
        </w:tc>
      </w:tr>
    </w:tbl>
    <w:p w14:paraId="188E4678" w14:textId="77777777" w:rsidR="00230A2B" w:rsidRDefault="00230A2B" w:rsidP="00230A2B"/>
    <w:p w14:paraId="25322FF4" w14:textId="77777777" w:rsidR="00843AF3" w:rsidRDefault="00843AF3" w:rsidP="00843AF3"/>
    <w:p w14:paraId="11666CA0" w14:textId="77777777" w:rsidR="00FF7478" w:rsidRDefault="00FF7478">
      <w:pPr>
        <w:sectPr w:rsidR="00FF7478" w:rsidSect="0002331D">
          <w:pgSz w:w="11907" w:h="16840" w:code="9"/>
          <w:pgMar w:top="1418" w:right="1418" w:bottom="1276" w:left="1701" w:header="709" w:footer="709" w:gutter="0"/>
          <w:cols w:space="720"/>
          <w:docGrid w:linePitch="360"/>
        </w:sectPr>
      </w:pPr>
    </w:p>
    <w:p w14:paraId="2161E675" w14:textId="1E87A305" w:rsidR="00230A2B" w:rsidRDefault="00230A2B" w:rsidP="009668F6">
      <w:pPr>
        <w:pStyle w:val="Heading2Appendix"/>
      </w:pPr>
      <w:bookmarkStart w:id="148" w:name="_Toc17704049"/>
      <w:r>
        <w:lastRenderedPageBreak/>
        <w:t xml:space="preserve">Appendix </w:t>
      </w:r>
      <w:r w:rsidR="00182EAC">
        <w:t>A</w:t>
      </w:r>
      <w:r>
        <w:t xml:space="preserve">. </w:t>
      </w:r>
      <w:r w:rsidR="00B26EB3">
        <w:t>Map</w:t>
      </w:r>
      <w:r w:rsidR="006A12C0">
        <w:t>s</w:t>
      </w:r>
      <w:r w:rsidR="00B26EB3">
        <w:t xml:space="preserve"> of </w:t>
      </w:r>
      <w:r w:rsidR="00301E23">
        <w:t>c</w:t>
      </w:r>
      <w:r w:rsidR="00B26EB3">
        <w:t xml:space="preserve">ommunities </w:t>
      </w:r>
      <w:r w:rsidR="00301E23">
        <w:t>e</w:t>
      </w:r>
      <w:r w:rsidR="00B26EB3">
        <w:t xml:space="preserve">ligible </w:t>
      </w:r>
      <w:r w:rsidR="00A70B9F">
        <w:t>f</w:t>
      </w:r>
      <w:r w:rsidR="00B26EB3">
        <w:t xml:space="preserve">or </w:t>
      </w:r>
      <w:r w:rsidR="00301E23">
        <w:t>f</w:t>
      </w:r>
      <w:r w:rsidR="00B26EB3">
        <w:t>unding under the Murray-Darling Basin Economic Development Program</w:t>
      </w:r>
      <w:r w:rsidR="00301E23">
        <w:t xml:space="preserve"> (Round 2)</w:t>
      </w:r>
      <w:bookmarkEnd w:id="148"/>
    </w:p>
    <w:p w14:paraId="43D2D00D" w14:textId="77777777" w:rsidR="00387FC0" w:rsidRPr="00387FC0" w:rsidRDefault="00387FC0" w:rsidP="00B26EB3"/>
    <w:sectPr w:rsidR="00387FC0" w:rsidRPr="00387FC0"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7670C" w14:textId="77777777" w:rsidR="00387CF1" w:rsidRDefault="00387CF1" w:rsidP="00077C3D">
      <w:r>
        <w:separator/>
      </w:r>
    </w:p>
  </w:endnote>
  <w:endnote w:type="continuationSeparator" w:id="0">
    <w:p w14:paraId="3E6625BB" w14:textId="77777777" w:rsidR="00387CF1" w:rsidRDefault="00387CF1" w:rsidP="00077C3D">
      <w:r>
        <w:continuationSeparator/>
      </w:r>
    </w:p>
  </w:endnote>
  <w:endnote w:type="continuationNotice" w:id="1">
    <w:p w14:paraId="0ABBC376" w14:textId="77777777" w:rsidR="00387CF1" w:rsidRDefault="00387CF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8F3F0" w14:textId="41E70667" w:rsidR="00F552B9" w:rsidRPr="005B72F4" w:rsidRDefault="00F552B9" w:rsidP="0002331D">
    <w:pPr>
      <w:pStyle w:val="Footer"/>
      <w:tabs>
        <w:tab w:val="clear" w:pos="4153"/>
        <w:tab w:val="clear" w:pos="8306"/>
        <w:tab w:val="center" w:pos="6096"/>
        <w:tab w:val="right" w:pos="8789"/>
      </w:tabs>
      <w:rPr>
        <w:noProof/>
      </w:rPr>
    </w:pPr>
    <w:r w:rsidRPr="00D53DC2">
      <w:rPr>
        <w:color w:val="000000" w:themeColor="text1"/>
      </w:rPr>
      <w:t>Murray-Darling Basin Economic Development</w:t>
    </w:r>
    <w:r>
      <w:rPr>
        <w:color w:val="000000" w:themeColor="text1"/>
      </w:rPr>
      <w:t xml:space="preserve"> </w:t>
    </w:r>
    <w:r w:rsidRPr="00D53DC2">
      <w:rPr>
        <w:color w:val="000000" w:themeColor="text1"/>
      </w:rPr>
      <w:t xml:space="preserve">Program </w:t>
    </w:r>
    <w:r>
      <w:rPr>
        <w:color w:val="000000" w:themeColor="text1"/>
      </w:rPr>
      <w:t>(</w:t>
    </w:r>
    <w:r w:rsidRPr="00D53DC2">
      <w:rPr>
        <w:color w:val="000000" w:themeColor="text1"/>
      </w:rPr>
      <w:t>Round 2</w:t>
    </w:r>
    <w:r>
      <w:rPr>
        <w:color w:val="000000" w:themeColor="text1"/>
      </w:rPr>
      <w:t>)</w:t>
    </w:r>
    <w:r w:rsidRPr="00D53DC2">
      <w:rPr>
        <w:color w:val="000000" w:themeColor="text1"/>
      </w:rPr>
      <w:t xml:space="preserve"> Guidelines</w:t>
    </w:r>
    <w:r>
      <w:tab/>
      <w:t xml:space="preserve">                </w:t>
    </w:r>
    <w:r w:rsidRPr="008072B2">
      <w:t>November 2019</w:t>
    </w:r>
    <w:r w:rsidRPr="005B72F4">
      <w:tab/>
      <w:t xml:space="preserve">Page </w:t>
    </w:r>
    <w:r w:rsidRPr="005B72F4">
      <w:fldChar w:fldCharType="begin"/>
    </w:r>
    <w:r w:rsidRPr="005B72F4">
      <w:instrText xml:space="preserve"> PAGE </w:instrText>
    </w:r>
    <w:r w:rsidRPr="005B72F4">
      <w:fldChar w:fldCharType="separate"/>
    </w:r>
    <w:r w:rsidR="000633FD">
      <w:rPr>
        <w:noProof/>
      </w:rPr>
      <w:t>27</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0633FD">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0DC3D" w14:textId="77777777" w:rsidR="00387CF1" w:rsidRDefault="00387CF1" w:rsidP="00077C3D">
      <w:r>
        <w:separator/>
      </w:r>
    </w:p>
  </w:footnote>
  <w:footnote w:type="continuationSeparator" w:id="0">
    <w:p w14:paraId="185D4A09" w14:textId="77777777" w:rsidR="00387CF1" w:rsidRDefault="00387CF1" w:rsidP="00077C3D">
      <w:r>
        <w:continuationSeparator/>
      </w:r>
    </w:p>
  </w:footnote>
  <w:footnote w:type="continuationNotice" w:id="1">
    <w:p w14:paraId="3B93CB11" w14:textId="77777777" w:rsidR="00387CF1" w:rsidRDefault="00387CF1" w:rsidP="00077C3D"/>
  </w:footnote>
  <w:footnote w:id="2">
    <w:p w14:paraId="7CDBC583" w14:textId="77777777" w:rsidR="00F552B9" w:rsidRDefault="00F552B9" w:rsidP="00732300">
      <w:pPr>
        <w:pStyle w:val="FootnoteText"/>
      </w:pPr>
      <w:r>
        <w:rPr>
          <w:rStyle w:val="FootnoteReference"/>
        </w:rPr>
        <w:footnoteRef/>
      </w:r>
      <w:r>
        <w:t xml:space="preserve"> Includes New South Wales local governments created as Body Politics.</w:t>
      </w:r>
    </w:p>
  </w:footnote>
  <w:footnote w:id="3">
    <w:p w14:paraId="16353F15" w14:textId="4772C84C" w:rsidR="00F552B9" w:rsidRDefault="00F552B9" w:rsidP="00EC2B2A">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w:t>
      </w:r>
      <w:r w:rsidR="0023017D">
        <w:t>to apply for a grant under the p</w:t>
      </w:r>
      <w:r>
        <w:t>rogram. Consortia are eligible to apply and the relevant conditions applicable t</w:t>
      </w:r>
      <w:r w:rsidR="0023017D">
        <w:t>o consortia are at 7.2 ‘Joint (consortia) a</w:t>
      </w:r>
      <w:r>
        <w:t>pplications’</w:t>
      </w:r>
    </w:p>
  </w:footnote>
  <w:footnote w:id="4">
    <w:p w14:paraId="13C1D249" w14:textId="7453DC58" w:rsidR="00F552B9" w:rsidRDefault="00F552B9"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5">
    <w:p w14:paraId="5839DC16" w14:textId="4D8F2291" w:rsidR="00F552B9" w:rsidRDefault="00F552B9">
      <w:pPr>
        <w:pStyle w:val="FootnoteText"/>
      </w:pPr>
      <w:r>
        <w:rPr>
          <w:rStyle w:val="FootnoteReference"/>
        </w:rPr>
        <w:footnoteRef/>
      </w:r>
      <w:r>
        <w:t xml:space="preserve"> </w:t>
      </w:r>
      <w:r>
        <w:rPr>
          <w:szCs w:val="16"/>
        </w:rPr>
        <w:t>This may be the Hub Delegate or nominated staff member of the client agency at the Director (Executive Level 2) level or above</w:t>
      </w:r>
    </w:p>
  </w:footnote>
  <w:footnote w:id="6">
    <w:p w14:paraId="41609CB6" w14:textId="06B873A0" w:rsidR="00F552B9" w:rsidRDefault="00F552B9" w:rsidP="00B50162">
      <w:pPr>
        <w:pStyle w:val="FootnoteText"/>
      </w:pPr>
      <w:r>
        <w:rPr>
          <w:rStyle w:val="FootnoteReference"/>
          <w:rFonts w:eastAsiaTheme="majorEastAsia"/>
        </w:rPr>
        <w:footnoteRef/>
      </w:r>
      <w:r>
        <w:t xml:space="preserve"> See glossary for an explanation of ‘value with relevant money’.</w:t>
      </w:r>
    </w:p>
  </w:footnote>
  <w:footnote w:id="7">
    <w:p w14:paraId="7706C2F6" w14:textId="77777777" w:rsidR="00F552B9" w:rsidRPr="007133C2" w:rsidRDefault="00F552B9" w:rsidP="00732300">
      <w:pPr>
        <w:pStyle w:val="FootnoteText"/>
      </w:pPr>
      <w:r w:rsidRPr="007133C2">
        <w:rPr>
          <w:rStyle w:val="FootnoteReference"/>
        </w:rPr>
        <w:footnoteRef/>
      </w:r>
      <w:r w:rsidRPr="007133C2">
        <w:t xml:space="preserve"> Relevant money </w:t>
      </w:r>
      <w:proofErr w:type="gramStart"/>
      <w:r w:rsidRPr="007133C2">
        <w:t>is defined</w:t>
      </w:r>
      <w:proofErr w:type="gramEnd"/>
      <w:r w:rsidRPr="007133C2">
        <w:t xml:space="preserve"> in the PGPA Act. See section 8, Dictionary</w:t>
      </w:r>
      <w:r>
        <w:t>.</w:t>
      </w:r>
    </w:p>
  </w:footnote>
  <w:footnote w:id="8">
    <w:p w14:paraId="59724A4E" w14:textId="77777777" w:rsidR="00F552B9" w:rsidRPr="007133C2" w:rsidRDefault="00F552B9" w:rsidP="00732300">
      <w:pPr>
        <w:pStyle w:val="FootnoteText"/>
      </w:pPr>
      <w:r w:rsidRPr="007133C2">
        <w:rPr>
          <w:rStyle w:val="FootnoteReference"/>
        </w:rPr>
        <w:footnoteRef/>
      </w:r>
      <w:r w:rsidRPr="007133C2">
        <w:t xml:space="preserve"> Other CRF money </w:t>
      </w:r>
      <w:proofErr w:type="gramStart"/>
      <w:r w:rsidRPr="007133C2">
        <w:t>is defined</w:t>
      </w:r>
      <w:proofErr w:type="gramEnd"/>
      <w:r w:rsidRPr="007133C2">
        <w:t xml:space="preserve">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671F" w14:textId="6E328F6D" w:rsidR="00F552B9" w:rsidRDefault="00F552B9"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99BC" w14:textId="4DF17709" w:rsidR="00F552B9" w:rsidRDefault="0023017D">
    <w:pPr>
      <w:pStyle w:val="Header"/>
    </w:pPr>
    <w:r>
      <w:rPr>
        <w:noProof/>
        <w:lang w:eastAsia="en-AU"/>
      </w:rPr>
      <w:drawing>
        <wp:inline distT="0" distB="0" distL="0" distR="0" wp14:anchorId="43706ABD" wp14:editId="28AE0EF5">
          <wp:extent cx="5580380" cy="765175"/>
          <wp:effectExtent l="0" t="0" r="1270" b="0"/>
          <wp:docPr id="2" name="Picture 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AA76103"/>
    <w:multiLevelType w:val="hybridMultilevel"/>
    <w:tmpl w:val="FDE620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054475"/>
    <w:multiLevelType w:val="hybridMultilevel"/>
    <w:tmpl w:val="0CF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4C6A27"/>
    <w:multiLevelType w:val="multilevel"/>
    <w:tmpl w:val="93EC718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127"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9C0CBA"/>
    <w:multiLevelType w:val="hybridMultilevel"/>
    <w:tmpl w:val="D5560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1"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1C5C08"/>
    <w:multiLevelType w:val="multilevel"/>
    <w:tmpl w:val="A4EEA9A4"/>
    <w:lvl w:ilvl="0">
      <w:start w:val="8"/>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16"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52A430B3"/>
    <w:multiLevelType w:val="hybridMultilevel"/>
    <w:tmpl w:val="F560E7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265465"/>
    <w:multiLevelType w:val="hybridMultilevel"/>
    <w:tmpl w:val="CD26AE60"/>
    <w:lvl w:ilvl="0" w:tplc="29C82EA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4F96A3C"/>
    <w:multiLevelType w:val="hybridMultilevel"/>
    <w:tmpl w:val="BEAC7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6C98608F"/>
    <w:multiLevelType w:val="multilevel"/>
    <w:tmpl w:val="457C1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EEE7806"/>
    <w:multiLevelType w:val="hybridMultilevel"/>
    <w:tmpl w:val="96A22B3A"/>
    <w:lvl w:ilvl="0" w:tplc="F094EE7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678354D"/>
    <w:multiLevelType w:val="hybridMultilevel"/>
    <w:tmpl w:val="983806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9888E86"/>
    <w:multiLevelType w:val="hybridMultilevel"/>
    <w:tmpl w:val="644D0B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0"/>
  </w:num>
  <w:num w:numId="3">
    <w:abstractNumId w:val="13"/>
  </w:num>
  <w:num w:numId="4">
    <w:abstractNumId w:val="16"/>
  </w:num>
  <w:num w:numId="5">
    <w:abstractNumId w:val="31"/>
  </w:num>
  <w:num w:numId="6">
    <w:abstractNumId w:val="28"/>
  </w:num>
  <w:num w:numId="7">
    <w:abstractNumId w:val="9"/>
  </w:num>
  <w:num w:numId="8">
    <w:abstractNumId w:val="7"/>
  </w:num>
  <w:num w:numId="9">
    <w:abstractNumId w:val="3"/>
  </w:num>
  <w:num w:numId="10">
    <w:abstractNumId w:val="9"/>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7"/>
  </w:num>
  <w:num w:numId="14">
    <w:abstractNumId w:val="21"/>
  </w:num>
  <w:num w:numId="15">
    <w:abstractNumId w:val="4"/>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2"/>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18"/>
  </w:num>
  <w:num w:numId="23">
    <w:abstractNumId w:val="26"/>
  </w:num>
  <w:num w:numId="24">
    <w:abstractNumId w:val="2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
  </w:num>
  <w:num w:numId="32">
    <w:abstractNumId w:val="2"/>
  </w:num>
  <w:num w:numId="33">
    <w:abstractNumId w:val="2"/>
  </w:num>
  <w:num w:numId="34">
    <w:abstractNumId w:val="2"/>
  </w:num>
  <w:num w:numId="35">
    <w:abstractNumId w:val="22"/>
  </w:num>
  <w:num w:numId="36">
    <w:abstractNumId w:val="29"/>
  </w:num>
  <w:num w:numId="37">
    <w:abstractNumId w:val="8"/>
  </w:num>
  <w:num w:numId="38">
    <w:abstractNumId w:val="5"/>
  </w:num>
  <w:num w:numId="39">
    <w:abstractNumId w:val="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9"/>
  </w:num>
  <w:num w:numId="43">
    <w:abstractNumId w:val="29"/>
  </w:num>
  <w:num w:numId="4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6"/>
  </w:num>
  <w:num w:numId="48">
    <w:abstractNumId w:val="9"/>
  </w:num>
  <w:num w:numId="49">
    <w:abstractNumId w:val="9"/>
  </w:num>
  <w:num w:numId="50">
    <w:abstractNumId w:val="20"/>
  </w:num>
  <w:num w:numId="51">
    <w:abstractNumId w:val="9"/>
  </w:num>
  <w:num w:numId="52">
    <w:abstractNumId w:val="30"/>
  </w:num>
  <w:num w:numId="53">
    <w:abstractNumId w:val="7"/>
  </w:num>
  <w:num w:numId="54">
    <w:abstractNumId w:val="7"/>
  </w:num>
  <w:num w:numId="55">
    <w:abstractNumId w:val="9"/>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9"/>
  </w:num>
  <w:num w:numId="59">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3FF3"/>
    <w:rsid w:val="0000459B"/>
    <w:rsid w:val="00005E68"/>
    <w:rsid w:val="00005FD8"/>
    <w:rsid w:val="000062D1"/>
    <w:rsid w:val="0000687C"/>
    <w:rsid w:val="0000694F"/>
    <w:rsid w:val="000071CC"/>
    <w:rsid w:val="0000740C"/>
    <w:rsid w:val="00007C0D"/>
    <w:rsid w:val="0001007B"/>
    <w:rsid w:val="00010CF8"/>
    <w:rsid w:val="00011AA7"/>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19"/>
    <w:rsid w:val="00024C55"/>
    <w:rsid w:val="00025467"/>
    <w:rsid w:val="000269EC"/>
    <w:rsid w:val="00026A96"/>
    <w:rsid w:val="00026AA7"/>
    <w:rsid w:val="00027157"/>
    <w:rsid w:val="000273AD"/>
    <w:rsid w:val="0003065E"/>
    <w:rsid w:val="00031075"/>
    <w:rsid w:val="0003165D"/>
    <w:rsid w:val="0003249B"/>
    <w:rsid w:val="00032BB0"/>
    <w:rsid w:val="000335C1"/>
    <w:rsid w:val="00033937"/>
    <w:rsid w:val="00034775"/>
    <w:rsid w:val="00034FFA"/>
    <w:rsid w:val="00036078"/>
    <w:rsid w:val="000363BF"/>
    <w:rsid w:val="00037556"/>
    <w:rsid w:val="00037E02"/>
    <w:rsid w:val="0004098F"/>
    <w:rsid w:val="00040A03"/>
    <w:rsid w:val="000419F8"/>
    <w:rsid w:val="00041CA2"/>
    <w:rsid w:val="0004214E"/>
    <w:rsid w:val="00042438"/>
    <w:rsid w:val="0004338B"/>
    <w:rsid w:val="00044DC0"/>
    <w:rsid w:val="00044E4A"/>
    <w:rsid w:val="00044EF8"/>
    <w:rsid w:val="0004553D"/>
    <w:rsid w:val="00046C7E"/>
    <w:rsid w:val="00046DBC"/>
    <w:rsid w:val="000525BC"/>
    <w:rsid w:val="00052C0D"/>
    <w:rsid w:val="00052E3E"/>
    <w:rsid w:val="0005371D"/>
    <w:rsid w:val="00055101"/>
    <w:rsid w:val="000553F2"/>
    <w:rsid w:val="00056158"/>
    <w:rsid w:val="00057B0D"/>
    <w:rsid w:val="00057E29"/>
    <w:rsid w:val="00060AD3"/>
    <w:rsid w:val="00060F83"/>
    <w:rsid w:val="00062B2E"/>
    <w:rsid w:val="000633FD"/>
    <w:rsid w:val="000635B2"/>
    <w:rsid w:val="0006399E"/>
    <w:rsid w:val="000644EE"/>
    <w:rsid w:val="00064689"/>
    <w:rsid w:val="0006586E"/>
    <w:rsid w:val="00065F24"/>
    <w:rsid w:val="000668C5"/>
    <w:rsid w:val="00066A84"/>
    <w:rsid w:val="00066B99"/>
    <w:rsid w:val="000673F8"/>
    <w:rsid w:val="0007009A"/>
    <w:rsid w:val="00070CB6"/>
    <w:rsid w:val="00071CC0"/>
    <w:rsid w:val="00072DD5"/>
    <w:rsid w:val="00073AC8"/>
    <w:rsid w:val="000741DE"/>
    <w:rsid w:val="000752EC"/>
    <w:rsid w:val="00076300"/>
    <w:rsid w:val="00077923"/>
    <w:rsid w:val="00077C3D"/>
    <w:rsid w:val="00077FB0"/>
    <w:rsid w:val="000805C4"/>
    <w:rsid w:val="00080817"/>
    <w:rsid w:val="00080BB5"/>
    <w:rsid w:val="00081379"/>
    <w:rsid w:val="0008289E"/>
    <w:rsid w:val="000833DF"/>
    <w:rsid w:val="00083CC7"/>
    <w:rsid w:val="0008479B"/>
    <w:rsid w:val="000849D6"/>
    <w:rsid w:val="00086914"/>
    <w:rsid w:val="0008697C"/>
    <w:rsid w:val="00090431"/>
    <w:rsid w:val="0009133F"/>
    <w:rsid w:val="00092896"/>
    <w:rsid w:val="00093BA1"/>
    <w:rsid w:val="000951B3"/>
    <w:rsid w:val="000960A1"/>
    <w:rsid w:val="00096575"/>
    <w:rsid w:val="0009683F"/>
    <w:rsid w:val="000A2011"/>
    <w:rsid w:val="000A2037"/>
    <w:rsid w:val="000A33E3"/>
    <w:rsid w:val="000A4261"/>
    <w:rsid w:val="000A4490"/>
    <w:rsid w:val="000A4D8A"/>
    <w:rsid w:val="000A615C"/>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B90"/>
    <w:rsid w:val="000B7C0B"/>
    <w:rsid w:val="000C053E"/>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9F9"/>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61"/>
    <w:rsid w:val="000E4514"/>
    <w:rsid w:val="000E4CD5"/>
    <w:rsid w:val="000E4DB9"/>
    <w:rsid w:val="000E562C"/>
    <w:rsid w:val="000E620A"/>
    <w:rsid w:val="000E62C8"/>
    <w:rsid w:val="000E70D4"/>
    <w:rsid w:val="000F027E"/>
    <w:rsid w:val="000F18DD"/>
    <w:rsid w:val="000F2AE0"/>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022"/>
    <w:rsid w:val="00112457"/>
    <w:rsid w:val="00112B15"/>
    <w:rsid w:val="00114CE2"/>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A8A"/>
    <w:rsid w:val="00135C5C"/>
    <w:rsid w:val="00136C23"/>
    <w:rsid w:val="00137190"/>
    <w:rsid w:val="0013734A"/>
    <w:rsid w:val="0014016C"/>
    <w:rsid w:val="00140DBC"/>
    <w:rsid w:val="00141149"/>
    <w:rsid w:val="001420AF"/>
    <w:rsid w:val="00143EA2"/>
    <w:rsid w:val="0014408C"/>
    <w:rsid w:val="00144380"/>
    <w:rsid w:val="001447E1"/>
    <w:rsid w:val="001450BD"/>
    <w:rsid w:val="001452A7"/>
    <w:rsid w:val="00146033"/>
    <w:rsid w:val="00146445"/>
    <w:rsid w:val="00151417"/>
    <w:rsid w:val="00151A65"/>
    <w:rsid w:val="0015405F"/>
    <w:rsid w:val="00154230"/>
    <w:rsid w:val="00155480"/>
    <w:rsid w:val="00160DFD"/>
    <w:rsid w:val="001611A3"/>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EED"/>
    <w:rsid w:val="0018511E"/>
    <w:rsid w:val="001867EC"/>
    <w:rsid w:val="001875DA"/>
    <w:rsid w:val="00190188"/>
    <w:rsid w:val="001907F9"/>
    <w:rsid w:val="00191523"/>
    <w:rsid w:val="00192137"/>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428F"/>
    <w:rsid w:val="001C53D3"/>
    <w:rsid w:val="001C5CA8"/>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9"/>
    <w:rsid w:val="001D712A"/>
    <w:rsid w:val="001D76D4"/>
    <w:rsid w:val="001E282D"/>
    <w:rsid w:val="001E3267"/>
    <w:rsid w:val="001E3492"/>
    <w:rsid w:val="001E465D"/>
    <w:rsid w:val="001E4DC2"/>
    <w:rsid w:val="001E52F4"/>
    <w:rsid w:val="001E5C44"/>
    <w:rsid w:val="001E5DE9"/>
    <w:rsid w:val="001E5E68"/>
    <w:rsid w:val="001E60B8"/>
    <w:rsid w:val="001E659F"/>
    <w:rsid w:val="001E782F"/>
    <w:rsid w:val="001E7CCD"/>
    <w:rsid w:val="001E7CD1"/>
    <w:rsid w:val="001F00B7"/>
    <w:rsid w:val="001F031B"/>
    <w:rsid w:val="001F1B51"/>
    <w:rsid w:val="001F2424"/>
    <w:rsid w:val="001F24BD"/>
    <w:rsid w:val="001F2ED0"/>
    <w:rsid w:val="001F3068"/>
    <w:rsid w:val="001F32A5"/>
    <w:rsid w:val="001F42E4"/>
    <w:rsid w:val="001F45CE"/>
    <w:rsid w:val="001F57AF"/>
    <w:rsid w:val="001F5D08"/>
    <w:rsid w:val="001F6379"/>
    <w:rsid w:val="001F7438"/>
    <w:rsid w:val="00200152"/>
    <w:rsid w:val="002004E1"/>
    <w:rsid w:val="0020114E"/>
    <w:rsid w:val="002017E2"/>
    <w:rsid w:val="00201EE0"/>
    <w:rsid w:val="00202DFC"/>
    <w:rsid w:val="00203F73"/>
    <w:rsid w:val="002067C9"/>
    <w:rsid w:val="00207A20"/>
    <w:rsid w:val="00207C66"/>
    <w:rsid w:val="0021021D"/>
    <w:rsid w:val="00211AB8"/>
    <w:rsid w:val="00211D98"/>
    <w:rsid w:val="00212D66"/>
    <w:rsid w:val="0021431B"/>
    <w:rsid w:val="00214903"/>
    <w:rsid w:val="00214A1F"/>
    <w:rsid w:val="00216D80"/>
    <w:rsid w:val="00217440"/>
    <w:rsid w:val="00220403"/>
    <w:rsid w:val="00220627"/>
    <w:rsid w:val="0022081B"/>
    <w:rsid w:val="00221230"/>
    <w:rsid w:val="00221667"/>
    <w:rsid w:val="00222382"/>
    <w:rsid w:val="00222B57"/>
    <w:rsid w:val="00222C72"/>
    <w:rsid w:val="002232D1"/>
    <w:rsid w:val="00224E34"/>
    <w:rsid w:val="0022578C"/>
    <w:rsid w:val="00226A9A"/>
    <w:rsid w:val="00226C2F"/>
    <w:rsid w:val="00226D9F"/>
    <w:rsid w:val="00226FCB"/>
    <w:rsid w:val="00227080"/>
    <w:rsid w:val="002277F9"/>
    <w:rsid w:val="00227821"/>
    <w:rsid w:val="00227D98"/>
    <w:rsid w:val="0023017D"/>
    <w:rsid w:val="0023055D"/>
    <w:rsid w:val="002306D9"/>
    <w:rsid w:val="00230A2B"/>
    <w:rsid w:val="00231B61"/>
    <w:rsid w:val="002330BB"/>
    <w:rsid w:val="00234A47"/>
    <w:rsid w:val="00235894"/>
    <w:rsid w:val="00235F40"/>
    <w:rsid w:val="00236D85"/>
    <w:rsid w:val="00240385"/>
    <w:rsid w:val="00242EEE"/>
    <w:rsid w:val="00243BE9"/>
    <w:rsid w:val="002442FE"/>
    <w:rsid w:val="002446AC"/>
    <w:rsid w:val="00244DC5"/>
    <w:rsid w:val="00244FEB"/>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468"/>
    <w:rsid w:val="0028593B"/>
    <w:rsid w:val="00285F58"/>
    <w:rsid w:val="002862FD"/>
    <w:rsid w:val="002876F0"/>
    <w:rsid w:val="00287AC7"/>
    <w:rsid w:val="00287D87"/>
    <w:rsid w:val="00290F12"/>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890"/>
    <w:rsid w:val="002A0E03"/>
    <w:rsid w:val="002A1C6B"/>
    <w:rsid w:val="002A2DA9"/>
    <w:rsid w:val="002A3E4D"/>
    <w:rsid w:val="002A3E56"/>
    <w:rsid w:val="002A45C1"/>
    <w:rsid w:val="002A47F4"/>
    <w:rsid w:val="002A4F37"/>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D7273"/>
    <w:rsid w:val="002E0040"/>
    <w:rsid w:val="002E1351"/>
    <w:rsid w:val="002E18F3"/>
    <w:rsid w:val="002E2BEC"/>
    <w:rsid w:val="002E367A"/>
    <w:rsid w:val="002E3A5A"/>
    <w:rsid w:val="002E3CA8"/>
    <w:rsid w:val="002E4ED1"/>
    <w:rsid w:val="002E5556"/>
    <w:rsid w:val="002F115B"/>
    <w:rsid w:val="002F28CA"/>
    <w:rsid w:val="002F2933"/>
    <w:rsid w:val="002F3780"/>
    <w:rsid w:val="002F4BE0"/>
    <w:rsid w:val="002F5D25"/>
    <w:rsid w:val="002F65BC"/>
    <w:rsid w:val="002F71EC"/>
    <w:rsid w:val="002F7D07"/>
    <w:rsid w:val="002F7E8A"/>
    <w:rsid w:val="003001C7"/>
    <w:rsid w:val="003005AC"/>
    <w:rsid w:val="00300D02"/>
    <w:rsid w:val="003015F1"/>
    <w:rsid w:val="003019AF"/>
    <w:rsid w:val="00301E23"/>
    <w:rsid w:val="003027D2"/>
    <w:rsid w:val="00302AF5"/>
    <w:rsid w:val="003038C5"/>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27FA"/>
    <w:rsid w:val="00323F19"/>
    <w:rsid w:val="003240A3"/>
    <w:rsid w:val="00324D9B"/>
    <w:rsid w:val="00325582"/>
    <w:rsid w:val="003259F6"/>
    <w:rsid w:val="00326AD1"/>
    <w:rsid w:val="00327159"/>
    <w:rsid w:val="003271A6"/>
    <w:rsid w:val="003322E9"/>
    <w:rsid w:val="003327FA"/>
    <w:rsid w:val="00332F58"/>
    <w:rsid w:val="00333E81"/>
    <w:rsid w:val="003340F3"/>
    <w:rsid w:val="003349F3"/>
    <w:rsid w:val="00335039"/>
    <w:rsid w:val="00335B3C"/>
    <w:rsid w:val="003363C9"/>
    <w:rsid w:val="003364E6"/>
    <w:rsid w:val="0033741C"/>
    <w:rsid w:val="003402DE"/>
    <w:rsid w:val="00340BDC"/>
    <w:rsid w:val="003416C1"/>
    <w:rsid w:val="003420F9"/>
    <w:rsid w:val="00342D0A"/>
    <w:rsid w:val="0034303A"/>
    <w:rsid w:val="00343643"/>
    <w:rsid w:val="0034447B"/>
    <w:rsid w:val="00344AF3"/>
    <w:rsid w:val="00344BC3"/>
    <w:rsid w:val="0034568F"/>
    <w:rsid w:val="00346B05"/>
    <w:rsid w:val="003478C6"/>
    <w:rsid w:val="00351215"/>
    <w:rsid w:val="0035202F"/>
    <w:rsid w:val="003527CC"/>
    <w:rsid w:val="00352EA5"/>
    <w:rsid w:val="00352EF1"/>
    <w:rsid w:val="00353428"/>
    <w:rsid w:val="0035355B"/>
    <w:rsid w:val="00353CBF"/>
    <w:rsid w:val="003542EC"/>
    <w:rsid w:val="00354604"/>
    <w:rsid w:val="003549A0"/>
    <w:rsid w:val="00354EB2"/>
    <w:rsid w:val="003552BD"/>
    <w:rsid w:val="003560E1"/>
    <w:rsid w:val="003565D1"/>
    <w:rsid w:val="00356ED2"/>
    <w:rsid w:val="003576AB"/>
    <w:rsid w:val="0036055C"/>
    <w:rsid w:val="0036071F"/>
    <w:rsid w:val="00363657"/>
    <w:rsid w:val="0036437D"/>
    <w:rsid w:val="00365288"/>
    <w:rsid w:val="00365CF4"/>
    <w:rsid w:val="003703B2"/>
    <w:rsid w:val="00370E02"/>
    <w:rsid w:val="0037100C"/>
    <w:rsid w:val="0037141F"/>
    <w:rsid w:val="00372018"/>
    <w:rsid w:val="003728F9"/>
    <w:rsid w:val="00373BE7"/>
    <w:rsid w:val="00374A77"/>
    <w:rsid w:val="00375C2F"/>
    <w:rsid w:val="00375E81"/>
    <w:rsid w:val="0037640A"/>
    <w:rsid w:val="00377420"/>
    <w:rsid w:val="00381648"/>
    <w:rsid w:val="003816D7"/>
    <w:rsid w:val="00381A8E"/>
    <w:rsid w:val="003823AF"/>
    <w:rsid w:val="00383297"/>
    <w:rsid w:val="00383A3A"/>
    <w:rsid w:val="00383B40"/>
    <w:rsid w:val="003848A4"/>
    <w:rsid w:val="00385FC0"/>
    <w:rsid w:val="00386902"/>
    <w:rsid w:val="003871B6"/>
    <w:rsid w:val="00387218"/>
    <w:rsid w:val="00387369"/>
    <w:rsid w:val="00387CF1"/>
    <w:rsid w:val="00387FC0"/>
    <w:rsid w:val="003900DB"/>
    <w:rsid w:val="003903AE"/>
    <w:rsid w:val="00390825"/>
    <w:rsid w:val="003908CC"/>
    <w:rsid w:val="003910D4"/>
    <w:rsid w:val="00391474"/>
    <w:rsid w:val="00392716"/>
    <w:rsid w:val="003941BA"/>
    <w:rsid w:val="00394349"/>
    <w:rsid w:val="0039610D"/>
    <w:rsid w:val="003A0BCC"/>
    <w:rsid w:val="003A138C"/>
    <w:rsid w:val="003A270D"/>
    <w:rsid w:val="003A402D"/>
    <w:rsid w:val="003A48C0"/>
    <w:rsid w:val="003A4A83"/>
    <w:rsid w:val="003A5754"/>
    <w:rsid w:val="003A5D94"/>
    <w:rsid w:val="003A638D"/>
    <w:rsid w:val="003A79AD"/>
    <w:rsid w:val="003B0568"/>
    <w:rsid w:val="003B0700"/>
    <w:rsid w:val="003B18C7"/>
    <w:rsid w:val="003B29BA"/>
    <w:rsid w:val="003B2EF1"/>
    <w:rsid w:val="003B4369"/>
    <w:rsid w:val="003B4A52"/>
    <w:rsid w:val="003B50DD"/>
    <w:rsid w:val="003B575D"/>
    <w:rsid w:val="003B6AC4"/>
    <w:rsid w:val="003B740D"/>
    <w:rsid w:val="003C001C"/>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F5C"/>
    <w:rsid w:val="003E0690"/>
    <w:rsid w:val="003E0C6C"/>
    <w:rsid w:val="003E0E8B"/>
    <w:rsid w:val="003E2735"/>
    <w:rsid w:val="003E2A09"/>
    <w:rsid w:val="003E316D"/>
    <w:rsid w:val="003E339B"/>
    <w:rsid w:val="003E354A"/>
    <w:rsid w:val="003E38D5"/>
    <w:rsid w:val="003E44A7"/>
    <w:rsid w:val="003E4BF0"/>
    <w:rsid w:val="003E5B2A"/>
    <w:rsid w:val="003E639F"/>
    <w:rsid w:val="003E63B6"/>
    <w:rsid w:val="003E6E52"/>
    <w:rsid w:val="003E785D"/>
    <w:rsid w:val="003F0134"/>
    <w:rsid w:val="003F044F"/>
    <w:rsid w:val="003F0BEC"/>
    <w:rsid w:val="003F0F0F"/>
    <w:rsid w:val="003F1913"/>
    <w:rsid w:val="003F1A84"/>
    <w:rsid w:val="003F3392"/>
    <w:rsid w:val="003F385C"/>
    <w:rsid w:val="003F441F"/>
    <w:rsid w:val="003F4961"/>
    <w:rsid w:val="003F5003"/>
    <w:rsid w:val="003F5421"/>
    <w:rsid w:val="003F5453"/>
    <w:rsid w:val="003F65A5"/>
    <w:rsid w:val="003F7220"/>
    <w:rsid w:val="003F745B"/>
    <w:rsid w:val="003F7476"/>
    <w:rsid w:val="003F7C5F"/>
    <w:rsid w:val="00400EC3"/>
    <w:rsid w:val="004023A1"/>
    <w:rsid w:val="004028F2"/>
    <w:rsid w:val="00402CA9"/>
    <w:rsid w:val="0040475A"/>
    <w:rsid w:val="00404C02"/>
    <w:rsid w:val="00405ADB"/>
    <w:rsid w:val="00405D85"/>
    <w:rsid w:val="00407403"/>
    <w:rsid w:val="004102B0"/>
    <w:rsid w:val="004108DC"/>
    <w:rsid w:val="00410A95"/>
    <w:rsid w:val="00411141"/>
    <w:rsid w:val="004131A3"/>
    <w:rsid w:val="004131EC"/>
    <w:rsid w:val="00414211"/>
    <w:rsid w:val="004142C1"/>
    <w:rsid w:val="004149EB"/>
    <w:rsid w:val="004161D7"/>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6036"/>
    <w:rsid w:val="00436853"/>
    <w:rsid w:val="00437174"/>
    <w:rsid w:val="00437CDA"/>
    <w:rsid w:val="00441028"/>
    <w:rsid w:val="00441195"/>
    <w:rsid w:val="00441373"/>
    <w:rsid w:val="00443024"/>
    <w:rsid w:val="004431AE"/>
    <w:rsid w:val="004436AA"/>
    <w:rsid w:val="00443FC0"/>
    <w:rsid w:val="00445D92"/>
    <w:rsid w:val="0044632D"/>
    <w:rsid w:val="00452841"/>
    <w:rsid w:val="00452B86"/>
    <w:rsid w:val="00452C26"/>
    <w:rsid w:val="00452C7A"/>
    <w:rsid w:val="00452FF7"/>
    <w:rsid w:val="00453537"/>
    <w:rsid w:val="00453DBA"/>
    <w:rsid w:val="00453E77"/>
    <w:rsid w:val="00453EFC"/>
    <w:rsid w:val="00453F62"/>
    <w:rsid w:val="004545F3"/>
    <w:rsid w:val="00455160"/>
    <w:rsid w:val="004552D7"/>
    <w:rsid w:val="00456C04"/>
    <w:rsid w:val="00456C23"/>
    <w:rsid w:val="00456DA5"/>
    <w:rsid w:val="00456E23"/>
    <w:rsid w:val="00457D2C"/>
    <w:rsid w:val="00457E6C"/>
    <w:rsid w:val="00461AAE"/>
    <w:rsid w:val="004622C2"/>
    <w:rsid w:val="004639AD"/>
    <w:rsid w:val="00463F04"/>
    <w:rsid w:val="00464604"/>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C7D2B"/>
    <w:rsid w:val="004D033A"/>
    <w:rsid w:val="004D0CF5"/>
    <w:rsid w:val="004D19FC"/>
    <w:rsid w:val="004D2CBD"/>
    <w:rsid w:val="004D3D46"/>
    <w:rsid w:val="004D58C0"/>
    <w:rsid w:val="004D5A91"/>
    <w:rsid w:val="004D5BB6"/>
    <w:rsid w:val="004D5BED"/>
    <w:rsid w:val="004D61B0"/>
    <w:rsid w:val="004D6A7F"/>
    <w:rsid w:val="004D6DD1"/>
    <w:rsid w:val="004D75F0"/>
    <w:rsid w:val="004E0184"/>
    <w:rsid w:val="004E069C"/>
    <w:rsid w:val="004E0B0A"/>
    <w:rsid w:val="004E31D8"/>
    <w:rsid w:val="004E4327"/>
    <w:rsid w:val="004E43BF"/>
    <w:rsid w:val="004E5976"/>
    <w:rsid w:val="004E75D4"/>
    <w:rsid w:val="004F12AC"/>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3F5A"/>
    <w:rsid w:val="005242BA"/>
    <w:rsid w:val="005250EA"/>
    <w:rsid w:val="00525789"/>
    <w:rsid w:val="00525943"/>
    <w:rsid w:val="0052630B"/>
    <w:rsid w:val="00526413"/>
    <w:rsid w:val="005265DD"/>
    <w:rsid w:val="00526928"/>
    <w:rsid w:val="00527787"/>
    <w:rsid w:val="005277BC"/>
    <w:rsid w:val="00527857"/>
    <w:rsid w:val="005304C8"/>
    <w:rsid w:val="0053072B"/>
    <w:rsid w:val="0053262C"/>
    <w:rsid w:val="00532882"/>
    <w:rsid w:val="0053412C"/>
    <w:rsid w:val="00534248"/>
    <w:rsid w:val="00534B4C"/>
    <w:rsid w:val="00535DC6"/>
    <w:rsid w:val="005365FF"/>
    <w:rsid w:val="00537A0D"/>
    <w:rsid w:val="0054009F"/>
    <w:rsid w:val="005409E2"/>
    <w:rsid w:val="005410A3"/>
    <w:rsid w:val="00541A30"/>
    <w:rsid w:val="00542819"/>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576"/>
    <w:rsid w:val="0055361B"/>
    <w:rsid w:val="00553DBD"/>
    <w:rsid w:val="00555308"/>
    <w:rsid w:val="005571C0"/>
    <w:rsid w:val="00557246"/>
    <w:rsid w:val="00557E0C"/>
    <w:rsid w:val="005616DA"/>
    <w:rsid w:val="00561C96"/>
    <w:rsid w:val="00562162"/>
    <w:rsid w:val="005632D8"/>
    <w:rsid w:val="00564451"/>
    <w:rsid w:val="00565026"/>
    <w:rsid w:val="005652A4"/>
    <w:rsid w:val="00565996"/>
    <w:rsid w:val="00565D77"/>
    <w:rsid w:val="00566D72"/>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32B1"/>
    <w:rsid w:val="00583750"/>
    <w:rsid w:val="00583D45"/>
    <w:rsid w:val="005842A6"/>
    <w:rsid w:val="00584325"/>
    <w:rsid w:val="005853C4"/>
    <w:rsid w:val="00585950"/>
    <w:rsid w:val="0058635E"/>
    <w:rsid w:val="00587034"/>
    <w:rsid w:val="00587B4B"/>
    <w:rsid w:val="0059126E"/>
    <w:rsid w:val="00591C33"/>
    <w:rsid w:val="00591E81"/>
    <w:rsid w:val="00592DF7"/>
    <w:rsid w:val="00592E1B"/>
    <w:rsid w:val="00594E1F"/>
    <w:rsid w:val="00595644"/>
    <w:rsid w:val="005960C4"/>
    <w:rsid w:val="00597881"/>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AC9"/>
    <w:rsid w:val="005B4ADF"/>
    <w:rsid w:val="005B5B57"/>
    <w:rsid w:val="005B5CC5"/>
    <w:rsid w:val="005B6089"/>
    <w:rsid w:val="005B72F4"/>
    <w:rsid w:val="005B7D70"/>
    <w:rsid w:val="005C0699"/>
    <w:rsid w:val="005C08AF"/>
    <w:rsid w:val="005C0971"/>
    <w:rsid w:val="005C09CB"/>
    <w:rsid w:val="005C1BFA"/>
    <w:rsid w:val="005C20A0"/>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38B3"/>
    <w:rsid w:val="005F48E9"/>
    <w:rsid w:val="005F5666"/>
    <w:rsid w:val="005F57FF"/>
    <w:rsid w:val="005F619A"/>
    <w:rsid w:val="005F69D2"/>
    <w:rsid w:val="005F69E4"/>
    <w:rsid w:val="005F7083"/>
    <w:rsid w:val="005F7B45"/>
    <w:rsid w:val="006014B6"/>
    <w:rsid w:val="00601F72"/>
    <w:rsid w:val="00602898"/>
    <w:rsid w:val="00603548"/>
    <w:rsid w:val="00603C9A"/>
    <w:rsid w:val="006040BC"/>
    <w:rsid w:val="0060558A"/>
    <w:rsid w:val="00606ABF"/>
    <w:rsid w:val="0060722F"/>
    <w:rsid w:val="0060785D"/>
    <w:rsid w:val="006109E6"/>
    <w:rsid w:val="00610BF1"/>
    <w:rsid w:val="00610DAB"/>
    <w:rsid w:val="006110D2"/>
    <w:rsid w:val="0061167C"/>
    <w:rsid w:val="00611D8C"/>
    <w:rsid w:val="00612597"/>
    <w:rsid w:val="006126D0"/>
    <w:rsid w:val="00612D70"/>
    <w:rsid w:val="00612D8F"/>
    <w:rsid w:val="006132DF"/>
    <w:rsid w:val="0061338A"/>
    <w:rsid w:val="0061397A"/>
    <w:rsid w:val="00613CBB"/>
    <w:rsid w:val="00613D08"/>
    <w:rsid w:val="0061470F"/>
    <w:rsid w:val="006149B3"/>
    <w:rsid w:val="0061673A"/>
    <w:rsid w:val="00617236"/>
    <w:rsid w:val="00617411"/>
    <w:rsid w:val="00617AD8"/>
    <w:rsid w:val="00620033"/>
    <w:rsid w:val="0062051D"/>
    <w:rsid w:val="0062275D"/>
    <w:rsid w:val="00622F42"/>
    <w:rsid w:val="00624853"/>
    <w:rsid w:val="00624C58"/>
    <w:rsid w:val="00626268"/>
    <w:rsid w:val="006268DB"/>
    <w:rsid w:val="00626B4F"/>
    <w:rsid w:val="0062711A"/>
    <w:rsid w:val="006276CC"/>
    <w:rsid w:val="006301B6"/>
    <w:rsid w:val="006323DB"/>
    <w:rsid w:val="00632EC2"/>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A5E"/>
    <w:rsid w:val="0066731E"/>
    <w:rsid w:val="00667E91"/>
    <w:rsid w:val="00670A05"/>
    <w:rsid w:val="00670D60"/>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908DF"/>
    <w:rsid w:val="00690F2D"/>
    <w:rsid w:val="0069312A"/>
    <w:rsid w:val="006933C7"/>
    <w:rsid w:val="006934C3"/>
    <w:rsid w:val="00694003"/>
    <w:rsid w:val="0069479D"/>
    <w:rsid w:val="00694E49"/>
    <w:rsid w:val="006959F1"/>
    <w:rsid w:val="006967FE"/>
    <w:rsid w:val="00696961"/>
    <w:rsid w:val="00696A50"/>
    <w:rsid w:val="00696B00"/>
    <w:rsid w:val="006A089A"/>
    <w:rsid w:val="006A0F3E"/>
    <w:rsid w:val="006A12C0"/>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3FD"/>
    <w:rsid w:val="006C27C3"/>
    <w:rsid w:val="006C3A33"/>
    <w:rsid w:val="006C4678"/>
    <w:rsid w:val="006C4910"/>
    <w:rsid w:val="006C4CCA"/>
    <w:rsid w:val="006C4CF9"/>
    <w:rsid w:val="006C4D3E"/>
    <w:rsid w:val="006C4D89"/>
    <w:rsid w:val="006C53ED"/>
    <w:rsid w:val="006C5974"/>
    <w:rsid w:val="006C5E94"/>
    <w:rsid w:val="006C6EDB"/>
    <w:rsid w:val="006C764B"/>
    <w:rsid w:val="006C79BB"/>
    <w:rsid w:val="006D29A7"/>
    <w:rsid w:val="006D49B3"/>
    <w:rsid w:val="006D602A"/>
    <w:rsid w:val="006D604A"/>
    <w:rsid w:val="006D65FC"/>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7725"/>
    <w:rsid w:val="007178EC"/>
    <w:rsid w:val="00717E7A"/>
    <w:rsid w:val="007203A0"/>
    <w:rsid w:val="00720C09"/>
    <w:rsid w:val="00720C1C"/>
    <w:rsid w:val="00722B13"/>
    <w:rsid w:val="00724B55"/>
    <w:rsid w:val="007254DD"/>
    <w:rsid w:val="007256F7"/>
    <w:rsid w:val="00726387"/>
    <w:rsid w:val="0072723C"/>
    <w:rsid w:val="007279B3"/>
    <w:rsid w:val="0073066C"/>
    <w:rsid w:val="00732300"/>
    <w:rsid w:val="00732C96"/>
    <w:rsid w:val="007331B0"/>
    <w:rsid w:val="0073429A"/>
    <w:rsid w:val="00736393"/>
    <w:rsid w:val="00736E53"/>
    <w:rsid w:val="00737DEE"/>
    <w:rsid w:val="00741240"/>
    <w:rsid w:val="0074125C"/>
    <w:rsid w:val="00741F3C"/>
    <w:rsid w:val="00742B12"/>
    <w:rsid w:val="00743AC0"/>
    <w:rsid w:val="007447F0"/>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319"/>
    <w:rsid w:val="00756BBB"/>
    <w:rsid w:val="00756EAF"/>
    <w:rsid w:val="007579D3"/>
    <w:rsid w:val="00757E26"/>
    <w:rsid w:val="00760012"/>
    <w:rsid w:val="007607C6"/>
    <w:rsid w:val="0076105C"/>
    <w:rsid w:val="007610F4"/>
    <w:rsid w:val="007615E3"/>
    <w:rsid w:val="00761876"/>
    <w:rsid w:val="00762BB3"/>
    <w:rsid w:val="007639C3"/>
    <w:rsid w:val="00763E50"/>
    <w:rsid w:val="00764DF5"/>
    <w:rsid w:val="007664E7"/>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1A3D"/>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165"/>
    <w:rsid w:val="007B6464"/>
    <w:rsid w:val="007B656D"/>
    <w:rsid w:val="007B6EED"/>
    <w:rsid w:val="007C01D8"/>
    <w:rsid w:val="007C0242"/>
    <w:rsid w:val="007C0282"/>
    <w:rsid w:val="007C05FC"/>
    <w:rsid w:val="007C0996"/>
    <w:rsid w:val="007C2638"/>
    <w:rsid w:val="007C4B85"/>
    <w:rsid w:val="007C5B91"/>
    <w:rsid w:val="007C7D07"/>
    <w:rsid w:val="007D363A"/>
    <w:rsid w:val="007D4984"/>
    <w:rsid w:val="007D59A6"/>
    <w:rsid w:val="007D715A"/>
    <w:rsid w:val="007D71FE"/>
    <w:rsid w:val="007D7B2C"/>
    <w:rsid w:val="007D7F3A"/>
    <w:rsid w:val="007E00D3"/>
    <w:rsid w:val="007E27FD"/>
    <w:rsid w:val="007E29A1"/>
    <w:rsid w:val="007E37B8"/>
    <w:rsid w:val="007E381F"/>
    <w:rsid w:val="007E568E"/>
    <w:rsid w:val="007E5B36"/>
    <w:rsid w:val="007E6071"/>
    <w:rsid w:val="007E6455"/>
    <w:rsid w:val="007E6992"/>
    <w:rsid w:val="007E6B1A"/>
    <w:rsid w:val="007E6ED8"/>
    <w:rsid w:val="007E6F62"/>
    <w:rsid w:val="007E735B"/>
    <w:rsid w:val="007E75C7"/>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B6D"/>
    <w:rsid w:val="00803E02"/>
    <w:rsid w:val="00804137"/>
    <w:rsid w:val="008043C1"/>
    <w:rsid w:val="008045BB"/>
    <w:rsid w:val="00804E1C"/>
    <w:rsid w:val="00805843"/>
    <w:rsid w:val="0080599F"/>
    <w:rsid w:val="00805F6E"/>
    <w:rsid w:val="00806392"/>
    <w:rsid w:val="00807290"/>
    <w:rsid w:val="008072B2"/>
    <w:rsid w:val="00810B65"/>
    <w:rsid w:val="00810E9A"/>
    <w:rsid w:val="00810ECD"/>
    <w:rsid w:val="008112C1"/>
    <w:rsid w:val="0081166F"/>
    <w:rsid w:val="00811E36"/>
    <w:rsid w:val="00812A2F"/>
    <w:rsid w:val="00812A90"/>
    <w:rsid w:val="0081304B"/>
    <w:rsid w:val="00814A8D"/>
    <w:rsid w:val="00814D8C"/>
    <w:rsid w:val="00821D5F"/>
    <w:rsid w:val="00822D7B"/>
    <w:rsid w:val="008241F3"/>
    <w:rsid w:val="00824B45"/>
    <w:rsid w:val="00826BA9"/>
    <w:rsid w:val="0082724F"/>
    <w:rsid w:val="008274BA"/>
    <w:rsid w:val="00827752"/>
    <w:rsid w:val="00830B56"/>
    <w:rsid w:val="008314DD"/>
    <w:rsid w:val="00832270"/>
    <w:rsid w:val="008325C9"/>
    <w:rsid w:val="00832FC6"/>
    <w:rsid w:val="00833209"/>
    <w:rsid w:val="008334C2"/>
    <w:rsid w:val="00834959"/>
    <w:rsid w:val="00835746"/>
    <w:rsid w:val="00837A49"/>
    <w:rsid w:val="0084009C"/>
    <w:rsid w:val="00841AEC"/>
    <w:rsid w:val="0084226A"/>
    <w:rsid w:val="00842289"/>
    <w:rsid w:val="00842A08"/>
    <w:rsid w:val="00843AF3"/>
    <w:rsid w:val="00843AFD"/>
    <w:rsid w:val="00844D61"/>
    <w:rsid w:val="00845073"/>
    <w:rsid w:val="008454F0"/>
    <w:rsid w:val="008463BB"/>
    <w:rsid w:val="00846BA0"/>
    <w:rsid w:val="00846DC0"/>
    <w:rsid w:val="00847CA7"/>
    <w:rsid w:val="0085055A"/>
    <w:rsid w:val="008517EA"/>
    <w:rsid w:val="008521C4"/>
    <w:rsid w:val="008527CB"/>
    <w:rsid w:val="0085322B"/>
    <w:rsid w:val="008539BF"/>
    <w:rsid w:val="00853EB9"/>
    <w:rsid w:val="00855366"/>
    <w:rsid w:val="008560F3"/>
    <w:rsid w:val="008561B5"/>
    <w:rsid w:val="00857103"/>
    <w:rsid w:val="00857133"/>
    <w:rsid w:val="00857771"/>
    <w:rsid w:val="0086014A"/>
    <w:rsid w:val="00861387"/>
    <w:rsid w:val="0086141C"/>
    <w:rsid w:val="00862339"/>
    <w:rsid w:val="00862C18"/>
    <w:rsid w:val="00863265"/>
    <w:rsid w:val="0086382B"/>
    <w:rsid w:val="00864C31"/>
    <w:rsid w:val="00865088"/>
    <w:rsid w:val="00866D16"/>
    <w:rsid w:val="00867F5B"/>
    <w:rsid w:val="008705F3"/>
    <w:rsid w:val="00870894"/>
    <w:rsid w:val="00870D28"/>
    <w:rsid w:val="00871471"/>
    <w:rsid w:val="0087265C"/>
    <w:rsid w:val="008744C5"/>
    <w:rsid w:val="008748C8"/>
    <w:rsid w:val="00874AA7"/>
    <w:rsid w:val="00875229"/>
    <w:rsid w:val="0087522E"/>
    <w:rsid w:val="00876342"/>
    <w:rsid w:val="0087656C"/>
    <w:rsid w:val="00876857"/>
    <w:rsid w:val="00876BEB"/>
    <w:rsid w:val="008778C3"/>
    <w:rsid w:val="00877D77"/>
    <w:rsid w:val="00880FB9"/>
    <w:rsid w:val="008815E1"/>
    <w:rsid w:val="0088267A"/>
    <w:rsid w:val="0088307E"/>
    <w:rsid w:val="008863EB"/>
    <w:rsid w:val="00886DE3"/>
    <w:rsid w:val="008878B9"/>
    <w:rsid w:val="008900FD"/>
    <w:rsid w:val="0089043E"/>
    <w:rsid w:val="00891C1B"/>
    <w:rsid w:val="008922D3"/>
    <w:rsid w:val="00892698"/>
    <w:rsid w:val="008940F7"/>
    <w:rsid w:val="00894461"/>
    <w:rsid w:val="008947F2"/>
    <w:rsid w:val="00897183"/>
    <w:rsid w:val="008974DE"/>
    <w:rsid w:val="0089753F"/>
    <w:rsid w:val="008A010C"/>
    <w:rsid w:val="008A05F4"/>
    <w:rsid w:val="008A0771"/>
    <w:rsid w:val="008A18B2"/>
    <w:rsid w:val="008A28C1"/>
    <w:rsid w:val="008A34DB"/>
    <w:rsid w:val="008A405F"/>
    <w:rsid w:val="008A499A"/>
    <w:rsid w:val="008A5479"/>
    <w:rsid w:val="008A5CD2"/>
    <w:rsid w:val="008A6130"/>
    <w:rsid w:val="008A63F3"/>
    <w:rsid w:val="008A650B"/>
    <w:rsid w:val="008A6CA5"/>
    <w:rsid w:val="008B07C1"/>
    <w:rsid w:val="008B0BAD"/>
    <w:rsid w:val="008B587C"/>
    <w:rsid w:val="008B5C65"/>
    <w:rsid w:val="008B647C"/>
    <w:rsid w:val="008B6764"/>
    <w:rsid w:val="008B6D2E"/>
    <w:rsid w:val="008B6D30"/>
    <w:rsid w:val="008B7895"/>
    <w:rsid w:val="008C051B"/>
    <w:rsid w:val="008C119E"/>
    <w:rsid w:val="008C11EE"/>
    <w:rsid w:val="008C1298"/>
    <w:rsid w:val="008C180E"/>
    <w:rsid w:val="008C2492"/>
    <w:rsid w:val="008C2578"/>
    <w:rsid w:val="008C28A4"/>
    <w:rsid w:val="008C2AD3"/>
    <w:rsid w:val="008C3470"/>
    <w:rsid w:val="008C3B2B"/>
    <w:rsid w:val="008C5560"/>
    <w:rsid w:val="008C748F"/>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F09BF"/>
    <w:rsid w:val="008F4F41"/>
    <w:rsid w:val="008F6014"/>
    <w:rsid w:val="008F61B1"/>
    <w:rsid w:val="008F67FF"/>
    <w:rsid w:val="008F74E2"/>
    <w:rsid w:val="008F767D"/>
    <w:rsid w:val="008F7952"/>
    <w:rsid w:val="009023CF"/>
    <w:rsid w:val="00903AB8"/>
    <w:rsid w:val="00903AE7"/>
    <w:rsid w:val="00904953"/>
    <w:rsid w:val="00906BA9"/>
    <w:rsid w:val="00907078"/>
    <w:rsid w:val="00907818"/>
    <w:rsid w:val="00910BB8"/>
    <w:rsid w:val="00910BD5"/>
    <w:rsid w:val="00910D2B"/>
    <w:rsid w:val="00911067"/>
    <w:rsid w:val="009111C1"/>
    <w:rsid w:val="0091149E"/>
    <w:rsid w:val="00912D67"/>
    <w:rsid w:val="0091398D"/>
    <w:rsid w:val="0091403C"/>
    <w:rsid w:val="00914D58"/>
    <w:rsid w:val="00914E04"/>
    <w:rsid w:val="00915E73"/>
    <w:rsid w:val="0091651F"/>
    <w:rsid w:val="0091685B"/>
    <w:rsid w:val="00916B94"/>
    <w:rsid w:val="00916C21"/>
    <w:rsid w:val="00917A23"/>
    <w:rsid w:val="00917DEA"/>
    <w:rsid w:val="009206D4"/>
    <w:rsid w:val="009208AF"/>
    <w:rsid w:val="00920C72"/>
    <w:rsid w:val="009216A8"/>
    <w:rsid w:val="0092390C"/>
    <w:rsid w:val="00924419"/>
    <w:rsid w:val="00924820"/>
    <w:rsid w:val="00924F90"/>
    <w:rsid w:val="00925A1B"/>
    <w:rsid w:val="00925B33"/>
    <w:rsid w:val="00925DED"/>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450AF"/>
    <w:rsid w:val="0095009F"/>
    <w:rsid w:val="00950E19"/>
    <w:rsid w:val="00951FF3"/>
    <w:rsid w:val="0095200B"/>
    <w:rsid w:val="009534A2"/>
    <w:rsid w:val="0095373D"/>
    <w:rsid w:val="009539EF"/>
    <w:rsid w:val="00954932"/>
    <w:rsid w:val="00956979"/>
    <w:rsid w:val="00957057"/>
    <w:rsid w:val="009578BA"/>
    <w:rsid w:val="00960103"/>
    <w:rsid w:val="009601F8"/>
    <w:rsid w:val="00961BC2"/>
    <w:rsid w:val="009627CE"/>
    <w:rsid w:val="009630DC"/>
    <w:rsid w:val="009667B7"/>
    <w:rsid w:val="00966811"/>
    <w:rsid w:val="009668F6"/>
    <w:rsid w:val="00966B9D"/>
    <w:rsid w:val="00966F25"/>
    <w:rsid w:val="00967F65"/>
    <w:rsid w:val="0097136E"/>
    <w:rsid w:val="00971AA6"/>
    <w:rsid w:val="009733F1"/>
    <w:rsid w:val="00973EB0"/>
    <w:rsid w:val="00973FCA"/>
    <w:rsid w:val="00974279"/>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4CF2"/>
    <w:rsid w:val="00985BEF"/>
    <w:rsid w:val="0098645D"/>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207B"/>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4BE8"/>
    <w:rsid w:val="009B58E1"/>
    <w:rsid w:val="009B5AC6"/>
    <w:rsid w:val="009B6938"/>
    <w:rsid w:val="009B74A8"/>
    <w:rsid w:val="009C047C"/>
    <w:rsid w:val="009C14A7"/>
    <w:rsid w:val="009C167A"/>
    <w:rsid w:val="009C252B"/>
    <w:rsid w:val="009C2996"/>
    <w:rsid w:val="009C370B"/>
    <w:rsid w:val="009C3F2F"/>
    <w:rsid w:val="009C4CFB"/>
    <w:rsid w:val="009C6D08"/>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5FE"/>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872"/>
    <w:rsid w:val="00A05932"/>
    <w:rsid w:val="00A06898"/>
    <w:rsid w:val="00A10050"/>
    <w:rsid w:val="00A12251"/>
    <w:rsid w:val="00A12913"/>
    <w:rsid w:val="00A129F8"/>
    <w:rsid w:val="00A13542"/>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1BA0"/>
    <w:rsid w:val="00A4324A"/>
    <w:rsid w:val="00A439FB"/>
    <w:rsid w:val="00A43AD4"/>
    <w:rsid w:val="00A44085"/>
    <w:rsid w:val="00A448BA"/>
    <w:rsid w:val="00A4556A"/>
    <w:rsid w:val="00A45797"/>
    <w:rsid w:val="00A46AEA"/>
    <w:rsid w:val="00A473DA"/>
    <w:rsid w:val="00A47491"/>
    <w:rsid w:val="00A47BCC"/>
    <w:rsid w:val="00A5049E"/>
    <w:rsid w:val="00A50607"/>
    <w:rsid w:val="00A506FB"/>
    <w:rsid w:val="00A50ED4"/>
    <w:rsid w:val="00A51A3F"/>
    <w:rsid w:val="00A52D97"/>
    <w:rsid w:val="00A53C2A"/>
    <w:rsid w:val="00A546B0"/>
    <w:rsid w:val="00A5557D"/>
    <w:rsid w:val="00A56D2D"/>
    <w:rsid w:val="00A572EB"/>
    <w:rsid w:val="00A57425"/>
    <w:rsid w:val="00A60CA0"/>
    <w:rsid w:val="00A61E96"/>
    <w:rsid w:val="00A6379E"/>
    <w:rsid w:val="00A6498B"/>
    <w:rsid w:val="00A65BDC"/>
    <w:rsid w:val="00A664B4"/>
    <w:rsid w:val="00A66F26"/>
    <w:rsid w:val="00A6731F"/>
    <w:rsid w:val="00A7038C"/>
    <w:rsid w:val="00A706A8"/>
    <w:rsid w:val="00A70B9F"/>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5227"/>
    <w:rsid w:val="00A86209"/>
    <w:rsid w:val="00A8668D"/>
    <w:rsid w:val="00A86DA0"/>
    <w:rsid w:val="00A8702B"/>
    <w:rsid w:val="00A8748D"/>
    <w:rsid w:val="00A8754E"/>
    <w:rsid w:val="00A9087E"/>
    <w:rsid w:val="00A90C8A"/>
    <w:rsid w:val="00A90DDC"/>
    <w:rsid w:val="00A91141"/>
    <w:rsid w:val="00A92962"/>
    <w:rsid w:val="00A93901"/>
    <w:rsid w:val="00A93D11"/>
    <w:rsid w:val="00A93D6F"/>
    <w:rsid w:val="00A93D79"/>
    <w:rsid w:val="00A95129"/>
    <w:rsid w:val="00A952FF"/>
    <w:rsid w:val="00A9533B"/>
    <w:rsid w:val="00A95AC8"/>
    <w:rsid w:val="00A96927"/>
    <w:rsid w:val="00AA0375"/>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89B"/>
    <w:rsid w:val="00AC3A64"/>
    <w:rsid w:val="00AC498F"/>
    <w:rsid w:val="00AC60DD"/>
    <w:rsid w:val="00AC6930"/>
    <w:rsid w:val="00AD0336"/>
    <w:rsid w:val="00AD0896"/>
    <w:rsid w:val="00AD2074"/>
    <w:rsid w:val="00AD24AE"/>
    <w:rsid w:val="00AD24B5"/>
    <w:rsid w:val="00AD28FD"/>
    <w:rsid w:val="00AD31F2"/>
    <w:rsid w:val="00AD39D2"/>
    <w:rsid w:val="00AD6169"/>
    <w:rsid w:val="00AD6183"/>
    <w:rsid w:val="00AD742E"/>
    <w:rsid w:val="00AE0706"/>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6829"/>
    <w:rsid w:val="00AF74BF"/>
    <w:rsid w:val="00AF758E"/>
    <w:rsid w:val="00B019CB"/>
    <w:rsid w:val="00B01F98"/>
    <w:rsid w:val="00B02C2A"/>
    <w:rsid w:val="00B05D29"/>
    <w:rsid w:val="00B060EE"/>
    <w:rsid w:val="00B06214"/>
    <w:rsid w:val="00B076BE"/>
    <w:rsid w:val="00B10071"/>
    <w:rsid w:val="00B102D1"/>
    <w:rsid w:val="00B10524"/>
    <w:rsid w:val="00B10560"/>
    <w:rsid w:val="00B10A26"/>
    <w:rsid w:val="00B10CE0"/>
    <w:rsid w:val="00B10D58"/>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B1D"/>
    <w:rsid w:val="00B26A5F"/>
    <w:rsid w:val="00B26EB3"/>
    <w:rsid w:val="00B26ED5"/>
    <w:rsid w:val="00B27335"/>
    <w:rsid w:val="00B2779E"/>
    <w:rsid w:val="00B30DA9"/>
    <w:rsid w:val="00B31681"/>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810"/>
    <w:rsid w:val="00B52C10"/>
    <w:rsid w:val="00B54640"/>
    <w:rsid w:val="00B54BD6"/>
    <w:rsid w:val="00B54D23"/>
    <w:rsid w:val="00B54F94"/>
    <w:rsid w:val="00B557DF"/>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52D"/>
    <w:rsid w:val="00B7178E"/>
    <w:rsid w:val="00B72477"/>
    <w:rsid w:val="00B72CFD"/>
    <w:rsid w:val="00B737FE"/>
    <w:rsid w:val="00B73AB6"/>
    <w:rsid w:val="00B73DB1"/>
    <w:rsid w:val="00B767AA"/>
    <w:rsid w:val="00B76F24"/>
    <w:rsid w:val="00B802F8"/>
    <w:rsid w:val="00B80A5A"/>
    <w:rsid w:val="00B80A92"/>
    <w:rsid w:val="00B82734"/>
    <w:rsid w:val="00B82FF9"/>
    <w:rsid w:val="00B832A1"/>
    <w:rsid w:val="00B83CD5"/>
    <w:rsid w:val="00B83D23"/>
    <w:rsid w:val="00B84308"/>
    <w:rsid w:val="00B8451B"/>
    <w:rsid w:val="00B84964"/>
    <w:rsid w:val="00B850CE"/>
    <w:rsid w:val="00B85676"/>
    <w:rsid w:val="00B85896"/>
    <w:rsid w:val="00B8635D"/>
    <w:rsid w:val="00B90D14"/>
    <w:rsid w:val="00B928B6"/>
    <w:rsid w:val="00B92DFA"/>
    <w:rsid w:val="00B94249"/>
    <w:rsid w:val="00B94276"/>
    <w:rsid w:val="00B94653"/>
    <w:rsid w:val="00B94CE2"/>
    <w:rsid w:val="00B94F0D"/>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C7D18"/>
    <w:rsid w:val="00BD0104"/>
    <w:rsid w:val="00BD03A2"/>
    <w:rsid w:val="00BD046B"/>
    <w:rsid w:val="00BD0E31"/>
    <w:rsid w:val="00BD0FD5"/>
    <w:rsid w:val="00BD16D3"/>
    <w:rsid w:val="00BD20AF"/>
    <w:rsid w:val="00BD2974"/>
    <w:rsid w:val="00BD2CDE"/>
    <w:rsid w:val="00BD39BE"/>
    <w:rsid w:val="00BD3F7A"/>
    <w:rsid w:val="00BD48E4"/>
    <w:rsid w:val="00BD59A9"/>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CE0"/>
    <w:rsid w:val="00BE7DED"/>
    <w:rsid w:val="00BF0015"/>
    <w:rsid w:val="00BF0BFC"/>
    <w:rsid w:val="00BF0D05"/>
    <w:rsid w:val="00BF12CB"/>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E72"/>
    <w:rsid w:val="00C2211B"/>
    <w:rsid w:val="00C2349D"/>
    <w:rsid w:val="00C23CD4"/>
    <w:rsid w:val="00C24F4A"/>
    <w:rsid w:val="00C2564C"/>
    <w:rsid w:val="00C25891"/>
    <w:rsid w:val="00C2590B"/>
    <w:rsid w:val="00C25AE9"/>
    <w:rsid w:val="00C26D51"/>
    <w:rsid w:val="00C27561"/>
    <w:rsid w:val="00C27FEE"/>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238"/>
    <w:rsid w:val="00C649B9"/>
    <w:rsid w:val="00C6593B"/>
    <w:rsid w:val="00C659C4"/>
    <w:rsid w:val="00C6715A"/>
    <w:rsid w:val="00C67C57"/>
    <w:rsid w:val="00C702A9"/>
    <w:rsid w:val="00C70C37"/>
    <w:rsid w:val="00C729AB"/>
    <w:rsid w:val="00C74F21"/>
    <w:rsid w:val="00C74F5B"/>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E8A"/>
    <w:rsid w:val="00C878B0"/>
    <w:rsid w:val="00C90253"/>
    <w:rsid w:val="00C9122C"/>
    <w:rsid w:val="00C91BE9"/>
    <w:rsid w:val="00C933BA"/>
    <w:rsid w:val="00C94785"/>
    <w:rsid w:val="00C94DB7"/>
    <w:rsid w:val="00C9573C"/>
    <w:rsid w:val="00C97389"/>
    <w:rsid w:val="00C97AC5"/>
    <w:rsid w:val="00C97EB3"/>
    <w:rsid w:val="00CA0E5D"/>
    <w:rsid w:val="00CA1CFF"/>
    <w:rsid w:val="00CA3900"/>
    <w:rsid w:val="00CA3DD9"/>
    <w:rsid w:val="00CA4ADF"/>
    <w:rsid w:val="00CA4D1F"/>
    <w:rsid w:val="00CA5C20"/>
    <w:rsid w:val="00CB0227"/>
    <w:rsid w:val="00CB0A28"/>
    <w:rsid w:val="00CB0FBC"/>
    <w:rsid w:val="00CB2888"/>
    <w:rsid w:val="00CB3A14"/>
    <w:rsid w:val="00CB4EC9"/>
    <w:rsid w:val="00CB58C7"/>
    <w:rsid w:val="00CB7D44"/>
    <w:rsid w:val="00CC0269"/>
    <w:rsid w:val="00CC084C"/>
    <w:rsid w:val="00CC1475"/>
    <w:rsid w:val="00CC3253"/>
    <w:rsid w:val="00CC3AA3"/>
    <w:rsid w:val="00CC4422"/>
    <w:rsid w:val="00CC5520"/>
    <w:rsid w:val="00CC5634"/>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6C"/>
    <w:rsid w:val="00CE0C19"/>
    <w:rsid w:val="00CE1A20"/>
    <w:rsid w:val="00CE24F8"/>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57F4"/>
    <w:rsid w:val="00CF6AC6"/>
    <w:rsid w:val="00CF7284"/>
    <w:rsid w:val="00D00456"/>
    <w:rsid w:val="00D00EE1"/>
    <w:rsid w:val="00D032AF"/>
    <w:rsid w:val="00D03663"/>
    <w:rsid w:val="00D03CEC"/>
    <w:rsid w:val="00D04FD6"/>
    <w:rsid w:val="00D057B9"/>
    <w:rsid w:val="00D0596C"/>
    <w:rsid w:val="00D062B9"/>
    <w:rsid w:val="00D0671C"/>
    <w:rsid w:val="00D06833"/>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4386"/>
    <w:rsid w:val="00D34CAE"/>
    <w:rsid w:val="00D35A39"/>
    <w:rsid w:val="00D3694B"/>
    <w:rsid w:val="00D369C8"/>
    <w:rsid w:val="00D36DA9"/>
    <w:rsid w:val="00D37595"/>
    <w:rsid w:val="00D40F50"/>
    <w:rsid w:val="00D42E57"/>
    <w:rsid w:val="00D4387F"/>
    <w:rsid w:val="00D43B4E"/>
    <w:rsid w:val="00D44386"/>
    <w:rsid w:val="00D4478D"/>
    <w:rsid w:val="00D4499F"/>
    <w:rsid w:val="00D44B42"/>
    <w:rsid w:val="00D44C83"/>
    <w:rsid w:val="00D450B6"/>
    <w:rsid w:val="00D4528C"/>
    <w:rsid w:val="00D460DF"/>
    <w:rsid w:val="00D51281"/>
    <w:rsid w:val="00D537D5"/>
    <w:rsid w:val="00D539F8"/>
    <w:rsid w:val="00D53C64"/>
    <w:rsid w:val="00D53DC2"/>
    <w:rsid w:val="00D5467F"/>
    <w:rsid w:val="00D54F36"/>
    <w:rsid w:val="00D54FEB"/>
    <w:rsid w:val="00D55D7C"/>
    <w:rsid w:val="00D56114"/>
    <w:rsid w:val="00D562B3"/>
    <w:rsid w:val="00D57643"/>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5C27"/>
    <w:rsid w:val="00D77D54"/>
    <w:rsid w:val="00D8368A"/>
    <w:rsid w:val="00D83702"/>
    <w:rsid w:val="00D83E78"/>
    <w:rsid w:val="00D83EC2"/>
    <w:rsid w:val="00D83F8C"/>
    <w:rsid w:val="00D8494A"/>
    <w:rsid w:val="00D84E34"/>
    <w:rsid w:val="00D8714D"/>
    <w:rsid w:val="00D87689"/>
    <w:rsid w:val="00D90005"/>
    <w:rsid w:val="00D90C20"/>
    <w:rsid w:val="00D910F8"/>
    <w:rsid w:val="00D913BC"/>
    <w:rsid w:val="00D92B92"/>
    <w:rsid w:val="00D9367D"/>
    <w:rsid w:val="00D94719"/>
    <w:rsid w:val="00D94F47"/>
    <w:rsid w:val="00D967B2"/>
    <w:rsid w:val="00D96D08"/>
    <w:rsid w:val="00D97265"/>
    <w:rsid w:val="00DA07FD"/>
    <w:rsid w:val="00DA100A"/>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0BBC"/>
    <w:rsid w:val="00DC1820"/>
    <w:rsid w:val="00DC19AF"/>
    <w:rsid w:val="00DC1B40"/>
    <w:rsid w:val="00DC1BCD"/>
    <w:rsid w:val="00DC39EE"/>
    <w:rsid w:val="00DC4010"/>
    <w:rsid w:val="00DC4884"/>
    <w:rsid w:val="00DC4AD7"/>
    <w:rsid w:val="00DC5301"/>
    <w:rsid w:val="00DC55D6"/>
    <w:rsid w:val="00DC61A0"/>
    <w:rsid w:val="00DC73BD"/>
    <w:rsid w:val="00DD0339"/>
    <w:rsid w:val="00DD0810"/>
    <w:rsid w:val="00DD092D"/>
    <w:rsid w:val="00DD0AC3"/>
    <w:rsid w:val="00DD14B8"/>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445A"/>
    <w:rsid w:val="00DE4C18"/>
    <w:rsid w:val="00DE5CF4"/>
    <w:rsid w:val="00DE60BA"/>
    <w:rsid w:val="00DE6B9E"/>
    <w:rsid w:val="00DF0789"/>
    <w:rsid w:val="00DF2012"/>
    <w:rsid w:val="00DF2CD3"/>
    <w:rsid w:val="00DF38B2"/>
    <w:rsid w:val="00DF3C44"/>
    <w:rsid w:val="00DF4A1B"/>
    <w:rsid w:val="00DF5CED"/>
    <w:rsid w:val="00DF5FA2"/>
    <w:rsid w:val="00DF637B"/>
    <w:rsid w:val="00DF69C8"/>
    <w:rsid w:val="00DF72B5"/>
    <w:rsid w:val="00E008C0"/>
    <w:rsid w:val="00E00BAF"/>
    <w:rsid w:val="00E00BF7"/>
    <w:rsid w:val="00E00D3D"/>
    <w:rsid w:val="00E02AC9"/>
    <w:rsid w:val="00E03219"/>
    <w:rsid w:val="00E045B5"/>
    <w:rsid w:val="00E04E9B"/>
    <w:rsid w:val="00E067F3"/>
    <w:rsid w:val="00E0741E"/>
    <w:rsid w:val="00E10247"/>
    <w:rsid w:val="00E10BD1"/>
    <w:rsid w:val="00E11EEE"/>
    <w:rsid w:val="00E12BEC"/>
    <w:rsid w:val="00E1311F"/>
    <w:rsid w:val="00E131AE"/>
    <w:rsid w:val="00E14125"/>
    <w:rsid w:val="00E152D5"/>
    <w:rsid w:val="00E15BED"/>
    <w:rsid w:val="00E15E86"/>
    <w:rsid w:val="00E162FF"/>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5FBC"/>
    <w:rsid w:val="00E26148"/>
    <w:rsid w:val="00E26C9F"/>
    <w:rsid w:val="00E2742E"/>
    <w:rsid w:val="00E31C36"/>
    <w:rsid w:val="00E31F9B"/>
    <w:rsid w:val="00E3290D"/>
    <w:rsid w:val="00E32BD7"/>
    <w:rsid w:val="00E348C0"/>
    <w:rsid w:val="00E3522D"/>
    <w:rsid w:val="00E356CC"/>
    <w:rsid w:val="00E37729"/>
    <w:rsid w:val="00E403B5"/>
    <w:rsid w:val="00E42771"/>
    <w:rsid w:val="00E42BB1"/>
    <w:rsid w:val="00E456FA"/>
    <w:rsid w:val="00E459C5"/>
    <w:rsid w:val="00E45AEC"/>
    <w:rsid w:val="00E45C5A"/>
    <w:rsid w:val="00E50C87"/>
    <w:rsid w:val="00E510E8"/>
    <w:rsid w:val="00E52139"/>
    <w:rsid w:val="00E52373"/>
    <w:rsid w:val="00E5297C"/>
    <w:rsid w:val="00E535DB"/>
    <w:rsid w:val="00E54176"/>
    <w:rsid w:val="00E545FE"/>
    <w:rsid w:val="00E551A8"/>
    <w:rsid w:val="00E55EEF"/>
    <w:rsid w:val="00E55FCC"/>
    <w:rsid w:val="00E56300"/>
    <w:rsid w:val="00E56365"/>
    <w:rsid w:val="00E56798"/>
    <w:rsid w:val="00E573C5"/>
    <w:rsid w:val="00E60699"/>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9E"/>
    <w:rsid w:val="00E75866"/>
    <w:rsid w:val="00E7590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3E6"/>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CEF"/>
    <w:rsid w:val="00EA3DBE"/>
    <w:rsid w:val="00EA4520"/>
    <w:rsid w:val="00EA45FB"/>
    <w:rsid w:val="00EA4EC1"/>
    <w:rsid w:val="00EA599F"/>
    <w:rsid w:val="00EA6497"/>
    <w:rsid w:val="00EA719A"/>
    <w:rsid w:val="00EA7AD7"/>
    <w:rsid w:val="00EA7F54"/>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4EC"/>
    <w:rsid w:val="00EC29D6"/>
    <w:rsid w:val="00EC2B2A"/>
    <w:rsid w:val="00EC3455"/>
    <w:rsid w:val="00EC4044"/>
    <w:rsid w:val="00EC417F"/>
    <w:rsid w:val="00EC58D5"/>
    <w:rsid w:val="00EC61D9"/>
    <w:rsid w:val="00EC65D5"/>
    <w:rsid w:val="00EC727B"/>
    <w:rsid w:val="00EC753F"/>
    <w:rsid w:val="00ED0DBE"/>
    <w:rsid w:val="00ED2E1A"/>
    <w:rsid w:val="00ED339D"/>
    <w:rsid w:val="00ED53C7"/>
    <w:rsid w:val="00ED5B16"/>
    <w:rsid w:val="00ED5B33"/>
    <w:rsid w:val="00ED5EB4"/>
    <w:rsid w:val="00ED6108"/>
    <w:rsid w:val="00ED6D0B"/>
    <w:rsid w:val="00ED719F"/>
    <w:rsid w:val="00EE0ABE"/>
    <w:rsid w:val="00EE0C10"/>
    <w:rsid w:val="00EE1EA4"/>
    <w:rsid w:val="00EE21BD"/>
    <w:rsid w:val="00EE28FB"/>
    <w:rsid w:val="00EE3158"/>
    <w:rsid w:val="00EE34B8"/>
    <w:rsid w:val="00EE3CB8"/>
    <w:rsid w:val="00EE3EB8"/>
    <w:rsid w:val="00EE4E88"/>
    <w:rsid w:val="00EE4F62"/>
    <w:rsid w:val="00EE4FCF"/>
    <w:rsid w:val="00EE508D"/>
    <w:rsid w:val="00EE50C7"/>
    <w:rsid w:val="00EE6A38"/>
    <w:rsid w:val="00EE6E9C"/>
    <w:rsid w:val="00EE739C"/>
    <w:rsid w:val="00EE7670"/>
    <w:rsid w:val="00EE77AC"/>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6D1"/>
    <w:rsid w:val="00EF7769"/>
    <w:rsid w:val="00EF7838"/>
    <w:rsid w:val="00EF7D54"/>
    <w:rsid w:val="00F01662"/>
    <w:rsid w:val="00F0194C"/>
    <w:rsid w:val="00F01B33"/>
    <w:rsid w:val="00F01C31"/>
    <w:rsid w:val="00F02A17"/>
    <w:rsid w:val="00F04B89"/>
    <w:rsid w:val="00F05983"/>
    <w:rsid w:val="00F069A0"/>
    <w:rsid w:val="00F06FDE"/>
    <w:rsid w:val="00F07612"/>
    <w:rsid w:val="00F102F4"/>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7C1B"/>
    <w:rsid w:val="00F316C0"/>
    <w:rsid w:val="00F317AC"/>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65A"/>
    <w:rsid w:val="00F41DD5"/>
    <w:rsid w:val="00F421FB"/>
    <w:rsid w:val="00F42208"/>
    <w:rsid w:val="00F427E3"/>
    <w:rsid w:val="00F44B61"/>
    <w:rsid w:val="00F44FCC"/>
    <w:rsid w:val="00F45113"/>
    <w:rsid w:val="00F454C2"/>
    <w:rsid w:val="00F4677D"/>
    <w:rsid w:val="00F4729F"/>
    <w:rsid w:val="00F473DE"/>
    <w:rsid w:val="00F52FEE"/>
    <w:rsid w:val="00F54561"/>
    <w:rsid w:val="00F5522D"/>
    <w:rsid w:val="00F552B9"/>
    <w:rsid w:val="00F553E5"/>
    <w:rsid w:val="00F55826"/>
    <w:rsid w:val="00F55CBB"/>
    <w:rsid w:val="00F57D35"/>
    <w:rsid w:val="00F608C8"/>
    <w:rsid w:val="00F61D4E"/>
    <w:rsid w:val="00F6297A"/>
    <w:rsid w:val="00F65053"/>
    <w:rsid w:val="00F653DE"/>
    <w:rsid w:val="00F6562F"/>
    <w:rsid w:val="00F65AF4"/>
    <w:rsid w:val="00F65C53"/>
    <w:rsid w:val="00F667BB"/>
    <w:rsid w:val="00F70AEF"/>
    <w:rsid w:val="00F713CF"/>
    <w:rsid w:val="00F716A4"/>
    <w:rsid w:val="00F72DA9"/>
    <w:rsid w:val="00F72ED1"/>
    <w:rsid w:val="00F730C8"/>
    <w:rsid w:val="00F73AC7"/>
    <w:rsid w:val="00F73E7E"/>
    <w:rsid w:val="00F74AB5"/>
    <w:rsid w:val="00F7642B"/>
    <w:rsid w:val="00F80064"/>
    <w:rsid w:val="00F80A76"/>
    <w:rsid w:val="00F813FD"/>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4CBF"/>
    <w:rsid w:val="00F958A6"/>
    <w:rsid w:val="00F959E0"/>
    <w:rsid w:val="00F96204"/>
    <w:rsid w:val="00F963D9"/>
    <w:rsid w:val="00F96705"/>
    <w:rsid w:val="00F96D76"/>
    <w:rsid w:val="00F9786A"/>
    <w:rsid w:val="00F97D9A"/>
    <w:rsid w:val="00F97FF6"/>
    <w:rsid w:val="00FA009A"/>
    <w:rsid w:val="00FA07BB"/>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08DF"/>
    <w:rsid w:val="00FE1A01"/>
    <w:rsid w:val="00FE2398"/>
    <w:rsid w:val="00FE23BE"/>
    <w:rsid w:val="00FE3713"/>
    <w:rsid w:val="00FE3B8C"/>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E793BF"/>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A8702B"/>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A8702B"/>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www.grants.gov.au/" TargetMode="External"/><Relationship Id="rId26" Type="http://schemas.openxmlformats.org/officeDocument/2006/relationships/hyperlink" Target="https://www.communitygrants.gov.au/" TargetMode="External"/><Relationship Id="rId39" Type="http://schemas.openxmlformats.org/officeDocument/2006/relationships/hyperlink" Target="http://www.grants.gov.au/" TargetMode="External"/><Relationship Id="rId21" Type="http://schemas.openxmlformats.org/officeDocument/2006/relationships/hyperlink" Target="https://www.mdba.gov.au/basin-plan-roll-out/monitoring-evaluation/2017-basin-plan-evaluation" TargetMode="External"/><Relationship Id="rId34" Type="http://schemas.openxmlformats.org/officeDocument/2006/relationships/hyperlink" Target="http://www.grants.gov.au/" TargetMode="External"/><Relationship Id="rId42" Type="http://schemas.openxmlformats.org/officeDocument/2006/relationships/hyperlink" Target="https://www.grants.gov.au/?event=public.GO.list" TargetMode="External"/><Relationship Id="rId47" Type="http://schemas.openxmlformats.org/officeDocument/2006/relationships/hyperlink" Target="mailto:complaints@dss.gov.au" TargetMode="External"/><Relationship Id="rId50" Type="http://schemas.openxmlformats.org/officeDocument/2006/relationships/hyperlink" Target="http://www.ombudsman.gov.au" TargetMode="External"/><Relationship Id="rId55" Type="http://schemas.openxmlformats.org/officeDocument/2006/relationships/hyperlink" Target="https://www.legislation.gov.au/Details/C2014C00076" TargetMode="External"/><Relationship Id="rId63" Type="http://schemas.openxmlformats.org/officeDocument/2006/relationships/hyperlink" Target="http://www.grants.gov.au/" TargetMode="Externa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support@communitygrants.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communitygrants.gov.au/" TargetMode="External"/><Relationship Id="rId32" Type="http://schemas.openxmlformats.org/officeDocument/2006/relationships/hyperlink" Target="https://www.communitygrants.gov.au/" TargetMode="External"/><Relationship Id="rId37" Type="http://schemas.openxmlformats.org/officeDocument/2006/relationships/hyperlink" Target="https://www.ato.gov.au/business/gst/in-detail/managing-gst-in-your-business/tax-invoices/recipient-created-tax-invoices/" TargetMode="External"/><Relationship Id="rId40" Type="http://schemas.openxmlformats.org/officeDocument/2006/relationships/hyperlink" Target="https://finance.govcms.gov.au/sites/default/files/2019-11/commonwealth-grants-rules-and-guidelines.pdf" TargetMode="External"/><Relationship Id="rId45" Type="http://schemas.openxmlformats.org/officeDocument/2006/relationships/hyperlink" Target="https://www.dss.gov.au/contact/feedback-compliments-complaints-and-enquiries/feedback-form" TargetMode="External"/><Relationship Id="rId53" Type="http://schemas.openxmlformats.org/officeDocument/2006/relationships/hyperlink" Target="https://www.legislation.gov.au/Series/C2004A00538" TargetMode="External"/><Relationship Id="rId58" Type="http://schemas.openxmlformats.org/officeDocument/2006/relationships/hyperlink" Target="mailto:foi@dss.gov.au" TargetMode="External"/><Relationship Id="rId66" Type="http://schemas.openxmlformats.org/officeDocument/2006/relationships/hyperlink" Target="https://finance.govcms.gov.au/sites/default/files/2019-11/commonwealth-grants-rules-and-guidelines.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rants.gov.au/?event=public.home" TargetMode="External"/><Relationship Id="rId28" Type="http://schemas.openxmlformats.org/officeDocument/2006/relationships/hyperlink" Target="mailto:support@communitygrants.gov.au" TargetMode="External"/><Relationship Id="rId36" Type="http://schemas.openxmlformats.org/officeDocument/2006/relationships/hyperlink" Target="https://www.ato.gov.au/Business/GST/Registering-for-GST/" TargetMode="External"/><Relationship Id="rId49" Type="http://schemas.openxmlformats.org/officeDocument/2006/relationships/hyperlink" Target="mailto:ombudsman@ombudsman.gov.au" TargetMode="External"/><Relationship Id="rId57" Type="http://schemas.openxmlformats.org/officeDocument/2006/relationships/hyperlink" Target="https://www.legislation.gov.au/Series/C2004A02562" TargetMode="External"/><Relationship Id="rId61" Type="http://schemas.openxmlformats.org/officeDocument/2006/relationships/hyperlink" Target="https://finance.govcms.gov.au/sites/default/files/2019-11/commonwealth-grants-rules-and-guidelines.pdf" TargetMode="External"/><Relationship Id="rId10" Type="http://schemas.openxmlformats.org/officeDocument/2006/relationships/webSettings" Target="webSettings.xml"/><Relationship Id="rId19" Type="http://schemas.openxmlformats.org/officeDocument/2006/relationships/hyperlink" Target="https://www.communitygrants.gov.au/" TargetMode="External"/><Relationship Id="rId31" Type="http://schemas.openxmlformats.org/officeDocument/2006/relationships/hyperlink" Target="https://www.grants.gov.au/" TargetMode="External"/><Relationship Id="rId44" Type="http://schemas.openxmlformats.org/officeDocument/2006/relationships/hyperlink" Target="mailto:MDBEDP@agriculture.gov.au" TargetMode="External"/><Relationship Id="rId52" Type="http://schemas.openxmlformats.org/officeDocument/2006/relationships/hyperlink" Target="http://www8.austlii.edu.au/cgi-bin/viewdoc/au/legis/cth/consol_act/psa1999152/s13.html" TargetMode="External"/><Relationship Id="rId60" Type="http://schemas.openxmlformats.org/officeDocument/2006/relationships/hyperlink" Target="https://finance.govcms.gov.au/sites/default/files/2019-11/commonwealth-grants-rules-and-guidelines.pdf" TargetMode="External"/><Relationship Id="rId65" Type="http://schemas.openxmlformats.org/officeDocument/2006/relationships/hyperlink" Target="https://www.budget.gov.au/2019-20/content/pbs/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finance.govcms.gov.au/sites/default/files/2019-11/commonwealth-grants-rules-and-guidelines.pdf" TargetMode="External"/><Relationship Id="rId27" Type="http://schemas.openxmlformats.org/officeDocument/2006/relationships/hyperlink" Target="http://www8.austlii.edu.au/cgi-bin/viewdoc/au/legis/cth/consol_act/cca1995115/sch1.html" TargetMode="External"/><Relationship Id="rId30" Type="http://schemas.openxmlformats.org/officeDocument/2006/relationships/hyperlink" Target="mailto:support@communitygrants.gov.au" TargetMode="External"/><Relationship Id="rId35" Type="http://schemas.openxmlformats.org/officeDocument/2006/relationships/hyperlink" Target="https://www.communitygrants.gov.au/" TargetMode="External"/><Relationship Id="rId43" Type="http://schemas.openxmlformats.org/officeDocument/2006/relationships/hyperlink" Target="https://www.communitygrants.gov.au/" TargetMode="External"/><Relationship Id="rId48" Type="http://schemas.openxmlformats.org/officeDocument/2006/relationships/hyperlink" Target="http://www.ombudsman.gov.au/" TargetMode="External"/><Relationship Id="rId56" Type="http://schemas.openxmlformats.org/officeDocument/2006/relationships/hyperlink" Target="https://www.oaic.gov.au/privacy-law/privacy-act/australian-privacy-principles" TargetMode="External"/><Relationship Id="rId64" Type="http://schemas.openxmlformats.org/officeDocument/2006/relationships/hyperlink" Target="https://finance.govcms.gov.au/sites/default/files/2019-11/commonwealth-grants-rules-and-guidelines.pdf" TargetMode="External"/><Relationship Id="rId8" Type="http://schemas.openxmlformats.org/officeDocument/2006/relationships/styles" Target="styles.xml"/><Relationship Id="rId51" Type="http://schemas.openxmlformats.org/officeDocument/2006/relationships/hyperlink" Target="http://www.apsc.gov.au/publications-and-media/current-publications/aps-values-and-code-of-conduct-in-practice/conflict-of-interest"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s://www.grants.gov.au/?event=public.home" TargetMode="External"/><Relationship Id="rId33" Type="http://schemas.openxmlformats.org/officeDocument/2006/relationships/hyperlink" Target="https://finance.govcms.gov.au/sites/default/files/2019-11/commonwealth-grants-rules-and-guidelines.pdf" TargetMode="External"/><Relationship Id="rId38" Type="http://schemas.openxmlformats.org/officeDocument/2006/relationships/hyperlink" Target="https://www.ato.gov.au/" TargetMode="External"/><Relationship Id="rId46" Type="http://schemas.openxmlformats.org/officeDocument/2006/relationships/hyperlink" Target="https://www.dss.gov.au/contact/feedback-compliments-complaints-and-enquiries/complaints-page" TargetMode="External"/><Relationship Id="rId59" Type="http://schemas.openxmlformats.org/officeDocument/2006/relationships/hyperlink" Target="https://www.legislation.gov.au/Details/C2013A00123" TargetMode="External"/><Relationship Id="rId67" Type="http://schemas.openxmlformats.org/officeDocument/2006/relationships/fontTable" Target="fontTable.xml"/><Relationship Id="rId20" Type="http://schemas.openxmlformats.org/officeDocument/2006/relationships/hyperlink" Target="https://www.mdba.gov.au/publications/mdba-reports/northern-basin-review-technical-overview-socio-economic-analysis" TargetMode="External"/><Relationship Id="rId41" Type="http://schemas.openxmlformats.org/officeDocument/2006/relationships/hyperlink" Target="https://finance.govcms.gov.au/sites/default/files/2019-11/commonwealth-grants-rules-and-guidelines.pdf" TargetMode="External"/><Relationship Id="rId54" Type="http://schemas.openxmlformats.org/officeDocument/2006/relationships/hyperlink" Target="https://www.communitygrants.gov.au/open-grants/how-apply/conflict-interest-policy-commonwealth-government-employee" TargetMode="External"/><Relationship Id="rId62" Type="http://schemas.openxmlformats.org/officeDocument/2006/relationships/hyperlink" Target="https://www.finance.gov.au/about-us/glossary/pgpa/term-consolidated-revenue-fund-cr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3.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7D83B7EF-48C9-4127-A2EC-486C8197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9692</Words>
  <Characters>55250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64813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DONATH, Kristen</dc:creator>
  <cp:keywords/>
  <dc:description/>
  <cp:lastModifiedBy>DONATH, Kristen</cp:lastModifiedBy>
  <cp:revision>3</cp:revision>
  <cp:lastPrinted>2019-11-18T20:49:00Z</cp:lastPrinted>
  <dcterms:created xsi:type="dcterms:W3CDTF">2020-01-16T04:49:00Z</dcterms:created>
  <dcterms:modified xsi:type="dcterms:W3CDTF">2020-01-16T05:00:00Z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