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01104" w14:textId="1A1087C0" w:rsidR="00381016" w:rsidRPr="00122F21" w:rsidRDefault="001A428F">
      <w:pPr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 xml:space="preserve">High level research </w:t>
      </w:r>
      <w:r w:rsidR="00CB5B80">
        <w:rPr>
          <w:b/>
          <w:lang w:val="en-US"/>
        </w:rPr>
        <w:t>vision</w:t>
      </w:r>
      <w:r w:rsidR="003351DE">
        <w:rPr>
          <w:b/>
          <w:lang w:val="en-US"/>
        </w:rPr>
        <w:t xml:space="preserve"> (maximum 10 pages)</w:t>
      </w:r>
    </w:p>
    <w:p w14:paraId="5C41D577" w14:textId="747F4B21" w:rsidR="00DB337B" w:rsidRPr="00733B09" w:rsidRDefault="00EC4E11" w:rsidP="001C7230">
      <w:pPr>
        <w:pStyle w:val="ListBullet"/>
        <w:numPr>
          <w:ilvl w:val="0"/>
          <w:numId w:val="0"/>
        </w:numPr>
        <w:spacing w:before="120" w:after="120" w:line="24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Considering</w:t>
      </w:r>
      <w:r w:rsidR="00DB337B" w:rsidRPr="00733B09">
        <w:rPr>
          <w:rFonts w:asciiTheme="minorHAnsi" w:hAnsiTheme="minorHAnsi"/>
          <w:lang w:val="en-US"/>
        </w:rPr>
        <w:t xml:space="preserve"> the </w:t>
      </w:r>
      <w:r w:rsidR="007422F4">
        <w:rPr>
          <w:rFonts w:asciiTheme="minorHAnsi" w:hAnsiTheme="minorHAnsi"/>
          <w:lang w:val="en-US"/>
        </w:rPr>
        <w:t>p</w:t>
      </w:r>
      <w:r w:rsidR="00E85ADF">
        <w:rPr>
          <w:rFonts w:asciiTheme="minorHAnsi" w:hAnsiTheme="minorHAnsi"/>
          <w:lang w:val="en-US"/>
        </w:rPr>
        <w:t xml:space="preserve">rogram’s objectives, </w:t>
      </w:r>
      <w:r w:rsidR="005F375D">
        <w:rPr>
          <w:rFonts w:asciiTheme="minorHAnsi" w:hAnsiTheme="minorHAnsi"/>
          <w:lang w:val="en-US"/>
        </w:rPr>
        <w:t xml:space="preserve">Hub scope </w:t>
      </w:r>
      <w:r w:rsidR="00E85ADF">
        <w:rPr>
          <w:rFonts w:asciiTheme="minorHAnsi" w:hAnsiTheme="minorHAnsi"/>
          <w:lang w:val="en-US"/>
        </w:rPr>
        <w:t xml:space="preserve">and </w:t>
      </w:r>
      <w:r w:rsidR="00B63456">
        <w:rPr>
          <w:rFonts w:asciiTheme="minorHAnsi" w:hAnsiTheme="minorHAnsi"/>
          <w:lang w:val="en-US"/>
        </w:rPr>
        <w:t>anticipated</w:t>
      </w:r>
      <w:r w:rsidR="00E85ADF">
        <w:rPr>
          <w:rFonts w:asciiTheme="minorHAnsi" w:hAnsiTheme="minorHAnsi"/>
          <w:lang w:val="en-US"/>
        </w:rPr>
        <w:t xml:space="preserve"> deliverables </w:t>
      </w:r>
      <w:r w:rsidR="005F375D">
        <w:rPr>
          <w:rFonts w:asciiTheme="minorHAnsi" w:hAnsiTheme="minorHAnsi"/>
          <w:lang w:val="en-US"/>
        </w:rPr>
        <w:t>provided in</w:t>
      </w:r>
      <w:r w:rsidR="00DB76A8" w:rsidRPr="00DB76A8">
        <w:rPr>
          <w:rFonts w:asciiTheme="minorHAnsi" w:hAnsiTheme="minorHAnsi"/>
          <w:lang w:val="en-US"/>
        </w:rPr>
        <w:t xml:space="preserve"> the Grant Opportunity Guidelines</w:t>
      </w:r>
      <w:r w:rsidR="00DB337B" w:rsidRPr="00733B09">
        <w:rPr>
          <w:rFonts w:asciiTheme="minorHAnsi" w:hAnsiTheme="minorHAnsi"/>
          <w:lang w:val="en-US"/>
        </w:rPr>
        <w:t xml:space="preserve">, </w:t>
      </w:r>
      <w:r w:rsidR="00DB337B" w:rsidRPr="00FC34B4">
        <w:rPr>
          <w:rFonts w:asciiTheme="minorHAnsi" w:hAnsiTheme="minorHAnsi"/>
          <w:lang w:val="en-US"/>
        </w:rPr>
        <w:t>describe and justify where you would focus research efforts to get us the highest environmental i</w:t>
      </w:r>
      <w:r w:rsidR="009B1F21">
        <w:rPr>
          <w:rFonts w:asciiTheme="minorHAnsi" w:hAnsiTheme="minorHAnsi"/>
          <w:lang w:val="en-US"/>
        </w:rPr>
        <w:t>mpact</w:t>
      </w:r>
      <w:r w:rsidR="00DB337B" w:rsidRPr="00FC34B4">
        <w:rPr>
          <w:rFonts w:asciiTheme="minorHAnsi" w:hAnsiTheme="minorHAnsi"/>
          <w:lang w:val="en-US"/>
        </w:rPr>
        <w:t>.</w:t>
      </w:r>
      <w:r w:rsidR="00DB337B" w:rsidRPr="00733B09">
        <w:rPr>
          <w:rFonts w:asciiTheme="minorHAnsi" w:hAnsiTheme="minorHAnsi"/>
          <w:lang w:val="en-US"/>
        </w:rPr>
        <w:t xml:space="preserve"> Consideration should be given to:</w:t>
      </w:r>
    </w:p>
    <w:p w14:paraId="64A72665" w14:textId="4642CE81" w:rsidR="00DB337B" w:rsidRPr="00733B09" w:rsidRDefault="00DB337B" w:rsidP="00DB337B">
      <w:pPr>
        <w:pStyle w:val="ListBullet2"/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lang w:val="en-US"/>
        </w:rPr>
      </w:pPr>
      <w:r w:rsidRPr="00733B09">
        <w:rPr>
          <w:rFonts w:asciiTheme="minorHAnsi" w:hAnsiTheme="minorHAnsi"/>
          <w:lang w:val="en-US"/>
        </w:rPr>
        <w:t xml:space="preserve">an appropriate mix of long-term research projects to </w:t>
      </w:r>
      <w:r w:rsidR="003E602A">
        <w:rPr>
          <w:rFonts w:asciiTheme="minorHAnsi" w:hAnsiTheme="minorHAnsi"/>
          <w:lang w:val="en-US"/>
        </w:rPr>
        <w:t>build end-users understanding and capacity to solve</w:t>
      </w:r>
      <w:r w:rsidR="00C11A36">
        <w:rPr>
          <w:rFonts w:asciiTheme="minorHAnsi" w:hAnsiTheme="minorHAnsi"/>
          <w:lang w:val="en-US"/>
        </w:rPr>
        <w:t xml:space="preserve"> complex</w:t>
      </w:r>
      <w:r w:rsidRPr="00733B09">
        <w:rPr>
          <w:rFonts w:asciiTheme="minorHAnsi" w:hAnsiTheme="minorHAnsi"/>
          <w:lang w:val="en-US"/>
        </w:rPr>
        <w:t xml:space="preserve"> problems, </w:t>
      </w:r>
      <w:r w:rsidR="00E96B6C">
        <w:rPr>
          <w:rFonts w:asciiTheme="minorHAnsi" w:hAnsiTheme="minorHAnsi"/>
          <w:lang w:val="en-US"/>
        </w:rPr>
        <w:t xml:space="preserve">environmental </w:t>
      </w:r>
      <w:r w:rsidRPr="00733B09">
        <w:rPr>
          <w:rFonts w:asciiTheme="minorHAnsi" w:hAnsiTheme="minorHAnsi"/>
          <w:lang w:val="en-US"/>
        </w:rPr>
        <w:t xml:space="preserve">monitoring activities, synthesis of existing knowledge and short-term projects that address specific needs </w:t>
      </w:r>
    </w:p>
    <w:p w14:paraId="6942B86C" w14:textId="767E0E51" w:rsidR="00DB337B" w:rsidRPr="00733B09" w:rsidRDefault="00DB337B" w:rsidP="00DB337B">
      <w:pPr>
        <w:pStyle w:val="ListBullet2"/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lang w:val="en-US"/>
        </w:rPr>
      </w:pPr>
      <w:r w:rsidRPr="00733B09">
        <w:rPr>
          <w:rFonts w:asciiTheme="minorHAnsi" w:hAnsiTheme="minorHAnsi"/>
          <w:lang w:val="en-US"/>
        </w:rPr>
        <w:t>leveraging existing research where relevant</w:t>
      </w:r>
    </w:p>
    <w:p w14:paraId="3FA9F874" w14:textId="77777777" w:rsidR="00DB337B" w:rsidRPr="00733B09" w:rsidRDefault="00DB337B" w:rsidP="00DB337B">
      <w:pPr>
        <w:pStyle w:val="ListBullet2"/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lang w:val="en-US"/>
        </w:rPr>
      </w:pPr>
      <w:r w:rsidRPr="00733B09">
        <w:rPr>
          <w:rFonts w:asciiTheme="minorHAnsi" w:hAnsiTheme="minorHAnsi"/>
          <w:lang w:val="en-US"/>
        </w:rPr>
        <w:t>where behavioral, social and economic insights may be relevant</w:t>
      </w:r>
    </w:p>
    <w:p w14:paraId="76AD3F39" w14:textId="14E7DF7E" w:rsidR="00DB337B" w:rsidRPr="00733B09" w:rsidRDefault="00DB337B" w:rsidP="00DB337B">
      <w:pPr>
        <w:pStyle w:val="ListBullet2"/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lang w:val="en-US"/>
        </w:rPr>
      </w:pPr>
      <w:r w:rsidRPr="00733B09">
        <w:rPr>
          <w:rFonts w:asciiTheme="minorHAnsi" w:hAnsiTheme="minorHAnsi"/>
          <w:lang w:val="en-US"/>
        </w:rPr>
        <w:t xml:space="preserve">where other </w:t>
      </w:r>
      <w:r w:rsidR="0076736A">
        <w:rPr>
          <w:rFonts w:asciiTheme="minorHAnsi" w:hAnsiTheme="minorHAnsi"/>
          <w:lang w:val="en-US"/>
        </w:rPr>
        <w:t>end-user</w:t>
      </w:r>
      <w:r w:rsidRPr="00733B09">
        <w:rPr>
          <w:rFonts w:asciiTheme="minorHAnsi" w:hAnsiTheme="minorHAnsi"/>
          <w:lang w:val="en-US"/>
        </w:rPr>
        <w:t xml:space="preserve"> (other government agencies and levels of government, Indigenous Australians, NGOs, industry etc.) connections are likely to be relevant</w:t>
      </w:r>
    </w:p>
    <w:p w14:paraId="6F5F59AD" w14:textId="132DB998" w:rsidR="00DB337B" w:rsidRPr="00733B09" w:rsidRDefault="00DB337B" w:rsidP="00DB337B">
      <w:pPr>
        <w:pStyle w:val="ListBullet2"/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lang w:val="en-US"/>
        </w:rPr>
      </w:pPr>
      <w:r w:rsidRPr="00733B09">
        <w:rPr>
          <w:rFonts w:asciiTheme="minorHAnsi" w:hAnsiTheme="minorHAnsi"/>
          <w:lang w:val="en-US"/>
        </w:rPr>
        <w:t>how this could form a cohesive body of research with connections between projects and across hubs</w:t>
      </w:r>
      <w:r w:rsidR="00572CF6">
        <w:rPr>
          <w:rFonts w:asciiTheme="minorHAnsi" w:hAnsiTheme="minorHAnsi"/>
          <w:lang w:val="en-US"/>
        </w:rPr>
        <w:t xml:space="preserve">, particularly for the cross-cutting </w:t>
      </w:r>
      <w:r w:rsidR="00CA739E">
        <w:rPr>
          <w:rFonts w:asciiTheme="minorHAnsi" w:hAnsiTheme="minorHAnsi"/>
          <w:lang w:val="en-US"/>
        </w:rPr>
        <w:t>missions</w:t>
      </w:r>
      <w:r w:rsidR="00CA739E" w:rsidRPr="00733B09">
        <w:rPr>
          <w:rFonts w:asciiTheme="minorHAnsi" w:hAnsiTheme="minorHAnsi"/>
          <w:lang w:val="en-US"/>
        </w:rPr>
        <w:t xml:space="preserve"> </w:t>
      </w:r>
    </w:p>
    <w:p w14:paraId="3800384F" w14:textId="4CFA24AB" w:rsidR="00DB337B" w:rsidRPr="00733B09" w:rsidRDefault="00DB337B" w:rsidP="00DB337B">
      <w:pPr>
        <w:pStyle w:val="ListBullet2"/>
        <w:numPr>
          <w:ilvl w:val="0"/>
          <w:numId w:val="2"/>
        </w:numPr>
        <w:spacing w:before="120" w:after="120" w:line="240" w:lineRule="auto"/>
        <w:rPr>
          <w:rFonts w:asciiTheme="minorHAnsi" w:hAnsiTheme="minorHAnsi"/>
          <w:lang w:val="en-US"/>
        </w:rPr>
      </w:pPr>
      <w:r w:rsidRPr="00733B09">
        <w:rPr>
          <w:rFonts w:asciiTheme="minorHAnsi" w:hAnsiTheme="minorHAnsi"/>
          <w:lang w:val="en-US"/>
        </w:rPr>
        <w:t xml:space="preserve">the resources needed (people, time, </w:t>
      </w:r>
      <w:r w:rsidR="00430CB3">
        <w:rPr>
          <w:rFonts w:asciiTheme="minorHAnsi" w:hAnsiTheme="minorHAnsi"/>
          <w:lang w:val="en-US"/>
        </w:rPr>
        <w:t xml:space="preserve">access to </w:t>
      </w:r>
      <w:r w:rsidRPr="00733B09">
        <w:rPr>
          <w:rFonts w:asciiTheme="minorHAnsi" w:hAnsiTheme="minorHAnsi"/>
          <w:lang w:val="en-US"/>
        </w:rPr>
        <w:t xml:space="preserve">major equipment, NESP </w:t>
      </w:r>
      <w:r w:rsidR="000D11E5">
        <w:rPr>
          <w:rFonts w:asciiTheme="minorHAnsi" w:hAnsiTheme="minorHAnsi"/>
          <w:lang w:val="en-US"/>
        </w:rPr>
        <w:t xml:space="preserve">2 </w:t>
      </w:r>
      <w:r w:rsidRPr="00733B09">
        <w:rPr>
          <w:rFonts w:asciiTheme="minorHAnsi" w:hAnsiTheme="minorHAnsi"/>
          <w:lang w:val="en-US"/>
        </w:rPr>
        <w:t xml:space="preserve">funding etc.) and what capabilities and resources the </w:t>
      </w:r>
      <w:r w:rsidR="00BF7C29">
        <w:rPr>
          <w:rFonts w:asciiTheme="minorHAnsi" w:hAnsiTheme="minorHAnsi"/>
          <w:lang w:val="en-US"/>
        </w:rPr>
        <w:t>h</w:t>
      </w:r>
      <w:r w:rsidRPr="00733B09">
        <w:rPr>
          <w:rFonts w:asciiTheme="minorHAnsi" w:hAnsiTheme="minorHAnsi"/>
          <w:lang w:val="en-US"/>
        </w:rPr>
        <w:t>ub can provide.</w:t>
      </w:r>
    </w:p>
    <w:p w14:paraId="25525FDE" w14:textId="2454126B" w:rsidR="00EC06D5" w:rsidRDefault="00EC06D5">
      <w:pPr>
        <w:rPr>
          <w:lang w:val="en-US"/>
        </w:rPr>
      </w:pPr>
      <w:r>
        <w:rPr>
          <w:lang w:val="en-US"/>
        </w:rPr>
        <w:t>Applicants are advised that their response to the above will be used in the grant assessment process as evidence of the consorti</w:t>
      </w:r>
      <w:r w:rsidR="00812454">
        <w:rPr>
          <w:lang w:val="en-US"/>
        </w:rPr>
        <w:t>um</w:t>
      </w:r>
      <w:r>
        <w:rPr>
          <w:lang w:val="en-US"/>
        </w:rPr>
        <w:t>’s ability to</w:t>
      </w:r>
      <w:r w:rsidR="00691412">
        <w:rPr>
          <w:lang w:val="en-US"/>
        </w:rPr>
        <w:t xml:space="preserve"> </w:t>
      </w:r>
      <w:r>
        <w:rPr>
          <w:lang w:val="en-US"/>
        </w:rPr>
        <w:t xml:space="preserve">plan and deliver a </w:t>
      </w:r>
      <w:r w:rsidR="00430CB3">
        <w:rPr>
          <w:lang w:val="en-US"/>
        </w:rPr>
        <w:t xml:space="preserve">strategic, </w:t>
      </w:r>
      <w:r>
        <w:rPr>
          <w:lang w:val="en-US"/>
        </w:rPr>
        <w:t>high impact</w:t>
      </w:r>
      <w:r w:rsidR="00903953">
        <w:rPr>
          <w:lang w:val="en-US"/>
        </w:rPr>
        <w:t>, collaborative</w:t>
      </w:r>
      <w:r>
        <w:rPr>
          <w:lang w:val="en-US"/>
        </w:rPr>
        <w:t xml:space="preserve"> and c</w:t>
      </w:r>
      <w:r w:rsidR="00880907">
        <w:rPr>
          <w:lang w:val="en-US"/>
        </w:rPr>
        <w:t>ohesive program of research</w:t>
      </w:r>
      <w:r>
        <w:rPr>
          <w:lang w:val="en-US"/>
        </w:rPr>
        <w:t xml:space="preserve">. The information they provide here is </w:t>
      </w:r>
      <w:r w:rsidRPr="00345A0F">
        <w:rPr>
          <w:u w:val="single"/>
          <w:lang w:val="en-US"/>
        </w:rPr>
        <w:t>not</w:t>
      </w:r>
      <w:r>
        <w:rPr>
          <w:lang w:val="en-US"/>
        </w:rPr>
        <w:t xml:space="preserve"> </w:t>
      </w:r>
      <w:r w:rsidR="00942437">
        <w:rPr>
          <w:lang w:val="en-US"/>
        </w:rPr>
        <w:t xml:space="preserve">necessarily </w:t>
      </w:r>
      <w:r>
        <w:rPr>
          <w:lang w:val="en-US"/>
        </w:rPr>
        <w:t>an indication of the research they will be delivering should their submission be successful.</w:t>
      </w:r>
      <w:r w:rsidR="00631758">
        <w:rPr>
          <w:lang w:val="en-US"/>
        </w:rPr>
        <w:t xml:space="preserve"> </w:t>
      </w:r>
      <w:r w:rsidR="00655ACD">
        <w:rPr>
          <w:lang w:val="en-US"/>
        </w:rPr>
        <w:t xml:space="preserve">Successful applicants will develop their </w:t>
      </w:r>
      <w:r w:rsidR="00382054">
        <w:rPr>
          <w:lang w:val="en-US"/>
        </w:rPr>
        <w:t>first</w:t>
      </w:r>
      <w:r w:rsidR="00655ACD">
        <w:rPr>
          <w:lang w:val="en-US"/>
        </w:rPr>
        <w:t xml:space="preserve"> Research Plan</w:t>
      </w:r>
      <w:r w:rsidR="007422F4">
        <w:rPr>
          <w:lang w:val="en-US"/>
        </w:rPr>
        <w:t xml:space="preserve"> in collaboration with the d</w:t>
      </w:r>
      <w:r w:rsidR="00382054">
        <w:rPr>
          <w:lang w:val="en-US"/>
        </w:rPr>
        <w:t xml:space="preserve">epartment </w:t>
      </w:r>
      <w:r w:rsidR="00D00561">
        <w:rPr>
          <w:lang w:val="en-US"/>
        </w:rPr>
        <w:t xml:space="preserve">and update their Plan with additional projects on an </w:t>
      </w:r>
      <w:r w:rsidR="005F375D">
        <w:rPr>
          <w:lang w:val="en-US"/>
        </w:rPr>
        <w:t xml:space="preserve">ongoing </w:t>
      </w:r>
      <w:r w:rsidR="00D00561">
        <w:rPr>
          <w:lang w:val="en-US"/>
        </w:rPr>
        <w:t>basis.</w:t>
      </w:r>
    </w:p>
    <w:p w14:paraId="2DDC0543" w14:textId="44D61765" w:rsidR="00D87E72" w:rsidRDefault="00D87E72">
      <w:pPr>
        <w:rPr>
          <w:lang w:val="en-US"/>
        </w:rPr>
      </w:pPr>
    </w:p>
    <w:p w14:paraId="5C780E12" w14:textId="77777777" w:rsidR="00D679A9" w:rsidRDefault="00D679A9">
      <w:pPr>
        <w:rPr>
          <w:b/>
          <w:lang w:val="en-US"/>
        </w:rPr>
        <w:sectPr w:rsidR="00D679A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7EC0705" w14:textId="0909EA8E" w:rsidR="00D87E72" w:rsidRDefault="00D87E72">
      <w:pPr>
        <w:rPr>
          <w:b/>
          <w:lang w:val="en-US"/>
        </w:rPr>
      </w:pPr>
      <w:r w:rsidRPr="00880907">
        <w:rPr>
          <w:b/>
          <w:lang w:val="en-US"/>
        </w:rPr>
        <w:lastRenderedPageBreak/>
        <w:t>Indicative budget information</w:t>
      </w:r>
    </w:p>
    <w:p w14:paraId="5C22E7E1" w14:textId="58872E97" w:rsidR="00DB76A8" w:rsidRDefault="00DB76A8">
      <w:pPr>
        <w:rPr>
          <w:lang w:val="en-US"/>
        </w:rPr>
      </w:pPr>
      <w:r w:rsidRPr="00DB76A8">
        <w:rPr>
          <w:lang w:val="en-US"/>
        </w:rPr>
        <w:t xml:space="preserve">Provide an indicative budget </w:t>
      </w:r>
      <w:r>
        <w:rPr>
          <w:lang w:val="en-US"/>
        </w:rPr>
        <w:t xml:space="preserve">for the </w:t>
      </w:r>
      <w:r w:rsidR="00820453">
        <w:rPr>
          <w:lang w:val="en-US"/>
        </w:rPr>
        <w:t xml:space="preserve">research </w:t>
      </w:r>
      <w:r w:rsidR="00691412">
        <w:rPr>
          <w:lang w:val="en-US"/>
        </w:rPr>
        <w:t xml:space="preserve">vision </w:t>
      </w:r>
      <w:r>
        <w:rPr>
          <w:lang w:val="en-US"/>
        </w:rPr>
        <w:t>as described above.</w:t>
      </w:r>
    </w:p>
    <w:p w14:paraId="4CB6DDAD" w14:textId="7D495BDD" w:rsidR="00DB76A8" w:rsidRDefault="00DB76A8">
      <w:pPr>
        <w:rPr>
          <w:lang w:val="en-US"/>
        </w:rPr>
      </w:pPr>
      <w:r>
        <w:rPr>
          <w:lang w:val="en-US"/>
        </w:rPr>
        <w:t xml:space="preserve">Applicants should have regard to the indicative funding levels for each hub which can be found in </w:t>
      </w:r>
      <w:r w:rsidR="007422F4">
        <w:rPr>
          <w:lang w:val="en-US"/>
        </w:rPr>
        <w:t>s</w:t>
      </w:r>
      <w:r w:rsidR="00A840F9">
        <w:rPr>
          <w:lang w:val="en-US"/>
        </w:rPr>
        <w:t xml:space="preserve">ection 3 of </w:t>
      </w:r>
      <w:r>
        <w:rPr>
          <w:lang w:val="en-US"/>
        </w:rPr>
        <w:t>the Grant Opportunity Guidelines when formulating their response.</w:t>
      </w:r>
      <w:r w:rsidR="00A44480">
        <w:rPr>
          <w:lang w:val="en-US"/>
        </w:rPr>
        <w:t xml:space="preserve"> </w:t>
      </w:r>
      <w:r w:rsidR="00795AA7">
        <w:rPr>
          <w:lang w:val="en-US"/>
        </w:rPr>
        <w:t>If the total budget amount differs from the</w:t>
      </w:r>
      <w:r w:rsidR="00A15207">
        <w:rPr>
          <w:lang w:val="en-US"/>
        </w:rPr>
        <w:t xml:space="preserve"> total amount </w:t>
      </w:r>
      <w:r w:rsidR="00E3705C">
        <w:rPr>
          <w:lang w:val="en-US"/>
        </w:rPr>
        <w:t xml:space="preserve">you have </w:t>
      </w:r>
      <w:r w:rsidR="00A15207">
        <w:rPr>
          <w:lang w:val="en-US"/>
        </w:rPr>
        <w:t>requested in the</w:t>
      </w:r>
      <w:r w:rsidR="00A44480">
        <w:rPr>
          <w:lang w:val="en-US"/>
        </w:rPr>
        <w:t xml:space="preserve"> </w:t>
      </w:r>
      <w:r w:rsidR="003217B1">
        <w:rPr>
          <w:lang w:val="en-US"/>
        </w:rPr>
        <w:t xml:space="preserve">breakdown of proposed </w:t>
      </w:r>
      <w:r w:rsidR="002778BD">
        <w:rPr>
          <w:lang w:val="en-US"/>
        </w:rPr>
        <w:t xml:space="preserve">grant </w:t>
      </w:r>
      <w:r w:rsidR="00A44480">
        <w:rPr>
          <w:lang w:val="en-US"/>
        </w:rPr>
        <w:t xml:space="preserve">funding </w:t>
      </w:r>
      <w:r w:rsidR="00C21351">
        <w:rPr>
          <w:lang w:val="en-US"/>
        </w:rPr>
        <w:t>section of</w:t>
      </w:r>
      <w:r w:rsidR="00A44480">
        <w:rPr>
          <w:lang w:val="en-US"/>
        </w:rPr>
        <w:t xml:space="preserve"> the application form, please provide a</w:t>
      </w:r>
      <w:r w:rsidR="00001709">
        <w:rPr>
          <w:lang w:val="en-US"/>
        </w:rPr>
        <w:t xml:space="preserve"> brief</w:t>
      </w:r>
      <w:r w:rsidR="00A44480">
        <w:rPr>
          <w:lang w:val="en-US"/>
        </w:rPr>
        <w:t xml:space="preserve"> explanation.</w:t>
      </w:r>
      <w:r w:rsidR="00175C04">
        <w:rPr>
          <w:lang w:val="en-US"/>
        </w:rPr>
        <w:t xml:space="preserve"> See </w:t>
      </w:r>
      <w:r w:rsidR="007422F4">
        <w:rPr>
          <w:lang w:val="en-US"/>
        </w:rPr>
        <w:t>the questions and a</w:t>
      </w:r>
      <w:r w:rsidR="00664AD6">
        <w:rPr>
          <w:lang w:val="en-US"/>
        </w:rPr>
        <w:t xml:space="preserve">nswers document </w:t>
      </w:r>
      <w:r w:rsidR="00175C04">
        <w:rPr>
          <w:lang w:val="en-US"/>
        </w:rPr>
        <w:t>for further information.</w:t>
      </w:r>
    </w:p>
    <w:p w14:paraId="74627BEE" w14:textId="59E7BF18" w:rsidR="00DB76A8" w:rsidRDefault="00DB76A8">
      <w:pPr>
        <w:rPr>
          <w:lang w:val="en-US"/>
        </w:rPr>
      </w:pPr>
      <w:r>
        <w:rPr>
          <w:lang w:val="en-US"/>
        </w:rPr>
        <w:t>Research activities are expected to commence from January 2021 and must cease by 31 December 2026.</w:t>
      </w:r>
      <w:r w:rsidR="007422F4">
        <w:rPr>
          <w:lang w:val="en-US"/>
        </w:rPr>
        <w:t xml:space="preserve"> See s</w:t>
      </w:r>
      <w:r w:rsidR="00A840F9">
        <w:rPr>
          <w:lang w:val="en-US"/>
        </w:rPr>
        <w:t>ection 3 of the Grant Opportunity Guidelines for further details.</w:t>
      </w:r>
    </w:p>
    <w:p w14:paraId="7FBC37F8" w14:textId="1306511D" w:rsidR="00DB76A8" w:rsidRPr="00DB76A8" w:rsidRDefault="00DB76A8">
      <w:pPr>
        <w:rPr>
          <w:lang w:val="en-US"/>
        </w:rPr>
      </w:pPr>
      <w:r>
        <w:rPr>
          <w:lang w:val="en-US"/>
        </w:rPr>
        <w:t>The cost of each budget item must be provided exclusive of GST.</w:t>
      </w:r>
    </w:p>
    <w:tbl>
      <w:tblPr>
        <w:tblStyle w:val="GridTable1Light"/>
        <w:tblW w:w="20924" w:type="dxa"/>
        <w:tblLayout w:type="fixed"/>
        <w:tblLook w:val="04A0" w:firstRow="1" w:lastRow="0" w:firstColumn="1" w:lastColumn="0" w:noHBand="0" w:noVBand="1"/>
        <w:tblCaption w:val="Indicative Budget Information"/>
      </w:tblPr>
      <w:tblGrid>
        <w:gridCol w:w="2122"/>
        <w:gridCol w:w="1842"/>
        <w:gridCol w:w="1738"/>
        <w:gridCol w:w="1902"/>
        <w:gridCol w:w="1903"/>
        <w:gridCol w:w="1902"/>
        <w:gridCol w:w="1903"/>
        <w:gridCol w:w="1903"/>
        <w:gridCol w:w="1903"/>
        <w:gridCol w:w="1903"/>
        <w:gridCol w:w="1903"/>
      </w:tblGrid>
      <w:tr w:rsidR="001D49A6" w14:paraId="3A82A337" w14:textId="1D1C28B9" w:rsidTr="00EB47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05F3A2E" w14:textId="77777777" w:rsidR="001D49A6" w:rsidRDefault="001D49A6">
            <w:pPr>
              <w:rPr>
                <w:b w:val="0"/>
                <w:lang w:val="en-US"/>
              </w:rPr>
            </w:pPr>
          </w:p>
        </w:tc>
        <w:tc>
          <w:tcPr>
            <w:tcW w:w="1842" w:type="dxa"/>
          </w:tcPr>
          <w:p w14:paraId="63729A60" w14:textId="77777777" w:rsidR="001D49A6" w:rsidRPr="00183B23" w:rsidRDefault="001D4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38" w:type="dxa"/>
          </w:tcPr>
          <w:p w14:paraId="7BBD19EF" w14:textId="13C94913" w:rsidR="001D49A6" w:rsidRDefault="001D4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1902" w:type="dxa"/>
          </w:tcPr>
          <w:p w14:paraId="5047D472" w14:textId="6B8F83B8" w:rsidR="001D49A6" w:rsidRDefault="001D4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1903" w:type="dxa"/>
          </w:tcPr>
          <w:p w14:paraId="6EADFC2B" w14:textId="5ACE0E89" w:rsidR="001D49A6" w:rsidRDefault="001D4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902" w:type="dxa"/>
          </w:tcPr>
          <w:p w14:paraId="23AFE6E6" w14:textId="4748E589" w:rsidR="001D49A6" w:rsidRDefault="001D4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1903" w:type="dxa"/>
          </w:tcPr>
          <w:p w14:paraId="2E39C0F9" w14:textId="6609B097" w:rsidR="001D49A6" w:rsidRDefault="001D4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lang w:val="en-US"/>
              </w:rPr>
              <w:t>2024</w:t>
            </w:r>
          </w:p>
        </w:tc>
        <w:tc>
          <w:tcPr>
            <w:tcW w:w="1903" w:type="dxa"/>
          </w:tcPr>
          <w:p w14:paraId="78ACEBDE" w14:textId="60EC6A0D" w:rsidR="001D49A6" w:rsidRDefault="001D4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lang w:val="en-US"/>
              </w:rPr>
              <w:t>2025</w:t>
            </w:r>
          </w:p>
        </w:tc>
        <w:tc>
          <w:tcPr>
            <w:tcW w:w="1903" w:type="dxa"/>
          </w:tcPr>
          <w:p w14:paraId="1CE19491" w14:textId="4E82AB66" w:rsidR="001D49A6" w:rsidRDefault="001D4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lang w:val="en-US"/>
              </w:rPr>
              <w:t>2026</w:t>
            </w:r>
          </w:p>
        </w:tc>
        <w:tc>
          <w:tcPr>
            <w:tcW w:w="1903" w:type="dxa"/>
          </w:tcPr>
          <w:p w14:paraId="2FA552F7" w14:textId="20DA533C" w:rsidR="001D49A6" w:rsidRDefault="001D4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2027</w:t>
            </w:r>
          </w:p>
        </w:tc>
        <w:tc>
          <w:tcPr>
            <w:tcW w:w="1903" w:type="dxa"/>
          </w:tcPr>
          <w:p w14:paraId="5C53041E" w14:textId="382CF44F" w:rsidR="001D49A6" w:rsidRDefault="001D49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n-US"/>
              </w:rPr>
            </w:pPr>
            <w:r>
              <w:rPr>
                <w:lang w:val="en-US"/>
              </w:rPr>
              <w:t>Total</w:t>
            </w:r>
          </w:p>
        </w:tc>
      </w:tr>
      <w:tr w:rsidR="001D49A6" w14:paraId="5AB15B03" w14:textId="77777777" w:rsidTr="00EB47B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578C901" w14:textId="22F290CB" w:rsidR="001D49A6" w:rsidRDefault="001D49A6">
            <w:pPr>
              <w:rPr>
                <w:lang w:val="en-US"/>
              </w:rPr>
            </w:pPr>
            <w:r>
              <w:rPr>
                <w:lang w:val="en-US"/>
              </w:rPr>
              <w:t>Administration</w:t>
            </w:r>
          </w:p>
        </w:tc>
        <w:tc>
          <w:tcPr>
            <w:tcW w:w="1842" w:type="dxa"/>
          </w:tcPr>
          <w:p w14:paraId="15C42101" w14:textId="4EA97AC3" w:rsidR="001D49A6" w:rsidRPr="00183B23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NESP funding</w:t>
            </w:r>
          </w:p>
        </w:tc>
        <w:tc>
          <w:tcPr>
            <w:tcW w:w="1738" w:type="dxa"/>
          </w:tcPr>
          <w:p w14:paraId="7752246C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2032DD96" w14:textId="34DF587B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5A6B7C23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688630D7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7F0C980B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2131EC70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134843B5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46602E9D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565A2103" w14:textId="4EEF1E09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1D49A6" w14:paraId="5D768336" w14:textId="77777777" w:rsidTr="00EB47B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FDDEC37" w14:textId="77777777" w:rsidR="001D49A6" w:rsidRDefault="001D49A6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6FBBC821" w14:textId="56D75B76" w:rsidR="001D49A6" w:rsidRPr="00183B23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Cash contributions</w:t>
            </w:r>
          </w:p>
        </w:tc>
        <w:tc>
          <w:tcPr>
            <w:tcW w:w="1738" w:type="dxa"/>
          </w:tcPr>
          <w:p w14:paraId="3EDBD4C4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11F98524" w14:textId="0EDC920E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2C755FF7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2DEF4ED0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50AF515C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70D1216B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21FBEE66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7EB48588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58F58184" w14:textId="7E4D8356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1D49A6" w14:paraId="0C6EF8DC" w14:textId="77777777" w:rsidTr="00EB47B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B325708" w14:textId="77777777" w:rsidR="001D49A6" w:rsidRDefault="001D49A6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1541AA25" w14:textId="1EDCA8CB" w:rsidR="001D49A6" w:rsidRPr="00183B23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In-kind support</w:t>
            </w:r>
          </w:p>
        </w:tc>
        <w:tc>
          <w:tcPr>
            <w:tcW w:w="1738" w:type="dxa"/>
          </w:tcPr>
          <w:p w14:paraId="600E3967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132917EC" w14:textId="19A1678D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2A878157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2B79C0D2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78E70670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51EEE1D6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545A9EFD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2CC24058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33923E5B" w14:textId="69BA57AC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1D49A6" w14:paraId="24A1BEAB" w14:textId="77777777" w:rsidTr="00EB47B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6D4CD1B" w14:textId="43D5CC99" w:rsidR="001D49A6" w:rsidRDefault="001D49A6">
            <w:pPr>
              <w:rPr>
                <w:lang w:val="en-US"/>
              </w:rPr>
            </w:pPr>
            <w:r>
              <w:rPr>
                <w:lang w:val="en-US"/>
              </w:rPr>
              <w:t>Communication</w:t>
            </w:r>
          </w:p>
        </w:tc>
        <w:tc>
          <w:tcPr>
            <w:tcW w:w="1842" w:type="dxa"/>
          </w:tcPr>
          <w:p w14:paraId="2CCD300B" w14:textId="7C16EA3C" w:rsidR="001D49A6" w:rsidRPr="00183B23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NESP funding</w:t>
            </w:r>
          </w:p>
        </w:tc>
        <w:tc>
          <w:tcPr>
            <w:tcW w:w="1738" w:type="dxa"/>
          </w:tcPr>
          <w:p w14:paraId="32B0A9D7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56B8E86B" w14:textId="27B70111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0EB92338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6F88E6B8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720816B4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3B5BECF4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509E2654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68BD802E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5E314E9D" w14:textId="1AB339CF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1D49A6" w14:paraId="67392532" w14:textId="77777777" w:rsidTr="00EB47B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98906DC" w14:textId="77777777" w:rsidR="001D49A6" w:rsidRDefault="001D49A6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78D90E38" w14:textId="16250C24" w:rsidR="001D49A6" w:rsidRPr="00183B23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Cash contributions</w:t>
            </w:r>
          </w:p>
        </w:tc>
        <w:tc>
          <w:tcPr>
            <w:tcW w:w="1738" w:type="dxa"/>
          </w:tcPr>
          <w:p w14:paraId="307F74FB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3A03748D" w14:textId="041EE68D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319B28F4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287EE96A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27CD5A01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0C02B1AE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5E672777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036B4015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3661F678" w14:textId="0FC7EA11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1D49A6" w14:paraId="41B297F8" w14:textId="77777777" w:rsidTr="00EB47B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F3C2D4B" w14:textId="77777777" w:rsidR="001D49A6" w:rsidRDefault="001D49A6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02A2787B" w14:textId="264F7CCC" w:rsidR="001D49A6" w:rsidRPr="00183B23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In-kind support</w:t>
            </w:r>
          </w:p>
        </w:tc>
        <w:tc>
          <w:tcPr>
            <w:tcW w:w="1738" w:type="dxa"/>
          </w:tcPr>
          <w:p w14:paraId="42372DDF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2DF4BF2E" w14:textId="300B7293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21571FE8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266FC9BF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299B5C49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48302354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79C819F0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377D6E4A" w14:textId="77777777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0C9816E2" w14:textId="5DF2679A" w:rsidR="001D49A6" w:rsidRDefault="001D49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B47BB" w14:paraId="50E9A33C" w14:textId="77777777" w:rsidTr="00EB47B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1179630" w14:textId="55DB6DF4" w:rsidR="00EB47BB" w:rsidRDefault="00EB47BB" w:rsidP="00EB47BB">
            <w:pPr>
              <w:rPr>
                <w:lang w:val="en-US"/>
              </w:rPr>
            </w:pPr>
            <w:r>
              <w:rPr>
                <w:lang w:val="en-US"/>
              </w:rPr>
              <w:t>Knowledge Capture</w:t>
            </w:r>
          </w:p>
        </w:tc>
        <w:tc>
          <w:tcPr>
            <w:tcW w:w="1842" w:type="dxa"/>
          </w:tcPr>
          <w:p w14:paraId="40E98CA6" w14:textId="48B9B0B8" w:rsidR="00EB47BB" w:rsidRPr="00183B23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NESP funding</w:t>
            </w:r>
          </w:p>
        </w:tc>
        <w:tc>
          <w:tcPr>
            <w:tcW w:w="1738" w:type="dxa"/>
          </w:tcPr>
          <w:p w14:paraId="5AC594A5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68E45DB3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1BEB7B1D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33DECE45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059BF287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4AB3E721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72B6BEC4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67C166FA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019875BE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B47BB" w14:paraId="3B030487" w14:textId="77777777" w:rsidTr="00EB47B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1D3C34D" w14:textId="77777777" w:rsidR="00EB47BB" w:rsidRDefault="00EB47BB" w:rsidP="00EB47BB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63F8581B" w14:textId="16BD6035" w:rsidR="00EB47BB" w:rsidRPr="00183B23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Cash contributions</w:t>
            </w:r>
          </w:p>
        </w:tc>
        <w:tc>
          <w:tcPr>
            <w:tcW w:w="1738" w:type="dxa"/>
          </w:tcPr>
          <w:p w14:paraId="4958FCD1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75E7C52D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578434B9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05E79446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202FE699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68AE32A7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7DDA1DE9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33BA6D67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1203E8B4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B47BB" w14:paraId="3743123C" w14:textId="77777777" w:rsidTr="00EB47B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673C328" w14:textId="77777777" w:rsidR="00EB47BB" w:rsidRDefault="00EB47BB" w:rsidP="00EB47BB">
            <w:pPr>
              <w:rPr>
                <w:lang w:val="en-US"/>
              </w:rPr>
            </w:pPr>
          </w:p>
        </w:tc>
        <w:tc>
          <w:tcPr>
            <w:tcW w:w="1842" w:type="dxa"/>
          </w:tcPr>
          <w:p w14:paraId="6212A6E7" w14:textId="7A20912A" w:rsidR="00EB47BB" w:rsidRPr="00183B23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In-kind support</w:t>
            </w:r>
          </w:p>
        </w:tc>
        <w:tc>
          <w:tcPr>
            <w:tcW w:w="1738" w:type="dxa"/>
          </w:tcPr>
          <w:p w14:paraId="0099CFCD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27C5A3D2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642A798B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4C85AF10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3F99C7A3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098C955B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714A6F11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4F93C30E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72AECEDE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B47BB" w14:paraId="413A9C24" w14:textId="7A9A44DC" w:rsidTr="00EB47B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0BC3F62" w14:textId="5BC4316B" w:rsidR="00EB47BB" w:rsidRDefault="00EB47BB" w:rsidP="00EB47BB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Research Activity One</w:t>
            </w:r>
          </w:p>
        </w:tc>
        <w:tc>
          <w:tcPr>
            <w:tcW w:w="1842" w:type="dxa"/>
          </w:tcPr>
          <w:p w14:paraId="5E9A5C79" w14:textId="72F9B1AF" w:rsidR="00EB47BB" w:rsidRPr="00183B23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183B23">
              <w:rPr>
                <w:lang w:val="en-US"/>
              </w:rPr>
              <w:t>NESP funding</w:t>
            </w:r>
          </w:p>
        </w:tc>
        <w:tc>
          <w:tcPr>
            <w:tcW w:w="1738" w:type="dxa"/>
          </w:tcPr>
          <w:p w14:paraId="1F34E5AC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10D87A9B" w14:textId="33495454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5BE44447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5F1C4BEE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5B99D821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38054EB1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3EA8BAF0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20541CB3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0B50A875" w14:textId="2535E9B9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B47BB" w14:paraId="290D70AF" w14:textId="2E8B1213" w:rsidTr="00EB47B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084F749" w14:textId="77777777" w:rsidR="00EB47BB" w:rsidRDefault="00EB47BB" w:rsidP="00EB47BB">
            <w:pPr>
              <w:rPr>
                <w:b w:val="0"/>
                <w:lang w:val="en-US"/>
              </w:rPr>
            </w:pPr>
          </w:p>
        </w:tc>
        <w:tc>
          <w:tcPr>
            <w:tcW w:w="1842" w:type="dxa"/>
          </w:tcPr>
          <w:p w14:paraId="41CB95C2" w14:textId="2A476CAB" w:rsidR="00EB47BB" w:rsidRPr="00183B23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Cash contributions</w:t>
            </w:r>
          </w:p>
        </w:tc>
        <w:tc>
          <w:tcPr>
            <w:tcW w:w="1738" w:type="dxa"/>
          </w:tcPr>
          <w:p w14:paraId="169B85AC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080F55B5" w14:textId="75B0B1A2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4F57BE58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742E2725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29A0B1A0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14CB1248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4D890EC0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1BCFD2D0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28411C26" w14:textId="51B159D3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B47BB" w14:paraId="6F43DB2E" w14:textId="74D5931B" w:rsidTr="00EB47B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A8B508" w14:textId="77777777" w:rsidR="00EB47BB" w:rsidRDefault="00EB47BB" w:rsidP="00EB47BB">
            <w:pPr>
              <w:rPr>
                <w:b w:val="0"/>
                <w:lang w:val="en-US"/>
              </w:rPr>
            </w:pPr>
          </w:p>
        </w:tc>
        <w:tc>
          <w:tcPr>
            <w:tcW w:w="1842" w:type="dxa"/>
          </w:tcPr>
          <w:p w14:paraId="57F1B521" w14:textId="3A7A8997" w:rsidR="00EB47BB" w:rsidRPr="00183B23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In-kind support</w:t>
            </w:r>
          </w:p>
        </w:tc>
        <w:tc>
          <w:tcPr>
            <w:tcW w:w="1738" w:type="dxa"/>
          </w:tcPr>
          <w:p w14:paraId="11549990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7A35A402" w14:textId="777652D4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76E1D217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5045B5D0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1D5CD756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0DBDD1DE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4628DA09" w14:textId="6640969F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06047FD8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4079624D" w14:textId="6ACAED75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B47BB" w14:paraId="39667129" w14:textId="77777777" w:rsidTr="00EB47B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3DFDFE" w14:textId="15AF86B6" w:rsidR="00EB47BB" w:rsidRDefault="00EB47BB" w:rsidP="00EB47BB">
            <w:pPr>
              <w:rPr>
                <w:b w:val="0"/>
                <w:lang w:val="en-US"/>
              </w:rPr>
            </w:pPr>
            <w:r>
              <w:rPr>
                <w:lang w:val="en-US"/>
              </w:rPr>
              <w:t>Research Activity Two etc.</w:t>
            </w:r>
          </w:p>
        </w:tc>
        <w:tc>
          <w:tcPr>
            <w:tcW w:w="1842" w:type="dxa"/>
          </w:tcPr>
          <w:p w14:paraId="2245DA4F" w14:textId="498BEA1A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NESP funding</w:t>
            </w:r>
          </w:p>
        </w:tc>
        <w:tc>
          <w:tcPr>
            <w:tcW w:w="1738" w:type="dxa"/>
          </w:tcPr>
          <w:p w14:paraId="24FD2C8B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6CD4C4CA" w14:textId="1D496D92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398E6D26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27FE16B5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59B9F7AB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4E5F33C3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3551951C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3FA1F3B3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15D221C6" w14:textId="72519A86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B47BB" w14:paraId="79B3711E" w14:textId="77777777" w:rsidTr="00EB47B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979C3F7" w14:textId="77777777" w:rsidR="00EB47BB" w:rsidRDefault="00EB47BB" w:rsidP="00EB47BB">
            <w:pPr>
              <w:rPr>
                <w:b w:val="0"/>
                <w:lang w:val="en-US"/>
              </w:rPr>
            </w:pPr>
          </w:p>
        </w:tc>
        <w:tc>
          <w:tcPr>
            <w:tcW w:w="1842" w:type="dxa"/>
          </w:tcPr>
          <w:p w14:paraId="4F5FDF94" w14:textId="17A0BDFE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Cash contributions</w:t>
            </w:r>
          </w:p>
        </w:tc>
        <w:tc>
          <w:tcPr>
            <w:tcW w:w="1738" w:type="dxa"/>
          </w:tcPr>
          <w:p w14:paraId="2CABA3AB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2C110C8E" w14:textId="639A2C8A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251B6A9F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27D610BB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5A4CADE6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4AB833D6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17A96612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2415CCF3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58BD8566" w14:textId="0FF42400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B47BB" w14:paraId="2F040B31" w14:textId="77777777" w:rsidTr="00EB47B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1C6D361" w14:textId="77777777" w:rsidR="00EB47BB" w:rsidRDefault="00EB47BB" w:rsidP="00EB47BB">
            <w:pPr>
              <w:rPr>
                <w:b w:val="0"/>
                <w:lang w:val="en-US"/>
              </w:rPr>
            </w:pPr>
          </w:p>
        </w:tc>
        <w:tc>
          <w:tcPr>
            <w:tcW w:w="1842" w:type="dxa"/>
          </w:tcPr>
          <w:p w14:paraId="03A7F8FF" w14:textId="0CA564E3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In-kind support</w:t>
            </w:r>
          </w:p>
        </w:tc>
        <w:tc>
          <w:tcPr>
            <w:tcW w:w="1738" w:type="dxa"/>
          </w:tcPr>
          <w:p w14:paraId="61D81911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5E08106C" w14:textId="19F4DD3C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766AEB81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7ED99FC2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7DD2C4E4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19D862EE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1D5800EE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598168FA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54287457" w14:textId="20C24FF0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  <w:tr w:rsidR="00EB47BB" w14:paraId="08A56517" w14:textId="77777777" w:rsidTr="00EB47BB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4B09AF4" w14:textId="4A4F708B" w:rsidR="00EB47BB" w:rsidRPr="00E76B67" w:rsidRDefault="00EB47BB" w:rsidP="00EB47BB">
            <w:pPr>
              <w:rPr>
                <w:lang w:val="en-US"/>
              </w:rPr>
            </w:pPr>
            <w:r w:rsidRPr="00E76B67">
              <w:rPr>
                <w:lang w:val="en-US"/>
              </w:rPr>
              <w:t>Total</w:t>
            </w:r>
            <w:r>
              <w:rPr>
                <w:lang w:val="en-US"/>
              </w:rPr>
              <w:t xml:space="preserve"> (excluding GST)</w:t>
            </w:r>
          </w:p>
        </w:tc>
        <w:tc>
          <w:tcPr>
            <w:tcW w:w="1842" w:type="dxa"/>
          </w:tcPr>
          <w:p w14:paraId="7635452D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738" w:type="dxa"/>
          </w:tcPr>
          <w:p w14:paraId="07539082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74ABB493" w14:textId="5622924E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7A3B5486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2" w:type="dxa"/>
          </w:tcPr>
          <w:p w14:paraId="512692E3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4FDDF232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10A138F1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141221B0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22C03535" w14:textId="77777777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  <w:tc>
          <w:tcPr>
            <w:tcW w:w="1903" w:type="dxa"/>
          </w:tcPr>
          <w:p w14:paraId="16A30FE4" w14:textId="44022E8A" w:rsidR="00EB47BB" w:rsidRDefault="00EB47BB" w:rsidP="00EB47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</w:p>
        </w:tc>
      </w:tr>
    </w:tbl>
    <w:p w14:paraId="2112D7E0" w14:textId="77777777" w:rsidR="006B6BE3" w:rsidRPr="00880907" w:rsidRDefault="006B6BE3">
      <w:pPr>
        <w:rPr>
          <w:b/>
          <w:lang w:val="en-US"/>
        </w:rPr>
      </w:pPr>
    </w:p>
    <w:sectPr w:rsidR="006B6BE3" w:rsidRPr="00880907" w:rsidSect="00183B23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B9"/>
    <w:multiLevelType w:val="multilevel"/>
    <w:tmpl w:val="E5E89F92"/>
    <w:styleLink w:val="BulletList"/>
    <w:lvl w:ilvl="0">
      <w:start w:val="1"/>
      <w:numFmt w:val="bullet"/>
      <w:pStyle w:val="ListBullet"/>
      <w:lvlText w:val=""/>
      <w:lvlJc w:val="left"/>
      <w:pPr>
        <w:ind w:left="369" w:hanging="369"/>
      </w:pPr>
      <w:rPr>
        <w:rFonts w:ascii="Symbol" w:hAnsi="Symbol" w:hint="default"/>
      </w:rPr>
    </w:lvl>
    <w:lvl w:ilvl="1">
      <w:start w:val="1"/>
      <w:numFmt w:val="none"/>
      <w:pStyle w:val="ListBullet2"/>
      <w:lvlText w:val="-"/>
      <w:lvlJc w:val="left"/>
      <w:pPr>
        <w:ind w:left="737" w:hanging="368"/>
      </w:pPr>
      <w:rPr>
        <w:rFonts w:hint="default"/>
      </w:rPr>
    </w:lvl>
    <w:lvl w:ilvl="2">
      <w:start w:val="1"/>
      <w:numFmt w:val="none"/>
      <w:pStyle w:val="ListBullet3"/>
      <w:lvlText w:val=":"/>
      <w:lvlJc w:val="left"/>
      <w:pPr>
        <w:ind w:left="1106" w:hanging="369"/>
      </w:pPr>
      <w:rPr>
        <w:rFonts w:hint="default"/>
      </w:rPr>
    </w:lvl>
    <w:lvl w:ilvl="3">
      <w:start w:val="1"/>
      <w:numFmt w:val="none"/>
      <w:pStyle w:val="ListBullet4"/>
      <w:lvlText w:val=""/>
      <w:lvlJc w:val="left"/>
      <w:pPr>
        <w:ind w:left="1474" w:hanging="368"/>
      </w:pPr>
      <w:rPr>
        <w:rFonts w:hint="default"/>
        <w:color w:val="auto"/>
      </w:rPr>
    </w:lvl>
    <w:lvl w:ilvl="4">
      <w:start w:val="1"/>
      <w:numFmt w:val="none"/>
      <w:pStyle w:val="ListBullet5"/>
      <w:lvlText w:val=""/>
      <w:lvlJc w:val="left"/>
      <w:pPr>
        <w:ind w:left="1800" w:hanging="36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  <w:color w:val="auto"/>
      </w:rPr>
    </w:lvl>
  </w:abstractNum>
  <w:abstractNum w:abstractNumId="1" w15:restartNumberingAfterBreak="0">
    <w:nsid w:val="1A794430"/>
    <w:multiLevelType w:val="hybridMultilevel"/>
    <w:tmpl w:val="60CE4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36"/>
    <w:rsid w:val="000001DF"/>
    <w:rsid w:val="00001709"/>
    <w:rsid w:val="000053DF"/>
    <w:rsid w:val="00065F73"/>
    <w:rsid w:val="000732A8"/>
    <w:rsid w:val="000D11E5"/>
    <w:rsid w:val="00115E8F"/>
    <w:rsid w:val="00122F21"/>
    <w:rsid w:val="00136EFA"/>
    <w:rsid w:val="00141E42"/>
    <w:rsid w:val="00144B59"/>
    <w:rsid w:val="00175C04"/>
    <w:rsid w:val="00183B23"/>
    <w:rsid w:val="001A428F"/>
    <w:rsid w:val="001C161B"/>
    <w:rsid w:val="001C7230"/>
    <w:rsid w:val="001D49A6"/>
    <w:rsid w:val="001F65B2"/>
    <w:rsid w:val="00217AA7"/>
    <w:rsid w:val="00226B88"/>
    <w:rsid w:val="00265896"/>
    <w:rsid w:val="002778BD"/>
    <w:rsid w:val="00283FA3"/>
    <w:rsid w:val="002A0CAA"/>
    <w:rsid w:val="003025C3"/>
    <w:rsid w:val="003217B1"/>
    <w:rsid w:val="003351DE"/>
    <w:rsid w:val="00367E3A"/>
    <w:rsid w:val="00370C1E"/>
    <w:rsid w:val="00381016"/>
    <w:rsid w:val="00382054"/>
    <w:rsid w:val="00397E35"/>
    <w:rsid w:val="003B481F"/>
    <w:rsid w:val="003E31D2"/>
    <w:rsid w:val="003E602A"/>
    <w:rsid w:val="003E79C4"/>
    <w:rsid w:val="003F453E"/>
    <w:rsid w:val="004117F8"/>
    <w:rsid w:val="00430CB3"/>
    <w:rsid w:val="0043602D"/>
    <w:rsid w:val="00444403"/>
    <w:rsid w:val="004824EC"/>
    <w:rsid w:val="004C695E"/>
    <w:rsid w:val="004F194B"/>
    <w:rsid w:val="0050071A"/>
    <w:rsid w:val="005030B3"/>
    <w:rsid w:val="0050673E"/>
    <w:rsid w:val="00510162"/>
    <w:rsid w:val="005256C6"/>
    <w:rsid w:val="005530A0"/>
    <w:rsid w:val="00556BB6"/>
    <w:rsid w:val="00556F46"/>
    <w:rsid w:val="00572CF6"/>
    <w:rsid w:val="00575BFE"/>
    <w:rsid w:val="00582C78"/>
    <w:rsid w:val="00587F9E"/>
    <w:rsid w:val="005D467A"/>
    <w:rsid w:val="005F375D"/>
    <w:rsid w:val="0062520A"/>
    <w:rsid w:val="00631758"/>
    <w:rsid w:val="0063198F"/>
    <w:rsid w:val="006515F8"/>
    <w:rsid w:val="00655ACD"/>
    <w:rsid w:val="00664AD6"/>
    <w:rsid w:val="00665C92"/>
    <w:rsid w:val="00691412"/>
    <w:rsid w:val="006A3101"/>
    <w:rsid w:val="006B6BE3"/>
    <w:rsid w:val="00730690"/>
    <w:rsid w:val="007422F4"/>
    <w:rsid w:val="007434C4"/>
    <w:rsid w:val="00746825"/>
    <w:rsid w:val="007659C6"/>
    <w:rsid w:val="0076736A"/>
    <w:rsid w:val="007774C5"/>
    <w:rsid w:val="0079129C"/>
    <w:rsid w:val="00795AA7"/>
    <w:rsid w:val="007C3B76"/>
    <w:rsid w:val="00812454"/>
    <w:rsid w:val="008132DF"/>
    <w:rsid w:val="00813C2D"/>
    <w:rsid w:val="00820453"/>
    <w:rsid w:val="00835DBF"/>
    <w:rsid w:val="008448AB"/>
    <w:rsid w:val="00865379"/>
    <w:rsid w:val="00880907"/>
    <w:rsid w:val="00880D34"/>
    <w:rsid w:val="00884B97"/>
    <w:rsid w:val="00892844"/>
    <w:rsid w:val="008F22B8"/>
    <w:rsid w:val="008F6842"/>
    <w:rsid w:val="00903953"/>
    <w:rsid w:val="00912339"/>
    <w:rsid w:val="00937D09"/>
    <w:rsid w:val="00941F71"/>
    <w:rsid w:val="00942437"/>
    <w:rsid w:val="0094353F"/>
    <w:rsid w:val="00993430"/>
    <w:rsid w:val="009A7DD0"/>
    <w:rsid w:val="009B1F21"/>
    <w:rsid w:val="00A15207"/>
    <w:rsid w:val="00A44480"/>
    <w:rsid w:val="00A840F9"/>
    <w:rsid w:val="00A91697"/>
    <w:rsid w:val="00A95BA1"/>
    <w:rsid w:val="00A95E5C"/>
    <w:rsid w:val="00AA22C5"/>
    <w:rsid w:val="00AA36D9"/>
    <w:rsid w:val="00AF67F0"/>
    <w:rsid w:val="00B06207"/>
    <w:rsid w:val="00B31BE0"/>
    <w:rsid w:val="00B32224"/>
    <w:rsid w:val="00B36E59"/>
    <w:rsid w:val="00B56D6A"/>
    <w:rsid w:val="00B63456"/>
    <w:rsid w:val="00B9583A"/>
    <w:rsid w:val="00BC3B88"/>
    <w:rsid w:val="00BD2E49"/>
    <w:rsid w:val="00BF7C29"/>
    <w:rsid w:val="00C11A36"/>
    <w:rsid w:val="00C21351"/>
    <w:rsid w:val="00C23636"/>
    <w:rsid w:val="00C52C6C"/>
    <w:rsid w:val="00C64AE4"/>
    <w:rsid w:val="00C97226"/>
    <w:rsid w:val="00CA3341"/>
    <w:rsid w:val="00CA739E"/>
    <w:rsid w:val="00CB5B80"/>
    <w:rsid w:val="00CD62F4"/>
    <w:rsid w:val="00CD796B"/>
    <w:rsid w:val="00CE5D04"/>
    <w:rsid w:val="00CF0AA3"/>
    <w:rsid w:val="00D00561"/>
    <w:rsid w:val="00D12651"/>
    <w:rsid w:val="00D679A9"/>
    <w:rsid w:val="00D76EA6"/>
    <w:rsid w:val="00D87E72"/>
    <w:rsid w:val="00D97FC6"/>
    <w:rsid w:val="00DA6A1B"/>
    <w:rsid w:val="00DB337B"/>
    <w:rsid w:val="00DB76A8"/>
    <w:rsid w:val="00DC4CCE"/>
    <w:rsid w:val="00E2298A"/>
    <w:rsid w:val="00E3705C"/>
    <w:rsid w:val="00E52ECD"/>
    <w:rsid w:val="00E66C76"/>
    <w:rsid w:val="00E75D26"/>
    <w:rsid w:val="00E76B67"/>
    <w:rsid w:val="00E85ADF"/>
    <w:rsid w:val="00E96B6C"/>
    <w:rsid w:val="00EB47BB"/>
    <w:rsid w:val="00EC06D5"/>
    <w:rsid w:val="00EC4E11"/>
    <w:rsid w:val="00EF39E8"/>
    <w:rsid w:val="00F02B66"/>
    <w:rsid w:val="00F24508"/>
    <w:rsid w:val="00F2714A"/>
    <w:rsid w:val="00F320C0"/>
    <w:rsid w:val="00F376EC"/>
    <w:rsid w:val="00F46666"/>
    <w:rsid w:val="00F936DC"/>
    <w:rsid w:val="00FA5E64"/>
    <w:rsid w:val="00FB7092"/>
    <w:rsid w:val="00FE0111"/>
    <w:rsid w:val="00FE209B"/>
    <w:rsid w:val="00FE7B7E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6F255"/>
  <w15:chartTrackingRefBased/>
  <w15:docId w15:val="{8F614942-D853-4811-8EBD-EF1AE9BC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List">
    <w:name w:val="Bullet List"/>
    <w:uiPriority w:val="99"/>
    <w:rsid w:val="00DB337B"/>
    <w:pPr>
      <w:numPr>
        <w:numId w:val="1"/>
      </w:numPr>
    </w:pPr>
  </w:style>
  <w:style w:type="paragraph" w:styleId="ListBullet">
    <w:name w:val="List Bullet"/>
    <w:basedOn w:val="Normal"/>
    <w:uiPriority w:val="99"/>
    <w:unhideWhenUsed/>
    <w:qFormat/>
    <w:rsid w:val="00DB337B"/>
    <w:pPr>
      <w:numPr>
        <w:numId w:val="1"/>
      </w:numPr>
      <w:spacing w:after="200" w:line="276" w:lineRule="auto"/>
    </w:pPr>
    <w:rPr>
      <w:rFonts w:ascii="Arial" w:eastAsia="Calibri" w:hAnsi="Arial" w:cs="Times New Roman"/>
    </w:rPr>
  </w:style>
  <w:style w:type="paragraph" w:styleId="ListBullet2">
    <w:name w:val="List Bullet 2"/>
    <w:basedOn w:val="Normal"/>
    <w:uiPriority w:val="99"/>
    <w:unhideWhenUsed/>
    <w:rsid w:val="00DB337B"/>
    <w:pPr>
      <w:numPr>
        <w:ilvl w:val="1"/>
        <w:numId w:val="1"/>
      </w:numPr>
      <w:spacing w:after="200" w:line="276" w:lineRule="auto"/>
    </w:pPr>
    <w:rPr>
      <w:rFonts w:ascii="Arial" w:eastAsia="Calibri" w:hAnsi="Arial" w:cs="Times New Roman"/>
    </w:rPr>
  </w:style>
  <w:style w:type="paragraph" w:styleId="ListBullet3">
    <w:name w:val="List Bullet 3"/>
    <w:basedOn w:val="Normal"/>
    <w:uiPriority w:val="99"/>
    <w:unhideWhenUsed/>
    <w:rsid w:val="00DB337B"/>
    <w:pPr>
      <w:numPr>
        <w:ilvl w:val="2"/>
        <w:numId w:val="1"/>
      </w:numPr>
      <w:spacing w:after="200" w:line="276" w:lineRule="auto"/>
    </w:pPr>
    <w:rPr>
      <w:rFonts w:ascii="Arial" w:eastAsia="Calibri" w:hAnsi="Arial" w:cs="Times New Roman"/>
    </w:rPr>
  </w:style>
  <w:style w:type="paragraph" w:styleId="ListBullet4">
    <w:name w:val="List Bullet 4"/>
    <w:basedOn w:val="Normal"/>
    <w:uiPriority w:val="99"/>
    <w:unhideWhenUsed/>
    <w:rsid w:val="00DB337B"/>
    <w:pPr>
      <w:numPr>
        <w:ilvl w:val="3"/>
        <w:numId w:val="1"/>
      </w:numPr>
      <w:spacing w:after="200" w:line="276" w:lineRule="auto"/>
    </w:pPr>
    <w:rPr>
      <w:rFonts w:ascii="Arial" w:eastAsia="Calibri" w:hAnsi="Arial" w:cs="Times New Roman"/>
    </w:rPr>
  </w:style>
  <w:style w:type="paragraph" w:styleId="ListBullet5">
    <w:name w:val="List Bullet 5"/>
    <w:basedOn w:val="Normal"/>
    <w:uiPriority w:val="99"/>
    <w:unhideWhenUsed/>
    <w:rsid w:val="00DB337B"/>
    <w:pPr>
      <w:numPr>
        <w:ilvl w:val="4"/>
        <w:numId w:val="1"/>
      </w:numPr>
      <w:spacing w:after="200" w:line="276" w:lineRule="auto"/>
    </w:pPr>
    <w:rPr>
      <w:rFonts w:ascii="Arial" w:eastAsia="Calibri" w:hAnsi="Arial" w:cs="Times New Roman"/>
    </w:rPr>
  </w:style>
  <w:style w:type="table" w:styleId="TableGrid">
    <w:name w:val="Table Grid"/>
    <w:basedOn w:val="TableNormal"/>
    <w:uiPriority w:val="39"/>
    <w:rsid w:val="006B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CA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4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4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4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4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4B97"/>
    <w:rPr>
      <w:b/>
      <w:bCs/>
      <w:sz w:val="20"/>
      <w:szCs w:val="20"/>
    </w:rPr>
  </w:style>
  <w:style w:type="table" w:styleId="GridTable1Light">
    <w:name w:val="Grid Table 1 Light"/>
    <w:basedOn w:val="TableNormal"/>
    <w:uiPriority w:val="46"/>
    <w:rsid w:val="009424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C1A5E8FA94C45BD8854242B1F2607" ma:contentTypeVersion="10" ma:contentTypeDescription="Create a new document." ma:contentTypeScope="" ma:versionID="c99d5b77abaefd37f8d569802fcc61f1">
  <xsd:schema xmlns:xsd="http://www.w3.org/2001/XMLSchema" xmlns:xs="http://www.w3.org/2001/XMLSchema" xmlns:p="http://schemas.microsoft.com/office/2006/metadata/properties" xmlns:ns3="b41801a7-c7e8-4fd6-a812-04d8290e3b11" targetNamespace="http://schemas.microsoft.com/office/2006/metadata/properties" ma:root="true" ma:fieldsID="9c863609cd12cff15a51389b3985d1aa" ns3:_="">
    <xsd:import namespace="b41801a7-c7e8-4fd6-a812-04d8290e3b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801a7-c7e8-4fd6-a812-04d8290e3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83757-3710-4760-95A6-D7E7D6CAE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801a7-c7e8-4fd6-a812-04d8290e3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7D8C2-8291-479D-A475-FBA9650C3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711DF-AA9A-43B4-AF4D-D663DC4785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3DC398-CEDF-40ED-BAB3-24468A07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Selection criteria attachment_high level research vision</vt:lpstr>
    </vt:vector>
  </TitlesOfParts>
  <Company>The Department of the Environment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Selection criteria attachment_high level research vision</dc:title>
  <dc:subject/>
  <dc:creator>Laura Perrott</dc:creator>
  <cp:keywords/>
  <dc:description/>
  <cp:lastModifiedBy>REIMER, Karen</cp:lastModifiedBy>
  <cp:revision>4</cp:revision>
  <dcterms:created xsi:type="dcterms:W3CDTF">2020-06-16T00:15:00Z</dcterms:created>
  <dcterms:modified xsi:type="dcterms:W3CDTF">2020-06-16T00:31:00Z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0x010100B67C1A5E8FA94C45BD8854242B1F2607</vt:lpwstr>
  </property>
  <property fmtid="{D5CDD505-2E9C-101B-9397-08002B2CF9AE}" pid="3" name="RecordPoint_ActiveItemUniqueId">
    <vt:lpwstr>{b915068f-b57c-430f-97a7-4f3300b16774}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{8b6ba6e4-7791-4805-97f8-71b2264b8da8}</vt:lpwstr>
  </property>
  <property fmtid="{D5CDD505-2E9C-101B-9397-08002B2CF9AE}" pid="6" name="RecordPoint_ActiveItemListId">
    <vt:lpwstr>{71749eab-04d7-44c7-b4c1-a3b20bf370f1}</vt:lpwstr>
  </property>
  <property fmtid="{D5CDD505-2E9C-101B-9397-08002B2CF9AE}" pid="7" name="RecordPoint_ActiveItemWebId">
    <vt:lpwstr>{aedcb315-dd52-4016-9f90-ca5fd6e66317}</vt:lpwstr>
  </property>
  <property fmtid="{D5CDD505-2E9C-101B-9397-08002B2CF9AE}" pid="8" name="RecordPoint_RecordNumberSubmitted">
    <vt:lpwstr>003184002</vt:lpwstr>
  </property>
  <property fmtid="{D5CDD505-2E9C-101B-9397-08002B2CF9AE}" pid="9" name="RecordPoint_SubmissionCompleted">
    <vt:lpwstr>2020-02-21T12:47:14.2936235+11:00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</Properties>
</file>