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77D715CB">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726C550F" w14:textId="77777777" w:rsidR="00227C34" w:rsidRPr="00815629" w:rsidRDefault="00227C34" w:rsidP="00227C34">
      <w:pPr>
        <w:spacing w:line="240" w:lineRule="auto"/>
        <w:jc w:val="center"/>
        <w:rPr>
          <w:rFonts w:ascii="Arial" w:hAnsi="Arial" w:cs="Arial"/>
          <w:sz w:val="52"/>
          <w:szCs w:val="52"/>
        </w:rPr>
      </w:pPr>
      <w:r>
        <w:rPr>
          <w:rFonts w:ascii="Arial" w:hAnsi="Arial" w:cs="Arial"/>
          <w:sz w:val="52"/>
          <w:szCs w:val="52"/>
        </w:rPr>
        <w:t>Department of Social Services</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78AA4ACD" w:rsidR="007C636F" w:rsidRPr="00E60184" w:rsidRDefault="007C636F" w:rsidP="007C636F">
      <w:pPr>
        <w:spacing w:line="240" w:lineRule="auto"/>
        <w:jc w:val="center"/>
        <w:rPr>
          <w:rFonts w:ascii="Arial" w:hAnsi="Arial" w:cs="Arial"/>
          <w:sz w:val="52"/>
          <w:szCs w:val="52"/>
        </w:rPr>
      </w:pPr>
      <w:r w:rsidRPr="0043361F">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313B39D" w14:textId="5B108C15" w:rsidR="002B4099" w:rsidRDefault="002B4099">
      <w:pPr>
        <w:spacing w:after="0" w:line="240" w:lineRule="auto"/>
        <w:rPr>
          <w:rFonts w:ascii="Arial" w:hAnsi="Arial" w:cs="Arial"/>
        </w:rPr>
      </w:pPr>
    </w:p>
    <w:p w14:paraId="795F9317" w14:textId="77777777" w:rsidR="002B4099" w:rsidRPr="002B4099" w:rsidRDefault="002B4099" w:rsidP="002B4099">
      <w:pPr>
        <w:rPr>
          <w:rFonts w:ascii="Arial" w:hAnsi="Arial" w:cs="Arial"/>
        </w:rPr>
      </w:pPr>
    </w:p>
    <w:p w14:paraId="65EA3F1D" w14:textId="77777777" w:rsidR="002B4099" w:rsidRPr="002B4099" w:rsidRDefault="002B4099" w:rsidP="002B4099">
      <w:pPr>
        <w:rPr>
          <w:rFonts w:ascii="Arial" w:hAnsi="Arial" w:cs="Arial"/>
        </w:rPr>
      </w:pPr>
    </w:p>
    <w:p w14:paraId="7687DAC6" w14:textId="77777777" w:rsidR="002B4099" w:rsidRPr="002B4099" w:rsidRDefault="002B4099" w:rsidP="002B4099">
      <w:pPr>
        <w:rPr>
          <w:rFonts w:ascii="Arial" w:hAnsi="Arial" w:cs="Arial"/>
        </w:rPr>
      </w:pPr>
    </w:p>
    <w:p w14:paraId="50498072" w14:textId="77777777" w:rsidR="002B4099" w:rsidRPr="002B4099" w:rsidRDefault="002B4099" w:rsidP="002B4099">
      <w:pPr>
        <w:rPr>
          <w:rFonts w:ascii="Arial" w:hAnsi="Arial" w:cs="Arial"/>
        </w:rPr>
      </w:pPr>
    </w:p>
    <w:p w14:paraId="37465884" w14:textId="77777777" w:rsidR="002B4099" w:rsidRPr="002B4099" w:rsidRDefault="002B4099" w:rsidP="002B4099">
      <w:pPr>
        <w:rPr>
          <w:rFonts w:ascii="Arial" w:hAnsi="Arial" w:cs="Arial"/>
        </w:rPr>
      </w:pPr>
    </w:p>
    <w:p w14:paraId="470B615D" w14:textId="77777777" w:rsidR="002B4099" w:rsidRPr="002B4099" w:rsidRDefault="002B4099" w:rsidP="002B4099">
      <w:pPr>
        <w:rPr>
          <w:rFonts w:ascii="Arial" w:hAnsi="Arial" w:cs="Arial"/>
        </w:rPr>
      </w:pPr>
    </w:p>
    <w:p w14:paraId="7B281AF5" w14:textId="77777777" w:rsidR="002B4099" w:rsidRPr="002B4099" w:rsidRDefault="002B4099" w:rsidP="002B4099">
      <w:pPr>
        <w:rPr>
          <w:rFonts w:ascii="Arial" w:hAnsi="Arial" w:cs="Arial"/>
        </w:rPr>
      </w:pPr>
    </w:p>
    <w:p w14:paraId="544E3CF9" w14:textId="2198ABE3" w:rsidR="007B5992" w:rsidRPr="002B4099" w:rsidRDefault="002B4099" w:rsidP="00A06141">
      <w:pPr>
        <w:tabs>
          <w:tab w:val="left" w:pos="8535"/>
        </w:tabs>
        <w:rPr>
          <w:rFonts w:ascii="Arial" w:hAnsi="Arial" w:cs="Arial"/>
        </w:rPr>
        <w:sectPr w:rsidR="007B5992" w:rsidRPr="002B4099" w:rsidSect="00420D26">
          <w:headerReference w:type="even" r:id="rId9"/>
          <w:headerReference w:type="default" r:id="rId10"/>
          <w:footerReference w:type="default" r:id="rId11"/>
          <w:headerReference w:type="first" r:id="rId12"/>
          <w:footerReference w:type="first" r:id="rId13"/>
          <w:pgSz w:w="11906" w:h="16838"/>
          <w:pgMar w:top="1210" w:right="720" w:bottom="720" w:left="720" w:header="567" w:footer="283" w:gutter="0"/>
          <w:pgNumType w:start="1"/>
          <w:cols w:space="708"/>
          <w:titlePg/>
          <w:docGrid w:linePitch="360"/>
        </w:sectPr>
      </w:pPr>
      <w:r>
        <w:rPr>
          <w:rFonts w:ascii="Arial" w:hAnsi="Arial" w:cs="Arial"/>
        </w:rPr>
        <w:tab/>
      </w:r>
    </w:p>
    <w:p w14:paraId="2B535862" w14:textId="405703E2" w:rsidR="00601EFE" w:rsidRDefault="00601EFE">
      <w:pPr>
        <w:spacing w:after="0" w:line="240" w:lineRule="auto"/>
        <w:rPr>
          <w:rFonts w:ascii="Arial" w:hAnsi="Arial" w:cs="Arial"/>
        </w:rPr>
      </w:pPr>
    </w:p>
    <w:p w14:paraId="0AFFE27A" w14:textId="21ED75D9"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93D118F"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6FF92C66" w:rsidR="00EC7CB0" w:rsidRPr="007C636F" w:rsidRDefault="00EC7CB0" w:rsidP="00F53518">
            <w:pPr>
              <w:spacing w:after="0" w:line="240" w:lineRule="auto"/>
              <w:rPr>
                <w:rFonts w:ascii="Arial" w:hAnsi="Arial" w:cs="Arial"/>
                <w:sz w:val="20"/>
                <w:szCs w:val="20"/>
                <w:highlight w:val="yellow"/>
                <w:lang w:eastAsia="en-AU"/>
              </w:rPr>
            </w:pPr>
          </w:p>
        </w:tc>
      </w:tr>
      <w:tr w:rsidR="007929F6" w:rsidRPr="007C636F" w14:paraId="05F98E75" w14:textId="77777777" w:rsidTr="000E503F">
        <w:trPr>
          <w:trHeight w:val="274"/>
        </w:trPr>
        <w:tc>
          <w:tcPr>
            <w:tcW w:w="4919" w:type="dxa"/>
          </w:tcPr>
          <w:p w14:paraId="72A62406" w14:textId="469151E5" w:rsidR="007929F6" w:rsidRPr="007C636F" w:rsidRDefault="007929F6" w:rsidP="007929F6">
            <w:pPr>
              <w:spacing w:after="0" w:line="240" w:lineRule="auto"/>
              <w:rPr>
                <w:rFonts w:ascii="Arial" w:hAnsi="Arial" w:cs="Arial"/>
              </w:rPr>
            </w:pPr>
            <w:r>
              <w:rPr>
                <w:rFonts w:ascii="Arial" w:hAnsi="Arial" w:cs="Arial"/>
              </w:rPr>
              <w:t xml:space="preserve">Legal entity type </w:t>
            </w:r>
            <w:r w:rsidRPr="00304243">
              <w:rPr>
                <w:rFonts w:ascii="Arial" w:hAnsi="Arial" w:cs="Arial"/>
              </w:rPr>
              <w:t xml:space="preserve">(e.g. individual, incorporated association, company, partnership </w:t>
            </w:r>
            <w:proofErr w:type="spellStart"/>
            <w:r w:rsidRPr="00304243">
              <w:rPr>
                <w:rFonts w:ascii="Arial" w:hAnsi="Arial" w:cs="Arial"/>
              </w:rPr>
              <w:t>etc</w:t>
            </w:r>
            <w:proofErr w:type="spellEnd"/>
            <w:r w:rsidRPr="00304243">
              <w:rPr>
                <w:rFonts w:ascii="Arial" w:hAnsi="Arial" w:cs="Arial"/>
              </w:rPr>
              <w:t>)</w:t>
            </w:r>
          </w:p>
        </w:tc>
        <w:tc>
          <w:tcPr>
            <w:tcW w:w="4919" w:type="dxa"/>
          </w:tcPr>
          <w:p w14:paraId="6AC0EAB8" w14:textId="0CC45BA6" w:rsidR="007929F6" w:rsidRDefault="007929F6" w:rsidP="007929F6">
            <w:pPr>
              <w:spacing w:after="0" w:line="240" w:lineRule="auto"/>
              <w:rPr>
                <w:rFonts w:ascii="Arial" w:hAnsi="Arial" w:cs="Arial"/>
                <w:szCs w:val="20"/>
                <w:highlight w:val="cyan"/>
                <w:lang w:eastAsia="en-AU"/>
              </w:rPr>
            </w:pPr>
          </w:p>
        </w:tc>
      </w:tr>
      <w:tr w:rsidR="007929F6" w:rsidRPr="007C636F" w14:paraId="19FCBECF" w14:textId="77777777" w:rsidTr="000E503F">
        <w:trPr>
          <w:trHeight w:val="274"/>
        </w:trPr>
        <w:tc>
          <w:tcPr>
            <w:tcW w:w="4919" w:type="dxa"/>
          </w:tcPr>
          <w:p w14:paraId="7C79923B" w14:textId="77777777" w:rsidR="007929F6" w:rsidRPr="007C636F" w:rsidRDefault="007929F6" w:rsidP="007929F6">
            <w:pPr>
              <w:spacing w:after="0" w:line="240" w:lineRule="auto"/>
              <w:rPr>
                <w:rFonts w:ascii="Arial" w:hAnsi="Arial" w:cs="Arial"/>
              </w:rPr>
            </w:pPr>
            <w:r w:rsidRPr="007C636F">
              <w:rPr>
                <w:rFonts w:ascii="Arial" w:hAnsi="Arial" w:cs="Arial"/>
              </w:rPr>
              <w:t>Trading or business name</w:t>
            </w:r>
          </w:p>
        </w:tc>
        <w:tc>
          <w:tcPr>
            <w:tcW w:w="4919" w:type="dxa"/>
          </w:tcPr>
          <w:p w14:paraId="5EEBDFFC" w14:textId="7020F75E" w:rsidR="007929F6" w:rsidRPr="007C636F" w:rsidRDefault="007929F6" w:rsidP="007929F6">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48FF9F12"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38E64A3F" w:rsidR="007C636F" w:rsidRPr="007C636F" w:rsidRDefault="007C636F" w:rsidP="00463DE1">
            <w:pPr>
              <w:spacing w:after="0" w:line="240" w:lineRule="auto"/>
              <w:rPr>
                <w:rFonts w:ascii="Arial" w:hAnsi="Arial" w:cs="Arial"/>
                <w:sz w:val="20"/>
                <w:szCs w:val="20"/>
                <w:highlight w:val="yellow"/>
                <w:lang w:eastAsia="en-AU"/>
              </w:rPr>
            </w:pPr>
          </w:p>
        </w:tc>
      </w:tr>
      <w:tr w:rsidR="007929F6" w:rsidRPr="007C636F" w14:paraId="75CAB608" w14:textId="77777777" w:rsidTr="000E503F">
        <w:trPr>
          <w:trHeight w:val="274"/>
        </w:trPr>
        <w:tc>
          <w:tcPr>
            <w:tcW w:w="4919" w:type="dxa"/>
          </w:tcPr>
          <w:p w14:paraId="08842150" w14:textId="77777777" w:rsidR="007929F6" w:rsidRPr="007C636F" w:rsidRDefault="007929F6" w:rsidP="007929F6">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535F1929" w:rsidR="007929F6" w:rsidRPr="007C636F" w:rsidRDefault="007929F6" w:rsidP="007929F6">
            <w:pPr>
              <w:spacing w:after="0" w:line="240" w:lineRule="auto"/>
              <w:rPr>
                <w:rFonts w:ascii="Arial" w:hAnsi="Arial" w:cs="Arial"/>
                <w:sz w:val="20"/>
                <w:szCs w:val="20"/>
                <w:highlight w:val="yellow"/>
                <w:lang w:eastAsia="en-AU"/>
              </w:rPr>
            </w:pPr>
          </w:p>
        </w:tc>
      </w:tr>
      <w:tr w:rsidR="007929F6" w:rsidRPr="007C636F" w14:paraId="735740E9" w14:textId="77777777" w:rsidTr="000E503F">
        <w:trPr>
          <w:trHeight w:val="287"/>
        </w:trPr>
        <w:tc>
          <w:tcPr>
            <w:tcW w:w="4919" w:type="dxa"/>
          </w:tcPr>
          <w:p w14:paraId="7CB634EF" w14:textId="2D7090BF" w:rsidR="007929F6" w:rsidRPr="007C636F" w:rsidRDefault="007929F6" w:rsidP="007929F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41508421" w:rsidR="007929F6" w:rsidRPr="00A907EB" w:rsidRDefault="007929F6" w:rsidP="007929F6">
            <w:pPr>
              <w:spacing w:after="0" w:line="240" w:lineRule="auto"/>
              <w:rPr>
                <w:rFonts w:ascii="Arial" w:hAnsi="Arial" w:cs="Arial"/>
                <w:szCs w:val="20"/>
                <w:highlight w:val="cyan"/>
                <w:lang w:eastAsia="en-AU"/>
              </w:rPr>
            </w:pP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40F751A8"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3EAEA493"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42CCF1FE" w:rsidR="00DC4103" w:rsidRPr="007C636F" w:rsidRDefault="00DC4103" w:rsidP="00DC4103">
            <w:pPr>
              <w:spacing w:after="0" w:line="240" w:lineRule="auto"/>
              <w:rPr>
                <w:rFonts w:ascii="Arial" w:hAnsi="Arial" w:cs="Arial"/>
                <w:sz w:val="20"/>
                <w:szCs w:val="20"/>
                <w:highlight w:val="yellow"/>
                <w:lang w:eastAsia="en-AU"/>
              </w:rPr>
            </w:pPr>
          </w:p>
        </w:tc>
      </w:tr>
      <w:tr w:rsidR="007929F6" w:rsidRPr="007C636F" w14:paraId="74678374" w14:textId="77777777" w:rsidTr="000E503F">
        <w:trPr>
          <w:trHeight w:val="274"/>
        </w:trPr>
        <w:tc>
          <w:tcPr>
            <w:tcW w:w="4919" w:type="dxa"/>
          </w:tcPr>
          <w:p w14:paraId="3FA33427" w14:textId="77777777" w:rsidR="007929F6" w:rsidRPr="007C636F" w:rsidRDefault="007929F6" w:rsidP="007929F6">
            <w:pPr>
              <w:spacing w:after="0" w:line="240" w:lineRule="auto"/>
              <w:rPr>
                <w:rFonts w:ascii="Arial" w:hAnsi="Arial" w:cs="Arial"/>
              </w:rPr>
            </w:pPr>
            <w:r w:rsidRPr="007C636F">
              <w:rPr>
                <w:rFonts w:ascii="Arial" w:hAnsi="Arial" w:cs="Arial"/>
              </w:rPr>
              <w:t>Telephone</w:t>
            </w:r>
          </w:p>
        </w:tc>
        <w:tc>
          <w:tcPr>
            <w:tcW w:w="4919" w:type="dxa"/>
          </w:tcPr>
          <w:p w14:paraId="73147F60" w14:textId="7D6C821E" w:rsidR="007929F6" w:rsidRPr="007C636F" w:rsidRDefault="007929F6" w:rsidP="007929F6">
            <w:pPr>
              <w:spacing w:after="0" w:line="240" w:lineRule="auto"/>
              <w:rPr>
                <w:rFonts w:ascii="Arial" w:hAnsi="Arial" w:cs="Arial"/>
                <w:sz w:val="20"/>
                <w:szCs w:val="20"/>
                <w:highlight w:val="yellow"/>
                <w:lang w:eastAsia="en-AU"/>
              </w:rPr>
            </w:pPr>
          </w:p>
        </w:tc>
      </w:tr>
      <w:tr w:rsidR="007929F6" w:rsidRPr="007C636F" w14:paraId="7C0262C3" w14:textId="77777777" w:rsidTr="000E503F">
        <w:trPr>
          <w:trHeight w:val="287"/>
        </w:trPr>
        <w:tc>
          <w:tcPr>
            <w:tcW w:w="4919" w:type="dxa"/>
          </w:tcPr>
          <w:p w14:paraId="422AE377" w14:textId="77777777" w:rsidR="007929F6" w:rsidRPr="007C636F" w:rsidRDefault="007929F6" w:rsidP="007929F6">
            <w:pPr>
              <w:spacing w:after="0" w:line="240" w:lineRule="auto"/>
              <w:rPr>
                <w:rFonts w:ascii="Arial" w:hAnsi="Arial" w:cs="Arial"/>
              </w:rPr>
            </w:pPr>
            <w:r w:rsidRPr="007C636F">
              <w:rPr>
                <w:rFonts w:ascii="Arial" w:hAnsi="Arial" w:cs="Arial"/>
              </w:rPr>
              <w:t>Fax</w:t>
            </w:r>
          </w:p>
        </w:tc>
        <w:tc>
          <w:tcPr>
            <w:tcW w:w="4919" w:type="dxa"/>
          </w:tcPr>
          <w:p w14:paraId="02651C7C" w14:textId="3E1F46AD" w:rsidR="007929F6" w:rsidRPr="007C636F" w:rsidRDefault="007929F6" w:rsidP="007929F6">
            <w:pPr>
              <w:spacing w:after="0" w:line="240" w:lineRule="auto"/>
              <w:rPr>
                <w:rFonts w:ascii="Arial" w:hAnsi="Arial" w:cs="Arial"/>
                <w:sz w:val="20"/>
                <w:szCs w:val="20"/>
                <w:highlight w:val="yellow"/>
                <w:lang w:eastAsia="en-AU"/>
              </w:rPr>
            </w:pPr>
          </w:p>
        </w:tc>
      </w:tr>
      <w:tr w:rsidR="007929F6" w:rsidRPr="007C636F" w14:paraId="75806A75" w14:textId="77777777" w:rsidTr="000E503F">
        <w:trPr>
          <w:trHeight w:val="274"/>
        </w:trPr>
        <w:tc>
          <w:tcPr>
            <w:tcW w:w="4919" w:type="dxa"/>
          </w:tcPr>
          <w:p w14:paraId="0293C902" w14:textId="77777777" w:rsidR="007929F6" w:rsidRPr="007C636F" w:rsidRDefault="007929F6" w:rsidP="007929F6">
            <w:pPr>
              <w:spacing w:after="0" w:line="240" w:lineRule="auto"/>
              <w:rPr>
                <w:rFonts w:ascii="Arial" w:hAnsi="Arial" w:cs="Arial"/>
              </w:rPr>
            </w:pPr>
            <w:r w:rsidRPr="007C636F">
              <w:rPr>
                <w:rFonts w:ascii="Arial" w:hAnsi="Arial" w:cs="Arial"/>
              </w:rPr>
              <w:t>Email</w:t>
            </w:r>
          </w:p>
        </w:tc>
        <w:tc>
          <w:tcPr>
            <w:tcW w:w="4919" w:type="dxa"/>
          </w:tcPr>
          <w:p w14:paraId="7A9306FF" w14:textId="7F91C5E5" w:rsidR="007929F6" w:rsidRPr="007C636F" w:rsidRDefault="007929F6" w:rsidP="007929F6">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5A2BF42E" w14:textId="77777777" w:rsidR="0023582D" w:rsidRPr="0023582D" w:rsidRDefault="00177146" w:rsidP="0023582D">
      <w:pPr>
        <w:spacing w:before="40" w:after="0"/>
        <w:rPr>
          <w:rFonts w:ascii="Arial" w:hAnsi="Arial" w:cs="Arial"/>
        </w:rPr>
      </w:pPr>
      <w:bookmarkStart w:id="4" w:name="_Toc494986406"/>
      <w:r w:rsidRPr="00177146">
        <w:rPr>
          <w:rFonts w:ascii="Arial" w:hAnsi="Arial" w:cs="Arial"/>
        </w:rPr>
        <w:t xml:space="preserve">The Commonwealth of Australia represented by </w:t>
      </w:r>
      <w:r w:rsidR="0023582D" w:rsidRPr="0023582D">
        <w:rPr>
          <w:rFonts w:ascii="Arial" w:hAnsi="Arial" w:cs="Arial"/>
        </w:rPr>
        <w:t xml:space="preserve">Department of Social Services </w:t>
      </w:r>
      <w:r w:rsidR="0023582D" w:rsidRPr="0023582D">
        <w:rPr>
          <w:rFonts w:ascii="Arial" w:hAnsi="Arial" w:cs="Arial"/>
        </w:rPr>
        <w:br/>
      </w:r>
      <w:r w:rsidR="0023582D" w:rsidRPr="0023582D">
        <w:rPr>
          <w:rFonts w:ascii="Arial" w:eastAsia="Calibri" w:hAnsi="Arial"/>
        </w:rPr>
        <w:t xml:space="preserve">71 </w:t>
      </w:r>
      <w:proofErr w:type="spellStart"/>
      <w:r w:rsidR="0023582D" w:rsidRPr="0023582D">
        <w:rPr>
          <w:rFonts w:ascii="Arial" w:eastAsia="Calibri" w:hAnsi="Arial"/>
        </w:rPr>
        <w:t>Athllon</w:t>
      </w:r>
      <w:proofErr w:type="spellEnd"/>
      <w:r w:rsidR="0023582D" w:rsidRPr="0023582D">
        <w:rPr>
          <w:rFonts w:ascii="Arial" w:eastAsia="Calibri" w:hAnsi="Arial"/>
        </w:rPr>
        <w:t xml:space="preserve"> Drive, GREENWAY ACT 2900</w:t>
      </w:r>
      <w:r w:rsidR="0023582D" w:rsidRPr="0023582D">
        <w:rPr>
          <w:rFonts w:ascii="Arial" w:hAnsi="Arial" w:cs="Arial"/>
        </w:rPr>
        <w:br/>
        <w:t xml:space="preserve">ABN </w:t>
      </w:r>
      <w:r w:rsidR="0023582D" w:rsidRPr="0023582D">
        <w:rPr>
          <w:rFonts w:ascii="Arial" w:eastAsia="Calibri" w:hAnsi="Arial"/>
        </w:rPr>
        <w:t>36 342 015 855</w:t>
      </w:r>
    </w:p>
    <w:p w14:paraId="24556178" w14:textId="77777777" w:rsidR="0023582D" w:rsidRDefault="0023582D" w:rsidP="0023582D">
      <w:pPr>
        <w:spacing w:after="120"/>
        <w:rPr>
          <w:rFonts w:ascii="Arial" w:hAnsi="Arial" w:cs="Arial"/>
          <w:sz w:val="26"/>
          <w:szCs w:val="26"/>
        </w:rPr>
      </w:pPr>
    </w:p>
    <w:p w14:paraId="45C1F134" w14:textId="0A70CC2C" w:rsidR="00EC7CB0" w:rsidRPr="0023582D" w:rsidRDefault="00EC7CB0" w:rsidP="0023582D">
      <w:pPr>
        <w:spacing w:after="120"/>
        <w:rPr>
          <w:rFonts w:ascii="Arial" w:hAnsi="Arial" w:cs="Arial"/>
          <w:b/>
          <w:bCs/>
          <w:color w:val="365F91"/>
          <w:sz w:val="24"/>
          <w:szCs w:val="24"/>
        </w:rPr>
      </w:pPr>
      <w:r w:rsidRPr="0023582D">
        <w:rPr>
          <w:rFonts w:ascii="Arial" w:hAnsi="Arial" w:cs="Arial"/>
          <w:b/>
          <w:bCs/>
          <w:color w:val="365F91"/>
          <w:sz w:val="24"/>
          <w:szCs w:val="24"/>
        </w:rPr>
        <w:t>Background</w:t>
      </w:r>
      <w:bookmarkEnd w:id="4"/>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proofErr w:type="gramStart"/>
      <w:r w:rsidRPr="00AF2C04">
        <w:rPr>
          <w:rFonts w:ascii="Arial" w:hAnsi="Arial" w:cs="Arial"/>
        </w:rPr>
        <w:t>this</w:t>
      </w:r>
      <w:proofErr w:type="gramEnd"/>
      <w:r w:rsidRPr="00AF2C04">
        <w:rPr>
          <w:rFonts w:ascii="Arial" w:hAnsi="Arial" w:cs="Arial"/>
        </w:rPr>
        <w:t xml:space="preserve">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 xml:space="preserve">The Grantee agrees to use each Grant and undertake each Activity in accordance with this Agreement and </w:t>
      </w:r>
      <w:proofErr w:type="gramStart"/>
      <w:r w:rsidRPr="00AF2C04">
        <w:rPr>
          <w:rFonts w:ascii="Arial" w:hAnsi="Arial" w:cs="Arial"/>
        </w:rPr>
        <w:t>the</w:t>
      </w:r>
      <w:proofErr w:type="gramEnd"/>
      <w:r w:rsidRPr="00AF2C04">
        <w:rPr>
          <w:rFonts w:ascii="Arial" w:hAnsi="Arial" w:cs="Arial"/>
        </w:rPr>
        <w:t xml:space="preserv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3164EB" w:rsidRPr="00AF2C04">
        <w:rPr>
          <w:rFonts w:ascii="Arial" w:hAnsi="Arial" w:cs="Arial"/>
        </w:rPr>
        <w:t>Standard</w:t>
      </w:r>
      <w:r w:rsidRPr="00AF2C04">
        <w:rPr>
          <w:rFonts w:ascii="Arial" w:hAnsi="Arial" w:cs="Arial"/>
        </w:rPr>
        <w:t xml:space="preserve"> Grant Conditions (Schedule 1);</w:t>
      </w:r>
    </w:p>
    <w:p w14:paraId="641746C4" w14:textId="77777777" w:rsidR="00C34617"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w:t>
      </w:r>
    </w:p>
    <w:p w14:paraId="22249B8A" w14:textId="485B215E" w:rsidR="00DA5676" w:rsidRDefault="00C34617" w:rsidP="00DA5676">
      <w:pPr>
        <w:spacing w:line="240" w:lineRule="auto"/>
        <w:ind w:left="550" w:hanging="550"/>
        <w:rPr>
          <w:rFonts w:ascii="Arial" w:hAnsi="Arial" w:cs="Arial"/>
        </w:rPr>
      </w:pPr>
      <w:r>
        <w:rPr>
          <w:rFonts w:ascii="Arial" w:hAnsi="Arial" w:cs="Arial"/>
        </w:rPr>
        <w:t>(e</w:t>
      </w:r>
      <w:r w:rsidR="00DA5676">
        <w:rPr>
          <w:rFonts w:ascii="Arial" w:hAnsi="Arial" w:cs="Arial"/>
        </w:rPr>
        <w:t>)</w:t>
      </w:r>
      <w:r w:rsidR="00DA5676">
        <w:rPr>
          <w:rFonts w:ascii="Arial" w:hAnsi="Arial" w:cs="Arial"/>
        </w:rPr>
        <w:tab/>
      </w:r>
      <w:proofErr w:type="gramStart"/>
      <w:r w:rsidR="00DA5676">
        <w:rPr>
          <w:rFonts w:ascii="Arial" w:hAnsi="Arial" w:cs="Arial"/>
        </w:rPr>
        <w:t>any</w:t>
      </w:r>
      <w:proofErr w:type="gramEnd"/>
      <w:r w:rsidR="00DA5676">
        <w:rPr>
          <w:rFonts w:ascii="Arial" w:hAnsi="Arial" w:cs="Arial"/>
        </w:rPr>
        <w:t xml:space="preserve">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 xml:space="preserve">Certain information contained in or provided under this Agreement </w:t>
      </w:r>
      <w:proofErr w:type="gramStart"/>
      <w:r w:rsidRPr="00AF2C04">
        <w:rPr>
          <w:rFonts w:ascii="Arial" w:hAnsi="Arial" w:cs="Arial"/>
        </w:rPr>
        <w:t>may be used</w:t>
      </w:r>
      <w:proofErr w:type="gramEnd"/>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BC0E9C" w14:paraId="3E050283" w14:textId="77777777" w:rsidTr="00452BD6">
        <w:trPr>
          <w:tblHeader/>
        </w:trPr>
        <w:tc>
          <w:tcPr>
            <w:tcW w:w="2399" w:type="pct"/>
            <w:tcBorders>
              <w:top w:val="single" w:sz="4" w:space="0" w:color="auto"/>
              <w:left w:val="single" w:sz="4" w:space="0" w:color="auto"/>
              <w:bottom w:val="single" w:sz="4" w:space="0" w:color="auto"/>
              <w:right w:val="single" w:sz="4" w:space="0" w:color="auto"/>
            </w:tcBorders>
            <w:hideMark/>
          </w:tcPr>
          <w:p w14:paraId="2512941E" w14:textId="0E4D9CFB" w:rsidR="00BC0E9C" w:rsidRPr="00E1181E" w:rsidRDefault="00BC0E9C" w:rsidP="00BC0E9C">
            <w:pPr>
              <w:pStyle w:val="Heading1"/>
              <w:spacing w:before="60" w:after="60"/>
              <w:outlineLvl w:val="0"/>
              <w:rPr>
                <w:rFonts w:ascii="Arial" w:hAnsi="Arial" w:cs="Arial"/>
                <w:sz w:val="24"/>
              </w:rPr>
            </w:pPr>
            <w:r w:rsidRPr="00E1181E">
              <w:rPr>
                <w:rFonts w:ascii="Arial" w:hAnsi="Arial" w:cs="Arial"/>
                <w:sz w:val="24"/>
              </w:rPr>
              <w:t>Organisation ID:</w:t>
            </w:r>
          </w:p>
        </w:tc>
        <w:tc>
          <w:tcPr>
            <w:tcW w:w="2601" w:type="pct"/>
            <w:tcBorders>
              <w:top w:val="single" w:sz="4" w:space="0" w:color="auto"/>
              <w:left w:val="single" w:sz="4" w:space="0" w:color="auto"/>
              <w:bottom w:val="single" w:sz="4" w:space="0" w:color="auto"/>
              <w:right w:val="single" w:sz="4" w:space="0" w:color="auto"/>
            </w:tcBorders>
            <w:hideMark/>
          </w:tcPr>
          <w:p w14:paraId="54C8FFAA" w14:textId="26C94418" w:rsidR="00BC0E9C" w:rsidRPr="00BC0E9C" w:rsidRDefault="00BC0E9C" w:rsidP="00BC0E9C">
            <w:pPr>
              <w:pStyle w:val="Heading1"/>
              <w:spacing w:before="60" w:after="60"/>
              <w:outlineLvl w:val="0"/>
              <w:rPr>
                <w:rFonts w:ascii="Arial" w:hAnsi="Arial" w:cs="Arial"/>
                <w:b w:val="0"/>
                <w:bCs w:val="0"/>
                <w:color w:val="auto"/>
                <w:sz w:val="22"/>
                <w:szCs w:val="22"/>
              </w:rPr>
            </w:pPr>
          </w:p>
        </w:tc>
      </w:tr>
      <w:tr w:rsidR="00BC0E9C" w14:paraId="656E64D4" w14:textId="77777777" w:rsidTr="00BC0E9C">
        <w:tc>
          <w:tcPr>
            <w:tcW w:w="2399" w:type="pct"/>
            <w:tcBorders>
              <w:top w:val="single" w:sz="4" w:space="0" w:color="auto"/>
              <w:left w:val="single" w:sz="4" w:space="0" w:color="auto"/>
              <w:bottom w:val="single" w:sz="4" w:space="0" w:color="auto"/>
              <w:right w:val="single" w:sz="4" w:space="0" w:color="auto"/>
            </w:tcBorders>
            <w:hideMark/>
          </w:tcPr>
          <w:p w14:paraId="613E28B0" w14:textId="64C8AB5B" w:rsidR="00BC0E9C" w:rsidRPr="00E1181E" w:rsidRDefault="00BC0E9C" w:rsidP="00BC0E9C">
            <w:pPr>
              <w:pStyle w:val="Heading1"/>
              <w:spacing w:before="60" w:after="60"/>
              <w:outlineLvl w:val="0"/>
              <w:rPr>
                <w:rFonts w:ascii="Arial" w:hAnsi="Arial" w:cs="Arial"/>
                <w:sz w:val="24"/>
              </w:rPr>
            </w:pPr>
            <w:r w:rsidRPr="00E1181E">
              <w:rPr>
                <w:rFonts w:ascii="Arial" w:hAnsi="Arial" w:cs="Arial"/>
                <w:sz w:val="24"/>
              </w:rPr>
              <w:t>Agreement ID:</w:t>
            </w:r>
          </w:p>
        </w:tc>
        <w:tc>
          <w:tcPr>
            <w:tcW w:w="2601" w:type="pct"/>
            <w:tcBorders>
              <w:top w:val="single" w:sz="4" w:space="0" w:color="auto"/>
              <w:left w:val="single" w:sz="4" w:space="0" w:color="auto"/>
              <w:bottom w:val="single" w:sz="4" w:space="0" w:color="auto"/>
              <w:right w:val="single" w:sz="4" w:space="0" w:color="auto"/>
            </w:tcBorders>
            <w:hideMark/>
          </w:tcPr>
          <w:p w14:paraId="28ABE49F" w14:textId="1A59C3FB" w:rsidR="00BC0E9C" w:rsidRPr="00BC0E9C" w:rsidRDefault="00BC0E9C" w:rsidP="00BC0E9C">
            <w:pPr>
              <w:pStyle w:val="Heading1"/>
              <w:spacing w:before="60" w:after="60"/>
              <w:outlineLvl w:val="0"/>
              <w:rPr>
                <w:rFonts w:ascii="Arial" w:hAnsi="Arial" w:cs="Arial"/>
                <w:b w:val="0"/>
                <w:bCs w:val="0"/>
                <w:color w:val="auto"/>
                <w:sz w:val="22"/>
                <w:szCs w:val="22"/>
              </w:rPr>
            </w:pPr>
          </w:p>
        </w:tc>
      </w:tr>
      <w:tr w:rsidR="00BC0E9C" w14:paraId="3E0BC5BF" w14:textId="77777777" w:rsidTr="00BC0E9C">
        <w:tc>
          <w:tcPr>
            <w:tcW w:w="2399" w:type="pct"/>
            <w:tcBorders>
              <w:top w:val="single" w:sz="4" w:space="0" w:color="auto"/>
              <w:left w:val="single" w:sz="4" w:space="0" w:color="auto"/>
              <w:bottom w:val="single" w:sz="4" w:space="0" w:color="auto"/>
              <w:right w:val="single" w:sz="4" w:space="0" w:color="auto"/>
            </w:tcBorders>
            <w:hideMark/>
          </w:tcPr>
          <w:p w14:paraId="571EF447" w14:textId="3542DD58" w:rsidR="00BC0E9C" w:rsidRPr="00E1181E" w:rsidRDefault="00BC0E9C" w:rsidP="00BC0E9C">
            <w:pPr>
              <w:pStyle w:val="Heading1"/>
              <w:spacing w:before="60" w:after="60"/>
              <w:outlineLvl w:val="0"/>
              <w:rPr>
                <w:rFonts w:ascii="Arial" w:hAnsi="Arial" w:cs="Arial"/>
                <w:sz w:val="24"/>
              </w:rPr>
            </w:pPr>
            <w:r>
              <w:rPr>
                <w:rFonts w:ascii="Arial" w:hAnsi="Arial" w:cs="Arial"/>
                <w:sz w:val="24"/>
              </w:rPr>
              <w:t xml:space="preserve">Program </w:t>
            </w:r>
            <w:r w:rsidRPr="00E1181E">
              <w:rPr>
                <w:rFonts w:ascii="Arial" w:hAnsi="Arial" w:cs="Arial"/>
                <w:sz w:val="24"/>
              </w:rPr>
              <w:t>Schedule ID:</w:t>
            </w:r>
          </w:p>
        </w:tc>
        <w:tc>
          <w:tcPr>
            <w:tcW w:w="2601" w:type="pct"/>
            <w:tcBorders>
              <w:top w:val="single" w:sz="4" w:space="0" w:color="auto"/>
              <w:left w:val="single" w:sz="4" w:space="0" w:color="auto"/>
              <w:bottom w:val="single" w:sz="4" w:space="0" w:color="auto"/>
              <w:right w:val="single" w:sz="4" w:space="0" w:color="auto"/>
            </w:tcBorders>
            <w:hideMark/>
          </w:tcPr>
          <w:p w14:paraId="598E2AC6" w14:textId="4AED6EAA" w:rsidR="00BC0E9C" w:rsidRPr="00BC0E9C" w:rsidRDefault="00BC0E9C" w:rsidP="00BC0E9C">
            <w:pPr>
              <w:pStyle w:val="Heading1"/>
              <w:spacing w:before="60" w:after="60"/>
              <w:outlineLvl w:val="0"/>
              <w:rPr>
                <w:rFonts w:ascii="Arial" w:hAnsi="Arial" w:cs="Arial"/>
                <w:b w:val="0"/>
                <w:bCs w:val="0"/>
                <w:color w:val="auto"/>
                <w:sz w:val="22"/>
                <w:szCs w:val="22"/>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6E7CB21C"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1BF7ABC4" w14:textId="77777777" w:rsidR="0023582D" w:rsidRPr="0023582D" w:rsidRDefault="0023582D" w:rsidP="0023582D">
      <w:pPr>
        <w:rPr>
          <w:rFonts w:ascii="Arial" w:hAnsi="Arial" w:cs="Arial"/>
        </w:rPr>
      </w:pPr>
      <w:r w:rsidRPr="0023582D">
        <w:rPr>
          <w:rFonts w:ascii="Arial" w:hAnsi="Arial" w:cs="Arial"/>
        </w:rPr>
        <w:t>Strengthen relationships, support families, improve children’s wellbeing and increase the participation in community life to strengthen family and community functioning, and reduce the costs of family breakdown.</w:t>
      </w:r>
    </w:p>
    <w:p w14:paraId="1BE7EB26" w14:textId="77777777" w:rsidR="00BE5B6F" w:rsidRPr="00392B72" w:rsidRDefault="00BE5B6F" w:rsidP="00BE5B6F">
      <w:pPr>
        <w:rPr>
          <w:rFonts w:ascii="Arial" w:hAnsi="Arial" w:cs="Arial"/>
        </w:rPr>
      </w:pPr>
      <w:r w:rsidRPr="00392B72">
        <w:rPr>
          <w:rFonts w:ascii="Arial" w:hAnsi="Arial" w:cs="Arial"/>
        </w:rPr>
        <w:t xml:space="preserve">This Grant </w:t>
      </w:r>
      <w:proofErr w:type="gramStart"/>
      <w:r w:rsidRPr="00392B72">
        <w:rPr>
          <w:rFonts w:ascii="Arial" w:hAnsi="Arial" w:cs="Arial"/>
        </w:rPr>
        <w:t>is being provided</w:t>
      </w:r>
      <w:proofErr w:type="gramEnd"/>
      <w:r w:rsidRPr="00392B72">
        <w:rPr>
          <w:rFonts w:ascii="Arial" w:hAnsi="Arial" w:cs="Arial"/>
        </w:rPr>
        <w:t xml:space="preserve"> under, and these Grant Details form part of, the Agreement between the Commonwealth and the Grantee.</w:t>
      </w:r>
    </w:p>
    <w:p w14:paraId="2345A465" w14:textId="31C18B10"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w:t>
      </w:r>
      <w:proofErr w:type="gramStart"/>
      <w:r w:rsidRPr="00392B72">
        <w:rPr>
          <w:rFonts w:ascii="Arial" w:hAnsi="Arial" w:cs="Arial"/>
        </w:rPr>
        <w:t>is being provided</w:t>
      </w:r>
      <w:proofErr w:type="gramEnd"/>
      <w:r w:rsidRPr="00392B72">
        <w:rPr>
          <w:rFonts w:ascii="Arial" w:hAnsi="Arial" w:cs="Arial"/>
        </w:rPr>
        <w:t xml:space="preserve"> as part of the </w:t>
      </w:r>
      <w:r w:rsidR="0023582D" w:rsidRPr="00181CA5">
        <w:rPr>
          <w:rFonts w:ascii="Arial" w:hAnsi="Arial" w:cs="Arial"/>
        </w:rPr>
        <w:t>Families and Communities</w:t>
      </w:r>
      <w:r>
        <w:rPr>
          <w:rFonts w:ascii="Arial" w:hAnsi="Arial" w:cs="Arial"/>
        </w:rPr>
        <w:t xml:space="preserve"> program</w:t>
      </w:r>
      <w:r w:rsidRPr="00392B72">
        <w:rPr>
          <w:rFonts w:ascii="Arial" w:hAnsi="Arial" w:cs="Arial"/>
        </w:rPr>
        <w:t>.</w:t>
      </w:r>
      <w:r w:rsidR="00AC05EE">
        <w:rPr>
          <w:rFonts w:ascii="Arial" w:hAnsi="Arial" w:cs="Arial"/>
          <w:sz w:val="26"/>
          <w:szCs w:val="26"/>
          <w:highlight w:val="cyan"/>
        </w:rPr>
        <w:br w:type="page"/>
      </w:r>
    </w:p>
    <w:p w14:paraId="51C73AE9" w14:textId="62A91EF7" w:rsidR="00C00FEE" w:rsidRDefault="00C00FEE" w:rsidP="00C00FEE">
      <w:pPr>
        <w:keepNext/>
        <w:keepLines/>
        <w:spacing w:before="480" w:after="0"/>
        <w:outlineLvl w:val="0"/>
        <w:rPr>
          <w:rFonts w:ascii="Arial" w:hAnsi="Arial" w:cs="Arial"/>
          <w:b/>
          <w:bCs/>
          <w:color w:val="365F91"/>
          <w:sz w:val="26"/>
          <w:szCs w:val="26"/>
        </w:rPr>
      </w:pPr>
      <w:r w:rsidRPr="001B7B5F">
        <w:rPr>
          <w:rFonts w:ascii="Arial" w:hAnsi="Arial" w:cs="Arial"/>
          <w:b/>
          <w:bCs/>
          <w:color w:val="365F91"/>
          <w:sz w:val="26"/>
          <w:szCs w:val="26"/>
        </w:rPr>
        <w:lastRenderedPageBreak/>
        <w:t xml:space="preserve">Intercountry Adoptee and Family Support Service (ICAFSS) – </w:t>
      </w:r>
      <w:r w:rsidR="00BC0E9C" w:rsidRPr="00BC0E9C">
        <w:rPr>
          <w:rFonts w:ascii="Arial" w:hAnsi="Arial" w:cs="Arial"/>
          <w:b/>
          <w:bCs/>
          <w:color w:val="365F91"/>
          <w:sz w:val="26"/>
          <w:szCs w:val="26"/>
        </w:rPr>
        <w:t>TBC</w:t>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9" w:name="_Toc494986411"/>
      <w:bookmarkEnd w:id="8"/>
    </w:p>
    <w:p w14:paraId="3E0AB8BA" w14:textId="77777777" w:rsidR="00094BA3" w:rsidRDefault="00094BA3" w:rsidP="00094BA3">
      <w:pPr>
        <w:spacing w:before="240"/>
        <w:rPr>
          <w:rFonts w:ascii="Arial" w:hAnsi="Arial" w:cs="Arial"/>
          <w:bCs/>
        </w:rPr>
      </w:pPr>
      <w:r>
        <w:rPr>
          <w:rFonts w:ascii="Arial" w:hAnsi="Arial" w:cs="Arial"/>
          <w:bCs/>
        </w:rPr>
        <w:t>Activities delivered under the Intercountry Adoptee and Family Support Service (ICAFSS) aim to ensure the delivery of free, nation</w:t>
      </w:r>
      <w:r>
        <w:rPr>
          <w:rFonts w:ascii="Arial" w:hAnsi="Arial" w:cs="Arial"/>
          <w:bCs/>
        </w:rPr>
        <w:noBreakHyphen/>
        <w:t xml:space="preserve">wide intercountry adoption-specific support, including therapeutic care, community capacity building and a small grants and bursaries program. </w:t>
      </w:r>
    </w:p>
    <w:p w14:paraId="0D4D2F36" w14:textId="39AC9DF8" w:rsidR="001E0E8B" w:rsidRDefault="001E0E8B" w:rsidP="001E0E8B">
      <w:pPr>
        <w:rPr>
          <w:rFonts w:ascii="Arial" w:hAnsi="Arial" w:cs="Arial"/>
          <w:bCs/>
        </w:rPr>
      </w:pPr>
      <w:r>
        <w:rPr>
          <w:rFonts w:ascii="Arial" w:hAnsi="Arial" w:cs="Arial"/>
          <w:bCs/>
        </w:rPr>
        <w:t xml:space="preserve">The service must be free and accessible to young and adult adoptees, adoptive parents and families (including siblings) and prospective adoptive parents. This includes post-adoption support for adoptees and families formed by intercountry adoption, and for </w:t>
      </w:r>
      <w:r w:rsidRPr="00CB2B70">
        <w:rPr>
          <w:rFonts w:ascii="Arial" w:hAnsi="Arial" w:cs="Arial"/>
          <w:bCs/>
        </w:rPr>
        <w:t>adoptees of expatriate Australian families</w:t>
      </w:r>
      <w:r>
        <w:rPr>
          <w:rFonts w:ascii="Arial" w:hAnsi="Arial" w:cs="Arial"/>
          <w:bCs/>
        </w:rPr>
        <w:t xml:space="preserve"> formed while living overseas. The service may also support partners and children of adoptees where their need for support relates to the adoptee’s experience of intercountry adoption. </w:t>
      </w:r>
    </w:p>
    <w:p w14:paraId="6DAE6EA8" w14:textId="77777777" w:rsidR="00094BA3" w:rsidRDefault="00094BA3" w:rsidP="00094BA3">
      <w:pPr>
        <w:rPr>
          <w:rFonts w:ascii="Arial" w:hAnsi="Arial" w:cs="Arial"/>
          <w:bCs/>
        </w:rPr>
      </w:pPr>
      <w:r>
        <w:rPr>
          <w:rFonts w:ascii="Arial" w:hAnsi="Arial" w:cs="Arial"/>
          <w:bCs/>
        </w:rPr>
        <w:t xml:space="preserve">The three core activities (Therapeutic Care, Community Capacity Building and Small Grants and Bursaries Program) of ICAFSS </w:t>
      </w:r>
      <w:proofErr w:type="gramStart"/>
      <w:r>
        <w:rPr>
          <w:rFonts w:ascii="Arial" w:hAnsi="Arial" w:cs="Arial"/>
          <w:bCs/>
        </w:rPr>
        <w:t>are detailed</w:t>
      </w:r>
      <w:proofErr w:type="gramEnd"/>
      <w:r>
        <w:rPr>
          <w:rFonts w:ascii="Arial" w:hAnsi="Arial" w:cs="Arial"/>
          <w:bCs/>
        </w:rPr>
        <w:t xml:space="preserve"> below.</w:t>
      </w:r>
    </w:p>
    <w:p w14:paraId="57D81F09" w14:textId="77777777" w:rsidR="00094BA3" w:rsidRDefault="00094BA3" w:rsidP="00094BA3">
      <w:pPr>
        <w:rPr>
          <w:rFonts w:ascii="Arial" w:hAnsi="Arial" w:cs="Arial"/>
          <w:bCs/>
        </w:rPr>
      </w:pPr>
      <w:r>
        <w:rPr>
          <w:rFonts w:ascii="Arial" w:hAnsi="Arial" w:cs="Arial"/>
          <w:bCs/>
        </w:rPr>
        <w:t xml:space="preserve">Delivery of Community Capacity Building and the Small Grants and Bursaries Program is to be </w:t>
      </w:r>
      <w:proofErr w:type="gramStart"/>
      <w:r>
        <w:rPr>
          <w:rFonts w:ascii="Arial" w:hAnsi="Arial" w:cs="Arial"/>
          <w:bCs/>
        </w:rPr>
        <w:t>informed</w:t>
      </w:r>
      <w:proofErr w:type="gramEnd"/>
      <w:r>
        <w:rPr>
          <w:rFonts w:ascii="Arial" w:hAnsi="Arial" w:cs="Arial"/>
          <w:bCs/>
        </w:rPr>
        <w:t xml:space="preserve"> and guided by people with lived experience of intercountry adoption, including adoptees and adoptive parents, through a reference group or similar. This group will help to determine the primary needs in the intercountry adoption community, define and prioritise the types of activities to </w:t>
      </w:r>
      <w:proofErr w:type="gramStart"/>
      <w:r>
        <w:rPr>
          <w:rFonts w:ascii="Arial" w:hAnsi="Arial" w:cs="Arial"/>
          <w:bCs/>
        </w:rPr>
        <w:t>be funded</w:t>
      </w:r>
      <w:proofErr w:type="gramEnd"/>
      <w:r>
        <w:rPr>
          <w:rFonts w:ascii="Arial" w:hAnsi="Arial" w:cs="Arial"/>
          <w:bCs/>
        </w:rPr>
        <w:t xml:space="preserve"> and, where appropriate, engage in decision making regarding the allocation of small grants or bursaries.</w:t>
      </w:r>
    </w:p>
    <w:p w14:paraId="192B8DCA" w14:textId="77777777" w:rsidR="00094BA3" w:rsidRDefault="00094BA3" w:rsidP="00094BA3">
      <w:pPr>
        <w:spacing w:before="240"/>
        <w:rPr>
          <w:rFonts w:ascii="Arial" w:hAnsi="Arial" w:cs="Arial"/>
          <w:b/>
          <w:bCs/>
        </w:rPr>
      </w:pPr>
      <w:r>
        <w:rPr>
          <w:rFonts w:ascii="Arial" w:hAnsi="Arial" w:cs="Arial"/>
          <w:b/>
          <w:bCs/>
        </w:rPr>
        <w:t>Therapeutic Care</w:t>
      </w:r>
    </w:p>
    <w:p w14:paraId="36EB38FA" w14:textId="77777777" w:rsidR="00094BA3" w:rsidRDefault="00094BA3" w:rsidP="00094BA3">
      <w:pPr>
        <w:spacing w:before="120"/>
        <w:rPr>
          <w:rFonts w:ascii="Arial" w:hAnsi="Arial" w:cs="Arial"/>
          <w:bCs/>
        </w:rPr>
      </w:pPr>
      <w:r>
        <w:rPr>
          <w:rFonts w:ascii="Arial" w:hAnsi="Arial" w:cs="Arial"/>
          <w:bCs/>
        </w:rPr>
        <w:t>Therapeutic approaches must include:</w:t>
      </w:r>
    </w:p>
    <w:p w14:paraId="78F5AA4E" w14:textId="77777777" w:rsidR="00094BA3" w:rsidRDefault="00094BA3"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 xml:space="preserve">counselling </w:t>
      </w:r>
    </w:p>
    <w:p w14:paraId="03936A3A" w14:textId="77777777" w:rsidR="00094BA3" w:rsidRDefault="00094BA3"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psychoeducation</w:t>
      </w:r>
    </w:p>
    <w:p w14:paraId="495ED829" w14:textId="77777777" w:rsidR="00094BA3" w:rsidRDefault="00094BA3"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group work</w:t>
      </w:r>
    </w:p>
    <w:p w14:paraId="5697735C" w14:textId="77777777" w:rsidR="00094BA3" w:rsidRDefault="00094BA3"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 xml:space="preserve">peer or mentorship approaches </w:t>
      </w:r>
    </w:p>
    <w:p w14:paraId="0B3181CB" w14:textId="77777777" w:rsidR="00094BA3" w:rsidRDefault="00094BA3"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 xml:space="preserve">case management </w:t>
      </w:r>
    </w:p>
    <w:p w14:paraId="054CF568" w14:textId="77777777" w:rsidR="00094BA3" w:rsidRDefault="00094BA3" w:rsidP="00094BA3">
      <w:pPr>
        <w:numPr>
          <w:ilvl w:val="0"/>
          <w:numId w:val="33"/>
        </w:numPr>
        <w:spacing w:before="40" w:after="120" w:line="280" w:lineRule="atLeast"/>
        <w:ind w:left="714" w:hanging="357"/>
        <w:contextualSpacing/>
        <w:rPr>
          <w:rFonts w:ascii="Arial" w:hAnsi="Arial" w:cs="Arial"/>
          <w:bCs/>
        </w:rPr>
      </w:pPr>
      <w:proofErr w:type="gramStart"/>
      <w:r>
        <w:rPr>
          <w:rFonts w:ascii="Arial" w:hAnsi="Arial" w:cs="Arial"/>
          <w:bCs/>
        </w:rPr>
        <w:t>working</w:t>
      </w:r>
      <w:proofErr w:type="gramEnd"/>
      <w:r>
        <w:rPr>
          <w:rFonts w:ascii="Arial" w:hAnsi="Arial" w:cs="Arial"/>
          <w:bCs/>
        </w:rPr>
        <w:t xml:space="preserve"> collaboratively with other service providers to ensure that the client/s can access other supports that are not available through the ICAFSS, including through provision of a warm referral. </w:t>
      </w:r>
    </w:p>
    <w:p w14:paraId="746F5425" w14:textId="77777777" w:rsidR="00094BA3" w:rsidRDefault="00094BA3" w:rsidP="0047732A">
      <w:pPr>
        <w:spacing w:after="0"/>
        <w:rPr>
          <w:rFonts w:ascii="Arial" w:hAnsi="Arial" w:cs="Arial"/>
          <w:bCs/>
        </w:rPr>
      </w:pPr>
    </w:p>
    <w:p w14:paraId="6DFC0693" w14:textId="77777777" w:rsidR="00094BA3" w:rsidRDefault="00094BA3" w:rsidP="00094BA3">
      <w:pPr>
        <w:spacing w:after="60"/>
        <w:rPr>
          <w:rFonts w:ascii="Arial" w:hAnsi="Arial" w:cs="Arial"/>
          <w:bCs/>
        </w:rPr>
      </w:pPr>
      <w:r>
        <w:rPr>
          <w:rFonts w:ascii="Arial" w:hAnsi="Arial" w:cs="Arial"/>
          <w:bCs/>
        </w:rPr>
        <w:t xml:space="preserve">Other therapeutic approaches based on client </w:t>
      </w:r>
      <w:proofErr w:type="gramStart"/>
      <w:r>
        <w:rPr>
          <w:rFonts w:ascii="Arial" w:hAnsi="Arial" w:cs="Arial"/>
          <w:bCs/>
        </w:rPr>
        <w:t>needs can be offered</w:t>
      </w:r>
      <w:proofErr w:type="gramEnd"/>
      <w:r>
        <w:rPr>
          <w:rFonts w:ascii="Arial" w:hAnsi="Arial" w:cs="Arial"/>
          <w:bCs/>
        </w:rPr>
        <w:t xml:space="preserve">, including on a cost-recovery basis. You may also choose </w:t>
      </w:r>
      <w:proofErr w:type="gramStart"/>
      <w:r>
        <w:rPr>
          <w:rFonts w:ascii="Arial" w:hAnsi="Arial" w:cs="Arial"/>
          <w:bCs/>
        </w:rPr>
        <w:t>to financially support</w:t>
      </w:r>
      <w:proofErr w:type="gramEnd"/>
      <w:r>
        <w:rPr>
          <w:rFonts w:ascii="Arial" w:hAnsi="Arial" w:cs="Arial"/>
          <w:bCs/>
        </w:rPr>
        <w:t xml:space="preserve"> the target group to continue receiving support from their existing counsellor, if appropriate.   </w:t>
      </w:r>
    </w:p>
    <w:p w14:paraId="78952E69" w14:textId="77777777" w:rsidR="00094BA3" w:rsidRDefault="00094BA3" w:rsidP="00094BA3">
      <w:pPr>
        <w:spacing w:before="120"/>
        <w:rPr>
          <w:rFonts w:ascii="Arial" w:hAnsi="Arial" w:cs="Arial"/>
          <w:bCs/>
        </w:rPr>
      </w:pPr>
      <w:r>
        <w:rPr>
          <w:rFonts w:ascii="Arial" w:hAnsi="Arial" w:cs="Arial"/>
          <w:bCs/>
        </w:rPr>
        <w:t>The approach to therapeutic care must be:</w:t>
      </w:r>
    </w:p>
    <w:p w14:paraId="0E225979" w14:textId="25A52B3E" w:rsidR="00094BA3" w:rsidRDefault="003A5517"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n</w:t>
      </w:r>
      <w:r w:rsidR="00094BA3">
        <w:rPr>
          <w:rFonts w:ascii="Arial" w:hAnsi="Arial" w:cs="Arial"/>
          <w:bCs/>
        </w:rPr>
        <w:t>ationally accessible, including provision of outreach services, through both face-to-face and digital communication</w:t>
      </w:r>
    </w:p>
    <w:p w14:paraId="56CF3D04" w14:textId="46128910" w:rsidR="00094BA3" w:rsidRDefault="003A5517" w:rsidP="00094BA3">
      <w:pPr>
        <w:numPr>
          <w:ilvl w:val="0"/>
          <w:numId w:val="33"/>
        </w:numPr>
        <w:spacing w:before="40" w:after="120" w:line="280" w:lineRule="atLeast"/>
        <w:ind w:left="714" w:hanging="357"/>
        <w:contextualSpacing/>
        <w:rPr>
          <w:rFonts w:ascii="Arial" w:hAnsi="Arial" w:cs="Arial"/>
          <w:bCs/>
        </w:rPr>
      </w:pPr>
      <w:proofErr w:type="gramStart"/>
      <w:r>
        <w:rPr>
          <w:rFonts w:ascii="Arial" w:hAnsi="Arial" w:cs="Arial"/>
          <w:bCs/>
        </w:rPr>
        <w:t>i</w:t>
      </w:r>
      <w:r w:rsidR="00094BA3">
        <w:rPr>
          <w:rFonts w:ascii="Arial" w:hAnsi="Arial" w:cs="Arial"/>
          <w:bCs/>
        </w:rPr>
        <w:t>ntercountry</w:t>
      </w:r>
      <w:proofErr w:type="gramEnd"/>
      <w:r w:rsidR="00094BA3">
        <w:rPr>
          <w:rFonts w:ascii="Arial" w:hAnsi="Arial" w:cs="Arial"/>
          <w:bCs/>
        </w:rPr>
        <w:t xml:space="preserve"> adoption and trauma-informed.</w:t>
      </w:r>
    </w:p>
    <w:p w14:paraId="676495EC" w14:textId="6CA02C77" w:rsidR="00094BA3" w:rsidRDefault="003A5517"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a</w:t>
      </w:r>
      <w:r w:rsidR="00094BA3">
        <w:rPr>
          <w:rFonts w:ascii="Arial" w:hAnsi="Arial" w:cs="Arial"/>
          <w:bCs/>
        </w:rPr>
        <w:t>ware of challenges related to identity, grief and loss</w:t>
      </w:r>
    </w:p>
    <w:p w14:paraId="18D865EA" w14:textId="69B31AF0" w:rsidR="00094BA3" w:rsidRDefault="003A5517"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s</w:t>
      </w:r>
      <w:r w:rsidR="00094BA3">
        <w:rPr>
          <w:rFonts w:ascii="Arial" w:hAnsi="Arial" w:cs="Arial"/>
          <w:bCs/>
        </w:rPr>
        <w:t>trengths-based and culturally responsive, including understanding the impacts of racism</w:t>
      </w:r>
    </w:p>
    <w:p w14:paraId="40CA7A0E" w14:textId="224FD829" w:rsidR="00094BA3" w:rsidRDefault="003A5517"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able to c</w:t>
      </w:r>
      <w:r w:rsidR="00094BA3">
        <w:rPr>
          <w:rFonts w:ascii="Arial" w:hAnsi="Arial" w:cs="Arial"/>
          <w:bCs/>
        </w:rPr>
        <w:t>ater to adoptees and families’ different life stages, including adolescent years and adult adoptee experiences</w:t>
      </w:r>
    </w:p>
    <w:p w14:paraId="32B93FD5" w14:textId="6838DBF1" w:rsidR="00094BA3" w:rsidRDefault="003A5517"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c</w:t>
      </w:r>
      <w:r w:rsidR="00094BA3">
        <w:rPr>
          <w:rFonts w:ascii="Arial" w:hAnsi="Arial" w:cs="Arial"/>
          <w:bCs/>
        </w:rPr>
        <w:t xml:space="preserve">ompetent in working with people with physical and intellectual disabilities, recognising that intercountry adoption to Australia increasingly supports people with special needs </w:t>
      </w:r>
    </w:p>
    <w:p w14:paraId="07D29291" w14:textId="24D71BD6" w:rsidR="00094BA3" w:rsidRDefault="003A5517" w:rsidP="00094BA3">
      <w:pPr>
        <w:numPr>
          <w:ilvl w:val="0"/>
          <w:numId w:val="33"/>
        </w:numPr>
        <w:spacing w:before="40" w:after="120" w:line="280" w:lineRule="atLeast"/>
        <w:ind w:left="714" w:hanging="357"/>
        <w:contextualSpacing/>
        <w:rPr>
          <w:rFonts w:ascii="Arial" w:hAnsi="Arial" w:cs="Arial"/>
          <w:bCs/>
        </w:rPr>
      </w:pPr>
      <w:proofErr w:type="gramStart"/>
      <w:r>
        <w:rPr>
          <w:rFonts w:ascii="Arial" w:hAnsi="Arial" w:cs="Arial"/>
          <w:bCs/>
        </w:rPr>
        <w:t>e</w:t>
      </w:r>
      <w:r w:rsidR="00094BA3">
        <w:rPr>
          <w:rFonts w:ascii="Arial" w:hAnsi="Arial" w:cs="Arial"/>
          <w:bCs/>
        </w:rPr>
        <w:t>vidence-informed</w:t>
      </w:r>
      <w:proofErr w:type="gramEnd"/>
      <w:r w:rsidR="00094BA3">
        <w:rPr>
          <w:rFonts w:ascii="Arial" w:hAnsi="Arial" w:cs="Arial"/>
          <w:bCs/>
        </w:rPr>
        <w:t xml:space="preserve"> and guided by professional best practice. </w:t>
      </w:r>
    </w:p>
    <w:p w14:paraId="344D8364" w14:textId="77777777" w:rsidR="00094BA3" w:rsidRDefault="00094BA3" w:rsidP="00094BA3">
      <w:pPr>
        <w:spacing w:before="240"/>
        <w:rPr>
          <w:rFonts w:ascii="Arial" w:hAnsi="Arial" w:cs="Arial"/>
          <w:bCs/>
        </w:rPr>
      </w:pPr>
      <w:r>
        <w:rPr>
          <w:rFonts w:ascii="Arial" w:hAnsi="Arial" w:cs="Arial"/>
          <w:bCs/>
        </w:rPr>
        <w:t>The provision of therapeutic care must be able to:</w:t>
      </w:r>
    </w:p>
    <w:p w14:paraId="1CB66E72" w14:textId="314B6D6E" w:rsidR="00094BA3" w:rsidRDefault="00E413D6"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lastRenderedPageBreak/>
        <w:t>a</w:t>
      </w:r>
      <w:r w:rsidR="00094BA3">
        <w:rPr>
          <w:rFonts w:ascii="Arial" w:hAnsi="Arial" w:cs="Arial"/>
          <w:bCs/>
        </w:rPr>
        <w:t xml:space="preserve">ddress challenges commonly associated with intercountry adoption for young and adult adoptees, including personal and cultural identity, mental health, trauma, loss and grief </w:t>
      </w:r>
    </w:p>
    <w:p w14:paraId="1DB7BA19" w14:textId="5576DEFA" w:rsidR="00094BA3" w:rsidRDefault="00E413D6"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a</w:t>
      </w:r>
      <w:r w:rsidR="00094BA3">
        <w:rPr>
          <w:rFonts w:ascii="Arial" w:hAnsi="Arial" w:cs="Arial"/>
          <w:bCs/>
        </w:rPr>
        <w:t>ddress intercountry adoptive family-related challenges, including family formation, parenting difficult behaviours, family disruption and support for siblings</w:t>
      </w:r>
    </w:p>
    <w:p w14:paraId="2C6B0AC7" w14:textId="6FF474CA" w:rsidR="00094BA3" w:rsidRDefault="00E413D6"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p</w:t>
      </w:r>
      <w:r w:rsidR="00094BA3">
        <w:rPr>
          <w:rFonts w:ascii="Arial" w:hAnsi="Arial" w:cs="Arial"/>
          <w:bCs/>
        </w:rPr>
        <w:t>rovide ongoing education and training for prospective/adoptive parents to support children with special needs</w:t>
      </w:r>
    </w:p>
    <w:p w14:paraId="218948E4" w14:textId="7242F09D" w:rsidR="00094BA3" w:rsidRDefault="00E413D6"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p</w:t>
      </w:r>
      <w:r w:rsidR="00094BA3">
        <w:rPr>
          <w:rFonts w:ascii="Arial" w:hAnsi="Arial" w:cs="Arial"/>
          <w:bCs/>
        </w:rPr>
        <w:t>rovide ongoing education and training for prospective/adoptive parents to support the adoptee in their development of connection to culture and country of origin</w:t>
      </w:r>
    </w:p>
    <w:p w14:paraId="2ABE0914" w14:textId="3772475E" w:rsidR="00094BA3" w:rsidRDefault="00E413D6" w:rsidP="00094BA3">
      <w:pPr>
        <w:numPr>
          <w:ilvl w:val="0"/>
          <w:numId w:val="33"/>
        </w:numPr>
        <w:spacing w:before="40" w:after="120" w:line="280" w:lineRule="atLeast"/>
        <w:ind w:left="714" w:hanging="357"/>
        <w:contextualSpacing/>
        <w:rPr>
          <w:rFonts w:ascii="Arial" w:hAnsi="Arial" w:cs="Arial"/>
          <w:bCs/>
        </w:rPr>
      </w:pPr>
      <w:r>
        <w:rPr>
          <w:rFonts w:ascii="Arial" w:hAnsi="Arial" w:cs="Arial"/>
          <w:bCs/>
        </w:rPr>
        <w:t>p</w:t>
      </w:r>
      <w:r w:rsidR="00094BA3">
        <w:rPr>
          <w:rFonts w:ascii="Arial" w:hAnsi="Arial" w:cs="Arial"/>
          <w:bCs/>
        </w:rPr>
        <w:t>rovide emotional and crisis support for search and reunion, including preparation, planning and post</w:t>
      </w:r>
      <w:r w:rsidR="00094BA3">
        <w:rPr>
          <w:rFonts w:ascii="Arial" w:hAnsi="Arial" w:cs="Arial"/>
          <w:bCs/>
        </w:rPr>
        <w:noBreakHyphen/>
        <w:t>tracing and reunion support</w:t>
      </w:r>
    </w:p>
    <w:p w14:paraId="576F0B39" w14:textId="622F6EC5" w:rsidR="00094BA3" w:rsidRDefault="00E413D6" w:rsidP="00094BA3">
      <w:pPr>
        <w:numPr>
          <w:ilvl w:val="0"/>
          <w:numId w:val="33"/>
        </w:numPr>
        <w:spacing w:before="40" w:line="280" w:lineRule="atLeast"/>
        <w:ind w:left="714" w:hanging="357"/>
        <w:rPr>
          <w:rFonts w:ascii="Arial" w:hAnsi="Arial" w:cs="Arial"/>
          <w:bCs/>
        </w:rPr>
      </w:pPr>
      <w:proofErr w:type="gramStart"/>
      <w:r>
        <w:rPr>
          <w:rFonts w:ascii="Arial" w:hAnsi="Arial" w:cs="Arial"/>
          <w:bCs/>
        </w:rPr>
        <w:t>r</w:t>
      </w:r>
      <w:r w:rsidR="00094BA3">
        <w:rPr>
          <w:rFonts w:ascii="Arial" w:hAnsi="Arial" w:cs="Arial"/>
          <w:bCs/>
        </w:rPr>
        <w:t>ecognise</w:t>
      </w:r>
      <w:proofErr w:type="gramEnd"/>
      <w:r w:rsidR="00094BA3">
        <w:rPr>
          <w:rFonts w:ascii="Arial" w:hAnsi="Arial" w:cs="Arial"/>
          <w:bCs/>
        </w:rPr>
        <w:t xml:space="preserve"> and provide appropriate crisis support or referral for adoptees and adoptive families. </w:t>
      </w:r>
    </w:p>
    <w:p w14:paraId="5A0E6412" w14:textId="77777777" w:rsidR="00094BA3" w:rsidRDefault="00094BA3" w:rsidP="00094BA3">
      <w:pPr>
        <w:spacing w:before="200"/>
        <w:rPr>
          <w:rFonts w:ascii="Arial" w:hAnsi="Arial" w:cs="Arial"/>
          <w:bCs/>
        </w:rPr>
      </w:pPr>
      <w:r>
        <w:rPr>
          <w:rFonts w:ascii="Arial" w:hAnsi="Arial" w:cs="Arial"/>
          <w:bCs/>
        </w:rPr>
        <w:t xml:space="preserve">Client facing staff must be professional, appropriately qualified and receive supervision. Professional staff should include, but not be limited to, those with lived experience of adoption. </w:t>
      </w:r>
    </w:p>
    <w:p w14:paraId="7521E29F" w14:textId="77777777" w:rsidR="00094BA3" w:rsidRDefault="00094BA3" w:rsidP="00094BA3">
      <w:pPr>
        <w:spacing w:before="120"/>
        <w:rPr>
          <w:rFonts w:ascii="Arial" w:hAnsi="Arial" w:cs="Arial"/>
          <w:bCs/>
        </w:rPr>
      </w:pPr>
      <w:r>
        <w:rPr>
          <w:rFonts w:ascii="Arial" w:hAnsi="Arial" w:cs="Arial"/>
          <w:b/>
          <w:bCs/>
        </w:rPr>
        <w:t>Community Capacity Building</w:t>
      </w:r>
      <w:r>
        <w:rPr>
          <w:rFonts w:ascii="Arial" w:hAnsi="Arial" w:cs="Arial"/>
          <w:bCs/>
        </w:rPr>
        <w:t xml:space="preserve"> includes work to support:</w:t>
      </w:r>
    </w:p>
    <w:p w14:paraId="2FFFF708" w14:textId="178AC1B1" w:rsidR="00094BA3" w:rsidRDefault="00BC0CAA" w:rsidP="00094BA3">
      <w:pPr>
        <w:numPr>
          <w:ilvl w:val="0"/>
          <w:numId w:val="34"/>
        </w:numPr>
        <w:spacing w:before="40" w:after="120" w:line="280" w:lineRule="atLeast"/>
        <w:contextualSpacing/>
        <w:rPr>
          <w:rFonts w:ascii="Arial" w:hAnsi="Arial" w:cs="Arial"/>
          <w:bCs/>
        </w:rPr>
      </w:pPr>
      <w:r>
        <w:rPr>
          <w:rFonts w:ascii="Arial" w:hAnsi="Arial" w:cs="Arial"/>
          <w:bCs/>
        </w:rPr>
        <w:t xml:space="preserve">Promotion </w:t>
      </w:r>
      <w:r w:rsidR="00094BA3">
        <w:rPr>
          <w:rFonts w:ascii="Arial" w:hAnsi="Arial" w:cs="Arial"/>
          <w:bCs/>
        </w:rPr>
        <w:t xml:space="preserve">and awareness of the ICAFSS across Australia (including regional and remote areas), through direct engagement with the intercountry adoption community, use of social media platforms, video conferencing platforms and frequent communication with support groups, community organisation and public spaces. The grantee must make the details of the ICAFSS publicly available, clear and accessible. </w:t>
      </w:r>
    </w:p>
    <w:p w14:paraId="09B4BEC2" w14:textId="63BCD7BC" w:rsidR="00094BA3" w:rsidRDefault="00BC0CAA" w:rsidP="00094BA3">
      <w:pPr>
        <w:numPr>
          <w:ilvl w:val="0"/>
          <w:numId w:val="34"/>
        </w:numPr>
        <w:spacing w:before="40" w:after="120" w:line="280" w:lineRule="atLeast"/>
        <w:contextualSpacing/>
        <w:rPr>
          <w:rFonts w:ascii="Arial" w:hAnsi="Arial" w:cs="Arial"/>
          <w:bCs/>
        </w:rPr>
      </w:pPr>
      <w:r>
        <w:rPr>
          <w:rFonts w:ascii="Arial" w:hAnsi="Arial" w:cs="Arial"/>
          <w:bCs/>
        </w:rPr>
        <w:t xml:space="preserve">Development </w:t>
      </w:r>
      <w:r w:rsidR="00094BA3">
        <w:rPr>
          <w:rFonts w:ascii="Arial" w:hAnsi="Arial" w:cs="Arial"/>
          <w:bCs/>
        </w:rPr>
        <w:t>of guidance resources on search for origins, reconnection or reunion with family of origin, including after the initial reconnection, and other intercountry adoption</w:t>
      </w:r>
      <w:r w:rsidR="00094BA3">
        <w:rPr>
          <w:rFonts w:ascii="Arial" w:hAnsi="Arial" w:cs="Arial"/>
          <w:bCs/>
        </w:rPr>
        <w:noBreakHyphen/>
        <w:t xml:space="preserve">specific experiences. </w:t>
      </w:r>
    </w:p>
    <w:p w14:paraId="7606CB93" w14:textId="2FA0A76F" w:rsidR="00094BA3" w:rsidRDefault="00BC0CAA" w:rsidP="00094BA3">
      <w:pPr>
        <w:numPr>
          <w:ilvl w:val="0"/>
          <w:numId w:val="34"/>
        </w:numPr>
        <w:spacing w:before="40" w:after="120" w:line="280" w:lineRule="atLeast"/>
        <w:ind w:left="714" w:hanging="357"/>
        <w:contextualSpacing/>
        <w:rPr>
          <w:rFonts w:ascii="Arial" w:hAnsi="Arial" w:cs="Arial"/>
          <w:bCs/>
        </w:rPr>
      </w:pPr>
      <w:r>
        <w:rPr>
          <w:rFonts w:ascii="Arial" w:hAnsi="Arial" w:cs="Arial"/>
          <w:bCs/>
        </w:rPr>
        <w:t xml:space="preserve">Development </w:t>
      </w:r>
      <w:r w:rsidR="00094BA3">
        <w:rPr>
          <w:rFonts w:ascii="Arial" w:hAnsi="Arial" w:cs="Arial"/>
          <w:bCs/>
        </w:rPr>
        <w:t>and coordination of intercountry adoption-informed resources for parents, schools and allied health professionals.</w:t>
      </w:r>
    </w:p>
    <w:p w14:paraId="7DBCC1F5" w14:textId="6BDD16FC" w:rsidR="00094BA3" w:rsidRDefault="00BC0CAA" w:rsidP="00094BA3">
      <w:pPr>
        <w:numPr>
          <w:ilvl w:val="0"/>
          <w:numId w:val="34"/>
        </w:numPr>
        <w:spacing w:before="40" w:after="120" w:line="280" w:lineRule="atLeast"/>
        <w:ind w:left="714" w:hanging="357"/>
        <w:contextualSpacing/>
        <w:rPr>
          <w:rFonts w:ascii="Arial" w:hAnsi="Arial" w:cs="Arial"/>
          <w:bCs/>
        </w:rPr>
      </w:pPr>
      <w:r>
        <w:rPr>
          <w:rFonts w:ascii="Arial" w:hAnsi="Arial" w:cs="Arial"/>
          <w:bCs/>
        </w:rPr>
        <w:t xml:space="preserve">Development </w:t>
      </w:r>
      <w:r w:rsidR="00094BA3">
        <w:rPr>
          <w:rFonts w:ascii="Arial" w:hAnsi="Arial" w:cs="Arial"/>
          <w:bCs/>
        </w:rPr>
        <w:t>of education and training for practitioners, including but not limited to counsellors, psychologists, speech therapists and teachers, to be intercountry-adoption aware (</w:t>
      </w:r>
      <w:r>
        <w:rPr>
          <w:rFonts w:ascii="Arial" w:hAnsi="Arial" w:cs="Arial"/>
          <w:bCs/>
        </w:rPr>
        <w:t>a </w:t>
      </w:r>
      <w:r w:rsidR="00094BA3">
        <w:rPr>
          <w:rFonts w:ascii="Arial" w:hAnsi="Arial" w:cs="Arial"/>
          <w:bCs/>
        </w:rPr>
        <w:t>cost</w:t>
      </w:r>
      <w:r w:rsidR="00094BA3">
        <w:rPr>
          <w:rFonts w:ascii="Arial" w:hAnsi="Arial" w:cs="Arial"/>
          <w:bCs/>
        </w:rPr>
        <w:noBreakHyphen/>
        <w:t>recovery model may be used for delivery of training to practitioners).</w:t>
      </w:r>
    </w:p>
    <w:p w14:paraId="4D69C213" w14:textId="7FB9C560" w:rsidR="00094BA3" w:rsidRDefault="00BC0CAA" w:rsidP="00094BA3">
      <w:pPr>
        <w:numPr>
          <w:ilvl w:val="0"/>
          <w:numId w:val="34"/>
        </w:numPr>
        <w:spacing w:before="40" w:after="120" w:line="280" w:lineRule="atLeast"/>
        <w:ind w:left="714" w:hanging="357"/>
        <w:contextualSpacing/>
        <w:rPr>
          <w:rFonts w:ascii="Arial" w:hAnsi="Arial" w:cs="Arial"/>
          <w:bCs/>
        </w:rPr>
      </w:pPr>
      <w:r>
        <w:rPr>
          <w:rFonts w:ascii="Arial" w:hAnsi="Arial" w:cs="Arial"/>
          <w:bCs/>
        </w:rPr>
        <w:t xml:space="preserve">Training </w:t>
      </w:r>
      <w:r w:rsidR="00094BA3">
        <w:rPr>
          <w:rFonts w:ascii="Arial" w:hAnsi="Arial" w:cs="Arial"/>
          <w:bCs/>
        </w:rPr>
        <w:t xml:space="preserve">and resources for adoptees and adoptive families in mentoring or peer support. Potential peers, facilitators and mentors </w:t>
      </w:r>
      <w:proofErr w:type="gramStart"/>
      <w:r w:rsidR="00094BA3">
        <w:rPr>
          <w:rFonts w:ascii="Arial" w:hAnsi="Arial" w:cs="Arial"/>
          <w:bCs/>
        </w:rPr>
        <w:t>must be appropriately trained, assessed and screened, to ensure the safety of everyone involved</w:t>
      </w:r>
      <w:proofErr w:type="gramEnd"/>
      <w:r w:rsidR="00094BA3">
        <w:rPr>
          <w:rFonts w:ascii="Arial" w:hAnsi="Arial" w:cs="Arial"/>
          <w:bCs/>
        </w:rPr>
        <w:t>.</w:t>
      </w:r>
    </w:p>
    <w:p w14:paraId="6D47264C" w14:textId="77777777" w:rsidR="00094BA3" w:rsidRDefault="00094BA3" w:rsidP="00094BA3">
      <w:pPr>
        <w:spacing w:before="240"/>
        <w:rPr>
          <w:rFonts w:ascii="Arial" w:hAnsi="Arial" w:cs="Arial"/>
          <w:b/>
          <w:bCs/>
        </w:rPr>
      </w:pPr>
      <w:r>
        <w:rPr>
          <w:rFonts w:ascii="Arial" w:hAnsi="Arial" w:cs="Arial"/>
          <w:b/>
          <w:bCs/>
        </w:rPr>
        <w:t>Small Grants and Bursaries Program</w:t>
      </w:r>
    </w:p>
    <w:p w14:paraId="7BA5DB55" w14:textId="5F9DEA0A" w:rsidR="00545445" w:rsidRDefault="00545445" w:rsidP="00545445">
      <w:pPr>
        <w:rPr>
          <w:rFonts w:ascii="Arial" w:hAnsi="Arial" w:cs="Arial"/>
          <w:bCs/>
        </w:rPr>
      </w:pPr>
      <w:bookmarkStart w:id="10" w:name="_Additional_information"/>
      <w:bookmarkStart w:id="11" w:name="_Toc48748151"/>
      <w:bookmarkEnd w:id="10"/>
      <w:r>
        <w:rPr>
          <w:rFonts w:ascii="Arial" w:hAnsi="Arial" w:cs="Arial"/>
          <w:bCs/>
        </w:rPr>
        <w:t>This Grant</w:t>
      </w:r>
      <w:r w:rsidR="00BC0CAA">
        <w:rPr>
          <w:rFonts w:ascii="Arial" w:hAnsi="Arial" w:cs="Arial"/>
          <w:bCs/>
        </w:rPr>
        <w:t xml:space="preserve"> </w:t>
      </w:r>
      <w:r>
        <w:rPr>
          <w:rFonts w:ascii="Arial" w:hAnsi="Arial" w:cs="Arial"/>
          <w:bCs/>
        </w:rPr>
        <w:t>Agreement</w:t>
      </w:r>
      <w:r w:rsidR="00BC0CAA">
        <w:rPr>
          <w:rFonts w:ascii="Arial" w:hAnsi="Arial" w:cs="Arial"/>
          <w:bCs/>
        </w:rPr>
        <w:t xml:space="preserve"> </w:t>
      </w:r>
      <w:r>
        <w:rPr>
          <w:rFonts w:ascii="Arial" w:hAnsi="Arial" w:cs="Arial"/>
          <w:bCs/>
        </w:rPr>
        <w:t xml:space="preserve">also comprises the requirements detailed in the Small Grants and Bursaries Guideline, provided to you with this Grant Agreement. The Small Grants and Bursaries Guideline </w:t>
      </w:r>
      <w:proofErr w:type="gramStart"/>
      <w:r>
        <w:rPr>
          <w:rFonts w:ascii="Arial" w:hAnsi="Arial" w:cs="Arial"/>
          <w:bCs/>
        </w:rPr>
        <w:t>can also be found</w:t>
      </w:r>
      <w:proofErr w:type="gramEnd"/>
      <w:r>
        <w:rPr>
          <w:rFonts w:ascii="Arial" w:hAnsi="Arial" w:cs="Arial"/>
          <w:bCs/>
        </w:rPr>
        <w:t xml:space="preserve"> at Appendix A of the Grant Opportunity Guidelines. </w:t>
      </w:r>
    </w:p>
    <w:p w14:paraId="3AD96175" w14:textId="3AD1708D" w:rsidR="00094BA3" w:rsidRPr="00BA5193" w:rsidRDefault="00094BA3" w:rsidP="00094BA3">
      <w:pPr>
        <w:pStyle w:val="Heading3"/>
        <w:keepLines w:val="0"/>
        <w:spacing w:before="240" w:after="120" w:line="280" w:lineRule="atLeast"/>
        <w:ind w:left="1134" w:hanging="1134"/>
        <w:rPr>
          <w:rFonts w:ascii="Arial" w:hAnsi="Arial" w:cs="Arial"/>
          <w:color w:val="auto"/>
        </w:rPr>
      </w:pPr>
      <w:r w:rsidRPr="00BA5193">
        <w:rPr>
          <w:rFonts w:ascii="Arial" w:hAnsi="Arial" w:cs="Arial"/>
          <w:color w:val="auto"/>
        </w:rPr>
        <w:t>Supporting principles of the ICAFSS</w:t>
      </w:r>
      <w:bookmarkEnd w:id="11"/>
    </w:p>
    <w:p w14:paraId="407C99E0" w14:textId="77777777" w:rsidR="00094BA3" w:rsidRPr="00BA5193" w:rsidRDefault="00094BA3" w:rsidP="00094BA3">
      <w:pPr>
        <w:spacing w:before="120"/>
        <w:rPr>
          <w:rFonts w:ascii="Arial" w:hAnsi="Arial" w:cs="Arial"/>
          <w:b/>
          <w:bCs/>
        </w:rPr>
      </w:pPr>
      <w:r w:rsidRPr="00BA5193">
        <w:rPr>
          <w:rFonts w:ascii="Arial" w:hAnsi="Arial" w:cs="Arial"/>
          <w:b/>
          <w:bCs/>
        </w:rPr>
        <w:t xml:space="preserve">Collaboration </w:t>
      </w:r>
    </w:p>
    <w:p w14:paraId="0727EE16" w14:textId="4FCD09E3" w:rsidR="00094BA3" w:rsidRDefault="00094BA3" w:rsidP="00094BA3">
      <w:pPr>
        <w:rPr>
          <w:rFonts w:ascii="Arial" w:hAnsi="Arial" w:cs="Arial"/>
        </w:rPr>
      </w:pPr>
      <w:r>
        <w:rPr>
          <w:rFonts w:ascii="Arial" w:hAnsi="Arial" w:cs="Arial"/>
        </w:rPr>
        <w:t>To ensure effective integration with appropriate services, the grantee must build and maintain collaborative and effective relationships with a broad network of relevant government agencies, non</w:t>
      </w:r>
      <w:r>
        <w:rPr>
          <w:rFonts w:ascii="Arial" w:hAnsi="Arial" w:cs="Arial"/>
        </w:rPr>
        <w:noBreakHyphen/>
        <w:t xml:space="preserve">government agencies and community organisations or groups within the intercountry adoption community that provide services or peer support for the target group. This is in accordance with </w:t>
      </w:r>
      <w:r w:rsidR="00BC0CAA">
        <w:rPr>
          <w:rFonts w:ascii="Arial" w:hAnsi="Arial" w:cs="Arial"/>
        </w:rPr>
        <w:t xml:space="preserve">section </w:t>
      </w:r>
      <w:r>
        <w:rPr>
          <w:rFonts w:ascii="Arial" w:hAnsi="Arial" w:cs="Arial"/>
        </w:rPr>
        <w:t xml:space="preserve">2.7 of the Families and Communities Program – </w:t>
      </w:r>
      <w:hyperlink r:id="rId14" w:history="1">
        <w:r>
          <w:rPr>
            <w:rStyle w:val="Hyperlink"/>
            <w:rFonts w:ascii="Arial" w:hAnsi="Arial" w:cs="Arial"/>
          </w:rPr>
          <w:t>Families and Children Guidelines Overview</w:t>
        </w:r>
      </w:hyperlink>
      <w:r>
        <w:rPr>
          <w:rFonts w:ascii="Arial" w:hAnsi="Arial" w:cs="Arial"/>
        </w:rPr>
        <w:t>.</w:t>
      </w:r>
    </w:p>
    <w:p w14:paraId="6FBB783B" w14:textId="77777777" w:rsidR="001D73B5" w:rsidRDefault="001D73B5">
      <w:pPr>
        <w:spacing w:after="0" w:line="240" w:lineRule="auto"/>
        <w:rPr>
          <w:rFonts w:ascii="Arial" w:hAnsi="Arial" w:cs="Arial"/>
          <w:b/>
        </w:rPr>
      </w:pPr>
      <w:r>
        <w:rPr>
          <w:rFonts w:ascii="Arial" w:hAnsi="Arial" w:cs="Arial"/>
          <w:b/>
        </w:rPr>
        <w:br w:type="page"/>
      </w:r>
    </w:p>
    <w:p w14:paraId="21E56EF4" w14:textId="29A113FD" w:rsidR="00094BA3" w:rsidRDefault="00094BA3" w:rsidP="00094BA3">
      <w:pPr>
        <w:spacing w:before="120"/>
        <w:rPr>
          <w:rFonts w:ascii="Arial" w:hAnsi="Arial" w:cs="Arial"/>
          <w:b/>
        </w:rPr>
      </w:pPr>
      <w:r>
        <w:rPr>
          <w:rFonts w:ascii="Arial" w:hAnsi="Arial" w:cs="Arial"/>
          <w:b/>
        </w:rPr>
        <w:lastRenderedPageBreak/>
        <w:t xml:space="preserve">Client and </w:t>
      </w:r>
      <w:r w:rsidR="00C23703">
        <w:rPr>
          <w:rFonts w:ascii="Arial" w:hAnsi="Arial" w:cs="Arial"/>
          <w:b/>
        </w:rPr>
        <w:t>s</w:t>
      </w:r>
      <w:r>
        <w:rPr>
          <w:rFonts w:ascii="Arial" w:hAnsi="Arial" w:cs="Arial"/>
          <w:b/>
        </w:rPr>
        <w:t xml:space="preserve">taff </w:t>
      </w:r>
      <w:r w:rsidR="00C23703">
        <w:rPr>
          <w:rFonts w:ascii="Arial" w:hAnsi="Arial" w:cs="Arial"/>
          <w:b/>
        </w:rPr>
        <w:t>d</w:t>
      </w:r>
      <w:r>
        <w:rPr>
          <w:rFonts w:ascii="Arial" w:hAnsi="Arial" w:cs="Arial"/>
          <w:b/>
        </w:rPr>
        <w:t>iversity</w:t>
      </w:r>
    </w:p>
    <w:p w14:paraId="79DE3984" w14:textId="77777777" w:rsidR="00094BA3" w:rsidRDefault="00094BA3" w:rsidP="00094BA3">
      <w:pPr>
        <w:rPr>
          <w:rFonts w:ascii="Arial" w:hAnsi="Arial" w:cs="Arial"/>
        </w:rPr>
      </w:pPr>
      <w:r>
        <w:rPr>
          <w:rFonts w:ascii="Arial" w:hAnsi="Arial" w:cs="Arial"/>
        </w:rPr>
        <w:t xml:space="preserve">The grantee must provide flexible, culturally responsive and accessible service delivery models and practices that ensure accessibility to anyone who may face barriers to receiving assistance, and have in place strategies to achieve this unless otherwise exempted by legislation. Services </w:t>
      </w:r>
      <w:proofErr w:type="gramStart"/>
      <w:r>
        <w:rPr>
          <w:rFonts w:ascii="Arial" w:hAnsi="Arial" w:cs="Arial"/>
        </w:rPr>
        <w:t>must be provided</w:t>
      </w:r>
      <w:proofErr w:type="gramEnd"/>
      <w:r>
        <w:rPr>
          <w:rFonts w:ascii="Arial" w:hAnsi="Arial" w:cs="Arial"/>
        </w:rPr>
        <w:t xml:space="preserve"> equitably, without bias or prejudgement about clients. The grantee must provide evidence of these strategies on request.</w:t>
      </w:r>
    </w:p>
    <w:p w14:paraId="650F6637" w14:textId="5ABDD5B4" w:rsidR="00DE689A" w:rsidRDefault="00DE689A" w:rsidP="00DE689A">
      <w:pPr>
        <w:keepNext/>
        <w:keepLines/>
        <w:spacing w:after="0"/>
        <w:rPr>
          <w:rFonts w:ascii="Arial" w:hAnsi="Arial" w:cs="Arial"/>
          <w:iCs/>
        </w:rPr>
      </w:pPr>
      <w:r>
        <w:rPr>
          <w:rFonts w:ascii="Arial" w:hAnsi="Arial" w:cs="Arial"/>
          <w:iCs/>
        </w:rPr>
        <w:t xml:space="preserve">The Australian Government’s </w:t>
      </w:r>
      <w:r>
        <w:rPr>
          <w:rFonts w:ascii="Arial" w:hAnsi="Arial" w:cs="Arial"/>
          <w:i/>
          <w:iCs/>
        </w:rPr>
        <w:t>Multicultural Access and Equity Policy</w:t>
      </w:r>
      <w:r>
        <w:rPr>
          <w:rFonts w:ascii="Arial" w:hAnsi="Arial" w:cs="Arial"/>
          <w:iCs/>
        </w:rPr>
        <w:t xml:space="preserve"> obliges Australian </w:t>
      </w:r>
      <w:r w:rsidR="00BC0CAA">
        <w:rPr>
          <w:rFonts w:ascii="Arial" w:hAnsi="Arial" w:cs="Arial"/>
          <w:iCs/>
        </w:rPr>
        <w:t xml:space="preserve">Government </w:t>
      </w:r>
      <w:r>
        <w:rPr>
          <w:rFonts w:ascii="Arial" w:hAnsi="Arial" w:cs="Arial"/>
          <w:iCs/>
        </w:rPr>
        <w:t xml:space="preserve">agencies to ensure their policies, programs and services - including those provided by contractors and service delivery partners - are accessible to, and deliver equitable outcomes for, people from culturally and linguistically diverse (CALD) backgrounds. </w:t>
      </w:r>
    </w:p>
    <w:p w14:paraId="1AD13EB3" w14:textId="77777777" w:rsidR="00DE689A" w:rsidRDefault="00DE689A" w:rsidP="00DE689A">
      <w:pPr>
        <w:keepNext/>
        <w:keepLines/>
        <w:spacing w:after="0"/>
        <w:rPr>
          <w:rFonts w:ascii="Arial" w:hAnsi="Arial" w:cs="Arial"/>
          <w:iCs/>
        </w:rPr>
      </w:pPr>
    </w:p>
    <w:p w14:paraId="685F1006" w14:textId="77777777" w:rsidR="00DE689A" w:rsidRDefault="00DE689A" w:rsidP="000B0CDD">
      <w:pPr>
        <w:spacing w:after="0"/>
        <w:rPr>
          <w:rFonts w:ascii="Arial" w:hAnsi="Arial" w:cs="Arial"/>
        </w:rPr>
      </w:pPr>
      <w:r>
        <w:rPr>
          <w:rFonts w:ascii="Arial" w:hAnsi="Arial" w:cs="Arial"/>
        </w:rPr>
        <w:t xml:space="preserve">You must ensure that cultural and linguistic diversity is not a barrier for people targeted by this Activity, by providing access to language services where appropriate.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proofErr w:type="gramStart"/>
      <w:r>
        <w:rPr>
          <w:rFonts w:ascii="Arial" w:hAnsi="Arial" w:cs="Arial"/>
        </w:rPr>
        <w:t>must be factored</w:t>
      </w:r>
      <w:proofErr w:type="gramEnd"/>
      <w:r>
        <w:rPr>
          <w:rFonts w:ascii="Arial" w:hAnsi="Arial" w:cs="Arial"/>
        </w:rPr>
        <w:t xml:space="preserve"> into the total funding. </w:t>
      </w:r>
    </w:p>
    <w:p w14:paraId="0CBC2221" w14:textId="77777777" w:rsidR="00DE689A" w:rsidRDefault="00DE689A" w:rsidP="000855AA">
      <w:pPr>
        <w:spacing w:after="0"/>
        <w:rPr>
          <w:rFonts w:ascii="Arial" w:hAnsi="Arial" w:cs="Arial"/>
          <w:iCs/>
        </w:rPr>
      </w:pPr>
    </w:p>
    <w:p w14:paraId="5D51639A" w14:textId="72AA5CEF" w:rsidR="00094BA3" w:rsidRDefault="00094BA3" w:rsidP="00094BA3">
      <w:pPr>
        <w:rPr>
          <w:rFonts w:ascii="Arial" w:hAnsi="Arial" w:cs="Arial"/>
          <w:b/>
          <w:iCs/>
        </w:rPr>
      </w:pPr>
      <w:r>
        <w:rPr>
          <w:rFonts w:ascii="Arial" w:hAnsi="Arial" w:cs="Arial"/>
          <w:iCs/>
        </w:rPr>
        <w:t xml:space="preserve">It is highly desirable for personnel working on the grant activity to have lived experience of intercountry adoption, or have similar experiences or cultural background of those with lived experience of intercountry adoption. </w:t>
      </w:r>
    </w:p>
    <w:p w14:paraId="5A22C862" w14:textId="1C89A8E7" w:rsidR="00284610" w:rsidRDefault="00284610" w:rsidP="00284610">
      <w:pPr>
        <w:spacing w:before="120"/>
        <w:rPr>
          <w:rFonts w:ascii="Arial" w:hAnsi="Arial" w:cs="Arial"/>
          <w:b/>
        </w:rPr>
      </w:pPr>
      <w:r>
        <w:rPr>
          <w:rFonts w:ascii="Arial" w:hAnsi="Arial" w:cs="Arial"/>
          <w:b/>
        </w:rPr>
        <w:t xml:space="preserve">Design </w:t>
      </w:r>
      <w:r w:rsidR="00C23703">
        <w:rPr>
          <w:rFonts w:ascii="Arial" w:hAnsi="Arial" w:cs="Arial"/>
          <w:b/>
        </w:rPr>
        <w:t>p</w:t>
      </w:r>
      <w:r>
        <w:rPr>
          <w:rFonts w:ascii="Arial" w:hAnsi="Arial" w:cs="Arial"/>
          <w:b/>
        </w:rPr>
        <w:t>rinciples</w:t>
      </w:r>
    </w:p>
    <w:p w14:paraId="036E4EAB" w14:textId="77777777" w:rsidR="00284610" w:rsidRDefault="00284610" w:rsidP="00284610">
      <w:pPr>
        <w:rPr>
          <w:rFonts w:ascii="Arial" w:hAnsi="Arial" w:cs="Arial"/>
        </w:rPr>
      </w:pPr>
      <w:r>
        <w:rPr>
          <w:rFonts w:ascii="Arial" w:hAnsi="Arial" w:cs="Arial"/>
        </w:rPr>
        <w:t xml:space="preserve">Services </w:t>
      </w:r>
      <w:proofErr w:type="gramStart"/>
      <w:r>
        <w:rPr>
          <w:rFonts w:ascii="Arial" w:hAnsi="Arial" w:cs="Arial"/>
        </w:rPr>
        <w:t>must be offered</w:t>
      </w:r>
      <w:proofErr w:type="gramEnd"/>
      <w:r>
        <w:rPr>
          <w:rFonts w:ascii="Arial" w:hAnsi="Arial" w:cs="Arial"/>
        </w:rPr>
        <w:t xml:space="preserve"> in a way that means:</w:t>
      </w:r>
    </w:p>
    <w:p w14:paraId="39CC9B49" w14:textId="77777777" w:rsidR="00284610" w:rsidRDefault="00284610" w:rsidP="00284610">
      <w:pPr>
        <w:pStyle w:val="ListBullet"/>
        <w:numPr>
          <w:ilvl w:val="1"/>
          <w:numId w:val="27"/>
        </w:numPr>
        <w:rPr>
          <w:rFonts w:cs="Arial"/>
          <w:sz w:val="22"/>
          <w:szCs w:val="22"/>
        </w:rPr>
      </w:pPr>
      <w:r>
        <w:rPr>
          <w:rFonts w:cs="Arial"/>
          <w:sz w:val="22"/>
          <w:szCs w:val="22"/>
        </w:rPr>
        <w:t>clients drive the type and direction of support</w:t>
      </w:r>
    </w:p>
    <w:p w14:paraId="796E1CF4" w14:textId="77777777" w:rsidR="00284610" w:rsidRDefault="00284610" w:rsidP="00284610">
      <w:pPr>
        <w:pStyle w:val="ListBullet"/>
        <w:numPr>
          <w:ilvl w:val="1"/>
          <w:numId w:val="27"/>
        </w:numPr>
        <w:rPr>
          <w:rFonts w:cs="Arial"/>
          <w:sz w:val="22"/>
          <w:szCs w:val="22"/>
        </w:rPr>
      </w:pPr>
      <w:r>
        <w:rPr>
          <w:rFonts w:cs="Arial"/>
          <w:sz w:val="22"/>
          <w:szCs w:val="22"/>
        </w:rPr>
        <w:t>clients are the expert in their own life</w:t>
      </w:r>
    </w:p>
    <w:p w14:paraId="1059A9E4" w14:textId="77777777" w:rsidR="00284610" w:rsidRDefault="00284610" w:rsidP="00284610">
      <w:pPr>
        <w:pStyle w:val="ListBullet"/>
        <w:numPr>
          <w:ilvl w:val="1"/>
          <w:numId w:val="27"/>
        </w:numPr>
        <w:rPr>
          <w:rFonts w:cs="Arial"/>
          <w:sz w:val="22"/>
          <w:szCs w:val="22"/>
        </w:rPr>
      </w:pPr>
      <w:r>
        <w:rPr>
          <w:rFonts w:cs="Arial"/>
          <w:sz w:val="22"/>
          <w:szCs w:val="22"/>
        </w:rPr>
        <w:t>service delivery is flexible and tailored to the individual needs of each person</w:t>
      </w:r>
    </w:p>
    <w:p w14:paraId="5AD73D02" w14:textId="77777777" w:rsidR="00284610" w:rsidRDefault="00284610" w:rsidP="00284610">
      <w:pPr>
        <w:pStyle w:val="ListBullet"/>
        <w:numPr>
          <w:ilvl w:val="1"/>
          <w:numId w:val="27"/>
        </w:numPr>
        <w:rPr>
          <w:rFonts w:cs="Arial"/>
          <w:sz w:val="22"/>
          <w:szCs w:val="22"/>
        </w:rPr>
      </w:pPr>
      <w:r>
        <w:rPr>
          <w:rFonts w:cs="Arial"/>
          <w:sz w:val="22"/>
          <w:szCs w:val="22"/>
        </w:rPr>
        <w:t>services are clear about what they do and how they do it</w:t>
      </w:r>
    </w:p>
    <w:p w14:paraId="0E4C63E0" w14:textId="77777777" w:rsidR="00284610" w:rsidRDefault="00284610" w:rsidP="00284610">
      <w:pPr>
        <w:pStyle w:val="ListBullet"/>
        <w:numPr>
          <w:ilvl w:val="1"/>
          <w:numId w:val="27"/>
        </w:numPr>
        <w:rPr>
          <w:rFonts w:cs="Arial"/>
          <w:sz w:val="22"/>
          <w:szCs w:val="22"/>
        </w:rPr>
      </w:pPr>
      <w:proofErr w:type="gramStart"/>
      <w:r>
        <w:rPr>
          <w:rFonts w:cs="Arial"/>
          <w:sz w:val="22"/>
          <w:szCs w:val="22"/>
        </w:rPr>
        <w:t>feedback</w:t>
      </w:r>
      <w:proofErr w:type="gramEnd"/>
      <w:r>
        <w:rPr>
          <w:rFonts w:cs="Arial"/>
          <w:sz w:val="22"/>
          <w:szCs w:val="22"/>
        </w:rPr>
        <w:t xml:space="preserve"> loops and ways to improve the service are built into its delivery.</w:t>
      </w:r>
    </w:p>
    <w:p w14:paraId="23A03C4D" w14:textId="77777777" w:rsidR="00284610" w:rsidRDefault="00284610" w:rsidP="00284610">
      <w:pPr>
        <w:rPr>
          <w:rFonts w:ascii="Arial" w:hAnsi="Arial" w:cs="Arial"/>
        </w:rPr>
      </w:pPr>
      <w:proofErr w:type="gramStart"/>
      <w:r>
        <w:rPr>
          <w:rFonts w:ascii="Arial" w:hAnsi="Arial" w:cs="Arial"/>
        </w:rPr>
        <w:t>The service is delivered by skilled staff who place importance in</w:t>
      </w:r>
      <w:proofErr w:type="gramEnd"/>
      <w:r>
        <w:rPr>
          <w:rFonts w:ascii="Arial" w:hAnsi="Arial" w:cs="Arial"/>
        </w:rPr>
        <w:t>:</w:t>
      </w:r>
    </w:p>
    <w:p w14:paraId="55362B17" w14:textId="77777777" w:rsidR="00284610" w:rsidRDefault="00284610" w:rsidP="00284610">
      <w:pPr>
        <w:pStyle w:val="ListBullet"/>
        <w:numPr>
          <w:ilvl w:val="1"/>
          <w:numId w:val="27"/>
        </w:numPr>
        <w:rPr>
          <w:rFonts w:cs="Arial"/>
          <w:sz w:val="22"/>
          <w:szCs w:val="22"/>
        </w:rPr>
      </w:pPr>
      <w:r>
        <w:rPr>
          <w:rFonts w:cs="Arial"/>
          <w:sz w:val="22"/>
          <w:szCs w:val="22"/>
        </w:rPr>
        <w:t xml:space="preserve">developing trusting, empathetic and respectful relationships </w:t>
      </w:r>
    </w:p>
    <w:p w14:paraId="1A1FF862" w14:textId="77777777" w:rsidR="00284610" w:rsidRDefault="00284610" w:rsidP="00284610">
      <w:pPr>
        <w:pStyle w:val="ListBullet"/>
        <w:numPr>
          <w:ilvl w:val="1"/>
          <w:numId w:val="27"/>
        </w:numPr>
        <w:rPr>
          <w:rFonts w:cs="Arial"/>
          <w:sz w:val="22"/>
          <w:szCs w:val="22"/>
        </w:rPr>
      </w:pPr>
      <w:r>
        <w:rPr>
          <w:rFonts w:cs="Arial"/>
          <w:sz w:val="22"/>
          <w:szCs w:val="22"/>
        </w:rPr>
        <w:t>taking time to notice relevant information about clients, are curious, ask questions, are invitational to clients and do not dictate to clients</w:t>
      </w:r>
    </w:p>
    <w:p w14:paraId="57889813" w14:textId="77777777" w:rsidR="00284610" w:rsidRDefault="00284610" w:rsidP="00284610">
      <w:pPr>
        <w:pStyle w:val="ListBullet"/>
        <w:numPr>
          <w:ilvl w:val="1"/>
          <w:numId w:val="27"/>
        </w:numPr>
        <w:spacing w:before="0" w:after="240"/>
        <w:ind w:left="714" w:hanging="357"/>
        <w:rPr>
          <w:rFonts w:cs="Arial"/>
          <w:sz w:val="22"/>
          <w:szCs w:val="22"/>
        </w:rPr>
      </w:pPr>
      <w:proofErr w:type="gramStart"/>
      <w:r>
        <w:rPr>
          <w:rFonts w:cs="Arial"/>
          <w:sz w:val="22"/>
          <w:szCs w:val="22"/>
        </w:rPr>
        <w:t>using</w:t>
      </w:r>
      <w:proofErr w:type="gramEnd"/>
      <w:r>
        <w:rPr>
          <w:rFonts w:cs="Arial"/>
          <w:sz w:val="22"/>
          <w:szCs w:val="22"/>
        </w:rPr>
        <w:t xml:space="preserve"> sensitive and informed language. </w:t>
      </w:r>
    </w:p>
    <w:p w14:paraId="2E3EEDE4" w14:textId="6F60BB32" w:rsidR="00284610" w:rsidRDefault="00284610" w:rsidP="00284610">
      <w:pPr>
        <w:spacing w:before="120"/>
        <w:rPr>
          <w:rFonts w:ascii="Arial" w:hAnsi="Arial" w:cs="Arial"/>
          <w:b/>
        </w:rPr>
      </w:pPr>
      <w:r>
        <w:rPr>
          <w:rFonts w:ascii="Arial" w:hAnsi="Arial" w:cs="Arial"/>
          <w:b/>
        </w:rPr>
        <w:t xml:space="preserve">Complaints </w:t>
      </w:r>
      <w:r w:rsidR="00C23703">
        <w:rPr>
          <w:rFonts w:ascii="Arial" w:hAnsi="Arial" w:cs="Arial"/>
          <w:b/>
        </w:rPr>
        <w:t>p</w:t>
      </w:r>
      <w:r>
        <w:rPr>
          <w:rFonts w:ascii="Arial" w:hAnsi="Arial" w:cs="Arial"/>
          <w:b/>
        </w:rPr>
        <w:t>rocesses</w:t>
      </w:r>
    </w:p>
    <w:p w14:paraId="3F390744" w14:textId="77777777" w:rsidR="00284610" w:rsidRDefault="00284610" w:rsidP="00284610">
      <w:pPr>
        <w:rPr>
          <w:rFonts w:ascii="Arial" w:hAnsi="Arial" w:cs="Arial"/>
          <w:lang w:val="en-GB"/>
        </w:rPr>
      </w:pPr>
      <w:r>
        <w:rPr>
          <w:rFonts w:ascii="Arial" w:hAnsi="Arial" w:cs="Arial"/>
          <w:lang w:val="en-GB"/>
        </w:rPr>
        <w:t xml:space="preserve">The grantee must have an organisational complaints procedure in place that must be easily accessible. Clients </w:t>
      </w:r>
      <w:proofErr w:type="gramStart"/>
      <w:r>
        <w:rPr>
          <w:rFonts w:ascii="Arial" w:hAnsi="Arial" w:cs="Arial"/>
          <w:lang w:val="en-GB"/>
        </w:rPr>
        <w:t>must be made</w:t>
      </w:r>
      <w:proofErr w:type="gramEnd"/>
      <w:r>
        <w:rPr>
          <w:rFonts w:ascii="Arial" w:hAnsi="Arial" w:cs="Arial"/>
          <w:lang w:val="en-GB"/>
        </w:rPr>
        <w:t xml:space="preserve"> aware of the avenues available to them to make a complaint related to the ICAFSS by more than one method, for example in person, in writing, over the phone or via email. Complaints are to be </w:t>
      </w:r>
      <w:proofErr w:type="gramStart"/>
      <w:r>
        <w:rPr>
          <w:rFonts w:ascii="Arial" w:hAnsi="Arial" w:cs="Arial"/>
          <w:lang w:val="en-GB"/>
        </w:rPr>
        <w:t>treated</w:t>
      </w:r>
      <w:proofErr w:type="gramEnd"/>
      <w:r>
        <w:rPr>
          <w:rFonts w:ascii="Arial" w:hAnsi="Arial" w:cs="Arial"/>
          <w:lang w:val="en-GB"/>
        </w:rPr>
        <w:t xml:space="preserve"> professionally and responded to in a timely manner.</w:t>
      </w:r>
    </w:p>
    <w:p w14:paraId="09D88177" w14:textId="77777777" w:rsidR="00284610" w:rsidRDefault="00284610" w:rsidP="00284610">
      <w:pPr>
        <w:rPr>
          <w:rFonts w:ascii="Arial" w:hAnsi="Arial" w:cs="Arial"/>
          <w:lang w:val="en-GB"/>
        </w:rPr>
      </w:pPr>
      <w:r>
        <w:rPr>
          <w:rFonts w:ascii="Arial" w:hAnsi="Arial" w:cs="Arial"/>
        </w:rPr>
        <w:t>The grantee must notify the relevant Department of Social Services Funding Arrangement Manager about significant policy concerns, and sensitive or serious complaints related to the ICAFSS that may not be easily resolved. This includes actions taken by the organisation to resolve the client’s issues and concerns.</w:t>
      </w:r>
    </w:p>
    <w:p w14:paraId="78F460BD" w14:textId="1BB175DA" w:rsidR="00AB3D94" w:rsidRDefault="00AB3D94" w:rsidP="00AB3D94">
      <w:pPr>
        <w:rPr>
          <w:rFonts w:ascii="Arial" w:hAnsi="Arial" w:cs="Arial"/>
        </w:rPr>
      </w:pPr>
      <w:r>
        <w:rPr>
          <w:rFonts w:ascii="Arial" w:hAnsi="Arial" w:cs="Arial"/>
        </w:rPr>
        <w:lastRenderedPageBreak/>
        <w:t xml:space="preserve">If a complainant is not satisfied with the outcome of the grantee’s complaints process, they can submit a formal complaint to us through the Complaints Management Process. More information on this process </w:t>
      </w:r>
      <w:proofErr w:type="gramStart"/>
      <w:r>
        <w:rPr>
          <w:rFonts w:ascii="Arial" w:hAnsi="Arial" w:cs="Arial"/>
        </w:rPr>
        <w:t>can be found</w:t>
      </w:r>
      <w:proofErr w:type="gramEnd"/>
      <w:r>
        <w:rPr>
          <w:rFonts w:ascii="Arial" w:hAnsi="Arial" w:cs="Arial"/>
        </w:rPr>
        <w:t xml:space="preserve"> on the </w:t>
      </w:r>
      <w:hyperlink r:id="rId15" w:history="1">
        <w:r w:rsidR="00420D26">
          <w:rPr>
            <w:rStyle w:val="Hyperlink"/>
            <w:rFonts w:ascii="Arial" w:hAnsi="Arial" w:cs="Arial"/>
          </w:rPr>
          <w:t>Department of Social Services website</w:t>
        </w:r>
      </w:hyperlink>
      <w:r>
        <w:rPr>
          <w:rFonts w:ascii="Arial" w:hAnsi="Arial" w:cs="Arial"/>
        </w:rPr>
        <w:t xml:space="preserve">. </w:t>
      </w:r>
    </w:p>
    <w:p w14:paraId="523034CF" w14:textId="77777777" w:rsidR="00AB3D94" w:rsidRDefault="00AB3D94" w:rsidP="00AB3D94">
      <w:pPr>
        <w:spacing w:after="240"/>
        <w:rPr>
          <w:rFonts w:ascii="Arial" w:hAnsi="Arial" w:cs="Arial"/>
        </w:rPr>
      </w:pPr>
      <w:r>
        <w:rPr>
          <w:rFonts w:ascii="Arial" w:hAnsi="Arial" w:cs="Arial"/>
          <w:lang w:val="en-GB"/>
        </w:rPr>
        <w:t xml:space="preserve">Section </w:t>
      </w:r>
      <w:proofErr w:type="gramStart"/>
      <w:r>
        <w:rPr>
          <w:rFonts w:ascii="Arial" w:hAnsi="Arial" w:cs="Arial"/>
          <w:lang w:val="en-GB"/>
        </w:rPr>
        <w:t>6</w:t>
      </w:r>
      <w:proofErr w:type="gramEnd"/>
      <w:r>
        <w:rPr>
          <w:rFonts w:ascii="Arial" w:hAnsi="Arial" w:cs="Arial"/>
          <w:lang w:val="en-GB"/>
        </w:rPr>
        <w:t xml:space="preserve"> of the </w:t>
      </w:r>
      <w:r>
        <w:rPr>
          <w:rFonts w:ascii="Arial" w:hAnsi="Arial" w:cs="Arial"/>
        </w:rPr>
        <w:t xml:space="preserve">Families and Communities Program, </w:t>
      </w:r>
      <w:hyperlink r:id="rId16" w:history="1">
        <w:r>
          <w:rPr>
            <w:rStyle w:val="Hyperlink"/>
            <w:rFonts w:ascii="Arial" w:hAnsi="Arial" w:cs="Arial"/>
          </w:rPr>
          <w:t>Families and Children Guidelines Overview</w:t>
        </w:r>
      </w:hyperlink>
      <w:r>
        <w:rPr>
          <w:rStyle w:val="Hyperlink"/>
          <w:rFonts w:ascii="Arial" w:hAnsi="Arial" w:cs="Arial"/>
        </w:rPr>
        <w:t>,</w:t>
      </w:r>
      <w:r>
        <w:rPr>
          <w:rFonts w:ascii="Arial" w:hAnsi="Arial" w:cs="Arial"/>
        </w:rPr>
        <w:t xml:space="preserve"> outlines the process for dealing with complaints and escalation in more detail.</w:t>
      </w:r>
    </w:p>
    <w:p w14:paraId="1E66D6AC" w14:textId="77777777" w:rsidR="00AB3D94" w:rsidRDefault="00AB3D94" w:rsidP="00AB3D94">
      <w:pPr>
        <w:spacing w:after="240"/>
        <w:rPr>
          <w:rFonts w:ascii="Arial" w:hAnsi="Arial" w:cs="Arial"/>
        </w:rPr>
      </w:pPr>
      <w:r>
        <w:rPr>
          <w:rFonts w:ascii="Arial" w:hAnsi="Arial" w:cs="Arial"/>
        </w:rPr>
        <w:t xml:space="preserve">In addition to complaints, the grantee may also submit concerns to us that </w:t>
      </w:r>
      <w:proofErr w:type="gramStart"/>
      <w:r>
        <w:rPr>
          <w:rFonts w:ascii="Arial" w:hAnsi="Arial" w:cs="Arial"/>
        </w:rPr>
        <w:t>were raised with them or brought to their attention by clients, where appropriate</w:t>
      </w:r>
      <w:proofErr w:type="gramEnd"/>
      <w:r>
        <w:rPr>
          <w:rFonts w:ascii="Arial" w:hAnsi="Arial" w:cs="Arial"/>
        </w:rPr>
        <w:t xml:space="preserve"> or on request of the client.</w:t>
      </w:r>
    </w:p>
    <w:p w14:paraId="17D6D535" w14:textId="77777777" w:rsidR="00094BA3" w:rsidRDefault="00094BA3" w:rsidP="00094BA3">
      <w:pPr>
        <w:spacing w:before="60" w:after="60" w:line="280" w:lineRule="atLeast"/>
        <w:rPr>
          <w:rFonts w:ascii="Arial" w:hAnsi="Arial" w:cs="Arial"/>
        </w:rPr>
      </w:pPr>
      <w:r>
        <w:rPr>
          <w:rFonts w:ascii="Arial" w:hAnsi="Arial" w:cs="Arial"/>
          <w:b/>
        </w:rPr>
        <w:t>Important requirements</w:t>
      </w:r>
    </w:p>
    <w:p w14:paraId="27BE0C1A" w14:textId="77777777" w:rsidR="00094BA3" w:rsidRDefault="00094BA3" w:rsidP="00094BA3">
      <w:pPr>
        <w:spacing w:before="60" w:after="60" w:line="280" w:lineRule="atLeast"/>
        <w:rPr>
          <w:rFonts w:ascii="Arial" w:hAnsi="Arial" w:cs="Arial"/>
        </w:rPr>
      </w:pPr>
      <w:r>
        <w:rPr>
          <w:rFonts w:ascii="Arial" w:hAnsi="Arial" w:cs="Arial"/>
        </w:rPr>
        <w:t xml:space="preserve">You must comply </w:t>
      </w:r>
      <w:proofErr w:type="gramStart"/>
      <w:r>
        <w:rPr>
          <w:rFonts w:ascii="Arial" w:hAnsi="Arial" w:cs="Arial"/>
        </w:rPr>
        <w:t>with</w:t>
      </w:r>
      <w:proofErr w:type="gramEnd"/>
      <w:r>
        <w:rPr>
          <w:rFonts w:ascii="Arial" w:hAnsi="Arial" w:cs="Arial"/>
        </w:rPr>
        <w:t>:</w:t>
      </w:r>
    </w:p>
    <w:p w14:paraId="40E2FD9D" w14:textId="1B95FAA4" w:rsidR="00094BA3" w:rsidRDefault="00094BA3" w:rsidP="00094BA3">
      <w:pPr>
        <w:keepNext/>
        <w:keepLines/>
        <w:spacing w:after="0"/>
        <w:ind w:left="720"/>
        <w:rPr>
          <w:rFonts w:ascii="Arial" w:hAnsi="Arial" w:cs="Arial"/>
        </w:rPr>
      </w:pPr>
      <w:r>
        <w:rPr>
          <w:rFonts w:ascii="Arial" w:hAnsi="Arial" w:cs="Arial"/>
        </w:rPr>
        <w:t xml:space="preserve">- </w:t>
      </w:r>
      <w:r w:rsidR="00741D87">
        <w:rPr>
          <w:rFonts w:ascii="Arial" w:hAnsi="Arial" w:cs="Arial"/>
        </w:rPr>
        <w:t xml:space="preserve">Department of Social Services </w:t>
      </w:r>
      <w:r>
        <w:rPr>
          <w:rFonts w:ascii="Arial" w:hAnsi="Arial" w:cs="Arial"/>
        </w:rPr>
        <w:t xml:space="preserve">Departmental Policies* </w:t>
      </w:r>
    </w:p>
    <w:p w14:paraId="5F284467" w14:textId="19F565CF" w:rsidR="00094BA3" w:rsidRDefault="00094BA3" w:rsidP="00094BA3">
      <w:pPr>
        <w:keepNext/>
        <w:keepLines/>
        <w:spacing w:after="0"/>
        <w:ind w:left="720"/>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relevant Guidelines*</w:t>
      </w:r>
    </w:p>
    <w:p w14:paraId="26D5117D" w14:textId="2F66A6EF" w:rsidR="00094BA3" w:rsidRDefault="00094BA3" w:rsidP="00094BA3">
      <w:pPr>
        <w:keepNext/>
        <w:keepLines/>
        <w:spacing w:after="0"/>
        <w:ind w:left="720"/>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Data Exchange Protocols* and</w:t>
      </w:r>
    </w:p>
    <w:p w14:paraId="570CBBBB" w14:textId="70170EE3" w:rsidR="00094BA3" w:rsidRDefault="00094BA3" w:rsidP="00094BA3">
      <w:pPr>
        <w:keepNext/>
        <w:keepLines/>
        <w:spacing w:after="0"/>
        <w:ind w:left="720"/>
        <w:rPr>
          <w:rFonts w:ascii="Arial" w:hAnsi="Arial" w:cs="Arial"/>
        </w:rPr>
      </w:pPr>
      <w:r>
        <w:rPr>
          <w:rFonts w:ascii="Arial" w:hAnsi="Arial" w:cs="Arial"/>
        </w:rPr>
        <w:t xml:space="preserve">- </w:t>
      </w:r>
      <w:proofErr w:type="gramStart"/>
      <w:r>
        <w:rPr>
          <w:rFonts w:ascii="Arial" w:hAnsi="Arial" w:cs="Arial"/>
        </w:rPr>
        <w:t>any</w:t>
      </w:r>
      <w:proofErr w:type="gramEnd"/>
      <w:r>
        <w:rPr>
          <w:rFonts w:ascii="Arial" w:hAnsi="Arial" w:cs="Arial"/>
        </w:rPr>
        <w:t xml:space="preserve"> other service compliance requirements applicable for the Activities you are funded to deliver.</w:t>
      </w:r>
    </w:p>
    <w:p w14:paraId="1E8ACE2D" w14:textId="77777777" w:rsidR="00094BA3" w:rsidRDefault="00094BA3" w:rsidP="00094BA3">
      <w:pPr>
        <w:keepNext/>
        <w:keepLines/>
        <w:spacing w:after="0"/>
        <w:ind w:left="720"/>
        <w:rPr>
          <w:rFonts w:ascii="Arial" w:hAnsi="Arial" w:cs="Arial"/>
          <w:sz w:val="20"/>
          <w:szCs w:val="20"/>
        </w:rPr>
      </w:pPr>
    </w:p>
    <w:p w14:paraId="4E1454A3" w14:textId="7D644554" w:rsidR="00094BA3" w:rsidRDefault="00094BA3" w:rsidP="00094BA3">
      <w:pPr>
        <w:keepNext/>
        <w:keepLines/>
        <w:spacing w:after="0"/>
        <w:rPr>
          <w:rFonts w:ascii="Arial" w:hAnsi="Arial" w:cs="Arial"/>
        </w:rPr>
      </w:pPr>
      <w:proofErr w:type="gramStart"/>
      <w:r>
        <w:rPr>
          <w:rFonts w:ascii="Arial" w:hAnsi="Arial" w:cs="Arial"/>
        </w:rPr>
        <w:t>*Any or all of these may be amended by us</w:t>
      </w:r>
      <w:proofErr w:type="gramEnd"/>
      <w:r>
        <w:rPr>
          <w:rFonts w:ascii="Arial" w:hAnsi="Arial" w:cs="Arial"/>
        </w:rPr>
        <w:t xml:space="preserve"> from time to time. If we amend </w:t>
      </w:r>
      <w:proofErr w:type="gramStart"/>
      <w:r>
        <w:rPr>
          <w:rFonts w:ascii="Arial" w:hAnsi="Arial" w:cs="Arial"/>
        </w:rPr>
        <w:t>these</w:t>
      </w:r>
      <w:proofErr w:type="gramEnd"/>
      <w:r>
        <w:rPr>
          <w:rFonts w:ascii="Arial" w:hAnsi="Arial" w:cs="Arial"/>
        </w:rPr>
        <w:t xml:space="preserve"> we will notify you in writing at least one month prior to the changes coming into effect. The latest version </w:t>
      </w:r>
      <w:proofErr w:type="gramStart"/>
      <w:r>
        <w:rPr>
          <w:rFonts w:ascii="Arial" w:hAnsi="Arial" w:cs="Arial"/>
        </w:rPr>
        <w:t>can be found</w:t>
      </w:r>
      <w:proofErr w:type="gramEnd"/>
      <w:r>
        <w:rPr>
          <w:rFonts w:ascii="Arial" w:hAnsi="Arial" w:cs="Arial"/>
        </w:rPr>
        <w:t xml:space="preserve"> on the </w:t>
      </w:r>
      <w:hyperlink r:id="rId17" w:history="1">
        <w:r w:rsidR="00C23703" w:rsidRPr="00C23703">
          <w:rPr>
            <w:rStyle w:val="Hyperlink"/>
            <w:rFonts w:ascii="Arial" w:hAnsi="Arial" w:cs="Arial"/>
          </w:rPr>
          <w:t xml:space="preserve">Department of Social Services </w:t>
        </w:r>
        <w:r w:rsidRPr="00C23703">
          <w:rPr>
            <w:rStyle w:val="Hyperlink"/>
            <w:rFonts w:ascii="Arial" w:hAnsi="Arial" w:cs="Arial"/>
          </w:rPr>
          <w:t>website</w:t>
        </w:r>
      </w:hyperlink>
      <w:r>
        <w:t>.</w:t>
      </w:r>
    </w:p>
    <w:p w14:paraId="7CFFC535" w14:textId="77777777" w:rsidR="00094BA3" w:rsidRDefault="00094BA3" w:rsidP="00094BA3">
      <w:pPr>
        <w:keepNext/>
        <w:keepLines/>
        <w:spacing w:after="0"/>
        <w:rPr>
          <w:rFonts w:ascii="Arial" w:hAnsi="Arial" w:cs="Arial"/>
        </w:rPr>
      </w:pPr>
    </w:p>
    <w:p w14:paraId="7B3D73D8" w14:textId="77777777" w:rsidR="00094BA3" w:rsidRDefault="00094BA3" w:rsidP="00094BA3">
      <w:pPr>
        <w:keepNext/>
        <w:keepLines/>
        <w:spacing w:after="0"/>
        <w:rPr>
          <w:rFonts w:ascii="Arial" w:hAnsi="Arial" w:cs="Arial"/>
        </w:rPr>
      </w:pPr>
      <w:r>
        <w:rPr>
          <w:rFonts w:ascii="Arial" w:hAnsi="Arial" w:cs="Arial"/>
        </w:rPr>
        <w:t xml:space="preserve">Personnel working on the grant activity must maintain the following </w:t>
      </w:r>
      <w:r>
        <w:rPr>
          <w:rFonts w:ascii="Arial" w:hAnsi="Arial" w:cs="Arial"/>
          <w:b/>
          <w:iCs/>
        </w:rPr>
        <w:t>qualifications and checks</w:t>
      </w:r>
      <w:r>
        <w:rPr>
          <w:rFonts w:ascii="Arial" w:hAnsi="Arial" w:cs="Arial"/>
        </w:rPr>
        <w:t xml:space="preserve">: </w:t>
      </w:r>
    </w:p>
    <w:p w14:paraId="7F920D64" w14:textId="7FDA99B6" w:rsidR="00094BA3" w:rsidRDefault="00094BA3" w:rsidP="00094BA3">
      <w:pPr>
        <w:pStyle w:val="ListParagraph"/>
        <w:keepNext/>
        <w:keepLines/>
        <w:numPr>
          <w:ilvl w:val="0"/>
          <w:numId w:val="35"/>
        </w:numPr>
        <w:spacing w:after="0"/>
        <w:rPr>
          <w:rFonts w:ascii="Arial" w:hAnsi="Arial" w:cs="Arial"/>
          <w:bCs/>
          <w:iCs/>
        </w:rPr>
      </w:pPr>
      <w:r>
        <w:rPr>
          <w:rFonts w:ascii="Arial" w:hAnsi="Arial" w:cs="Arial"/>
          <w:iCs/>
        </w:rPr>
        <w:t xml:space="preserve">Compliance with requirements </w:t>
      </w:r>
      <w:r w:rsidRPr="00832439">
        <w:rPr>
          <w:rFonts w:ascii="Arial" w:hAnsi="Arial" w:cs="Arial"/>
          <w:iCs/>
        </w:rPr>
        <w:t xml:space="preserve">outlined in the </w:t>
      </w:r>
      <w:r w:rsidRPr="00B50348">
        <w:rPr>
          <w:rFonts w:ascii="Arial" w:hAnsi="Arial" w:cs="Arial"/>
          <w:bCs/>
          <w:iCs/>
        </w:rPr>
        <w:t>C</w:t>
      </w:r>
      <w:r w:rsidR="00B50348">
        <w:rPr>
          <w:rFonts w:ascii="Arial" w:hAnsi="Arial" w:cs="Arial"/>
          <w:bCs/>
          <w:iCs/>
        </w:rPr>
        <w:t>ommonwealth Child Safe Framework in section 10.2 of the Grant Opportunity Guidelines</w:t>
      </w:r>
    </w:p>
    <w:p w14:paraId="2118B323" w14:textId="77777777" w:rsidR="00094BA3" w:rsidRDefault="00094BA3" w:rsidP="00094BA3">
      <w:pPr>
        <w:pStyle w:val="ListParagraph"/>
        <w:keepNext/>
        <w:keepLines/>
        <w:numPr>
          <w:ilvl w:val="0"/>
          <w:numId w:val="35"/>
        </w:numPr>
        <w:spacing w:after="0"/>
        <w:rPr>
          <w:rFonts w:ascii="Arial" w:hAnsi="Arial" w:cs="Arial"/>
          <w:b/>
          <w:iCs/>
        </w:rPr>
      </w:pPr>
      <w:r>
        <w:rPr>
          <w:rFonts w:ascii="Arial" w:hAnsi="Arial" w:cs="Arial"/>
          <w:iCs/>
        </w:rPr>
        <w:t>Working with Vulnerable People Checks or jurisdictional equivalent.</w:t>
      </w:r>
    </w:p>
    <w:p w14:paraId="4B9CF84B" w14:textId="77777777" w:rsidR="00094BA3" w:rsidRDefault="00094BA3" w:rsidP="00094BA3">
      <w:pPr>
        <w:pStyle w:val="ListParagraph"/>
        <w:keepNext/>
        <w:keepLines/>
        <w:numPr>
          <w:ilvl w:val="0"/>
          <w:numId w:val="35"/>
        </w:numPr>
        <w:spacing w:after="0"/>
        <w:rPr>
          <w:rFonts w:ascii="Arial" w:hAnsi="Arial" w:cs="Arial"/>
          <w:b/>
          <w:iCs/>
        </w:rPr>
      </w:pPr>
      <w:r>
        <w:rPr>
          <w:rFonts w:ascii="Arial" w:hAnsi="Arial" w:cs="Arial"/>
          <w:iCs/>
        </w:rPr>
        <w:t>Qualifications appropriate to counselling, group work and other therapeutic approaches offered, including social work and psychology.</w:t>
      </w:r>
    </w:p>
    <w:p w14:paraId="5FEE2006" w14:textId="77777777" w:rsidR="00094BA3" w:rsidRDefault="00094BA3" w:rsidP="00094BA3">
      <w:pPr>
        <w:pStyle w:val="ListParagraph"/>
        <w:keepNext/>
        <w:keepLines/>
        <w:numPr>
          <w:ilvl w:val="0"/>
          <w:numId w:val="35"/>
        </w:numPr>
        <w:spacing w:after="0"/>
        <w:rPr>
          <w:rFonts w:ascii="Arial" w:hAnsi="Arial" w:cs="Arial"/>
          <w:b/>
          <w:iCs/>
        </w:rPr>
      </w:pPr>
      <w:r>
        <w:rPr>
          <w:rFonts w:ascii="Arial" w:hAnsi="Arial" w:cs="Arial"/>
          <w:bCs/>
          <w:iCs/>
        </w:rPr>
        <w:t>Receive regular professional supervision.</w:t>
      </w:r>
    </w:p>
    <w:p w14:paraId="59C10C3D" w14:textId="77777777" w:rsidR="00094BA3" w:rsidRDefault="00094BA3" w:rsidP="00094BA3">
      <w:pPr>
        <w:keepNext/>
        <w:keepLines/>
        <w:spacing w:after="0"/>
        <w:rPr>
          <w:rFonts w:ascii="Arial" w:hAnsi="Arial" w:cs="Arial"/>
        </w:rPr>
      </w:pPr>
    </w:p>
    <w:p w14:paraId="5DFF5EDE" w14:textId="77777777" w:rsidR="00094BA3" w:rsidRDefault="00094BA3" w:rsidP="00094BA3">
      <w:pPr>
        <w:keepNext/>
        <w:keepLines/>
        <w:spacing w:after="0"/>
        <w:rPr>
          <w:rFonts w:ascii="Arial" w:hAnsi="Arial" w:cs="Arial"/>
          <w:b/>
        </w:rPr>
      </w:pPr>
      <w:r>
        <w:rPr>
          <w:rFonts w:ascii="Arial" w:hAnsi="Arial" w:cs="Arial"/>
          <w:b/>
        </w:rPr>
        <w:t>Data Exchange Reporting</w:t>
      </w:r>
    </w:p>
    <w:p w14:paraId="28E75B44" w14:textId="77777777" w:rsidR="00094BA3" w:rsidRDefault="00094BA3" w:rsidP="00094BA3">
      <w:pPr>
        <w:keepNext/>
        <w:keepLines/>
        <w:spacing w:after="0"/>
        <w:rPr>
          <w:rFonts w:ascii="Arial" w:hAnsi="Arial" w:cs="Arial"/>
        </w:rPr>
      </w:pPr>
    </w:p>
    <w:p w14:paraId="4EA519C4" w14:textId="1D9E875F" w:rsidR="00094BA3" w:rsidRDefault="00094BA3" w:rsidP="00094BA3">
      <w:pPr>
        <w:keepNext/>
        <w:keepLines/>
        <w:spacing w:after="0"/>
        <w:rPr>
          <w:rFonts w:ascii="Arial" w:hAnsi="Arial" w:cs="Arial"/>
        </w:rPr>
      </w:pPr>
      <w:r>
        <w:rPr>
          <w:rFonts w:ascii="Arial" w:hAnsi="Arial" w:cs="Arial"/>
        </w:rPr>
        <w:t xml:space="preserve">You are required to provide client level data and service delivery information from all recipients of this Activity in accordance with the </w:t>
      </w:r>
      <w:hyperlink r:id="rId18" w:history="1">
        <w:r w:rsidRPr="00C23703">
          <w:rPr>
            <w:rStyle w:val="Hyperlink"/>
            <w:rFonts w:ascii="Arial" w:hAnsi="Arial" w:cs="Arial"/>
          </w:rPr>
          <w:t>Data Exchange Protocols</w:t>
        </w:r>
      </w:hyperlink>
      <w:r w:rsidR="00C23703">
        <w:rPr>
          <w:rFonts w:ascii="Arial" w:hAnsi="Arial" w:cs="Arial"/>
        </w:rPr>
        <w:t>.</w:t>
      </w:r>
      <w:r>
        <w:rPr>
          <w:rFonts w:ascii="Arial" w:hAnsi="Arial" w:cs="Arial"/>
        </w:rPr>
        <w:t xml:space="preserve"> </w:t>
      </w:r>
    </w:p>
    <w:p w14:paraId="2EDA5AC8" w14:textId="77777777" w:rsidR="00094BA3" w:rsidRDefault="00094BA3" w:rsidP="00094BA3">
      <w:pPr>
        <w:keepNext/>
        <w:keepLines/>
        <w:spacing w:after="0"/>
        <w:rPr>
          <w:rFonts w:ascii="Arial" w:hAnsi="Arial" w:cs="Arial"/>
        </w:rPr>
      </w:pPr>
    </w:p>
    <w:p w14:paraId="09D977B0" w14:textId="77777777" w:rsidR="00094BA3" w:rsidRDefault="00094BA3" w:rsidP="00094BA3">
      <w:pPr>
        <w:spacing w:after="0" w:line="240" w:lineRule="auto"/>
        <w:rPr>
          <w:rFonts w:ascii="Arial" w:hAnsi="Arial" w:cs="Arial"/>
        </w:rPr>
      </w:pPr>
      <w:r>
        <w:rPr>
          <w:rFonts w:ascii="Arial" w:hAnsi="Arial" w:cs="Arial"/>
        </w:rPr>
        <w:t>You must provide the data required within the Data Exchange through an approved mechanism as outlined in the Data Exchange Protocols.</w:t>
      </w:r>
    </w:p>
    <w:p w14:paraId="76D143EC" w14:textId="77777777" w:rsidR="00094BA3" w:rsidRDefault="00094BA3" w:rsidP="00094BA3">
      <w:pPr>
        <w:spacing w:after="0" w:line="240" w:lineRule="auto"/>
        <w:rPr>
          <w:rFonts w:ascii="Arial" w:hAnsi="Arial" w:cs="Arial"/>
        </w:rPr>
      </w:pPr>
    </w:p>
    <w:p w14:paraId="55279C49" w14:textId="77777777" w:rsidR="00094BA3" w:rsidRDefault="00094BA3" w:rsidP="00094BA3">
      <w:pPr>
        <w:spacing w:after="0" w:line="240" w:lineRule="auto"/>
        <w:rPr>
          <w:rFonts w:ascii="Arial" w:hAnsi="Arial" w:cs="Arial"/>
        </w:rPr>
      </w:pPr>
      <w:r>
        <w:rPr>
          <w:rFonts w:ascii="Arial" w:hAnsi="Arial" w:cs="Arial"/>
        </w:rPr>
        <w:t>You are required to finalise the submission of data within the Data Exchange for each reporting period within 30 days of the reporting period ceasing, as set out in the reporting schedule below.</w:t>
      </w:r>
    </w:p>
    <w:p w14:paraId="6BA3778E" w14:textId="77777777" w:rsidR="00094BA3" w:rsidRDefault="00094BA3" w:rsidP="00094BA3">
      <w:pPr>
        <w:spacing w:after="0" w:line="240" w:lineRule="auto"/>
        <w:rPr>
          <w:rFonts w:ascii="Arial" w:hAnsi="Arial" w:cs="Arial"/>
        </w:rPr>
      </w:pPr>
    </w:p>
    <w:p w14:paraId="792E7705" w14:textId="7F46991C" w:rsidR="00094BA3" w:rsidRDefault="00094BA3" w:rsidP="00094BA3">
      <w:pPr>
        <w:spacing w:after="0" w:line="240" w:lineRule="auto"/>
        <w:rPr>
          <w:rFonts w:ascii="Arial" w:hAnsi="Arial" w:cs="Arial"/>
        </w:rPr>
      </w:pPr>
      <w:r>
        <w:rPr>
          <w:rFonts w:ascii="Arial" w:hAnsi="Arial" w:cs="Arial"/>
        </w:rPr>
        <w:t xml:space="preserve">For this Activity, participation in the “partnership approach” is a requirement of funding. By participating, you agree to provide some additional information in exchange for the receipt of regular and relevant reports. The </w:t>
      </w:r>
      <w:proofErr w:type="gramStart"/>
      <w:r>
        <w:rPr>
          <w:rFonts w:ascii="Arial" w:hAnsi="Arial" w:cs="Arial"/>
        </w:rPr>
        <w:t>main focus</w:t>
      </w:r>
      <w:proofErr w:type="gramEnd"/>
      <w:r>
        <w:rPr>
          <w:rFonts w:ascii="Arial" w:hAnsi="Arial" w:cs="Arial"/>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1D54C18B" w14:textId="77777777" w:rsidR="00913440" w:rsidRDefault="00913440" w:rsidP="00913440">
      <w:pPr>
        <w:spacing w:after="0" w:line="240" w:lineRule="auto"/>
        <w:rPr>
          <w:rFonts w:ascii="Arial" w:hAnsi="Arial" w:cs="Arial"/>
          <w:b/>
        </w:rPr>
      </w:pPr>
    </w:p>
    <w:p w14:paraId="29F31809" w14:textId="40A1922C" w:rsidR="00913440" w:rsidRPr="00C81474" w:rsidRDefault="00913440" w:rsidP="00913440">
      <w:pPr>
        <w:spacing w:after="0" w:line="240" w:lineRule="auto"/>
        <w:rPr>
          <w:color w:val="FF0000"/>
        </w:rPr>
      </w:pPr>
      <w:r w:rsidRPr="00D21A1C">
        <w:rPr>
          <w:rFonts w:ascii="Arial" w:hAnsi="Arial" w:cs="Arial"/>
          <w:b/>
        </w:rPr>
        <w:t>Activity Work Plan</w:t>
      </w:r>
      <w:r w:rsidRPr="00A11871">
        <w:rPr>
          <w:b/>
        </w:rPr>
        <w:t xml:space="preserve"> </w:t>
      </w:r>
    </w:p>
    <w:p w14:paraId="6DEDCB99" w14:textId="77777777" w:rsidR="00913440" w:rsidRPr="00913440" w:rsidRDefault="00913440" w:rsidP="00913440">
      <w:pPr>
        <w:spacing w:after="0" w:line="240" w:lineRule="auto"/>
        <w:rPr>
          <w:rFonts w:ascii="Arial" w:hAnsi="Arial" w:cs="Arial"/>
        </w:rPr>
      </w:pPr>
    </w:p>
    <w:p w14:paraId="06990583" w14:textId="17EBF7CA" w:rsidR="00094BA3" w:rsidRDefault="00913440" w:rsidP="00094BA3">
      <w:pPr>
        <w:spacing w:after="0" w:line="240" w:lineRule="auto"/>
        <w:rPr>
          <w:rFonts w:ascii="Arial" w:hAnsi="Arial" w:cs="Arial"/>
        </w:rPr>
      </w:pPr>
      <w:r w:rsidRPr="00913440">
        <w:rPr>
          <w:rFonts w:ascii="Arial" w:hAnsi="Arial" w:cs="Arial"/>
        </w:rPr>
        <w:t xml:space="preserve">The detailed deliverables and activities you will undertake to fulfil this Activity must be provided as part of your Activity Work Plan, to </w:t>
      </w:r>
      <w:proofErr w:type="gramStart"/>
      <w:r w:rsidRPr="00913440">
        <w:rPr>
          <w:rFonts w:ascii="Arial" w:hAnsi="Arial" w:cs="Arial"/>
        </w:rPr>
        <w:t>be developed</w:t>
      </w:r>
      <w:proofErr w:type="gramEnd"/>
      <w:r w:rsidRPr="00913440">
        <w:rPr>
          <w:rFonts w:ascii="Arial" w:hAnsi="Arial" w:cs="Arial"/>
        </w:rPr>
        <w:t xml:space="preserve"> in consultation with, and provided to the Department as specified in Item E. Once mutually agreed the Activity Work Plan will form part of the Agreement. You are required to report against any performance measures set out in the Activity Work Plan within 30 days of the reporting period ceasing.</w:t>
      </w:r>
      <w:bookmarkStart w:id="12" w:name="_GoBack"/>
      <w:bookmarkEnd w:id="12"/>
    </w:p>
    <w:p w14:paraId="37752E75" w14:textId="77777777" w:rsidR="00094BA3" w:rsidRDefault="00094BA3" w:rsidP="00094BA3">
      <w:pPr>
        <w:spacing w:after="0" w:line="240" w:lineRule="auto"/>
        <w:rPr>
          <w:rFonts w:ascii="Arial" w:hAnsi="Arial" w:cs="Arial"/>
          <w:bCs/>
          <w:color w:val="0070C0"/>
        </w:rPr>
      </w:pPr>
      <w:r>
        <w:rPr>
          <w:rFonts w:ascii="Arial" w:hAnsi="Arial" w:cs="Arial"/>
          <w:b/>
          <w:bCs/>
        </w:rPr>
        <w:lastRenderedPageBreak/>
        <w:t>Service Types</w:t>
      </w:r>
    </w:p>
    <w:p w14:paraId="25841D5D" w14:textId="77777777" w:rsidR="00094BA3" w:rsidRDefault="00094BA3" w:rsidP="00094BA3">
      <w:pPr>
        <w:spacing w:after="0" w:line="240" w:lineRule="auto"/>
        <w:rPr>
          <w:rFonts w:ascii="Arial" w:hAnsi="Arial" w:cs="Arial"/>
          <w:b/>
          <w:spacing w:val="5"/>
          <w:highlight w:val="yellow"/>
        </w:rPr>
      </w:pPr>
    </w:p>
    <w:p w14:paraId="0E9A58A5" w14:textId="5449D941" w:rsidR="00094BA3" w:rsidRDefault="00A64167" w:rsidP="00094BA3">
      <w:pPr>
        <w:spacing w:after="0" w:line="240" w:lineRule="auto"/>
        <w:rPr>
          <w:rFonts w:ascii="Arial" w:hAnsi="Arial" w:cs="Arial"/>
        </w:rPr>
      </w:pPr>
      <w:r>
        <w:rPr>
          <w:rFonts w:ascii="Arial" w:hAnsi="Arial" w:cs="Arial"/>
        </w:rPr>
        <w:t xml:space="preserve">Where you </w:t>
      </w:r>
      <w:proofErr w:type="gramStart"/>
      <w:r>
        <w:rPr>
          <w:rFonts w:ascii="Arial" w:hAnsi="Arial" w:cs="Arial"/>
        </w:rPr>
        <w:t>are funded</w:t>
      </w:r>
      <w:proofErr w:type="gramEnd"/>
      <w:r>
        <w:rPr>
          <w:rFonts w:ascii="Arial" w:hAnsi="Arial" w:cs="Arial"/>
        </w:rPr>
        <w:t xml:space="preserve"> for more than one service type under this Activity, and you have met all requirements within one of these service areas, you may shift all or part of any remaining funds to another service type you support under this Activity. Before reallocating funding under the service areas, you must first consult with us. Where funding is above $50,000 (GST </w:t>
      </w:r>
      <w:proofErr w:type="spellStart"/>
      <w:proofErr w:type="gramStart"/>
      <w:r>
        <w:rPr>
          <w:rFonts w:ascii="Arial" w:hAnsi="Arial" w:cs="Arial"/>
        </w:rPr>
        <w:t>excl</w:t>
      </w:r>
      <w:proofErr w:type="spellEnd"/>
      <w:r>
        <w:rPr>
          <w:rFonts w:ascii="Arial" w:hAnsi="Arial" w:cs="Arial"/>
        </w:rPr>
        <w:t>)</w:t>
      </w:r>
      <w:proofErr w:type="gramEnd"/>
      <w:r>
        <w:rPr>
          <w:rFonts w:ascii="Arial" w:hAnsi="Arial" w:cs="Arial"/>
        </w:rPr>
        <w:t xml:space="preserve"> you must obtain our approval. You must advise us of resource attributions annually through the Activity Work Plan Report as detailed in Item E.</w:t>
      </w:r>
    </w:p>
    <w:p w14:paraId="0B61F07A" w14:textId="77777777" w:rsidR="00A64167" w:rsidRDefault="00A64167" w:rsidP="00094BA3">
      <w:pPr>
        <w:spacing w:after="0" w:line="240" w:lineRule="auto"/>
        <w:rPr>
          <w:rFonts w:ascii="Arial" w:hAnsi="Arial" w:cs="Arial"/>
        </w:rPr>
      </w:pPr>
    </w:p>
    <w:p w14:paraId="524772E7" w14:textId="77777777" w:rsidR="00094BA3" w:rsidRDefault="00094BA3" w:rsidP="00094BA3">
      <w:pPr>
        <w:spacing w:after="0" w:line="240" w:lineRule="auto"/>
        <w:rPr>
          <w:rFonts w:cs="Arial"/>
          <w:b/>
          <w:bCs/>
        </w:rPr>
      </w:pPr>
      <w:r>
        <w:rPr>
          <w:rFonts w:ascii="Arial" w:hAnsi="Arial" w:cs="Arial"/>
          <w:b/>
          <w:bCs/>
        </w:rPr>
        <w:t>Outlet Locations</w:t>
      </w:r>
    </w:p>
    <w:p w14:paraId="1A0FF444" w14:textId="77777777" w:rsidR="00094BA3" w:rsidRDefault="00094BA3" w:rsidP="00094BA3">
      <w:pPr>
        <w:spacing w:after="0" w:line="240" w:lineRule="auto"/>
        <w:rPr>
          <w:rFonts w:cs="Arial"/>
          <w:bCs/>
        </w:rPr>
      </w:pPr>
    </w:p>
    <w:p w14:paraId="711AA134" w14:textId="77777777" w:rsidR="00094BA3" w:rsidRDefault="00094BA3" w:rsidP="00094BA3">
      <w:pPr>
        <w:spacing w:after="0" w:line="240" w:lineRule="auto"/>
        <w:rPr>
          <w:rFonts w:ascii="Arial" w:hAnsi="Arial" w:cs="Arial"/>
        </w:rPr>
      </w:pPr>
      <w:r>
        <w:rPr>
          <w:rFonts w:ascii="Arial" w:hAnsi="Arial" w:cs="Arial"/>
        </w:rPr>
        <w:t xml:space="preserve">You must advise us of the outlet locations for this Activity within 3 months of the execution of this Agreement. Thereafter, you must advise us of any changes </w:t>
      </w:r>
      <w:proofErr w:type="gramStart"/>
      <w:r>
        <w:rPr>
          <w:rFonts w:ascii="Arial" w:hAnsi="Arial" w:cs="Arial"/>
        </w:rPr>
        <w:t>to outlet locations annually through the Activity Work Plan Report as detailed in Item E.</w:t>
      </w:r>
      <w:proofErr w:type="gramEnd"/>
    </w:p>
    <w:p w14:paraId="25A73331" w14:textId="77777777" w:rsidR="00094BA3" w:rsidRDefault="00094BA3" w:rsidP="00094BA3">
      <w:pPr>
        <w:spacing w:after="0" w:line="240" w:lineRule="auto"/>
        <w:rPr>
          <w:rFonts w:ascii="Arial" w:hAnsi="Arial" w:cs="Arial"/>
          <w:color w:val="0070C0"/>
        </w:rPr>
      </w:pPr>
    </w:p>
    <w:p w14:paraId="1A63967A" w14:textId="22036030" w:rsidR="00094BA3" w:rsidRDefault="00094BA3" w:rsidP="00094BA3">
      <w:pPr>
        <w:spacing w:after="0" w:line="240" w:lineRule="auto"/>
        <w:rPr>
          <w:rFonts w:cs="Arial"/>
          <w:bCs/>
          <w:color w:val="FF0000"/>
        </w:rPr>
      </w:pPr>
      <w:r>
        <w:rPr>
          <w:rFonts w:ascii="Arial" w:hAnsi="Arial" w:cs="Arial"/>
          <w:b/>
          <w:bCs/>
        </w:rPr>
        <w:t>Service Areas</w:t>
      </w:r>
      <w:r>
        <w:rPr>
          <w:rFonts w:cs="Arial"/>
          <w:b/>
          <w:bCs/>
        </w:rPr>
        <w:t xml:space="preserve"> </w:t>
      </w:r>
    </w:p>
    <w:p w14:paraId="79907838" w14:textId="77777777" w:rsidR="00094BA3" w:rsidRDefault="00094BA3" w:rsidP="00094BA3">
      <w:pPr>
        <w:spacing w:after="0" w:line="240" w:lineRule="auto"/>
        <w:rPr>
          <w:rFonts w:ascii="Arial" w:hAnsi="Arial" w:cs="Arial"/>
          <w:bCs/>
        </w:rPr>
      </w:pPr>
    </w:p>
    <w:p w14:paraId="3660FB7F" w14:textId="77777777" w:rsidR="00094BA3" w:rsidRDefault="00094BA3" w:rsidP="00094BA3">
      <w:pPr>
        <w:spacing w:after="0" w:line="240" w:lineRule="auto"/>
        <w:rPr>
          <w:rFonts w:ascii="Arial" w:hAnsi="Arial" w:cs="Arial"/>
        </w:rPr>
      </w:pPr>
      <w:r>
        <w:rPr>
          <w:rFonts w:ascii="Arial" w:hAnsi="Arial" w:cs="Arial"/>
        </w:rPr>
        <w:t>You must provide services across the service area as outlined in the table below.</w:t>
      </w:r>
    </w:p>
    <w:p w14:paraId="419D1A6B" w14:textId="77777777" w:rsidR="00094BA3" w:rsidRDefault="00094BA3" w:rsidP="00094BA3">
      <w:pPr>
        <w:spacing w:after="0" w:line="240" w:lineRule="auto"/>
        <w:rPr>
          <w:rFonts w:ascii="Arial" w:hAnsi="Arial" w:cs="Arial"/>
        </w:rPr>
      </w:pPr>
    </w:p>
    <w:p w14:paraId="430B4832" w14:textId="77777777" w:rsidR="00094BA3" w:rsidRDefault="00094BA3" w:rsidP="00094BA3">
      <w:pPr>
        <w:spacing w:after="0" w:line="240" w:lineRule="auto"/>
        <w:rPr>
          <w:rFonts w:ascii="Arial" w:hAnsi="Arial" w:cs="Arial"/>
        </w:rPr>
      </w:pPr>
      <w:r>
        <w:rPr>
          <w:rFonts w:ascii="Arial" w:hAnsi="Arial" w:cs="Arial"/>
        </w:rPr>
        <w:t xml:space="preserve">Where you </w:t>
      </w:r>
      <w:proofErr w:type="gramStart"/>
      <w:r>
        <w:rPr>
          <w:rFonts w:ascii="Arial" w:hAnsi="Arial" w:cs="Arial"/>
        </w:rPr>
        <w:t>are funded</w:t>
      </w:r>
      <w:proofErr w:type="gramEnd"/>
      <w:r>
        <w:rPr>
          <w:rFonts w:ascii="Arial" w:hAnsi="Arial" w:cs="Arial"/>
        </w:rPr>
        <w:t xml:space="preserve">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22DD9163" w14:textId="77777777" w:rsidR="00094BA3" w:rsidRDefault="00094BA3" w:rsidP="00094BA3">
      <w:pPr>
        <w:spacing w:after="0" w:line="240" w:lineRule="auto"/>
        <w:rPr>
          <w:rFonts w:ascii="Arial" w:hAnsi="Arial" w:cs="Arial"/>
        </w:rPr>
      </w:pPr>
    </w:p>
    <w:p w14:paraId="291F5A09" w14:textId="77777777" w:rsidR="00094BA3" w:rsidRDefault="00094BA3" w:rsidP="00094BA3">
      <w:pPr>
        <w:spacing w:after="0" w:line="240" w:lineRule="auto"/>
        <w:rPr>
          <w:rFonts w:ascii="Arial" w:hAnsi="Arial" w:cs="Arial"/>
          <w:b/>
        </w:rPr>
      </w:pPr>
      <w:r>
        <w:rPr>
          <w:rFonts w:ascii="Arial" w:hAnsi="Arial" w:cs="Arial"/>
          <w:b/>
        </w:rPr>
        <w:t>Use of Location, Service Information and Attributed Funding Information</w:t>
      </w:r>
    </w:p>
    <w:p w14:paraId="32CDC14B" w14:textId="77777777" w:rsidR="00094BA3" w:rsidRDefault="00094BA3" w:rsidP="00094BA3">
      <w:pPr>
        <w:spacing w:after="0" w:line="240" w:lineRule="auto"/>
        <w:rPr>
          <w:rFonts w:ascii="Arial" w:hAnsi="Arial" w:cs="Arial"/>
        </w:rPr>
      </w:pPr>
    </w:p>
    <w:p w14:paraId="1A7D32AA" w14:textId="0E967479" w:rsidR="00094BA3" w:rsidRDefault="00094BA3" w:rsidP="00094BA3">
      <w:pPr>
        <w:spacing w:after="0" w:line="240" w:lineRule="auto"/>
        <w:rPr>
          <w:rFonts w:ascii="Arial" w:hAnsi="Arial" w:cs="Arial"/>
        </w:rPr>
      </w:pPr>
      <w:r>
        <w:rPr>
          <w:rFonts w:ascii="Arial" w:hAnsi="Arial" w:cs="Arial"/>
        </w:rPr>
        <w:t xml:space="preserve">The information listed below on location, service area and any attributed </w:t>
      </w:r>
      <w:r w:rsidR="00820432">
        <w:rPr>
          <w:rFonts w:ascii="Arial" w:hAnsi="Arial" w:cs="Arial"/>
        </w:rPr>
        <w:t>Department of Social Services</w:t>
      </w:r>
      <w:r>
        <w:rPr>
          <w:rFonts w:ascii="Arial" w:hAnsi="Arial" w:cs="Arial"/>
        </w:rPr>
        <w:t xml:space="preserve"> funding amounts will be used by us to provide reports, by region, on </w:t>
      </w:r>
      <w:r w:rsidR="00820432">
        <w:rPr>
          <w:rFonts w:ascii="Arial" w:hAnsi="Arial" w:cs="Arial"/>
        </w:rPr>
        <w:t xml:space="preserve">the Department of Social Services’ </w:t>
      </w:r>
      <w:r>
        <w:rPr>
          <w:rFonts w:ascii="Arial" w:hAnsi="Arial" w:cs="Arial"/>
        </w:rPr>
        <w:t xml:space="preserve">funding. </w:t>
      </w:r>
    </w:p>
    <w:p w14:paraId="7A4E9405" w14:textId="77777777" w:rsidR="00A64167" w:rsidRDefault="00A64167" w:rsidP="00A64167">
      <w:pPr>
        <w:spacing w:before="240" w:after="0" w:line="240" w:lineRule="auto"/>
        <w:rPr>
          <w:rFonts w:ascii="Arial" w:hAnsi="Arial" w:cs="Arial"/>
          <w:b/>
        </w:rPr>
      </w:pPr>
      <w:bookmarkStart w:id="13" w:name="_Toc468693659"/>
      <w:r>
        <w:rPr>
          <w:rFonts w:ascii="Arial" w:hAnsi="Arial" w:cs="Arial"/>
          <w:b/>
        </w:rPr>
        <w:t>Managing the Grant Activity</w:t>
      </w:r>
    </w:p>
    <w:p w14:paraId="33916BBE" w14:textId="77777777" w:rsidR="00A64167" w:rsidRDefault="00A64167" w:rsidP="00A64167">
      <w:pPr>
        <w:spacing w:after="0" w:line="240" w:lineRule="auto"/>
        <w:rPr>
          <w:rFonts w:ascii="Arial" w:hAnsi="Arial" w:cs="Arial"/>
          <w:b/>
        </w:rPr>
      </w:pPr>
    </w:p>
    <w:p w14:paraId="6CDF2F76" w14:textId="77777777" w:rsidR="00A64167" w:rsidRDefault="00A64167" w:rsidP="00A64167">
      <w:pPr>
        <w:pStyle w:val="Heading3"/>
        <w:spacing w:before="0"/>
        <w:rPr>
          <w:rFonts w:ascii="Arial" w:hAnsi="Arial" w:cs="Arial"/>
          <w:b w:val="0"/>
          <w:bCs w:val="0"/>
          <w:color w:val="auto"/>
          <w:u w:val="single"/>
        </w:rPr>
      </w:pPr>
      <w:bookmarkStart w:id="14" w:name="_Toc48748191"/>
      <w:r>
        <w:rPr>
          <w:rFonts w:ascii="Arial" w:hAnsi="Arial" w:cs="Arial"/>
          <w:b w:val="0"/>
          <w:bCs w:val="0"/>
          <w:color w:val="auto"/>
          <w:u w:val="single"/>
        </w:rPr>
        <w:t>Grant Agreement variations</w:t>
      </w:r>
      <w:bookmarkEnd w:id="14"/>
    </w:p>
    <w:p w14:paraId="492CC118" w14:textId="58C00BD9" w:rsidR="00A64167" w:rsidRDefault="00A64167" w:rsidP="00A64167">
      <w:pPr>
        <w:tabs>
          <w:tab w:val="left" w:pos="0"/>
        </w:tabs>
        <w:rPr>
          <w:rFonts w:ascii="Arial" w:hAnsi="Arial" w:cs="Arial"/>
        </w:rPr>
      </w:pPr>
      <w:r>
        <w:rPr>
          <w:rFonts w:ascii="Arial" w:hAnsi="Arial" w:cs="Arial"/>
        </w:rPr>
        <w:t>We recognise that unexpected events may affect your progress. In these circumstances, you can request a variation to your grant agreement. You can request a variation by contacting your Funding Arrangement Manager.</w:t>
      </w:r>
    </w:p>
    <w:p w14:paraId="00FFFAFD" w14:textId="77777777" w:rsidR="000A3006" w:rsidRDefault="000A3006" w:rsidP="000A3006">
      <w:pPr>
        <w:rPr>
          <w:rFonts w:ascii="Arial" w:hAnsi="Arial" w:cs="Arial"/>
        </w:rPr>
      </w:pPr>
      <w:r>
        <w:rPr>
          <w:rFonts w:ascii="Arial" w:hAnsi="Arial" w:cs="Arial"/>
        </w:rPr>
        <w:t xml:space="preserve">You should not assume that a variation request </w:t>
      </w:r>
      <w:proofErr w:type="gramStart"/>
      <w:r>
        <w:rPr>
          <w:rFonts w:ascii="Arial" w:hAnsi="Arial" w:cs="Arial"/>
        </w:rPr>
        <w:t>will</w:t>
      </w:r>
      <w:proofErr w:type="gramEnd"/>
      <w:r>
        <w:rPr>
          <w:rFonts w:ascii="Arial" w:hAnsi="Arial" w:cs="Arial"/>
        </w:rPr>
        <w:t xml:space="preserve"> be successful. We will consider your request based on provisions in the grant agreement and the likely impact on achieving outcomes.</w:t>
      </w:r>
    </w:p>
    <w:p w14:paraId="774C6844" w14:textId="77777777" w:rsidR="000A3006" w:rsidRDefault="000A3006" w:rsidP="000A3006">
      <w:pPr>
        <w:pStyle w:val="Heading3"/>
        <w:rPr>
          <w:rFonts w:ascii="Arial" w:hAnsi="Arial" w:cs="Arial"/>
          <w:b w:val="0"/>
          <w:bCs w:val="0"/>
          <w:color w:val="auto"/>
          <w:u w:val="single"/>
        </w:rPr>
      </w:pPr>
      <w:bookmarkStart w:id="15" w:name="_Toc48748192"/>
      <w:r>
        <w:rPr>
          <w:rFonts w:ascii="Arial" w:hAnsi="Arial" w:cs="Arial"/>
          <w:b w:val="0"/>
          <w:bCs w:val="0"/>
          <w:color w:val="auto"/>
          <w:u w:val="single"/>
        </w:rPr>
        <w:t>Compliance visits</w:t>
      </w:r>
      <w:bookmarkEnd w:id="13"/>
      <w:bookmarkEnd w:id="15"/>
      <w:r>
        <w:rPr>
          <w:rFonts w:ascii="Arial" w:hAnsi="Arial" w:cs="Arial"/>
          <w:b w:val="0"/>
          <w:bCs w:val="0"/>
          <w:color w:val="auto"/>
          <w:u w:val="single"/>
        </w:rPr>
        <w:t xml:space="preserve"> </w:t>
      </w:r>
    </w:p>
    <w:p w14:paraId="4948FDEB" w14:textId="77777777" w:rsidR="000A3006" w:rsidRDefault="000A3006" w:rsidP="000A3006">
      <w:pPr>
        <w:rPr>
          <w:rFonts w:ascii="Arial" w:hAnsi="Arial" w:cs="Arial"/>
        </w:rPr>
      </w:pPr>
      <w:r>
        <w:rPr>
          <w:rFonts w:ascii="Arial" w:hAnsi="Arial" w:cs="Arial"/>
        </w:rPr>
        <w:t>We may visit you during or at the completion of your grant activity to review your compliance with the grant agreement. We will provide you with reasonable notice of any compliance visit.</w:t>
      </w:r>
    </w:p>
    <w:p w14:paraId="10420BE5" w14:textId="77777777" w:rsidR="000A3006" w:rsidRDefault="000A3006" w:rsidP="000A3006">
      <w:pPr>
        <w:pStyle w:val="Heading3"/>
        <w:rPr>
          <w:rFonts w:ascii="Arial" w:hAnsi="Arial" w:cs="Arial"/>
          <w:b w:val="0"/>
          <w:bCs w:val="0"/>
          <w:color w:val="auto"/>
          <w:u w:val="single"/>
        </w:rPr>
      </w:pPr>
      <w:bookmarkStart w:id="16" w:name="_Toc48748193"/>
      <w:r>
        <w:rPr>
          <w:rFonts w:ascii="Arial" w:hAnsi="Arial" w:cs="Arial"/>
          <w:b w:val="0"/>
          <w:bCs w:val="0"/>
          <w:color w:val="auto"/>
          <w:u w:val="single"/>
        </w:rPr>
        <w:t>Record keeping</w:t>
      </w:r>
      <w:bookmarkEnd w:id="16"/>
    </w:p>
    <w:p w14:paraId="50CF1CC4" w14:textId="77777777" w:rsidR="000A3006" w:rsidRDefault="000A3006" w:rsidP="000A3006">
      <w:pPr>
        <w:rPr>
          <w:rFonts w:ascii="Arial" w:hAnsi="Arial" w:cs="Arial"/>
        </w:rPr>
      </w:pPr>
      <w:r>
        <w:rPr>
          <w:rFonts w:ascii="Arial" w:hAnsi="Arial" w:cs="Arial"/>
        </w:rPr>
        <w:t xml:space="preserve">We may also inspect the records you are required to keep under the grant agreement. </w:t>
      </w:r>
    </w:p>
    <w:p w14:paraId="348F7D78" w14:textId="77777777" w:rsidR="000A3006" w:rsidRDefault="000A3006" w:rsidP="000A3006">
      <w:pPr>
        <w:pStyle w:val="Heading3"/>
        <w:rPr>
          <w:rFonts w:ascii="Arial" w:hAnsi="Arial" w:cs="Arial"/>
          <w:b w:val="0"/>
          <w:bCs w:val="0"/>
          <w:color w:val="auto"/>
          <w:u w:val="single"/>
        </w:rPr>
      </w:pPr>
      <w:bookmarkStart w:id="17" w:name="_Toc48748194"/>
      <w:r>
        <w:rPr>
          <w:rFonts w:ascii="Arial" w:hAnsi="Arial" w:cs="Arial"/>
          <w:b w:val="0"/>
          <w:bCs w:val="0"/>
          <w:color w:val="auto"/>
          <w:u w:val="single"/>
        </w:rPr>
        <w:t>Evaluation</w:t>
      </w:r>
      <w:bookmarkEnd w:id="17"/>
    </w:p>
    <w:p w14:paraId="7FCD3E81" w14:textId="77777777" w:rsidR="000A3006" w:rsidRDefault="000A3006" w:rsidP="000A3006">
      <w:pPr>
        <w:rPr>
          <w:rFonts w:ascii="Arial" w:hAnsi="Arial" w:cs="Arial"/>
        </w:rPr>
      </w:pPr>
      <w:r>
        <w:rPr>
          <w:rFonts w:ascii="Arial" w:hAnsi="Arial" w:cs="Arial"/>
        </w:rPr>
        <w:t xml:space="preserve">We will evaluate the ICAFSS to see how well the outcomes and objectives have been achieved. We may use information from your application and reports for this purpose. We may also ask you for more information to help us understand how the grant </w:t>
      </w:r>
      <w:proofErr w:type="gramStart"/>
      <w:r>
        <w:rPr>
          <w:rFonts w:ascii="Arial" w:hAnsi="Arial" w:cs="Arial"/>
        </w:rPr>
        <w:t>impacted</w:t>
      </w:r>
      <w:proofErr w:type="gramEnd"/>
      <w:r>
        <w:rPr>
          <w:rFonts w:ascii="Arial" w:hAnsi="Arial" w:cs="Arial"/>
        </w:rPr>
        <w:t xml:space="preserve"> you and to evaluate how effective the program was in achieving its outcomes.</w:t>
      </w:r>
    </w:p>
    <w:p w14:paraId="7FE3D9DD" w14:textId="77777777" w:rsidR="000A3006" w:rsidRDefault="000A3006" w:rsidP="000A3006">
      <w:pPr>
        <w:rPr>
          <w:rFonts w:ascii="Arial" w:hAnsi="Arial" w:cs="Arial"/>
        </w:rPr>
      </w:pPr>
      <w:r>
        <w:rPr>
          <w:rFonts w:ascii="Arial" w:hAnsi="Arial" w:cs="Arial"/>
        </w:rPr>
        <w:t xml:space="preserve">We may contact you up to one year after you finish your grant for more information to assist with this evaluation. </w:t>
      </w:r>
    </w:p>
    <w:p w14:paraId="6329EEFD" w14:textId="77777777" w:rsidR="000A3006" w:rsidRDefault="000A3006" w:rsidP="000A3006">
      <w:pPr>
        <w:pStyle w:val="Heading3"/>
        <w:rPr>
          <w:rFonts w:ascii="Arial" w:hAnsi="Arial" w:cs="Arial"/>
          <w:b w:val="0"/>
          <w:bCs w:val="0"/>
          <w:color w:val="auto"/>
          <w:u w:val="single"/>
        </w:rPr>
      </w:pPr>
      <w:bookmarkStart w:id="18" w:name="_Acknowledgement"/>
      <w:bookmarkStart w:id="19" w:name="_Toc48748195"/>
      <w:bookmarkEnd w:id="18"/>
      <w:r>
        <w:rPr>
          <w:rFonts w:ascii="Arial" w:hAnsi="Arial" w:cs="Arial"/>
          <w:b w:val="0"/>
          <w:bCs w:val="0"/>
          <w:color w:val="auto"/>
          <w:u w:val="single"/>
        </w:rPr>
        <w:lastRenderedPageBreak/>
        <w:t>Acknowledgement</w:t>
      </w:r>
      <w:bookmarkEnd w:id="19"/>
    </w:p>
    <w:p w14:paraId="5AC25BEA" w14:textId="77777777" w:rsidR="000A3006" w:rsidRDefault="000A3006" w:rsidP="000A3006">
      <w:pPr>
        <w:rPr>
          <w:rFonts w:ascii="Arial" w:hAnsi="Arial" w:cs="Arial"/>
        </w:rPr>
      </w:pPr>
      <w:r>
        <w:rPr>
          <w:rFonts w:ascii="Arial" w:hAnsi="Arial" w:cs="Arial"/>
        </w:rPr>
        <w:t xml:space="preserve">All materials or public statements related to the Intercountry Adoptee and Family Support Service </w:t>
      </w:r>
      <w:proofErr w:type="gramStart"/>
      <w:r>
        <w:rPr>
          <w:rFonts w:ascii="Arial" w:hAnsi="Arial" w:cs="Arial"/>
        </w:rPr>
        <w:t>must also</w:t>
      </w:r>
      <w:proofErr w:type="gramEnd"/>
      <w:r>
        <w:rPr>
          <w:rFonts w:ascii="Arial" w:hAnsi="Arial" w:cs="Arial"/>
        </w:rPr>
        <w:t xml:space="preserve"> acknowledge the Commonwealth by saying:</w:t>
      </w:r>
    </w:p>
    <w:p w14:paraId="40D430EF" w14:textId="77777777" w:rsidR="002A7828" w:rsidRDefault="000A3006" w:rsidP="00A64167">
      <w:pPr>
        <w:spacing w:after="0" w:line="240" w:lineRule="auto"/>
        <w:rPr>
          <w:rFonts w:ascii="Arial" w:hAnsi="Arial" w:cs="Arial"/>
          <w:b/>
        </w:rPr>
      </w:pPr>
      <w:r>
        <w:rPr>
          <w:rFonts w:ascii="Arial" w:hAnsi="Arial" w:cs="Arial"/>
        </w:rPr>
        <w:t>‘This Intercountry Adoptee and Family Support Service receives grant funding from the Australian Government.’</w:t>
      </w:r>
    </w:p>
    <w:p w14:paraId="460B0DF1" w14:textId="77777777" w:rsidR="002A7828" w:rsidRDefault="002A7828" w:rsidP="00A64167">
      <w:pPr>
        <w:spacing w:after="0" w:line="240" w:lineRule="auto"/>
        <w:rPr>
          <w:rFonts w:ascii="Arial" w:hAnsi="Arial" w:cs="Arial"/>
          <w:b/>
        </w:rPr>
      </w:pPr>
    </w:p>
    <w:p w14:paraId="2E55AC8C" w14:textId="77777777" w:rsidR="002A7828" w:rsidRDefault="002A7828">
      <w:pPr>
        <w:spacing w:after="0" w:line="240" w:lineRule="auto"/>
        <w:rPr>
          <w:rFonts w:ascii="Arial" w:hAnsi="Arial" w:cs="Arial"/>
          <w:b/>
        </w:rPr>
      </w:pPr>
      <w:r>
        <w:rPr>
          <w:rFonts w:ascii="Arial" w:hAnsi="Arial" w:cs="Arial"/>
          <w:b/>
        </w:rPr>
        <w:br w:type="page"/>
      </w:r>
    </w:p>
    <w:p w14:paraId="6E327A62" w14:textId="706A052E" w:rsidR="00A64167" w:rsidRDefault="00A64167" w:rsidP="00A64167">
      <w:pPr>
        <w:spacing w:after="0" w:line="240" w:lineRule="auto"/>
        <w:rPr>
          <w:rFonts w:ascii="Arial" w:hAnsi="Arial" w:cs="Arial"/>
          <w:b/>
        </w:rPr>
      </w:pPr>
      <w:r>
        <w:rPr>
          <w:rFonts w:ascii="Arial" w:hAnsi="Arial" w:cs="Arial"/>
          <w:b/>
        </w:rPr>
        <w:lastRenderedPageBreak/>
        <w:t>Performance Indicators</w:t>
      </w:r>
    </w:p>
    <w:p w14:paraId="218DEDBA" w14:textId="77777777" w:rsidR="00A64167" w:rsidRDefault="00A64167" w:rsidP="00A64167">
      <w:pPr>
        <w:spacing w:after="0" w:line="240" w:lineRule="auto"/>
        <w:rPr>
          <w:rFonts w:ascii="Arial" w:hAnsi="Arial" w:cs="Arial"/>
        </w:rPr>
      </w:pPr>
    </w:p>
    <w:p w14:paraId="5CE5B03E" w14:textId="77777777" w:rsidR="00A64167" w:rsidRDefault="00A64167" w:rsidP="00A64167">
      <w:pPr>
        <w:spacing w:after="0" w:line="240" w:lineRule="auto"/>
        <w:rPr>
          <w:rFonts w:ascii="Arial" w:hAnsi="Arial" w:cs="Arial"/>
        </w:rPr>
      </w:pPr>
      <w:r>
        <w:rPr>
          <w:rFonts w:ascii="Arial" w:hAnsi="Arial" w:cs="Arial"/>
        </w:rPr>
        <w:t xml:space="preserve">The performance indicators for the Activity </w:t>
      </w:r>
      <w:proofErr w:type="gramStart"/>
      <w:r>
        <w:rPr>
          <w:rFonts w:ascii="Arial" w:hAnsi="Arial" w:cs="Arial"/>
        </w:rPr>
        <w:t>are outlined</w:t>
      </w:r>
      <w:proofErr w:type="gramEnd"/>
      <w:r>
        <w:rPr>
          <w:rFonts w:ascii="Arial" w:hAnsi="Arial" w:cs="Arial"/>
        </w:rPr>
        <w:t xml:space="preserve"> in the section below.</w:t>
      </w:r>
    </w:p>
    <w:p w14:paraId="58356A1D" w14:textId="1164144E" w:rsidR="00A64167" w:rsidRPr="002A7828" w:rsidRDefault="00A64167" w:rsidP="002A7828">
      <w:pPr>
        <w:pStyle w:val="Heading1"/>
        <w:spacing w:before="240" w:after="120"/>
        <w:rPr>
          <w:rFonts w:ascii="Arial" w:hAnsi="Arial" w:cs="Arial"/>
          <w:b w:val="0"/>
        </w:rPr>
      </w:pPr>
      <w:r w:rsidRPr="000A3006">
        <w:rPr>
          <w:rFonts w:ascii="Arial" w:hAnsi="Arial" w:cs="Arial"/>
          <w:b w:val="0"/>
          <w:color w:val="auto"/>
          <w:sz w:val="22"/>
          <w:szCs w:val="22"/>
        </w:rPr>
        <w:t>Additional performance indicators may be added, such</w:t>
      </w:r>
      <w:r>
        <w:rPr>
          <w:rFonts w:ascii="Arial" w:hAnsi="Arial" w:cs="Arial"/>
          <w:b w:val="0"/>
          <w:color w:val="auto"/>
          <w:sz w:val="22"/>
          <w:szCs w:val="22"/>
        </w:rPr>
        <w:t xml:space="preserve"> as</w:t>
      </w:r>
      <w:r w:rsidRPr="000A3006">
        <w:rPr>
          <w:rFonts w:ascii="Arial" w:hAnsi="Arial" w:cs="Arial"/>
          <w:b w:val="0"/>
          <w:color w:val="auto"/>
          <w:sz w:val="22"/>
          <w:szCs w:val="22"/>
        </w:rPr>
        <w:t xml:space="preserve"> any other performance indicators agreed between </w:t>
      </w:r>
      <w:proofErr w:type="gramStart"/>
      <w:r>
        <w:rPr>
          <w:rFonts w:ascii="Arial" w:hAnsi="Arial" w:cs="Arial"/>
          <w:b w:val="0"/>
          <w:color w:val="auto"/>
          <w:sz w:val="22"/>
          <w:szCs w:val="22"/>
        </w:rPr>
        <w:t>us</w:t>
      </w:r>
      <w:r w:rsidRPr="000A3006">
        <w:rPr>
          <w:rFonts w:ascii="Arial" w:hAnsi="Arial" w:cs="Arial"/>
          <w:b w:val="0"/>
          <w:color w:val="auto"/>
          <w:sz w:val="22"/>
          <w:szCs w:val="22"/>
        </w:rPr>
        <w:t xml:space="preserve"> and your organisation, including information contained with the agreed Activity Work Plans and the Program Logic</w:t>
      </w:r>
      <w:proofErr w:type="gramEnd"/>
      <w:r w:rsidRPr="000A3006">
        <w:rPr>
          <w:rFonts w:ascii="Arial" w:hAnsi="Arial" w:cs="Arial"/>
          <w:b w:val="0"/>
          <w:color w:val="auto"/>
          <w:sz w:val="22"/>
          <w:szCs w:val="22"/>
        </w:rPr>
        <w:t>.</w:t>
      </w:r>
    </w:p>
    <w:p w14:paraId="6E88B9D3" w14:textId="7E7E7F51" w:rsidR="00235020" w:rsidRPr="00D11EE2" w:rsidRDefault="00235020" w:rsidP="00B54C8F">
      <w:pPr>
        <w:pStyle w:val="Heading1"/>
        <w:spacing w:before="24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 xml:space="preserve">The Activity </w:t>
      </w:r>
      <w:proofErr w:type="gramStart"/>
      <w:r w:rsidRPr="007E21AC">
        <w:rPr>
          <w:rFonts w:ascii="Arial" w:hAnsi="Arial" w:cs="Arial"/>
        </w:rPr>
        <w:t>will be measured</w:t>
      </w:r>
      <w:proofErr w:type="gramEnd"/>
      <w:r w:rsidRPr="007E21AC">
        <w:rPr>
          <w:rFonts w:ascii="Arial" w:hAnsi="Arial" w:cs="Arial"/>
        </w:rPr>
        <w:t xml:space="preserve"> against the following Performance Indicator/s:</w:t>
      </w:r>
    </w:p>
    <w:tbl>
      <w:tblPr>
        <w:tblStyle w:val="TableGrid2"/>
        <w:tblW w:w="5000" w:type="pct"/>
        <w:tblLook w:val="04A0" w:firstRow="1" w:lastRow="0" w:firstColumn="1" w:lastColumn="0" w:noHBand="0" w:noVBand="1"/>
        <w:tblCaption w:val="Performance Indicator Descriptions and Measures"/>
      </w:tblPr>
      <w:tblGrid>
        <w:gridCol w:w="5228"/>
        <w:gridCol w:w="5228"/>
      </w:tblGrid>
      <w:tr w:rsidR="002E3D31" w:rsidRPr="002E3D31" w14:paraId="31E883D9" w14:textId="77777777" w:rsidTr="00420D26">
        <w:trPr>
          <w:tblHeader/>
        </w:trPr>
        <w:tc>
          <w:tcPr>
            <w:tcW w:w="2500" w:type="pct"/>
          </w:tcPr>
          <w:p w14:paraId="593D1A7B" w14:textId="77777777" w:rsidR="002E3D31" w:rsidRPr="002E3D31" w:rsidRDefault="002E3D31" w:rsidP="002E3D31">
            <w:pPr>
              <w:spacing w:before="60" w:after="60" w:line="240" w:lineRule="auto"/>
              <w:rPr>
                <w:rFonts w:ascii="Arial" w:hAnsi="Arial" w:cs="Arial"/>
                <w:b/>
                <w:color w:val="000000"/>
                <w:sz w:val="22"/>
                <w:lang w:eastAsia="en-AU"/>
              </w:rPr>
            </w:pPr>
            <w:r w:rsidRPr="002E3D31">
              <w:rPr>
                <w:rFonts w:ascii="Arial" w:hAnsi="Arial" w:cs="Arial"/>
                <w:b/>
                <w:color w:val="000000"/>
                <w:sz w:val="22"/>
                <w:lang w:eastAsia="en-AU"/>
              </w:rPr>
              <w:t>Performance Indicator Description</w:t>
            </w:r>
          </w:p>
        </w:tc>
        <w:tc>
          <w:tcPr>
            <w:tcW w:w="2500" w:type="pct"/>
          </w:tcPr>
          <w:p w14:paraId="182DD8F2" w14:textId="77777777" w:rsidR="002E3D31" w:rsidRPr="002E3D31" w:rsidRDefault="002E3D31" w:rsidP="002E3D31">
            <w:pPr>
              <w:spacing w:before="60" w:after="60" w:line="240" w:lineRule="auto"/>
              <w:rPr>
                <w:rFonts w:ascii="Arial" w:hAnsi="Arial" w:cs="Arial"/>
                <w:b/>
                <w:color w:val="000000"/>
                <w:sz w:val="22"/>
                <w:lang w:eastAsia="en-AU"/>
              </w:rPr>
            </w:pPr>
            <w:r w:rsidRPr="002E3D31">
              <w:rPr>
                <w:rFonts w:ascii="Arial" w:hAnsi="Arial" w:cs="Arial"/>
                <w:b/>
                <w:color w:val="000000"/>
                <w:sz w:val="22"/>
                <w:lang w:eastAsia="en-AU"/>
              </w:rPr>
              <w:t>Measure</w:t>
            </w:r>
          </w:p>
        </w:tc>
      </w:tr>
      <w:tr w:rsidR="002E3D31" w:rsidRPr="002E3D31" w14:paraId="73EE2712" w14:textId="77777777" w:rsidTr="00C26FA2">
        <w:tc>
          <w:tcPr>
            <w:tcW w:w="2500" w:type="pct"/>
          </w:tcPr>
          <w:p w14:paraId="4016DDB2" w14:textId="77777777" w:rsidR="002E3D31" w:rsidRPr="002E3D31" w:rsidRDefault="002E3D31" w:rsidP="002E3D31">
            <w:pPr>
              <w:spacing w:before="60" w:after="60"/>
              <w:contextualSpacing/>
              <w:rPr>
                <w:rFonts w:ascii="Arial" w:hAnsi="Arial" w:cs="Arial"/>
                <w:sz w:val="22"/>
                <w:szCs w:val="22"/>
              </w:rPr>
            </w:pPr>
            <w:r w:rsidRPr="002E3D31">
              <w:rPr>
                <w:rFonts w:ascii="Arial" w:hAnsi="Arial" w:cs="Arial"/>
                <w:sz w:val="22"/>
                <w:szCs w:val="22"/>
              </w:rPr>
              <w:t xml:space="preserve">Number of clients assisted </w:t>
            </w:r>
          </w:p>
          <w:p w14:paraId="4843C28A" w14:textId="77777777" w:rsidR="002E3D31" w:rsidRPr="002E3D31" w:rsidRDefault="002E3D31" w:rsidP="002E3D31">
            <w:pPr>
              <w:spacing w:before="60" w:after="60"/>
              <w:contextualSpacing/>
              <w:rPr>
                <w:rFonts w:ascii="Arial" w:hAnsi="Arial" w:cs="Arial"/>
                <w:sz w:val="22"/>
              </w:rPr>
            </w:pPr>
          </w:p>
        </w:tc>
        <w:tc>
          <w:tcPr>
            <w:tcW w:w="2500" w:type="pct"/>
          </w:tcPr>
          <w:p w14:paraId="6A8B0FE8" w14:textId="77777777" w:rsidR="002E3D31" w:rsidRPr="002E3D31" w:rsidRDefault="002E3D31" w:rsidP="002E3D31">
            <w:pPr>
              <w:spacing w:before="60" w:after="60"/>
              <w:rPr>
                <w:rFonts w:ascii="Arial" w:hAnsi="Arial" w:cs="Arial"/>
                <w:sz w:val="22"/>
              </w:rPr>
            </w:pPr>
            <w:r w:rsidRPr="002E3D31">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2E3D31" w:rsidRPr="002E3D31" w14:paraId="2E50AB04" w14:textId="77777777" w:rsidTr="00C26FA2">
        <w:tc>
          <w:tcPr>
            <w:tcW w:w="2500" w:type="pct"/>
          </w:tcPr>
          <w:p w14:paraId="125DDE0B" w14:textId="77777777" w:rsidR="002E3D31" w:rsidRPr="002E3D31" w:rsidRDefault="002E3D31" w:rsidP="002E3D31">
            <w:pPr>
              <w:spacing w:before="60" w:after="60"/>
              <w:contextualSpacing/>
              <w:rPr>
                <w:rFonts w:ascii="Arial" w:hAnsi="Arial" w:cs="Arial"/>
                <w:sz w:val="22"/>
                <w:szCs w:val="22"/>
              </w:rPr>
            </w:pPr>
            <w:r w:rsidRPr="002E3D31">
              <w:rPr>
                <w:rFonts w:ascii="Arial" w:hAnsi="Arial" w:cs="Arial"/>
                <w:sz w:val="22"/>
                <w:szCs w:val="22"/>
              </w:rPr>
              <w:t xml:space="preserve">Number of events / service instances delivered </w:t>
            </w:r>
          </w:p>
          <w:p w14:paraId="361C1341" w14:textId="77777777" w:rsidR="002E3D31" w:rsidRPr="002E3D31" w:rsidRDefault="002E3D31" w:rsidP="002E3D31">
            <w:pPr>
              <w:spacing w:before="40" w:after="0" w:line="240" w:lineRule="auto"/>
              <w:rPr>
                <w:rFonts w:ascii="Arial" w:hAnsi="Arial" w:cs="Arial"/>
              </w:rPr>
            </w:pPr>
          </w:p>
        </w:tc>
        <w:tc>
          <w:tcPr>
            <w:tcW w:w="2500" w:type="pct"/>
          </w:tcPr>
          <w:p w14:paraId="6E1B747C" w14:textId="77777777" w:rsidR="002E3D31" w:rsidRPr="002E3D31" w:rsidRDefault="002E3D31" w:rsidP="002E3D31">
            <w:pPr>
              <w:spacing w:before="60" w:after="60"/>
              <w:rPr>
                <w:rFonts w:ascii="Arial" w:hAnsi="Arial" w:cs="Arial"/>
              </w:rPr>
            </w:pPr>
            <w:r w:rsidRPr="002E3D31">
              <w:rPr>
                <w:rFonts w:ascii="Arial" w:hAnsi="Arial" w:cs="Arial"/>
                <w:sz w:val="22"/>
                <w:szCs w:val="22"/>
              </w:rPr>
              <w:t>Measured using benchmarking, comparing your achievement against similar service providers delivering comparable services, using characteristics defined in the Data Exchange Protocols.</w:t>
            </w:r>
            <w:r w:rsidRPr="002E3D31">
              <w:t xml:space="preserve"> </w:t>
            </w:r>
          </w:p>
        </w:tc>
      </w:tr>
      <w:tr w:rsidR="002E3D31" w:rsidRPr="002E3D31" w14:paraId="79DDBD36" w14:textId="77777777" w:rsidTr="00C26FA2">
        <w:tc>
          <w:tcPr>
            <w:tcW w:w="2500" w:type="pct"/>
          </w:tcPr>
          <w:p w14:paraId="67BD7691" w14:textId="77777777" w:rsidR="002E3D31" w:rsidRPr="002E3D31" w:rsidRDefault="002E3D31" w:rsidP="002E3D31">
            <w:pPr>
              <w:spacing w:before="60" w:after="60"/>
              <w:contextualSpacing/>
              <w:rPr>
                <w:rFonts w:ascii="Arial" w:hAnsi="Arial" w:cs="Arial"/>
              </w:rPr>
            </w:pPr>
            <w:r w:rsidRPr="002E3D31">
              <w:rPr>
                <w:rFonts w:ascii="Arial" w:hAnsi="Arial" w:cs="Arial"/>
                <w:sz w:val="22"/>
                <w:szCs w:val="22"/>
              </w:rPr>
              <w:t xml:space="preserve">Percentage of participants from priority target groups </w:t>
            </w:r>
          </w:p>
        </w:tc>
        <w:tc>
          <w:tcPr>
            <w:tcW w:w="2500" w:type="pct"/>
          </w:tcPr>
          <w:p w14:paraId="6A7A88C4" w14:textId="77777777" w:rsidR="002E3D31" w:rsidRPr="002E3D31" w:rsidRDefault="002E3D31" w:rsidP="002E3D31">
            <w:pPr>
              <w:spacing w:before="60" w:after="60"/>
              <w:rPr>
                <w:rFonts w:ascii="Arial" w:hAnsi="Arial" w:cs="Arial"/>
              </w:rPr>
            </w:pPr>
            <w:r w:rsidRPr="002E3D31">
              <w:rPr>
                <w:rFonts w:ascii="Arial" w:hAnsi="Arial" w:cs="Arial"/>
                <w:sz w:val="22"/>
                <w:szCs w:val="22"/>
              </w:rPr>
              <w:t>Measured using benchmarking, comparing your achievement against similar service providers delivering comparable services, using characteristics defined in the Data Exchange Protocols.</w:t>
            </w:r>
            <w:r w:rsidRPr="002E3D31">
              <w:t xml:space="preserve"> </w:t>
            </w:r>
          </w:p>
        </w:tc>
      </w:tr>
      <w:tr w:rsidR="002E3D31" w:rsidRPr="002E3D31" w14:paraId="11B95C5B" w14:textId="77777777" w:rsidTr="00C26FA2">
        <w:tc>
          <w:tcPr>
            <w:tcW w:w="2500" w:type="pct"/>
          </w:tcPr>
          <w:p w14:paraId="7A5DA48C" w14:textId="07A37B86" w:rsidR="002E3D31" w:rsidRPr="002E3D31" w:rsidRDefault="002E3D31" w:rsidP="002E3D31">
            <w:pPr>
              <w:spacing w:before="60" w:after="60"/>
              <w:contextualSpacing/>
              <w:rPr>
                <w:rFonts w:ascii="Arial" w:hAnsi="Arial" w:cs="Arial"/>
              </w:rPr>
            </w:pPr>
            <w:r w:rsidRPr="002E3D31">
              <w:rPr>
                <w:rFonts w:ascii="Arial" w:hAnsi="Arial" w:cs="Arial"/>
                <w:sz w:val="22"/>
                <w:szCs w:val="22"/>
              </w:rPr>
              <w:t>Percentage of clients achieving individual goals related to independence, participation and well-being</w:t>
            </w:r>
          </w:p>
        </w:tc>
        <w:tc>
          <w:tcPr>
            <w:tcW w:w="2500" w:type="pct"/>
          </w:tcPr>
          <w:p w14:paraId="757E84CB" w14:textId="77777777" w:rsidR="002E3D31" w:rsidRPr="002E3D31" w:rsidRDefault="002E3D31" w:rsidP="002E3D31">
            <w:pPr>
              <w:spacing w:before="60" w:after="60"/>
              <w:rPr>
                <w:rFonts w:ascii="Arial" w:hAnsi="Arial" w:cs="Arial"/>
              </w:rPr>
            </w:pPr>
            <w:r w:rsidRPr="002E3D31">
              <w:rPr>
                <w:rFonts w:ascii="Arial" w:hAnsi="Arial" w:cs="Arial"/>
                <w:sz w:val="22"/>
                <w:szCs w:val="22"/>
              </w:rPr>
              <w:t>Measured using benchmarking, comparing your achievement against similar service providers delivering comparable services, using characteristics defined in the Data Exchange Protocols.</w:t>
            </w:r>
            <w:r w:rsidRPr="002E3D31">
              <w:t xml:space="preserve"> </w:t>
            </w:r>
          </w:p>
        </w:tc>
      </w:tr>
      <w:tr w:rsidR="002E3D31" w:rsidRPr="002E3D31" w14:paraId="4B025381" w14:textId="77777777" w:rsidTr="00C26FA2">
        <w:tc>
          <w:tcPr>
            <w:tcW w:w="2500" w:type="pct"/>
          </w:tcPr>
          <w:p w14:paraId="0F18C53C" w14:textId="77777777" w:rsidR="002E3D31" w:rsidRPr="002E3D31" w:rsidRDefault="002E3D31" w:rsidP="002E3D31">
            <w:pPr>
              <w:spacing w:before="60" w:after="60"/>
              <w:contextualSpacing/>
              <w:rPr>
                <w:rFonts w:ascii="Arial" w:hAnsi="Arial" w:cs="Arial"/>
              </w:rPr>
            </w:pPr>
            <w:r w:rsidRPr="002E3D31">
              <w:rPr>
                <w:rFonts w:ascii="Arial" w:hAnsi="Arial" w:cs="Arial"/>
                <w:sz w:val="22"/>
                <w:szCs w:val="22"/>
              </w:rPr>
              <w:t xml:space="preserve">Percentage of clients achieving improved independence, participation and well-being </w:t>
            </w:r>
          </w:p>
        </w:tc>
        <w:tc>
          <w:tcPr>
            <w:tcW w:w="2500" w:type="pct"/>
          </w:tcPr>
          <w:p w14:paraId="44534EC9" w14:textId="77777777" w:rsidR="002E3D31" w:rsidRPr="002E3D31" w:rsidRDefault="002E3D31" w:rsidP="002E3D31">
            <w:pPr>
              <w:spacing w:before="60" w:after="60"/>
              <w:rPr>
                <w:rFonts w:ascii="Arial" w:hAnsi="Arial" w:cs="Arial"/>
              </w:rPr>
            </w:pPr>
            <w:r w:rsidRPr="002E3D31">
              <w:rPr>
                <w:rFonts w:ascii="Arial" w:hAnsi="Arial" w:cs="Arial"/>
                <w:sz w:val="22"/>
                <w:szCs w:val="22"/>
              </w:rPr>
              <w:t>Measured using benchmarking, comparing your achievement against similar service providers delivering comparable services, using characteristics defined in the Data Exchange Protocols.</w:t>
            </w:r>
            <w:r w:rsidRPr="002E3D31">
              <w:t xml:space="preserve"> </w:t>
            </w:r>
          </w:p>
        </w:tc>
      </w:tr>
      <w:tr w:rsidR="00E63E7D" w:rsidRPr="002E3D31" w14:paraId="1B2A31ED" w14:textId="77777777" w:rsidTr="00C26FA2">
        <w:tc>
          <w:tcPr>
            <w:tcW w:w="2500" w:type="pct"/>
          </w:tcPr>
          <w:p w14:paraId="35BC5E80" w14:textId="59988E7E" w:rsidR="00E63E7D" w:rsidRPr="002E3D31" w:rsidRDefault="00E63E7D" w:rsidP="00E63E7D">
            <w:pPr>
              <w:spacing w:before="60" w:after="60"/>
              <w:contextualSpacing/>
              <w:rPr>
                <w:rFonts w:ascii="Arial" w:hAnsi="Arial" w:cs="Arial"/>
              </w:rPr>
            </w:pPr>
            <w:r w:rsidRPr="008C1461">
              <w:rPr>
                <w:rFonts w:ascii="Arial" w:hAnsi="Arial" w:cs="Arial"/>
                <w:sz w:val="22"/>
                <w:szCs w:val="22"/>
              </w:rPr>
              <w:t xml:space="preserve">Activities are completed according to scope, quality, timeframes and budget defined in the Activity Work Plan. </w:t>
            </w:r>
          </w:p>
        </w:tc>
        <w:tc>
          <w:tcPr>
            <w:tcW w:w="2500" w:type="pct"/>
          </w:tcPr>
          <w:p w14:paraId="16822DF8" w14:textId="1DCEEC16" w:rsidR="00E63E7D" w:rsidRPr="002E3D31" w:rsidRDefault="00E63E7D" w:rsidP="00E63E7D">
            <w:pPr>
              <w:spacing w:before="60" w:after="60"/>
              <w:rPr>
                <w:rFonts w:ascii="Arial" w:hAnsi="Arial" w:cs="Arial"/>
              </w:rPr>
            </w:pPr>
            <w:r w:rsidRPr="008C1461">
              <w:rPr>
                <w:rFonts w:ascii="Arial" w:hAnsi="Arial" w:cs="Arial"/>
                <w:sz w:val="22"/>
                <w:szCs w:val="22"/>
              </w:rPr>
              <w:t xml:space="preserve">The Department and you agree that the Activity Work Plan </w:t>
            </w:r>
            <w:proofErr w:type="gramStart"/>
            <w:r w:rsidRPr="008C1461">
              <w:rPr>
                <w:rFonts w:ascii="Arial" w:hAnsi="Arial" w:cs="Arial"/>
                <w:sz w:val="22"/>
                <w:szCs w:val="22"/>
              </w:rPr>
              <w:t>has been completed</w:t>
            </w:r>
            <w:proofErr w:type="gramEnd"/>
            <w:r w:rsidRPr="008C1461">
              <w:rPr>
                <w:rFonts w:ascii="Arial" w:hAnsi="Arial" w:cs="Arial"/>
                <w:sz w:val="22"/>
                <w:szCs w:val="22"/>
              </w:rPr>
              <w:t xml:space="preserve"> as specified or, in case of divergence, to a satisfactory standard.</w:t>
            </w: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 xml:space="preserve">The Activity </w:t>
      </w:r>
      <w:proofErr w:type="gramStart"/>
      <w:r w:rsidRPr="007E21AC">
        <w:rPr>
          <w:rFonts w:ascii="Arial" w:hAnsi="Arial" w:cs="Arial"/>
        </w:rPr>
        <w:t>will be delivered</w:t>
      </w:r>
      <w:proofErr w:type="gramEnd"/>
      <w:r w:rsidRPr="007E21AC">
        <w:rPr>
          <w:rFonts w:ascii="Arial" w:hAnsi="Arial" w:cs="Arial"/>
        </w:rPr>
        <w:t xml:space="preserve">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BC0E9C" w:rsidRPr="007E21AC" w14:paraId="3A1D98C1" w14:textId="77777777" w:rsidTr="00715F4E">
        <w:trPr>
          <w:cantSplit/>
        </w:trPr>
        <w:tc>
          <w:tcPr>
            <w:tcW w:w="197" w:type="pct"/>
          </w:tcPr>
          <w:p w14:paraId="76E50BBD" w14:textId="73626F64" w:rsidR="00BC0E9C" w:rsidRPr="007E21AC" w:rsidRDefault="00BC0E9C" w:rsidP="00BC0E9C">
            <w:pPr>
              <w:pStyle w:val="ListParagraph"/>
              <w:numPr>
                <w:ilvl w:val="0"/>
                <w:numId w:val="4"/>
              </w:numPr>
              <w:spacing w:before="120" w:after="120"/>
              <w:rPr>
                <w:rFonts w:ascii="Arial" w:hAnsi="Arial" w:cs="Arial"/>
                <w:sz w:val="22"/>
                <w:szCs w:val="22"/>
              </w:rPr>
            </w:pPr>
          </w:p>
        </w:tc>
        <w:tc>
          <w:tcPr>
            <w:tcW w:w="1601" w:type="pct"/>
          </w:tcPr>
          <w:p w14:paraId="4C00431A" w14:textId="7FD39D0A" w:rsidR="00BC0E9C" w:rsidRPr="007E21AC" w:rsidRDefault="00BC0E9C" w:rsidP="00BC0E9C">
            <w:pPr>
              <w:spacing w:before="120" w:after="120"/>
              <w:rPr>
                <w:rFonts w:ascii="Arial" w:hAnsi="Arial" w:cs="Arial"/>
                <w:sz w:val="22"/>
                <w:szCs w:val="22"/>
              </w:rPr>
            </w:pPr>
          </w:p>
        </w:tc>
        <w:tc>
          <w:tcPr>
            <w:tcW w:w="1601" w:type="pct"/>
          </w:tcPr>
          <w:p w14:paraId="411B1696" w14:textId="14F939C9" w:rsidR="00BC0E9C" w:rsidRPr="007E21AC" w:rsidRDefault="00BC0E9C" w:rsidP="00BC0E9C">
            <w:pPr>
              <w:spacing w:before="120" w:after="120"/>
              <w:rPr>
                <w:rFonts w:ascii="Arial" w:hAnsi="Arial" w:cs="Arial"/>
                <w:sz w:val="22"/>
                <w:szCs w:val="22"/>
              </w:rPr>
            </w:pPr>
          </w:p>
        </w:tc>
        <w:tc>
          <w:tcPr>
            <w:tcW w:w="1601" w:type="pct"/>
          </w:tcPr>
          <w:p w14:paraId="473E3FAD" w14:textId="2E84A1D0" w:rsidR="00BC0E9C" w:rsidRPr="007E21AC" w:rsidRDefault="00BC0E9C" w:rsidP="00BC0E9C">
            <w:pPr>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lastRenderedPageBreak/>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7E21AC" w14:paraId="429CEFB1" w14:textId="77777777" w:rsidTr="00420D26">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0BED5410" w14:textId="77777777" w:rsidTr="00715F4E">
        <w:tc>
          <w:tcPr>
            <w:tcW w:w="197" w:type="pct"/>
          </w:tcPr>
          <w:p w14:paraId="19A44234" w14:textId="1545DC42"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1A4A6257" w:rsidR="009F7242" w:rsidRPr="007E21AC" w:rsidRDefault="00162A2E" w:rsidP="006F6094">
            <w:pPr>
              <w:spacing w:before="120" w:after="120"/>
              <w:rPr>
                <w:rFonts w:ascii="Arial" w:hAnsi="Arial" w:cs="Arial"/>
                <w:sz w:val="22"/>
                <w:szCs w:val="22"/>
                <w:highlight w:val="cyan"/>
              </w:rPr>
            </w:pPr>
            <w:r>
              <w:rPr>
                <w:rFonts w:ascii="Arial" w:hAnsi="Arial" w:cs="Arial"/>
                <w:sz w:val="22"/>
                <w:szCs w:val="22"/>
              </w:rPr>
              <w:t>Australia 2016</w:t>
            </w:r>
          </w:p>
        </w:tc>
        <w:tc>
          <w:tcPr>
            <w:tcW w:w="2402" w:type="pct"/>
          </w:tcPr>
          <w:p w14:paraId="22A76C2A" w14:textId="5F10BCA5" w:rsidR="009F7242" w:rsidRPr="007E21AC" w:rsidRDefault="00162A2E" w:rsidP="006F6094">
            <w:pPr>
              <w:spacing w:before="120" w:after="120"/>
              <w:rPr>
                <w:rFonts w:ascii="Arial" w:hAnsi="Arial" w:cs="Arial"/>
                <w:sz w:val="22"/>
                <w:szCs w:val="22"/>
                <w:highlight w:val="cyan"/>
              </w:rPr>
            </w:pPr>
            <w:r>
              <w:rPr>
                <w:rFonts w:ascii="Arial" w:hAnsi="Arial" w:cs="Arial"/>
                <w:sz w:val="22"/>
                <w:szCs w:val="22"/>
              </w:rPr>
              <w:t>Australia</w:t>
            </w:r>
          </w:p>
        </w:tc>
      </w:tr>
    </w:tbl>
    <w:p w14:paraId="55A8C5B3" w14:textId="0F57973D"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363F6486" w14:textId="03BD070B" w:rsidR="00D21AFA" w:rsidRPr="00AF2C04" w:rsidRDefault="00D21AFA" w:rsidP="00D21AFA">
      <w:pPr>
        <w:rPr>
          <w:rFonts w:ascii="Arial" w:hAnsi="Arial" w:cs="Arial"/>
          <w:color w:val="000000"/>
        </w:rPr>
      </w:pPr>
      <w:bookmarkStart w:id="20" w:name="_Toc317496307"/>
      <w:r w:rsidRPr="00AF2C04">
        <w:rPr>
          <w:rFonts w:ascii="Arial" w:hAnsi="Arial" w:cs="Arial"/>
          <w:color w:val="000000"/>
        </w:rPr>
        <w:t xml:space="preserve">The Activity starts on </w:t>
      </w:r>
      <w:r w:rsidR="002E3D31" w:rsidRPr="00E27601">
        <w:rPr>
          <w:rFonts w:ascii="Arial" w:hAnsi="Arial" w:cs="Arial"/>
          <w:lang w:eastAsia="en-AU"/>
        </w:rPr>
        <w:t>1 July 2021</w:t>
      </w:r>
      <w:r w:rsidR="002E3D31">
        <w:rPr>
          <w:rFonts w:ascii="Arial" w:hAnsi="Arial" w:cs="Arial"/>
          <w:lang w:eastAsia="en-AU"/>
        </w:rPr>
        <w:t xml:space="preserve"> </w:t>
      </w:r>
      <w:r w:rsidRPr="00AF2C04">
        <w:rPr>
          <w:rFonts w:ascii="Arial" w:hAnsi="Arial" w:cs="Arial"/>
          <w:color w:val="000000"/>
        </w:rPr>
        <w:t xml:space="preserve">and ends on </w:t>
      </w:r>
      <w:r w:rsidR="002E3D31">
        <w:rPr>
          <w:rFonts w:ascii="Arial" w:hAnsi="Arial" w:cs="Arial"/>
          <w:lang w:eastAsia="en-AU"/>
        </w:rPr>
        <w:t>30 June 2026</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715E0187" w:rsidR="00D21AFA" w:rsidRPr="00AF2C04" w:rsidRDefault="00D21AFA" w:rsidP="00D21AFA">
      <w:pPr>
        <w:rPr>
          <w:rFonts w:ascii="Arial" w:hAnsi="Arial" w:cs="Arial"/>
          <w:color w:val="000000"/>
        </w:rPr>
      </w:pPr>
      <w:r w:rsidRPr="00AF2C04">
        <w:rPr>
          <w:rFonts w:ascii="Arial" w:hAnsi="Arial" w:cs="Arial"/>
          <w:color w:val="000000"/>
        </w:rPr>
        <w:t xml:space="preserve">The Agreement ends on </w:t>
      </w:r>
      <w:r w:rsidR="002E3D31">
        <w:rPr>
          <w:rFonts w:ascii="Arial" w:hAnsi="Arial" w:cs="Arial"/>
        </w:rPr>
        <w:t>30 November 2026</w:t>
      </w:r>
      <w:r w:rsidR="002E3D31">
        <w:rPr>
          <w:rFonts w:ascii="Arial" w:hAnsi="Arial" w:cs="Arial"/>
          <w:color w:val="000000"/>
        </w:rPr>
        <w:t xml:space="preserve"> </w:t>
      </w:r>
      <w:r w:rsidRPr="00AF2C04">
        <w:rPr>
          <w:rFonts w:ascii="Arial" w:hAnsi="Arial" w:cs="Arial"/>
          <w:color w:val="000000"/>
        </w:rPr>
        <w:t xml:space="preserve">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21" w:name="_Toc494986412"/>
      <w:bookmarkEnd w:id="20"/>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21"/>
      <w:r w:rsidRPr="00D11EE2">
        <w:rPr>
          <w:rFonts w:ascii="Arial" w:hAnsi="Arial" w:cs="Arial"/>
          <w:sz w:val="26"/>
          <w:szCs w:val="26"/>
        </w:rPr>
        <w:t xml:space="preserve"> </w:t>
      </w:r>
    </w:p>
    <w:p w14:paraId="6A4B5701" w14:textId="6C56137D"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 xml:space="preserve">amount of the Grant is </w:t>
      </w:r>
      <w:r w:rsidR="00BC0E9C">
        <w:rPr>
          <w:rFonts w:ascii="Arial" w:hAnsi="Arial" w:cs="Arial"/>
          <w:color w:val="000000"/>
        </w:rPr>
        <w:t>$</w:t>
      </w:r>
      <w:r w:rsidR="00BC0E9C" w:rsidRPr="007929F6">
        <w:rPr>
          <w:rFonts w:ascii="Arial" w:hAnsi="Arial" w:cs="Arial"/>
          <w:szCs w:val="20"/>
          <w:lang w:eastAsia="en-AU"/>
        </w:rPr>
        <w:t>TBC</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27D32" w:rsidRPr="00E27D32" w14:paraId="5AA37AC5" w14:textId="77777777" w:rsidTr="00C26FA2">
        <w:tc>
          <w:tcPr>
            <w:tcW w:w="2558" w:type="pct"/>
            <w:tcMar>
              <w:top w:w="0" w:type="dxa"/>
              <w:left w:w="108" w:type="dxa"/>
              <w:bottom w:w="0" w:type="dxa"/>
              <w:right w:w="108" w:type="dxa"/>
            </w:tcMar>
            <w:hideMark/>
          </w:tcPr>
          <w:p w14:paraId="42FB76E9" w14:textId="77777777" w:rsidR="00E27D32" w:rsidRPr="00E27D32" w:rsidRDefault="00E27D32" w:rsidP="00E27D32">
            <w:pPr>
              <w:spacing w:before="60" w:after="60"/>
              <w:rPr>
                <w:rFonts w:ascii="Arial" w:hAnsi="Arial" w:cs="Arial"/>
                <w:b/>
                <w:bCs/>
                <w:color w:val="000000"/>
                <w:lang w:eastAsia="en-AU"/>
              </w:rPr>
            </w:pPr>
            <w:r w:rsidRPr="00E27D32">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440DA5EE" w14:textId="77777777" w:rsidR="00E27D32" w:rsidRPr="00E27D32" w:rsidRDefault="00E27D32" w:rsidP="00E27D32">
            <w:pPr>
              <w:spacing w:before="60" w:after="60"/>
              <w:rPr>
                <w:rFonts w:ascii="Arial" w:hAnsi="Arial" w:cs="Arial"/>
                <w:b/>
                <w:bCs/>
                <w:color w:val="000000"/>
                <w:lang w:eastAsia="en-AU"/>
              </w:rPr>
            </w:pPr>
            <w:r w:rsidRPr="00E27D32">
              <w:rPr>
                <w:rFonts w:ascii="Arial" w:hAnsi="Arial" w:cs="Arial"/>
                <w:b/>
                <w:bCs/>
                <w:color w:val="000000"/>
                <w:lang w:eastAsia="en-AU"/>
              </w:rPr>
              <w:t>Amount * (excl. GST)</w:t>
            </w:r>
          </w:p>
        </w:tc>
      </w:tr>
      <w:tr w:rsidR="00BC0E9C" w:rsidRPr="00E27D32" w14:paraId="0A3C8CE9" w14:textId="77777777" w:rsidTr="00C26FA2">
        <w:tc>
          <w:tcPr>
            <w:tcW w:w="2558" w:type="pct"/>
            <w:tcMar>
              <w:top w:w="0" w:type="dxa"/>
              <w:left w:w="108" w:type="dxa"/>
              <w:bottom w:w="0" w:type="dxa"/>
              <w:right w:w="108" w:type="dxa"/>
            </w:tcMar>
            <w:hideMark/>
          </w:tcPr>
          <w:p w14:paraId="4CA9B334" w14:textId="77777777" w:rsidR="00BC0E9C" w:rsidRPr="00E27D32" w:rsidRDefault="00BC0E9C" w:rsidP="00BC0E9C">
            <w:pPr>
              <w:spacing w:before="60" w:after="60"/>
              <w:rPr>
                <w:rFonts w:ascii="Arial" w:hAnsi="Arial" w:cs="Arial"/>
                <w:color w:val="000000"/>
                <w:lang w:eastAsia="en-AU"/>
              </w:rPr>
            </w:pPr>
            <w:r w:rsidRPr="00E27D32">
              <w:rPr>
                <w:rFonts w:ascii="Arial" w:hAnsi="Arial" w:cs="Arial"/>
                <w:lang w:eastAsia="en-AU"/>
              </w:rPr>
              <w:t>2021-2022</w:t>
            </w:r>
          </w:p>
        </w:tc>
        <w:tc>
          <w:tcPr>
            <w:tcW w:w="2442" w:type="pct"/>
            <w:tcMar>
              <w:top w:w="0" w:type="dxa"/>
              <w:left w:w="108" w:type="dxa"/>
              <w:bottom w:w="0" w:type="dxa"/>
              <w:right w:w="108" w:type="dxa"/>
            </w:tcMar>
            <w:hideMark/>
          </w:tcPr>
          <w:p w14:paraId="254CB15A" w14:textId="477E6240" w:rsidR="00BC0E9C" w:rsidRPr="00E27D32" w:rsidRDefault="00BC0E9C" w:rsidP="00BC0E9C">
            <w:pPr>
              <w:spacing w:before="60" w:after="60"/>
              <w:rPr>
                <w:rFonts w:ascii="Arial" w:hAnsi="Arial" w:cs="Arial"/>
                <w:color w:val="000000"/>
                <w:lang w:eastAsia="en-AU"/>
              </w:rPr>
            </w:pPr>
          </w:p>
        </w:tc>
      </w:tr>
      <w:tr w:rsidR="00BC0E9C" w:rsidRPr="00E27D32" w14:paraId="3B03D80B" w14:textId="77777777" w:rsidTr="00C26FA2">
        <w:tc>
          <w:tcPr>
            <w:tcW w:w="2558" w:type="pct"/>
            <w:tcMar>
              <w:top w:w="0" w:type="dxa"/>
              <w:left w:w="108" w:type="dxa"/>
              <w:bottom w:w="0" w:type="dxa"/>
              <w:right w:w="108" w:type="dxa"/>
            </w:tcMar>
            <w:hideMark/>
          </w:tcPr>
          <w:p w14:paraId="4FF6777F" w14:textId="77777777" w:rsidR="00BC0E9C" w:rsidRPr="00E27D32" w:rsidRDefault="00BC0E9C" w:rsidP="00BC0E9C">
            <w:pPr>
              <w:spacing w:before="60" w:after="60"/>
              <w:rPr>
                <w:rFonts w:ascii="Arial" w:hAnsi="Arial" w:cs="Arial"/>
                <w:color w:val="000000"/>
                <w:lang w:eastAsia="en-AU"/>
              </w:rPr>
            </w:pPr>
            <w:r w:rsidRPr="00E27D32">
              <w:rPr>
                <w:rFonts w:ascii="Arial" w:hAnsi="Arial" w:cs="Arial"/>
                <w:lang w:eastAsia="en-AU"/>
              </w:rPr>
              <w:t>2022-2023</w:t>
            </w:r>
          </w:p>
        </w:tc>
        <w:tc>
          <w:tcPr>
            <w:tcW w:w="2442" w:type="pct"/>
            <w:tcMar>
              <w:top w:w="0" w:type="dxa"/>
              <w:left w:w="108" w:type="dxa"/>
              <w:bottom w:w="0" w:type="dxa"/>
              <w:right w:w="108" w:type="dxa"/>
            </w:tcMar>
            <w:hideMark/>
          </w:tcPr>
          <w:p w14:paraId="3D532D76" w14:textId="7C44F49F" w:rsidR="00BC0E9C" w:rsidRPr="00E27D32" w:rsidRDefault="00BC0E9C" w:rsidP="00BC0E9C">
            <w:pPr>
              <w:spacing w:before="60" w:after="60"/>
              <w:rPr>
                <w:rFonts w:ascii="Arial" w:hAnsi="Arial" w:cs="Arial"/>
                <w:color w:val="000000"/>
                <w:lang w:eastAsia="en-AU"/>
              </w:rPr>
            </w:pPr>
          </w:p>
        </w:tc>
      </w:tr>
      <w:tr w:rsidR="00BC0E9C" w:rsidRPr="00E27D32" w14:paraId="6050A1FA" w14:textId="77777777" w:rsidTr="00C26FA2">
        <w:tc>
          <w:tcPr>
            <w:tcW w:w="2558" w:type="pct"/>
            <w:tcMar>
              <w:top w:w="0" w:type="dxa"/>
              <w:left w:w="108" w:type="dxa"/>
              <w:bottom w:w="0" w:type="dxa"/>
              <w:right w:w="108" w:type="dxa"/>
            </w:tcMar>
          </w:tcPr>
          <w:p w14:paraId="1D83DF1C" w14:textId="77777777" w:rsidR="00BC0E9C" w:rsidRPr="00E27D32" w:rsidRDefault="00BC0E9C" w:rsidP="00BC0E9C">
            <w:pPr>
              <w:spacing w:before="60" w:after="60"/>
              <w:rPr>
                <w:rFonts w:ascii="Arial" w:hAnsi="Arial" w:cs="Arial"/>
                <w:lang w:eastAsia="en-AU"/>
              </w:rPr>
            </w:pPr>
            <w:r w:rsidRPr="00E27D32">
              <w:rPr>
                <w:rFonts w:ascii="Arial" w:hAnsi="Arial" w:cs="Arial"/>
                <w:lang w:eastAsia="en-AU"/>
              </w:rPr>
              <w:t>2023-2024</w:t>
            </w:r>
          </w:p>
        </w:tc>
        <w:tc>
          <w:tcPr>
            <w:tcW w:w="2442" w:type="pct"/>
            <w:tcMar>
              <w:top w:w="0" w:type="dxa"/>
              <w:left w:w="108" w:type="dxa"/>
              <w:bottom w:w="0" w:type="dxa"/>
              <w:right w:w="108" w:type="dxa"/>
            </w:tcMar>
          </w:tcPr>
          <w:p w14:paraId="67130917" w14:textId="7F0ABA80" w:rsidR="00BC0E9C" w:rsidRPr="00E27D32" w:rsidRDefault="00BC0E9C" w:rsidP="00BC0E9C">
            <w:pPr>
              <w:spacing w:before="60" w:after="60"/>
              <w:rPr>
                <w:rFonts w:ascii="Arial" w:hAnsi="Arial" w:cs="Arial"/>
                <w:highlight w:val="cyan"/>
              </w:rPr>
            </w:pPr>
          </w:p>
        </w:tc>
      </w:tr>
      <w:tr w:rsidR="00BC0E9C" w:rsidRPr="00E27D32" w14:paraId="102B4F00" w14:textId="77777777" w:rsidTr="00C26FA2">
        <w:tc>
          <w:tcPr>
            <w:tcW w:w="2558" w:type="pct"/>
            <w:tcMar>
              <w:top w:w="0" w:type="dxa"/>
              <w:left w:w="108" w:type="dxa"/>
              <w:bottom w:w="0" w:type="dxa"/>
              <w:right w:w="108" w:type="dxa"/>
            </w:tcMar>
          </w:tcPr>
          <w:p w14:paraId="1062DFDF" w14:textId="77777777" w:rsidR="00BC0E9C" w:rsidRPr="00E27D32" w:rsidRDefault="00BC0E9C" w:rsidP="00BC0E9C">
            <w:pPr>
              <w:spacing w:before="60" w:after="60"/>
              <w:rPr>
                <w:rFonts w:ascii="Arial" w:hAnsi="Arial" w:cs="Arial"/>
                <w:lang w:eastAsia="en-AU"/>
              </w:rPr>
            </w:pPr>
            <w:r w:rsidRPr="00E27D32">
              <w:rPr>
                <w:rFonts w:ascii="Arial" w:hAnsi="Arial" w:cs="Arial"/>
                <w:lang w:eastAsia="en-AU"/>
              </w:rPr>
              <w:t>2024-2025</w:t>
            </w:r>
          </w:p>
        </w:tc>
        <w:tc>
          <w:tcPr>
            <w:tcW w:w="2442" w:type="pct"/>
            <w:tcMar>
              <w:top w:w="0" w:type="dxa"/>
              <w:left w:w="108" w:type="dxa"/>
              <w:bottom w:w="0" w:type="dxa"/>
              <w:right w:w="108" w:type="dxa"/>
            </w:tcMar>
          </w:tcPr>
          <w:p w14:paraId="3C331EA4" w14:textId="3883C06A" w:rsidR="00BC0E9C" w:rsidRPr="00E27D32" w:rsidRDefault="00BC0E9C" w:rsidP="00BC0E9C">
            <w:pPr>
              <w:spacing w:before="60" w:after="60"/>
              <w:rPr>
                <w:rFonts w:ascii="Arial" w:hAnsi="Arial" w:cs="Arial"/>
                <w:highlight w:val="cyan"/>
              </w:rPr>
            </w:pPr>
          </w:p>
        </w:tc>
      </w:tr>
      <w:tr w:rsidR="00BC0E9C" w:rsidRPr="00E27D32" w14:paraId="02CBF8BB" w14:textId="77777777" w:rsidTr="00C26FA2">
        <w:tc>
          <w:tcPr>
            <w:tcW w:w="2558" w:type="pct"/>
            <w:tcMar>
              <w:top w:w="0" w:type="dxa"/>
              <w:left w:w="108" w:type="dxa"/>
              <w:bottom w:w="0" w:type="dxa"/>
              <w:right w:w="108" w:type="dxa"/>
            </w:tcMar>
          </w:tcPr>
          <w:p w14:paraId="6882692C" w14:textId="77777777" w:rsidR="00BC0E9C" w:rsidRPr="00E27D32" w:rsidRDefault="00BC0E9C" w:rsidP="00BC0E9C">
            <w:pPr>
              <w:spacing w:before="60" w:after="60"/>
              <w:rPr>
                <w:rFonts w:ascii="Arial" w:hAnsi="Arial" w:cs="Arial"/>
                <w:lang w:eastAsia="en-AU"/>
              </w:rPr>
            </w:pPr>
            <w:r w:rsidRPr="00E27D32">
              <w:rPr>
                <w:rFonts w:ascii="Arial" w:hAnsi="Arial" w:cs="Arial"/>
                <w:lang w:eastAsia="en-AU"/>
              </w:rPr>
              <w:t>2025-2026</w:t>
            </w:r>
          </w:p>
        </w:tc>
        <w:tc>
          <w:tcPr>
            <w:tcW w:w="2442" w:type="pct"/>
            <w:tcMar>
              <w:top w:w="0" w:type="dxa"/>
              <w:left w:w="108" w:type="dxa"/>
              <w:bottom w:w="0" w:type="dxa"/>
              <w:right w:w="108" w:type="dxa"/>
            </w:tcMar>
          </w:tcPr>
          <w:p w14:paraId="6E09A355" w14:textId="143E21E2" w:rsidR="00BC0E9C" w:rsidRPr="00E27D32" w:rsidRDefault="00BC0E9C" w:rsidP="00BC0E9C">
            <w:pPr>
              <w:spacing w:before="60" w:after="60"/>
              <w:rPr>
                <w:rFonts w:ascii="Arial" w:hAnsi="Arial" w:cs="Arial"/>
                <w:highlight w:val="cyan"/>
              </w:rPr>
            </w:pP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AF2C04">
        <w:rPr>
          <w:rFonts w:ascii="Arial" w:hAnsi="Arial" w:cs="Arial"/>
          <w:color w:val="000000"/>
        </w:rPr>
        <w:t>Cth</w:t>
      </w:r>
      <w:proofErr w:type="spellEnd"/>
      <w:r w:rsidRPr="00AF2C04">
        <w:rPr>
          <w:rFonts w:ascii="Arial" w:hAnsi="Arial" w:cs="Arial"/>
          <w:color w:val="000000"/>
        </w:rPr>
        <w:t>)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 xml:space="preserve">rant is to </w:t>
      </w:r>
      <w:proofErr w:type="gramStart"/>
      <w:r w:rsidRPr="00AF2C04">
        <w:rPr>
          <w:rFonts w:ascii="Arial" w:hAnsi="Arial" w:cs="Arial"/>
          <w:color w:val="000000"/>
        </w:rPr>
        <w:t>be paid</w:t>
      </w:r>
      <w:proofErr w:type="gramEnd"/>
      <w:r w:rsidRPr="00AF2C04">
        <w:rPr>
          <w:rFonts w:ascii="Arial" w:hAnsi="Arial" w:cs="Arial"/>
          <w:color w:val="000000"/>
        </w:rPr>
        <w:t xml:space="preserve"> is:</w:t>
      </w:r>
    </w:p>
    <w:tbl>
      <w:tblPr>
        <w:tblW w:w="5000" w:type="pct"/>
        <w:tblLook w:val="01E0" w:firstRow="1" w:lastRow="1" w:firstColumn="1" w:lastColumn="1" w:noHBand="0" w:noVBand="0"/>
      </w:tblPr>
      <w:tblGrid>
        <w:gridCol w:w="2631"/>
        <w:gridCol w:w="7825"/>
      </w:tblGrid>
      <w:tr w:rsidR="00BC0E9C"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BC0E9C" w:rsidRPr="00EE1E6A" w:rsidRDefault="00BC0E9C" w:rsidP="00BC0E9C">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7A4755C4" w:rsidR="00BC0E9C" w:rsidRPr="00EE1E6A" w:rsidRDefault="00BC0E9C" w:rsidP="00BC0E9C">
            <w:pPr>
              <w:spacing w:before="60" w:after="60"/>
              <w:rPr>
                <w:rFonts w:ascii="Arial" w:hAnsi="Arial" w:cs="Arial"/>
                <w:highlight w:val="cyan"/>
                <w:lang w:eastAsia="en-AU"/>
              </w:rPr>
            </w:pPr>
          </w:p>
        </w:tc>
      </w:tr>
      <w:tr w:rsidR="00BC0E9C"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BC0E9C" w:rsidRPr="00EE1E6A" w:rsidRDefault="00BC0E9C" w:rsidP="00BC0E9C">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5B49579C" w:rsidR="00BC0E9C" w:rsidRPr="00EE1E6A" w:rsidRDefault="00BC0E9C" w:rsidP="00BC0E9C">
            <w:pPr>
              <w:spacing w:before="60" w:after="60"/>
              <w:rPr>
                <w:rFonts w:ascii="Arial" w:hAnsi="Arial" w:cs="Arial"/>
                <w:highlight w:val="cyan"/>
                <w:lang w:eastAsia="en-AU"/>
              </w:rPr>
            </w:pPr>
          </w:p>
        </w:tc>
      </w:tr>
      <w:tr w:rsidR="00BC0E9C"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BC0E9C" w:rsidRPr="00EE1E6A" w:rsidRDefault="00BC0E9C" w:rsidP="00BC0E9C">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8CB870F" w:rsidR="00BC0E9C" w:rsidRPr="00EE1E6A" w:rsidRDefault="00BC0E9C" w:rsidP="00BC0E9C">
            <w:pPr>
              <w:spacing w:before="60" w:after="60"/>
              <w:rPr>
                <w:rFonts w:ascii="Arial" w:hAnsi="Arial" w:cs="Arial"/>
                <w:highlight w:val="cyan"/>
                <w:lang w:eastAsia="en-AU"/>
              </w:rPr>
            </w:pPr>
          </w:p>
        </w:tc>
      </w:tr>
      <w:tr w:rsidR="00BC0E9C"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BC0E9C" w:rsidRPr="00EE1E6A" w:rsidRDefault="00BC0E9C" w:rsidP="00BC0E9C">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71FB8D67" w:rsidR="00BC0E9C" w:rsidRPr="00EE1E6A" w:rsidRDefault="00BC0E9C" w:rsidP="00BC0E9C">
            <w:pPr>
              <w:spacing w:before="60" w:after="60"/>
              <w:rPr>
                <w:rFonts w:ascii="Arial" w:hAnsi="Arial" w:cs="Arial"/>
                <w:b/>
              </w:rPr>
            </w:pPr>
          </w:p>
        </w:tc>
      </w:tr>
    </w:tbl>
    <w:p w14:paraId="1D60B828" w14:textId="77777777" w:rsidR="002A7828" w:rsidRDefault="002A7828" w:rsidP="00715F4E">
      <w:pPr>
        <w:spacing w:before="120" w:after="120"/>
        <w:rPr>
          <w:rFonts w:ascii="Arial" w:hAnsi="Arial" w:cs="Arial"/>
          <w:color w:val="000000"/>
        </w:rPr>
      </w:pPr>
    </w:p>
    <w:p w14:paraId="7B3F7B8A" w14:textId="77777777" w:rsidR="002A7828" w:rsidRDefault="002A7828">
      <w:pPr>
        <w:spacing w:after="0" w:line="240" w:lineRule="auto"/>
        <w:rPr>
          <w:rFonts w:ascii="Arial" w:hAnsi="Arial" w:cs="Arial"/>
          <w:color w:val="000000"/>
        </w:rPr>
      </w:pPr>
      <w:r>
        <w:rPr>
          <w:rFonts w:ascii="Arial" w:hAnsi="Arial" w:cs="Arial"/>
          <w:color w:val="000000"/>
        </w:rPr>
        <w:br w:type="page"/>
      </w:r>
    </w:p>
    <w:p w14:paraId="73FF76E6" w14:textId="22859F5D" w:rsidR="00D463E3" w:rsidRPr="00AF2C04" w:rsidRDefault="00D463E3" w:rsidP="00715F4E">
      <w:pPr>
        <w:spacing w:before="120" w:after="120"/>
        <w:rPr>
          <w:rFonts w:ascii="Arial" w:hAnsi="Arial" w:cs="Arial"/>
          <w:color w:val="000000"/>
        </w:rPr>
      </w:pPr>
      <w:r w:rsidRPr="00AF2C04">
        <w:rPr>
          <w:rFonts w:ascii="Arial" w:hAnsi="Arial" w:cs="Arial"/>
          <w:color w:val="000000"/>
        </w:rPr>
        <w:lastRenderedPageBreak/>
        <w:t xml:space="preserve">The </w:t>
      </w:r>
      <w:proofErr w:type="gramStart"/>
      <w:r w:rsidRPr="00AF2C04">
        <w:rPr>
          <w:rFonts w:ascii="Arial" w:hAnsi="Arial" w:cs="Arial"/>
          <w:color w:val="000000"/>
        </w:rPr>
        <w:t xml:space="preserve">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w:t>
      </w:r>
      <w:proofErr w:type="gramEnd"/>
      <w:r w:rsidRPr="00AF2C04">
        <w:rPr>
          <w:rFonts w:ascii="Arial" w:hAnsi="Arial" w:cs="Arial"/>
          <w:color w:val="000000"/>
        </w:rPr>
        <w:t xml:space="preserve">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2346"/>
        <w:gridCol w:w="2152"/>
        <w:gridCol w:w="1671"/>
        <w:gridCol w:w="1671"/>
      </w:tblGrid>
      <w:tr w:rsidR="00E27D32" w:rsidRPr="00E27D32" w14:paraId="2BF60A16" w14:textId="77777777" w:rsidTr="00BC0E9C">
        <w:trPr>
          <w:cantSplit/>
          <w:tblHeader/>
        </w:trPr>
        <w:tc>
          <w:tcPr>
            <w:tcW w:w="1251" w:type="pct"/>
          </w:tcPr>
          <w:p w14:paraId="1A8DA582" w14:textId="77777777" w:rsidR="00E27D32" w:rsidRPr="00E27D32" w:rsidRDefault="00E27D32" w:rsidP="00E27D32">
            <w:pPr>
              <w:spacing w:before="60" w:after="60" w:line="240" w:lineRule="auto"/>
              <w:rPr>
                <w:rFonts w:ascii="Arial" w:hAnsi="Arial" w:cs="Arial"/>
                <w:b/>
                <w:color w:val="000000"/>
                <w:lang w:eastAsia="en-AU"/>
              </w:rPr>
            </w:pPr>
            <w:r w:rsidRPr="00E27D32">
              <w:rPr>
                <w:rFonts w:ascii="Arial" w:hAnsi="Arial" w:cs="Arial"/>
                <w:b/>
                <w:color w:val="000000"/>
                <w:lang w:eastAsia="en-AU"/>
              </w:rPr>
              <w:t>Milestone</w:t>
            </w:r>
          </w:p>
        </w:tc>
        <w:tc>
          <w:tcPr>
            <w:tcW w:w="1121" w:type="pct"/>
          </w:tcPr>
          <w:p w14:paraId="47131A4F" w14:textId="77777777" w:rsidR="00E27D32" w:rsidRPr="00E27D32" w:rsidRDefault="00E27D32" w:rsidP="00E27D32">
            <w:pPr>
              <w:spacing w:before="60" w:after="60" w:line="240" w:lineRule="auto"/>
              <w:rPr>
                <w:rFonts w:ascii="Arial" w:hAnsi="Arial" w:cs="Arial"/>
                <w:b/>
                <w:color w:val="000000"/>
                <w:lang w:eastAsia="en-AU"/>
              </w:rPr>
            </w:pPr>
            <w:r w:rsidRPr="00E27D32">
              <w:rPr>
                <w:rFonts w:ascii="Arial" w:hAnsi="Arial" w:cs="Arial"/>
                <w:b/>
                <w:color w:val="000000"/>
                <w:lang w:eastAsia="en-AU"/>
              </w:rPr>
              <w:t>Anticipated date</w:t>
            </w:r>
          </w:p>
        </w:tc>
        <w:tc>
          <w:tcPr>
            <w:tcW w:w="1029" w:type="pct"/>
          </w:tcPr>
          <w:p w14:paraId="42E51760" w14:textId="77777777" w:rsidR="00E27D32" w:rsidRPr="00E27D32" w:rsidRDefault="00E27D32" w:rsidP="00E27D32">
            <w:pPr>
              <w:spacing w:before="60" w:after="60" w:line="240" w:lineRule="auto"/>
              <w:rPr>
                <w:rFonts w:ascii="Arial" w:hAnsi="Arial" w:cs="Arial"/>
                <w:b/>
                <w:color w:val="000000"/>
                <w:lang w:eastAsia="en-AU"/>
              </w:rPr>
            </w:pPr>
            <w:r w:rsidRPr="00E27D32">
              <w:rPr>
                <w:rFonts w:ascii="Arial" w:hAnsi="Arial" w:cs="Arial"/>
                <w:b/>
                <w:color w:val="000000"/>
                <w:lang w:eastAsia="en-AU"/>
              </w:rPr>
              <w:t>Amount</w:t>
            </w:r>
            <w:r w:rsidRPr="00E27D32">
              <w:rPr>
                <w:rFonts w:ascii="Arial" w:hAnsi="Arial" w:cs="Arial"/>
                <w:b/>
                <w:color w:val="000000"/>
                <w:lang w:eastAsia="en-AU"/>
              </w:rPr>
              <w:br/>
              <w:t>(excl. GST)</w:t>
            </w:r>
          </w:p>
        </w:tc>
        <w:tc>
          <w:tcPr>
            <w:tcW w:w="799" w:type="pct"/>
          </w:tcPr>
          <w:p w14:paraId="69BE8D12" w14:textId="77777777" w:rsidR="00E27D32" w:rsidRPr="00E27D32" w:rsidRDefault="00E27D32" w:rsidP="00E27D32">
            <w:pPr>
              <w:spacing w:before="60" w:after="60" w:line="240" w:lineRule="auto"/>
              <w:rPr>
                <w:rFonts w:ascii="Arial" w:hAnsi="Arial" w:cs="Arial"/>
                <w:b/>
                <w:color w:val="000000"/>
                <w:lang w:eastAsia="en-AU"/>
              </w:rPr>
            </w:pPr>
            <w:r w:rsidRPr="00E27D32">
              <w:rPr>
                <w:rFonts w:ascii="Arial" w:hAnsi="Arial" w:cs="Arial"/>
                <w:b/>
                <w:color w:val="000000"/>
                <w:lang w:eastAsia="en-AU"/>
              </w:rPr>
              <w:t>GST</w:t>
            </w:r>
          </w:p>
        </w:tc>
        <w:tc>
          <w:tcPr>
            <w:tcW w:w="799" w:type="pct"/>
          </w:tcPr>
          <w:p w14:paraId="4E36EB84" w14:textId="77777777" w:rsidR="00E27D32" w:rsidRPr="00E27D32" w:rsidRDefault="00E27D32" w:rsidP="00E27D32">
            <w:pPr>
              <w:spacing w:before="60" w:after="60" w:line="240" w:lineRule="auto"/>
              <w:rPr>
                <w:rFonts w:ascii="Arial" w:hAnsi="Arial" w:cs="Arial"/>
                <w:b/>
                <w:color w:val="000000"/>
                <w:lang w:eastAsia="en-AU"/>
              </w:rPr>
            </w:pPr>
            <w:r w:rsidRPr="00E27D32">
              <w:rPr>
                <w:rFonts w:ascii="Arial" w:hAnsi="Arial" w:cs="Arial"/>
                <w:b/>
                <w:color w:val="000000"/>
                <w:lang w:eastAsia="en-AU"/>
              </w:rPr>
              <w:t>Total</w:t>
            </w:r>
            <w:r w:rsidRPr="00E27D32">
              <w:rPr>
                <w:rFonts w:ascii="Arial" w:hAnsi="Arial" w:cs="Arial"/>
                <w:b/>
                <w:color w:val="000000"/>
                <w:lang w:eastAsia="en-AU"/>
              </w:rPr>
              <w:br/>
              <w:t>(incl. GST)</w:t>
            </w:r>
          </w:p>
        </w:tc>
      </w:tr>
      <w:tr w:rsidR="00BC0E9C" w:rsidRPr="00E27D32" w14:paraId="23021F39" w14:textId="77777777" w:rsidTr="00BC0E9C">
        <w:tc>
          <w:tcPr>
            <w:tcW w:w="1251" w:type="pct"/>
          </w:tcPr>
          <w:p w14:paraId="18EDAD62" w14:textId="77777777" w:rsidR="00BC0E9C" w:rsidRPr="00E27D32" w:rsidRDefault="00BC0E9C" w:rsidP="00BC0E9C">
            <w:pPr>
              <w:spacing w:before="60" w:after="60" w:line="240" w:lineRule="auto"/>
              <w:rPr>
                <w:rFonts w:ascii="Arial" w:hAnsi="Arial" w:cs="Arial"/>
                <w:color w:val="000000"/>
                <w:highlight w:val="yellow"/>
                <w:lang w:eastAsia="en-AU"/>
              </w:rPr>
            </w:pPr>
            <w:r w:rsidRPr="00E27D32">
              <w:rPr>
                <w:rFonts w:ascii="Arial" w:hAnsi="Arial" w:cs="Arial"/>
              </w:rPr>
              <w:t>Half yearly payment of 2021-22 funds</w:t>
            </w:r>
          </w:p>
        </w:tc>
        <w:tc>
          <w:tcPr>
            <w:tcW w:w="1121" w:type="pct"/>
          </w:tcPr>
          <w:p w14:paraId="712155B3"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13 July 2021</w:t>
            </w:r>
          </w:p>
        </w:tc>
        <w:tc>
          <w:tcPr>
            <w:tcW w:w="1029" w:type="pct"/>
          </w:tcPr>
          <w:p w14:paraId="26E1B0B6" w14:textId="4D83BEA2"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Pr>
          <w:p w14:paraId="3B44F32F" w14:textId="12E39381"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Pr>
          <w:p w14:paraId="5F322D56" w14:textId="0184EF46"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25C4D324" w14:textId="77777777" w:rsidTr="00BC0E9C">
        <w:tc>
          <w:tcPr>
            <w:tcW w:w="1251" w:type="pct"/>
            <w:tcBorders>
              <w:bottom w:val="single" w:sz="4" w:space="0" w:color="auto"/>
            </w:tcBorders>
          </w:tcPr>
          <w:p w14:paraId="2374A586" w14:textId="77777777" w:rsidR="00BC0E9C" w:rsidRPr="00E27D32" w:rsidRDefault="00BC0E9C" w:rsidP="00BC0E9C">
            <w:pPr>
              <w:spacing w:before="60" w:after="60" w:line="240" w:lineRule="auto"/>
              <w:rPr>
                <w:rFonts w:ascii="Arial" w:hAnsi="Arial" w:cs="Arial"/>
                <w:color w:val="000000"/>
                <w:highlight w:val="yellow"/>
                <w:lang w:eastAsia="en-AU"/>
              </w:rPr>
            </w:pPr>
            <w:r w:rsidRPr="00E27D32">
              <w:rPr>
                <w:rFonts w:ascii="Arial" w:hAnsi="Arial" w:cs="Arial"/>
              </w:rPr>
              <w:t>Half yearly payment of 2021-22 funds</w:t>
            </w:r>
          </w:p>
        </w:tc>
        <w:tc>
          <w:tcPr>
            <w:tcW w:w="1121" w:type="pct"/>
            <w:tcBorders>
              <w:bottom w:val="single" w:sz="4" w:space="0" w:color="auto"/>
            </w:tcBorders>
          </w:tcPr>
          <w:p w14:paraId="4CFEDB06"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 December 2021</w:t>
            </w:r>
          </w:p>
        </w:tc>
        <w:tc>
          <w:tcPr>
            <w:tcW w:w="1029" w:type="pct"/>
            <w:tcBorders>
              <w:bottom w:val="single" w:sz="4" w:space="0" w:color="auto"/>
            </w:tcBorders>
          </w:tcPr>
          <w:p w14:paraId="68254ABF" w14:textId="3F305A59"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79B16BDB" w14:textId="42CBE599"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2683B509" w14:textId="2AF8BE7F"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79475B04" w14:textId="77777777" w:rsidTr="00BC0E9C">
        <w:tc>
          <w:tcPr>
            <w:tcW w:w="1251" w:type="pct"/>
            <w:tcBorders>
              <w:bottom w:val="single" w:sz="4" w:space="0" w:color="auto"/>
            </w:tcBorders>
          </w:tcPr>
          <w:p w14:paraId="0AE4E0C0"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2022-23 funds</w:t>
            </w:r>
          </w:p>
        </w:tc>
        <w:tc>
          <w:tcPr>
            <w:tcW w:w="1121" w:type="pct"/>
            <w:tcBorders>
              <w:bottom w:val="single" w:sz="4" w:space="0" w:color="auto"/>
            </w:tcBorders>
          </w:tcPr>
          <w:p w14:paraId="098EE2F8"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12 July 2022</w:t>
            </w:r>
          </w:p>
        </w:tc>
        <w:tc>
          <w:tcPr>
            <w:tcW w:w="1029" w:type="pct"/>
            <w:tcBorders>
              <w:bottom w:val="single" w:sz="4" w:space="0" w:color="auto"/>
            </w:tcBorders>
          </w:tcPr>
          <w:p w14:paraId="49A606EE" w14:textId="1F0BBD4A"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0164B334" w14:textId="7830F0C3"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0F3B8419" w14:textId="12471B71"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25912E40" w14:textId="77777777" w:rsidTr="00BC0E9C">
        <w:tc>
          <w:tcPr>
            <w:tcW w:w="1251" w:type="pct"/>
            <w:tcBorders>
              <w:bottom w:val="single" w:sz="4" w:space="0" w:color="auto"/>
            </w:tcBorders>
          </w:tcPr>
          <w:p w14:paraId="417BAD0A"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2022-23 funds</w:t>
            </w:r>
          </w:p>
        </w:tc>
        <w:tc>
          <w:tcPr>
            <w:tcW w:w="1121" w:type="pct"/>
            <w:tcBorders>
              <w:bottom w:val="single" w:sz="4" w:space="0" w:color="auto"/>
            </w:tcBorders>
          </w:tcPr>
          <w:p w14:paraId="40AA2F2D"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 December 2022</w:t>
            </w:r>
          </w:p>
        </w:tc>
        <w:tc>
          <w:tcPr>
            <w:tcW w:w="1029" w:type="pct"/>
            <w:tcBorders>
              <w:bottom w:val="single" w:sz="4" w:space="0" w:color="auto"/>
            </w:tcBorders>
          </w:tcPr>
          <w:p w14:paraId="5BE0A351" w14:textId="6CCA54CE"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53E64FB0" w14:textId="2B9DFBAE"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458BF70B" w14:textId="38003DF6"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2A5F8D32" w14:textId="77777777" w:rsidTr="00BC0E9C">
        <w:tc>
          <w:tcPr>
            <w:tcW w:w="1251" w:type="pct"/>
            <w:tcBorders>
              <w:bottom w:val="single" w:sz="4" w:space="0" w:color="auto"/>
            </w:tcBorders>
          </w:tcPr>
          <w:p w14:paraId="4DA80B24"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2023-24 funds</w:t>
            </w:r>
          </w:p>
        </w:tc>
        <w:tc>
          <w:tcPr>
            <w:tcW w:w="1121" w:type="pct"/>
            <w:tcBorders>
              <w:bottom w:val="single" w:sz="4" w:space="0" w:color="auto"/>
            </w:tcBorders>
          </w:tcPr>
          <w:p w14:paraId="42C03F44"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11 July 2023</w:t>
            </w:r>
          </w:p>
        </w:tc>
        <w:tc>
          <w:tcPr>
            <w:tcW w:w="1029" w:type="pct"/>
            <w:tcBorders>
              <w:bottom w:val="single" w:sz="4" w:space="0" w:color="auto"/>
            </w:tcBorders>
          </w:tcPr>
          <w:p w14:paraId="6447EFB7" w14:textId="27E7C04D"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36C41B6B" w14:textId="4937F1CC"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1C5CACD8" w14:textId="07F51E71"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16F3D71E" w14:textId="77777777" w:rsidTr="00BC0E9C">
        <w:tc>
          <w:tcPr>
            <w:tcW w:w="1251" w:type="pct"/>
            <w:tcBorders>
              <w:bottom w:val="single" w:sz="4" w:space="0" w:color="auto"/>
            </w:tcBorders>
          </w:tcPr>
          <w:p w14:paraId="2EB88FE1"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2023-24 funds</w:t>
            </w:r>
          </w:p>
        </w:tc>
        <w:tc>
          <w:tcPr>
            <w:tcW w:w="1121" w:type="pct"/>
            <w:tcBorders>
              <w:bottom w:val="single" w:sz="4" w:space="0" w:color="auto"/>
            </w:tcBorders>
          </w:tcPr>
          <w:p w14:paraId="797486F9"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 December 2023</w:t>
            </w:r>
          </w:p>
        </w:tc>
        <w:tc>
          <w:tcPr>
            <w:tcW w:w="1029" w:type="pct"/>
            <w:tcBorders>
              <w:bottom w:val="single" w:sz="4" w:space="0" w:color="auto"/>
            </w:tcBorders>
          </w:tcPr>
          <w:p w14:paraId="066AEF4E" w14:textId="7E461DB9"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4F6B25BA" w14:textId="55C7A2C3"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5C9338B8" w14:textId="4B909610"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3ED7E71D" w14:textId="77777777" w:rsidTr="00BC0E9C">
        <w:tc>
          <w:tcPr>
            <w:tcW w:w="1251" w:type="pct"/>
            <w:tcBorders>
              <w:bottom w:val="single" w:sz="4" w:space="0" w:color="auto"/>
            </w:tcBorders>
          </w:tcPr>
          <w:p w14:paraId="23905F6F"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2024-25 funds</w:t>
            </w:r>
          </w:p>
        </w:tc>
        <w:tc>
          <w:tcPr>
            <w:tcW w:w="1121" w:type="pct"/>
            <w:tcBorders>
              <w:bottom w:val="single" w:sz="4" w:space="0" w:color="auto"/>
            </w:tcBorders>
          </w:tcPr>
          <w:p w14:paraId="74A9EE60"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9 July 2024</w:t>
            </w:r>
          </w:p>
        </w:tc>
        <w:tc>
          <w:tcPr>
            <w:tcW w:w="1029" w:type="pct"/>
            <w:tcBorders>
              <w:bottom w:val="single" w:sz="4" w:space="0" w:color="auto"/>
            </w:tcBorders>
          </w:tcPr>
          <w:p w14:paraId="362ADCE6" w14:textId="3A55395C"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25693F7E" w14:textId="636E3D71"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51B599BE" w14:textId="0B4C5AB2"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019A0B7D" w14:textId="77777777" w:rsidTr="00BC0E9C">
        <w:tc>
          <w:tcPr>
            <w:tcW w:w="1251" w:type="pct"/>
            <w:tcBorders>
              <w:bottom w:val="single" w:sz="4" w:space="0" w:color="auto"/>
            </w:tcBorders>
          </w:tcPr>
          <w:p w14:paraId="7BCA1C3F"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2024-25 funds</w:t>
            </w:r>
          </w:p>
        </w:tc>
        <w:tc>
          <w:tcPr>
            <w:tcW w:w="1121" w:type="pct"/>
            <w:tcBorders>
              <w:bottom w:val="single" w:sz="4" w:space="0" w:color="auto"/>
            </w:tcBorders>
          </w:tcPr>
          <w:p w14:paraId="13AA9F7D"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2 December 2024</w:t>
            </w:r>
          </w:p>
        </w:tc>
        <w:tc>
          <w:tcPr>
            <w:tcW w:w="1029" w:type="pct"/>
            <w:tcBorders>
              <w:bottom w:val="single" w:sz="4" w:space="0" w:color="auto"/>
            </w:tcBorders>
          </w:tcPr>
          <w:p w14:paraId="13B548F8" w14:textId="753DB3E7"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2CBCFB4E" w14:textId="624F71C0"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6901B56D" w14:textId="05A2B082"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130EC717" w14:textId="77777777" w:rsidTr="00BC0E9C">
        <w:tc>
          <w:tcPr>
            <w:tcW w:w="1251" w:type="pct"/>
            <w:tcBorders>
              <w:bottom w:val="single" w:sz="4" w:space="0" w:color="auto"/>
            </w:tcBorders>
          </w:tcPr>
          <w:p w14:paraId="0DB77BAD"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2025-26 funds</w:t>
            </w:r>
          </w:p>
        </w:tc>
        <w:tc>
          <w:tcPr>
            <w:tcW w:w="1121" w:type="pct"/>
            <w:tcBorders>
              <w:bottom w:val="single" w:sz="4" w:space="0" w:color="auto"/>
            </w:tcBorders>
          </w:tcPr>
          <w:p w14:paraId="53105757"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8 July 2025</w:t>
            </w:r>
          </w:p>
        </w:tc>
        <w:tc>
          <w:tcPr>
            <w:tcW w:w="1029" w:type="pct"/>
            <w:tcBorders>
              <w:bottom w:val="single" w:sz="4" w:space="0" w:color="auto"/>
            </w:tcBorders>
          </w:tcPr>
          <w:p w14:paraId="34F3927D" w14:textId="320C7026"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7F479A86" w14:textId="1D0FC86E"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79001411" w14:textId="5B35F002"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4A526179" w14:textId="77777777" w:rsidTr="00BC0E9C">
        <w:tc>
          <w:tcPr>
            <w:tcW w:w="1251" w:type="pct"/>
            <w:tcBorders>
              <w:bottom w:val="single" w:sz="4" w:space="0" w:color="auto"/>
            </w:tcBorders>
          </w:tcPr>
          <w:p w14:paraId="38F87B06" w14:textId="77777777" w:rsidR="00BC0E9C" w:rsidRPr="00E27D32" w:rsidRDefault="00BC0E9C" w:rsidP="00BC0E9C">
            <w:pPr>
              <w:spacing w:before="60" w:after="60" w:line="240" w:lineRule="auto"/>
              <w:rPr>
                <w:rFonts w:ascii="Arial" w:hAnsi="Arial" w:cs="Arial"/>
              </w:rPr>
            </w:pPr>
            <w:r w:rsidRPr="00E27D32">
              <w:rPr>
                <w:rFonts w:ascii="Arial" w:hAnsi="Arial" w:cs="Arial"/>
              </w:rPr>
              <w:t>Half yearly payment of 2025-26 funds</w:t>
            </w:r>
          </w:p>
        </w:tc>
        <w:tc>
          <w:tcPr>
            <w:tcW w:w="1121" w:type="pct"/>
            <w:tcBorders>
              <w:bottom w:val="single" w:sz="4" w:space="0" w:color="auto"/>
            </w:tcBorders>
          </w:tcPr>
          <w:p w14:paraId="2F945B77" w14:textId="77777777" w:rsidR="00BC0E9C" w:rsidRPr="00E27D32" w:rsidRDefault="00BC0E9C" w:rsidP="00BC0E9C">
            <w:pPr>
              <w:spacing w:before="60" w:after="60" w:line="240" w:lineRule="auto"/>
              <w:rPr>
                <w:rFonts w:ascii="Arial" w:hAnsi="Arial" w:cs="Arial"/>
                <w:color w:val="000000"/>
                <w:lang w:eastAsia="en-AU"/>
              </w:rPr>
            </w:pPr>
            <w:r w:rsidRPr="00E27D32">
              <w:rPr>
                <w:rFonts w:ascii="Arial" w:hAnsi="Arial" w:cs="Arial"/>
                <w:color w:val="000000"/>
                <w:lang w:eastAsia="en-AU"/>
              </w:rPr>
              <w:t>1 December 2025</w:t>
            </w:r>
          </w:p>
        </w:tc>
        <w:tc>
          <w:tcPr>
            <w:tcW w:w="1029" w:type="pct"/>
            <w:tcBorders>
              <w:bottom w:val="single" w:sz="4" w:space="0" w:color="auto"/>
            </w:tcBorders>
          </w:tcPr>
          <w:p w14:paraId="6985A63D" w14:textId="3CFC2721"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47477356" w14:textId="0C794825" w:rsidR="00BC0E9C" w:rsidRPr="00E27D32" w:rsidRDefault="00BC0E9C" w:rsidP="00BC0E9C">
            <w:pPr>
              <w:spacing w:before="60" w:after="60" w:line="240" w:lineRule="auto"/>
              <w:rPr>
                <w:rFonts w:ascii="Arial" w:hAnsi="Arial" w:cs="Arial"/>
                <w:color w:val="000000"/>
                <w:highlight w:val="yellow"/>
                <w:lang w:eastAsia="en-AU"/>
              </w:rPr>
            </w:pPr>
          </w:p>
        </w:tc>
        <w:tc>
          <w:tcPr>
            <w:tcW w:w="799" w:type="pct"/>
            <w:tcBorders>
              <w:bottom w:val="single" w:sz="4" w:space="0" w:color="auto"/>
            </w:tcBorders>
          </w:tcPr>
          <w:p w14:paraId="1B2089C7" w14:textId="46CF2067" w:rsidR="00BC0E9C" w:rsidRPr="00E27D32" w:rsidRDefault="00BC0E9C" w:rsidP="00BC0E9C">
            <w:pPr>
              <w:spacing w:before="60" w:after="60" w:line="240" w:lineRule="auto"/>
              <w:rPr>
                <w:rFonts w:ascii="Arial" w:hAnsi="Arial" w:cs="Arial"/>
                <w:color w:val="000000"/>
                <w:highlight w:val="yellow"/>
                <w:lang w:eastAsia="en-AU"/>
              </w:rPr>
            </w:pPr>
          </w:p>
        </w:tc>
      </w:tr>
      <w:tr w:rsidR="00BC0E9C" w:rsidRPr="00E27D32" w14:paraId="22630A0A" w14:textId="77777777" w:rsidTr="00BC0E9C">
        <w:tc>
          <w:tcPr>
            <w:tcW w:w="2373" w:type="pct"/>
            <w:gridSpan w:val="2"/>
            <w:tcBorders>
              <w:bottom w:val="single" w:sz="4" w:space="0" w:color="auto"/>
            </w:tcBorders>
          </w:tcPr>
          <w:p w14:paraId="5572320D" w14:textId="77777777" w:rsidR="00BC0E9C" w:rsidRPr="00E27D32" w:rsidRDefault="00BC0E9C" w:rsidP="00BC0E9C">
            <w:pPr>
              <w:spacing w:before="60" w:after="60" w:line="240" w:lineRule="auto"/>
              <w:rPr>
                <w:rFonts w:ascii="Arial" w:hAnsi="Arial" w:cs="Arial"/>
                <w:b/>
                <w:color w:val="000000"/>
                <w:highlight w:val="yellow"/>
                <w:lang w:eastAsia="en-AU"/>
              </w:rPr>
            </w:pPr>
            <w:r w:rsidRPr="00E27D32">
              <w:rPr>
                <w:rFonts w:ascii="Arial" w:hAnsi="Arial" w:cs="Arial"/>
                <w:b/>
                <w:color w:val="000000"/>
                <w:lang w:eastAsia="en-AU"/>
              </w:rPr>
              <w:t>Total Amount</w:t>
            </w:r>
          </w:p>
        </w:tc>
        <w:tc>
          <w:tcPr>
            <w:tcW w:w="1029" w:type="pct"/>
            <w:tcBorders>
              <w:bottom w:val="single" w:sz="4" w:space="0" w:color="auto"/>
            </w:tcBorders>
          </w:tcPr>
          <w:p w14:paraId="18F7076C" w14:textId="0E45FB19" w:rsidR="00BC0E9C" w:rsidRPr="00BC0E9C" w:rsidRDefault="00BC0E9C" w:rsidP="00BC0E9C">
            <w:pPr>
              <w:spacing w:before="60" w:after="60" w:line="240" w:lineRule="auto"/>
              <w:rPr>
                <w:rFonts w:ascii="Arial" w:hAnsi="Arial" w:cs="Arial"/>
                <w:b/>
                <w:color w:val="000000"/>
                <w:highlight w:val="yellow"/>
                <w:lang w:eastAsia="en-AU"/>
              </w:rPr>
            </w:pPr>
          </w:p>
        </w:tc>
        <w:tc>
          <w:tcPr>
            <w:tcW w:w="799" w:type="pct"/>
            <w:tcBorders>
              <w:bottom w:val="single" w:sz="4" w:space="0" w:color="auto"/>
            </w:tcBorders>
          </w:tcPr>
          <w:p w14:paraId="57E486E3" w14:textId="53766CE1" w:rsidR="00BC0E9C" w:rsidRPr="00BC0E9C" w:rsidRDefault="00BC0E9C" w:rsidP="00BC0E9C">
            <w:pPr>
              <w:spacing w:before="60" w:after="60" w:line="240" w:lineRule="auto"/>
              <w:rPr>
                <w:rFonts w:ascii="Arial" w:hAnsi="Arial" w:cs="Arial"/>
                <w:b/>
                <w:color w:val="000000"/>
                <w:highlight w:val="yellow"/>
                <w:lang w:eastAsia="en-AU"/>
              </w:rPr>
            </w:pPr>
          </w:p>
        </w:tc>
        <w:tc>
          <w:tcPr>
            <w:tcW w:w="799" w:type="pct"/>
            <w:tcBorders>
              <w:bottom w:val="single" w:sz="4" w:space="0" w:color="auto"/>
            </w:tcBorders>
          </w:tcPr>
          <w:p w14:paraId="75178555" w14:textId="73DCAAD4" w:rsidR="00BC0E9C" w:rsidRPr="00BC0E9C" w:rsidRDefault="00BC0E9C" w:rsidP="00BC0E9C">
            <w:pPr>
              <w:spacing w:before="60" w:after="60" w:line="240" w:lineRule="auto"/>
              <w:rPr>
                <w:rFonts w:ascii="Arial" w:hAnsi="Arial" w:cs="Arial"/>
                <w:b/>
                <w:color w:val="000000"/>
                <w:lang w:eastAsia="en-AU"/>
              </w:rPr>
            </w:pP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t>Invoicing</w:t>
      </w:r>
    </w:p>
    <w:p w14:paraId="585495E1" w14:textId="77777777" w:rsidR="00E27D32" w:rsidRPr="00E27D32" w:rsidRDefault="00E27D32" w:rsidP="00E27D32">
      <w:pPr>
        <w:rPr>
          <w:rFonts w:ascii="Arial" w:hAnsi="Arial" w:cs="Arial"/>
        </w:rPr>
      </w:pPr>
      <w:bookmarkStart w:id="22" w:name="_Toc494986413"/>
      <w:r w:rsidRPr="00E27D32">
        <w:rPr>
          <w:rFonts w:ascii="Arial" w:hAnsi="Arial" w:cs="Arial"/>
          <w:color w:val="000000"/>
        </w:rPr>
        <w:t>The Grantee agrees to allow the Commonwealth to issue it with a Recipient Created Tax Invoice (RCTI) for any taxable supplies it makes in relation to the Activity.</w:t>
      </w:r>
    </w:p>
    <w:p w14:paraId="02019D30" w14:textId="7F71A902"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22"/>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3"/>
        <w:tblW w:w="0" w:type="auto"/>
        <w:tblLook w:val="04A0" w:firstRow="1" w:lastRow="0" w:firstColumn="1" w:lastColumn="0" w:noHBand="0" w:noVBand="1"/>
        <w:tblCaption w:val="Reporting Milestones"/>
      </w:tblPr>
      <w:tblGrid>
        <w:gridCol w:w="2943"/>
        <w:gridCol w:w="4820"/>
        <w:gridCol w:w="2205"/>
      </w:tblGrid>
      <w:tr w:rsidR="00E27D32" w:rsidRPr="00E27D32" w14:paraId="6EAC4385" w14:textId="77777777" w:rsidTr="00420D26">
        <w:trPr>
          <w:cantSplit/>
          <w:tblHeader/>
        </w:trPr>
        <w:tc>
          <w:tcPr>
            <w:tcW w:w="2943" w:type="dxa"/>
          </w:tcPr>
          <w:p w14:paraId="52BE3639" w14:textId="77777777" w:rsidR="00E27D32" w:rsidRPr="00E27D32" w:rsidRDefault="00E27D32" w:rsidP="00E27D32">
            <w:pPr>
              <w:rPr>
                <w:rFonts w:ascii="Arial" w:hAnsi="Arial" w:cs="Arial"/>
                <w:b/>
                <w:sz w:val="22"/>
              </w:rPr>
            </w:pPr>
            <w:bookmarkStart w:id="23" w:name="_Toc494986414"/>
            <w:r w:rsidRPr="00E27D32">
              <w:rPr>
                <w:rFonts w:ascii="Arial" w:hAnsi="Arial" w:cs="Arial"/>
                <w:b/>
                <w:sz w:val="22"/>
              </w:rPr>
              <w:t>Milestone</w:t>
            </w:r>
          </w:p>
        </w:tc>
        <w:tc>
          <w:tcPr>
            <w:tcW w:w="4820" w:type="dxa"/>
          </w:tcPr>
          <w:p w14:paraId="66330E62" w14:textId="77777777" w:rsidR="00E27D32" w:rsidRPr="00E27D32" w:rsidRDefault="00E27D32" w:rsidP="00E27D32">
            <w:pPr>
              <w:rPr>
                <w:rFonts w:ascii="Arial" w:hAnsi="Arial" w:cs="Arial"/>
                <w:b/>
                <w:sz w:val="22"/>
              </w:rPr>
            </w:pPr>
            <w:r w:rsidRPr="00E27D32">
              <w:rPr>
                <w:rFonts w:ascii="Arial" w:hAnsi="Arial" w:cs="Arial"/>
                <w:b/>
                <w:sz w:val="22"/>
              </w:rPr>
              <w:t>Information to be included</w:t>
            </w:r>
          </w:p>
        </w:tc>
        <w:tc>
          <w:tcPr>
            <w:tcW w:w="2205" w:type="dxa"/>
          </w:tcPr>
          <w:p w14:paraId="4FBBB219" w14:textId="17082F60" w:rsidR="00E27D32" w:rsidRPr="00E27D32" w:rsidRDefault="00E27D32" w:rsidP="00E27D32">
            <w:pPr>
              <w:rPr>
                <w:rFonts w:ascii="Arial" w:hAnsi="Arial" w:cs="Arial"/>
                <w:b/>
                <w:sz w:val="22"/>
              </w:rPr>
            </w:pPr>
            <w:r w:rsidRPr="00E27D32">
              <w:rPr>
                <w:rFonts w:ascii="Arial" w:hAnsi="Arial" w:cs="Arial"/>
                <w:b/>
                <w:sz w:val="22"/>
              </w:rPr>
              <w:t xml:space="preserve">Due </w:t>
            </w:r>
            <w:r w:rsidR="00727960">
              <w:rPr>
                <w:rFonts w:ascii="Arial" w:hAnsi="Arial" w:cs="Arial"/>
                <w:b/>
                <w:sz w:val="22"/>
              </w:rPr>
              <w:t>d</w:t>
            </w:r>
            <w:r w:rsidRPr="00E27D32">
              <w:rPr>
                <w:rFonts w:ascii="Arial" w:hAnsi="Arial" w:cs="Arial"/>
                <w:b/>
                <w:sz w:val="22"/>
              </w:rPr>
              <w:t>ate</w:t>
            </w:r>
          </w:p>
        </w:tc>
      </w:tr>
      <w:tr w:rsidR="00E53C59" w:rsidRPr="00E27D32" w14:paraId="5C1CE1E8" w14:textId="77777777" w:rsidTr="00C26FA2">
        <w:trPr>
          <w:cantSplit/>
        </w:trPr>
        <w:tc>
          <w:tcPr>
            <w:tcW w:w="2943" w:type="dxa"/>
          </w:tcPr>
          <w:p w14:paraId="0FAEA0FF" w14:textId="1EEF0A93" w:rsidR="00E53C59" w:rsidRPr="00E53C59" w:rsidRDefault="00CC4EC1" w:rsidP="00E27D32">
            <w:pPr>
              <w:rPr>
                <w:rFonts w:ascii="Arial" w:hAnsi="Arial" w:cs="Arial"/>
                <w:sz w:val="22"/>
                <w:szCs w:val="22"/>
              </w:rPr>
            </w:pPr>
            <w:r>
              <w:rPr>
                <w:rFonts w:ascii="Arial" w:hAnsi="Arial" w:cs="Arial"/>
                <w:sz w:val="22"/>
                <w:szCs w:val="22"/>
              </w:rPr>
              <w:t>Other Report</w:t>
            </w:r>
          </w:p>
        </w:tc>
        <w:tc>
          <w:tcPr>
            <w:tcW w:w="4820" w:type="dxa"/>
          </w:tcPr>
          <w:p w14:paraId="3963234A" w14:textId="0601C8FF" w:rsidR="00E53C59" w:rsidRPr="00E53C59" w:rsidRDefault="005C3AF6" w:rsidP="00E27D32">
            <w:pPr>
              <w:rPr>
                <w:rFonts w:ascii="Arial" w:hAnsi="Arial" w:cs="Arial"/>
                <w:sz w:val="22"/>
                <w:szCs w:val="22"/>
              </w:rPr>
            </w:pPr>
            <w:r>
              <w:rPr>
                <w:rFonts w:ascii="Arial" w:hAnsi="Arial" w:cs="Arial"/>
                <w:sz w:val="22"/>
                <w:szCs w:val="22"/>
              </w:rPr>
              <w:t xml:space="preserve">ICAFSS Program Logic – </w:t>
            </w:r>
            <w:r w:rsidRPr="00E53C59">
              <w:rPr>
                <w:rFonts w:ascii="Arial" w:hAnsi="Arial" w:cs="Arial"/>
                <w:sz w:val="22"/>
                <w:szCs w:val="22"/>
              </w:rPr>
              <w:t>Finalise</w:t>
            </w:r>
            <w:r>
              <w:rPr>
                <w:rFonts w:ascii="Arial" w:hAnsi="Arial" w:cs="Arial"/>
                <w:sz w:val="22"/>
                <w:szCs w:val="22"/>
              </w:rPr>
              <w:t>d</w:t>
            </w:r>
            <w:r w:rsidRPr="00E53C59">
              <w:rPr>
                <w:rFonts w:ascii="Arial" w:hAnsi="Arial" w:cs="Arial"/>
                <w:sz w:val="22"/>
                <w:szCs w:val="22"/>
              </w:rPr>
              <w:t xml:space="preserve">, in consultation with </w:t>
            </w:r>
            <w:r>
              <w:rPr>
                <w:rFonts w:ascii="Arial" w:hAnsi="Arial" w:cs="Arial"/>
                <w:sz w:val="22"/>
                <w:szCs w:val="22"/>
              </w:rPr>
              <w:t>us</w:t>
            </w:r>
            <w:r w:rsidRPr="00E53C59">
              <w:rPr>
                <w:rFonts w:ascii="Arial" w:hAnsi="Arial" w:cs="Arial"/>
                <w:sz w:val="22"/>
                <w:szCs w:val="22"/>
              </w:rPr>
              <w:t>, the ICAFSS Program Logic will detail the inputs, goals and activities of the ICAFSS and the required resources and practices needed to achieve the objectives and outcomes as per Item E.4</w:t>
            </w:r>
          </w:p>
        </w:tc>
        <w:tc>
          <w:tcPr>
            <w:tcW w:w="2205" w:type="dxa"/>
          </w:tcPr>
          <w:p w14:paraId="2B4DA0C1" w14:textId="54454F24" w:rsidR="00E53C59" w:rsidRPr="00E53C59" w:rsidRDefault="00517BCE" w:rsidP="00E27D32">
            <w:pPr>
              <w:rPr>
                <w:rFonts w:ascii="Arial" w:hAnsi="Arial" w:cs="Arial"/>
                <w:sz w:val="22"/>
                <w:szCs w:val="22"/>
              </w:rPr>
            </w:pPr>
            <w:r>
              <w:rPr>
                <w:rFonts w:ascii="Arial" w:hAnsi="Arial" w:cs="Arial"/>
                <w:sz w:val="22"/>
                <w:szCs w:val="22"/>
              </w:rPr>
              <w:t>15 August</w:t>
            </w:r>
            <w:r w:rsidR="00E53C59" w:rsidRPr="00E53C59">
              <w:rPr>
                <w:rFonts w:ascii="Arial" w:hAnsi="Arial" w:cs="Arial"/>
                <w:sz w:val="22"/>
                <w:szCs w:val="22"/>
              </w:rPr>
              <w:t xml:space="preserve"> 2021</w:t>
            </w:r>
          </w:p>
        </w:tc>
      </w:tr>
      <w:tr w:rsidR="00E53C59" w:rsidRPr="00E27D32" w14:paraId="4C935DF5" w14:textId="77777777" w:rsidTr="00C26FA2">
        <w:trPr>
          <w:cantSplit/>
        </w:trPr>
        <w:tc>
          <w:tcPr>
            <w:tcW w:w="2943" w:type="dxa"/>
          </w:tcPr>
          <w:p w14:paraId="1BBF3FE9" w14:textId="429E2590" w:rsidR="00E53C59" w:rsidRPr="00F169C6" w:rsidRDefault="00E53C59" w:rsidP="00E27D32">
            <w:pPr>
              <w:rPr>
                <w:rFonts w:ascii="Arial" w:hAnsi="Arial" w:cs="Arial"/>
                <w:sz w:val="22"/>
                <w:szCs w:val="22"/>
              </w:rPr>
            </w:pPr>
            <w:r w:rsidRPr="00F169C6">
              <w:rPr>
                <w:rFonts w:ascii="Arial" w:hAnsi="Arial" w:cs="Arial"/>
                <w:sz w:val="22"/>
                <w:szCs w:val="22"/>
              </w:rPr>
              <w:t>Activity Work Plan</w:t>
            </w:r>
          </w:p>
        </w:tc>
        <w:tc>
          <w:tcPr>
            <w:tcW w:w="4820" w:type="dxa"/>
          </w:tcPr>
          <w:p w14:paraId="1303926F" w14:textId="73FB17F0" w:rsidR="00E53C59" w:rsidRPr="00F169C6" w:rsidRDefault="005C3AF6" w:rsidP="00E27D32">
            <w:pPr>
              <w:rPr>
                <w:rFonts w:ascii="Arial" w:hAnsi="Arial" w:cs="Arial"/>
                <w:sz w:val="22"/>
                <w:szCs w:val="22"/>
              </w:rPr>
            </w:pPr>
            <w:r w:rsidRPr="00204F06">
              <w:rPr>
                <w:rFonts w:ascii="Arial" w:hAnsi="Arial" w:cs="Arial"/>
                <w:sz w:val="22"/>
                <w:szCs w:val="22"/>
              </w:rPr>
              <w:t xml:space="preserve">Output-level detail for the funded Activity negotiated with </w:t>
            </w:r>
            <w:r>
              <w:rPr>
                <w:rFonts w:ascii="Arial" w:hAnsi="Arial" w:cs="Arial"/>
                <w:sz w:val="22"/>
                <w:szCs w:val="22"/>
              </w:rPr>
              <w:t>us</w:t>
            </w:r>
            <w:r w:rsidRPr="00204F06">
              <w:rPr>
                <w:rFonts w:ascii="Arial" w:hAnsi="Arial" w:cs="Arial"/>
                <w:sz w:val="22"/>
                <w:szCs w:val="22"/>
              </w:rPr>
              <w:t xml:space="preserve"> and captured in an Activity Work Plan as per Item E.2</w:t>
            </w:r>
          </w:p>
        </w:tc>
        <w:tc>
          <w:tcPr>
            <w:tcW w:w="2205" w:type="dxa"/>
          </w:tcPr>
          <w:p w14:paraId="0B155610" w14:textId="5FC1CFF9" w:rsidR="00E53C59" w:rsidRPr="00F169C6" w:rsidRDefault="00E53C59" w:rsidP="00517BCE">
            <w:pPr>
              <w:rPr>
                <w:rFonts w:ascii="Arial" w:hAnsi="Arial" w:cs="Arial"/>
                <w:sz w:val="22"/>
                <w:szCs w:val="22"/>
              </w:rPr>
            </w:pPr>
            <w:r w:rsidRPr="00F169C6">
              <w:rPr>
                <w:rFonts w:ascii="Arial" w:hAnsi="Arial" w:cs="Arial"/>
                <w:sz w:val="22"/>
                <w:szCs w:val="22"/>
              </w:rPr>
              <w:t xml:space="preserve">15 </w:t>
            </w:r>
            <w:r w:rsidR="00517BCE">
              <w:rPr>
                <w:rFonts w:ascii="Arial" w:hAnsi="Arial" w:cs="Arial"/>
                <w:sz w:val="22"/>
                <w:szCs w:val="22"/>
              </w:rPr>
              <w:t>August</w:t>
            </w:r>
            <w:r w:rsidRPr="00F169C6">
              <w:rPr>
                <w:rFonts w:ascii="Arial" w:hAnsi="Arial" w:cs="Arial"/>
                <w:sz w:val="22"/>
                <w:szCs w:val="22"/>
              </w:rPr>
              <w:t xml:space="preserve"> 2021</w:t>
            </w:r>
          </w:p>
        </w:tc>
      </w:tr>
      <w:tr w:rsidR="00E27D32" w:rsidRPr="00E27D32" w14:paraId="4EF7741A" w14:textId="77777777" w:rsidTr="00C26FA2">
        <w:trPr>
          <w:cantSplit/>
        </w:trPr>
        <w:tc>
          <w:tcPr>
            <w:tcW w:w="2943" w:type="dxa"/>
          </w:tcPr>
          <w:p w14:paraId="61A7285F" w14:textId="694167DD" w:rsidR="00E27D32" w:rsidRPr="00E27D32" w:rsidRDefault="00E27D32" w:rsidP="00E27D32">
            <w:pPr>
              <w:rPr>
                <w:rFonts w:ascii="Arial" w:hAnsi="Arial" w:cs="Arial"/>
                <w:sz w:val="22"/>
                <w:highlight w:val="cyan"/>
              </w:rPr>
            </w:pPr>
            <w:r w:rsidRPr="00E27D32">
              <w:rPr>
                <w:rFonts w:ascii="Arial" w:hAnsi="Arial" w:cs="Arial"/>
                <w:sz w:val="22"/>
                <w:szCs w:val="22"/>
              </w:rPr>
              <w:lastRenderedPageBreak/>
              <w:t>Performance Report</w:t>
            </w:r>
          </w:p>
        </w:tc>
        <w:tc>
          <w:tcPr>
            <w:tcW w:w="4820" w:type="dxa"/>
          </w:tcPr>
          <w:p w14:paraId="64C4A372" w14:textId="77777777" w:rsidR="00E27D32" w:rsidRPr="00E27D32" w:rsidRDefault="00E27D32" w:rsidP="00E27D32">
            <w:pPr>
              <w:rPr>
                <w:rFonts w:ascii="Arial" w:hAnsi="Arial" w:cs="Arial"/>
                <w:sz w:val="22"/>
                <w:highlight w:val="yellow"/>
              </w:rPr>
            </w:pPr>
            <w:r w:rsidRPr="00E26E24">
              <w:rPr>
                <w:rFonts w:ascii="Arial" w:hAnsi="Arial" w:cs="Arial"/>
                <w:sz w:val="22"/>
                <w:szCs w:val="22"/>
              </w:rPr>
              <w:t xml:space="preserve">Finalisation of Data Exchange period 1 data </w:t>
            </w:r>
            <w:r w:rsidRPr="00E26E24">
              <w:rPr>
                <w:rFonts w:ascii="Arial" w:hAnsi="Arial" w:cs="Arial"/>
                <w:sz w:val="22"/>
                <w:szCs w:val="22"/>
              </w:rPr>
              <w:br/>
              <w:t>(1 July to 31 December), as set out in the Data Exchange Protocols, as per Item E.1</w:t>
            </w:r>
          </w:p>
        </w:tc>
        <w:tc>
          <w:tcPr>
            <w:tcW w:w="2205" w:type="dxa"/>
          </w:tcPr>
          <w:p w14:paraId="66BF2B92" w14:textId="77777777" w:rsidR="00E27D32" w:rsidRPr="00E27D32" w:rsidRDefault="00E27D32" w:rsidP="00E27D32">
            <w:pPr>
              <w:rPr>
                <w:rFonts w:ascii="Arial" w:hAnsi="Arial" w:cs="Arial"/>
                <w:sz w:val="22"/>
              </w:rPr>
            </w:pPr>
            <w:r w:rsidRPr="00E27D32">
              <w:rPr>
                <w:rFonts w:ascii="Arial" w:hAnsi="Arial" w:cs="Arial"/>
                <w:sz w:val="22"/>
                <w:szCs w:val="22"/>
              </w:rPr>
              <w:t>30 January 2022</w:t>
            </w:r>
          </w:p>
        </w:tc>
      </w:tr>
      <w:tr w:rsidR="002A7828" w:rsidRPr="00E27D32" w14:paraId="5A96783B" w14:textId="77777777" w:rsidTr="002A7828">
        <w:tc>
          <w:tcPr>
            <w:tcW w:w="2943" w:type="dxa"/>
          </w:tcPr>
          <w:p w14:paraId="3669C8F3"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134EDA70"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2 data </w:t>
            </w:r>
            <w:r w:rsidRPr="00E26E24">
              <w:rPr>
                <w:rFonts w:ascii="Arial" w:hAnsi="Arial" w:cs="Arial"/>
                <w:sz w:val="22"/>
                <w:szCs w:val="22"/>
              </w:rPr>
              <w:br/>
              <w:t>(1 January to 30 June), as set out in the Data Exchange Protocols, as per Item E.1</w:t>
            </w:r>
          </w:p>
        </w:tc>
        <w:tc>
          <w:tcPr>
            <w:tcW w:w="2205" w:type="dxa"/>
          </w:tcPr>
          <w:p w14:paraId="531EAB17" w14:textId="77777777" w:rsidR="002A7828" w:rsidRPr="00E27D32" w:rsidRDefault="002A7828" w:rsidP="001A593F">
            <w:pPr>
              <w:rPr>
                <w:rFonts w:ascii="Arial" w:hAnsi="Arial" w:cs="Arial"/>
              </w:rPr>
            </w:pPr>
            <w:r w:rsidRPr="00E27D32">
              <w:rPr>
                <w:rFonts w:ascii="Arial" w:hAnsi="Arial" w:cs="Arial"/>
                <w:sz w:val="22"/>
                <w:szCs w:val="22"/>
              </w:rPr>
              <w:t>30 July 2022</w:t>
            </w:r>
          </w:p>
        </w:tc>
      </w:tr>
      <w:tr w:rsidR="002A7828" w:rsidRPr="00E27D32" w14:paraId="4AD552DF" w14:textId="77777777" w:rsidTr="002A7828">
        <w:tc>
          <w:tcPr>
            <w:tcW w:w="2943" w:type="dxa"/>
          </w:tcPr>
          <w:p w14:paraId="598F5855" w14:textId="77777777" w:rsidR="002A7828" w:rsidRPr="00E27D32" w:rsidRDefault="002A7828" w:rsidP="001A593F">
            <w:pPr>
              <w:rPr>
                <w:rFonts w:ascii="Arial" w:hAnsi="Arial" w:cs="Arial"/>
              </w:rPr>
            </w:pPr>
            <w:r w:rsidRPr="001A41CA">
              <w:rPr>
                <w:rFonts w:ascii="Arial" w:hAnsi="Arial" w:cs="Arial"/>
                <w:sz w:val="22"/>
                <w:szCs w:val="22"/>
              </w:rPr>
              <w:t>Activity Work Plan Report</w:t>
            </w:r>
          </w:p>
        </w:tc>
        <w:tc>
          <w:tcPr>
            <w:tcW w:w="4820" w:type="dxa"/>
          </w:tcPr>
          <w:p w14:paraId="6B3C9A1B" w14:textId="77777777" w:rsidR="002A7828" w:rsidRPr="00AB3274" w:rsidRDefault="002A7828" w:rsidP="001A593F">
            <w:pPr>
              <w:rPr>
                <w:rFonts w:ascii="Arial" w:hAnsi="Arial" w:cs="Arial"/>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0EF0E6DD" w14:textId="77777777" w:rsidR="002A7828" w:rsidRPr="00E27D32" w:rsidRDefault="002A7828" w:rsidP="001A593F">
            <w:pPr>
              <w:rPr>
                <w:rFonts w:ascii="Arial" w:hAnsi="Arial" w:cs="Arial"/>
              </w:rPr>
            </w:pPr>
            <w:r w:rsidRPr="00E27D32">
              <w:rPr>
                <w:rFonts w:ascii="Arial" w:hAnsi="Arial" w:cs="Arial"/>
                <w:sz w:val="22"/>
                <w:szCs w:val="22"/>
              </w:rPr>
              <w:t>15 August 2022</w:t>
            </w:r>
          </w:p>
        </w:tc>
      </w:tr>
      <w:tr w:rsidR="002A7828" w:rsidRPr="00E27D32" w14:paraId="3FE11E4D" w14:textId="77777777" w:rsidTr="002A7828">
        <w:tc>
          <w:tcPr>
            <w:tcW w:w="2943" w:type="dxa"/>
          </w:tcPr>
          <w:p w14:paraId="74D923C1" w14:textId="77777777" w:rsidR="002A7828" w:rsidRPr="00E53C59" w:rsidRDefault="002A7828" w:rsidP="001A593F">
            <w:pPr>
              <w:rPr>
                <w:rFonts w:ascii="Arial" w:hAnsi="Arial" w:cs="Arial"/>
                <w:sz w:val="22"/>
                <w:szCs w:val="22"/>
              </w:rPr>
            </w:pPr>
            <w:r>
              <w:rPr>
                <w:rFonts w:ascii="Arial" w:hAnsi="Arial" w:cs="Arial"/>
                <w:sz w:val="22"/>
                <w:szCs w:val="22"/>
              </w:rPr>
              <w:t>Other Report</w:t>
            </w:r>
          </w:p>
        </w:tc>
        <w:tc>
          <w:tcPr>
            <w:tcW w:w="4820" w:type="dxa"/>
          </w:tcPr>
          <w:p w14:paraId="493D8EC9" w14:textId="77777777" w:rsidR="002A7828" w:rsidRPr="00E53C59" w:rsidRDefault="002A7828" w:rsidP="001A593F">
            <w:pPr>
              <w:rPr>
                <w:rFonts w:ascii="Arial" w:hAnsi="Arial" w:cs="Arial"/>
                <w:sz w:val="22"/>
                <w:szCs w:val="22"/>
              </w:rPr>
            </w:pPr>
            <w:r>
              <w:rPr>
                <w:rFonts w:ascii="Arial" w:hAnsi="Arial" w:cs="Arial"/>
                <w:sz w:val="22"/>
                <w:szCs w:val="22"/>
              </w:rPr>
              <w:t xml:space="preserve">ICAFSS Program Logic – </w:t>
            </w:r>
            <w:r w:rsidRPr="00E53C59">
              <w:rPr>
                <w:rFonts w:ascii="Arial" w:hAnsi="Arial" w:cs="Arial"/>
                <w:sz w:val="22"/>
                <w:szCs w:val="22"/>
              </w:rPr>
              <w:t xml:space="preserve">Review/Revise, in consultation with </w:t>
            </w:r>
            <w:r>
              <w:rPr>
                <w:rFonts w:ascii="Arial" w:hAnsi="Arial" w:cs="Arial"/>
                <w:sz w:val="22"/>
                <w:szCs w:val="22"/>
              </w:rPr>
              <w:t>us</w:t>
            </w:r>
            <w:r w:rsidRPr="00E53C59">
              <w:rPr>
                <w:rFonts w:ascii="Arial" w:hAnsi="Arial" w:cs="Arial"/>
                <w:sz w:val="22"/>
                <w:szCs w:val="22"/>
              </w:rPr>
              <w:t xml:space="preserve"> and an independent evaluator, as per Item E.4.</w:t>
            </w:r>
          </w:p>
        </w:tc>
        <w:tc>
          <w:tcPr>
            <w:tcW w:w="2205" w:type="dxa"/>
          </w:tcPr>
          <w:p w14:paraId="599B8F9B" w14:textId="77777777" w:rsidR="002A7828" w:rsidRPr="00E53C59" w:rsidRDefault="002A7828" w:rsidP="001A593F">
            <w:pPr>
              <w:rPr>
                <w:rFonts w:ascii="Arial" w:hAnsi="Arial" w:cs="Arial"/>
                <w:sz w:val="22"/>
                <w:szCs w:val="22"/>
              </w:rPr>
            </w:pPr>
            <w:r w:rsidRPr="00E27D32">
              <w:rPr>
                <w:rFonts w:ascii="Arial" w:hAnsi="Arial" w:cs="Arial"/>
                <w:sz w:val="22"/>
                <w:szCs w:val="22"/>
              </w:rPr>
              <w:t>15 August 2022</w:t>
            </w:r>
          </w:p>
        </w:tc>
      </w:tr>
      <w:tr w:rsidR="002A7828" w:rsidRPr="00E27D32" w14:paraId="58CF63BD" w14:textId="77777777" w:rsidTr="002A7828">
        <w:tc>
          <w:tcPr>
            <w:tcW w:w="2943" w:type="dxa"/>
          </w:tcPr>
          <w:p w14:paraId="3A544684" w14:textId="77777777" w:rsidR="002A7828" w:rsidRPr="00E27D32" w:rsidRDefault="002A7828" w:rsidP="001A593F">
            <w:pPr>
              <w:rPr>
                <w:rFonts w:ascii="Arial" w:hAnsi="Arial" w:cs="Arial"/>
              </w:rPr>
            </w:pPr>
            <w:r w:rsidRPr="00E27D32">
              <w:rPr>
                <w:rFonts w:ascii="Arial" w:hAnsi="Arial" w:cs="Arial"/>
                <w:sz w:val="22"/>
                <w:szCs w:val="22"/>
              </w:rPr>
              <w:t>Financial Acquittal Report</w:t>
            </w:r>
          </w:p>
        </w:tc>
        <w:tc>
          <w:tcPr>
            <w:tcW w:w="4820" w:type="dxa"/>
          </w:tcPr>
          <w:p w14:paraId="4E2207ED" w14:textId="77777777" w:rsidR="002A7828" w:rsidRPr="00E26E24" w:rsidRDefault="002A7828" w:rsidP="001A593F">
            <w:pPr>
              <w:rPr>
                <w:rFonts w:ascii="Arial" w:hAnsi="Arial" w:cs="Arial"/>
              </w:rPr>
            </w:pPr>
            <w:r w:rsidRPr="00E26E24">
              <w:rPr>
                <w:rFonts w:ascii="Arial" w:hAnsi="Arial" w:cs="Arial"/>
                <w:sz w:val="22"/>
                <w:szCs w:val="22"/>
              </w:rPr>
              <w:t xml:space="preserve">Financial Acquittal from 1 July 2021 </w:t>
            </w:r>
            <w:r>
              <w:rPr>
                <w:rFonts w:ascii="Arial" w:hAnsi="Arial" w:cs="Arial"/>
                <w:sz w:val="22"/>
                <w:szCs w:val="22"/>
              </w:rPr>
              <w:t xml:space="preserve">to </w:t>
            </w:r>
            <w:r>
              <w:rPr>
                <w:rFonts w:ascii="Arial" w:hAnsi="Arial" w:cs="Arial"/>
                <w:sz w:val="22"/>
                <w:szCs w:val="22"/>
              </w:rPr>
              <w:br/>
              <w:t>30 June 2022 as per Item E.3</w:t>
            </w:r>
          </w:p>
        </w:tc>
        <w:tc>
          <w:tcPr>
            <w:tcW w:w="2205" w:type="dxa"/>
          </w:tcPr>
          <w:p w14:paraId="0A96DE00" w14:textId="77777777" w:rsidR="002A7828" w:rsidRPr="00E27D32" w:rsidRDefault="002A7828" w:rsidP="001A593F">
            <w:pPr>
              <w:rPr>
                <w:rFonts w:ascii="Arial" w:hAnsi="Arial" w:cs="Arial"/>
              </w:rPr>
            </w:pPr>
            <w:r w:rsidRPr="00E27D32">
              <w:rPr>
                <w:rFonts w:ascii="Arial" w:hAnsi="Arial" w:cs="Arial"/>
                <w:sz w:val="22"/>
                <w:szCs w:val="22"/>
              </w:rPr>
              <w:t>31 October 2022</w:t>
            </w:r>
          </w:p>
        </w:tc>
      </w:tr>
      <w:tr w:rsidR="002A7828" w:rsidRPr="00E27D32" w14:paraId="76EFB2D9" w14:textId="77777777" w:rsidTr="002A7828">
        <w:tc>
          <w:tcPr>
            <w:tcW w:w="2943" w:type="dxa"/>
          </w:tcPr>
          <w:p w14:paraId="27323D47"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4D658AAF"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1 data </w:t>
            </w:r>
            <w:r w:rsidRPr="00E26E24">
              <w:rPr>
                <w:rFonts w:ascii="Arial" w:hAnsi="Arial" w:cs="Arial"/>
                <w:sz w:val="22"/>
                <w:szCs w:val="22"/>
              </w:rPr>
              <w:br/>
              <w:t>(1 July to 31 December), as set out in the Data Exchange Protocols, as per Item E.1</w:t>
            </w:r>
          </w:p>
        </w:tc>
        <w:tc>
          <w:tcPr>
            <w:tcW w:w="2205" w:type="dxa"/>
          </w:tcPr>
          <w:p w14:paraId="4B8636C3" w14:textId="77777777" w:rsidR="002A7828" w:rsidRPr="00E27D32" w:rsidRDefault="002A7828" w:rsidP="001A593F">
            <w:pPr>
              <w:rPr>
                <w:rFonts w:ascii="Arial" w:hAnsi="Arial" w:cs="Arial"/>
              </w:rPr>
            </w:pPr>
            <w:r w:rsidRPr="00E27D32">
              <w:rPr>
                <w:rFonts w:ascii="Arial" w:hAnsi="Arial" w:cs="Arial"/>
                <w:sz w:val="22"/>
                <w:szCs w:val="22"/>
              </w:rPr>
              <w:t>30 January 2023</w:t>
            </w:r>
          </w:p>
        </w:tc>
      </w:tr>
      <w:tr w:rsidR="002A7828" w:rsidRPr="00E27D32" w14:paraId="15585E59" w14:textId="77777777" w:rsidTr="002A7828">
        <w:tc>
          <w:tcPr>
            <w:tcW w:w="2943" w:type="dxa"/>
          </w:tcPr>
          <w:p w14:paraId="64AD3121"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6342BA65"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2 data </w:t>
            </w:r>
            <w:r w:rsidRPr="00E26E24">
              <w:rPr>
                <w:rFonts w:ascii="Arial" w:hAnsi="Arial" w:cs="Arial"/>
                <w:sz w:val="22"/>
                <w:szCs w:val="22"/>
              </w:rPr>
              <w:br/>
              <w:t>(1 January to 30 June), as set out in the Data Exchange Protocols, as per Item E.1</w:t>
            </w:r>
          </w:p>
        </w:tc>
        <w:tc>
          <w:tcPr>
            <w:tcW w:w="2205" w:type="dxa"/>
          </w:tcPr>
          <w:p w14:paraId="11F594C1" w14:textId="77777777" w:rsidR="002A7828" w:rsidRPr="00E27D32" w:rsidRDefault="002A7828" w:rsidP="001A593F">
            <w:pPr>
              <w:rPr>
                <w:rFonts w:ascii="Arial" w:hAnsi="Arial" w:cs="Arial"/>
              </w:rPr>
            </w:pPr>
            <w:r w:rsidRPr="00E27D32">
              <w:rPr>
                <w:rFonts w:ascii="Arial" w:hAnsi="Arial" w:cs="Arial"/>
                <w:sz w:val="22"/>
                <w:szCs w:val="22"/>
              </w:rPr>
              <w:t>30 July 2023</w:t>
            </w:r>
          </w:p>
        </w:tc>
      </w:tr>
      <w:tr w:rsidR="002A7828" w:rsidRPr="00E27D32" w14:paraId="33F75A18" w14:textId="77777777" w:rsidTr="002A7828">
        <w:tc>
          <w:tcPr>
            <w:tcW w:w="2943" w:type="dxa"/>
          </w:tcPr>
          <w:p w14:paraId="7A283294" w14:textId="77777777" w:rsidR="002A7828" w:rsidRPr="00E27D32" w:rsidRDefault="002A7828" w:rsidP="001A593F">
            <w:pPr>
              <w:rPr>
                <w:rFonts w:ascii="Arial" w:hAnsi="Arial" w:cs="Arial"/>
              </w:rPr>
            </w:pPr>
            <w:r w:rsidRPr="001A41CA">
              <w:rPr>
                <w:rFonts w:ascii="Arial" w:hAnsi="Arial" w:cs="Arial"/>
                <w:sz w:val="22"/>
                <w:szCs w:val="22"/>
              </w:rPr>
              <w:t>Activity Work Plan Report</w:t>
            </w:r>
          </w:p>
        </w:tc>
        <w:tc>
          <w:tcPr>
            <w:tcW w:w="4820" w:type="dxa"/>
          </w:tcPr>
          <w:p w14:paraId="73294515" w14:textId="77777777" w:rsidR="002A7828" w:rsidRPr="00AB3274" w:rsidRDefault="002A7828" w:rsidP="001A593F">
            <w:pPr>
              <w:rPr>
                <w:rFonts w:ascii="Arial" w:hAnsi="Arial" w:cs="Arial"/>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114C376F" w14:textId="77777777" w:rsidR="002A7828" w:rsidRPr="00E27D32" w:rsidRDefault="002A7828" w:rsidP="001A593F">
            <w:pPr>
              <w:rPr>
                <w:rFonts w:ascii="Arial" w:hAnsi="Arial" w:cs="Arial"/>
              </w:rPr>
            </w:pPr>
            <w:r w:rsidRPr="00E27D32">
              <w:rPr>
                <w:rFonts w:ascii="Arial" w:hAnsi="Arial" w:cs="Arial"/>
                <w:sz w:val="22"/>
                <w:szCs w:val="22"/>
              </w:rPr>
              <w:t>15 August 2023</w:t>
            </w:r>
          </w:p>
        </w:tc>
      </w:tr>
      <w:tr w:rsidR="002A7828" w:rsidRPr="00E27D32" w14:paraId="7CC812D0" w14:textId="77777777" w:rsidTr="002A7828">
        <w:tc>
          <w:tcPr>
            <w:tcW w:w="2943" w:type="dxa"/>
          </w:tcPr>
          <w:p w14:paraId="33480A1C" w14:textId="77777777" w:rsidR="002A7828" w:rsidRPr="00F2113F" w:rsidRDefault="002A7828" w:rsidP="001A593F">
            <w:pPr>
              <w:rPr>
                <w:rFonts w:ascii="Arial" w:hAnsi="Arial" w:cs="Arial"/>
                <w:sz w:val="22"/>
                <w:szCs w:val="22"/>
              </w:rPr>
            </w:pPr>
            <w:r>
              <w:rPr>
                <w:rFonts w:ascii="Arial" w:hAnsi="Arial" w:cs="Arial"/>
                <w:sz w:val="22"/>
                <w:szCs w:val="22"/>
              </w:rPr>
              <w:t>Other Report</w:t>
            </w:r>
          </w:p>
        </w:tc>
        <w:tc>
          <w:tcPr>
            <w:tcW w:w="4820" w:type="dxa"/>
          </w:tcPr>
          <w:p w14:paraId="6DB8A145" w14:textId="77777777" w:rsidR="002A7828" w:rsidRPr="00F2113F" w:rsidRDefault="002A7828" w:rsidP="001A593F">
            <w:pPr>
              <w:rPr>
                <w:rFonts w:ascii="Arial" w:hAnsi="Arial" w:cs="Arial"/>
                <w:sz w:val="22"/>
                <w:szCs w:val="22"/>
              </w:rPr>
            </w:pPr>
            <w:r>
              <w:rPr>
                <w:rFonts w:ascii="Arial" w:hAnsi="Arial" w:cs="Arial"/>
                <w:sz w:val="22"/>
                <w:szCs w:val="22"/>
              </w:rPr>
              <w:t xml:space="preserve">Independent Evaluation and Review – </w:t>
            </w:r>
            <w:r w:rsidRPr="00F2113F">
              <w:rPr>
                <w:rFonts w:ascii="Arial" w:hAnsi="Arial" w:cs="Arial"/>
                <w:sz w:val="22"/>
                <w:szCs w:val="22"/>
              </w:rPr>
              <w:t>Work with an independent evaluator for them to produce an independent program evaluation and review as per Item E.4</w:t>
            </w:r>
          </w:p>
        </w:tc>
        <w:tc>
          <w:tcPr>
            <w:tcW w:w="2205" w:type="dxa"/>
          </w:tcPr>
          <w:p w14:paraId="5F0FD0BF" w14:textId="77777777" w:rsidR="002A7828" w:rsidRPr="00F2113F" w:rsidRDefault="002A7828" w:rsidP="001A593F">
            <w:pPr>
              <w:rPr>
                <w:rFonts w:ascii="Arial" w:hAnsi="Arial" w:cs="Arial"/>
                <w:sz w:val="22"/>
                <w:szCs w:val="22"/>
              </w:rPr>
            </w:pPr>
            <w:r w:rsidRPr="00F2113F">
              <w:rPr>
                <w:rFonts w:ascii="Arial" w:hAnsi="Arial" w:cs="Arial"/>
                <w:sz w:val="22"/>
                <w:szCs w:val="22"/>
              </w:rPr>
              <w:t>15 September 2023</w:t>
            </w:r>
          </w:p>
        </w:tc>
      </w:tr>
      <w:tr w:rsidR="002A7828" w:rsidRPr="00E27D32" w14:paraId="5C92B010" w14:textId="77777777" w:rsidTr="002A7828">
        <w:tc>
          <w:tcPr>
            <w:tcW w:w="2943" w:type="dxa"/>
          </w:tcPr>
          <w:p w14:paraId="2286B731" w14:textId="77777777" w:rsidR="002A7828" w:rsidRPr="00E27D32" w:rsidRDefault="002A7828" w:rsidP="001A593F">
            <w:pPr>
              <w:rPr>
                <w:rFonts w:ascii="Arial" w:hAnsi="Arial" w:cs="Arial"/>
              </w:rPr>
            </w:pPr>
            <w:r w:rsidRPr="00E27D32">
              <w:rPr>
                <w:rFonts w:ascii="Arial" w:hAnsi="Arial" w:cs="Arial"/>
                <w:sz w:val="22"/>
                <w:szCs w:val="22"/>
              </w:rPr>
              <w:t>Financial Acquittal Report</w:t>
            </w:r>
          </w:p>
        </w:tc>
        <w:tc>
          <w:tcPr>
            <w:tcW w:w="4820" w:type="dxa"/>
          </w:tcPr>
          <w:p w14:paraId="252E8F92" w14:textId="77777777" w:rsidR="002A7828" w:rsidRPr="00E27D32" w:rsidRDefault="002A7828" w:rsidP="001A593F">
            <w:pPr>
              <w:rPr>
                <w:rFonts w:ascii="Arial" w:hAnsi="Arial" w:cs="Arial"/>
                <w:highlight w:val="yellow"/>
              </w:rPr>
            </w:pPr>
            <w:r w:rsidRPr="00E26E24">
              <w:rPr>
                <w:rFonts w:ascii="Arial" w:hAnsi="Arial" w:cs="Arial"/>
                <w:sz w:val="22"/>
                <w:szCs w:val="22"/>
              </w:rPr>
              <w:t xml:space="preserve">Financial Acquittal from 1 July 2022 </w:t>
            </w:r>
            <w:r>
              <w:rPr>
                <w:rFonts w:ascii="Arial" w:hAnsi="Arial" w:cs="Arial"/>
                <w:sz w:val="22"/>
                <w:szCs w:val="22"/>
              </w:rPr>
              <w:t xml:space="preserve">to </w:t>
            </w:r>
            <w:r>
              <w:rPr>
                <w:rFonts w:ascii="Arial" w:hAnsi="Arial" w:cs="Arial"/>
                <w:sz w:val="22"/>
                <w:szCs w:val="22"/>
              </w:rPr>
              <w:br/>
              <w:t>30 June 2023 as per Item E.3</w:t>
            </w:r>
          </w:p>
        </w:tc>
        <w:tc>
          <w:tcPr>
            <w:tcW w:w="2205" w:type="dxa"/>
          </w:tcPr>
          <w:p w14:paraId="0646936F" w14:textId="77777777" w:rsidR="002A7828" w:rsidRPr="00E27D32" w:rsidRDefault="002A7828" w:rsidP="001A593F">
            <w:pPr>
              <w:rPr>
                <w:rFonts w:ascii="Arial" w:hAnsi="Arial" w:cs="Arial"/>
              </w:rPr>
            </w:pPr>
            <w:r w:rsidRPr="00E27D32">
              <w:rPr>
                <w:rFonts w:ascii="Arial" w:hAnsi="Arial" w:cs="Arial"/>
                <w:sz w:val="22"/>
                <w:szCs w:val="22"/>
              </w:rPr>
              <w:t>31 October 2023</w:t>
            </w:r>
          </w:p>
        </w:tc>
      </w:tr>
      <w:tr w:rsidR="002A7828" w:rsidRPr="00E27D32" w14:paraId="0F67FF6A" w14:textId="77777777" w:rsidTr="002A7828">
        <w:tc>
          <w:tcPr>
            <w:tcW w:w="2943" w:type="dxa"/>
          </w:tcPr>
          <w:p w14:paraId="02792C22"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7D9ED16A"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1 data </w:t>
            </w:r>
            <w:r w:rsidRPr="00E26E24">
              <w:rPr>
                <w:rFonts w:ascii="Arial" w:hAnsi="Arial" w:cs="Arial"/>
                <w:sz w:val="22"/>
                <w:szCs w:val="22"/>
              </w:rPr>
              <w:br/>
              <w:t>(1 July to 31 December), as set out in the Data Exchange Protocols, as per Item E.1</w:t>
            </w:r>
          </w:p>
        </w:tc>
        <w:tc>
          <w:tcPr>
            <w:tcW w:w="2205" w:type="dxa"/>
          </w:tcPr>
          <w:p w14:paraId="50D4D123" w14:textId="77777777" w:rsidR="002A7828" w:rsidRPr="00E27D32" w:rsidRDefault="002A7828" w:rsidP="001A593F">
            <w:pPr>
              <w:rPr>
                <w:rFonts w:ascii="Arial" w:hAnsi="Arial" w:cs="Arial"/>
              </w:rPr>
            </w:pPr>
            <w:r w:rsidRPr="00E27D32">
              <w:rPr>
                <w:rFonts w:ascii="Arial" w:hAnsi="Arial" w:cs="Arial"/>
                <w:sz w:val="22"/>
                <w:szCs w:val="22"/>
              </w:rPr>
              <w:t>30 January 2024</w:t>
            </w:r>
          </w:p>
        </w:tc>
      </w:tr>
      <w:tr w:rsidR="002A7828" w:rsidRPr="00E27D32" w14:paraId="37B7FD5F" w14:textId="77777777" w:rsidTr="002A7828">
        <w:tc>
          <w:tcPr>
            <w:tcW w:w="2943" w:type="dxa"/>
          </w:tcPr>
          <w:p w14:paraId="23BE34DD"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52FED455"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2 data </w:t>
            </w:r>
            <w:r w:rsidRPr="00E26E24">
              <w:rPr>
                <w:rFonts w:ascii="Arial" w:hAnsi="Arial" w:cs="Arial"/>
                <w:sz w:val="22"/>
                <w:szCs w:val="22"/>
              </w:rPr>
              <w:br/>
              <w:t>(1 January to 30 June), as set out in the Data Exchange Protocols, as per Item E.1</w:t>
            </w:r>
          </w:p>
        </w:tc>
        <w:tc>
          <w:tcPr>
            <w:tcW w:w="2205" w:type="dxa"/>
          </w:tcPr>
          <w:p w14:paraId="152496C0" w14:textId="77777777" w:rsidR="002A7828" w:rsidRPr="00E27D32" w:rsidRDefault="002A7828" w:rsidP="001A593F">
            <w:pPr>
              <w:rPr>
                <w:rFonts w:ascii="Arial" w:hAnsi="Arial" w:cs="Arial"/>
              </w:rPr>
            </w:pPr>
            <w:r w:rsidRPr="00E27D32">
              <w:rPr>
                <w:rFonts w:ascii="Arial" w:hAnsi="Arial" w:cs="Arial"/>
                <w:sz w:val="22"/>
                <w:szCs w:val="22"/>
              </w:rPr>
              <w:t>30 July 2024</w:t>
            </w:r>
          </w:p>
        </w:tc>
      </w:tr>
      <w:tr w:rsidR="002A7828" w:rsidRPr="00E27D32" w14:paraId="35C2774F" w14:textId="77777777" w:rsidTr="002A7828">
        <w:tc>
          <w:tcPr>
            <w:tcW w:w="2943" w:type="dxa"/>
          </w:tcPr>
          <w:p w14:paraId="287FF324" w14:textId="77777777" w:rsidR="002A7828" w:rsidRPr="00E27D32" w:rsidRDefault="002A7828" w:rsidP="001A593F">
            <w:pPr>
              <w:rPr>
                <w:rFonts w:ascii="Arial" w:hAnsi="Arial" w:cs="Arial"/>
              </w:rPr>
            </w:pPr>
            <w:r w:rsidRPr="001A41CA">
              <w:rPr>
                <w:rFonts w:ascii="Arial" w:hAnsi="Arial" w:cs="Arial"/>
                <w:sz w:val="22"/>
                <w:szCs w:val="22"/>
              </w:rPr>
              <w:t>Activity Work Plan Report</w:t>
            </w:r>
          </w:p>
        </w:tc>
        <w:tc>
          <w:tcPr>
            <w:tcW w:w="4820" w:type="dxa"/>
          </w:tcPr>
          <w:p w14:paraId="4F9F6672" w14:textId="77777777" w:rsidR="002A7828" w:rsidRPr="00AB3274" w:rsidRDefault="002A7828" w:rsidP="001A593F">
            <w:pPr>
              <w:rPr>
                <w:rFonts w:ascii="Arial" w:hAnsi="Arial" w:cs="Arial"/>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312A105C" w14:textId="77777777" w:rsidR="002A7828" w:rsidRPr="00E27D32" w:rsidRDefault="002A7828" w:rsidP="001A593F">
            <w:pPr>
              <w:rPr>
                <w:rFonts w:ascii="Arial" w:hAnsi="Arial" w:cs="Arial"/>
              </w:rPr>
            </w:pPr>
            <w:r w:rsidRPr="00E27D32">
              <w:rPr>
                <w:rFonts w:ascii="Arial" w:hAnsi="Arial" w:cs="Arial"/>
                <w:sz w:val="22"/>
                <w:szCs w:val="22"/>
              </w:rPr>
              <w:t>15 August 2024</w:t>
            </w:r>
          </w:p>
        </w:tc>
      </w:tr>
      <w:tr w:rsidR="002A7828" w:rsidRPr="00E27D32" w14:paraId="7841D9B5" w14:textId="77777777" w:rsidTr="002A7828">
        <w:tc>
          <w:tcPr>
            <w:tcW w:w="2943" w:type="dxa"/>
          </w:tcPr>
          <w:p w14:paraId="0067DC08" w14:textId="77777777" w:rsidR="002A7828" w:rsidRPr="00E27D32" w:rsidRDefault="002A7828" w:rsidP="001A593F">
            <w:pPr>
              <w:rPr>
                <w:rFonts w:ascii="Arial" w:hAnsi="Arial" w:cs="Arial"/>
              </w:rPr>
            </w:pPr>
            <w:r w:rsidRPr="00E27D32">
              <w:rPr>
                <w:rFonts w:ascii="Arial" w:hAnsi="Arial" w:cs="Arial"/>
                <w:sz w:val="22"/>
                <w:szCs w:val="22"/>
              </w:rPr>
              <w:lastRenderedPageBreak/>
              <w:t>Financial Acquittal Report</w:t>
            </w:r>
          </w:p>
        </w:tc>
        <w:tc>
          <w:tcPr>
            <w:tcW w:w="4820" w:type="dxa"/>
          </w:tcPr>
          <w:p w14:paraId="2B70D994" w14:textId="77777777" w:rsidR="002A7828" w:rsidRPr="00E27D32" w:rsidRDefault="002A7828" w:rsidP="001A593F">
            <w:pPr>
              <w:rPr>
                <w:rFonts w:ascii="Arial" w:hAnsi="Arial" w:cs="Arial"/>
                <w:highlight w:val="yellow"/>
              </w:rPr>
            </w:pPr>
            <w:r w:rsidRPr="00E26E24">
              <w:rPr>
                <w:rFonts w:ascii="Arial" w:hAnsi="Arial" w:cs="Arial"/>
                <w:sz w:val="22"/>
                <w:szCs w:val="22"/>
              </w:rPr>
              <w:t xml:space="preserve">Financial Acquittal from 1 July 2023 </w:t>
            </w:r>
            <w:r>
              <w:rPr>
                <w:rFonts w:ascii="Arial" w:hAnsi="Arial" w:cs="Arial"/>
                <w:sz w:val="22"/>
                <w:szCs w:val="22"/>
              </w:rPr>
              <w:t xml:space="preserve">to </w:t>
            </w:r>
            <w:r>
              <w:rPr>
                <w:rFonts w:ascii="Arial" w:hAnsi="Arial" w:cs="Arial"/>
                <w:sz w:val="22"/>
                <w:szCs w:val="22"/>
              </w:rPr>
              <w:br/>
              <w:t>30 June 2024 as per Item E.3</w:t>
            </w:r>
          </w:p>
        </w:tc>
        <w:tc>
          <w:tcPr>
            <w:tcW w:w="2205" w:type="dxa"/>
          </w:tcPr>
          <w:p w14:paraId="2357BEDD" w14:textId="77777777" w:rsidR="002A7828" w:rsidRPr="00E27D32" w:rsidRDefault="002A7828" w:rsidP="001A593F">
            <w:pPr>
              <w:rPr>
                <w:rFonts w:ascii="Arial" w:hAnsi="Arial" w:cs="Arial"/>
              </w:rPr>
            </w:pPr>
            <w:r w:rsidRPr="00E27D32">
              <w:rPr>
                <w:rFonts w:ascii="Arial" w:hAnsi="Arial" w:cs="Arial"/>
                <w:sz w:val="22"/>
                <w:szCs w:val="22"/>
              </w:rPr>
              <w:t>31 October 2024</w:t>
            </w:r>
          </w:p>
        </w:tc>
      </w:tr>
      <w:tr w:rsidR="002A7828" w:rsidRPr="00E27D32" w14:paraId="6312F9CB" w14:textId="77777777" w:rsidTr="002A7828">
        <w:tc>
          <w:tcPr>
            <w:tcW w:w="2943" w:type="dxa"/>
          </w:tcPr>
          <w:p w14:paraId="0423613B"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5C55D9BE" w14:textId="77777777" w:rsidR="002A7828" w:rsidRPr="00E27D32" w:rsidRDefault="002A7828" w:rsidP="001A593F">
            <w:pPr>
              <w:rPr>
                <w:rFonts w:ascii="Arial" w:hAnsi="Arial" w:cs="Arial"/>
                <w:highlight w:val="yellow"/>
              </w:rPr>
            </w:pPr>
            <w:r w:rsidRPr="00AB3274">
              <w:rPr>
                <w:rFonts w:ascii="Arial" w:hAnsi="Arial" w:cs="Arial"/>
                <w:sz w:val="22"/>
                <w:szCs w:val="22"/>
              </w:rPr>
              <w:t xml:space="preserve">Finalisation of Data Exchange period 1 data </w:t>
            </w:r>
            <w:r w:rsidRPr="00AB3274">
              <w:rPr>
                <w:rFonts w:ascii="Arial" w:hAnsi="Arial" w:cs="Arial"/>
                <w:sz w:val="22"/>
                <w:szCs w:val="22"/>
              </w:rPr>
              <w:br/>
              <w:t>(1 July to 31 December), as set out in the Data Exchange Protocols, as per Item E.1</w:t>
            </w:r>
          </w:p>
        </w:tc>
        <w:tc>
          <w:tcPr>
            <w:tcW w:w="2205" w:type="dxa"/>
          </w:tcPr>
          <w:p w14:paraId="648F2889" w14:textId="77777777" w:rsidR="002A7828" w:rsidRPr="00E27D32" w:rsidRDefault="002A7828" w:rsidP="001A593F">
            <w:pPr>
              <w:rPr>
                <w:rFonts w:ascii="Arial" w:hAnsi="Arial" w:cs="Arial"/>
              </w:rPr>
            </w:pPr>
            <w:r w:rsidRPr="00E27D32">
              <w:rPr>
                <w:rFonts w:ascii="Arial" w:hAnsi="Arial" w:cs="Arial"/>
                <w:sz w:val="22"/>
                <w:szCs w:val="22"/>
              </w:rPr>
              <w:t>30 January 2025</w:t>
            </w:r>
          </w:p>
        </w:tc>
      </w:tr>
      <w:tr w:rsidR="002A7828" w:rsidRPr="00E27D32" w14:paraId="57F882C2" w14:textId="77777777" w:rsidTr="002A7828">
        <w:tc>
          <w:tcPr>
            <w:tcW w:w="2943" w:type="dxa"/>
          </w:tcPr>
          <w:p w14:paraId="6A05BB68"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78F37CBD"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2 data </w:t>
            </w:r>
            <w:r w:rsidRPr="00E26E24">
              <w:rPr>
                <w:rFonts w:ascii="Arial" w:hAnsi="Arial" w:cs="Arial"/>
                <w:sz w:val="22"/>
                <w:szCs w:val="22"/>
              </w:rPr>
              <w:br/>
              <w:t>(1 January to 30 June), as set out in the Data Exchange Protocols, as per Item E.1</w:t>
            </w:r>
          </w:p>
        </w:tc>
        <w:tc>
          <w:tcPr>
            <w:tcW w:w="2205" w:type="dxa"/>
          </w:tcPr>
          <w:p w14:paraId="30055772" w14:textId="77777777" w:rsidR="002A7828" w:rsidRPr="00E27D32" w:rsidRDefault="002A7828" w:rsidP="001A593F">
            <w:pPr>
              <w:rPr>
                <w:rFonts w:ascii="Arial" w:hAnsi="Arial" w:cs="Arial"/>
              </w:rPr>
            </w:pPr>
            <w:r w:rsidRPr="00E27D32">
              <w:rPr>
                <w:rFonts w:ascii="Arial" w:hAnsi="Arial" w:cs="Arial"/>
                <w:sz w:val="22"/>
                <w:szCs w:val="22"/>
              </w:rPr>
              <w:t>30 July 2025</w:t>
            </w:r>
          </w:p>
        </w:tc>
      </w:tr>
      <w:tr w:rsidR="002A7828" w:rsidRPr="00E27D32" w14:paraId="5BAC13BC" w14:textId="77777777" w:rsidTr="002A7828">
        <w:tc>
          <w:tcPr>
            <w:tcW w:w="2943" w:type="dxa"/>
          </w:tcPr>
          <w:p w14:paraId="73BD3E37" w14:textId="77777777" w:rsidR="002A7828" w:rsidRPr="00E27D32" w:rsidRDefault="002A7828" w:rsidP="001A593F">
            <w:pPr>
              <w:rPr>
                <w:rFonts w:ascii="Arial" w:hAnsi="Arial" w:cs="Arial"/>
              </w:rPr>
            </w:pPr>
            <w:r w:rsidRPr="001A41CA">
              <w:rPr>
                <w:rFonts w:ascii="Arial" w:hAnsi="Arial" w:cs="Arial"/>
                <w:sz w:val="22"/>
                <w:szCs w:val="22"/>
              </w:rPr>
              <w:t>Activity Work Plan Report</w:t>
            </w:r>
          </w:p>
        </w:tc>
        <w:tc>
          <w:tcPr>
            <w:tcW w:w="4820" w:type="dxa"/>
          </w:tcPr>
          <w:p w14:paraId="3E08B9D8" w14:textId="77777777" w:rsidR="002A7828" w:rsidRPr="00E26E24" w:rsidRDefault="002A7828" w:rsidP="001A593F">
            <w:pPr>
              <w:rPr>
                <w:rFonts w:ascii="Arial" w:hAnsi="Arial" w:cs="Arial"/>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6FCE62AA" w14:textId="77777777" w:rsidR="002A7828" w:rsidRPr="00E27D32" w:rsidRDefault="002A7828" w:rsidP="001A593F">
            <w:pPr>
              <w:rPr>
                <w:rFonts w:ascii="Arial" w:hAnsi="Arial" w:cs="Arial"/>
              </w:rPr>
            </w:pPr>
            <w:r w:rsidRPr="00E27D32">
              <w:rPr>
                <w:rFonts w:ascii="Arial" w:hAnsi="Arial" w:cs="Arial"/>
                <w:sz w:val="22"/>
                <w:szCs w:val="22"/>
              </w:rPr>
              <w:t>15 August 2025</w:t>
            </w:r>
          </w:p>
        </w:tc>
      </w:tr>
      <w:tr w:rsidR="002A7828" w:rsidRPr="00E27D32" w14:paraId="29BBCE2B" w14:textId="77777777" w:rsidTr="002A7828">
        <w:tc>
          <w:tcPr>
            <w:tcW w:w="2943" w:type="dxa"/>
          </w:tcPr>
          <w:p w14:paraId="737DF66D" w14:textId="77777777" w:rsidR="002A7828" w:rsidRPr="00E27D32" w:rsidRDefault="002A7828" w:rsidP="001A593F">
            <w:pPr>
              <w:rPr>
                <w:rFonts w:ascii="Arial" w:hAnsi="Arial" w:cs="Arial"/>
              </w:rPr>
            </w:pPr>
            <w:r w:rsidRPr="00E27D32">
              <w:rPr>
                <w:rFonts w:ascii="Arial" w:hAnsi="Arial" w:cs="Arial"/>
                <w:sz w:val="22"/>
                <w:szCs w:val="22"/>
              </w:rPr>
              <w:t>Financial Acquittal Report</w:t>
            </w:r>
          </w:p>
        </w:tc>
        <w:tc>
          <w:tcPr>
            <w:tcW w:w="4820" w:type="dxa"/>
          </w:tcPr>
          <w:p w14:paraId="4263995A" w14:textId="77777777" w:rsidR="002A7828" w:rsidRPr="00E27D32" w:rsidRDefault="002A7828" w:rsidP="001A593F">
            <w:pPr>
              <w:rPr>
                <w:rFonts w:ascii="Arial" w:hAnsi="Arial" w:cs="Arial"/>
                <w:highlight w:val="yellow"/>
              </w:rPr>
            </w:pPr>
            <w:r w:rsidRPr="00E26E24">
              <w:rPr>
                <w:rFonts w:ascii="Arial" w:hAnsi="Arial" w:cs="Arial"/>
                <w:sz w:val="22"/>
                <w:szCs w:val="22"/>
              </w:rPr>
              <w:t xml:space="preserve">Financial Acquittal from 1 July 2024 </w:t>
            </w:r>
            <w:r>
              <w:rPr>
                <w:rFonts w:ascii="Arial" w:hAnsi="Arial" w:cs="Arial"/>
                <w:sz w:val="22"/>
                <w:szCs w:val="22"/>
              </w:rPr>
              <w:t xml:space="preserve">to </w:t>
            </w:r>
            <w:r>
              <w:rPr>
                <w:rFonts w:ascii="Arial" w:hAnsi="Arial" w:cs="Arial"/>
                <w:sz w:val="22"/>
                <w:szCs w:val="22"/>
              </w:rPr>
              <w:br/>
              <w:t>30 June 2025 as per Item E.3</w:t>
            </w:r>
          </w:p>
        </w:tc>
        <w:tc>
          <w:tcPr>
            <w:tcW w:w="2205" w:type="dxa"/>
          </w:tcPr>
          <w:p w14:paraId="01FEDEF3" w14:textId="77777777" w:rsidR="002A7828" w:rsidRPr="00E27D32" w:rsidRDefault="002A7828" w:rsidP="001A593F">
            <w:pPr>
              <w:rPr>
                <w:rFonts w:ascii="Arial" w:hAnsi="Arial" w:cs="Arial"/>
              </w:rPr>
            </w:pPr>
            <w:r w:rsidRPr="00E27D32">
              <w:rPr>
                <w:rFonts w:ascii="Arial" w:hAnsi="Arial" w:cs="Arial"/>
                <w:sz w:val="22"/>
                <w:szCs w:val="22"/>
              </w:rPr>
              <w:t>31 October 2025</w:t>
            </w:r>
          </w:p>
        </w:tc>
      </w:tr>
      <w:tr w:rsidR="002A7828" w:rsidRPr="00E27D32" w14:paraId="06C7B324" w14:textId="77777777" w:rsidTr="002A7828">
        <w:tc>
          <w:tcPr>
            <w:tcW w:w="2943" w:type="dxa"/>
          </w:tcPr>
          <w:p w14:paraId="24E122D0"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6C015236"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1 data </w:t>
            </w:r>
            <w:r w:rsidRPr="00E26E24">
              <w:rPr>
                <w:rFonts w:ascii="Arial" w:hAnsi="Arial" w:cs="Arial"/>
                <w:sz w:val="22"/>
                <w:szCs w:val="22"/>
              </w:rPr>
              <w:br/>
              <w:t>(1 July to 31 December), as set out in the Data Exchange Protocols, as per Item E.1</w:t>
            </w:r>
          </w:p>
        </w:tc>
        <w:tc>
          <w:tcPr>
            <w:tcW w:w="2205" w:type="dxa"/>
          </w:tcPr>
          <w:p w14:paraId="09BBDADB" w14:textId="77777777" w:rsidR="002A7828" w:rsidRPr="00E27D32" w:rsidRDefault="002A7828" w:rsidP="001A593F">
            <w:pPr>
              <w:rPr>
                <w:rFonts w:ascii="Arial" w:hAnsi="Arial" w:cs="Arial"/>
              </w:rPr>
            </w:pPr>
            <w:r w:rsidRPr="00E27D32">
              <w:rPr>
                <w:rFonts w:ascii="Arial" w:hAnsi="Arial" w:cs="Arial"/>
                <w:sz w:val="22"/>
                <w:szCs w:val="22"/>
              </w:rPr>
              <w:t>30 January 2026</w:t>
            </w:r>
          </w:p>
        </w:tc>
      </w:tr>
      <w:tr w:rsidR="002A7828" w:rsidRPr="00E27D32" w14:paraId="68F99CDB" w14:textId="77777777" w:rsidTr="002A7828">
        <w:tc>
          <w:tcPr>
            <w:tcW w:w="2943" w:type="dxa"/>
          </w:tcPr>
          <w:p w14:paraId="36302CAB" w14:textId="77777777" w:rsidR="002A7828" w:rsidRPr="00E27D32" w:rsidRDefault="002A7828" w:rsidP="001A593F">
            <w:pPr>
              <w:rPr>
                <w:rFonts w:ascii="Arial" w:hAnsi="Arial" w:cs="Arial"/>
              </w:rPr>
            </w:pPr>
            <w:r w:rsidRPr="00E27D32">
              <w:rPr>
                <w:rFonts w:ascii="Arial" w:hAnsi="Arial" w:cs="Arial"/>
                <w:sz w:val="22"/>
                <w:szCs w:val="22"/>
              </w:rPr>
              <w:t>Performance Report</w:t>
            </w:r>
          </w:p>
        </w:tc>
        <w:tc>
          <w:tcPr>
            <w:tcW w:w="4820" w:type="dxa"/>
          </w:tcPr>
          <w:p w14:paraId="712E65A0" w14:textId="77777777" w:rsidR="002A7828" w:rsidRPr="00E26E24" w:rsidRDefault="002A7828" w:rsidP="001A593F">
            <w:pPr>
              <w:rPr>
                <w:rFonts w:ascii="Arial" w:hAnsi="Arial" w:cs="Arial"/>
              </w:rPr>
            </w:pPr>
            <w:r w:rsidRPr="00E26E24">
              <w:rPr>
                <w:rFonts w:ascii="Arial" w:hAnsi="Arial" w:cs="Arial"/>
                <w:sz w:val="22"/>
                <w:szCs w:val="22"/>
              </w:rPr>
              <w:t xml:space="preserve">Finalisation of Data Exchange period 2 data </w:t>
            </w:r>
            <w:r w:rsidRPr="00E26E24">
              <w:rPr>
                <w:rFonts w:ascii="Arial" w:hAnsi="Arial" w:cs="Arial"/>
                <w:sz w:val="22"/>
                <w:szCs w:val="22"/>
              </w:rPr>
              <w:br/>
              <w:t>(1 January to 30 June), as set out in the Data Exchange Protocols, as per Item E.1</w:t>
            </w:r>
          </w:p>
        </w:tc>
        <w:tc>
          <w:tcPr>
            <w:tcW w:w="2205" w:type="dxa"/>
          </w:tcPr>
          <w:p w14:paraId="1BFD8C3C" w14:textId="77777777" w:rsidR="002A7828" w:rsidRPr="00E27D32" w:rsidRDefault="002A7828" w:rsidP="001A593F">
            <w:pPr>
              <w:rPr>
                <w:rFonts w:ascii="Arial" w:hAnsi="Arial" w:cs="Arial"/>
              </w:rPr>
            </w:pPr>
            <w:r w:rsidRPr="00E27D32">
              <w:rPr>
                <w:rFonts w:ascii="Arial" w:hAnsi="Arial" w:cs="Arial"/>
                <w:sz w:val="22"/>
                <w:szCs w:val="22"/>
              </w:rPr>
              <w:t>30 July 2026</w:t>
            </w:r>
          </w:p>
        </w:tc>
      </w:tr>
      <w:tr w:rsidR="002A7828" w:rsidRPr="00E27D32" w14:paraId="7A56CB98" w14:textId="77777777" w:rsidTr="002A7828">
        <w:tc>
          <w:tcPr>
            <w:tcW w:w="2943" w:type="dxa"/>
          </w:tcPr>
          <w:p w14:paraId="4B036D34" w14:textId="77777777" w:rsidR="002A7828" w:rsidRPr="00E27D32" w:rsidRDefault="002A7828" w:rsidP="001A593F">
            <w:pPr>
              <w:rPr>
                <w:rFonts w:ascii="Arial" w:hAnsi="Arial" w:cs="Arial"/>
              </w:rPr>
            </w:pPr>
            <w:r w:rsidRPr="001A41CA">
              <w:rPr>
                <w:rFonts w:ascii="Arial" w:hAnsi="Arial" w:cs="Arial"/>
                <w:sz w:val="22"/>
                <w:szCs w:val="22"/>
              </w:rPr>
              <w:t>Activity Work Plan Report</w:t>
            </w:r>
          </w:p>
        </w:tc>
        <w:tc>
          <w:tcPr>
            <w:tcW w:w="4820" w:type="dxa"/>
          </w:tcPr>
          <w:p w14:paraId="5D813017" w14:textId="77777777" w:rsidR="002A7828" w:rsidRPr="00AB3274" w:rsidRDefault="002A7828" w:rsidP="001A593F">
            <w:pPr>
              <w:rPr>
                <w:rFonts w:ascii="Arial" w:hAnsi="Arial" w:cs="Arial"/>
              </w:rPr>
            </w:pPr>
            <w:r w:rsidRPr="005844F7">
              <w:rPr>
                <w:rFonts w:ascii="Arial" w:hAnsi="Arial" w:cs="Arial"/>
                <w:sz w:val="22"/>
                <w:szCs w:val="22"/>
              </w:rPr>
              <w:t xml:space="preserve">A report with progress against Activity Work Plan, compliance or other </w:t>
            </w:r>
            <w:r>
              <w:rPr>
                <w:rFonts w:ascii="Arial" w:hAnsi="Arial" w:cs="Arial"/>
                <w:sz w:val="22"/>
                <w:szCs w:val="22"/>
              </w:rPr>
              <w:t>reporting as set out in Item E.4</w:t>
            </w:r>
          </w:p>
        </w:tc>
        <w:tc>
          <w:tcPr>
            <w:tcW w:w="2205" w:type="dxa"/>
          </w:tcPr>
          <w:p w14:paraId="401ED825" w14:textId="77777777" w:rsidR="002A7828" w:rsidRPr="00E27D32" w:rsidRDefault="002A7828" w:rsidP="001A593F">
            <w:pPr>
              <w:rPr>
                <w:rFonts w:ascii="Arial" w:hAnsi="Arial" w:cs="Arial"/>
              </w:rPr>
            </w:pPr>
            <w:r w:rsidRPr="00E27D32">
              <w:rPr>
                <w:rFonts w:ascii="Arial" w:hAnsi="Arial" w:cs="Arial"/>
                <w:sz w:val="22"/>
                <w:szCs w:val="22"/>
              </w:rPr>
              <w:t>15 August 2026</w:t>
            </w:r>
          </w:p>
        </w:tc>
      </w:tr>
      <w:tr w:rsidR="002A7828" w:rsidRPr="00E27D32" w14:paraId="4190170C" w14:textId="77777777" w:rsidTr="002A7828">
        <w:tc>
          <w:tcPr>
            <w:tcW w:w="2943" w:type="dxa"/>
          </w:tcPr>
          <w:p w14:paraId="6ECD8359" w14:textId="77777777" w:rsidR="002A7828" w:rsidRPr="00E27D32" w:rsidRDefault="002A7828" w:rsidP="001A593F">
            <w:pPr>
              <w:rPr>
                <w:rFonts w:ascii="Arial" w:hAnsi="Arial" w:cs="Arial"/>
              </w:rPr>
            </w:pPr>
            <w:r w:rsidRPr="00E27D32">
              <w:rPr>
                <w:rFonts w:ascii="Arial" w:hAnsi="Arial" w:cs="Arial"/>
                <w:sz w:val="22"/>
                <w:szCs w:val="22"/>
              </w:rPr>
              <w:t>Final Report</w:t>
            </w:r>
          </w:p>
        </w:tc>
        <w:tc>
          <w:tcPr>
            <w:tcW w:w="4820" w:type="dxa"/>
          </w:tcPr>
          <w:p w14:paraId="5D34D45B" w14:textId="77777777" w:rsidR="002A7828" w:rsidRPr="00AB3274" w:rsidRDefault="002A7828" w:rsidP="001A593F">
            <w:pPr>
              <w:rPr>
                <w:rFonts w:ascii="Arial" w:hAnsi="Arial" w:cs="Arial"/>
                <w:sz w:val="22"/>
                <w:szCs w:val="22"/>
              </w:rPr>
            </w:pPr>
            <w:r w:rsidRPr="00AB3274">
              <w:rPr>
                <w:rFonts w:ascii="Arial" w:hAnsi="Arial" w:cs="Arial"/>
                <w:sz w:val="22"/>
                <w:szCs w:val="22"/>
              </w:rPr>
              <w:t>A report of outcomes for the funded Activity based on monitoring and data collection methods agreed with between the Parties as set out in Item E.4</w:t>
            </w:r>
          </w:p>
        </w:tc>
        <w:tc>
          <w:tcPr>
            <w:tcW w:w="2205" w:type="dxa"/>
          </w:tcPr>
          <w:p w14:paraId="4EC39DF8" w14:textId="77777777" w:rsidR="002A7828" w:rsidRPr="00E27D32" w:rsidRDefault="002A7828" w:rsidP="001A593F">
            <w:pPr>
              <w:rPr>
                <w:rFonts w:ascii="Arial" w:hAnsi="Arial" w:cs="Arial"/>
              </w:rPr>
            </w:pPr>
            <w:r w:rsidRPr="00E27D32">
              <w:rPr>
                <w:rFonts w:ascii="Arial" w:hAnsi="Arial" w:cs="Arial"/>
                <w:sz w:val="22"/>
                <w:szCs w:val="22"/>
              </w:rPr>
              <w:t>15 August 2026</w:t>
            </w:r>
          </w:p>
        </w:tc>
      </w:tr>
      <w:tr w:rsidR="002A7828" w:rsidRPr="00E27D32" w14:paraId="185499A3" w14:textId="77777777" w:rsidTr="002A7828">
        <w:tc>
          <w:tcPr>
            <w:tcW w:w="2943" w:type="dxa"/>
          </w:tcPr>
          <w:p w14:paraId="4FD10D09" w14:textId="77777777" w:rsidR="002A7828" w:rsidRPr="00E27D32" w:rsidRDefault="002A7828" w:rsidP="001A593F">
            <w:pPr>
              <w:rPr>
                <w:rFonts w:ascii="Arial" w:hAnsi="Arial" w:cs="Arial"/>
              </w:rPr>
            </w:pPr>
            <w:r w:rsidRPr="00E27D32">
              <w:rPr>
                <w:rFonts w:ascii="Arial" w:hAnsi="Arial" w:cs="Arial"/>
                <w:sz w:val="22"/>
                <w:szCs w:val="22"/>
              </w:rPr>
              <w:t>Financial Acquittal Report</w:t>
            </w:r>
          </w:p>
        </w:tc>
        <w:tc>
          <w:tcPr>
            <w:tcW w:w="4820" w:type="dxa"/>
          </w:tcPr>
          <w:p w14:paraId="21EDFEC5" w14:textId="77777777" w:rsidR="002A7828" w:rsidRPr="00E27D32" w:rsidRDefault="002A7828" w:rsidP="001A593F">
            <w:pPr>
              <w:rPr>
                <w:rFonts w:ascii="Arial" w:hAnsi="Arial" w:cs="Arial"/>
                <w:highlight w:val="yellow"/>
              </w:rPr>
            </w:pPr>
            <w:r w:rsidRPr="00E26E24">
              <w:rPr>
                <w:rFonts w:ascii="Arial" w:hAnsi="Arial" w:cs="Arial"/>
                <w:sz w:val="22"/>
                <w:szCs w:val="22"/>
              </w:rPr>
              <w:t xml:space="preserve">Financial Acquittal from 1 July 2025 to </w:t>
            </w:r>
            <w:r w:rsidRPr="00E26E24">
              <w:rPr>
                <w:rFonts w:ascii="Arial" w:hAnsi="Arial" w:cs="Arial"/>
                <w:sz w:val="22"/>
                <w:szCs w:val="22"/>
              </w:rPr>
              <w:br/>
              <w:t>3</w:t>
            </w:r>
            <w:r>
              <w:rPr>
                <w:rFonts w:ascii="Arial" w:hAnsi="Arial" w:cs="Arial"/>
                <w:sz w:val="22"/>
                <w:szCs w:val="22"/>
              </w:rPr>
              <w:t>0 June 2026 as per Item E.3</w:t>
            </w:r>
          </w:p>
        </w:tc>
        <w:tc>
          <w:tcPr>
            <w:tcW w:w="2205" w:type="dxa"/>
          </w:tcPr>
          <w:p w14:paraId="42537FA4" w14:textId="77777777" w:rsidR="002A7828" w:rsidRPr="00E27D32" w:rsidRDefault="002A7828" w:rsidP="001A593F">
            <w:pPr>
              <w:rPr>
                <w:rFonts w:ascii="Arial" w:hAnsi="Arial" w:cs="Arial"/>
              </w:rPr>
            </w:pPr>
            <w:r w:rsidRPr="00E27D32">
              <w:rPr>
                <w:rFonts w:ascii="Arial" w:hAnsi="Arial" w:cs="Arial"/>
                <w:sz w:val="22"/>
                <w:szCs w:val="22"/>
              </w:rPr>
              <w:t>31 October 2026</w:t>
            </w:r>
          </w:p>
        </w:tc>
      </w:tr>
    </w:tbl>
    <w:p w14:paraId="719BB005" w14:textId="7A79E5D0" w:rsidR="007D6968" w:rsidRDefault="007D6968"/>
    <w:p w14:paraId="6071633E" w14:textId="77777777" w:rsidR="007D6968" w:rsidRDefault="007D6968">
      <w:r>
        <w:br w:type="page"/>
      </w:r>
    </w:p>
    <w:p w14:paraId="2661F8A3" w14:textId="77777777" w:rsidR="00B61733" w:rsidRDefault="00B61733" w:rsidP="00B61733">
      <w:pPr>
        <w:pStyle w:val="Heading3"/>
        <w:spacing w:before="360" w:line="360" w:lineRule="auto"/>
        <w:rPr>
          <w:rFonts w:ascii="Arial" w:hAnsi="Arial" w:cs="Arial"/>
          <w:color w:val="365F91"/>
          <w:sz w:val="24"/>
        </w:rPr>
      </w:pPr>
      <w:bookmarkStart w:id="24" w:name="_Toc474419899"/>
      <w:r>
        <w:rPr>
          <w:rFonts w:ascii="Arial" w:hAnsi="Arial" w:cs="Arial"/>
          <w:color w:val="365F91"/>
          <w:sz w:val="24"/>
        </w:rPr>
        <w:lastRenderedPageBreak/>
        <w:t>E.1 Performance Reports</w:t>
      </w:r>
    </w:p>
    <w:p w14:paraId="178C3FF6" w14:textId="77777777" w:rsidR="00B61733" w:rsidRDefault="00B61733" w:rsidP="00B61733">
      <w:pPr>
        <w:spacing w:after="0" w:line="240" w:lineRule="auto"/>
        <w:rPr>
          <w:rFonts w:ascii="Arial" w:hAnsi="Arial" w:cs="Arial"/>
          <w:b/>
        </w:rPr>
      </w:pPr>
      <w:bookmarkStart w:id="25" w:name="_Toc474419898"/>
      <w:r>
        <w:rPr>
          <w:rFonts w:ascii="Arial" w:hAnsi="Arial" w:cs="Arial"/>
          <w:b/>
        </w:rPr>
        <w:t>Data Exchange Reports</w:t>
      </w:r>
    </w:p>
    <w:p w14:paraId="7A7E8EED" w14:textId="77777777" w:rsidR="00B61733" w:rsidRDefault="00B61733" w:rsidP="00B61733">
      <w:pPr>
        <w:spacing w:after="0" w:line="240" w:lineRule="auto"/>
        <w:rPr>
          <w:rFonts w:ascii="Arial" w:hAnsi="Arial" w:cs="Arial"/>
          <w:b/>
        </w:rPr>
      </w:pPr>
    </w:p>
    <w:p w14:paraId="643E1863" w14:textId="77777777" w:rsidR="00B61733" w:rsidRDefault="00B61733" w:rsidP="00B61733">
      <w:pPr>
        <w:spacing w:after="0" w:line="240" w:lineRule="auto"/>
        <w:rPr>
          <w:rFonts w:ascii="Arial" w:hAnsi="Arial" w:cs="Arial"/>
        </w:rPr>
      </w:pPr>
      <w:r>
        <w:rPr>
          <w:rFonts w:ascii="Arial" w:hAnsi="Arial" w:cs="Arial"/>
        </w:rPr>
        <w:t xml:space="preserve">You must provide client and service delivery information to the Community Grants Hub via the </w:t>
      </w:r>
      <w:r>
        <w:rPr>
          <w:rFonts w:ascii="Arial" w:hAnsi="Arial" w:cs="Arial"/>
        </w:rPr>
        <w:br/>
        <w:t>Data Exchange in accordance with the Data Exchange Protocols, within 30 days of the completion of a reporting period, as outlined in Item E.</w:t>
      </w:r>
    </w:p>
    <w:p w14:paraId="3D3A80FB" w14:textId="77777777" w:rsidR="00B61733" w:rsidRDefault="00B61733" w:rsidP="00B61733">
      <w:pPr>
        <w:spacing w:after="0" w:line="240" w:lineRule="auto"/>
        <w:rPr>
          <w:rFonts w:ascii="Arial" w:hAnsi="Arial" w:cs="Arial"/>
        </w:rPr>
      </w:pPr>
    </w:p>
    <w:p w14:paraId="0872F00F" w14:textId="77777777" w:rsidR="00B61733" w:rsidRDefault="00B61733" w:rsidP="00B61733">
      <w:pPr>
        <w:spacing w:after="0" w:line="240" w:lineRule="auto"/>
        <w:rPr>
          <w:rFonts w:ascii="Arial" w:hAnsi="Arial" w:cs="Arial"/>
        </w:rPr>
      </w:pPr>
      <w:r>
        <w:rPr>
          <w:rFonts w:ascii="Arial" w:hAnsi="Arial" w:cs="Arial"/>
        </w:rPr>
        <w:t>For this Activity, you are required to participate in the Partnership Approach.</w:t>
      </w:r>
    </w:p>
    <w:p w14:paraId="3C701EE1" w14:textId="77777777" w:rsidR="00B61733" w:rsidRDefault="00B61733" w:rsidP="00B61733">
      <w:pPr>
        <w:spacing w:after="0" w:line="240" w:lineRule="auto"/>
        <w:rPr>
          <w:rFonts w:ascii="Arial" w:hAnsi="Arial" w:cs="Arial"/>
        </w:rPr>
      </w:pPr>
    </w:p>
    <w:p w14:paraId="345D76C1" w14:textId="163DDEC3" w:rsidR="00B61733" w:rsidRDefault="00B61733" w:rsidP="00B61733">
      <w:pPr>
        <w:spacing w:after="0" w:line="240" w:lineRule="auto"/>
        <w:rPr>
          <w:rFonts w:ascii="Arial" w:hAnsi="Arial" w:cs="Arial"/>
        </w:rPr>
      </w:pPr>
      <w:r>
        <w:rPr>
          <w:rFonts w:ascii="Arial" w:hAnsi="Arial" w:cs="Arial"/>
        </w:rPr>
        <w:t xml:space="preserve">The Data Exchange Protocols </w:t>
      </w:r>
      <w:proofErr w:type="gramStart"/>
      <w:r>
        <w:rPr>
          <w:rFonts w:ascii="Arial" w:hAnsi="Arial" w:cs="Arial"/>
        </w:rPr>
        <w:t>can be found</w:t>
      </w:r>
      <w:proofErr w:type="gramEnd"/>
      <w:r>
        <w:rPr>
          <w:rFonts w:ascii="Arial" w:hAnsi="Arial" w:cs="Arial"/>
        </w:rPr>
        <w:t xml:space="preserve"> </w:t>
      </w:r>
      <w:hyperlink r:id="rId19" w:history="1">
        <w:r w:rsidR="00C23703">
          <w:rPr>
            <w:rStyle w:val="Hyperlink"/>
            <w:rFonts w:ascii="Arial" w:hAnsi="Arial" w:cs="Arial"/>
          </w:rPr>
          <w:t>here</w:t>
        </w:r>
      </w:hyperlink>
      <w:r>
        <w:rPr>
          <w:rFonts w:ascii="Arial" w:hAnsi="Arial" w:cs="Arial"/>
        </w:rPr>
        <w:t xml:space="preserve">.   </w:t>
      </w:r>
    </w:p>
    <w:p w14:paraId="00A19BDD" w14:textId="77777777" w:rsidR="00B61733" w:rsidRDefault="00B61733" w:rsidP="00B61733">
      <w:pPr>
        <w:pStyle w:val="Heading3"/>
        <w:spacing w:line="360" w:lineRule="auto"/>
        <w:rPr>
          <w:rFonts w:ascii="Arial" w:hAnsi="Arial" w:cs="Arial"/>
          <w:color w:val="365F91"/>
        </w:rPr>
      </w:pPr>
      <w:r>
        <w:rPr>
          <w:rFonts w:ascii="Arial" w:hAnsi="Arial" w:cs="Arial"/>
          <w:color w:val="365F91"/>
          <w:sz w:val="24"/>
        </w:rPr>
        <w:t xml:space="preserve">E.2 </w:t>
      </w:r>
      <w:bookmarkEnd w:id="25"/>
      <w:r>
        <w:rPr>
          <w:rFonts w:ascii="Arial" w:hAnsi="Arial" w:cs="Arial"/>
          <w:color w:val="365F91"/>
          <w:sz w:val="24"/>
        </w:rPr>
        <w:t>Activity Work Plan</w:t>
      </w:r>
    </w:p>
    <w:p w14:paraId="52E52747" w14:textId="77777777" w:rsidR="00B61733" w:rsidRDefault="00B61733" w:rsidP="00B61733">
      <w:pPr>
        <w:pStyle w:val="Default"/>
        <w:rPr>
          <w:rFonts w:ascii="Arial" w:eastAsia="Times New Roman" w:hAnsi="Arial" w:cs="Arial"/>
          <w:color w:val="auto"/>
          <w:sz w:val="22"/>
          <w:szCs w:val="22"/>
        </w:rPr>
      </w:pPr>
      <w:r>
        <w:rPr>
          <w:rFonts w:ascii="Arial" w:eastAsia="Times New Roman" w:hAnsi="Arial" w:cs="Arial"/>
          <w:color w:val="auto"/>
          <w:sz w:val="22"/>
          <w:szCs w:val="22"/>
        </w:rPr>
        <w:t xml:space="preserve">The Activity Work Plan </w:t>
      </w:r>
      <w:proofErr w:type="gramStart"/>
      <w:r>
        <w:rPr>
          <w:rFonts w:ascii="Arial" w:eastAsia="Times New Roman" w:hAnsi="Arial" w:cs="Arial"/>
          <w:color w:val="auto"/>
          <w:sz w:val="22"/>
          <w:szCs w:val="22"/>
        </w:rPr>
        <w:t>will be negotiated</w:t>
      </w:r>
      <w:proofErr w:type="gramEnd"/>
      <w:r>
        <w:rPr>
          <w:rFonts w:ascii="Arial" w:eastAsia="Times New Roman" w:hAnsi="Arial" w:cs="Arial"/>
          <w:color w:val="auto"/>
          <w:sz w:val="22"/>
          <w:szCs w:val="22"/>
        </w:rPr>
        <w:t xml:space="preserve"> between you and us from time to time as agreed by both parties during the life of the Agreement. Using our Activity Work Plan template it will specify the </w:t>
      </w:r>
      <w:r>
        <w:rPr>
          <w:rFonts w:ascii="Arial" w:eastAsia="Times New Roman" w:hAnsi="Arial" w:cs="Arial"/>
          <w:color w:val="auto"/>
          <w:sz w:val="22"/>
          <w:szCs w:val="22"/>
        </w:rPr>
        <w:br/>
        <w:t xml:space="preserve">Activity Details, deliverables, timeframes for delivery and measures of achievement. It may include a budget or other administrative controls intended to help manage Activity risks. Once </w:t>
      </w:r>
      <w:proofErr w:type="gramStart"/>
      <w:r>
        <w:rPr>
          <w:rFonts w:ascii="Arial" w:eastAsia="Times New Roman" w:hAnsi="Arial" w:cs="Arial"/>
          <w:color w:val="auto"/>
          <w:sz w:val="22"/>
          <w:szCs w:val="22"/>
        </w:rPr>
        <w:t>the Activity Work Plan has been agreed by both parties</w:t>
      </w:r>
      <w:proofErr w:type="gramEnd"/>
      <w:r>
        <w:rPr>
          <w:rFonts w:ascii="Arial" w:eastAsia="Times New Roman" w:hAnsi="Arial" w:cs="Arial"/>
          <w:color w:val="auto"/>
          <w:sz w:val="22"/>
          <w:szCs w:val="22"/>
        </w:rPr>
        <w:t xml:space="preserve"> it will form part of the Agreement. </w:t>
      </w:r>
    </w:p>
    <w:p w14:paraId="3C20BF43" w14:textId="548A8585" w:rsidR="00B61733" w:rsidRDefault="00B61733" w:rsidP="00B61733">
      <w:pPr>
        <w:pStyle w:val="Heading3"/>
        <w:spacing w:line="360" w:lineRule="auto"/>
        <w:rPr>
          <w:rFonts w:ascii="Arial" w:hAnsi="Arial" w:cs="Arial"/>
          <w:color w:val="365F91"/>
          <w:sz w:val="24"/>
        </w:rPr>
      </w:pPr>
      <w:r>
        <w:rPr>
          <w:rFonts w:ascii="Arial" w:hAnsi="Arial" w:cs="Arial"/>
          <w:color w:val="365F91"/>
          <w:sz w:val="24"/>
        </w:rPr>
        <w:t>E.3 Financial Acquittal Reports</w:t>
      </w:r>
    </w:p>
    <w:p w14:paraId="4F5644EE" w14:textId="77777777" w:rsidR="00B61733" w:rsidRDefault="00B61733" w:rsidP="00B61733">
      <w:pPr>
        <w:spacing w:after="0" w:line="240" w:lineRule="auto"/>
        <w:rPr>
          <w:rFonts w:ascii="Arial" w:hAnsi="Arial" w:cs="Arial"/>
          <w:b/>
          <w:bCs/>
        </w:rPr>
      </w:pPr>
      <w:r>
        <w:rPr>
          <w:rFonts w:ascii="Arial" w:hAnsi="Arial" w:cs="Arial"/>
          <w:b/>
          <w:bCs/>
        </w:rPr>
        <w:t>Financial Declaration</w:t>
      </w:r>
    </w:p>
    <w:p w14:paraId="3B9F4543" w14:textId="77777777" w:rsidR="00B61733" w:rsidRDefault="00B61733" w:rsidP="00B61733">
      <w:pPr>
        <w:spacing w:after="0" w:line="240" w:lineRule="auto"/>
        <w:rPr>
          <w:rFonts w:ascii="Arial" w:hAnsi="Arial" w:cs="Arial"/>
        </w:rPr>
      </w:pPr>
    </w:p>
    <w:p w14:paraId="6830FD45" w14:textId="77777777" w:rsidR="00B61733" w:rsidRDefault="00B61733" w:rsidP="00B61733">
      <w:pPr>
        <w:spacing w:after="0" w:line="240" w:lineRule="auto"/>
        <w:rPr>
          <w:rFonts w:ascii="Arial" w:hAnsi="Arial" w:cs="Arial"/>
        </w:rPr>
      </w:pPr>
      <w:r>
        <w:rPr>
          <w:rFonts w:ascii="Arial" w:hAnsi="Arial" w:cs="Arial"/>
        </w:rPr>
        <w:t xml:space="preserve">A Financial Declaration </w:t>
      </w:r>
      <w:proofErr w:type="gramStart"/>
      <w:r>
        <w:rPr>
          <w:rFonts w:ascii="Arial" w:hAnsi="Arial" w:cs="Arial"/>
        </w:rPr>
        <w:t>must be submitted</w:t>
      </w:r>
      <w:proofErr w:type="gramEnd"/>
      <w:r>
        <w:rPr>
          <w:rFonts w:ascii="Arial" w:hAnsi="Arial" w:cs="Arial"/>
        </w:rPr>
        <w:t xml:space="preserve"> for each financial year funded under this Grant Agreement. A Financial Declaration is a certification from the Grantee stating that funds </w:t>
      </w:r>
      <w:proofErr w:type="gramStart"/>
      <w:r>
        <w:rPr>
          <w:rFonts w:ascii="Arial" w:hAnsi="Arial" w:cs="Arial"/>
        </w:rPr>
        <w:t>were spent</w:t>
      </w:r>
      <w:proofErr w:type="gramEnd"/>
      <w:r>
        <w:rPr>
          <w:rFonts w:ascii="Arial" w:hAnsi="Arial" w:cs="Arial"/>
        </w:rPr>
        <w:t xml:space="preserve"> for the purpose provided as outlined in the Grant Agreement and in-which the Grantee is required to declare unspent funds. The Financial Declaration </w:t>
      </w:r>
      <w:proofErr w:type="gramStart"/>
      <w:r>
        <w:rPr>
          <w:rFonts w:ascii="Arial" w:hAnsi="Arial" w:cs="Arial"/>
        </w:rPr>
        <w:t>must be certified</w:t>
      </w:r>
      <w:proofErr w:type="gramEnd"/>
      <w:r>
        <w:rPr>
          <w:rFonts w:ascii="Arial" w:hAnsi="Arial" w:cs="Arial"/>
        </w:rPr>
        <w:t xml:space="preserve"> by your Board, the Chief Executive Officer or one of your officers, with authority to do so verifying that you have spent the funding on the Activity in accordance with the Grant Agreement.</w:t>
      </w:r>
    </w:p>
    <w:p w14:paraId="3A71296B" w14:textId="77777777" w:rsidR="00B61733" w:rsidRDefault="00B61733" w:rsidP="00B61733">
      <w:pPr>
        <w:spacing w:after="0" w:line="240" w:lineRule="auto"/>
        <w:rPr>
          <w:rFonts w:ascii="Arial" w:hAnsi="Arial" w:cs="Arial"/>
        </w:rPr>
      </w:pPr>
    </w:p>
    <w:p w14:paraId="7F95CE22" w14:textId="73514450" w:rsidR="00A97786" w:rsidRDefault="00A97786" w:rsidP="00D93855">
      <w:pPr>
        <w:spacing w:after="0" w:line="240" w:lineRule="auto"/>
        <w:rPr>
          <w:rFonts w:ascii="Arial" w:hAnsi="Arial" w:cs="Arial"/>
          <w:b/>
          <w:bCs/>
        </w:rPr>
      </w:pPr>
      <w:r w:rsidRPr="00A97786">
        <w:rPr>
          <w:rFonts w:ascii="Arial" w:hAnsi="Arial" w:cs="Arial"/>
          <w:b/>
          <w:bCs/>
        </w:rPr>
        <w:t>Independently Audited Financial Acquittal Report</w:t>
      </w:r>
    </w:p>
    <w:p w14:paraId="14558434" w14:textId="14084598" w:rsidR="00A97786" w:rsidRDefault="00A97786" w:rsidP="00D93855">
      <w:pPr>
        <w:spacing w:after="0" w:line="240" w:lineRule="auto"/>
        <w:rPr>
          <w:rFonts w:ascii="Arial" w:hAnsi="Arial" w:cs="Arial"/>
          <w:b/>
          <w:bCs/>
        </w:rPr>
      </w:pPr>
    </w:p>
    <w:p w14:paraId="1AF660BE" w14:textId="19D051D4" w:rsidR="00F30AA0" w:rsidRPr="00A20903" w:rsidRDefault="00A97786" w:rsidP="00F30AA0">
      <w:pPr>
        <w:rPr>
          <w:rFonts w:ascii="Arial" w:hAnsi="Arial" w:cs="Arial"/>
        </w:rPr>
      </w:pPr>
      <w:r>
        <w:rPr>
          <w:rFonts w:ascii="Arial" w:hAnsi="Arial" w:cs="Arial"/>
        </w:rPr>
        <w:t>We may also ask you to provide an Independently Audited Financial Acquittal Report. An Audited Financial Acquittal Report will verify that you spent the grant in accordance with the grant agreement and your Financial Declaration.</w:t>
      </w:r>
      <w:r w:rsidR="00F30AA0" w:rsidRPr="00A20903">
        <w:rPr>
          <w:rFonts w:ascii="Arial" w:hAnsi="Arial" w:cs="Arial"/>
        </w:rPr>
        <w:t xml:space="preserve">     </w:t>
      </w:r>
    </w:p>
    <w:p w14:paraId="78EA22C0" w14:textId="77777777" w:rsidR="00F30AA0" w:rsidRDefault="00F30AA0" w:rsidP="00F30AA0">
      <w:pPr>
        <w:rPr>
          <w:rFonts w:ascii="Arial" w:hAnsi="Arial" w:cs="Arial"/>
        </w:rPr>
      </w:pPr>
      <w:r w:rsidRPr="001E5506">
        <w:rPr>
          <w:rFonts w:ascii="Arial" w:hAnsi="Arial" w:cs="Arial"/>
        </w:rPr>
        <w:t>You are required to provide an Annual Independently Audited Financial Acquittal Report for each financial year funded under this Grant Agreement covering the Activity/</w:t>
      </w:r>
      <w:proofErr w:type="spellStart"/>
      <w:r w:rsidRPr="001E5506">
        <w:rPr>
          <w:rFonts w:ascii="Arial" w:hAnsi="Arial" w:cs="Arial"/>
        </w:rPr>
        <w:t>ies</w:t>
      </w:r>
      <w:proofErr w:type="spellEnd"/>
      <w:r w:rsidRPr="001E5506">
        <w:rPr>
          <w:rFonts w:ascii="Arial" w:hAnsi="Arial" w:cs="Arial"/>
        </w:rPr>
        <w:t xml:space="preserve"> in this Schedule (in accordance with </w:t>
      </w:r>
      <w:r w:rsidRPr="00967DB2">
        <w:rPr>
          <w:rFonts w:ascii="Arial" w:hAnsi="Arial" w:cs="Arial"/>
        </w:rPr>
        <w:t xml:space="preserve">Clause </w:t>
      </w:r>
      <w:r>
        <w:rPr>
          <w:rFonts w:ascii="Arial" w:hAnsi="Arial" w:cs="Arial"/>
        </w:rPr>
        <w:t>9</w:t>
      </w:r>
      <w:r w:rsidRPr="00967DB2">
        <w:rPr>
          <w:rFonts w:ascii="Arial" w:hAnsi="Arial" w:cs="Arial"/>
        </w:rPr>
        <w:t xml:space="preserve"> </w:t>
      </w:r>
      <w:r w:rsidRPr="001E5506">
        <w:rPr>
          <w:rFonts w:ascii="Arial" w:hAnsi="Arial" w:cs="Arial"/>
        </w:rPr>
        <w:t xml:space="preserve">of the Commonwealth General Grant Conditions). If SACS Supplementation has been paid, confirmation must be </w:t>
      </w:r>
      <w:proofErr w:type="gramStart"/>
      <w:r w:rsidRPr="001E5506">
        <w:rPr>
          <w:rFonts w:ascii="Arial" w:hAnsi="Arial" w:cs="Arial"/>
        </w:rPr>
        <w:t>provided that</w:t>
      </w:r>
      <w:proofErr w:type="gramEnd"/>
      <w:r w:rsidRPr="001E5506">
        <w:rPr>
          <w:rFonts w:ascii="Arial" w:hAnsi="Arial" w:cs="Arial"/>
        </w:rPr>
        <w:t xml:space="preserve"> the funding was spent in accordance with the Grant Agreement.</w:t>
      </w:r>
    </w:p>
    <w:p w14:paraId="13097719"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24"/>
    </w:p>
    <w:p w14:paraId="68B218D2" w14:textId="77777777" w:rsidR="00B61733" w:rsidRDefault="00B61733" w:rsidP="00B61733">
      <w:pPr>
        <w:spacing w:after="0"/>
        <w:rPr>
          <w:rFonts w:ascii="Arial" w:hAnsi="Arial" w:cs="Arial"/>
          <w:b/>
          <w:bCs/>
        </w:rPr>
      </w:pPr>
      <w:r>
        <w:rPr>
          <w:rFonts w:ascii="Arial" w:hAnsi="Arial" w:cs="Arial"/>
          <w:b/>
          <w:bCs/>
        </w:rPr>
        <w:t>Activity Work Plan Report</w:t>
      </w:r>
    </w:p>
    <w:p w14:paraId="136F1A77" w14:textId="77777777" w:rsidR="00B61733" w:rsidRDefault="00B61733" w:rsidP="00B61733">
      <w:pPr>
        <w:spacing w:after="0"/>
        <w:rPr>
          <w:rFonts w:ascii="Arial" w:hAnsi="Arial" w:cs="Arial"/>
        </w:rPr>
      </w:pPr>
      <w:r>
        <w:rPr>
          <w:rFonts w:ascii="Arial" w:hAnsi="Arial" w:cs="Arial"/>
        </w:rPr>
        <w:t xml:space="preserve">For the purposes of this Agreement, Activity Work Plan Report means a document to </w:t>
      </w:r>
      <w:proofErr w:type="gramStart"/>
      <w:r>
        <w:rPr>
          <w:rFonts w:ascii="Arial" w:hAnsi="Arial" w:cs="Arial"/>
        </w:rPr>
        <w:t>be completed</w:t>
      </w:r>
      <w:proofErr w:type="gramEnd"/>
      <w:r>
        <w:rPr>
          <w:rFonts w:ascii="Arial" w:hAnsi="Arial" w:cs="Arial"/>
        </w:rPr>
        <w:t xml:space="preserve"> by you, on a template or system provided by us. The preferable way to submit the Report is through the Grant Recipients Services Portal when it becomes available.</w:t>
      </w:r>
    </w:p>
    <w:p w14:paraId="28570978" w14:textId="77777777" w:rsidR="00B61733" w:rsidRDefault="00B61733" w:rsidP="00B61733">
      <w:pPr>
        <w:spacing w:after="0"/>
        <w:rPr>
          <w:rFonts w:ascii="Arial" w:hAnsi="Arial" w:cs="Arial"/>
        </w:rPr>
      </w:pPr>
    </w:p>
    <w:p w14:paraId="2E1309F3" w14:textId="77777777" w:rsidR="00B61733" w:rsidRDefault="00B61733" w:rsidP="00B61733">
      <w:pPr>
        <w:spacing w:after="0"/>
        <w:rPr>
          <w:rFonts w:ascii="Arial" w:hAnsi="Arial" w:cs="Arial"/>
        </w:rPr>
      </w:pPr>
      <w:r>
        <w:rPr>
          <w:rFonts w:ascii="Arial" w:hAnsi="Arial" w:cs="Arial"/>
        </w:rPr>
        <w:t xml:space="preserve">The Activity Work Plan Report template asks for progress on requirements in the Activity Work Plan for the reporting period including any compliance requirements. </w:t>
      </w:r>
    </w:p>
    <w:p w14:paraId="2B718273" w14:textId="77777777" w:rsidR="00B61733" w:rsidRDefault="00B61733" w:rsidP="00B61733">
      <w:pPr>
        <w:spacing w:after="0"/>
        <w:rPr>
          <w:rFonts w:ascii="Arial" w:hAnsi="Arial" w:cs="Arial"/>
          <w:b/>
        </w:rPr>
      </w:pPr>
    </w:p>
    <w:p w14:paraId="3CA64115" w14:textId="77777777" w:rsidR="00B61733" w:rsidRDefault="00B61733" w:rsidP="00B61733">
      <w:pPr>
        <w:rPr>
          <w:rFonts w:ascii="Arial" w:hAnsi="Arial" w:cs="Arial"/>
          <w:b/>
        </w:rPr>
      </w:pPr>
      <w:r>
        <w:rPr>
          <w:rFonts w:ascii="Arial" w:hAnsi="Arial" w:cs="Arial"/>
          <w:b/>
        </w:rPr>
        <w:t>Program Logic</w:t>
      </w:r>
    </w:p>
    <w:p w14:paraId="511B8B29" w14:textId="77777777" w:rsidR="00B61733" w:rsidRDefault="00B61733" w:rsidP="00B61733">
      <w:pPr>
        <w:spacing w:after="0"/>
        <w:rPr>
          <w:rFonts w:ascii="Arial" w:hAnsi="Arial" w:cs="Arial"/>
        </w:rPr>
      </w:pPr>
      <w:r>
        <w:rPr>
          <w:rFonts w:ascii="Arial" w:hAnsi="Arial" w:cs="Arial"/>
        </w:rPr>
        <w:t xml:space="preserve">Within the first three months of the activity start date, the grantee must work with </w:t>
      </w:r>
      <w:proofErr w:type="gramStart"/>
      <w:r>
        <w:rPr>
          <w:rFonts w:ascii="Arial" w:hAnsi="Arial" w:cs="Arial"/>
        </w:rPr>
        <w:t>us to finalise and the ICAFSS Program Logic</w:t>
      </w:r>
      <w:proofErr w:type="gramEnd"/>
      <w:r>
        <w:rPr>
          <w:rFonts w:ascii="Arial" w:hAnsi="Arial" w:cs="Arial"/>
        </w:rPr>
        <w:t xml:space="preserve">. This Program Logic will detail the inputs, goals and activities of the ICAFSS and the required resources and practices needed to achieve the objectives and outcomes. It </w:t>
      </w:r>
      <w:proofErr w:type="gramStart"/>
      <w:r>
        <w:rPr>
          <w:rFonts w:ascii="Arial" w:hAnsi="Arial" w:cs="Arial"/>
        </w:rPr>
        <w:t>will be used</w:t>
      </w:r>
      <w:proofErr w:type="gramEnd"/>
      <w:r>
        <w:rPr>
          <w:rFonts w:ascii="Arial" w:hAnsi="Arial" w:cs="Arial"/>
        </w:rPr>
        <w:t xml:space="preserve"> to report and measure against in all following Progress Reports.  </w:t>
      </w:r>
    </w:p>
    <w:p w14:paraId="28B67724" w14:textId="77777777" w:rsidR="00B61733" w:rsidRDefault="00B61733" w:rsidP="00B61733">
      <w:pPr>
        <w:spacing w:after="0"/>
        <w:rPr>
          <w:rFonts w:ascii="Arial" w:hAnsi="Arial" w:cs="Arial"/>
        </w:rPr>
      </w:pPr>
    </w:p>
    <w:p w14:paraId="7B057259" w14:textId="77777777" w:rsidR="00B61733" w:rsidRDefault="00B61733" w:rsidP="00B61733">
      <w:pPr>
        <w:spacing w:after="0"/>
        <w:rPr>
          <w:rFonts w:ascii="Arial" w:hAnsi="Arial" w:cs="Arial"/>
        </w:rPr>
      </w:pPr>
      <w:r>
        <w:rPr>
          <w:rFonts w:ascii="Arial" w:hAnsi="Arial" w:cs="Arial"/>
        </w:rPr>
        <w:t xml:space="preserve">During the second year of delivery, the grantee will be required to work </w:t>
      </w:r>
      <w:proofErr w:type="gramStart"/>
      <w:r>
        <w:rPr>
          <w:rFonts w:ascii="Arial" w:hAnsi="Arial" w:cs="Arial"/>
        </w:rPr>
        <w:t>with us and a contracted independent evaluator to review/revise the Program Logic</w:t>
      </w:r>
      <w:proofErr w:type="gramEnd"/>
      <w:r>
        <w:rPr>
          <w:rFonts w:ascii="Arial" w:hAnsi="Arial" w:cs="Arial"/>
        </w:rPr>
        <w:t xml:space="preserve">. </w:t>
      </w:r>
    </w:p>
    <w:p w14:paraId="1B00AB1C" w14:textId="77777777" w:rsidR="00B61733" w:rsidRDefault="00B61733" w:rsidP="00B61733">
      <w:pPr>
        <w:spacing w:after="0"/>
        <w:rPr>
          <w:rFonts w:ascii="Arial" w:hAnsi="Arial" w:cs="Arial"/>
        </w:rPr>
      </w:pPr>
    </w:p>
    <w:p w14:paraId="03B0FE82" w14:textId="2949994F" w:rsidR="00B61733" w:rsidRDefault="00B61733" w:rsidP="00B61733">
      <w:pPr>
        <w:rPr>
          <w:rFonts w:ascii="Arial" w:hAnsi="Arial" w:cs="Arial"/>
          <w:b/>
        </w:rPr>
      </w:pPr>
      <w:r>
        <w:rPr>
          <w:rFonts w:ascii="Arial" w:hAnsi="Arial" w:cs="Arial"/>
          <w:b/>
        </w:rPr>
        <w:t xml:space="preserve">Independent </w:t>
      </w:r>
      <w:r w:rsidR="00C23703">
        <w:rPr>
          <w:rFonts w:ascii="Arial" w:hAnsi="Arial" w:cs="Arial"/>
          <w:b/>
        </w:rPr>
        <w:t>e</w:t>
      </w:r>
      <w:r>
        <w:rPr>
          <w:rFonts w:ascii="Arial" w:hAnsi="Arial" w:cs="Arial"/>
          <w:b/>
        </w:rPr>
        <w:t xml:space="preserve">valuation and </w:t>
      </w:r>
      <w:r w:rsidR="00C23703">
        <w:rPr>
          <w:rFonts w:ascii="Arial" w:hAnsi="Arial" w:cs="Arial"/>
          <w:b/>
        </w:rPr>
        <w:t>r</w:t>
      </w:r>
      <w:r>
        <w:rPr>
          <w:rFonts w:ascii="Arial" w:hAnsi="Arial" w:cs="Arial"/>
          <w:b/>
        </w:rPr>
        <w:t>eview</w:t>
      </w:r>
    </w:p>
    <w:p w14:paraId="38207095" w14:textId="77777777" w:rsidR="00B61733" w:rsidRDefault="00B61733" w:rsidP="00B61733">
      <w:pPr>
        <w:spacing w:after="0"/>
        <w:rPr>
          <w:rFonts w:ascii="Arial" w:hAnsi="Arial" w:cs="Arial"/>
        </w:rPr>
      </w:pPr>
      <w:r>
        <w:rPr>
          <w:rFonts w:ascii="Arial" w:hAnsi="Arial" w:cs="Arial"/>
        </w:rPr>
        <w:t xml:space="preserve">The ICAFSS will run across five financial years from 1 July 2021 to 30 June 2026, with an independent program evaluation and review completed at three years. If the program delivery does not meet satisfactory performance of the obligations under the Grant Agreement, we may terminate or reduce the scope of the Agreement. </w:t>
      </w:r>
    </w:p>
    <w:p w14:paraId="4F8BD62D" w14:textId="77777777" w:rsidR="00B61733" w:rsidRDefault="00B61733" w:rsidP="00B61733">
      <w:pPr>
        <w:spacing w:after="0"/>
        <w:rPr>
          <w:rFonts w:ascii="Arial" w:hAnsi="Arial" w:cs="Arial"/>
        </w:rPr>
      </w:pPr>
    </w:p>
    <w:p w14:paraId="42A45237" w14:textId="77777777" w:rsidR="00B61733" w:rsidRDefault="00B61733" w:rsidP="00B61733">
      <w:pPr>
        <w:spacing w:after="0"/>
        <w:rPr>
          <w:rFonts w:ascii="Arial" w:hAnsi="Arial" w:cs="Arial"/>
        </w:rPr>
      </w:pPr>
      <w:r>
        <w:rPr>
          <w:rFonts w:ascii="Arial" w:hAnsi="Arial" w:cs="Arial"/>
        </w:rPr>
        <w:t xml:space="preserve">The grantee </w:t>
      </w:r>
      <w:proofErr w:type="gramStart"/>
      <w:r>
        <w:rPr>
          <w:rFonts w:ascii="Arial" w:hAnsi="Arial" w:cs="Arial"/>
        </w:rPr>
        <w:t>is expected</w:t>
      </w:r>
      <w:proofErr w:type="gramEnd"/>
      <w:r>
        <w:rPr>
          <w:rFonts w:ascii="Arial" w:hAnsi="Arial" w:cs="Arial"/>
        </w:rPr>
        <w:t xml:space="preserve"> to work with us and the selected independent evaluator to provide data and information for the evaluator to produce an effective evaluation of the ICAFSS. We will fund the evaluation and review. </w:t>
      </w:r>
    </w:p>
    <w:p w14:paraId="4A662649" w14:textId="77777777" w:rsidR="00B61733" w:rsidRDefault="00B61733" w:rsidP="00B61733">
      <w:pPr>
        <w:spacing w:after="0"/>
        <w:rPr>
          <w:rFonts w:ascii="Arial" w:hAnsi="Arial" w:cs="Arial"/>
          <w:b/>
        </w:rPr>
      </w:pPr>
    </w:p>
    <w:p w14:paraId="38930AFF" w14:textId="0B40A77D" w:rsidR="00E53866" w:rsidRDefault="00E53866" w:rsidP="00E53866">
      <w:pPr>
        <w:rPr>
          <w:rFonts w:ascii="Arial" w:hAnsi="Arial" w:cs="Arial"/>
          <w:b/>
        </w:rPr>
      </w:pPr>
      <w:r>
        <w:rPr>
          <w:rFonts w:ascii="Arial" w:hAnsi="Arial" w:cs="Arial"/>
          <w:b/>
        </w:rPr>
        <w:t>Final Report</w:t>
      </w:r>
    </w:p>
    <w:p w14:paraId="7C199E77" w14:textId="4F7F8574" w:rsidR="00E53866" w:rsidRDefault="002A05D6" w:rsidP="00E53866">
      <w:pPr>
        <w:rPr>
          <w:rFonts w:ascii="Arial" w:hAnsi="Arial" w:cs="Arial"/>
        </w:rPr>
      </w:pPr>
      <w:r>
        <w:rPr>
          <w:rFonts w:ascii="Arial" w:hAnsi="Arial" w:cs="Arial"/>
        </w:rPr>
        <w:t>The Final R</w:t>
      </w:r>
      <w:r w:rsidR="00E53866">
        <w:rPr>
          <w:rFonts w:ascii="Arial" w:hAnsi="Arial" w:cs="Arial"/>
        </w:rPr>
        <w:t>eport must:</w:t>
      </w:r>
    </w:p>
    <w:p w14:paraId="7DE14685" w14:textId="5A8DD806" w:rsidR="00E53866" w:rsidRDefault="00E53866" w:rsidP="00E53866">
      <w:pPr>
        <w:numPr>
          <w:ilvl w:val="0"/>
          <w:numId w:val="32"/>
        </w:numPr>
        <w:spacing w:before="60" w:after="60" w:line="280" w:lineRule="atLeast"/>
        <w:ind w:left="357" w:hanging="357"/>
        <w:rPr>
          <w:rFonts w:ascii="Arial" w:hAnsi="Arial" w:cs="Arial"/>
        </w:rPr>
      </w:pPr>
      <w:r>
        <w:rPr>
          <w:rFonts w:ascii="Arial" w:hAnsi="Arial" w:cs="Arial"/>
        </w:rPr>
        <w:t>ident</w:t>
      </w:r>
      <w:r w:rsidR="002A05D6">
        <w:rPr>
          <w:rFonts w:ascii="Arial" w:hAnsi="Arial" w:cs="Arial"/>
        </w:rPr>
        <w:t>ify if and how outcomes of the Grant A</w:t>
      </w:r>
      <w:r>
        <w:rPr>
          <w:rFonts w:ascii="Arial" w:hAnsi="Arial" w:cs="Arial"/>
        </w:rPr>
        <w:t>greement have been achieved</w:t>
      </w:r>
    </w:p>
    <w:p w14:paraId="465B4FEE" w14:textId="16371AB4" w:rsidR="00E53866" w:rsidRDefault="00E53866" w:rsidP="00E53866">
      <w:pPr>
        <w:numPr>
          <w:ilvl w:val="0"/>
          <w:numId w:val="32"/>
        </w:numPr>
        <w:spacing w:before="60" w:after="60" w:line="280" w:lineRule="atLeast"/>
        <w:ind w:left="357" w:hanging="357"/>
        <w:rPr>
          <w:rFonts w:ascii="Arial" w:hAnsi="Arial" w:cs="Arial"/>
        </w:rPr>
      </w:pPr>
      <w:r>
        <w:rPr>
          <w:rFonts w:ascii="Arial" w:hAnsi="Arial" w:cs="Arial"/>
        </w:rPr>
        <w:t>report against all items and metrics agreed in the Program Logic include the agree</w:t>
      </w:r>
      <w:r w:rsidR="002A05D6">
        <w:rPr>
          <w:rFonts w:ascii="Arial" w:hAnsi="Arial" w:cs="Arial"/>
        </w:rPr>
        <w:t>d evidence as specified in the G</w:t>
      </w:r>
      <w:r>
        <w:rPr>
          <w:rFonts w:ascii="Arial" w:hAnsi="Arial" w:cs="Arial"/>
        </w:rPr>
        <w:t xml:space="preserve">rant </w:t>
      </w:r>
      <w:r w:rsidR="002A05D6">
        <w:rPr>
          <w:rFonts w:ascii="Arial" w:hAnsi="Arial" w:cs="Arial"/>
        </w:rPr>
        <w:t>A</w:t>
      </w:r>
      <w:r>
        <w:rPr>
          <w:rFonts w:ascii="Arial" w:hAnsi="Arial" w:cs="Arial"/>
        </w:rPr>
        <w:t>greement</w:t>
      </w:r>
    </w:p>
    <w:p w14:paraId="381641CA" w14:textId="6B7E4FD2" w:rsidR="00E53866" w:rsidRDefault="00E53866" w:rsidP="00E53866">
      <w:pPr>
        <w:numPr>
          <w:ilvl w:val="0"/>
          <w:numId w:val="32"/>
        </w:numPr>
        <w:spacing w:before="60" w:after="60" w:line="280" w:lineRule="atLeast"/>
        <w:ind w:left="357" w:hanging="357"/>
        <w:rPr>
          <w:rFonts w:ascii="Arial" w:hAnsi="Arial" w:cs="Arial"/>
        </w:rPr>
      </w:pPr>
      <w:proofErr w:type="gramStart"/>
      <w:r>
        <w:rPr>
          <w:rFonts w:ascii="Arial" w:hAnsi="Arial" w:cs="Arial"/>
        </w:rPr>
        <w:t>identify</w:t>
      </w:r>
      <w:proofErr w:type="gramEnd"/>
      <w:r>
        <w:rPr>
          <w:rFonts w:ascii="Arial" w:hAnsi="Arial" w:cs="Arial"/>
        </w:rPr>
        <w:t xml:space="preserve"> the total eligible expenditure incurred</w:t>
      </w:r>
      <w:r w:rsidR="002A05D6">
        <w:rPr>
          <w:rFonts w:ascii="Arial" w:hAnsi="Arial" w:cs="Arial"/>
        </w:rPr>
        <w:t>.</w:t>
      </w:r>
    </w:p>
    <w:p w14:paraId="580EBA06" w14:textId="77777777" w:rsidR="00E53866" w:rsidRDefault="00E53866" w:rsidP="00E53866">
      <w:pPr>
        <w:spacing w:before="60" w:after="60" w:line="280" w:lineRule="atLeast"/>
        <w:rPr>
          <w:rFonts w:ascii="Arial" w:hAnsi="Arial" w:cs="Arial"/>
        </w:rPr>
      </w:pPr>
    </w:p>
    <w:p w14:paraId="4803547E" w14:textId="1D7F0686" w:rsidR="00E53866" w:rsidRDefault="00E53866" w:rsidP="00E53866">
      <w:pPr>
        <w:rPr>
          <w:rFonts w:ascii="Arial" w:hAnsi="Arial" w:cs="Arial"/>
        </w:rPr>
      </w:pPr>
      <w:bookmarkStart w:id="26" w:name="_Toc509838911"/>
      <w:r>
        <w:rPr>
          <w:rFonts w:ascii="Arial" w:hAnsi="Arial" w:cs="Arial"/>
          <w:b/>
        </w:rPr>
        <w:t xml:space="preserve">Ad-hoc </w:t>
      </w:r>
      <w:r w:rsidR="00C23703">
        <w:rPr>
          <w:rFonts w:ascii="Arial" w:hAnsi="Arial" w:cs="Arial"/>
          <w:b/>
        </w:rPr>
        <w:t>r</w:t>
      </w:r>
      <w:r>
        <w:rPr>
          <w:rFonts w:ascii="Arial" w:hAnsi="Arial" w:cs="Arial"/>
          <w:b/>
        </w:rPr>
        <w:t xml:space="preserve">eports </w:t>
      </w:r>
      <w:bookmarkEnd w:id="26"/>
    </w:p>
    <w:p w14:paraId="42CD3738" w14:textId="77777777" w:rsidR="00E53866" w:rsidRDefault="00E53866" w:rsidP="00E53866">
      <w:pPr>
        <w:rPr>
          <w:rFonts w:ascii="Arial" w:hAnsi="Arial" w:cs="Arial"/>
        </w:rPr>
      </w:pPr>
      <w:r>
        <w:rPr>
          <w:rFonts w:ascii="Arial" w:hAnsi="Arial" w:cs="Arial"/>
        </w:rPr>
        <w:t>We may ask you for ad-hoc reports on your grant. This may be to provide an update on progress, or any significant delays or difficulties in completing the grant activity.</w:t>
      </w:r>
    </w:p>
    <w:p w14:paraId="5DF1001F" w14:textId="450ABD47" w:rsidR="00EC7CB0" w:rsidRPr="00D11EE2" w:rsidRDefault="00E53866" w:rsidP="00E53866">
      <w:pPr>
        <w:pStyle w:val="Heading1"/>
        <w:spacing w:before="360" w:after="240"/>
        <w:rPr>
          <w:rFonts w:ascii="Arial" w:hAnsi="Arial" w:cs="Arial"/>
          <w:sz w:val="26"/>
          <w:szCs w:val="26"/>
        </w:rPr>
      </w:pPr>
      <w:r w:rsidRPr="00D11EE2">
        <w:rPr>
          <w:rFonts w:ascii="Arial" w:hAnsi="Arial" w:cs="Arial"/>
          <w:sz w:val="26"/>
          <w:szCs w:val="26"/>
        </w:rPr>
        <w:t xml:space="preserve"> </w:t>
      </w:r>
      <w:r w:rsidR="006728DC"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23"/>
    </w:p>
    <w:p w14:paraId="393C9FF8" w14:textId="77777777" w:rsidR="00EC7CB0" w:rsidRPr="00D11EE2" w:rsidRDefault="00EC7CB0" w:rsidP="00FD3FF7">
      <w:pPr>
        <w:pStyle w:val="Heading1"/>
        <w:spacing w:before="120" w:after="120"/>
        <w:rPr>
          <w:rFonts w:ascii="Arial" w:hAnsi="Arial" w:cs="Arial"/>
          <w:sz w:val="24"/>
          <w:szCs w:val="22"/>
        </w:rPr>
      </w:pPr>
      <w:bookmarkStart w:id="27" w:name="_Toc494986415"/>
      <w:r w:rsidRPr="00D11EE2">
        <w:rPr>
          <w:rFonts w:ascii="Arial" w:hAnsi="Arial" w:cs="Arial"/>
          <w:sz w:val="24"/>
          <w:szCs w:val="22"/>
        </w:rPr>
        <w:t>Grantee's representative and address</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BC0E9C"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BC0E9C" w:rsidRPr="00EE1E6A" w:rsidRDefault="00BC0E9C" w:rsidP="00BC0E9C">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3594FEEE" w:rsidR="00BC0E9C" w:rsidRPr="00EE1E6A" w:rsidRDefault="00BC0E9C" w:rsidP="00BC0E9C">
            <w:pPr>
              <w:spacing w:before="60" w:after="60" w:line="240" w:lineRule="auto"/>
              <w:rPr>
                <w:rFonts w:ascii="Arial" w:hAnsi="Arial" w:cs="Arial"/>
                <w:highlight w:val="cyan"/>
              </w:rPr>
            </w:pPr>
          </w:p>
        </w:tc>
      </w:tr>
      <w:tr w:rsidR="00BC0E9C"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BC0E9C" w:rsidRPr="00EE1E6A" w:rsidRDefault="00BC0E9C" w:rsidP="00BC0E9C">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38DC8799" w:rsidR="00BC0E9C" w:rsidRPr="00EE1E6A" w:rsidRDefault="00BC0E9C" w:rsidP="00BC0E9C">
            <w:pPr>
              <w:spacing w:before="60" w:after="60" w:line="240" w:lineRule="auto"/>
              <w:rPr>
                <w:rFonts w:ascii="Arial" w:hAnsi="Arial" w:cs="Arial"/>
                <w:highlight w:val="cyan"/>
              </w:rPr>
            </w:pPr>
          </w:p>
        </w:tc>
      </w:tr>
      <w:tr w:rsidR="00BC0E9C"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BC0E9C" w:rsidRPr="00EE1E6A" w:rsidRDefault="00BC0E9C" w:rsidP="00BC0E9C">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206C141D" w:rsidR="00BC0E9C" w:rsidRPr="00EE1E6A" w:rsidRDefault="00BC0E9C" w:rsidP="00BC0E9C">
            <w:pPr>
              <w:spacing w:before="60" w:after="60" w:line="240" w:lineRule="auto"/>
              <w:rPr>
                <w:rFonts w:ascii="Arial" w:hAnsi="Arial" w:cs="Arial"/>
                <w:highlight w:val="cyan"/>
              </w:rPr>
            </w:pPr>
          </w:p>
        </w:tc>
      </w:tr>
      <w:tr w:rsidR="00BC0E9C"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BC0E9C" w:rsidRPr="00EE1E6A" w:rsidRDefault="00BC0E9C" w:rsidP="00BC0E9C">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70442C1E" w:rsidR="00BC0E9C" w:rsidRPr="00EE1E6A" w:rsidRDefault="00BC0E9C" w:rsidP="00BC0E9C">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28"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BC0E9C" w:rsidRPr="00EE1E6A" w14:paraId="4B605F56" w14:textId="77777777" w:rsidTr="000C4B41">
        <w:tc>
          <w:tcPr>
            <w:tcW w:w="3114" w:type="dxa"/>
          </w:tcPr>
          <w:p w14:paraId="2AA44A85" w14:textId="77777777" w:rsidR="00BC0E9C" w:rsidRPr="00EE1E6A" w:rsidRDefault="00BC0E9C" w:rsidP="00BC0E9C">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6516EB3A" w:rsidR="00BC0E9C" w:rsidRPr="00AF2C04" w:rsidRDefault="00BC0E9C" w:rsidP="00BC0E9C">
            <w:pPr>
              <w:spacing w:before="60" w:after="60" w:line="240" w:lineRule="auto"/>
              <w:rPr>
                <w:rFonts w:ascii="Arial" w:hAnsi="Arial" w:cs="Arial"/>
                <w:lang w:eastAsia="en-AU"/>
              </w:rPr>
            </w:pPr>
          </w:p>
        </w:tc>
      </w:tr>
      <w:tr w:rsidR="00BC0E9C" w:rsidRPr="00EE1E6A" w14:paraId="0532DECF" w14:textId="77777777" w:rsidTr="000C4B41">
        <w:trPr>
          <w:trHeight w:val="64"/>
        </w:trPr>
        <w:tc>
          <w:tcPr>
            <w:tcW w:w="3114" w:type="dxa"/>
          </w:tcPr>
          <w:p w14:paraId="6856507E" w14:textId="77777777" w:rsidR="00BC0E9C" w:rsidRPr="00EE1E6A" w:rsidRDefault="00BC0E9C" w:rsidP="00BC0E9C">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02EAA26B" w:rsidR="00BC0E9C" w:rsidRPr="00AF2C04" w:rsidRDefault="00BC0E9C" w:rsidP="00BC0E9C">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29"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BC0E9C" w:rsidRPr="00043178" w14:paraId="391CCFCE" w14:textId="77777777" w:rsidTr="00420D26">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BC0E9C" w:rsidRPr="00043178" w:rsidRDefault="00BC0E9C" w:rsidP="00BC0E9C">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473D844D" w:rsidR="00BC0E9C" w:rsidRPr="0064314E" w:rsidRDefault="00BC0E9C" w:rsidP="00BC0E9C">
            <w:pPr>
              <w:keepNext/>
              <w:keepLines/>
              <w:spacing w:before="60" w:after="60"/>
              <w:outlineLvl w:val="0"/>
              <w:rPr>
                <w:rFonts w:ascii="Arial" w:hAnsi="Arial" w:cs="Arial"/>
                <w:bCs/>
                <w:sz w:val="24"/>
                <w:szCs w:val="28"/>
                <w:highlight w:val="cyan"/>
              </w:rPr>
            </w:pPr>
          </w:p>
        </w:tc>
      </w:tr>
      <w:tr w:rsidR="00BC0E9C" w:rsidRPr="00043178" w14:paraId="66A80194"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BC0E9C" w:rsidRPr="00043178" w:rsidRDefault="00BC0E9C" w:rsidP="00BC0E9C">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24601EB6" w:rsidR="00BC0E9C" w:rsidRPr="0064314E" w:rsidRDefault="00BC0E9C" w:rsidP="00BC0E9C">
            <w:pPr>
              <w:keepNext/>
              <w:keepLines/>
              <w:spacing w:before="60" w:after="60"/>
              <w:outlineLvl w:val="0"/>
              <w:rPr>
                <w:rFonts w:ascii="Arial" w:hAnsi="Arial" w:cs="Arial"/>
                <w:bCs/>
                <w:sz w:val="24"/>
                <w:szCs w:val="28"/>
                <w:highlight w:val="cyan"/>
              </w:rPr>
            </w:pPr>
          </w:p>
        </w:tc>
      </w:tr>
      <w:tr w:rsidR="00BC0E9C" w:rsidRPr="00043178" w14:paraId="56D918EA"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BC0E9C" w:rsidRPr="00043178" w:rsidRDefault="00BC0E9C" w:rsidP="00BC0E9C">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0FF7DF3F" w:rsidR="00BC0E9C" w:rsidRPr="00774996" w:rsidRDefault="00BC0E9C" w:rsidP="00BC0E9C">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C26FA2">
        <w:tc>
          <w:tcPr>
            <w:tcW w:w="5000" w:type="pct"/>
            <w:gridSpan w:val="3"/>
          </w:tcPr>
          <w:p w14:paraId="3CD2E8A9" w14:textId="77777777" w:rsidR="00B61733" w:rsidRPr="00161D3C" w:rsidRDefault="00EE1E6A" w:rsidP="00B61733">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00B61733" w:rsidRPr="004F228C">
              <w:rPr>
                <w:rFonts w:ascii="Arial" w:hAnsi="Arial" w:cs="Arial"/>
              </w:rPr>
              <w:t>The Department of Social Services, ABN 36 342 015 855</w:t>
            </w:r>
            <w:r w:rsidR="00B61733" w:rsidRPr="00161D3C">
              <w:rPr>
                <w:rFonts w:ascii="Arial" w:hAnsi="Arial" w:cs="Arial"/>
              </w:rPr>
              <w:t xml:space="preserve"> in the presence of:</w:t>
            </w:r>
          </w:p>
          <w:p w14:paraId="54F3E0AB" w14:textId="64376963" w:rsidR="00EE1E6A" w:rsidRPr="0035607A" w:rsidRDefault="00EE1E6A" w:rsidP="00C26FA2">
            <w:pPr>
              <w:spacing w:before="120" w:after="120" w:line="240" w:lineRule="auto"/>
              <w:rPr>
                <w:rFonts w:ascii="Arial" w:hAnsi="Arial" w:cs="Arial"/>
                <w:b/>
              </w:rPr>
            </w:pPr>
          </w:p>
        </w:tc>
      </w:tr>
      <w:tr w:rsidR="00EE1E6A" w:rsidRPr="00584877" w14:paraId="4CE0330C" w14:textId="77777777" w:rsidTr="00C26FA2">
        <w:tc>
          <w:tcPr>
            <w:tcW w:w="2401" w:type="pct"/>
            <w:tcBorders>
              <w:top w:val="nil"/>
              <w:left w:val="nil"/>
              <w:bottom w:val="single" w:sz="4" w:space="0" w:color="auto"/>
              <w:right w:val="nil"/>
            </w:tcBorders>
          </w:tcPr>
          <w:p w14:paraId="0FD3EED5" w14:textId="77777777" w:rsidR="00EE1E6A" w:rsidRPr="0035607A" w:rsidRDefault="00EE1E6A" w:rsidP="00C26FA2">
            <w:pPr>
              <w:spacing w:before="120" w:after="120" w:line="240" w:lineRule="auto"/>
              <w:rPr>
                <w:rFonts w:ascii="Arial" w:hAnsi="Arial" w:cs="Arial"/>
                <w:b/>
              </w:rPr>
            </w:pPr>
          </w:p>
        </w:tc>
        <w:tc>
          <w:tcPr>
            <w:tcW w:w="142" w:type="pct"/>
          </w:tcPr>
          <w:p w14:paraId="507E2317" w14:textId="77777777" w:rsidR="00EE1E6A" w:rsidRPr="0035607A" w:rsidRDefault="00EE1E6A" w:rsidP="00C26FA2">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C26FA2">
            <w:pPr>
              <w:spacing w:before="120" w:after="120" w:line="240" w:lineRule="auto"/>
              <w:rPr>
                <w:rFonts w:ascii="Arial" w:hAnsi="Arial" w:cs="Arial"/>
                <w:b/>
              </w:rPr>
            </w:pPr>
          </w:p>
        </w:tc>
      </w:tr>
      <w:tr w:rsidR="00EE1E6A" w:rsidRPr="00584877" w14:paraId="2C429EFB" w14:textId="77777777" w:rsidTr="00C26FA2">
        <w:tc>
          <w:tcPr>
            <w:tcW w:w="2401" w:type="pct"/>
            <w:tcBorders>
              <w:top w:val="single" w:sz="4" w:space="0" w:color="auto"/>
              <w:left w:val="nil"/>
              <w:bottom w:val="nil"/>
              <w:right w:val="nil"/>
            </w:tcBorders>
            <w:hideMark/>
          </w:tcPr>
          <w:p w14:paraId="50134267" w14:textId="77777777" w:rsidR="00EE1E6A" w:rsidRPr="0035607A" w:rsidRDefault="00EE1E6A" w:rsidP="00C26FA2">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C26FA2">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C26FA2">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C26FA2">
        <w:tc>
          <w:tcPr>
            <w:tcW w:w="2401" w:type="pct"/>
            <w:tcBorders>
              <w:top w:val="nil"/>
              <w:left w:val="nil"/>
              <w:bottom w:val="single" w:sz="4" w:space="0" w:color="auto"/>
              <w:right w:val="nil"/>
            </w:tcBorders>
          </w:tcPr>
          <w:p w14:paraId="12D9CFD7" w14:textId="77777777" w:rsidR="00EE1E6A" w:rsidRPr="0035607A" w:rsidRDefault="00EE1E6A" w:rsidP="00C26FA2">
            <w:pPr>
              <w:spacing w:before="120" w:after="120" w:line="240" w:lineRule="auto"/>
              <w:rPr>
                <w:rFonts w:ascii="Arial" w:hAnsi="Arial" w:cs="Arial"/>
                <w:b/>
              </w:rPr>
            </w:pPr>
          </w:p>
        </w:tc>
        <w:tc>
          <w:tcPr>
            <w:tcW w:w="142" w:type="pct"/>
          </w:tcPr>
          <w:p w14:paraId="4907179D" w14:textId="77777777" w:rsidR="00EE1E6A" w:rsidRPr="0035607A" w:rsidRDefault="00EE1E6A" w:rsidP="00C26FA2">
            <w:pPr>
              <w:spacing w:before="120" w:after="120" w:line="240" w:lineRule="auto"/>
              <w:rPr>
                <w:rFonts w:ascii="Arial" w:hAnsi="Arial" w:cs="Arial"/>
                <w:b/>
              </w:rPr>
            </w:pPr>
          </w:p>
        </w:tc>
        <w:tc>
          <w:tcPr>
            <w:tcW w:w="2457" w:type="pct"/>
            <w:hideMark/>
          </w:tcPr>
          <w:p w14:paraId="3021B7D4" w14:textId="77777777" w:rsidR="00EE1E6A" w:rsidRPr="0035607A" w:rsidRDefault="00EE1E6A" w:rsidP="00C26FA2">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C26FA2">
        <w:tc>
          <w:tcPr>
            <w:tcW w:w="2401" w:type="pct"/>
            <w:tcBorders>
              <w:top w:val="single" w:sz="4" w:space="0" w:color="auto"/>
              <w:left w:val="nil"/>
              <w:bottom w:val="nil"/>
              <w:right w:val="nil"/>
            </w:tcBorders>
            <w:hideMark/>
          </w:tcPr>
          <w:p w14:paraId="514B19A7" w14:textId="77777777" w:rsidR="00EE1E6A" w:rsidRPr="0035607A" w:rsidRDefault="00EE1E6A" w:rsidP="00C26FA2">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C26FA2">
            <w:pPr>
              <w:spacing w:before="120" w:after="120" w:line="240" w:lineRule="auto"/>
              <w:rPr>
                <w:rFonts w:ascii="Arial" w:hAnsi="Arial" w:cs="Arial"/>
                <w:b/>
              </w:rPr>
            </w:pPr>
          </w:p>
        </w:tc>
        <w:tc>
          <w:tcPr>
            <w:tcW w:w="2457" w:type="pct"/>
          </w:tcPr>
          <w:p w14:paraId="048862A7" w14:textId="77777777" w:rsidR="00EE1E6A" w:rsidRPr="0035607A" w:rsidRDefault="00EE1E6A" w:rsidP="00C26FA2">
            <w:pPr>
              <w:spacing w:before="120" w:after="120" w:line="240" w:lineRule="auto"/>
              <w:rPr>
                <w:rFonts w:ascii="Arial" w:hAnsi="Arial" w:cs="Arial"/>
                <w:b/>
              </w:rPr>
            </w:pPr>
          </w:p>
        </w:tc>
      </w:tr>
      <w:tr w:rsidR="00EE1E6A" w:rsidRPr="00584877" w14:paraId="6EB03923" w14:textId="77777777" w:rsidTr="00C26FA2">
        <w:tc>
          <w:tcPr>
            <w:tcW w:w="2401" w:type="pct"/>
            <w:tcBorders>
              <w:top w:val="nil"/>
              <w:left w:val="nil"/>
              <w:bottom w:val="single" w:sz="4" w:space="0" w:color="auto"/>
              <w:right w:val="nil"/>
            </w:tcBorders>
          </w:tcPr>
          <w:p w14:paraId="6CC3D8C7" w14:textId="77777777" w:rsidR="00EE1E6A" w:rsidRPr="0035607A" w:rsidRDefault="00EE1E6A" w:rsidP="00C26FA2">
            <w:pPr>
              <w:spacing w:before="120" w:after="120" w:line="240" w:lineRule="auto"/>
              <w:rPr>
                <w:rFonts w:ascii="Arial" w:hAnsi="Arial" w:cs="Arial"/>
                <w:b/>
              </w:rPr>
            </w:pPr>
          </w:p>
        </w:tc>
        <w:tc>
          <w:tcPr>
            <w:tcW w:w="142" w:type="pct"/>
          </w:tcPr>
          <w:p w14:paraId="30603D02" w14:textId="77777777" w:rsidR="00EE1E6A" w:rsidRPr="0035607A" w:rsidRDefault="00EE1E6A" w:rsidP="00C26FA2">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C26FA2">
            <w:pPr>
              <w:spacing w:before="120" w:after="120" w:line="240" w:lineRule="auto"/>
              <w:rPr>
                <w:rFonts w:ascii="Arial" w:hAnsi="Arial" w:cs="Arial"/>
                <w:b/>
              </w:rPr>
            </w:pPr>
          </w:p>
        </w:tc>
      </w:tr>
      <w:tr w:rsidR="00EE1E6A" w:rsidRPr="00584877" w14:paraId="3C6D8FEB" w14:textId="77777777" w:rsidTr="00C26FA2">
        <w:tc>
          <w:tcPr>
            <w:tcW w:w="2401" w:type="pct"/>
            <w:tcBorders>
              <w:top w:val="single" w:sz="4" w:space="0" w:color="auto"/>
              <w:left w:val="nil"/>
              <w:bottom w:val="nil"/>
              <w:right w:val="nil"/>
            </w:tcBorders>
            <w:hideMark/>
          </w:tcPr>
          <w:p w14:paraId="798CED9F" w14:textId="77777777" w:rsidR="00EE1E6A" w:rsidRPr="0035607A" w:rsidRDefault="00EE1E6A" w:rsidP="00C26FA2">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C26FA2">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C26FA2">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C26FA2">
        <w:tc>
          <w:tcPr>
            <w:tcW w:w="2401" w:type="pct"/>
          </w:tcPr>
          <w:p w14:paraId="52370DA6" w14:textId="77777777" w:rsidR="00EE1E6A" w:rsidRPr="0035607A" w:rsidRDefault="00EE1E6A" w:rsidP="00C26FA2">
            <w:pPr>
              <w:spacing w:before="120" w:after="120" w:line="240" w:lineRule="auto"/>
              <w:rPr>
                <w:rFonts w:ascii="Arial" w:hAnsi="Arial" w:cs="Arial"/>
              </w:rPr>
            </w:pPr>
          </w:p>
        </w:tc>
        <w:tc>
          <w:tcPr>
            <w:tcW w:w="142" w:type="pct"/>
          </w:tcPr>
          <w:p w14:paraId="25138CFF" w14:textId="77777777" w:rsidR="00EE1E6A" w:rsidRPr="0035607A" w:rsidRDefault="00EE1E6A" w:rsidP="00C26FA2">
            <w:pPr>
              <w:spacing w:before="120" w:after="120" w:line="240" w:lineRule="auto"/>
              <w:rPr>
                <w:rFonts w:ascii="Arial" w:hAnsi="Arial" w:cs="Arial"/>
              </w:rPr>
            </w:pPr>
          </w:p>
        </w:tc>
        <w:tc>
          <w:tcPr>
            <w:tcW w:w="2457" w:type="pct"/>
            <w:hideMark/>
          </w:tcPr>
          <w:p w14:paraId="7A14D77E" w14:textId="77777777" w:rsidR="00EE1E6A" w:rsidRPr="0035607A" w:rsidRDefault="00EE1E6A" w:rsidP="00C26FA2">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C26FA2">
        <w:tc>
          <w:tcPr>
            <w:tcW w:w="2401" w:type="pct"/>
          </w:tcPr>
          <w:p w14:paraId="56DA796D" w14:textId="77777777" w:rsidR="00EE1E6A" w:rsidRPr="0035607A" w:rsidRDefault="00EE1E6A" w:rsidP="00C26FA2">
            <w:pPr>
              <w:spacing w:before="120" w:after="120" w:line="240" w:lineRule="auto"/>
              <w:rPr>
                <w:rFonts w:ascii="Arial" w:hAnsi="Arial" w:cs="Arial"/>
              </w:rPr>
            </w:pPr>
          </w:p>
        </w:tc>
        <w:tc>
          <w:tcPr>
            <w:tcW w:w="142" w:type="pct"/>
          </w:tcPr>
          <w:p w14:paraId="167130F4" w14:textId="77777777" w:rsidR="00EE1E6A" w:rsidRPr="0035607A" w:rsidRDefault="00EE1E6A" w:rsidP="00C26FA2">
            <w:pPr>
              <w:spacing w:before="120" w:after="120" w:line="240" w:lineRule="auto"/>
              <w:rPr>
                <w:rFonts w:ascii="Arial" w:hAnsi="Arial" w:cs="Arial"/>
              </w:rPr>
            </w:pPr>
          </w:p>
        </w:tc>
        <w:tc>
          <w:tcPr>
            <w:tcW w:w="2457" w:type="pct"/>
          </w:tcPr>
          <w:p w14:paraId="0F6FB8C4" w14:textId="77777777" w:rsidR="00EE1E6A" w:rsidRPr="0035607A" w:rsidRDefault="00EE1E6A" w:rsidP="00C26FA2">
            <w:pPr>
              <w:spacing w:before="120" w:after="120" w:line="240" w:lineRule="auto"/>
              <w:jc w:val="right"/>
              <w:rPr>
                <w:rFonts w:ascii="Arial" w:hAnsi="Arial" w:cs="Arial"/>
              </w:rPr>
            </w:pPr>
          </w:p>
        </w:tc>
      </w:tr>
      <w:tr w:rsidR="00EE1E6A" w:rsidRPr="00584877" w14:paraId="11489CC3" w14:textId="77777777" w:rsidTr="00C26FA2">
        <w:tc>
          <w:tcPr>
            <w:tcW w:w="5000" w:type="pct"/>
            <w:gridSpan w:val="3"/>
            <w:hideMark/>
          </w:tcPr>
          <w:p w14:paraId="19F2C3A7" w14:textId="56D36162" w:rsidR="00EE1E6A" w:rsidRPr="0035607A" w:rsidRDefault="00EE1E6A" w:rsidP="00BC0E9C">
            <w:pPr>
              <w:spacing w:before="120" w:after="120" w:line="240" w:lineRule="auto"/>
              <w:rPr>
                <w:rFonts w:ascii="Arial" w:hAnsi="Arial" w:cs="Arial"/>
              </w:rPr>
            </w:pPr>
            <w:r w:rsidRPr="0035607A">
              <w:rPr>
                <w:rFonts w:ascii="Arial" w:hAnsi="Arial" w:cs="Arial"/>
              </w:rPr>
              <w:t xml:space="preserve">Signed for and on behalf of </w:t>
            </w:r>
            <w:r w:rsidR="00BC0E9C" w:rsidRPr="007929F6">
              <w:rPr>
                <w:rFonts w:ascii="Arial" w:hAnsi="Arial" w:cs="Arial"/>
                <w:szCs w:val="20"/>
                <w:lang w:eastAsia="en-AU"/>
              </w:rPr>
              <w:t>TBC</w:t>
            </w:r>
            <w:r w:rsidRPr="0035607A">
              <w:rPr>
                <w:rFonts w:ascii="Arial" w:hAnsi="Arial" w:cs="Arial"/>
              </w:rPr>
              <w:t xml:space="preserve">, ABN </w:t>
            </w:r>
            <w:r w:rsidR="00BC0E9C" w:rsidRPr="007929F6">
              <w:rPr>
                <w:rFonts w:ascii="Arial" w:hAnsi="Arial" w:cs="Arial"/>
                <w:szCs w:val="20"/>
                <w:lang w:eastAsia="en-AU"/>
              </w:rPr>
              <w:t>TBC</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C26FA2">
        <w:tc>
          <w:tcPr>
            <w:tcW w:w="2401" w:type="pct"/>
            <w:tcBorders>
              <w:top w:val="nil"/>
              <w:left w:val="nil"/>
              <w:bottom w:val="single" w:sz="4" w:space="0" w:color="auto"/>
              <w:right w:val="nil"/>
            </w:tcBorders>
          </w:tcPr>
          <w:p w14:paraId="29B29612" w14:textId="77777777" w:rsidR="00EE1E6A" w:rsidRPr="0035607A" w:rsidRDefault="00EE1E6A" w:rsidP="00C26FA2">
            <w:pPr>
              <w:spacing w:before="120" w:after="120" w:line="240" w:lineRule="auto"/>
              <w:rPr>
                <w:rFonts w:ascii="Arial" w:hAnsi="Arial" w:cs="Arial"/>
              </w:rPr>
            </w:pPr>
          </w:p>
        </w:tc>
        <w:tc>
          <w:tcPr>
            <w:tcW w:w="142" w:type="pct"/>
          </w:tcPr>
          <w:p w14:paraId="4333F0FA" w14:textId="77777777" w:rsidR="00EE1E6A" w:rsidRPr="0035607A" w:rsidRDefault="00EE1E6A" w:rsidP="00C26FA2">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C26FA2">
            <w:pPr>
              <w:spacing w:before="120" w:after="120" w:line="240" w:lineRule="auto"/>
              <w:jc w:val="right"/>
              <w:rPr>
                <w:rFonts w:ascii="Arial" w:hAnsi="Arial" w:cs="Arial"/>
              </w:rPr>
            </w:pPr>
          </w:p>
        </w:tc>
      </w:tr>
      <w:tr w:rsidR="00EE1E6A" w:rsidRPr="00584877" w14:paraId="3841675C" w14:textId="77777777" w:rsidTr="00C26FA2">
        <w:tc>
          <w:tcPr>
            <w:tcW w:w="2401" w:type="pct"/>
            <w:tcBorders>
              <w:top w:val="single" w:sz="4" w:space="0" w:color="auto"/>
              <w:left w:val="nil"/>
              <w:bottom w:val="nil"/>
              <w:right w:val="nil"/>
            </w:tcBorders>
            <w:hideMark/>
          </w:tcPr>
          <w:p w14:paraId="0A3202C3" w14:textId="77777777" w:rsidR="00EE1E6A" w:rsidRPr="0035607A" w:rsidRDefault="00EE1E6A" w:rsidP="00C26FA2">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C26FA2">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C26FA2">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C26FA2">
        <w:tc>
          <w:tcPr>
            <w:tcW w:w="2401" w:type="pct"/>
          </w:tcPr>
          <w:p w14:paraId="4026F96E" w14:textId="77777777" w:rsidR="00EE1E6A" w:rsidRPr="0035607A" w:rsidRDefault="00EE1E6A" w:rsidP="00C26FA2">
            <w:pPr>
              <w:spacing w:before="120" w:after="120" w:line="240" w:lineRule="auto"/>
              <w:rPr>
                <w:rFonts w:ascii="Arial" w:hAnsi="Arial" w:cs="Arial"/>
              </w:rPr>
            </w:pPr>
          </w:p>
        </w:tc>
        <w:tc>
          <w:tcPr>
            <w:tcW w:w="142" w:type="pct"/>
          </w:tcPr>
          <w:p w14:paraId="323BD5F7" w14:textId="77777777" w:rsidR="00EE1E6A" w:rsidRPr="0035607A" w:rsidRDefault="00EE1E6A" w:rsidP="00C26FA2">
            <w:pPr>
              <w:spacing w:before="120" w:after="120" w:line="240" w:lineRule="auto"/>
              <w:rPr>
                <w:rFonts w:ascii="Arial" w:hAnsi="Arial" w:cs="Arial"/>
              </w:rPr>
            </w:pPr>
          </w:p>
        </w:tc>
        <w:tc>
          <w:tcPr>
            <w:tcW w:w="2457" w:type="pct"/>
            <w:hideMark/>
          </w:tcPr>
          <w:p w14:paraId="3C8C38E0" w14:textId="77777777" w:rsidR="00EE1E6A" w:rsidRPr="0035607A" w:rsidRDefault="00EE1E6A" w:rsidP="00C26FA2">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C26FA2">
        <w:tc>
          <w:tcPr>
            <w:tcW w:w="2401" w:type="pct"/>
            <w:tcBorders>
              <w:top w:val="nil"/>
              <w:left w:val="nil"/>
              <w:bottom w:val="single" w:sz="4" w:space="0" w:color="auto"/>
              <w:right w:val="nil"/>
            </w:tcBorders>
          </w:tcPr>
          <w:p w14:paraId="362A07D1" w14:textId="77777777" w:rsidR="00EE1E6A" w:rsidRPr="0035607A" w:rsidRDefault="00EE1E6A" w:rsidP="00C26FA2">
            <w:pPr>
              <w:spacing w:before="120" w:after="120" w:line="240" w:lineRule="auto"/>
              <w:rPr>
                <w:rFonts w:ascii="Arial" w:hAnsi="Arial" w:cs="Arial"/>
              </w:rPr>
            </w:pPr>
          </w:p>
        </w:tc>
        <w:tc>
          <w:tcPr>
            <w:tcW w:w="142" w:type="pct"/>
          </w:tcPr>
          <w:p w14:paraId="057AB50C" w14:textId="77777777" w:rsidR="00EE1E6A" w:rsidRPr="0035607A" w:rsidRDefault="00EE1E6A" w:rsidP="00C26FA2">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C26FA2">
            <w:pPr>
              <w:spacing w:before="120" w:after="120" w:line="240" w:lineRule="auto"/>
              <w:jc w:val="right"/>
              <w:rPr>
                <w:rFonts w:ascii="Arial" w:hAnsi="Arial" w:cs="Arial"/>
              </w:rPr>
            </w:pPr>
          </w:p>
        </w:tc>
      </w:tr>
      <w:tr w:rsidR="00EE1E6A" w:rsidRPr="00584877" w14:paraId="7E44DDE8" w14:textId="77777777" w:rsidTr="00C26FA2">
        <w:tc>
          <w:tcPr>
            <w:tcW w:w="2401" w:type="pct"/>
            <w:tcBorders>
              <w:top w:val="single" w:sz="4" w:space="0" w:color="auto"/>
              <w:left w:val="nil"/>
              <w:bottom w:val="nil"/>
              <w:right w:val="nil"/>
            </w:tcBorders>
            <w:hideMark/>
          </w:tcPr>
          <w:p w14:paraId="580CB8C3" w14:textId="77777777" w:rsidR="00EE1E6A" w:rsidRPr="0035607A" w:rsidRDefault="00EE1E6A" w:rsidP="00C26FA2">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C26FA2">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C26FA2">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C26FA2">
        <w:tc>
          <w:tcPr>
            <w:tcW w:w="2401" w:type="pct"/>
          </w:tcPr>
          <w:p w14:paraId="3301FE20" w14:textId="77777777" w:rsidR="00EE1E6A" w:rsidRPr="0035607A" w:rsidRDefault="00EE1E6A" w:rsidP="00C26FA2">
            <w:pPr>
              <w:spacing w:before="120" w:after="120" w:line="240" w:lineRule="auto"/>
              <w:rPr>
                <w:rFonts w:ascii="Arial" w:hAnsi="Arial" w:cs="Arial"/>
              </w:rPr>
            </w:pPr>
          </w:p>
        </w:tc>
        <w:tc>
          <w:tcPr>
            <w:tcW w:w="142" w:type="pct"/>
          </w:tcPr>
          <w:p w14:paraId="6E7EDA61" w14:textId="77777777" w:rsidR="00EE1E6A" w:rsidRPr="0035607A" w:rsidRDefault="00EE1E6A" w:rsidP="00C26FA2">
            <w:pPr>
              <w:spacing w:before="120" w:after="120" w:line="240" w:lineRule="auto"/>
              <w:rPr>
                <w:rFonts w:ascii="Arial" w:hAnsi="Arial" w:cs="Arial"/>
              </w:rPr>
            </w:pPr>
          </w:p>
        </w:tc>
        <w:tc>
          <w:tcPr>
            <w:tcW w:w="2457" w:type="pct"/>
            <w:hideMark/>
          </w:tcPr>
          <w:p w14:paraId="138CA364" w14:textId="77777777" w:rsidR="00EE1E6A" w:rsidRPr="0035607A" w:rsidRDefault="00EE1E6A" w:rsidP="00C26FA2">
            <w:pPr>
              <w:spacing w:before="120" w:after="120" w:line="240" w:lineRule="auto"/>
              <w:jc w:val="right"/>
              <w:rPr>
                <w:rFonts w:ascii="Arial" w:hAnsi="Arial" w:cs="Arial"/>
              </w:rPr>
            </w:pPr>
            <w:r w:rsidRPr="0035607A">
              <w:rPr>
                <w:rFonts w:ascii="Arial" w:hAnsi="Arial" w:cs="Arial"/>
              </w:rPr>
              <w:t>…./…./……</w:t>
            </w:r>
          </w:p>
        </w:tc>
      </w:tr>
    </w:tbl>
    <w:p w14:paraId="78E1A5A3" w14:textId="68ACE15B" w:rsidR="00EE1E6A" w:rsidRPr="0035607A" w:rsidRDefault="00EE1E6A" w:rsidP="00EE1E6A">
      <w:pPr>
        <w:spacing w:line="240" w:lineRule="auto"/>
        <w:rPr>
          <w:rFonts w:ascii="Arial" w:hAnsi="Arial" w:cs="Arial"/>
          <w:color w:val="000000" w:themeColor="text1"/>
          <w:sz w:val="26"/>
          <w:szCs w:val="26"/>
        </w:rPr>
      </w:pPr>
      <w:r w:rsidRPr="0035607A">
        <w:rPr>
          <w:rFonts w:ascii="Arial" w:hAnsi="Arial" w:cs="Arial"/>
          <w:color w:val="000000"/>
        </w:rPr>
        <w:br w:type="page"/>
      </w:r>
      <w:bookmarkStart w:id="30" w:name="_Toc524515444"/>
      <w:bookmarkStart w:id="31" w:name="_Toc525119555"/>
      <w:bookmarkStart w:id="32" w:name="_Toc531079400"/>
      <w:bookmarkEnd w:id="29"/>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xml:space="preserve">, you must refer to the legislation incorporating the </w:t>
      </w:r>
      <w:proofErr w:type="gramStart"/>
      <w:r w:rsidRPr="00584877">
        <w:rPr>
          <w:rFonts w:ascii="Arial" w:hAnsi="Arial" w:cs="Arial"/>
        </w:rPr>
        <w:t>association</w:t>
      </w:r>
      <w:proofErr w:type="gramEnd"/>
      <w:r w:rsidRPr="00584877">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w:t>
      </w:r>
      <w:proofErr w:type="gramStart"/>
      <w:r w:rsidRPr="00584877">
        <w:rPr>
          <w:rFonts w:ascii="Arial" w:hAnsi="Arial" w:cs="Arial"/>
        </w:rPr>
        <w:t>generally</w:t>
      </w:r>
      <w:proofErr w:type="gramEnd"/>
      <w:r w:rsidRPr="00584877">
        <w:rPr>
          <w:rFonts w:ascii="Arial" w:hAnsi="Arial" w:cs="Arial"/>
        </w:rPr>
        <w:t xml:space="preserve">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D944FE1"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30"/>
      <w:bookmarkEnd w:id="31"/>
      <w:bookmarkEnd w:id="32"/>
    </w:p>
    <w:sectPr w:rsidR="00337E82" w:rsidRPr="0011250C" w:rsidSect="00420D26">
      <w:headerReference w:type="even" r:id="rId20"/>
      <w:headerReference w:type="default" r:id="rId21"/>
      <w:footerReference w:type="default" r:id="rId22"/>
      <w:headerReference w:type="first" r:id="rId23"/>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6E1F1" w14:textId="77777777" w:rsidR="003206A8" w:rsidRDefault="003206A8" w:rsidP="00685263">
      <w:pPr>
        <w:spacing w:after="0" w:line="240" w:lineRule="auto"/>
      </w:pPr>
      <w:r>
        <w:separator/>
      </w:r>
    </w:p>
  </w:endnote>
  <w:endnote w:type="continuationSeparator" w:id="0">
    <w:p w14:paraId="5FA4AD49" w14:textId="77777777" w:rsidR="003206A8" w:rsidRDefault="003206A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EF1A" w14:textId="78978D35" w:rsidR="00727960" w:rsidRPr="00562A29" w:rsidRDefault="00727960" w:rsidP="00562A29">
    <w:pPr>
      <w:tabs>
        <w:tab w:val="left" w:pos="3647"/>
        <w:tab w:val="center" w:pos="4513"/>
        <w:tab w:val="right" w:pos="9026"/>
      </w:tabs>
      <w:spacing w:after="0" w:line="240" w:lineRule="auto"/>
      <w:rPr>
        <w:rFonts w:ascii="Arial" w:hAnsi="Arial" w:cs="Arial"/>
        <w:b/>
        <w:sz w:val="20"/>
        <w:szCs w:val="20"/>
      </w:rPr>
    </w:pPr>
    <w:r>
      <w:rPr>
        <w:rFonts w:ascii="Arial" w:hAnsi="Arial" w:cs="Arial"/>
        <w:sz w:val="20"/>
        <w:szCs w:val="20"/>
      </w:rPr>
      <w:t>Commonwealth Standard</w:t>
    </w:r>
    <w:r w:rsidRPr="00562A29">
      <w:rPr>
        <w:rFonts w:ascii="Arial" w:hAnsi="Arial" w:cs="Arial"/>
        <w:sz w:val="20"/>
        <w:szCs w:val="20"/>
      </w:rPr>
      <w:t xml:space="preserve"> Grant Agreement</w:t>
    </w:r>
    <w:r w:rsidRPr="00562A29">
      <w:rPr>
        <w:rFonts w:ascii="Arial" w:hAnsi="Arial" w:cs="Arial"/>
        <w:sz w:val="20"/>
        <w:szCs w:val="20"/>
      </w:rPr>
      <w:tab/>
    </w:r>
    <w:r w:rsidR="00420D26">
      <w:rPr>
        <w:rFonts w:ascii="Arial" w:hAnsi="Arial" w:cs="Arial"/>
        <w:sz w:val="20"/>
        <w:szCs w:val="20"/>
      </w:rPr>
      <w:tab/>
    </w:r>
    <w:r w:rsidRPr="00562A29">
      <w:rPr>
        <w:rFonts w:ascii="Arial" w:hAnsi="Arial" w:cs="Arial"/>
        <w:sz w:val="20"/>
        <w:szCs w:val="20"/>
      </w:rPr>
      <w:t xml:space="preserve">Page </w:t>
    </w:r>
    <w:r w:rsidRPr="00562A29">
      <w:rPr>
        <w:rFonts w:ascii="Arial" w:hAnsi="Arial" w:cs="Arial"/>
        <w:sz w:val="20"/>
        <w:szCs w:val="20"/>
      </w:rPr>
      <w:fldChar w:fldCharType="begin"/>
    </w:r>
    <w:r w:rsidRPr="00562A29">
      <w:rPr>
        <w:rFonts w:ascii="Arial" w:hAnsi="Arial" w:cs="Arial"/>
        <w:sz w:val="20"/>
        <w:szCs w:val="20"/>
      </w:rPr>
      <w:instrText xml:space="preserve"> PAGE  \* Arabic  \* MERGEFORMAT </w:instrText>
    </w:r>
    <w:r w:rsidRPr="00562A29">
      <w:rPr>
        <w:rFonts w:ascii="Arial" w:hAnsi="Arial" w:cs="Arial"/>
        <w:sz w:val="20"/>
        <w:szCs w:val="20"/>
      </w:rPr>
      <w:fldChar w:fldCharType="separate"/>
    </w:r>
    <w:r w:rsidR="0044349A">
      <w:rPr>
        <w:rFonts w:ascii="Arial" w:hAnsi="Arial" w:cs="Arial"/>
        <w:noProof/>
        <w:sz w:val="20"/>
        <w:szCs w:val="20"/>
      </w:rPr>
      <w:t>19</w:t>
    </w:r>
    <w:r w:rsidRPr="00562A29">
      <w:rPr>
        <w:rFonts w:ascii="Arial" w:hAnsi="Arial" w:cs="Arial"/>
        <w:sz w:val="20"/>
        <w:szCs w:val="20"/>
      </w:rPr>
      <w:fldChar w:fldCharType="end"/>
    </w:r>
    <w:r w:rsidRPr="00562A29">
      <w:rPr>
        <w:rFonts w:ascii="Arial" w:hAnsi="Arial" w:cs="Arial"/>
        <w:sz w:val="20"/>
        <w:szCs w:val="20"/>
      </w:rPr>
      <w:t xml:space="preserve"> of </w:t>
    </w:r>
    <w:r w:rsidRPr="00562A29">
      <w:rPr>
        <w:rFonts w:ascii="Arial" w:hAnsi="Arial" w:cs="Arial"/>
        <w:sz w:val="20"/>
        <w:szCs w:val="20"/>
      </w:rPr>
      <w:fldChar w:fldCharType="begin"/>
    </w:r>
    <w:r w:rsidRPr="00562A29">
      <w:rPr>
        <w:rFonts w:ascii="Arial" w:hAnsi="Arial" w:cs="Arial"/>
        <w:sz w:val="20"/>
        <w:szCs w:val="20"/>
      </w:rPr>
      <w:instrText xml:space="preserve"> SECTIONPAGES  \* Arabic  \* MERGEFORMAT </w:instrText>
    </w:r>
    <w:r w:rsidRPr="00562A29">
      <w:rPr>
        <w:rFonts w:ascii="Arial" w:hAnsi="Arial" w:cs="Arial"/>
        <w:sz w:val="20"/>
        <w:szCs w:val="20"/>
      </w:rPr>
      <w:fldChar w:fldCharType="separate"/>
    </w:r>
    <w:r w:rsidR="0044349A">
      <w:rPr>
        <w:rFonts w:ascii="Arial" w:hAnsi="Arial" w:cs="Arial"/>
        <w:noProof/>
        <w:sz w:val="20"/>
        <w:szCs w:val="20"/>
      </w:rPr>
      <w:t>18</w:t>
    </w:r>
    <w:r w:rsidRPr="00562A29">
      <w:rPr>
        <w:rFonts w:ascii="Arial" w:hAnsi="Arial" w:cs="Arial"/>
        <w:sz w:val="20"/>
        <w:szCs w:val="20"/>
      </w:rPr>
      <w:fldChar w:fldCharType="end"/>
    </w:r>
  </w:p>
  <w:p w14:paraId="33B52706" w14:textId="77777777" w:rsidR="00727960" w:rsidRPr="00562A29" w:rsidRDefault="00727960" w:rsidP="00562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A792" w14:textId="5DEEA77C" w:rsidR="00420D26" w:rsidRPr="00562A29" w:rsidRDefault="00420D26" w:rsidP="00420D26">
    <w:pPr>
      <w:tabs>
        <w:tab w:val="left" w:pos="3647"/>
        <w:tab w:val="center" w:pos="4513"/>
        <w:tab w:val="right" w:pos="9026"/>
      </w:tabs>
      <w:spacing w:after="0" w:line="240" w:lineRule="auto"/>
      <w:rPr>
        <w:rFonts w:ascii="Arial" w:hAnsi="Arial" w:cs="Arial"/>
        <w:b/>
        <w:sz w:val="20"/>
        <w:szCs w:val="20"/>
      </w:rPr>
    </w:pPr>
    <w:r>
      <w:rPr>
        <w:rFonts w:ascii="Arial" w:hAnsi="Arial" w:cs="Arial"/>
        <w:sz w:val="20"/>
        <w:szCs w:val="20"/>
      </w:rPr>
      <w:t>Commonwealth Standard</w:t>
    </w:r>
    <w:r w:rsidRPr="00562A29">
      <w:rPr>
        <w:rFonts w:ascii="Arial" w:hAnsi="Arial" w:cs="Arial"/>
        <w:sz w:val="20"/>
        <w:szCs w:val="20"/>
      </w:rPr>
      <w:t xml:space="preserve"> Grant Agreement</w:t>
    </w:r>
    <w:r w:rsidRPr="00562A29">
      <w:rPr>
        <w:rFonts w:ascii="Arial" w:hAnsi="Arial" w:cs="Arial"/>
        <w:sz w:val="20"/>
        <w:szCs w:val="20"/>
      </w:rPr>
      <w:tab/>
    </w:r>
    <w:r>
      <w:rPr>
        <w:rFonts w:ascii="Arial" w:hAnsi="Arial" w:cs="Arial"/>
        <w:sz w:val="20"/>
        <w:szCs w:val="20"/>
      </w:rPr>
      <w:tab/>
    </w:r>
    <w:r w:rsidRPr="00562A29">
      <w:rPr>
        <w:rFonts w:ascii="Arial" w:hAnsi="Arial" w:cs="Arial"/>
        <w:sz w:val="20"/>
        <w:szCs w:val="20"/>
      </w:rPr>
      <w:t xml:space="preserve">Page </w:t>
    </w:r>
    <w:r w:rsidRPr="00562A29">
      <w:rPr>
        <w:rFonts w:ascii="Arial" w:hAnsi="Arial" w:cs="Arial"/>
        <w:sz w:val="20"/>
        <w:szCs w:val="20"/>
      </w:rPr>
      <w:fldChar w:fldCharType="begin"/>
    </w:r>
    <w:r w:rsidRPr="00562A29">
      <w:rPr>
        <w:rFonts w:ascii="Arial" w:hAnsi="Arial" w:cs="Arial"/>
        <w:sz w:val="20"/>
        <w:szCs w:val="20"/>
      </w:rPr>
      <w:instrText xml:space="preserve"> PAGE  \* Arabic  \* MERGEFORMAT </w:instrText>
    </w:r>
    <w:r w:rsidRPr="00562A29">
      <w:rPr>
        <w:rFonts w:ascii="Arial" w:hAnsi="Arial" w:cs="Arial"/>
        <w:sz w:val="20"/>
        <w:szCs w:val="20"/>
      </w:rPr>
      <w:fldChar w:fldCharType="separate"/>
    </w:r>
    <w:r w:rsidR="00B50348">
      <w:rPr>
        <w:rFonts w:ascii="Arial" w:hAnsi="Arial" w:cs="Arial"/>
        <w:noProof/>
        <w:sz w:val="20"/>
        <w:szCs w:val="20"/>
      </w:rPr>
      <w:t>1</w:t>
    </w:r>
    <w:r w:rsidRPr="00562A29">
      <w:rPr>
        <w:rFonts w:ascii="Arial" w:hAnsi="Arial" w:cs="Arial"/>
        <w:sz w:val="20"/>
        <w:szCs w:val="20"/>
      </w:rPr>
      <w:fldChar w:fldCharType="end"/>
    </w:r>
    <w:r w:rsidRPr="00562A29">
      <w:rPr>
        <w:rFonts w:ascii="Arial" w:hAnsi="Arial" w:cs="Arial"/>
        <w:sz w:val="20"/>
        <w:szCs w:val="20"/>
      </w:rPr>
      <w:t xml:space="preserve"> of </w:t>
    </w:r>
    <w:r w:rsidRPr="00562A29">
      <w:rPr>
        <w:rFonts w:ascii="Arial" w:hAnsi="Arial" w:cs="Arial"/>
        <w:sz w:val="20"/>
        <w:szCs w:val="20"/>
      </w:rPr>
      <w:fldChar w:fldCharType="begin"/>
    </w:r>
    <w:r w:rsidRPr="00562A29">
      <w:rPr>
        <w:rFonts w:ascii="Arial" w:hAnsi="Arial" w:cs="Arial"/>
        <w:sz w:val="20"/>
        <w:szCs w:val="20"/>
      </w:rPr>
      <w:instrText xml:space="preserve"> SECTIONPAGES  \* Arabic  \* MERGEFORMAT </w:instrText>
    </w:r>
    <w:r w:rsidRPr="00562A29">
      <w:rPr>
        <w:rFonts w:ascii="Arial" w:hAnsi="Arial" w:cs="Arial"/>
        <w:sz w:val="20"/>
        <w:szCs w:val="20"/>
      </w:rPr>
      <w:fldChar w:fldCharType="separate"/>
    </w:r>
    <w:r w:rsidR="00B50348">
      <w:rPr>
        <w:rFonts w:ascii="Arial" w:hAnsi="Arial" w:cs="Arial"/>
        <w:noProof/>
        <w:sz w:val="20"/>
        <w:szCs w:val="20"/>
      </w:rPr>
      <w:t>1</w:t>
    </w:r>
    <w:r w:rsidRPr="00562A29">
      <w:rPr>
        <w:rFonts w:ascii="Arial" w:hAnsi="Arial" w:cs="Arial"/>
        <w:sz w:val="20"/>
        <w:szCs w:val="20"/>
      </w:rPr>
      <w:fldChar w:fldCharType="end"/>
    </w:r>
    <w:r w:rsidR="0044349A">
      <w:rPr>
        <w:rFonts w:ascii="Arial" w:hAnsi="Arial" w:cs="Arial"/>
        <w:sz w:val="20"/>
        <w:szCs w:val="20"/>
      </w:rPr>
      <w:t>9</w:t>
    </w:r>
  </w:p>
  <w:p w14:paraId="7E414881" w14:textId="77777777" w:rsidR="00420D26" w:rsidRDefault="00420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1F5C4" w14:textId="5E2F07B4" w:rsidR="0044349A" w:rsidRPr="00562A29" w:rsidRDefault="0044349A" w:rsidP="00562A29">
    <w:pPr>
      <w:tabs>
        <w:tab w:val="left" w:pos="3647"/>
        <w:tab w:val="center" w:pos="4513"/>
        <w:tab w:val="right" w:pos="9026"/>
      </w:tabs>
      <w:spacing w:after="0" w:line="240" w:lineRule="auto"/>
      <w:rPr>
        <w:rFonts w:ascii="Arial" w:hAnsi="Arial" w:cs="Arial"/>
        <w:b/>
        <w:sz w:val="20"/>
        <w:szCs w:val="20"/>
      </w:rPr>
    </w:pPr>
    <w:r>
      <w:rPr>
        <w:rFonts w:ascii="Arial" w:hAnsi="Arial" w:cs="Arial"/>
        <w:sz w:val="20"/>
        <w:szCs w:val="20"/>
      </w:rPr>
      <w:t>Commonwealth Standard</w:t>
    </w:r>
    <w:r w:rsidRPr="00562A29">
      <w:rPr>
        <w:rFonts w:ascii="Arial" w:hAnsi="Arial" w:cs="Arial"/>
        <w:sz w:val="20"/>
        <w:szCs w:val="20"/>
      </w:rPr>
      <w:t xml:space="preserve"> Grant Agreement</w:t>
    </w:r>
    <w:r w:rsidRPr="00562A29">
      <w:rPr>
        <w:rFonts w:ascii="Arial" w:hAnsi="Arial" w:cs="Arial"/>
        <w:sz w:val="20"/>
        <w:szCs w:val="20"/>
      </w:rPr>
      <w:tab/>
    </w:r>
    <w:r>
      <w:rPr>
        <w:rFonts w:ascii="Arial" w:hAnsi="Arial" w:cs="Arial"/>
        <w:sz w:val="20"/>
        <w:szCs w:val="20"/>
      </w:rPr>
      <w:tab/>
    </w:r>
    <w:r w:rsidRPr="00562A29">
      <w:rPr>
        <w:rFonts w:ascii="Arial" w:hAnsi="Arial" w:cs="Arial"/>
        <w:sz w:val="20"/>
        <w:szCs w:val="20"/>
      </w:rPr>
      <w:t xml:space="preserve">Page </w:t>
    </w:r>
    <w:r w:rsidRPr="00562A29">
      <w:rPr>
        <w:rFonts w:ascii="Arial" w:hAnsi="Arial" w:cs="Arial"/>
        <w:sz w:val="20"/>
        <w:szCs w:val="20"/>
      </w:rPr>
      <w:fldChar w:fldCharType="begin"/>
    </w:r>
    <w:r w:rsidRPr="00562A29">
      <w:rPr>
        <w:rFonts w:ascii="Arial" w:hAnsi="Arial" w:cs="Arial"/>
        <w:sz w:val="20"/>
        <w:szCs w:val="20"/>
      </w:rPr>
      <w:instrText xml:space="preserve"> PAGE  \* Arabic  \* MERGEFORMAT </w:instrText>
    </w:r>
    <w:r w:rsidRPr="00562A29">
      <w:rPr>
        <w:rFonts w:ascii="Arial" w:hAnsi="Arial" w:cs="Arial"/>
        <w:sz w:val="20"/>
        <w:szCs w:val="20"/>
      </w:rPr>
      <w:fldChar w:fldCharType="separate"/>
    </w:r>
    <w:r w:rsidR="00252E39">
      <w:rPr>
        <w:rFonts w:ascii="Arial" w:hAnsi="Arial" w:cs="Arial"/>
        <w:noProof/>
        <w:sz w:val="20"/>
        <w:szCs w:val="20"/>
      </w:rPr>
      <w:t>9</w:t>
    </w:r>
    <w:r w:rsidRPr="00562A29">
      <w:rPr>
        <w:rFonts w:ascii="Arial" w:hAnsi="Arial" w:cs="Arial"/>
        <w:sz w:val="20"/>
        <w:szCs w:val="20"/>
      </w:rPr>
      <w:fldChar w:fldCharType="end"/>
    </w:r>
    <w:r w:rsidRPr="00562A29">
      <w:rPr>
        <w:rFonts w:ascii="Arial" w:hAnsi="Arial" w:cs="Arial"/>
        <w:sz w:val="20"/>
        <w:szCs w:val="20"/>
      </w:rPr>
      <w:t xml:space="preserve"> of </w:t>
    </w:r>
    <w:r>
      <w:rPr>
        <w:rFonts w:ascii="Arial" w:hAnsi="Arial" w:cs="Arial"/>
        <w:sz w:val="20"/>
        <w:szCs w:val="20"/>
      </w:rPr>
      <w:t>19</w:t>
    </w:r>
  </w:p>
  <w:p w14:paraId="30BE3B8B" w14:textId="77777777" w:rsidR="0044349A" w:rsidRPr="00562A29" w:rsidRDefault="0044349A" w:rsidP="00562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380DD" w14:textId="77777777" w:rsidR="003206A8" w:rsidRDefault="003206A8" w:rsidP="00685263">
      <w:pPr>
        <w:spacing w:after="0" w:line="240" w:lineRule="auto"/>
      </w:pPr>
      <w:r>
        <w:separator/>
      </w:r>
    </w:p>
  </w:footnote>
  <w:footnote w:type="continuationSeparator" w:id="0">
    <w:p w14:paraId="7FEEFE3C" w14:textId="77777777" w:rsidR="003206A8" w:rsidRDefault="003206A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F849" w14:textId="3EE47B5B" w:rsidR="00727960" w:rsidRDefault="003206A8">
    <w:pPr>
      <w:pStyle w:val="Header"/>
    </w:pPr>
    <w:r>
      <w:rPr>
        <w:noProof/>
      </w:rPr>
      <w:pict w14:anchorId="56596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050235" o:spid="_x0000_s2050" type="#_x0000_t136" style="position:absolute;margin-left:0;margin-top:0;width:627.15pt;height:110.65pt;rotation:315;z-index:-251655168;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040430C8" w:rsidR="00727960" w:rsidRPr="00C7353F" w:rsidRDefault="003206A8" w:rsidP="007B5992">
    <w:pPr>
      <w:pStyle w:val="Header"/>
      <w:jc w:val="center"/>
    </w:pPr>
    <w:r>
      <w:rPr>
        <w:noProof/>
      </w:rPr>
      <w:pict w14:anchorId="433FD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050236" o:spid="_x0000_s2051" type="#_x0000_t136" style="position:absolute;left:0;text-align:left;margin-left:0;margin-top:0;width:627.15pt;height:110.65pt;rotation:315;z-index:-251653120;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8AA4" w14:textId="637FA561" w:rsidR="00727960" w:rsidRDefault="003206A8">
    <w:pPr>
      <w:pStyle w:val="Header"/>
    </w:pPr>
    <w:r>
      <w:rPr>
        <w:noProof/>
      </w:rPr>
      <w:pict w14:anchorId="7B43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050234" o:spid="_x0000_s2049" type="#_x0000_t136" style="position:absolute;margin-left:0;margin-top:0;width:627.15pt;height:110.65pt;rotation:315;z-index:-251657216;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1150" w14:textId="5C78D108" w:rsidR="00727960" w:rsidRDefault="003206A8">
    <w:pPr>
      <w:pStyle w:val="Header"/>
    </w:pPr>
    <w:r>
      <w:rPr>
        <w:noProof/>
      </w:rPr>
      <w:pict w14:anchorId="67525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050238" o:spid="_x0000_s2053" type="#_x0000_t136" style="position:absolute;margin-left:0;margin-top:0;width:627.15pt;height:110.65pt;rotation:315;z-index:-251649024;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65797F93" w:rsidR="00727960" w:rsidRPr="00C7353F" w:rsidRDefault="003206A8" w:rsidP="007B5992">
    <w:pPr>
      <w:pStyle w:val="Header"/>
      <w:jc w:val="center"/>
    </w:pPr>
    <w:r>
      <w:rPr>
        <w:noProof/>
      </w:rPr>
      <w:pict w14:anchorId="665BA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050239" o:spid="_x0000_s2054" type="#_x0000_t136" style="position:absolute;left:0;text-align:left;margin-left:0;margin-top:0;width:627.15pt;height:110.65pt;rotation:315;z-index:-251646976;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707C" w14:textId="18B4C443" w:rsidR="00727960" w:rsidRDefault="003206A8">
    <w:pPr>
      <w:pStyle w:val="Header"/>
    </w:pPr>
    <w:r>
      <w:rPr>
        <w:noProof/>
      </w:rPr>
      <w:pict w14:anchorId="54E60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050237" o:spid="_x0000_s2052" type="#_x0000_t136" style="position:absolute;margin-left:0;margin-top:0;width:627.15pt;height:110.65pt;rotation:315;z-index:-251651072;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BA9"/>
    <w:multiLevelType w:val="multilevel"/>
    <w:tmpl w:val="C648435E"/>
    <w:lvl w:ilvl="0">
      <w:start w:val="1"/>
      <w:numFmt w:val="decimal"/>
      <w:lvlText w:val="%1."/>
      <w:lvlJc w:val="left"/>
      <w:pPr>
        <w:ind w:left="720" w:hanging="360"/>
      </w:pPr>
      <w:rPr>
        <w:b w:val="0"/>
        <w:color w:val="auto"/>
      </w:rPr>
    </w:lvl>
    <w:lvl w:ilvl="1">
      <w:start w:val="9"/>
      <w:numFmt w:val="decimal"/>
      <w:isLgl/>
      <w:lvlText w:val="%1.%2"/>
      <w:lvlJc w:val="left"/>
      <w:pPr>
        <w:ind w:left="938" w:hanging="360"/>
      </w:pPr>
    </w:lvl>
    <w:lvl w:ilvl="2">
      <w:start w:val="1"/>
      <w:numFmt w:val="bullet"/>
      <w:lvlText w:val=""/>
      <w:lvlJc w:val="left"/>
      <w:pPr>
        <w:ind w:left="1298" w:hanging="720"/>
      </w:pPr>
      <w:rPr>
        <w:rFonts w:ascii="Symbol" w:hAnsi="Symbol" w:hint="default"/>
      </w:rPr>
    </w:lvl>
    <w:lvl w:ilvl="3">
      <w:start w:val="1"/>
      <w:numFmt w:val="decimal"/>
      <w:isLgl/>
      <w:lvlText w:val="%1.%2.%3.%4"/>
      <w:lvlJc w:val="left"/>
      <w:pPr>
        <w:ind w:left="1298" w:hanging="720"/>
      </w:pPr>
    </w:lvl>
    <w:lvl w:ilvl="4">
      <w:start w:val="1"/>
      <w:numFmt w:val="decimal"/>
      <w:isLgl/>
      <w:lvlText w:val="%1.%2.%3.%4.%5"/>
      <w:lvlJc w:val="left"/>
      <w:pPr>
        <w:ind w:left="1298" w:hanging="720"/>
      </w:pPr>
    </w:lvl>
    <w:lvl w:ilvl="5">
      <w:start w:val="1"/>
      <w:numFmt w:val="decimal"/>
      <w:isLgl/>
      <w:lvlText w:val="%1.%2.%3.%4.%5.%6"/>
      <w:lvlJc w:val="left"/>
      <w:pPr>
        <w:ind w:left="1658" w:hanging="1080"/>
      </w:pPr>
    </w:lvl>
    <w:lvl w:ilvl="6">
      <w:start w:val="1"/>
      <w:numFmt w:val="decimal"/>
      <w:isLgl/>
      <w:lvlText w:val="%1.%2.%3.%4.%5.%6.%7"/>
      <w:lvlJc w:val="left"/>
      <w:pPr>
        <w:ind w:left="1658" w:hanging="1080"/>
      </w:pPr>
    </w:lvl>
    <w:lvl w:ilvl="7">
      <w:start w:val="1"/>
      <w:numFmt w:val="decimal"/>
      <w:isLgl/>
      <w:lvlText w:val="%1.%2.%3.%4.%5.%6.%7.%8"/>
      <w:lvlJc w:val="left"/>
      <w:pPr>
        <w:ind w:left="2018" w:hanging="1440"/>
      </w:pPr>
    </w:lvl>
    <w:lvl w:ilvl="8">
      <w:start w:val="1"/>
      <w:numFmt w:val="decimal"/>
      <w:isLgl/>
      <w:lvlText w:val="%1.%2.%3.%4.%5.%6.%7.%8.%9"/>
      <w:lvlJc w:val="left"/>
      <w:pPr>
        <w:ind w:left="2018" w:hanging="1440"/>
      </w:pPr>
    </w:lvl>
  </w:abstractNum>
  <w:abstractNum w:abstractNumId="1"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71940C8"/>
    <w:multiLevelType w:val="multilevel"/>
    <w:tmpl w:val="C648435E"/>
    <w:lvl w:ilvl="0">
      <w:start w:val="1"/>
      <w:numFmt w:val="decimal"/>
      <w:lvlText w:val="%1."/>
      <w:lvlJc w:val="left"/>
      <w:pPr>
        <w:ind w:left="720" w:hanging="360"/>
      </w:pPr>
      <w:rPr>
        <w:b w:val="0"/>
        <w:color w:val="auto"/>
      </w:rPr>
    </w:lvl>
    <w:lvl w:ilvl="1">
      <w:start w:val="9"/>
      <w:numFmt w:val="decimal"/>
      <w:isLgl/>
      <w:lvlText w:val="%1.%2"/>
      <w:lvlJc w:val="left"/>
      <w:pPr>
        <w:ind w:left="938" w:hanging="360"/>
      </w:pPr>
    </w:lvl>
    <w:lvl w:ilvl="2">
      <w:start w:val="1"/>
      <w:numFmt w:val="bullet"/>
      <w:lvlText w:val=""/>
      <w:lvlJc w:val="left"/>
      <w:pPr>
        <w:ind w:left="1298" w:hanging="720"/>
      </w:pPr>
      <w:rPr>
        <w:rFonts w:ascii="Symbol" w:hAnsi="Symbol" w:hint="default"/>
      </w:rPr>
    </w:lvl>
    <w:lvl w:ilvl="3">
      <w:start w:val="1"/>
      <w:numFmt w:val="decimal"/>
      <w:isLgl/>
      <w:lvlText w:val="%1.%2.%3.%4"/>
      <w:lvlJc w:val="left"/>
      <w:pPr>
        <w:ind w:left="1298" w:hanging="720"/>
      </w:pPr>
    </w:lvl>
    <w:lvl w:ilvl="4">
      <w:start w:val="1"/>
      <w:numFmt w:val="decimal"/>
      <w:isLgl/>
      <w:lvlText w:val="%1.%2.%3.%4.%5"/>
      <w:lvlJc w:val="left"/>
      <w:pPr>
        <w:ind w:left="1298" w:hanging="720"/>
      </w:pPr>
    </w:lvl>
    <w:lvl w:ilvl="5">
      <w:start w:val="1"/>
      <w:numFmt w:val="decimal"/>
      <w:isLgl/>
      <w:lvlText w:val="%1.%2.%3.%4.%5.%6"/>
      <w:lvlJc w:val="left"/>
      <w:pPr>
        <w:ind w:left="1658" w:hanging="1080"/>
      </w:pPr>
    </w:lvl>
    <w:lvl w:ilvl="6">
      <w:start w:val="1"/>
      <w:numFmt w:val="decimal"/>
      <w:isLgl/>
      <w:lvlText w:val="%1.%2.%3.%4.%5.%6.%7"/>
      <w:lvlJc w:val="left"/>
      <w:pPr>
        <w:ind w:left="1658" w:hanging="1080"/>
      </w:pPr>
    </w:lvl>
    <w:lvl w:ilvl="7">
      <w:start w:val="1"/>
      <w:numFmt w:val="decimal"/>
      <w:isLgl/>
      <w:lvlText w:val="%1.%2.%3.%4.%5.%6.%7.%8"/>
      <w:lvlJc w:val="left"/>
      <w:pPr>
        <w:ind w:left="2018" w:hanging="1440"/>
      </w:pPr>
    </w:lvl>
    <w:lvl w:ilvl="8">
      <w:start w:val="1"/>
      <w:numFmt w:val="decimal"/>
      <w:isLgl/>
      <w:lvlText w:val="%1.%2.%3.%4.%5.%6.%7.%8.%9"/>
      <w:lvlJc w:val="left"/>
      <w:pPr>
        <w:ind w:left="2018" w:hanging="1440"/>
      </w:pPr>
    </w:lvl>
  </w:abstractNum>
  <w:abstractNum w:abstractNumId="6"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E677F24"/>
    <w:multiLevelType w:val="hybridMultilevel"/>
    <w:tmpl w:val="C4A2F868"/>
    <w:lvl w:ilvl="0" w:tplc="01E061F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5"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3F1B39BF"/>
    <w:multiLevelType w:val="multilevel"/>
    <w:tmpl w:val="C648435E"/>
    <w:lvl w:ilvl="0">
      <w:start w:val="1"/>
      <w:numFmt w:val="decimal"/>
      <w:lvlText w:val="%1."/>
      <w:lvlJc w:val="left"/>
      <w:pPr>
        <w:ind w:left="720" w:hanging="360"/>
      </w:pPr>
      <w:rPr>
        <w:b w:val="0"/>
        <w:color w:val="auto"/>
      </w:rPr>
    </w:lvl>
    <w:lvl w:ilvl="1">
      <w:start w:val="9"/>
      <w:numFmt w:val="decimal"/>
      <w:isLgl/>
      <w:lvlText w:val="%1.%2"/>
      <w:lvlJc w:val="left"/>
      <w:pPr>
        <w:ind w:left="938" w:hanging="360"/>
      </w:pPr>
    </w:lvl>
    <w:lvl w:ilvl="2">
      <w:start w:val="1"/>
      <w:numFmt w:val="bullet"/>
      <w:lvlText w:val=""/>
      <w:lvlJc w:val="left"/>
      <w:pPr>
        <w:ind w:left="1298" w:hanging="720"/>
      </w:pPr>
      <w:rPr>
        <w:rFonts w:ascii="Symbol" w:hAnsi="Symbol" w:hint="default"/>
      </w:rPr>
    </w:lvl>
    <w:lvl w:ilvl="3">
      <w:start w:val="1"/>
      <w:numFmt w:val="decimal"/>
      <w:isLgl/>
      <w:lvlText w:val="%1.%2.%3.%4"/>
      <w:lvlJc w:val="left"/>
      <w:pPr>
        <w:ind w:left="1298" w:hanging="720"/>
      </w:pPr>
    </w:lvl>
    <w:lvl w:ilvl="4">
      <w:start w:val="1"/>
      <w:numFmt w:val="decimal"/>
      <w:isLgl/>
      <w:lvlText w:val="%1.%2.%3.%4.%5"/>
      <w:lvlJc w:val="left"/>
      <w:pPr>
        <w:ind w:left="1298" w:hanging="720"/>
      </w:pPr>
    </w:lvl>
    <w:lvl w:ilvl="5">
      <w:start w:val="1"/>
      <w:numFmt w:val="decimal"/>
      <w:isLgl/>
      <w:lvlText w:val="%1.%2.%3.%4.%5.%6"/>
      <w:lvlJc w:val="left"/>
      <w:pPr>
        <w:ind w:left="1658" w:hanging="1080"/>
      </w:pPr>
    </w:lvl>
    <w:lvl w:ilvl="6">
      <w:start w:val="1"/>
      <w:numFmt w:val="decimal"/>
      <w:isLgl/>
      <w:lvlText w:val="%1.%2.%3.%4.%5.%6.%7"/>
      <w:lvlJc w:val="left"/>
      <w:pPr>
        <w:ind w:left="1658" w:hanging="1080"/>
      </w:pPr>
    </w:lvl>
    <w:lvl w:ilvl="7">
      <w:start w:val="1"/>
      <w:numFmt w:val="decimal"/>
      <w:isLgl/>
      <w:lvlText w:val="%1.%2.%3.%4.%5.%6.%7.%8"/>
      <w:lvlJc w:val="left"/>
      <w:pPr>
        <w:ind w:left="2018" w:hanging="1440"/>
      </w:pPr>
    </w:lvl>
    <w:lvl w:ilvl="8">
      <w:start w:val="1"/>
      <w:numFmt w:val="decimal"/>
      <w:isLgl/>
      <w:lvlText w:val="%1.%2.%3.%4.%5.%6.%7.%8.%9"/>
      <w:lvlJc w:val="left"/>
      <w:pPr>
        <w:ind w:left="2018" w:hanging="1440"/>
      </w:pPr>
    </w:lvl>
  </w:abstractNum>
  <w:abstractNum w:abstractNumId="21" w15:restartNumberingAfterBreak="0">
    <w:nsid w:val="41767FD8"/>
    <w:multiLevelType w:val="multilevel"/>
    <w:tmpl w:val="C648435E"/>
    <w:lvl w:ilvl="0">
      <w:start w:val="1"/>
      <w:numFmt w:val="decimal"/>
      <w:lvlText w:val="%1."/>
      <w:lvlJc w:val="left"/>
      <w:pPr>
        <w:ind w:left="720" w:hanging="360"/>
      </w:pPr>
      <w:rPr>
        <w:b w:val="0"/>
        <w:color w:val="auto"/>
      </w:rPr>
    </w:lvl>
    <w:lvl w:ilvl="1">
      <w:start w:val="9"/>
      <w:numFmt w:val="decimal"/>
      <w:isLgl/>
      <w:lvlText w:val="%1.%2"/>
      <w:lvlJc w:val="left"/>
      <w:pPr>
        <w:ind w:left="938" w:hanging="360"/>
      </w:pPr>
    </w:lvl>
    <w:lvl w:ilvl="2">
      <w:start w:val="1"/>
      <w:numFmt w:val="bullet"/>
      <w:lvlText w:val=""/>
      <w:lvlJc w:val="left"/>
      <w:pPr>
        <w:ind w:left="1298" w:hanging="720"/>
      </w:pPr>
      <w:rPr>
        <w:rFonts w:ascii="Symbol" w:hAnsi="Symbol" w:hint="default"/>
      </w:rPr>
    </w:lvl>
    <w:lvl w:ilvl="3">
      <w:start w:val="1"/>
      <w:numFmt w:val="decimal"/>
      <w:isLgl/>
      <w:lvlText w:val="%1.%2.%3.%4"/>
      <w:lvlJc w:val="left"/>
      <w:pPr>
        <w:ind w:left="1298" w:hanging="720"/>
      </w:pPr>
    </w:lvl>
    <w:lvl w:ilvl="4">
      <w:start w:val="1"/>
      <w:numFmt w:val="decimal"/>
      <w:isLgl/>
      <w:lvlText w:val="%1.%2.%3.%4.%5"/>
      <w:lvlJc w:val="left"/>
      <w:pPr>
        <w:ind w:left="1298" w:hanging="720"/>
      </w:pPr>
    </w:lvl>
    <w:lvl w:ilvl="5">
      <w:start w:val="1"/>
      <w:numFmt w:val="decimal"/>
      <w:isLgl/>
      <w:lvlText w:val="%1.%2.%3.%4.%5.%6"/>
      <w:lvlJc w:val="left"/>
      <w:pPr>
        <w:ind w:left="1658" w:hanging="1080"/>
      </w:pPr>
    </w:lvl>
    <w:lvl w:ilvl="6">
      <w:start w:val="1"/>
      <w:numFmt w:val="decimal"/>
      <w:isLgl/>
      <w:lvlText w:val="%1.%2.%3.%4.%5.%6.%7"/>
      <w:lvlJc w:val="left"/>
      <w:pPr>
        <w:ind w:left="1658" w:hanging="1080"/>
      </w:pPr>
    </w:lvl>
    <w:lvl w:ilvl="7">
      <w:start w:val="1"/>
      <w:numFmt w:val="decimal"/>
      <w:isLgl/>
      <w:lvlText w:val="%1.%2.%3.%4.%5.%6.%7.%8"/>
      <w:lvlJc w:val="left"/>
      <w:pPr>
        <w:ind w:left="2018" w:hanging="1440"/>
      </w:pPr>
    </w:lvl>
    <w:lvl w:ilvl="8">
      <w:start w:val="1"/>
      <w:numFmt w:val="decimal"/>
      <w:isLgl/>
      <w:lvlText w:val="%1.%2.%3.%4.%5.%6.%7.%8.%9"/>
      <w:lvlJc w:val="left"/>
      <w:pPr>
        <w:ind w:left="2018" w:hanging="1440"/>
      </w:pPr>
    </w:lvl>
  </w:abstractNum>
  <w:abstractNum w:abstractNumId="2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3"/>
  </w:num>
  <w:num w:numId="4">
    <w:abstractNumId w:val="2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0"/>
  </w:num>
  <w:num w:numId="10">
    <w:abstractNumId w:val="24"/>
  </w:num>
  <w:num w:numId="11">
    <w:abstractNumId w:val="11"/>
  </w:num>
  <w:num w:numId="12">
    <w:abstractNumId w:val="29"/>
  </w:num>
  <w:num w:numId="13">
    <w:abstractNumId w:val="7"/>
  </w:num>
  <w:num w:numId="14">
    <w:abstractNumId w:val="25"/>
  </w:num>
  <w:num w:numId="15">
    <w:abstractNumId w:val="3"/>
  </w:num>
  <w:num w:numId="16">
    <w:abstractNumId w:val="31"/>
  </w:num>
  <w:num w:numId="17">
    <w:abstractNumId w:val="16"/>
  </w:num>
  <w:num w:numId="18">
    <w:abstractNumId w:val="19"/>
  </w:num>
  <w:num w:numId="19">
    <w:abstractNumId w:val="17"/>
  </w:num>
  <w:num w:numId="20">
    <w:abstractNumId w:val="4"/>
  </w:num>
  <w:num w:numId="21">
    <w:abstractNumId w:val="18"/>
  </w:num>
  <w:num w:numId="22">
    <w:abstractNumId w:val="14"/>
  </w:num>
  <w:num w:numId="23">
    <w:abstractNumId w:val="6"/>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6"/>
  </w:num>
  <w:num w:numId="27">
    <w:abstractNumId w:val="8"/>
  </w:num>
  <w:num w:numId="28">
    <w:abstractNumId w:val="21"/>
    <w:lvlOverride w:ilvl="0">
      <w:startOverride w:val="1"/>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5"/>
  </w:num>
  <w:num w:numId="32">
    <w:abstractNumId w:val="8"/>
  </w:num>
  <w:num w:numId="33">
    <w:abstractNumId w:val="21"/>
    <w:lvlOverride w:ilvl="0">
      <w:startOverride w:val="1"/>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473E2"/>
    <w:rsid w:val="0005120B"/>
    <w:rsid w:val="0005425C"/>
    <w:rsid w:val="0005517C"/>
    <w:rsid w:val="00055EEB"/>
    <w:rsid w:val="00056C36"/>
    <w:rsid w:val="000578BF"/>
    <w:rsid w:val="000618C6"/>
    <w:rsid w:val="00063949"/>
    <w:rsid w:val="00063AD2"/>
    <w:rsid w:val="00063D17"/>
    <w:rsid w:val="00064DB9"/>
    <w:rsid w:val="000651D8"/>
    <w:rsid w:val="00065A71"/>
    <w:rsid w:val="000679DC"/>
    <w:rsid w:val="00067C50"/>
    <w:rsid w:val="0007046D"/>
    <w:rsid w:val="00072C9F"/>
    <w:rsid w:val="0007332F"/>
    <w:rsid w:val="0007408B"/>
    <w:rsid w:val="00076573"/>
    <w:rsid w:val="00076F08"/>
    <w:rsid w:val="00077275"/>
    <w:rsid w:val="00077B0F"/>
    <w:rsid w:val="00084A17"/>
    <w:rsid w:val="000855AA"/>
    <w:rsid w:val="00087ADD"/>
    <w:rsid w:val="000909D6"/>
    <w:rsid w:val="000930DC"/>
    <w:rsid w:val="0009465A"/>
    <w:rsid w:val="000949D8"/>
    <w:rsid w:val="00094BA3"/>
    <w:rsid w:val="000969AF"/>
    <w:rsid w:val="00096B35"/>
    <w:rsid w:val="000A0973"/>
    <w:rsid w:val="000A1717"/>
    <w:rsid w:val="000A2154"/>
    <w:rsid w:val="000A26A7"/>
    <w:rsid w:val="000A3006"/>
    <w:rsid w:val="000A617B"/>
    <w:rsid w:val="000B0678"/>
    <w:rsid w:val="000B0CDD"/>
    <w:rsid w:val="000B20EC"/>
    <w:rsid w:val="000B2D45"/>
    <w:rsid w:val="000B42A3"/>
    <w:rsid w:val="000B5156"/>
    <w:rsid w:val="000B655E"/>
    <w:rsid w:val="000C01D5"/>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5877"/>
    <w:rsid w:val="00145DDE"/>
    <w:rsid w:val="00145FAD"/>
    <w:rsid w:val="001476AE"/>
    <w:rsid w:val="00147BE6"/>
    <w:rsid w:val="001521B6"/>
    <w:rsid w:val="00153711"/>
    <w:rsid w:val="00153924"/>
    <w:rsid w:val="00153B75"/>
    <w:rsid w:val="0015493E"/>
    <w:rsid w:val="00155059"/>
    <w:rsid w:val="00156187"/>
    <w:rsid w:val="001567A4"/>
    <w:rsid w:val="00156E1A"/>
    <w:rsid w:val="00157005"/>
    <w:rsid w:val="001573CB"/>
    <w:rsid w:val="001577EA"/>
    <w:rsid w:val="0016055E"/>
    <w:rsid w:val="00160A41"/>
    <w:rsid w:val="00161F97"/>
    <w:rsid w:val="00162A2E"/>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4DA"/>
    <w:rsid w:val="001B1793"/>
    <w:rsid w:val="001B18B3"/>
    <w:rsid w:val="001B1937"/>
    <w:rsid w:val="001B3CEB"/>
    <w:rsid w:val="001B4466"/>
    <w:rsid w:val="001B4711"/>
    <w:rsid w:val="001B6447"/>
    <w:rsid w:val="001B691A"/>
    <w:rsid w:val="001B7B5F"/>
    <w:rsid w:val="001C0787"/>
    <w:rsid w:val="001C0B24"/>
    <w:rsid w:val="001C25CB"/>
    <w:rsid w:val="001C3F23"/>
    <w:rsid w:val="001C5CE9"/>
    <w:rsid w:val="001C5D23"/>
    <w:rsid w:val="001D0D19"/>
    <w:rsid w:val="001D1B54"/>
    <w:rsid w:val="001D1E22"/>
    <w:rsid w:val="001D587A"/>
    <w:rsid w:val="001D64A8"/>
    <w:rsid w:val="001D7075"/>
    <w:rsid w:val="001D72A3"/>
    <w:rsid w:val="001D73B5"/>
    <w:rsid w:val="001E085F"/>
    <w:rsid w:val="001E0A9D"/>
    <w:rsid w:val="001E0E8B"/>
    <w:rsid w:val="001E0F7C"/>
    <w:rsid w:val="001E1E8C"/>
    <w:rsid w:val="001E5082"/>
    <w:rsid w:val="001E5390"/>
    <w:rsid w:val="001E5825"/>
    <w:rsid w:val="001E58D0"/>
    <w:rsid w:val="001E6665"/>
    <w:rsid w:val="001F1800"/>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27C34"/>
    <w:rsid w:val="00231718"/>
    <w:rsid w:val="00233D0F"/>
    <w:rsid w:val="00234146"/>
    <w:rsid w:val="00234519"/>
    <w:rsid w:val="00234D46"/>
    <w:rsid w:val="00235020"/>
    <w:rsid w:val="0023582D"/>
    <w:rsid w:val="00235D32"/>
    <w:rsid w:val="0024072A"/>
    <w:rsid w:val="00240CE0"/>
    <w:rsid w:val="00243600"/>
    <w:rsid w:val="00243993"/>
    <w:rsid w:val="0024452D"/>
    <w:rsid w:val="002448B1"/>
    <w:rsid w:val="002452A5"/>
    <w:rsid w:val="0024539E"/>
    <w:rsid w:val="00246B82"/>
    <w:rsid w:val="002520F1"/>
    <w:rsid w:val="002521B1"/>
    <w:rsid w:val="00252A21"/>
    <w:rsid w:val="00252E39"/>
    <w:rsid w:val="00256947"/>
    <w:rsid w:val="002602D0"/>
    <w:rsid w:val="00261501"/>
    <w:rsid w:val="0026203B"/>
    <w:rsid w:val="00262BB9"/>
    <w:rsid w:val="00262D7B"/>
    <w:rsid w:val="00263B29"/>
    <w:rsid w:val="00264437"/>
    <w:rsid w:val="00265D55"/>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4610"/>
    <w:rsid w:val="0028549E"/>
    <w:rsid w:val="00285576"/>
    <w:rsid w:val="00285C0F"/>
    <w:rsid w:val="00286442"/>
    <w:rsid w:val="002875F1"/>
    <w:rsid w:val="00291280"/>
    <w:rsid w:val="0029445A"/>
    <w:rsid w:val="00294EC8"/>
    <w:rsid w:val="002961EA"/>
    <w:rsid w:val="002964B2"/>
    <w:rsid w:val="002A052C"/>
    <w:rsid w:val="002A05D6"/>
    <w:rsid w:val="002A1186"/>
    <w:rsid w:val="002A2F6B"/>
    <w:rsid w:val="002A5870"/>
    <w:rsid w:val="002A713C"/>
    <w:rsid w:val="002A7828"/>
    <w:rsid w:val="002A7939"/>
    <w:rsid w:val="002B0B01"/>
    <w:rsid w:val="002B18A1"/>
    <w:rsid w:val="002B1F7A"/>
    <w:rsid w:val="002B2B57"/>
    <w:rsid w:val="002B3617"/>
    <w:rsid w:val="002B4099"/>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D31"/>
    <w:rsid w:val="002E3F52"/>
    <w:rsid w:val="002E4AA6"/>
    <w:rsid w:val="002E55A3"/>
    <w:rsid w:val="002E6199"/>
    <w:rsid w:val="002E63E5"/>
    <w:rsid w:val="002E6821"/>
    <w:rsid w:val="002E79CD"/>
    <w:rsid w:val="002F03FA"/>
    <w:rsid w:val="002F2AA4"/>
    <w:rsid w:val="002F3A1F"/>
    <w:rsid w:val="002F4214"/>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06A8"/>
    <w:rsid w:val="00321FAB"/>
    <w:rsid w:val="003238E8"/>
    <w:rsid w:val="00324947"/>
    <w:rsid w:val="00324FE2"/>
    <w:rsid w:val="003257D8"/>
    <w:rsid w:val="0033374B"/>
    <w:rsid w:val="003339FB"/>
    <w:rsid w:val="00333FC9"/>
    <w:rsid w:val="00334565"/>
    <w:rsid w:val="003345A2"/>
    <w:rsid w:val="003349A8"/>
    <w:rsid w:val="00334B0E"/>
    <w:rsid w:val="00335C93"/>
    <w:rsid w:val="00336A51"/>
    <w:rsid w:val="00336A90"/>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5517"/>
    <w:rsid w:val="003A657E"/>
    <w:rsid w:val="003B1A26"/>
    <w:rsid w:val="003B4823"/>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5501"/>
    <w:rsid w:val="003F61B8"/>
    <w:rsid w:val="003F68C7"/>
    <w:rsid w:val="003F7D1D"/>
    <w:rsid w:val="00400075"/>
    <w:rsid w:val="00400D3F"/>
    <w:rsid w:val="00401C92"/>
    <w:rsid w:val="004025D2"/>
    <w:rsid w:val="0040447D"/>
    <w:rsid w:val="004048BC"/>
    <w:rsid w:val="0040536E"/>
    <w:rsid w:val="00405ED3"/>
    <w:rsid w:val="00406C04"/>
    <w:rsid w:val="00407D97"/>
    <w:rsid w:val="00413C76"/>
    <w:rsid w:val="0041693F"/>
    <w:rsid w:val="00417167"/>
    <w:rsid w:val="00420D26"/>
    <w:rsid w:val="0042127E"/>
    <w:rsid w:val="00421CD3"/>
    <w:rsid w:val="004224DA"/>
    <w:rsid w:val="0042313B"/>
    <w:rsid w:val="00425930"/>
    <w:rsid w:val="0043025A"/>
    <w:rsid w:val="00430CE4"/>
    <w:rsid w:val="0043361F"/>
    <w:rsid w:val="00435ED2"/>
    <w:rsid w:val="00437A16"/>
    <w:rsid w:val="00441D90"/>
    <w:rsid w:val="00442886"/>
    <w:rsid w:val="0044349A"/>
    <w:rsid w:val="00443E3F"/>
    <w:rsid w:val="00444FBF"/>
    <w:rsid w:val="00450134"/>
    <w:rsid w:val="00452A1C"/>
    <w:rsid w:val="00452B60"/>
    <w:rsid w:val="00452BD6"/>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7732A"/>
    <w:rsid w:val="004802C4"/>
    <w:rsid w:val="00480D52"/>
    <w:rsid w:val="00481B11"/>
    <w:rsid w:val="004820E0"/>
    <w:rsid w:val="0048290F"/>
    <w:rsid w:val="00482DB2"/>
    <w:rsid w:val="00482E07"/>
    <w:rsid w:val="00483B1E"/>
    <w:rsid w:val="0048465C"/>
    <w:rsid w:val="00484D02"/>
    <w:rsid w:val="00485362"/>
    <w:rsid w:val="0048537B"/>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2F6F"/>
    <w:rsid w:val="004C3410"/>
    <w:rsid w:val="004C34D1"/>
    <w:rsid w:val="004C46E0"/>
    <w:rsid w:val="004C60B0"/>
    <w:rsid w:val="004C6B1B"/>
    <w:rsid w:val="004C6DAB"/>
    <w:rsid w:val="004C78D2"/>
    <w:rsid w:val="004D0233"/>
    <w:rsid w:val="004D0F2F"/>
    <w:rsid w:val="004D2023"/>
    <w:rsid w:val="004D2504"/>
    <w:rsid w:val="004D2562"/>
    <w:rsid w:val="004D29C1"/>
    <w:rsid w:val="004D2E64"/>
    <w:rsid w:val="004D39E8"/>
    <w:rsid w:val="004D3C09"/>
    <w:rsid w:val="004D52D0"/>
    <w:rsid w:val="004D54B3"/>
    <w:rsid w:val="004D55E7"/>
    <w:rsid w:val="004D6197"/>
    <w:rsid w:val="004D6E85"/>
    <w:rsid w:val="004D7CF3"/>
    <w:rsid w:val="004E16B7"/>
    <w:rsid w:val="004E1E9F"/>
    <w:rsid w:val="004E270F"/>
    <w:rsid w:val="004F046E"/>
    <w:rsid w:val="004F3EBD"/>
    <w:rsid w:val="004F49EB"/>
    <w:rsid w:val="004F52D4"/>
    <w:rsid w:val="004F70C0"/>
    <w:rsid w:val="004F7E15"/>
    <w:rsid w:val="00500D0C"/>
    <w:rsid w:val="0050228D"/>
    <w:rsid w:val="005042F4"/>
    <w:rsid w:val="0050456B"/>
    <w:rsid w:val="00506C4E"/>
    <w:rsid w:val="00506EFA"/>
    <w:rsid w:val="00510C4E"/>
    <w:rsid w:val="00511D1C"/>
    <w:rsid w:val="00512EB5"/>
    <w:rsid w:val="00512F2F"/>
    <w:rsid w:val="00512FAA"/>
    <w:rsid w:val="0051340A"/>
    <w:rsid w:val="00513F5D"/>
    <w:rsid w:val="005147E7"/>
    <w:rsid w:val="00516AB4"/>
    <w:rsid w:val="0051715E"/>
    <w:rsid w:val="00517B94"/>
    <w:rsid w:val="00517BCE"/>
    <w:rsid w:val="0052157E"/>
    <w:rsid w:val="005224E6"/>
    <w:rsid w:val="0052594A"/>
    <w:rsid w:val="00525C43"/>
    <w:rsid w:val="005267E0"/>
    <w:rsid w:val="00530AF9"/>
    <w:rsid w:val="0053239B"/>
    <w:rsid w:val="00532488"/>
    <w:rsid w:val="00534A1A"/>
    <w:rsid w:val="00534CF5"/>
    <w:rsid w:val="005365BB"/>
    <w:rsid w:val="00536FA0"/>
    <w:rsid w:val="00544B03"/>
    <w:rsid w:val="00545445"/>
    <w:rsid w:val="005469D6"/>
    <w:rsid w:val="0054701B"/>
    <w:rsid w:val="005471D3"/>
    <w:rsid w:val="00547753"/>
    <w:rsid w:val="00547CB5"/>
    <w:rsid w:val="00551C6A"/>
    <w:rsid w:val="00552848"/>
    <w:rsid w:val="00553D55"/>
    <w:rsid w:val="00553EF2"/>
    <w:rsid w:val="00555926"/>
    <w:rsid w:val="00557050"/>
    <w:rsid w:val="00557D4A"/>
    <w:rsid w:val="005619D5"/>
    <w:rsid w:val="00561E2C"/>
    <w:rsid w:val="00562A29"/>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87A56"/>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3AF6"/>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06E"/>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353E"/>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20E"/>
    <w:rsid w:val="00691911"/>
    <w:rsid w:val="0069358B"/>
    <w:rsid w:val="00695D49"/>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3DE"/>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27960"/>
    <w:rsid w:val="007303AA"/>
    <w:rsid w:val="00730ED7"/>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1D87"/>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54ED"/>
    <w:rsid w:val="00765B2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29F6"/>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6968"/>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432"/>
    <w:rsid w:val="00820AB3"/>
    <w:rsid w:val="00823150"/>
    <w:rsid w:val="008235D7"/>
    <w:rsid w:val="00825DE2"/>
    <w:rsid w:val="00825E11"/>
    <w:rsid w:val="00826749"/>
    <w:rsid w:val="008269FB"/>
    <w:rsid w:val="00827D11"/>
    <w:rsid w:val="008306E5"/>
    <w:rsid w:val="00831081"/>
    <w:rsid w:val="008322DC"/>
    <w:rsid w:val="00832439"/>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6FB7"/>
    <w:rsid w:val="00867A5B"/>
    <w:rsid w:val="008724D8"/>
    <w:rsid w:val="00873108"/>
    <w:rsid w:val="00875233"/>
    <w:rsid w:val="00875293"/>
    <w:rsid w:val="00875CA2"/>
    <w:rsid w:val="008761A9"/>
    <w:rsid w:val="008762CA"/>
    <w:rsid w:val="0087662A"/>
    <w:rsid w:val="0087703C"/>
    <w:rsid w:val="008773E0"/>
    <w:rsid w:val="00877BC0"/>
    <w:rsid w:val="00882186"/>
    <w:rsid w:val="008827D2"/>
    <w:rsid w:val="00883CF6"/>
    <w:rsid w:val="00886EC2"/>
    <w:rsid w:val="008879E0"/>
    <w:rsid w:val="00890E51"/>
    <w:rsid w:val="00892FF0"/>
    <w:rsid w:val="008933D4"/>
    <w:rsid w:val="00893DC0"/>
    <w:rsid w:val="008946D2"/>
    <w:rsid w:val="00894B58"/>
    <w:rsid w:val="00894E7B"/>
    <w:rsid w:val="00894F56"/>
    <w:rsid w:val="00894FF2"/>
    <w:rsid w:val="00896C26"/>
    <w:rsid w:val="00897EBC"/>
    <w:rsid w:val="008A17AC"/>
    <w:rsid w:val="008A33F3"/>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3D0B"/>
    <w:rsid w:val="008F6347"/>
    <w:rsid w:val="008F6BEF"/>
    <w:rsid w:val="0090042C"/>
    <w:rsid w:val="00900D04"/>
    <w:rsid w:val="0090126A"/>
    <w:rsid w:val="009016A7"/>
    <w:rsid w:val="009019A9"/>
    <w:rsid w:val="009019B9"/>
    <w:rsid w:val="00902270"/>
    <w:rsid w:val="009026A4"/>
    <w:rsid w:val="00902E2B"/>
    <w:rsid w:val="00902EB7"/>
    <w:rsid w:val="009040B9"/>
    <w:rsid w:val="00904F77"/>
    <w:rsid w:val="009052D5"/>
    <w:rsid w:val="009056B0"/>
    <w:rsid w:val="00905C68"/>
    <w:rsid w:val="0090725F"/>
    <w:rsid w:val="00911A59"/>
    <w:rsid w:val="009120A8"/>
    <w:rsid w:val="0091311A"/>
    <w:rsid w:val="00913440"/>
    <w:rsid w:val="00914D10"/>
    <w:rsid w:val="009239E8"/>
    <w:rsid w:val="009240B7"/>
    <w:rsid w:val="0092596F"/>
    <w:rsid w:val="0093000D"/>
    <w:rsid w:val="00932FCA"/>
    <w:rsid w:val="009330FB"/>
    <w:rsid w:val="0093478D"/>
    <w:rsid w:val="00934F87"/>
    <w:rsid w:val="009350D9"/>
    <w:rsid w:val="00937D0C"/>
    <w:rsid w:val="009401D1"/>
    <w:rsid w:val="00940E12"/>
    <w:rsid w:val="00941BA7"/>
    <w:rsid w:val="009436B2"/>
    <w:rsid w:val="00943AFD"/>
    <w:rsid w:val="009451E6"/>
    <w:rsid w:val="00947E65"/>
    <w:rsid w:val="009502D8"/>
    <w:rsid w:val="0095064C"/>
    <w:rsid w:val="0095254D"/>
    <w:rsid w:val="00953156"/>
    <w:rsid w:val="00953967"/>
    <w:rsid w:val="00953C89"/>
    <w:rsid w:val="0095766D"/>
    <w:rsid w:val="00960402"/>
    <w:rsid w:val="00961387"/>
    <w:rsid w:val="0096388F"/>
    <w:rsid w:val="00963F3E"/>
    <w:rsid w:val="00963FCA"/>
    <w:rsid w:val="0096424D"/>
    <w:rsid w:val="00964703"/>
    <w:rsid w:val="00965AD1"/>
    <w:rsid w:val="00966F96"/>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5717"/>
    <w:rsid w:val="009A601D"/>
    <w:rsid w:val="009A698B"/>
    <w:rsid w:val="009B1680"/>
    <w:rsid w:val="009B23C1"/>
    <w:rsid w:val="009B26D8"/>
    <w:rsid w:val="009B2C5A"/>
    <w:rsid w:val="009B34B0"/>
    <w:rsid w:val="009B6876"/>
    <w:rsid w:val="009C386E"/>
    <w:rsid w:val="009C4296"/>
    <w:rsid w:val="009C66D8"/>
    <w:rsid w:val="009C6739"/>
    <w:rsid w:val="009C67DF"/>
    <w:rsid w:val="009C6E21"/>
    <w:rsid w:val="009C6F81"/>
    <w:rsid w:val="009C719A"/>
    <w:rsid w:val="009D10A2"/>
    <w:rsid w:val="009D1ABB"/>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4E2A"/>
    <w:rsid w:val="009F7242"/>
    <w:rsid w:val="009F728D"/>
    <w:rsid w:val="009F72F1"/>
    <w:rsid w:val="009F739B"/>
    <w:rsid w:val="00A002B8"/>
    <w:rsid w:val="00A01E61"/>
    <w:rsid w:val="00A01EB1"/>
    <w:rsid w:val="00A02BF2"/>
    <w:rsid w:val="00A03955"/>
    <w:rsid w:val="00A04CE4"/>
    <w:rsid w:val="00A04DB6"/>
    <w:rsid w:val="00A0582D"/>
    <w:rsid w:val="00A05ACB"/>
    <w:rsid w:val="00A06141"/>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4167"/>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97786"/>
    <w:rsid w:val="00AA03BB"/>
    <w:rsid w:val="00AA0DCC"/>
    <w:rsid w:val="00AA0EEC"/>
    <w:rsid w:val="00AA351A"/>
    <w:rsid w:val="00AA627D"/>
    <w:rsid w:val="00AA6DFE"/>
    <w:rsid w:val="00AA72BA"/>
    <w:rsid w:val="00AA735D"/>
    <w:rsid w:val="00AB0343"/>
    <w:rsid w:val="00AB0549"/>
    <w:rsid w:val="00AB23C4"/>
    <w:rsid w:val="00AB25C1"/>
    <w:rsid w:val="00AB3274"/>
    <w:rsid w:val="00AB3836"/>
    <w:rsid w:val="00AB3D94"/>
    <w:rsid w:val="00AB5BE2"/>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0917"/>
    <w:rsid w:val="00B024B9"/>
    <w:rsid w:val="00B040CF"/>
    <w:rsid w:val="00B04A7C"/>
    <w:rsid w:val="00B04E0A"/>
    <w:rsid w:val="00B051C8"/>
    <w:rsid w:val="00B07443"/>
    <w:rsid w:val="00B0773B"/>
    <w:rsid w:val="00B10CC7"/>
    <w:rsid w:val="00B116F8"/>
    <w:rsid w:val="00B126FD"/>
    <w:rsid w:val="00B1288D"/>
    <w:rsid w:val="00B128E9"/>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7F8"/>
    <w:rsid w:val="00B44DFA"/>
    <w:rsid w:val="00B45601"/>
    <w:rsid w:val="00B45649"/>
    <w:rsid w:val="00B46012"/>
    <w:rsid w:val="00B4673B"/>
    <w:rsid w:val="00B46CC0"/>
    <w:rsid w:val="00B5026B"/>
    <w:rsid w:val="00B50348"/>
    <w:rsid w:val="00B505C6"/>
    <w:rsid w:val="00B50808"/>
    <w:rsid w:val="00B508E4"/>
    <w:rsid w:val="00B5131F"/>
    <w:rsid w:val="00B5140F"/>
    <w:rsid w:val="00B53C53"/>
    <w:rsid w:val="00B5457E"/>
    <w:rsid w:val="00B54C8F"/>
    <w:rsid w:val="00B55A83"/>
    <w:rsid w:val="00B56078"/>
    <w:rsid w:val="00B561ED"/>
    <w:rsid w:val="00B56D6A"/>
    <w:rsid w:val="00B60529"/>
    <w:rsid w:val="00B61355"/>
    <w:rsid w:val="00B61733"/>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A5193"/>
    <w:rsid w:val="00BB024A"/>
    <w:rsid w:val="00BB0E20"/>
    <w:rsid w:val="00BB0EF6"/>
    <w:rsid w:val="00BB13AC"/>
    <w:rsid w:val="00BB29F0"/>
    <w:rsid w:val="00BB45BD"/>
    <w:rsid w:val="00BB4967"/>
    <w:rsid w:val="00BB5286"/>
    <w:rsid w:val="00BB5E89"/>
    <w:rsid w:val="00BB6593"/>
    <w:rsid w:val="00BB6FC1"/>
    <w:rsid w:val="00BB79F9"/>
    <w:rsid w:val="00BC0CAA"/>
    <w:rsid w:val="00BC0E9C"/>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0FEE"/>
    <w:rsid w:val="00C014EB"/>
    <w:rsid w:val="00C01A92"/>
    <w:rsid w:val="00C03C86"/>
    <w:rsid w:val="00C04170"/>
    <w:rsid w:val="00C05376"/>
    <w:rsid w:val="00C05B26"/>
    <w:rsid w:val="00C06C01"/>
    <w:rsid w:val="00C130E4"/>
    <w:rsid w:val="00C15132"/>
    <w:rsid w:val="00C16D33"/>
    <w:rsid w:val="00C1765C"/>
    <w:rsid w:val="00C20CD3"/>
    <w:rsid w:val="00C2250E"/>
    <w:rsid w:val="00C232BE"/>
    <w:rsid w:val="00C2363F"/>
    <w:rsid w:val="00C23703"/>
    <w:rsid w:val="00C23967"/>
    <w:rsid w:val="00C23EE3"/>
    <w:rsid w:val="00C26FA2"/>
    <w:rsid w:val="00C32BC2"/>
    <w:rsid w:val="00C340B2"/>
    <w:rsid w:val="00C343D8"/>
    <w:rsid w:val="00C345C6"/>
    <w:rsid w:val="00C34617"/>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6D"/>
    <w:rsid w:val="00C60B96"/>
    <w:rsid w:val="00C60DB8"/>
    <w:rsid w:val="00C62D76"/>
    <w:rsid w:val="00C63C85"/>
    <w:rsid w:val="00C63DB1"/>
    <w:rsid w:val="00C641C6"/>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47EB"/>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133"/>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4EC1"/>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44B4"/>
    <w:rsid w:val="00CE5087"/>
    <w:rsid w:val="00CE5172"/>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3CB"/>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18DE"/>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01AB"/>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855"/>
    <w:rsid w:val="00D93F27"/>
    <w:rsid w:val="00DA14A2"/>
    <w:rsid w:val="00DA2031"/>
    <w:rsid w:val="00DA2798"/>
    <w:rsid w:val="00DA3259"/>
    <w:rsid w:val="00DA3319"/>
    <w:rsid w:val="00DA37A6"/>
    <w:rsid w:val="00DA3DED"/>
    <w:rsid w:val="00DA481B"/>
    <w:rsid w:val="00DA4CF3"/>
    <w:rsid w:val="00DA5482"/>
    <w:rsid w:val="00DA5676"/>
    <w:rsid w:val="00DA5FA7"/>
    <w:rsid w:val="00DB003A"/>
    <w:rsid w:val="00DB33ED"/>
    <w:rsid w:val="00DB3A83"/>
    <w:rsid w:val="00DB45E5"/>
    <w:rsid w:val="00DB478B"/>
    <w:rsid w:val="00DB53E3"/>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D47AB"/>
    <w:rsid w:val="00DD4F29"/>
    <w:rsid w:val="00DE097F"/>
    <w:rsid w:val="00DE0AD0"/>
    <w:rsid w:val="00DE19F0"/>
    <w:rsid w:val="00DE1D40"/>
    <w:rsid w:val="00DE4138"/>
    <w:rsid w:val="00DE57F0"/>
    <w:rsid w:val="00DE5B20"/>
    <w:rsid w:val="00DE5E18"/>
    <w:rsid w:val="00DE6883"/>
    <w:rsid w:val="00DE689A"/>
    <w:rsid w:val="00DF11B2"/>
    <w:rsid w:val="00DF143B"/>
    <w:rsid w:val="00DF25F7"/>
    <w:rsid w:val="00DF4909"/>
    <w:rsid w:val="00DF491F"/>
    <w:rsid w:val="00DF6118"/>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5B7"/>
    <w:rsid w:val="00E218A7"/>
    <w:rsid w:val="00E234CE"/>
    <w:rsid w:val="00E239AA"/>
    <w:rsid w:val="00E24F63"/>
    <w:rsid w:val="00E26E24"/>
    <w:rsid w:val="00E2715F"/>
    <w:rsid w:val="00E277F9"/>
    <w:rsid w:val="00E27D32"/>
    <w:rsid w:val="00E30F98"/>
    <w:rsid w:val="00E31599"/>
    <w:rsid w:val="00E31D85"/>
    <w:rsid w:val="00E33484"/>
    <w:rsid w:val="00E3473F"/>
    <w:rsid w:val="00E34898"/>
    <w:rsid w:val="00E3647D"/>
    <w:rsid w:val="00E368EB"/>
    <w:rsid w:val="00E372E2"/>
    <w:rsid w:val="00E404A7"/>
    <w:rsid w:val="00E413D6"/>
    <w:rsid w:val="00E41699"/>
    <w:rsid w:val="00E443C4"/>
    <w:rsid w:val="00E4489A"/>
    <w:rsid w:val="00E465FE"/>
    <w:rsid w:val="00E47799"/>
    <w:rsid w:val="00E47BAB"/>
    <w:rsid w:val="00E47E8E"/>
    <w:rsid w:val="00E51C68"/>
    <w:rsid w:val="00E5336A"/>
    <w:rsid w:val="00E53866"/>
    <w:rsid w:val="00E53C59"/>
    <w:rsid w:val="00E5797C"/>
    <w:rsid w:val="00E60184"/>
    <w:rsid w:val="00E61C55"/>
    <w:rsid w:val="00E62169"/>
    <w:rsid w:val="00E62B4E"/>
    <w:rsid w:val="00E6333C"/>
    <w:rsid w:val="00E63E7D"/>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537"/>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32E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69C6"/>
    <w:rsid w:val="00F1736E"/>
    <w:rsid w:val="00F2113F"/>
    <w:rsid w:val="00F217FA"/>
    <w:rsid w:val="00F24090"/>
    <w:rsid w:val="00F30AA0"/>
    <w:rsid w:val="00F31461"/>
    <w:rsid w:val="00F33D31"/>
    <w:rsid w:val="00F33D5E"/>
    <w:rsid w:val="00F35E39"/>
    <w:rsid w:val="00F36C35"/>
    <w:rsid w:val="00F3745E"/>
    <w:rsid w:val="00F375A4"/>
    <w:rsid w:val="00F40DB8"/>
    <w:rsid w:val="00F415ED"/>
    <w:rsid w:val="00F41903"/>
    <w:rsid w:val="00F4293F"/>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2BA"/>
    <w:rsid w:val="00F97D58"/>
    <w:rsid w:val="00FA064F"/>
    <w:rsid w:val="00FA12B7"/>
    <w:rsid w:val="00FA19C4"/>
    <w:rsid w:val="00FA2567"/>
    <w:rsid w:val="00FA2B5B"/>
    <w:rsid w:val="00FA3392"/>
    <w:rsid w:val="00FA3725"/>
    <w:rsid w:val="00FA456A"/>
    <w:rsid w:val="00FA4712"/>
    <w:rsid w:val="00FA7E39"/>
    <w:rsid w:val="00FB0FAC"/>
    <w:rsid w:val="00FB287B"/>
    <w:rsid w:val="00FB3499"/>
    <w:rsid w:val="00FB3744"/>
    <w:rsid w:val="00FB615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E59BC"/>
    <w:rsid w:val="00FF21C6"/>
    <w:rsid w:val="00FF2B50"/>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semiHidden/>
    <w:unhideWhenUsed/>
    <w:rsid w:val="002E3D31"/>
    <w:pPr>
      <w:numPr>
        <w:numId w:val="27"/>
      </w:numPr>
      <w:spacing w:before="40" w:after="80" w:line="280" w:lineRule="atLeast"/>
    </w:pPr>
    <w:rPr>
      <w:rFonts w:ascii="Arial" w:hAnsi="Arial"/>
      <w:iCs/>
      <w:sz w:val="20"/>
      <w:szCs w:val="20"/>
    </w:rPr>
  </w:style>
  <w:style w:type="table" w:customStyle="1" w:styleId="TableGrid2">
    <w:name w:val="Table Grid2"/>
    <w:basedOn w:val="TableNormal"/>
    <w:next w:val="TableGrid"/>
    <w:uiPriority w:val="99"/>
    <w:rsid w:val="002E3D3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E27D3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87982">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335115175">
      <w:bodyDiv w:val="1"/>
      <w:marLeft w:val="0"/>
      <w:marRight w:val="0"/>
      <w:marTop w:val="0"/>
      <w:marBottom w:val="0"/>
      <w:divBdr>
        <w:top w:val="none" w:sz="0" w:space="0" w:color="auto"/>
        <w:left w:val="none" w:sz="0" w:space="0" w:color="auto"/>
        <w:bottom w:val="none" w:sz="0" w:space="0" w:color="auto"/>
        <w:right w:val="none" w:sz="0" w:space="0" w:color="auto"/>
      </w:divBdr>
    </w:div>
    <w:div w:id="442262868">
      <w:bodyDiv w:val="1"/>
      <w:marLeft w:val="0"/>
      <w:marRight w:val="0"/>
      <w:marTop w:val="0"/>
      <w:marBottom w:val="0"/>
      <w:divBdr>
        <w:top w:val="none" w:sz="0" w:space="0" w:color="auto"/>
        <w:left w:val="none" w:sz="0" w:space="0" w:color="auto"/>
        <w:bottom w:val="none" w:sz="0" w:space="0" w:color="auto"/>
        <w:right w:val="none" w:sz="0" w:space="0" w:color="auto"/>
      </w:divBdr>
    </w:div>
    <w:div w:id="591398940">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69003862">
      <w:bodyDiv w:val="1"/>
      <w:marLeft w:val="0"/>
      <w:marRight w:val="0"/>
      <w:marTop w:val="0"/>
      <w:marBottom w:val="0"/>
      <w:divBdr>
        <w:top w:val="none" w:sz="0" w:space="0" w:color="auto"/>
        <w:left w:val="none" w:sz="0" w:space="0" w:color="auto"/>
        <w:bottom w:val="none" w:sz="0" w:space="0" w:color="auto"/>
        <w:right w:val="none" w:sz="0" w:space="0" w:color="auto"/>
      </w:divBdr>
    </w:div>
    <w:div w:id="1341351454">
      <w:bodyDiv w:val="1"/>
      <w:marLeft w:val="0"/>
      <w:marRight w:val="0"/>
      <w:marTop w:val="0"/>
      <w:marBottom w:val="0"/>
      <w:divBdr>
        <w:top w:val="none" w:sz="0" w:space="0" w:color="auto"/>
        <w:left w:val="none" w:sz="0" w:space="0" w:color="auto"/>
        <w:bottom w:val="none" w:sz="0" w:space="0" w:color="auto"/>
        <w:right w:val="none" w:sz="0" w:space="0" w:color="auto"/>
      </w:divBdr>
    </w:div>
    <w:div w:id="1516385657">
      <w:bodyDiv w:val="1"/>
      <w:marLeft w:val="0"/>
      <w:marRight w:val="0"/>
      <w:marTop w:val="0"/>
      <w:marBottom w:val="0"/>
      <w:divBdr>
        <w:top w:val="none" w:sz="0" w:space="0" w:color="auto"/>
        <w:left w:val="none" w:sz="0" w:space="0" w:color="auto"/>
        <w:bottom w:val="none" w:sz="0" w:space="0" w:color="auto"/>
        <w:right w:val="none" w:sz="0" w:space="0" w:color="auto"/>
      </w:divBdr>
    </w:div>
    <w:div w:id="1529953093">
      <w:bodyDiv w:val="1"/>
      <w:marLeft w:val="0"/>
      <w:marRight w:val="0"/>
      <w:marTop w:val="0"/>
      <w:marBottom w:val="0"/>
      <w:divBdr>
        <w:top w:val="none" w:sz="0" w:space="0" w:color="auto"/>
        <w:left w:val="none" w:sz="0" w:space="0" w:color="auto"/>
        <w:bottom w:val="none" w:sz="0" w:space="0" w:color="auto"/>
        <w:right w:val="none" w:sz="0" w:space="0" w:color="auto"/>
      </w:divBdr>
    </w:div>
    <w:div w:id="1611358559">
      <w:bodyDiv w:val="1"/>
      <w:marLeft w:val="0"/>
      <w:marRight w:val="0"/>
      <w:marTop w:val="0"/>
      <w:marBottom w:val="0"/>
      <w:divBdr>
        <w:top w:val="none" w:sz="0" w:space="0" w:color="auto"/>
        <w:left w:val="none" w:sz="0" w:space="0" w:color="auto"/>
        <w:bottom w:val="none" w:sz="0" w:space="0" w:color="auto"/>
        <w:right w:val="none" w:sz="0" w:space="0" w:color="auto"/>
      </w:divBdr>
    </w:div>
    <w:div w:id="1873377702">
      <w:bodyDiv w:val="1"/>
      <w:marLeft w:val="0"/>
      <w:marRight w:val="0"/>
      <w:marTop w:val="0"/>
      <w:marBottom w:val="0"/>
      <w:divBdr>
        <w:top w:val="none" w:sz="0" w:space="0" w:color="auto"/>
        <w:left w:val="none" w:sz="0" w:space="0" w:color="auto"/>
        <w:bottom w:val="none" w:sz="0" w:space="0" w:color="auto"/>
        <w:right w:val="none" w:sz="0" w:space="0" w:color="auto"/>
      </w:divBdr>
      <w:divsChild>
        <w:div w:id="1370644633">
          <w:marLeft w:val="0"/>
          <w:marRight w:val="0"/>
          <w:marTop w:val="0"/>
          <w:marBottom w:val="0"/>
          <w:divBdr>
            <w:top w:val="none" w:sz="0" w:space="0" w:color="auto"/>
            <w:left w:val="none" w:sz="0" w:space="0" w:color="auto"/>
            <w:bottom w:val="none" w:sz="0" w:space="0" w:color="auto"/>
            <w:right w:val="none" w:sz="0" w:space="0" w:color="auto"/>
          </w:divBdr>
          <w:divsChild>
            <w:div w:id="1617827787">
              <w:marLeft w:val="0"/>
              <w:marRight w:val="0"/>
              <w:marTop w:val="0"/>
              <w:marBottom w:val="0"/>
              <w:divBdr>
                <w:top w:val="none" w:sz="0" w:space="0" w:color="auto"/>
                <w:left w:val="none" w:sz="0" w:space="0" w:color="auto"/>
                <w:bottom w:val="none" w:sz="0" w:space="0" w:color="auto"/>
                <w:right w:val="none" w:sz="0" w:space="0" w:color="auto"/>
              </w:divBdr>
            </w:div>
            <w:div w:id="1666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1963">
      <w:bodyDiv w:val="1"/>
      <w:marLeft w:val="0"/>
      <w:marRight w:val="0"/>
      <w:marTop w:val="0"/>
      <w:marBottom w:val="0"/>
      <w:divBdr>
        <w:top w:val="none" w:sz="0" w:space="0" w:color="auto"/>
        <w:left w:val="none" w:sz="0" w:space="0" w:color="auto"/>
        <w:bottom w:val="none" w:sz="0" w:space="0" w:color="auto"/>
        <w:right w:val="none" w:sz="0" w:space="0" w:color="auto"/>
      </w:divBdr>
    </w:div>
    <w:div w:id="20312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ex.dss.gov.au/data-exchange-protocol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ss.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ss.gov.au/grants/grant-programmes/families-and-childr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s.gov.au/contact/feedback-compliments-complaints-and-enquiries"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dex.dss.gov.au/data-exchange-protoco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grants/grant-programmes/families-and-childr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17830-5226-4E96-8D71-9BCDF9E2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5107</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9</cp:revision>
  <cp:lastPrinted>2020-09-10T23:40:00Z</cp:lastPrinted>
  <dcterms:created xsi:type="dcterms:W3CDTF">2020-09-29T04:55:00Z</dcterms:created>
  <dcterms:modified xsi:type="dcterms:W3CDTF">2020-10-01T23:42:00Z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