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753D" w14:textId="77777777" w:rsidR="00A47386" w:rsidRDefault="007A2442" w:rsidP="003F15D0">
      <w:pPr>
        <w:pStyle w:val="Heading1"/>
      </w:pPr>
      <w:r>
        <w:t xml:space="preserve">2021 to 2024 </w:t>
      </w:r>
      <w:r w:rsidR="003F15D0">
        <w:t>Rural Financial Counselling Service (RFCS)</w:t>
      </w:r>
      <w:r w:rsidR="00A47386">
        <w:t xml:space="preserve"> Program—</w:t>
      </w:r>
      <w:r w:rsidR="003F15D0">
        <w:t xml:space="preserve"> Program Logic</w:t>
      </w:r>
      <w:r w:rsidR="00672705">
        <w:t xml:space="preserve"> </w:t>
      </w:r>
    </w:p>
    <w:p w14:paraId="5177069A" w14:textId="77E53DB6" w:rsidR="00AA4B07" w:rsidRDefault="006C3F4B" w:rsidP="003F15D0">
      <w:pPr>
        <w:pStyle w:val="Heading1"/>
      </w:pPr>
      <w:r w:rsidRPr="006C3F4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Context: Fiscal environment, climatic events, industry events (disease outbreaks, trade events, global market impacts), new government programs, referring bodies.</w:t>
      </w:r>
    </w:p>
    <w:p w14:paraId="5E45187C" w14:textId="77777777" w:rsidR="003F15D0" w:rsidRDefault="003F15D0" w:rsidP="003F15D0">
      <w:pPr>
        <w:pStyle w:val="Heading2"/>
      </w:pPr>
      <w:r>
        <w:t>Issue</w:t>
      </w:r>
    </w:p>
    <w:p w14:paraId="1BC94562" w14:textId="7A77E0A4" w:rsidR="003F15D0" w:rsidRDefault="003F15D0" w:rsidP="003F15D0">
      <w:r>
        <w:t xml:space="preserve">Australian primary producers operate in volatile market and environmental conditions. Many </w:t>
      </w:r>
      <w:proofErr w:type="gramStart"/>
      <w:r>
        <w:t>small</w:t>
      </w:r>
      <w:r w:rsidR="004A78ED">
        <w:noBreakHyphen/>
      </w:r>
      <w:r>
        <w:t>medium sized</w:t>
      </w:r>
      <w:proofErr w:type="gramEnd"/>
      <w:r>
        <w:t xml:space="preserve"> enterprises are more susceptible to risks, which can be compounded by lower financial capability, delayed decision-making, a lack of information and attitudinal factors. This can limit strategic business management and lead to financial difficulty.</w:t>
      </w:r>
    </w:p>
    <w:p w14:paraId="13778F81" w14:textId="77777777" w:rsidR="003F15D0" w:rsidRDefault="003F15D0" w:rsidP="003F15D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Need </w:t>
      </w:r>
    </w:p>
    <w:p w14:paraId="6CC9059A" w14:textId="77777777" w:rsidR="003F15D0" w:rsidRPr="003F15D0" w:rsidRDefault="003F15D0" w:rsidP="003F15D0">
      <w:r>
        <w:t xml:space="preserve">The new program identifies a need </w:t>
      </w:r>
      <w:proofErr w:type="gramStart"/>
      <w:r>
        <w:t>for f</w:t>
      </w:r>
      <w:r w:rsidRPr="003F15D0">
        <w:t>ree</w:t>
      </w:r>
      <w:proofErr w:type="gramEnd"/>
      <w:r w:rsidRPr="003F15D0">
        <w:t>, independent financial counselling that empowers clients to engage in strategic business and financial decision-making to improve their financial situation</w:t>
      </w:r>
      <w:r>
        <w:t>.</w:t>
      </w:r>
    </w:p>
    <w:p w14:paraId="76E8D88F" w14:textId="77777777" w:rsidR="003F15D0" w:rsidRDefault="003F15D0" w:rsidP="003F15D0">
      <w:pPr>
        <w:pStyle w:val="Heading2"/>
      </w:pPr>
      <w:r>
        <w:t>Vision</w:t>
      </w:r>
    </w:p>
    <w:p w14:paraId="5DC8CA47" w14:textId="77777777" w:rsidR="003F15D0" w:rsidRDefault="003F15D0" w:rsidP="003F15D0">
      <w:r>
        <w:t>The vision for the new RFCS program is f</w:t>
      </w:r>
      <w:r w:rsidRPr="003F15D0">
        <w:t>inancially capable agricultural, fishing and forestry sectors that are profitable, financially self-reliant and resilient.</w:t>
      </w:r>
    </w:p>
    <w:p w14:paraId="7B04E805" w14:textId="77777777" w:rsidR="003F15D0" w:rsidRDefault="003F15D0" w:rsidP="003F15D0">
      <w:pPr>
        <w:pStyle w:val="Heading2"/>
        <w:rPr>
          <w:rFonts w:eastAsiaTheme="minorHAnsi"/>
        </w:rPr>
      </w:pPr>
      <w:r>
        <w:rPr>
          <w:rFonts w:eastAsiaTheme="minorHAnsi"/>
        </w:rPr>
        <w:t>Objectives</w:t>
      </w:r>
    </w:p>
    <w:p w14:paraId="06460D0B" w14:textId="77777777" w:rsidR="003F15D0" w:rsidRDefault="003F15D0" w:rsidP="003F15D0">
      <w:r>
        <w:t>There are three objectives under the new RFCS program logic:</w:t>
      </w:r>
    </w:p>
    <w:p w14:paraId="486F10F9" w14:textId="5942A32E" w:rsidR="003F15D0" w:rsidRDefault="003F15D0" w:rsidP="00617370">
      <w:pPr>
        <w:pStyle w:val="Bullet"/>
        <w:numPr>
          <w:ilvl w:val="0"/>
          <w:numId w:val="4"/>
        </w:numPr>
      </w:pPr>
      <w:r>
        <w:t>Transition clients out of financial crisis</w:t>
      </w:r>
      <w:r w:rsidR="00D86BC9">
        <w:t>.</w:t>
      </w:r>
    </w:p>
    <w:p w14:paraId="67EB0037" w14:textId="6C7AF53F" w:rsidR="003F15D0" w:rsidRDefault="003F15D0" w:rsidP="00617370">
      <w:pPr>
        <w:pStyle w:val="Bullet"/>
        <w:numPr>
          <w:ilvl w:val="0"/>
          <w:numId w:val="4"/>
        </w:numPr>
      </w:pPr>
      <w:r>
        <w:t>Improve profitability or facilitate a dignified exit</w:t>
      </w:r>
      <w:r w:rsidR="00D86BC9">
        <w:t>.</w:t>
      </w:r>
    </w:p>
    <w:p w14:paraId="3D741D11" w14:textId="77777777" w:rsidR="003F15D0" w:rsidRDefault="003F15D0" w:rsidP="00617370">
      <w:pPr>
        <w:pStyle w:val="Bullet"/>
        <w:numPr>
          <w:ilvl w:val="0"/>
          <w:numId w:val="4"/>
        </w:numPr>
      </w:pPr>
      <w:r>
        <w:t>Improve financial wellbeing and resilience.</w:t>
      </w:r>
    </w:p>
    <w:p w14:paraId="2A8BDBE9" w14:textId="77777777" w:rsidR="003F15D0" w:rsidRDefault="003F15D0" w:rsidP="003F15D0">
      <w:pPr>
        <w:pStyle w:val="Heading2"/>
      </w:pPr>
      <w:r>
        <w:t>Assumptions</w:t>
      </w:r>
    </w:p>
    <w:p w14:paraId="52803F1A" w14:textId="77777777" w:rsidR="00CE4C81" w:rsidRDefault="00CE4C81" w:rsidP="00506EE7">
      <w:r>
        <w:t>Assumptions for the new RFCS program include:</w:t>
      </w:r>
    </w:p>
    <w:p w14:paraId="1D01B0E6" w14:textId="5A725596" w:rsidR="003F15D0" w:rsidRDefault="00D86BC9" w:rsidP="00617370">
      <w:pPr>
        <w:pStyle w:val="Bullet"/>
        <w:numPr>
          <w:ilvl w:val="0"/>
          <w:numId w:val="5"/>
        </w:numPr>
      </w:pPr>
      <w:r>
        <w:t>i</w:t>
      </w:r>
      <w:r w:rsidR="003F15D0">
        <w:t>ntervention is appropriate</w:t>
      </w:r>
    </w:p>
    <w:p w14:paraId="64EC22F9" w14:textId="6F4A4969" w:rsidR="003F15D0" w:rsidRDefault="00D86BC9" w:rsidP="00617370">
      <w:pPr>
        <w:pStyle w:val="Bullet"/>
        <w:numPr>
          <w:ilvl w:val="0"/>
          <w:numId w:val="5"/>
        </w:numPr>
      </w:pPr>
      <w:r>
        <w:t>e</w:t>
      </w:r>
      <w:r w:rsidR="003F15D0">
        <w:t>ffective, efficient and high quality service</w:t>
      </w:r>
    </w:p>
    <w:p w14:paraId="520685DE" w14:textId="0FEF2CE5" w:rsidR="003F15D0" w:rsidRDefault="00D86BC9" w:rsidP="00617370">
      <w:pPr>
        <w:pStyle w:val="Bullet"/>
        <w:numPr>
          <w:ilvl w:val="0"/>
          <w:numId w:val="5"/>
        </w:numPr>
      </w:pPr>
      <w:r>
        <w:t>r</w:t>
      </w:r>
      <w:r w:rsidR="003F15D0">
        <w:t>obust governance</w:t>
      </w:r>
    </w:p>
    <w:p w14:paraId="5F4A8690" w14:textId="659A0875" w:rsidR="00CE4C81" w:rsidRDefault="00D86BC9" w:rsidP="00617370">
      <w:pPr>
        <w:pStyle w:val="Bullet"/>
        <w:numPr>
          <w:ilvl w:val="0"/>
          <w:numId w:val="5"/>
        </w:numPr>
      </w:pPr>
      <w:r>
        <w:t>t</w:t>
      </w:r>
      <w:r w:rsidR="00CE4C81">
        <w:t>here is service demand and good client engagement (includes program awareness and clients who are willing to engage in a counselling process)</w:t>
      </w:r>
    </w:p>
    <w:p w14:paraId="49193840" w14:textId="61436457" w:rsidR="003F15D0" w:rsidRDefault="00D86BC9" w:rsidP="00617370">
      <w:pPr>
        <w:pStyle w:val="Bullet"/>
        <w:numPr>
          <w:ilvl w:val="0"/>
          <w:numId w:val="5"/>
        </w:numPr>
      </w:pPr>
      <w:r>
        <w:t>a</w:t>
      </w:r>
      <w:r w:rsidR="00CE4C81">
        <w:t xml:space="preserve">ppropriate counsellor </w:t>
      </w:r>
      <w:r w:rsidR="003F15D0">
        <w:t>training and development</w:t>
      </w:r>
    </w:p>
    <w:p w14:paraId="678FC557" w14:textId="716D56C3" w:rsidR="003F15D0" w:rsidRDefault="00D86BC9" w:rsidP="00617370">
      <w:pPr>
        <w:pStyle w:val="Bullet"/>
        <w:numPr>
          <w:ilvl w:val="0"/>
          <w:numId w:val="5"/>
        </w:numPr>
      </w:pPr>
      <w:proofErr w:type="gramStart"/>
      <w:r>
        <w:t>c</w:t>
      </w:r>
      <w:r w:rsidR="00CE4C81">
        <w:t>lient</w:t>
      </w:r>
      <w:proofErr w:type="gramEnd"/>
      <w:r w:rsidR="00CE4C81">
        <w:t xml:space="preserve"> should be serviced within 3 years, unless </w:t>
      </w:r>
      <w:r w:rsidR="003B224A">
        <w:t>on Farm Household Allowance</w:t>
      </w:r>
      <w:r w:rsidR="00E44D7A">
        <w:t>.</w:t>
      </w:r>
    </w:p>
    <w:p w14:paraId="11928F7F" w14:textId="77777777" w:rsidR="00056938" w:rsidRDefault="00056938" w:rsidP="00C56C4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Inputs</w:t>
      </w:r>
    </w:p>
    <w:p w14:paraId="3E97BC66" w14:textId="77777777" w:rsidR="00056938" w:rsidRDefault="00056938" w:rsidP="00617370">
      <w:pPr>
        <w:keepNext/>
        <w:keepLines/>
      </w:pPr>
      <w:r>
        <w:t>Inputs into the new RFCS program include:</w:t>
      </w:r>
    </w:p>
    <w:p w14:paraId="5E2376E9" w14:textId="77777777" w:rsidR="00056938" w:rsidRDefault="00056938" w:rsidP="00617370">
      <w:pPr>
        <w:pStyle w:val="Bullet"/>
        <w:keepNext/>
        <w:keepLines/>
        <w:numPr>
          <w:ilvl w:val="0"/>
          <w:numId w:val="6"/>
        </w:numPr>
      </w:pPr>
      <w:r>
        <w:t>Funding</w:t>
      </w:r>
    </w:p>
    <w:p w14:paraId="35CEF1FA" w14:textId="0BF5D152" w:rsidR="00056938" w:rsidRDefault="00056938" w:rsidP="00617370">
      <w:pPr>
        <w:pStyle w:val="Bullet"/>
        <w:keepNext/>
        <w:keepLines/>
        <w:numPr>
          <w:ilvl w:val="0"/>
          <w:numId w:val="6"/>
        </w:numPr>
      </w:pPr>
      <w:r>
        <w:t>Program governance</w:t>
      </w:r>
      <w:r w:rsidR="00803110">
        <w:t xml:space="preserve"> </w:t>
      </w:r>
      <w:r w:rsidR="00840642">
        <w:t xml:space="preserve">(including funding contracts and data </w:t>
      </w:r>
      <w:r>
        <w:t>collection systems)</w:t>
      </w:r>
    </w:p>
    <w:p w14:paraId="5F25D3C4" w14:textId="77777777" w:rsidR="00056938" w:rsidRDefault="00056938" w:rsidP="00617370">
      <w:pPr>
        <w:pStyle w:val="Bullet"/>
        <w:keepNext/>
        <w:keepLines/>
        <w:numPr>
          <w:ilvl w:val="0"/>
          <w:numId w:val="6"/>
        </w:numPr>
      </w:pPr>
      <w:r>
        <w:t>Human resources</w:t>
      </w:r>
    </w:p>
    <w:p w14:paraId="4939FF23" w14:textId="7BC27987" w:rsidR="00056938" w:rsidRPr="00056938" w:rsidRDefault="00056938" w:rsidP="00617370">
      <w:pPr>
        <w:pStyle w:val="Bullet"/>
        <w:keepNext/>
        <w:keepLines/>
        <w:numPr>
          <w:ilvl w:val="0"/>
          <w:numId w:val="6"/>
        </w:numPr>
      </w:pPr>
      <w:r>
        <w:t>Clients</w:t>
      </w:r>
      <w:r w:rsidR="00E44D7A">
        <w:t>.</w:t>
      </w:r>
    </w:p>
    <w:p w14:paraId="50FDC1FF" w14:textId="77777777" w:rsidR="003F15D0" w:rsidRDefault="00CE4C81" w:rsidP="00CE4C81">
      <w:pPr>
        <w:pStyle w:val="Heading2"/>
        <w:rPr>
          <w:rFonts w:eastAsia="Times New Roman"/>
        </w:rPr>
      </w:pPr>
      <w:r>
        <w:rPr>
          <w:rFonts w:eastAsia="Times New Roman"/>
        </w:rPr>
        <w:t>Clients</w:t>
      </w:r>
    </w:p>
    <w:p w14:paraId="32083D23" w14:textId="77777777" w:rsidR="00CE4C81" w:rsidRPr="00CE4C81" w:rsidRDefault="00CE4C81" w:rsidP="003A2E7C">
      <w:r w:rsidRPr="00CE4C81">
        <w:t>RFCS clients are farmers, fishers, foresters and related small businesses</w:t>
      </w:r>
      <w:r w:rsidR="003B224A">
        <w:t xml:space="preserve"> experiencing, or at risk of, financial hardship</w:t>
      </w:r>
      <w:r w:rsidRPr="00CE4C81">
        <w:t xml:space="preserve">. </w:t>
      </w:r>
    </w:p>
    <w:p w14:paraId="011E37F8" w14:textId="77777777" w:rsidR="003A2E7C" w:rsidRDefault="00CE4C81" w:rsidP="003A2E7C">
      <w:r w:rsidRPr="00CE4C81">
        <w:t xml:space="preserve">Examples of </w:t>
      </w:r>
      <w:proofErr w:type="gramStart"/>
      <w:r w:rsidRPr="00CE4C81">
        <w:t>small related</w:t>
      </w:r>
      <w:proofErr w:type="gramEnd"/>
      <w:r w:rsidRPr="00CE4C81">
        <w:t xml:space="preserve"> businesses are, shearers, fencing contractors, harvesters and others directly involved in the production of primary industry products.</w:t>
      </w:r>
    </w:p>
    <w:p w14:paraId="7F55C6CF" w14:textId="77777777" w:rsidR="00CE4C81" w:rsidRPr="00CE4C81" w:rsidRDefault="00CE4C81" w:rsidP="003A2E7C">
      <w:r w:rsidRPr="00CE4C81">
        <w:t>All clients need to be able to tell their story and should be encouraged to engage with case management.</w:t>
      </w:r>
    </w:p>
    <w:p w14:paraId="18B8E95D" w14:textId="77777777" w:rsidR="00CE4C81" w:rsidRPr="003A2E7C" w:rsidRDefault="003A2E7C" w:rsidP="003A2E7C">
      <w:pPr>
        <w:pStyle w:val="Heading2"/>
        <w:ind w:left="0" w:firstLine="0"/>
        <w:rPr>
          <w:rFonts w:eastAsia="Times New Roman"/>
        </w:rPr>
      </w:pPr>
      <w:r w:rsidRPr="003A2E7C">
        <w:rPr>
          <w:rFonts w:eastAsia="Times New Roman"/>
        </w:rPr>
        <w:t>Client engagement</w:t>
      </w:r>
    </w:p>
    <w:p w14:paraId="08DD6509" w14:textId="77777777" w:rsidR="003B224A" w:rsidRPr="003B224A" w:rsidRDefault="003B224A" w:rsidP="003B224A">
      <w:r w:rsidRPr="003B224A">
        <w:t xml:space="preserve">Client engagement under the new RFCS program </w:t>
      </w:r>
      <w:r>
        <w:t>should</w:t>
      </w:r>
      <w:r w:rsidRPr="003B224A">
        <w:t>:</w:t>
      </w:r>
    </w:p>
    <w:p w14:paraId="3079D25A" w14:textId="4D964AD0" w:rsidR="003A2E7C" w:rsidRPr="003B224A" w:rsidRDefault="003A2E7C" w:rsidP="00617370">
      <w:pPr>
        <w:pStyle w:val="Bullet"/>
        <w:numPr>
          <w:ilvl w:val="0"/>
          <w:numId w:val="7"/>
        </w:numPr>
      </w:pPr>
      <w:r w:rsidRPr="003B224A">
        <w:t>Promo</w:t>
      </w:r>
      <w:r w:rsidR="003B224A" w:rsidRPr="003B224A">
        <w:t>te</w:t>
      </w:r>
      <w:r w:rsidRPr="003B224A">
        <w:t xml:space="preserve"> the service strategically</w:t>
      </w:r>
      <w:r w:rsidR="00617370">
        <w:t>.</w:t>
      </w:r>
    </w:p>
    <w:p w14:paraId="4C87967E" w14:textId="2EF6624D" w:rsidR="003A2E7C" w:rsidRPr="003B224A" w:rsidRDefault="003B224A" w:rsidP="00617370">
      <w:pPr>
        <w:pStyle w:val="Bullet"/>
        <w:numPr>
          <w:ilvl w:val="0"/>
          <w:numId w:val="7"/>
        </w:numPr>
      </w:pPr>
      <w:r w:rsidRPr="003B224A">
        <w:t>Triage</w:t>
      </w:r>
      <w:r w:rsidR="003A2E7C" w:rsidRPr="003B224A">
        <w:t xml:space="preserve"> clients based on their needs</w:t>
      </w:r>
      <w:r w:rsidR="00617370">
        <w:t>.</w:t>
      </w:r>
    </w:p>
    <w:p w14:paraId="08A54AC6" w14:textId="7CE3E35C" w:rsidR="003A2E7C" w:rsidRPr="003B224A" w:rsidRDefault="003B224A" w:rsidP="00617370">
      <w:pPr>
        <w:pStyle w:val="Bullet"/>
        <w:numPr>
          <w:ilvl w:val="0"/>
          <w:numId w:val="7"/>
        </w:numPr>
      </w:pPr>
      <w:r w:rsidRPr="003B224A">
        <w:t>Include d</w:t>
      </w:r>
      <w:r w:rsidR="003A2E7C" w:rsidRPr="003B224A">
        <w:t>ynamic service delivery to manage demand and capacity</w:t>
      </w:r>
      <w:r w:rsidRPr="003B224A">
        <w:t>.</w:t>
      </w:r>
    </w:p>
    <w:p w14:paraId="48325017" w14:textId="77777777" w:rsidR="003A2E7C" w:rsidRDefault="003A2E7C" w:rsidP="003A2E7C">
      <w:pPr>
        <w:pStyle w:val="Heading2"/>
        <w:rPr>
          <w:rFonts w:eastAsia="Times New Roman"/>
        </w:rPr>
      </w:pPr>
      <w:r w:rsidRPr="003A2E7C">
        <w:rPr>
          <w:rFonts w:eastAsia="Times New Roman"/>
        </w:rPr>
        <w:t>Activities</w:t>
      </w:r>
    </w:p>
    <w:p w14:paraId="4459ED9E" w14:textId="071E17F0" w:rsidR="00F5001C" w:rsidRPr="00617370" w:rsidRDefault="00F5001C" w:rsidP="00617370">
      <w:proofErr w:type="gramStart"/>
      <w:r w:rsidRPr="00617370">
        <w:t>There are two main activities that counsellors can undertake</w:t>
      </w:r>
      <w:proofErr w:type="gramEnd"/>
      <w:r w:rsidRPr="00617370">
        <w:t xml:space="preserve"> with clients. </w:t>
      </w:r>
    </w:p>
    <w:p w14:paraId="4D376B1B" w14:textId="47E7D95E" w:rsidR="003A2E7C" w:rsidRPr="00617370" w:rsidRDefault="00F5001C" w:rsidP="00617370">
      <w:r w:rsidRPr="00617370">
        <w:t>Counsellors can provide s</w:t>
      </w:r>
      <w:r w:rsidR="003A2E7C" w:rsidRPr="00617370">
        <w:t>upport to access government programs and other assistance</w:t>
      </w:r>
      <w:r w:rsidRPr="00617370">
        <w:t>.</w:t>
      </w:r>
    </w:p>
    <w:p w14:paraId="66F8E3ED" w14:textId="7AEC4B9B" w:rsidR="00F5001C" w:rsidRPr="00E44D7A" w:rsidRDefault="00F5001C" w:rsidP="00E44D7A">
      <w:r>
        <w:t>This includes</w:t>
      </w:r>
      <w:r w:rsidR="0060738D">
        <w:t>:</w:t>
      </w:r>
    </w:p>
    <w:p w14:paraId="6214C219" w14:textId="58BE2BB5" w:rsidR="003A2E7C" w:rsidRDefault="0060738D" w:rsidP="00617370">
      <w:pPr>
        <w:pStyle w:val="Bullet"/>
        <w:numPr>
          <w:ilvl w:val="0"/>
          <w:numId w:val="8"/>
        </w:numPr>
      </w:pPr>
      <w:r>
        <w:t>u</w:t>
      </w:r>
      <w:r w:rsidR="003A2E7C">
        <w:t>nderstanding the client’s issue</w:t>
      </w:r>
    </w:p>
    <w:p w14:paraId="51672A5F" w14:textId="129FABC7" w:rsidR="003A2E7C" w:rsidRDefault="0060738D" w:rsidP="00617370">
      <w:pPr>
        <w:pStyle w:val="Bullet"/>
        <w:numPr>
          <w:ilvl w:val="0"/>
          <w:numId w:val="8"/>
        </w:numPr>
      </w:pPr>
      <w:r>
        <w:t>d</w:t>
      </w:r>
      <w:r w:rsidR="003A2E7C">
        <w:t>iscussing options</w:t>
      </w:r>
    </w:p>
    <w:p w14:paraId="7DD170EC" w14:textId="128DAFC9" w:rsidR="003A2E7C" w:rsidRDefault="0060738D" w:rsidP="00617370">
      <w:pPr>
        <w:pStyle w:val="Bullet"/>
        <w:numPr>
          <w:ilvl w:val="0"/>
          <w:numId w:val="8"/>
        </w:numPr>
      </w:pPr>
      <w:r>
        <w:t>a</w:t>
      </w:r>
      <w:r w:rsidR="003A2E7C">
        <w:t>ssisting with documentation (e.g. to receive Farm Household Allowance)</w:t>
      </w:r>
    </w:p>
    <w:p w14:paraId="66E61BF2" w14:textId="609D783A" w:rsidR="003A2E7C" w:rsidRDefault="0060738D" w:rsidP="00617370">
      <w:pPr>
        <w:pStyle w:val="Bullet"/>
        <w:numPr>
          <w:ilvl w:val="0"/>
          <w:numId w:val="8"/>
        </w:numPr>
      </w:pPr>
      <w:proofErr w:type="gramStart"/>
      <w:r>
        <w:t>e</w:t>
      </w:r>
      <w:r w:rsidR="003A2E7C">
        <w:t>ncouraging</w:t>
      </w:r>
      <w:proofErr w:type="gramEnd"/>
      <w:r w:rsidR="003A2E7C">
        <w:t xml:space="preserve"> client</w:t>
      </w:r>
      <w:r w:rsidR="00042BE9">
        <w:t>s</w:t>
      </w:r>
      <w:r w:rsidR="003A2E7C">
        <w:t xml:space="preserve"> to engage in case management</w:t>
      </w:r>
      <w:r w:rsidR="00E44D7A">
        <w:t>.</w:t>
      </w:r>
    </w:p>
    <w:p w14:paraId="22515607" w14:textId="30E6ABAE" w:rsidR="006C3F4B" w:rsidRDefault="006C3F4B" w:rsidP="005C4E87">
      <w:r w:rsidRPr="00084C08">
        <w:rPr>
          <w:b/>
        </w:rPr>
        <w:t>NOTE:</w:t>
      </w:r>
      <w:r>
        <w:t xml:space="preserve"> </w:t>
      </w:r>
      <w:r w:rsidRPr="003A2E7C">
        <w:t>Clients solely seeking support to access government programs and other assistance (transactional assistance) may not be ready to engage in a more holistic assessment of their business and possibilities. As a result</w:t>
      </w:r>
      <w:r w:rsidR="0060738D">
        <w:t>,</w:t>
      </w:r>
      <w:r w:rsidRPr="003A2E7C">
        <w:t xml:space="preserve"> they will only be able to address their immediate financial issues unless they transition into case management. Counsellors should talk to clients about whether transactional support w</w:t>
      </w:r>
      <w:r>
        <w:t xml:space="preserve">ill result in adverse outcomes.                        </w:t>
      </w:r>
    </w:p>
    <w:p w14:paraId="24CB09D4" w14:textId="248AC092" w:rsidR="003A2E7C" w:rsidRPr="00617370" w:rsidRDefault="00F5001C" w:rsidP="00617370">
      <w:r w:rsidRPr="00617370">
        <w:t>Counsellors can also undertake structured c</w:t>
      </w:r>
      <w:r w:rsidR="003A2E7C" w:rsidRPr="00617370">
        <w:t>ase management</w:t>
      </w:r>
      <w:r w:rsidRPr="00617370">
        <w:t xml:space="preserve"> of clients.</w:t>
      </w:r>
    </w:p>
    <w:p w14:paraId="43764FDF" w14:textId="1C550742" w:rsidR="00F5001C" w:rsidRPr="00E44D7A" w:rsidRDefault="00F5001C" w:rsidP="00617370">
      <w:pPr>
        <w:keepNext/>
        <w:keepLines/>
      </w:pPr>
      <w:r>
        <w:lastRenderedPageBreak/>
        <w:t>This includes</w:t>
      </w:r>
      <w:r w:rsidR="0060738D">
        <w:t>:</w:t>
      </w:r>
    </w:p>
    <w:p w14:paraId="1C44C79C" w14:textId="141A2A7B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h</w:t>
      </w:r>
      <w:r w:rsidR="003A2E7C">
        <w:t>elping clients to understand their business situation and underlying problems</w:t>
      </w:r>
    </w:p>
    <w:p w14:paraId="15AA6AFD" w14:textId="4ADC6941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s</w:t>
      </w:r>
      <w:r w:rsidR="003A2E7C">
        <w:t>upporting clients to come to terms with their situation and feel in control of their future</w:t>
      </w:r>
    </w:p>
    <w:p w14:paraId="45D7320B" w14:textId="04BEC1C7" w:rsidR="003A2E7C" w:rsidRDefault="003A2E7C" w:rsidP="00617370">
      <w:pPr>
        <w:pStyle w:val="Bullet"/>
        <w:keepNext/>
        <w:keepLines/>
        <w:numPr>
          <w:ilvl w:val="0"/>
          <w:numId w:val="9"/>
        </w:numPr>
      </w:pPr>
      <w:r>
        <w:rPr>
          <w:rFonts w:ascii="FontAwesome" w:hAnsi="FontAwesome" w:cs="FontAwesome"/>
          <w:sz w:val="18"/>
        </w:rPr>
        <w:t xml:space="preserve"> </w:t>
      </w:r>
      <w:r w:rsidR="0060738D">
        <w:t>d</w:t>
      </w:r>
      <w:r>
        <w:t>iscussing possibilities and longer term goals</w:t>
      </w:r>
    </w:p>
    <w:p w14:paraId="6BA7AA6F" w14:textId="251C96A2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d</w:t>
      </w:r>
      <w:r w:rsidR="003A2E7C">
        <w:t>eveloping knowledge, skills, confidence</w:t>
      </w:r>
    </w:p>
    <w:p w14:paraId="1A424762" w14:textId="54CB8630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d</w:t>
      </w:r>
      <w:r w:rsidR="003A2E7C">
        <w:t>eveloping business plans/strategies</w:t>
      </w:r>
    </w:p>
    <w:p w14:paraId="7BB9332B" w14:textId="1EE7C844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s</w:t>
      </w:r>
      <w:r w:rsidR="003A2E7C">
        <w:t>upporting clients to access government programs and other assistance</w:t>
      </w:r>
    </w:p>
    <w:p w14:paraId="0AECFE26" w14:textId="738A2AC0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r</w:t>
      </w:r>
      <w:r w:rsidR="003A2E7C">
        <w:t>epresentation and client advocacy (i.e. negotiations or mediation with banks and creditors)</w:t>
      </w:r>
    </w:p>
    <w:p w14:paraId="40DE9F4B" w14:textId="1696FA8B" w:rsidR="003A2E7C" w:rsidRDefault="0060738D" w:rsidP="00617370">
      <w:pPr>
        <w:pStyle w:val="Bullet"/>
        <w:keepNext/>
        <w:keepLines/>
        <w:numPr>
          <w:ilvl w:val="0"/>
          <w:numId w:val="9"/>
        </w:numPr>
      </w:pPr>
      <w:r>
        <w:t>r</w:t>
      </w:r>
      <w:r w:rsidR="003A2E7C">
        <w:t>eferrals to other professional services</w:t>
      </w:r>
    </w:p>
    <w:p w14:paraId="3791CF85" w14:textId="39166476" w:rsidR="00084C08" w:rsidRDefault="0060738D" w:rsidP="00617370">
      <w:pPr>
        <w:pStyle w:val="Bullet"/>
        <w:keepNext/>
        <w:keepLines/>
        <w:numPr>
          <w:ilvl w:val="0"/>
          <w:numId w:val="9"/>
        </w:numPr>
      </w:pPr>
      <w:proofErr w:type="gramStart"/>
      <w:r>
        <w:t>i</w:t>
      </w:r>
      <w:r w:rsidR="003A2E7C">
        <w:t>mplementing</w:t>
      </w:r>
      <w:proofErr w:type="gramEnd"/>
      <w:r w:rsidR="003A2E7C">
        <w:t xml:space="preserve"> plans/strategies and monitoring progress</w:t>
      </w:r>
      <w:r w:rsidR="003B224A">
        <w:t>.</w:t>
      </w:r>
    </w:p>
    <w:p w14:paraId="6FD301E5" w14:textId="68726779" w:rsidR="00084C08" w:rsidRDefault="00084C08" w:rsidP="00084C08">
      <w:pPr>
        <w:rPr>
          <w:lang w:eastAsia="ja-JP"/>
        </w:rPr>
      </w:pPr>
      <w:r w:rsidRPr="00084C08">
        <w:rPr>
          <w:b/>
          <w:lang w:eastAsia="ja-JP"/>
        </w:rPr>
        <w:t>NOTE:</w:t>
      </w:r>
      <w:r w:rsidR="00E44D7A">
        <w:rPr>
          <w:b/>
          <w:lang w:eastAsia="ja-JP"/>
        </w:rPr>
        <w:t xml:space="preserve"> </w:t>
      </w:r>
      <w:r w:rsidR="00311145" w:rsidRPr="00EF7404">
        <w:t>Client</w:t>
      </w:r>
      <w:r w:rsidR="00311145">
        <w:t>s should be encouraged to engage in case management, including where they are seeking transactional assistance,</w:t>
      </w:r>
      <w:r w:rsidR="00311145" w:rsidRPr="0088112C">
        <w:t xml:space="preserve"> </w:t>
      </w:r>
      <w:r w:rsidR="00311145">
        <w:t xml:space="preserve">and </w:t>
      </w:r>
      <w:r w:rsidR="00311145" w:rsidRPr="005F6106">
        <w:t xml:space="preserve">counsellor resources </w:t>
      </w:r>
      <w:r w:rsidR="00311145">
        <w:t xml:space="preserve">should be focused on </w:t>
      </w:r>
      <w:r w:rsidR="00311145" w:rsidRPr="005F6106">
        <w:t>clients who are willing to fully engage in case management.</w:t>
      </w:r>
    </w:p>
    <w:p w14:paraId="55818170" w14:textId="77777777" w:rsidR="003A2E7C" w:rsidRDefault="003B224A" w:rsidP="003B224A">
      <w:pPr>
        <w:pStyle w:val="Heading2"/>
      </w:pPr>
      <w:r>
        <w:t>Outcomes</w:t>
      </w:r>
    </w:p>
    <w:p w14:paraId="644F95A1" w14:textId="77777777" w:rsidR="00084C08" w:rsidRDefault="00084C08" w:rsidP="00084C08">
      <w:pPr>
        <w:rPr>
          <w:lang w:eastAsia="ja-JP"/>
        </w:rPr>
      </w:pPr>
      <w:r>
        <w:rPr>
          <w:lang w:eastAsia="ja-JP"/>
        </w:rPr>
        <w:t>The program logic outlines client outcomes separated into four groups.</w:t>
      </w:r>
    </w:p>
    <w:p w14:paraId="5C2C2990" w14:textId="77777777" w:rsidR="00084C08" w:rsidRDefault="00084C08" w:rsidP="00084C08">
      <w:pPr>
        <w:rPr>
          <w:lang w:eastAsia="ja-JP"/>
        </w:rPr>
      </w:pPr>
      <w:r>
        <w:rPr>
          <w:lang w:eastAsia="ja-JP"/>
        </w:rPr>
        <w:t xml:space="preserve">The first three stages are outcomes we expect clients to achieve while participating in the program. The last stage (post-exit outcomes) reflect outcomes we expect clients to achieve after exiting the program, </w:t>
      </w:r>
      <w:proofErr w:type="gramStart"/>
      <w:r>
        <w:rPr>
          <w:lang w:eastAsia="ja-JP"/>
        </w:rPr>
        <w:t>as a result</w:t>
      </w:r>
      <w:proofErr w:type="gramEnd"/>
      <w:r>
        <w:rPr>
          <w:lang w:eastAsia="ja-JP"/>
        </w:rPr>
        <w:t xml:space="preserve"> of successfully achieving the earlier outcomes.</w:t>
      </w:r>
    </w:p>
    <w:p w14:paraId="25435E9E" w14:textId="3D25FB31" w:rsidR="00084C08" w:rsidRDefault="00084C08" w:rsidP="00084C08">
      <w:pPr>
        <w:rPr>
          <w:lang w:eastAsia="ja-JP"/>
        </w:rPr>
      </w:pPr>
      <w:r>
        <w:rPr>
          <w:lang w:eastAsia="ja-JP"/>
        </w:rPr>
        <w:t xml:space="preserve">While these stages look rigid and </w:t>
      </w:r>
      <w:proofErr w:type="gramStart"/>
      <w:r>
        <w:rPr>
          <w:lang w:eastAsia="ja-JP"/>
        </w:rPr>
        <w:t>simple, in reality</w:t>
      </w:r>
      <w:r w:rsidR="00617370">
        <w:rPr>
          <w:lang w:eastAsia="ja-JP"/>
        </w:rPr>
        <w:t>,</w:t>
      </w:r>
      <w:r>
        <w:rPr>
          <w:lang w:eastAsia="ja-JP"/>
        </w:rPr>
        <w:t xml:space="preserve"> this is</w:t>
      </w:r>
      <w:r w:rsidR="00764A1C">
        <w:rPr>
          <w:lang w:eastAsia="ja-JP"/>
        </w:rPr>
        <w:t xml:space="preserve"> a</w:t>
      </w:r>
      <w:r>
        <w:rPr>
          <w:lang w:eastAsia="ja-JP"/>
        </w:rPr>
        <w:t xml:space="preserve"> complex process that depends on individual circumstances, capability levels and personalities</w:t>
      </w:r>
      <w:proofErr w:type="gramEnd"/>
      <w:r>
        <w:rPr>
          <w:lang w:eastAsia="ja-JP"/>
        </w:rPr>
        <w:t>. Some clients may move through these outcomes faster and some clients may not achieve the outcomes in a linear fashion</w:t>
      </w:r>
      <w:r w:rsidR="00764A1C">
        <w:rPr>
          <w:lang w:eastAsia="ja-JP"/>
        </w:rPr>
        <w:t>—</w:t>
      </w:r>
      <w:r>
        <w:rPr>
          <w:lang w:eastAsia="ja-JP"/>
        </w:rPr>
        <w:t>for example, some clients may go back and revise their longer</w:t>
      </w:r>
      <w:r w:rsidR="00617370">
        <w:rPr>
          <w:lang w:eastAsia="ja-JP"/>
        </w:rPr>
        <w:t>-</w:t>
      </w:r>
      <w:r>
        <w:rPr>
          <w:lang w:eastAsia="ja-JP"/>
        </w:rPr>
        <w:t xml:space="preserve">term goals as they get a better understanding of their position over time. </w:t>
      </w:r>
    </w:p>
    <w:p w14:paraId="24919D0E" w14:textId="77777777" w:rsidR="00084C08" w:rsidRDefault="00084C08" w:rsidP="00084C08">
      <w:pPr>
        <w:rPr>
          <w:lang w:eastAsia="ja-JP"/>
        </w:rPr>
      </w:pPr>
      <w:r>
        <w:rPr>
          <w:lang w:eastAsia="ja-JP"/>
        </w:rPr>
        <w:t>The logic to the sequence of these stages is that:</w:t>
      </w:r>
    </w:p>
    <w:p w14:paraId="0142EAC5" w14:textId="21DDBD92" w:rsidR="00084C08" w:rsidRDefault="00084C08" w:rsidP="00617370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In Stage 1, a client must develop a conducive mindset to engage in a longer</w:t>
      </w:r>
      <w:r w:rsidR="0026752E">
        <w:rPr>
          <w:lang w:eastAsia="ja-JP"/>
        </w:rPr>
        <w:t>-</w:t>
      </w:r>
      <w:r>
        <w:rPr>
          <w:lang w:eastAsia="ja-JP"/>
        </w:rPr>
        <w:t>term change process. This could include addressing some immediate financial concerns and coming to terms with the need to reconsider their longer</w:t>
      </w:r>
      <w:r w:rsidR="0026752E">
        <w:rPr>
          <w:lang w:eastAsia="ja-JP"/>
        </w:rPr>
        <w:t>-</w:t>
      </w:r>
      <w:r>
        <w:rPr>
          <w:lang w:eastAsia="ja-JP"/>
        </w:rPr>
        <w:t xml:space="preserve">term business strategy and goals. The client then builds a better understanding of their business position and options to improve their financial situation. This process could include identifying new opportunities that they have failed to see before. </w:t>
      </w:r>
    </w:p>
    <w:p w14:paraId="7F354262" w14:textId="52BE5B09" w:rsidR="00084C08" w:rsidRDefault="00084C08" w:rsidP="00617370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In Stage 2, the client then increases their financial and business planning skills to develop more appropriate longer</w:t>
      </w:r>
      <w:r w:rsidR="0026752E">
        <w:rPr>
          <w:lang w:eastAsia="ja-JP"/>
        </w:rPr>
        <w:t>-</w:t>
      </w:r>
      <w:r>
        <w:rPr>
          <w:lang w:eastAsia="ja-JP"/>
        </w:rPr>
        <w:t xml:space="preserve">term business goals and strategies. </w:t>
      </w:r>
    </w:p>
    <w:p w14:paraId="394099FF" w14:textId="5F7A6845" w:rsidR="00084C08" w:rsidRDefault="00084C08" w:rsidP="00617370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In Stage 3, the client starts to implement these strategies to take steps toward the three pathways</w:t>
      </w:r>
      <w:r w:rsidR="00764A1C">
        <w:rPr>
          <w:lang w:eastAsia="ja-JP"/>
        </w:rPr>
        <w:t>—</w:t>
      </w:r>
      <w:r>
        <w:rPr>
          <w:lang w:eastAsia="ja-JP"/>
        </w:rPr>
        <w:t xml:space="preserve">either to improve their business’s profitability and viability, to pass their business onto a successor, or to sell their business. </w:t>
      </w:r>
    </w:p>
    <w:p w14:paraId="3D612EDF" w14:textId="77777777" w:rsidR="00617370" w:rsidRDefault="0061737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7E609C55" w14:textId="0CC6B02C" w:rsidR="003B224A" w:rsidRDefault="003B224A" w:rsidP="003B224A">
      <w:pPr>
        <w:pStyle w:val="Heading3"/>
      </w:pPr>
      <w:r>
        <w:lastRenderedPageBreak/>
        <w:t>Stage 1 Outcomes</w:t>
      </w:r>
    </w:p>
    <w:p w14:paraId="5B5A5AC5" w14:textId="77777777" w:rsidR="002464D0" w:rsidRDefault="002464D0" w:rsidP="00617370">
      <w:pPr>
        <w:pStyle w:val="Bullet"/>
        <w:numPr>
          <w:ilvl w:val="0"/>
          <w:numId w:val="11"/>
        </w:numPr>
      </w:pPr>
      <w:r>
        <w:t>Conducive mindset and motivation:</w:t>
      </w:r>
    </w:p>
    <w:p w14:paraId="7A7C97E8" w14:textId="77777777" w:rsidR="00A43AE0" w:rsidRDefault="0026752E" w:rsidP="00A43AE0">
      <w:pPr>
        <w:pStyle w:val="Bullet"/>
        <w:numPr>
          <w:ilvl w:val="0"/>
          <w:numId w:val="17"/>
        </w:numPr>
      </w:pPr>
      <w:r>
        <w:t>f</w:t>
      </w:r>
      <w:r w:rsidR="002464D0">
        <w:t>inancial support is accessed</w:t>
      </w:r>
    </w:p>
    <w:p w14:paraId="58878E3F" w14:textId="7A110869" w:rsidR="002464D0" w:rsidRDefault="0026752E" w:rsidP="00A43AE0">
      <w:pPr>
        <w:pStyle w:val="Bullet"/>
        <w:numPr>
          <w:ilvl w:val="0"/>
          <w:numId w:val="17"/>
        </w:numPr>
      </w:pPr>
      <w:proofErr w:type="gramStart"/>
      <w:r>
        <w:t>c</w:t>
      </w:r>
      <w:r w:rsidR="002464D0">
        <w:t>lients</w:t>
      </w:r>
      <w:proofErr w:type="gramEnd"/>
      <w:r w:rsidR="002464D0">
        <w:t xml:space="preserve"> become mentally ready and willing to consider longer-term business changes.</w:t>
      </w:r>
    </w:p>
    <w:p w14:paraId="6368DA48" w14:textId="77777777" w:rsidR="002464D0" w:rsidRDefault="002464D0" w:rsidP="00617370">
      <w:pPr>
        <w:pStyle w:val="Bullet"/>
        <w:numPr>
          <w:ilvl w:val="0"/>
          <w:numId w:val="12"/>
        </w:numPr>
      </w:pPr>
      <w:r>
        <w:t>Increased knowledge:</w:t>
      </w:r>
    </w:p>
    <w:p w14:paraId="488ADC5D" w14:textId="4E944082" w:rsidR="002464D0" w:rsidRPr="002464D0" w:rsidRDefault="0026752E" w:rsidP="00A43AE0">
      <w:pPr>
        <w:pStyle w:val="Bullet"/>
        <w:numPr>
          <w:ilvl w:val="0"/>
          <w:numId w:val="17"/>
        </w:numPr>
      </w:pPr>
      <w:r>
        <w:t>i</w:t>
      </w:r>
      <w:r w:rsidR="002464D0" w:rsidRPr="00E44D7A">
        <w:t>mproved understanding of financial position</w:t>
      </w:r>
    </w:p>
    <w:p w14:paraId="1234BE52" w14:textId="287B9B10" w:rsidR="002464D0" w:rsidRDefault="0026752E" w:rsidP="00A43AE0">
      <w:pPr>
        <w:pStyle w:val="Bullet"/>
        <w:numPr>
          <w:ilvl w:val="0"/>
          <w:numId w:val="17"/>
        </w:numPr>
      </w:pPr>
      <w:proofErr w:type="gramStart"/>
      <w:r>
        <w:t>b</w:t>
      </w:r>
      <w:r w:rsidR="002464D0">
        <w:t>etter</w:t>
      </w:r>
      <w:proofErr w:type="gramEnd"/>
      <w:r w:rsidR="002464D0">
        <w:t xml:space="preserve"> understanding of options to improve position.</w:t>
      </w:r>
    </w:p>
    <w:p w14:paraId="0C75FDCC" w14:textId="77777777" w:rsidR="003B224A" w:rsidRDefault="003B224A" w:rsidP="003B224A">
      <w:pPr>
        <w:pStyle w:val="Heading3"/>
      </w:pPr>
      <w:r>
        <w:t>Stage 2 Outcomes</w:t>
      </w:r>
    </w:p>
    <w:p w14:paraId="259642D1" w14:textId="1406A4C2" w:rsidR="002464D0" w:rsidRDefault="002464D0" w:rsidP="00617370">
      <w:pPr>
        <w:pStyle w:val="Bullet"/>
        <w:numPr>
          <w:ilvl w:val="0"/>
          <w:numId w:val="12"/>
        </w:numPr>
      </w:pPr>
      <w:r>
        <w:t>Increased skills, knowledge and competence</w:t>
      </w:r>
      <w:r w:rsidR="0026752E">
        <w:t>:</w:t>
      </w:r>
    </w:p>
    <w:p w14:paraId="108E1F40" w14:textId="28F87481" w:rsidR="002464D0" w:rsidRDefault="0026752E" w:rsidP="00A43AE0">
      <w:pPr>
        <w:pStyle w:val="Bullet"/>
        <w:numPr>
          <w:ilvl w:val="0"/>
          <w:numId w:val="17"/>
        </w:numPr>
      </w:pPr>
      <w:r>
        <w:t>i</w:t>
      </w:r>
      <w:r w:rsidR="002464D0">
        <w:t>mproved financial and business skills and competence</w:t>
      </w:r>
    </w:p>
    <w:p w14:paraId="37518D21" w14:textId="5E9A3B79" w:rsidR="002464D0" w:rsidRDefault="0026752E" w:rsidP="00A43AE0">
      <w:pPr>
        <w:pStyle w:val="Bullet"/>
        <w:numPr>
          <w:ilvl w:val="0"/>
          <w:numId w:val="17"/>
        </w:numPr>
      </w:pPr>
      <w:r>
        <w:t>d</w:t>
      </w:r>
      <w:r w:rsidR="002464D0">
        <w:t>eveloped medium-long term business goals</w:t>
      </w:r>
    </w:p>
    <w:p w14:paraId="4E9FEB47" w14:textId="5DE87D27" w:rsidR="002464D0" w:rsidRPr="002464D0" w:rsidRDefault="0026752E" w:rsidP="00A43AE0">
      <w:pPr>
        <w:pStyle w:val="Bullet"/>
        <w:numPr>
          <w:ilvl w:val="0"/>
          <w:numId w:val="17"/>
        </w:numPr>
      </w:pPr>
      <w:proofErr w:type="gramStart"/>
      <w:r>
        <w:t>d</w:t>
      </w:r>
      <w:r w:rsidR="002464D0">
        <w:t>eveloped</w:t>
      </w:r>
      <w:proofErr w:type="gramEnd"/>
      <w:r w:rsidR="002464D0">
        <w:t xml:space="preserve"> strategies to achieve medium-long term business goals and manage risk</w:t>
      </w:r>
      <w:r w:rsidR="00E44D7A">
        <w:t>.</w:t>
      </w:r>
    </w:p>
    <w:p w14:paraId="6811D6C9" w14:textId="4B4FE733" w:rsidR="003B224A" w:rsidRDefault="003B224A" w:rsidP="003B224A">
      <w:pPr>
        <w:pStyle w:val="Heading3"/>
      </w:pPr>
      <w:r>
        <w:t>Stage 3 Outcomes</w:t>
      </w:r>
      <w:r w:rsidR="00764A1C">
        <w:t xml:space="preserve">  </w:t>
      </w:r>
    </w:p>
    <w:p w14:paraId="0F69CE9D" w14:textId="5DEB518F" w:rsidR="002464D0" w:rsidRPr="002464D0" w:rsidRDefault="002464D0" w:rsidP="00617370">
      <w:pPr>
        <w:pStyle w:val="Bullet"/>
        <w:numPr>
          <w:ilvl w:val="0"/>
          <w:numId w:val="13"/>
        </w:numPr>
      </w:pPr>
      <w:r w:rsidRPr="002464D0">
        <w:t>Behavioural changes and decision-making</w:t>
      </w:r>
      <w:r w:rsidR="00803110">
        <w:t xml:space="preserve"> options</w:t>
      </w:r>
      <w:r w:rsidR="0081255D">
        <w:t xml:space="preserve"> to reach </w:t>
      </w:r>
      <w:r w:rsidR="0081255D" w:rsidRPr="002464D0">
        <w:rPr>
          <w:color w:val="000000"/>
        </w:rPr>
        <w:t>self-sufficiency</w:t>
      </w:r>
      <w:r w:rsidR="0026752E">
        <w:rPr>
          <w:color w:val="000000"/>
        </w:rPr>
        <w:t>:</w:t>
      </w:r>
    </w:p>
    <w:p w14:paraId="69281E98" w14:textId="3B162619" w:rsidR="002464D0" w:rsidRPr="00A43AE0" w:rsidRDefault="0026752E" w:rsidP="00A43AE0">
      <w:pPr>
        <w:pStyle w:val="Bullet"/>
        <w:numPr>
          <w:ilvl w:val="0"/>
          <w:numId w:val="17"/>
        </w:numPr>
      </w:pPr>
      <w:r w:rsidRPr="00A43AE0">
        <w:t>i</w:t>
      </w:r>
      <w:r w:rsidR="002464D0" w:rsidRPr="00A43AE0">
        <w:t>mplementing business changes to improve business profitability and viability, and progress towards financial self-sufficiency</w:t>
      </w:r>
    </w:p>
    <w:p w14:paraId="432AAAF3" w14:textId="5BC05A42" w:rsidR="002464D0" w:rsidRPr="00A43AE0" w:rsidRDefault="0026752E" w:rsidP="00A43AE0">
      <w:pPr>
        <w:pStyle w:val="Bullet"/>
        <w:numPr>
          <w:ilvl w:val="0"/>
          <w:numId w:val="17"/>
        </w:numPr>
      </w:pPr>
      <w:r w:rsidRPr="00A43AE0">
        <w:t>i</w:t>
      </w:r>
      <w:r w:rsidR="002464D0" w:rsidRPr="00A43AE0">
        <w:t>mplementing business changes to pass the business onto a successor and progress towards financial self-sufficiency</w:t>
      </w:r>
    </w:p>
    <w:p w14:paraId="56ECFE2C" w14:textId="7D537342" w:rsidR="002464D0" w:rsidRPr="00A43AE0" w:rsidRDefault="0026752E" w:rsidP="00A43AE0">
      <w:pPr>
        <w:pStyle w:val="Bullet"/>
        <w:numPr>
          <w:ilvl w:val="0"/>
          <w:numId w:val="17"/>
        </w:numPr>
      </w:pPr>
      <w:proofErr w:type="gramStart"/>
      <w:r w:rsidRPr="00A43AE0">
        <w:t>i</w:t>
      </w:r>
      <w:r w:rsidR="002464D0" w:rsidRPr="00A43AE0">
        <w:t>mplementing</w:t>
      </w:r>
      <w:proofErr w:type="gramEnd"/>
      <w:r w:rsidR="002464D0" w:rsidRPr="00A43AE0">
        <w:t xml:space="preserve"> business changes to sell the business </w:t>
      </w:r>
      <w:r w:rsidR="00764A1C" w:rsidRPr="00A43AE0">
        <w:t xml:space="preserve">and progress </w:t>
      </w:r>
      <w:r w:rsidR="002464D0" w:rsidRPr="00A43AE0">
        <w:t>towards financial self-sufficiency</w:t>
      </w:r>
      <w:r w:rsidR="00E44D7A" w:rsidRPr="00A43AE0">
        <w:t>.</w:t>
      </w:r>
    </w:p>
    <w:p w14:paraId="5CDFCC47" w14:textId="77777777" w:rsidR="003B224A" w:rsidRDefault="003B224A" w:rsidP="003B224A">
      <w:pPr>
        <w:pStyle w:val="Heading3"/>
      </w:pPr>
      <w:r>
        <w:t>Post Exit Outcomes</w:t>
      </w:r>
    </w:p>
    <w:p w14:paraId="10ACA805" w14:textId="59CC5F1F" w:rsidR="002464D0" w:rsidRPr="002464D0" w:rsidRDefault="002464D0" w:rsidP="00617370">
      <w:pPr>
        <w:pStyle w:val="Bullet"/>
        <w:numPr>
          <w:ilvl w:val="0"/>
          <w:numId w:val="14"/>
        </w:numPr>
      </w:pPr>
      <w:r w:rsidRPr="002464D0">
        <w:t>Sustaining behavioural change</w:t>
      </w:r>
      <w:r w:rsidR="0026752E">
        <w:t>:</w:t>
      </w:r>
    </w:p>
    <w:p w14:paraId="4AB694B1" w14:textId="0579B0A7" w:rsidR="002464D0" w:rsidRPr="00A43AE0" w:rsidRDefault="0026752E" w:rsidP="00A43AE0">
      <w:pPr>
        <w:pStyle w:val="Bullet"/>
        <w:numPr>
          <w:ilvl w:val="0"/>
          <w:numId w:val="17"/>
        </w:numPr>
      </w:pPr>
      <w:proofErr w:type="gramStart"/>
      <w:r w:rsidRPr="00A43AE0">
        <w:t>f</w:t>
      </w:r>
      <w:r w:rsidR="002464D0" w:rsidRPr="00A43AE0">
        <w:t>inancially</w:t>
      </w:r>
      <w:proofErr w:type="gramEnd"/>
      <w:r w:rsidR="002464D0" w:rsidRPr="00A43AE0">
        <w:t xml:space="preserve"> self-sufficient farm businesses with improved profitability</w:t>
      </w:r>
      <w:r w:rsidR="00E44D7A" w:rsidRPr="00A43AE0">
        <w:t>.</w:t>
      </w:r>
    </w:p>
    <w:p w14:paraId="59733213" w14:textId="106A1AFB" w:rsidR="002464D0" w:rsidRPr="002464D0" w:rsidRDefault="002464D0" w:rsidP="00617370">
      <w:pPr>
        <w:pStyle w:val="Bullet"/>
        <w:numPr>
          <w:ilvl w:val="0"/>
          <w:numId w:val="15"/>
        </w:numPr>
      </w:pPr>
      <w:r w:rsidRPr="002464D0">
        <w:t>Executing decisions</w:t>
      </w:r>
      <w:r w:rsidR="0026752E">
        <w:t>:</w:t>
      </w:r>
    </w:p>
    <w:p w14:paraId="3354F2B2" w14:textId="287AABF2" w:rsidR="002464D0" w:rsidRPr="00A43AE0" w:rsidRDefault="0026752E" w:rsidP="00A43AE0">
      <w:pPr>
        <w:pStyle w:val="Bullet"/>
        <w:numPr>
          <w:ilvl w:val="0"/>
          <w:numId w:val="17"/>
        </w:numPr>
      </w:pPr>
      <w:r w:rsidRPr="00A43AE0">
        <w:t>b</w:t>
      </w:r>
      <w:r w:rsidR="002464D0" w:rsidRPr="00A43AE0">
        <w:t>usinesses successfully transitioned to successors</w:t>
      </w:r>
    </w:p>
    <w:p w14:paraId="5CEF70CD" w14:textId="05231C03" w:rsidR="002464D0" w:rsidRPr="00A43AE0" w:rsidRDefault="0026752E" w:rsidP="00A43AE0">
      <w:pPr>
        <w:pStyle w:val="Bullet"/>
        <w:numPr>
          <w:ilvl w:val="0"/>
          <w:numId w:val="17"/>
        </w:numPr>
      </w:pPr>
      <w:proofErr w:type="gramStart"/>
      <w:r w:rsidRPr="00A43AE0">
        <w:t>b</w:t>
      </w:r>
      <w:r w:rsidR="002464D0" w:rsidRPr="00A43AE0">
        <w:t>usinesses</w:t>
      </w:r>
      <w:proofErr w:type="gramEnd"/>
      <w:r w:rsidR="002464D0" w:rsidRPr="00A43AE0">
        <w:t xml:space="preserve"> sold</w:t>
      </w:r>
      <w:r w:rsidR="00E44D7A" w:rsidRPr="00A43AE0">
        <w:t>.</w:t>
      </w:r>
      <w:bookmarkStart w:id="0" w:name="_GoBack"/>
      <w:bookmarkEnd w:id="0"/>
    </w:p>
    <w:p w14:paraId="68C75604" w14:textId="77777777" w:rsidR="003F15D0" w:rsidRDefault="003B224A" w:rsidP="003B224A">
      <w:pPr>
        <w:pStyle w:val="Heading2"/>
      </w:pPr>
      <w:r>
        <w:t>Impact</w:t>
      </w:r>
    </w:p>
    <w:p w14:paraId="423BC6B9" w14:textId="77777777" w:rsidR="003B224A" w:rsidRDefault="003B224A" w:rsidP="003B224A">
      <w:r>
        <w:t xml:space="preserve">Individuals who are financially self-reliant and businesses that are better prepared to deal with risks so they </w:t>
      </w:r>
      <w:proofErr w:type="gramStart"/>
      <w:r>
        <w:t>don’t</w:t>
      </w:r>
      <w:proofErr w:type="gramEnd"/>
      <w:r>
        <w:t xml:space="preserve"> need to re-enter the service.</w:t>
      </w:r>
    </w:p>
    <w:p w14:paraId="0A4376EF" w14:textId="77777777" w:rsidR="003F15D0" w:rsidRPr="003F15D0" w:rsidRDefault="003F15D0" w:rsidP="003F15D0"/>
    <w:sectPr w:rsidR="003F15D0" w:rsidRPr="003F15D0" w:rsidSect="00AB3099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CC2AF1" w16cid:durableId="2343ACE5"/>
  <w16cid:commentId w16cid:paraId="75FF0C3C" w16cid:durableId="2343ACE6"/>
  <w16cid:commentId w16cid:paraId="4DA9FB4E" w16cid:durableId="2343A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7A2B" w14:textId="77777777" w:rsidR="00A43687" w:rsidRDefault="00A43687" w:rsidP="00583881">
      <w:pPr>
        <w:spacing w:after="0" w:line="240" w:lineRule="auto"/>
      </w:pPr>
      <w:r>
        <w:separator/>
      </w:r>
    </w:p>
  </w:endnote>
  <w:endnote w:type="continuationSeparator" w:id="0">
    <w:p w14:paraId="2F2A318B" w14:textId="77777777" w:rsidR="00A43687" w:rsidRDefault="00A43687" w:rsidP="0058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2C8F" w14:textId="5D1ED4BC" w:rsidR="00617370" w:rsidRDefault="00617370">
    <w:pPr>
      <w:pStyle w:val="Footer"/>
    </w:pPr>
    <w:r>
      <w:t>RFCS Program – Program Logic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3A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74AF8" w14:textId="77777777" w:rsidR="00A43687" w:rsidRDefault="00A43687" w:rsidP="00583881">
      <w:pPr>
        <w:spacing w:after="0" w:line="240" w:lineRule="auto"/>
      </w:pPr>
      <w:r>
        <w:separator/>
      </w:r>
    </w:p>
  </w:footnote>
  <w:footnote w:type="continuationSeparator" w:id="0">
    <w:p w14:paraId="6A143805" w14:textId="77777777" w:rsidR="00A43687" w:rsidRDefault="00A43687" w:rsidP="0058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E2C8" w14:textId="77777777" w:rsidR="00583881" w:rsidRDefault="00583881">
    <w:pPr>
      <w:pStyle w:val="Header"/>
    </w:pPr>
    <w:r>
      <w:rPr>
        <w:noProof/>
        <w:lang w:eastAsia="en-AU"/>
      </w:rPr>
      <w:drawing>
        <wp:inline distT="0" distB="0" distL="0" distR="0" wp14:anchorId="5ECC0459" wp14:editId="632E17CF">
          <wp:extent cx="2831680" cy="849861"/>
          <wp:effectExtent l="0" t="0" r="6985" b="7620"/>
          <wp:docPr id="6" name="Picture 6" title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950" cy="85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5F929" w14:textId="77777777" w:rsidR="00583881" w:rsidRDefault="00583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CF0"/>
    <w:multiLevelType w:val="hybridMultilevel"/>
    <w:tmpl w:val="5B90274E"/>
    <w:lvl w:ilvl="0" w:tplc="62027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0D22"/>
    <w:multiLevelType w:val="hybridMultilevel"/>
    <w:tmpl w:val="C5B0633E"/>
    <w:lvl w:ilvl="0" w:tplc="A5984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6503"/>
    <w:multiLevelType w:val="hybridMultilevel"/>
    <w:tmpl w:val="336AF918"/>
    <w:lvl w:ilvl="0" w:tplc="CF34BE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1" w:tplc="E534A03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264F90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E0365F"/>
    <w:multiLevelType w:val="hybridMultilevel"/>
    <w:tmpl w:val="20AE035E"/>
    <w:lvl w:ilvl="0" w:tplc="8AB6FD2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65A18"/>
    <w:multiLevelType w:val="hybridMultilevel"/>
    <w:tmpl w:val="7F22E3EA"/>
    <w:lvl w:ilvl="0" w:tplc="395497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57CA1"/>
    <w:multiLevelType w:val="hybridMultilevel"/>
    <w:tmpl w:val="77708434"/>
    <w:lvl w:ilvl="0" w:tplc="3522B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4C87"/>
    <w:multiLevelType w:val="hybridMultilevel"/>
    <w:tmpl w:val="04882E08"/>
    <w:lvl w:ilvl="0" w:tplc="3E2A5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7FF6"/>
    <w:multiLevelType w:val="hybridMultilevel"/>
    <w:tmpl w:val="F19CB75E"/>
    <w:lvl w:ilvl="0" w:tplc="0DA00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74544"/>
    <w:multiLevelType w:val="hybridMultilevel"/>
    <w:tmpl w:val="A3B600A0"/>
    <w:lvl w:ilvl="0" w:tplc="3132B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5DE"/>
    <w:multiLevelType w:val="hybridMultilevel"/>
    <w:tmpl w:val="171A8118"/>
    <w:lvl w:ilvl="0" w:tplc="04A22D8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81931"/>
    <w:multiLevelType w:val="hybridMultilevel"/>
    <w:tmpl w:val="430EFB5A"/>
    <w:lvl w:ilvl="0" w:tplc="4E884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10E3"/>
    <w:multiLevelType w:val="hybridMultilevel"/>
    <w:tmpl w:val="4A344202"/>
    <w:lvl w:ilvl="0" w:tplc="A1E69B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57744"/>
    <w:multiLevelType w:val="hybridMultilevel"/>
    <w:tmpl w:val="694AA88E"/>
    <w:lvl w:ilvl="0" w:tplc="E9D2A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5E40"/>
    <w:multiLevelType w:val="hybridMultilevel"/>
    <w:tmpl w:val="175A1D3E"/>
    <w:lvl w:ilvl="0" w:tplc="25323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762C"/>
    <w:multiLevelType w:val="hybridMultilevel"/>
    <w:tmpl w:val="2D44E71E"/>
    <w:lvl w:ilvl="0" w:tplc="30465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D0"/>
    <w:rsid w:val="00042BE9"/>
    <w:rsid w:val="00056938"/>
    <w:rsid w:val="00061A6E"/>
    <w:rsid w:val="00084C08"/>
    <w:rsid w:val="00103A49"/>
    <w:rsid w:val="002064BA"/>
    <w:rsid w:val="002464D0"/>
    <w:rsid w:val="0026752E"/>
    <w:rsid w:val="0027633E"/>
    <w:rsid w:val="00311145"/>
    <w:rsid w:val="003A2E7C"/>
    <w:rsid w:val="003B224A"/>
    <w:rsid w:val="003F15D0"/>
    <w:rsid w:val="003F3C5C"/>
    <w:rsid w:val="004020C3"/>
    <w:rsid w:val="004178F2"/>
    <w:rsid w:val="004A78ED"/>
    <w:rsid w:val="004B2C8C"/>
    <w:rsid w:val="00506EE7"/>
    <w:rsid w:val="00583881"/>
    <w:rsid w:val="005C4E87"/>
    <w:rsid w:val="0060738D"/>
    <w:rsid w:val="00611247"/>
    <w:rsid w:val="00617370"/>
    <w:rsid w:val="00672705"/>
    <w:rsid w:val="006C3F4B"/>
    <w:rsid w:val="006E425B"/>
    <w:rsid w:val="00764A1C"/>
    <w:rsid w:val="007A2442"/>
    <w:rsid w:val="007F6496"/>
    <w:rsid w:val="00803110"/>
    <w:rsid w:val="0081255D"/>
    <w:rsid w:val="00840642"/>
    <w:rsid w:val="008F18A3"/>
    <w:rsid w:val="00A43687"/>
    <w:rsid w:val="00A43AE0"/>
    <w:rsid w:val="00A47386"/>
    <w:rsid w:val="00AA4B07"/>
    <w:rsid w:val="00AB3099"/>
    <w:rsid w:val="00AD4BE1"/>
    <w:rsid w:val="00C56C45"/>
    <w:rsid w:val="00CE4C81"/>
    <w:rsid w:val="00D86BC9"/>
    <w:rsid w:val="00DE33D0"/>
    <w:rsid w:val="00E44D7A"/>
    <w:rsid w:val="00E8031E"/>
    <w:rsid w:val="00F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C2AC1"/>
  <w15:chartTrackingRefBased/>
  <w15:docId w15:val="{C6D66CE2-F13B-40D2-B1B5-B86A072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D0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E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">
    <w:name w:val="Bullet"/>
    <w:basedOn w:val="Normal"/>
    <w:link w:val="BulletChar"/>
    <w:qFormat/>
    <w:rsid w:val="003F15D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3A2E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3F15D0"/>
  </w:style>
  <w:style w:type="paragraph" w:styleId="Header">
    <w:name w:val="header"/>
    <w:basedOn w:val="Normal"/>
    <w:link w:val="HeaderChar"/>
    <w:uiPriority w:val="99"/>
    <w:unhideWhenUsed/>
    <w:rsid w:val="00583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81"/>
  </w:style>
  <w:style w:type="paragraph" w:styleId="Footer">
    <w:name w:val="footer"/>
    <w:basedOn w:val="Normal"/>
    <w:link w:val="FooterChar"/>
    <w:uiPriority w:val="99"/>
    <w:unhideWhenUsed/>
    <w:rsid w:val="00583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81"/>
  </w:style>
  <w:style w:type="character" w:styleId="CommentReference">
    <w:name w:val="annotation reference"/>
    <w:basedOn w:val="DefaultParagraphFont"/>
    <w:uiPriority w:val="99"/>
    <w:semiHidden/>
    <w:unhideWhenUsed/>
    <w:rsid w:val="00103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2664-23E7-422E-B1C6-86665B4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</dc:creator>
  <cp:keywords/>
  <dc:description/>
  <cp:lastModifiedBy>NGUYEN, Tricia</cp:lastModifiedBy>
  <cp:revision>7</cp:revision>
  <dcterms:created xsi:type="dcterms:W3CDTF">2020-11-03T23:51:00Z</dcterms:created>
  <dcterms:modified xsi:type="dcterms:W3CDTF">2020-11-04T02:28:00Z</dcterms:modified>
</cp:coreProperties>
</file>