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B0" w:rsidRDefault="0058237C" w:rsidP="00CC1B7B">
      <w:pPr>
        <w:rPr>
          <w:rFonts w:ascii="Georgia" w:eastAsiaTheme="majorEastAsia" w:hAnsi="Georgia" w:cstheme="majorBidi"/>
          <w:color w:val="CF0A2C" w:themeColor="accent1"/>
          <w:kern w:val="28"/>
          <w:sz w:val="44"/>
          <w:szCs w:val="44"/>
        </w:rPr>
      </w:pPr>
      <w:r>
        <w:rPr>
          <w:rFonts w:ascii="Georgia" w:eastAsiaTheme="majorEastAsia" w:hAnsi="Georgia" w:cstheme="majorBidi"/>
          <w:color w:val="CF0A2C" w:themeColor="accent1"/>
          <w:kern w:val="28"/>
          <w:sz w:val="44"/>
          <w:szCs w:val="44"/>
        </w:rPr>
        <w:t>Future Drought Fund</w:t>
      </w:r>
      <w:r w:rsidR="001C6FE7">
        <w:rPr>
          <w:rFonts w:ascii="Georgia" w:eastAsiaTheme="majorEastAsia" w:hAnsi="Georgia" w:cstheme="majorBidi"/>
          <w:color w:val="CF0A2C" w:themeColor="accent1"/>
          <w:kern w:val="28"/>
          <w:sz w:val="44"/>
          <w:szCs w:val="44"/>
        </w:rPr>
        <w:t>:</w:t>
      </w:r>
      <w:r w:rsidR="004C77FA">
        <w:rPr>
          <w:rFonts w:ascii="Georgia" w:eastAsiaTheme="majorEastAsia" w:hAnsi="Georgia" w:cstheme="majorBidi"/>
          <w:color w:val="CF0A2C" w:themeColor="accent1"/>
          <w:kern w:val="28"/>
          <w:sz w:val="44"/>
          <w:szCs w:val="44"/>
        </w:rPr>
        <w:t xml:space="preserve"> </w:t>
      </w:r>
      <w:r w:rsidR="008E66BC">
        <w:rPr>
          <w:rFonts w:ascii="Georgia" w:eastAsiaTheme="majorEastAsia" w:hAnsi="Georgia" w:cstheme="majorBidi"/>
          <w:color w:val="CF0A2C" w:themeColor="accent1"/>
          <w:kern w:val="28"/>
          <w:sz w:val="44"/>
          <w:szCs w:val="44"/>
        </w:rPr>
        <w:t>Adoption and Innovation Hubs</w:t>
      </w:r>
      <w:r w:rsidR="00E07BA4">
        <w:rPr>
          <w:rFonts w:ascii="Georgia" w:eastAsiaTheme="majorEastAsia" w:hAnsi="Georgia" w:cstheme="majorBidi"/>
          <w:color w:val="CF0A2C" w:themeColor="accent1"/>
          <w:kern w:val="28"/>
          <w:sz w:val="44"/>
          <w:szCs w:val="44"/>
        </w:rPr>
        <w:t xml:space="preserve"> to Build Drought Resilience</w:t>
      </w:r>
      <w:r w:rsidR="00862A87">
        <w:rPr>
          <w:rFonts w:ascii="Georgia" w:eastAsiaTheme="majorEastAsia" w:hAnsi="Georgia" w:cstheme="majorBidi"/>
          <w:color w:val="CF0A2C" w:themeColor="accent1"/>
          <w:kern w:val="28"/>
          <w:sz w:val="44"/>
          <w:szCs w:val="44"/>
        </w:rPr>
        <w:t xml:space="preserve"> </w:t>
      </w:r>
      <w:r w:rsidR="000470EE" w:rsidRPr="003104C5">
        <w:rPr>
          <w:rFonts w:ascii="Georgia" w:eastAsiaTheme="majorEastAsia" w:hAnsi="Georgia" w:cstheme="majorBidi"/>
          <w:color w:val="CF0A2C" w:themeColor="accent1"/>
          <w:kern w:val="28"/>
          <w:sz w:val="44"/>
          <w:szCs w:val="44"/>
        </w:rPr>
        <w:t>–</w:t>
      </w:r>
      <w:r w:rsidR="004C77FA">
        <w:rPr>
          <w:rFonts w:ascii="Georgia" w:eastAsiaTheme="majorEastAsia" w:hAnsi="Georgia" w:cstheme="majorBidi"/>
          <w:color w:val="CF0A2C" w:themeColor="accent1"/>
          <w:kern w:val="28"/>
          <w:sz w:val="44"/>
          <w:szCs w:val="44"/>
        </w:rPr>
        <w:t xml:space="preserve"> </w:t>
      </w:r>
      <w:r w:rsidR="00862A87">
        <w:rPr>
          <w:rFonts w:ascii="Georgia" w:eastAsiaTheme="majorEastAsia" w:hAnsi="Georgia" w:cstheme="majorBidi"/>
          <w:color w:val="CF0A2C" w:themeColor="accent1"/>
          <w:kern w:val="28"/>
          <w:sz w:val="44"/>
          <w:szCs w:val="44"/>
        </w:rPr>
        <w:t>Competi</w:t>
      </w:r>
      <w:r w:rsidR="003173B0" w:rsidRPr="003173B0">
        <w:rPr>
          <w:rFonts w:ascii="Georgia" w:eastAsiaTheme="majorEastAsia" w:hAnsi="Georgia" w:cstheme="majorBidi"/>
          <w:color w:val="CF0A2C" w:themeColor="accent1"/>
          <w:kern w:val="28"/>
          <w:sz w:val="44"/>
          <w:szCs w:val="44"/>
        </w:rPr>
        <w:t xml:space="preserve">tive Grant </w:t>
      </w:r>
    </w:p>
    <w:p w:rsidR="00CC1B7B" w:rsidRDefault="00CC1B7B" w:rsidP="00CC1B7B">
      <w:pPr>
        <w:rPr>
          <w:sz w:val="40"/>
          <w:szCs w:val="40"/>
        </w:rPr>
      </w:pPr>
      <w:r>
        <w:rPr>
          <w:sz w:val="40"/>
          <w:szCs w:val="40"/>
        </w:rPr>
        <w:t xml:space="preserve">Questions and Answers </w:t>
      </w:r>
    </w:p>
    <w:p w:rsidR="00CC1B7B" w:rsidRPr="001F5FC1" w:rsidRDefault="00CC1B7B" w:rsidP="00046AC0">
      <w:pPr>
        <w:pStyle w:val="Heading2"/>
        <w:numPr>
          <w:ilvl w:val="0"/>
          <w:numId w:val="6"/>
        </w:numPr>
        <w:ind w:left="426" w:hanging="426"/>
        <w:rPr>
          <w:rFonts w:eastAsia="Calibri"/>
          <w:sz w:val="22"/>
          <w:szCs w:val="22"/>
        </w:rPr>
      </w:pPr>
      <w:r w:rsidRPr="001F5FC1">
        <w:rPr>
          <w:rFonts w:eastAsia="Calibri"/>
          <w:sz w:val="22"/>
          <w:szCs w:val="22"/>
        </w:rPr>
        <w:t>What is the closing time and date for applications?</w:t>
      </w:r>
    </w:p>
    <w:p w:rsidR="00266CC2" w:rsidRPr="00553E1A" w:rsidRDefault="00CC1B7B" w:rsidP="003173B0">
      <w:pPr>
        <w:ind w:left="426"/>
        <w:rPr>
          <w:b/>
          <w:lang w:val="en" w:eastAsia="en-AU"/>
        </w:rPr>
      </w:pPr>
      <w:r w:rsidRPr="00660F7F">
        <w:rPr>
          <w:lang w:val="en" w:eastAsia="en-AU"/>
        </w:rPr>
        <w:t xml:space="preserve">The </w:t>
      </w:r>
      <w:r w:rsidR="00B6260B">
        <w:rPr>
          <w:lang w:val="en" w:eastAsia="en-AU"/>
        </w:rPr>
        <w:t>a</w:t>
      </w:r>
      <w:r w:rsidR="00B6260B" w:rsidRPr="00660F7F">
        <w:rPr>
          <w:lang w:val="en" w:eastAsia="en-AU"/>
        </w:rPr>
        <w:t xml:space="preserve">pplication </w:t>
      </w:r>
      <w:r w:rsidR="00B6260B">
        <w:rPr>
          <w:lang w:val="en" w:eastAsia="en-AU"/>
        </w:rPr>
        <w:t>f</w:t>
      </w:r>
      <w:r w:rsidR="00B6260B" w:rsidRPr="00660F7F">
        <w:rPr>
          <w:lang w:val="en" w:eastAsia="en-AU"/>
        </w:rPr>
        <w:t xml:space="preserve">orm </w:t>
      </w:r>
      <w:r w:rsidRPr="00660F7F">
        <w:rPr>
          <w:lang w:val="en" w:eastAsia="en-AU"/>
        </w:rPr>
        <w:t xml:space="preserve">must be submitted by </w:t>
      </w:r>
      <w:r w:rsidR="007D7536">
        <w:rPr>
          <w:b/>
          <w:lang w:val="en" w:eastAsia="en-AU"/>
        </w:rPr>
        <w:t>11</w:t>
      </w:r>
      <w:r w:rsidRPr="00660F7F">
        <w:rPr>
          <w:b/>
          <w:lang w:val="en" w:eastAsia="en-AU"/>
        </w:rPr>
        <w:t>.00</w:t>
      </w:r>
      <w:r w:rsidR="000470EE">
        <w:rPr>
          <w:b/>
          <w:lang w:val="en" w:eastAsia="en-AU"/>
        </w:rPr>
        <w:t xml:space="preserve"> </w:t>
      </w:r>
      <w:r w:rsidRPr="00660F7F">
        <w:rPr>
          <w:b/>
          <w:lang w:val="en" w:eastAsia="en-AU"/>
        </w:rPr>
        <w:t xml:space="preserve">pm </w:t>
      </w:r>
      <w:r w:rsidR="000470EE">
        <w:rPr>
          <w:b/>
          <w:lang w:val="en" w:eastAsia="en-AU"/>
        </w:rPr>
        <w:t xml:space="preserve">AEDT </w:t>
      </w:r>
      <w:r w:rsidRPr="00660F7F">
        <w:rPr>
          <w:b/>
          <w:lang w:val="en" w:eastAsia="en-AU"/>
        </w:rPr>
        <w:t xml:space="preserve">on </w:t>
      </w:r>
      <w:r w:rsidR="00CF3652">
        <w:rPr>
          <w:b/>
          <w:lang w:val="en" w:eastAsia="en-AU"/>
        </w:rPr>
        <w:t>2</w:t>
      </w:r>
      <w:r w:rsidR="00553E1A">
        <w:rPr>
          <w:b/>
          <w:lang w:val="en" w:eastAsia="en-AU"/>
        </w:rPr>
        <w:t>3</w:t>
      </w:r>
      <w:r w:rsidR="00155BEC">
        <w:rPr>
          <w:b/>
          <w:lang w:val="en" w:eastAsia="en-AU"/>
        </w:rPr>
        <w:t xml:space="preserve"> </w:t>
      </w:r>
      <w:r w:rsidR="004C7743">
        <w:rPr>
          <w:b/>
          <w:lang w:val="en" w:eastAsia="en-AU"/>
        </w:rPr>
        <w:t>December</w:t>
      </w:r>
      <w:r w:rsidR="00155BEC">
        <w:rPr>
          <w:b/>
          <w:lang w:val="en" w:eastAsia="en-AU"/>
        </w:rPr>
        <w:t xml:space="preserve"> </w:t>
      </w:r>
      <w:r w:rsidR="003173B0">
        <w:rPr>
          <w:b/>
          <w:lang w:val="en" w:eastAsia="en-AU"/>
        </w:rPr>
        <w:t>2020</w:t>
      </w:r>
      <w:r w:rsidRPr="00660F7F">
        <w:rPr>
          <w:lang w:val="en" w:eastAsia="en-AU"/>
        </w:rPr>
        <w:t xml:space="preserve">. </w:t>
      </w:r>
      <w:r w:rsidR="00266CC2" w:rsidRPr="00553E1A">
        <w:rPr>
          <w:b/>
          <w:lang w:val="en" w:eastAsia="en-AU"/>
        </w:rPr>
        <w:t>Late</w:t>
      </w:r>
      <w:r w:rsidR="002866A2" w:rsidRPr="00553E1A">
        <w:rPr>
          <w:b/>
          <w:lang w:val="en" w:eastAsia="en-AU"/>
        </w:rPr>
        <w:t> </w:t>
      </w:r>
      <w:r w:rsidR="00266CC2" w:rsidRPr="00553E1A">
        <w:rPr>
          <w:b/>
          <w:lang w:val="en" w:eastAsia="en-AU"/>
        </w:rPr>
        <w:t>applications will not be accepted.</w:t>
      </w:r>
    </w:p>
    <w:p w:rsidR="00CC1B7B" w:rsidRPr="001F5FC1" w:rsidRDefault="00CC1B7B" w:rsidP="00046AC0">
      <w:pPr>
        <w:pStyle w:val="Heading2"/>
        <w:numPr>
          <w:ilvl w:val="0"/>
          <w:numId w:val="6"/>
        </w:numPr>
        <w:ind w:left="426" w:hanging="426"/>
        <w:rPr>
          <w:rFonts w:eastAsia="Calibri"/>
          <w:sz w:val="22"/>
          <w:szCs w:val="22"/>
        </w:rPr>
      </w:pPr>
      <w:r w:rsidRPr="001F5FC1">
        <w:rPr>
          <w:rFonts w:eastAsia="Calibri"/>
          <w:sz w:val="22"/>
          <w:szCs w:val="22"/>
        </w:rPr>
        <w:t>If I am not able to submit my application by the due time and date, can I be granted an extension?</w:t>
      </w:r>
    </w:p>
    <w:p w:rsidR="00CC1B7B" w:rsidRPr="006375BB" w:rsidRDefault="00266CC2" w:rsidP="00046AC0">
      <w:pPr>
        <w:ind w:left="426"/>
        <w:rPr>
          <w:rFonts w:cs="Arial"/>
          <w:b/>
          <w:color w:val="2C2A29"/>
          <w:lang w:val="en"/>
        </w:rPr>
      </w:pPr>
      <w:r>
        <w:t xml:space="preserve">Late applications will not be accepted. </w:t>
      </w:r>
    </w:p>
    <w:p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Can I apply for funding if I am receiving funding or have received funding for the same activity?</w:t>
      </w:r>
      <w:r>
        <w:rPr>
          <w:rFonts w:eastAsia="Calibri" w:cstheme="majorHAnsi"/>
          <w:sz w:val="22"/>
          <w:szCs w:val="22"/>
        </w:rPr>
        <w:t xml:space="preserve"> </w:t>
      </w:r>
    </w:p>
    <w:p w:rsidR="00460114" w:rsidRDefault="00AB31BB" w:rsidP="00BA78D1">
      <w:pPr>
        <w:ind w:left="426"/>
      </w:pPr>
      <w:r w:rsidRPr="00AB31BB">
        <w:t>You cannot spend grant money on activities that you receive funding for under any other government program unless this funding is an identified co-contribution</w:t>
      </w:r>
      <w:r>
        <w:t>.</w:t>
      </w:r>
      <w:r w:rsidRPr="00AB31BB" w:rsidDel="00AB31BB">
        <w:t xml:space="preserve"> </w:t>
      </w:r>
    </w:p>
    <w:p w:rsidR="003173B0" w:rsidRPr="00BA78D1" w:rsidRDefault="004C7743" w:rsidP="00BA78D1">
      <w:pPr>
        <w:ind w:left="426"/>
      </w:pPr>
      <w:r>
        <w:t>Please refer to section 5</w:t>
      </w:r>
      <w:r w:rsidR="00B637C7" w:rsidRPr="00BA78D1">
        <w:t xml:space="preserve"> of the Grant Opportunity Guidelines</w:t>
      </w:r>
      <w:r w:rsidR="0058237C" w:rsidRPr="00BA78D1">
        <w:t>.</w:t>
      </w:r>
    </w:p>
    <w:p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 xml:space="preserve">Is </w:t>
      </w:r>
      <w:r>
        <w:rPr>
          <w:rFonts w:eastAsia="Calibri" w:cstheme="majorHAnsi"/>
          <w:sz w:val="22"/>
          <w:szCs w:val="22"/>
        </w:rPr>
        <w:t>sourcing additional</w:t>
      </w:r>
      <w:r w:rsidRPr="000C15C8">
        <w:rPr>
          <w:rFonts w:eastAsia="Calibri" w:cstheme="majorHAnsi"/>
          <w:sz w:val="22"/>
          <w:szCs w:val="22"/>
        </w:rPr>
        <w:t xml:space="preserve"> cash and in-kind contribution</w:t>
      </w:r>
      <w:r>
        <w:rPr>
          <w:rFonts w:eastAsia="Calibri" w:cstheme="majorHAnsi"/>
          <w:sz w:val="22"/>
          <w:szCs w:val="22"/>
        </w:rPr>
        <w:t>s</w:t>
      </w:r>
      <w:r w:rsidRPr="000C15C8">
        <w:rPr>
          <w:rFonts w:eastAsia="Calibri" w:cstheme="majorHAnsi"/>
          <w:sz w:val="22"/>
          <w:szCs w:val="22"/>
        </w:rPr>
        <w:t xml:space="preserve"> required? </w:t>
      </w:r>
    </w:p>
    <w:p w:rsidR="004C7743" w:rsidRPr="004C7743" w:rsidRDefault="004C7743" w:rsidP="004C7743">
      <w:pPr>
        <w:ind w:left="426"/>
        <w:rPr>
          <w:rFonts w:cstheme="minorHAnsi"/>
        </w:rPr>
      </w:pPr>
      <w:r w:rsidRPr="004C7743">
        <w:rPr>
          <w:rFonts w:cstheme="minorHAnsi"/>
        </w:rPr>
        <w:t>A matching co-contribution is required. The grant amount will be up to 50</w:t>
      </w:r>
      <w:r w:rsidR="00553E1A">
        <w:rPr>
          <w:rFonts w:cstheme="minorHAnsi"/>
        </w:rPr>
        <w:t>%</w:t>
      </w:r>
      <w:r w:rsidR="00DB0238">
        <w:rPr>
          <w:rFonts w:cstheme="minorHAnsi"/>
        </w:rPr>
        <w:t xml:space="preserve"> </w:t>
      </w:r>
      <w:r w:rsidRPr="004C7743">
        <w:rPr>
          <w:rFonts w:cstheme="minorHAnsi"/>
        </w:rPr>
        <w:t>of eligible project costs (grant percentage). The remaining 50</w:t>
      </w:r>
      <w:r w:rsidR="00553E1A">
        <w:rPr>
          <w:rFonts w:cstheme="minorHAnsi"/>
        </w:rPr>
        <w:t>%</w:t>
      </w:r>
      <w:r w:rsidR="00DB0238">
        <w:rPr>
          <w:rFonts w:cstheme="minorHAnsi"/>
        </w:rPr>
        <w:t xml:space="preserve"> </w:t>
      </w:r>
      <w:r w:rsidRPr="004C7743">
        <w:rPr>
          <w:rFonts w:cstheme="minorHAnsi"/>
        </w:rPr>
        <w:t>of eligible project costs we consider your contribution. Your contribution can be a mix of cash and in-kind support.</w:t>
      </w:r>
    </w:p>
    <w:p w:rsidR="004C7743" w:rsidRDefault="004C7743" w:rsidP="004C7743">
      <w:pPr>
        <w:ind w:left="426"/>
        <w:rPr>
          <w:rFonts w:cstheme="minorHAnsi"/>
        </w:rPr>
      </w:pPr>
      <w:r w:rsidRPr="004C7743">
        <w:rPr>
          <w:rFonts w:cstheme="minorHAnsi"/>
        </w:rPr>
        <w:t>Your co-contribution can come from any source other than the Commonwealth including state, territory and local government, research organisations, industry and other Hubs partners. State and/or territory government participation is encouraged.</w:t>
      </w:r>
    </w:p>
    <w:p w:rsidR="00380971" w:rsidRDefault="00380971" w:rsidP="004C7743">
      <w:pPr>
        <w:ind w:left="426"/>
        <w:rPr>
          <w:rFonts w:cstheme="minorHAnsi"/>
        </w:rPr>
      </w:pPr>
      <w:r w:rsidRPr="00380971">
        <w:rPr>
          <w:rFonts w:cstheme="minorHAnsi"/>
        </w:rPr>
        <w:t>The extent and nature of co-contributions will be a consideration in assessing applications.</w:t>
      </w:r>
    </w:p>
    <w:p w:rsidR="004C7743" w:rsidRPr="004C7743" w:rsidRDefault="004C7743" w:rsidP="004C7743">
      <w:pPr>
        <w:ind w:left="426"/>
      </w:pPr>
      <w:r>
        <w:t xml:space="preserve">Please refer to section </w:t>
      </w:r>
      <w:r w:rsidR="0080593A">
        <w:t>1</w:t>
      </w:r>
      <w:r>
        <w:t>5</w:t>
      </w:r>
      <w:r w:rsidRPr="00BA78D1">
        <w:t xml:space="preserve"> of the Grant Opportunity Guidelines.</w:t>
      </w:r>
    </w:p>
    <w:p w:rsidR="00406610" w:rsidRDefault="00406610" w:rsidP="00EA12F7">
      <w:pPr>
        <w:pStyle w:val="Heading2"/>
        <w:numPr>
          <w:ilvl w:val="0"/>
          <w:numId w:val="6"/>
        </w:numPr>
        <w:ind w:left="426" w:hanging="426"/>
        <w:rPr>
          <w:rFonts w:eastAsia="Calibri" w:cstheme="majorHAnsi"/>
          <w:sz w:val="22"/>
          <w:szCs w:val="22"/>
        </w:rPr>
      </w:pPr>
      <w:r>
        <w:rPr>
          <w:rFonts w:eastAsia="Calibri" w:cstheme="majorHAnsi"/>
          <w:sz w:val="22"/>
          <w:szCs w:val="22"/>
        </w:rPr>
        <w:lastRenderedPageBreak/>
        <w:t>Who is eligible to apply as a lead applicant for a grant?</w:t>
      </w:r>
    </w:p>
    <w:p w:rsidR="008F341D" w:rsidRPr="005B240C" w:rsidRDefault="008F341D" w:rsidP="00553E1A">
      <w:pPr>
        <w:pStyle w:val="ListBullet"/>
        <w:keepNext/>
        <w:keepLines/>
        <w:numPr>
          <w:ilvl w:val="0"/>
          <w:numId w:val="0"/>
        </w:numPr>
        <w:ind w:left="425"/>
        <w:rPr>
          <w:rFonts w:ascii="Arial" w:eastAsiaTheme="minorHAnsi" w:hAnsi="Arial" w:cstheme="minorHAnsi"/>
        </w:rPr>
      </w:pPr>
      <w:r w:rsidRPr="005B240C">
        <w:rPr>
          <w:rFonts w:ascii="Arial" w:eastAsiaTheme="minorHAnsi" w:hAnsi="Arial" w:cstheme="minorHAnsi"/>
        </w:rPr>
        <w:t>To be eligible you must have an Australian Business Number (ABN) and be one of the following:</w:t>
      </w:r>
    </w:p>
    <w:p w:rsidR="008F341D" w:rsidRPr="00C41F7E" w:rsidRDefault="008F341D" w:rsidP="00553E1A">
      <w:pPr>
        <w:pStyle w:val="ListParagraph"/>
        <w:keepNext/>
        <w:keepLines/>
        <w:numPr>
          <w:ilvl w:val="0"/>
          <w:numId w:val="25"/>
        </w:numPr>
        <w:rPr>
          <w:rFonts w:cstheme="minorHAnsi"/>
        </w:rPr>
      </w:pPr>
      <w:r w:rsidRPr="00C41F7E">
        <w:rPr>
          <w:rFonts w:cstheme="minorHAnsi"/>
        </w:rPr>
        <w:t>a Company</w:t>
      </w:r>
      <w:r>
        <w:rPr>
          <w:rFonts w:cstheme="minorHAnsi"/>
        </w:rPr>
        <w:t xml:space="preserve"> </w:t>
      </w:r>
      <w:r w:rsidRPr="005B240C">
        <w:rPr>
          <w:rFonts w:cstheme="minorHAnsi"/>
          <w:vertAlign w:val="superscript"/>
        </w:rPr>
        <w:footnoteReference w:id="1"/>
      </w:r>
      <w:r w:rsidRPr="00C41F7E">
        <w:rPr>
          <w:rFonts w:cstheme="minorHAnsi"/>
        </w:rPr>
        <w:t xml:space="preserve"> </w:t>
      </w:r>
    </w:p>
    <w:p w:rsidR="008F341D" w:rsidRPr="00C41F7E" w:rsidRDefault="008F341D" w:rsidP="00553E1A">
      <w:pPr>
        <w:pStyle w:val="ListParagraph"/>
        <w:keepNext/>
        <w:keepLines/>
        <w:numPr>
          <w:ilvl w:val="0"/>
          <w:numId w:val="25"/>
        </w:numPr>
        <w:rPr>
          <w:rFonts w:cstheme="minorHAnsi"/>
        </w:rPr>
      </w:pPr>
      <w:r w:rsidRPr="00C41F7E">
        <w:rPr>
          <w:rFonts w:cstheme="minorHAnsi"/>
        </w:rPr>
        <w:t>a co-operative</w:t>
      </w:r>
    </w:p>
    <w:p w:rsidR="008F341D" w:rsidRPr="00C41F7E" w:rsidRDefault="008F341D" w:rsidP="00553E1A">
      <w:pPr>
        <w:pStyle w:val="ListParagraph"/>
        <w:keepNext/>
        <w:keepLines/>
        <w:numPr>
          <w:ilvl w:val="0"/>
          <w:numId w:val="25"/>
        </w:numPr>
        <w:rPr>
          <w:rFonts w:cstheme="minorHAnsi"/>
        </w:rPr>
      </w:pPr>
      <w:r w:rsidRPr="00C41F7E">
        <w:rPr>
          <w:rFonts w:cstheme="minorHAnsi"/>
        </w:rPr>
        <w:t xml:space="preserve">an </w:t>
      </w:r>
      <w:r w:rsidR="000470EE">
        <w:rPr>
          <w:rFonts w:cstheme="minorHAnsi"/>
        </w:rPr>
        <w:t>I</w:t>
      </w:r>
      <w:r w:rsidR="000470EE" w:rsidRPr="00C41F7E">
        <w:rPr>
          <w:rFonts w:cstheme="minorHAnsi"/>
        </w:rPr>
        <w:t xml:space="preserve">ndigenous </w:t>
      </w:r>
      <w:r w:rsidRPr="00C41F7E">
        <w:rPr>
          <w:rFonts w:cstheme="minorHAnsi"/>
        </w:rPr>
        <w:t>corporation</w:t>
      </w:r>
    </w:p>
    <w:p w:rsidR="008F341D" w:rsidRPr="00C41F7E" w:rsidRDefault="008F341D" w:rsidP="00553E1A">
      <w:pPr>
        <w:pStyle w:val="ListParagraph"/>
        <w:keepNext/>
        <w:keepLines/>
        <w:numPr>
          <w:ilvl w:val="0"/>
          <w:numId w:val="25"/>
        </w:numPr>
        <w:rPr>
          <w:rFonts w:cstheme="minorHAnsi"/>
        </w:rPr>
      </w:pPr>
      <w:r w:rsidRPr="00C41F7E">
        <w:rPr>
          <w:rFonts w:cstheme="minorHAnsi"/>
        </w:rPr>
        <w:t>a local government entity</w:t>
      </w:r>
    </w:p>
    <w:p w:rsidR="008F341D" w:rsidRPr="00C41F7E" w:rsidRDefault="00553E1A" w:rsidP="00553E1A">
      <w:pPr>
        <w:pStyle w:val="ListParagraph"/>
        <w:keepNext/>
        <w:keepLines/>
        <w:numPr>
          <w:ilvl w:val="0"/>
          <w:numId w:val="25"/>
        </w:numPr>
        <w:rPr>
          <w:rFonts w:cstheme="minorHAnsi"/>
        </w:rPr>
      </w:pPr>
      <w:r>
        <w:rPr>
          <w:rFonts w:cstheme="minorHAnsi"/>
        </w:rPr>
        <w:t xml:space="preserve">an </w:t>
      </w:r>
      <w:r w:rsidR="008F341D" w:rsidRPr="00C41F7E">
        <w:rPr>
          <w:rFonts w:cstheme="minorHAnsi"/>
        </w:rPr>
        <w:t>incorporated association</w:t>
      </w:r>
      <w:r w:rsidR="00C17811" w:rsidRPr="00C41F7E">
        <w:rPr>
          <w:rFonts w:cstheme="minorHAnsi"/>
        </w:rPr>
        <w:t xml:space="preserve"> </w:t>
      </w:r>
      <w:r w:rsidR="008F341D" w:rsidRPr="00C41F7E">
        <w:rPr>
          <w:rFonts w:cstheme="minorHAnsi"/>
        </w:rPr>
        <w:t>(for example</w:t>
      </w:r>
      <w:r>
        <w:rPr>
          <w:rFonts w:cstheme="minorHAnsi"/>
        </w:rPr>
        <w:t>,</w:t>
      </w:r>
      <w:r w:rsidR="008F341D" w:rsidRPr="00C41F7E">
        <w:rPr>
          <w:rFonts w:cstheme="minorHAnsi"/>
        </w:rPr>
        <w:t xml:space="preserve"> an incorporated not for profit organisation) </w:t>
      </w:r>
    </w:p>
    <w:p w:rsidR="008F341D" w:rsidRPr="00C41F7E" w:rsidRDefault="008F341D" w:rsidP="00553E1A">
      <w:pPr>
        <w:pStyle w:val="ListParagraph"/>
        <w:keepNext/>
        <w:keepLines/>
        <w:numPr>
          <w:ilvl w:val="0"/>
          <w:numId w:val="25"/>
        </w:numPr>
        <w:rPr>
          <w:rFonts w:cstheme="minorHAnsi"/>
        </w:rPr>
      </w:pPr>
      <w:r w:rsidRPr="00C41F7E">
        <w:rPr>
          <w:rFonts w:cstheme="minorHAnsi"/>
        </w:rPr>
        <w:t>an incorporated joint venture between an Australian state/territory government agency and a university or other organisation</w:t>
      </w:r>
    </w:p>
    <w:p w:rsidR="008F341D" w:rsidRPr="00C41F7E" w:rsidRDefault="008F341D" w:rsidP="00553E1A">
      <w:pPr>
        <w:pStyle w:val="ListParagraph"/>
        <w:keepNext/>
        <w:keepLines/>
        <w:numPr>
          <w:ilvl w:val="0"/>
          <w:numId w:val="25"/>
        </w:numPr>
        <w:rPr>
          <w:rFonts w:cstheme="minorHAnsi"/>
        </w:rPr>
      </w:pPr>
      <w:r w:rsidRPr="00C41F7E">
        <w:rPr>
          <w:rFonts w:cstheme="minorHAnsi"/>
        </w:rPr>
        <w:t xml:space="preserve">a registered higher education provider for the purposes of the </w:t>
      </w:r>
      <w:r w:rsidRPr="00C41F7E">
        <w:rPr>
          <w:rFonts w:cstheme="minorHAnsi"/>
          <w:i/>
        </w:rPr>
        <w:t>Tertiary Education Quality and Standards Agency Act 2011</w:t>
      </w:r>
      <w:r w:rsidRPr="00C41F7E">
        <w:rPr>
          <w:rFonts w:cstheme="minorHAnsi"/>
        </w:rPr>
        <w:t xml:space="preserve"> (</w:t>
      </w:r>
      <w:proofErr w:type="spellStart"/>
      <w:r w:rsidRPr="00C41F7E">
        <w:rPr>
          <w:rFonts w:cstheme="minorHAnsi"/>
        </w:rPr>
        <w:t>Cth</w:t>
      </w:r>
      <w:proofErr w:type="spellEnd"/>
      <w:r w:rsidRPr="00C41F7E">
        <w:rPr>
          <w:rFonts w:cstheme="minorHAnsi"/>
        </w:rPr>
        <w:t>), that is registered in a provider category that permits the use of the word “university”</w:t>
      </w:r>
    </w:p>
    <w:p w:rsidR="00406610" w:rsidRPr="00C41F7E" w:rsidRDefault="008F341D" w:rsidP="00553E1A">
      <w:pPr>
        <w:pStyle w:val="ListParagraph"/>
        <w:keepNext/>
        <w:keepLines/>
        <w:numPr>
          <w:ilvl w:val="0"/>
          <w:numId w:val="18"/>
        </w:numPr>
        <w:rPr>
          <w:rFonts w:cstheme="minorHAnsi"/>
        </w:rPr>
      </w:pPr>
      <w:r w:rsidRPr="00C41F7E">
        <w:rPr>
          <w:rFonts w:cstheme="minorHAnsi"/>
        </w:rPr>
        <w:t>A Trust</w:t>
      </w:r>
      <w:r w:rsidR="000470EE">
        <w:rPr>
          <w:rFonts w:cstheme="minorHAnsi"/>
        </w:rPr>
        <w:t>.</w:t>
      </w:r>
      <w:r w:rsidRPr="005B240C">
        <w:rPr>
          <w:rFonts w:cstheme="minorHAnsi"/>
          <w:vertAlign w:val="superscript"/>
        </w:rPr>
        <w:footnoteReference w:id="2"/>
      </w:r>
    </w:p>
    <w:p w:rsidR="00521B01" w:rsidRDefault="00406610" w:rsidP="005B240C">
      <w:pPr>
        <w:ind w:left="426"/>
        <w:rPr>
          <w:rFonts w:cstheme="minorHAnsi"/>
        </w:rPr>
      </w:pPr>
      <w:r>
        <w:rPr>
          <w:rFonts w:cstheme="minorHAnsi"/>
        </w:rPr>
        <w:t>For the purposes</w:t>
      </w:r>
      <w:r w:rsidR="00521B01">
        <w:rPr>
          <w:rFonts w:cstheme="minorHAnsi"/>
        </w:rPr>
        <w:t xml:space="preserve"> of this grant opportunity:</w:t>
      </w:r>
    </w:p>
    <w:p w:rsidR="001349CF" w:rsidRDefault="00852367" w:rsidP="001349CF">
      <w:pPr>
        <w:pStyle w:val="ListParagraph"/>
        <w:numPr>
          <w:ilvl w:val="0"/>
          <w:numId w:val="18"/>
        </w:numPr>
        <w:rPr>
          <w:rFonts w:cstheme="minorHAnsi"/>
        </w:rPr>
      </w:pPr>
      <w:r>
        <w:rPr>
          <w:rFonts w:cstheme="minorHAnsi"/>
        </w:rPr>
        <w:t>A</w:t>
      </w:r>
      <w:r w:rsidR="001349CF">
        <w:rPr>
          <w:rFonts w:cstheme="minorHAnsi"/>
        </w:rPr>
        <w:t>n incorporated a</w:t>
      </w:r>
      <w:r w:rsidR="001349CF" w:rsidRPr="00521B01">
        <w:rPr>
          <w:rFonts w:cstheme="minorHAnsi"/>
        </w:rPr>
        <w:t xml:space="preserve">ssociation is an association that has been incorporated or registered as an incorporated association under the relevant incorporated </w:t>
      </w:r>
      <w:proofErr w:type="gramStart"/>
      <w:r w:rsidR="001349CF" w:rsidRPr="00521B01">
        <w:rPr>
          <w:rFonts w:cstheme="minorHAnsi"/>
        </w:rPr>
        <w:t>associations</w:t>
      </w:r>
      <w:proofErr w:type="gramEnd"/>
      <w:r w:rsidR="001349CF" w:rsidRPr="00521B01">
        <w:rPr>
          <w:rFonts w:cstheme="minorHAnsi"/>
        </w:rPr>
        <w:t xml:space="preserve"> legislation in the </w:t>
      </w:r>
      <w:r w:rsidR="000470EE">
        <w:rPr>
          <w:rFonts w:cstheme="minorHAnsi"/>
        </w:rPr>
        <w:t>s</w:t>
      </w:r>
      <w:r w:rsidR="000470EE" w:rsidRPr="00521B01">
        <w:rPr>
          <w:rFonts w:cstheme="minorHAnsi"/>
        </w:rPr>
        <w:t xml:space="preserve">tate </w:t>
      </w:r>
      <w:r w:rsidR="001349CF" w:rsidRPr="00521B01">
        <w:rPr>
          <w:rFonts w:cstheme="minorHAnsi"/>
        </w:rPr>
        <w:t xml:space="preserve">or </w:t>
      </w:r>
      <w:r w:rsidR="000470EE">
        <w:rPr>
          <w:rFonts w:cstheme="minorHAnsi"/>
        </w:rPr>
        <w:t>t</w:t>
      </w:r>
      <w:r w:rsidR="000470EE" w:rsidRPr="00521B01">
        <w:rPr>
          <w:rFonts w:cstheme="minorHAnsi"/>
        </w:rPr>
        <w:t xml:space="preserve">erritory </w:t>
      </w:r>
      <w:r w:rsidR="001349CF" w:rsidRPr="00521B01">
        <w:rPr>
          <w:rFonts w:cstheme="minorHAnsi"/>
        </w:rPr>
        <w:t>in which they were formed.</w:t>
      </w:r>
    </w:p>
    <w:p w:rsidR="00406610" w:rsidRDefault="00852367" w:rsidP="005B240C">
      <w:pPr>
        <w:pStyle w:val="ListParagraph"/>
        <w:numPr>
          <w:ilvl w:val="0"/>
          <w:numId w:val="18"/>
        </w:numPr>
        <w:rPr>
          <w:rFonts w:cstheme="minorHAnsi"/>
        </w:rPr>
      </w:pPr>
      <w:r>
        <w:rPr>
          <w:rFonts w:cstheme="minorHAnsi"/>
        </w:rPr>
        <w:t>A</w:t>
      </w:r>
      <w:r w:rsidR="00406610" w:rsidRPr="00C41F7E">
        <w:rPr>
          <w:rFonts w:cstheme="minorHAnsi"/>
        </w:rPr>
        <w:t>n incorporated joint venture is where the participants arrange for the incorporation of a separate legal entity to pursue an agreed business objective.</w:t>
      </w:r>
    </w:p>
    <w:p w:rsidR="00CA0496" w:rsidRDefault="00CA0496" w:rsidP="005B240C">
      <w:pPr>
        <w:ind w:left="426"/>
        <w:rPr>
          <w:rFonts w:cstheme="minorHAnsi"/>
        </w:rPr>
      </w:pPr>
      <w:r w:rsidRPr="00CA0496">
        <w:rPr>
          <w:rFonts w:cstheme="minorHAnsi"/>
        </w:rPr>
        <w:t xml:space="preserve">An important intention of the program is </w:t>
      </w:r>
      <w:r>
        <w:rPr>
          <w:rFonts w:cstheme="minorHAnsi"/>
        </w:rPr>
        <w:t xml:space="preserve">that </w:t>
      </w:r>
      <w:r w:rsidRPr="00CA0496">
        <w:rPr>
          <w:rFonts w:cstheme="minorHAnsi"/>
        </w:rPr>
        <w:t>Hubs include higher education providers. The definition that is included provides cl</w:t>
      </w:r>
      <w:r>
        <w:rPr>
          <w:rFonts w:cstheme="minorHAnsi"/>
        </w:rPr>
        <w:t>arity that, to be eligible to be a lead applicant</w:t>
      </w:r>
      <w:r w:rsidRPr="00CA0496">
        <w:rPr>
          <w:rFonts w:cstheme="minorHAnsi"/>
        </w:rPr>
        <w:t xml:space="preserve">, the registered higher education providers must be registered in a category under the relevant Act that permits the provider to be called a university. Higher education providers that are not registered in such a category are not eligible </w:t>
      </w:r>
      <w:r>
        <w:rPr>
          <w:rFonts w:cstheme="minorHAnsi"/>
        </w:rPr>
        <w:t>to be a lead applicant for this grant opportunity</w:t>
      </w:r>
      <w:r w:rsidRPr="00CA0496">
        <w:rPr>
          <w:rFonts w:cstheme="minorHAnsi"/>
        </w:rPr>
        <w:t>.</w:t>
      </w:r>
    </w:p>
    <w:p w:rsidR="0081329C" w:rsidRPr="0081329C" w:rsidRDefault="0081329C" w:rsidP="005B240C">
      <w:pPr>
        <w:ind w:left="426"/>
        <w:rPr>
          <w:rFonts w:cstheme="minorHAnsi"/>
        </w:rPr>
      </w:pPr>
      <w:r w:rsidRPr="0081329C">
        <w:rPr>
          <w:rFonts w:cstheme="minorHAnsi"/>
        </w:rPr>
        <w:t>While one of the above types of organisations must be the Hub lead, there are no restrictions on the types of entities that can be part of the Hub consortium.</w:t>
      </w:r>
    </w:p>
    <w:p w:rsidR="00C41F7E" w:rsidRDefault="00C41F7E" w:rsidP="000470EE">
      <w:pPr>
        <w:pStyle w:val="Heading2"/>
        <w:numPr>
          <w:ilvl w:val="0"/>
          <w:numId w:val="6"/>
        </w:numPr>
        <w:ind w:left="426" w:hanging="426"/>
        <w:rPr>
          <w:rFonts w:eastAsia="Calibri" w:cstheme="majorHAnsi"/>
          <w:sz w:val="22"/>
          <w:szCs w:val="22"/>
        </w:rPr>
      </w:pPr>
      <w:r>
        <w:rPr>
          <w:rFonts w:eastAsia="Calibri" w:cstheme="majorHAnsi"/>
          <w:sz w:val="22"/>
          <w:szCs w:val="22"/>
        </w:rPr>
        <w:lastRenderedPageBreak/>
        <w:t>Who is not eligible to apply as a lead applicant for a grant?</w:t>
      </w:r>
    </w:p>
    <w:p w:rsidR="008F341D" w:rsidRPr="00C41F7E" w:rsidRDefault="008F341D" w:rsidP="00553E1A">
      <w:pPr>
        <w:keepNext/>
        <w:keepLines/>
        <w:ind w:left="426"/>
        <w:rPr>
          <w:rFonts w:cstheme="minorHAnsi"/>
        </w:rPr>
      </w:pPr>
      <w:r w:rsidRPr="00C41F7E">
        <w:rPr>
          <w:rFonts w:cstheme="minorHAnsi"/>
        </w:rPr>
        <w:t xml:space="preserve">The following organisation/individuals are not eligible to apply as a lead organisation for the Hub grant: </w:t>
      </w:r>
    </w:p>
    <w:p w:rsidR="008F341D" w:rsidRPr="00C41F7E" w:rsidRDefault="00D01F12" w:rsidP="00553E1A">
      <w:pPr>
        <w:pStyle w:val="ListParagraph"/>
        <w:keepNext/>
        <w:keepLines/>
        <w:numPr>
          <w:ilvl w:val="0"/>
          <w:numId w:val="18"/>
        </w:numPr>
        <w:rPr>
          <w:rFonts w:cstheme="minorHAnsi"/>
        </w:rPr>
      </w:pPr>
      <w:r>
        <w:rPr>
          <w:rFonts w:cstheme="minorHAnsi"/>
        </w:rPr>
        <w:t>N</w:t>
      </w:r>
      <w:r w:rsidR="008F341D" w:rsidRPr="00C41F7E">
        <w:rPr>
          <w:rFonts w:cstheme="minorHAnsi"/>
        </w:rPr>
        <w:t>on-corporate Commonwealth Entity</w:t>
      </w:r>
    </w:p>
    <w:p w:rsidR="008F341D" w:rsidRPr="00C41F7E" w:rsidRDefault="008F341D" w:rsidP="00553E1A">
      <w:pPr>
        <w:pStyle w:val="ListParagraph"/>
        <w:keepNext/>
        <w:keepLines/>
        <w:numPr>
          <w:ilvl w:val="0"/>
          <w:numId w:val="18"/>
        </w:numPr>
        <w:rPr>
          <w:rFonts w:cstheme="minorHAnsi"/>
        </w:rPr>
      </w:pPr>
      <w:r w:rsidRPr="00C41F7E">
        <w:rPr>
          <w:rFonts w:cstheme="minorHAnsi"/>
        </w:rPr>
        <w:t>Commonwealth Company</w:t>
      </w:r>
    </w:p>
    <w:p w:rsidR="008F341D" w:rsidRPr="00C41F7E" w:rsidRDefault="00553E1A" w:rsidP="00553E1A">
      <w:pPr>
        <w:pStyle w:val="ListParagraph"/>
        <w:keepNext/>
        <w:keepLines/>
        <w:numPr>
          <w:ilvl w:val="0"/>
          <w:numId w:val="18"/>
        </w:numPr>
        <w:rPr>
          <w:rFonts w:cstheme="minorHAnsi"/>
        </w:rPr>
      </w:pPr>
      <w:r>
        <w:rPr>
          <w:rFonts w:cstheme="minorHAnsi"/>
        </w:rPr>
        <w:t>U</w:t>
      </w:r>
      <w:r w:rsidR="008F341D" w:rsidRPr="00C41F7E">
        <w:rPr>
          <w:rFonts w:cstheme="minorHAnsi"/>
        </w:rPr>
        <w:t>nincorporated Association</w:t>
      </w:r>
    </w:p>
    <w:p w:rsidR="008F341D" w:rsidRPr="00C41F7E" w:rsidRDefault="008F341D" w:rsidP="00553E1A">
      <w:pPr>
        <w:pStyle w:val="ListParagraph"/>
        <w:keepNext/>
        <w:keepLines/>
        <w:numPr>
          <w:ilvl w:val="0"/>
          <w:numId w:val="18"/>
        </w:numPr>
        <w:rPr>
          <w:rFonts w:cstheme="minorHAnsi"/>
        </w:rPr>
      </w:pPr>
      <w:r w:rsidRPr="00C41F7E">
        <w:rPr>
          <w:rFonts w:cstheme="minorHAnsi"/>
        </w:rPr>
        <w:t>Australian state/territory government agency or body (not referred to as being eligible above)</w:t>
      </w:r>
    </w:p>
    <w:p w:rsidR="008F341D" w:rsidRPr="00C41F7E" w:rsidRDefault="003C79C7" w:rsidP="00553E1A">
      <w:pPr>
        <w:pStyle w:val="ListParagraph"/>
        <w:keepNext/>
        <w:keepLines/>
        <w:numPr>
          <w:ilvl w:val="0"/>
          <w:numId w:val="18"/>
        </w:numPr>
        <w:rPr>
          <w:rFonts w:cstheme="minorHAnsi"/>
        </w:rPr>
      </w:pPr>
      <w:r>
        <w:rPr>
          <w:rFonts w:cstheme="minorHAnsi"/>
        </w:rPr>
        <w:t>I</w:t>
      </w:r>
      <w:r w:rsidR="00D01F12">
        <w:rPr>
          <w:rFonts w:cstheme="minorHAnsi"/>
        </w:rPr>
        <w:t xml:space="preserve">nternational </w:t>
      </w:r>
      <w:r>
        <w:rPr>
          <w:rFonts w:cstheme="minorHAnsi"/>
        </w:rPr>
        <w:t>E</w:t>
      </w:r>
      <w:r w:rsidR="008F341D" w:rsidRPr="00C41F7E">
        <w:rPr>
          <w:rFonts w:cstheme="minorHAnsi"/>
        </w:rPr>
        <w:t>ntity</w:t>
      </w:r>
    </w:p>
    <w:p w:rsidR="008F341D" w:rsidRPr="00C41F7E" w:rsidRDefault="00553E1A" w:rsidP="00553E1A">
      <w:pPr>
        <w:pStyle w:val="ListParagraph"/>
        <w:keepNext/>
        <w:keepLines/>
        <w:numPr>
          <w:ilvl w:val="0"/>
          <w:numId w:val="18"/>
        </w:numPr>
        <w:rPr>
          <w:rFonts w:cstheme="minorHAnsi"/>
        </w:rPr>
      </w:pPr>
      <w:r>
        <w:rPr>
          <w:rFonts w:cstheme="minorHAnsi"/>
        </w:rPr>
        <w:t>S</w:t>
      </w:r>
      <w:r w:rsidR="008F341D" w:rsidRPr="00C41F7E">
        <w:rPr>
          <w:rFonts w:cstheme="minorHAnsi"/>
        </w:rPr>
        <w:t xml:space="preserve">ole Trader </w:t>
      </w:r>
    </w:p>
    <w:p w:rsidR="008F341D" w:rsidRPr="00C41F7E" w:rsidRDefault="008F341D" w:rsidP="00553E1A">
      <w:pPr>
        <w:pStyle w:val="ListParagraph"/>
        <w:keepNext/>
        <w:keepLines/>
        <w:numPr>
          <w:ilvl w:val="0"/>
          <w:numId w:val="18"/>
        </w:numPr>
        <w:rPr>
          <w:rFonts w:cstheme="minorHAnsi"/>
        </w:rPr>
      </w:pPr>
      <w:r w:rsidRPr="00C41F7E">
        <w:rPr>
          <w:rFonts w:cstheme="minorHAnsi"/>
        </w:rPr>
        <w:t>Partnership</w:t>
      </w:r>
      <w:r w:rsidRPr="005B240C">
        <w:rPr>
          <w:rFonts w:cstheme="minorHAnsi"/>
          <w:vertAlign w:val="superscript"/>
        </w:rPr>
        <w:footnoteReference w:id="3"/>
      </w:r>
    </w:p>
    <w:p w:rsidR="008F341D" w:rsidRPr="00C41F7E" w:rsidRDefault="008F341D" w:rsidP="00553E1A">
      <w:pPr>
        <w:pStyle w:val="ListParagraph"/>
        <w:keepNext/>
        <w:keepLines/>
        <w:numPr>
          <w:ilvl w:val="0"/>
          <w:numId w:val="18"/>
        </w:numPr>
        <w:rPr>
          <w:rFonts w:cstheme="minorHAnsi"/>
        </w:rPr>
      </w:pPr>
      <w:r w:rsidRPr="00C41F7E">
        <w:rPr>
          <w:rFonts w:cstheme="minorHAnsi"/>
        </w:rPr>
        <w:t>Person</w:t>
      </w:r>
      <w:r w:rsidRPr="005B240C">
        <w:rPr>
          <w:rFonts w:cstheme="minorHAnsi"/>
          <w:vertAlign w:val="superscript"/>
        </w:rPr>
        <w:footnoteReference w:id="4"/>
      </w:r>
    </w:p>
    <w:p w:rsidR="008F341D" w:rsidRPr="00C41F7E" w:rsidRDefault="00553E1A" w:rsidP="00553E1A">
      <w:pPr>
        <w:pStyle w:val="ListParagraph"/>
        <w:keepNext/>
        <w:keepLines/>
        <w:numPr>
          <w:ilvl w:val="0"/>
          <w:numId w:val="18"/>
        </w:numPr>
        <w:rPr>
          <w:rFonts w:cstheme="minorHAnsi"/>
        </w:rPr>
      </w:pPr>
      <w:proofErr w:type="gramStart"/>
      <w:r>
        <w:rPr>
          <w:rFonts w:cstheme="minorHAnsi"/>
        </w:rPr>
        <w:t>a</w:t>
      </w:r>
      <w:r w:rsidR="008F341D" w:rsidRPr="00C41F7E">
        <w:rPr>
          <w:rFonts w:cstheme="minorHAnsi"/>
        </w:rPr>
        <w:t>ny</w:t>
      </w:r>
      <w:proofErr w:type="gramEnd"/>
      <w:r w:rsidR="008F341D" w:rsidRPr="00C41F7E">
        <w:rPr>
          <w:rFonts w:cstheme="minorHAnsi"/>
        </w:rPr>
        <w:t xml:space="preserve"> organisation not included in section 4.1</w:t>
      </w:r>
      <w:r w:rsidR="00D01F12">
        <w:rPr>
          <w:rFonts w:cstheme="minorHAnsi"/>
        </w:rPr>
        <w:t xml:space="preserve"> of the</w:t>
      </w:r>
      <w:r w:rsidR="0033633C">
        <w:rPr>
          <w:rFonts w:cstheme="minorHAnsi"/>
        </w:rPr>
        <w:t xml:space="preserve"> Grant Opportunity</w:t>
      </w:r>
      <w:r w:rsidR="00D01F12">
        <w:rPr>
          <w:rFonts w:cstheme="minorHAnsi"/>
        </w:rPr>
        <w:t xml:space="preserve"> Guidelines</w:t>
      </w:r>
      <w:r w:rsidR="008F341D" w:rsidRPr="00C41F7E">
        <w:rPr>
          <w:rFonts w:cstheme="minorHAnsi"/>
        </w:rPr>
        <w:t>.</w:t>
      </w:r>
    </w:p>
    <w:p w:rsidR="00A61B21" w:rsidRPr="00A61B21" w:rsidRDefault="00A61B21" w:rsidP="005B240C">
      <w:pPr>
        <w:pStyle w:val="BodyText"/>
        <w:ind w:left="426"/>
        <w:rPr>
          <w:rFonts w:cstheme="minorHAnsi"/>
        </w:rPr>
      </w:pPr>
      <w:r w:rsidRPr="00A61B21">
        <w:rPr>
          <w:rFonts w:cstheme="minorHAnsi"/>
        </w:rPr>
        <w:t>For the purposes of this grant opportunity:</w:t>
      </w:r>
    </w:p>
    <w:p w:rsidR="00C17811" w:rsidRPr="00C41F7E" w:rsidRDefault="00C17811" w:rsidP="00A61B21">
      <w:pPr>
        <w:pStyle w:val="ListParagraph"/>
        <w:numPr>
          <w:ilvl w:val="0"/>
          <w:numId w:val="18"/>
        </w:numPr>
        <w:rPr>
          <w:rFonts w:cstheme="minorHAnsi"/>
        </w:rPr>
      </w:pPr>
      <w:r w:rsidRPr="00C17811">
        <w:rPr>
          <w:rFonts w:cstheme="minorHAnsi"/>
        </w:rPr>
        <w:t>Commonwealt</w:t>
      </w:r>
      <w:r>
        <w:rPr>
          <w:rFonts w:cstheme="minorHAnsi"/>
        </w:rPr>
        <w:t>h entities</w:t>
      </w:r>
      <w:r w:rsidR="00D01F12">
        <w:rPr>
          <w:rFonts w:cstheme="minorHAnsi"/>
        </w:rPr>
        <w:t xml:space="preserve"> and</w:t>
      </w:r>
      <w:r>
        <w:rPr>
          <w:rFonts w:cstheme="minorHAnsi"/>
        </w:rPr>
        <w:t xml:space="preserve"> companies and</w:t>
      </w:r>
      <w:r w:rsidRPr="00C17811">
        <w:rPr>
          <w:rFonts w:cstheme="minorHAnsi"/>
        </w:rPr>
        <w:t xml:space="preserve"> Australian s</w:t>
      </w:r>
      <w:r>
        <w:rPr>
          <w:rFonts w:cstheme="minorHAnsi"/>
        </w:rPr>
        <w:t>tate/territory government agencies or bodies</w:t>
      </w:r>
      <w:r w:rsidRPr="00C17811">
        <w:rPr>
          <w:rFonts w:cstheme="minorHAnsi"/>
        </w:rPr>
        <w:t xml:space="preserve"> </w:t>
      </w:r>
      <w:r>
        <w:rPr>
          <w:rFonts w:cstheme="minorHAnsi"/>
        </w:rPr>
        <w:t xml:space="preserve">are generally not eligible to lead a Hub application. However, universities are eligible </w:t>
      </w:r>
      <w:r w:rsidR="00C41F7E">
        <w:rPr>
          <w:rFonts w:cstheme="minorHAnsi"/>
        </w:rPr>
        <w:t xml:space="preserve">to lead a Hub application </w:t>
      </w:r>
      <w:r>
        <w:rPr>
          <w:rFonts w:cstheme="minorHAnsi"/>
        </w:rPr>
        <w:t>and can be a statutory e</w:t>
      </w:r>
      <w:r w:rsidRPr="005B240C">
        <w:rPr>
          <w:rFonts w:cstheme="minorHAnsi"/>
        </w:rPr>
        <w:t>ntity</w:t>
      </w:r>
      <w:r>
        <w:rPr>
          <w:rFonts w:cstheme="minorHAnsi"/>
        </w:rPr>
        <w:t>, corporate Commonwealth e</w:t>
      </w:r>
      <w:r w:rsidRPr="005B240C">
        <w:rPr>
          <w:rFonts w:cstheme="minorHAnsi"/>
        </w:rPr>
        <w:t>ntity</w:t>
      </w:r>
      <w:r>
        <w:rPr>
          <w:rFonts w:cstheme="minorHAnsi"/>
        </w:rPr>
        <w:t xml:space="preserve"> or a corporate state/territory e</w:t>
      </w:r>
      <w:r w:rsidRPr="005B240C">
        <w:rPr>
          <w:rFonts w:cstheme="minorHAnsi"/>
        </w:rPr>
        <w:t>ntity</w:t>
      </w:r>
      <w:r w:rsidR="00C41F7E">
        <w:rPr>
          <w:rFonts w:cstheme="minorHAnsi"/>
        </w:rPr>
        <w:t>.</w:t>
      </w:r>
    </w:p>
    <w:p w:rsidR="00363310" w:rsidRDefault="00A61B21" w:rsidP="005B240C">
      <w:pPr>
        <w:pStyle w:val="ListParagraph"/>
        <w:numPr>
          <w:ilvl w:val="0"/>
          <w:numId w:val="18"/>
        </w:numPr>
        <w:rPr>
          <w:rFonts w:cstheme="minorHAnsi"/>
        </w:rPr>
      </w:pPr>
      <w:r w:rsidRPr="005B240C">
        <w:rPr>
          <w:rFonts w:cstheme="minorHAnsi"/>
        </w:rPr>
        <w:t xml:space="preserve">A Partnership is an agreement by legal persons to share responsibility for debts, losses and obligations which any individual </w:t>
      </w:r>
      <w:r w:rsidR="000470EE">
        <w:rPr>
          <w:rFonts w:cstheme="minorHAnsi"/>
        </w:rPr>
        <w:t>p</w:t>
      </w:r>
      <w:r w:rsidR="000470EE" w:rsidRPr="005B240C">
        <w:rPr>
          <w:rFonts w:cstheme="minorHAnsi"/>
        </w:rPr>
        <w:t xml:space="preserve">artner </w:t>
      </w:r>
      <w:r w:rsidRPr="005B240C">
        <w:rPr>
          <w:rFonts w:cstheme="minorHAnsi"/>
        </w:rPr>
        <w:t xml:space="preserve">may take on in the course of conducting the business or activities of the Partnership. An individual </w:t>
      </w:r>
      <w:r w:rsidR="000470EE">
        <w:rPr>
          <w:rFonts w:cstheme="minorHAnsi"/>
        </w:rPr>
        <w:t>p</w:t>
      </w:r>
      <w:r w:rsidR="000470EE" w:rsidRPr="005B240C">
        <w:rPr>
          <w:rFonts w:cstheme="minorHAnsi"/>
        </w:rPr>
        <w:t xml:space="preserve">artner </w:t>
      </w:r>
      <w:r w:rsidRPr="005B240C">
        <w:rPr>
          <w:rFonts w:cstheme="minorHAnsi"/>
        </w:rPr>
        <w:t xml:space="preserve">may be any of the types of legal entities described herein. A Partnership may </w:t>
      </w:r>
      <w:r w:rsidR="00C8726E" w:rsidRPr="00C8726E">
        <w:rPr>
          <w:rFonts w:cstheme="minorHAnsi"/>
        </w:rPr>
        <w:t>consist of both Government and p</w:t>
      </w:r>
      <w:r w:rsidRPr="005B240C">
        <w:rPr>
          <w:rFonts w:cstheme="minorHAnsi"/>
        </w:rPr>
        <w:t xml:space="preserve">rivate partners. </w:t>
      </w:r>
    </w:p>
    <w:p w:rsidR="008F341D" w:rsidRPr="00363310" w:rsidRDefault="008F341D" w:rsidP="00553E1A">
      <w:pPr>
        <w:ind w:left="426"/>
        <w:rPr>
          <w:rFonts w:cstheme="minorHAnsi"/>
        </w:rPr>
      </w:pPr>
      <w:r w:rsidRPr="00363310">
        <w:rPr>
          <w:rFonts w:cstheme="minorHAnsi"/>
        </w:rPr>
        <w:t>Organisations that are not eligible to apply as the lead applicant can still be participants in a Hub.</w:t>
      </w:r>
    </w:p>
    <w:p w:rsidR="00D0094E" w:rsidRDefault="00D0094E" w:rsidP="00DD5982">
      <w:pPr>
        <w:pStyle w:val="Heading2"/>
        <w:numPr>
          <w:ilvl w:val="0"/>
          <w:numId w:val="6"/>
        </w:numPr>
        <w:ind w:left="426"/>
        <w:rPr>
          <w:rFonts w:eastAsia="Calibri" w:cstheme="majorHAnsi"/>
          <w:sz w:val="22"/>
          <w:szCs w:val="22"/>
        </w:rPr>
      </w:pPr>
      <w:r>
        <w:rPr>
          <w:rFonts w:eastAsia="Calibri" w:cstheme="majorHAnsi"/>
          <w:sz w:val="22"/>
          <w:szCs w:val="22"/>
        </w:rPr>
        <w:t>Can a university be a member of a Hub</w:t>
      </w:r>
      <w:r w:rsidR="00406610">
        <w:rPr>
          <w:rFonts w:eastAsia="Calibri" w:cstheme="majorHAnsi"/>
          <w:sz w:val="22"/>
          <w:szCs w:val="22"/>
        </w:rPr>
        <w:t>?</w:t>
      </w:r>
    </w:p>
    <w:p w:rsidR="00C8726E" w:rsidRDefault="00D0094E" w:rsidP="009750EA">
      <w:pPr>
        <w:pStyle w:val="BodyText"/>
        <w:ind w:left="426"/>
      </w:pPr>
      <w:r>
        <w:t xml:space="preserve">Yes. </w:t>
      </w:r>
      <w:r w:rsidR="00C8726E">
        <w:t>Universit</w:t>
      </w:r>
      <w:r w:rsidR="00363310">
        <w:t>ies’</w:t>
      </w:r>
      <w:r w:rsidR="00C8726E">
        <w:t xml:space="preserve"> participation and engagement </w:t>
      </w:r>
      <w:r w:rsidR="00363310">
        <w:t xml:space="preserve">with Hubs is </w:t>
      </w:r>
      <w:r w:rsidR="007D57C1">
        <w:t>required</w:t>
      </w:r>
      <w:r w:rsidR="00C8726E">
        <w:t xml:space="preserve">. </w:t>
      </w:r>
    </w:p>
    <w:p w:rsidR="00C8726E" w:rsidRPr="00221BE1" w:rsidRDefault="0080593A" w:rsidP="00C8726E">
      <w:pPr>
        <w:pStyle w:val="BodyText"/>
        <w:ind w:left="426"/>
      </w:pPr>
      <w:r>
        <w:t>E</w:t>
      </w:r>
      <w:r w:rsidR="00D0094E">
        <w:t>ach consortium must have as a member at least one regional university. The university does not need to be the consortium lead. For the purposes of this requirement, a regional university will be considered to include a university with demonstrated connections to regional communities (</w:t>
      </w:r>
      <w:r w:rsidR="00E53583">
        <w:t>for example</w:t>
      </w:r>
      <w:r w:rsidR="00553E1A">
        <w:t>,</w:t>
      </w:r>
      <w:r w:rsidR="00D0094E">
        <w:t xml:space="preserve"> a regional campus or other physical presence). </w:t>
      </w:r>
      <w:r w:rsidR="009750EA">
        <w:t xml:space="preserve">A metropolitan university that can demonstrate regional connections will qualify. </w:t>
      </w:r>
    </w:p>
    <w:p w:rsidR="00D0094E" w:rsidRDefault="00D0094E" w:rsidP="003104C5">
      <w:pPr>
        <w:pStyle w:val="BodyText"/>
        <w:keepNext/>
        <w:keepLines/>
        <w:ind w:left="425"/>
      </w:pPr>
      <w:r>
        <w:lastRenderedPageBreak/>
        <w:t>Your application should explain how you consider this requirement to be met.</w:t>
      </w:r>
    </w:p>
    <w:p w:rsidR="00C8726E" w:rsidRDefault="00C8726E" w:rsidP="003104C5">
      <w:pPr>
        <w:pStyle w:val="BodyText"/>
        <w:keepNext/>
        <w:keepLines/>
        <w:ind w:left="425"/>
      </w:pPr>
      <w:r>
        <w:t xml:space="preserve">For the purposes of this program, regional is defined as </w:t>
      </w:r>
      <w:r w:rsidRPr="00D0094E">
        <w:t>those areas outside the greater capital city metropolitan boundaries</w:t>
      </w:r>
      <w:r>
        <w:t>.</w:t>
      </w:r>
    </w:p>
    <w:p w:rsidR="00DD5982" w:rsidRDefault="00DD5982" w:rsidP="00DD5982">
      <w:pPr>
        <w:pStyle w:val="Heading2"/>
        <w:numPr>
          <w:ilvl w:val="0"/>
          <w:numId w:val="6"/>
        </w:numPr>
        <w:ind w:left="426"/>
        <w:rPr>
          <w:rFonts w:eastAsia="Calibri" w:cstheme="majorHAnsi"/>
          <w:sz w:val="22"/>
          <w:szCs w:val="22"/>
        </w:rPr>
      </w:pPr>
      <w:r w:rsidRPr="00DD5982">
        <w:rPr>
          <w:rFonts w:eastAsia="Calibri" w:cstheme="majorHAnsi"/>
          <w:sz w:val="22"/>
          <w:szCs w:val="22"/>
        </w:rPr>
        <w:t>How are the regions for Adoption and Innovation Hub</w:t>
      </w:r>
      <w:r w:rsidR="00D0094E">
        <w:rPr>
          <w:rFonts w:eastAsia="Calibri" w:cstheme="majorHAnsi"/>
          <w:sz w:val="22"/>
          <w:szCs w:val="22"/>
        </w:rPr>
        <w:t>s</w:t>
      </w:r>
      <w:r w:rsidRPr="00DD5982">
        <w:rPr>
          <w:rFonts w:eastAsia="Calibri" w:cstheme="majorHAnsi"/>
          <w:sz w:val="22"/>
          <w:szCs w:val="22"/>
        </w:rPr>
        <w:t xml:space="preserve"> defined?</w:t>
      </w:r>
    </w:p>
    <w:p w:rsidR="00DD5982" w:rsidRDefault="00DD5982" w:rsidP="00DD5982">
      <w:pPr>
        <w:pStyle w:val="BodyText"/>
        <w:ind w:left="426"/>
      </w:pPr>
      <w:r>
        <w:t>The Hubs will support defined regional areas that broadly reflect the key agricultural and climatic zones across the country. The regions targeted are:</w:t>
      </w:r>
    </w:p>
    <w:p w:rsidR="00DD5982" w:rsidRPr="00DD5982" w:rsidRDefault="00DD5982" w:rsidP="00DD5982">
      <w:pPr>
        <w:pStyle w:val="ListParagraph"/>
        <w:numPr>
          <w:ilvl w:val="0"/>
          <w:numId w:val="18"/>
        </w:numPr>
        <w:rPr>
          <w:rFonts w:cstheme="minorHAnsi"/>
        </w:rPr>
      </w:pPr>
      <w:r w:rsidRPr="00DD5982">
        <w:rPr>
          <w:rFonts w:cstheme="minorHAnsi"/>
        </w:rPr>
        <w:t>Southern NSW</w:t>
      </w:r>
    </w:p>
    <w:p w:rsidR="00DD5982" w:rsidRPr="00DD5982" w:rsidRDefault="00DD5982" w:rsidP="00DD5982">
      <w:pPr>
        <w:pStyle w:val="ListParagraph"/>
        <w:numPr>
          <w:ilvl w:val="0"/>
          <w:numId w:val="18"/>
        </w:numPr>
        <w:rPr>
          <w:rFonts w:cstheme="minorHAnsi"/>
        </w:rPr>
      </w:pPr>
      <w:r w:rsidRPr="00DD5982">
        <w:rPr>
          <w:rFonts w:cstheme="minorHAnsi"/>
        </w:rPr>
        <w:t>Southern QLD/Northern NSW</w:t>
      </w:r>
    </w:p>
    <w:p w:rsidR="00DD5982" w:rsidRPr="00DD5982" w:rsidRDefault="00DD5982" w:rsidP="00DD5982">
      <w:pPr>
        <w:pStyle w:val="ListParagraph"/>
        <w:numPr>
          <w:ilvl w:val="0"/>
          <w:numId w:val="18"/>
        </w:numPr>
        <w:rPr>
          <w:rFonts w:cstheme="minorHAnsi"/>
        </w:rPr>
      </w:pPr>
      <w:r w:rsidRPr="00DD5982">
        <w:rPr>
          <w:rFonts w:cstheme="minorHAnsi"/>
        </w:rPr>
        <w:t>South-West WA</w:t>
      </w:r>
    </w:p>
    <w:p w:rsidR="00DD5982" w:rsidRPr="00DD5982" w:rsidRDefault="00DD5982" w:rsidP="00DD5982">
      <w:pPr>
        <w:pStyle w:val="ListParagraph"/>
        <w:numPr>
          <w:ilvl w:val="0"/>
          <w:numId w:val="18"/>
        </w:numPr>
        <w:rPr>
          <w:rFonts w:cstheme="minorHAnsi"/>
        </w:rPr>
      </w:pPr>
      <w:r w:rsidRPr="00DD5982">
        <w:rPr>
          <w:rFonts w:cstheme="minorHAnsi"/>
        </w:rPr>
        <w:t xml:space="preserve">Victoria </w:t>
      </w:r>
    </w:p>
    <w:p w:rsidR="00DD5982" w:rsidRPr="00DD5982" w:rsidRDefault="00DD5982" w:rsidP="00DD5982">
      <w:pPr>
        <w:pStyle w:val="ListParagraph"/>
        <w:numPr>
          <w:ilvl w:val="0"/>
          <w:numId w:val="18"/>
        </w:numPr>
        <w:rPr>
          <w:rFonts w:cstheme="minorHAnsi"/>
        </w:rPr>
      </w:pPr>
      <w:r w:rsidRPr="00DD5982">
        <w:rPr>
          <w:rFonts w:cstheme="minorHAnsi"/>
        </w:rPr>
        <w:t>Top End NT/WA</w:t>
      </w:r>
    </w:p>
    <w:p w:rsidR="00DD5982" w:rsidRPr="00DD5982" w:rsidRDefault="00DD5982" w:rsidP="00DD5982">
      <w:pPr>
        <w:pStyle w:val="ListParagraph"/>
        <w:numPr>
          <w:ilvl w:val="0"/>
          <w:numId w:val="18"/>
        </w:numPr>
        <w:rPr>
          <w:rFonts w:cstheme="minorHAnsi"/>
        </w:rPr>
      </w:pPr>
      <w:r w:rsidRPr="00DD5982">
        <w:rPr>
          <w:rFonts w:cstheme="minorHAnsi"/>
        </w:rPr>
        <w:t>Tropical North Queensland</w:t>
      </w:r>
    </w:p>
    <w:p w:rsidR="00DD5982" w:rsidRPr="00DD5982" w:rsidRDefault="00DD5982" w:rsidP="00DD5982">
      <w:pPr>
        <w:pStyle w:val="ListParagraph"/>
        <w:numPr>
          <w:ilvl w:val="0"/>
          <w:numId w:val="18"/>
        </w:numPr>
        <w:rPr>
          <w:rFonts w:cstheme="minorHAnsi"/>
        </w:rPr>
      </w:pPr>
      <w:r w:rsidRPr="00DD5982">
        <w:rPr>
          <w:rFonts w:cstheme="minorHAnsi"/>
        </w:rPr>
        <w:t>South Australia</w:t>
      </w:r>
    </w:p>
    <w:p w:rsidR="00DD5982" w:rsidRPr="00DD5982" w:rsidRDefault="00DD5982" w:rsidP="00DD5982">
      <w:pPr>
        <w:pStyle w:val="ListParagraph"/>
        <w:numPr>
          <w:ilvl w:val="0"/>
          <w:numId w:val="18"/>
        </w:numPr>
        <w:rPr>
          <w:rFonts w:cstheme="minorHAnsi"/>
        </w:rPr>
      </w:pPr>
      <w:r w:rsidRPr="00DD5982">
        <w:rPr>
          <w:rFonts w:cstheme="minorHAnsi"/>
        </w:rPr>
        <w:t>Tasmania.</w:t>
      </w:r>
    </w:p>
    <w:p w:rsidR="00DD5982" w:rsidRDefault="0081329C" w:rsidP="00DD5982">
      <w:pPr>
        <w:pStyle w:val="BodyText"/>
        <w:ind w:left="426"/>
      </w:pPr>
      <w:r>
        <w:t>In calling for Hub applications, t</w:t>
      </w:r>
      <w:r w:rsidR="00DD5982" w:rsidRPr="009705E3">
        <w:t xml:space="preserve">here are no fixed definitions or boundaries for each region. The specific areas covered by Hubs will be refined through the process of calling for and selecting Hubs. </w:t>
      </w:r>
      <w:r w:rsidR="00DD5982">
        <w:t xml:space="preserve">This can include extending the boundary of one of the regions as described above into another region. </w:t>
      </w:r>
      <w:r w:rsidR="00DD5982" w:rsidRPr="009705E3">
        <w:t xml:space="preserve">The areas </w:t>
      </w:r>
      <w:r w:rsidR="00DD5982">
        <w:t xml:space="preserve">specified are intended to broadly capture the </w:t>
      </w:r>
      <w:r w:rsidR="00DD5982" w:rsidRPr="009705E3">
        <w:t>major agricultural and climatic zones across Australia.</w:t>
      </w:r>
    </w:p>
    <w:p w:rsidR="0081329C" w:rsidRDefault="0081329C" w:rsidP="00DD5982">
      <w:pPr>
        <w:pStyle w:val="BodyText"/>
        <w:ind w:left="426"/>
      </w:pPr>
      <w:r w:rsidRPr="0081329C">
        <w:t>At least one member of a Hub must have a physical presence, of relevance to the delivery of Hub services, in the region in question</w:t>
      </w:r>
      <w:r>
        <w:t>.</w:t>
      </w:r>
    </w:p>
    <w:p w:rsidR="00DB4DBD" w:rsidRDefault="00DD5982" w:rsidP="00DD5982">
      <w:pPr>
        <w:pStyle w:val="BodyText"/>
        <w:ind w:left="426"/>
      </w:pPr>
      <w:r>
        <w:t>In line with th</w:t>
      </w:r>
      <w:r w:rsidR="003F6C60">
        <w:t>ese</w:t>
      </w:r>
      <w:r>
        <w:t xml:space="preserve"> objective</w:t>
      </w:r>
      <w:r w:rsidR="003F6C60">
        <w:t>s</w:t>
      </w:r>
      <w:r>
        <w:t xml:space="preserve">, coverage of regions, in terms of both geographical area and farming practices and industries, will be a </w:t>
      </w:r>
      <w:r w:rsidR="0081329C">
        <w:t xml:space="preserve">core </w:t>
      </w:r>
      <w:r>
        <w:t>consideration in the assessment of Hub applications. Applications that are missing key geographic areas or farming practices will be less competitive.</w:t>
      </w:r>
    </w:p>
    <w:p w:rsidR="00AB31BB" w:rsidRDefault="00AB31BB" w:rsidP="005B240C">
      <w:pPr>
        <w:pStyle w:val="BodyText"/>
        <w:ind w:left="426"/>
      </w:pPr>
      <w:r>
        <w:t>W</w:t>
      </w:r>
      <w:r w:rsidRPr="00AB31BB">
        <w:t>e reserve the right to not make a grant for a Hub in one or more regions if we are not satisfied that any applications adequately address the criteria. In this situation, we may run a subsequent ad</w:t>
      </w:r>
      <w:r w:rsidR="00E53583">
        <w:t>-</w:t>
      </w:r>
      <w:r w:rsidRPr="00AB31BB">
        <w:t>hoc grant process in which we approach only selected applicants and ask them to modify or combi</w:t>
      </w:r>
      <w:r>
        <w:t>ne their previous applications.</w:t>
      </w:r>
    </w:p>
    <w:p w:rsidR="00A61B21" w:rsidRPr="000C15C8" w:rsidRDefault="00A61B21" w:rsidP="00A61B21">
      <w:pPr>
        <w:pStyle w:val="Heading2"/>
        <w:numPr>
          <w:ilvl w:val="0"/>
          <w:numId w:val="6"/>
        </w:numPr>
        <w:ind w:left="426" w:hanging="426"/>
        <w:rPr>
          <w:rFonts w:eastAsia="Calibri" w:cstheme="majorHAnsi"/>
          <w:sz w:val="22"/>
          <w:szCs w:val="22"/>
        </w:rPr>
      </w:pPr>
      <w:r>
        <w:rPr>
          <w:rFonts w:eastAsia="Calibri" w:cstheme="majorHAnsi"/>
          <w:sz w:val="22"/>
          <w:szCs w:val="22"/>
        </w:rPr>
        <w:t>If I’m applying to lead a consortium, d</w:t>
      </w:r>
      <w:r w:rsidRPr="000C15C8">
        <w:rPr>
          <w:rFonts w:eastAsia="Calibri" w:cstheme="majorHAnsi"/>
          <w:sz w:val="22"/>
          <w:szCs w:val="22"/>
        </w:rPr>
        <w:t>oes my consorti</w:t>
      </w:r>
      <w:r>
        <w:rPr>
          <w:rFonts w:eastAsia="Calibri" w:cstheme="majorHAnsi"/>
          <w:sz w:val="22"/>
          <w:szCs w:val="22"/>
        </w:rPr>
        <w:t>um</w:t>
      </w:r>
      <w:r w:rsidRPr="000C15C8">
        <w:rPr>
          <w:rFonts w:eastAsia="Calibri" w:cstheme="majorHAnsi"/>
          <w:sz w:val="22"/>
          <w:szCs w:val="22"/>
        </w:rPr>
        <w:t xml:space="preserve"> application require a letter of support from each of the </w:t>
      </w:r>
      <w:r>
        <w:rPr>
          <w:rFonts w:eastAsia="Calibri" w:cstheme="majorHAnsi"/>
          <w:sz w:val="22"/>
          <w:szCs w:val="22"/>
        </w:rPr>
        <w:t>consortium members</w:t>
      </w:r>
      <w:r w:rsidRPr="000C15C8">
        <w:rPr>
          <w:rFonts w:eastAsia="Calibri" w:cstheme="majorHAnsi"/>
          <w:sz w:val="22"/>
          <w:szCs w:val="22"/>
        </w:rPr>
        <w:t>?</w:t>
      </w:r>
      <w:r>
        <w:rPr>
          <w:rFonts w:eastAsia="Calibri" w:cstheme="majorHAnsi"/>
          <w:sz w:val="22"/>
          <w:szCs w:val="22"/>
        </w:rPr>
        <w:t xml:space="preserve"> </w:t>
      </w:r>
    </w:p>
    <w:p w:rsidR="00A61B21" w:rsidRDefault="00A61B21" w:rsidP="00A61B21">
      <w:pPr>
        <w:ind w:left="426"/>
        <w:rPr>
          <w:rFonts w:cstheme="minorHAnsi"/>
        </w:rPr>
      </w:pPr>
      <w:r w:rsidRPr="00A46B6A">
        <w:rPr>
          <w:rFonts w:cstheme="minorHAnsi"/>
        </w:rPr>
        <w:t xml:space="preserve">Yes, please refer to section </w:t>
      </w:r>
      <w:r>
        <w:rPr>
          <w:rFonts w:cstheme="minorHAnsi"/>
        </w:rPr>
        <w:t>7.2</w:t>
      </w:r>
      <w:r w:rsidRPr="00A46B6A">
        <w:rPr>
          <w:rFonts w:cstheme="minorHAnsi"/>
        </w:rPr>
        <w:t xml:space="preserve"> of the Grant Opportunity Guidelines for further information. </w:t>
      </w:r>
    </w:p>
    <w:p w:rsidR="00A61B21" w:rsidRPr="002979AC" w:rsidRDefault="00A61B21" w:rsidP="003104C5">
      <w:pPr>
        <w:pStyle w:val="Heading2"/>
        <w:numPr>
          <w:ilvl w:val="0"/>
          <w:numId w:val="6"/>
        </w:numPr>
        <w:ind w:left="425"/>
        <w:rPr>
          <w:rFonts w:eastAsia="Calibri" w:cstheme="majorHAnsi"/>
          <w:sz w:val="22"/>
          <w:szCs w:val="22"/>
        </w:rPr>
      </w:pPr>
      <w:r w:rsidRPr="000428C2">
        <w:rPr>
          <w:rFonts w:eastAsia="Calibri" w:cstheme="majorHAnsi"/>
          <w:sz w:val="22"/>
          <w:szCs w:val="22"/>
        </w:rPr>
        <w:lastRenderedPageBreak/>
        <w:t xml:space="preserve">Can an </w:t>
      </w:r>
      <w:r>
        <w:rPr>
          <w:rFonts w:eastAsia="Calibri" w:cstheme="majorHAnsi"/>
          <w:sz w:val="22"/>
          <w:szCs w:val="22"/>
        </w:rPr>
        <w:t>organisation be a part of more than one application (</w:t>
      </w:r>
      <w:r w:rsidR="00E53583">
        <w:rPr>
          <w:rFonts w:eastAsia="Calibri" w:cstheme="majorHAnsi"/>
          <w:sz w:val="22"/>
          <w:szCs w:val="22"/>
        </w:rPr>
        <w:t>for example</w:t>
      </w:r>
      <w:r w:rsidR="00553E1A">
        <w:rPr>
          <w:rFonts w:eastAsia="Calibri" w:cstheme="majorHAnsi"/>
          <w:sz w:val="22"/>
          <w:szCs w:val="22"/>
        </w:rPr>
        <w:t>,</w:t>
      </w:r>
      <w:r w:rsidR="00E53583">
        <w:rPr>
          <w:rFonts w:eastAsia="Calibri" w:cstheme="majorHAnsi"/>
          <w:sz w:val="22"/>
          <w:szCs w:val="22"/>
        </w:rPr>
        <w:t xml:space="preserve"> </w:t>
      </w:r>
      <w:r>
        <w:rPr>
          <w:rFonts w:eastAsia="Calibri" w:cstheme="majorHAnsi"/>
          <w:sz w:val="22"/>
          <w:szCs w:val="22"/>
        </w:rPr>
        <w:t>as a member or leader of different consortium applications)?</w:t>
      </w:r>
    </w:p>
    <w:p w:rsidR="00A61B21" w:rsidRDefault="00A61B21" w:rsidP="003104C5">
      <w:pPr>
        <w:pStyle w:val="BodyText"/>
        <w:keepNext/>
        <w:keepLines/>
        <w:ind w:left="425"/>
      </w:pPr>
      <w:r w:rsidRPr="000428C2">
        <w:t>Yes.</w:t>
      </w:r>
      <w:r>
        <w:t xml:space="preserve"> </w:t>
      </w:r>
      <w:r w:rsidRPr="00A84C17">
        <w:t>You can be a party to multiple applications, including a consortium lead and/or a member of a consortium (</w:t>
      </w:r>
      <w:r w:rsidR="00E53583">
        <w:t>for example</w:t>
      </w:r>
      <w:r w:rsidR="00553E1A">
        <w:t>,</w:t>
      </w:r>
      <w:r w:rsidRPr="00A84C17">
        <w:t xml:space="preserve"> as part of applications for different regions).</w:t>
      </w:r>
      <w:r>
        <w:t xml:space="preserve"> </w:t>
      </w:r>
    </w:p>
    <w:p w:rsidR="00A61B21" w:rsidRPr="00A84C17" w:rsidRDefault="00A61B21" w:rsidP="003104C5">
      <w:pPr>
        <w:pStyle w:val="BodyText"/>
        <w:keepNext/>
        <w:keepLines/>
        <w:ind w:left="425"/>
      </w:pPr>
      <w:r>
        <w:rPr>
          <w:rFonts w:cstheme="minorHAnsi"/>
        </w:rPr>
        <w:t>P</w:t>
      </w:r>
      <w:r w:rsidRPr="00A46B6A">
        <w:rPr>
          <w:rFonts w:cstheme="minorHAnsi"/>
        </w:rPr>
        <w:t xml:space="preserve">lease refer to section </w:t>
      </w:r>
      <w:r>
        <w:rPr>
          <w:rFonts w:cstheme="minorHAnsi"/>
        </w:rPr>
        <w:t>4</w:t>
      </w:r>
      <w:r w:rsidRPr="00A46B6A">
        <w:rPr>
          <w:rFonts w:cstheme="minorHAnsi"/>
        </w:rPr>
        <w:t xml:space="preserve"> of the Grant Opportunity Guidelines for further information.</w:t>
      </w:r>
    </w:p>
    <w:p w:rsidR="003173B0" w:rsidRPr="00515BB7" w:rsidRDefault="003173B0" w:rsidP="003173B0">
      <w:pPr>
        <w:pStyle w:val="Heading2"/>
        <w:numPr>
          <w:ilvl w:val="0"/>
          <w:numId w:val="6"/>
        </w:numPr>
        <w:ind w:left="426" w:hanging="426"/>
        <w:rPr>
          <w:rFonts w:eastAsia="Calibri" w:cstheme="majorHAnsi"/>
          <w:sz w:val="22"/>
          <w:szCs w:val="22"/>
        </w:rPr>
      </w:pPr>
      <w:r w:rsidRPr="00515BB7">
        <w:rPr>
          <w:rFonts w:eastAsia="Calibri" w:cstheme="majorHAnsi"/>
          <w:sz w:val="22"/>
          <w:szCs w:val="22"/>
        </w:rPr>
        <w:t xml:space="preserve">How do I know if my application has been received? </w:t>
      </w:r>
    </w:p>
    <w:p w:rsidR="003173B0" w:rsidRPr="00515BB7" w:rsidRDefault="003173B0" w:rsidP="003173B0">
      <w:pPr>
        <w:ind w:left="426"/>
        <w:rPr>
          <w:rFonts w:cstheme="minorHAnsi"/>
        </w:rPr>
      </w:pPr>
      <w:r w:rsidRPr="00515BB7">
        <w:rPr>
          <w:rFonts w:cstheme="minorHAnsi"/>
        </w:rPr>
        <w:t xml:space="preserve">You will receive an acknowledgement email when you submit your application, to confirm your submission has been received. </w:t>
      </w:r>
    </w:p>
    <w:p w:rsidR="003173B0" w:rsidRPr="000D4F50" w:rsidRDefault="003173B0" w:rsidP="003173B0">
      <w:pPr>
        <w:ind w:left="426"/>
        <w:rPr>
          <w:rFonts w:cstheme="minorHAnsi"/>
          <w:b/>
        </w:rPr>
      </w:pPr>
      <w:r w:rsidRPr="00515BB7">
        <w:rPr>
          <w:rFonts w:cstheme="minorHAnsi"/>
        </w:rPr>
        <w:t xml:space="preserve">Please wait for the acknowledgement email before closing </w:t>
      </w:r>
      <w:r w:rsidR="00266CC2">
        <w:rPr>
          <w:rFonts w:cstheme="minorHAnsi"/>
        </w:rPr>
        <w:t>your browser</w:t>
      </w:r>
      <w:r w:rsidRPr="00515BB7">
        <w:rPr>
          <w:rFonts w:cstheme="minorHAnsi"/>
        </w:rPr>
        <w:t>. This may take a few minutes, depending on your internet connection.</w:t>
      </w:r>
    </w:p>
    <w:p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Can I make changes to my application after it has been submitted?</w:t>
      </w:r>
      <w:r>
        <w:rPr>
          <w:rFonts w:eastAsia="Calibri" w:cstheme="majorHAnsi"/>
          <w:sz w:val="22"/>
          <w:szCs w:val="22"/>
        </w:rPr>
        <w:t xml:space="preserve"> </w:t>
      </w:r>
    </w:p>
    <w:p w:rsidR="003173B0" w:rsidRDefault="00515BB7" w:rsidP="003173B0">
      <w:pPr>
        <w:ind w:left="426"/>
        <w:rPr>
          <w:rFonts w:cstheme="minorHAnsi"/>
        </w:rPr>
      </w:pPr>
      <w:r w:rsidRPr="00780114">
        <w:t>You cannot change your application after the closing date and time</w:t>
      </w:r>
      <w:r>
        <w:t>.</w:t>
      </w:r>
      <w:r w:rsidRPr="00A46B6A">
        <w:rPr>
          <w:rFonts w:cstheme="minorHAnsi"/>
        </w:rPr>
        <w:t xml:space="preserve"> </w:t>
      </w:r>
      <w:r w:rsidR="003173B0" w:rsidRPr="00A46B6A">
        <w:rPr>
          <w:rFonts w:cstheme="minorHAnsi"/>
        </w:rPr>
        <w:t xml:space="preserve">If you find a mistake in your application after it has been submitted, you should </w:t>
      </w:r>
      <w:r w:rsidR="003173B0">
        <w:rPr>
          <w:rFonts w:cstheme="minorHAnsi"/>
        </w:rPr>
        <w:t xml:space="preserve">immediately </w:t>
      </w:r>
      <w:r w:rsidR="003173B0" w:rsidRPr="00A46B6A">
        <w:rPr>
          <w:rFonts w:cstheme="minorHAnsi"/>
        </w:rPr>
        <w:t>contact the Community Grants Hub by phone on 1800 020 283</w:t>
      </w:r>
      <w:r w:rsidR="00B6260B">
        <w:rPr>
          <w:rFonts w:cstheme="minorHAnsi"/>
        </w:rPr>
        <w:t xml:space="preserve"> (option 1)</w:t>
      </w:r>
      <w:r w:rsidR="003173B0" w:rsidRPr="00A46B6A">
        <w:rPr>
          <w:rFonts w:cstheme="minorHAnsi"/>
        </w:rPr>
        <w:t xml:space="preserve"> or by email at </w:t>
      </w:r>
      <w:hyperlink r:id="rId12" w:history="1">
        <w:r w:rsidR="003173B0" w:rsidRPr="00A46B6A">
          <w:rPr>
            <w:rFonts w:cstheme="minorHAnsi"/>
            <w:color w:val="0000FF"/>
            <w:u w:val="single"/>
          </w:rPr>
          <w:t>support@communitygrants.gov.au</w:t>
        </w:r>
      </w:hyperlink>
      <w:r w:rsidR="003173B0" w:rsidRPr="00A46B6A">
        <w:rPr>
          <w:rFonts w:cstheme="minorHAnsi"/>
        </w:rPr>
        <w:t xml:space="preserve">. </w:t>
      </w:r>
    </w:p>
    <w:p w:rsidR="00FF1188" w:rsidRDefault="00FF1188" w:rsidP="003173B0">
      <w:pPr>
        <w:pStyle w:val="Heading2"/>
        <w:numPr>
          <w:ilvl w:val="0"/>
          <w:numId w:val="6"/>
        </w:numPr>
        <w:ind w:left="426" w:hanging="426"/>
        <w:rPr>
          <w:rFonts w:eastAsia="Calibri" w:cstheme="majorHAnsi"/>
          <w:sz w:val="22"/>
          <w:szCs w:val="22"/>
        </w:rPr>
      </w:pPr>
      <w:r>
        <w:rPr>
          <w:rFonts w:eastAsia="Calibri" w:cstheme="majorHAnsi"/>
          <w:sz w:val="22"/>
          <w:szCs w:val="22"/>
        </w:rPr>
        <w:t xml:space="preserve">What if </w:t>
      </w:r>
      <w:r w:rsidR="006F33D0">
        <w:rPr>
          <w:rFonts w:eastAsia="Calibri" w:cstheme="majorHAnsi"/>
          <w:sz w:val="22"/>
          <w:szCs w:val="22"/>
        </w:rPr>
        <w:t>we find there is an</w:t>
      </w:r>
      <w:r>
        <w:rPr>
          <w:rFonts w:eastAsia="Calibri" w:cstheme="majorHAnsi"/>
          <w:sz w:val="22"/>
          <w:szCs w:val="22"/>
        </w:rPr>
        <w:t xml:space="preserve"> error or information missing</w:t>
      </w:r>
      <w:r w:rsidR="006F33D0">
        <w:rPr>
          <w:rFonts w:eastAsia="Calibri" w:cstheme="majorHAnsi"/>
          <w:sz w:val="22"/>
          <w:szCs w:val="22"/>
        </w:rPr>
        <w:t xml:space="preserve"> from your application</w:t>
      </w:r>
      <w:r>
        <w:rPr>
          <w:rFonts w:eastAsia="Calibri" w:cstheme="majorHAnsi"/>
          <w:sz w:val="22"/>
          <w:szCs w:val="22"/>
        </w:rPr>
        <w:t>?</w:t>
      </w:r>
    </w:p>
    <w:p w:rsidR="00FF1188" w:rsidRDefault="00FF1188" w:rsidP="00FF1188">
      <w:pPr>
        <w:ind w:left="426"/>
      </w:pPr>
      <w:r>
        <w:t>If we find an error or information that is missing</w:t>
      </w:r>
      <w:r w:rsidR="006F33D0">
        <w:t xml:space="preserve"> in your application</w:t>
      </w:r>
      <w:r>
        <w:t xml:space="preserve">, we may ask for clarification or additional information from you that will not change the nature of your application. However, we can refuse to accept any additional information from you that would change your submission after the application closing time. </w:t>
      </w:r>
    </w:p>
    <w:p w:rsidR="003173B0"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 xml:space="preserve">What if there is not enough room in the application form to describe my </w:t>
      </w:r>
      <w:r>
        <w:rPr>
          <w:rFonts w:eastAsia="Calibri" w:cstheme="majorHAnsi"/>
          <w:sz w:val="22"/>
          <w:szCs w:val="22"/>
        </w:rPr>
        <w:t xml:space="preserve">project </w:t>
      </w:r>
      <w:r w:rsidRPr="002979AC">
        <w:rPr>
          <w:rFonts w:eastAsia="Calibri" w:cstheme="majorHAnsi"/>
          <w:sz w:val="22"/>
          <w:szCs w:val="22"/>
        </w:rPr>
        <w:t>proposal accurately?</w:t>
      </w:r>
      <w:r>
        <w:rPr>
          <w:rFonts w:eastAsia="Calibri" w:cstheme="majorHAnsi"/>
          <w:sz w:val="22"/>
          <w:szCs w:val="22"/>
        </w:rPr>
        <w:t xml:space="preserve"> </w:t>
      </w:r>
    </w:p>
    <w:p w:rsidR="003173B0" w:rsidRPr="006F6CBB" w:rsidRDefault="003173B0" w:rsidP="003173B0">
      <w:pPr>
        <w:ind w:left="426"/>
        <w:rPr>
          <w:rFonts w:cstheme="minorHAnsi"/>
        </w:rPr>
      </w:pPr>
      <w:r w:rsidRPr="006F6CBB">
        <w:rPr>
          <w:rFonts w:cstheme="minorHAnsi"/>
        </w:rPr>
        <w:t xml:space="preserve">The application form includes text limits </w:t>
      </w:r>
      <w:r w:rsidR="003E30C3">
        <w:rPr>
          <w:rFonts w:cstheme="minorHAnsi"/>
        </w:rPr>
        <w:t>of</w:t>
      </w:r>
      <w:r w:rsidRPr="006F6CBB">
        <w:rPr>
          <w:rFonts w:cstheme="minorHAnsi"/>
        </w:rPr>
        <w:t xml:space="preserve"> approximately </w:t>
      </w:r>
      <w:r w:rsidR="00BE689B">
        <w:rPr>
          <w:rFonts w:cstheme="minorHAnsi"/>
        </w:rPr>
        <w:t>1</w:t>
      </w:r>
      <w:r w:rsidR="00325D02">
        <w:rPr>
          <w:rFonts w:cstheme="minorHAnsi"/>
        </w:rPr>
        <w:t>,</w:t>
      </w:r>
      <w:r w:rsidR="00BE689B">
        <w:rPr>
          <w:rFonts w:cstheme="minorHAnsi"/>
        </w:rPr>
        <w:t>500</w:t>
      </w:r>
      <w:r w:rsidR="00903935" w:rsidRPr="006F6CBB">
        <w:rPr>
          <w:rFonts w:cstheme="minorHAnsi"/>
        </w:rPr>
        <w:t xml:space="preserve"> </w:t>
      </w:r>
      <w:r w:rsidR="00BE689B">
        <w:rPr>
          <w:rFonts w:cstheme="minorHAnsi"/>
        </w:rPr>
        <w:t>words</w:t>
      </w:r>
      <w:r w:rsidRPr="006F6CBB">
        <w:rPr>
          <w:rFonts w:cstheme="minorHAnsi"/>
        </w:rPr>
        <w:t xml:space="preserve"> per criterion. The application form will not accept characters beyond this limit</w:t>
      </w:r>
      <w:r>
        <w:rPr>
          <w:rFonts w:cstheme="minorHAnsi"/>
        </w:rPr>
        <w:t xml:space="preserve"> and therefore it is essential that criterion answers are clear and concise</w:t>
      </w:r>
      <w:r w:rsidRPr="006F6CBB">
        <w:rPr>
          <w:rFonts w:cstheme="minorHAnsi"/>
        </w:rPr>
        <w:t>. Please note</w:t>
      </w:r>
      <w:r w:rsidR="00C2736F">
        <w:rPr>
          <w:rFonts w:cstheme="minorHAnsi"/>
        </w:rPr>
        <w:t xml:space="preserve"> that</w:t>
      </w:r>
      <w:r w:rsidRPr="006F6CBB">
        <w:rPr>
          <w:rFonts w:cstheme="minorHAnsi"/>
        </w:rPr>
        <w:t xml:space="preserve"> spaces are included in the character limit.</w:t>
      </w:r>
    </w:p>
    <w:p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What attachments do I need to include in my application?</w:t>
      </w:r>
      <w:r>
        <w:rPr>
          <w:rFonts w:eastAsia="Calibri" w:cstheme="majorHAnsi"/>
          <w:sz w:val="22"/>
          <w:szCs w:val="22"/>
        </w:rPr>
        <w:t xml:space="preserve"> </w:t>
      </w:r>
    </w:p>
    <w:p w:rsidR="003173B0" w:rsidRPr="00A46B6A" w:rsidRDefault="00FB1A79" w:rsidP="003173B0">
      <w:pPr>
        <w:ind w:left="426"/>
        <w:rPr>
          <w:rFonts w:cstheme="minorHAnsi"/>
        </w:rPr>
      </w:pPr>
      <w:r>
        <w:rPr>
          <w:rFonts w:cstheme="minorHAnsi"/>
        </w:rPr>
        <w:t>Five</w:t>
      </w:r>
      <w:r w:rsidR="003173B0">
        <w:rPr>
          <w:rFonts w:cstheme="minorHAnsi"/>
        </w:rPr>
        <w:t xml:space="preserve"> a</w:t>
      </w:r>
      <w:r w:rsidR="003173B0" w:rsidRPr="00A46B6A">
        <w:rPr>
          <w:rFonts w:cstheme="minorHAnsi"/>
        </w:rPr>
        <w:t xml:space="preserve">ttachments are </w:t>
      </w:r>
      <w:r w:rsidR="003173B0">
        <w:rPr>
          <w:rFonts w:cstheme="minorHAnsi"/>
        </w:rPr>
        <w:t>required to be submitted as part of your application</w:t>
      </w:r>
      <w:r w:rsidR="006E41EC">
        <w:rPr>
          <w:rFonts w:cstheme="minorHAnsi"/>
        </w:rPr>
        <w:t>,</w:t>
      </w:r>
      <w:r w:rsidR="003173B0">
        <w:rPr>
          <w:rFonts w:cstheme="minorHAnsi"/>
        </w:rPr>
        <w:t xml:space="preserve"> see </w:t>
      </w:r>
      <w:r w:rsidR="003173B0" w:rsidRPr="00A46B6A">
        <w:rPr>
          <w:rFonts w:cstheme="minorHAnsi"/>
        </w:rPr>
        <w:t xml:space="preserve">section </w:t>
      </w:r>
      <w:r w:rsidR="00BE689B">
        <w:rPr>
          <w:rFonts w:cstheme="minorHAnsi"/>
        </w:rPr>
        <w:t>7</w:t>
      </w:r>
      <w:r>
        <w:rPr>
          <w:rFonts w:cstheme="minorHAnsi"/>
        </w:rPr>
        <w:t>.1</w:t>
      </w:r>
      <w:r w:rsidR="003173B0" w:rsidRPr="00A46B6A">
        <w:rPr>
          <w:rFonts w:cstheme="minorHAnsi"/>
        </w:rPr>
        <w:t xml:space="preserve"> </w:t>
      </w:r>
      <w:r w:rsidR="003173B0">
        <w:rPr>
          <w:rFonts w:cstheme="minorHAnsi"/>
        </w:rPr>
        <w:t>of the</w:t>
      </w:r>
      <w:r w:rsidR="003173B0" w:rsidRPr="00A46B6A">
        <w:rPr>
          <w:rFonts w:cstheme="minorHAnsi"/>
        </w:rPr>
        <w:t xml:space="preserve"> Grant Opportunity Guidelines </w:t>
      </w:r>
      <w:r w:rsidR="003173B0">
        <w:rPr>
          <w:rFonts w:cstheme="minorHAnsi"/>
        </w:rPr>
        <w:t>for more detail</w:t>
      </w:r>
      <w:r w:rsidR="003173B0" w:rsidRPr="00A46B6A">
        <w:rPr>
          <w:rFonts w:cstheme="minorHAnsi"/>
        </w:rPr>
        <w:t xml:space="preserve">. Templates </w:t>
      </w:r>
      <w:r w:rsidR="003173B0">
        <w:rPr>
          <w:rFonts w:cstheme="minorHAnsi"/>
        </w:rPr>
        <w:t xml:space="preserve">for </w:t>
      </w:r>
      <w:r w:rsidR="00CF3652">
        <w:rPr>
          <w:rFonts w:cstheme="minorHAnsi"/>
        </w:rPr>
        <w:t>two</w:t>
      </w:r>
      <w:r w:rsidR="00B577F5">
        <w:rPr>
          <w:rFonts w:cstheme="minorHAnsi"/>
        </w:rPr>
        <w:t xml:space="preserve"> of </w:t>
      </w:r>
      <w:r w:rsidR="003173B0">
        <w:rPr>
          <w:rFonts w:cstheme="minorHAnsi"/>
        </w:rPr>
        <w:t>these</w:t>
      </w:r>
      <w:r w:rsidR="00EE70EA">
        <w:rPr>
          <w:rFonts w:cstheme="minorHAnsi"/>
        </w:rPr>
        <w:t xml:space="preserve"> required </w:t>
      </w:r>
      <w:r w:rsidR="003173B0">
        <w:rPr>
          <w:rFonts w:cstheme="minorHAnsi"/>
        </w:rPr>
        <w:t xml:space="preserve">attachments </w:t>
      </w:r>
      <w:r w:rsidR="003173B0" w:rsidRPr="00A46B6A">
        <w:rPr>
          <w:rFonts w:cstheme="minorHAnsi"/>
        </w:rPr>
        <w:t>are available</w:t>
      </w:r>
      <w:r>
        <w:rPr>
          <w:rFonts w:cstheme="minorHAnsi"/>
        </w:rPr>
        <w:t xml:space="preserve"> </w:t>
      </w:r>
      <w:r w:rsidR="003173B0" w:rsidRPr="00A46B6A">
        <w:rPr>
          <w:rFonts w:cstheme="minorHAnsi"/>
        </w:rPr>
        <w:t xml:space="preserve">on </w:t>
      </w:r>
      <w:r w:rsidR="003173B0">
        <w:rPr>
          <w:rFonts w:cstheme="minorHAnsi"/>
        </w:rPr>
        <w:t xml:space="preserve">the </w:t>
      </w:r>
      <w:hyperlink r:id="rId13" w:history="1">
        <w:r w:rsidR="003173B0" w:rsidRPr="00201A31">
          <w:rPr>
            <w:rStyle w:val="Hyperlink"/>
            <w:rFonts w:cstheme="minorHAnsi"/>
          </w:rPr>
          <w:t>GrantConnect</w:t>
        </w:r>
      </w:hyperlink>
      <w:r w:rsidR="003173B0" w:rsidRPr="00A46B6A">
        <w:rPr>
          <w:rFonts w:cstheme="minorHAnsi"/>
        </w:rPr>
        <w:t xml:space="preserve"> website.</w:t>
      </w:r>
    </w:p>
    <w:p w:rsidR="003173B0" w:rsidRDefault="003173B0" w:rsidP="003173B0">
      <w:pPr>
        <w:ind w:left="426"/>
        <w:rPr>
          <w:rFonts w:cstheme="minorHAnsi"/>
        </w:rPr>
      </w:pPr>
      <w:r w:rsidRPr="00A46B6A">
        <w:rPr>
          <w:rFonts w:cstheme="minorHAnsi"/>
        </w:rPr>
        <w:t>There are instructions in the application form to assist. Only attach the documents you have been asked to include. If the</w:t>
      </w:r>
      <w:r w:rsidR="00EE70EA">
        <w:rPr>
          <w:rFonts w:cstheme="minorHAnsi"/>
        </w:rPr>
        <w:t xml:space="preserve"> required</w:t>
      </w:r>
      <w:r w:rsidRPr="00A46B6A">
        <w:rPr>
          <w:rFonts w:cstheme="minorHAnsi"/>
        </w:rPr>
        <w:t xml:space="preserve"> documents are not</w:t>
      </w:r>
      <w:r w:rsidR="00EE70EA">
        <w:rPr>
          <w:rFonts w:cstheme="minorHAnsi"/>
        </w:rPr>
        <w:t xml:space="preserve"> attached,</w:t>
      </w:r>
      <w:r w:rsidRPr="00A46B6A">
        <w:rPr>
          <w:rFonts w:cstheme="minorHAnsi"/>
        </w:rPr>
        <w:t xml:space="preserve"> your application will not be</w:t>
      </w:r>
      <w:r w:rsidR="00EE70EA">
        <w:rPr>
          <w:rFonts w:cstheme="minorHAnsi"/>
        </w:rPr>
        <w:t xml:space="preserve"> eligible and will not be</w:t>
      </w:r>
      <w:r w:rsidRPr="00A46B6A">
        <w:rPr>
          <w:rFonts w:cstheme="minorHAnsi"/>
        </w:rPr>
        <w:t xml:space="preserve"> assessed.</w:t>
      </w:r>
    </w:p>
    <w:p w:rsidR="00201A31" w:rsidRDefault="00201A31" w:rsidP="00DB0238">
      <w:pPr>
        <w:pStyle w:val="Heading2"/>
        <w:numPr>
          <w:ilvl w:val="0"/>
          <w:numId w:val="6"/>
        </w:numPr>
        <w:ind w:left="425" w:hanging="426"/>
        <w:rPr>
          <w:rFonts w:eastAsia="Calibri" w:cstheme="majorHAnsi"/>
        </w:rPr>
      </w:pPr>
      <w:r w:rsidRPr="00E0566D">
        <w:rPr>
          <w:rFonts w:eastAsia="Calibri" w:cstheme="majorHAnsi"/>
          <w:sz w:val="22"/>
          <w:szCs w:val="22"/>
        </w:rPr>
        <w:lastRenderedPageBreak/>
        <w:t xml:space="preserve">My attachments will not upload </w:t>
      </w:r>
      <w:r>
        <w:rPr>
          <w:rFonts w:eastAsia="Calibri" w:cstheme="majorHAnsi"/>
          <w:sz w:val="22"/>
          <w:szCs w:val="22"/>
        </w:rPr>
        <w:t xml:space="preserve">to the application form </w:t>
      </w:r>
      <w:r w:rsidRPr="00E0566D">
        <w:rPr>
          <w:rFonts w:eastAsia="Calibri" w:cstheme="majorHAnsi"/>
          <w:sz w:val="22"/>
          <w:szCs w:val="22"/>
        </w:rPr>
        <w:t>because they exceed the 2</w:t>
      </w:r>
      <w:r w:rsidR="00DB0238">
        <w:rPr>
          <w:rFonts w:eastAsia="Calibri" w:cstheme="majorHAnsi"/>
          <w:sz w:val="22"/>
          <w:szCs w:val="22"/>
        </w:rPr>
        <w:t>mb</w:t>
      </w:r>
      <w:r w:rsidR="00DB0238" w:rsidRPr="00E0566D">
        <w:rPr>
          <w:rFonts w:eastAsia="Calibri" w:cstheme="majorHAnsi"/>
          <w:sz w:val="22"/>
          <w:szCs w:val="22"/>
        </w:rPr>
        <w:t xml:space="preserve"> </w:t>
      </w:r>
      <w:r w:rsidRPr="00E0566D">
        <w:rPr>
          <w:rFonts w:eastAsia="Calibri" w:cstheme="majorHAnsi"/>
          <w:sz w:val="22"/>
          <w:szCs w:val="22"/>
        </w:rPr>
        <w:t>size limit</w:t>
      </w:r>
      <w:r w:rsidR="009146B7">
        <w:rPr>
          <w:rFonts w:eastAsia="Calibri" w:cstheme="majorHAnsi"/>
          <w:sz w:val="22"/>
          <w:szCs w:val="22"/>
        </w:rPr>
        <w:t>.</w:t>
      </w:r>
      <w:r>
        <w:rPr>
          <w:rFonts w:eastAsia="Calibri" w:cstheme="majorHAnsi"/>
          <w:sz w:val="22"/>
          <w:szCs w:val="22"/>
        </w:rPr>
        <w:t xml:space="preserve"> </w:t>
      </w:r>
      <w:r w:rsidR="009146B7">
        <w:rPr>
          <w:rFonts w:eastAsia="Calibri" w:cstheme="majorHAnsi"/>
          <w:sz w:val="22"/>
          <w:szCs w:val="22"/>
        </w:rPr>
        <w:t>W</w:t>
      </w:r>
      <w:r>
        <w:rPr>
          <w:rFonts w:eastAsia="Calibri" w:cstheme="majorHAnsi"/>
          <w:sz w:val="22"/>
          <w:szCs w:val="22"/>
        </w:rPr>
        <w:t>hat should I do?</w:t>
      </w:r>
    </w:p>
    <w:p w:rsidR="00201A31" w:rsidRPr="00201A31" w:rsidRDefault="00201A31" w:rsidP="00DB0238">
      <w:pPr>
        <w:keepNext/>
        <w:keepLines/>
        <w:ind w:left="425"/>
        <w:rPr>
          <w:rFonts w:cstheme="minorHAnsi"/>
        </w:rPr>
      </w:pPr>
      <w:r>
        <w:rPr>
          <w:rFonts w:cstheme="minorHAnsi"/>
        </w:rPr>
        <w:t xml:space="preserve">If your attachment(s) are too large to upload to the application form, please email them with an explanation (and your application reference number) to </w:t>
      </w:r>
      <w:hyperlink r:id="rId14" w:history="1">
        <w:r w:rsidRPr="00BF0D24">
          <w:rPr>
            <w:rStyle w:val="Hyperlink"/>
            <w:rFonts w:cstheme="minorHAnsi"/>
          </w:rPr>
          <w:t>support@communitygrants.gov.au</w:t>
        </w:r>
      </w:hyperlink>
      <w:r>
        <w:rPr>
          <w:rFonts w:cstheme="minorHAnsi"/>
        </w:rPr>
        <w:t>.</w:t>
      </w:r>
      <w:r w:rsidR="00B577F5">
        <w:rPr>
          <w:rFonts w:cstheme="minorHAnsi"/>
        </w:rPr>
        <w:t xml:space="preserve"> Any such attachments must be received by the </w:t>
      </w:r>
      <w:r w:rsidR="008F64CD">
        <w:rPr>
          <w:rFonts w:cstheme="minorHAnsi"/>
        </w:rPr>
        <w:t>g</w:t>
      </w:r>
      <w:r w:rsidR="00B577F5">
        <w:rPr>
          <w:rFonts w:cstheme="minorHAnsi"/>
        </w:rPr>
        <w:t>rant clos</w:t>
      </w:r>
      <w:r w:rsidR="004C77FA">
        <w:rPr>
          <w:rFonts w:cstheme="minorHAnsi"/>
        </w:rPr>
        <w:t>ing time of</w:t>
      </w:r>
      <w:r w:rsidR="004C77FA" w:rsidRPr="00660F7F">
        <w:rPr>
          <w:lang w:val="en" w:eastAsia="en-AU"/>
        </w:rPr>
        <w:t xml:space="preserve"> </w:t>
      </w:r>
      <w:r w:rsidR="004C77FA">
        <w:rPr>
          <w:b/>
          <w:lang w:val="en" w:eastAsia="en-AU"/>
        </w:rPr>
        <w:t>11</w:t>
      </w:r>
      <w:r w:rsidR="004C77FA" w:rsidRPr="00660F7F">
        <w:rPr>
          <w:b/>
          <w:lang w:val="en" w:eastAsia="en-AU"/>
        </w:rPr>
        <w:t>.00</w:t>
      </w:r>
      <w:r w:rsidR="00325D02">
        <w:rPr>
          <w:b/>
          <w:lang w:val="en" w:eastAsia="en-AU"/>
        </w:rPr>
        <w:t xml:space="preserve"> </w:t>
      </w:r>
      <w:r w:rsidR="004C77FA" w:rsidRPr="00660F7F">
        <w:rPr>
          <w:b/>
          <w:lang w:val="en" w:eastAsia="en-AU"/>
        </w:rPr>
        <w:t xml:space="preserve">pm </w:t>
      </w:r>
      <w:r w:rsidR="00325D02">
        <w:rPr>
          <w:b/>
          <w:lang w:val="en" w:eastAsia="en-AU"/>
        </w:rPr>
        <w:t xml:space="preserve">AEDT </w:t>
      </w:r>
      <w:r w:rsidR="004C77FA" w:rsidRPr="00660F7F">
        <w:rPr>
          <w:b/>
          <w:lang w:val="en" w:eastAsia="en-AU"/>
        </w:rPr>
        <w:t xml:space="preserve">on </w:t>
      </w:r>
      <w:r w:rsidR="00553E1A">
        <w:rPr>
          <w:b/>
          <w:lang w:val="en" w:eastAsia="en-AU"/>
        </w:rPr>
        <w:t>23</w:t>
      </w:r>
      <w:r w:rsidR="008949C8">
        <w:rPr>
          <w:b/>
          <w:lang w:val="en" w:eastAsia="en-AU"/>
        </w:rPr>
        <w:t> December</w:t>
      </w:r>
      <w:r w:rsidR="004C77FA">
        <w:rPr>
          <w:b/>
          <w:lang w:val="en" w:eastAsia="en-AU"/>
        </w:rPr>
        <w:t xml:space="preserve"> 2020</w:t>
      </w:r>
      <w:r w:rsidR="003E30C3">
        <w:rPr>
          <w:b/>
          <w:lang w:val="en" w:eastAsia="en-AU"/>
        </w:rPr>
        <w:t>.</w:t>
      </w:r>
    </w:p>
    <w:p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 xml:space="preserve">I have an idea for </w:t>
      </w:r>
      <w:r w:rsidR="00FB1A79">
        <w:rPr>
          <w:rFonts w:eastAsia="Calibri" w:cstheme="majorHAnsi"/>
          <w:sz w:val="22"/>
          <w:szCs w:val="22"/>
        </w:rPr>
        <w:t xml:space="preserve">how to deliver the </w:t>
      </w:r>
      <w:r w:rsidR="008949C8">
        <w:rPr>
          <w:rFonts w:eastAsia="Calibri" w:cstheme="majorHAnsi"/>
          <w:sz w:val="22"/>
          <w:szCs w:val="22"/>
        </w:rPr>
        <w:t>Drought Resilience Adoption and Innovation Hub</w:t>
      </w:r>
      <w:r w:rsidR="00FB1A79">
        <w:rPr>
          <w:rFonts w:eastAsia="Calibri" w:cstheme="majorHAnsi"/>
          <w:sz w:val="22"/>
          <w:szCs w:val="22"/>
        </w:rPr>
        <w:t xml:space="preserve"> activities.</w:t>
      </w:r>
      <w:r w:rsidRPr="000C15C8">
        <w:rPr>
          <w:rFonts w:eastAsia="Calibri" w:cstheme="majorHAnsi"/>
          <w:sz w:val="22"/>
          <w:szCs w:val="22"/>
        </w:rPr>
        <w:t xml:space="preserve"> Can the department provide me with advice about my planned activities and if they meet the grant </w:t>
      </w:r>
      <w:r w:rsidR="00C2736F">
        <w:rPr>
          <w:rFonts w:eastAsia="Calibri" w:cstheme="majorHAnsi"/>
          <w:sz w:val="22"/>
          <w:szCs w:val="22"/>
        </w:rPr>
        <w:t>project</w:t>
      </w:r>
      <w:r w:rsidR="00C2736F" w:rsidRPr="000C15C8">
        <w:rPr>
          <w:rFonts w:eastAsia="Calibri" w:cstheme="majorHAnsi"/>
          <w:sz w:val="22"/>
          <w:szCs w:val="22"/>
        </w:rPr>
        <w:t xml:space="preserve"> </w:t>
      </w:r>
      <w:r w:rsidR="00C2736F">
        <w:rPr>
          <w:rFonts w:eastAsia="Calibri" w:cstheme="majorHAnsi"/>
          <w:sz w:val="22"/>
          <w:szCs w:val="22"/>
        </w:rPr>
        <w:t>outcomes</w:t>
      </w:r>
      <w:r w:rsidRPr="000C15C8">
        <w:rPr>
          <w:rFonts w:eastAsia="Calibri" w:cstheme="majorHAnsi"/>
          <w:sz w:val="22"/>
          <w:szCs w:val="22"/>
        </w:rPr>
        <w:t>?</w:t>
      </w:r>
    </w:p>
    <w:p w:rsidR="003173B0" w:rsidRPr="00A46B6A" w:rsidRDefault="003173B0" w:rsidP="003173B0">
      <w:pPr>
        <w:ind w:left="426"/>
        <w:rPr>
          <w:rFonts w:cstheme="minorHAnsi"/>
        </w:rPr>
      </w:pPr>
      <w:r w:rsidRPr="00A46B6A">
        <w:rPr>
          <w:rFonts w:cstheme="minorHAnsi"/>
        </w:rPr>
        <w:t xml:space="preserve">During the application process, the Department of Agriculture, Water and the Environment </w:t>
      </w:r>
      <w:r w:rsidR="006E41EC">
        <w:rPr>
          <w:rFonts w:cstheme="minorHAnsi"/>
        </w:rPr>
        <w:t xml:space="preserve">(the department) </w:t>
      </w:r>
      <w:r w:rsidRPr="00A46B6A">
        <w:rPr>
          <w:rFonts w:cstheme="minorHAnsi"/>
        </w:rPr>
        <w:t>cannot provide advice to potential applicants about specific project ideas. This includes making any comments about the merit of a project or any of the planned activities and whether they meet the grant</w:t>
      </w:r>
      <w:r w:rsidR="00DA53A7">
        <w:rPr>
          <w:rFonts w:cstheme="minorHAnsi"/>
        </w:rPr>
        <w:t>’</w:t>
      </w:r>
      <w:r w:rsidRPr="00A46B6A">
        <w:rPr>
          <w:rFonts w:cstheme="minorHAnsi"/>
        </w:rPr>
        <w:t xml:space="preserve">s objectives. This is to ensure that the process remains </w:t>
      </w:r>
      <w:r>
        <w:rPr>
          <w:rFonts w:cstheme="minorHAnsi"/>
        </w:rPr>
        <w:t xml:space="preserve">equitable, </w:t>
      </w:r>
      <w:r w:rsidRPr="00A46B6A">
        <w:rPr>
          <w:rFonts w:cstheme="minorHAnsi"/>
        </w:rPr>
        <w:t xml:space="preserve">fair and impartial, </w:t>
      </w:r>
      <w:r>
        <w:rPr>
          <w:rFonts w:cstheme="minorHAnsi"/>
        </w:rPr>
        <w:t>for all applicants</w:t>
      </w:r>
      <w:r w:rsidRPr="00A46B6A">
        <w:rPr>
          <w:rFonts w:cstheme="minorHAnsi"/>
        </w:rPr>
        <w:t>.</w:t>
      </w:r>
    </w:p>
    <w:p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What are the contract conditions for this grant?</w:t>
      </w:r>
      <w:r>
        <w:rPr>
          <w:rFonts w:eastAsia="Calibri" w:cstheme="majorHAnsi"/>
          <w:sz w:val="22"/>
          <w:szCs w:val="22"/>
        </w:rPr>
        <w:t xml:space="preserve"> </w:t>
      </w:r>
    </w:p>
    <w:p w:rsidR="00EC06D0" w:rsidRDefault="008644A1" w:rsidP="003173B0">
      <w:pPr>
        <w:ind w:left="426"/>
        <w:rPr>
          <w:rFonts w:cstheme="minorHAnsi"/>
        </w:rPr>
      </w:pPr>
      <w:r>
        <w:rPr>
          <w:rFonts w:cstheme="minorHAnsi"/>
        </w:rPr>
        <w:t>T</w:t>
      </w:r>
      <w:r w:rsidR="00EE70EA">
        <w:rPr>
          <w:rFonts w:cstheme="minorHAnsi"/>
        </w:rPr>
        <w:t>he department is currently developing a tailored grant agreement to be used for this grant opportunity.</w:t>
      </w:r>
    </w:p>
    <w:p w:rsidR="003173B0" w:rsidRPr="002979AC"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 xml:space="preserve">Who owns any </w:t>
      </w:r>
      <w:r>
        <w:rPr>
          <w:rFonts w:eastAsia="Calibri" w:cstheme="majorHAnsi"/>
          <w:sz w:val="22"/>
          <w:szCs w:val="22"/>
        </w:rPr>
        <w:t>i</w:t>
      </w:r>
      <w:r w:rsidRPr="002979AC">
        <w:rPr>
          <w:rFonts w:eastAsia="Calibri" w:cstheme="majorHAnsi"/>
          <w:sz w:val="22"/>
          <w:szCs w:val="22"/>
        </w:rPr>
        <w:t xml:space="preserve">ntellectual </w:t>
      </w:r>
      <w:r>
        <w:rPr>
          <w:rFonts w:eastAsia="Calibri" w:cstheme="majorHAnsi"/>
          <w:sz w:val="22"/>
          <w:szCs w:val="22"/>
        </w:rPr>
        <w:t>p</w:t>
      </w:r>
      <w:r w:rsidRPr="002979AC">
        <w:rPr>
          <w:rFonts w:eastAsia="Calibri" w:cstheme="majorHAnsi"/>
          <w:sz w:val="22"/>
          <w:szCs w:val="22"/>
        </w:rPr>
        <w:t xml:space="preserve">roperty created in projects funded under this </w:t>
      </w:r>
      <w:r>
        <w:rPr>
          <w:rFonts w:eastAsia="Calibri" w:cstheme="majorHAnsi"/>
          <w:sz w:val="22"/>
          <w:szCs w:val="22"/>
        </w:rPr>
        <w:t xml:space="preserve">grant </w:t>
      </w:r>
      <w:r w:rsidRPr="002979AC">
        <w:rPr>
          <w:rFonts w:eastAsia="Calibri" w:cstheme="majorHAnsi"/>
          <w:sz w:val="22"/>
          <w:szCs w:val="22"/>
        </w:rPr>
        <w:t>program?</w:t>
      </w:r>
    </w:p>
    <w:p w:rsidR="009D4442" w:rsidRPr="009D4442" w:rsidRDefault="009D4442" w:rsidP="009D4442">
      <w:pPr>
        <w:ind w:left="426"/>
        <w:rPr>
          <w:rFonts w:cstheme="minorHAnsi"/>
        </w:rPr>
      </w:pPr>
      <w:r w:rsidRPr="009D4442">
        <w:rPr>
          <w:rFonts w:cstheme="minorHAnsi"/>
        </w:rPr>
        <w:t xml:space="preserve">Knowledge capture is essential to the success of the </w:t>
      </w:r>
      <w:r w:rsidR="00325D02">
        <w:rPr>
          <w:rFonts w:cstheme="minorHAnsi"/>
        </w:rPr>
        <w:t>p</w:t>
      </w:r>
      <w:r w:rsidR="00325D02" w:rsidRPr="009D4442">
        <w:rPr>
          <w:rFonts w:cstheme="minorHAnsi"/>
        </w:rPr>
        <w:t>rogram</w:t>
      </w:r>
      <w:r w:rsidRPr="009D4442">
        <w:rPr>
          <w:rFonts w:cstheme="minorHAnsi"/>
        </w:rPr>
        <w:t xml:space="preserve">. The </w:t>
      </w:r>
      <w:r w:rsidR="00325D02">
        <w:rPr>
          <w:rFonts w:cstheme="minorHAnsi"/>
        </w:rPr>
        <w:t>d</w:t>
      </w:r>
      <w:r w:rsidR="00325D02" w:rsidRPr="009D4442">
        <w:rPr>
          <w:rFonts w:cstheme="minorHAnsi"/>
        </w:rPr>
        <w:t xml:space="preserve">epartment </w:t>
      </w:r>
      <w:r w:rsidRPr="009D4442">
        <w:rPr>
          <w:rFonts w:cstheme="minorHAnsi"/>
        </w:rPr>
        <w:t xml:space="preserve">expects that all research outputs from the </w:t>
      </w:r>
      <w:r w:rsidR="00325D02">
        <w:rPr>
          <w:rFonts w:cstheme="minorHAnsi"/>
        </w:rPr>
        <w:t>p</w:t>
      </w:r>
      <w:r w:rsidR="00325D02" w:rsidRPr="009D4442">
        <w:rPr>
          <w:rFonts w:cstheme="minorHAnsi"/>
        </w:rPr>
        <w:t xml:space="preserve">rogram </w:t>
      </w:r>
      <w:r w:rsidR="009146B7">
        <w:rPr>
          <w:rFonts w:cs="Arial"/>
        </w:rPr>
        <w:t>–</w:t>
      </w:r>
      <w:r w:rsidR="009146B7">
        <w:rPr>
          <w:rFonts w:cstheme="minorHAnsi"/>
        </w:rPr>
        <w:t xml:space="preserve"> </w:t>
      </w:r>
      <w:r w:rsidRPr="009D4442">
        <w:rPr>
          <w:rFonts w:cstheme="minorHAnsi"/>
        </w:rPr>
        <w:t xml:space="preserve">except those specifically agreed during project design </w:t>
      </w:r>
      <w:r w:rsidR="009146B7">
        <w:rPr>
          <w:rFonts w:cs="Arial"/>
        </w:rPr>
        <w:t>–</w:t>
      </w:r>
      <w:r w:rsidRPr="009D4442">
        <w:rPr>
          <w:rFonts w:cstheme="minorHAnsi"/>
        </w:rPr>
        <w:t xml:space="preserve"> will be made publicly and freely available:</w:t>
      </w:r>
    </w:p>
    <w:p w:rsidR="009D4442" w:rsidRPr="009D4442" w:rsidRDefault="009D4442" w:rsidP="009D4442">
      <w:pPr>
        <w:pStyle w:val="ListParagraph"/>
        <w:numPr>
          <w:ilvl w:val="0"/>
          <w:numId w:val="18"/>
        </w:numPr>
        <w:rPr>
          <w:rFonts w:cstheme="minorHAnsi"/>
        </w:rPr>
      </w:pPr>
      <w:r w:rsidRPr="009D4442">
        <w:rPr>
          <w:rFonts w:cstheme="minorHAnsi"/>
        </w:rPr>
        <w:t>on the internet and that researchers deposit research outputs in appropriate national repositories</w:t>
      </w:r>
    </w:p>
    <w:p w:rsidR="009D4442" w:rsidRDefault="009D4442" w:rsidP="009D4442">
      <w:pPr>
        <w:pStyle w:val="ListParagraph"/>
        <w:numPr>
          <w:ilvl w:val="0"/>
          <w:numId w:val="18"/>
        </w:numPr>
        <w:rPr>
          <w:rFonts w:cstheme="minorHAnsi"/>
        </w:rPr>
      </w:pPr>
      <w:proofErr w:type="gramStart"/>
      <w:r w:rsidRPr="009D4442">
        <w:rPr>
          <w:rFonts w:cstheme="minorHAnsi"/>
        </w:rPr>
        <w:t>under</w:t>
      </w:r>
      <w:proofErr w:type="gramEnd"/>
      <w:r w:rsidRPr="009D4442">
        <w:rPr>
          <w:rFonts w:cstheme="minorHAnsi"/>
        </w:rPr>
        <w:t xml:space="preserve"> a creative commons licence </w:t>
      </w:r>
      <w:r w:rsidR="009146B7">
        <w:rPr>
          <w:rFonts w:cs="Arial"/>
        </w:rPr>
        <w:t>–</w:t>
      </w:r>
      <w:r w:rsidRPr="009D4442">
        <w:rPr>
          <w:rFonts w:cstheme="minorHAnsi"/>
        </w:rPr>
        <w:t xml:space="preserve"> specifically the latest version of the Creative Commons Attribution licence. </w:t>
      </w:r>
    </w:p>
    <w:p w:rsidR="009D4442" w:rsidRPr="009D4442" w:rsidRDefault="009D4442" w:rsidP="00DB0238">
      <w:pPr>
        <w:ind w:left="425"/>
      </w:pPr>
      <w:r>
        <w:t>Please refer to section 2.3</w:t>
      </w:r>
      <w:r w:rsidRPr="00BA78D1">
        <w:t xml:space="preserve"> of the Grant Opportunity Guidelines.</w:t>
      </w:r>
    </w:p>
    <w:p w:rsidR="003173B0" w:rsidRPr="000C15C8" w:rsidRDefault="003173B0" w:rsidP="00DB0238">
      <w:pPr>
        <w:pStyle w:val="Heading2"/>
        <w:numPr>
          <w:ilvl w:val="0"/>
          <w:numId w:val="6"/>
        </w:numPr>
        <w:ind w:left="426" w:hanging="426"/>
        <w:rPr>
          <w:rFonts w:eastAsia="Calibri" w:cstheme="majorHAnsi"/>
          <w:sz w:val="22"/>
          <w:szCs w:val="22"/>
        </w:rPr>
      </w:pPr>
      <w:r w:rsidRPr="000C15C8">
        <w:rPr>
          <w:rFonts w:eastAsia="Calibri" w:cstheme="majorHAnsi"/>
          <w:sz w:val="22"/>
          <w:szCs w:val="22"/>
        </w:rPr>
        <w:t>How will my application be assessed and who is the decision maker?</w:t>
      </w:r>
      <w:r>
        <w:rPr>
          <w:rFonts w:eastAsia="Calibri" w:cstheme="majorHAnsi"/>
          <w:sz w:val="22"/>
          <w:szCs w:val="22"/>
        </w:rPr>
        <w:t xml:space="preserve"> </w:t>
      </w:r>
    </w:p>
    <w:p w:rsidR="003173B0" w:rsidRPr="00A46B6A" w:rsidRDefault="003173B0" w:rsidP="003173B0">
      <w:pPr>
        <w:pStyle w:val="BodyText"/>
        <w:ind w:left="426"/>
        <w:rPr>
          <w:rFonts w:cstheme="minorHAnsi"/>
          <w:szCs w:val="22"/>
        </w:rPr>
      </w:pPr>
      <w:r w:rsidRPr="00A46B6A">
        <w:rPr>
          <w:rFonts w:cstheme="minorHAnsi"/>
          <w:szCs w:val="22"/>
        </w:rPr>
        <w:t xml:space="preserve">Please refer to </w:t>
      </w:r>
      <w:r w:rsidR="00B6260B">
        <w:rPr>
          <w:rFonts w:cstheme="minorHAnsi"/>
          <w:szCs w:val="22"/>
        </w:rPr>
        <w:t>section</w:t>
      </w:r>
      <w:r w:rsidR="00B6260B" w:rsidRPr="00A46B6A">
        <w:rPr>
          <w:rFonts w:cstheme="minorHAnsi"/>
          <w:szCs w:val="22"/>
        </w:rPr>
        <w:t xml:space="preserve"> </w:t>
      </w:r>
      <w:r w:rsidR="009D4442">
        <w:rPr>
          <w:rFonts w:cstheme="minorHAnsi"/>
          <w:szCs w:val="22"/>
        </w:rPr>
        <w:t>8</w:t>
      </w:r>
      <w:r w:rsidRPr="00A46B6A">
        <w:rPr>
          <w:rFonts w:cstheme="minorHAnsi"/>
          <w:szCs w:val="22"/>
        </w:rPr>
        <w:t xml:space="preserve"> of the Grant Opportunity Guidelines regarding the grant selection process. The </w:t>
      </w:r>
      <w:r w:rsidR="00C60C30">
        <w:rPr>
          <w:rFonts w:cstheme="minorHAnsi"/>
          <w:szCs w:val="22"/>
        </w:rPr>
        <w:t xml:space="preserve">Drought </w:t>
      </w:r>
      <w:r w:rsidRPr="00A46B6A">
        <w:rPr>
          <w:rFonts w:cstheme="minorHAnsi"/>
          <w:szCs w:val="22"/>
        </w:rPr>
        <w:t xml:space="preserve">Minister </w:t>
      </w:r>
      <w:r>
        <w:rPr>
          <w:rFonts w:cstheme="minorHAnsi"/>
          <w:szCs w:val="22"/>
        </w:rPr>
        <w:t>is responsible for</w:t>
      </w:r>
      <w:r w:rsidRPr="00A46B6A">
        <w:rPr>
          <w:rFonts w:cstheme="minorHAnsi"/>
          <w:szCs w:val="22"/>
        </w:rPr>
        <w:t xml:space="preserve"> approv</w:t>
      </w:r>
      <w:r>
        <w:rPr>
          <w:rFonts w:cstheme="minorHAnsi"/>
          <w:szCs w:val="22"/>
        </w:rPr>
        <w:t>ing</w:t>
      </w:r>
      <w:r w:rsidRPr="00A46B6A">
        <w:rPr>
          <w:rFonts w:cstheme="minorHAnsi"/>
          <w:szCs w:val="22"/>
        </w:rPr>
        <w:t xml:space="preserve"> applications for funding. </w:t>
      </w:r>
    </w:p>
    <w:p w:rsidR="003173B0" w:rsidRPr="000C15C8" w:rsidRDefault="003173B0" w:rsidP="003173B0">
      <w:pPr>
        <w:pStyle w:val="Heading2"/>
        <w:numPr>
          <w:ilvl w:val="0"/>
          <w:numId w:val="6"/>
        </w:numPr>
        <w:ind w:left="426" w:hanging="426"/>
        <w:rPr>
          <w:rFonts w:eastAsia="Calibri" w:cstheme="majorHAnsi"/>
          <w:sz w:val="22"/>
          <w:szCs w:val="22"/>
        </w:rPr>
      </w:pPr>
      <w:r w:rsidRPr="000C15C8">
        <w:rPr>
          <w:rFonts w:eastAsia="Calibri" w:cstheme="majorHAnsi"/>
          <w:sz w:val="22"/>
          <w:szCs w:val="22"/>
        </w:rPr>
        <w:t xml:space="preserve">How long will it take for applications to be assessed? </w:t>
      </w:r>
    </w:p>
    <w:p w:rsidR="003173B0" w:rsidRPr="00A46B6A" w:rsidRDefault="003173B0" w:rsidP="003173B0">
      <w:pPr>
        <w:pStyle w:val="BodyText"/>
        <w:ind w:left="426"/>
        <w:rPr>
          <w:rFonts w:cstheme="minorHAnsi"/>
          <w:szCs w:val="22"/>
        </w:rPr>
      </w:pPr>
      <w:r w:rsidRPr="00A46B6A">
        <w:rPr>
          <w:rFonts w:cstheme="minorHAnsi"/>
          <w:szCs w:val="22"/>
        </w:rPr>
        <w:t xml:space="preserve">Please refer to </w:t>
      </w:r>
      <w:r w:rsidR="00B6260B">
        <w:rPr>
          <w:rFonts w:cstheme="minorHAnsi"/>
          <w:szCs w:val="22"/>
        </w:rPr>
        <w:t>section</w:t>
      </w:r>
      <w:r w:rsidR="00B6260B" w:rsidRPr="00A46B6A">
        <w:rPr>
          <w:rFonts w:cstheme="minorHAnsi"/>
          <w:szCs w:val="22"/>
        </w:rPr>
        <w:t xml:space="preserve"> </w:t>
      </w:r>
      <w:r w:rsidR="009D4442">
        <w:rPr>
          <w:rFonts w:cstheme="minorHAnsi"/>
          <w:szCs w:val="22"/>
        </w:rPr>
        <w:t xml:space="preserve">9 </w:t>
      </w:r>
      <w:r w:rsidRPr="00A46B6A">
        <w:rPr>
          <w:rFonts w:cstheme="minorHAnsi"/>
          <w:szCs w:val="22"/>
        </w:rPr>
        <w:t>of the Grant Opportunity Guidelines regarding application process timing. All applicants will be informed of the outcome of their application.</w:t>
      </w:r>
    </w:p>
    <w:p w:rsidR="003173B0" w:rsidRPr="002979AC"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lastRenderedPageBreak/>
        <w:t>When will I know the outcome of my application?</w:t>
      </w:r>
      <w:r>
        <w:rPr>
          <w:rFonts w:eastAsia="Calibri" w:cstheme="majorHAnsi"/>
          <w:sz w:val="22"/>
          <w:szCs w:val="22"/>
        </w:rPr>
        <w:t xml:space="preserve"> </w:t>
      </w:r>
    </w:p>
    <w:p w:rsidR="003173B0" w:rsidRPr="00A46B6A" w:rsidRDefault="003173B0" w:rsidP="003173B0">
      <w:pPr>
        <w:pStyle w:val="BodyText"/>
        <w:ind w:left="426"/>
        <w:rPr>
          <w:rFonts w:cstheme="minorHAnsi"/>
          <w:szCs w:val="22"/>
        </w:rPr>
      </w:pPr>
      <w:r w:rsidRPr="00A46B6A">
        <w:rPr>
          <w:rFonts w:cstheme="minorHAnsi"/>
          <w:szCs w:val="22"/>
        </w:rPr>
        <w:t xml:space="preserve">You will be notified of the outcome of your application in writing at the end of the selection process. </w:t>
      </w:r>
      <w:r>
        <w:rPr>
          <w:rFonts w:cstheme="minorHAnsi"/>
          <w:szCs w:val="22"/>
        </w:rPr>
        <w:t>In order</w:t>
      </w:r>
      <w:r w:rsidRPr="00A46B6A">
        <w:rPr>
          <w:rFonts w:cstheme="minorHAnsi"/>
          <w:szCs w:val="22"/>
        </w:rPr>
        <w:t xml:space="preserve"> to treat all applicants fairly and equally, it is not possible to give you information about the status of individual applications during the assessment process.</w:t>
      </w:r>
    </w:p>
    <w:p w:rsidR="003173B0" w:rsidRPr="002979AC"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What feedback will be available for this funding round?</w:t>
      </w:r>
      <w:r>
        <w:rPr>
          <w:rFonts w:eastAsia="Calibri" w:cstheme="majorHAnsi"/>
          <w:sz w:val="22"/>
          <w:szCs w:val="22"/>
        </w:rPr>
        <w:t xml:space="preserve"> </w:t>
      </w:r>
    </w:p>
    <w:p w:rsidR="003173B0" w:rsidRPr="006B7729" w:rsidRDefault="00B5285F" w:rsidP="003173B0">
      <w:pPr>
        <w:pStyle w:val="BodyText"/>
        <w:ind w:left="426"/>
        <w:rPr>
          <w:rFonts w:cstheme="minorHAnsi"/>
          <w:szCs w:val="22"/>
        </w:rPr>
      </w:pPr>
      <w:r w:rsidRPr="00103A95">
        <w:t xml:space="preserve">If you are unsuccessful, </w:t>
      </w:r>
      <w:r>
        <w:t xml:space="preserve">we will notify you and give you an opportunity for feedback on the outcome. If you are unsuccessful, you may email </w:t>
      </w:r>
      <w:hyperlink r:id="rId15" w:history="1">
        <w:r>
          <w:rPr>
            <w:rStyle w:val="Hyperlink"/>
            <w:rFonts w:cs="Arial"/>
          </w:rPr>
          <w:t>support@communitygrants.gov.au</w:t>
        </w:r>
      </w:hyperlink>
      <w:r>
        <w:rPr>
          <w:rFonts w:cs="Arial"/>
        </w:rPr>
        <w:t xml:space="preserve"> to request feedback within one month of being notified of </w:t>
      </w:r>
      <w:r w:rsidR="009D4442">
        <w:rPr>
          <w:rFonts w:cs="Arial"/>
        </w:rPr>
        <w:t>the outcome</w:t>
      </w:r>
      <w:r w:rsidR="00DB0238">
        <w:rPr>
          <w:rFonts w:cs="Arial"/>
        </w:rPr>
        <w:t>. Please re</w:t>
      </w:r>
      <w:r w:rsidR="009D4442">
        <w:rPr>
          <w:rFonts w:cs="Arial"/>
        </w:rPr>
        <w:t>fer to section 9</w:t>
      </w:r>
      <w:r w:rsidR="00DB0238">
        <w:rPr>
          <w:rFonts w:cs="Arial"/>
        </w:rPr>
        <w:t xml:space="preserve"> of the Grant Opportunity Guidelines</w:t>
      </w:r>
      <w:r>
        <w:rPr>
          <w:rFonts w:cs="Arial"/>
        </w:rPr>
        <w:t>.</w:t>
      </w:r>
    </w:p>
    <w:p w:rsidR="003173B0" w:rsidRPr="002979AC"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 xml:space="preserve">When can I start my </w:t>
      </w:r>
      <w:r w:rsidR="00BA78D1">
        <w:rPr>
          <w:rFonts w:eastAsia="Calibri" w:cstheme="majorHAnsi"/>
          <w:sz w:val="22"/>
          <w:szCs w:val="22"/>
        </w:rPr>
        <w:t>p</w:t>
      </w:r>
      <w:r w:rsidR="00BA78D1" w:rsidRPr="002979AC">
        <w:rPr>
          <w:rFonts w:eastAsia="Calibri" w:cstheme="majorHAnsi"/>
          <w:sz w:val="22"/>
          <w:szCs w:val="22"/>
        </w:rPr>
        <w:t>roject</w:t>
      </w:r>
      <w:r w:rsidRPr="002979AC">
        <w:rPr>
          <w:rFonts w:eastAsia="Calibri" w:cstheme="majorHAnsi"/>
          <w:sz w:val="22"/>
          <w:szCs w:val="22"/>
        </w:rPr>
        <w:t>?</w:t>
      </w:r>
      <w:r>
        <w:rPr>
          <w:rFonts w:eastAsia="Calibri" w:cstheme="majorHAnsi"/>
          <w:sz w:val="22"/>
          <w:szCs w:val="22"/>
        </w:rPr>
        <w:t xml:space="preserve"> </w:t>
      </w:r>
    </w:p>
    <w:p w:rsidR="003173B0" w:rsidRPr="00F04244" w:rsidRDefault="003173B0" w:rsidP="00F04244">
      <w:pPr>
        <w:pStyle w:val="BodyText"/>
        <w:ind w:left="426"/>
        <w:rPr>
          <w:rFonts w:cstheme="minorHAnsi"/>
          <w:szCs w:val="22"/>
        </w:rPr>
      </w:pPr>
      <w:r w:rsidRPr="00F04244">
        <w:rPr>
          <w:rFonts w:cstheme="minorHAnsi"/>
          <w:szCs w:val="22"/>
        </w:rPr>
        <w:t xml:space="preserve">The </w:t>
      </w:r>
      <w:r w:rsidR="006E41EC">
        <w:rPr>
          <w:rFonts w:cstheme="minorHAnsi"/>
          <w:szCs w:val="22"/>
        </w:rPr>
        <w:t>department</w:t>
      </w:r>
      <w:r w:rsidRPr="00F04244">
        <w:rPr>
          <w:rFonts w:cstheme="minorHAnsi"/>
          <w:szCs w:val="22"/>
        </w:rPr>
        <w:t xml:space="preserve"> is not responsible for any expenditure prior to a grant agreement being executed. You must not start any grant activities until a grant agreement is executed. Please refer to section </w:t>
      </w:r>
      <w:r w:rsidR="006E41EC">
        <w:rPr>
          <w:rFonts w:cstheme="minorHAnsi"/>
          <w:szCs w:val="22"/>
        </w:rPr>
        <w:t>7</w:t>
      </w:r>
      <w:r w:rsidRPr="00F04244">
        <w:rPr>
          <w:rFonts w:cstheme="minorHAnsi"/>
          <w:szCs w:val="22"/>
        </w:rPr>
        <w:t xml:space="preserve"> of the Grant Opportunity Guidelines for application process timing.</w:t>
      </w:r>
    </w:p>
    <w:p w:rsidR="003173B0"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When does the grant program end?</w:t>
      </w:r>
      <w:r>
        <w:rPr>
          <w:rFonts w:eastAsia="Calibri" w:cstheme="majorHAnsi"/>
          <w:sz w:val="22"/>
          <w:szCs w:val="22"/>
        </w:rPr>
        <w:t xml:space="preserve"> </w:t>
      </w:r>
    </w:p>
    <w:p w:rsidR="003173B0" w:rsidRDefault="003173B0" w:rsidP="003173B0">
      <w:pPr>
        <w:pStyle w:val="BodyText"/>
        <w:ind w:left="426"/>
        <w:rPr>
          <w:rFonts w:cstheme="minorHAnsi"/>
          <w:szCs w:val="22"/>
        </w:rPr>
      </w:pPr>
      <w:r w:rsidRPr="00A445D5">
        <w:rPr>
          <w:rFonts w:cstheme="minorHAnsi"/>
          <w:szCs w:val="22"/>
        </w:rPr>
        <w:t xml:space="preserve">All grant activities </w:t>
      </w:r>
      <w:r>
        <w:rPr>
          <w:rFonts w:cstheme="minorHAnsi"/>
          <w:szCs w:val="22"/>
        </w:rPr>
        <w:t xml:space="preserve">are </w:t>
      </w:r>
      <w:r w:rsidR="00B637C7">
        <w:rPr>
          <w:rFonts w:cstheme="minorHAnsi"/>
          <w:szCs w:val="22"/>
        </w:rPr>
        <w:t>required</w:t>
      </w:r>
      <w:r>
        <w:rPr>
          <w:rFonts w:cstheme="minorHAnsi"/>
          <w:szCs w:val="22"/>
        </w:rPr>
        <w:t xml:space="preserve"> to</w:t>
      </w:r>
      <w:r w:rsidRPr="00A445D5">
        <w:rPr>
          <w:rFonts w:cstheme="minorHAnsi"/>
          <w:szCs w:val="22"/>
        </w:rPr>
        <w:t xml:space="preserve"> be completed by 30 June 202</w:t>
      </w:r>
      <w:r w:rsidR="009D4442">
        <w:rPr>
          <w:rFonts w:cstheme="minorHAnsi"/>
          <w:szCs w:val="22"/>
        </w:rPr>
        <w:t>4</w:t>
      </w:r>
      <w:r w:rsidR="00B5285F">
        <w:rPr>
          <w:rFonts w:cstheme="minorHAnsi"/>
          <w:szCs w:val="22"/>
        </w:rPr>
        <w:t>.</w:t>
      </w:r>
    </w:p>
    <w:p w:rsidR="003173B0" w:rsidRPr="002979AC"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Will there be future funding rounds for this grant program?</w:t>
      </w:r>
      <w:r>
        <w:rPr>
          <w:rFonts w:eastAsia="Calibri" w:cstheme="majorHAnsi"/>
          <w:sz w:val="22"/>
          <w:szCs w:val="22"/>
        </w:rPr>
        <w:t xml:space="preserve"> </w:t>
      </w:r>
    </w:p>
    <w:p w:rsidR="003173B0" w:rsidRPr="00A46B6A" w:rsidRDefault="00EE70EA" w:rsidP="003173B0">
      <w:pPr>
        <w:pStyle w:val="BodyText"/>
        <w:ind w:left="426"/>
        <w:rPr>
          <w:rFonts w:cstheme="minorHAnsi"/>
          <w:szCs w:val="22"/>
        </w:rPr>
      </w:pPr>
      <w:r>
        <w:rPr>
          <w:rFonts w:cstheme="minorHAnsi"/>
          <w:szCs w:val="22"/>
        </w:rPr>
        <w:t xml:space="preserve">At this time, no decisions to allocate funding beyond </w:t>
      </w:r>
      <w:r w:rsidR="009D4442" w:rsidRPr="00A445D5">
        <w:rPr>
          <w:rFonts w:cstheme="minorHAnsi"/>
          <w:szCs w:val="22"/>
        </w:rPr>
        <w:t>30 June 202</w:t>
      </w:r>
      <w:r w:rsidR="009D4442">
        <w:rPr>
          <w:rFonts w:cstheme="minorHAnsi"/>
          <w:szCs w:val="22"/>
        </w:rPr>
        <w:t xml:space="preserve">4 </w:t>
      </w:r>
      <w:r>
        <w:rPr>
          <w:rFonts w:cstheme="minorHAnsi"/>
          <w:szCs w:val="22"/>
        </w:rPr>
        <w:t xml:space="preserve">have been made for this </w:t>
      </w:r>
      <w:r w:rsidR="009D4442">
        <w:rPr>
          <w:rFonts w:cstheme="minorHAnsi"/>
          <w:szCs w:val="22"/>
        </w:rPr>
        <w:t>program</w:t>
      </w:r>
      <w:r>
        <w:rPr>
          <w:rFonts w:cstheme="minorHAnsi"/>
          <w:szCs w:val="22"/>
        </w:rPr>
        <w:t xml:space="preserve"> under the Future Drought Fund.</w:t>
      </w:r>
      <w:r w:rsidR="003173B0">
        <w:rPr>
          <w:rFonts w:cstheme="minorHAnsi"/>
          <w:szCs w:val="22"/>
        </w:rPr>
        <w:t xml:space="preserve"> </w:t>
      </w:r>
      <w:r w:rsidR="003173B0" w:rsidRPr="00906AAB">
        <w:rPr>
          <w:rFonts w:cstheme="minorHAnsi"/>
          <w:szCs w:val="22"/>
        </w:rPr>
        <w:t xml:space="preserve">You may like to </w:t>
      </w:r>
      <w:r w:rsidR="009C2B39">
        <w:rPr>
          <w:rFonts w:cstheme="minorHAnsi"/>
          <w:szCs w:val="22"/>
        </w:rPr>
        <w:t>regularly check</w:t>
      </w:r>
      <w:r w:rsidR="003173B0" w:rsidRPr="00906AAB">
        <w:rPr>
          <w:rFonts w:cstheme="minorHAnsi"/>
          <w:szCs w:val="22"/>
        </w:rPr>
        <w:t xml:space="preserve"> the </w:t>
      </w:r>
      <w:hyperlink r:id="rId16" w:history="1">
        <w:r w:rsidR="003173B0" w:rsidRPr="00E72F53">
          <w:rPr>
            <w:rStyle w:val="Hyperlink"/>
            <w:rFonts w:cstheme="minorHAnsi"/>
            <w:szCs w:val="22"/>
          </w:rPr>
          <w:t>department’s website</w:t>
        </w:r>
      </w:hyperlink>
      <w:r w:rsidR="003173B0" w:rsidRPr="00906AAB">
        <w:rPr>
          <w:rFonts w:cstheme="minorHAnsi"/>
          <w:szCs w:val="22"/>
        </w:rPr>
        <w:t xml:space="preserve"> </w:t>
      </w:r>
      <w:r w:rsidR="003173B0">
        <w:rPr>
          <w:rFonts w:cstheme="minorHAnsi"/>
          <w:szCs w:val="22"/>
        </w:rPr>
        <w:t xml:space="preserve">or the </w:t>
      </w:r>
      <w:hyperlink r:id="rId17" w:history="1">
        <w:r w:rsidR="003173B0" w:rsidRPr="00B6260B">
          <w:rPr>
            <w:rStyle w:val="Hyperlink"/>
            <w:rFonts w:cstheme="minorHAnsi"/>
            <w:szCs w:val="22"/>
          </w:rPr>
          <w:t>GrantConnect</w:t>
        </w:r>
      </w:hyperlink>
      <w:r w:rsidR="003173B0" w:rsidRPr="00A46B6A">
        <w:rPr>
          <w:rFonts w:cstheme="minorHAnsi"/>
          <w:szCs w:val="22"/>
        </w:rPr>
        <w:t xml:space="preserve"> website </w:t>
      </w:r>
      <w:r w:rsidR="003173B0" w:rsidRPr="00906AAB">
        <w:rPr>
          <w:rFonts w:cstheme="minorHAnsi"/>
          <w:szCs w:val="22"/>
        </w:rPr>
        <w:t xml:space="preserve">for </w:t>
      </w:r>
      <w:r w:rsidR="003173B0">
        <w:rPr>
          <w:rFonts w:cstheme="minorHAnsi"/>
          <w:szCs w:val="22"/>
        </w:rPr>
        <w:t xml:space="preserve">further </w:t>
      </w:r>
      <w:r w:rsidR="003173B0" w:rsidRPr="00906AAB">
        <w:rPr>
          <w:rFonts w:cstheme="minorHAnsi"/>
          <w:szCs w:val="22"/>
        </w:rPr>
        <w:t>information about th</w:t>
      </w:r>
      <w:r w:rsidR="003173B0">
        <w:rPr>
          <w:rFonts w:cstheme="minorHAnsi"/>
          <w:szCs w:val="22"/>
        </w:rPr>
        <w:t>is</w:t>
      </w:r>
      <w:r w:rsidR="003173B0" w:rsidRPr="00906AAB">
        <w:rPr>
          <w:rFonts w:cstheme="minorHAnsi"/>
          <w:szCs w:val="22"/>
        </w:rPr>
        <w:t xml:space="preserve"> and other </w:t>
      </w:r>
      <w:r w:rsidR="003173B0">
        <w:rPr>
          <w:rFonts w:cstheme="minorHAnsi"/>
          <w:szCs w:val="22"/>
        </w:rPr>
        <w:t xml:space="preserve">relevant </w:t>
      </w:r>
      <w:r w:rsidR="003173B0" w:rsidRPr="00906AAB">
        <w:rPr>
          <w:rFonts w:cstheme="minorHAnsi"/>
          <w:szCs w:val="22"/>
        </w:rPr>
        <w:t>programs.</w:t>
      </w:r>
    </w:p>
    <w:p w:rsidR="003173B0" w:rsidRPr="002979AC" w:rsidRDefault="003173B0" w:rsidP="003173B0">
      <w:pPr>
        <w:pStyle w:val="Heading2"/>
        <w:numPr>
          <w:ilvl w:val="0"/>
          <w:numId w:val="6"/>
        </w:numPr>
        <w:ind w:left="426" w:hanging="426"/>
        <w:rPr>
          <w:rFonts w:eastAsia="Calibri" w:cstheme="majorHAnsi"/>
          <w:sz w:val="22"/>
          <w:szCs w:val="22"/>
        </w:rPr>
      </w:pPr>
      <w:r w:rsidRPr="002979AC">
        <w:rPr>
          <w:rFonts w:eastAsia="Calibri" w:cstheme="majorHAnsi"/>
          <w:sz w:val="22"/>
          <w:szCs w:val="22"/>
        </w:rPr>
        <w:t>Where should I go for further information?</w:t>
      </w:r>
      <w:r>
        <w:rPr>
          <w:rFonts w:eastAsia="Calibri" w:cstheme="majorHAnsi"/>
          <w:sz w:val="22"/>
          <w:szCs w:val="22"/>
        </w:rPr>
        <w:t xml:space="preserve"> </w:t>
      </w:r>
    </w:p>
    <w:p w:rsidR="00D8560A" w:rsidRDefault="003173B0" w:rsidP="003173B0">
      <w:pPr>
        <w:tabs>
          <w:tab w:val="left" w:pos="2835"/>
        </w:tabs>
        <w:spacing w:line="240" w:lineRule="auto"/>
        <w:ind w:left="426"/>
        <w:rPr>
          <w:rFonts w:eastAsia="Times New Roman" w:cstheme="minorHAnsi"/>
        </w:rPr>
      </w:pPr>
      <w:r w:rsidRPr="00A46B6A">
        <w:rPr>
          <w:rFonts w:cstheme="minorHAnsi"/>
        </w:rPr>
        <w:t xml:space="preserve">If you have any questions, please </w:t>
      </w:r>
      <w:r w:rsidRPr="00A46B6A">
        <w:rPr>
          <w:rFonts w:eastAsia="Times New Roman" w:cstheme="minorHAnsi"/>
        </w:rPr>
        <w:t>call 1800 020 283</w:t>
      </w:r>
      <w:r w:rsidR="000B1642">
        <w:rPr>
          <w:rFonts w:eastAsia="Times New Roman" w:cstheme="minorHAnsi"/>
        </w:rPr>
        <w:t xml:space="preserve"> (option 1)</w:t>
      </w:r>
      <w:r w:rsidRPr="00A46B6A">
        <w:rPr>
          <w:rFonts w:eastAsia="Times New Roman" w:cstheme="minorHAnsi"/>
        </w:rPr>
        <w:t xml:space="preserve"> or email </w:t>
      </w:r>
      <w:hyperlink r:id="rId18" w:history="1">
        <w:r w:rsidRPr="00A46B6A">
          <w:rPr>
            <w:rStyle w:val="Hyperlink"/>
            <w:rFonts w:eastAsia="Times New Roman" w:cstheme="minorHAnsi"/>
          </w:rPr>
          <w:t>support@communitygrants.gov.au</w:t>
        </w:r>
      </w:hyperlink>
      <w:r w:rsidRPr="00A46B6A">
        <w:rPr>
          <w:rFonts w:eastAsia="Times New Roman" w:cstheme="minorHAnsi"/>
        </w:rPr>
        <w:t xml:space="preserve">. The Community Grants Hub will respond </w:t>
      </w:r>
      <w:r w:rsidR="009C094A">
        <w:rPr>
          <w:rFonts w:eastAsia="Times New Roman" w:cstheme="minorHAnsi"/>
        </w:rPr>
        <w:t xml:space="preserve">to questions </w:t>
      </w:r>
      <w:r w:rsidR="00CE6623" w:rsidRPr="00A46B6A">
        <w:rPr>
          <w:rFonts w:eastAsia="Times New Roman" w:cstheme="minorHAnsi"/>
        </w:rPr>
        <w:t xml:space="preserve">within </w:t>
      </w:r>
      <w:r w:rsidR="00CE6623">
        <w:rPr>
          <w:rFonts w:eastAsia="Times New Roman" w:cstheme="minorHAnsi"/>
        </w:rPr>
        <w:t xml:space="preserve">five </w:t>
      </w:r>
      <w:r w:rsidR="00CE6623" w:rsidRPr="00A46B6A">
        <w:rPr>
          <w:rFonts w:eastAsia="Times New Roman" w:cstheme="minorHAnsi"/>
        </w:rPr>
        <w:t>working days</w:t>
      </w:r>
      <w:r w:rsidR="00CE6623">
        <w:rPr>
          <w:rFonts w:eastAsia="Times New Roman" w:cstheme="minorHAnsi"/>
        </w:rPr>
        <w:t xml:space="preserve"> </w:t>
      </w:r>
      <w:r w:rsidR="00366F30">
        <w:rPr>
          <w:rFonts w:eastAsia="Times New Roman" w:cstheme="minorHAnsi"/>
        </w:rPr>
        <w:t>and</w:t>
      </w:r>
      <w:r w:rsidR="009F1A12">
        <w:rPr>
          <w:rFonts w:eastAsia="Times New Roman" w:cstheme="minorHAnsi"/>
        </w:rPr>
        <w:t xml:space="preserve"> </w:t>
      </w:r>
      <w:r w:rsidR="000E3E79">
        <w:rPr>
          <w:rFonts w:eastAsia="Times New Roman" w:cstheme="minorHAnsi"/>
        </w:rPr>
        <w:t xml:space="preserve">post an updated </w:t>
      </w:r>
      <w:r w:rsidR="006210D9">
        <w:rPr>
          <w:rFonts w:eastAsia="Times New Roman" w:cstheme="minorHAnsi"/>
        </w:rPr>
        <w:t xml:space="preserve">version </w:t>
      </w:r>
      <w:r w:rsidR="005355BC">
        <w:rPr>
          <w:rFonts w:eastAsia="Times New Roman" w:cstheme="minorHAnsi"/>
        </w:rPr>
        <w:t xml:space="preserve">of this </w:t>
      </w:r>
      <w:r w:rsidR="009F1A12">
        <w:rPr>
          <w:rFonts w:eastAsia="Times New Roman" w:cstheme="minorHAnsi"/>
        </w:rPr>
        <w:t xml:space="preserve">Questions and Answers </w:t>
      </w:r>
      <w:r w:rsidR="00CE6623">
        <w:rPr>
          <w:rFonts w:eastAsia="Times New Roman" w:cstheme="minorHAnsi"/>
        </w:rPr>
        <w:t xml:space="preserve">document. </w:t>
      </w:r>
    </w:p>
    <w:p w:rsidR="00D8560A" w:rsidRPr="00201A31" w:rsidRDefault="009C094A" w:rsidP="00D8560A">
      <w:pPr>
        <w:ind w:left="426"/>
        <w:rPr>
          <w:rFonts w:cstheme="minorHAnsi"/>
        </w:rPr>
      </w:pPr>
      <w:r>
        <w:rPr>
          <w:rFonts w:cstheme="minorHAnsi"/>
        </w:rPr>
        <w:t xml:space="preserve">Final </w:t>
      </w:r>
      <w:r w:rsidR="00F947A7">
        <w:rPr>
          <w:rFonts w:cstheme="minorHAnsi"/>
        </w:rPr>
        <w:t>q</w:t>
      </w:r>
      <w:r w:rsidR="00D8560A">
        <w:rPr>
          <w:rFonts w:cstheme="minorHAnsi"/>
        </w:rPr>
        <w:t xml:space="preserve">uestions must be submitted by </w:t>
      </w:r>
      <w:r w:rsidR="00D8560A">
        <w:rPr>
          <w:b/>
          <w:lang w:val="en" w:eastAsia="en-AU"/>
        </w:rPr>
        <w:t>5</w:t>
      </w:r>
      <w:r w:rsidR="00D8560A" w:rsidRPr="00660F7F">
        <w:rPr>
          <w:b/>
          <w:lang w:val="en" w:eastAsia="en-AU"/>
        </w:rPr>
        <w:t>.00</w:t>
      </w:r>
      <w:r w:rsidR="00255E3A">
        <w:rPr>
          <w:b/>
          <w:lang w:val="en" w:eastAsia="en-AU"/>
        </w:rPr>
        <w:t xml:space="preserve"> </w:t>
      </w:r>
      <w:r w:rsidR="00D8560A" w:rsidRPr="00660F7F">
        <w:rPr>
          <w:b/>
          <w:lang w:val="en" w:eastAsia="en-AU"/>
        </w:rPr>
        <w:t xml:space="preserve">pm </w:t>
      </w:r>
      <w:r w:rsidR="00D8560A">
        <w:rPr>
          <w:b/>
          <w:lang w:val="en" w:eastAsia="en-AU"/>
        </w:rPr>
        <w:t>AE</w:t>
      </w:r>
      <w:r w:rsidR="00830B16">
        <w:rPr>
          <w:b/>
          <w:lang w:val="en" w:eastAsia="en-AU"/>
        </w:rPr>
        <w:t>D</w:t>
      </w:r>
      <w:r w:rsidR="00D8560A">
        <w:rPr>
          <w:b/>
          <w:lang w:val="en" w:eastAsia="en-AU"/>
        </w:rPr>
        <w:t xml:space="preserve">T </w:t>
      </w:r>
      <w:r w:rsidR="00D8560A" w:rsidRPr="00660F7F">
        <w:rPr>
          <w:b/>
          <w:lang w:val="en" w:eastAsia="en-AU"/>
        </w:rPr>
        <w:t xml:space="preserve">on </w:t>
      </w:r>
      <w:r w:rsidR="00CF3652">
        <w:rPr>
          <w:b/>
          <w:lang w:val="en" w:eastAsia="en-AU"/>
        </w:rPr>
        <w:t>1</w:t>
      </w:r>
      <w:r w:rsidR="00895EA8">
        <w:rPr>
          <w:b/>
          <w:lang w:val="en" w:eastAsia="en-AU"/>
        </w:rPr>
        <w:t>6</w:t>
      </w:r>
      <w:r w:rsidR="009D4442" w:rsidRPr="009D4442">
        <w:rPr>
          <w:b/>
          <w:lang w:val="en" w:eastAsia="en-AU"/>
        </w:rPr>
        <w:t xml:space="preserve"> December </w:t>
      </w:r>
      <w:r w:rsidR="00D8560A">
        <w:rPr>
          <w:b/>
          <w:lang w:val="en" w:eastAsia="en-AU"/>
        </w:rPr>
        <w:t>2020.</w:t>
      </w:r>
    </w:p>
    <w:p w:rsidR="00E94149" w:rsidRDefault="00E94149" w:rsidP="00046AC0">
      <w:pPr>
        <w:ind w:left="567" w:hanging="141"/>
        <w:rPr>
          <w:rStyle w:val="Hyperlink"/>
        </w:rPr>
      </w:pPr>
      <w:r w:rsidRPr="00A53743">
        <w:t xml:space="preserve">Please email your enquiries to </w:t>
      </w:r>
      <w:hyperlink r:id="rId19" w:history="1">
        <w:r w:rsidRPr="00A53743">
          <w:rPr>
            <w:rStyle w:val="Hyperlink"/>
          </w:rPr>
          <w:t>support@communitygrants.gov.au</w:t>
        </w:r>
      </w:hyperlink>
      <w:r w:rsidR="00830B16">
        <w:rPr>
          <w:rStyle w:val="Hyperlink"/>
        </w:rPr>
        <w:t>.</w:t>
      </w:r>
    </w:p>
    <w:p w:rsidR="002532D8" w:rsidRDefault="002532D8" w:rsidP="002532D8">
      <w:pPr>
        <w:pStyle w:val="Heading2"/>
        <w:spacing w:beforeLines="120" w:before="288" w:afterLines="40" w:after="96" w:line="280" w:lineRule="atLeast"/>
        <w:ind w:left="425"/>
        <w:rPr>
          <w:rFonts w:eastAsia="Calibri"/>
          <w:color w:val="auto"/>
          <w:u w:val="single"/>
        </w:rPr>
      </w:pPr>
      <w:r w:rsidRPr="002532D8">
        <w:rPr>
          <w:rFonts w:eastAsia="Calibri"/>
          <w:color w:val="auto"/>
          <w:u w:val="single"/>
        </w:rPr>
        <w:lastRenderedPageBreak/>
        <w:t xml:space="preserve">Questions and Answers added on 17 </w:t>
      </w:r>
      <w:r w:rsidRPr="0045439D">
        <w:rPr>
          <w:rFonts w:eastAsia="Calibri"/>
          <w:color w:val="auto"/>
          <w:u w:val="single"/>
        </w:rPr>
        <w:t>November 2020</w:t>
      </w:r>
    </w:p>
    <w:p w:rsidR="002532D8" w:rsidRDefault="009818DA" w:rsidP="0045439D">
      <w:pPr>
        <w:pStyle w:val="Heading2"/>
        <w:numPr>
          <w:ilvl w:val="0"/>
          <w:numId w:val="6"/>
        </w:numPr>
        <w:ind w:left="426" w:hanging="426"/>
        <w:rPr>
          <w:rFonts w:eastAsia="Calibri" w:cstheme="majorHAnsi"/>
          <w:sz w:val="22"/>
          <w:szCs w:val="22"/>
        </w:rPr>
      </w:pPr>
      <w:r>
        <w:rPr>
          <w:rFonts w:eastAsia="Calibri" w:cstheme="majorHAnsi"/>
          <w:sz w:val="22"/>
          <w:szCs w:val="22"/>
        </w:rPr>
        <w:t>Links to the National Agricultural Innovation Agenda.</w:t>
      </w:r>
      <w:r w:rsidR="002532D8">
        <w:rPr>
          <w:rFonts w:eastAsia="Calibri" w:cstheme="majorHAnsi"/>
          <w:sz w:val="22"/>
          <w:szCs w:val="22"/>
        </w:rPr>
        <w:t xml:space="preserve"> </w:t>
      </w:r>
    </w:p>
    <w:p w:rsidR="009818DA" w:rsidRPr="00424FA1" w:rsidRDefault="009818DA" w:rsidP="009818DA">
      <w:pPr>
        <w:pStyle w:val="Heading2"/>
        <w:numPr>
          <w:ilvl w:val="1"/>
          <w:numId w:val="6"/>
        </w:numPr>
        <w:spacing w:before="120"/>
        <w:ind w:left="1434" w:hanging="357"/>
        <w:rPr>
          <w:rFonts w:eastAsia="Calibri" w:cstheme="majorHAnsi"/>
          <w:sz w:val="22"/>
          <w:szCs w:val="22"/>
        </w:rPr>
      </w:pPr>
      <w:r w:rsidRPr="00424FA1">
        <w:rPr>
          <w:rFonts w:eastAsia="Calibri" w:cstheme="majorHAnsi"/>
          <w:sz w:val="22"/>
          <w:szCs w:val="22"/>
        </w:rPr>
        <w:t xml:space="preserve">Innovation Hubs/Precincts are key aspects of the National Agricultural Innovation Agenda. Is the Commonwealth signalling that future research and innovation funding will be channelled through these institutions? </w:t>
      </w:r>
    </w:p>
    <w:p w:rsidR="009818DA" w:rsidRPr="00424FA1" w:rsidRDefault="009818DA" w:rsidP="009818DA">
      <w:pPr>
        <w:pStyle w:val="Heading2"/>
        <w:numPr>
          <w:ilvl w:val="1"/>
          <w:numId w:val="6"/>
        </w:numPr>
        <w:spacing w:before="120"/>
        <w:ind w:left="1434" w:hanging="357"/>
        <w:rPr>
          <w:rFonts w:eastAsia="Calibri" w:cstheme="majorHAnsi"/>
          <w:sz w:val="22"/>
          <w:szCs w:val="22"/>
        </w:rPr>
      </w:pPr>
      <w:r w:rsidRPr="00424FA1">
        <w:rPr>
          <w:rFonts w:eastAsia="Calibri" w:cstheme="majorHAnsi"/>
          <w:sz w:val="22"/>
          <w:szCs w:val="22"/>
        </w:rPr>
        <w:t>Are Innovation Hubs planned to be strategic innovation infrastructure that will be hardwired into the agricultural innovation effort of Australia for the longer term, and scaled up?</w:t>
      </w:r>
    </w:p>
    <w:p w:rsidR="009818DA" w:rsidRPr="009818DA" w:rsidRDefault="009818DA" w:rsidP="009818DA">
      <w:pPr>
        <w:pStyle w:val="BodyText"/>
        <w:ind w:left="426"/>
        <w:rPr>
          <w:rFonts w:cstheme="minorHAnsi"/>
          <w:szCs w:val="22"/>
        </w:rPr>
      </w:pPr>
      <w:r w:rsidRPr="0045439D">
        <w:rPr>
          <w:rFonts w:cstheme="minorHAnsi"/>
          <w:szCs w:val="22"/>
        </w:rPr>
        <w:t xml:space="preserve">The </w:t>
      </w:r>
      <w:r w:rsidRPr="009818DA">
        <w:rPr>
          <w:rFonts w:cstheme="minorHAnsi"/>
          <w:szCs w:val="22"/>
        </w:rPr>
        <w:t>Hubs are being established under the Future Drought Fund. As such, they will be focused on drought resilience.</w:t>
      </w:r>
    </w:p>
    <w:p w:rsidR="009818DA" w:rsidRDefault="009818DA" w:rsidP="0045439D">
      <w:pPr>
        <w:pStyle w:val="BodyText"/>
        <w:ind w:left="426"/>
        <w:rPr>
          <w:rFonts w:cstheme="minorHAnsi"/>
          <w:szCs w:val="22"/>
        </w:rPr>
      </w:pPr>
      <w:r w:rsidRPr="0045439D">
        <w:rPr>
          <w:rFonts w:cstheme="minorHAnsi"/>
          <w:szCs w:val="22"/>
        </w:rPr>
        <w:t xml:space="preserve">As noted in the Grant Opportunity Guidelines, the </w:t>
      </w:r>
      <w:r w:rsidR="00D11EEB">
        <w:rPr>
          <w:rFonts w:cstheme="minorHAnsi"/>
          <w:szCs w:val="22"/>
        </w:rPr>
        <w:t>g</w:t>
      </w:r>
      <w:r w:rsidR="00D11EEB" w:rsidRPr="0045439D">
        <w:rPr>
          <w:rFonts w:cstheme="minorHAnsi"/>
          <w:szCs w:val="22"/>
        </w:rPr>
        <w:t xml:space="preserve">overnment </w:t>
      </w:r>
      <w:r w:rsidRPr="0045439D">
        <w:rPr>
          <w:rFonts w:cstheme="minorHAnsi"/>
          <w:szCs w:val="22"/>
        </w:rPr>
        <w:t xml:space="preserve">may, in the future, look to the Hubs to take on a broader role in supporting agricultural innovation. No such decision has been taken at this time. </w:t>
      </w:r>
    </w:p>
    <w:p w:rsidR="009818DA" w:rsidRDefault="009818DA" w:rsidP="009818DA">
      <w:pPr>
        <w:pStyle w:val="Heading2"/>
        <w:numPr>
          <w:ilvl w:val="0"/>
          <w:numId w:val="6"/>
        </w:numPr>
        <w:ind w:left="426" w:hanging="426"/>
        <w:rPr>
          <w:rFonts w:eastAsia="Calibri" w:cstheme="majorHAnsi"/>
          <w:sz w:val="22"/>
          <w:szCs w:val="22"/>
        </w:rPr>
      </w:pPr>
      <w:r w:rsidRPr="009818DA">
        <w:rPr>
          <w:rFonts w:eastAsia="Calibri" w:cstheme="majorHAnsi"/>
          <w:sz w:val="22"/>
          <w:szCs w:val="22"/>
        </w:rPr>
        <w:t>Possible Hubs structures</w:t>
      </w:r>
    </w:p>
    <w:p w:rsidR="009818DA" w:rsidRPr="0045439D" w:rsidRDefault="009818DA" w:rsidP="0045439D">
      <w:pPr>
        <w:pStyle w:val="Heading2"/>
        <w:numPr>
          <w:ilvl w:val="1"/>
          <w:numId w:val="6"/>
        </w:numPr>
        <w:spacing w:before="120"/>
        <w:ind w:left="1434" w:hanging="357"/>
        <w:rPr>
          <w:rFonts w:eastAsia="Calibri" w:cstheme="majorHAnsi"/>
          <w:sz w:val="22"/>
          <w:szCs w:val="22"/>
        </w:rPr>
      </w:pPr>
      <w:r w:rsidRPr="0045439D">
        <w:rPr>
          <w:rFonts w:eastAsia="Calibri" w:cstheme="majorHAnsi"/>
          <w:sz w:val="22"/>
          <w:szCs w:val="22"/>
        </w:rPr>
        <w:t>How would the Commonwealth view an entity entirely supp</w:t>
      </w:r>
      <w:r w:rsidR="00FD4344" w:rsidRPr="0045439D">
        <w:rPr>
          <w:rFonts w:eastAsia="Calibri" w:cstheme="majorHAnsi"/>
          <w:sz w:val="22"/>
          <w:szCs w:val="22"/>
        </w:rPr>
        <w:t>orted by short-term funding (for example,</w:t>
      </w:r>
      <w:r w:rsidRPr="0045439D">
        <w:rPr>
          <w:rFonts w:eastAsia="Calibri" w:cstheme="majorHAnsi"/>
          <w:sz w:val="22"/>
          <w:szCs w:val="22"/>
        </w:rPr>
        <w:t xml:space="preserve"> </w:t>
      </w:r>
      <w:r w:rsidR="00D11EEB">
        <w:rPr>
          <w:rFonts w:eastAsia="Calibri" w:cstheme="majorHAnsi"/>
          <w:sz w:val="22"/>
          <w:szCs w:val="22"/>
        </w:rPr>
        <w:t>3</w:t>
      </w:r>
      <w:r w:rsidR="00D11EEB" w:rsidRPr="0045439D">
        <w:rPr>
          <w:rFonts w:eastAsia="Calibri" w:cstheme="majorHAnsi"/>
          <w:sz w:val="22"/>
          <w:szCs w:val="22"/>
        </w:rPr>
        <w:t xml:space="preserve"> </w:t>
      </w:r>
      <w:r w:rsidRPr="0045439D">
        <w:rPr>
          <w:rFonts w:eastAsia="Calibri" w:cstheme="majorHAnsi"/>
          <w:sz w:val="22"/>
          <w:szCs w:val="22"/>
        </w:rPr>
        <w:t>year tenures), for the lead agency in an Innovation Hub?</w:t>
      </w:r>
    </w:p>
    <w:p w:rsidR="009818DA" w:rsidRPr="00424FA1" w:rsidRDefault="009818DA" w:rsidP="009818DA">
      <w:pPr>
        <w:pStyle w:val="BodyText"/>
        <w:numPr>
          <w:ilvl w:val="1"/>
          <w:numId w:val="6"/>
        </w:numPr>
        <w:rPr>
          <w:szCs w:val="22"/>
        </w:rPr>
      </w:pPr>
      <w:r w:rsidRPr="0045439D">
        <w:rPr>
          <w:rFonts w:asciiTheme="majorHAnsi" w:eastAsia="Calibri" w:hAnsiTheme="majorHAnsi" w:cstheme="majorHAnsi"/>
          <w:b/>
          <w:bCs/>
          <w:szCs w:val="22"/>
        </w:rPr>
        <w:t>Would a regional university (presently without a standing school of agriculture), be a superior candidate</w:t>
      </w:r>
      <w:r w:rsidRPr="00424FA1">
        <w:rPr>
          <w:rFonts w:asciiTheme="majorHAnsi" w:eastAsiaTheme="majorEastAsia" w:hAnsiTheme="majorHAnsi" w:cstheme="majorBidi"/>
          <w:b/>
          <w:bCs/>
          <w:szCs w:val="22"/>
        </w:rPr>
        <w:t xml:space="preserve"> for a lead in an Innovation Hub, to that of a non-research based organisation supported only by short-term funding?</w:t>
      </w:r>
    </w:p>
    <w:p w:rsidR="009818DA" w:rsidRPr="0045439D" w:rsidRDefault="009818DA" w:rsidP="0045439D">
      <w:pPr>
        <w:pStyle w:val="Heading2"/>
        <w:numPr>
          <w:ilvl w:val="1"/>
          <w:numId w:val="6"/>
        </w:numPr>
        <w:spacing w:before="120"/>
        <w:ind w:left="1434" w:hanging="357"/>
        <w:rPr>
          <w:rFonts w:eastAsia="Calibri" w:cstheme="majorHAnsi"/>
          <w:sz w:val="22"/>
          <w:szCs w:val="22"/>
        </w:rPr>
      </w:pPr>
      <w:r w:rsidRPr="0045439D">
        <w:rPr>
          <w:rFonts w:eastAsia="Calibri" w:cstheme="majorHAnsi"/>
          <w:sz w:val="22"/>
          <w:szCs w:val="22"/>
        </w:rPr>
        <w:t>Would developing a school of agriculture or affiliated institute dedicated to agriculture strengthen the case of a regional university lead in an Innovation Hub?</w:t>
      </w:r>
    </w:p>
    <w:p w:rsidR="009818DA" w:rsidRDefault="009818DA" w:rsidP="0045439D">
      <w:pPr>
        <w:pStyle w:val="Heading2"/>
        <w:numPr>
          <w:ilvl w:val="1"/>
          <w:numId w:val="6"/>
        </w:numPr>
        <w:spacing w:before="120"/>
        <w:ind w:left="1434" w:hanging="357"/>
        <w:rPr>
          <w:rFonts w:eastAsia="Calibri" w:cstheme="majorHAnsi"/>
          <w:sz w:val="22"/>
          <w:szCs w:val="22"/>
        </w:rPr>
      </w:pPr>
      <w:r w:rsidRPr="0045439D">
        <w:rPr>
          <w:rFonts w:eastAsia="Calibri" w:cstheme="majorHAnsi"/>
          <w:sz w:val="22"/>
          <w:szCs w:val="22"/>
        </w:rPr>
        <w:t>Would the business structure of a joint venture formed for example between government, university, natural resource management and industry stakeholder agencies be a suitable configuration for delivering the Future Drought Fund’s Resilience and Adoption subprogram?</w:t>
      </w:r>
    </w:p>
    <w:p w:rsidR="001F0387" w:rsidRDefault="001F0387" w:rsidP="001F0387">
      <w:pPr>
        <w:pStyle w:val="BodyText"/>
        <w:ind w:left="426"/>
        <w:rPr>
          <w:rFonts w:cstheme="minorHAnsi"/>
          <w:szCs w:val="22"/>
        </w:rPr>
      </w:pPr>
      <w:r>
        <w:rPr>
          <w:rFonts w:cstheme="minorHAnsi"/>
          <w:szCs w:val="22"/>
        </w:rPr>
        <w:t xml:space="preserve">For probity reasons, it is not appropriate for the </w:t>
      </w:r>
      <w:r w:rsidR="00D11EEB">
        <w:rPr>
          <w:rFonts w:cstheme="minorHAnsi"/>
          <w:szCs w:val="22"/>
        </w:rPr>
        <w:t xml:space="preserve">department </w:t>
      </w:r>
      <w:r>
        <w:rPr>
          <w:rFonts w:cstheme="minorHAnsi"/>
          <w:szCs w:val="22"/>
        </w:rPr>
        <w:t xml:space="preserve">or Community Grants Hub to directly respond to these questions. </w:t>
      </w:r>
    </w:p>
    <w:p w:rsidR="001F0387" w:rsidRDefault="001F0387" w:rsidP="001F0387">
      <w:pPr>
        <w:pStyle w:val="BodyText"/>
        <w:ind w:left="426"/>
        <w:rPr>
          <w:rFonts w:cstheme="minorHAnsi"/>
          <w:szCs w:val="22"/>
        </w:rPr>
      </w:pPr>
      <w:r>
        <w:rPr>
          <w:rFonts w:cstheme="minorHAnsi"/>
          <w:szCs w:val="22"/>
        </w:rPr>
        <w:t xml:space="preserve">The Grant Opportunity Guidelines set out the criteria against which applications will be assessed. Assessment criteria 1 and 3 are of particular relevance to the questions asked. </w:t>
      </w:r>
    </w:p>
    <w:p w:rsidR="001F0387" w:rsidRPr="0045439D" w:rsidRDefault="001F0387" w:rsidP="001F0387">
      <w:pPr>
        <w:pStyle w:val="BodyText"/>
        <w:ind w:left="426"/>
        <w:rPr>
          <w:rFonts w:cstheme="minorHAnsi"/>
          <w:szCs w:val="22"/>
        </w:rPr>
      </w:pPr>
      <w:r>
        <w:rPr>
          <w:rFonts w:cstheme="minorHAnsi"/>
          <w:szCs w:val="22"/>
        </w:rPr>
        <w:t xml:space="preserve">In relation to point (d), the eligibility criteria in the Grant Opportunity Guidelines provide that a joint venture is eligible to apply if it is incorporated. If the Joint Venture is unincorporated, a lead applicant would need to meet the eligibility requirements defined in </w:t>
      </w:r>
      <w:r w:rsidR="00D11EEB">
        <w:rPr>
          <w:rFonts w:cstheme="minorHAnsi"/>
          <w:szCs w:val="22"/>
        </w:rPr>
        <w:t xml:space="preserve">section </w:t>
      </w:r>
      <w:r>
        <w:rPr>
          <w:rFonts w:cstheme="minorHAnsi"/>
          <w:szCs w:val="22"/>
        </w:rPr>
        <w:t xml:space="preserve">4.1 of the </w:t>
      </w:r>
      <w:r w:rsidR="00D11EEB">
        <w:rPr>
          <w:rFonts w:cstheme="minorHAnsi"/>
          <w:szCs w:val="22"/>
        </w:rPr>
        <w:t>Grant Opportunity G</w:t>
      </w:r>
      <w:r>
        <w:rPr>
          <w:rFonts w:cstheme="minorHAnsi"/>
          <w:szCs w:val="22"/>
        </w:rPr>
        <w:t xml:space="preserve">uidelines. </w:t>
      </w:r>
    </w:p>
    <w:p w:rsidR="009818DA" w:rsidRDefault="001F0387" w:rsidP="0045439D">
      <w:pPr>
        <w:pStyle w:val="Heading2"/>
        <w:numPr>
          <w:ilvl w:val="0"/>
          <w:numId w:val="6"/>
        </w:numPr>
        <w:ind w:left="426" w:hanging="426"/>
        <w:rPr>
          <w:rFonts w:eastAsia="Calibri" w:cstheme="majorHAnsi"/>
          <w:sz w:val="22"/>
          <w:szCs w:val="22"/>
        </w:rPr>
      </w:pPr>
      <w:r>
        <w:rPr>
          <w:rFonts w:eastAsia="Calibri" w:cstheme="majorHAnsi"/>
          <w:sz w:val="22"/>
          <w:szCs w:val="22"/>
        </w:rPr>
        <w:lastRenderedPageBreak/>
        <w:t>Co-contributions</w:t>
      </w:r>
    </w:p>
    <w:p w:rsidR="001F0387" w:rsidRPr="0045439D" w:rsidRDefault="001F0387" w:rsidP="001F0387">
      <w:pPr>
        <w:pStyle w:val="Heading2"/>
        <w:numPr>
          <w:ilvl w:val="1"/>
          <w:numId w:val="6"/>
        </w:numPr>
        <w:spacing w:before="120"/>
        <w:ind w:left="1434" w:hanging="357"/>
        <w:rPr>
          <w:rFonts w:eastAsia="Calibri" w:cstheme="majorHAnsi"/>
          <w:sz w:val="22"/>
          <w:szCs w:val="22"/>
        </w:rPr>
      </w:pPr>
      <w:r w:rsidRPr="0045439D">
        <w:rPr>
          <w:rFonts w:eastAsia="Calibri" w:cstheme="majorHAnsi"/>
          <w:sz w:val="22"/>
          <w:szCs w:val="22"/>
        </w:rPr>
        <w:t>It is clear that Commonwealth funds cannot be used for the matching contribution. Just wanting to confirm that this captures Commonwealth facilities – for example CSIRO Labs or BOM Data?</w:t>
      </w:r>
    </w:p>
    <w:p w:rsidR="001F0387" w:rsidRPr="0045439D" w:rsidRDefault="001F0387" w:rsidP="001F0387">
      <w:pPr>
        <w:pStyle w:val="Heading2"/>
        <w:numPr>
          <w:ilvl w:val="1"/>
          <w:numId w:val="6"/>
        </w:numPr>
        <w:spacing w:before="120"/>
        <w:ind w:left="1434" w:hanging="357"/>
        <w:rPr>
          <w:rFonts w:eastAsia="Calibri" w:cstheme="majorHAnsi"/>
          <w:sz w:val="22"/>
          <w:szCs w:val="22"/>
        </w:rPr>
      </w:pPr>
      <w:r w:rsidRPr="0045439D">
        <w:rPr>
          <w:rFonts w:eastAsia="Calibri" w:cstheme="majorHAnsi"/>
          <w:sz w:val="22"/>
          <w:szCs w:val="22"/>
        </w:rPr>
        <w:t xml:space="preserve">We assume that we can still work with </w:t>
      </w:r>
      <w:r w:rsidR="00D11EEB">
        <w:rPr>
          <w:rFonts w:eastAsia="Calibri" w:cstheme="majorHAnsi"/>
          <w:sz w:val="22"/>
          <w:szCs w:val="22"/>
        </w:rPr>
        <w:t>C</w:t>
      </w:r>
      <w:r w:rsidR="00D11EEB" w:rsidRPr="0045439D">
        <w:rPr>
          <w:rFonts w:eastAsia="Calibri" w:cstheme="majorHAnsi"/>
          <w:sz w:val="22"/>
          <w:szCs w:val="22"/>
        </w:rPr>
        <w:t xml:space="preserve">ommonwealth </w:t>
      </w:r>
      <w:r w:rsidRPr="0045439D">
        <w:rPr>
          <w:rFonts w:eastAsia="Calibri" w:cstheme="majorHAnsi"/>
          <w:sz w:val="22"/>
          <w:szCs w:val="22"/>
        </w:rPr>
        <w:t>funded entities – just cannot count their contribution as matching contributions. Is that correct?</w:t>
      </w:r>
    </w:p>
    <w:p w:rsidR="001F0387" w:rsidRPr="0045439D" w:rsidRDefault="001F0387" w:rsidP="001F0387">
      <w:pPr>
        <w:pStyle w:val="Heading2"/>
        <w:numPr>
          <w:ilvl w:val="1"/>
          <w:numId w:val="6"/>
        </w:numPr>
        <w:spacing w:before="120"/>
        <w:ind w:left="1434" w:hanging="357"/>
        <w:rPr>
          <w:rFonts w:eastAsia="Calibri" w:cstheme="majorHAnsi"/>
          <w:sz w:val="22"/>
          <w:szCs w:val="22"/>
        </w:rPr>
      </w:pPr>
      <w:r w:rsidRPr="0045439D">
        <w:rPr>
          <w:rFonts w:eastAsia="Calibri" w:cstheme="majorHAnsi"/>
          <w:sz w:val="22"/>
          <w:szCs w:val="22"/>
        </w:rPr>
        <w:t xml:space="preserve">A matching co-contribution is required. Is there a threshold or expectation of how much of our contribution should be cash? </w:t>
      </w:r>
    </w:p>
    <w:p w:rsidR="001F0387" w:rsidRPr="0045439D" w:rsidRDefault="001F0387" w:rsidP="0045439D">
      <w:pPr>
        <w:pStyle w:val="BodyText"/>
        <w:ind w:left="426"/>
        <w:rPr>
          <w:rFonts w:cstheme="minorHAnsi"/>
          <w:szCs w:val="22"/>
        </w:rPr>
      </w:pPr>
      <w:r w:rsidRPr="0045439D">
        <w:rPr>
          <w:rFonts w:cstheme="minorHAnsi"/>
          <w:szCs w:val="22"/>
        </w:rPr>
        <w:t xml:space="preserve">Section 3 of the </w:t>
      </w:r>
      <w:r w:rsidR="00D11EEB">
        <w:rPr>
          <w:rFonts w:cstheme="minorHAnsi"/>
          <w:szCs w:val="22"/>
        </w:rPr>
        <w:t>Grant Opportunity G</w:t>
      </w:r>
      <w:r w:rsidRPr="0045439D">
        <w:rPr>
          <w:rFonts w:cstheme="minorHAnsi"/>
          <w:szCs w:val="22"/>
        </w:rPr>
        <w:t xml:space="preserve">uidelines states that Commonwealth resources can’t be counted for the purposes of the required matching contribution. This includes in-kind and other contributions from Commonwealth corporate entities, such as the CSIRO and Bureau of Meteorology. </w:t>
      </w:r>
    </w:p>
    <w:p w:rsidR="001F0387" w:rsidRDefault="001F0387" w:rsidP="0045439D">
      <w:pPr>
        <w:pStyle w:val="BodyText"/>
        <w:ind w:left="426"/>
        <w:rPr>
          <w:rFonts w:cstheme="minorHAnsi"/>
          <w:szCs w:val="22"/>
        </w:rPr>
      </w:pPr>
      <w:r w:rsidRPr="0045439D">
        <w:rPr>
          <w:rFonts w:cstheme="minorHAnsi"/>
          <w:szCs w:val="22"/>
        </w:rPr>
        <w:t xml:space="preserve">This rule relates only to the calculation of co-contributions. It in no way prevents, precludes, discourages or devalues co-contributions from Commonwealth sources. </w:t>
      </w:r>
    </w:p>
    <w:p w:rsidR="001F0387" w:rsidRDefault="001F0387" w:rsidP="0045439D">
      <w:pPr>
        <w:pStyle w:val="BodyText"/>
        <w:ind w:left="426"/>
        <w:rPr>
          <w:rFonts w:cstheme="minorHAnsi"/>
          <w:szCs w:val="22"/>
        </w:rPr>
      </w:pPr>
      <w:r w:rsidRPr="0045439D">
        <w:rPr>
          <w:rFonts w:cstheme="minorHAnsi"/>
          <w:szCs w:val="22"/>
        </w:rPr>
        <w:t xml:space="preserve">There is no threshold on the level of cash contributions. As set out in the </w:t>
      </w:r>
      <w:r w:rsidR="00D11EEB">
        <w:rPr>
          <w:rFonts w:cstheme="minorHAnsi"/>
          <w:szCs w:val="22"/>
        </w:rPr>
        <w:t xml:space="preserve">Grant Opportunity </w:t>
      </w:r>
      <w:r w:rsidRPr="0045439D">
        <w:rPr>
          <w:rFonts w:cstheme="minorHAnsi"/>
          <w:szCs w:val="22"/>
        </w:rPr>
        <w:t>Guidelines, the total investment the grant will leverage will be considered in the context of assessment criterion 4, as will the value for money of the proposal (section 8.1).</w:t>
      </w:r>
    </w:p>
    <w:p w:rsidR="001F0387" w:rsidRDefault="001F0387" w:rsidP="001F0387">
      <w:pPr>
        <w:pStyle w:val="Heading2"/>
        <w:numPr>
          <w:ilvl w:val="0"/>
          <w:numId w:val="6"/>
        </w:numPr>
        <w:ind w:left="426" w:hanging="426"/>
        <w:rPr>
          <w:rFonts w:eastAsia="Calibri" w:cstheme="majorHAnsi"/>
          <w:sz w:val="22"/>
          <w:szCs w:val="22"/>
        </w:rPr>
      </w:pPr>
      <w:r w:rsidRPr="001F0387">
        <w:rPr>
          <w:rFonts w:eastAsia="Calibri" w:cstheme="majorHAnsi"/>
          <w:sz w:val="22"/>
          <w:szCs w:val="22"/>
        </w:rPr>
        <w:t>Is the Commonwealth expecting these Innovation Hubs to have a capability for research excellence given the longer-term intent of the entities?</w:t>
      </w:r>
    </w:p>
    <w:p w:rsidR="001F0387" w:rsidRPr="001B01D4" w:rsidRDefault="001F0387" w:rsidP="001F0387">
      <w:pPr>
        <w:pStyle w:val="BodyText"/>
        <w:ind w:left="426"/>
        <w:rPr>
          <w:rFonts w:cstheme="minorHAnsi"/>
          <w:szCs w:val="22"/>
        </w:rPr>
      </w:pPr>
      <w:r>
        <w:rPr>
          <w:rFonts w:cstheme="minorHAnsi"/>
          <w:szCs w:val="22"/>
        </w:rPr>
        <w:t xml:space="preserve">The focus of funding under this grant process is to establish </w:t>
      </w:r>
      <w:r w:rsidRPr="001B01D4">
        <w:rPr>
          <w:rFonts w:cstheme="minorHAnsi"/>
          <w:szCs w:val="22"/>
        </w:rPr>
        <w:t xml:space="preserve">Hubs </w:t>
      </w:r>
      <w:r>
        <w:rPr>
          <w:rFonts w:cstheme="minorHAnsi"/>
          <w:szCs w:val="22"/>
        </w:rPr>
        <w:t xml:space="preserve">that can </w:t>
      </w:r>
      <w:r w:rsidRPr="001B01D4">
        <w:rPr>
          <w:rFonts w:cstheme="minorHAnsi"/>
          <w:szCs w:val="22"/>
        </w:rPr>
        <w:t xml:space="preserve">bring together </w:t>
      </w:r>
      <w:r w:rsidRPr="0045439D">
        <w:rPr>
          <w:rFonts w:cstheme="minorHAnsi"/>
          <w:i/>
          <w:szCs w:val="22"/>
        </w:rPr>
        <w:t>pre-existing research</w:t>
      </w:r>
      <w:r w:rsidRPr="001B01D4">
        <w:rPr>
          <w:rFonts w:cstheme="minorHAnsi"/>
          <w:szCs w:val="22"/>
        </w:rPr>
        <w:t xml:space="preserve">, translate research and knowledge into impact, and support its effective uptake through extension, adoption, testing and scaling up new solutions, and commercialisation. </w:t>
      </w:r>
    </w:p>
    <w:p w:rsidR="001F0387" w:rsidRDefault="001F0387" w:rsidP="001F0387">
      <w:pPr>
        <w:pStyle w:val="BodyText"/>
        <w:ind w:left="426"/>
        <w:rPr>
          <w:rFonts w:cstheme="minorHAnsi"/>
          <w:szCs w:val="22"/>
        </w:rPr>
      </w:pPr>
      <w:r w:rsidRPr="00F72164">
        <w:rPr>
          <w:rFonts w:cstheme="minorHAnsi"/>
          <w:szCs w:val="22"/>
        </w:rPr>
        <w:t xml:space="preserve">Funding for the Hubs through this grant opportunity is not focused on doing additional fundamental research. However, Hubs are expected to play a role in influencing and informing research investment and effort to ensure it is relevant, useful and used. Hubs and individual Hub members will be able to apply for the </w:t>
      </w:r>
      <w:r w:rsidR="00D11EEB">
        <w:rPr>
          <w:rFonts w:cstheme="minorHAnsi"/>
          <w:szCs w:val="22"/>
        </w:rPr>
        <w:t>p</w:t>
      </w:r>
      <w:r w:rsidR="00D11EEB" w:rsidRPr="00F72164">
        <w:rPr>
          <w:rFonts w:cstheme="minorHAnsi"/>
          <w:szCs w:val="22"/>
        </w:rPr>
        <w:t xml:space="preserve">rogram’s </w:t>
      </w:r>
      <w:r w:rsidRPr="00F72164">
        <w:rPr>
          <w:rFonts w:cstheme="minorHAnsi"/>
          <w:szCs w:val="22"/>
        </w:rPr>
        <w:t>Innovation Grants to support investment in new research.</w:t>
      </w:r>
    </w:p>
    <w:p w:rsidR="001F0387" w:rsidRPr="002979AC" w:rsidRDefault="001F0387" w:rsidP="0045439D">
      <w:pPr>
        <w:pStyle w:val="Heading2"/>
        <w:numPr>
          <w:ilvl w:val="0"/>
          <w:numId w:val="6"/>
        </w:numPr>
        <w:ind w:left="426" w:hanging="426"/>
        <w:rPr>
          <w:rFonts w:eastAsia="Calibri" w:cstheme="majorHAnsi"/>
          <w:sz w:val="22"/>
          <w:szCs w:val="22"/>
        </w:rPr>
      </w:pPr>
      <w:r>
        <w:rPr>
          <w:rFonts w:eastAsia="Calibri" w:cstheme="majorHAnsi"/>
          <w:sz w:val="22"/>
          <w:szCs w:val="22"/>
        </w:rPr>
        <w:lastRenderedPageBreak/>
        <w:t>Extensions:</w:t>
      </w:r>
    </w:p>
    <w:p w:rsidR="001F0387" w:rsidRDefault="001F0387" w:rsidP="001F0387">
      <w:pPr>
        <w:pStyle w:val="Heading2"/>
        <w:numPr>
          <w:ilvl w:val="1"/>
          <w:numId w:val="6"/>
        </w:numPr>
        <w:spacing w:before="120"/>
        <w:ind w:left="1434" w:hanging="357"/>
      </w:pPr>
      <w:r w:rsidRPr="00424FA1">
        <w:rPr>
          <w:sz w:val="22"/>
        </w:rPr>
        <w:t>Will application extensions for the program be allowed</w:t>
      </w:r>
      <w:r w:rsidRPr="00424FA1">
        <w:t>?</w:t>
      </w:r>
    </w:p>
    <w:p w:rsidR="001F0387" w:rsidRPr="00844598" w:rsidRDefault="001F0387" w:rsidP="0045439D">
      <w:pPr>
        <w:pStyle w:val="BodyText"/>
        <w:keepNext/>
        <w:keepLines/>
        <w:ind w:left="426"/>
        <w:rPr>
          <w:rFonts w:cstheme="minorHAnsi"/>
          <w:szCs w:val="22"/>
        </w:rPr>
      </w:pPr>
      <w:r w:rsidRPr="00844598">
        <w:rPr>
          <w:rFonts w:cstheme="minorHAnsi"/>
          <w:szCs w:val="22"/>
        </w:rPr>
        <w:t>We cannot accept late applications unless an applicant has experienced exceptional circumstances that prevent the submission of the application. Broadly, exceptional circumstances are events characterised by one or more of the following:</w:t>
      </w:r>
    </w:p>
    <w:p w:rsidR="001F0387" w:rsidRDefault="001F0387" w:rsidP="0045439D">
      <w:pPr>
        <w:pStyle w:val="BodyText"/>
        <w:keepNext/>
        <w:keepLines/>
        <w:numPr>
          <w:ilvl w:val="0"/>
          <w:numId w:val="28"/>
        </w:numPr>
        <w:rPr>
          <w:rFonts w:cstheme="minorHAnsi"/>
          <w:szCs w:val="22"/>
        </w:rPr>
      </w:pPr>
      <w:r w:rsidRPr="00844598">
        <w:rPr>
          <w:rFonts w:cstheme="minorHAnsi"/>
          <w:szCs w:val="22"/>
        </w:rPr>
        <w:t xml:space="preserve">reasonably unforeseeable </w:t>
      </w:r>
    </w:p>
    <w:p w:rsidR="001F0387" w:rsidRDefault="001F0387" w:rsidP="0045439D">
      <w:pPr>
        <w:pStyle w:val="BodyText"/>
        <w:keepNext/>
        <w:keepLines/>
        <w:numPr>
          <w:ilvl w:val="0"/>
          <w:numId w:val="28"/>
        </w:numPr>
        <w:rPr>
          <w:rFonts w:cstheme="minorHAnsi"/>
          <w:szCs w:val="22"/>
        </w:rPr>
      </w:pPr>
      <w:r w:rsidRPr="00844598">
        <w:rPr>
          <w:rFonts w:cstheme="minorHAnsi"/>
          <w:szCs w:val="22"/>
        </w:rPr>
        <w:t>beyond the applicant’s control</w:t>
      </w:r>
    </w:p>
    <w:p w:rsidR="001F0387" w:rsidRPr="00844598" w:rsidRDefault="001F0387" w:rsidP="0045439D">
      <w:pPr>
        <w:pStyle w:val="BodyText"/>
        <w:keepNext/>
        <w:keepLines/>
        <w:numPr>
          <w:ilvl w:val="0"/>
          <w:numId w:val="28"/>
        </w:numPr>
        <w:rPr>
          <w:rFonts w:cstheme="minorHAnsi"/>
          <w:szCs w:val="22"/>
        </w:rPr>
      </w:pPr>
      <w:proofErr w:type="gramStart"/>
      <w:r w:rsidRPr="00844598">
        <w:rPr>
          <w:rFonts w:cstheme="minorHAnsi"/>
          <w:szCs w:val="22"/>
        </w:rPr>
        <w:t>unable</w:t>
      </w:r>
      <w:proofErr w:type="gramEnd"/>
      <w:r w:rsidRPr="00844598">
        <w:rPr>
          <w:rFonts w:cstheme="minorHAnsi"/>
          <w:szCs w:val="22"/>
        </w:rPr>
        <w:t xml:space="preserve"> to be managed or resolved within the application period.</w:t>
      </w:r>
    </w:p>
    <w:p w:rsidR="001F0387" w:rsidRDefault="001F0387" w:rsidP="0045439D">
      <w:pPr>
        <w:pStyle w:val="BodyText"/>
        <w:keepNext/>
        <w:keepLines/>
        <w:ind w:left="426"/>
        <w:rPr>
          <w:rFonts w:cstheme="minorHAnsi"/>
          <w:szCs w:val="22"/>
        </w:rPr>
      </w:pPr>
      <w:r w:rsidRPr="00844598">
        <w:rPr>
          <w:rFonts w:cstheme="minorHAnsi"/>
          <w:szCs w:val="22"/>
        </w:rPr>
        <w:t>Exceptional circumstances will be considered on their merits and in accordance with probity principles.</w:t>
      </w:r>
    </w:p>
    <w:p w:rsidR="00FD4344" w:rsidRDefault="00FD4344" w:rsidP="00FD4344">
      <w:pPr>
        <w:pStyle w:val="Heading2"/>
        <w:numPr>
          <w:ilvl w:val="0"/>
          <w:numId w:val="6"/>
        </w:numPr>
        <w:ind w:left="426" w:hanging="426"/>
        <w:rPr>
          <w:rFonts w:eastAsia="Calibri" w:cstheme="majorHAnsi"/>
          <w:sz w:val="22"/>
          <w:szCs w:val="22"/>
        </w:rPr>
      </w:pPr>
      <w:r w:rsidRPr="00FD4344">
        <w:rPr>
          <w:rFonts w:eastAsia="Calibri" w:cstheme="majorHAnsi"/>
          <w:sz w:val="22"/>
          <w:szCs w:val="22"/>
        </w:rPr>
        <w:t>Section 2.3.1 advises “Knowledge capture is essential…..The department expects that all research outputs from the program – except those specifically agreed during the project design – will be made publicly and freely available”. While we are committed to this expectation and the concept of an open data model, is there scope to capture value from some types of IP generated from research through patents, trademarks</w:t>
      </w:r>
      <w:r w:rsidR="0045439D">
        <w:rPr>
          <w:rFonts w:eastAsia="Calibri" w:cstheme="majorHAnsi"/>
          <w:sz w:val="22"/>
          <w:szCs w:val="22"/>
        </w:rPr>
        <w:t>,</w:t>
      </w:r>
      <w:r w:rsidRPr="00FD4344">
        <w:rPr>
          <w:rFonts w:eastAsia="Calibri" w:cstheme="majorHAnsi"/>
          <w:sz w:val="22"/>
          <w:szCs w:val="22"/>
        </w:rPr>
        <w:t xml:space="preserve"> etc.</w:t>
      </w:r>
      <w:r w:rsidR="0045439D">
        <w:rPr>
          <w:rFonts w:eastAsia="Calibri" w:cstheme="majorHAnsi"/>
          <w:sz w:val="22"/>
          <w:szCs w:val="22"/>
        </w:rPr>
        <w:t>,</w:t>
      </w:r>
      <w:r w:rsidRPr="00FD4344">
        <w:rPr>
          <w:rFonts w:eastAsia="Calibri" w:cstheme="majorHAnsi"/>
          <w:sz w:val="22"/>
          <w:szCs w:val="22"/>
        </w:rPr>
        <w:t xml:space="preserve"> where these will enable a start-up business? Is this where the exception to the rule during project design might come in? We are trying to understand what commercialisation model might fit with the </w:t>
      </w:r>
      <w:r w:rsidR="00D11EEB">
        <w:rPr>
          <w:rFonts w:eastAsia="Calibri" w:cstheme="majorHAnsi"/>
          <w:sz w:val="22"/>
          <w:szCs w:val="22"/>
        </w:rPr>
        <w:t>p</w:t>
      </w:r>
      <w:r w:rsidR="00D11EEB" w:rsidRPr="00FD4344">
        <w:rPr>
          <w:rFonts w:eastAsia="Calibri" w:cstheme="majorHAnsi"/>
          <w:sz w:val="22"/>
          <w:szCs w:val="22"/>
        </w:rPr>
        <w:t>rogram</w:t>
      </w:r>
      <w:r w:rsidRPr="00FD4344">
        <w:rPr>
          <w:rFonts w:eastAsia="Calibri" w:cstheme="majorHAnsi"/>
          <w:sz w:val="22"/>
          <w:szCs w:val="22"/>
        </w:rPr>
        <w:t>, including not-for-profits and social enterprises.</w:t>
      </w:r>
    </w:p>
    <w:p w:rsidR="00FD4344" w:rsidRDefault="00FD4344" w:rsidP="00FD4344">
      <w:pPr>
        <w:pStyle w:val="BodyText"/>
        <w:ind w:left="426"/>
        <w:rPr>
          <w:rFonts w:cstheme="minorHAnsi"/>
          <w:szCs w:val="22"/>
        </w:rPr>
      </w:pPr>
      <w:r>
        <w:rPr>
          <w:rFonts w:cstheme="minorHAnsi"/>
          <w:szCs w:val="22"/>
        </w:rPr>
        <w:t>T</w:t>
      </w:r>
      <w:r w:rsidRPr="00982A5E">
        <w:rPr>
          <w:rFonts w:cstheme="minorHAnsi"/>
          <w:szCs w:val="22"/>
        </w:rPr>
        <w:t xml:space="preserve">he </w:t>
      </w:r>
      <w:r w:rsidR="00D11EEB">
        <w:rPr>
          <w:rFonts w:cstheme="minorHAnsi"/>
          <w:szCs w:val="22"/>
        </w:rPr>
        <w:t>d</w:t>
      </w:r>
      <w:r w:rsidR="00D11EEB" w:rsidRPr="00982A5E">
        <w:rPr>
          <w:rFonts w:cstheme="minorHAnsi"/>
          <w:szCs w:val="22"/>
        </w:rPr>
        <w:t xml:space="preserve">epartment </w:t>
      </w:r>
      <w:r w:rsidRPr="00982A5E">
        <w:rPr>
          <w:rFonts w:cstheme="minorHAnsi"/>
          <w:szCs w:val="22"/>
        </w:rPr>
        <w:t xml:space="preserve">expects that all research outputs from the </w:t>
      </w:r>
      <w:r w:rsidR="00D11EEB">
        <w:rPr>
          <w:rFonts w:cstheme="minorHAnsi"/>
          <w:szCs w:val="22"/>
        </w:rPr>
        <w:t>p</w:t>
      </w:r>
      <w:r w:rsidR="00D11EEB" w:rsidRPr="00982A5E">
        <w:rPr>
          <w:rFonts w:cstheme="minorHAnsi"/>
          <w:szCs w:val="22"/>
        </w:rPr>
        <w:t xml:space="preserve">rogram </w:t>
      </w:r>
      <w:r w:rsidR="00D11EEB" w:rsidRPr="00D11EEB">
        <w:rPr>
          <w:rFonts w:eastAsia="Calibri" w:cstheme="majorHAnsi"/>
          <w:szCs w:val="22"/>
        </w:rPr>
        <w:t>–</w:t>
      </w:r>
      <w:r w:rsidRPr="00982A5E">
        <w:rPr>
          <w:rFonts w:cstheme="minorHAnsi"/>
          <w:szCs w:val="22"/>
        </w:rPr>
        <w:t xml:space="preserve"> except those specifically agreed during project design </w:t>
      </w:r>
      <w:r w:rsidR="00D11EEB" w:rsidRPr="00D11EEB">
        <w:rPr>
          <w:rFonts w:eastAsia="Calibri" w:cstheme="majorHAnsi"/>
          <w:szCs w:val="22"/>
        </w:rPr>
        <w:t>–</w:t>
      </w:r>
      <w:r w:rsidRPr="00982A5E">
        <w:rPr>
          <w:rFonts w:cstheme="minorHAnsi"/>
          <w:szCs w:val="22"/>
        </w:rPr>
        <w:t xml:space="preserve"> will be made publicly and freely available</w:t>
      </w:r>
      <w:r>
        <w:rPr>
          <w:rFonts w:cstheme="minorHAnsi"/>
          <w:szCs w:val="22"/>
        </w:rPr>
        <w:t xml:space="preserve">. It is during project design that we expect Hubs to engage with the </w:t>
      </w:r>
      <w:r w:rsidRPr="00F72164">
        <w:rPr>
          <w:rFonts w:cstheme="minorHAnsi"/>
          <w:szCs w:val="22"/>
        </w:rPr>
        <w:t>Department of Agriculture, Water and the Environment</w:t>
      </w:r>
      <w:r>
        <w:rPr>
          <w:rFonts w:cstheme="minorHAnsi"/>
          <w:szCs w:val="22"/>
        </w:rPr>
        <w:t xml:space="preserve"> on possible exceptions from making research outputs from the </w:t>
      </w:r>
      <w:r w:rsidR="00D11EEB">
        <w:rPr>
          <w:rFonts w:cstheme="minorHAnsi"/>
          <w:szCs w:val="22"/>
        </w:rPr>
        <w:t xml:space="preserve">program </w:t>
      </w:r>
      <w:r>
        <w:rPr>
          <w:rFonts w:cstheme="minorHAnsi"/>
          <w:szCs w:val="22"/>
        </w:rPr>
        <w:t xml:space="preserve">publicly and freely available. It will be up to the Hubs to approach the </w:t>
      </w:r>
      <w:r w:rsidR="00D11EEB">
        <w:rPr>
          <w:rFonts w:cstheme="minorHAnsi"/>
          <w:szCs w:val="22"/>
        </w:rPr>
        <w:t xml:space="preserve">department </w:t>
      </w:r>
      <w:r>
        <w:rPr>
          <w:rFonts w:cstheme="minorHAnsi"/>
          <w:szCs w:val="22"/>
        </w:rPr>
        <w:t xml:space="preserve">for the exception, and consideration will be given to how the proposal addresses the FDF Funding Plan and how the proposal will deliver public good. </w:t>
      </w:r>
    </w:p>
    <w:p w:rsidR="00FD4344" w:rsidRDefault="00FD4344" w:rsidP="00FD4344">
      <w:pPr>
        <w:pStyle w:val="BodyText"/>
        <w:ind w:left="426"/>
        <w:rPr>
          <w:rFonts w:cstheme="minorHAnsi"/>
          <w:szCs w:val="22"/>
        </w:rPr>
      </w:pPr>
      <w:r w:rsidRPr="00F72164">
        <w:rPr>
          <w:rFonts w:cstheme="minorHAnsi"/>
          <w:szCs w:val="22"/>
        </w:rPr>
        <w:t>A commitment to meet this expectation will be included in the grant agreement between the Department of Agriculture, Water and the Environment and the Hubs. Detailed guidance on the department’s expectations about data accessibility will be provided to the successful applicants as part of grant agreement negotiation.</w:t>
      </w:r>
    </w:p>
    <w:p w:rsidR="00FD4344" w:rsidRPr="00F72164" w:rsidRDefault="00FD4344" w:rsidP="00FD4344">
      <w:pPr>
        <w:pStyle w:val="BodyText"/>
        <w:ind w:left="426"/>
        <w:rPr>
          <w:rFonts w:cstheme="minorHAnsi"/>
          <w:szCs w:val="22"/>
        </w:rPr>
      </w:pPr>
      <w:r>
        <w:rPr>
          <w:rFonts w:cstheme="minorHAnsi"/>
          <w:szCs w:val="22"/>
        </w:rPr>
        <w:t xml:space="preserve">A sample grant agreement </w:t>
      </w:r>
      <w:r w:rsidRPr="0045439D">
        <w:rPr>
          <w:rFonts w:cstheme="minorHAnsi"/>
          <w:szCs w:val="22"/>
        </w:rPr>
        <w:t xml:space="preserve">will be provided on the Community Grants Hub website as soon as possible. This will provide further detail on proposed arrangements for intellectual property. </w:t>
      </w:r>
    </w:p>
    <w:p w:rsidR="00FD4344" w:rsidRDefault="00FD4344" w:rsidP="0045439D">
      <w:pPr>
        <w:pStyle w:val="Heading2"/>
        <w:numPr>
          <w:ilvl w:val="0"/>
          <w:numId w:val="6"/>
        </w:numPr>
        <w:ind w:left="426" w:hanging="426"/>
        <w:rPr>
          <w:rFonts w:eastAsia="Calibri" w:cstheme="majorHAnsi"/>
          <w:sz w:val="22"/>
          <w:szCs w:val="22"/>
        </w:rPr>
      </w:pPr>
      <w:r w:rsidRPr="0045439D">
        <w:rPr>
          <w:rFonts w:eastAsia="Calibri" w:cstheme="majorHAnsi"/>
          <w:sz w:val="22"/>
          <w:szCs w:val="22"/>
        </w:rPr>
        <w:lastRenderedPageBreak/>
        <w:t xml:space="preserve">Section 7 advises: Before applying, you must read and understand these guidelines, terms and conditions, the sample application form and the sample grant agreement. We note that there is no sample application form or sample grant agreement. Q18 advises you are working on a tailored agreement and we are wondering if this will include the sample agreement and when this might be available to </w:t>
      </w:r>
      <w:proofErr w:type="gramStart"/>
      <w:r w:rsidRPr="0045439D">
        <w:rPr>
          <w:rFonts w:eastAsia="Calibri" w:cstheme="majorHAnsi"/>
          <w:sz w:val="22"/>
          <w:szCs w:val="22"/>
        </w:rPr>
        <w:t>view?</w:t>
      </w:r>
      <w:proofErr w:type="gramEnd"/>
    </w:p>
    <w:p w:rsidR="00FD4344" w:rsidRDefault="00FD4344" w:rsidP="00FD4344">
      <w:pPr>
        <w:pStyle w:val="BodyText"/>
        <w:ind w:left="426"/>
        <w:rPr>
          <w:rFonts w:cstheme="minorHAnsi"/>
          <w:szCs w:val="22"/>
        </w:rPr>
      </w:pPr>
      <w:r w:rsidRPr="0045439D">
        <w:rPr>
          <w:rFonts w:cstheme="minorHAnsi"/>
          <w:szCs w:val="22"/>
        </w:rPr>
        <w:t>Yes, the Department of Agriculture, Water and the Environment is preparing a tailored agreement. A sample agreement and application form will be provided on the Community Grants Hub website before the closing date for applications.</w:t>
      </w:r>
    </w:p>
    <w:p w:rsidR="0060657D" w:rsidRPr="0060657D" w:rsidRDefault="0060657D" w:rsidP="0060657D">
      <w:pPr>
        <w:pStyle w:val="Heading2"/>
        <w:spacing w:beforeLines="120" w:before="288" w:afterLines="40" w:after="96" w:line="280" w:lineRule="atLeast"/>
        <w:ind w:left="425"/>
        <w:rPr>
          <w:rFonts w:eastAsia="Calibri"/>
          <w:color w:val="auto"/>
          <w:u w:val="single"/>
        </w:rPr>
      </w:pPr>
      <w:r>
        <w:rPr>
          <w:rFonts w:eastAsia="Calibri"/>
          <w:color w:val="auto"/>
          <w:u w:val="single"/>
        </w:rPr>
        <w:t>Question and Answer added on 18</w:t>
      </w:r>
      <w:r w:rsidRPr="00D604FF">
        <w:rPr>
          <w:rFonts w:eastAsia="Calibri"/>
          <w:color w:val="auto"/>
          <w:u w:val="single"/>
        </w:rPr>
        <w:t xml:space="preserve"> </w:t>
      </w:r>
      <w:r>
        <w:rPr>
          <w:rFonts w:eastAsia="Calibri"/>
          <w:color w:val="auto"/>
          <w:u w:val="single"/>
        </w:rPr>
        <w:t>December</w:t>
      </w:r>
      <w:r w:rsidRPr="00D604FF">
        <w:rPr>
          <w:rFonts w:eastAsia="Calibri"/>
          <w:color w:val="auto"/>
          <w:u w:val="single"/>
        </w:rPr>
        <w:t xml:space="preserve"> 2020</w:t>
      </w:r>
    </w:p>
    <w:p w:rsidR="00D604FF" w:rsidRPr="00416935" w:rsidRDefault="00D604FF" w:rsidP="00D604FF">
      <w:pPr>
        <w:pStyle w:val="Heading2"/>
        <w:numPr>
          <w:ilvl w:val="0"/>
          <w:numId w:val="6"/>
        </w:numPr>
        <w:ind w:left="426" w:hanging="426"/>
        <w:rPr>
          <w:rFonts w:eastAsia="Calibri" w:cstheme="majorHAnsi"/>
          <w:sz w:val="22"/>
          <w:szCs w:val="22"/>
        </w:rPr>
      </w:pPr>
      <w:r w:rsidRPr="00416935">
        <w:rPr>
          <w:rFonts w:eastAsia="Calibri" w:cstheme="majorHAnsi"/>
          <w:sz w:val="22"/>
          <w:szCs w:val="22"/>
        </w:rPr>
        <w:t xml:space="preserve">Complementary Projects: Where an existing project with non-commonwealth funds has activity complimentary to the Hubs, how can this be included as a cash or in-kind contribution to the Hub budget? To further clarify, we are asking this question in the context that projects have been funded OR where projects are intended to be funded. </w:t>
      </w:r>
    </w:p>
    <w:p w:rsidR="00DB32FA" w:rsidRDefault="00416935" w:rsidP="00416935">
      <w:pPr>
        <w:pStyle w:val="BodyText"/>
        <w:ind w:left="426"/>
        <w:rPr>
          <w:rFonts w:cstheme="minorHAnsi"/>
          <w:szCs w:val="22"/>
        </w:rPr>
      </w:pPr>
      <w:r w:rsidRPr="00416935">
        <w:rPr>
          <w:rFonts w:cstheme="minorHAnsi"/>
          <w:szCs w:val="22"/>
        </w:rPr>
        <w:t xml:space="preserve">Projects that are funded from non-commonwealth sources and complementary to the Hubs will be counted as in-kind matching support through the </w:t>
      </w:r>
      <w:r w:rsidR="00047F33">
        <w:rPr>
          <w:rFonts w:cstheme="minorHAnsi"/>
          <w:szCs w:val="22"/>
        </w:rPr>
        <w:t>assessment process outlined in s</w:t>
      </w:r>
      <w:r w:rsidRPr="00416935">
        <w:rPr>
          <w:rFonts w:cstheme="minorHAnsi"/>
          <w:szCs w:val="22"/>
        </w:rPr>
        <w:t xml:space="preserve">ection 3 of the </w:t>
      </w:r>
      <w:r>
        <w:rPr>
          <w:rFonts w:cstheme="minorHAnsi"/>
          <w:szCs w:val="22"/>
        </w:rPr>
        <w:t xml:space="preserve">Grant Opportunity </w:t>
      </w:r>
      <w:r w:rsidRPr="00416935">
        <w:rPr>
          <w:rFonts w:cstheme="minorHAnsi"/>
          <w:szCs w:val="22"/>
        </w:rPr>
        <w:t xml:space="preserve">Guidelines. As set out in the Grant Opportunity Guidelines, the total investment the grant will leverage will also be considered in the context of assessment criterion 4, as will the </w:t>
      </w:r>
      <w:r w:rsidR="00047F33">
        <w:rPr>
          <w:rFonts w:cstheme="minorHAnsi"/>
          <w:szCs w:val="22"/>
        </w:rPr>
        <w:t>value for money of the proposal (</w:t>
      </w:r>
      <w:r w:rsidR="00DB32FA">
        <w:rPr>
          <w:rFonts w:cstheme="minorHAnsi"/>
          <w:szCs w:val="22"/>
        </w:rPr>
        <w:t>section 8.1</w:t>
      </w:r>
      <w:r w:rsidR="003A6D73">
        <w:rPr>
          <w:rFonts w:cstheme="minorHAnsi"/>
          <w:szCs w:val="22"/>
        </w:rPr>
        <w:t xml:space="preserve"> of the Grant Opportunity Guidelines</w:t>
      </w:r>
      <w:r w:rsidR="00DB32FA">
        <w:rPr>
          <w:rFonts w:cstheme="minorHAnsi"/>
          <w:szCs w:val="22"/>
        </w:rPr>
        <w:t>).</w:t>
      </w:r>
    </w:p>
    <w:p w:rsidR="00416935" w:rsidRDefault="00416935" w:rsidP="00416935">
      <w:pPr>
        <w:pStyle w:val="BodyText"/>
        <w:ind w:left="426"/>
        <w:rPr>
          <w:rFonts w:cstheme="minorHAnsi"/>
          <w:szCs w:val="22"/>
        </w:rPr>
      </w:pPr>
      <w:r w:rsidRPr="00416935">
        <w:rPr>
          <w:rFonts w:cstheme="minorHAnsi"/>
          <w:szCs w:val="22"/>
        </w:rPr>
        <w:t>Projects that are not funded will not be included in the assessment process as any form of cash or in-kind support. However, projects that are complementary to Hubs and receive funding after the Hubs are established will be considered as part of the Hu</w:t>
      </w:r>
      <w:r w:rsidR="00047F33">
        <w:rPr>
          <w:rFonts w:cstheme="minorHAnsi"/>
          <w:szCs w:val="22"/>
        </w:rPr>
        <w:t>b’s operations consistent with s</w:t>
      </w:r>
      <w:r w:rsidRPr="00416935">
        <w:rPr>
          <w:rFonts w:cstheme="minorHAnsi"/>
          <w:szCs w:val="22"/>
        </w:rPr>
        <w:t xml:space="preserve">ection 3 of the </w:t>
      </w:r>
      <w:r w:rsidR="00047F33">
        <w:rPr>
          <w:rFonts w:cstheme="minorHAnsi"/>
          <w:szCs w:val="22"/>
        </w:rPr>
        <w:t xml:space="preserve">Grant Opportunity </w:t>
      </w:r>
      <w:r w:rsidRPr="00416935">
        <w:rPr>
          <w:rFonts w:cstheme="minorHAnsi"/>
          <w:szCs w:val="22"/>
        </w:rPr>
        <w:t>Guidelines, assessment criterion 4, a</w:t>
      </w:r>
      <w:r w:rsidR="00047F33">
        <w:rPr>
          <w:rFonts w:cstheme="minorHAnsi"/>
          <w:szCs w:val="22"/>
        </w:rPr>
        <w:t>nd value for money (</w:t>
      </w:r>
      <w:r w:rsidR="00DB32FA">
        <w:rPr>
          <w:rFonts w:cstheme="minorHAnsi"/>
          <w:szCs w:val="22"/>
        </w:rPr>
        <w:t>section 8.1</w:t>
      </w:r>
      <w:r w:rsidR="003A6D73">
        <w:rPr>
          <w:rFonts w:cstheme="minorHAnsi"/>
          <w:szCs w:val="22"/>
        </w:rPr>
        <w:t xml:space="preserve"> of the Grant Opportunity Guidelines</w:t>
      </w:r>
      <w:r w:rsidR="00047F33">
        <w:rPr>
          <w:rFonts w:cstheme="minorHAnsi"/>
          <w:szCs w:val="22"/>
        </w:rPr>
        <w:t>)</w:t>
      </w:r>
      <w:r w:rsidR="00DB32FA">
        <w:rPr>
          <w:rFonts w:cstheme="minorHAnsi"/>
          <w:szCs w:val="22"/>
        </w:rPr>
        <w:t>.</w:t>
      </w:r>
      <w:r w:rsidRPr="00416935">
        <w:rPr>
          <w:rFonts w:cstheme="minorHAnsi"/>
          <w:szCs w:val="22"/>
        </w:rPr>
        <w:t xml:space="preserve">  </w:t>
      </w:r>
    </w:p>
    <w:p w:rsidR="00783F99" w:rsidRDefault="00783F99" w:rsidP="00783F99">
      <w:pPr>
        <w:pStyle w:val="Heading2"/>
        <w:spacing w:beforeLines="120" w:before="288" w:afterLines="40" w:after="96" w:line="280" w:lineRule="atLeast"/>
        <w:ind w:left="425"/>
        <w:rPr>
          <w:rFonts w:eastAsia="Calibri"/>
          <w:color w:val="auto"/>
          <w:u w:val="single"/>
        </w:rPr>
      </w:pPr>
      <w:r>
        <w:rPr>
          <w:rFonts w:eastAsia="Calibri"/>
          <w:color w:val="auto"/>
          <w:u w:val="single"/>
        </w:rPr>
        <w:t>Question and Answer added on 22</w:t>
      </w:r>
      <w:r w:rsidRPr="002532D8">
        <w:rPr>
          <w:rFonts w:eastAsia="Calibri"/>
          <w:color w:val="auto"/>
          <w:u w:val="single"/>
        </w:rPr>
        <w:t xml:space="preserve"> </w:t>
      </w:r>
      <w:r>
        <w:rPr>
          <w:rFonts w:eastAsia="Calibri"/>
          <w:color w:val="auto"/>
          <w:u w:val="single"/>
        </w:rPr>
        <w:t>December</w:t>
      </w:r>
      <w:r w:rsidRPr="0045439D">
        <w:rPr>
          <w:rFonts w:eastAsia="Calibri"/>
          <w:color w:val="auto"/>
          <w:u w:val="single"/>
        </w:rPr>
        <w:t xml:space="preserve"> 2020</w:t>
      </w:r>
    </w:p>
    <w:p w:rsidR="00783F99" w:rsidRDefault="00783F99" w:rsidP="007E2394">
      <w:pPr>
        <w:pStyle w:val="Heading2"/>
        <w:numPr>
          <w:ilvl w:val="0"/>
          <w:numId w:val="6"/>
        </w:numPr>
        <w:ind w:left="426" w:hanging="426"/>
        <w:rPr>
          <w:rFonts w:eastAsia="Calibri" w:cstheme="majorHAnsi"/>
          <w:sz w:val="22"/>
          <w:szCs w:val="22"/>
        </w:rPr>
      </w:pPr>
      <w:r w:rsidRPr="000639FA">
        <w:rPr>
          <w:rFonts w:eastAsia="Calibri" w:cstheme="majorHAnsi"/>
          <w:sz w:val="22"/>
          <w:szCs w:val="22"/>
        </w:rPr>
        <w:t>In the Drought Hub submission portal, the ‘Other Funding’ and ‘In Kind’ sections limit the number of rows in each table to 10. This number is too low for bids that have more than 10 partners in the consortium</w:t>
      </w:r>
      <w:r w:rsidR="000639FA" w:rsidRPr="000639FA">
        <w:rPr>
          <w:rFonts w:eastAsia="Calibri" w:cstheme="majorHAnsi"/>
          <w:sz w:val="22"/>
          <w:szCs w:val="22"/>
        </w:rPr>
        <w:t>. We would like to request that this number be increased to 15 at a minimum.</w:t>
      </w:r>
      <w:r w:rsidRPr="000639FA">
        <w:rPr>
          <w:rFonts w:eastAsia="Calibri" w:cstheme="majorHAnsi"/>
          <w:sz w:val="22"/>
          <w:szCs w:val="22"/>
        </w:rPr>
        <w:t xml:space="preserve"> During the recent DAWE webinars, this limitation was raised by participants</w:t>
      </w:r>
      <w:r w:rsidR="000639FA" w:rsidRPr="000639FA">
        <w:rPr>
          <w:rFonts w:eastAsia="Calibri" w:cstheme="majorHAnsi"/>
          <w:sz w:val="22"/>
          <w:szCs w:val="22"/>
        </w:rPr>
        <w:t>,</w:t>
      </w:r>
      <w:r w:rsidRPr="000639FA">
        <w:rPr>
          <w:rFonts w:eastAsia="Calibri" w:cstheme="majorHAnsi"/>
          <w:sz w:val="22"/>
          <w:szCs w:val="22"/>
        </w:rPr>
        <w:t xml:space="preserve"> and the presenters responded that the limit would be increased accordi</w:t>
      </w:r>
      <w:r w:rsidR="000639FA" w:rsidRPr="000639FA">
        <w:rPr>
          <w:rFonts w:eastAsia="Calibri" w:cstheme="majorHAnsi"/>
          <w:sz w:val="22"/>
          <w:szCs w:val="22"/>
        </w:rPr>
        <w:t>ngly. H</w:t>
      </w:r>
      <w:r w:rsidRPr="000639FA">
        <w:rPr>
          <w:rFonts w:eastAsia="Calibri" w:cstheme="majorHAnsi"/>
          <w:sz w:val="22"/>
          <w:szCs w:val="22"/>
        </w:rPr>
        <w:t>owever, this has not yet occurred, and we are close to submission. Can you plea</w:t>
      </w:r>
      <w:r w:rsidR="000639FA" w:rsidRPr="000639FA">
        <w:rPr>
          <w:rFonts w:eastAsia="Calibri" w:cstheme="majorHAnsi"/>
          <w:sz w:val="22"/>
          <w:szCs w:val="22"/>
        </w:rPr>
        <w:t xml:space="preserve">se advise when the </w:t>
      </w:r>
      <w:r w:rsidR="00E94F91">
        <w:rPr>
          <w:rFonts w:eastAsia="Calibri" w:cstheme="majorHAnsi"/>
          <w:sz w:val="22"/>
          <w:szCs w:val="22"/>
        </w:rPr>
        <w:t xml:space="preserve">row </w:t>
      </w:r>
      <w:r w:rsidR="000639FA" w:rsidRPr="000639FA">
        <w:rPr>
          <w:rFonts w:eastAsia="Calibri" w:cstheme="majorHAnsi"/>
          <w:sz w:val="22"/>
          <w:szCs w:val="22"/>
        </w:rPr>
        <w:t>limit</w:t>
      </w:r>
      <w:r w:rsidRPr="000639FA">
        <w:rPr>
          <w:rFonts w:eastAsia="Calibri" w:cstheme="majorHAnsi"/>
          <w:sz w:val="22"/>
          <w:szCs w:val="22"/>
        </w:rPr>
        <w:t xml:space="preserve"> will be increased?</w:t>
      </w:r>
    </w:p>
    <w:p w:rsidR="000639FA" w:rsidRPr="000639FA" w:rsidRDefault="0058089C" w:rsidP="000639FA">
      <w:pPr>
        <w:pStyle w:val="BodyText"/>
        <w:ind w:left="426"/>
        <w:rPr>
          <w:rFonts w:cstheme="minorHAnsi"/>
          <w:szCs w:val="22"/>
        </w:rPr>
      </w:pPr>
      <w:r w:rsidRPr="0058089C">
        <w:rPr>
          <w:rFonts w:cstheme="minorHAnsi"/>
          <w:szCs w:val="22"/>
        </w:rPr>
        <w:t>As some applicants have indicated that they have more than 10 co-</w:t>
      </w:r>
      <w:proofErr w:type="spellStart"/>
      <w:r w:rsidRPr="0058089C">
        <w:rPr>
          <w:rFonts w:cstheme="minorHAnsi"/>
          <w:szCs w:val="22"/>
        </w:rPr>
        <w:t>funding</w:t>
      </w:r>
      <w:proofErr w:type="spellEnd"/>
      <w:r w:rsidRPr="0058089C">
        <w:rPr>
          <w:rFonts w:cstheme="minorHAnsi"/>
          <w:szCs w:val="22"/>
        </w:rPr>
        <w:t xml:space="preserve"> partners, we please ask that you consider adding this information to the bottom of the required Project Plan under the heading, ‘Additional information on co-funding partners’.</w:t>
      </w:r>
      <w:bookmarkStart w:id="0" w:name="_GoBack"/>
      <w:bookmarkEnd w:id="0"/>
    </w:p>
    <w:sectPr w:rsidR="000639FA" w:rsidRPr="000639FA" w:rsidSect="00105397">
      <w:headerReference w:type="default" r:id="rId20"/>
      <w:footerReference w:type="default" r:id="rId21"/>
      <w:headerReference w:type="first" r:id="rId22"/>
      <w:footerReference w:type="first" r:id="rId23"/>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202" w:rsidRDefault="00315202" w:rsidP="00772718">
      <w:pPr>
        <w:spacing w:line="240" w:lineRule="auto"/>
      </w:pPr>
      <w:r>
        <w:separator/>
      </w:r>
    </w:p>
  </w:endnote>
  <w:endnote w:type="continuationSeparator" w:id="0">
    <w:p w:rsidR="00315202" w:rsidRDefault="00315202"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B6260B" w:rsidP="000B1642">
    <w:pPr>
      <w:pStyle w:val="Footer"/>
      <w:jc w:val="right"/>
    </w:pPr>
    <w:r>
      <w:t>Questions and Answers</w:t>
    </w:r>
    <w:r>
      <w:tab/>
    </w:r>
    <w:r>
      <w:tab/>
    </w:r>
    <w:sdt>
      <w:sdtPr>
        <w:id w:val="16019173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089C">
          <w:rPr>
            <w:noProof/>
          </w:rPr>
          <w:t>11</w:t>
        </w:r>
        <w:r>
          <w:rPr>
            <w:noProof/>
          </w:rPr>
          <w:fldChar w:fldCharType="end"/>
        </w:r>
      </w:sdtContent>
    </w:sdt>
    <w:r w:rsidR="00E13525">
      <w:rPr>
        <w:noProof/>
        <w:lang w:eastAsia="en-AU"/>
      </w:rPr>
      <mc:AlternateContent>
        <mc:Choice Requires="wps">
          <w:drawing>
            <wp:anchor distT="0" distB="0" distL="114300" distR="114300" simplePos="0" relativeHeight="251666432" behindDoc="0" locked="1" layoutInCell="1" allowOverlap="1" wp14:anchorId="76919ABE" wp14:editId="4AEA708C">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850E5C"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60B" w:rsidRDefault="00B6260B" w:rsidP="00B6260B">
    <w:pPr>
      <w:pStyle w:val="Footer"/>
      <w:jc w:val="right"/>
    </w:pPr>
    <w:r>
      <w:t>Questions and Answers</w:t>
    </w:r>
    <w:r>
      <w:tab/>
    </w:r>
    <w:r>
      <w:tab/>
    </w:r>
    <w:sdt>
      <w:sdtPr>
        <w:id w:val="-93002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C6C92">
          <w:rPr>
            <w:noProof/>
          </w:rPr>
          <w:t>1</w:t>
        </w:r>
        <w:r>
          <w:rPr>
            <w:noProof/>
          </w:rPr>
          <w:fldChar w:fldCharType="end"/>
        </w:r>
      </w:sdtContent>
    </w:sdt>
  </w:p>
  <w:p w:rsidR="00B6260B" w:rsidRDefault="00B62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202" w:rsidRDefault="00315202" w:rsidP="00772718">
      <w:pPr>
        <w:spacing w:line="240" w:lineRule="auto"/>
      </w:pPr>
      <w:r>
        <w:separator/>
      </w:r>
    </w:p>
  </w:footnote>
  <w:footnote w:type="continuationSeparator" w:id="0">
    <w:p w:rsidR="00315202" w:rsidRDefault="00315202" w:rsidP="00772718">
      <w:pPr>
        <w:spacing w:line="240" w:lineRule="auto"/>
      </w:pPr>
      <w:r>
        <w:continuationSeparator/>
      </w:r>
    </w:p>
  </w:footnote>
  <w:footnote w:id="1">
    <w:p w:rsidR="008F341D" w:rsidRDefault="008F341D" w:rsidP="005B240C">
      <w:r>
        <w:rPr>
          <w:rStyle w:val="FootnoteReference"/>
          <w:sz w:val="16"/>
        </w:rPr>
        <w:footnoteRef/>
      </w:r>
      <w:r w:rsidRPr="005B240C">
        <w:rPr>
          <w:sz w:val="16"/>
          <w:szCs w:val="16"/>
        </w:rPr>
        <w:t xml:space="preserve"> </w:t>
      </w:r>
      <w:r w:rsidRPr="005B240C">
        <w:rPr>
          <w:rFonts w:asciiTheme="minorHAnsi" w:hAnsiTheme="minorHAnsi" w:cs="Times New Roman"/>
          <w:color w:val="000000" w:themeColor="text1"/>
          <w:sz w:val="16"/>
          <w:szCs w:val="16"/>
        </w:rPr>
        <w:t>Company is a company incorporated</w:t>
      </w:r>
      <w:r w:rsidRPr="005B240C">
        <w:rPr>
          <w:rFonts w:cs="Arial"/>
          <w:sz w:val="16"/>
          <w:szCs w:val="16"/>
        </w:rPr>
        <w:t xml:space="preserve"> under the </w:t>
      </w:r>
      <w:r w:rsidRPr="005B240C">
        <w:rPr>
          <w:rFonts w:cs="Arial"/>
          <w:i/>
          <w:iCs/>
          <w:sz w:val="16"/>
          <w:szCs w:val="16"/>
        </w:rPr>
        <w:t>Corporations Act 2001</w:t>
      </w:r>
      <w:r w:rsidRPr="005B240C">
        <w:rPr>
          <w:rFonts w:cs="Arial"/>
          <w:sz w:val="16"/>
          <w:szCs w:val="16"/>
        </w:rPr>
        <w:t xml:space="preserve"> (</w:t>
      </w:r>
      <w:proofErr w:type="spellStart"/>
      <w:r w:rsidRPr="005B240C">
        <w:rPr>
          <w:rFonts w:cs="Arial"/>
          <w:sz w:val="16"/>
          <w:szCs w:val="16"/>
        </w:rPr>
        <w:t>Cth</w:t>
      </w:r>
      <w:proofErr w:type="spellEnd"/>
      <w:r w:rsidRPr="005B240C">
        <w:rPr>
          <w:rFonts w:cs="Arial"/>
          <w:sz w:val="16"/>
          <w:szCs w:val="16"/>
        </w:rPr>
        <w:t>)</w:t>
      </w:r>
    </w:p>
  </w:footnote>
  <w:footnote w:id="2">
    <w:p w:rsidR="008F341D" w:rsidRDefault="008F341D" w:rsidP="008F341D">
      <w:pPr>
        <w:pStyle w:val="FootnoteText"/>
      </w:pPr>
      <w:r>
        <w:rPr>
          <w:rStyle w:val="FootnoteReference"/>
        </w:rPr>
        <w:footnoteRef/>
      </w:r>
      <w:r>
        <w:t xml:space="preserve"> </w:t>
      </w:r>
      <w:r w:rsidRPr="005B240C">
        <w:rPr>
          <w:sz w:val="16"/>
          <w:szCs w:val="16"/>
        </w:rPr>
        <w:t xml:space="preserve">Trusts are not legal entities in their own right – to be eligible, only the Trustee for the Trust can apply by providing the signed Trust Deed and any subsequent variations with the application form. Trustees must be an eligible entity type as stated in </w:t>
      </w:r>
      <w:r w:rsidR="00822E3C">
        <w:rPr>
          <w:sz w:val="16"/>
          <w:szCs w:val="16"/>
        </w:rPr>
        <w:t>s</w:t>
      </w:r>
      <w:r w:rsidRPr="005B240C">
        <w:rPr>
          <w:sz w:val="16"/>
          <w:szCs w:val="16"/>
        </w:rPr>
        <w:t>ection 4.1</w:t>
      </w:r>
      <w:r w:rsidR="00822E3C">
        <w:rPr>
          <w:sz w:val="16"/>
          <w:szCs w:val="16"/>
        </w:rPr>
        <w:t xml:space="preserve"> of the Grant Opportunity Guidelines</w:t>
      </w:r>
      <w:r w:rsidRPr="005B240C">
        <w:rPr>
          <w:sz w:val="16"/>
          <w:szCs w:val="16"/>
        </w:rPr>
        <w:t>. Both the Trust’s and Trustee’s details will be collected in the application form.</w:t>
      </w:r>
    </w:p>
  </w:footnote>
  <w:footnote w:id="3">
    <w:p w:rsidR="008F341D" w:rsidRDefault="008F341D" w:rsidP="008F341D">
      <w:pPr>
        <w:pStyle w:val="FootnoteText"/>
      </w:pPr>
      <w:r>
        <w:rPr>
          <w:rStyle w:val="FootnoteReference"/>
        </w:rPr>
        <w:footnoteRef/>
      </w:r>
      <w:r>
        <w:t xml:space="preserve"> </w:t>
      </w:r>
      <w:r w:rsidRPr="005B240C">
        <w:rPr>
          <w:sz w:val="16"/>
          <w:szCs w:val="16"/>
        </w:rPr>
        <w:t>Partnership – the individual partners will enter into the agreement with the agency. A Partnership Agreement or a list of all individual partners of the Partnership may be requested.</w:t>
      </w:r>
      <w:r>
        <w:t xml:space="preserve"> </w:t>
      </w:r>
    </w:p>
  </w:footnote>
  <w:footnote w:id="4">
    <w:p w:rsidR="008F341D" w:rsidRDefault="008F341D" w:rsidP="008F341D">
      <w:pPr>
        <w:pStyle w:val="FootnoteText"/>
      </w:pPr>
      <w:r>
        <w:rPr>
          <w:rStyle w:val="FootnoteReference"/>
        </w:rPr>
        <w:footnoteRef/>
      </w:r>
      <w:r>
        <w:t xml:space="preserve"> </w:t>
      </w:r>
      <w:r w:rsidRPr="005B240C">
        <w:rPr>
          <w:sz w:val="16"/>
          <w:szCs w:val="16"/>
        </w:rPr>
        <w:t>A person is a natural person, an individual, a human being.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77102E4" wp14:editId="2588C9AF">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D8677C"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0BAE04C9" wp14:editId="2DFA4E11">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1EEC78B6" wp14:editId="70DFAD63">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500BB5E9" wp14:editId="6C4E8ABA">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200E6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1C2CEEAB" wp14:editId="02CCDB9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B4A22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0810A538" wp14:editId="019F10C5">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B0198F"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7685A13"/>
    <w:multiLevelType w:val="hybridMultilevel"/>
    <w:tmpl w:val="C8E820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0320D40"/>
    <w:multiLevelType w:val="hybridMultilevel"/>
    <w:tmpl w:val="1A06B7A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BD12E7"/>
    <w:multiLevelType w:val="multilevel"/>
    <w:tmpl w:val="2BD2A5E2"/>
    <w:lvl w:ilvl="0">
      <w:start w:val="1"/>
      <w:numFmt w:val="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1AE74512"/>
    <w:multiLevelType w:val="hybridMultilevel"/>
    <w:tmpl w:val="35243454"/>
    <w:lvl w:ilvl="0" w:tplc="0C09000F">
      <w:start w:val="1"/>
      <w:numFmt w:val="decimal"/>
      <w:lvlText w:val="%1."/>
      <w:lvlJc w:val="left"/>
      <w:pPr>
        <w:ind w:left="785" w:hanging="360"/>
      </w:pPr>
    </w:lvl>
    <w:lvl w:ilvl="1" w:tplc="A22058F2">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210044E0"/>
    <w:multiLevelType w:val="hybridMultilevel"/>
    <w:tmpl w:val="3078FC4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3250BF4"/>
    <w:multiLevelType w:val="hybridMultilevel"/>
    <w:tmpl w:val="A0CC2398"/>
    <w:lvl w:ilvl="0" w:tplc="98349BAC">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2A913599"/>
    <w:multiLevelType w:val="multilevel"/>
    <w:tmpl w:val="02AA8FA0"/>
    <w:numStyleLink w:val="ListBullets"/>
  </w:abstractNum>
  <w:abstractNum w:abstractNumId="12" w15:restartNumberingAfterBreak="0">
    <w:nsid w:val="2C3B7E34"/>
    <w:multiLevelType w:val="hybridMultilevel"/>
    <w:tmpl w:val="E63AC250"/>
    <w:lvl w:ilvl="0" w:tplc="0C090001">
      <w:start w:val="1"/>
      <w:numFmt w:val="bullet"/>
      <w:lvlText w:val=""/>
      <w:lvlJc w:val="left"/>
      <w:pPr>
        <w:ind w:left="1581" w:hanging="360"/>
      </w:pPr>
      <w:rPr>
        <w:rFonts w:ascii="Symbol" w:hAnsi="Symbol" w:hint="default"/>
      </w:rPr>
    </w:lvl>
    <w:lvl w:ilvl="1" w:tplc="0C090003">
      <w:start w:val="1"/>
      <w:numFmt w:val="bullet"/>
      <w:lvlText w:val="o"/>
      <w:lvlJc w:val="left"/>
      <w:pPr>
        <w:ind w:left="2301" w:hanging="360"/>
      </w:pPr>
      <w:rPr>
        <w:rFonts w:ascii="Courier New" w:hAnsi="Courier New" w:cs="Courier New" w:hint="default"/>
      </w:rPr>
    </w:lvl>
    <w:lvl w:ilvl="2" w:tplc="0C090005">
      <w:start w:val="1"/>
      <w:numFmt w:val="bullet"/>
      <w:lvlText w:val=""/>
      <w:lvlJc w:val="left"/>
      <w:pPr>
        <w:ind w:left="3021" w:hanging="360"/>
      </w:pPr>
      <w:rPr>
        <w:rFonts w:ascii="Wingdings" w:hAnsi="Wingdings" w:hint="default"/>
      </w:rPr>
    </w:lvl>
    <w:lvl w:ilvl="3" w:tplc="0C090001">
      <w:start w:val="1"/>
      <w:numFmt w:val="bullet"/>
      <w:lvlText w:val=""/>
      <w:lvlJc w:val="left"/>
      <w:pPr>
        <w:ind w:left="3741" w:hanging="360"/>
      </w:pPr>
      <w:rPr>
        <w:rFonts w:ascii="Symbol" w:hAnsi="Symbol" w:hint="default"/>
      </w:rPr>
    </w:lvl>
    <w:lvl w:ilvl="4" w:tplc="0C090003">
      <w:start w:val="1"/>
      <w:numFmt w:val="bullet"/>
      <w:lvlText w:val="o"/>
      <w:lvlJc w:val="left"/>
      <w:pPr>
        <w:ind w:left="4461" w:hanging="360"/>
      </w:pPr>
      <w:rPr>
        <w:rFonts w:ascii="Courier New" w:hAnsi="Courier New" w:cs="Courier New" w:hint="default"/>
      </w:rPr>
    </w:lvl>
    <w:lvl w:ilvl="5" w:tplc="0C090005">
      <w:start w:val="1"/>
      <w:numFmt w:val="bullet"/>
      <w:lvlText w:val=""/>
      <w:lvlJc w:val="left"/>
      <w:pPr>
        <w:ind w:left="5181" w:hanging="360"/>
      </w:pPr>
      <w:rPr>
        <w:rFonts w:ascii="Wingdings" w:hAnsi="Wingdings" w:hint="default"/>
      </w:rPr>
    </w:lvl>
    <w:lvl w:ilvl="6" w:tplc="0C090001">
      <w:start w:val="1"/>
      <w:numFmt w:val="bullet"/>
      <w:lvlText w:val=""/>
      <w:lvlJc w:val="left"/>
      <w:pPr>
        <w:ind w:left="5901" w:hanging="360"/>
      </w:pPr>
      <w:rPr>
        <w:rFonts w:ascii="Symbol" w:hAnsi="Symbol" w:hint="default"/>
      </w:rPr>
    </w:lvl>
    <w:lvl w:ilvl="7" w:tplc="0C090003">
      <w:start w:val="1"/>
      <w:numFmt w:val="bullet"/>
      <w:lvlText w:val="o"/>
      <w:lvlJc w:val="left"/>
      <w:pPr>
        <w:ind w:left="6621" w:hanging="360"/>
      </w:pPr>
      <w:rPr>
        <w:rFonts w:ascii="Courier New" w:hAnsi="Courier New" w:cs="Courier New" w:hint="default"/>
      </w:rPr>
    </w:lvl>
    <w:lvl w:ilvl="8" w:tplc="0C090005">
      <w:start w:val="1"/>
      <w:numFmt w:val="bullet"/>
      <w:lvlText w:val=""/>
      <w:lvlJc w:val="left"/>
      <w:pPr>
        <w:ind w:left="7341" w:hanging="360"/>
      </w:pPr>
      <w:rPr>
        <w:rFonts w:ascii="Wingdings" w:hAnsi="Wingdings" w:hint="default"/>
      </w:rPr>
    </w:lvl>
  </w:abstractNum>
  <w:abstractNum w:abstractNumId="13"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984187"/>
    <w:multiLevelType w:val="hybridMultilevel"/>
    <w:tmpl w:val="A5E61798"/>
    <w:lvl w:ilvl="0" w:tplc="66C2AD4E">
      <w:start w:val="1"/>
      <w:numFmt w:val="bullet"/>
      <w:lvlText w:val=""/>
      <w:lvlJc w:val="left"/>
      <w:pPr>
        <w:ind w:left="785" w:hanging="360"/>
      </w:pPr>
      <w:rPr>
        <w:rFonts w:ascii="Wingdings" w:hAnsi="Wingdings" w:hint="default"/>
        <w:color w:val="auto"/>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5" w15:restartNumberingAfterBreak="0">
    <w:nsid w:val="393E5136"/>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7" w15:restartNumberingAfterBreak="0">
    <w:nsid w:val="3EF15B7F"/>
    <w:multiLevelType w:val="hybridMultilevel"/>
    <w:tmpl w:val="E3B2AB2E"/>
    <w:lvl w:ilvl="0" w:tplc="CB925EEC">
      <w:start w:val="1"/>
      <w:numFmt w:val="bullet"/>
      <w:lvlText w:val=""/>
      <w:lvlJc w:val="left"/>
      <w:pPr>
        <w:ind w:left="1146" w:hanging="360"/>
      </w:pPr>
      <w:rPr>
        <w:rFonts w:ascii="Wingdings" w:hAnsi="Wingdings" w:hint="default"/>
        <w:u w:color="0070C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403C0A27"/>
    <w:multiLevelType w:val="hybridMultilevel"/>
    <w:tmpl w:val="3D8ED280"/>
    <w:lvl w:ilvl="0" w:tplc="DE086CD0">
      <w:start w:val="2"/>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4F535DE5"/>
    <w:multiLevelType w:val="hybridMultilevel"/>
    <w:tmpl w:val="B450068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56500260"/>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29709ED"/>
    <w:multiLevelType w:val="hybridMultilevel"/>
    <w:tmpl w:val="46B4E136"/>
    <w:lvl w:ilvl="0" w:tplc="58EEF93E">
      <w:start w:val="1"/>
      <w:numFmt w:val="bullet"/>
      <w:lvlText w:val=""/>
      <w:lvlJc w:val="left"/>
      <w:pPr>
        <w:ind w:left="786" w:hanging="360"/>
      </w:pPr>
      <w:rPr>
        <w:rFonts w:ascii="Wingdings" w:hAnsi="Wingdings" w:hint="default"/>
        <w:color w:val="auto"/>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4"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4"/>
  </w:num>
  <w:num w:numId="3">
    <w:abstractNumId w:val="9"/>
  </w:num>
  <w:num w:numId="4">
    <w:abstractNumId w:val="20"/>
  </w:num>
  <w:num w:numId="5">
    <w:abstractNumId w:val="16"/>
  </w:num>
  <w:num w:numId="6">
    <w:abstractNumId w:val="6"/>
  </w:num>
  <w:num w:numId="7">
    <w:abstractNumId w:val="4"/>
  </w:num>
  <w:num w:numId="8">
    <w:abstractNumId w:val="1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11"/>
  </w:num>
  <w:num w:numId="13">
    <w:abstractNumId w:val="12"/>
  </w:num>
  <w:num w:numId="14">
    <w:abstractNumId w:val="12"/>
  </w:num>
  <w:num w:numId="15">
    <w:abstractNumId w:val="2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3"/>
  </w:num>
  <w:num w:numId="19">
    <w:abstractNumId w:val="18"/>
  </w:num>
  <w:num w:numId="20">
    <w:abstractNumId w:val="15"/>
  </w:num>
  <w:num w:numId="21">
    <w:abstractNumId w:val="25"/>
  </w:num>
  <w:num w:numId="22">
    <w:abstractNumId w:val="22"/>
  </w:num>
  <w:num w:numId="23">
    <w:abstractNumId w:val="5"/>
  </w:num>
  <w:num w:numId="24">
    <w:abstractNumId w:val="10"/>
  </w:num>
  <w:num w:numId="25">
    <w:abstractNumId w:val="14"/>
  </w:num>
  <w:num w:numId="26">
    <w:abstractNumId w:val="8"/>
  </w:num>
  <w:num w:numId="27">
    <w:abstractNumId w:val="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22C2F"/>
    <w:rsid w:val="0003018E"/>
    <w:rsid w:val="00033BC3"/>
    <w:rsid w:val="00044E09"/>
    <w:rsid w:val="00046AC0"/>
    <w:rsid w:val="000470EE"/>
    <w:rsid w:val="0004784D"/>
    <w:rsid w:val="00047F33"/>
    <w:rsid w:val="00053A00"/>
    <w:rsid w:val="00054B26"/>
    <w:rsid w:val="000639FA"/>
    <w:rsid w:val="00066930"/>
    <w:rsid w:val="000B1642"/>
    <w:rsid w:val="000B303B"/>
    <w:rsid w:val="000B378A"/>
    <w:rsid w:val="000B6C00"/>
    <w:rsid w:val="000B71F8"/>
    <w:rsid w:val="000C0DF0"/>
    <w:rsid w:val="000C1F06"/>
    <w:rsid w:val="000C4371"/>
    <w:rsid w:val="000C662D"/>
    <w:rsid w:val="000D2DB3"/>
    <w:rsid w:val="000E3E79"/>
    <w:rsid w:val="000E4021"/>
    <w:rsid w:val="000E6B5E"/>
    <w:rsid w:val="000F1DD1"/>
    <w:rsid w:val="000F28B8"/>
    <w:rsid w:val="000F3766"/>
    <w:rsid w:val="00105397"/>
    <w:rsid w:val="00106FC4"/>
    <w:rsid w:val="001111C9"/>
    <w:rsid w:val="00111F0C"/>
    <w:rsid w:val="0012733E"/>
    <w:rsid w:val="001349CF"/>
    <w:rsid w:val="00145E2D"/>
    <w:rsid w:val="00147662"/>
    <w:rsid w:val="00152CC9"/>
    <w:rsid w:val="00155BEC"/>
    <w:rsid w:val="001573F2"/>
    <w:rsid w:val="0016612C"/>
    <w:rsid w:val="00175EED"/>
    <w:rsid w:val="001763D4"/>
    <w:rsid w:val="00181433"/>
    <w:rsid w:val="001834DD"/>
    <w:rsid w:val="001835EE"/>
    <w:rsid w:val="00184038"/>
    <w:rsid w:val="00187E9B"/>
    <w:rsid w:val="001C096E"/>
    <w:rsid w:val="001C53CE"/>
    <w:rsid w:val="001C5D96"/>
    <w:rsid w:val="001C6C92"/>
    <w:rsid w:val="001C6FE7"/>
    <w:rsid w:val="001D341B"/>
    <w:rsid w:val="001D3B95"/>
    <w:rsid w:val="001E3D2B"/>
    <w:rsid w:val="001E66CE"/>
    <w:rsid w:val="001F0387"/>
    <w:rsid w:val="001F5FC1"/>
    <w:rsid w:val="00201A31"/>
    <w:rsid w:val="00207788"/>
    <w:rsid w:val="00221DC2"/>
    <w:rsid w:val="00244B48"/>
    <w:rsid w:val="002532D8"/>
    <w:rsid w:val="00255E3A"/>
    <w:rsid w:val="002573D5"/>
    <w:rsid w:val="00264E26"/>
    <w:rsid w:val="00265580"/>
    <w:rsid w:val="00266CC2"/>
    <w:rsid w:val="00280E74"/>
    <w:rsid w:val="002866A2"/>
    <w:rsid w:val="002A41E1"/>
    <w:rsid w:val="002B1E43"/>
    <w:rsid w:val="002B4E32"/>
    <w:rsid w:val="002B6574"/>
    <w:rsid w:val="002C0167"/>
    <w:rsid w:val="002C7139"/>
    <w:rsid w:val="002D2F7C"/>
    <w:rsid w:val="002D4D48"/>
    <w:rsid w:val="002D6641"/>
    <w:rsid w:val="002E060B"/>
    <w:rsid w:val="002E21D2"/>
    <w:rsid w:val="002E22BD"/>
    <w:rsid w:val="002F7D3C"/>
    <w:rsid w:val="00305720"/>
    <w:rsid w:val="003104C5"/>
    <w:rsid w:val="003131AB"/>
    <w:rsid w:val="00315202"/>
    <w:rsid w:val="003173B0"/>
    <w:rsid w:val="003217BE"/>
    <w:rsid w:val="00325D02"/>
    <w:rsid w:val="0033145B"/>
    <w:rsid w:val="0033633C"/>
    <w:rsid w:val="003509A3"/>
    <w:rsid w:val="00355677"/>
    <w:rsid w:val="00363310"/>
    <w:rsid w:val="00366F30"/>
    <w:rsid w:val="00380971"/>
    <w:rsid w:val="00387BEA"/>
    <w:rsid w:val="003A6D73"/>
    <w:rsid w:val="003C2629"/>
    <w:rsid w:val="003C79C7"/>
    <w:rsid w:val="003D0647"/>
    <w:rsid w:val="003D1265"/>
    <w:rsid w:val="003D1F6C"/>
    <w:rsid w:val="003D36E7"/>
    <w:rsid w:val="003D3B1D"/>
    <w:rsid w:val="003D4DA9"/>
    <w:rsid w:val="003D5DBE"/>
    <w:rsid w:val="003E30C3"/>
    <w:rsid w:val="003F3E1A"/>
    <w:rsid w:val="003F6C60"/>
    <w:rsid w:val="00404841"/>
    <w:rsid w:val="00406610"/>
    <w:rsid w:val="00412059"/>
    <w:rsid w:val="004123D4"/>
    <w:rsid w:val="0041496C"/>
    <w:rsid w:val="00416935"/>
    <w:rsid w:val="00421EE2"/>
    <w:rsid w:val="0042429A"/>
    <w:rsid w:val="00425633"/>
    <w:rsid w:val="00441E79"/>
    <w:rsid w:val="00450486"/>
    <w:rsid w:val="004537DC"/>
    <w:rsid w:val="0045439D"/>
    <w:rsid w:val="00455FFA"/>
    <w:rsid w:val="00460114"/>
    <w:rsid w:val="00463681"/>
    <w:rsid w:val="00467249"/>
    <w:rsid w:val="004709E9"/>
    <w:rsid w:val="00475D39"/>
    <w:rsid w:val="004811AF"/>
    <w:rsid w:val="00483A58"/>
    <w:rsid w:val="00486155"/>
    <w:rsid w:val="004924DA"/>
    <w:rsid w:val="004C7743"/>
    <w:rsid w:val="004C77FA"/>
    <w:rsid w:val="004D4142"/>
    <w:rsid w:val="004D5463"/>
    <w:rsid w:val="004D700E"/>
    <w:rsid w:val="004D7F17"/>
    <w:rsid w:val="004E0670"/>
    <w:rsid w:val="004E7F37"/>
    <w:rsid w:val="004F31BA"/>
    <w:rsid w:val="004F7F9E"/>
    <w:rsid w:val="00502A6D"/>
    <w:rsid w:val="0051299F"/>
    <w:rsid w:val="00515BB7"/>
    <w:rsid w:val="00516672"/>
    <w:rsid w:val="00521B01"/>
    <w:rsid w:val="00526B85"/>
    <w:rsid w:val="005306A1"/>
    <w:rsid w:val="00533843"/>
    <w:rsid w:val="005355BC"/>
    <w:rsid w:val="0054052B"/>
    <w:rsid w:val="0054510B"/>
    <w:rsid w:val="00553E1A"/>
    <w:rsid w:val="005700D7"/>
    <w:rsid w:val="0058089C"/>
    <w:rsid w:val="0058237C"/>
    <w:rsid w:val="0059000C"/>
    <w:rsid w:val="00596C21"/>
    <w:rsid w:val="005A02A1"/>
    <w:rsid w:val="005A0CA3"/>
    <w:rsid w:val="005A2455"/>
    <w:rsid w:val="005B240C"/>
    <w:rsid w:val="005D5157"/>
    <w:rsid w:val="005D5B5B"/>
    <w:rsid w:val="005D6D33"/>
    <w:rsid w:val="005D7A24"/>
    <w:rsid w:val="005E6B2B"/>
    <w:rsid w:val="005F736C"/>
    <w:rsid w:val="00600609"/>
    <w:rsid w:val="0060657D"/>
    <w:rsid w:val="00616EBA"/>
    <w:rsid w:val="006210D9"/>
    <w:rsid w:val="006226D4"/>
    <w:rsid w:val="00632C08"/>
    <w:rsid w:val="00637DF3"/>
    <w:rsid w:val="00643565"/>
    <w:rsid w:val="0064443E"/>
    <w:rsid w:val="006468F4"/>
    <w:rsid w:val="006523EF"/>
    <w:rsid w:val="00654C42"/>
    <w:rsid w:val="0067074A"/>
    <w:rsid w:val="00672994"/>
    <w:rsid w:val="006829D7"/>
    <w:rsid w:val="006A6AD0"/>
    <w:rsid w:val="006C15C5"/>
    <w:rsid w:val="006E41EC"/>
    <w:rsid w:val="006F33D0"/>
    <w:rsid w:val="006F4F42"/>
    <w:rsid w:val="006F69CA"/>
    <w:rsid w:val="0070634C"/>
    <w:rsid w:val="00736A76"/>
    <w:rsid w:val="007407FD"/>
    <w:rsid w:val="00752A53"/>
    <w:rsid w:val="00752C6B"/>
    <w:rsid w:val="00760CE6"/>
    <w:rsid w:val="00765764"/>
    <w:rsid w:val="007719C9"/>
    <w:rsid w:val="00772718"/>
    <w:rsid w:val="00772E63"/>
    <w:rsid w:val="00783F99"/>
    <w:rsid w:val="00787D9A"/>
    <w:rsid w:val="007960D4"/>
    <w:rsid w:val="007A40C1"/>
    <w:rsid w:val="007D30A8"/>
    <w:rsid w:val="007D57C1"/>
    <w:rsid w:val="007D7536"/>
    <w:rsid w:val="007F6B85"/>
    <w:rsid w:val="0080593A"/>
    <w:rsid w:val="008110B0"/>
    <w:rsid w:val="0081329C"/>
    <w:rsid w:val="00814FB1"/>
    <w:rsid w:val="008208E3"/>
    <w:rsid w:val="00820F20"/>
    <w:rsid w:val="00822E3C"/>
    <w:rsid w:val="0082528A"/>
    <w:rsid w:val="00825754"/>
    <w:rsid w:val="00830B16"/>
    <w:rsid w:val="008318AA"/>
    <w:rsid w:val="00835210"/>
    <w:rsid w:val="00837D3C"/>
    <w:rsid w:val="00844C2D"/>
    <w:rsid w:val="00844F38"/>
    <w:rsid w:val="00852367"/>
    <w:rsid w:val="00862A87"/>
    <w:rsid w:val="008644A1"/>
    <w:rsid w:val="0087438E"/>
    <w:rsid w:val="00884668"/>
    <w:rsid w:val="008949C8"/>
    <w:rsid w:val="00895EA8"/>
    <w:rsid w:val="008B24AE"/>
    <w:rsid w:val="008B2B46"/>
    <w:rsid w:val="008B2C58"/>
    <w:rsid w:val="008D2885"/>
    <w:rsid w:val="008D2BBD"/>
    <w:rsid w:val="008E66BC"/>
    <w:rsid w:val="008E6A03"/>
    <w:rsid w:val="008F341D"/>
    <w:rsid w:val="008F64CD"/>
    <w:rsid w:val="00903935"/>
    <w:rsid w:val="0091114F"/>
    <w:rsid w:val="009146B7"/>
    <w:rsid w:val="0091771D"/>
    <w:rsid w:val="00917FC9"/>
    <w:rsid w:val="00921840"/>
    <w:rsid w:val="009331B4"/>
    <w:rsid w:val="009345F1"/>
    <w:rsid w:val="00934F14"/>
    <w:rsid w:val="00937875"/>
    <w:rsid w:val="00941D84"/>
    <w:rsid w:val="00944BBB"/>
    <w:rsid w:val="009547B6"/>
    <w:rsid w:val="00961072"/>
    <w:rsid w:val="00962315"/>
    <w:rsid w:val="00965248"/>
    <w:rsid w:val="009750EA"/>
    <w:rsid w:val="009818DA"/>
    <w:rsid w:val="00982554"/>
    <w:rsid w:val="009C094A"/>
    <w:rsid w:val="009C2B39"/>
    <w:rsid w:val="009D405C"/>
    <w:rsid w:val="009D4442"/>
    <w:rsid w:val="009E750F"/>
    <w:rsid w:val="009F1A12"/>
    <w:rsid w:val="009F49A7"/>
    <w:rsid w:val="00A04D96"/>
    <w:rsid w:val="00A0629B"/>
    <w:rsid w:val="00A1028B"/>
    <w:rsid w:val="00A14495"/>
    <w:rsid w:val="00A16BE1"/>
    <w:rsid w:val="00A32AF4"/>
    <w:rsid w:val="00A454BF"/>
    <w:rsid w:val="00A45969"/>
    <w:rsid w:val="00A52E3A"/>
    <w:rsid w:val="00A53E6B"/>
    <w:rsid w:val="00A61B21"/>
    <w:rsid w:val="00A814CB"/>
    <w:rsid w:val="00A84C17"/>
    <w:rsid w:val="00A90D1B"/>
    <w:rsid w:val="00AA0208"/>
    <w:rsid w:val="00AA2384"/>
    <w:rsid w:val="00AB31BB"/>
    <w:rsid w:val="00AC41FC"/>
    <w:rsid w:val="00AE5323"/>
    <w:rsid w:val="00AF55F8"/>
    <w:rsid w:val="00B01535"/>
    <w:rsid w:val="00B10ABA"/>
    <w:rsid w:val="00B13937"/>
    <w:rsid w:val="00B1418B"/>
    <w:rsid w:val="00B34498"/>
    <w:rsid w:val="00B420D4"/>
    <w:rsid w:val="00B51F28"/>
    <w:rsid w:val="00B5285F"/>
    <w:rsid w:val="00B537FD"/>
    <w:rsid w:val="00B577F5"/>
    <w:rsid w:val="00B57910"/>
    <w:rsid w:val="00B6260B"/>
    <w:rsid w:val="00B637C7"/>
    <w:rsid w:val="00B7600D"/>
    <w:rsid w:val="00B764E3"/>
    <w:rsid w:val="00BA22C1"/>
    <w:rsid w:val="00BA2FA6"/>
    <w:rsid w:val="00BA6686"/>
    <w:rsid w:val="00BA78D1"/>
    <w:rsid w:val="00BC093A"/>
    <w:rsid w:val="00BC4ACC"/>
    <w:rsid w:val="00BC4FCC"/>
    <w:rsid w:val="00BD02F8"/>
    <w:rsid w:val="00BD27A2"/>
    <w:rsid w:val="00BE689B"/>
    <w:rsid w:val="00C03B7F"/>
    <w:rsid w:val="00C050F7"/>
    <w:rsid w:val="00C12E71"/>
    <w:rsid w:val="00C17811"/>
    <w:rsid w:val="00C217A8"/>
    <w:rsid w:val="00C271D0"/>
    <w:rsid w:val="00C2736F"/>
    <w:rsid w:val="00C333B7"/>
    <w:rsid w:val="00C3715C"/>
    <w:rsid w:val="00C41422"/>
    <w:rsid w:val="00C4188F"/>
    <w:rsid w:val="00C41F7E"/>
    <w:rsid w:val="00C43CC4"/>
    <w:rsid w:val="00C60C30"/>
    <w:rsid w:val="00C71AEC"/>
    <w:rsid w:val="00C819A4"/>
    <w:rsid w:val="00C82A1B"/>
    <w:rsid w:val="00C82E6F"/>
    <w:rsid w:val="00C84EA8"/>
    <w:rsid w:val="00C8726E"/>
    <w:rsid w:val="00C90187"/>
    <w:rsid w:val="00C918A2"/>
    <w:rsid w:val="00C92998"/>
    <w:rsid w:val="00C94DE3"/>
    <w:rsid w:val="00CA0496"/>
    <w:rsid w:val="00CA3F3B"/>
    <w:rsid w:val="00CA720A"/>
    <w:rsid w:val="00CC0497"/>
    <w:rsid w:val="00CC1B7B"/>
    <w:rsid w:val="00CC252A"/>
    <w:rsid w:val="00CC4ACC"/>
    <w:rsid w:val="00CD328C"/>
    <w:rsid w:val="00CD38EE"/>
    <w:rsid w:val="00CD5925"/>
    <w:rsid w:val="00CD73B1"/>
    <w:rsid w:val="00CE557A"/>
    <w:rsid w:val="00CE6623"/>
    <w:rsid w:val="00CE67D4"/>
    <w:rsid w:val="00CF3652"/>
    <w:rsid w:val="00CF791D"/>
    <w:rsid w:val="00D0094E"/>
    <w:rsid w:val="00D01F12"/>
    <w:rsid w:val="00D031B2"/>
    <w:rsid w:val="00D11EEB"/>
    <w:rsid w:val="00D1410C"/>
    <w:rsid w:val="00D148A8"/>
    <w:rsid w:val="00D161E0"/>
    <w:rsid w:val="00D26439"/>
    <w:rsid w:val="00D31029"/>
    <w:rsid w:val="00D34617"/>
    <w:rsid w:val="00D3614A"/>
    <w:rsid w:val="00D3705E"/>
    <w:rsid w:val="00D40D16"/>
    <w:rsid w:val="00D42E0E"/>
    <w:rsid w:val="00D43012"/>
    <w:rsid w:val="00D4656E"/>
    <w:rsid w:val="00D5399F"/>
    <w:rsid w:val="00D548F0"/>
    <w:rsid w:val="00D57F79"/>
    <w:rsid w:val="00D604FF"/>
    <w:rsid w:val="00D61643"/>
    <w:rsid w:val="00D64FAC"/>
    <w:rsid w:val="00D65704"/>
    <w:rsid w:val="00D668F6"/>
    <w:rsid w:val="00D779EA"/>
    <w:rsid w:val="00D84875"/>
    <w:rsid w:val="00D8560A"/>
    <w:rsid w:val="00D904F0"/>
    <w:rsid w:val="00D91378"/>
    <w:rsid w:val="00D91B18"/>
    <w:rsid w:val="00D97293"/>
    <w:rsid w:val="00DA5388"/>
    <w:rsid w:val="00DA53A7"/>
    <w:rsid w:val="00DB0238"/>
    <w:rsid w:val="00DB32FA"/>
    <w:rsid w:val="00DB4DBD"/>
    <w:rsid w:val="00DC0747"/>
    <w:rsid w:val="00DC2647"/>
    <w:rsid w:val="00DD1408"/>
    <w:rsid w:val="00DD356D"/>
    <w:rsid w:val="00DD3AF3"/>
    <w:rsid w:val="00DD3E55"/>
    <w:rsid w:val="00DD5982"/>
    <w:rsid w:val="00DD6735"/>
    <w:rsid w:val="00DF0607"/>
    <w:rsid w:val="00DF136A"/>
    <w:rsid w:val="00E0448C"/>
    <w:rsid w:val="00E0566D"/>
    <w:rsid w:val="00E07BA4"/>
    <w:rsid w:val="00E13525"/>
    <w:rsid w:val="00E3200E"/>
    <w:rsid w:val="00E418CF"/>
    <w:rsid w:val="00E4294A"/>
    <w:rsid w:val="00E47250"/>
    <w:rsid w:val="00E53583"/>
    <w:rsid w:val="00E61535"/>
    <w:rsid w:val="00E615F5"/>
    <w:rsid w:val="00E6782C"/>
    <w:rsid w:val="00E72F53"/>
    <w:rsid w:val="00E763B8"/>
    <w:rsid w:val="00E84012"/>
    <w:rsid w:val="00E9373C"/>
    <w:rsid w:val="00E94149"/>
    <w:rsid w:val="00E94F91"/>
    <w:rsid w:val="00E9531A"/>
    <w:rsid w:val="00EA0724"/>
    <w:rsid w:val="00EA12F7"/>
    <w:rsid w:val="00EA6251"/>
    <w:rsid w:val="00EB6414"/>
    <w:rsid w:val="00EC06D0"/>
    <w:rsid w:val="00ED0CB9"/>
    <w:rsid w:val="00ED6D50"/>
    <w:rsid w:val="00EE1A88"/>
    <w:rsid w:val="00EE5747"/>
    <w:rsid w:val="00EE70EA"/>
    <w:rsid w:val="00EF3804"/>
    <w:rsid w:val="00EF5E05"/>
    <w:rsid w:val="00F04244"/>
    <w:rsid w:val="00F227AF"/>
    <w:rsid w:val="00F27370"/>
    <w:rsid w:val="00F33B27"/>
    <w:rsid w:val="00F40DB7"/>
    <w:rsid w:val="00F50493"/>
    <w:rsid w:val="00F5341C"/>
    <w:rsid w:val="00F56954"/>
    <w:rsid w:val="00F66049"/>
    <w:rsid w:val="00F66514"/>
    <w:rsid w:val="00F922AF"/>
    <w:rsid w:val="00F947A7"/>
    <w:rsid w:val="00F948AF"/>
    <w:rsid w:val="00FA5A7B"/>
    <w:rsid w:val="00FA5D07"/>
    <w:rsid w:val="00FB11B1"/>
    <w:rsid w:val="00FB1A79"/>
    <w:rsid w:val="00FB29CA"/>
    <w:rsid w:val="00FB545F"/>
    <w:rsid w:val="00FC0935"/>
    <w:rsid w:val="00FD4344"/>
    <w:rsid w:val="00FE00E8"/>
    <w:rsid w:val="00FF1188"/>
    <w:rsid w:val="00FF2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C9F97F"/>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Bullet">
    <w:name w:val="List Bullet"/>
    <w:basedOn w:val="Normal"/>
    <w:uiPriority w:val="99"/>
    <w:qFormat/>
    <w:rsid w:val="003173B0"/>
    <w:pPr>
      <w:numPr>
        <w:numId w:val="12"/>
      </w:numPr>
      <w:spacing w:before="120" w:after="120" w:line="240" w:lineRule="auto"/>
    </w:pPr>
    <w:rPr>
      <w:rFonts w:ascii="Cambria" w:eastAsia="Calibri" w:hAnsi="Cambria" w:cs="Times New Roman"/>
    </w:rPr>
  </w:style>
  <w:style w:type="paragraph" w:styleId="ListBullet2">
    <w:name w:val="List Bullet 2"/>
    <w:basedOn w:val="Normal"/>
    <w:uiPriority w:val="8"/>
    <w:qFormat/>
    <w:rsid w:val="003173B0"/>
    <w:pPr>
      <w:numPr>
        <w:ilvl w:val="1"/>
        <w:numId w:val="12"/>
      </w:numPr>
      <w:spacing w:before="120" w:after="120" w:line="240" w:lineRule="auto"/>
      <w:contextualSpacing/>
    </w:pPr>
    <w:rPr>
      <w:rFonts w:ascii="Cambria" w:eastAsia="Calibri" w:hAnsi="Cambria" w:cs="Times New Roman"/>
    </w:rPr>
  </w:style>
  <w:style w:type="numbering" w:customStyle="1" w:styleId="ListBullets">
    <w:name w:val="ListBullets"/>
    <w:uiPriority w:val="99"/>
    <w:rsid w:val="003173B0"/>
    <w:pPr>
      <w:numPr>
        <w:numId w:val="11"/>
      </w:numPr>
    </w:pPr>
  </w:style>
  <w:style w:type="paragraph" w:styleId="ListBullet3">
    <w:name w:val="List Bullet 3"/>
    <w:basedOn w:val="Normal"/>
    <w:uiPriority w:val="99"/>
    <w:unhideWhenUsed/>
    <w:rsid w:val="003173B0"/>
    <w:pPr>
      <w:numPr>
        <w:ilvl w:val="2"/>
        <w:numId w:val="12"/>
      </w:numPr>
      <w:spacing w:before="120" w:after="0" w:line="240" w:lineRule="auto"/>
      <w:contextualSpacing/>
    </w:pPr>
    <w:rPr>
      <w:rFonts w:ascii="Cambria" w:eastAsia="Calibri" w:hAnsi="Cambria" w:cs="Times New Roman"/>
    </w:rPr>
  </w:style>
  <w:style w:type="paragraph" w:customStyle="1" w:styleId="Bullet1">
    <w:name w:val="Bullet 1"/>
    <w:basedOn w:val="Normal"/>
    <w:uiPriority w:val="99"/>
    <w:rsid w:val="00B13937"/>
    <w:pPr>
      <w:spacing w:before="120" w:after="120" w:line="280" w:lineRule="atLeast"/>
    </w:pPr>
    <w:rPr>
      <w:rFonts w:cs="Arial"/>
      <w:sz w:val="20"/>
      <w:szCs w:val="20"/>
    </w:rPr>
  </w:style>
  <w:style w:type="paragraph" w:styleId="CommentSubject">
    <w:name w:val="annotation subject"/>
    <w:basedOn w:val="CommentText"/>
    <w:next w:val="CommentText"/>
    <w:link w:val="CommentSubjectChar"/>
    <w:uiPriority w:val="99"/>
    <w:semiHidden/>
    <w:unhideWhenUsed/>
    <w:rsid w:val="0058237C"/>
    <w:rPr>
      <w:b/>
      <w:bCs/>
    </w:rPr>
  </w:style>
  <w:style w:type="character" w:customStyle="1" w:styleId="CommentSubjectChar">
    <w:name w:val="Comment Subject Char"/>
    <w:basedOn w:val="CommentTextChar"/>
    <w:link w:val="CommentSubject"/>
    <w:uiPriority w:val="99"/>
    <w:semiHidden/>
    <w:rsid w:val="0058237C"/>
    <w:rPr>
      <w:rFonts w:ascii="Arial" w:hAnsi="Arial" w:cstheme="minorBidi"/>
      <w:b/>
      <w:bCs/>
    </w:rPr>
  </w:style>
  <w:style w:type="character" w:styleId="FollowedHyperlink">
    <w:name w:val="FollowedHyperlink"/>
    <w:basedOn w:val="DefaultParagraphFont"/>
    <w:uiPriority w:val="99"/>
    <w:semiHidden/>
    <w:unhideWhenUsed/>
    <w:rsid w:val="00E72F53"/>
    <w:rPr>
      <w:color w:val="800080" w:themeColor="followedHyperlink"/>
      <w:u w:val="single"/>
    </w:rPr>
  </w:style>
  <w:style w:type="paragraph" w:styleId="ListParagraph">
    <w:name w:val="List Paragraph"/>
    <w:aliases w:val="List Paragraph1,Recommendation,List Paragraph11,NFP GP Bulleted List,FooterText,numbered,Paragraphe de liste1,Bulletr List Paragraph,列出段落,列出段落1,List Paragraph2,List Paragraph21,Listeafsnit1,Parágrafo da Lista1,Párrafo de lista1,リスト段落1,L,列"/>
    <w:basedOn w:val="Normal"/>
    <w:link w:val="ListParagraphChar"/>
    <w:uiPriority w:val="99"/>
    <w:qFormat/>
    <w:rsid w:val="009D4442"/>
    <w:pPr>
      <w:ind w:left="720"/>
      <w:contextualSpacing/>
    </w:pPr>
  </w:style>
  <w:style w:type="character" w:customStyle="1" w:styleId="ListParagraphChar">
    <w:name w:val="List Paragraph Char"/>
    <w:aliases w:val="List Paragraph1 Char,Recommendation Char,List Paragraph11 Char,NFP GP Bulleted List Char,FooterText Char,numbered Char,Paragraphe de liste1 Char,Bulletr List Paragraph Char,列出段落 Char,列出段落1 Char,List Paragraph2 Char,Listeafsnit1 Char"/>
    <w:link w:val="ListParagraph"/>
    <w:uiPriority w:val="99"/>
    <w:qFormat/>
    <w:locked/>
    <w:rsid w:val="00DD5982"/>
    <w:rPr>
      <w:rFonts w:ascii="Arial" w:hAnsi="Arial" w:cstheme="minorBidi"/>
      <w:sz w:val="22"/>
      <w:szCs w:val="22"/>
    </w:rPr>
  </w:style>
  <w:style w:type="numbering" w:customStyle="1" w:styleId="StyleNumbered">
    <w:name w:val="Style Numbered"/>
    <w:basedOn w:val="NoList"/>
    <w:rsid w:val="00406610"/>
    <w:pPr>
      <w:numPr>
        <w:numId w:val="21"/>
      </w:numPr>
    </w:pPr>
  </w:style>
  <w:style w:type="character" w:customStyle="1" w:styleId="FootnoteTextChar1">
    <w:name w:val="Footnote Text Char1"/>
    <w:basedOn w:val="DefaultParagraphFont"/>
    <w:uiPriority w:val="97"/>
    <w:rsid w:val="008F341D"/>
    <w:rPr>
      <w:sz w:val="16"/>
    </w:rPr>
  </w:style>
  <w:style w:type="character" w:styleId="FootnoteReference">
    <w:name w:val="footnote reference"/>
    <w:basedOn w:val="DefaultParagraphFont"/>
    <w:uiPriority w:val="99"/>
    <w:rsid w:val="008F341D"/>
    <w:rPr>
      <w:rFonts w:cs="Times New Roman"/>
      <w:vertAlign w:val="superscript"/>
    </w:rPr>
  </w:style>
  <w:style w:type="paragraph" w:styleId="Revision">
    <w:name w:val="Revision"/>
    <w:hidden/>
    <w:uiPriority w:val="99"/>
    <w:semiHidden/>
    <w:rsid w:val="00C41F7E"/>
    <w:rPr>
      <w:rFonts w:ascii="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22312566">
      <w:bodyDiv w:val="1"/>
      <w:marLeft w:val="0"/>
      <w:marRight w:val="0"/>
      <w:marTop w:val="0"/>
      <w:marBottom w:val="0"/>
      <w:divBdr>
        <w:top w:val="none" w:sz="0" w:space="0" w:color="auto"/>
        <w:left w:val="none" w:sz="0" w:space="0" w:color="auto"/>
        <w:bottom w:val="none" w:sz="0" w:space="0" w:color="auto"/>
        <w:right w:val="none" w:sz="0" w:space="0" w:color="auto"/>
      </w:divBdr>
      <w:divsChild>
        <w:div w:id="422452419">
          <w:marLeft w:val="0"/>
          <w:marRight w:val="0"/>
          <w:marTop w:val="0"/>
          <w:marBottom w:val="0"/>
          <w:divBdr>
            <w:top w:val="none" w:sz="0" w:space="0" w:color="auto"/>
            <w:left w:val="none" w:sz="0" w:space="0" w:color="auto"/>
            <w:bottom w:val="none" w:sz="0" w:space="0" w:color="auto"/>
            <w:right w:val="none" w:sz="0" w:space="0" w:color="auto"/>
          </w:divBdr>
          <w:divsChild>
            <w:div w:id="1384332309">
              <w:marLeft w:val="0"/>
              <w:marRight w:val="0"/>
              <w:marTop w:val="0"/>
              <w:marBottom w:val="0"/>
              <w:divBdr>
                <w:top w:val="none" w:sz="0" w:space="0" w:color="auto"/>
                <w:left w:val="none" w:sz="0" w:space="0" w:color="auto"/>
                <w:bottom w:val="none" w:sz="0" w:space="0" w:color="auto"/>
                <w:right w:val="none" w:sz="0" w:space="0" w:color="auto"/>
              </w:divBdr>
              <w:divsChild>
                <w:div w:id="2110156439">
                  <w:marLeft w:val="0"/>
                  <w:marRight w:val="0"/>
                  <w:marTop w:val="0"/>
                  <w:marBottom w:val="0"/>
                  <w:divBdr>
                    <w:top w:val="none" w:sz="0" w:space="0" w:color="auto"/>
                    <w:left w:val="none" w:sz="0" w:space="0" w:color="auto"/>
                    <w:bottom w:val="none" w:sz="0" w:space="0" w:color="auto"/>
                    <w:right w:val="none" w:sz="0" w:space="0" w:color="auto"/>
                  </w:divBdr>
                  <w:divsChild>
                    <w:div w:id="1384059852">
                      <w:marLeft w:val="-150"/>
                      <w:marRight w:val="-150"/>
                      <w:marTop w:val="0"/>
                      <w:marBottom w:val="0"/>
                      <w:divBdr>
                        <w:top w:val="none" w:sz="0" w:space="0" w:color="auto"/>
                        <w:left w:val="none" w:sz="0" w:space="0" w:color="auto"/>
                        <w:bottom w:val="none" w:sz="0" w:space="0" w:color="auto"/>
                        <w:right w:val="none" w:sz="0" w:space="0" w:color="auto"/>
                      </w:divBdr>
                      <w:divsChild>
                        <w:div w:id="937450041">
                          <w:marLeft w:val="0"/>
                          <w:marRight w:val="0"/>
                          <w:marTop w:val="0"/>
                          <w:marBottom w:val="0"/>
                          <w:divBdr>
                            <w:top w:val="none" w:sz="0" w:space="0" w:color="auto"/>
                            <w:left w:val="none" w:sz="0" w:space="0" w:color="auto"/>
                            <w:bottom w:val="none" w:sz="0" w:space="0" w:color="auto"/>
                            <w:right w:val="none" w:sz="0" w:space="0" w:color="auto"/>
                          </w:divBdr>
                          <w:divsChild>
                            <w:div w:id="2073459552">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0"/>
                                  <w:marBottom w:val="0"/>
                                  <w:divBdr>
                                    <w:top w:val="none" w:sz="0" w:space="0" w:color="auto"/>
                                    <w:left w:val="none" w:sz="0" w:space="0" w:color="auto"/>
                                    <w:bottom w:val="none" w:sz="0" w:space="0" w:color="auto"/>
                                    <w:right w:val="none" w:sz="0" w:space="0" w:color="auto"/>
                                  </w:divBdr>
                                  <w:divsChild>
                                    <w:div w:id="17562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254582">
      <w:bodyDiv w:val="1"/>
      <w:marLeft w:val="0"/>
      <w:marRight w:val="0"/>
      <w:marTop w:val="0"/>
      <w:marBottom w:val="0"/>
      <w:divBdr>
        <w:top w:val="none" w:sz="0" w:space="0" w:color="auto"/>
        <w:left w:val="none" w:sz="0" w:space="0" w:color="auto"/>
        <w:bottom w:val="none" w:sz="0" w:space="0" w:color="auto"/>
        <w:right w:val="none" w:sz="0" w:space="0" w:color="auto"/>
      </w:divBdr>
    </w:div>
    <w:div w:id="418141566">
      <w:bodyDiv w:val="1"/>
      <w:marLeft w:val="0"/>
      <w:marRight w:val="0"/>
      <w:marTop w:val="0"/>
      <w:marBottom w:val="0"/>
      <w:divBdr>
        <w:top w:val="none" w:sz="0" w:space="0" w:color="auto"/>
        <w:left w:val="none" w:sz="0" w:space="0" w:color="auto"/>
        <w:bottom w:val="none" w:sz="0" w:space="0" w:color="auto"/>
        <w:right w:val="none" w:sz="0" w:space="0" w:color="auto"/>
      </w:divBdr>
    </w:div>
    <w:div w:id="464352759">
      <w:bodyDiv w:val="1"/>
      <w:marLeft w:val="0"/>
      <w:marRight w:val="0"/>
      <w:marTop w:val="0"/>
      <w:marBottom w:val="0"/>
      <w:divBdr>
        <w:top w:val="none" w:sz="0" w:space="0" w:color="auto"/>
        <w:left w:val="none" w:sz="0" w:space="0" w:color="auto"/>
        <w:bottom w:val="none" w:sz="0" w:space="0" w:color="auto"/>
        <w:right w:val="none" w:sz="0" w:space="0" w:color="auto"/>
      </w:divBdr>
    </w:div>
    <w:div w:id="623854363">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283851314">
      <w:bodyDiv w:val="1"/>
      <w:marLeft w:val="0"/>
      <w:marRight w:val="0"/>
      <w:marTop w:val="0"/>
      <w:marBottom w:val="0"/>
      <w:divBdr>
        <w:top w:val="none" w:sz="0" w:space="0" w:color="auto"/>
        <w:left w:val="none" w:sz="0" w:space="0" w:color="auto"/>
        <w:bottom w:val="none" w:sz="0" w:space="0" w:color="auto"/>
        <w:right w:val="none" w:sz="0" w:space="0" w:color="auto"/>
      </w:divBdr>
    </w:div>
    <w:div w:id="1455447664">
      <w:bodyDiv w:val="1"/>
      <w:marLeft w:val="0"/>
      <w:marRight w:val="0"/>
      <w:marTop w:val="0"/>
      <w:marBottom w:val="0"/>
      <w:divBdr>
        <w:top w:val="none" w:sz="0" w:space="0" w:color="auto"/>
        <w:left w:val="none" w:sz="0" w:space="0" w:color="auto"/>
        <w:bottom w:val="none" w:sz="0" w:space="0" w:color="auto"/>
        <w:right w:val="none" w:sz="0" w:space="0" w:color="auto"/>
      </w:divBdr>
    </w:div>
    <w:div w:id="1483306879">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872066780">
      <w:bodyDiv w:val="1"/>
      <w:marLeft w:val="0"/>
      <w:marRight w:val="0"/>
      <w:marTop w:val="0"/>
      <w:marBottom w:val="0"/>
      <w:divBdr>
        <w:top w:val="none" w:sz="0" w:space="0" w:color="auto"/>
        <w:left w:val="none" w:sz="0" w:space="0" w:color="auto"/>
        <w:bottom w:val="none" w:sz="0" w:space="0" w:color="auto"/>
        <w:right w:val="none" w:sz="0" w:space="0" w:color="auto"/>
      </w:divBdr>
    </w:div>
    <w:div w:id="210102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ants.gov.au/" TargetMode="External"/><Relationship Id="rId18" Type="http://schemas.openxmlformats.org/officeDocument/2006/relationships/hyperlink" Target="mailto:support@communitygrants.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support@communitygrants.gov.au" TargetMode="External"/><Relationship Id="rId17" Type="http://schemas.openxmlformats.org/officeDocument/2006/relationships/hyperlink" Target="https://www.grants.gov.au/?event=public.hom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we.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upport@communitygrants.gov.a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upport@communitygrant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pport@communitygrants.gov.a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329C294FBF0438E5982FF4547111B" ma:contentTypeVersion="13" ma:contentTypeDescription="Create a new document." ma:contentTypeScope="" ma:versionID="7904d939f86cf1a963d69e1a433988d0">
  <xsd:schema xmlns:xsd="http://www.w3.org/2001/XMLSchema" xmlns:xs="http://www.w3.org/2001/XMLSchema" xmlns:p="http://schemas.microsoft.com/office/2006/metadata/properties" xmlns:ns3="7a780211-40da-463b-9070-9cb515f5a0ff" xmlns:ns4="c2bade49-953a-4989-804b-b4c697a86ccc" targetNamespace="http://schemas.microsoft.com/office/2006/metadata/properties" ma:root="true" ma:fieldsID="94f004e54fc73bdc06694c66ed91227e" ns3:_="" ns4:_="">
    <xsd:import namespace="7a780211-40da-463b-9070-9cb515f5a0ff"/>
    <xsd:import namespace="c2bade49-953a-4989-804b-b4c697a86c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80211-40da-463b-9070-9cb515f5a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ade49-953a-4989-804b-b4c697a86c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7F0193-33A3-4BD2-B5C2-554F9FCC28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ECD0C5-3C75-44BC-9935-62ACB5CAE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80211-40da-463b-9070-9cb515f5a0ff"/>
    <ds:schemaRef ds:uri="c2bade49-953a-4989-804b-b4c697a86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DCD61C-AC2A-4D56-B74B-928141D09567}">
  <ds:schemaRefs>
    <ds:schemaRef ds:uri="http://schemas.microsoft.com/sharepoint/v3/contenttype/forms"/>
  </ds:schemaRefs>
</ds:datastoreItem>
</file>

<file path=customXml/itemProps5.xml><?xml version="1.0" encoding="utf-8"?>
<ds:datastoreItem xmlns:ds="http://schemas.openxmlformats.org/officeDocument/2006/customXml" ds:itemID="{4BBDCFDE-2942-464A-9883-046C49D3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49</TotalTime>
  <Pages>11</Pages>
  <Words>3472</Words>
  <Characters>19793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23219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BISHOP, Carolyn</cp:lastModifiedBy>
  <cp:revision>4</cp:revision>
  <cp:lastPrinted>2020-10-29T06:01:00Z</cp:lastPrinted>
  <dcterms:created xsi:type="dcterms:W3CDTF">2020-12-22T04:27:00Z</dcterms:created>
  <dcterms:modified xsi:type="dcterms:W3CDTF">2020-12-22T05:22:00Z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0x010100C33329C294FBF0438E5982FF4547111B</vt:lpwstr>
  </property>
</Properties>
</file>