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5F4B" w14:textId="168164AC" w:rsidR="00CC1B7B" w:rsidRPr="001E725D" w:rsidRDefault="00FF67BF" w:rsidP="00CC1B7B">
      <w:pPr>
        <w:pStyle w:val="Title"/>
        <w:rPr>
          <w:rFonts w:ascii="Arial" w:hAnsi="Arial"/>
          <w:color w:val="auto"/>
          <w:sz w:val="44"/>
          <w:szCs w:val="44"/>
        </w:rPr>
      </w:pPr>
      <w:r w:rsidRPr="001E725D">
        <w:rPr>
          <w:sz w:val="44"/>
          <w:szCs w:val="44"/>
        </w:rPr>
        <w:t>Destination Australia</w:t>
      </w:r>
      <w:r w:rsidR="00382644" w:rsidRPr="001E725D">
        <w:rPr>
          <w:sz w:val="44"/>
          <w:szCs w:val="44"/>
        </w:rPr>
        <w:t xml:space="preserve"> 202</w:t>
      </w:r>
      <w:r w:rsidR="00542A39">
        <w:rPr>
          <w:sz w:val="44"/>
          <w:szCs w:val="44"/>
        </w:rPr>
        <w:t>2</w:t>
      </w:r>
      <w:r w:rsidR="00AF4788" w:rsidRPr="001E725D">
        <w:rPr>
          <w:sz w:val="44"/>
          <w:szCs w:val="44"/>
        </w:rPr>
        <w:t xml:space="preserve"> (Round </w:t>
      </w:r>
      <w:r w:rsidR="00542A39">
        <w:rPr>
          <w:sz w:val="44"/>
          <w:szCs w:val="44"/>
        </w:rPr>
        <w:t>3</w:t>
      </w:r>
      <w:r w:rsidR="00AF4788" w:rsidRPr="001E725D">
        <w:rPr>
          <w:sz w:val="44"/>
          <w:szCs w:val="44"/>
        </w:rPr>
        <w:t>)</w:t>
      </w:r>
    </w:p>
    <w:p w14:paraId="7571B608" w14:textId="77777777" w:rsidR="00CC1B7B" w:rsidRPr="001E725D" w:rsidRDefault="00CC1B7B" w:rsidP="00CC1B7B">
      <w:pPr>
        <w:rPr>
          <w:sz w:val="40"/>
          <w:szCs w:val="40"/>
        </w:rPr>
      </w:pPr>
      <w:r w:rsidRPr="001E725D">
        <w:rPr>
          <w:sz w:val="40"/>
          <w:szCs w:val="40"/>
        </w:rPr>
        <w:t xml:space="preserve">Questions and Answers </w:t>
      </w:r>
    </w:p>
    <w:p w14:paraId="5B8B060F" w14:textId="77777777" w:rsidR="00841CFE" w:rsidRPr="001E725D" w:rsidRDefault="00841CFE" w:rsidP="00841CFE">
      <w:pPr>
        <w:pStyle w:val="Heading2"/>
        <w:numPr>
          <w:ilvl w:val="0"/>
          <w:numId w:val="10"/>
        </w:numPr>
        <w:spacing w:before="0" w:after="140" w:line="280" w:lineRule="atLeast"/>
        <w:ind w:left="426" w:hanging="426"/>
        <w:rPr>
          <w:rFonts w:ascii="Arial" w:eastAsia="Calibri" w:hAnsi="Arial" w:cstheme="majorHAnsi"/>
          <w:color w:val="auto"/>
        </w:rPr>
      </w:pPr>
      <w:bookmarkStart w:id="0" w:name="_Hlk65568340"/>
      <w:r w:rsidRPr="001E725D">
        <w:rPr>
          <w:rFonts w:eastAsia="Calibri" w:cstheme="majorHAnsi"/>
        </w:rPr>
        <w:t>What is the aim of the Destination Australia Program?</w:t>
      </w:r>
    </w:p>
    <w:p w14:paraId="7F744FFA" w14:textId="6C488FC5" w:rsidR="00841CFE" w:rsidRPr="001E725D" w:rsidRDefault="00841CFE" w:rsidP="00841CFE">
      <w:pPr>
        <w:pStyle w:val="BodyText"/>
        <w:ind w:left="426"/>
        <w:rPr>
          <w:rFonts w:asciiTheme="majorHAnsi" w:hAnsiTheme="majorHAnsi" w:cstheme="majorHAnsi"/>
          <w:iCs/>
        </w:rPr>
      </w:pPr>
      <w:r w:rsidRPr="001E725D">
        <w:rPr>
          <w:rFonts w:asciiTheme="majorHAnsi" w:hAnsiTheme="majorHAnsi" w:cstheme="majorHAnsi"/>
        </w:rPr>
        <w:t>The aim of the Destination Australia Program i</w:t>
      </w:r>
      <w:r w:rsidRPr="001E725D">
        <w:rPr>
          <w:rFonts w:cs="Arial"/>
        </w:rPr>
        <w:t xml:space="preserve">s to </w:t>
      </w:r>
      <w:r w:rsidRPr="001E725D">
        <w:rPr>
          <w:rFonts w:asciiTheme="majorHAnsi" w:hAnsiTheme="majorHAnsi" w:cstheme="majorHAnsi"/>
          <w:iCs/>
        </w:rPr>
        <w:t xml:space="preserve">attract and support international and domestic students to study in regional Australia, to grow and develop regional Australian tertiary education providers and to offer students a </w:t>
      </w:r>
      <w:r w:rsidR="00A27351" w:rsidRPr="001E725D">
        <w:rPr>
          <w:rFonts w:asciiTheme="majorHAnsi" w:hAnsiTheme="majorHAnsi" w:cstheme="majorHAnsi"/>
          <w:iCs/>
        </w:rPr>
        <w:t>high-quality</w:t>
      </w:r>
      <w:r w:rsidRPr="001E725D">
        <w:rPr>
          <w:rFonts w:asciiTheme="majorHAnsi" w:hAnsiTheme="majorHAnsi" w:cstheme="majorHAnsi"/>
          <w:iCs/>
        </w:rPr>
        <w:t xml:space="preserve"> learning experience.</w:t>
      </w:r>
    </w:p>
    <w:p w14:paraId="495EBD21" w14:textId="77777777" w:rsidR="00841CFE" w:rsidRPr="00841CFE" w:rsidRDefault="00841CFE" w:rsidP="00841CFE">
      <w:pPr>
        <w:pStyle w:val="Heading2"/>
        <w:spacing w:before="0" w:after="140" w:line="276" w:lineRule="auto"/>
        <w:rPr>
          <w:rFonts w:ascii="Arial" w:hAnsi="Arial" w:cstheme="majorHAnsi"/>
          <w:b w:val="0"/>
          <w:sz w:val="32"/>
        </w:rPr>
      </w:pPr>
      <w:r w:rsidRPr="00841CFE">
        <w:rPr>
          <w:rFonts w:ascii="Arial" w:hAnsi="Arial" w:cstheme="majorHAnsi"/>
          <w:b w:val="0"/>
          <w:sz w:val="32"/>
        </w:rPr>
        <w:t>Application process</w:t>
      </w:r>
    </w:p>
    <w:p w14:paraId="528A7CEB"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How can I</w:t>
      </w:r>
      <w:r>
        <w:rPr>
          <w:rFonts w:ascii="Arial" w:eastAsia="Calibri" w:hAnsi="Arial" w:cstheme="majorHAnsi"/>
        </w:rPr>
        <w:t xml:space="preserve"> apply for Destination Australia funding</w:t>
      </w:r>
      <w:r w:rsidRPr="001F6D94">
        <w:rPr>
          <w:rFonts w:ascii="Arial" w:eastAsia="Calibri" w:hAnsi="Arial" w:cstheme="majorHAnsi"/>
        </w:rPr>
        <w:t>?</w:t>
      </w:r>
    </w:p>
    <w:p w14:paraId="25E72CB9" w14:textId="77777777" w:rsidR="00841CFE" w:rsidRPr="001F6D94" w:rsidRDefault="00841CFE" w:rsidP="00841CFE">
      <w:pPr>
        <w:spacing w:after="140"/>
        <w:ind w:left="426"/>
        <w:rPr>
          <w:rFonts w:cstheme="majorHAnsi"/>
          <w:lang w:eastAsia="en-AU"/>
        </w:rPr>
      </w:pPr>
      <w:r>
        <w:rPr>
          <w:rFonts w:cstheme="majorHAnsi"/>
          <w:lang w:eastAsia="en-AU"/>
        </w:rPr>
        <w:t xml:space="preserve">You must complete and submit the </w:t>
      </w:r>
      <w:r w:rsidRPr="001F6D94">
        <w:rPr>
          <w:rFonts w:cstheme="majorHAnsi"/>
          <w:lang w:eastAsia="en-AU"/>
        </w:rPr>
        <w:t>online application form. The Community Grants Hub will not provide application forms or accept application forms for this grant opportunity by fax, email or through Australia Post.</w:t>
      </w:r>
    </w:p>
    <w:p w14:paraId="30AB7785"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sz w:val="26"/>
        </w:rPr>
      </w:pPr>
      <w:r w:rsidRPr="001F6D94">
        <w:rPr>
          <w:rFonts w:ascii="Arial" w:eastAsia="Calibri" w:hAnsi="Arial" w:cstheme="majorHAnsi"/>
        </w:rPr>
        <w:t>What is the closing time and date for applications?</w:t>
      </w:r>
    </w:p>
    <w:p w14:paraId="3D14F9A4" w14:textId="1A8C30C4" w:rsidR="00841CFE" w:rsidRPr="001F6D94" w:rsidRDefault="00841CFE" w:rsidP="00841CFE">
      <w:pPr>
        <w:spacing w:after="140"/>
        <w:ind w:left="426"/>
        <w:rPr>
          <w:rFonts w:cstheme="majorHAnsi"/>
          <w:lang w:val="en" w:eastAsia="en-AU"/>
        </w:rPr>
      </w:pPr>
      <w:r w:rsidRPr="001F6D94">
        <w:rPr>
          <w:rFonts w:cstheme="majorHAnsi"/>
          <w:lang w:val="en" w:eastAsia="en-AU"/>
        </w:rPr>
        <w:t>The application form must be submitted by</w:t>
      </w:r>
      <w:r w:rsidRPr="001F6D94">
        <w:rPr>
          <w:rFonts w:cstheme="majorHAnsi"/>
          <w:b/>
          <w:lang w:val="en" w:eastAsia="en-AU"/>
        </w:rPr>
        <w:t xml:space="preserve"> </w:t>
      </w:r>
      <w:r w:rsidR="001863B4">
        <w:rPr>
          <w:rFonts w:cstheme="majorHAnsi"/>
          <w:lang w:val="en" w:eastAsia="en-AU"/>
        </w:rPr>
        <w:t>9</w:t>
      </w:r>
      <w:r w:rsidR="006B7DED">
        <w:rPr>
          <w:rFonts w:cstheme="majorHAnsi"/>
          <w:lang w:val="en" w:eastAsia="en-AU"/>
        </w:rPr>
        <w:t>:00 PM</w:t>
      </w:r>
      <w:r w:rsidRPr="001F6D94">
        <w:rPr>
          <w:rFonts w:cstheme="majorHAnsi"/>
          <w:lang w:val="en" w:eastAsia="en-AU"/>
        </w:rPr>
        <w:t xml:space="preserve"> AEST on</w:t>
      </w:r>
      <w:r w:rsidR="00B40B1F">
        <w:rPr>
          <w:rFonts w:cstheme="majorHAnsi"/>
          <w:lang w:val="en" w:eastAsia="en-AU"/>
        </w:rPr>
        <w:t xml:space="preserve"> Tuesday </w:t>
      </w:r>
      <w:r w:rsidR="00A579FA">
        <w:rPr>
          <w:rFonts w:cstheme="majorHAnsi"/>
          <w:lang w:val="en" w:eastAsia="en-AU"/>
        </w:rPr>
        <w:t xml:space="preserve">15 </w:t>
      </w:r>
      <w:r w:rsidR="00B40B1F">
        <w:rPr>
          <w:rFonts w:cstheme="majorHAnsi"/>
          <w:lang w:val="en" w:eastAsia="en-AU"/>
        </w:rPr>
        <w:t xml:space="preserve">June </w:t>
      </w:r>
      <w:r w:rsidRPr="001F6D94">
        <w:rPr>
          <w:rFonts w:cstheme="majorHAnsi"/>
          <w:lang w:val="en" w:eastAsia="en-AU"/>
        </w:rPr>
        <w:t>2021.</w:t>
      </w:r>
    </w:p>
    <w:p w14:paraId="68B9D7A0"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If I</w:t>
      </w:r>
      <w:r>
        <w:rPr>
          <w:rFonts w:ascii="Arial" w:eastAsia="Calibri" w:hAnsi="Arial" w:cstheme="majorHAnsi"/>
        </w:rPr>
        <w:t xml:space="preserve"> cannot </w:t>
      </w:r>
      <w:r w:rsidRPr="001F6D94">
        <w:rPr>
          <w:rFonts w:ascii="Arial" w:eastAsia="Calibri" w:hAnsi="Arial" w:cstheme="majorHAnsi"/>
        </w:rPr>
        <w:t>submit my application by the due time and date, can I be granted an extension?</w:t>
      </w:r>
    </w:p>
    <w:p w14:paraId="3C92072B" w14:textId="77777777" w:rsidR="00841CFE" w:rsidRPr="001F6D94" w:rsidRDefault="00841CFE" w:rsidP="00841CFE">
      <w:pPr>
        <w:spacing w:after="140"/>
        <w:ind w:left="426"/>
        <w:rPr>
          <w:rFonts w:cstheme="majorHAnsi"/>
          <w:b/>
          <w:color w:val="2C2A29"/>
          <w:lang w:val="en"/>
        </w:rPr>
      </w:pPr>
      <w:r w:rsidRPr="001F6D94">
        <w:rPr>
          <w:rFonts w:cstheme="majorHAnsi"/>
        </w:rPr>
        <w:t xml:space="preserve">No, extensions will not be given. </w:t>
      </w:r>
      <w:r w:rsidRPr="001F6D94">
        <w:rPr>
          <w:rFonts w:cstheme="majorHAnsi"/>
          <w:lang w:eastAsia="en-AU"/>
        </w:rPr>
        <w:t xml:space="preserve">If an application is late or the Community Grants Hub is requested to approve a lodgement after the closing date, the </w:t>
      </w:r>
      <w:hyperlink r:id="rId9" w:tooltip="late application policy" w:history="1">
        <w:r w:rsidRPr="001F6D94">
          <w:rPr>
            <w:rStyle w:val="Hyperlink"/>
            <w:rFonts w:cstheme="majorHAnsi"/>
            <w:color w:val="0000FF"/>
            <w:lang w:eastAsia="en-AU"/>
          </w:rPr>
          <w:t>late application policy</w:t>
        </w:r>
      </w:hyperlink>
      <w:r w:rsidRPr="001F6D94">
        <w:rPr>
          <w:rFonts w:cstheme="majorHAnsi"/>
          <w:lang w:eastAsia="en-AU"/>
        </w:rPr>
        <w:t xml:space="preserve"> available on the Community Grants Hub website will apply.</w:t>
      </w:r>
    </w:p>
    <w:p w14:paraId="4929C1A1"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How do I confirm my legal entity type?</w:t>
      </w:r>
    </w:p>
    <w:p w14:paraId="61F6227D" w14:textId="77777777" w:rsidR="00841CFE" w:rsidRPr="001F6D94" w:rsidRDefault="00841CFE" w:rsidP="00841CFE">
      <w:pPr>
        <w:pStyle w:val="BodyText"/>
        <w:ind w:left="426"/>
        <w:rPr>
          <w:rFonts w:cstheme="majorHAnsi"/>
        </w:rPr>
      </w:pPr>
      <w:r w:rsidRPr="001F6D94">
        <w:rPr>
          <w:rFonts w:cstheme="majorHAnsi"/>
        </w:rPr>
        <w:t>As part of entering into a grant agreement with the Commonwealth of Australia, an organisation may be asked to verify its legal entity status to make sure it has the legal capacity to enter into a legally binding agreement. This may involve a request for documentation, including proof of any name changes.</w:t>
      </w:r>
    </w:p>
    <w:p w14:paraId="3A960FEB" w14:textId="2858D25C" w:rsidR="00841CFE" w:rsidRPr="001F6D94" w:rsidRDefault="00841CFE" w:rsidP="00841CFE">
      <w:pPr>
        <w:pStyle w:val="BodyText"/>
        <w:ind w:left="426"/>
        <w:rPr>
          <w:rFonts w:cstheme="majorHAnsi"/>
        </w:rPr>
      </w:pPr>
      <w:r w:rsidRPr="001F6D94">
        <w:rPr>
          <w:rFonts w:cstheme="majorHAnsi"/>
        </w:rPr>
        <w:t xml:space="preserve">Information on the documentation which can confirm your legal entity status can be found at the </w:t>
      </w:r>
      <w:hyperlink r:id="rId10" w:history="1">
        <w:r w:rsidR="006B7DED">
          <w:rPr>
            <w:rStyle w:val="Hyperlink"/>
            <w:rFonts w:cstheme="majorHAnsi"/>
          </w:rPr>
          <w:t>Community Grants Hub website</w:t>
        </w:r>
      </w:hyperlink>
      <w:r w:rsidR="006B7DED">
        <w:rPr>
          <w:rStyle w:val="Hyperlink"/>
          <w:rFonts w:cstheme="majorHAnsi"/>
        </w:rPr>
        <w:t>.</w:t>
      </w:r>
    </w:p>
    <w:p w14:paraId="29ED838A" w14:textId="6A98F687" w:rsidR="00841CFE" w:rsidRPr="001F6D94" w:rsidRDefault="00841CFE" w:rsidP="00B1196F">
      <w:pPr>
        <w:pStyle w:val="Heading2"/>
        <w:numPr>
          <w:ilvl w:val="0"/>
          <w:numId w:val="10"/>
        </w:numPr>
        <w:spacing w:before="0" w:after="140" w:line="276" w:lineRule="auto"/>
        <w:rPr>
          <w:rFonts w:ascii="Arial" w:hAnsi="Arial"/>
          <w:sz w:val="26"/>
        </w:rPr>
      </w:pPr>
      <w:r w:rsidRPr="001F6D94">
        <w:rPr>
          <w:rFonts w:ascii="Arial" w:hAnsi="Arial"/>
        </w:rPr>
        <w:t xml:space="preserve">Can I have a list of eligible </w:t>
      </w:r>
      <w:r w:rsidR="007210AA">
        <w:rPr>
          <w:rFonts w:ascii="Arial" w:hAnsi="Arial"/>
        </w:rPr>
        <w:t xml:space="preserve">regional </w:t>
      </w:r>
      <w:r w:rsidRPr="001F6D94">
        <w:rPr>
          <w:rFonts w:ascii="Arial" w:hAnsi="Arial"/>
        </w:rPr>
        <w:t>tertiary education providers</w:t>
      </w:r>
      <w:r w:rsidRPr="001F6D94">
        <w:rPr>
          <w:rFonts w:ascii="Arial" w:hAnsi="Arial"/>
          <w:szCs w:val="24"/>
        </w:rPr>
        <w:t>?</w:t>
      </w:r>
    </w:p>
    <w:p w14:paraId="17DBFE75" w14:textId="5A866731" w:rsidR="00841CFE" w:rsidRPr="001F6D94" w:rsidRDefault="00841CFE" w:rsidP="00841CFE">
      <w:pPr>
        <w:ind w:left="426"/>
        <w:rPr>
          <w:rFonts w:cstheme="majorHAnsi"/>
          <w:color w:val="000000" w:themeColor="text1"/>
        </w:rPr>
      </w:pPr>
      <w:r w:rsidRPr="001F6D94">
        <w:rPr>
          <w:rFonts w:cstheme="majorHAnsi"/>
          <w:color w:val="000000" w:themeColor="text1"/>
        </w:rPr>
        <w:t xml:space="preserve">The Department of Education, Skills and Employment does not maintain a list of tertiary education providers located in regional Australia. Applicants are responsible for ensuring they are </w:t>
      </w:r>
      <w:hyperlink r:id="rId11" w:history="1">
        <w:r w:rsidRPr="001863B4">
          <w:rPr>
            <w:rStyle w:val="Hyperlink"/>
            <w:rFonts w:cstheme="majorHAnsi"/>
          </w:rPr>
          <w:t>eligible</w:t>
        </w:r>
      </w:hyperlink>
      <w:r w:rsidRPr="001F6D94">
        <w:rPr>
          <w:rFonts w:cstheme="majorHAnsi"/>
          <w:color w:val="000000" w:themeColor="text1"/>
        </w:rPr>
        <w:t xml:space="preserve"> to apply for this grant opportunity.</w:t>
      </w:r>
    </w:p>
    <w:p w14:paraId="650F0742" w14:textId="77777777" w:rsidR="00841CFE" w:rsidRPr="001F6D94" w:rsidRDefault="00841CFE" w:rsidP="00841CFE">
      <w:pPr>
        <w:pStyle w:val="Heading2"/>
        <w:numPr>
          <w:ilvl w:val="0"/>
          <w:numId w:val="10"/>
        </w:numPr>
        <w:spacing w:before="0" w:after="140" w:line="276" w:lineRule="auto"/>
        <w:ind w:left="426" w:hanging="426"/>
        <w:rPr>
          <w:rFonts w:ascii="Arial" w:hAnsi="Arial"/>
          <w:lang w:eastAsia="en-AU"/>
        </w:rPr>
      </w:pPr>
      <w:r w:rsidRPr="001F6D94">
        <w:rPr>
          <w:rFonts w:ascii="Arial" w:hAnsi="Arial"/>
          <w:lang w:eastAsia="en-AU"/>
        </w:rPr>
        <w:lastRenderedPageBreak/>
        <w:t>If the online application cannot validate my address</w:t>
      </w:r>
      <w:r>
        <w:rPr>
          <w:rFonts w:ascii="Arial" w:hAnsi="Arial"/>
          <w:lang w:eastAsia="en-AU"/>
        </w:rPr>
        <w:t>,</w:t>
      </w:r>
      <w:r w:rsidRPr="001F6D94">
        <w:rPr>
          <w:rFonts w:ascii="Arial" w:hAnsi="Arial"/>
          <w:lang w:eastAsia="en-AU"/>
        </w:rPr>
        <w:t xml:space="preserve"> will the address be accepted?</w:t>
      </w:r>
    </w:p>
    <w:p w14:paraId="0C965EA0" w14:textId="77777777" w:rsidR="00841CFE" w:rsidRPr="001F6D94" w:rsidRDefault="00841CFE" w:rsidP="00841CFE">
      <w:pPr>
        <w:autoSpaceDE w:val="0"/>
        <w:autoSpaceDN w:val="0"/>
        <w:spacing w:after="120"/>
        <w:ind w:left="426"/>
        <w:rPr>
          <w:rFonts w:cstheme="majorHAnsi"/>
          <w:color w:val="000000" w:themeColor="text1"/>
          <w:szCs w:val="20"/>
        </w:rPr>
      </w:pPr>
      <w:r w:rsidRPr="001F6D94">
        <w:rPr>
          <w:rFonts w:cstheme="majorHAnsi"/>
          <w:color w:val="000000" w:themeColor="text1"/>
          <w:szCs w:val="20"/>
        </w:rPr>
        <w:t>All eligible addresses (as per ABS definitions) will be considered, even if the online application cannot validate the address.</w:t>
      </w:r>
    </w:p>
    <w:p w14:paraId="7FB8C5F6"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How many campus locations can I apply for?</w:t>
      </w:r>
    </w:p>
    <w:p w14:paraId="6E8F6427" w14:textId="5D18050F" w:rsidR="00841CFE" w:rsidRPr="001F6D94" w:rsidRDefault="00841CFE" w:rsidP="00841CFE">
      <w:pPr>
        <w:ind w:left="426"/>
        <w:rPr>
          <w:rFonts w:eastAsia="Times New Roman" w:cs="Arial"/>
        </w:rPr>
      </w:pPr>
      <w:r w:rsidRPr="001F6D94">
        <w:rPr>
          <w:rFonts w:eastAsia="Times New Roman" w:cs="Arial"/>
        </w:rPr>
        <w:t>You can apply for up to 20 eligible campus locations per provider or consortium arrangement</w:t>
      </w:r>
      <w:r>
        <w:rPr>
          <w:rFonts w:eastAsia="Times New Roman" w:cs="Arial"/>
        </w:rPr>
        <w:t xml:space="preserve"> (Grant Opportunity Guidelines, section 4.1)</w:t>
      </w:r>
      <w:r w:rsidRPr="001F6D94">
        <w:rPr>
          <w:rFonts w:eastAsia="Times New Roman" w:cs="Arial"/>
        </w:rPr>
        <w:t xml:space="preserve">. If you are applying for scholarships for more than 10 campuses, </w:t>
      </w:r>
      <w:r w:rsidR="006B7DED">
        <w:rPr>
          <w:rFonts w:eastAsia="Times New Roman" w:cs="Arial"/>
        </w:rPr>
        <w:t>2</w:t>
      </w:r>
      <w:r w:rsidR="006B7DED" w:rsidRPr="001F6D94">
        <w:rPr>
          <w:rFonts w:eastAsia="Times New Roman" w:cs="Arial"/>
        </w:rPr>
        <w:t xml:space="preserve"> </w:t>
      </w:r>
      <w:r w:rsidRPr="001F6D94">
        <w:rPr>
          <w:rFonts w:eastAsia="Times New Roman" w:cs="Arial"/>
        </w:rPr>
        <w:t>application forms must be used to submit information for all campuses as the online form can only accommodate 10 campuses maximum.</w:t>
      </w:r>
    </w:p>
    <w:p w14:paraId="0E021AB1" w14:textId="4BEC6815"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 xml:space="preserve">How do I submit a second application if I am applying for more than </w:t>
      </w:r>
      <w:r w:rsidR="006B7DED" w:rsidRPr="001F6D94">
        <w:rPr>
          <w:rFonts w:ascii="Arial" w:eastAsia="Calibri" w:hAnsi="Arial" w:cstheme="majorHAnsi"/>
        </w:rPr>
        <w:t>10</w:t>
      </w:r>
      <w:r w:rsidR="006B7DED">
        <w:rPr>
          <w:rFonts w:ascii="Arial" w:eastAsia="Calibri" w:hAnsi="Arial" w:cstheme="majorHAnsi"/>
        </w:rPr>
        <w:t> </w:t>
      </w:r>
      <w:r w:rsidRPr="001F6D94">
        <w:rPr>
          <w:rFonts w:ascii="Arial" w:eastAsia="Calibri" w:hAnsi="Arial" w:cstheme="majorHAnsi"/>
        </w:rPr>
        <w:t>campuses?</w:t>
      </w:r>
    </w:p>
    <w:p w14:paraId="01C6A8C9" w14:textId="77777777" w:rsidR="00841CFE" w:rsidRPr="001F6D94" w:rsidRDefault="00841CFE" w:rsidP="00841CFE">
      <w:pPr>
        <w:pStyle w:val="ListParagraph"/>
        <w:spacing w:line="276" w:lineRule="auto"/>
        <w:ind w:left="360"/>
        <w:rPr>
          <w:rFonts w:cs="Arial"/>
          <w:sz w:val="22"/>
          <w:szCs w:val="22"/>
        </w:rPr>
      </w:pPr>
      <w:r w:rsidRPr="001F6D94">
        <w:rPr>
          <w:rFonts w:cs="Arial"/>
          <w:sz w:val="22"/>
          <w:szCs w:val="22"/>
        </w:rPr>
        <w:t>To complete a second application for additional campuses (over 10), please follow the steps outlined below.</w:t>
      </w:r>
    </w:p>
    <w:p w14:paraId="3D45C823" w14:textId="77777777" w:rsidR="00841CFE" w:rsidRPr="001F6D94" w:rsidRDefault="00841CFE" w:rsidP="00841CFE">
      <w:pPr>
        <w:pStyle w:val="ListParagraph"/>
        <w:numPr>
          <w:ilvl w:val="0"/>
          <w:numId w:val="18"/>
        </w:numPr>
        <w:spacing w:line="276" w:lineRule="auto"/>
        <w:rPr>
          <w:rFonts w:cs="Arial"/>
          <w:sz w:val="22"/>
          <w:szCs w:val="22"/>
        </w:rPr>
      </w:pPr>
      <w:r w:rsidRPr="001F6D94">
        <w:rPr>
          <w:rFonts w:cs="Arial"/>
          <w:sz w:val="22"/>
          <w:szCs w:val="22"/>
        </w:rPr>
        <w:t>You will need to submit your first application, making note of your submission reference.</w:t>
      </w:r>
    </w:p>
    <w:p w14:paraId="391BCB7F" w14:textId="77777777" w:rsidR="00841CFE" w:rsidRPr="001F6D94" w:rsidRDefault="00841CFE" w:rsidP="00841CFE">
      <w:pPr>
        <w:pStyle w:val="ListParagraph"/>
        <w:numPr>
          <w:ilvl w:val="0"/>
          <w:numId w:val="18"/>
        </w:numPr>
        <w:spacing w:line="276" w:lineRule="auto"/>
        <w:rPr>
          <w:rFonts w:cs="Arial"/>
          <w:sz w:val="22"/>
          <w:szCs w:val="22"/>
        </w:rPr>
      </w:pPr>
      <w:r w:rsidRPr="001F6D94">
        <w:rPr>
          <w:rFonts w:cs="Arial"/>
          <w:sz w:val="22"/>
          <w:szCs w:val="22"/>
        </w:rPr>
        <w:t xml:space="preserve">Immediately after submitting the first application, select ‘Start new form prefilled with the same data’. A new form will load, completed with all the information provided in your first application. </w:t>
      </w:r>
    </w:p>
    <w:p w14:paraId="7A5A9D60" w14:textId="77777777" w:rsidR="00841CFE" w:rsidRPr="001F6D94" w:rsidRDefault="00841CFE" w:rsidP="00841CFE">
      <w:pPr>
        <w:pStyle w:val="ListParagraph"/>
        <w:numPr>
          <w:ilvl w:val="0"/>
          <w:numId w:val="18"/>
        </w:numPr>
        <w:spacing w:line="276" w:lineRule="auto"/>
        <w:rPr>
          <w:rFonts w:cs="Arial"/>
          <w:sz w:val="22"/>
          <w:szCs w:val="22"/>
        </w:rPr>
      </w:pPr>
      <w:r w:rsidRPr="001F6D94">
        <w:rPr>
          <w:rFonts w:cs="Arial"/>
          <w:sz w:val="22"/>
          <w:szCs w:val="22"/>
        </w:rPr>
        <w:t xml:space="preserve">Navigate to the campus information tab. </w:t>
      </w:r>
    </w:p>
    <w:p w14:paraId="01546EB4" w14:textId="77777777" w:rsidR="00841CFE" w:rsidRPr="001F6D94" w:rsidRDefault="00841CFE" w:rsidP="00841CFE">
      <w:pPr>
        <w:pStyle w:val="ListParagraph"/>
        <w:numPr>
          <w:ilvl w:val="0"/>
          <w:numId w:val="18"/>
        </w:numPr>
        <w:spacing w:line="276" w:lineRule="auto"/>
        <w:rPr>
          <w:rFonts w:cs="Arial"/>
          <w:sz w:val="22"/>
          <w:szCs w:val="22"/>
        </w:rPr>
      </w:pPr>
      <w:r w:rsidRPr="001F6D94">
        <w:rPr>
          <w:rFonts w:cs="Arial"/>
          <w:sz w:val="22"/>
          <w:szCs w:val="22"/>
        </w:rPr>
        <w:t>Your response to ‘</w:t>
      </w:r>
      <w:r w:rsidRPr="001F6D94">
        <w:rPr>
          <w:rFonts w:cs="Arial"/>
          <w:i/>
          <w:sz w:val="22"/>
          <w:szCs w:val="22"/>
        </w:rPr>
        <w:t>If applying for more than 10 Campuses, is this your first application submission?’</w:t>
      </w:r>
      <w:r w:rsidRPr="001F6D94">
        <w:rPr>
          <w:rFonts w:cs="Arial"/>
          <w:sz w:val="22"/>
          <w:szCs w:val="22"/>
        </w:rPr>
        <w:t xml:space="preserve"> should now be changed to ‘No’.</w:t>
      </w:r>
    </w:p>
    <w:p w14:paraId="1F27A890" w14:textId="77777777" w:rsidR="00841CFE" w:rsidRPr="001F6D94" w:rsidRDefault="00841CFE" w:rsidP="00841CFE">
      <w:pPr>
        <w:pStyle w:val="ListParagraph"/>
        <w:numPr>
          <w:ilvl w:val="0"/>
          <w:numId w:val="18"/>
        </w:numPr>
        <w:spacing w:line="276" w:lineRule="auto"/>
        <w:rPr>
          <w:rFonts w:cs="Arial"/>
          <w:sz w:val="22"/>
          <w:szCs w:val="22"/>
        </w:rPr>
      </w:pPr>
      <w:r w:rsidRPr="001F6D94">
        <w:rPr>
          <w:rFonts w:cs="Arial"/>
          <w:sz w:val="22"/>
          <w:szCs w:val="22"/>
        </w:rPr>
        <w:t>Provide the submission reference from your first application in the text box that is now available to complete.</w:t>
      </w:r>
    </w:p>
    <w:p w14:paraId="4F7A667E" w14:textId="77777777" w:rsidR="00841CFE" w:rsidRPr="001F6D94" w:rsidRDefault="00841CFE" w:rsidP="00841CFE">
      <w:pPr>
        <w:pStyle w:val="ListParagraph"/>
        <w:numPr>
          <w:ilvl w:val="0"/>
          <w:numId w:val="18"/>
        </w:numPr>
        <w:spacing w:line="276" w:lineRule="auto"/>
        <w:rPr>
          <w:rFonts w:cs="Arial"/>
          <w:sz w:val="22"/>
          <w:szCs w:val="22"/>
        </w:rPr>
      </w:pPr>
      <w:r w:rsidRPr="001F6D94">
        <w:rPr>
          <w:rFonts w:cs="Arial"/>
          <w:sz w:val="22"/>
          <w:szCs w:val="22"/>
        </w:rPr>
        <w:t>Continue to Campus Details Page 1 and clear all campus information.</w:t>
      </w:r>
    </w:p>
    <w:p w14:paraId="25BACE5F" w14:textId="77777777" w:rsidR="00841CFE" w:rsidRPr="001F6D94" w:rsidRDefault="00841CFE" w:rsidP="00841CFE">
      <w:pPr>
        <w:pStyle w:val="ListParagraph"/>
        <w:numPr>
          <w:ilvl w:val="0"/>
          <w:numId w:val="18"/>
        </w:numPr>
        <w:spacing w:line="276" w:lineRule="auto"/>
        <w:rPr>
          <w:rFonts w:cs="Arial"/>
          <w:sz w:val="22"/>
          <w:szCs w:val="22"/>
        </w:rPr>
      </w:pPr>
      <w:r w:rsidRPr="001F6D94">
        <w:rPr>
          <w:rFonts w:cs="Arial"/>
          <w:sz w:val="22"/>
          <w:szCs w:val="22"/>
        </w:rPr>
        <w:t>Input new campus information.</w:t>
      </w:r>
    </w:p>
    <w:p w14:paraId="0A8BE589" w14:textId="77777777" w:rsidR="00841CFE" w:rsidRPr="001F6D94" w:rsidRDefault="00841CFE" w:rsidP="00841CFE">
      <w:pPr>
        <w:pStyle w:val="ListParagraph"/>
        <w:numPr>
          <w:ilvl w:val="0"/>
          <w:numId w:val="18"/>
        </w:numPr>
        <w:spacing w:line="276" w:lineRule="auto"/>
        <w:rPr>
          <w:rFonts w:cs="Arial"/>
          <w:sz w:val="22"/>
          <w:szCs w:val="22"/>
        </w:rPr>
      </w:pPr>
      <w:r w:rsidRPr="001F6D94">
        <w:rPr>
          <w:rFonts w:cs="Arial"/>
          <w:sz w:val="22"/>
          <w:szCs w:val="22"/>
        </w:rPr>
        <w:t>Review the Consolidated Campus Funding table to ensure all new information has been captured.</w:t>
      </w:r>
    </w:p>
    <w:p w14:paraId="33F17623" w14:textId="77777777" w:rsidR="00841CFE" w:rsidRPr="001F6D94" w:rsidRDefault="00841CFE" w:rsidP="00841CFE">
      <w:pPr>
        <w:ind w:left="426"/>
        <w:rPr>
          <w:rFonts w:cs="Arial"/>
        </w:rPr>
      </w:pPr>
      <w:r w:rsidRPr="001F6D94">
        <w:rPr>
          <w:rFonts w:cs="Arial"/>
        </w:rPr>
        <w:t>Please note, you should not change any information, other than campus details, in your second application form. Only responses provided in your first application will be considered.</w:t>
      </w:r>
    </w:p>
    <w:p w14:paraId="514DED7D" w14:textId="2F16472F" w:rsidR="00841CFE" w:rsidRPr="001F6D94" w:rsidRDefault="00841CFE" w:rsidP="00841CFE">
      <w:pPr>
        <w:pStyle w:val="Heading2"/>
        <w:numPr>
          <w:ilvl w:val="0"/>
          <w:numId w:val="10"/>
        </w:numPr>
        <w:spacing w:before="0" w:after="140" w:line="276" w:lineRule="auto"/>
        <w:ind w:left="426" w:hanging="426"/>
        <w:rPr>
          <w:rFonts w:ascii="Arial" w:hAnsi="Arial" w:cstheme="majorHAnsi"/>
        </w:rPr>
      </w:pPr>
      <w:r w:rsidRPr="001F6D94">
        <w:rPr>
          <w:rFonts w:ascii="Arial" w:hAnsi="Arial" w:cstheme="majorHAnsi"/>
        </w:rPr>
        <w:t>What attachments do I need to include</w:t>
      </w:r>
      <w:r>
        <w:rPr>
          <w:rFonts w:ascii="Arial" w:hAnsi="Arial" w:cstheme="majorHAnsi"/>
        </w:rPr>
        <w:t xml:space="preserve"> with </w:t>
      </w:r>
      <w:r w:rsidRPr="001F6D94">
        <w:rPr>
          <w:rFonts w:ascii="Arial" w:hAnsi="Arial" w:cstheme="majorHAnsi"/>
        </w:rPr>
        <w:t>my application</w:t>
      </w:r>
      <w:r w:rsidR="001863B4">
        <w:rPr>
          <w:rFonts w:ascii="Arial" w:hAnsi="Arial" w:cstheme="majorHAnsi"/>
        </w:rPr>
        <w:t xml:space="preserve"> if I am submitting a consortium</w:t>
      </w:r>
      <w:r w:rsidR="00B02CA9">
        <w:rPr>
          <w:rFonts w:ascii="Arial" w:hAnsi="Arial" w:cstheme="majorHAnsi"/>
        </w:rPr>
        <w:t xml:space="preserve"> application</w:t>
      </w:r>
      <w:r w:rsidRPr="001F6D94">
        <w:rPr>
          <w:rFonts w:ascii="Arial" w:hAnsi="Arial" w:cstheme="majorHAnsi"/>
        </w:rPr>
        <w:t>?</w:t>
      </w:r>
    </w:p>
    <w:p w14:paraId="359CA6E8" w14:textId="77777777" w:rsidR="00841CFE" w:rsidRPr="001F6D94" w:rsidRDefault="00841CFE" w:rsidP="00841CFE">
      <w:pPr>
        <w:pStyle w:val="BodyText"/>
        <w:ind w:left="426"/>
        <w:rPr>
          <w:rFonts w:cstheme="majorHAnsi"/>
        </w:rPr>
      </w:pPr>
      <w:r w:rsidRPr="001F6D94">
        <w:rPr>
          <w:rFonts w:cstheme="majorHAnsi"/>
        </w:rPr>
        <w:t>If applying as a consortium</w:t>
      </w:r>
      <w:r>
        <w:rPr>
          <w:rFonts w:cstheme="majorHAnsi"/>
        </w:rPr>
        <w:t xml:space="preserve"> (Grant Opportunity Guidelines, section 7.2)</w:t>
      </w:r>
      <w:r w:rsidRPr="001F6D94">
        <w:rPr>
          <w:rFonts w:cstheme="majorHAnsi"/>
        </w:rPr>
        <w:t xml:space="preserve">, you will need to complete and attach the mandatory template provided with the grant opportunity documents. </w:t>
      </w:r>
    </w:p>
    <w:p w14:paraId="55BBEB98" w14:textId="77777777" w:rsidR="00841CFE" w:rsidRPr="001F6D94" w:rsidRDefault="00841CFE" w:rsidP="00841CFE">
      <w:pPr>
        <w:pStyle w:val="Heading2"/>
        <w:numPr>
          <w:ilvl w:val="0"/>
          <w:numId w:val="10"/>
        </w:numPr>
        <w:spacing w:before="0" w:after="140" w:line="276" w:lineRule="auto"/>
        <w:ind w:left="426" w:hanging="426"/>
        <w:rPr>
          <w:rFonts w:ascii="Arial" w:hAnsi="Arial"/>
          <w:lang w:eastAsia="en-AU"/>
        </w:rPr>
      </w:pPr>
      <w:r w:rsidRPr="001F6D94">
        <w:rPr>
          <w:rFonts w:ascii="Arial" w:hAnsi="Arial"/>
          <w:lang w:eastAsia="en-AU"/>
        </w:rPr>
        <w:t>Do I need to specify the number of scholarships I</w:t>
      </w:r>
      <w:r>
        <w:rPr>
          <w:rFonts w:ascii="Arial" w:hAnsi="Arial"/>
          <w:lang w:eastAsia="en-AU"/>
        </w:rPr>
        <w:t xml:space="preserve"> propose </w:t>
      </w:r>
      <w:r w:rsidRPr="001F6D94">
        <w:rPr>
          <w:rFonts w:ascii="Arial" w:hAnsi="Arial"/>
          <w:lang w:eastAsia="en-AU"/>
        </w:rPr>
        <w:t xml:space="preserve">to allocate to international students and </w:t>
      </w:r>
      <w:r w:rsidRPr="001F6D94">
        <w:rPr>
          <w:rFonts w:ascii="Arial" w:hAnsi="Arial" w:cstheme="majorHAnsi"/>
          <w:szCs w:val="24"/>
        </w:rPr>
        <w:t>domestic</w:t>
      </w:r>
      <w:r w:rsidRPr="001F6D94">
        <w:rPr>
          <w:rFonts w:ascii="Arial" w:hAnsi="Arial"/>
          <w:lang w:eastAsia="en-AU"/>
        </w:rPr>
        <w:t xml:space="preserve"> students at the point of application?</w:t>
      </w:r>
    </w:p>
    <w:p w14:paraId="254A13D7" w14:textId="47D4F06C" w:rsidR="00841CFE" w:rsidRPr="001F6D94" w:rsidRDefault="00841CFE" w:rsidP="00841CFE">
      <w:pPr>
        <w:autoSpaceDE w:val="0"/>
        <w:autoSpaceDN w:val="0"/>
        <w:spacing w:after="120"/>
        <w:ind w:left="426"/>
        <w:rPr>
          <w:lang w:eastAsia="en-AU"/>
        </w:rPr>
      </w:pPr>
      <w:r w:rsidRPr="001F6D94">
        <w:rPr>
          <w:rFonts w:eastAsia="Calibri" w:cstheme="majorHAnsi"/>
        </w:rPr>
        <w:t xml:space="preserve">Yes. The application form requires you </w:t>
      </w:r>
      <w:r w:rsidR="00B02CA9">
        <w:rPr>
          <w:rFonts w:eastAsia="Calibri" w:cstheme="majorHAnsi"/>
        </w:rPr>
        <w:t>to nominate the number of scholarships you will award to domestic and international students.</w:t>
      </w:r>
    </w:p>
    <w:p w14:paraId="25E7EEFB" w14:textId="77777777" w:rsidR="00841CFE" w:rsidRPr="001F6D94" w:rsidRDefault="00841CFE" w:rsidP="00841CFE">
      <w:pPr>
        <w:pStyle w:val="Heading2"/>
        <w:numPr>
          <w:ilvl w:val="0"/>
          <w:numId w:val="10"/>
        </w:numPr>
        <w:spacing w:before="0" w:after="140" w:line="276" w:lineRule="auto"/>
        <w:ind w:left="426" w:hanging="426"/>
        <w:rPr>
          <w:rFonts w:ascii="Arial" w:hAnsi="Arial" w:cstheme="majorHAnsi"/>
          <w:szCs w:val="24"/>
          <w:lang w:eastAsia="en-AU"/>
        </w:rPr>
      </w:pPr>
      <w:r w:rsidRPr="001F6D94">
        <w:rPr>
          <w:rFonts w:ascii="Arial" w:hAnsi="Arial" w:cstheme="majorHAnsi"/>
          <w:szCs w:val="24"/>
          <w:lang w:eastAsia="en-AU"/>
        </w:rPr>
        <w:lastRenderedPageBreak/>
        <w:t>How many scholarships can I apply for?</w:t>
      </w:r>
    </w:p>
    <w:p w14:paraId="4DC7DEC9" w14:textId="234676D8" w:rsidR="00841CFE" w:rsidRPr="001F6D94" w:rsidRDefault="00841CFE" w:rsidP="00841CFE">
      <w:pPr>
        <w:autoSpaceDE w:val="0"/>
        <w:autoSpaceDN w:val="0"/>
        <w:spacing w:after="120"/>
        <w:ind w:left="426"/>
        <w:rPr>
          <w:lang w:eastAsia="en-AU"/>
        </w:rPr>
      </w:pPr>
      <w:r w:rsidRPr="001F6D94">
        <w:rPr>
          <w:lang w:eastAsia="en-AU"/>
        </w:rPr>
        <w:t>There is no restriction on how many scholarships providers can include in their application. However, providers should be mindful of the number of scholarships they can successfully deliver</w:t>
      </w:r>
      <w:r w:rsidR="00A075F6">
        <w:rPr>
          <w:lang w:eastAsia="en-AU"/>
        </w:rPr>
        <w:t xml:space="preserve"> and the number of scholarships available</w:t>
      </w:r>
      <w:r w:rsidRPr="001F6D94">
        <w:rPr>
          <w:lang w:eastAsia="en-AU"/>
        </w:rPr>
        <w:t>.</w:t>
      </w:r>
    </w:p>
    <w:p w14:paraId="07BAA96D" w14:textId="77777777" w:rsidR="00841CFE" w:rsidRPr="001F6D94" w:rsidRDefault="00841CFE" w:rsidP="00841CFE">
      <w:pPr>
        <w:pStyle w:val="Heading2"/>
        <w:numPr>
          <w:ilvl w:val="0"/>
          <w:numId w:val="10"/>
        </w:numPr>
        <w:spacing w:before="0" w:after="140" w:line="276" w:lineRule="auto"/>
        <w:ind w:left="426" w:hanging="426"/>
        <w:rPr>
          <w:rFonts w:ascii="Arial" w:hAnsi="Arial" w:cstheme="majorHAnsi"/>
          <w:szCs w:val="24"/>
          <w:lang w:eastAsia="en-AU"/>
        </w:rPr>
      </w:pPr>
      <w:r w:rsidRPr="001F6D94">
        <w:rPr>
          <w:rFonts w:ascii="Arial" w:hAnsi="Arial" w:cstheme="majorHAnsi"/>
          <w:szCs w:val="24"/>
          <w:lang w:eastAsia="en-AU"/>
        </w:rPr>
        <w:t>Do I submit one application per student or one application per campus?</w:t>
      </w:r>
    </w:p>
    <w:p w14:paraId="1F027D5C" w14:textId="77777777" w:rsidR="00841CFE" w:rsidRDefault="00841CFE" w:rsidP="00841CFE">
      <w:pPr>
        <w:autoSpaceDE w:val="0"/>
        <w:autoSpaceDN w:val="0"/>
        <w:spacing w:after="120"/>
        <w:ind w:left="426"/>
        <w:rPr>
          <w:rFonts w:eastAsia="Calibri" w:cstheme="majorHAnsi"/>
        </w:rPr>
      </w:pPr>
      <w:r>
        <w:rPr>
          <w:rFonts w:eastAsia="Calibri" w:cstheme="majorHAnsi"/>
        </w:rPr>
        <w:t xml:space="preserve">Submit </w:t>
      </w:r>
      <w:r w:rsidRPr="001F6D94">
        <w:rPr>
          <w:rFonts w:eastAsia="Calibri" w:cstheme="majorHAnsi"/>
        </w:rPr>
        <w:t>one application for all scholarships you</w:t>
      </w:r>
      <w:r>
        <w:rPr>
          <w:rFonts w:eastAsia="Calibri" w:cstheme="majorHAnsi"/>
        </w:rPr>
        <w:t xml:space="preserve"> propose </w:t>
      </w:r>
      <w:r w:rsidRPr="001F6D94">
        <w:rPr>
          <w:rFonts w:eastAsia="Calibri" w:cstheme="majorHAnsi"/>
        </w:rPr>
        <w:t>to offer at all campuses. The application form includes space to apply for up to 10 campuses. If applying for more than 10 campuses, please complete a second application form to provide the additional campus information.</w:t>
      </w:r>
    </w:p>
    <w:p w14:paraId="3D900631" w14:textId="77777777" w:rsidR="00841CFE" w:rsidRPr="001F6D94" w:rsidRDefault="00841CFE" w:rsidP="00841CFE">
      <w:pPr>
        <w:pStyle w:val="Heading2"/>
        <w:numPr>
          <w:ilvl w:val="0"/>
          <w:numId w:val="10"/>
        </w:numPr>
        <w:spacing w:before="0" w:after="140" w:line="276" w:lineRule="auto"/>
        <w:ind w:left="426" w:hanging="426"/>
        <w:rPr>
          <w:rFonts w:ascii="Arial" w:hAnsi="Arial" w:cstheme="majorHAnsi"/>
          <w:b w:val="0"/>
          <w:szCs w:val="24"/>
        </w:rPr>
      </w:pPr>
      <w:r w:rsidRPr="001F6D94">
        <w:rPr>
          <w:rFonts w:ascii="Arial" w:hAnsi="Arial" w:cstheme="majorHAnsi"/>
          <w:szCs w:val="24"/>
        </w:rPr>
        <w:t>If I have multiple campuses, am I disqualified if I submit an application for each campus?</w:t>
      </w:r>
    </w:p>
    <w:p w14:paraId="594A627C" w14:textId="77777777" w:rsidR="00841CFE" w:rsidRPr="001F6D94" w:rsidRDefault="00841CFE" w:rsidP="00841CFE">
      <w:pPr>
        <w:autoSpaceDE w:val="0"/>
        <w:autoSpaceDN w:val="0"/>
        <w:spacing w:after="120"/>
        <w:ind w:left="426"/>
        <w:rPr>
          <w:lang w:eastAsia="en-AU"/>
        </w:rPr>
      </w:pPr>
      <w:r w:rsidRPr="001F6D94">
        <w:rPr>
          <w:lang w:eastAsia="en-AU"/>
        </w:rPr>
        <w:t xml:space="preserve">Only one application per tertiary education provider will be assessed, whether submitted as </w:t>
      </w:r>
      <w:proofErr w:type="gramStart"/>
      <w:r w:rsidRPr="001F6D94">
        <w:rPr>
          <w:lang w:eastAsia="en-AU"/>
        </w:rPr>
        <w:t>an</w:t>
      </w:r>
      <w:proofErr w:type="gramEnd"/>
      <w:r w:rsidRPr="001F6D94">
        <w:rPr>
          <w:lang w:eastAsia="en-AU"/>
        </w:rPr>
        <w:t xml:space="preserve"> application from an individual provider or as a member of a consortium.</w:t>
      </w:r>
    </w:p>
    <w:p w14:paraId="15B12357" w14:textId="77777777" w:rsidR="00841CFE" w:rsidRPr="001F6D94" w:rsidRDefault="00841CFE" w:rsidP="00841CFE">
      <w:pPr>
        <w:autoSpaceDE w:val="0"/>
        <w:autoSpaceDN w:val="0"/>
        <w:spacing w:after="120"/>
        <w:ind w:left="426"/>
        <w:rPr>
          <w:lang w:eastAsia="en-AU"/>
        </w:rPr>
      </w:pPr>
      <w:r w:rsidRPr="001F6D94">
        <w:rPr>
          <w:lang w:eastAsia="en-AU"/>
        </w:rPr>
        <w:t xml:space="preserve">You can apply for up to 20 campuses in one application. </w:t>
      </w:r>
    </w:p>
    <w:p w14:paraId="47A5707C"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Do word limits apply to selection criteria?</w:t>
      </w:r>
    </w:p>
    <w:p w14:paraId="30D92182" w14:textId="77777777" w:rsidR="00841CFE" w:rsidRPr="001F6D94" w:rsidRDefault="00841CFE" w:rsidP="00841CFE">
      <w:pPr>
        <w:pStyle w:val="BodyText"/>
        <w:ind w:left="426"/>
        <w:rPr>
          <w:b/>
          <w:bCs/>
        </w:rPr>
      </w:pPr>
      <w:r w:rsidRPr="001F6D94">
        <w:t xml:space="preserve">Yes, there is a word limit of approximately </w:t>
      </w:r>
      <w:r w:rsidRPr="001F6D94">
        <w:rPr>
          <w:bCs/>
        </w:rPr>
        <w:t>500</w:t>
      </w:r>
      <w:r w:rsidRPr="001F6D94">
        <w:t xml:space="preserve"> words (up to </w:t>
      </w:r>
      <w:r w:rsidRPr="001F6D94">
        <w:rPr>
          <w:bCs/>
        </w:rPr>
        <w:t>3,000</w:t>
      </w:r>
      <w:r w:rsidRPr="001F6D94">
        <w:t xml:space="preserve"> ch</w:t>
      </w:r>
      <w:r w:rsidRPr="001F6D94">
        <w:rPr>
          <w:bCs/>
        </w:rPr>
        <w:t>aracters) per selection criterion</w:t>
      </w:r>
      <w:r w:rsidRPr="001F6D94">
        <w:t>.</w:t>
      </w:r>
    </w:p>
    <w:p w14:paraId="14E7579D" w14:textId="77777777" w:rsidR="00841CFE" w:rsidRPr="001F6D94" w:rsidRDefault="00841CFE" w:rsidP="00841CFE">
      <w:pPr>
        <w:pStyle w:val="Heading2"/>
        <w:numPr>
          <w:ilvl w:val="0"/>
          <w:numId w:val="10"/>
        </w:numPr>
        <w:spacing w:before="0" w:after="140" w:line="276" w:lineRule="auto"/>
        <w:ind w:left="426" w:hanging="426"/>
        <w:rPr>
          <w:rFonts w:ascii="Arial" w:hAnsi="Arial" w:cstheme="majorHAnsi"/>
        </w:rPr>
      </w:pPr>
      <w:r w:rsidRPr="001F6D94">
        <w:rPr>
          <w:rFonts w:ascii="Arial" w:hAnsi="Arial" w:cstheme="majorHAnsi"/>
        </w:rPr>
        <w:t>I have already submitted an application, but I want to revise it. What should I do?</w:t>
      </w:r>
    </w:p>
    <w:p w14:paraId="0A18DE48" w14:textId="77777777" w:rsidR="00841CFE" w:rsidRPr="001F6D94" w:rsidRDefault="00841CFE" w:rsidP="00841CFE">
      <w:pPr>
        <w:pStyle w:val="BodyText"/>
        <w:ind w:left="425"/>
        <w:rPr>
          <w:rFonts w:cstheme="majorHAnsi"/>
        </w:rPr>
      </w:pPr>
      <w:r w:rsidRPr="001F6D94">
        <w:rPr>
          <w:rFonts w:cstheme="majorHAnsi"/>
        </w:rPr>
        <w:t>An application cannot be revised once it is submitted, but you can submit a new application</w:t>
      </w:r>
      <w:r>
        <w:rPr>
          <w:rFonts w:cstheme="majorHAnsi"/>
        </w:rPr>
        <w:t xml:space="preserve"> before the closing date and time</w:t>
      </w:r>
      <w:r w:rsidRPr="001F6D94">
        <w:rPr>
          <w:rFonts w:cstheme="majorHAnsi"/>
        </w:rPr>
        <w:t xml:space="preserve">. Where more than one application is submitted, the latest accepted application form will progress for applications with 10 campuses or less. </w:t>
      </w:r>
    </w:p>
    <w:p w14:paraId="77142521" w14:textId="01686EE9" w:rsidR="00841CFE" w:rsidRDefault="00841CFE" w:rsidP="00841CFE">
      <w:pPr>
        <w:pStyle w:val="BodyText"/>
        <w:ind w:left="425"/>
        <w:rPr>
          <w:rFonts w:cstheme="majorHAnsi"/>
        </w:rPr>
      </w:pPr>
      <w:r w:rsidRPr="001F6D94">
        <w:rPr>
          <w:rFonts w:cstheme="majorHAnsi"/>
        </w:rPr>
        <w:t xml:space="preserve">Applications for more than 10 campuses that require a second form will have both application forms progressed for the purpose of receiving all required campus information. </w:t>
      </w:r>
    </w:p>
    <w:p w14:paraId="33732035" w14:textId="275C9B19" w:rsidR="00D1465A" w:rsidRPr="00D1465A" w:rsidRDefault="00D1465A" w:rsidP="00D1465A">
      <w:pPr>
        <w:pStyle w:val="BodyText"/>
        <w:rPr>
          <w:rFonts w:cstheme="majorHAnsi"/>
          <w:iCs/>
          <w:sz w:val="32"/>
        </w:rPr>
      </w:pPr>
      <w:r>
        <w:rPr>
          <w:rFonts w:cstheme="majorHAnsi"/>
          <w:iCs/>
          <w:sz w:val="32"/>
        </w:rPr>
        <w:t>Regional campuses</w:t>
      </w:r>
    </w:p>
    <w:p w14:paraId="0B805703" w14:textId="42F35089" w:rsidR="00D1465A" w:rsidRPr="001F6D94" w:rsidRDefault="00C90783" w:rsidP="00D1465A">
      <w:pPr>
        <w:pStyle w:val="Heading2"/>
        <w:numPr>
          <w:ilvl w:val="0"/>
          <w:numId w:val="10"/>
        </w:numPr>
        <w:spacing w:before="0" w:after="140" w:line="276" w:lineRule="auto"/>
        <w:ind w:left="426" w:hanging="426"/>
        <w:rPr>
          <w:rFonts w:ascii="Arial" w:eastAsia="Calibri" w:hAnsi="Arial" w:cstheme="majorHAnsi"/>
        </w:rPr>
      </w:pPr>
      <w:r>
        <w:rPr>
          <w:rFonts w:ascii="Arial" w:eastAsia="Calibri" w:hAnsi="Arial" w:cstheme="majorHAnsi"/>
        </w:rPr>
        <w:t>What does ‘regional’</w:t>
      </w:r>
      <w:bookmarkStart w:id="1" w:name="_GoBack"/>
      <w:bookmarkEnd w:id="1"/>
      <w:r w:rsidR="00EC2F72">
        <w:rPr>
          <w:rFonts w:ascii="Arial" w:eastAsia="Calibri" w:hAnsi="Arial" w:cstheme="majorHAnsi"/>
        </w:rPr>
        <w:t xml:space="preserve"> mean? </w:t>
      </w:r>
    </w:p>
    <w:p w14:paraId="5596C04A" w14:textId="568DA89A" w:rsidR="00D1465A" w:rsidRPr="001F6D94" w:rsidRDefault="00D1465A" w:rsidP="00D1465A">
      <w:pPr>
        <w:pStyle w:val="BodyText"/>
        <w:ind w:left="426"/>
        <w:rPr>
          <w:rFonts w:cstheme="majorHAnsi"/>
        </w:rPr>
      </w:pPr>
      <w:r w:rsidRPr="001F6D94">
        <w:rPr>
          <w:rFonts w:cstheme="majorHAnsi"/>
        </w:rPr>
        <w:t xml:space="preserve">The </w:t>
      </w:r>
      <w:r w:rsidRPr="001F6D94">
        <w:rPr>
          <w:rFonts w:cstheme="majorHAnsi"/>
          <w:i/>
        </w:rPr>
        <w:t>Australian Statistical Geography Standard Remoteness Structure (2016)</w:t>
      </w:r>
      <w:r w:rsidRPr="001F6D94">
        <w:rPr>
          <w:rFonts w:cstheme="majorHAnsi"/>
        </w:rPr>
        <w:t xml:space="preserve"> </w:t>
      </w:r>
      <w:r w:rsidR="00512FDF">
        <w:rPr>
          <w:rFonts w:cstheme="majorHAnsi"/>
        </w:rPr>
        <w:t xml:space="preserve">(ASGS) </w:t>
      </w:r>
      <w:r w:rsidRPr="001F6D94">
        <w:rPr>
          <w:rFonts w:cstheme="majorHAnsi"/>
        </w:rPr>
        <w:t>classifies all parts of Australia as one of the following Remoteness Areas:</w:t>
      </w:r>
    </w:p>
    <w:p w14:paraId="135BCB8D" w14:textId="77777777" w:rsidR="00D1465A" w:rsidRPr="001F6D94" w:rsidRDefault="00D1465A" w:rsidP="00D1465A">
      <w:pPr>
        <w:pStyle w:val="BodyText"/>
        <w:numPr>
          <w:ilvl w:val="0"/>
          <w:numId w:val="24"/>
        </w:numPr>
        <w:spacing w:line="276" w:lineRule="auto"/>
        <w:rPr>
          <w:rFonts w:cstheme="majorHAnsi"/>
        </w:rPr>
      </w:pPr>
      <w:r w:rsidRPr="001F6D94">
        <w:rPr>
          <w:rFonts w:cstheme="majorHAnsi"/>
        </w:rPr>
        <w:t>Major Cities of Australia</w:t>
      </w:r>
    </w:p>
    <w:p w14:paraId="439C8C95" w14:textId="77777777" w:rsidR="00D1465A" w:rsidRPr="001F6D94" w:rsidRDefault="00D1465A" w:rsidP="00D1465A">
      <w:pPr>
        <w:pStyle w:val="BodyText"/>
        <w:numPr>
          <w:ilvl w:val="0"/>
          <w:numId w:val="24"/>
        </w:numPr>
        <w:spacing w:line="276" w:lineRule="auto"/>
        <w:rPr>
          <w:rFonts w:cstheme="majorHAnsi"/>
        </w:rPr>
      </w:pPr>
      <w:r w:rsidRPr="001F6D94">
        <w:rPr>
          <w:rFonts w:cstheme="majorHAnsi"/>
        </w:rPr>
        <w:t>Inner Regional Australia</w:t>
      </w:r>
    </w:p>
    <w:p w14:paraId="67C9F7FC" w14:textId="77777777" w:rsidR="00D1465A" w:rsidRPr="001F6D94" w:rsidRDefault="00D1465A" w:rsidP="00D1465A">
      <w:pPr>
        <w:pStyle w:val="BodyText"/>
        <w:numPr>
          <w:ilvl w:val="0"/>
          <w:numId w:val="24"/>
        </w:numPr>
        <w:spacing w:line="276" w:lineRule="auto"/>
        <w:rPr>
          <w:rFonts w:cstheme="majorHAnsi"/>
        </w:rPr>
      </w:pPr>
      <w:r w:rsidRPr="001F6D94">
        <w:rPr>
          <w:rFonts w:cstheme="majorHAnsi"/>
        </w:rPr>
        <w:t>Outer Regional Australia</w:t>
      </w:r>
    </w:p>
    <w:p w14:paraId="4A3B5FCE" w14:textId="77777777" w:rsidR="00D1465A" w:rsidRPr="001F6D94" w:rsidRDefault="00D1465A" w:rsidP="00D1465A">
      <w:pPr>
        <w:pStyle w:val="BodyText"/>
        <w:numPr>
          <w:ilvl w:val="0"/>
          <w:numId w:val="24"/>
        </w:numPr>
        <w:spacing w:line="276" w:lineRule="auto"/>
        <w:rPr>
          <w:rFonts w:cstheme="majorHAnsi"/>
        </w:rPr>
      </w:pPr>
      <w:r w:rsidRPr="001F6D94">
        <w:rPr>
          <w:rFonts w:cstheme="majorHAnsi"/>
        </w:rPr>
        <w:t>Remote Australia</w:t>
      </w:r>
    </w:p>
    <w:p w14:paraId="62D732D5" w14:textId="77777777" w:rsidR="00D1465A" w:rsidRPr="001F6D94" w:rsidRDefault="00D1465A" w:rsidP="00D1465A">
      <w:pPr>
        <w:pStyle w:val="BodyText"/>
        <w:numPr>
          <w:ilvl w:val="0"/>
          <w:numId w:val="24"/>
        </w:numPr>
        <w:spacing w:line="276" w:lineRule="auto"/>
        <w:rPr>
          <w:rFonts w:cstheme="majorHAnsi"/>
        </w:rPr>
      </w:pPr>
      <w:r w:rsidRPr="001F6D94">
        <w:rPr>
          <w:rFonts w:cstheme="majorHAnsi"/>
        </w:rPr>
        <w:t>Very Remote Australia.</w:t>
      </w:r>
    </w:p>
    <w:p w14:paraId="0C302B3D" w14:textId="352EE352" w:rsidR="00EC2F72" w:rsidRDefault="00B02CA9" w:rsidP="00D1465A">
      <w:pPr>
        <w:pStyle w:val="BodyText"/>
        <w:ind w:left="426"/>
        <w:rPr>
          <w:rFonts w:cstheme="majorHAnsi"/>
        </w:rPr>
      </w:pPr>
      <w:r>
        <w:rPr>
          <w:rFonts w:cstheme="majorHAnsi"/>
        </w:rPr>
        <w:lastRenderedPageBreak/>
        <w:t xml:space="preserve">For </w:t>
      </w:r>
      <w:r w:rsidR="00EC2F72">
        <w:rPr>
          <w:rFonts w:cstheme="majorHAnsi"/>
        </w:rPr>
        <w:t xml:space="preserve">the purposes of Destination Australia, a </w:t>
      </w:r>
      <w:r w:rsidR="00D1465A" w:rsidRPr="001F6D94">
        <w:rPr>
          <w:rFonts w:cstheme="majorHAnsi"/>
        </w:rPr>
        <w:t>campus is located in a regional area if it is entirely or in part in an area classified as Inner Regional, Outer Regional, Remote, or Very Remote</w:t>
      </w:r>
      <w:r w:rsidR="00D1465A">
        <w:rPr>
          <w:rFonts w:cstheme="majorHAnsi"/>
        </w:rPr>
        <w:t xml:space="preserve"> (Grant Opportunity Guidelines, section 4.1)</w:t>
      </w:r>
      <w:r w:rsidR="00D1465A" w:rsidRPr="001F6D94">
        <w:rPr>
          <w:rFonts w:cstheme="majorHAnsi"/>
        </w:rPr>
        <w:t xml:space="preserve">. </w:t>
      </w:r>
    </w:p>
    <w:p w14:paraId="74C5FCC7" w14:textId="7BFAA146" w:rsidR="00D1465A" w:rsidRPr="00EC2F72" w:rsidRDefault="00EC2F72" w:rsidP="00EC2F72">
      <w:pPr>
        <w:pStyle w:val="Heading2"/>
        <w:numPr>
          <w:ilvl w:val="0"/>
          <w:numId w:val="10"/>
        </w:numPr>
        <w:spacing w:before="0" w:after="140" w:line="276" w:lineRule="auto"/>
        <w:ind w:left="426" w:hanging="426"/>
        <w:rPr>
          <w:rFonts w:ascii="Arial" w:eastAsia="Calibri" w:hAnsi="Arial" w:cstheme="majorHAnsi"/>
        </w:rPr>
      </w:pPr>
      <w:r w:rsidRPr="00EC2F72">
        <w:rPr>
          <w:rFonts w:ascii="Arial" w:eastAsia="Calibri" w:hAnsi="Arial" w:cstheme="majorHAnsi"/>
        </w:rPr>
        <w:t>How do I verify if my campus is located entirely or in part in a regional area?</w:t>
      </w:r>
    </w:p>
    <w:p w14:paraId="6A7F519B" w14:textId="52E7F220" w:rsidR="00D1465A" w:rsidRPr="001F6D94" w:rsidRDefault="00EC2F72" w:rsidP="00D1465A">
      <w:pPr>
        <w:pStyle w:val="BodyText"/>
        <w:ind w:left="426"/>
        <w:rPr>
          <w:rFonts w:cstheme="majorHAnsi"/>
        </w:rPr>
      </w:pPr>
      <w:r>
        <w:rPr>
          <w:rFonts w:cstheme="majorHAnsi"/>
        </w:rPr>
        <w:t xml:space="preserve">Visit </w:t>
      </w:r>
      <w:r w:rsidR="00D1465A" w:rsidRPr="001F6D94">
        <w:rPr>
          <w:rFonts w:cstheme="majorHAnsi"/>
        </w:rPr>
        <w:t xml:space="preserve">the </w:t>
      </w:r>
      <w:hyperlink r:id="rId12" w:history="1">
        <w:r w:rsidR="00D1465A" w:rsidRPr="001F6D94">
          <w:rPr>
            <w:rStyle w:val="Hyperlink"/>
          </w:rPr>
          <w:t>Australian Statistical Geography Standard Remoteness Structure</w:t>
        </w:r>
        <w:r w:rsidR="00D1465A" w:rsidRPr="00EC2F72">
          <w:rPr>
            <w:rStyle w:val="Hyperlink"/>
            <w:color w:val="auto"/>
            <w:u w:val="none"/>
          </w:rPr>
          <w:t xml:space="preserve"> </w:t>
        </w:r>
      </w:hyperlink>
      <w:r w:rsidR="00D1465A" w:rsidRPr="001F6D94">
        <w:rPr>
          <w:rFonts w:cstheme="majorHAnsi"/>
        </w:rPr>
        <w:t xml:space="preserve">on the </w:t>
      </w:r>
      <w:hyperlink r:id="rId13" w:history="1">
        <w:r w:rsidR="00D1465A" w:rsidRPr="001F6D94">
          <w:rPr>
            <w:rStyle w:val="Hyperlink"/>
            <w:rFonts w:cstheme="majorHAnsi"/>
          </w:rPr>
          <w:t>Australian Bureau of Statistics website</w:t>
        </w:r>
      </w:hyperlink>
      <w:r w:rsidR="00D1465A" w:rsidRPr="001F6D94">
        <w:rPr>
          <w:rFonts w:cstheme="majorHAnsi"/>
        </w:rPr>
        <w:t>.</w:t>
      </w:r>
    </w:p>
    <w:p w14:paraId="316A9621" w14:textId="77777777" w:rsidR="00D1465A" w:rsidRPr="001F6D94" w:rsidRDefault="00D1465A" w:rsidP="00D1465A">
      <w:pPr>
        <w:pStyle w:val="BodyText"/>
        <w:ind w:left="426"/>
        <w:rPr>
          <w:rFonts w:cstheme="majorHAnsi"/>
        </w:rPr>
      </w:pPr>
      <w:r w:rsidRPr="001F6D94">
        <w:rPr>
          <w:rFonts w:cstheme="majorHAnsi"/>
        </w:rPr>
        <w:t>You can also search for the Remoteness Area of your campus on the following websites:</w:t>
      </w:r>
    </w:p>
    <w:p w14:paraId="610E3C43" w14:textId="77777777" w:rsidR="00D1465A" w:rsidRPr="001F6D94" w:rsidRDefault="00C90783" w:rsidP="00C90783">
      <w:pPr>
        <w:pStyle w:val="ListNumber2"/>
        <w:numPr>
          <w:ilvl w:val="0"/>
          <w:numId w:val="8"/>
        </w:numPr>
      </w:pPr>
      <w:hyperlink r:id="rId14" w:history="1">
        <w:r w:rsidR="00D1465A" w:rsidRPr="001F6D94">
          <w:rPr>
            <w:rStyle w:val="Hyperlink"/>
          </w:rPr>
          <w:t>National Map</w:t>
        </w:r>
      </w:hyperlink>
      <w:r w:rsidR="00D1465A" w:rsidRPr="001F6D94">
        <w:t xml:space="preserve"> – Click on </w:t>
      </w:r>
      <w:r w:rsidR="00D1465A" w:rsidRPr="001F6D94">
        <w:rPr>
          <w:i/>
        </w:rPr>
        <w:t>Add Data</w:t>
      </w:r>
      <w:r w:rsidR="00D1465A" w:rsidRPr="001F6D94">
        <w:t xml:space="preserve">, then </w:t>
      </w:r>
      <w:r w:rsidR="00D1465A" w:rsidRPr="001F6D94">
        <w:rPr>
          <w:i/>
        </w:rPr>
        <w:t xml:space="preserve">Statistical Boundaries, </w:t>
      </w:r>
      <w:r w:rsidR="00D1465A" w:rsidRPr="001F6D94">
        <w:t xml:space="preserve">then </w:t>
      </w:r>
      <w:r w:rsidR="00D1465A" w:rsidRPr="001F6D94">
        <w:rPr>
          <w:i/>
        </w:rPr>
        <w:t>Remoteness Area</w:t>
      </w:r>
      <w:r w:rsidR="00D1465A" w:rsidRPr="001F6D94">
        <w:t xml:space="preserve">, then </w:t>
      </w:r>
      <w:r w:rsidR="00D1465A" w:rsidRPr="001F6D94">
        <w:rPr>
          <w:i/>
        </w:rPr>
        <w:t xml:space="preserve">Add to the map, </w:t>
      </w:r>
      <w:r w:rsidR="00D1465A" w:rsidRPr="001F6D94">
        <w:t xml:space="preserve">before searching for your location. </w:t>
      </w:r>
    </w:p>
    <w:p w14:paraId="7A2AD318" w14:textId="58C86FAE" w:rsidR="00D1465A" w:rsidRPr="001F6D94" w:rsidRDefault="00D1465A" w:rsidP="00D1465A">
      <w:pPr>
        <w:pStyle w:val="ListNumber2"/>
      </w:pPr>
      <w:r w:rsidRPr="001F6D94">
        <w:t xml:space="preserve">The Department of Health’s </w:t>
      </w:r>
      <w:hyperlink r:id="rId15" w:anchor="hwc-map" w:history="1">
        <w:r w:rsidRPr="001F6D94">
          <w:rPr>
            <w:rStyle w:val="Hyperlink"/>
          </w:rPr>
          <w:t>Health Workforce Locator</w:t>
        </w:r>
      </w:hyperlink>
      <w:r w:rsidRPr="001F6D94">
        <w:t>.</w:t>
      </w:r>
    </w:p>
    <w:p w14:paraId="1BE3E4AB" w14:textId="701ECFC2" w:rsidR="00EC2F72" w:rsidRPr="00EC2F72" w:rsidRDefault="00EC2F72" w:rsidP="00EC2F72">
      <w:pPr>
        <w:pStyle w:val="Heading2"/>
        <w:numPr>
          <w:ilvl w:val="0"/>
          <w:numId w:val="10"/>
        </w:numPr>
        <w:spacing w:before="0" w:after="140" w:line="276" w:lineRule="auto"/>
        <w:ind w:left="426" w:hanging="426"/>
        <w:rPr>
          <w:rFonts w:ascii="Arial" w:eastAsia="Calibri" w:hAnsi="Arial" w:cstheme="majorHAnsi"/>
        </w:rPr>
      </w:pPr>
      <w:r>
        <w:rPr>
          <w:rFonts w:ascii="Arial" w:eastAsia="Calibri" w:hAnsi="Arial" w:cstheme="majorHAnsi"/>
        </w:rPr>
        <w:t>The Grant Opportunity Guidelines say a campus must be “</w:t>
      </w:r>
      <w:r w:rsidR="00553D02">
        <w:rPr>
          <w:rFonts w:ascii="Arial" w:eastAsia="Calibri" w:hAnsi="Arial" w:cstheme="majorHAnsi"/>
        </w:rPr>
        <w:t>entirely or in part in a regional area</w:t>
      </w:r>
      <w:r>
        <w:rPr>
          <w:rFonts w:ascii="Arial" w:eastAsia="Calibri" w:hAnsi="Arial" w:cstheme="majorHAnsi"/>
        </w:rPr>
        <w:t>”, but the application form says “</w:t>
      </w:r>
      <w:r w:rsidR="00553D02">
        <w:rPr>
          <w:rFonts w:ascii="Arial" w:eastAsia="Calibri" w:hAnsi="Arial" w:cstheme="majorHAnsi"/>
        </w:rPr>
        <w:t>in a regional area</w:t>
      </w:r>
      <w:r>
        <w:rPr>
          <w:rFonts w:ascii="Arial" w:eastAsia="Calibri" w:hAnsi="Arial" w:cstheme="majorHAnsi"/>
        </w:rPr>
        <w:t>”. Which is correct</w:t>
      </w:r>
      <w:r w:rsidRPr="00EC2F72">
        <w:rPr>
          <w:rFonts w:ascii="Arial" w:eastAsia="Calibri" w:hAnsi="Arial" w:cstheme="majorHAnsi"/>
        </w:rPr>
        <w:t>?</w:t>
      </w:r>
    </w:p>
    <w:p w14:paraId="68F77203" w14:textId="2C3E4C4A" w:rsidR="00EC2F72" w:rsidRDefault="00512FDF" w:rsidP="00841CFE">
      <w:pPr>
        <w:pStyle w:val="BodyText"/>
        <w:ind w:left="425"/>
        <w:rPr>
          <w:rFonts w:cstheme="majorHAnsi"/>
        </w:rPr>
      </w:pPr>
      <w:r>
        <w:rPr>
          <w:rFonts w:eastAsia="Times New Roman"/>
        </w:rPr>
        <w:t xml:space="preserve">The Grant Opportunity Guidelines are correct. The application of the regional definition has been changed slightly from the Destination Australia 2021 round with a view to not excluding campuses with a postcode that </w:t>
      </w:r>
      <w:proofErr w:type="gramStart"/>
      <w:r>
        <w:rPr>
          <w:rFonts w:eastAsia="Times New Roman"/>
        </w:rPr>
        <w:t>may</w:t>
      </w:r>
      <w:proofErr w:type="gramEnd"/>
      <w:r>
        <w:rPr>
          <w:rFonts w:eastAsia="Times New Roman"/>
        </w:rPr>
        <w:t xml:space="preserve"> not cleanly accord with the ASGS Remoteness Area classifications.</w:t>
      </w:r>
    </w:p>
    <w:p w14:paraId="5AE14CF0" w14:textId="77777777" w:rsidR="00841CFE" w:rsidRPr="00841CFE" w:rsidRDefault="00841CFE" w:rsidP="00841CFE">
      <w:pPr>
        <w:pStyle w:val="BodyText"/>
        <w:rPr>
          <w:rFonts w:cstheme="majorHAnsi"/>
          <w:iCs/>
          <w:sz w:val="32"/>
        </w:rPr>
      </w:pPr>
      <w:r w:rsidRPr="00841CFE">
        <w:rPr>
          <w:rFonts w:cstheme="majorHAnsi"/>
          <w:iCs/>
          <w:sz w:val="32"/>
        </w:rPr>
        <w:t>Assistance with the application process</w:t>
      </w:r>
    </w:p>
    <w:p w14:paraId="10516709" w14:textId="34F2E889"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Can someone from the Department of Education</w:t>
      </w:r>
      <w:r w:rsidR="008C6E18">
        <w:rPr>
          <w:rFonts w:ascii="Arial" w:eastAsia="Calibri" w:hAnsi="Arial" w:cstheme="majorHAnsi"/>
        </w:rPr>
        <w:t>,</w:t>
      </w:r>
      <w:r w:rsidRPr="001F6D94">
        <w:rPr>
          <w:rFonts w:ascii="Arial" w:eastAsia="Calibri" w:hAnsi="Arial" w:cstheme="majorHAnsi"/>
        </w:rPr>
        <w:t xml:space="preserve"> Skills and Employment or the Community Grants Hub help me with my application? </w:t>
      </w:r>
    </w:p>
    <w:p w14:paraId="1DEA8190" w14:textId="2DA4910E" w:rsidR="00841CFE" w:rsidRPr="001F6D94" w:rsidRDefault="00841CFE" w:rsidP="00841CFE">
      <w:pPr>
        <w:pStyle w:val="Default"/>
        <w:spacing w:after="140" w:line="276" w:lineRule="auto"/>
        <w:ind w:left="425"/>
        <w:rPr>
          <w:rFonts w:cstheme="majorHAnsi"/>
        </w:rPr>
      </w:pPr>
      <w:r w:rsidRPr="001F6D94">
        <w:rPr>
          <w:rFonts w:cstheme="majorHAnsi"/>
          <w:sz w:val="22"/>
          <w:szCs w:val="22"/>
        </w:rPr>
        <w:t>To maintain the fairness and integrity of the application process, the Community Grants Hub and the Department of Education</w:t>
      </w:r>
      <w:r w:rsidR="008C6E18">
        <w:rPr>
          <w:rFonts w:cstheme="majorHAnsi"/>
          <w:sz w:val="22"/>
          <w:szCs w:val="22"/>
        </w:rPr>
        <w:t>,</w:t>
      </w:r>
      <w:r w:rsidRPr="001F6D94">
        <w:rPr>
          <w:rFonts w:cstheme="majorHAnsi"/>
          <w:sz w:val="22"/>
          <w:szCs w:val="22"/>
        </w:rPr>
        <w:t xml:space="preserve"> Skills and Employment cannot directly assist with the writing of any application. However, to support education providers applying under this grant opportunity, the Community Grants Hub has published </w:t>
      </w:r>
      <w:hyperlink r:id="rId16" w:history="1">
        <w:r w:rsidRPr="001F6D94">
          <w:rPr>
            <w:rStyle w:val="Hyperlink"/>
            <w:rFonts w:cstheme="majorHAnsi"/>
            <w:sz w:val="22"/>
            <w:szCs w:val="22"/>
          </w:rPr>
          <w:t>a guide to supporting your grant application</w:t>
        </w:r>
      </w:hyperlink>
      <w:r w:rsidRPr="001F6D94">
        <w:rPr>
          <w:rFonts w:cstheme="majorHAnsi"/>
          <w:sz w:val="22"/>
          <w:szCs w:val="22"/>
        </w:rPr>
        <w:t>.</w:t>
      </w:r>
    </w:p>
    <w:p w14:paraId="48793B1E" w14:textId="77777777" w:rsidR="00841CFE" w:rsidRPr="001F6D94" w:rsidRDefault="00841CFE" w:rsidP="00841CFE">
      <w:pPr>
        <w:pStyle w:val="BodyText"/>
        <w:ind w:left="426"/>
        <w:rPr>
          <w:lang w:eastAsia="en-AU"/>
        </w:rPr>
      </w:pPr>
      <w:r w:rsidRPr="001F6D94">
        <w:rPr>
          <w:lang w:eastAsia="en-AU"/>
        </w:rPr>
        <w:t>If you’re having trouble using or submitting an application form on the Community Grants Hub website, please contact the Grants Hotline on 1800 020 283 (option 1) or TTY 1800 555 677.</w:t>
      </w:r>
    </w:p>
    <w:p w14:paraId="6DDDC483"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Who do I contact if I’m having trouble using or submitting an application form?</w:t>
      </w:r>
    </w:p>
    <w:p w14:paraId="6FC8D4E4" w14:textId="77777777" w:rsidR="00841CFE" w:rsidRPr="001F6D94" w:rsidRDefault="00841CFE" w:rsidP="00841CFE">
      <w:pPr>
        <w:pStyle w:val="BodyText"/>
        <w:ind w:left="426"/>
      </w:pPr>
      <w:r w:rsidRPr="001F6D94">
        <w:t xml:space="preserve">Please contact the Community Grants Hub immediately on 1800 020 283 (option 1) or email </w:t>
      </w:r>
      <w:hyperlink r:id="rId17" w:history="1">
        <w:r w:rsidRPr="001F6D94">
          <w:rPr>
            <w:rStyle w:val="Hyperlink"/>
          </w:rPr>
          <w:t>support@communitygrants.gov.au</w:t>
        </w:r>
      </w:hyperlink>
      <w:r w:rsidRPr="001F6D94">
        <w:t>.</w:t>
      </w:r>
    </w:p>
    <w:p w14:paraId="069C200C"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Where should I go for further information?</w:t>
      </w:r>
    </w:p>
    <w:p w14:paraId="2E863185" w14:textId="77777777" w:rsidR="00841CFE" w:rsidRDefault="00841CFE" w:rsidP="00841CFE">
      <w:pPr>
        <w:spacing w:after="140"/>
        <w:ind w:left="567" w:hanging="141"/>
        <w:rPr>
          <w:rStyle w:val="Hyperlink"/>
          <w:rFonts w:cstheme="majorHAnsi"/>
          <w:color w:val="auto"/>
        </w:rPr>
      </w:pPr>
      <w:r w:rsidRPr="001F6D94">
        <w:rPr>
          <w:rFonts w:cstheme="majorHAnsi"/>
        </w:rPr>
        <w:t xml:space="preserve">Please email your enquiries to </w:t>
      </w:r>
      <w:hyperlink r:id="rId18" w:history="1">
        <w:r w:rsidRPr="001F6D94">
          <w:rPr>
            <w:rStyle w:val="Hyperlink"/>
            <w:rFonts w:cstheme="majorHAnsi"/>
          </w:rPr>
          <w:t>support@communitygrants.gov.au</w:t>
        </w:r>
      </w:hyperlink>
      <w:r w:rsidRPr="00240D98">
        <w:rPr>
          <w:rStyle w:val="Hyperlink"/>
          <w:rFonts w:cstheme="majorHAnsi"/>
          <w:color w:val="auto"/>
          <w:u w:val="none"/>
        </w:rPr>
        <w:t>.</w:t>
      </w:r>
    </w:p>
    <w:p w14:paraId="4CB41F34" w14:textId="77777777" w:rsidR="007210AA" w:rsidRDefault="007210AA" w:rsidP="00841CFE">
      <w:pPr>
        <w:spacing w:after="140"/>
        <w:rPr>
          <w:rStyle w:val="Hyperlink"/>
          <w:iCs/>
          <w:color w:val="auto"/>
          <w:sz w:val="32"/>
          <w:u w:val="none"/>
        </w:rPr>
      </w:pPr>
    </w:p>
    <w:p w14:paraId="5735E3C5" w14:textId="77777777" w:rsidR="007210AA" w:rsidRDefault="007210AA" w:rsidP="00841CFE">
      <w:pPr>
        <w:spacing w:after="140"/>
        <w:rPr>
          <w:rStyle w:val="Hyperlink"/>
          <w:iCs/>
          <w:color w:val="auto"/>
          <w:sz w:val="32"/>
          <w:u w:val="none"/>
        </w:rPr>
      </w:pPr>
    </w:p>
    <w:p w14:paraId="6D2687E4" w14:textId="351DE70E" w:rsidR="00841CFE" w:rsidRPr="00841CFE" w:rsidRDefault="00841CFE" w:rsidP="00841CFE">
      <w:pPr>
        <w:spacing w:after="140"/>
        <w:rPr>
          <w:rStyle w:val="Hyperlink"/>
          <w:iCs/>
          <w:color w:val="auto"/>
          <w:sz w:val="24"/>
          <w:u w:val="none"/>
        </w:rPr>
      </w:pPr>
      <w:r w:rsidRPr="00841CFE">
        <w:rPr>
          <w:rStyle w:val="Hyperlink"/>
          <w:iCs/>
          <w:color w:val="auto"/>
          <w:sz w:val="32"/>
          <w:u w:val="none"/>
        </w:rPr>
        <w:lastRenderedPageBreak/>
        <w:t>Grant funding decisions</w:t>
      </w:r>
    </w:p>
    <w:p w14:paraId="7A382817"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When will I know the outcome of my application?</w:t>
      </w:r>
    </w:p>
    <w:p w14:paraId="5766FAB5" w14:textId="77777777" w:rsidR="00841CFE" w:rsidRDefault="00841CFE" w:rsidP="00841CFE">
      <w:pPr>
        <w:spacing w:after="140"/>
        <w:ind w:left="426"/>
        <w:rPr>
          <w:rFonts w:cstheme="majorHAnsi"/>
          <w:lang w:eastAsia="en-AU"/>
        </w:rPr>
      </w:pPr>
      <w:r w:rsidRPr="001F6D94">
        <w:rPr>
          <w:rFonts w:cstheme="majorHAnsi"/>
          <w:lang w:eastAsia="en-AU"/>
        </w:rPr>
        <w:t>You will be notified of the outcome of your application at the end of the selection process. For probity reasons, and to treat all applicants fairly and equally, it is not possible to give you information about the status of your application during the selection process.</w:t>
      </w:r>
    </w:p>
    <w:p w14:paraId="24ACD170" w14:textId="77777777" w:rsidR="00841CFE" w:rsidRPr="008E631B" w:rsidRDefault="00841CFE" w:rsidP="00841CFE">
      <w:pPr>
        <w:spacing w:after="140"/>
        <w:ind w:left="426"/>
        <w:rPr>
          <w:rFonts w:cstheme="majorHAnsi"/>
          <w:lang w:eastAsia="en-AU"/>
        </w:rPr>
      </w:pPr>
      <w:r w:rsidRPr="001F6D94">
        <w:rPr>
          <w:rFonts w:cstheme="majorHAnsi"/>
          <w:lang w:eastAsia="en-AU"/>
        </w:rPr>
        <w:t>Timing for this grant opportunity is given in section 7.3 of the Grant Opportunity Guidelines, although in some instances due to volume and complexity of applications, this timing may be modified.</w:t>
      </w:r>
    </w:p>
    <w:p w14:paraId="14EB8DCE"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Who will approve Destination Australia Program grants?</w:t>
      </w:r>
    </w:p>
    <w:p w14:paraId="2BABE2B1" w14:textId="21AB093F" w:rsidR="00841CFE" w:rsidRPr="001F6D94" w:rsidRDefault="00841CFE" w:rsidP="00841CFE">
      <w:pPr>
        <w:pStyle w:val="BodyText"/>
        <w:ind w:left="426"/>
        <w:rPr>
          <w:rFonts w:cstheme="majorHAnsi"/>
        </w:rPr>
      </w:pPr>
      <w:r w:rsidRPr="001F6D94">
        <w:rPr>
          <w:rFonts w:cstheme="majorHAnsi"/>
        </w:rPr>
        <w:t>The Minister for Education</w:t>
      </w:r>
      <w:r w:rsidR="008E08A7">
        <w:rPr>
          <w:rFonts w:cstheme="majorHAnsi"/>
        </w:rPr>
        <w:t xml:space="preserve"> and Youth</w:t>
      </w:r>
      <w:r w:rsidRPr="001F6D94">
        <w:rPr>
          <w:rFonts w:cstheme="majorHAnsi"/>
        </w:rPr>
        <w:t xml:space="preserve"> (the decision</w:t>
      </w:r>
      <w:r w:rsidR="00473A13">
        <w:rPr>
          <w:rFonts w:cstheme="majorHAnsi"/>
        </w:rPr>
        <w:t>-</w:t>
      </w:r>
      <w:r w:rsidRPr="001F6D94">
        <w:rPr>
          <w:rFonts w:cstheme="majorHAnsi"/>
        </w:rPr>
        <w:t>maker) decides which grants to approve taking into account the recommendations made by the Selection Advisory Panel and the availability of grant funds for the purposes of the grant program. For more information, see section 8.3 of the Grant Opportunity Guidelines.</w:t>
      </w:r>
    </w:p>
    <w:p w14:paraId="7C246562"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What feedback will</w:t>
      </w:r>
      <w:r>
        <w:rPr>
          <w:rFonts w:ascii="Arial" w:eastAsia="Calibri" w:hAnsi="Arial" w:cstheme="majorHAnsi"/>
        </w:rPr>
        <w:t xml:space="preserve"> I receive on my application</w:t>
      </w:r>
      <w:r w:rsidRPr="001F6D94">
        <w:rPr>
          <w:rFonts w:ascii="Arial" w:eastAsia="Calibri" w:hAnsi="Arial" w:cstheme="majorHAnsi"/>
        </w:rPr>
        <w:t xml:space="preserve">? </w:t>
      </w:r>
    </w:p>
    <w:p w14:paraId="1B524C93" w14:textId="2A81B2EF" w:rsidR="00841CFE" w:rsidRPr="001F6D94" w:rsidRDefault="00841CFE" w:rsidP="00841CFE">
      <w:pPr>
        <w:pStyle w:val="BodyText"/>
        <w:ind w:left="426"/>
        <w:rPr>
          <w:rFonts w:cstheme="majorHAnsi"/>
        </w:rPr>
      </w:pPr>
      <w:r w:rsidRPr="001F6D94">
        <w:rPr>
          <w:rFonts w:cstheme="majorHAnsi"/>
        </w:rPr>
        <w:t xml:space="preserve">A </w:t>
      </w:r>
      <w:r w:rsidR="008C6E18">
        <w:rPr>
          <w:rFonts w:cstheme="majorHAnsi"/>
        </w:rPr>
        <w:t>f</w:t>
      </w:r>
      <w:r w:rsidR="008C6E18" w:rsidRPr="001F6D94">
        <w:rPr>
          <w:rFonts w:cstheme="majorHAnsi"/>
        </w:rPr>
        <w:t xml:space="preserve">eedback </w:t>
      </w:r>
      <w:r w:rsidR="008C6E18">
        <w:rPr>
          <w:rFonts w:cstheme="majorHAnsi"/>
        </w:rPr>
        <w:t>s</w:t>
      </w:r>
      <w:r w:rsidR="008C6E18" w:rsidRPr="001F6D94">
        <w:rPr>
          <w:rFonts w:cstheme="majorHAnsi"/>
        </w:rPr>
        <w:t xml:space="preserve">ummary </w:t>
      </w:r>
      <w:r w:rsidRPr="001F6D94">
        <w:rPr>
          <w:rFonts w:cstheme="majorHAnsi"/>
        </w:rPr>
        <w:t>will be published on the Community Grants Hub website to provide all organisations with easy access to information about the grant selection process and the main strengths and areas for improving applications.</w:t>
      </w:r>
    </w:p>
    <w:p w14:paraId="3F507380" w14:textId="02377F11" w:rsidR="00841CFE" w:rsidRDefault="00841CFE" w:rsidP="00841CFE">
      <w:pPr>
        <w:pStyle w:val="BodyText"/>
        <w:ind w:left="426"/>
        <w:rPr>
          <w:rFonts w:cstheme="majorHAnsi"/>
        </w:rPr>
      </w:pPr>
      <w:r w:rsidRPr="001F6D94">
        <w:rPr>
          <w:rFonts w:cstheme="majorHAnsi"/>
        </w:rPr>
        <w:t>Individual feedback will not be provided for this grant opportunity</w:t>
      </w:r>
      <w:r>
        <w:rPr>
          <w:rFonts w:cstheme="majorHAnsi"/>
        </w:rPr>
        <w:t xml:space="preserve"> (Grant Opportunity Guidelines, section 9.1)</w:t>
      </w:r>
      <w:r w:rsidRPr="001F6D94">
        <w:rPr>
          <w:rFonts w:cstheme="majorHAnsi"/>
        </w:rPr>
        <w:t>.</w:t>
      </w:r>
    </w:p>
    <w:p w14:paraId="0C6BD603"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Can I appeal the outcome</w:t>
      </w:r>
      <w:r>
        <w:rPr>
          <w:rFonts w:ascii="Arial" w:eastAsia="Calibri" w:hAnsi="Arial" w:cstheme="majorHAnsi"/>
        </w:rPr>
        <w:t>s</w:t>
      </w:r>
      <w:r w:rsidRPr="001F6D94">
        <w:rPr>
          <w:rFonts w:ascii="Arial" w:eastAsia="Calibri" w:hAnsi="Arial" w:cstheme="majorHAnsi"/>
        </w:rPr>
        <w:t xml:space="preserve"> of </w:t>
      </w:r>
      <w:r>
        <w:rPr>
          <w:rFonts w:ascii="Arial" w:eastAsia="Calibri" w:hAnsi="Arial" w:cstheme="majorHAnsi"/>
        </w:rPr>
        <w:t xml:space="preserve">the </w:t>
      </w:r>
      <w:r w:rsidRPr="001F6D94">
        <w:rPr>
          <w:rFonts w:ascii="Arial" w:eastAsia="Calibri" w:hAnsi="Arial" w:cstheme="majorHAnsi"/>
        </w:rPr>
        <w:t xml:space="preserve">selection process? </w:t>
      </w:r>
    </w:p>
    <w:p w14:paraId="1FFDE2C5" w14:textId="73A72332" w:rsidR="00841CFE" w:rsidRPr="001F6D94" w:rsidRDefault="00841CFE" w:rsidP="00841CFE">
      <w:pPr>
        <w:pStyle w:val="BodyText"/>
        <w:ind w:left="426"/>
        <w:rPr>
          <w:rFonts w:cstheme="majorHAnsi"/>
        </w:rPr>
      </w:pPr>
      <w:r w:rsidRPr="001F6D94">
        <w:rPr>
          <w:rFonts w:cstheme="majorHAnsi"/>
        </w:rPr>
        <w:t>There is no appeal mechanism for decisions to approve or not approve a grant. The decision maker’s decision is final in all matters, including the approval of the grant, funding amount to be awarded, and the terms and conditions of the grant</w:t>
      </w:r>
      <w:r>
        <w:rPr>
          <w:rFonts w:cstheme="majorHAnsi"/>
        </w:rPr>
        <w:t xml:space="preserve"> (Grant Opportunity Guidelines, </w:t>
      </w:r>
      <w:r w:rsidR="008C6E18">
        <w:rPr>
          <w:rFonts w:cstheme="majorHAnsi"/>
        </w:rPr>
        <w:t>section </w:t>
      </w:r>
      <w:r>
        <w:rPr>
          <w:rFonts w:cstheme="majorHAnsi"/>
        </w:rPr>
        <w:t>8.3)</w:t>
      </w:r>
      <w:r w:rsidRPr="001F6D94">
        <w:rPr>
          <w:rFonts w:cstheme="majorHAnsi"/>
        </w:rPr>
        <w:t>.</w:t>
      </w:r>
    </w:p>
    <w:p w14:paraId="69F16373" w14:textId="77777777" w:rsidR="00841CFE" w:rsidRPr="00841CFE" w:rsidRDefault="00841CFE" w:rsidP="00841CFE">
      <w:pPr>
        <w:spacing w:after="140"/>
        <w:rPr>
          <w:iCs/>
        </w:rPr>
      </w:pPr>
      <w:r w:rsidRPr="00841CFE">
        <w:rPr>
          <w:iCs/>
          <w:sz w:val="32"/>
        </w:rPr>
        <w:t>Grant funding</w:t>
      </w:r>
    </w:p>
    <w:p w14:paraId="6C812258" w14:textId="77777777" w:rsidR="00841CFE" w:rsidRPr="00C722F7" w:rsidRDefault="00841CFE" w:rsidP="00841CFE">
      <w:pPr>
        <w:pStyle w:val="Heading2"/>
        <w:numPr>
          <w:ilvl w:val="0"/>
          <w:numId w:val="10"/>
        </w:numPr>
        <w:spacing w:before="0" w:after="140" w:line="276" w:lineRule="auto"/>
        <w:ind w:left="426" w:hanging="426"/>
        <w:rPr>
          <w:rFonts w:ascii="Arial" w:eastAsia="Calibri" w:hAnsi="Arial" w:cstheme="majorHAnsi"/>
        </w:rPr>
      </w:pPr>
      <w:r w:rsidRPr="00C722F7">
        <w:rPr>
          <w:rFonts w:ascii="Arial" w:eastAsia="Calibri" w:hAnsi="Arial" w:cstheme="majorHAnsi"/>
        </w:rPr>
        <w:t>How much funding is available for this grant opportunity?</w:t>
      </w:r>
    </w:p>
    <w:p w14:paraId="310F7591" w14:textId="292C70D8" w:rsidR="00841CFE" w:rsidRPr="00C722F7" w:rsidRDefault="00841CFE" w:rsidP="00841CFE">
      <w:pPr>
        <w:pStyle w:val="BodyText"/>
        <w:ind w:left="426"/>
        <w:rPr>
          <w:rFonts w:cstheme="majorHAnsi"/>
          <w:szCs w:val="22"/>
        </w:rPr>
      </w:pPr>
      <w:r w:rsidRPr="00C722F7">
        <w:rPr>
          <w:rFonts w:cstheme="majorHAnsi"/>
        </w:rPr>
        <w:t xml:space="preserve">Approximately $25.32 million (GST exclusive) is available over </w:t>
      </w:r>
      <w:r w:rsidR="00F073EB">
        <w:rPr>
          <w:rFonts w:cstheme="majorHAnsi"/>
        </w:rPr>
        <w:t>4</w:t>
      </w:r>
      <w:r w:rsidR="00F073EB" w:rsidRPr="00C722F7">
        <w:rPr>
          <w:rFonts w:cstheme="majorHAnsi"/>
        </w:rPr>
        <w:t xml:space="preserve"> </w:t>
      </w:r>
      <w:r w:rsidRPr="00C722F7">
        <w:rPr>
          <w:rFonts w:cstheme="majorHAnsi"/>
        </w:rPr>
        <w:t>years for Destination Australia 2022 (Round 3)</w:t>
      </w:r>
      <w:r>
        <w:rPr>
          <w:rFonts w:cstheme="majorHAnsi"/>
        </w:rPr>
        <w:t xml:space="preserve"> (Grant Opportunity Guidelines, section 3.1).</w:t>
      </w:r>
    </w:p>
    <w:p w14:paraId="391E0F39" w14:textId="77777777" w:rsidR="00841CFE" w:rsidRPr="00C722F7" w:rsidRDefault="00841CFE" w:rsidP="00841CFE">
      <w:pPr>
        <w:ind w:left="426"/>
        <w:rPr>
          <w:rFonts w:cs="Arial"/>
        </w:rPr>
      </w:pPr>
      <w:r w:rsidRPr="00C722F7">
        <w:rPr>
          <w:rFonts w:cs="Arial"/>
        </w:rPr>
        <w:t>This equates to approximately 380 scholarships.</w:t>
      </w:r>
    </w:p>
    <w:p w14:paraId="513AC57D" w14:textId="77777777" w:rsidR="00841CFE" w:rsidRPr="00C722F7" w:rsidRDefault="00841CFE" w:rsidP="00841CFE">
      <w:pPr>
        <w:pStyle w:val="Heading2"/>
        <w:numPr>
          <w:ilvl w:val="0"/>
          <w:numId w:val="10"/>
        </w:numPr>
        <w:spacing w:before="0" w:after="140" w:line="276" w:lineRule="auto"/>
        <w:ind w:left="426" w:hanging="426"/>
        <w:rPr>
          <w:rFonts w:ascii="Arial" w:eastAsia="Calibri" w:hAnsi="Arial" w:cstheme="majorHAnsi"/>
        </w:rPr>
      </w:pPr>
      <w:r w:rsidRPr="00C722F7">
        <w:rPr>
          <w:rFonts w:ascii="Arial" w:eastAsia="Calibri" w:hAnsi="Arial" w:cstheme="majorHAnsi"/>
        </w:rPr>
        <w:t xml:space="preserve">How much funding can I apply for and for what period of time? </w:t>
      </w:r>
    </w:p>
    <w:p w14:paraId="56B726B3" w14:textId="77777777" w:rsidR="00841CFE" w:rsidRDefault="00841CFE" w:rsidP="00841CFE">
      <w:pPr>
        <w:pStyle w:val="BodyText"/>
        <w:ind w:left="426"/>
        <w:rPr>
          <w:rFonts w:cstheme="majorHAnsi"/>
        </w:rPr>
      </w:pPr>
      <w:r w:rsidRPr="00C722F7">
        <w:rPr>
          <w:rFonts w:cstheme="majorHAnsi"/>
        </w:rPr>
        <w:t>There is no minimum or maximum amount of grant funding</w:t>
      </w:r>
      <w:r>
        <w:rPr>
          <w:rFonts w:cstheme="majorHAnsi"/>
        </w:rPr>
        <w:t xml:space="preserve"> you </w:t>
      </w:r>
      <w:r w:rsidRPr="00C722F7">
        <w:rPr>
          <w:rFonts w:cstheme="majorHAnsi"/>
        </w:rPr>
        <w:t xml:space="preserve">may apply for, but grants cannot exceed the amount of available funding. </w:t>
      </w:r>
    </w:p>
    <w:p w14:paraId="4B547625" w14:textId="344928EE" w:rsidR="00841CFE" w:rsidRPr="00C722F7" w:rsidRDefault="00841CFE" w:rsidP="00841CFE">
      <w:pPr>
        <w:pStyle w:val="BodyText"/>
        <w:ind w:left="426"/>
        <w:rPr>
          <w:rFonts w:cstheme="majorHAnsi"/>
        </w:rPr>
      </w:pPr>
      <w:r w:rsidRPr="00C722F7">
        <w:rPr>
          <w:rFonts w:cstheme="majorHAnsi"/>
        </w:rPr>
        <w:t xml:space="preserve">The maximum grant period is </w:t>
      </w:r>
      <w:r w:rsidR="008C6E18">
        <w:rPr>
          <w:rFonts w:cstheme="majorHAnsi"/>
        </w:rPr>
        <w:t>4</w:t>
      </w:r>
      <w:r w:rsidR="008C6E18" w:rsidRPr="00C722F7">
        <w:rPr>
          <w:rFonts w:cstheme="majorHAnsi"/>
        </w:rPr>
        <w:t xml:space="preserve"> </w:t>
      </w:r>
      <w:r w:rsidRPr="00C722F7">
        <w:rPr>
          <w:rFonts w:cstheme="majorHAnsi"/>
        </w:rPr>
        <w:t>years.</w:t>
      </w:r>
      <w:r>
        <w:rPr>
          <w:rFonts w:cstheme="majorHAnsi"/>
        </w:rPr>
        <w:t xml:space="preserve"> The grant funding </w:t>
      </w:r>
      <w:r w:rsidRPr="00C722F7">
        <w:rPr>
          <w:rFonts w:cstheme="majorHAnsi"/>
        </w:rPr>
        <w:t xml:space="preserve">available must support scholarships for students commencing in 2022. </w:t>
      </w:r>
    </w:p>
    <w:p w14:paraId="02455079" w14:textId="77777777" w:rsidR="00841CFE" w:rsidRPr="00C722F7" w:rsidRDefault="00841CFE" w:rsidP="00841CFE">
      <w:pPr>
        <w:pStyle w:val="Heading2"/>
        <w:numPr>
          <w:ilvl w:val="0"/>
          <w:numId w:val="10"/>
        </w:numPr>
        <w:spacing w:before="0" w:after="140" w:line="276" w:lineRule="auto"/>
        <w:ind w:left="426" w:hanging="426"/>
        <w:rPr>
          <w:rFonts w:ascii="Arial" w:eastAsia="Calibri" w:hAnsi="Arial" w:cstheme="majorHAnsi"/>
        </w:rPr>
      </w:pPr>
      <w:r w:rsidRPr="00C722F7">
        <w:rPr>
          <w:rFonts w:ascii="Arial" w:eastAsia="Calibri" w:hAnsi="Arial" w:cstheme="majorHAnsi"/>
        </w:rPr>
        <w:lastRenderedPageBreak/>
        <w:t xml:space="preserve">Can I apply for funding for multiple years? </w:t>
      </w:r>
    </w:p>
    <w:p w14:paraId="382CDC11" w14:textId="763CB589" w:rsidR="00841CFE" w:rsidRPr="00C722F7" w:rsidRDefault="00841CFE" w:rsidP="00841CFE">
      <w:pPr>
        <w:pStyle w:val="BodyText"/>
        <w:ind w:left="426"/>
        <w:rPr>
          <w:rFonts w:cstheme="majorHAnsi"/>
        </w:rPr>
      </w:pPr>
      <w:r w:rsidRPr="00C722F7">
        <w:rPr>
          <w:rFonts w:cstheme="majorHAnsi"/>
        </w:rPr>
        <w:t>Yes. Grant funding</w:t>
      </w:r>
      <w:r w:rsidRPr="00C722F7">
        <w:t xml:space="preserve"> </w:t>
      </w:r>
      <w:r w:rsidRPr="00C722F7">
        <w:rPr>
          <w:rFonts w:cstheme="majorHAnsi"/>
        </w:rPr>
        <w:t xml:space="preserve">is available over </w:t>
      </w:r>
      <w:r w:rsidR="008C6E18">
        <w:rPr>
          <w:rFonts w:cstheme="majorHAnsi"/>
        </w:rPr>
        <w:t>4</w:t>
      </w:r>
      <w:r w:rsidR="008C6E18" w:rsidRPr="00C722F7">
        <w:rPr>
          <w:rFonts w:cstheme="majorHAnsi"/>
        </w:rPr>
        <w:t xml:space="preserve"> </w:t>
      </w:r>
      <w:r w:rsidRPr="00C722F7">
        <w:rPr>
          <w:rFonts w:cstheme="majorHAnsi"/>
        </w:rPr>
        <w:t>years, from 2021</w:t>
      </w:r>
      <w:r w:rsidR="008C6E18" w:rsidRPr="001100A3">
        <w:rPr>
          <w:rFonts w:cstheme="majorHAnsi"/>
        </w:rPr>
        <w:t>–</w:t>
      </w:r>
      <w:r w:rsidRPr="00C722F7">
        <w:rPr>
          <w:rFonts w:cstheme="majorHAnsi"/>
        </w:rPr>
        <w:t>22 until 2024</w:t>
      </w:r>
      <w:r w:rsidR="008C6E18" w:rsidRPr="001100A3">
        <w:rPr>
          <w:rFonts w:cstheme="majorHAnsi"/>
        </w:rPr>
        <w:t>–</w:t>
      </w:r>
      <w:r w:rsidRPr="00C722F7">
        <w:rPr>
          <w:rFonts w:cstheme="majorHAnsi"/>
        </w:rPr>
        <w:t>25.</w:t>
      </w:r>
    </w:p>
    <w:p w14:paraId="2C03552A" w14:textId="23A35747" w:rsidR="00841CFE" w:rsidRPr="00C722F7" w:rsidRDefault="00841CFE" w:rsidP="00841CFE">
      <w:pPr>
        <w:pStyle w:val="BodyText"/>
        <w:ind w:left="426"/>
        <w:rPr>
          <w:rFonts w:cstheme="majorHAnsi"/>
          <w:sz w:val="24"/>
        </w:rPr>
      </w:pPr>
      <w:r w:rsidRPr="00C722F7">
        <w:rPr>
          <w:rFonts w:eastAsia="Times New Roman" w:cs="Arial"/>
        </w:rPr>
        <w:t xml:space="preserve">Multi-year scholarships will support eligible students while they are enrolled in an eligible qualification of up to </w:t>
      </w:r>
      <w:r w:rsidR="008C6E18">
        <w:rPr>
          <w:rFonts w:eastAsia="Times New Roman" w:cs="Arial"/>
        </w:rPr>
        <w:t>4</w:t>
      </w:r>
      <w:r w:rsidR="008C6E18" w:rsidRPr="00C722F7">
        <w:rPr>
          <w:rFonts w:eastAsia="Times New Roman" w:cs="Arial"/>
        </w:rPr>
        <w:t xml:space="preserve"> </w:t>
      </w:r>
      <w:r w:rsidRPr="00C722F7">
        <w:rPr>
          <w:rFonts w:eastAsia="Times New Roman" w:cs="Arial"/>
        </w:rPr>
        <w:t>years in duration.</w:t>
      </w:r>
    </w:p>
    <w:p w14:paraId="16E706B3" w14:textId="77777777" w:rsidR="00841CFE" w:rsidRPr="00C722F7" w:rsidRDefault="00841CFE" w:rsidP="00841CFE">
      <w:pPr>
        <w:pStyle w:val="Heading2"/>
        <w:numPr>
          <w:ilvl w:val="0"/>
          <w:numId w:val="10"/>
        </w:numPr>
        <w:spacing w:before="0" w:after="140" w:line="276" w:lineRule="auto"/>
        <w:ind w:left="426" w:hanging="426"/>
        <w:rPr>
          <w:rFonts w:ascii="Arial" w:hAnsi="Arial" w:cstheme="majorHAnsi"/>
          <w:szCs w:val="24"/>
          <w:lang w:eastAsia="en-AU"/>
        </w:rPr>
      </w:pPr>
      <w:r w:rsidRPr="00C722F7">
        <w:rPr>
          <w:rFonts w:ascii="Arial" w:hAnsi="Arial" w:cstheme="majorHAnsi"/>
          <w:szCs w:val="24"/>
          <w:lang w:eastAsia="en-AU"/>
        </w:rPr>
        <w:t>If the amount I request is too high</w:t>
      </w:r>
      <w:r>
        <w:rPr>
          <w:rFonts w:ascii="Arial" w:hAnsi="Arial" w:cstheme="majorHAnsi"/>
          <w:szCs w:val="24"/>
          <w:lang w:eastAsia="en-AU"/>
        </w:rPr>
        <w:t>,</w:t>
      </w:r>
      <w:r w:rsidRPr="00C722F7">
        <w:rPr>
          <w:rFonts w:ascii="Arial" w:hAnsi="Arial" w:cstheme="majorHAnsi"/>
          <w:szCs w:val="24"/>
          <w:lang w:eastAsia="en-AU"/>
        </w:rPr>
        <w:t xml:space="preserve"> will my application still be considered?</w:t>
      </w:r>
    </w:p>
    <w:p w14:paraId="37F8BDB8" w14:textId="526F437F" w:rsidR="00841CFE" w:rsidRPr="00C722F7" w:rsidRDefault="00841CFE" w:rsidP="00841CFE">
      <w:pPr>
        <w:ind w:left="426"/>
        <w:rPr>
          <w:rFonts w:eastAsia="Calibri" w:cstheme="majorHAnsi"/>
        </w:rPr>
      </w:pPr>
      <w:r w:rsidRPr="00C722F7">
        <w:rPr>
          <w:rFonts w:eastAsia="Calibri" w:cstheme="majorHAnsi"/>
        </w:rPr>
        <w:t xml:space="preserve">Your application will not be disregarded solely on the basis of the amount requested. The Minister for Education </w:t>
      </w:r>
      <w:r w:rsidR="00AF3A1B">
        <w:rPr>
          <w:rFonts w:eastAsia="Calibri" w:cstheme="majorHAnsi"/>
        </w:rPr>
        <w:t xml:space="preserve">and Youth </w:t>
      </w:r>
      <w:r w:rsidRPr="00C722F7">
        <w:rPr>
          <w:rFonts w:eastAsia="Calibri" w:cstheme="majorHAnsi"/>
        </w:rPr>
        <w:t>will decide which grants to approve and the amount to be awarded, based on the application assessment and the availability of grant funds.</w:t>
      </w:r>
    </w:p>
    <w:p w14:paraId="5C931AA0" w14:textId="77777777" w:rsidR="00841CFE" w:rsidRPr="00C722F7" w:rsidRDefault="00841CFE" w:rsidP="00841CFE">
      <w:pPr>
        <w:pStyle w:val="Heading2"/>
        <w:numPr>
          <w:ilvl w:val="0"/>
          <w:numId w:val="10"/>
        </w:numPr>
        <w:spacing w:before="0" w:after="140" w:line="276" w:lineRule="auto"/>
        <w:ind w:left="426" w:hanging="426"/>
        <w:rPr>
          <w:rFonts w:ascii="Arial" w:eastAsia="Calibri" w:hAnsi="Arial" w:cstheme="majorHAnsi"/>
        </w:rPr>
      </w:pPr>
      <w:r w:rsidRPr="00C722F7">
        <w:rPr>
          <w:rFonts w:ascii="Arial" w:eastAsia="Calibri" w:hAnsi="Arial" w:cstheme="majorHAnsi"/>
        </w:rPr>
        <w:t xml:space="preserve">What can I use Destination Australia grant </w:t>
      </w:r>
      <w:r>
        <w:rPr>
          <w:rFonts w:ascii="Arial" w:eastAsia="Calibri" w:hAnsi="Arial" w:cstheme="majorHAnsi"/>
        </w:rPr>
        <w:t xml:space="preserve">funding </w:t>
      </w:r>
      <w:r w:rsidRPr="00C722F7">
        <w:rPr>
          <w:rFonts w:ascii="Arial" w:eastAsia="Calibri" w:hAnsi="Arial" w:cstheme="majorHAnsi"/>
        </w:rPr>
        <w:t>for?</w:t>
      </w:r>
    </w:p>
    <w:p w14:paraId="127163B7" w14:textId="706553FD" w:rsidR="00841CFE" w:rsidRDefault="00841CFE" w:rsidP="00841CFE">
      <w:pPr>
        <w:ind w:left="426"/>
        <w:rPr>
          <w:rFonts w:cstheme="majorHAnsi"/>
        </w:rPr>
      </w:pPr>
      <w:r>
        <w:rPr>
          <w:rFonts w:cstheme="majorHAnsi"/>
        </w:rPr>
        <w:t xml:space="preserve">Destination Australia funding must be used for scholarships for eligible students and the administration and promotion of scholarships. </w:t>
      </w:r>
    </w:p>
    <w:p w14:paraId="230B1310" w14:textId="39BB202E" w:rsidR="00841CFE" w:rsidRPr="00C722F7" w:rsidRDefault="00841CFE" w:rsidP="00841CFE">
      <w:pPr>
        <w:ind w:left="426"/>
        <w:rPr>
          <w:rFonts w:cstheme="majorHAnsi"/>
        </w:rPr>
      </w:pPr>
      <w:r w:rsidRPr="00C722F7">
        <w:rPr>
          <w:rFonts w:cstheme="majorHAnsi"/>
        </w:rPr>
        <w:t>Eligible expenditure items are listed in section 5.2 of the Grant Opportunity Guidelines.</w:t>
      </w:r>
      <w:r>
        <w:rPr>
          <w:rFonts w:cstheme="majorHAnsi"/>
        </w:rPr>
        <w:t xml:space="preserve"> Providers </w:t>
      </w:r>
      <w:r w:rsidRPr="00C722F7">
        <w:rPr>
          <w:rFonts w:cstheme="majorHAnsi"/>
        </w:rPr>
        <w:t>can only spend the grant on eligible expenditure incurred between the</w:t>
      </w:r>
      <w:r w:rsidRPr="009F38EE">
        <w:rPr>
          <w:rFonts w:cstheme="majorHAnsi"/>
        </w:rPr>
        <w:t xml:space="preserve"> </w:t>
      </w:r>
      <w:r w:rsidRPr="00E63508">
        <w:rPr>
          <w:rFonts w:cstheme="majorHAnsi"/>
        </w:rPr>
        <w:t>commencement date and completion date</w:t>
      </w:r>
      <w:r w:rsidRPr="00C722F7">
        <w:rPr>
          <w:rFonts w:cstheme="majorHAnsi"/>
        </w:rPr>
        <w:t xml:space="preserve"> of </w:t>
      </w:r>
      <w:r>
        <w:rPr>
          <w:rFonts w:cstheme="majorHAnsi"/>
        </w:rPr>
        <w:t>their</w:t>
      </w:r>
      <w:r w:rsidRPr="00C722F7">
        <w:rPr>
          <w:rFonts w:cstheme="majorHAnsi"/>
        </w:rPr>
        <w:t xml:space="preserve"> grant</w:t>
      </w:r>
      <w:r>
        <w:rPr>
          <w:rFonts w:cstheme="majorHAnsi"/>
        </w:rPr>
        <w:t xml:space="preserve"> agreements</w:t>
      </w:r>
      <w:r w:rsidRPr="00C722F7">
        <w:rPr>
          <w:rFonts w:cstheme="majorHAnsi"/>
        </w:rPr>
        <w:t>.</w:t>
      </w:r>
    </w:p>
    <w:p w14:paraId="7AE70D66" w14:textId="77777777" w:rsidR="00841CFE" w:rsidRPr="00C722F7" w:rsidRDefault="00841CFE" w:rsidP="00841CFE">
      <w:pPr>
        <w:pStyle w:val="Heading2"/>
        <w:numPr>
          <w:ilvl w:val="0"/>
          <w:numId w:val="10"/>
        </w:numPr>
        <w:spacing w:before="0" w:after="140" w:line="276" w:lineRule="auto"/>
        <w:ind w:left="426" w:hanging="426"/>
        <w:rPr>
          <w:rFonts w:ascii="Arial" w:eastAsia="Calibri" w:hAnsi="Arial" w:cstheme="majorHAnsi"/>
          <w:color w:val="auto"/>
        </w:rPr>
      </w:pPr>
      <w:r w:rsidRPr="00C722F7">
        <w:rPr>
          <w:rFonts w:ascii="Arial" w:eastAsia="Calibri" w:hAnsi="Arial" w:cstheme="majorHAnsi"/>
        </w:rPr>
        <w:t>What can I not use the Destination Australia grant for?</w:t>
      </w:r>
    </w:p>
    <w:p w14:paraId="0CF9F1ED" w14:textId="77777777" w:rsidR="00841CFE" w:rsidRPr="00C722F7" w:rsidRDefault="00841CFE" w:rsidP="00841CFE">
      <w:pPr>
        <w:pStyle w:val="BodyText"/>
        <w:ind w:left="426"/>
        <w:rPr>
          <w:rFonts w:cstheme="majorHAnsi"/>
        </w:rPr>
      </w:pPr>
      <w:r w:rsidRPr="00C722F7">
        <w:rPr>
          <w:rFonts w:cstheme="majorHAnsi"/>
        </w:rPr>
        <w:t>You cannot spend the grant on the items and activities listed in section 5.4 of the Grant Opportunity Guidelines.</w:t>
      </w:r>
    </w:p>
    <w:p w14:paraId="6BC2CBEA" w14:textId="77777777" w:rsidR="00841CFE" w:rsidRPr="00C722F7" w:rsidRDefault="00841CFE" w:rsidP="00841CFE">
      <w:pPr>
        <w:pStyle w:val="Heading2"/>
        <w:numPr>
          <w:ilvl w:val="0"/>
          <w:numId w:val="10"/>
        </w:numPr>
        <w:spacing w:before="0" w:after="140" w:line="276" w:lineRule="auto"/>
        <w:ind w:left="426" w:hanging="426"/>
        <w:rPr>
          <w:rFonts w:ascii="Arial" w:eastAsia="Calibri" w:hAnsi="Arial" w:cstheme="majorHAnsi"/>
        </w:rPr>
      </w:pPr>
      <w:r w:rsidRPr="00C722F7">
        <w:rPr>
          <w:rFonts w:ascii="Arial" w:eastAsia="Calibri" w:hAnsi="Arial" w:cstheme="majorHAnsi"/>
        </w:rPr>
        <w:t>If I receive funding under the New Colombo Plan,</w:t>
      </w:r>
      <w:r>
        <w:rPr>
          <w:rFonts w:ascii="Arial" w:eastAsia="Calibri" w:hAnsi="Arial" w:cstheme="majorHAnsi"/>
        </w:rPr>
        <w:t xml:space="preserve"> can I still apply for Destination Australia funding</w:t>
      </w:r>
      <w:r w:rsidRPr="00C722F7">
        <w:rPr>
          <w:rFonts w:ascii="Arial" w:eastAsia="Calibri" w:hAnsi="Arial" w:cstheme="majorHAnsi"/>
        </w:rPr>
        <w:t>?</w:t>
      </w:r>
    </w:p>
    <w:p w14:paraId="2B15C067" w14:textId="77777777" w:rsidR="00841CFE" w:rsidRPr="00C722F7" w:rsidRDefault="00841CFE" w:rsidP="00841CFE">
      <w:pPr>
        <w:ind w:left="426"/>
      </w:pPr>
      <w:r w:rsidRPr="00C722F7">
        <w:t>Yes. The Destination Australia Program does not limit providers’ ability to apply for and receive other Australian Government funding, such as the New Colombo Plan.</w:t>
      </w:r>
    </w:p>
    <w:p w14:paraId="7C82F493" w14:textId="77777777" w:rsidR="00841CFE" w:rsidRPr="00C722F7" w:rsidRDefault="00841CFE" w:rsidP="00841CFE">
      <w:pPr>
        <w:pStyle w:val="Heading2"/>
        <w:numPr>
          <w:ilvl w:val="0"/>
          <w:numId w:val="10"/>
        </w:numPr>
        <w:spacing w:before="0" w:after="140" w:line="276" w:lineRule="auto"/>
        <w:ind w:left="426" w:hanging="426"/>
        <w:rPr>
          <w:rFonts w:ascii="Arial" w:hAnsi="Arial"/>
          <w:lang w:eastAsia="en-AU"/>
        </w:rPr>
      </w:pPr>
      <w:r w:rsidRPr="00C722F7">
        <w:rPr>
          <w:rFonts w:ascii="Arial" w:hAnsi="Arial"/>
          <w:lang w:eastAsia="en-AU"/>
        </w:rPr>
        <w:t>Can</w:t>
      </w:r>
      <w:r>
        <w:rPr>
          <w:rFonts w:ascii="Arial" w:hAnsi="Arial"/>
          <w:lang w:eastAsia="en-AU"/>
        </w:rPr>
        <w:t xml:space="preserve"> I </w:t>
      </w:r>
      <w:r w:rsidRPr="00C722F7">
        <w:rPr>
          <w:rFonts w:ascii="Arial" w:hAnsi="Arial"/>
          <w:lang w:eastAsia="en-AU"/>
        </w:rPr>
        <w:t>apply for other state-based funding in addition to Destination Australia</w:t>
      </w:r>
      <w:r>
        <w:rPr>
          <w:rFonts w:ascii="Arial" w:hAnsi="Arial"/>
          <w:lang w:eastAsia="en-AU"/>
        </w:rPr>
        <w:t xml:space="preserve"> funding</w:t>
      </w:r>
      <w:r w:rsidRPr="00C722F7">
        <w:rPr>
          <w:rFonts w:ascii="Arial" w:hAnsi="Arial"/>
          <w:lang w:eastAsia="en-AU"/>
        </w:rPr>
        <w:t>?</w:t>
      </w:r>
    </w:p>
    <w:p w14:paraId="46ED9E58" w14:textId="2197B194" w:rsidR="00841CFE" w:rsidRPr="00C722F7" w:rsidRDefault="00841CFE" w:rsidP="00841CFE">
      <w:pPr>
        <w:autoSpaceDE w:val="0"/>
        <w:autoSpaceDN w:val="0"/>
        <w:spacing w:after="120"/>
        <w:ind w:left="426"/>
        <w:rPr>
          <w:rFonts w:cstheme="majorHAnsi"/>
          <w:color w:val="000000" w:themeColor="text1"/>
          <w:szCs w:val="20"/>
        </w:rPr>
      </w:pPr>
      <w:r w:rsidRPr="00C722F7">
        <w:rPr>
          <w:rFonts w:cstheme="majorHAnsi"/>
          <w:color w:val="000000" w:themeColor="text1"/>
          <w:szCs w:val="20"/>
        </w:rPr>
        <w:t xml:space="preserve">Providers cannot use Destination Australia funding for activities for which other Commonwealth, state, territory or local government bodies have primary responsibility, or for which they have received funding from another government source </w:t>
      </w:r>
      <w:r>
        <w:rPr>
          <w:rFonts w:cstheme="majorHAnsi"/>
          <w:color w:val="000000" w:themeColor="text1"/>
          <w:szCs w:val="20"/>
        </w:rPr>
        <w:t>(</w:t>
      </w:r>
      <w:r w:rsidRPr="00C722F7">
        <w:rPr>
          <w:rFonts w:cstheme="majorHAnsi"/>
          <w:color w:val="000000" w:themeColor="text1"/>
          <w:szCs w:val="20"/>
        </w:rPr>
        <w:t>Grant Opportunity Guidelines</w:t>
      </w:r>
      <w:r>
        <w:rPr>
          <w:rFonts w:cstheme="majorHAnsi"/>
          <w:color w:val="000000" w:themeColor="text1"/>
          <w:szCs w:val="20"/>
        </w:rPr>
        <w:t xml:space="preserve">, </w:t>
      </w:r>
      <w:r w:rsidRPr="00C722F7">
        <w:rPr>
          <w:rFonts w:cstheme="majorHAnsi"/>
          <w:color w:val="000000" w:themeColor="text1"/>
          <w:szCs w:val="20"/>
        </w:rPr>
        <w:t>section 5.4</w:t>
      </w:r>
      <w:r>
        <w:rPr>
          <w:rFonts w:cstheme="majorHAnsi"/>
          <w:color w:val="000000" w:themeColor="text1"/>
          <w:szCs w:val="20"/>
        </w:rPr>
        <w:t>)</w:t>
      </w:r>
      <w:r w:rsidRPr="00C722F7">
        <w:rPr>
          <w:rFonts w:cstheme="majorHAnsi"/>
          <w:color w:val="000000" w:themeColor="text1"/>
          <w:szCs w:val="20"/>
        </w:rPr>
        <w:t xml:space="preserve">. </w:t>
      </w:r>
    </w:p>
    <w:p w14:paraId="24E06206" w14:textId="77777777" w:rsidR="00841CFE" w:rsidRPr="00C722F7" w:rsidRDefault="00841CFE" w:rsidP="00841CFE">
      <w:pPr>
        <w:pStyle w:val="Heading2"/>
        <w:numPr>
          <w:ilvl w:val="0"/>
          <w:numId w:val="10"/>
        </w:numPr>
        <w:spacing w:before="0" w:after="140" w:line="276" w:lineRule="auto"/>
        <w:ind w:left="426" w:hanging="426"/>
        <w:rPr>
          <w:rFonts w:ascii="Arial" w:hAnsi="Arial"/>
          <w:lang w:eastAsia="en-AU"/>
        </w:rPr>
      </w:pPr>
      <w:r>
        <w:rPr>
          <w:rFonts w:ascii="Arial" w:hAnsi="Arial"/>
          <w:lang w:eastAsia="en-AU"/>
        </w:rPr>
        <w:t>What happens i</w:t>
      </w:r>
      <w:r w:rsidRPr="00C722F7">
        <w:rPr>
          <w:rFonts w:ascii="Arial" w:hAnsi="Arial"/>
          <w:lang w:eastAsia="en-AU"/>
        </w:rPr>
        <w:t xml:space="preserve">f a </w:t>
      </w:r>
      <w:r w:rsidRPr="00A673D9">
        <w:rPr>
          <w:rFonts w:ascii="Arial" w:hAnsi="Arial"/>
          <w:lang w:eastAsia="en-AU"/>
        </w:rPr>
        <w:t>scholar</w:t>
      </w:r>
      <w:r>
        <w:rPr>
          <w:rFonts w:ascii="Arial" w:hAnsi="Arial"/>
          <w:lang w:eastAsia="en-AU"/>
        </w:rPr>
        <w:t>ship student</w:t>
      </w:r>
      <w:r w:rsidRPr="00C722F7">
        <w:rPr>
          <w:rFonts w:ascii="Arial" w:hAnsi="Arial"/>
          <w:lang w:eastAsia="en-AU"/>
        </w:rPr>
        <w:t xml:space="preserve"> cancels their study prior to finishing their course</w:t>
      </w:r>
      <w:r>
        <w:rPr>
          <w:rFonts w:ascii="Arial" w:hAnsi="Arial"/>
          <w:lang w:eastAsia="en-AU"/>
        </w:rPr>
        <w:t xml:space="preserve">? Can we recover the scholarship </w:t>
      </w:r>
      <w:r w:rsidRPr="00C722F7">
        <w:rPr>
          <w:rFonts w:ascii="Arial" w:hAnsi="Arial"/>
          <w:lang w:eastAsia="en-AU"/>
        </w:rPr>
        <w:t>funding</w:t>
      </w:r>
      <w:r>
        <w:rPr>
          <w:rFonts w:ascii="Arial" w:hAnsi="Arial"/>
          <w:lang w:eastAsia="en-AU"/>
        </w:rPr>
        <w:t xml:space="preserve"> paid to them</w:t>
      </w:r>
      <w:r w:rsidRPr="00C722F7">
        <w:rPr>
          <w:rFonts w:ascii="Arial" w:hAnsi="Arial"/>
          <w:lang w:eastAsia="en-AU"/>
        </w:rPr>
        <w:t>?</w:t>
      </w:r>
    </w:p>
    <w:p w14:paraId="4F1D41AB" w14:textId="20EEB366" w:rsidR="00841CFE" w:rsidRDefault="00EC53B1" w:rsidP="00841CFE">
      <w:pPr>
        <w:ind w:left="426"/>
        <w:rPr>
          <w:rFonts w:cstheme="majorHAnsi"/>
          <w:color w:val="000000" w:themeColor="text1"/>
          <w:szCs w:val="20"/>
        </w:rPr>
      </w:pPr>
      <w:r>
        <w:rPr>
          <w:rFonts w:cs="Arial"/>
        </w:rPr>
        <w:t xml:space="preserve">Providers must pay the scholarship student the </w:t>
      </w:r>
      <w:r w:rsidRPr="00E96462">
        <w:rPr>
          <w:rFonts w:cs="Arial"/>
        </w:rPr>
        <w:t xml:space="preserve">first instalment of scholarship funds within one week of the student census date or within </w:t>
      </w:r>
      <w:r w:rsidR="002A0BA0">
        <w:rPr>
          <w:rFonts w:cs="Arial"/>
        </w:rPr>
        <w:t>6</w:t>
      </w:r>
      <w:r w:rsidR="002A0BA0" w:rsidRPr="00E96462">
        <w:rPr>
          <w:rFonts w:cs="Arial"/>
        </w:rPr>
        <w:t xml:space="preserve"> </w:t>
      </w:r>
      <w:r w:rsidRPr="00E96462">
        <w:rPr>
          <w:rFonts w:cs="Arial"/>
        </w:rPr>
        <w:t xml:space="preserve">weeks of the student commencing their study program, whichever is sooner. </w:t>
      </w:r>
      <w:r w:rsidR="00841CFE" w:rsidRPr="00C722F7">
        <w:rPr>
          <w:rFonts w:cstheme="majorHAnsi"/>
          <w:color w:val="000000" w:themeColor="text1"/>
          <w:szCs w:val="20"/>
        </w:rPr>
        <w:t>Providers are not permitted to recover scholarship funding from a scholarship student who has withdrawn from the course</w:t>
      </w:r>
      <w:r w:rsidR="00841CFE">
        <w:rPr>
          <w:rFonts w:cstheme="majorHAnsi"/>
          <w:color w:val="000000" w:themeColor="text1"/>
          <w:szCs w:val="20"/>
        </w:rPr>
        <w:t>, regardless of the reasons for the student’s withdrawal (Grant Opportunity Guidelines, section 5.3)</w:t>
      </w:r>
      <w:r w:rsidR="00841CFE" w:rsidRPr="00C722F7">
        <w:rPr>
          <w:rFonts w:cstheme="majorHAnsi"/>
          <w:color w:val="000000" w:themeColor="text1"/>
          <w:szCs w:val="20"/>
        </w:rPr>
        <w:t>.</w:t>
      </w:r>
    </w:p>
    <w:p w14:paraId="306D0D85" w14:textId="77777777" w:rsidR="00841CFE" w:rsidRPr="00841CFE" w:rsidRDefault="00841CFE" w:rsidP="00841CFE">
      <w:pPr>
        <w:rPr>
          <w:iCs/>
          <w:sz w:val="32"/>
        </w:rPr>
      </w:pPr>
      <w:r w:rsidRPr="00841CFE">
        <w:rPr>
          <w:iCs/>
          <w:sz w:val="32"/>
        </w:rPr>
        <w:lastRenderedPageBreak/>
        <w:t>Eligible providers</w:t>
      </w:r>
    </w:p>
    <w:p w14:paraId="62AC7D55" w14:textId="77777777" w:rsidR="00841CFE" w:rsidRPr="00EA7755" w:rsidRDefault="00841CFE" w:rsidP="00841CFE">
      <w:pPr>
        <w:pStyle w:val="Heading2"/>
        <w:numPr>
          <w:ilvl w:val="0"/>
          <w:numId w:val="10"/>
        </w:numPr>
        <w:spacing w:before="0" w:after="140" w:line="276" w:lineRule="auto"/>
        <w:ind w:left="426" w:hanging="426"/>
        <w:rPr>
          <w:rFonts w:ascii="Arial" w:eastAsia="Calibri" w:hAnsi="Arial" w:cstheme="majorHAnsi"/>
        </w:rPr>
      </w:pPr>
      <w:r w:rsidRPr="00EA7755">
        <w:rPr>
          <w:rFonts w:ascii="Arial" w:eastAsia="Calibri" w:hAnsi="Arial" w:cstheme="majorHAnsi"/>
        </w:rPr>
        <w:t>Who</w:t>
      </w:r>
      <w:r>
        <w:rPr>
          <w:rFonts w:ascii="Arial" w:eastAsia="Calibri" w:hAnsi="Arial" w:cstheme="majorHAnsi"/>
        </w:rPr>
        <w:t xml:space="preserve"> is eligible to </w:t>
      </w:r>
      <w:r w:rsidRPr="00EA7755">
        <w:rPr>
          <w:rFonts w:ascii="Arial" w:eastAsia="Calibri" w:hAnsi="Arial" w:cstheme="majorHAnsi"/>
        </w:rPr>
        <w:t xml:space="preserve">apply for </w:t>
      </w:r>
      <w:r>
        <w:rPr>
          <w:rFonts w:ascii="Arial" w:eastAsia="Calibri" w:hAnsi="Arial" w:cstheme="majorHAnsi"/>
        </w:rPr>
        <w:t xml:space="preserve">this </w:t>
      </w:r>
      <w:r w:rsidRPr="00EA7755">
        <w:rPr>
          <w:rFonts w:ascii="Arial" w:eastAsia="Calibri" w:hAnsi="Arial" w:cstheme="majorHAnsi"/>
        </w:rPr>
        <w:t xml:space="preserve">Destination Australia grant opportunity? </w:t>
      </w:r>
    </w:p>
    <w:p w14:paraId="6AB992CE" w14:textId="4B315E55" w:rsidR="00841CFE" w:rsidRPr="00EA7755" w:rsidRDefault="00841CFE" w:rsidP="00841CFE">
      <w:pPr>
        <w:ind w:left="426"/>
        <w:rPr>
          <w:rFonts w:cs="Arial"/>
        </w:rPr>
      </w:pPr>
      <w:r w:rsidRPr="00EA7755">
        <w:rPr>
          <w:rFonts w:cs="Arial"/>
          <w:bCs/>
        </w:rPr>
        <w:t>You are eligible to apply for this grant opportunity if you can demonstrate you meet all of the criteria</w:t>
      </w:r>
      <w:r w:rsidR="0034774E">
        <w:rPr>
          <w:rFonts w:cs="Arial"/>
          <w:bCs/>
        </w:rPr>
        <w:t xml:space="preserve"> in </w:t>
      </w:r>
      <w:r w:rsidRPr="00EA7755">
        <w:rPr>
          <w:rFonts w:cs="Arial"/>
        </w:rPr>
        <w:t>section 4.1 of the Grant Opportunity Guidelines.</w:t>
      </w:r>
    </w:p>
    <w:p w14:paraId="6C41DD46" w14:textId="77777777" w:rsidR="00841CFE" w:rsidRPr="00EA7755" w:rsidRDefault="00841CFE" w:rsidP="00841CFE">
      <w:pPr>
        <w:pStyle w:val="Heading2"/>
        <w:numPr>
          <w:ilvl w:val="0"/>
          <w:numId w:val="10"/>
        </w:numPr>
        <w:spacing w:before="0" w:after="140" w:line="276" w:lineRule="auto"/>
        <w:ind w:left="426" w:hanging="426"/>
        <w:rPr>
          <w:rFonts w:ascii="Arial" w:eastAsia="Calibri" w:hAnsi="Arial" w:cstheme="majorHAnsi"/>
        </w:rPr>
      </w:pPr>
      <w:r w:rsidRPr="00EA7755">
        <w:rPr>
          <w:rFonts w:ascii="Arial" w:eastAsia="Calibri" w:hAnsi="Arial" w:cstheme="majorHAnsi"/>
        </w:rPr>
        <w:t xml:space="preserve">Who is not eligible to apply for </w:t>
      </w:r>
      <w:r>
        <w:rPr>
          <w:rFonts w:ascii="Arial" w:eastAsia="Calibri" w:hAnsi="Arial" w:cstheme="majorHAnsi"/>
        </w:rPr>
        <w:t xml:space="preserve">this </w:t>
      </w:r>
      <w:r w:rsidRPr="00EA7755">
        <w:rPr>
          <w:rFonts w:ascii="Arial" w:eastAsia="Calibri" w:hAnsi="Arial" w:cstheme="majorHAnsi"/>
        </w:rPr>
        <w:t>Destination Australia grant</w:t>
      </w:r>
      <w:r>
        <w:rPr>
          <w:rFonts w:ascii="Arial" w:eastAsia="Calibri" w:hAnsi="Arial" w:cstheme="majorHAnsi"/>
        </w:rPr>
        <w:t xml:space="preserve"> opportunity</w:t>
      </w:r>
      <w:r w:rsidRPr="00EA7755">
        <w:rPr>
          <w:rFonts w:ascii="Arial" w:eastAsia="Calibri" w:hAnsi="Arial" w:cstheme="majorHAnsi"/>
        </w:rPr>
        <w:t>?</w:t>
      </w:r>
    </w:p>
    <w:p w14:paraId="35D2AA9C" w14:textId="77777777" w:rsidR="00841CFE" w:rsidRPr="00EA7755" w:rsidRDefault="00841CFE" w:rsidP="00841CFE">
      <w:pPr>
        <w:pStyle w:val="BodyText"/>
        <w:ind w:left="426"/>
        <w:rPr>
          <w:rFonts w:cstheme="majorHAnsi"/>
        </w:rPr>
      </w:pPr>
      <w:r w:rsidRPr="00EA7755">
        <w:rPr>
          <w:rFonts w:cstheme="majorHAnsi"/>
        </w:rPr>
        <w:t>You are not eligible to apply if you do not meet the eligibility criteria described in section 4.1 of the Grant Opportunity Guidelines.</w:t>
      </w:r>
    </w:p>
    <w:p w14:paraId="6DE7F6F7" w14:textId="062FB690" w:rsidR="00841CFE" w:rsidRPr="00EA7755" w:rsidRDefault="00841CFE" w:rsidP="00841CFE">
      <w:pPr>
        <w:ind w:left="426"/>
      </w:pPr>
      <w:r w:rsidRPr="00EA7755">
        <w:t>Students</w:t>
      </w:r>
      <w:r w:rsidR="00413914">
        <w:t xml:space="preserve"> cannot </w:t>
      </w:r>
      <w:r w:rsidRPr="00EA7755">
        <w:t>directly apply for scholarships through the Community Grants Hub.</w:t>
      </w:r>
    </w:p>
    <w:p w14:paraId="76FA48D4" w14:textId="77777777" w:rsidR="00841CFE" w:rsidRPr="001F6D94" w:rsidRDefault="00841CFE" w:rsidP="00841CFE">
      <w:pPr>
        <w:pStyle w:val="Heading2"/>
        <w:numPr>
          <w:ilvl w:val="0"/>
          <w:numId w:val="10"/>
        </w:numPr>
        <w:spacing w:before="0" w:after="140" w:line="276" w:lineRule="auto"/>
        <w:ind w:left="426" w:hanging="426"/>
        <w:rPr>
          <w:rFonts w:ascii="Arial" w:eastAsia="Calibri" w:hAnsi="Arial" w:cstheme="majorHAnsi"/>
        </w:rPr>
      </w:pPr>
      <w:r w:rsidRPr="001F6D94">
        <w:rPr>
          <w:rFonts w:ascii="Arial" w:eastAsia="Calibri" w:hAnsi="Arial" w:cstheme="majorHAnsi"/>
        </w:rPr>
        <w:t>Can I apply in a joint (consortia) arrangement?</w:t>
      </w:r>
    </w:p>
    <w:p w14:paraId="08E5533C" w14:textId="5AAAB107" w:rsidR="00841CFE" w:rsidRDefault="00841CFE" w:rsidP="00712558">
      <w:pPr>
        <w:pStyle w:val="BodyText"/>
        <w:ind w:left="426"/>
      </w:pPr>
      <w:r w:rsidRPr="001F6D94">
        <w:t xml:space="preserve">Yes, you may apply as a consortium. A consortium application must identify a lead organisation. The lead organisation must submit the application form and, if successful, enter into a grant agreement with the Commonwealth. The lead organisation and all consortium members must meet the eligibility criteria described in section 4.1 of the </w:t>
      </w:r>
      <w:r>
        <w:t xml:space="preserve">Grant Opportunity </w:t>
      </w:r>
      <w:r w:rsidRPr="001F6D94">
        <w:t>Guidelines.</w:t>
      </w:r>
    </w:p>
    <w:p w14:paraId="60B6C949" w14:textId="22BACF91" w:rsidR="00841CFE" w:rsidRPr="001F6D94" w:rsidRDefault="00841CFE" w:rsidP="00841CFE">
      <w:pPr>
        <w:pStyle w:val="BodyText"/>
        <w:ind w:left="426"/>
      </w:pPr>
      <w:r w:rsidRPr="001F6D94">
        <w:t xml:space="preserve">If you apply as part of a consortium, either as the lead organisation or as a member of the consortium, you cannot also apply as an applicant in your own right. </w:t>
      </w:r>
    </w:p>
    <w:p w14:paraId="5F54E0F7" w14:textId="77777777" w:rsidR="00841CFE" w:rsidRPr="001F6D94" w:rsidRDefault="00841CFE" w:rsidP="00841CFE">
      <w:pPr>
        <w:pStyle w:val="BodyText"/>
        <w:ind w:left="426"/>
      </w:pPr>
      <w:r w:rsidRPr="001F6D94">
        <w:t>For further information on consortium applications, see section 7.2 of the Grant Opportunity Guidelines.</w:t>
      </w:r>
    </w:p>
    <w:p w14:paraId="56474FB3" w14:textId="77777777" w:rsidR="00841CFE" w:rsidRPr="00EA7755" w:rsidRDefault="00841CFE" w:rsidP="00841CFE">
      <w:pPr>
        <w:pStyle w:val="Heading2"/>
        <w:numPr>
          <w:ilvl w:val="0"/>
          <w:numId w:val="10"/>
        </w:numPr>
        <w:spacing w:before="0" w:after="140" w:line="276" w:lineRule="auto"/>
        <w:ind w:left="426" w:hanging="426"/>
        <w:rPr>
          <w:rFonts w:ascii="Arial" w:hAnsi="Arial"/>
          <w:lang w:eastAsia="en-AU"/>
        </w:rPr>
      </w:pPr>
      <w:r w:rsidRPr="00EA7755">
        <w:rPr>
          <w:rFonts w:ascii="Arial" w:hAnsi="Arial"/>
          <w:lang w:eastAsia="en-AU"/>
        </w:rPr>
        <w:t xml:space="preserve">If I want to offer scholarships </w:t>
      </w:r>
      <w:r>
        <w:rPr>
          <w:rFonts w:ascii="Arial" w:hAnsi="Arial"/>
          <w:lang w:eastAsia="en-AU"/>
        </w:rPr>
        <w:t xml:space="preserve">to domestic students </w:t>
      </w:r>
      <w:r w:rsidRPr="00EA7755">
        <w:rPr>
          <w:rFonts w:ascii="Arial" w:hAnsi="Arial"/>
          <w:lang w:eastAsia="en-AU"/>
        </w:rPr>
        <w:t>only, do I need to have CRICOS registration to be eligible to apply?</w:t>
      </w:r>
    </w:p>
    <w:p w14:paraId="08C97C6B" w14:textId="77777777" w:rsidR="00841CFE" w:rsidRPr="00117EFA" w:rsidRDefault="00841CFE" w:rsidP="00841CFE">
      <w:pPr>
        <w:pStyle w:val="Heading2"/>
        <w:spacing w:before="0" w:after="140" w:line="276" w:lineRule="auto"/>
        <w:ind w:left="426"/>
        <w:rPr>
          <w:rFonts w:ascii="Arial" w:hAnsi="Arial" w:cstheme="majorHAnsi"/>
          <w:b w:val="0"/>
          <w:bCs w:val="0"/>
          <w:sz w:val="22"/>
          <w:szCs w:val="24"/>
          <w:lang w:eastAsia="en-AU"/>
        </w:rPr>
      </w:pPr>
      <w:r w:rsidRPr="00117EFA">
        <w:rPr>
          <w:rFonts w:ascii="Arial" w:hAnsi="Arial"/>
          <w:b w:val="0"/>
          <w:bCs w:val="0"/>
          <w:sz w:val="22"/>
          <w:lang w:eastAsia="en-AU"/>
        </w:rPr>
        <w:t xml:space="preserve">No. You must meet the eligibility criteria in section 4.1 of the Grant Opportunity Guidelines. You must have </w:t>
      </w:r>
      <w:r>
        <w:rPr>
          <w:rFonts w:ascii="Arial" w:hAnsi="Arial"/>
          <w:b w:val="0"/>
          <w:bCs w:val="0"/>
          <w:sz w:val="22"/>
          <w:lang w:eastAsia="en-AU"/>
        </w:rPr>
        <w:t xml:space="preserve">current </w:t>
      </w:r>
      <w:r w:rsidRPr="00117EFA">
        <w:rPr>
          <w:rFonts w:ascii="Arial" w:hAnsi="Arial"/>
          <w:b w:val="0"/>
          <w:bCs w:val="0"/>
          <w:sz w:val="22"/>
          <w:lang w:eastAsia="en-AU"/>
        </w:rPr>
        <w:t>CRICOS registration only if you intend to offer scholarships</w:t>
      </w:r>
      <w:r>
        <w:rPr>
          <w:rFonts w:ascii="Arial" w:hAnsi="Arial"/>
          <w:b w:val="0"/>
          <w:bCs w:val="0"/>
          <w:sz w:val="22"/>
          <w:lang w:eastAsia="en-AU"/>
        </w:rPr>
        <w:t xml:space="preserve"> to international students</w:t>
      </w:r>
      <w:r w:rsidRPr="00117EFA">
        <w:rPr>
          <w:rFonts w:ascii="Arial" w:hAnsi="Arial"/>
          <w:b w:val="0"/>
          <w:bCs w:val="0"/>
          <w:sz w:val="22"/>
          <w:lang w:eastAsia="en-AU"/>
        </w:rPr>
        <w:t>.</w:t>
      </w:r>
    </w:p>
    <w:p w14:paraId="34B6C80C" w14:textId="77777777" w:rsidR="00841CFE" w:rsidRPr="00EA7755" w:rsidRDefault="00841CFE" w:rsidP="00841CFE">
      <w:pPr>
        <w:pStyle w:val="Heading2"/>
        <w:numPr>
          <w:ilvl w:val="0"/>
          <w:numId w:val="10"/>
        </w:numPr>
        <w:spacing w:before="0" w:after="140" w:line="276" w:lineRule="auto"/>
        <w:ind w:left="426" w:hanging="426"/>
        <w:rPr>
          <w:rFonts w:ascii="Arial" w:hAnsi="Arial" w:cstheme="majorHAnsi"/>
          <w:b w:val="0"/>
          <w:sz w:val="26"/>
          <w:szCs w:val="24"/>
          <w:lang w:eastAsia="en-AU"/>
        </w:rPr>
      </w:pPr>
      <w:r w:rsidRPr="00EA7755">
        <w:rPr>
          <w:rFonts w:ascii="Arial" w:hAnsi="Arial" w:cstheme="majorHAnsi"/>
          <w:szCs w:val="24"/>
          <w:lang w:eastAsia="en-AU"/>
        </w:rPr>
        <w:t xml:space="preserve">Are Regional </w:t>
      </w:r>
      <w:r w:rsidRPr="00EA7755">
        <w:rPr>
          <w:rFonts w:ascii="Arial" w:hAnsi="Arial"/>
        </w:rPr>
        <w:t>Study</w:t>
      </w:r>
      <w:r w:rsidRPr="00EA7755">
        <w:rPr>
          <w:rFonts w:ascii="Arial" w:hAnsi="Arial" w:cstheme="majorHAnsi"/>
          <w:szCs w:val="24"/>
          <w:lang w:eastAsia="en-AU"/>
        </w:rPr>
        <w:t xml:space="preserve"> Hubs eligible for the Destination Australia Program?</w:t>
      </w:r>
    </w:p>
    <w:p w14:paraId="63255085" w14:textId="4F92AE2B" w:rsidR="00841CFE" w:rsidRPr="00EA7755" w:rsidRDefault="00841CFE" w:rsidP="00841CFE">
      <w:pPr>
        <w:ind w:left="426"/>
        <w:rPr>
          <w:rFonts w:eastAsia="Calibri" w:cstheme="majorHAnsi"/>
        </w:rPr>
      </w:pPr>
      <w:r w:rsidRPr="00EA7755">
        <w:rPr>
          <w:lang w:eastAsia="en-AU"/>
        </w:rPr>
        <w:t xml:space="preserve">No. </w:t>
      </w:r>
      <w:r w:rsidRPr="00EA7755">
        <w:rPr>
          <w:rFonts w:eastAsia="Calibri" w:cstheme="majorHAnsi"/>
        </w:rPr>
        <w:t xml:space="preserve">Destination Australia funding cannot be used to support students studying more than one third of the units (or equivalent) of a higher education or VET course online or </w:t>
      </w:r>
      <w:r>
        <w:rPr>
          <w:rFonts w:eastAsia="Calibri" w:cstheme="majorHAnsi"/>
        </w:rPr>
        <w:t xml:space="preserve">by </w:t>
      </w:r>
      <w:r w:rsidRPr="00EA7755">
        <w:rPr>
          <w:rFonts w:eastAsia="Calibri" w:cstheme="majorHAnsi"/>
        </w:rPr>
        <w:t>distance</w:t>
      </w:r>
      <w:r>
        <w:rPr>
          <w:rFonts w:eastAsia="Calibri" w:cstheme="majorHAnsi"/>
        </w:rPr>
        <w:t xml:space="preserve"> education (Grant Opportunity Guidelines, section 5.4)</w:t>
      </w:r>
      <w:r w:rsidRPr="00EA7755">
        <w:rPr>
          <w:rFonts w:eastAsia="Calibri" w:cstheme="majorHAnsi"/>
        </w:rPr>
        <w:t>.</w:t>
      </w:r>
    </w:p>
    <w:p w14:paraId="298EE831" w14:textId="77777777" w:rsidR="00841CFE" w:rsidRPr="00841CFE" w:rsidRDefault="00841CFE" w:rsidP="00841CFE">
      <w:pPr>
        <w:rPr>
          <w:iCs/>
        </w:rPr>
      </w:pPr>
      <w:r w:rsidRPr="00841CFE">
        <w:rPr>
          <w:iCs/>
          <w:sz w:val="32"/>
        </w:rPr>
        <w:t>Eligible students</w:t>
      </w:r>
    </w:p>
    <w:p w14:paraId="6A6E6C86" w14:textId="77777777" w:rsidR="00841CFE" w:rsidRPr="001A4675" w:rsidRDefault="00841CFE" w:rsidP="00841CFE">
      <w:pPr>
        <w:pStyle w:val="Heading2"/>
        <w:numPr>
          <w:ilvl w:val="0"/>
          <w:numId w:val="10"/>
        </w:numPr>
        <w:spacing w:before="0" w:after="140" w:line="276" w:lineRule="auto"/>
        <w:ind w:left="426" w:hanging="426"/>
        <w:rPr>
          <w:rFonts w:ascii="Arial" w:eastAsia="Calibri" w:hAnsi="Arial" w:cstheme="majorHAnsi"/>
        </w:rPr>
      </w:pPr>
      <w:r>
        <w:rPr>
          <w:rFonts w:ascii="Arial" w:eastAsia="Calibri" w:hAnsi="Arial" w:cstheme="majorHAnsi"/>
        </w:rPr>
        <w:t>Who is an eligible scholarship student?</w:t>
      </w:r>
    </w:p>
    <w:p w14:paraId="294650E2" w14:textId="5DD6C20D" w:rsidR="00841CFE" w:rsidRPr="001A4675" w:rsidRDefault="00841CFE" w:rsidP="00841CFE">
      <w:pPr>
        <w:pStyle w:val="BodyText"/>
        <w:ind w:left="426"/>
      </w:pPr>
      <w:r>
        <w:t>A student is an eligible scholarship student if they meet the criteria in section 5.1.1 of the Grant Opportunity Guidelines. The student must meet all criteria for the duration of their scholarship.</w:t>
      </w:r>
      <w:r w:rsidR="007655FA">
        <w:t xml:space="preserve"> The student’s program must be a minimum of one year in duration.</w:t>
      </w:r>
    </w:p>
    <w:p w14:paraId="0999BFC7" w14:textId="77777777" w:rsidR="00841CFE" w:rsidRPr="001A4675" w:rsidRDefault="00841CFE" w:rsidP="00841CFE">
      <w:pPr>
        <w:pStyle w:val="Heading2"/>
        <w:numPr>
          <w:ilvl w:val="0"/>
          <w:numId w:val="10"/>
        </w:numPr>
        <w:spacing w:before="0" w:after="140" w:line="276" w:lineRule="auto"/>
        <w:ind w:left="426" w:hanging="426"/>
        <w:rPr>
          <w:rFonts w:ascii="Arial" w:eastAsia="Calibri" w:hAnsi="Arial" w:cstheme="majorHAnsi"/>
        </w:rPr>
      </w:pPr>
      <w:r w:rsidRPr="001A4675">
        <w:rPr>
          <w:rFonts w:ascii="Arial" w:eastAsia="Calibri" w:hAnsi="Arial" w:cstheme="majorHAnsi"/>
        </w:rPr>
        <w:lastRenderedPageBreak/>
        <w:t>What is a new course of study?</w:t>
      </w:r>
    </w:p>
    <w:p w14:paraId="6A5EE851" w14:textId="77777777" w:rsidR="00841CFE" w:rsidRPr="001A4675" w:rsidRDefault="00841CFE" w:rsidP="00841CFE">
      <w:pPr>
        <w:pStyle w:val="BodyText"/>
        <w:ind w:left="426"/>
        <w:rPr>
          <w:rFonts w:cstheme="majorHAnsi"/>
        </w:rPr>
      </w:pPr>
      <w:r w:rsidRPr="001A4675">
        <w:rPr>
          <w:rFonts w:cstheme="majorHAnsi"/>
        </w:rPr>
        <w:t>A student has commenced a new course of study if they have:</w:t>
      </w:r>
    </w:p>
    <w:p w14:paraId="56036003" w14:textId="77777777" w:rsidR="00841CFE" w:rsidRPr="001A4675" w:rsidRDefault="00841CFE" w:rsidP="00841CFE">
      <w:pPr>
        <w:pStyle w:val="BodyText"/>
        <w:numPr>
          <w:ilvl w:val="0"/>
          <w:numId w:val="25"/>
        </w:numPr>
        <w:spacing w:line="276" w:lineRule="auto"/>
        <w:rPr>
          <w:rFonts w:cstheme="majorHAnsi"/>
        </w:rPr>
      </w:pPr>
      <w:r w:rsidRPr="001A4675">
        <w:rPr>
          <w:rFonts w:cstheme="majorHAnsi"/>
        </w:rPr>
        <w:t>enrolled in a course at the provider for the first time</w:t>
      </w:r>
    </w:p>
    <w:p w14:paraId="5A874534" w14:textId="77777777" w:rsidR="00841CFE" w:rsidRDefault="00841CFE" w:rsidP="00841CFE">
      <w:pPr>
        <w:pStyle w:val="BodyText"/>
        <w:numPr>
          <w:ilvl w:val="0"/>
          <w:numId w:val="25"/>
        </w:numPr>
        <w:spacing w:line="276" w:lineRule="auto"/>
        <w:rPr>
          <w:rFonts w:cstheme="majorHAnsi"/>
        </w:rPr>
      </w:pPr>
      <w:r w:rsidRPr="001A4675">
        <w:rPr>
          <w:rFonts w:cstheme="majorHAnsi"/>
        </w:rPr>
        <w:t>transferred into a course at the provider after commencing study at a different provider</w:t>
      </w:r>
    </w:p>
    <w:p w14:paraId="1276CE3C" w14:textId="09B70B4C" w:rsidR="00841CFE" w:rsidRPr="000A6285" w:rsidRDefault="00841CFE" w:rsidP="00841CFE">
      <w:pPr>
        <w:pStyle w:val="BodyText"/>
        <w:numPr>
          <w:ilvl w:val="0"/>
          <w:numId w:val="25"/>
        </w:numPr>
        <w:spacing w:line="276" w:lineRule="auto"/>
        <w:rPr>
          <w:rFonts w:cstheme="majorHAnsi"/>
        </w:rPr>
      </w:pPr>
      <w:proofErr w:type="gramStart"/>
      <w:r w:rsidRPr="000A6285">
        <w:rPr>
          <w:rFonts w:cstheme="majorHAnsi"/>
        </w:rPr>
        <w:t>commenced</w:t>
      </w:r>
      <w:proofErr w:type="gramEnd"/>
      <w:r w:rsidRPr="000A6285">
        <w:rPr>
          <w:rFonts w:cstheme="majorHAnsi"/>
        </w:rPr>
        <w:t xml:space="preserve"> a </w:t>
      </w:r>
      <w:r w:rsidR="00A27351" w:rsidRPr="000A6285">
        <w:rPr>
          <w:rFonts w:cstheme="majorHAnsi"/>
        </w:rPr>
        <w:t>higher-level</w:t>
      </w:r>
      <w:r w:rsidRPr="000A6285">
        <w:rPr>
          <w:rFonts w:cstheme="majorHAnsi"/>
        </w:rPr>
        <w:t xml:space="preserve"> course at a provider after previously completing a course at the provider.</w:t>
      </w:r>
    </w:p>
    <w:p w14:paraId="72D28E50" w14:textId="747BFFD3" w:rsidR="00841CFE" w:rsidRPr="001A4675" w:rsidRDefault="00841CFE" w:rsidP="00841CFE">
      <w:pPr>
        <w:pStyle w:val="Heading2"/>
        <w:numPr>
          <w:ilvl w:val="0"/>
          <w:numId w:val="10"/>
        </w:numPr>
        <w:spacing w:before="0" w:after="140" w:line="276" w:lineRule="auto"/>
        <w:ind w:left="426" w:hanging="426"/>
        <w:rPr>
          <w:rFonts w:ascii="Arial" w:hAnsi="Arial" w:cstheme="majorHAnsi"/>
          <w:sz w:val="26"/>
          <w:szCs w:val="24"/>
        </w:rPr>
      </w:pPr>
      <w:r w:rsidRPr="001A4675">
        <w:rPr>
          <w:rFonts w:ascii="Arial" w:hAnsi="Arial" w:cstheme="majorHAnsi"/>
          <w:szCs w:val="24"/>
        </w:rPr>
        <w:t xml:space="preserve">What if I want to offer a scholarship for a </w:t>
      </w:r>
      <w:r w:rsidR="002A0BA0">
        <w:rPr>
          <w:rFonts w:ascii="Arial" w:hAnsi="Arial" w:cstheme="majorHAnsi"/>
          <w:szCs w:val="24"/>
        </w:rPr>
        <w:t>4</w:t>
      </w:r>
      <w:r w:rsidRPr="001A4675">
        <w:rPr>
          <w:rFonts w:ascii="Arial" w:hAnsi="Arial" w:cstheme="majorHAnsi"/>
          <w:szCs w:val="24"/>
        </w:rPr>
        <w:t xml:space="preserve">-year degree, but only the first </w:t>
      </w:r>
      <w:r w:rsidR="002A0BA0">
        <w:rPr>
          <w:rFonts w:ascii="Arial" w:hAnsi="Arial" w:cstheme="majorHAnsi"/>
          <w:szCs w:val="24"/>
        </w:rPr>
        <w:t>2</w:t>
      </w:r>
      <w:r w:rsidR="002A0BA0" w:rsidRPr="001A4675">
        <w:rPr>
          <w:rFonts w:ascii="Arial" w:hAnsi="Arial" w:cstheme="majorHAnsi"/>
          <w:szCs w:val="24"/>
        </w:rPr>
        <w:t xml:space="preserve"> </w:t>
      </w:r>
      <w:r w:rsidRPr="001A4675">
        <w:rPr>
          <w:rFonts w:ascii="Arial" w:hAnsi="Arial" w:cstheme="majorHAnsi"/>
          <w:szCs w:val="24"/>
        </w:rPr>
        <w:t>years are offered at a regional campus?</w:t>
      </w:r>
      <w:r w:rsidRPr="001A4675">
        <w:rPr>
          <w:rFonts w:ascii="Arial" w:hAnsi="Arial" w:cstheme="majorHAnsi"/>
          <w:szCs w:val="24"/>
        </w:rPr>
        <w:tab/>
      </w:r>
    </w:p>
    <w:p w14:paraId="12AA8DF3" w14:textId="1A7EEBD5" w:rsidR="00841CFE" w:rsidRPr="001A4675" w:rsidRDefault="00841CFE" w:rsidP="00841CFE">
      <w:pPr>
        <w:autoSpaceDE w:val="0"/>
        <w:autoSpaceDN w:val="0"/>
        <w:spacing w:after="120"/>
        <w:ind w:left="426"/>
        <w:rPr>
          <w:rFonts w:eastAsia="Calibri" w:cstheme="majorHAnsi"/>
        </w:rPr>
      </w:pPr>
      <w:r w:rsidRPr="001A4675">
        <w:rPr>
          <w:rFonts w:eastAsia="Calibri" w:cstheme="majorHAnsi"/>
        </w:rPr>
        <w:t xml:space="preserve">Students are </w:t>
      </w:r>
      <w:r w:rsidR="00AE0CC3">
        <w:rPr>
          <w:rFonts w:eastAsia="Calibri" w:cstheme="majorHAnsi"/>
        </w:rPr>
        <w:t xml:space="preserve">only eligible for a scholarship if they are </w:t>
      </w:r>
      <w:r w:rsidRPr="001A4675">
        <w:rPr>
          <w:rFonts w:eastAsia="Calibri" w:cstheme="majorHAnsi"/>
        </w:rPr>
        <w:t>studying full-time in a course that can be delivered in full at a regional campus</w:t>
      </w:r>
      <w:r>
        <w:rPr>
          <w:rFonts w:eastAsia="Calibri" w:cstheme="majorHAnsi"/>
        </w:rPr>
        <w:t xml:space="preserve"> </w:t>
      </w:r>
      <w:r w:rsidR="00875DAC">
        <w:rPr>
          <w:rFonts w:eastAsia="Calibri" w:cstheme="majorHAnsi"/>
        </w:rPr>
        <w:t>(</w:t>
      </w:r>
      <w:r w:rsidRPr="001A4675">
        <w:rPr>
          <w:rFonts w:eastAsia="Calibri" w:cstheme="majorHAnsi"/>
        </w:rPr>
        <w:t>Grant Opportunity Guidelines</w:t>
      </w:r>
      <w:r w:rsidR="00875DAC">
        <w:rPr>
          <w:rFonts w:eastAsia="Calibri" w:cstheme="majorHAnsi"/>
        </w:rPr>
        <w:t xml:space="preserve">, </w:t>
      </w:r>
      <w:r w:rsidR="00875DAC" w:rsidRPr="001A4675">
        <w:rPr>
          <w:rFonts w:eastAsia="Calibri" w:cstheme="majorHAnsi"/>
        </w:rPr>
        <w:t>section 5.1.1</w:t>
      </w:r>
      <w:r w:rsidR="00875DAC">
        <w:rPr>
          <w:rFonts w:eastAsia="Calibri" w:cstheme="majorHAnsi"/>
        </w:rPr>
        <w:t>)</w:t>
      </w:r>
      <w:r w:rsidRPr="001A4675">
        <w:rPr>
          <w:rFonts w:eastAsia="Calibri" w:cstheme="majorHAnsi"/>
        </w:rPr>
        <w:t>.</w:t>
      </w:r>
    </w:p>
    <w:p w14:paraId="3414528F" w14:textId="77777777" w:rsidR="00841CFE" w:rsidRPr="001A4675" w:rsidRDefault="00841CFE" w:rsidP="00841CFE">
      <w:pPr>
        <w:pStyle w:val="Heading2"/>
        <w:numPr>
          <w:ilvl w:val="0"/>
          <w:numId w:val="10"/>
        </w:numPr>
        <w:spacing w:before="0" w:after="140" w:line="276" w:lineRule="auto"/>
        <w:ind w:left="426" w:hanging="426"/>
        <w:rPr>
          <w:rFonts w:ascii="Arial" w:hAnsi="Arial" w:cstheme="majorHAnsi"/>
          <w:szCs w:val="24"/>
          <w:lang w:eastAsia="en-AU"/>
        </w:rPr>
      </w:pPr>
      <w:r w:rsidRPr="001A4675">
        <w:rPr>
          <w:rFonts w:ascii="Arial" w:hAnsi="Arial" w:cstheme="majorHAnsi"/>
          <w:szCs w:val="24"/>
          <w:lang w:eastAsia="en-AU"/>
        </w:rPr>
        <w:t>Can I offer scholarships to students who currently reside in major cities and to students who reside outside our regional area?</w:t>
      </w:r>
    </w:p>
    <w:p w14:paraId="0AB00308" w14:textId="77777777" w:rsidR="00841CFE" w:rsidRPr="001A4675" w:rsidRDefault="00841CFE" w:rsidP="00841CFE">
      <w:pPr>
        <w:ind w:left="426"/>
        <w:rPr>
          <w:rFonts w:eastAsia="Calibri" w:cstheme="majorHAnsi"/>
        </w:rPr>
      </w:pPr>
      <w:r w:rsidRPr="001A4675">
        <w:rPr>
          <w:rFonts w:eastAsia="Calibri" w:cstheme="majorHAnsi"/>
        </w:rPr>
        <w:t>Yes. From commencement of the scholarship, students must maintain ongoing residence in a regional area of Australia to remain eligible for the scholarship. The student’s place of residence prior to commencing the scholarship does not affect their eligibility.</w:t>
      </w:r>
    </w:p>
    <w:p w14:paraId="1D70FD89" w14:textId="77777777" w:rsidR="00841CFE" w:rsidRPr="001A4675" w:rsidRDefault="00841CFE" w:rsidP="00841CFE">
      <w:pPr>
        <w:pStyle w:val="Heading2"/>
        <w:numPr>
          <w:ilvl w:val="0"/>
          <w:numId w:val="10"/>
        </w:numPr>
        <w:spacing w:before="0" w:after="140" w:line="276" w:lineRule="auto"/>
        <w:ind w:left="426" w:hanging="426"/>
        <w:rPr>
          <w:rFonts w:ascii="Arial" w:eastAsia="Calibri" w:hAnsi="Arial" w:cstheme="majorHAnsi"/>
        </w:rPr>
      </w:pPr>
      <w:r w:rsidRPr="001A4675">
        <w:rPr>
          <w:rFonts w:ascii="Arial" w:eastAsia="Calibri" w:hAnsi="Arial" w:cstheme="majorHAnsi"/>
        </w:rPr>
        <w:t>Are students eligible for a scholarship if they are studying by online or distance learning and living in a regional area?</w:t>
      </w:r>
    </w:p>
    <w:p w14:paraId="12BB2A05" w14:textId="77777777" w:rsidR="00841CFE" w:rsidRPr="001A4675" w:rsidRDefault="00841CFE" w:rsidP="00841CFE">
      <w:pPr>
        <w:pStyle w:val="BodyText"/>
        <w:ind w:left="426"/>
        <w:rPr>
          <w:rFonts w:cstheme="majorHAnsi"/>
        </w:rPr>
      </w:pPr>
      <w:r w:rsidRPr="001A4675">
        <w:rPr>
          <w:rFonts w:cstheme="majorHAnsi"/>
        </w:rPr>
        <w:t>Students studying more than one third of the units (or equivalent) of a higher education or VET course by online or distance learning are not eligible for a Destination Australia scholarship</w:t>
      </w:r>
      <w:r>
        <w:rPr>
          <w:rFonts w:cstheme="majorHAnsi"/>
        </w:rPr>
        <w:t xml:space="preserve"> </w:t>
      </w:r>
      <w:r>
        <w:rPr>
          <w:rFonts w:eastAsia="Calibri" w:cstheme="majorHAnsi"/>
        </w:rPr>
        <w:t>(Grant Opportunity Guidelines, section 5.4)</w:t>
      </w:r>
      <w:r w:rsidRPr="001A4675">
        <w:rPr>
          <w:rFonts w:cstheme="majorHAnsi"/>
        </w:rPr>
        <w:t>.</w:t>
      </w:r>
    </w:p>
    <w:p w14:paraId="3147AC9A" w14:textId="77777777" w:rsidR="00841CFE" w:rsidRPr="001A4675" w:rsidRDefault="00841CFE" w:rsidP="00841CFE">
      <w:pPr>
        <w:pStyle w:val="Heading2"/>
        <w:numPr>
          <w:ilvl w:val="0"/>
          <w:numId w:val="10"/>
        </w:numPr>
        <w:spacing w:before="0" w:after="140" w:line="276" w:lineRule="auto"/>
        <w:ind w:left="426" w:hanging="426"/>
        <w:rPr>
          <w:rFonts w:ascii="Arial" w:eastAsia="Calibri" w:hAnsi="Arial" w:cstheme="majorHAnsi"/>
          <w:color w:val="auto"/>
        </w:rPr>
      </w:pPr>
      <w:r w:rsidRPr="001A4675">
        <w:rPr>
          <w:rFonts w:ascii="Arial" w:eastAsia="Calibri" w:hAnsi="Arial" w:cstheme="majorHAnsi"/>
        </w:rPr>
        <w:t>What is the definition of online learning?</w:t>
      </w:r>
    </w:p>
    <w:p w14:paraId="25B55EEC" w14:textId="77777777" w:rsidR="00841CFE" w:rsidRPr="001A4675" w:rsidRDefault="00841CFE" w:rsidP="00841CFE">
      <w:pPr>
        <w:pStyle w:val="BodyText"/>
        <w:ind w:left="426"/>
        <w:rPr>
          <w:rFonts w:cstheme="majorHAnsi"/>
        </w:rPr>
      </w:pPr>
      <w:r w:rsidRPr="001A4675">
        <w:rPr>
          <w:rFonts w:cstheme="majorHAnsi"/>
        </w:rPr>
        <w:t xml:space="preserve">Online learning is study where the teacher and student primarily communicate through digital media, technology-based tools and IT networks with no requirement for the student to attend scheduled classes or maintain contact hours. For the purposes of Destination Australia, online learning does not include the provision of online lectures, tuition or other resources that </w:t>
      </w:r>
      <w:r w:rsidRPr="00EF52F5">
        <w:rPr>
          <w:rFonts w:cstheme="majorHAnsi"/>
        </w:rPr>
        <w:t>supplement</w:t>
      </w:r>
      <w:r w:rsidRPr="001A4675">
        <w:rPr>
          <w:rFonts w:cstheme="majorHAnsi"/>
        </w:rPr>
        <w:t xml:space="preserve"> scheduled face-to-face classes or contact hours.</w:t>
      </w:r>
    </w:p>
    <w:p w14:paraId="3A074872" w14:textId="77777777" w:rsidR="00841CFE" w:rsidRPr="001A4675" w:rsidRDefault="00841CFE" w:rsidP="00841CFE">
      <w:pPr>
        <w:pStyle w:val="Heading2"/>
        <w:numPr>
          <w:ilvl w:val="0"/>
          <w:numId w:val="10"/>
        </w:numPr>
        <w:spacing w:before="0" w:after="140" w:line="276" w:lineRule="auto"/>
        <w:ind w:left="426" w:hanging="426"/>
        <w:rPr>
          <w:rFonts w:ascii="Arial" w:eastAsia="Calibri" w:hAnsi="Arial" w:cstheme="majorHAnsi"/>
        </w:rPr>
      </w:pPr>
      <w:r w:rsidRPr="001A4675">
        <w:rPr>
          <w:rFonts w:ascii="Arial" w:eastAsia="Calibri" w:hAnsi="Arial" w:cstheme="majorHAnsi"/>
        </w:rPr>
        <w:t>What is the definition of distance learning?</w:t>
      </w:r>
    </w:p>
    <w:p w14:paraId="4473068B" w14:textId="77777777" w:rsidR="00841CFE" w:rsidRPr="001A4675" w:rsidRDefault="00841CFE" w:rsidP="00841CFE">
      <w:pPr>
        <w:pStyle w:val="BodyText"/>
        <w:ind w:left="426"/>
      </w:pPr>
      <w:r w:rsidRPr="001A4675">
        <w:t xml:space="preserve">Distance </w:t>
      </w:r>
      <w:r w:rsidRPr="001A4675">
        <w:rPr>
          <w:rFonts w:cstheme="majorHAnsi"/>
        </w:rPr>
        <w:t>learning</w:t>
      </w:r>
      <w:r w:rsidRPr="001A4675">
        <w:t xml:space="preserve"> is any learning that a student undertakes off</w:t>
      </w:r>
      <w:r>
        <w:t>-</w:t>
      </w:r>
      <w:r w:rsidRPr="001A4675">
        <w:t>campus with no requirement for the student to physically attend regular tuition for the course.</w:t>
      </w:r>
    </w:p>
    <w:p w14:paraId="0BCEE721" w14:textId="77777777" w:rsidR="00841CFE" w:rsidRPr="001A4675" w:rsidRDefault="00841CFE" w:rsidP="00841CFE">
      <w:pPr>
        <w:pStyle w:val="Heading2"/>
        <w:numPr>
          <w:ilvl w:val="0"/>
          <w:numId w:val="10"/>
        </w:numPr>
        <w:spacing w:before="0" w:after="140" w:line="276" w:lineRule="auto"/>
        <w:ind w:left="426" w:hanging="426"/>
        <w:rPr>
          <w:rFonts w:ascii="Arial" w:eastAsia="Calibri" w:hAnsi="Arial" w:cstheme="majorHAnsi"/>
        </w:rPr>
      </w:pPr>
      <w:r w:rsidRPr="001A4675">
        <w:rPr>
          <w:rFonts w:ascii="Arial" w:eastAsia="Calibri" w:hAnsi="Arial" w:cstheme="majorHAnsi"/>
        </w:rPr>
        <w:t>How do students apply for a Destination Australia scholarship?</w:t>
      </w:r>
    </w:p>
    <w:p w14:paraId="236260C2" w14:textId="77777777" w:rsidR="006245C7" w:rsidRDefault="00841CFE" w:rsidP="00841CFE">
      <w:pPr>
        <w:ind w:left="426"/>
      </w:pPr>
      <w:r w:rsidRPr="001A4675">
        <w:t>Once the outcomes of Destination Australia 2022 (Round 3) are known, students</w:t>
      </w:r>
      <w:r>
        <w:t xml:space="preserve"> must </w:t>
      </w:r>
      <w:r w:rsidRPr="001A4675">
        <w:t>contact a successful tertiary education provider for advice on applying for a scholarship.</w:t>
      </w:r>
    </w:p>
    <w:p w14:paraId="1B858E4B" w14:textId="1026AA60" w:rsidR="00841CFE" w:rsidRPr="001A4675" w:rsidRDefault="006245C7" w:rsidP="00841CFE">
      <w:pPr>
        <w:ind w:left="426"/>
      </w:pPr>
      <w:r w:rsidRPr="00EA7755">
        <w:t>Students</w:t>
      </w:r>
      <w:r>
        <w:t xml:space="preserve"> cannot </w:t>
      </w:r>
      <w:r w:rsidRPr="00EA7755">
        <w:t>directly apply for scholarships through the Community Grants Hub.</w:t>
      </w:r>
    </w:p>
    <w:p w14:paraId="6DB09AA6" w14:textId="77777777" w:rsidR="00841CFE" w:rsidRPr="001A4675" w:rsidRDefault="00841CFE" w:rsidP="00841CFE">
      <w:pPr>
        <w:pStyle w:val="Heading2"/>
        <w:numPr>
          <w:ilvl w:val="0"/>
          <w:numId w:val="10"/>
        </w:numPr>
        <w:spacing w:before="0" w:after="140" w:line="276" w:lineRule="auto"/>
        <w:ind w:left="426" w:hanging="426"/>
        <w:rPr>
          <w:rFonts w:ascii="Arial" w:hAnsi="Arial" w:cstheme="majorHAnsi"/>
          <w:b w:val="0"/>
          <w:iCs/>
          <w:szCs w:val="24"/>
        </w:rPr>
      </w:pPr>
      <w:r w:rsidRPr="001A4675">
        <w:rPr>
          <w:rFonts w:ascii="Arial" w:hAnsi="Arial" w:cstheme="majorHAnsi"/>
          <w:iCs/>
          <w:szCs w:val="24"/>
        </w:rPr>
        <w:lastRenderedPageBreak/>
        <w:t xml:space="preserve">Are there </w:t>
      </w:r>
      <w:r w:rsidRPr="001A4675">
        <w:rPr>
          <w:rFonts w:ascii="Arial" w:hAnsi="Arial"/>
        </w:rPr>
        <w:t>priority</w:t>
      </w:r>
      <w:r w:rsidRPr="001A4675">
        <w:rPr>
          <w:rFonts w:ascii="Arial" w:hAnsi="Arial" w:cstheme="majorHAnsi"/>
          <w:iCs/>
          <w:szCs w:val="24"/>
        </w:rPr>
        <w:t xml:space="preserve"> fields of study for the Destination Australia Program?</w:t>
      </w:r>
    </w:p>
    <w:p w14:paraId="2B29D67B" w14:textId="77777777" w:rsidR="00841CFE" w:rsidRPr="001A4675" w:rsidRDefault="00841CFE" w:rsidP="00841CFE">
      <w:pPr>
        <w:spacing w:after="120"/>
        <w:ind w:left="426"/>
        <w:rPr>
          <w:rFonts w:eastAsia="Calibri" w:cstheme="majorHAnsi"/>
        </w:rPr>
      </w:pPr>
      <w:r w:rsidRPr="001A4675">
        <w:rPr>
          <w:rFonts w:eastAsia="Calibri" w:cstheme="majorHAnsi"/>
        </w:rPr>
        <w:t xml:space="preserve">There are no priority fields of study for the Destination Australia Program. </w:t>
      </w:r>
    </w:p>
    <w:p w14:paraId="7F15F00A" w14:textId="77777777" w:rsidR="00841CFE" w:rsidRPr="001A4675" w:rsidRDefault="00841CFE" w:rsidP="00841CFE">
      <w:pPr>
        <w:pStyle w:val="Heading2"/>
        <w:numPr>
          <w:ilvl w:val="0"/>
          <w:numId w:val="10"/>
        </w:numPr>
        <w:spacing w:before="0" w:after="140" w:line="276" w:lineRule="auto"/>
        <w:ind w:left="426" w:hanging="426"/>
        <w:rPr>
          <w:rFonts w:ascii="Arial" w:hAnsi="Arial"/>
          <w:sz w:val="22"/>
          <w:szCs w:val="22"/>
        </w:rPr>
      </w:pPr>
      <w:r w:rsidRPr="001A4675">
        <w:rPr>
          <w:rFonts w:ascii="Arial" w:hAnsi="Arial" w:cstheme="majorHAnsi"/>
          <w:szCs w:val="24"/>
        </w:rPr>
        <w:t>Is there a matrix for me to follow when awarding scholarships to students?</w:t>
      </w:r>
    </w:p>
    <w:p w14:paraId="07A6BB27" w14:textId="77777777" w:rsidR="00841CFE" w:rsidRPr="001A4675" w:rsidRDefault="00841CFE" w:rsidP="00841CFE">
      <w:pPr>
        <w:ind w:left="426"/>
        <w:rPr>
          <w:rFonts w:cstheme="majorHAnsi"/>
          <w:color w:val="000000" w:themeColor="text1"/>
        </w:rPr>
      </w:pPr>
      <w:r w:rsidRPr="001A4675">
        <w:rPr>
          <w:rFonts w:cstheme="majorHAnsi"/>
          <w:color w:val="000000" w:themeColor="text1"/>
        </w:rPr>
        <w:t>No. Successful providers will run their own processes for allocating and awarding scholarships to students who meet the eligibility criteria in section 5.1.1 of the Grant Opportunity Guidelines.</w:t>
      </w:r>
    </w:p>
    <w:p w14:paraId="2266830A" w14:textId="77777777" w:rsidR="00841CFE" w:rsidRPr="001A4675" w:rsidRDefault="00841CFE" w:rsidP="00841CFE">
      <w:pPr>
        <w:pStyle w:val="Heading2"/>
        <w:numPr>
          <w:ilvl w:val="0"/>
          <w:numId w:val="10"/>
        </w:numPr>
        <w:spacing w:before="0" w:after="140" w:line="276" w:lineRule="auto"/>
        <w:ind w:left="426" w:hanging="426"/>
        <w:rPr>
          <w:rFonts w:ascii="Arial" w:hAnsi="Arial"/>
          <w:lang w:eastAsia="en-AU"/>
        </w:rPr>
      </w:pPr>
      <w:r w:rsidRPr="001A4675">
        <w:rPr>
          <w:rFonts w:ascii="Arial" w:hAnsi="Arial"/>
          <w:lang w:eastAsia="en-AU"/>
        </w:rPr>
        <w:t>In terms of administering the scholarship, apart from the regional criteria, can I determine whether to assess students based on academic merit or financial need?</w:t>
      </w:r>
    </w:p>
    <w:p w14:paraId="51BDCF21" w14:textId="081C8411" w:rsidR="00841CFE" w:rsidRPr="001A4675" w:rsidRDefault="00841CFE" w:rsidP="00841CFE">
      <w:pPr>
        <w:autoSpaceDE w:val="0"/>
        <w:autoSpaceDN w:val="0"/>
        <w:spacing w:after="120"/>
        <w:ind w:left="426"/>
        <w:rPr>
          <w:rFonts w:cstheme="majorHAnsi"/>
          <w:color w:val="000000" w:themeColor="text1"/>
        </w:rPr>
      </w:pPr>
      <w:r w:rsidRPr="001A4675">
        <w:rPr>
          <w:rFonts w:cstheme="majorHAnsi"/>
          <w:color w:val="000000" w:themeColor="text1"/>
          <w:szCs w:val="20"/>
        </w:rPr>
        <w:t xml:space="preserve">Successful tertiary education providers will run their own processes </w:t>
      </w:r>
      <w:r w:rsidR="007011BE" w:rsidRPr="001A4675">
        <w:rPr>
          <w:rFonts w:cstheme="majorHAnsi"/>
          <w:color w:val="000000" w:themeColor="text1"/>
        </w:rPr>
        <w:t>for allocating and awarding scholarships to students who meet the eligibility criteria in section 5.1.1 of the Grant Opportunity Guidelines</w:t>
      </w:r>
      <w:r w:rsidRPr="001A4675">
        <w:rPr>
          <w:rFonts w:cstheme="majorHAnsi"/>
          <w:color w:val="000000" w:themeColor="text1"/>
          <w:szCs w:val="20"/>
        </w:rPr>
        <w:t>.</w:t>
      </w:r>
    </w:p>
    <w:p w14:paraId="79BFFD2D" w14:textId="77777777" w:rsidR="00841CFE" w:rsidRPr="001A4675" w:rsidRDefault="00841CFE" w:rsidP="00841CFE">
      <w:pPr>
        <w:pStyle w:val="Heading2"/>
        <w:numPr>
          <w:ilvl w:val="0"/>
          <w:numId w:val="10"/>
        </w:numPr>
        <w:spacing w:before="0" w:after="140" w:line="276" w:lineRule="auto"/>
        <w:ind w:left="426" w:hanging="426"/>
        <w:rPr>
          <w:rFonts w:ascii="Arial" w:hAnsi="Arial"/>
          <w:b w:val="0"/>
          <w:bCs w:val="0"/>
          <w:szCs w:val="24"/>
        </w:rPr>
      </w:pPr>
      <w:r w:rsidRPr="001A4675">
        <w:rPr>
          <w:rFonts w:ascii="Arial" w:hAnsi="Arial"/>
          <w:szCs w:val="24"/>
        </w:rPr>
        <w:t xml:space="preserve">What can </w:t>
      </w:r>
      <w:r>
        <w:rPr>
          <w:rFonts w:ascii="Arial" w:hAnsi="Arial"/>
          <w:szCs w:val="24"/>
        </w:rPr>
        <w:t xml:space="preserve">a scholarship </w:t>
      </w:r>
      <w:r w:rsidRPr="001A4675">
        <w:rPr>
          <w:rFonts w:ascii="Arial" w:hAnsi="Arial"/>
          <w:szCs w:val="24"/>
        </w:rPr>
        <w:t>student use their Destination Australia scholarship for? </w:t>
      </w:r>
    </w:p>
    <w:p w14:paraId="55609F88" w14:textId="74567D6E" w:rsidR="00841CFE" w:rsidRPr="001A4675" w:rsidRDefault="00841CFE" w:rsidP="00841CFE">
      <w:pPr>
        <w:spacing w:after="120"/>
        <w:ind w:left="426"/>
        <w:rPr>
          <w:rFonts w:eastAsia="Calibri" w:cstheme="majorHAnsi"/>
        </w:rPr>
      </w:pPr>
      <w:r w:rsidRPr="001A4675">
        <w:rPr>
          <w:rFonts w:eastAsia="Calibri" w:cstheme="majorHAnsi"/>
        </w:rPr>
        <w:t>The scholarship funds</w:t>
      </w:r>
      <w:r>
        <w:rPr>
          <w:rFonts w:eastAsia="Calibri" w:cstheme="majorHAnsi"/>
        </w:rPr>
        <w:t xml:space="preserve"> are to be used at </w:t>
      </w:r>
      <w:r w:rsidRPr="001A4675">
        <w:rPr>
          <w:rFonts w:eastAsia="Calibri" w:cstheme="majorHAnsi"/>
        </w:rPr>
        <w:t>the scholarship</w:t>
      </w:r>
      <w:r>
        <w:rPr>
          <w:rFonts w:eastAsia="Calibri" w:cstheme="majorHAnsi"/>
        </w:rPr>
        <w:t xml:space="preserve"> student’s discretion to support completion of their course of study in regional Australia</w:t>
      </w:r>
      <w:r w:rsidRPr="001A4675">
        <w:rPr>
          <w:rFonts w:eastAsia="Calibri" w:cstheme="majorHAnsi"/>
        </w:rPr>
        <w:t>.</w:t>
      </w:r>
    </w:p>
    <w:p w14:paraId="76D50BBB" w14:textId="77777777" w:rsidR="00841CFE" w:rsidRPr="001A4675" w:rsidRDefault="00841CFE" w:rsidP="00841CFE">
      <w:pPr>
        <w:spacing w:after="120"/>
        <w:ind w:left="426"/>
        <w:rPr>
          <w:rFonts w:eastAsia="Calibri" w:cstheme="majorHAnsi"/>
        </w:rPr>
      </w:pPr>
      <w:r w:rsidRPr="001A4675">
        <w:rPr>
          <w:rFonts w:cs="Arial"/>
        </w:rPr>
        <w:t>Successful providers are not permitted to keep scholarship funds themselves to offset tuition costs and they are not permitted to offer scholarships subject to any type of payment by scholarship students of scholarship funds back to their provider</w:t>
      </w:r>
      <w:r>
        <w:rPr>
          <w:rFonts w:cs="Arial"/>
        </w:rPr>
        <w:t xml:space="preserve"> (Grant Opportunity Guidelines, section 5.3)</w:t>
      </w:r>
      <w:r w:rsidRPr="001A4675">
        <w:rPr>
          <w:rFonts w:cs="Arial"/>
        </w:rPr>
        <w:t>.</w:t>
      </w:r>
    </w:p>
    <w:p w14:paraId="662FF147" w14:textId="77777777" w:rsidR="00841CFE" w:rsidRPr="001A4675" w:rsidRDefault="00841CFE" w:rsidP="00841CFE">
      <w:pPr>
        <w:pStyle w:val="Heading2"/>
        <w:numPr>
          <w:ilvl w:val="0"/>
          <w:numId w:val="10"/>
        </w:numPr>
        <w:spacing w:before="0" w:after="140" w:line="276" w:lineRule="auto"/>
        <w:ind w:left="426" w:hanging="426"/>
        <w:rPr>
          <w:rFonts w:ascii="Arial" w:hAnsi="Arial"/>
          <w:lang w:eastAsia="en-AU"/>
        </w:rPr>
      </w:pPr>
      <w:r w:rsidRPr="001A4675">
        <w:rPr>
          <w:rFonts w:ascii="Arial" w:hAnsi="Arial"/>
          <w:lang w:eastAsia="en-AU"/>
        </w:rPr>
        <w:t>Can a scholarship holder be employed while studying full</w:t>
      </w:r>
      <w:r>
        <w:rPr>
          <w:rFonts w:ascii="Arial" w:hAnsi="Arial"/>
          <w:lang w:eastAsia="en-AU"/>
        </w:rPr>
        <w:t>-</w:t>
      </w:r>
      <w:r w:rsidRPr="001A4675">
        <w:rPr>
          <w:rFonts w:ascii="Arial" w:hAnsi="Arial"/>
          <w:lang w:eastAsia="en-AU"/>
        </w:rPr>
        <w:t>time?</w:t>
      </w:r>
    </w:p>
    <w:p w14:paraId="584823CF" w14:textId="1543F1E7" w:rsidR="00841CFE" w:rsidRDefault="00841CFE" w:rsidP="00841CFE">
      <w:pPr>
        <w:autoSpaceDE w:val="0"/>
        <w:autoSpaceDN w:val="0"/>
        <w:spacing w:after="120"/>
        <w:ind w:left="426"/>
        <w:rPr>
          <w:rFonts w:cstheme="majorHAnsi"/>
          <w:color w:val="000000" w:themeColor="text1"/>
          <w:szCs w:val="20"/>
        </w:rPr>
      </w:pPr>
      <w:r w:rsidRPr="001A4675">
        <w:rPr>
          <w:rFonts w:cstheme="majorHAnsi"/>
          <w:color w:val="000000" w:themeColor="text1"/>
          <w:szCs w:val="20"/>
        </w:rPr>
        <w:t>The Grant Opportunity Guidelines require that</w:t>
      </w:r>
      <w:r>
        <w:rPr>
          <w:rFonts w:cstheme="majorHAnsi"/>
          <w:color w:val="000000" w:themeColor="text1"/>
          <w:szCs w:val="20"/>
        </w:rPr>
        <w:t xml:space="preserve"> scholarship</w:t>
      </w:r>
      <w:r w:rsidRPr="001A4675">
        <w:rPr>
          <w:rFonts w:cstheme="majorHAnsi"/>
          <w:color w:val="000000" w:themeColor="text1"/>
          <w:szCs w:val="20"/>
        </w:rPr>
        <w:t xml:space="preserve"> students meet the eligibility requirements in section 5.1.1. They do not place restrictions on the employment status of the</w:t>
      </w:r>
      <w:r>
        <w:rPr>
          <w:rFonts w:cstheme="majorHAnsi"/>
          <w:color w:val="000000" w:themeColor="text1"/>
          <w:szCs w:val="20"/>
        </w:rPr>
        <w:t xml:space="preserve"> scholarship students</w:t>
      </w:r>
      <w:r w:rsidRPr="001A4675">
        <w:rPr>
          <w:rFonts w:cstheme="majorHAnsi"/>
          <w:color w:val="000000" w:themeColor="text1"/>
          <w:szCs w:val="20"/>
        </w:rPr>
        <w:t xml:space="preserve">. </w:t>
      </w:r>
    </w:p>
    <w:p w14:paraId="62928F11" w14:textId="77777777" w:rsidR="00841CFE" w:rsidRPr="001A4675" w:rsidRDefault="00841CFE" w:rsidP="00841CFE">
      <w:pPr>
        <w:autoSpaceDE w:val="0"/>
        <w:autoSpaceDN w:val="0"/>
        <w:spacing w:after="120"/>
        <w:ind w:left="426"/>
        <w:rPr>
          <w:rFonts w:cstheme="majorHAnsi"/>
          <w:color w:val="000000" w:themeColor="text1"/>
          <w:szCs w:val="20"/>
        </w:rPr>
      </w:pPr>
      <w:r w:rsidRPr="001A4675">
        <w:rPr>
          <w:rFonts w:cstheme="majorHAnsi"/>
          <w:color w:val="000000" w:themeColor="text1"/>
          <w:szCs w:val="20"/>
        </w:rPr>
        <w:t xml:space="preserve">International </w:t>
      </w:r>
      <w:r>
        <w:rPr>
          <w:rFonts w:cstheme="majorHAnsi"/>
          <w:color w:val="000000" w:themeColor="text1"/>
          <w:szCs w:val="20"/>
        </w:rPr>
        <w:t xml:space="preserve">scholarship </w:t>
      </w:r>
      <w:r w:rsidRPr="001A4675">
        <w:rPr>
          <w:rFonts w:cstheme="majorHAnsi"/>
          <w:color w:val="000000" w:themeColor="text1"/>
          <w:szCs w:val="20"/>
        </w:rPr>
        <w:t xml:space="preserve">students must comply with their student visa conditions with respect to the number of hours they work per week. </w:t>
      </w:r>
    </w:p>
    <w:p w14:paraId="2B877B55" w14:textId="77777777" w:rsidR="00841CFE" w:rsidRPr="001A4675" w:rsidRDefault="00841CFE" w:rsidP="00841CFE">
      <w:pPr>
        <w:pStyle w:val="Heading2"/>
        <w:numPr>
          <w:ilvl w:val="0"/>
          <w:numId w:val="10"/>
        </w:numPr>
        <w:spacing w:before="0" w:after="140" w:line="276" w:lineRule="auto"/>
        <w:ind w:left="426" w:hanging="426"/>
        <w:rPr>
          <w:rFonts w:ascii="Arial" w:eastAsia="Calibri" w:hAnsi="Arial" w:cstheme="majorHAnsi"/>
        </w:rPr>
      </w:pPr>
      <w:r w:rsidRPr="001A4675">
        <w:rPr>
          <w:rFonts w:ascii="Arial" w:eastAsia="Calibri" w:hAnsi="Arial" w:cstheme="majorHAnsi"/>
        </w:rPr>
        <w:t>Can scholarships be reallocated to another student if the existing student is no longer eligible?</w:t>
      </w:r>
    </w:p>
    <w:p w14:paraId="079344E6" w14:textId="77777777" w:rsidR="00841CFE" w:rsidRPr="001A4675" w:rsidRDefault="00841CFE" w:rsidP="00841CFE">
      <w:pPr>
        <w:ind w:left="426"/>
      </w:pPr>
      <w:r w:rsidRPr="001A4675">
        <w:rPr>
          <w:rFonts w:cs="Arial"/>
        </w:rPr>
        <w:t xml:space="preserve">If at any time a scholarship student is found to no longer meet the criteria in section 5.1.1 of the Grant Opportunity Guidelines, payments of scholarship funds to the student must cease. </w:t>
      </w:r>
      <w:r w:rsidRPr="001A4675">
        <w:t>Providers can reallocate any future year funding associated with that student to a different</w:t>
      </w:r>
      <w:r>
        <w:t xml:space="preserve"> scholarship</w:t>
      </w:r>
      <w:r w:rsidRPr="001A4675">
        <w:t xml:space="preserve"> student who meets the eligibility criteria</w:t>
      </w:r>
      <w:r>
        <w:t xml:space="preserve"> (Grant Opportunity Guidelines, section 5.3.1)</w:t>
      </w:r>
      <w:r w:rsidRPr="001A4675">
        <w:t>.</w:t>
      </w:r>
    </w:p>
    <w:p w14:paraId="37C6D6F0" w14:textId="7F20155E" w:rsidR="00841CFE" w:rsidRPr="001A4675" w:rsidRDefault="00841CFE" w:rsidP="00841CFE">
      <w:pPr>
        <w:pStyle w:val="Heading2"/>
        <w:numPr>
          <w:ilvl w:val="0"/>
          <w:numId w:val="10"/>
        </w:numPr>
        <w:spacing w:before="0" w:after="140" w:line="276" w:lineRule="auto"/>
        <w:ind w:left="426" w:hanging="426"/>
        <w:rPr>
          <w:rFonts w:ascii="Arial" w:hAnsi="Arial" w:cstheme="majorHAnsi"/>
          <w:b w:val="0"/>
          <w:iCs/>
          <w:szCs w:val="24"/>
        </w:rPr>
      </w:pPr>
      <w:r w:rsidRPr="001A4675">
        <w:rPr>
          <w:rFonts w:ascii="Arial" w:hAnsi="Arial" w:cstheme="majorHAnsi"/>
          <w:iCs/>
          <w:szCs w:val="24"/>
        </w:rPr>
        <w:t xml:space="preserve">Can </w:t>
      </w:r>
      <w:r w:rsidRPr="001A4675">
        <w:rPr>
          <w:rFonts w:ascii="Arial" w:hAnsi="Arial"/>
        </w:rPr>
        <w:t xml:space="preserve">students </w:t>
      </w:r>
      <w:r w:rsidRPr="001A4675">
        <w:rPr>
          <w:rFonts w:ascii="Arial" w:hAnsi="Arial" w:cstheme="majorHAnsi"/>
          <w:iCs/>
          <w:szCs w:val="24"/>
        </w:rPr>
        <w:t>only</w:t>
      </w:r>
      <w:r w:rsidR="00A27351">
        <w:rPr>
          <w:rFonts w:ascii="Arial" w:hAnsi="Arial" w:cstheme="majorHAnsi"/>
          <w:iCs/>
          <w:szCs w:val="24"/>
        </w:rPr>
        <w:t xml:space="preserve"> receive </w:t>
      </w:r>
      <w:r w:rsidRPr="001A4675">
        <w:rPr>
          <w:rFonts w:ascii="Arial" w:hAnsi="Arial" w:cstheme="majorHAnsi"/>
          <w:iCs/>
          <w:szCs w:val="24"/>
        </w:rPr>
        <w:t>a Destination Australia scholarship once?</w:t>
      </w:r>
    </w:p>
    <w:p w14:paraId="5A032616" w14:textId="2664FD14" w:rsidR="00E86F9B" w:rsidRPr="00F32B17" w:rsidRDefault="00A27351" w:rsidP="00F32B17">
      <w:pPr>
        <w:spacing w:after="120"/>
        <w:ind w:left="426"/>
        <w:rPr>
          <w:rFonts w:eastAsia="Calibri" w:cstheme="majorHAnsi"/>
        </w:rPr>
      </w:pPr>
      <w:r w:rsidRPr="001A4675">
        <w:rPr>
          <w:rFonts w:cstheme="majorHAnsi"/>
          <w:color w:val="000000" w:themeColor="text1"/>
        </w:rPr>
        <w:t>Successful providers will run their own processes for allocating and awarding scholarships to students who meet the eligibility criteria in section 5.1.1 of the Grant Opportunity Guidelines.</w:t>
      </w:r>
      <w:r>
        <w:rPr>
          <w:rFonts w:cstheme="majorHAnsi"/>
          <w:color w:val="000000" w:themeColor="text1"/>
        </w:rPr>
        <w:t xml:space="preserve"> </w:t>
      </w:r>
      <w:r w:rsidR="006B1A8D">
        <w:rPr>
          <w:rFonts w:cstheme="majorHAnsi"/>
          <w:color w:val="000000" w:themeColor="text1"/>
        </w:rPr>
        <w:t xml:space="preserve">The criteria require </w:t>
      </w:r>
      <w:r w:rsidR="00473A13">
        <w:rPr>
          <w:rFonts w:cstheme="majorHAnsi"/>
          <w:color w:val="000000" w:themeColor="text1"/>
        </w:rPr>
        <w:t>that the student commence a new course of study</w:t>
      </w:r>
      <w:r w:rsidR="00467C37">
        <w:rPr>
          <w:rFonts w:cstheme="majorHAnsi"/>
          <w:color w:val="000000" w:themeColor="text1"/>
        </w:rPr>
        <w:t xml:space="preserve"> to be eligible for a scholarship</w:t>
      </w:r>
      <w:r w:rsidR="00473A13">
        <w:rPr>
          <w:rFonts w:cstheme="majorHAnsi"/>
          <w:color w:val="000000" w:themeColor="text1"/>
        </w:rPr>
        <w:t>.</w:t>
      </w:r>
      <w:bookmarkEnd w:id="0"/>
    </w:p>
    <w:sectPr w:rsidR="00E86F9B" w:rsidRPr="00F32B17" w:rsidSect="00105397">
      <w:headerReference w:type="default" r:id="rId19"/>
      <w:footerReference w:type="default" r:id="rId20"/>
      <w:headerReference w:type="first" r:id="rId21"/>
      <w:footerReference w:type="first" r:id="rId22"/>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4AECA" w14:textId="77777777" w:rsidR="00D65610" w:rsidRDefault="00D65610" w:rsidP="00772718">
      <w:pPr>
        <w:spacing w:line="240" w:lineRule="auto"/>
      </w:pPr>
      <w:r>
        <w:separator/>
      </w:r>
    </w:p>
  </w:endnote>
  <w:endnote w:type="continuationSeparator" w:id="0">
    <w:p w14:paraId="2DA2DB39" w14:textId="77777777" w:rsidR="00D65610" w:rsidRDefault="00D6561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25F87" w14:textId="5445FB5C" w:rsidR="00C90783" w:rsidRDefault="00C90783" w:rsidP="00C90783">
    <w:pPr>
      <w:pStyle w:val="Footer"/>
      <w:rPr>
        <w:noProof/>
      </w:rPr>
    </w:pPr>
    <w:r>
      <w:t>Questions and Answers</w:t>
    </w:r>
    <w:r>
      <w:tab/>
    </w:r>
    <w:r>
      <w:tab/>
    </w:r>
    <w:r>
      <w:fldChar w:fldCharType="begin"/>
    </w:r>
    <w:r>
      <w:instrText xml:space="preserve"> PAGE   \* MERGEFORMAT </w:instrText>
    </w:r>
    <w:r>
      <w:fldChar w:fldCharType="separate"/>
    </w:r>
    <w:r>
      <w:rPr>
        <w:noProof/>
      </w:rPr>
      <w:t>2</w:t>
    </w:r>
    <w:r>
      <w:rPr>
        <w:noProof/>
      </w:rPr>
      <w:fldChar w:fldCharType="end"/>
    </w:r>
  </w:p>
  <w:p w14:paraId="1B04D718" w14:textId="2BE6A485" w:rsidR="005B7663" w:rsidRPr="00C90783" w:rsidRDefault="005B7663" w:rsidP="00C90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6678" w14:textId="3F778B53" w:rsidR="005B7663" w:rsidRDefault="005B7663" w:rsidP="00C90783">
    <w:pPr>
      <w:pStyle w:val="Footer"/>
    </w:pPr>
  </w:p>
  <w:p w14:paraId="22C357FF" w14:textId="3555DBE5" w:rsidR="005B7663" w:rsidRDefault="00C90783">
    <w:pPr>
      <w:pStyle w:val="Footer"/>
      <w:rPr>
        <w:noProof/>
      </w:rPr>
    </w:pPr>
    <w:r>
      <w:t>Questions and Answers</w:t>
    </w:r>
    <w:r>
      <w:tab/>
    </w:r>
    <w:r>
      <w:tab/>
    </w:r>
    <w:r>
      <w:fldChar w:fldCharType="begin"/>
    </w:r>
    <w:r>
      <w:instrText xml:space="preserve"> PAGE   \* MERGEFORMAT </w:instrText>
    </w:r>
    <w:r>
      <w:fldChar w:fldCharType="separate"/>
    </w:r>
    <w:r>
      <w:rPr>
        <w:noProof/>
      </w:rPr>
      <w:t>1</w:t>
    </w:r>
    <w:r>
      <w:rPr>
        <w:noProof/>
      </w:rPr>
      <w:fldChar w:fldCharType="end"/>
    </w:r>
  </w:p>
  <w:p w14:paraId="31D6A735" w14:textId="77777777" w:rsidR="00C90783" w:rsidRDefault="00C90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52067" w14:textId="77777777" w:rsidR="00D65610" w:rsidRDefault="00D65610" w:rsidP="00772718">
      <w:pPr>
        <w:spacing w:line="240" w:lineRule="auto"/>
      </w:pPr>
      <w:r>
        <w:separator/>
      </w:r>
    </w:p>
  </w:footnote>
  <w:footnote w:type="continuationSeparator" w:id="0">
    <w:p w14:paraId="5F20A454" w14:textId="77777777" w:rsidR="00D65610" w:rsidRDefault="00D6561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4FB6" w14:textId="77777777" w:rsidR="005B7663" w:rsidRDefault="005B7663">
    <w:pPr>
      <w:pStyle w:val="Header"/>
    </w:pPr>
    <w:r>
      <w:rPr>
        <w:noProof/>
        <w:lang w:eastAsia="en-AU"/>
      </w:rPr>
      <mc:AlternateContent>
        <mc:Choice Requires="wps">
          <w:drawing>
            <wp:anchor distT="0" distB="0" distL="114300" distR="114300" simplePos="0" relativeHeight="251664384" behindDoc="0" locked="1" layoutInCell="1" allowOverlap="1" wp14:anchorId="4197A20D" wp14:editId="7130B22C">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7D308AC"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74303FF0" wp14:editId="7A11C110">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14FE" w14:textId="77777777" w:rsidR="005B7663" w:rsidRDefault="005B7663">
    <w:pPr>
      <w:pStyle w:val="Header"/>
    </w:pPr>
    <w:r>
      <w:rPr>
        <w:noProof/>
        <w:lang w:eastAsia="en-AU"/>
      </w:rPr>
      <w:drawing>
        <wp:anchor distT="0" distB="0" distL="114300" distR="114300" simplePos="0" relativeHeight="251673600" behindDoc="0" locked="1" layoutInCell="1" allowOverlap="1" wp14:anchorId="6F1804C7" wp14:editId="077C35B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32564DA" wp14:editId="0C9AE1F4">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A3F3BC7"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2CDB108E" wp14:editId="6B16D2ED">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CE2EDF6"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65A6C8E7" wp14:editId="4A763B08">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CBEF1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8E0A7CC8"/>
    <w:lvl w:ilvl="0">
      <w:start w:val="1"/>
      <w:numFmt w:val="decimal"/>
      <w:lvlText w:val="%1."/>
      <w:lvlJc w:val="left"/>
      <w:pPr>
        <w:tabs>
          <w:tab w:val="num" w:pos="643"/>
        </w:tabs>
        <w:ind w:left="643" w:hanging="360"/>
      </w:pPr>
    </w:lvl>
  </w:abstractNum>
  <w:abstractNum w:abstractNumId="2" w15:restartNumberingAfterBreak="0">
    <w:nsid w:val="060A6DA3"/>
    <w:multiLevelType w:val="hybridMultilevel"/>
    <w:tmpl w:val="9E1075F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084F7678"/>
    <w:multiLevelType w:val="hybridMultilevel"/>
    <w:tmpl w:val="45B0083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134D1A36"/>
    <w:multiLevelType w:val="hybridMultilevel"/>
    <w:tmpl w:val="8A0EB1C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AE74512"/>
    <w:multiLevelType w:val="hybridMultilevel"/>
    <w:tmpl w:val="CD3ACB66"/>
    <w:lvl w:ilvl="0" w:tplc="9FC4AF18">
      <w:start w:val="1"/>
      <w:numFmt w:val="decimal"/>
      <w:lvlText w:val="%1."/>
      <w:lvlJc w:val="left"/>
      <w:pPr>
        <w:ind w:left="360" w:hanging="360"/>
      </w:pPr>
      <w:rPr>
        <w:b/>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CC12ED"/>
    <w:multiLevelType w:val="hybridMultilevel"/>
    <w:tmpl w:val="788030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25753BE9"/>
    <w:multiLevelType w:val="hybridMultilevel"/>
    <w:tmpl w:val="BFB03F7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04BAE"/>
    <w:multiLevelType w:val="hybridMultilevel"/>
    <w:tmpl w:val="08A27A3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2D071953"/>
    <w:multiLevelType w:val="hybridMultilevel"/>
    <w:tmpl w:val="7D7467E6"/>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2E5D654D"/>
    <w:multiLevelType w:val="hybridMultilevel"/>
    <w:tmpl w:val="85720808"/>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4A24D8D"/>
    <w:multiLevelType w:val="hybridMultilevel"/>
    <w:tmpl w:val="B5503962"/>
    <w:lvl w:ilvl="0" w:tplc="0C090001">
      <w:start w:val="1"/>
      <w:numFmt w:val="bullet"/>
      <w:lvlText w:val=""/>
      <w:lvlJc w:val="left"/>
      <w:pPr>
        <w:ind w:left="1146" w:hanging="360"/>
      </w:pPr>
      <w:rPr>
        <w:rFonts w:ascii="Symbol" w:hAnsi="Symbol" w:hint="default"/>
      </w:rPr>
    </w:lvl>
    <w:lvl w:ilvl="1" w:tplc="DFE6FC6C">
      <w:numFmt w:val="bullet"/>
      <w:lvlText w:val="•"/>
      <w:lvlJc w:val="left"/>
      <w:pPr>
        <w:ind w:left="1866" w:hanging="360"/>
      </w:pPr>
      <w:rPr>
        <w:rFonts w:ascii="Arial" w:eastAsiaTheme="minorHAnsi" w:hAnsi="Arial" w:cs="Aria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528D3265"/>
    <w:multiLevelType w:val="hybridMultilevel"/>
    <w:tmpl w:val="2BBAE8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47A603A"/>
    <w:multiLevelType w:val="hybridMultilevel"/>
    <w:tmpl w:val="54EE92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A36232"/>
    <w:multiLevelType w:val="hybridMultilevel"/>
    <w:tmpl w:val="C2F2310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69B51968"/>
    <w:multiLevelType w:val="hybridMultilevel"/>
    <w:tmpl w:val="2D50D88E"/>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6D45324B"/>
    <w:multiLevelType w:val="hybridMultilevel"/>
    <w:tmpl w:val="6C567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D4964EE"/>
    <w:multiLevelType w:val="hybridMultilevel"/>
    <w:tmpl w:val="1B641846"/>
    <w:lvl w:ilvl="0" w:tplc="A2E82F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4" w15:restartNumberingAfterBreak="0">
    <w:nsid w:val="6DFF1D25"/>
    <w:multiLevelType w:val="multilevel"/>
    <w:tmpl w:val="98F68E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C81C44"/>
    <w:multiLevelType w:val="hybridMultilevel"/>
    <w:tmpl w:val="51C0A7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3"/>
  </w:num>
  <w:num w:numId="2">
    <w:abstractNumId w:val="7"/>
  </w:num>
  <w:num w:numId="3">
    <w:abstractNumId w:val="15"/>
  </w:num>
  <w:num w:numId="4">
    <w:abstractNumId w:val="14"/>
  </w:num>
  <w:num w:numId="5">
    <w:abstractNumId w:val="0"/>
  </w:num>
  <w:num w:numId="6">
    <w:abstractNumId w:val="13"/>
  </w:num>
  <w:num w:numId="7">
    <w:abstractNumId w:val="5"/>
  </w:num>
  <w:num w:numId="8">
    <w:abstractNumId w:val="9"/>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 w:numId="13">
    <w:abstractNumId w:val="4"/>
  </w:num>
  <w:num w:numId="14">
    <w:abstractNumId w:val="8"/>
  </w:num>
  <w:num w:numId="15">
    <w:abstractNumId w:val="21"/>
  </w:num>
  <w:num w:numId="16">
    <w:abstractNumId w:val="25"/>
  </w:num>
  <w:num w:numId="17">
    <w:abstractNumId w:val="17"/>
  </w:num>
  <w:num w:numId="18">
    <w:abstractNumId w:val="18"/>
  </w:num>
  <w:num w:numId="19">
    <w:abstractNumId w:val="22"/>
  </w:num>
  <w:num w:numId="20">
    <w:abstractNumId w:val="3"/>
  </w:num>
  <w:num w:numId="21">
    <w:abstractNumId w:val="10"/>
  </w:num>
  <w:num w:numId="22">
    <w:abstractNumId w:val="2"/>
  </w:num>
  <w:num w:numId="23">
    <w:abstractNumId w:val="6"/>
  </w:num>
  <w:num w:numId="24">
    <w:abstractNumId w:val="12"/>
  </w:num>
  <w:num w:numId="25">
    <w:abstractNumId w:val="20"/>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ED16F0F-9E29-4003-AE4C-57F5A619AE8D}"/>
    <w:docVar w:name="dgnword-eventsink" w:val="2489636508272"/>
  </w:docVars>
  <w:rsids>
    <w:rsidRoot w:val="00516672"/>
    <w:rsid w:val="00000555"/>
    <w:rsid w:val="00000A51"/>
    <w:rsid w:val="00004A79"/>
    <w:rsid w:val="00005FDE"/>
    <w:rsid w:val="0000621E"/>
    <w:rsid w:val="00007DE9"/>
    <w:rsid w:val="000113F6"/>
    <w:rsid w:val="000122FB"/>
    <w:rsid w:val="00015AE4"/>
    <w:rsid w:val="0002103E"/>
    <w:rsid w:val="0003018E"/>
    <w:rsid w:val="00033BC3"/>
    <w:rsid w:val="000365EC"/>
    <w:rsid w:val="00037591"/>
    <w:rsid w:val="00044E09"/>
    <w:rsid w:val="00045B93"/>
    <w:rsid w:val="00046AC0"/>
    <w:rsid w:val="0004784D"/>
    <w:rsid w:val="0005010E"/>
    <w:rsid w:val="00053A00"/>
    <w:rsid w:val="00056937"/>
    <w:rsid w:val="00070B6B"/>
    <w:rsid w:val="00072816"/>
    <w:rsid w:val="00077444"/>
    <w:rsid w:val="00080864"/>
    <w:rsid w:val="000B38CC"/>
    <w:rsid w:val="000B6C00"/>
    <w:rsid w:val="000B71F8"/>
    <w:rsid w:val="000C1731"/>
    <w:rsid w:val="000C1F06"/>
    <w:rsid w:val="000C6DB6"/>
    <w:rsid w:val="000D09A2"/>
    <w:rsid w:val="000E526C"/>
    <w:rsid w:val="000E5E2E"/>
    <w:rsid w:val="000E6B5E"/>
    <w:rsid w:val="000F1DD1"/>
    <w:rsid w:val="000F28B8"/>
    <w:rsid w:val="000F3766"/>
    <w:rsid w:val="00105397"/>
    <w:rsid w:val="00106FC4"/>
    <w:rsid w:val="001100A3"/>
    <w:rsid w:val="00111152"/>
    <w:rsid w:val="00111F0C"/>
    <w:rsid w:val="00113962"/>
    <w:rsid w:val="001140C0"/>
    <w:rsid w:val="00115E33"/>
    <w:rsid w:val="001217D7"/>
    <w:rsid w:val="001305E0"/>
    <w:rsid w:val="0013322B"/>
    <w:rsid w:val="00136ABB"/>
    <w:rsid w:val="00141FCE"/>
    <w:rsid w:val="0014355C"/>
    <w:rsid w:val="00145E2D"/>
    <w:rsid w:val="00146C85"/>
    <w:rsid w:val="00164901"/>
    <w:rsid w:val="0016612C"/>
    <w:rsid w:val="00167069"/>
    <w:rsid w:val="0017119E"/>
    <w:rsid w:val="00171C89"/>
    <w:rsid w:val="001763D4"/>
    <w:rsid w:val="00181433"/>
    <w:rsid w:val="001834DD"/>
    <w:rsid w:val="00185DA4"/>
    <w:rsid w:val="001863B4"/>
    <w:rsid w:val="00187FE2"/>
    <w:rsid w:val="001A29DA"/>
    <w:rsid w:val="001B0E2D"/>
    <w:rsid w:val="001B6EE9"/>
    <w:rsid w:val="001C096E"/>
    <w:rsid w:val="001C3791"/>
    <w:rsid w:val="001C53CE"/>
    <w:rsid w:val="001C5D96"/>
    <w:rsid w:val="001C5FA3"/>
    <w:rsid w:val="001C7A3E"/>
    <w:rsid w:val="001D341B"/>
    <w:rsid w:val="001E3D2B"/>
    <w:rsid w:val="001E576D"/>
    <w:rsid w:val="001E5A58"/>
    <w:rsid w:val="001E66CE"/>
    <w:rsid w:val="001E68B0"/>
    <w:rsid w:val="001E725D"/>
    <w:rsid w:val="001F169C"/>
    <w:rsid w:val="001F6A73"/>
    <w:rsid w:val="002027B6"/>
    <w:rsid w:val="00207788"/>
    <w:rsid w:val="00220AC0"/>
    <w:rsid w:val="00221DC2"/>
    <w:rsid w:val="00225275"/>
    <w:rsid w:val="0022631B"/>
    <w:rsid w:val="00227205"/>
    <w:rsid w:val="002354B0"/>
    <w:rsid w:val="00236E2D"/>
    <w:rsid w:val="00240D98"/>
    <w:rsid w:val="00241D65"/>
    <w:rsid w:val="00244010"/>
    <w:rsid w:val="00244B48"/>
    <w:rsid w:val="00245D05"/>
    <w:rsid w:val="00254323"/>
    <w:rsid w:val="002573D5"/>
    <w:rsid w:val="00257C0A"/>
    <w:rsid w:val="00264E26"/>
    <w:rsid w:val="00265580"/>
    <w:rsid w:val="00265746"/>
    <w:rsid w:val="002725DC"/>
    <w:rsid w:val="0027374C"/>
    <w:rsid w:val="00273FEA"/>
    <w:rsid w:val="00280E74"/>
    <w:rsid w:val="002837A9"/>
    <w:rsid w:val="002A0BA0"/>
    <w:rsid w:val="002A41E1"/>
    <w:rsid w:val="002A63A0"/>
    <w:rsid w:val="002B3849"/>
    <w:rsid w:val="002B6574"/>
    <w:rsid w:val="002D0257"/>
    <w:rsid w:val="002D2572"/>
    <w:rsid w:val="002D4D48"/>
    <w:rsid w:val="002E21D2"/>
    <w:rsid w:val="002E26FA"/>
    <w:rsid w:val="002F0D22"/>
    <w:rsid w:val="002F7D3C"/>
    <w:rsid w:val="00305720"/>
    <w:rsid w:val="003131AB"/>
    <w:rsid w:val="00321682"/>
    <w:rsid w:val="003217BE"/>
    <w:rsid w:val="0034774E"/>
    <w:rsid w:val="00347D01"/>
    <w:rsid w:val="00355677"/>
    <w:rsid w:val="00356976"/>
    <w:rsid w:val="00367987"/>
    <w:rsid w:val="003745A9"/>
    <w:rsid w:val="00380E3A"/>
    <w:rsid w:val="00382644"/>
    <w:rsid w:val="00384820"/>
    <w:rsid w:val="0039564F"/>
    <w:rsid w:val="003969E1"/>
    <w:rsid w:val="003A2557"/>
    <w:rsid w:val="003A7091"/>
    <w:rsid w:val="003C0B55"/>
    <w:rsid w:val="003C2A34"/>
    <w:rsid w:val="003C3184"/>
    <w:rsid w:val="003C368D"/>
    <w:rsid w:val="003C3EF7"/>
    <w:rsid w:val="003C5A85"/>
    <w:rsid w:val="003C7268"/>
    <w:rsid w:val="003D0647"/>
    <w:rsid w:val="003D1265"/>
    <w:rsid w:val="003D17D1"/>
    <w:rsid w:val="003D3B1D"/>
    <w:rsid w:val="003D5DBE"/>
    <w:rsid w:val="003E26BF"/>
    <w:rsid w:val="003E2EE1"/>
    <w:rsid w:val="003E73B8"/>
    <w:rsid w:val="003F07A6"/>
    <w:rsid w:val="003F1AAD"/>
    <w:rsid w:val="00401C1B"/>
    <w:rsid w:val="00404841"/>
    <w:rsid w:val="004070B7"/>
    <w:rsid w:val="00410B35"/>
    <w:rsid w:val="00411D04"/>
    <w:rsid w:val="00412059"/>
    <w:rsid w:val="00413914"/>
    <w:rsid w:val="0041496C"/>
    <w:rsid w:val="00415856"/>
    <w:rsid w:val="0041714E"/>
    <w:rsid w:val="00422D13"/>
    <w:rsid w:val="00425633"/>
    <w:rsid w:val="00431BF3"/>
    <w:rsid w:val="00436C6B"/>
    <w:rsid w:val="004402AB"/>
    <w:rsid w:val="00440BBE"/>
    <w:rsid w:val="00441E79"/>
    <w:rsid w:val="00450486"/>
    <w:rsid w:val="00453BB1"/>
    <w:rsid w:val="004621D6"/>
    <w:rsid w:val="00465218"/>
    <w:rsid w:val="0046571D"/>
    <w:rsid w:val="00467C37"/>
    <w:rsid w:val="004709E9"/>
    <w:rsid w:val="00473A13"/>
    <w:rsid w:val="00480797"/>
    <w:rsid w:val="00483A58"/>
    <w:rsid w:val="00486155"/>
    <w:rsid w:val="004920B6"/>
    <w:rsid w:val="004924DA"/>
    <w:rsid w:val="00493907"/>
    <w:rsid w:val="004A170D"/>
    <w:rsid w:val="004B7CA7"/>
    <w:rsid w:val="004D700E"/>
    <w:rsid w:val="004D7F17"/>
    <w:rsid w:val="004E01F9"/>
    <w:rsid w:val="004E0670"/>
    <w:rsid w:val="004E2077"/>
    <w:rsid w:val="004E7F37"/>
    <w:rsid w:val="004F31BA"/>
    <w:rsid w:val="004F4137"/>
    <w:rsid w:val="004F6C68"/>
    <w:rsid w:val="0050103E"/>
    <w:rsid w:val="005017AE"/>
    <w:rsid w:val="0051299F"/>
    <w:rsid w:val="00512FDF"/>
    <w:rsid w:val="00516533"/>
    <w:rsid w:val="00516672"/>
    <w:rsid w:val="00526B85"/>
    <w:rsid w:val="005306A1"/>
    <w:rsid w:val="00535801"/>
    <w:rsid w:val="00542A39"/>
    <w:rsid w:val="00553D02"/>
    <w:rsid w:val="005701FE"/>
    <w:rsid w:val="005721D7"/>
    <w:rsid w:val="00586015"/>
    <w:rsid w:val="0059000C"/>
    <w:rsid w:val="005963B2"/>
    <w:rsid w:val="00597D2B"/>
    <w:rsid w:val="005A02A1"/>
    <w:rsid w:val="005A0CA3"/>
    <w:rsid w:val="005A2FC0"/>
    <w:rsid w:val="005A33B9"/>
    <w:rsid w:val="005B6018"/>
    <w:rsid w:val="005B7663"/>
    <w:rsid w:val="005C3D5E"/>
    <w:rsid w:val="005D194E"/>
    <w:rsid w:val="005D37F2"/>
    <w:rsid w:val="005D5B5B"/>
    <w:rsid w:val="005D6D33"/>
    <w:rsid w:val="005D7A24"/>
    <w:rsid w:val="005E28E5"/>
    <w:rsid w:val="005F6FE0"/>
    <w:rsid w:val="00602BB5"/>
    <w:rsid w:val="00603428"/>
    <w:rsid w:val="00605D01"/>
    <w:rsid w:val="0060621E"/>
    <w:rsid w:val="00616EBA"/>
    <w:rsid w:val="00621E43"/>
    <w:rsid w:val="006245C7"/>
    <w:rsid w:val="00625C9B"/>
    <w:rsid w:val="00631CAF"/>
    <w:rsid w:val="00632AAF"/>
    <w:rsid w:val="00632C08"/>
    <w:rsid w:val="00632F8F"/>
    <w:rsid w:val="00633495"/>
    <w:rsid w:val="00635E94"/>
    <w:rsid w:val="00637F48"/>
    <w:rsid w:val="00642CF9"/>
    <w:rsid w:val="006468F4"/>
    <w:rsid w:val="00653F91"/>
    <w:rsid w:val="00654815"/>
    <w:rsid w:val="00654C42"/>
    <w:rsid w:val="00655D6F"/>
    <w:rsid w:val="00656B26"/>
    <w:rsid w:val="00656DE7"/>
    <w:rsid w:val="0066086B"/>
    <w:rsid w:val="0067074A"/>
    <w:rsid w:val="0067147A"/>
    <w:rsid w:val="00672994"/>
    <w:rsid w:val="00685242"/>
    <w:rsid w:val="006954CA"/>
    <w:rsid w:val="00695793"/>
    <w:rsid w:val="006A0CBD"/>
    <w:rsid w:val="006B185D"/>
    <w:rsid w:val="006B1A8D"/>
    <w:rsid w:val="006B7544"/>
    <w:rsid w:val="006B7DED"/>
    <w:rsid w:val="006C15C5"/>
    <w:rsid w:val="006D2BBA"/>
    <w:rsid w:val="006D4A3E"/>
    <w:rsid w:val="006F3FB6"/>
    <w:rsid w:val="0070072C"/>
    <w:rsid w:val="007011BE"/>
    <w:rsid w:val="00702E0A"/>
    <w:rsid w:val="00703146"/>
    <w:rsid w:val="00705F80"/>
    <w:rsid w:val="00712558"/>
    <w:rsid w:val="00713A4B"/>
    <w:rsid w:val="007210AA"/>
    <w:rsid w:val="00721C89"/>
    <w:rsid w:val="00724FA8"/>
    <w:rsid w:val="00727AD7"/>
    <w:rsid w:val="0073670B"/>
    <w:rsid w:val="00736A76"/>
    <w:rsid w:val="00736A7B"/>
    <w:rsid w:val="0074030E"/>
    <w:rsid w:val="0074056C"/>
    <w:rsid w:val="00742C25"/>
    <w:rsid w:val="00746EA0"/>
    <w:rsid w:val="00752C6B"/>
    <w:rsid w:val="007545BA"/>
    <w:rsid w:val="00754E17"/>
    <w:rsid w:val="00760CE6"/>
    <w:rsid w:val="007655FA"/>
    <w:rsid w:val="00765764"/>
    <w:rsid w:val="007719C9"/>
    <w:rsid w:val="00772718"/>
    <w:rsid w:val="007812F6"/>
    <w:rsid w:val="007B35CF"/>
    <w:rsid w:val="007B5811"/>
    <w:rsid w:val="007D30A8"/>
    <w:rsid w:val="007E05C2"/>
    <w:rsid w:val="007E0E6D"/>
    <w:rsid w:val="007E1C89"/>
    <w:rsid w:val="007E6F1D"/>
    <w:rsid w:val="007E7857"/>
    <w:rsid w:val="007F3833"/>
    <w:rsid w:val="007F3E73"/>
    <w:rsid w:val="007F4A38"/>
    <w:rsid w:val="007F6B85"/>
    <w:rsid w:val="007F7E4C"/>
    <w:rsid w:val="00814519"/>
    <w:rsid w:val="00814B87"/>
    <w:rsid w:val="00814FB1"/>
    <w:rsid w:val="00816E21"/>
    <w:rsid w:val="00820F20"/>
    <w:rsid w:val="008242D2"/>
    <w:rsid w:val="0082528A"/>
    <w:rsid w:val="00825754"/>
    <w:rsid w:val="00835210"/>
    <w:rsid w:val="00841CFE"/>
    <w:rsid w:val="00842874"/>
    <w:rsid w:val="00844C2D"/>
    <w:rsid w:val="00852469"/>
    <w:rsid w:val="00853172"/>
    <w:rsid w:val="0086189D"/>
    <w:rsid w:val="008715DD"/>
    <w:rsid w:val="0087438E"/>
    <w:rsid w:val="00875DAC"/>
    <w:rsid w:val="00881FC3"/>
    <w:rsid w:val="00884668"/>
    <w:rsid w:val="00890E36"/>
    <w:rsid w:val="00891115"/>
    <w:rsid w:val="00897DF0"/>
    <w:rsid w:val="008A2804"/>
    <w:rsid w:val="008B2B46"/>
    <w:rsid w:val="008B2C58"/>
    <w:rsid w:val="008B2D11"/>
    <w:rsid w:val="008C0B6A"/>
    <w:rsid w:val="008C2E10"/>
    <w:rsid w:val="008C4B62"/>
    <w:rsid w:val="008C6E18"/>
    <w:rsid w:val="008D0E83"/>
    <w:rsid w:val="008D4498"/>
    <w:rsid w:val="008D4C62"/>
    <w:rsid w:val="008E0683"/>
    <w:rsid w:val="008E08A7"/>
    <w:rsid w:val="009003A9"/>
    <w:rsid w:val="00902675"/>
    <w:rsid w:val="009038C0"/>
    <w:rsid w:val="00903DAA"/>
    <w:rsid w:val="009049F9"/>
    <w:rsid w:val="00912E10"/>
    <w:rsid w:val="00914128"/>
    <w:rsid w:val="00916437"/>
    <w:rsid w:val="00921840"/>
    <w:rsid w:val="009331B4"/>
    <w:rsid w:val="009345F1"/>
    <w:rsid w:val="00943744"/>
    <w:rsid w:val="00944BBB"/>
    <w:rsid w:val="00950AC8"/>
    <w:rsid w:val="009547B6"/>
    <w:rsid w:val="00961072"/>
    <w:rsid w:val="00971669"/>
    <w:rsid w:val="00973528"/>
    <w:rsid w:val="009808D4"/>
    <w:rsid w:val="00982554"/>
    <w:rsid w:val="00982BC7"/>
    <w:rsid w:val="00992522"/>
    <w:rsid w:val="009A5954"/>
    <w:rsid w:val="009B09A6"/>
    <w:rsid w:val="009B6172"/>
    <w:rsid w:val="009C0193"/>
    <w:rsid w:val="009C22F2"/>
    <w:rsid w:val="009C49C1"/>
    <w:rsid w:val="009C7926"/>
    <w:rsid w:val="009D1264"/>
    <w:rsid w:val="009D2367"/>
    <w:rsid w:val="009D405C"/>
    <w:rsid w:val="009E17CC"/>
    <w:rsid w:val="009E7027"/>
    <w:rsid w:val="009E750F"/>
    <w:rsid w:val="009F4CA1"/>
    <w:rsid w:val="009F4FBD"/>
    <w:rsid w:val="009F793B"/>
    <w:rsid w:val="00A01615"/>
    <w:rsid w:val="00A04D96"/>
    <w:rsid w:val="00A05269"/>
    <w:rsid w:val="00A0629B"/>
    <w:rsid w:val="00A075F6"/>
    <w:rsid w:val="00A10A76"/>
    <w:rsid w:val="00A10AB3"/>
    <w:rsid w:val="00A12FD8"/>
    <w:rsid w:val="00A139F2"/>
    <w:rsid w:val="00A13B3D"/>
    <w:rsid w:val="00A14495"/>
    <w:rsid w:val="00A16BE1"/>
    <w:rsid w:val="00A27351"/>
    <w:rsid w:val="00A310A6"/>
    <w:rsid w:val="00A454BF"/>
    <w:rsid w:val="00A5249F"/>
    <w:rsid w:val="00A52E3A"/>
    <w:rsid w:val="00A579FA"/>
    <w:rsid w:val="00A60A91"/>
    <w:rsid w:val="00A62D33"/>
    <w:rsid w:val="00A666F2"/>
    <w:rsid w:val="00A741D1"/>
    <w:rsid w:val="00A814CB"/>
    <w:rsid w:val="00A90D1B"/>
    <w:rsid w:val="00A94784"/>
    <w:rsid w:val="00A95266"/>
    <w:rsid w:val="00AA0B69"/>
    <w:rsid w:val="00AB4403"/>
    <w:rsid w:val="00AB7523"/>
    <w:rsid w:val="00AD2786"/>
    <w:rsid w:val="00AE0CC3"/>
    <w:rsid w:val="00AE5B04"/>
    <w:rsid w:val="00AF3A1B"/>
    <w:rsid w:val="00AF4788"/>
    <w:rsid w:val="00AF55F8"/>
    <w:rsid w:val="00B02CA9"/>
    <w:rsid w:val="00B0320E"/>
    <w:rsid w:val="00B10ABA"/>
    <w:rsid w:val="00B10ADB"/>
    <w:rsid w:val="00B1115F"/>
    <w:rsid w:val="00B1189A"/>
    <w:rsid w:val="00B1196F"/>
    <w:rsid w:val="00B13524"/>
    <w:rsid w:val="00B14E45"/>
    <w:rsid w:val="00B271FA"/>
    <w:rsid w:val="00B27377"/>
    <w:rsid w:val="00B40B1F"/>
    <w:rsid w:val="00B420D4"/>
    <w:rsid w:val="00B43539"/>
    <w:rsid w:val="00B507F3"/>
    <w:rsid w:val="00B51F28"/>
    <w:rsid w:val="00B5256C"/>
    <w:rsid w:val="00B57910"/>
    <w:rsid w:val="00B7354B"/>
    <w:rsid w:val="00B7600D"/>
    <w:rsid w:val="00BA05E0"/>
    <w:rsid w:val="00BA4C6E"/>
    <w:rsid w:val="00BA6686"/>
    <w:rsid w:val="00BA6C49"/>
    <w:rsid w:val="00BB1889"/>
    <w:rsid w:val="00BB3719"/>
    <w:rsid w:val="00BB6176"/>
    <w:rsid w:val="00BB66EB"/>
    <w:rsid w:val="00BC093A"/>
    <w:rsid w:val="00BC4ACC"/>
    <w:rsid w:val="00BC4FCC"/>
    <w:rsid w:val="00BD02F8"/>
    <w:rsid w:val="00BD1973"/>
    <w:rsid w:val="00BD28D5"/>
    <w:rsid w:val="00BD2D97"/>
    <w:rsid w:val="00BE5A0D"/>
    <w:rsid w:val="00C07B5D"/>
    <w:rsid w:val="00C12E71"/>
    <w:rsid w:val="00C217A8"/>
    <w:rsid w:val="00C22D32"/>
    <w:rsid w:val="00C32DD5"/>
    <w:rsid w:val="00C409B7"/>
    <w:rsid w:val="00C4188F"/>
    <w:rsid w:val="00C420E4"/>
    <w:rsid w:val="00C42D42"/>
    <w:rsid w:val="00C50C7E"/>
    <w:rsid w:val="00C50E4B"/>
    <w:rsid w:val="00C56279"/>
    <w:rsid w:val="00C62E9E"/>
    <w:rsid w:val="00C733B5"/>
    <w:rsid w:val="00C819A4"/>
    <w:rsid w:val="00C82A1B"/>
    <w:rsid w:val="00C82E6F"/>
    <w:rsid w:val="00C84EA8"/>
    <w:rsid w:val="00C90783"/>
    <w:rsid w:val="00C91209"/>
    <w:rsid w:val="00C918A2"/>
    <w:rsid w:val="00C92609"/>
    <w:rsid w:val="00C92998"/>
    <w:rsid w:val="00CA4EE2"/>
    <w:rsid w:val="00CA720A"/>
    <w:rsid w:val="00CB06F8"/>
    <w:rsid w:val="00CB1F53"/>
    <w:rsid w:val="00CC1B7B"/>
    <w:rsid w:val="00CC4BF6"/>
    <w:rsid w:val="00CC6520"/>
    <w:rsid w:val="00CC7E2C"/>
    <w:rsid w:val="00CD02CB"/>
    <w:rsid w:val="00CD092A"/>
    <w:rsid w:val="00CD38EE"/>
    <w:rsid w:val="00CD5925"/>
    <w:rsid w:val="00CD5985"/>
    <w:rsid w:val="00CE195F"/>
    <w:rsid w:val="00CE3336"/>
    <w:rsid w:val="00CE3E58"/>
    <w:rsid w:val="00CE543E"/>
    <w:rsid w:val="00CE557A"/>
    <w:rsid w:val="00CE7853"/>
    <w:rsid w:val="00CF05E7"/>
    <w:rsid w:val="00CF11EA"/>
    <w:rsid w:val="00CF4E60"/>
    <w:rsid w:val="00D031B2"/>
    <w:rsid w:val="00D10505"/>
    <w:rsid w:val="00D10A33"/>
    <w:rsid w:val="00D1410C"/>
    <w:rsid w:val="00D1451A"/>
    <w:rsid w:val="00D1465A"/>
    <w:rsid w:val="00D32586"/>
    <w:rsid w:val="00D40D16"/>
    <w:rsid w:val="00D42E0E"/>
    <w:rsid w:val="00D462DB"/>
    <w:rsid w:val="00D47E62"/>
    <w:rsid w:val="00D51938"/>
    <w:rsid w:val="00D548F0"/>
    <w:rsid w:val="00D57F79"/>
    <w:rsid w:val="00D6191A"/>
    <w:rsid w:val="00D64FAC"/>
    <w:rsid w:val="00D651AD"/>
    <w:rsid w:val="00D65610"/>
    <w:rsid w:val="00D65704"/>
    <w:rsid w:val="00D668F6"/>
    <w:rsid w:val="00D765CF"/>
    <w:rsid w:val="00D8043C"/>
    <w:rsid w:val="00D84875"/>
    <w:rsid w:val="00D904F0"/>
    <w:rsid w:val="00D91378"/>
    <w:rsid w:val="00D91387"/>
    <w:rsid w:val="00D91B18"/>
    <w:rsid w:val="00DA4A39"/>
    <w:rsid w:val="00DB18FA"/>
    <w:rsid w:val="00DC0747"/>
    <w:rsid w:val="00DC2647"/>
    <w:rsid w:val="00DC3FFF"/>
    <w:rsid w:val="00DC5FF8"/>
    <w:rsid w:val="00DC7AB1"/>
    <w:rsid w:val="00DD1408"/>
    <w:rsid w:val="00DD356D"/>
    <w:rsid w:val="00DD5160"/>
    <w:rsid w:val="00DD6735"/>
    <w:rsid w:val="00DE528E"/>
    <w:rsid w:val="00DE7A56"/>
    <w:rsid w:val="00DF0607"/>
    <w:rsid w:val="00DF136A"/>
    <w:rsid w:val="00E0448C"/>
    <w:rsid w:val="00E13525"/>
    <w:rsid w:val="00E16A41"/>
    <w:rsid w:val="00E22989"/>
    <w:rsid w:val="00E22A96"/>
    <w:rsid w:val="00E276C2"/>
    <w:rsid w:val="00E36F68"/>
    <w:rsid w:val="00E41608"/>
    <w:rsid w:val="00E47250"/>
    <w:rsid w:val="00E51515"/>
    <w:rsid w:val="00E52BC0"/>
    <w:rsid w:val="00E560A3"/>
    <w:rsid w:val="00E56AA5"/>
    <w:rsid w:val="00E61535"/>
    <w:rsid w:val="00E73D93"/>
    <w:rsid w:val="00E75F9B"/>
    <w:rsid w:val="00E84012"/>
    <w:rsid w:val="00E86F9B"/>
    <w:rsid w:val="00E87831"/>
    <w:rsid w:val="00E9054F"/>
    <w:rsid w:val="00E9373C"/>
    <w:rsid w:val="00E94149"/>
    <w:rsid w:val="00E9563A"/>
    <w:rsid w:val="00EA0724"/>
    <w:rsid w:val="00EA4F72"/>
    <w:rsid w:val="00EA6251"/>
    <w:rsid w:val="00EB1FC0"/>
    <w:rsid w:val="00EB6414"/>
    <w:rsid w:val="00EC2F72"/>
    <w:rsid w:val="00EC53B1"/>
    <w:rsid w:val="00ED0C8C"/>
    <w:rsid w:val="00EE1C3C"/>
    <w:rsid w:val="00EE5747"/>
    <w:rsid w:val="00EF3804"/>
    <w:rsid w:val="00EF52F5"/>
    <w:rsid w:val="00EF5E05"/>
    <w:rsid w:val="00F04610"/>
    <w:rsid w:val="00F05F9E"/>
    <w:rsid w:val="00F060FF"/>
    <w:rsid w:val="00F073EB"/>
    <w:rsid w:val="00F10A10"/>
    <w:rsid w:val="00F136D1"/>
    <w:rsid w:val="00F227AF"/>
    <w:rsid w:val="00F23C8B"/>
    <w:rsid w:val="00F24376"/>
    <w:rsid w:val="00F27370"/>
    <w:rsid w:val="00F3044A"/>
    <w:rsid w:val="00F32B17"/>
    <w:rsid w:val="00F466A9"/>
    <w:rsid w:val="00F52E5A"/>
    <w:rsid w:val="00F5341C"/>
    <w:rsid w:val="00F56954"/>
    <w:rsid w:val="00F6305C"/>
    <w:rsid w:val="00F66049"/>
    <w:rsid w:val="00F80318"/>
    <w:rsid w:val="00F81EA0"/>
    <w:rsid w:val="00F834C1"/>
    <w:rsid w:val="00F846F9"/>
    <w:rsid w:val="00F85E94"/>
    <w:rsid w:val="00F86E24"/>
    <w:rsid w:val="00F93A98"/>
    <w:rsid w:val="00F948AF"/>
    <w:rsid w:val="00FA5A7B"/>
    <w:rsid w:val="00FA5D07"/>
    <w:rsid w:val="00FB11B1"/>
    <w:rsid w:val="00FC0935"/>
    <w:rsid w:val="00FC7E9F"/>
    <w:rsid w:val="00FE00E8"/>
    <w:rsid w:val="00FE6AA0"/>
    <w:rsid w:val="00FE7D91"/>
    <w:rsid w:val="00FF2180"/>
    <w:rsid w:val="00FF535D"/>
    <w:rsid w:val="00FF6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254A231"/>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Default">
    <w:name w:val="Default"/>
    <w:rsid w:val="00BA05E0"/>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D5160"/>
    <w:rPr>
      <w:b/>
      <w:bCs/>
    </w:rPr>
  </w:style>
  <w:style w:type="character" w:customStyle="1" w:styleId="CommentSubjectChar">
    <w:name w:val="Comment Subject Char"/>
    <w:basedOn w:val="CommentTextChar"/>
    <w:link w:val="CommentSubject"/>
    <w:uiPriority w:val="99"/>
    <w:semiHidden/>
    <w:rsid w:val="00DD5160"/>
    <w:rPr>
      <w:rFonts w:ascii="Arial" w:hAnsi="Arial" w:cstheme="minorBidi"/>
      <w:b/>
      <w:bCs/>
    </w:rPr>
  </w:style>
  <w:style w:type="character" w:customStyle="1" w:styleId="FootnoteTextChar1">
    <w:name w:val="Footnote Text Char1"/>
    <w:basedOn w:val="DefaultParagraphFont"/>
    <w:uiPriority w:val="99"/>
    <w:rsid w:val="00C22D32"/>
    <w:rPr>
      <w:sz w:val="16"/>
    </w:rPr>
  </w:style>
  <w:style w:type="paragraph" w:styleId="ListBullet2">
    <w:name w:val="List Bullet 2"/>
    <w:aliases w:val="Dot-dash bullet"/>
    <w:basedOn w:val="ListBullet"/>
    <w:rsid w:val="00C22D32"/>
    <w:pPr>
      <w:numPr>
        <w:numId w:val="6"/>
      </w:numPr>
      <w:spacing w:line="240" w:lineRule="auto"/>
    </w:pPr>
  </w:style>
  <w:style w:type="paragraph" w:styleId="ListBullet">
    <w:name w:val="List Bullet"/>
    <w:basedOn w:val="Normal"/>
    <w:uiPriority w:val="99"/>
    <w:rsid w:val="00C22D32"/>
    <w:pPr>
      <w:numPr>
        <w:numId w:val="7"/>
      </w:numPr>
      <w:spacing w:before="40" w:after="80" w:line="280" w:lineRule="atLeast"/>
    </w:pPr>
    <w:rPr>
      <w:rFonts w:eastAsia="Times New Roman" w:cs="Times New Roman"/>
      <w:iCs/>
      <w:sz w:val="20"/>
      <w:szCs w:val="20"/>
    </w:rPr>
  </w:style>
  <w:style w:type="paragraph" w:styleId="ListNumber3">
    <w:name w:val="List Number 3"/>
    <w:basedOn w:val="ListNumber2"/>
    <w:rsid w:val="00C22D32"/>
    <w:pPr>
      <w:numPr>
        <w:numId w:val="5"/>
      </w:numPr>
      <w:spacing w:before="60" w:after="60" w:line="280" w:lineRule="atLeast"/>
      <w:ind w:left="1080" w:hanging="226"/>
      <w:contextualSpacing w:val="0"/>
    </w:pPr>
    <w:rPr>
      <w:rFonts w:eastAsia="Times New Roman" w:cs="Times New Roman"/>
      <w:sz w:val="20"/>
      <w:szCs w:val="20"/>
    </w:rPr>
  </w:style>
  <w:style w:type="character" w:styleId="FootnoteReference">
    <w:name w:val="footnote reference"/>
    <w:basedOn w:val="DefaultParagraphFont"/>
    <w:uiPriority w:val="99"/>
    <w:rsid w:val="00C22D32"/>
    <w:rPr>
      <w:rFonts w:cs="Times New Roman"/>
      <w:vertAlign w:val="superscript"/>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C22D32"/>
    <w:pPr>
      <w:spacing w:before="40" w:after="120" w:line="280" w:lineRule="atLeast"/>
      <w:ind w:left="720"/>
      <w:contextualSpacing/>
    </w:pPr>
    <w:rPr>
      <w:rFonts w:eastAsia="Times New Roman" w:cs="Times New Roman"/>
      <w:sz w:val="20"/>
      <w:szCs w:val="20"/>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C22D32"/>
    <w:rPr>
      <w:rFonts w:ascii="Arial" w:eastAsia="Times New Roman" w:hAnsi="Arial"/>
    </w:rPr>
  </w:style>
  <w:style w:type="paragraph" w:styleId="ListNumber2">
    <w:name w:val="List Number 2"/>
    <w:basedOn w:val="Normal"/>
    <w:uiPriority w:val="99"/>
    <w:unhideWhenUsed/>
    <w:rsid w:val="00C22D32"/>
    <w:pPr>
      <w:contextualSpacing/>
    </w:pPr>
  </w:style>
  <w:style w:type="character" w:styleId="FollowedHyperlink">
    <w:name w:val="FollowedHyperlink"/>
    <w:basedOn w:val="DefaultParagraphFont"/>
    <w:uiPriority w:val="99"/>
    <w:semiHidden/>
    <w:unhideWhenUsed/>
    <w:rsid w:val="006D2BBA"/>
    <w:rPr>
      <w:color w:val="800080" w:themeColor="followedHyperlink"/>
      <w:u w:val="single"/>
    </w:rPr>
  </w:style>
  <w:style w:type="paragraph" w:customStyle="1" w:styleId="highlightedtext">
    <w:name w:val="highlighted text"/>
    <w:basedOn w:val="Normal"/>
    <w:link w:val="highlightedtextChar"/>
    <w:qFormat/>
    <w:rsid w:val="000122FB"/>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0122FB"/>
    <w:rPr>
      <w:rFonts w:asciiTheme="minorHAnsi" w:hAnsiTheme="minorHAnsi" w:cstheme="minorBidi"/>
      <w:b/>
      <w:iCs/>
      <w:color w:val="917700" w:themeColor="accent3" w:themeShade="80"/>
      <w:sz w:val="22"/>
      <w:szCs w:val="22"/>
    </w:rPr>
  </w:style>
  <w:style w:type="character" w:customStyle="1" w:styleId="UnresolvedMention">
    <w:name w:val="Unresolved Mention"/>
    <w:basedOn w:val="DefaultParagraphFont"/>
    <w:uiPriority w:val="99"/>
    <w:semiHidden/>
    <w:unhideWhenUsed/>
    <w:rsid w:val="00754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6182">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97460020">
      <w:bodyDiv w:val="1"/>
      <w:marLeft w:val="0"/>
      <w:marRight w:val="0"/>
      <w:marTop w:val="0"/>
      <w:marBottom w:val="0"/>
      <w:divBdr>
        <w:top w:val="none" w:sz="0" w:space="0" w:color="auto"/>
        <w:left w:val="none" w:sz="0" w:space="0" w:color="auto"/>
        <w:bottom w:val="none" w:sz="0" w:space="0" w:color="auto"/>
        <w:right w:val="none" w:sz="0" w:space="0" w:color="auto"/>
      </w:divBdr>
    </w:div>
    <w:div w:id="169091458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21285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s.gov.au/websitedbs/d3310114.nsf/home/remoteness+structure" TargetMode="External"/><Relationship Id="rId18" Type="http://schemas.openxmlformats.org/officeDocument/2006/relationships/hyperlink" Target="mailto:support@communitygrants.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bs.gov.au/ausstats/abs@.nsf/mf/1270.0.55.005" TargetMode="External"/><Relationship Id="rId17"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hyperlink" Target="https://www.communitygrants.gov.au/information-applicants/strong-evide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bs.gov.au/websitedbs/D3310114.nsf/home/remoteness+structur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health.gov.au/resources/apps-and-tools/health-workforce-locator/health-workforce-locator" TargetMode="External"/><Relationship Id="rId23" Type="http://schemas.openxmlformats.org/officeDocument/2006/relationships/fontTable" Target="fontTable.xml"/><Relationship Id="rId10" Type="http://schemas.openxmlformats.org/officeDocument/2006/relationships/hyperlink" Target="https://www.communitygrants.gov.au/information-applicants/confirming-your-legal-entity-statu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www.nationalmap.gov.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F9FCAA-C70F-4202-8E19-29D1A034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46</TotalTime>
  <Pages>9</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NGUYEN, Tricia</cp:lastModifiedBy>
  <cp:revision>6</cp:revision>
  <cp:lastPrinted>2021-03-01T21:26:00Z</cp:lastPrinted>
  <dcterms:created xsi:type="dcterms:W3CDTF">2021-04-22T05:39:00Z</dcterms:created>
  <dcterms:modified xsi:type="dcterms:W3CDTF">2021-04-28T01:20:00Z</dcterms:modified>
</cp:coreProperties>
</file>