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8553" w14:textId="43B4F86F" w:rsidR="00BE2F53" w:rsidRDefault="00103E27" w:rsidP="00BE2F53">
      <w:pPr>
        <w:pStyle w:val="Heading1"/>
        <w:tabs>
          <w:tab w:val="left" w:pos="6849"/>
        </w:tabs>
        <w:spacing w:after="120"/>
      </w:pPr>
      <w:r>
        <w:t>Justice Services</w:t>
      </w:r>
      <w:r w:rsidR="00BE2F53">
        <w:tab/>
      </w:r>
      <w:r w:rsidR="00BE2F53" w:rsidRPr="00624853">
        <w:br/>
      </w:r>
      <w:r w:rsidRPr="00E13F1C">
        <w:rPr>
          <w:noProof/>
        </w:rPr>
        <w:t xml:space="preserve">Legal </w:t>
      </w:r>
      <w:r w:rsidR="00D55875" w:rsidRPr="00E13F1C">
        <w:rPr>
          <w:noProof/>
        </w:rPr>
        <w:t>advice</w:t>
      </w:r>
      <w:r w:rsidR="00AA3B37" w:rsidRPr="00E13F1C">
        <w:rPr>
          <w:noProof/>
        </w:rPr>
        <w:t xml:space="preserve"> </w:t>
      </w:r>
      <w:r w:rsidR="00DE5300" w:rsidRPr="00E13F1C">
        <w:rPr>
          <w:noProof/>
        </w:rPr>
        <w:t xml:space="preserve">service </w:t>
      </w:r>
      <w:r w:rsidR="00AA3B37" w:rsidRPr="00E13F1C">
        <w:rPr>
          <w:noProof/>
        </w:rPr>
        <w:t>supporting the Royal Commission into Defence and Veteran Suicide</w:t>
      </w:r>
    </w:p>
    <w:p w14:paraId="4BC7A063" w14:textId="77777777" w:rsidR="00BE2F53" w:rsidRPr="00DE3E36" w:rsidRDefault="00BE2F53" w:rsidP="00BE2F53">
      <w:pPr>
        <w:rPr>
          <w:color w:val="264F90"/>
          <w:sz w:val="40"/>
          <w:szCs w:val="40"/>
        </w:rPr>
      </w:pPr>
      <w:r>
        <w:rPr>
          <w:color w:val="264F90"/>
          <w:sz w:val="40"/>
          <w:szCs w:val="40"/>
        </w:rPr>
        <w:t>Grant Opportunity Guidelines</w:t>
      </w:r>
    </w:p>
    <w:p w14:paraId="4460CAA2"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7040EB" w14:paraId="59A29CA2" w14:textId="77777777" w:rsidTr="008372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04A8C6E" w14:textId="77777777" w:rsidR="00BE2F53" w:rsidRPr="0004098F" w:rsidRDefault="00BE2F53" w:rsidP="002410B6">
            <w:pPr>
              <w:rPr>
                <w:color w:val="264F90"/>
              </w:rPr>
            </w:pPr>
            <w:r w:rsidRPr="0004098F">
              <w:rPr>
                <w:color w:val="264F90"/>
              </w:rPr>
              <w:t>Opening date:</w:t>
            </w:r>
          </w:p>
        </w:tc>
        <w:tc>
          <w:tcPr>
            <w:tcW w:w="5983" w:type="dxa"/>
          </w:tcPr>
          <w:p w14:paraId="56FA4129" w14:textId="3218EFB2" w:rsidR="00BE2F53" w:rsidRPr="000747A5" w:rsidRDefault="00300940" w:rsidP="00FC4D77">
            <w:pPr>
              <w:cnfStyle w:val="100000000000" w:firstRow="1" w:lastRow="0" w:firstColumn="0" w:lastColumn="0" w:oddVBand="0" w:evenVBand="0" w:oddHBand="0" w:evenHBand="0" w:firstRowFirstColumn="0" w:firstRowLastColumn="0" w:lastRowFirstColumn="0" w:lastRowLastColumn="0"/>
              <w:rPr>
                <w:b w:val="0"/>
              </w:rPr>
            </w:pPr>
            <w:r w:rsidRPr="002E037E">
              <w:rPr>
                <w:b w:val="0"/>
              </w:rPr>
              <w:t>1</w:t>
            </w:r>
            <w:r w:rsidR="00FC4D77" w:rsidRPr="002E037E">
              <w:rPr>
                <w:b w:val="0"/>
              </w:rPr>
              <w:t>9</w:t>
            </w:r>
            <w:r w:rsidRPr="002E037E">
              <w:rPr>
                <w:b w:val="0"/>
              </w:rPr>
              <w:t xml:space="preserve"> July 2021</w:t>
            </w:r>
          </w:p>
        </w:tc>
      </w:tr>
      <w:tr w:rsidR="00BE2F53" w:rsidRPr="007040EB" w14:paraId="738CE8B4" w14:textId="77777777" w:rsidTr="00837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E5FCB6B" w14:textId="77777777" w:rsidR="00BE2F53" w:rsidRPr="0004098F" w:rsidRDefault="00BE2F53" w:rsidP="002410B6">
            <w:pPr>
              <w:rPr>
                <w:color w:val="264F90"/>
              </w:rPr>
            </w:pPr>
            <w:r w:rsidRPr="0004098F">
              <w:rPr>
                <w:color w:val="264F90"/>
              </w:rPr>
              <w:t>Closing date and time:</w:t>
            </w:r>
          </w:p>
        </w:tc>
        <w:tc>
          <w:tcPr>
            <w:tcW w:w="5983" w:type="dxa"/>
            <w:shd w:val="clear" w:color="auto" w:fill="auto"/>
          </w:tcPr>
          <w:p w14:paraId="4C0B962C" w14:textId="153CB5C8" w:rsidR="00BE2F53" w:rsidRPr="000747A5" w:rsidRDefault="00FA10D1" w:rsidP="00FC4D77">
            <w:pPr>
              <w:cnfStyle w:val="000000100000" w:firstRow="0" w:lastRow="0" w:firstColumn="0" w:lastColumn="0" w:oddVBand="0" w:evenVBand="0" w:oddHBand="1" w:evenHBand="0" w:firstRowFirstColumn="0" w:firstRowLastColumn="0" w:lastRowFirstColumn="0" w:lastRowLastColumn="0"/>
            </w:pPr>
            <w:r w:rsidRPr="000747A5">
              <w:t>9</w:t>
            </w:r>
            <w:r w:rsidR="009D1831" w:rsidRPr="000747A5">
              <w:t>:</w:t>
            </w:r>
            <w:r w:rsidR="00BE2F53" w:rsidRPr="000747A5">
              <w:t>00</w:t>
            </w:r>
            <w:r w:rsidR="009D1831" w:rsidRPr="000747A5">
              <w:t xml:space="preserve"> </w:t>
            </w:r>
            <w:r w:rsidR="00D2285A" w:rsidRPr="002E037E">
              <w:t>pm</w:t>
            </w:r>
            <w:r w:rsidR="0014403E" w:rsidRPr="000747A5">
              <w:t xml:space="preserve"> AEST</w:t>
            </w:r>
            <w:r w:rsidR="00300940" w:rsidRPr="000747A5">
              <w:t xml:space="preserve"> on </w:t>
            </w:r>
            <w:r w:rsidR="00FC4D77" w:rsidRPr="000747A5">
              <w:t xml:space="preserve">30 </w:t>
            </w:r>
            <w:r w:rsidR="00300940" w:rsidRPr="000747A5">
              <w:t>July 2021</w:t>
            </w:r>
          </w:p>
        </w:tc>
      </w:tr>
      <w:tr w:rsidR="00BE2F53" w:rsidRPr="007040EB" w14:paraId="08E4DF68" w14:textId="77777777" w:rsidTr="0083721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C82F9B" w14:textId="77777777" w:rsidR="00BE2F53" w:rsidRPr="0004098F" w:rsidRDefault="00BE2F53" w:rsidP="002410B6">
            <w:pPr>
              <w:rPr>
                <w:color w:val="264F90"/>
              </w:rPr>
            </w:pPr>
            <w:r w:rsidRPr="0004098F">
              <w:rPr>
                <w:color w:val="264F90"/>
              </w:rPr>
              <w:t>Commonwealth policy entity:</w:t>
            </w:r>
          </w:p>
        </w:tc>
        <w:tc>
          <w:tcPr>
            <w:tcW w:w="5983" w:type="dxa"/>
            <w:shd w:val="clear" w:color="auto" w:fill="auto"/>
          </w:tcPr>
          <w:p w14:paraId="3DD75501" w14:textId="6730DFA5" w:rsidR="00BE2F53" w:rsidRPr="00F65C53" w:rsidRDefault="004F7AE0" w:rsidP="002410B6">
            <w:pPr>
              <w:cnfStyle w:val="000000000000" w:firstRow="0" w:lastRow="0" w:firstColumn="0" w:lastColumn="0" w:oddVBand="0" w:evenVBand="0" w:oddHBand="0" w:evenHBand="0" w:firstRowFirstColumn="0" w:firstRowLastColumn="0" w:lastRowFirstColumn="0" w:lastRowLastColumn="0"/>
            </w:pPr>
            <w:r w:rsidRPr="004F7AE0">
              <w:t>Attorney-</w:t>
            </w:r>
            <w:r w:rsidR="002E2C8B" w:rsidRPr="004F7AE0">
              <w:t>General’s Department</w:t>
            </w:r>
          </w:p>
        </w:tc>
      </w:tr>
      <w:tr w:rsidR="00BE2F53" w:rsidRPr="007040EB" w14:paraId="673942C4" w14:textId="77777777" w:rsidTr="00837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37E54B" w14:textId="22181C5D" w:rsidR="00BE2F53" w:rsidRPr="0004098F" w:rsidRDefault="00BE2F53" w:rsidP="002410B6">
            <w:pPr>
              <w:rPr>
                <w:color w:val="264F90"/>
              </w:rPr>
            </w:pPr>
            <w:r>
              <w:rPr>
                <w:color w:val="264F90"/>
              </w:rPr>
              <w:t>Administering e</w:t>
            </w:r>
            <w:r w:rsidRPr="0004098F">
              <w:rPr>
                <w:color w:val="264F90"/>
              </w:rPr>
              <w:t>ntit</w:t>
            </w:r>
            <w:r>
              <w:rPr>
                <w:color w:val="264F90"/>
              </w:rPr>
              <w:t>y</w:t>
            </w:r>
            <w:r w:rsidR="009D1831">
              <w:rPr>
                <w:color w:val="264F90"/>
              </w:rPr>
              <w:t>:</w:t>
            </w:r>
          </w:p>
        </w:tc>
        <w:tc>
          <w:tcPr>
            <w:tcW w:w="5983" w:type="dxa"/>
            <w:shd w:val="clear" w:color="auto" w:fill="auto"/>
          </w:tcPr>
          <w:p w14:paraId="2A645C64"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4E0B4751" w14:textId="77777777" w:rsidTr="0083721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C33C43" w14:textId="77777777" w:rsidR="00BE2F53" w:rsidRPr="0004098F" w:rsidRDefault="00BE2F53" w:rsidP="002410B6">
            <w:pPr>
              <w:rPr>
                <w:color w:val="264F90"/>
              </w:rPr>
            </w:pPr>
            <w:r w:rsidRPr="0004098F">
              <w:rPr>
                <w:color w:val="264F90"/>
              </w:rPr>
              <w:t>Enquiries:</w:t>
            </w:r>
          </w:p>
        </w:tc>
        <w:tc>
          <w:tcPr>
            <w:tcW w:w="5983" w:type="dxa"/>
            <w:shd w:val="clear" w:color="auto" w:fill="auto"/>
          </w:tcPr>
          <w:p w14:paraId="4EEB8EC3"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DD0A010"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07995BC2" w14:textId="3DBC8111"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14:paraId="2161E211"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8" w:history="1">
              <w:r w:rsidRPr="00D13426">
                <w:rPr>
                  <w:rStyle w:val="Hyperlink"/>
                </w:rPr>
                <w:t>support@communitygrants.gov.au</w:t>
              </w:r>
            </w:hyperlink>
          </w:p>
          <w:p w14:paraId="432A6FAE" w14:textId="4BE0F1B1" w:rsidR="00BE2F53" w:rsidRPr="00300940" w:rsidRDefault="00BE2F53" w:rsidP="00FC4D77">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w:t>
            </w:r>
            <w:r w:rsidR="009D1831">
              <w:t>:</w:t>
            </w:r>
            <w:r>
              <w:t>00</w:t>
            </w:r>
            <w:r w:rsidR="009D1831">
              <w:t xml:space="preserve"> </w:t>
            </w:r>
            <w:r w:rsidR="00D2285A">
              <w:t>pm</w:t>
            </w:r>
            <w:r>
              <w:t xml:space="preserve"> </w:t>
            </w:r>
            <w:r w:rsidR="0014403E" w:rsidRPr="0014403E">
              <w:t>AEST</w:t>
            </w:r>
            <w:r w:rsidRPr="0014403E">
              <w:t xml:space="preserve"> </w:t>
            </w:r>
            <w:r>
              <w:t>on</w:t>
            </w:r>
            <w:r w:rsidRPr="00F65C53">
              <w:t xml:space="preserve"> </w:t>
            </w:r>
            <w:r w:rsidR="0014403E">
              <w:br/>
            </w:r>
            <w:r w:rsidR="00FC4D77" w:rsidRPr="00FC4D77">
              <w:t>23</w:t>
            </w:r>
            <w:r w:rsidR="00300940" w:rsidRPr="00FC4D77">
              <w:t xml:space="preserve"> July 2021</w:t>
            </w:r>
          </w:p>
        </w:tc>
      </w:tr>
      <w:tr w:rsidR="00BE2F53" w:rsidRPr="007040EB" w14:paraId="4D110786" w14:textId="77777777" w:rsidTr="00837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BBD7DA" w14:textId="77777777" w:rsidR="00BE2F53" w:rsidRPr="0004098F" w:rsidRDefault="00BE2F53" w:rsidP="002410B6">
            <w:pPr>
              <w:rPr>
                <w:color w:val="264F90"/>
              </w:rPr>
            </w:pPr>
            <w:r w:rsidRPr="0004098F">
              <w:rPr>
                <w:color w:val="264F90"/>
              </w:rPr>
              <w:t>Date guidelines released:</w:t>
            </w:r>
          </w:p>
        </w:tc>
        <w:tc>
          <w:tcPr>
            <w:tcW w:w="5983" w:type="dxa"/>
            <w:shd w:val="clear" w:color="auto" w:fill="auto"/>
          </w:tcPr>
          <w:p w14:paraId="3E548F7A" w14:textId="43B04810" w:rsidR="00BE2F53" w:rsidRPr="00300940" w:rsidRDefault="00300940" w:rsidP="00FC4D77">
            <w:pPr>
              <w:cnfStyle w:val="000000100000" w:firstRow="0" w:lastRow="0" w:firstColumn="0" w:lastColumn="0" w:oddVBand="0" w:evenVBand="0" w:oddHBand="1" w:evenHBand="0" w:firstRowFirstColumn="0" w:firstRowLastColumn="0" w:lastRowFirstColumn="0" w:lastRowLastColumn="0"/>
            </w:pPr>
            <w:r w:rsidRPr="00FC4D77">
              <w:t>1</w:t>
            </w:r>
            <w:r w:rsidR="00FC4D77" w:rsidRPr="00FC4D77">
              <w:t xml:space="preserve">9 </w:t>
            </w:r>
            <w:r w:rsidRPr="00FC4D77">
              <w:t>July 2021</w:t>
            </w:r>
          </w:p>
        </w:tc>
      </w:tr>
      <w:tr w:rsidR="00BE2F53" w14:paraId="3494A880" w14:textId="77777777" w:rsidTr="0083721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5A6F1B" w14:textId="77777777" w:rsidR="00BE2F53" w:rsidRPr="0004098F" w:rsidRDefault="00BE2F53" w:rsidP="002410B6">
            <w:pPr>
              <w:rPr>
                <w:color w:val="264F90"/>
              </w:rPr>
            </w:pPr>
            <w:r w:rsidRPr="0004098F">
              <w:rPr>
                <w:color w:val="264F90"/>
              </w:rPr>
              <w:t>Type of grant opportunity:</w:t>
            </w:r>
          </w:p>
        </w:tc>
        <w:tc>
          <w:tcPr>
            <w:tcW w:w="5983" w:type="dxa"/>
            <w:shd w:val="clear" w:color="auto" w:fill="auto"/>
          </w:tcPr>
          <w:p w14:paraId="256526F7" w14:textId="22BD0EFF" w:rsidR="00BE2F53" w:rsidRPr="00F65C53" w:rsidRDefault="00BE2F53" w:rsidP="00AA3B37">
            <w:pPr>
              <w:cnfStyle w:val="000000000000" w:firstRow="0" w:lastRow="0" w:firstColumn="0" w:lastColumn="0" w:oddVBand="0" w:evenVBand="0" w:oddHBand="0" w:evenHBand="0" w:firstRowFirstColumn="0" w:firstRowLastColumn="0" w:lastRowFirstColumn="0" w:lastRowLastColumn="0"/>
            </w:pPr>
            <w:r w:rsidRPr="00837213">
              <w:t>Targeted competitive</w:t>
            </w:r>
          </w:p>
        </w:tc>
      </w:tr>
    </w:tbl>
    <w:p w14:paraId="3A39A0C4" w14:textId="77777777" w:rsidR="00BE2F53" w:rsidRDefault="00BE2F53" w:rsidP="00BE2F53"/>
    <w:p w14:paraId="4FD94C01" w14:textId="77777777" w:rsidR="00BE2F53" w:rsidRDefault="00BE2F53" w:rsidP="00BE2F53">
      <w:pPr>
        <w:spacing w:before="0" w:after="0" w:line="240" w:lineRule="auto"/>
      </w:pPr>
      <w:r>
        <w:br w:type="page"/>
      </w:r>
    </w:p>
    <w:p w14:paraId="63C7FE2A" w14:textId="38BA0815" w:rsidR="00BE2F53" w:rsidRDefault="00BE2F53" w:rsidP="00894C0F">
      <w:pPr>
        <w:pStyle w:val="TOCHeading"/>
        <w:tabs>
          <w:tab w:val="left" w:pos="8003"/>
        </w:tabs>
      </w:pPr>
      <w:r>
        <w:lastRenderedPageBreak/>
        <w:t>Contents</w:t>
      </w:r>
      <w:r w:rsidR="00894C0F">
        <w:tab/>
      </w:r>
    </w:p>
    <w:p w14:paraId="63F3B1AF" w14:textId="65152B84" w:rsidR="00740C2D"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740C2D">
        <w:rPr>
          <w:noProof/>
        </w:rPr>
        <w:t>1</w:t>
      </w:r>
      <w:r w:rsidR="00740C2D">
        <w:rPr>
          <w:rFonts w:asciiTheme="minorHAnsi" w:eastAsiaTheme="minorEastAsia" w:hAnsiTheme="minorHAnsi" w:cstheme="minorBidi"/>
          <w:b w:val="0"/>
          <w:noProof/>
          <w:sz w:val="22"/>
          <w:lang w:val="en-AU" w:eastAsia="en-AU"/>
        </w:rPr>
        <w:tab/>
      </w:r>
      <w:r w:rsidR="00740C2D">
        <w:rPr>
          <w:noProof/>
        </w:rPr>
        <w:t>Legal advice service supporting the Royal Commission into Defence and Veteran Suicide</w:t>
      </w:r>
      <w:r w:rsidR="00740C2D">
        <w:rPr>
          <w:noProof/>
        </w:rPr>
        <w:tab/>
      </w:r>
      <w:r w:rsidR="00740C2D">
        <w:rPr>
          <w:noProof/>
        </w:rPr>
        <w:fldChar w:fldCharType="begin"/>
      </w:r>
      <w:r w:rsidR="00740C2D">
        <w:rPr>
          <w:noProof/>
        </w:rPr>
        <w:instrText xml:space="preserve"> PAGEREF _Toc74904745 \h </w:instrText>
      </w:r>
      <w:r w:rsidR="00740C2D">
        <w:rPr>
          <w:noProof/>
        </w:rPr>
      </w:r>
      <w:r w:rsidR="00740C2D">
        <w:rPr>
          <w:noProof/>
        </w:rPr>
        <w:fldChar w:fldCharType="separate"/>
      </w:r>
      <w:r w:rsidR="008047C7">
        <w:rPr>
          <w:noProof/>
        </w:rPr>
        <w:t>4</w:t>
      </w:r>
      <w:r w:rsidR="00740C2D">
        <w:rPr>
          <w:noProof/>
        </w:rPr>
        <w:fldChar w:fldCharType="end"/>
      </w:r>
    </w:p>
    <w:p w14:paraId="16F46822" w14:textId="63A24263" w:rsidR="00740C2D" w:rsidRDefault="00740C2D">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_Toc74904746 \h </w:instrText>
      </w:r>
      <w:r>
        <w:rPr>
          <w:noProof/>
        </w:rPr>
      </w:r>
      <w:r>
        <w:rPr>
          <w:noProof/>
        </w:rPr>
        <w:fldChar w:fldCharType="separate"/>
      </w:r>
      <w:r w:rsidR="008047C7">
        <w:rPr>
          <w:noProof/>
        </w:rPr>
        <w:t>5</w:t>
      </w:r>
      <w:r>
        <w:rPr>
          <w:noProof/>
        </w:rPr>
        <w:fldChar w:fldCharType="end"/>
      </w:r>
    </w:p>
    <w:p w14:paraId="394BA6DC" w14:textId="566D71D0" w:rsidR="00740C2D" w:rsidRDefault="00740C2D">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_Toc74904747 \h </w:instrText>
      </w:r>
      <w:r>
        <w:rPr>
          <w:noProof/>
        </w:rPr>
      </w:r>
      <w:r>
        <w:rPr>
          <w:noProof/>
        </w:rPr>
        <w:fldChar w:fldCharType="separate"/>
      </w:r>
      <w:r w:rsidR="008047C7">
        <w:rPr>
          <w:noProof/>
        </w:rPr>
        <w:t>5</w:t>
      </w:r>
      <w:r>
        <w:rPr>
          <w:noProof/>
        </w:rPr>
        <w:fldChar w:fldCharType="end"/>
      </w:r>
    </w:p>
    <w:p w14:paraId="264D1CD7" w14:textId="7C26F495" w:rsidR="00740C2D" w:rsidRDefault="00740C2D">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legal advice service grant opportunity</w:t>
      </w:r>
      <w:r>
        <w:rPr>
          <w:noProof/>
        </w:rPr>
        <w:tab/>
      </w:r>
      <w:r>
        <w:rPr>
          <w:noProof/>
        </w:rPr>
        <w:fldChar w:fldCharType="begin"/>
      </w:r>
      <w:r>
        <w:rPr>
          <w:noProof/>
        </w:rPr>
        <w:instrText xml:space="preserve"> PAGEREF _Toc74904748 \h </w:instrText>
      </w:r>
      <w:r>
        <w:rPr>
          <w:noProof/>
        </w:rPr>
      </w:r>
      <w:r>
        <w:rPr>
          <w:noProof/>
        </w:rPr>
        <w:fldChar w:fldCharType="separate"/>
      </w:r>
      <w:r w:rsidR="008047C7">
        <w:rPr>
          <w:noProof/>
        </w:rPr>
        <w:t>5</w:t>
      </w:r>
      <w:r>
        <w:rPr>
          <w:noProof/>
        </w:rPr>
        <w:fldChar w:fldCharType="end"/>
      </w:r>
    </w:p>
    <w:p w14:paraId="7758328D" w14:textId="7FD592F7" w:rsidR="00740C2D" w:rsidRDefault="00740C2D">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Response to COVID-19 (coronavirus)</w:t>
      </w:r>
      <w:r>
        <w:rPr>
          <w:noProof/>
        </w:rPr>
        <w:tab/>
      </w:r>
      <w:r>
        <w:rPr>
          <w:noProof/>
        </w:rPr>
        <w:fldChar w:fldCharType="begin"/>
      </w:r>
      <w:r>
        <w:rPr>
          <w:noProof/>
        </w:rPr>
        <w:instrText xml:space="preserve"> PAGEREF _Toc74904749 \h </w:instrText>
      </w:r>
      <w:r>
        <w:rPr>
          <w:noProof/>
        </w:rPr>
      </w:r>
      <w:r>
        <w:rPr>
          <w:noProof/>
        </w:rPr>
        <w:fldChar w:fldCharType="separate"/>
      </w:r>
      <w:r w:rsidR="008047C7">
        <w:rPr>
          <w:noProof/>
        </w:rPr>
        <w:t>6</w:t>
      </w:r>
      <w:r>
        <w:rPr>
          <w:noProof/>
        </w:rPr>
        <w:fldChar w:fldCharType="end"/>
      </w:r>
    </w:p>
    <w:p w14:paraId="0D98523F" w14:textId="616165EA" w:rsidR="00740C2D" w:rsidRDefault="00740C2D">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_Toc74904750 \h </w:instrText>
      </w:r>
      <w:r>
        <w:rPr>
          <w:noProof/>
        </w:rPr>
      </w:r>
      <w:r>
        <w:rPr>
          <w:noProof/>
        </w:rPr>
        <w:fldChar w:fldCharType="separate"/>
      </w:r>
      <w:r w:rsidR="008047C7">
        <w:rPr>
          <w:noProof/>
        </w:rPr>
        <w:t>6</w:t>
      </w:r>
      <w:r>
        <w:rPr>
          <w:noProof/>
        </w:rPr>
        <w:fldChar w:fldCharType="end"/>
      </w:r>
    </w:p>
    <w:p w14:paraId="2797FAA7" w14:textId="54BE92F0" w:rsidR="00740C2D" w:rsidRDefault="00740C2D">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_Toc74904751 \h </w:instrText>
      </w:r>
      <w:r>
        <w:rPr>
          <w:noProof/>
        </w:rPr>
      </w:r>
      <w:r>
        <w:rPr>
          <w:noProof/>
        </w:rPr>
        <w:fldChar w:fldCharType="separate"/>
      </w:r>
      <w:r w:rsidR="008047C7">
        <w:rPr>
          <w:noProof/>
        </w:rPr>
        <w:t>6</w:t>
      </w:r>
      <w:r>
        <w:rPr>
          <w:noProof/>
        </w:rPr>
        <w:fldChar w:fldCharType="end"/>
      </w:r>
    </w:p>
    <w:p w14:paraId="0C77A240" w14:textId="64292DFD" w:rsidR="00740C2D" w:rsidRDefault="00740C2D">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_Toc74904752 \h </w:instrText>
      </w:r>
      <w:r>
        <w:rPr>
          <w:noProof/>
        </w:rPr>
      </w:r>
      <w:r>
        <w:rPr>
          <w:noProof/>
        </w:rPr>
        <w:fldChar w:fldCharType="separate"/>
      </w:r>
      <w:r w:rsidR="008047C7">
        <w:rPr>
          <w:noProof/>
        </w:rPr>
        <w:t>7</w:t>
      </w:r>
      <w:r>
        <w:rPr>
          <w:noProof/>
        </w:rPr>
        <w:fldChar w:fldCharType="end"/>
      </w:r>
    </w:p>
    <w:p w14:paraId="649832F6" w14:textId="26BD1986" w:rsidR="00740C2D" w:rsidRDefault="00740C2D">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_Toc74904753 \h </w:instrText>
      </w:r>
      <w:r>
        <w:rPr>
          <w:noProof/>
        </w:rPr>
      </w:r>
      <w:r>
        <w:rPr>
          <w:noProof/>
        </w:rPr>
        <w:fldChar w:fldCharType="separate"/>
      </w:r>
      <w:r w:rsidR="008047C7">
        <w:rPr>
          <w:noProof/>
        </w:rPr>
        <w:t>7</w:t>
      </w:r>
      <w:r>
        <w:rPr>
          <w:noProof/>
        </w:rPr>
        <w:fldChar w:fldCharType="end"/>
      </w:r>
    </w:p>
    <w:p w14:paraId="3DE7ECAC" w14:textId="01A74D0D" w:rsidR="00740C2D" w:rsidRDefault="00740C2D">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_Toc74904754 \h </w:instrText>
      </w:r>
      <w:r>
        <w:rPr>
          <w:noProof/>
        </w:rPr>
      </w:r>
      <w:r>
        <w:rPr>
          <w:noProof/>
        </w:rPr>
        <w:fldChar w:fldCharType="separate"/>
      </w:r>
      <w:r w:rsidR="008047C7">
        <w:rPr>
          <w:noProof/>
        </w:rPr>
        <w:t>7</w:t>
      </w:r>
      <w:r>
        <w:rPr>
          <w:noProof/>
        </w:rPr>
        <w:fldChar w:fldCharType="end"/>
      </w:r>
    </w:p>
    <w:p w14:paraId="056F4C25" w14:textId="5E9E4071" w:rsidR="00740C2D" w:rsidRDefault="00740C2D">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_Toc74904755 \h </w:instrText>
      </w:r>
      <w:r>
        <w:rPr>
          <w:noProof/>
        </w:rPr>
      </w:r>
      <w:r>
        <w:rPr>
          <w:noProof/>
        </w:rPr>
        <w:fldChar w:fldCharType="separate"/>
      </w:r>
      <w:r w:rsidR="008047C7">
        <w:rPr>
          <w:noProof/>
        </w:rPr>
        <w:t>8</w:t>
      </w:r>
      <w:r>
        <w:rPr>
          <w:noProof/>
        </w:rPr>
        <w:fldChar w:fldCharType="end"/>
      </w:r>
    </w:p>
    <w:p w14:paraId="19C8C9C3" w14:textId="41EFE06D" w:rsidR="00740C2D" w:rsidRDefault="00740C2D">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_Toc74904756 \h </w:instrText>
      </w:r>
      <w:r>
        <w:rPr>
          <w:noProof/>
        </w:rPr>
      </w:r>
      <w:r>
        <w:rPr>
          <w:noProof/>
        </w:rPr>
        <w:fldChar w:fldCharType="separate"/>
      </w:r>
      <w:r w:rsidR="008047C7">
        <w:rPr>
          <w:noProof/>
        </w:rPr>
        <w:t>8</w:t>
      </w:r>
      <w:r>
        <w:rPr>
          <w:noProof/>
        </w:rPr>
        <w:fldChar w:fldCharType="end"/>
      </w:r>
    </w:p>
    <w:p w14:paraId="46F0F8A9" w14:textId="49907487" w:rsidR="00740C2D" w:rsidRDefault="00740C2D">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_Toc74904757 \h </w:instrText>
      </w:r>
      <w:r>
        <w:rPr>
          <w:noProof/>
        </w:rPr>
      </w:r>
      <w:r>
        <w:rPr>
          <w:noProof/>
        </w:rPr>
        <w:fldChar w:fldCharType="separate"/>
      </w:r>
      <w:r w:rsidR="008047C7">
        <w:rPr>
          <w:noProof/>
        </w:rPr>
        <w:t>8</w:t>
      </w:r>
      <w:r>
        <w:rPr>
          <w:noProof/>
        </w:rPr>
        <w:fldChar w:fldCharType="end"/>
      </w:r>
    </w:p>
    <w:p w14:paraId="2580356D" w14:textId="5550AFB8" w:rsidR="00740C2D" w:rsidRDefault="00740C2D">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_Toc74904758 \h </w:instrText>
      </w:r>
      <w:r>
        <w:rPr>
          <w:noProof/>
        </w:rPr>
      </w:r>
      <w:r>
        <w:rPr>
          <w:noProof/>
        </w:rPr>
        <w:fldChar w:fldCharType="separate"/>
      </w:r>
      <w:r w:rsidR="008047C7">
        <w:rPr>
          <w:noProof/>
        </w:rPr>
        <w:t>8</w:t>
      </w:r>
      <w:r>
        <w:rPr>
          <w:noProof/>
        </w:rPr>
        <w:fldChar w:fldCharType="end"/>
      </w:r>
    </w:p>
    <w:p w14:paraId="428E5BC2" w14:textId="17762DBB" w:rsidR="00740C2D" w:rsidRDefault="00740C2D">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_Toc74904759 \h </w:instrText>
      </w:r>
      <w:r>
        <w:rPr>
          <w:noProof/>
        </w:rPr>
      </w:r>
      <w:r>
        <w:rPr>
          <w:noProof/>
        </w:rPr>
        <w:fldChar w:fldCharType="separate"/>
      </w:r>
      <w:r w:rsidR="008047C7">
        <w:rPr>
          <w:noProof/>
        </w:rPr>
        <w:t>9</w:t>
      </w:r>
      <w:r>
        <w:rPr>
          <w:noProof/>
        </w:rPr>
        <w:fldChar w:fldCharType="end"/>
      </w:r>
    </w:p>
    <w:p w14:paraId="6A62EE0D" w14:textId="459632D4" w:rsidR="00740C2D" w:rsidRDefault="00740C2D">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_Toc74904760 \h </w:instrText>
      </w:r>
      <w:r>
        <w:rPr>
          <w:noProof/>
        </w:rPr>
      </w:r>
      <w:r>
        <w:rPr>
          <w:noProof/>
        </w:rPr>
        <w:fldChar w:fldCharType="separate"/>
      </w:r>
      <w:r w:rsidR="008047C7">
        <w:rPr>
          <w:noProof/>
        </w:rPr>
        <w:t>9</w:t>
      </w:r>
      <w:r>
        <w:rPr>
          <w:noProof/>
        </w:rPr>
        <w:fldChar w:fldCharType="end"/>
      </w:r>
    </w:p>
    <w:p w14:paraId="70535AFC" w14:textId="6F3539A4" w:rsidR="00740C2D" w:rsidRDefault="00740C2D">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_Toc74904761 \h </w:instrText>
      </w:r>
      <w:r>
        <w:rPr>
          <w:noProof/>
        </w:rPr>
      </w:r>
      <w:r>
        <w:rPr>
          <w:noProof/>
        </w:rPr>
        <w:fldChar w:fldCharType="separate"/>
      </w:r>
      <w:r w:rsidR="008047C7">
        <w:rPr>
          <w:noProof/>
        </w:rPr>
        <w:t>10</w:t>
      </w:r>
      <w:r>
        <w:rPr>
          <w:noProof/>
        </w:rPr>
        <w:fldChar w:fldCharType="end"/>
      </w:r>
    </w:p>
    <w:p w14:paraId="48D675D3" w14:textId="2AEFDB88" w:rsidR="00740C2D" w:rsidRDefault="00740C2D">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_Toc74904762 \h </w:instrText>
      </w:r>
      <w:r>
        <w:rPr>
          <w:noProof/>
        </w:rPr>
      </w:r>
      <w:r>
        <w:rPr>
          <w:noProof/>
        </w:rPr>
        <w:fldChar w:fldCharType="separate"/>
      </w:r>
      <w:r w:rsidR="008047C7">
        <w:rPr>
          <w:noProof/>
        </w:rPr>
        <w:t>10</w:t>
      </w:r>
      <w:r>
        <w:rPr>
          <w:noProof/>
        </w:rPr>
        <w:fldChar w:fldCharType="end"/>
      </w:r>
    </w:p>
    <w:p w14:paraId="6672F84A" w14:textId="1112B0EC" w:rsidR="00740C2D" w:rsidRDefault="00740C2D">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_Toc74904763 \h </w:instrText>
      </w:r>
      <w:r>
        <w:rPr>
          <w:noProof/>
        </w:rPr>
      </w:r>
      <w:r>
        <w:rPr>
          <w:noProof/>
        </w:rPr>
        <w:fldChar w:fldCharType="separate"/>
      </w:r>
      <w:r w:rsidR="008047C7">
        <w:rPr>
          <w:noProof/>
        </w:rPr>
        <w:t>11</w:t>
      </w:r>
      <w:r>
        <w:rPr>
          <w:noProof/>
        </w:rPr>
        <w:fldChar w:fldCharType="end"/>
      </w:r>
    </w:p>
    <w:p w14:paraId="63AC2A83" w14:textId="20B8F149" w:rsidR="00740C2D" w:rsidRDefault="00740C2D">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_Toc74904764 \h </w:instrText>
      </w:r>
      <w:r>
        <w:rPr>
          <w:noProof/>
        </w:rPr>
      </w:r>
      <w:r>
        <w:rPr>
          <w:noProof/>
        </w:rPr>
        <w:fldChar w:fldCharType="separate"/>
      </w:r>
      <w:r w:rsidR="008047C7">
        <w:rPr>
          <w:noProof/>
        </w:rPr>
        <w:t>12</w:t>
      </w:r>
      <w:r>
        <w:rPr>
          <w:noProof/>
        </w:rPr>
        <w:fldChar w:fldCharType="end"/>
      </w:r>
    </w:p>
    <w:p w14:paraId="5EE7D88D" w14:textId="7FCCD06B" w:rsidR="00740C2D" w:rsidRDefault="00740C2D">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_Toc74904765 \h </w:instrText>
      </w:r>
      <w:r>
        <w:rPr>
          <w:noProof/>
        </w:rPr>
      </w:r>
      <w:r>
        <w:rPr>
          <w:noProof/>
        </w:rPr>
        <w:fldChar w:fldCharType="separate"/>
      </w:r>
      <w:r w:rsidR="008047C7">
        <w:rPr>
          <w:noProof/>
        </w:rPr>
        <w:t>13</w:t>
      </w:r>
      <w:r>
        <w:rPr>
          <w:noProof/>
        </w:rPr>
        <w:fldChar w:fldCharType="end"/>
      </w:r>
    </w:p>
    <w:p w14:paraId="7F6B87D0" w14:textId="7E1564E4" w:rsidR="00740C2D" w:rsidRDefault="00740C2D">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_Toc74904766 \h </w:instrText>
      </w:r>
      <w:r>
        <w:rPr>
          <w:noProof/>
        </w:rPr>
      </w:r>
      <w:r>
        <w:rPr>
          <w:noProof/>
        </w:rPr>
        <w:fldChar w:fldCharType="separate"/>
      </w:r>
      <w:r w:rsidR="008047C7">
        <w:rPr>
          <w:noProof/>
        </w:rPr>
        <w:t>13</w:t>
      </w:r>
      <w:r>
        <w:rPr>
          <w:noProof/>
        </w:rPr>
        <w:fldChar w:fldCharType="end"/>
      </w:r>
    </w:p>
    <w:p w14:paraId="5B463AA9" w14:textId="61D32069" w:rsidR="00740C2D" w:rsidRDefault="00740C2D">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_Toc74904767 \h </w:instrText>
      </w:r>
      <w:r>
        <w:rPr>
          <w:noProof/>
        </w:rPr>
      </w:r>
      <w:r>
        <w:rPr>
          <w:noProof/>
        </w:rPr>
        <w:fldChar w:fldCharType="separate"/>
      </w:r>
      <w:r w:rsidR="008047C7">
        <w:rPr>
          <w:noProof/>
        </w:rPr>
        <w:t>13</w:t>
      </w:r>
      <w:r>
        <w:rPr>
          <w:noProof/>
        </w:rPr>
        <w:fldChar w:fldCharType="end"/>
      </w:r>
    </w:p>
    <w:p w14:paraId="3045483A" w14:textId="40F9EC01" w:rsidR="00740C2D" w:rsidRDefault="00740C2D">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_Toc74904768 \h </w:instrText>
      </w:r>
      <w:r>
        <w:rPr>
          <w:noProof/>
        </w:rPr>
      </w:r>
      <w:r>
        <w:rPr>
          <w:noProof/>
        </w:rPr>
        <w:fldChar w:fldCharType="separate"/>
      </w:r>
      <w:r w:rsidR="008047C7">
        <w:rPr>
          <w:noProof/>
        </w:rPr>
        <w:t>14</w:t>
      </w:r>
      <w:r>
        <w:rPr>
          <w:noProof/>
        </w:rPr>
        <w:fldChar w:fldCharType="end"/>
      </w:r>
    </w:p>
    <w:p w14:paraId="6CF0A2F2" w14:textId="7569C969" w:rsidR="00740C2D" w:rsidRDefault="00740C2D">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_Toc74904769 \h </w:instrText>
      </w:r>
      <w:r>
        <w:rPr>
          <w:noProof/>
        </w:rPr>
      </w:r>
      <w:r>
        <w:rPr>
          <w:noProof/>
        </w:rPr>
        <w:fldChar w:fldCharType="separate"/>
      </w:r>
      <w:r w:rsidR="008047C7">
        <w:rPr>
          <w:noProof/>
        </w:rPr>
        <w:t>14</w:t>
      </w:r>
      <w:r>
        <w:rPr>
          <w:noProof/>
        </w:rPr>
        <w:fldChar w:fldCharType="end"/>
      </w:r>
    </w:p>
    <w:p w14:paraId="66A821DC" w14:textId="74B8F52F" w:rsidR="00740C2D" w:rsidRDefault="00740C2D">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_Toc74904770 \h </w:instrText>
      </w:r>
      <w:r>
        <w:rPr>
          <w:noProof/>
        </w:rPr>
      </w:r>
      <w:r>
        <w:rPr>
          <w:noProof/>
        </w:rPr>
        <w:fldChar w:fldCharType="separate"/>
      </w:r>
      <w:r w:rsidR="008047C7">
        <w:rPr>
          <w:noProof/>
        </w:rPr>
        <w:t>14</w:t>
      </w:r>
      <w:r>
        <w:rPr>
          <w:noProof/>
        </w:rPr>
        <w:fldChar w:fldCharType="end"/>
      </w:r>
    </w:p>
    <w:p w14:paraId="5B27F02D" w14:textId="68DE48BE" w:rsidR="00740C2D" w:rsidRDefault="00740C2D">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_Toc74904771 \h </w:instrText>
      </w:r>
      <w:r>
        <w:rPr>
          <w:noProof/>
        </w:rPr>
      </w:r>
      <w:r>
        <w:rPr>
          <w:noProof/>
        </w:rPr>
        <w:fldChar w:fldCharType="separate"/>
      </w:r>
      <w:r w:rsidR="008047C7">
        <w:rPr>
          <w:noProof/>
        </w:rPr>
        <w:t>14</w:t>
      </w:r>
      <w:r>
        <w:rPr>
          <w:noProof/>
        </w:rPr>
        <w:fldChar w:fldCharType="end"/>
      </w:r>
    </w:p>
    <w:p w14:paraId="2635E6D6" w14:textId="4A078889" w:rsidR="00740C2D" w:rsidRDefault="00740C2D">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_Toc74904772 \h </w:instrText>
      </w:r>
      <w:r>
        <w:rPr>
          <w:noProof/>
        </w:rPr>
      </w:r>
      <w:r>
        <w:rPr>
          <w:noProof/>
        </w:rPr>
        <w:fldChar w:fldCharType="separate"/>
      </w:r>
      <w:r w:rsidR="008047C7">
        <w:rPr>
          <w:noProof/>
        </w:rPr>
        <w:t>15</w:t>
      </w:r>
      <w:r>
        <w:rPr>
          <w:noProof/>
        </w:rPr>
        <w:fldChar w:fldCharType="end"/>
      </w:r>
    </w:p>
    <w:p w14:paraId="7CE55636" w14:textId="13AB63F3" w:rsidR="00740C2D" w:rsidRDefault="00740C2D">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_Toc74904773 \h </w:instrText>
      </w:r>
      <w:r>
        <w:rPr>
          <w:noProof/>
        </w:rPr>
      </w:r>
      <w:r>
        <w:rPr>
          <w:noProof/>
        </w:rPr>
        <w:fldChar w:fldCharType="separate"/>
      </w:r>
      <w:r w:rsidR="008047C7">
        <w:rPr>
          <w:noProof/>
        </w:rPr>
        <w:t>15</w:t>
      </w:r>
      <w:r>
        <w:rPr>
          <w:noProof/>
        </w:rPr>
        <w:fldChar w:fldCharType="end"/>
      </w:r>
    </w:p>
    <w:p w14:paraId="052957D9" w14:textId="1C3F0A11" w:rsidR="00740C2D" w:rsidRDefault="00740C2D">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_Toc74904774 \h </w:instrText>
      </w:r>
      <w:r>
        <w:rPr>
          <w:noProof/>
        </w:rPr>
      </w:r>
      <w:r>
        <w:rPr>
          <w:noProof/>
        </w:rPr>
        <w:fldChar w:fldCharType="separate"/>
      </w:r>
      <w:r w:rsidR="008047C7">
        <w:rPr>
          <w:noProof/>
        </w:rPr>
        <w:t>15</w:t>
      </w:r>
      <w:r>
        <w:rPr>
          <w:noProof/>
        </w:rPr>
        <w:fldChar w:fldCharType="end"/>
      </w:r>
    </w:p>
    <w:p w14:paraId="1E1BC79F" w14:textId="60215E64"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_Toc74904775 \h </w:instrText>
      </w:r>
      <w:r>
        <w:rPr>
          <w:noProof/>
        </w:rPr>
      </w:r>
      <w:r>
        <w:rPr>
          <w:noProof/>
        </w:rPr>
        <w:fldChar w:fldCharType="separate"/>
      </w:r>
      <w:r w:rsidR="008047C7">
        <w:rPr>
          <w:noProof/>
        </w:rPr>
        <w:t>15</w:t>
      </w:r>
      <w:r>
        <w:rPr>
          <w:noProof/>
        </w:rPr>
        <w:fldChar w:fldCharType="end"/>
      </w:r>
    </w:p>
    <w:p w14:paraId="2AC5E38C" w14:textId="57782DAB"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_Toc74904776 \h </w:instrText>
      </w:r>
      <w:r>
        <w:rPr>
          <w:noProof/>
        </w:rPr>
      </w:r>
      <w:r>
        <w:rPr>
          <w:noProof/>
        </w:rPr>
        <w:fldChar w:fldCharType="separate"/>
      </w:r>
      <w:r w:rsidR="008047C7">
        <w:rPr>
          <w:noProof/>
        </w:rPr>
        <w:t>16</w:t>
      </w:r>
      <w:r>
        <w:rPr>
          <w:noProof/>
        </w:rPr>
        <w:fldChar w:fldCharType="end"/>
      </w:r>
    </w:p>
    <w:p w14:paraId="04B741F6" w14:textId="2811F4E7"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_Toc74904777 \h </w:instrText>
      </w:r>
      <w:r>
        <w:rPr>
          <w:noProof/>
        </w:rPr>
      </w:r>
      <w:r>
        <w:rPr>
          <w:noProof/>
        </w:rPr>
        <w:fldChar w:fldCharType="separate"/>
      </w:r>
      <w:r w:rsidR="008047C7">
        <w:rPr>
          <w:noProof/>
        </w:rPr>
        <w:t>16</w:t>
      </w:r>
      <w:r>
        <w:rPr>
          <w:noProof/>
        </w:rPr>
        <w:fldChar w:fldCharType="end"/>
      </w:r>
    </w:p>
    <w:p w14:paraId="056A3484" w14:textId="47B990E5"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_Toc74904778 \h </w:instrText>
      </w:r>
      <w:r>
        <w:rPr>
          <w:noProof/>
        </w:rPr>
      </w:r>
      <w:r>
        <w:rPr>
          <w:noProof/>
        </w:rPr>
        <w:fldChar w:fldCharType="separate"/>
      </w:r>
      <w:r w:rsidR="008047C7">
        <w:rPr>
          <w:noProof/>
        </w:rPr>
        <w:t>17</w:t>
      </w:r>
      <w:r>
        <w:rPr>
          <w:noProof/>
        </w:rPr>
        <w:fldChar w:fldCharType="end"/>
      </w:r>
    </w:p>
    <w:p w14:paraId="566D5DA1" w14:textId="39D447C1"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_Toc74904779 \h </w:instrText>
      </w:r>
      <w:r>
        <w:rPr>
          <w:noProof/>
        </w:rPr>
      </w:r>
      <w:r>
        <w:rPr>
          <w:noProof/>
        </w:rPr>
        <w:fldChar w:fldCharType="separate"/>
      </w:r>
      <w:r w:rsidR="008047C7">
        <w:rPr>
          <w:noProof/>
        </w:rPr>
        <w:t>17</w:t>
      </w:r>
      <w:r>
        <w:rPr>
          <w:noProof/>
        </w:rPr>
        <w:fldChar w:fldCharType="end"/>
      </w:r>
    </w:p>
    <w:p w14:paraId="3CADD3BD" w14:textId="443D0320" w:rsidR="00740C2D" w:rsidRDefault="00740C2D">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_Toc74904780 \h </w:instrText>
      </w:r>
      <w:r>
        <w:rPr>
          <w:noProof/>
        </w:rPr>
      </w:r>
      <w:r>
        <w:rPr>
          <w:noProof/>
        </w:rPr>
        <w:fldChar w:fldCharType="separate"/>
      </w:r>
      <w:r w:rsidR="008047C7">
        <w:rPr>
          <w:noProof/>
        </w:rPr>
        <w:t>17</w:t>
      </w:r>
      <w:r>
        <w:rPr>
          <w:noProof/>
        </w:rPr>
        <w:fldChar w:fldCharType="end"/>
      </w:r>
    </w:p>
    <w:p w14:paraId="73A0C2DD" w14:textId="6ADEF601" w:rsidR="00740C2D" w:rsidRDefault="00740C2D">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_Toc74904781 \h </w:instrText>
      </w:r>
      <w:r>
        <w:rPr>
          <w:noProof/>
        </w:rPr>
      </w:r>
      <w:r>
        <w:rPr>
          <w:noProof/>
        </w:rPr>
        <w:fldChar w:fldCharType="separate"/>
      </w:r>
      <w:r w:rsidR="008047C7">
        <w:rPr>
          <w:noProof/>
        </w:rPr>
        <w:t>17</w:t>
      </w:r>
      <w:r>
        <w:rPr>
          <w:noProof/>
        </w:rPr>
        <w:fldChar w:fldCharType="end"/>
      </w:r>
    </w:p>
    <w:p w14:paraId="796083E1" w14:textId="6EC21CDF"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lastRenderedPageBreak/>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_Toc74904782 \h </w:instrText>
      </w:r>
      <w:r>
        <w:rPr>
          <w:noProof/>
        </w:rPr>
      </w:r>
      <w:r>
        <w:rPr>
          <w:noProof/>
        </w:rPr>
        <w:fldChar w:fldCharType="separate"/>
      </w:r>
      <w:r w:rsidR="008047C7">
        <w:rPr>
          <w:noProof/>
        </w:rPr>
        <w:t>17</w:t>
      </w:r>
      <w:r>
        <w:rPr>
          <w:noProof/>
        </w:rPr>
        <w:fldChar w:fldCharType="end"/>
      </w:r>
    </w:p>
    <w:p w14:paraId="06B048A7" w14:textId="06C597DE"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_Toc74904783 \h </w:instrText>
      </w:r>
      <w:r>
        <w:rPr>
          <w:noProof/>
        </w:rPr>
      </w:r>
      <w:r>
        <w:rPr>
          <w:noProof/>
        </w:rPr>
        <w:fldChar w:fldCharType="separate"/>
      </w:r>
      <w:r w:rsidR="008047C7">
        <w:rPr>
          <w:noProof/>
        </w:rPr>
        <w:t>18</w:t>
      </w:r>
      <w:r>
        <w:rPr>
          <w:noProof/>
        </w:rPr>
        <w:fldChar w:fldCharType="end"/>
      </w:r>
    </w:p>
    <w:p w14:paraId="33DFD029" w14:textId="295B56FA"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_Toc74904784 \h </w:instrText>
      </w:r>
      <w:r>
        <w:rPr>
          <w:noProof/>
        </w:rPr>
      </w:r>
      <w:r>
        <w:rPr>
          <w:noProof/>
        </w:rPr>
        <w:fldChar w:fldCharType="separate"/>
      </w:r>
      <w:r w:rsidR="008047C7">
        <w:rPr>
          <w:noProof/>
        </w:rPr>
        <w:t>18</w:t>
      </w:r>
      <w:r>
        <w:rPr>
          <w:noProof/>
        </w:rPr>
        <w:fldChar w:fldCharType="end"/>
      </w:r>
    </w:p>
    <w:p w14:paraId="2C419627" w14:textId="0511A01D"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_Toc74904785 \h </w:instrText>
      </w:r>
      <w:r>
        <w:rPr>
          <w:noProof/>
        </w:rPr>
      </w:r>
      <w:r>
        <w:rPr>
          <w:noProof/>
        </w:rPr>
        <w:fldChar w:fldCharType="separate"/>
      </w:r>
      <w:r w:rsidR="008047C7">
        <w:rPr>
          <w:noProof/>
        </w:rPr>
        <w:t>18</w:t>
      </w:r>
      <w:r>
        <w:rPr>
          <w:noProof/>
        </w:rPr>
        <w:fldChar w:fldCharType="end"/>
      </w:r>
    </w:p>
    <w:p w14:paraId="6B2A272A" w14:textId="5702D4FE"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_Toc74904786 \h </w:instrText>
      </w:r>
      <w:r>
        <w:rPr>
          <w:noProof/>
        </w:rPr>
      </w:r>
      <w:r>
        <w:rPr>
          <w:noProof/>
        </w:rPr>
        <w:fldChar w:fldCharType="separate"/>
      </w:r>
      <w:r w:rsidR="008047C7">
        <w:rPr>
          <w:noProof/>
        </w:rPr>
        <w:t>18</w:t>
      </w:r>
      <w:r>
        <w:rPr>
          <w:noProof/>
        </w:rPr>
        <w:fldChar w:fldCharType="end"/>
      </w:r>
    </w:p>
    <w:p w14:paraId="4B2D5DA9" w14:textId="2041F21D"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_Toc74904787 \h </w:instrText>
      </w:r>
      <w:r>
        <w:rPr>
          <w:noProof/>
        </w:rPr>
      </w:r>
      <w:r>
        <w:rPr>
          <w:noProof/>
        </w:rPr>
        <w:fldChar w:fldCharType="separate"/>
      </w:r>
      <w:r w:rsidR="008047C7">
        <w:rPr>
          <w:noProof/>
        </w:rPr>
        <w:t>18</w:t>
      </w:r>
      <w:r>
        <w:rPr>
          <w:noProof/>
        </w:rPr>
        <w:fldChar w:fldCharType="end"/>
      </w:r>
    </w:p>
    <w:p w14:paraId="266EE959" w14:textId="0B12B046"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_Toc74904788 \h </w:instrText>
      </w:r>
      <w:r>
        <w:rPr>
          <w:noProof/>
        </w:rPr>
      </w:r>
      <w:r>
        <w:rPr>
          <w:noProof/>
        </w:rPr>
        <w:fldChar w:fldCharType="separate"/>
      </w:r>
      <w:r w:rsidR="008047C7">
        <w:rPr>
          <w:noProof/>
        </w:rPr>
        <w:t>19</w:t>
      </w:r>
      <w:r>
        <w:rPr>
          <w:noProof/>
        </w:rPr>
        <w:fldChar w:fldCharType="end"/>
      </w:r>
    </w:p>
    <w:p w14:paraId="07FAC3B7" w14:textId="2F332EA8" w:rsidR="00740C2D" w:rsidRDefault="00740C2D">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_Toc74904789 \h </w:instrText>
      </w:r>
      <w:r>
        <w:rPr>
          <w:noProof/>
        </w:rPr>
      </w:r>
      <w:r>
        <w:rPr>
          <w:noProof/>
        </w:rPr>
        <w:fldChar w:fldCharType="separate"/>
      </w:r>
      <w:r w:rsidR="008047C7">
        <w:rPr>
          <w:noProof/>
        </w:rPr>
        <w:t>19</w:t>
      </w:r>
      <w:r>
        <w:rPr>
          <w:noProof/>
        </w:rPr>
        <w:fldChar w:fldCharType="end"/>
      </w:r>
    </w:p>
    <w:p w14:paraId="3A3308CA" w14:textId="44304967"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_Toc74904790 \h </w:instrText>
      </w:r>
      <w:r>
        <w:rPr>
          <w:noProof/>
        </w:rPr>
      </w:r>
      <w:r>
        <w:rPr>
          <w:noProof/>
        </w:rPr>
        <w:fldChar w:fldCharType="separate"/>
      </w:r>
      <w:r w:rsidR="008047C7">
        <w:rPr>
          <w:noProof/>
        </w:rPr>
        <w:t>19</w:t>
      </w:r>
      <w:r>
        <w:rPr>
          <w:noProof/>
        </w:rPr>
        <w:fldChar w:fldCharType="end"/>
      </w:r>
    </w:p>
    <w:p w14:paraId="52E507E5" w14:textId="4EF5E0A8"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_Toc74904791 \h </w:instrText>
      </w:r>
      <w:r>
        <w:rPr>
          <w:noProof/>
        </w:rPr>
      </w:r>
      <w:r>
        <w:rPr>
          <w:noProof/>
        </w:rPr>
        <w:fldChar w:fldCharType="separate"/>
      </w:r>
      <w:r w:rsidR="008047C7">
        <w:rPr>
          <w:noProof/>
        </w:rPr>
        <w:t>20</w:t>
      </w:r>
      <w:r>
        <w:rPr>
          <w:noProof/>
        </w:rPr>
        <w:fldChar w:fldCharType="end"/>
      </w:r>
    </w:p>
    <w:p w14:paraId="376CC637" w14:textId="417D7420"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_Toc74904792 \h </w:instrText>
      </w:r>
      <w:r>
        <w:rPr>
          <w:noProof/>
        </w:rPr>
      </w:r>
      <w:r>
        <w:rPr>
          <w:noProof/>
        </w:rPr>
        <w:fldChar w:fldCharType="separate"/>
      </w:r>
      <w:r w:rsidR="008047C7">
        <w:rPr>
          <w:noProof/>
        </w:rPr>
        <w:t>20</w:t>
      </w:r>
      <w:r>
        <w:rPr>
          <w:noProof/>
        </w:rPr>
        <w:fldChar w:fldCharType="end"/>
      </w:r>
    </w:p>
    <w:p w14:paraId="62FD06A4" w14:textId="242F9728"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_Toc74904793 \h </w:instrText>
      </w:r>
      <w:r>
        <w:rPr>
          <w:noProof/>
        </w:rPr>
      </w:r>
      <w:r>
        <w:rPr>
          <w:noProof/>
        </w:rPr>
        <w:fldChar w:fldCharType="separate"/>
      </w:r>
      <w:r w:rsidR="008047C7">
        <w:rPr>
          <w:noProof/>
        </w:rPr>
        <w:t>21</w:t>
      </w:r>
      <w:r>
        <w:rPr>
          <w:noProof/>
        </w:rPr>
        <w:fldChar w:fldCharType="end"/>
      </w:r>
    </w:p>
    <w:p w14:paraId="1FF4B98A" w14:textId="6E07E148" w:rsidR="00740C2D" w:rsidRDefault="00740C2D">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_Toc74904794 \h </w:instrText>
      </w:r>
      <w:r>
        <w:rPr>
          <w:noProof/>
        </w:rPr>
      </w:r>
      <w:r>
        <w:rPr>
          <w:noProof/>
        </w:rPr>
        <w:fldChar w:fldCharType="separate"/>
      </w:r>
      <w:r w:rsidR="008047C7">
        <w:rPr>
          <w:noProof/>
        </w:rPr>
        <w:t>21</w:t>
      </w:r>
      <w:r>
        <w:rPr>
          <w:noProof/>
        </w:rPr>
        <w:fldChar w:fldCharType="end"/>
      </w:r>
    </w:p>
    <w:p w14:paraId="0A7EB58F" w14:textId="0CD71F51" w:rsidR="00740C2D" w:rsidRDefault="00740C2D">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_Toc74904795 \h </w:instrText>
      </w:r>
      <w:r>
        <w:rPr>
          <w:noProof/>
        </w:rPr>
      </w:r>
      <w:r>
        <w:rPr>
          <w:noProof/>
        </w:rPr>
        <w:fldChar w:fldCharType="separate"/>
      </w:r>
      <w:r w:rsidR="008047C7">
        <w:rPr>
          <w:noProof/>
        </w:rPr>
        <w:t>23</w:t>
      </w:r>
      <w:r>
        <w:rPr>
          <w:noProof/>
        </w:rPr>
        <w:fldChar w:fldCharType="end"/>
      </w:r>
    </w:p>
    <w:p w14:paraId="7BD52279" w14:textId="68D58F9F" w:rsidR="00BE2F53" w:rsidRDefault="00BE2F53" w:rsidP="00BE2F53">
      <w:pPr>
        <w:sectPr w:rsidR="00BE2F53" w:rsidSect="00CA3DD9">
          <w:headerReference w:type="even" r:id="rId9"/>
          <w:headerReference w:type="default" r:id="rId10"/>
          <w:footerReference w:type="even" r:id="rId11"/>
          <w:footerReference w:type="default" r:id="rId12"/>
          <w:headerReference w:type="first" r:id="rId13"/>
          <w:footerReference w:type="first" r:id="rId14"/>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9879FD" w14:textId="744609C2" w:rsidR="00BE2F53" w:rsidRPr="005C7B4A" w:rsidRDefault="002E2C8B" w:rsidP="00010429">
      <w:pPr>
        <w:pStyle w:val="Heading2"/>
      </w:pPr>
      <w:bookmarkStart w:id="0" w:name="_[Program_name]:_[Grant"/>
      <w:bookmarkStart w:id="1" w:name="_Toc74904745"/>
      <w:bookmarkStart w:id="2" w:name="_Toc458420391"/>
      <w:bookmarkStart w:id="3" w:name="_Toc462824846"/>
      <w:bookmarkEnd w:id="0"/>
      <w:r w:rsidRPr="00E13F1C">
        <w:lastRenderedPageBreak/>
        <w:t>Legal</w:t>
      </w:r>
      <w:r w:rsidR="009B08FC" w:rsidRPr="00E13F1C">
        <w:t xml:space="preserve"> advice</w:t>
      </w:r>
      <w:r w:rsidR="00DE5300" w:rsidRPr="00E13F1C">
        <w:t xml:space="preserve"> service</w:t>
      </w:r>
      <w:r w:rsidR="00AA3B37" w:rsidRPr="00E13F1C">
        <w:t xml:space="preserve"> supporting the </w:t>
      </w:r>
      <w:r w:rsidR="00837213" w:rsidRPr="00E13F1C">
        <w:t>Royal </w:t>
      </w:r>
      <w:r w:rsidR="00AA3B37" w:rsidRPr="00E13F1C">
        <w:t>Commission into Defence and Veteran Suicide</w:t>
      </w:r>
      <w:bookmarkEnd w:id="1"/>
    </w:p>
    <w:bookmarkEnd w:id="2"/>
    <w:bookmarkEnd w:id="3"/>
    <w:p w14:paraId="068CA678" w14:textId="54494F50" w:rsidR="00BE2F53" w:rsidRDefault="00AA3B37" w:rsidP="008C1A08">
      <w:pPr>
        <w:pBdr>
          <w:top w:val="single" w:sz="4" w:space="1" w:color="auto"/>
          <w:left w:val="single" w:sz="4" w:space="4" w:color="auto"/>
          <w:bottom w:val="single" w:sz="4" w:space="1" w:color="auto"/>
          <w:right w:val="single" w:sz="4" w:space="4" w:color="auto"/>
        </w:pBdr>
        <w:spacing w:after="0"/>
        <w:jc w:val="center"/>
        <w:rPr>
          <w:b/>
        </w:rPr>
      </w:pPr>
      <w:r>
        <w:rPr>
          <w:b/>
        </w:rPr>
        <w:t>The grant</w:t>
      </w:r>
      <w:r w:rsidR="00BE2F53" w:rsidRPr="00BD7C12">
        <w:rPr>
          <w:b/>
        </w:rPr>
        <w:t xml:space="preserve"> is designed </w:t>
      </w:r>
      <w:r w:rsidR="00BE2F53" w:rsidRPr="00F40BDA">
        <w:rPr>
          <w:b/>
        </w:rPr>
        <w:t xml:space="preserve">to </w:t>
      </w:r>
      <w:r w:rsidR="00BE2F53">
        <w:rPr>
          <w:b/>
        </w:rPr>
        <w:t>achieve</w:t>
      </w:r>
      <w:r w:rsidR="00BE2F53" w:rsidRPr="00F40BDA">
        <w:rPr>
          <w:b/>
        </w:rPr>
        <w:t xml:space="preserve"> Australian </w:t>
      </w:r>
      <w:r w:rsidR="009D1831">
        <w:rPr>
          <w:b/>
        </w:rPr>
        <w:t>G</w:t>
      </w:r>
      <w:r w:rsidR="00BE2F53" w:rsidRPr="00F40BDA">
        <w:rPr>
          <w:b/>
        </w:rPr>
        <w:t xml:space="preserve">overnment </w:t>
      </w:r>
      <w:r w:rsidR="00BE2F53">
        <w:rPr>
          <w:b/>
        </w:rPr>
        <w:t>objectives</w:t>
      </w:r>
    </w:p>
    <w:p w14:paraId="3108F6CD" w14:textId="15A16517" w:rsidR="00165C8B" w:rsidRPr="00165C8B" w:rsidRDefault="00BE2F53" w:rsidP="007F6443">
      <w:pPr>
        <w:pBdr>
          <w:top w:val="single" w:sz="4" w:space="1" w:color="auto"/>
          <w:left w:val="single" w:sz="4" w:space="4" w:color="auto"/>
          <w:bottom w:val="single" w:sz="4" w:space="1" w:color="auto"/>
          <w:right w:val="single" w:sz="4" w:space="4" w:color="auto"/>
        </w:pBdr>
        <w:spacing w:after="0"/>
        <w:jc w:val="center"/>
        <w:rPr>
          <w:i/>
          <w:color w:val="3366CC"/>
          <w:u w:val="single"/>
        </w:rPr>
      </w:pPr>
      <w:r w:rsidRPr="00BD7C12">
        <w:t>This grant opport</w:t>
      </w:r>
      <w:r w:rsidR="007D7130">
        <w:t>unity is part of P</w:t>
      </w:r>
      <w:r w:rsidRPr="00BD7C12">
        <w:t xml:space="preserve">rogram </w:t>
      </w:r>
      <w:r w:rsidR="007D7130">
        <w:t xml:space="preserve">1.4 Justice Services, </w:t>
      </w:r>
      <w:r w:rsidRPr="00BD7C12">
        <w:t xml:space="preserve">which contributes to </w:t>
      </w:r>
      <w:r w:rsidR="00D55875">
        <w:t xml:space="preserve">the </w:t>
      </w:r>
      <w:r w:rsidR="004F7AE0" w:rsidRPr="00BD7C12">
        <w:t>Attorney</w:t>
      </w:r>
      <w:r w:rsidR="00D55875">
        <w:noBreakHyphen/>
      </w:r>
      <w:r w:rsidR="00473945" w:rsidRPr="00BD7C12">
        <w:t>General</w:t>
      </w:r>
      <w:r w:rsidRPr="00BD7C12">
        <w:t>’s</w:t>
      </w:r>
      <w:r w:rsidR="00473945" w:rsidRPr="00BD7C12">
        <w:t xml:space="preserve"> Department’s</w:t>
      </w:r>
      <w:r w:rsidRPr="00BD7C12">
        <w:t xml:space="preserve"> Outcome </w:t>
      </w:r>
      <w:r w:rsidR="00473945" w:rsidRPr="00BD7C12">
        <w:t>1: A just and secure society through the maintenance and improvement of Australia’s law, justice, security, and integrity frameworks</w:t>
      </w:r>
      <w:r w:rsidR="009D1831" w:rsidRPr="00BD7C12">
        <w:t xml:space="preserve">. </w:t>
      </w:r>
      <w:r w:rsidRPr="00BD7C12">
        <w:t xml:space="preserve">The </w:t>
      </w:r>
      <w:r w:rsidR="002E2C8B" w:rsidRPr="00BD7C12">
        <w:t>Attorney</w:t>
      </w:r>
      <w:r w:rsidR="00D55875">
        <w:noBreakHyphen/>
      </w:r>
      <w:r w:rsidR="002E2C8B" w:rsidRPr="00BD7C12">
        <w:t>General’s Department</w:t>
      </w:r>
      <w:r w:rsidRPr="00BD7C12">
        <w:t xml:space="preserve"> </w:t>
      </w:r>
      <w:r>
        <w:t xml:space="preserve">works with stakeholders to plan and design the grant program according to the </w:t>
      </w:r>
      <w:hyperlink r:id="rId15" w:history="1">
        <w:r w:rsidR="00165C8B" w:rsidRPr="00243BED">
          <w:rPr>
            <w:rStyle w:val="Hyperlink"/>
            <w:i/>
          </w:rPr>
          <w:t>Commonwealth Grants Rules and Guidelines 2017 (CGRGs).</w:t>
        </w:r>
      </w:hyperlink>
    </w:p>
    <w:p w14:paraId="08C665E1" w14:textId="77777777" w:rsidR="00BE2F53" w:rsidRPr="00F40BDA" w:rsidRDefault="00BE2F53" w:rsidP="0014403E">
      <w:pPr>
        <w:spacing w:before="0" w:after="0" w:line="220" w:lineRule="atLeast"/>
        <w:jc w:val="center"/>
        <w:rPr>
          <w:rFonts w:ascii="Wingdings" w:hAnsi="Wingdings"/>
        </w:rPr>
      </w:pPr>
      <w:r w:rsidRPr="00F40BDA">
        <w:rPr>
          <w:rFonts w:ascii="Wingdings" w:hAnsi="Wingdings"/>
        </w:rPr>
        <w:t></w:t>
      </w:r>
    </w:p>
    <w:p w14:paraId="3E3F1D6A"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6583996" w14:textId="19CE26FF"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r w:rsidR="009D1831">
        <w:t xml:space="preserve">the </w:t>
      </w:r>
      <w:hyperlink r:id="rId16" w:history="1">
        <w:r w:rsidRPr="00452C26">
          <w:rPr>
            <w:rStyle w:val="Hyperlink"/>
          </w:rPr>
          <w:t>GrantConnect</w:t>
        </w:r>
      </w:hyperlink>
      <w:r w:rsidRPr="009E283B">
        <w:t xml:space="preserve"> </w:t>
      </w:r>
      <w:r>
        <w:t xml:space="preserve">and </w:t>
      </w:r>
      <w:hyperlink r:id="rId17" w:history="1">
        <w:r w:rsidRPr="00A7274E">
          <w:rPr>
            <w:rStyle w:val="Hyperlink"/>
          </w:rPr>
          <w:t>Community Grants Hub</w:t>
        </w:r>
      </w:hyperlink>
      <w:r>
        <w:t xml:space="preserve"> websites.</w:t>
      </w:r>
    </w:p>
    <w:p w14:paraId="51A5ED4F" w14:textId="77777777" w:rsidR="00BE2F53" w:rsidRPr="00F40BDA" w:rsidRDefault="00BE2F53" w:rsidP="0014403E">
      <w:pPr>
        <w:spacing w:before="0" w:after="0" w:line="220" w:lineRule="atLeast"/>
        <w:jc w:val="center"/>
        <w:rPr>
          <w:rFonts w:ascii="Wingdings" w:hAnsi="Wingdings"/>
        </w:rPr>
      </w:pPr>
      <w:r w:rsidRPr="00F40BDA">
        <w:rPr>
          <w:rFonts w:ascii="Wingdings" w:hAnsi="Wingdings"/>
        </w:rPr>
        <w:t></w:t>
      </w:r>
    </w:p>
    <w:p w14:paraId="658DC3EB"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AA1EE82"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0147A66E" w14:textId="77777777" w:rsidR="00BE2F53" w:rsidRPr="00F40BDA" w:rsidRDefault="00BE2F53" w:rsidP="0014403E">
      <w:pPr>
        <w:spacing w:before="0" w:after="0" w:line="220" w:lineRule="atLeast"/>
        <w:jc w:val="center"/>
        <w:rPr>
          <w:rFonts w:ascii="Wingdings" w:hAnsi="Wingdings"/>
        </w:rPr>
      </w:pPr>
      <w:r w:rsidRPr="00F40BDA">
        <w:rPr>
          <w:rFonts w:ascii="Wingdings" w:hAnsi="Wingdings"/>
        </w:rPr>
        <w:t></w:t>
      </w:r>
    </w:p>
    <w:p w14:paraId="34C87C17"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0A4D45B1" w14:textId="77777777"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51775348" w14:textId="77777777" w:rsidR="00BE2F53" w:rsidRPr="00C659C4" w:rsidRDefault="00BE2F53" w:rsidP="0014403E">
      <w:pPr>
        <w:spacing w:before="0" w:after="0" w:line="220" w:lineRule="atLeast"/>
        <w:jc w:val="center"/>
        <w:rPr>
          <w:rFonts w:ascii="Wingdings" w:hAnsi="Wingdings"/>
        </w:rPr>
      </w:pPr>
      <w:r w:rsidRPr="00C659C4">
        <w:rPr>
          <w:rFonts w:ascii="Wingdings" w:hAnsi="Wingdings"/>
        </w:rPr>
        <w:t></w:t>
      </w:r>
    </w:p>
    <w:p w14:paraId="69C2C749"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706420AC" w14:textId="47027A60"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3416C1">
        <w:t xml:space="preserve">We provide advice, through the </w:t>
      </w:r>
      <w:r w:rsidR="0014403E" w:rsidRPr="00EC1CFB">
        <w:rPr>
          <w:rFonts w:eastAsia="Calibri" w:cs="Arial"/>
        </w:rPr>
        <w:t>Selection Advisory Panel</w:t>
      </w:r>
      <w:r w:rsidR="009D1831">
        <w:t>,</w:t>
      </w:r>
      <w:r w:rsidRPr="003416C1">
        <w:t xml:space="preserve"> to the decision maker on the merits of each application.</w:t>
      </w:r>
    </w:p>
    <w:p w14:paraId="4C464891" w14:textId="77777777" w:rsidR="00BE2F53" w:rsidRPr="00C659C4" w:rsidRDefault="00BE2F53" w:rsidP="0014403E">
      <w:pPr>
        <w:spacing w:before="0" w:after="0" w:line="220" w:lineRule="atLeast"/>
        <w:jc w:val="center"/>
        <w:rPr>
          <w:rFonts w:ascii="Wingdings" w:hAnsi="Wingdings"/>
        </w:rPr>
      </w:pPr>
      <w:r w:rsidRPr="00C659C4">
        <w:rPr>
          <w:rFonts w:ascii="Wingdings" w:hAnsi="Wingdings"/>
        </w:rPr>
        <w:t></w:t>
      </w:r>
    </w:p>
    <w:p w14:paraId="3F5AB3A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15ABB4E3" w14:textId="362B62AF"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C659C4">
        <w:t>The decision maker</w:t>
      </w:r>
      <w:r w:rsidR="007D7130">
        <w:t xml:space="preserve"> </w:t>
      </w:r>
      <w:r w:rsidR="0014403E">
        <w:t>(</w:t>
      </w:r>
      <w:r w:rsidR="0061226B">
        <w:rPr>
          <w:rFonts w:eastAsia="Calibri" w:cs="Arial"/>
        </w:rPr>
        <w:t>the Attorney-General</w:t>
      </w:r>
      <w:r w:rsidR="0014403E">
        <w:t>,</w:t>
      </w:r>
      <w:r w:rsidR="00AA3B37">
        <w:t xml:space="preserve"> </w:t>
      </w:r>
      <w:r w:rsidR="00BD7C12">
        <w:t>Attorney-General’s Department</w:t>
      </w:r>
      <w:r w:rsidR="0014403E">
        <w:t>)</w:t>
      </w:r>
      <w:r w:rsidR="002410B6">
        <w:t xml:space="preserve"> </w:t>
      </w:r>
      <w:r w:rsidRPr="00C659C4">
        <w:t>decides which applications are successful.</w:t>
      </w:r>
    </w:p>
    <w:p w14:paraId="7747356A" w14:textId="77777777" w:rsidR="00BE2F53" w:rsidRPr="00C659C4" w:rsidRDefault="00BE2F53" w:rsidP="0014403E">
      <w:pPr>
        <w:spacing w:before="0" w:after="0" w:line="220" w:lineRule="atLeast"/>
        <w:jc w:val="center"/>
        <w:rPr>
          <w:rFonts w:ascii="Wingdings" w:hAnsi="Wingdings"/>
        </w:rPr>
      </w:pPr>
      <w:r w:rsidRPr="00C659C4">
        <w:rPr>
          <w:rFonts w:ascii="Wingdings" w:hAnsi="Wingdings"/>
        </w:rPr>
        <w:t></w:t>
      </w:r>
    </w:p>
    <w:p w14:paraId="01D91242"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7F9E0D11"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D6853FD" w14:textId="77777777" w:rsidR="00BE2F53" w:rsidRPr="00C659C4" w:rsidRDefault="00BE2F53" w:rsidP="0014403E">
      <w:pPr>
        <w:spacing w:before="0" w:after="0" w:line="220" w:lineRule="atLeast"/>
        <w:jc w:val="center"/>
        <w:rPr>
          <w:rFonts w:ascii="Wingdings" w:hAnsi="Wingdings"/>
        </w:rPr>
      </w:pPr>
      <w:r w:rsidRPr="00C659C4">
        <w:rPr>
          <w:rFonts w:ascii="Wingdings" w:hAnsi="Wingdings"/>
        </w:rPr>
        <w:t></w:t>
      </w:r>
    </w:p>
    <w:p w14:paraId="566B09C5"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6362A3F4"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5A38BC3A" w14:textId="77777777" w:rsidR="00BE2F53" w:rsidRPr="00C659C4" w:rsidRDefault="00BE2F53" w:rsidP="0014403E">
      <w:pPr>
        <w:spacing w:before="0" w:after="0" w:line="220" w:lineRule="atLeast"/>
        <w:jc w:val="center"/>
        <w:rPr>
          <w:rFonts w:ascii="Wingdings" w:hAnsi="Wingdings"/>
        </w:rPr>
      </w:pPr>
      <w:r w:rsidRPr="00C659C4">
        <w:rPr>
          <w:rFonts w:ascii="Wingdings" w:hAnsi="Wingdings"/>
        </w:rPr>
        <w:t></w:t>
      </w:r>
    </w:p>
    <w:p w14:paraId="4D99EF30"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579D06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4D3D5364" w14:textId="77777777" w:rsidR="00BE2F53" w:rsidRPr="00C659C4" w:rsidRDefault="00BE2F53" w:rsidP="0014403E">
      <w:pPr>
        <w:spacing w:before="0" w:after="0" w:line="220" w:lineRule="atLeast"/>
        <w:jc w:val="center"/>
        <w:rPr>
          <w:rFonts w:ascii="Wingdings" w:hAnsi="Wingdings"/>
        </w:rPr>
      </w:pPr>
      <w:r w:rsidRPr="00C659C4">
        <w:rPr>
          <w:rFonts w:ascii="Wingdings" w:hAnsi="Wingdings"/>
        </w:rPr>
        <w:t></w:t>
      </w:r>
    </w:p>
    <w:p w14:paraId="44B4F7D9" w14:textId="4F17C4D7" w:rsidR="00BE2F53" w:rsidRPr="00E13F1C" w:rsidRDefault="00BE2F53" w:rsidP="002410B6">
      <w:pPr>
        <w:pBdr>
          <w:top w:val="single" w:sz="2" w:space="1" w:color="auto"/>
          <w:left w:val="single" w:sz="2" w:space="4" w:color="auto"/>
          <w:bottom w:val="single" w:sz="2" w:space="1" w:color="auto"/>
          <w:right w:val="single" w:sz="2" w:space="4" w:color="auto"/>
        </w:pBdr>
        <w:spacing w:after="0"/>
        <w:jc w:val="center"/>
        <w:rPr>
          <w:b/>
        </w:rPr>
      </w:pPr>
      <w:r w:rsidRPr="00BD7C12">
        <w:rPr>
          <w:b/>
        </w:rPr>
        <w:t xml:space="preserve">Evaluation of the </w:t>
      </w:r>
      <w:r w:rsidR="00BD7C12" w:rsidRPr="00740C2D">
        <w:rPr>
          <w:b/>
        </w:rPr>
        <w:t xml:space="preserve">Legal </w:t>
      </w:r>
      <w:r w:rsidR="00AA3B37" w:rsidRPr="00740C2D">
        <w:rPr>
          <w:b/>
        </w:rPr>
        <w:t>a</w:t>
      </w:r>
      <w:r w:rsidR="00BD7C12" w:rsidRPr="00740C2D">
        <w:rPr>
          <w:b/>
        </w:rPr>
        <w:t>dvi</w:t>
      </w:r>
      <w:r w:rsidR="009B08FC" w:rsidRPr="00740C2D">
        <w:rPr>
          <w:b/>
        </w:rPr>
        <w:t>ce</w:t>
      </w:r>
      <w:r w:rsidR="00AA3B37" w:rsidRPr="00740C2D">
        <w:rPr>
          <w:b/>
        </w:rPr>
        <w:t xml:space="preserve"> </w:t>
      </w:r>
      <w:r w:rsidR="00DE5300" w:rsidRPr="00740C2D">
        <w:rPr>
          <w:b/>
        </w:rPr>
        <w:t xml:space="preserve">service </w:t>
      </w:r>
      <w:r w:rsidR="00AA3B37" w:rsidRPr="00740C2D">
        <w:rPr>
          <w:b/>
        </w:rPr>
        <w:t xml:space="preserve">supporting the </w:t>
      </w:r>
      <w:r w:rsidR="00201B59" w:rsidRPr="00740C2D">
        <w:rPr>
          <w:b/>
        </w:rPr>
        <w:t xml:space="preserve">Royal Commission </w:t>
      </w:r>
      <w:r w:rsidR="00AA3B37" w:rsidRPr="00740C2D">
        <w:rPr>
          <w:b/>
        </w:rPr>
        <w:t xml:space="preserve">into </w:t>
      </w:r>
      <w:r w:rsidR="00894C0F" w:rsidRPr="00740C2D">
        <w:rPr>
          <w:b/>
        </w:rPr>
        <w:t>Defence and Veteran Suicide</w:t>
      </w:r>
      <w:r w:rsidR="00894C0F" w:rsidRPr="00E13F1C">
        <w:rPr>
          <w:b/>
        </w:rPr>
        <w:t xml:space="preserve"> </w:t>
      </w:r>
      <w:r w:rsidR="0014403E">
        <w:rPr>
          <w:b/>
        </w:rPr>
        <w:t>grant opportunity</w:t>
      </w:r>
    </w:p>
    <w:p w14:paraId="6D951579" w14:textId="56F36F74" w:rsidR="00BE2F53" w:rsidRDefault="00BE2F53" w:rsidP="002410B6">
      <w:pPr>
        <w:pBdr>
          <w:top w:val="single" w:sz="2" w:space="1" w:color="auto"/>
          <w:left w:val="single" w:sz="2" w:space="4" w:color="auto"/>
          <w:bottom w:val="single" w:sz="2" w:space="1" w:color="auto"/>
          <w:right w:val="single" w:sz="2" w:space="4" w:color="auto"/>
        </w:pBdr>
        <w:spacing w:after="0"/>
        <w:jc w:val="center"/>
      </w:pPr>
      <w:r w:rsidRPr="00E13F1C">
        <w:t>We</w:t>
      </w:r>
      <w:r w:rsidRPr="00E13F1C">
        <w:rPr>
          <w:color w:val="0070C0"/>
        </w:rPr>
        <w:t xml:space="preserve"> </w:t>
      </w:r>
      <w:r w:rsidRPr="00E13F1C">
        <w:t xml:space="preserve">evaluate your specific grant activity and the </w:t>
      </w:r>
      <w:r w:rsidR="00BD7C12" w:rsidRPr="00E13F1C">
        <w:t>Justice Services</w:t>
      </w:r>
      <w:r w:rsidR="00BD7C12" w:rsidRPr="00740C2D">
        <w:t xml:space="preserve">: Legal </w:t>
      </w:r>
      <w:r w:rsidR="00D55875" w:rsidRPr="00740C2D">
        <w:t>advice</w:t>
      </w:r>
      <w:r w:rsidR="00DE5300" w:rsidRPr="00740C2D">
        <w:t xml:space="preserve"> service</w:t>
      </w:r>
      <w:r w:rsidR="009B08FC" w:rsidRPr="00740C2D">
        <w:t xml:space="preserve"> </w:t>
      </w:r>
      <w:r w:rsidR="00AA3B37" w:rsidRPr="00740C2D">
        <w:t xml:space="preserve">supporting the Royal Commission into Defence and Veteran Suicide </w:t>
      </w:r>
      <w:r w:rsidR="0014403E">
        <w:t xml:space="preserve">grant opportunity </w:t>
      </w:r>
      <w:r w:rsidRPr="00C659C4">
        <w:t>as a whole. We base this on information you provide us and that we collect from various sources.</w:t>
      </w:r>
    </w:p>
    <w:p w14:paraId="57C68731" w14:textId="77777777" w:rsidR="00BE2F53" w:rsidRPr="00181A24" w:rsidRDefault="00BE2F53" w:rsidP="00010429">
      <w:pPr>
        <w:pStyle w:val="Heading3"/>
      </w:pPr>
      <w:bookmarkStart w:id="4" w:name="_Toc74904746"/>
      <w:r w:rsidRPr="00181A24">
        <w:lastRenderedPageBreak/>
        <w:t>Introduction</w:t>
      </w:r>
      <w:bookmarkEnd w:id="4"/>
    </w:p>
    <w:p w14:paraId="1E6106F6" w14:textId="170692EF" w:rsidR="00BE2F53" w:rsidRDefault="00BE2F53" w:rsidP="00BE2F53">
      <w:r>
        <w:t xml:space="preserve">These guidelines contain information for </w:t>
      </w:r>
      <w:r w:rsidRPr="00E13F1C">
        <w:t xml:space="preserve">the </w:t>
      </w:r>
      <w:r w:rsidR="009B08FC" w:rsidRPr="00740C2D">
        <w:t>Legal advice</w:t>
      </w:r>
      <w:r w:rsidR="00DE5300" w:rsidRPr="00740C2D">
        <w:t xml:space="preserve"> service</w:t>
      </w:r>
      <w:r w:rsidR="00D55875" w:rsidRPr="00740C2D">
        <w:t xml:space="preserve"> supporting the Royal Commission into Defence and Veteran Suicide</w:t>
      </w:r>
      <w:r w:rsidR="009B08FC">
        <w:rPr>
          <w:i/>
        </w:rPr>
        <w:t xml:space="preserve"> </w:t>
      </w:r>
      <w:r w:rsidR="009B08FC">
        <w:t>(the legal advice service)</w:t>
      </w:r>
      <w:r w:rsidR="00D55875" w:rsidRPr="00837213">
        <w:rPr>
          <w:i/>
        </w:rPr>
        <w:t xml:space="preserve"> </w:t>
      </w:r>
      <w:r w:rsidR="00837213">
        <w:t>grant/s</w:t>
      </w:r>
      <w:r w:rsidRPr="00894C0F">
        <w:t xml:space="preserve">. </w:t>
      </w:r>
    </w:p>
    <w:p w14:paraId="4FBC7886" w14:textId="77777777" w:rsidR="00BE2F53" w:rsidRDefault="00BE2F53" w:rsidP="00BE2F53">
      <w:r>
        <w:t xml:space="preserve">You must read these guidelines before filling out an application. </w:t>
      </w:r>
    </w:p>
    <w:p w14:paraId="0C68956F" w14:textId="77777777" w:rsidR="00BE2F53" w:rsidRPr="00E00BAF" w:rsidRDefault="00BE2F53" w:rsidP="00BE2F53">
      <w:r w:rsidRPr="00E00BAF">
        <w:t>This document sets out:</w:t>
      </w:r>
    </w:p>
    <w:p w14:paraId="673EB09B" w14:textId="77777777" w:rsidR="00504E1C" w:rsidRPr="009E283B" w:rsidRDefault="00504E1C" w:rsidP="00504E1C">
      <w:pPr>
        <w:pStyle w:val="ListBullet"/>
        <w:numPr>
          <w:ilvl w:val="0"/>
          <w:numId w:val="28"/>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6B0A2B7C" w14:textId="77777777" w:rsidR="00504E1C" w:rsidRPr="009E283B" w:rsidRDefault="00504E1C" w:rsidP="0010063E">
      <w:pPr>
        <w:pStyle w:val="ListBullet"/>
        <w:numPr>
          <w:ilvl w:val="0"/>
          <w:numId w:val="28"/>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eligibility and </w:t>
      </w:r>
      <w:r w:rsidRPr="00A50132">
        <w:rPr>
          <w:rStyle w:val="highlightedtextChar"/>
          <w:rFonts w:ascii="Arial" w:hAnsi="Arial" w:cs="Arial"/>
          <w:b w:val="0"/>
          <w:color w:val="auto"/>
          <w:sz w:val="20"/>
          <w:szCs w:val="20"/>
        </w:rPr>
        <w:t>assessment</w:t>
      </w:r>
      <w:r w:rsidRPr="009E283B">
        <w:rPr>
          <w:rStyle w:val="highlightedtextChar"/>
          <w:rFonts w:ascii="Arial" w:hAnsi="Arial" w:cs="Arial"/>
          <w:b w:val="0"/>
          <w:color w:val="auto"/>
          <w:sz w:val="20"/>
          <w:szCs w:val="20"/>
        </w:rPr>
        <w:t xml:space="preserve"> criteria</w:t>
      </w:r>
    </w:p>
    <w:p w14:paraId="00331396" w14:textId="77777777" w:rsidR="00504E1C" w:rsidRPr="009E283B" w:rsidRDefault="00504E1C" w:rsidP="0010063E">
      <w:pPr>
        <w:pStyle w:val="ListBullet"/>
        <w:numPr>
          <w:ilvl w:val="0"/>
          <w:numId w:val="28"/>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42830562" w14:textId="77777777" w:rsidR="00504E1C" w:rsidRPr="009E283B" w:rsidRDefault="00504E1C" w:rsidP="0010063E">
      <w:pPr>
        <w:pStyle w:val="ListBullet"/>
        <w:numPr>
          <w:ilvl w:val="0"/>
          <w:numId w:val="28"/>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37725AAB" w14:textId="77777777" w:rsidR="00504E1C" w:rsidRPr="009E283B" w:rsidRDefault="00504E1C" w:rsidP="0010063E">
      <w:pPr>
        <w:pStyle w:val="ListBullet"/>
        <w:numPr>
          <w:ilvl w:val="0"/>
          <w:numId w:val="28"/>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390D20B9" w14:textId="0CD114A5" w:rsidR="00504E1C" w:rsidRDefault="00504E1C" w:rsidP="0010063E">
      <w:pPr>
        <w:pStyle w:val="ListBullet"/>
        <w:numPr>
          <w:ilvl w:val="0"/>
          <w:numId w:val="28"/>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0C021439" w14:textId="299D084A" w:rsidR="00BE2F53" w:rsidRDefault="00BE2F53" w:rsidP="00BE2F53">
      <w:pPr>
        <w:pStyle w:val="ListBullet"/>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w:t>
      </w:r>
      <w:r w:rsidR="00060218">
        <w:rPr>
          <w:rStyle w:val="highlightedtextChar"/>
          <w:rFonts w:ascii="Arial" w:hAnsi="Arial" w:cs="Arial"/>
          <w:b w:val="0"/>
          <w:color w:val="auto"/>
          <w:sz w:val="20"/>
          <w:szCs w:val="20"/>
        </w:rPr>
        <w:t>red by the Community Grants Hub</w:t>
      </w:r>
      <w:r w:rsidR="003B42F7">
        <w:rPr>
          <w:rStyle w:val="highlightedtextChar"/>
          <w:rFonts w:ascii="Arial" w:hAnsi="Arial" w:cs="Arial"/>
          <w:b w:val="0"/>
          <w:color w:val="auto"/>
          <w:sz w:val="20"/>
          <w:szCs w:val="20"/>
        </w:rPr>
        <w:t xml:space="preserve"> </w:t>
      </w:r>
      <w:r w:rsidRPr="00D3694B">
        <w:rPr>
          <w:rStyle w:val="highlightedtextChar"/>
          <w:rFonts w:ascii="Arial" w:hAnsi="Arial" w:cs="Arial"/>
          <w:b w:val="0"/>
          <w:color w:val="auto"/>
          <w:sz w:val="20"/>
          <w:szCs w:val="20"/>
        </w:rPr>
        <w:t xml:space="preserve">on behalf of the </w:t>
      </w:r>
      <w:r w:rsidR="00AA3B37">
        <w:rPr>
          <w:rStyle w:val="highlightedtextChar"/>
          <w:rFonts w:ascii="Arial" w:hAnsi="Arial" w:cs="Arial"/>
          <w:b w:val="0"/>
          <w:color w:val="auto"/>
          <w:sz w:val="20"/>
          <w:szCs w:val="20"/>
        </w:rPr>
        <w:t>Attorney-Gener</w:t>
      </w:r>
      <w:r w:rsidR="009B08FC">
        <w:rPr>
          <w:rStyle w:val="highlightedtextChar"/>
          <w:rFonts w:ascii="Arial" w:hAnsi="Arial" w:cs="Arial"/>
          <w:b w:val="0"/>
          <w:color w:val="auto"/>
          <w:sz w:val="20"/>
          <w:szCs w:val="20"/>
        </w:rPr>
        <w:t>al’s Department</w:t>
      </w:r>
      <w:r w:rsidR="0014403E">
        <w:rPr>
          <w:rStyle w:val="highlightedtextChar"/>
          <w:rFonts w:ascii="Arial" w:hAnsi="Arial" w:cs="Arial"/>
          <w:b w:val="0"/>
          <w:color w:val="auto"/>
          <w:sz w:val="20"/>
          <w:szCs w:val="20"/>
        </w:rPr>
        <w:t xml:space="preserve"> (the department)</w:t>
      </w:r>
      <w:r w:rsidR="009B08FC">
        <w:rPr>
          <w:rStyle w:val="highlightedtextChar"/>
          <w:rFonts w:ascii="Arial" w:hAnsi="Arial" w:cs="Arial"/>
          <w:b w:val="0"/>
          <w:color w:val="auto"/>
          <w:sz w:val="20"/>
          <w:szCs w:val="20"/>
        </w:rPr>
        <w:t>.</w:t>
      </w:r>
    </w:p>
    <w:p w14:paraId="46CE8781" w14:textId="77777777" w:rsidR="00BE2F53" w:rsidRPr="00F40BDA" w:rsidRDefault="00BE2F53" w:rsidP="00010429">
      <w:pPr>
        <w:pStyle w:val="Heading2"/>
      </w:pPr>
      <w:bookmarkStart w:id="5" w:name="_Toc74904747"/>
      <w:r>
        <w:t>About the grant program</w:t>
      </w:r>
      <w:bookmarkEnd w:id="5"/>
    </w:p>
    <w:p w14:paraId="51F31CC6" w14:textId="5B5C382D" w:rsidR="00BF4712" w:rsidRPr="00BF4712" w:rsidRDefault="00BF4712" w:rsidP="00BF4712">
      <w:pPr>
        <w:rPr>
          <w:rFonts w:cs="Arial"/>
        </w:rPr>
      </w:pPr>
      <w:r w:rsidRPr="00BF4712">
        <w:t>Th</w:t>
      </w:r>
      <w:r w:rsidRPr="00E13F1C">
        <w:t xml:space="preserve">e </w:t>
      </w:r>
      <w:r w:rsidR="00AA68DD" w:rsidRPr="00300940">
        <w:t>l</w:t>
      </w:r>
      <w:r w:rsidR="009B08FC" w:rsidRPr="00300940">
        <w:t>egal advice</w:t>
      </w:r>
      <w:r w:rsidR="00DE5300" w:rsidRPr="00300940">
        <w:t xml:space="preserve"> service</w:t>
      </w:r>
      <w:r w:rsidRPr="00E13F1C">
        <w:rPr>
          <w:i/>
        </w:rPr>
        <w:t xml:space="preserve"> </w:t>
      </w:r>
      <w:r w:rsidRPr="00BF4712">
        <w:t xml:space="preserve">will run over </w:t>
      </w:r>
      <w:r w:rsidR="00EB5450">
        <w:t>2</w:t>
      </w:r>
      <w:r w:rsidRPr="00BF4712">
        <w:t xml:space="preserve"> years from </w:t>
      </w:r>
      <w:r w:rsidR="00734BB6">
        <w:rPr>
          <w:rFonts w:eastAsiaTheme="minorHAnsi" w:cs="Arial"/>
        </w:rPr>
        <w:t>2021</w:t>
      </w:r>
      <w:r w:rsidR="00734BB6" w:rsidRPr="00734BB6">
        <w:rPr>
          <w:rFonts w:cs="Arial"/>
        </w:rPr>
        <w:t>–</w:t>
      </w:r>
      <w:r w:rsidRPr="00BF4712">
        <w:rPr>
          <w:rFonts w:eastAsiaTheme="minorHAnsi" w:cs="Arial"/>
        </w:rPr>
        <w:t xml:space="preserve">22 to </w:t>
      </w:r>
      <w:r w:rsidR="00734BB6">
        <w:rPr>
          <w:rFonts w:eastAsiaTheme="minorHAnsi" w:cs="Arial"/>
        </w:rPr>
        <w:t>2022</w:t>
      </w:r>
      <w:r w:rsidR="00734BB6" w:rsidRPr="00734BB6">
        <w:rPr>
          <w:rFonts w:cs="Arial"/>
        </w:rPr>
        <w:t>–</w:t>
      </w:r>
      <w:r w:rsidRPr="00BF4712">
        <w:rPr>
          <w:rFonts w:eastAsiaTheme="minorHAnsi" w:cs="Arial"/>
        </w:rPr>
        <w:t>23</w:t>
      </w:r>
      <w:r w:rsidRPr="00BF4712">
        <w:rPr>
          <w:rFonts w:cs="Arial"/>
        </w:rPr>
        <w:t>. On 19 April 2021, the Prime Minister announced the establishment of the Royal Commission into Defence and Veteran Suicide</w:t>
      </w:r>
      <w:r w:rsidR="003F1F47">
        <w:rPr>
          <w:rFonts w:cs="Arial"/>
        </w:rPr>
        <w:t xml:space="preserve"> (the Royal Commission)</w:t>
      </w:r>
      <w:r w:rsidRPr="00BF4712">
        <w:rPr>
          <w:rFonts w:cs="Arial"/>
        </w:rPr>
        <w:t xml:space="preserve">. The Letters Patent, issued on </w:t>
      </w:r>
      <w:r w:rsidR="0061226B" w:rsidRPr="00E80B86">
        <w:rPr>
          <w:rFonts w:cs="Arial"/>
        </w:rPr>
        <w:t>8 July 2021</w:t>
      </w:r>
      <w:r w:rsidRPr="00BF4712">
        <w:rPr>
          <w:rFonts w:cs="Arial"/>
        </w:rPr>
        <w:t xml:space="preserve"> under the </w:t>
      </w:r>
      <w:r w:rsidR="00D953CD">
        <w:rPr>
          <w:rFonts w:cs="Arial"/>
          <w:i/>
        </w:rPr>
        <w:t>Royal Commissions </w:t>
      </w:r>
      <w:r w:rsidRPr="00837213">
        <w:rPr>
          <w:rFonts w:cs="Arial"/>
          <w:i/>
        </w:rPr>
        <w:t>Act 1902</w:t>
      </w:r>
      <w:r w:rsidRPr="00BF4712">
        <w:rPr>
          <w:rFonts w:cs="Arial"/>
        </w:rPr>
        <w:t xml:space="preserve">, set out the terms of reference. </w:t>
      </w:r>
      <w:r w:rsidR="00734BB6" w:rsidRPr="00734BB6">
        <w:rPr>
          <w:rFonts w:cs="Arial"/>
        </w:rPr>
        <w:t xml:space="preserve"> </w:t>
      </w:r>
    </w:p>
    <w:p w14:paraId="76A3AB2C" w14:textId="1078027C" w:rsidR="00BF4712" w:rsidRPr="00BF4712" w:rsidRDefault="00BF4712" w:rsidP="00BF4712">
      <w:pPr>
        <w:rPr>
          <w:rFonts w:cs="Arial"/>
        </w:rPr>
      </w:pPr>
      <w:r w:rsidRPr="006F1552">
        <w:rPr>
          <w:rFonts w:cs="Arial"/>
        </w:rPr>
        <w:t xml:space="preserve">Program 1.4 of the </w:t>
      </w:r>
      <w:r w:rsidR="00C17086">
        <w:rPr>
          <w:rFonts w:cs="Arial"/>
        </w:rPr>
        <w:t>d</w:t>
      </w:r>
      <w:r w:rsidR="009B08FC" w:rsidRPr="006F1552">
        <w:rPr>
          <w:rFonts w:cs="Arial"/>
        </w:rPr>
        <w:t>epartment’s</w:t>
      </w:r>
      <w:r w:rsidRPr="006F1552">
        <w:rPr>
          <w:rFonts w:cs="Arial"/>
        </w:rPr>
        <w:t xml:space="preserve"> </w:t>
      </w:r>
      <w:hyperlink r:id="rId18" w:history="1">
        <w:r w:rsidR="006F1552" w:rsidRPr="0014403E">
          <w:rPr>
            <w:rStyle w:val="Hyperlink"/>
            <w:rFonts w:cs="Arial"/>
          </w:rPr>
          <w:t>Portfolio Budget Statement</w:t>
        </w:r>
      </w:hyperlink>
      <w:r w:rsidR="006F1552" w:rsidRPr="006F1552">
        <w:rPr>
          <w:rFonts w:cs="Arial"/>
        </w:rPr>
        <w:t xml:space="preserve"> </w:t>
      </w:r>
      <w:r w:rsidRPr="006F1552">
        <w:rPr>
          <w:rFonts w:cs="Arial"/>
        </w:rPr>
        <w:t xml:space="preserve">includes </w:t>
      </w:r>
      <w:r w:rsidR="006F1552">
        <w:rPr>
          <w:rFonts w:cs="Arial"/>
        </w:rPr>
        <w:t>a sub-program for payments for the</w:t>
      </w:r>
      <w:r w:rsidRPr="006F1552">
        <w:rPr>
          <w:rFonts w:cs="Arial"/>
        </w:rPr>
        <w:t xml:space="preserve"> provision of community legal services </w:t>
      </w:r>
      <w:r w:rsidR="006F1552">
        <w:rPr>
          <w:rFonts w:cs="Arial"/>
        </w:rPr>
        <w:t xml:space="preserve">– </w:t>
      </w:r>
      <w:r w:rsidR="00EB5450">
        <w:rPr>
          <w:rFonts w:cs="Arial"/>
        </w:rPr>
        <w:t>L</w:t>
      </w:r>
      <w:r w:rsidR="006F1552">
        <w:rPr>
          <w:rFonts w:cs="Arial"/>
        </w:rPr>
        <w:t xml:space="preserve">egal advice supporting </w:t>
      </w:r>
      <w:r w:rsidRPr="006F1552">
        <w:rPr>
          <w:rFonts w:cs="Arial"/>
        </w:rPr>
        <w:t>the Royal Commission</w:t>
      </w:r>
      <w:r w:rsidR="006F1552">
        <w:rPr>
          <w:rFonts w:cs="Arial"/>
        </w:rPr>
        <w:t xml:space="preserve"> into Defence and Veteran Suicide</w:t>
      </w:r>
      <w:r w:rsidRPr="006F1552">
        <w:rPr>
          <w:rFonts w:cs="Arial"/>
        </w:rPr>
        <w:t>.</w:t>
      </w:r>
    </w:p>
    <w:p w14:paraId="7FEAAF9E" w14:textId="401FBDF0" w:rsidR="00BF4712" w:rsidRPr="00BF4712" w:rsidRDefault="009B08FC" w:rsidP="00BF4712">
      <w:pPr>
        <w:rPr>
          <w:rFonts w:cs="Arial"/>
        </w:rPr>
      </w:pPr>
      <w:r>
        <w:rPr>
          <w:rFonts w:cs="Arial"/>
        </w:rPr>
        <w:t>A national legal advi</w:t>
      </w:r>
      <w:r w:rsidR="00D55875">
        <w:rPr>
          <w:rFonts w:cs="Arial"/>
        </w:rPr>
        <w:t>ce</w:t>
      </w:r>
      <w:r w:rsidR="00BF4712" w:rsidRPr="00BF4712">
        <w:rPr>
          <w:rFonts w:cs="Arial"/>
        </w:rPr>
        <w:t xml:space="preserve"> service will</w:t>
      </w:r>
      <w:r w:rsidR="00D953CD">
        <w:rPr>
          <w:rFonts w:cs="Arial"/>
        </w:rPr>
        <w:t xml:space="preserve"> be established to support this</w:t>
      </w:r>
      <w:r w:rsidR="00BF4712" w:rsidRPr="00BF4712">
        <w:rPr>
          <w:rFonts w:cs="Arial"/>
        </w:rPr>
        <w:t xml:space="preserve"> measure. </w:t>
      </w:r>
    </w:p>
    <w:p w14:paraId="0FD230E7" w14:textId="328C404E" w:rsidR="00BE2F53" w:rsidRPr="000F576B" w:rsidRDefault="00BE2F53" w:rsidP="00BE2F53">
      <w:r>
        <w:t xml:space="preserve">The Community Grants Hub administers the program according to </w:t>
      </w:r>
      <w:hyperlink r:id="rId19" w:history="1">
        <w:r w:rsidR="00165C8B" w:rsidRPr="00243BED">
          <w:rPr>
            <w:rStyle w:val="Hyperlink"/>
            <w:i/>
          </w:rPr>
          <w:t>Commonwealth Grants Rules and Guidelines 2017 (CGRGs).</w:t>
        </w:r>
      </w:hyperlink>
    </w:p>
    <w:p w14:paraId="0DAAD57A" w14:textId="00CFEE86" w:rsidR="00BE2F53" w:rsidRPr="000553F2" w:rsidRDefault="002F7EAE" w:rsidP="00010429">
      <w:pPr>
        <w:pStyle w:val="Heading3"/>
      </w:pPr>
      <w:bookmarkStart w:id="6" w:name="_Ref485199086"/>
      <w:bookmarkStart w:id="7" w:name="_Ref485200398"/>
      <w:bookmarkStart w:id="8" w:name="_Toc74904748"/>
      <w:r>
        <w:t xml:space="preserve">About the </w:t>
      </w:r>
      <w:r w:rsidR="009B08FC">
        <w:t>l</w:t>
      </w:r>
      <w:r w:rsidR="00D55875" w:rsidRPr="00BD7C12">
        <w:t xml:space="preserve">egal </w:t>
      </w:r>
      <w:r w:rsidR="009B08FC">
        <w:t xml:space="preserve">advice service </w:t>
      </w:r>
      <w:r w:rsidR="00BE2F53">
        <w:t>grant o</w:t>
      </w:r>
      <w:r w:rsidR="00BE2F53" w:rsidRPr="0024525E">
        <w:t>pportunity</w:t>
      </w:r>
      <w:bookmarkEnd w:id="6"/>
      <w:bookmarkEnd w:id="7"/>
      <w:bookmarkEnd w:id="8"/>
    </w:p>
    <w:p w14:paraId="5800D087" w14:textId="14933124" w:rsidR="00BF4712" w:rsidRDefault="00D55875" w:rsidP="00BF4712">
      <w:pPr>
        <w:rPr>
          <w:rFonts w:cs="Arial"/>
        </w:rPr>
      </w:pPr>
      <w:bookmarkStart w:id="9" w:name="_Toc494290488"/>
      <w:bookmarkEnd w:id="9"/>
      <w:r>
        <w:rPr>
          <w:rFonts w:cs="Arial"/>
        </w:rPr>
        <w:t xml:space="preserve">The </w:t>
      </w:r>
      <w:r w:rsidR="00013558">
        <w:rPr>
          <w:rFonts w:cs="Arial"/>
        </w:rPr>
        <w:t xml:space="preserve">objective of the </w:t>
      </w:r>
      <w:r>
        <w:rPr>
          <w:rFonts w:cs="Arial"/>
        </w:rPr>
        <w:t>legal advice</w:t>
      </w:r>
      <w:r w:rsidR="00BF4712" w:rsidRPr="004D67B4">
        <w:rPr>
          <w:rFonts w:cs="Arial"/>
        </w:rPr>
        <w:t xml:space="preserve"> service </w:t>
      </w:r>
      <w:r w:rsidR="00013558">
        <w:rPr>
          <w:rFonts w:cs="Arial"/>
        </w:rPr>
        <w:t xml:space="preserve">is to </w:t>
      </w:r>
      <w:r w:rsidR="00BF4712" w:rsidRPr="004D67B4">
        <w:rPr>
          <w:rFonts w:cs="Arial"/>
        </w:rPr>
        <w:t xml:space="preserve">provide legal advice and information </w:t>
      </w:r>
      <w:r w:rsidR="00837213">
        <w:rPr>
          <w:rFonts w:cs="Arial"/>
        </w:rPr>
        <w:t>to</w:t>
      </w:r>
      <w:r w:rsidR="00BF4712" w:rsidRPr="004D67B4">
        <w:rPr>
          <w:rFonts w:cs="Arial"/>
        </w:rPr>
        <w:t xml:space="preserve"> members of the public</w:t>
      </w:r>
      <w:r w:rsidR="00D953CD">
        <w:rPr>
          <w:rFonts w:cs="Arial"/>
        </w:rPr>
        <w:t xml:space="preserve"> wishing to</w:t>
      </w:r>
      <w:r w:rsidR="00BF4712" w:rsidRPr="004D67B4">
        <w:rPr>
          <w:rFonts w:cs="Arial"/>
        </w:rPr>
        <w:t xml:space="preserve"> engag</w:t>
      </w:r>
      <w:r w:rsidR="00C86D1B">
        <w:rPr>
          <w:rFonts w:cs="Arial"/>
        </w:rPr>
        <w:t>e</w:t>
      </w:r>
      <w:r w:rsidR="00BF4712" w:rsidRPr="004D67B4">
        <w:rPr>
          <w:rFonts w:cs="Arial"/>
        </w:rPr>
        <w:t xml:space="preserve"> with </w:t>
      </w:r>
      <w:r w:rsidR="00BF4712">
        <w:rPr>
          <w:rFonts w:cs="Arial"/>
        </w:rPr>
        <w:t>the Roy</w:t>
      </w:r>
      <w:r>
        <w:rPr>
          <w:rFonts w:cs="Arial"/>
        </w:rPr>
        <w:t>al Commission. The legal advice</w:t>
      </w:r>
      <w:r w:rsidR="00BF4712">
        <w:rPr>
          <w:rFonts w:cs="Arial"/>
        </w:rPr>
        <w:t xml:space="preserve"> service see</w:t>
      </w:r>
      <w:r w:rsidR="00837213">
        <w:rPr>
          <w:rFonts w:cs="Arial"/>
        </w:rPr>
        <w:t xml:space="preserve">ks to assist Australian Defence Force (ADF) personnel and </w:t>
      </w:r>
      <w:r w:rsidR="00BF4712">
        <w:rPr>
          <w:rFonts w:cs="Arial"/>
        </w:rPr>
        <w:t xml:space="preserve">veterans, </w:t>
      </w:r>
      <w:r w:rsidR="00837213">
        <w:rPr>
          <w:rFonts w:cs="Arial"/>
        </w:rPr>
        <w:t xml:space="preserve">and </w:t>
      </w:r>
      <w:r w:rsidR="00BF4712">
        <w:rPr>
          <w:rFonts w:cs="Arial"/>
        </w:rPr>
        <w:t>their families, carers and supporters to a</w:t>
      </w:r>
      <w:r w:rsidR="00837213">
        <w:rPr>
          <w:rFonts w:cs="Arial"/>
        </w:rPr>
        <w:t>ccess and engage with the Royal </w:t>
      </w:r>
      <w:r w:rsidR="00BF4712">
        <w:rPr>
          <w:rFonts w:cs="Arial"/>
        </w:rPr>
        <w:t xml:space="preserve">Commission. It will be an </w:t>
      </w:r>
      <w:r>
        <w:rPr>
          <w:rFonts w:cs="Arial"/>
        </w:rPr>
        <w:t xml:space="preserve">independent, trauma-informed, </w:t>
      </w:r>
      <w:r w:rsidR="00BF4712">
        <w:rPr>
          <w:rFonts w:cs="Arial"/>
        </w:rPr>
        <w:t>culturally safe</w:t>
      </w:r>
      <w:r>
        <w:rPr>
          <w:rFonts w:cs="Arial"/>
        </w:rPr>
        <w:t xml:space="preserve"> and accessible</w:t>
      </w:r>
      <w:r w:rsidR="00BF4712">
        <w:rPr>
          <w:rFonts w:cs="Arial"/>
        </w:rPr>
        <w:t xml:space="preserve"> service that will be delivered nationally. The legal</w:t>
      </w:r>
      <w:r>
        <w:rPr>
          <w:rFonts w:cs="Arial"/>
        </w:rPr>
        <w:t xml:space="preserve"> advice</w:t>
      </w:r>
      <w:r w:rsidR="00BF4712">
        <w:rPr>
          <w:rFonts w:cs="Arial"/>
        </w:rPr>
        <w:t xml:space="preserve"> service will enable people to understand their legal rights</w:t>
      </w:r>
      <w:r w:rsidR="00837213">
        <w:rPr>
          <w:rFonts w:cs="Arial"/>
        </w:rPr>
        <w:t xml:space="preserve"> </w:t>
      </w:r>
      <w:r w:rsidR="00BF4712">
        <w:rPr>
          <w:rFonts w:cs="Arial"/>
        </w:rPr>
        <w:t xml:space="preserve">and options </w:t>
      </w:r>
      <w:r w:rsidR="00837213">
        <w:rPr>
          <w:rFonts w:cs="Arial"/>
        </w:rPr>
        <w:t>in</w:t>
      </w:r>
      <w:r w:rsidR="00BF4712">
        <w:rPr>
          <w:rFonts w:cs="Arial"/>
        </w:rPr>
        <w:t xml:space="preserve"> engag</w:t>
      </w:r>
      <w:r w:rsidR="00837213">
        <w:rPr>
          <w:rFonts w:cs="Arial"/>
        </w:rPr>
        <w:t>ing</w:t>
      </w:r>
      <w:r w:rsidR="00BF4712">
        <w:rPr>
          <w:rFonts w:cs="Arial"/>
        </w:rPr>
        <w:t xml:space="preserve"> with the Royal Commission.</w:t>
      </w:r>
    </w:p>
    <w:p w14:paraId="324C9DB1" w14:textId="2B7BB650" w:rsidR="00BF4712" w:rsidRDefault="00BF4712" w:rsidP="00BF4712">
      <w:pPr>
        <w:rPr>
          <w:rFonts w:cs="Arial"/>
        </w:rPr>
      </w:pPr>
      <w:r>
        <w:rPr>
          <w:rFonts w:cs="Arial"/>
        </w:rPr>
        <w:t xml:space="preserve">The </w:t>
      </w:r>
      <w:r w:rsidR="00D55875">
        <w:rPr>
          <w:rFonts w:cs="Arial"/>
        </w:rPr>
        <w:t xml:space="preserve">legal advice </w:t>
      </w:r>
      <w:r>
        <w:rPr>
          <w:rFonts w:cs="Arial"/>
        </w:rPr>
        <w:t xml:space="preserve">service </w:t>
      </w:r>
      <w:r w:rsidR="00837213">
        <w:rPr>
          <w:rFonts w:cs="Arial"/>
        </w:rPr>
        <w:t xml:space="preserve">will </w:t>
      </w:r>
      <w:r>
        <w:rPr>
          <w:rFonts w:cs="Arial"/>
        </w:rPr>
        <w:t xml:space="preserve">provide referral to counselling and other support services to ensure a holistic and cooperative approach to assisting people to engage with the Royal Commission. </w:t>
      </w:r>
      <w:r w:rsidR="00837213">
        <w:rPr>
          <w:rFonts w:cs="Arial"/>
        </w:rPr>
        <w:t>T</w:t>
      </w:r>
      <w:r w:rsidR="00D55875">
        <w:rPr>
          <w:rFonts w:cs="Arial"/>
        </w:rPr>
        <w:t>he legal advice</w:t>
      </w:r>
      <w:r>
        <w:rPr>
          <w:rFonts w:cs="Arial"/>
        </w:rPr>
        <w:t xml:space="preserve"> service will not require the individual to be a formal witness of the Royal Commission.</w:t>
      </w:r>
    </w:p>
    <w:p w14:paraId="404A5030" w14:textId="0AA5534A" w:rsidR="00BF4712" w:rsidRDefault="00BF4712" w:rsidP="00BF4712">
      <w:pPr>
        <w:rPr>
          <w:rFonts w:cs="Arial"/>
        </w:rPr>
      </w:pPr>
      <w:r>
        <w:rPr>
          <w:rFonts w:cs="Arial"/>
        </w:rPr>
        <w:t>The service will run for the duration of the Royal</w:t>
      </w:r>
      <w:r w:rsidR="00D55875">
        <w:rPr>
          <w:rFonts w:cs="Arial"/>
        </w:rPr>
        <w:t xml:space="preserve"> Commission. The legal advice </w:t>
      </w:r>
      <w:r>
        <w:rPr>
          <w:rFonts w:cs="Arial"/>
        </w:rPr>
        <w:t xml:space="preserve">service will target </w:t>
      </w:r>
      <w:r w:rsidR="00D55875">
        <w:rPr>
          <w:rFonts w:cs="Arial"/>
        </w:rPr>
        <w:t>ADF personnel</w:t>
      </w:r>
      <w:r w:rsidR="00837213">
        <w:rPr>
          <w:rFonts w:cs="Arial"/>
        </w:rPr>
        <w:t xml:space="preserve"> and</w:t>
      </w:r>
      <w:r w:rsidR="00D55875">
        <w:rPr>
          <w:rFonts w:cs="Arial"/>
        </w:rPr>
        <w:t xml:space="preserve"> veterans, </w:t>
      </w:r>
      <w:r w:rsidR="00837213">
        <w:rPr>
          <w:rFonts w:cs="Arial"/>
        </w:rPr>
        <w:t xml:space="preserve">and </w:t>
      </w:r>
      <w:r w:rsidR="00D55875">
        <w:rPr>
          <w:rFonts w:cs="Arial"/>
        </w:rPr>
        <w:t xml:space="preserve">their families, </w:t>
      </w:r>
      <w:r>
        <w:rPr>
          <w:rFonts w:cs="Arial"/>
        </w:rPr>
        <w:t>carers</w:t>
      </w:r>
      <w:r w:rsidR="00D55875">
        <w:rPr>
          <w:rFonts w:cs="Arial"/>
        </w:rPr>
        <w:t xml:space="preserve"> and supporters</w:t>
      </w:r>
      <w:r>
        <w:rPr>
          <w:rFonts w:cs="Arial"/>
        </w:rPr>
        <w:t xml:space="preserve">. </w:t>
      </w:r>
    </w:p>
    <w:p w14:paraId="28B3DE91" w14:textId="77777777" w:rsidR="00013A23" w:rsidRDefault="00013A23">
      <w:pPr>
        <w:spacing w:before="0" w:after="0" w:line="240" w:lineRule="auto"/>
        <w:rPr>
          <w:rFonts w:cs="Arial"/>
        </w:rPr>
      </w:pPr>
      <w:r>
        <w:rPr>
          <w:rFonts w:cs="Arial"/>
        </w:rPr>
        <w:br w:type="page"/>
      </w:r>
    </w:p>
    <w:p w14:paraId="7DF326D0" w14:textId="4F80B823" w:rsidR="00BF4712" w:rsidRDefault="00BF4712" w:rsidP="00BF4712">
      <w:pPr>
        <w:rPr>
          <w:rFonts w:cs="Arial"/>
        </w:rPr>
      </w:pPr>
      <w:r>
        <w:rPr>
          <w:rFonts w:cs="Arial"/>
        </w:rPr>
        <w:lastRenderedPageBreak/>
        <w:t xml:space="preserve">The express outcomes of the grant activity is the provision of a free national legal </w:t>
      </w:r>
      <w:r w:rsidR="00D55875">
        <w:rPr>
          <w:rFonts w:cs="Arial"/>
        </w:rPr>
        <w:t xml:space="preserve">advice </w:t>
      </w:r>
      <w:r>
        <w:rPr>
          <w:rFonts w:cs="Arial"/>
        </w:rPr>
        <w:t>service that will:</w:t>
      </w:r>
    </w:p>
    <w:p w14:paraId="7424F08C" w14:textId="2D89C660" w:rsidR="00BF4712" w:rsidRDefault="00EB5450" w:rsidP="0010063E">
      <w:pPr>
        <w:pStyle w:val="ListBullet"/>
        <w:numPr>
          <w:ilvl w:val="0"/>
          <w:numId w:val="28"/>
        </w:numPr>
        <w:rPr>
          <w:rFonts w:cs="Arial"/>
        </w:rPr>
      </w:pPr>
      <w:r>
        <w:rPr>
          <w:rFonts w:cs="Arial"/>
          <w:b/>
        </w:rPr>
        <w:t>be n</w:t>
      </w:r>
      <w:r w:rsidR="00BF4712" w:rsidRPr="006F7579">
        <w:rPr>
          <w:rFonts w:cs="Arial"/>
          <w:b/>
        </w:rPr>
        <w:t>ational</w:t>
      </w:r>
      <w:r w:rsidR="00BF4712">
        <w:rPr>
          <w:rFonts w:cs="Arial"/>
        </w:rPr>
        <w:t xml:space="preserve"> – </w:t>
      </w:r>
      <w:r w:rsidR="00D55875">
        <w:rPr>
          <w:rFonts w:cs="Arial"/>
        </w:rPr>
        <w:t xml:space="preserve">a </w:t>
      </w:r>
      <w:r w:rsidR="00BF4712">
        <w:rPr>
          <w:rFonts w:cs="Arial"/>
        </w:rPr>
        <w:t>legal assistance service that has the ability to scale nationally before the commencement of hearings of the Royal Commission</w:t>
      </w:r>
      <w:r w:rsidR="00F9058B">
        <w:rPr>
          <w:rFonts w:cs="Arial"/>
        </w:rPr>
        <w:t xml:space="preserve">. The service is to provide an ongoing presence in </w:t>
      </w:r>
      <w:r w:rsidR="0061226B">
        <w:rPr>
          <w:rFonts w:cs="Arial"/>
        </w:rPr>
        <w:t xml:space="preserve">the </w:t>
      </w:r>
      <w:r w:rsidR="00837213" w:rsidRPr="00E80B86">
        <w:rPr>
          <w:rFonts w:cs="Arial"/>
        </w:rPr>
        <w:t>city</w:t>
      </w:r>
      <w:r w:rsidR="00837213">
        <w:rPr>
          <w:rFonts w:cs="Arial"/>
        </w:rPr>
        <w:t xml:space="preserve"> where the Royal Commission is </w:t>
      </w:r>
      <w:r w:rsidR="0061226B">
        <w:rPr>
          <w:rFonts w:cs="Arial"/>
        </w:rPr>
        <w:t>located</w:t>
      </w:r>
      <w:r w:rsidR="00837213">
        <w:rPr>
          <w:rFonts w:cs="Arial"/>
        </w:rPr>
        <w:t xml:space="preserve">, as well as </w:t>
      </w:r>
      <w:r w:rsidR="00F9058B">
        <w:rPr>
          <w:rFonts w:cs="Arial"/>
        </w:rPr>
        <w:t>communities w</w:t>
      </w:r>
      <w:r w:rsidR="00D55875">
        <w:rPr>
          <w:rFonts w:cs="Arial"/>
        </w:rPr>
        <w:t>ith</w:t>
      </w:r>
      <w:r w:rsidR="00904CB3">
        <w:rPr>
          <w:rFonts w:cs="Arial"/>
        </w:rPr>
        <w:t xml:space="preserve"> significant numbers of</w:t>
      </w:r>
      <w:r w:rsidR="00D55875">
        <w:rPr>
          <w:rFonts w:cs="Arial"/>
        </w:rPr>
        <w:t xml:space="preserve"> ADF</w:t>
      </w:r>
      <w:r w:rsidR="00F9058B">
        <w:rPr>
          <w:rFonts w:cs="Arial"/>
        </w:rPr>
        <w:t xml:space="preserve"> personne</w:t>
      </w:r>
      <w:r w:rsidR="00837213">
        <w:rPr>
          <w:rFonts w:cs="Arial"/>
        </w:rPr>
        <w:t xml:space="preserve">l – </w:t>
      </w:r>
      <w:r w:rsidR="00AA68DD">
        <w:rPr>
          <w:rFonts w:cs="Arial"/>
        </w:rPr>
        <w:t>for example,</w:t>
      </w:r>
      <w:r w:rsidR="00837213">
        <w:rPr>
          <w:rFonts w:cs="Arial"/>
        </w:rPr>
        <w:t xml:space="preserve"> Townsville</w:t>
      </w:r>
    </w:p>
    <w:p w14:paraId="482D15C8" w14:textId="278DFA1C" w:rsidR="00BF4712" w:rsidRPr="00837213" w:rsidRDefault="00EB5450" w:rsidP="0010063E">
      <w:pPr>
        <w:pStyle w:val="ListBullet"/>
        <w:numPr>
          <w:ilvl w:val="0"/>
          <w:numId w:val="28"/>
        </w:numPr>
        <w:rPr>
          <w:rFonts w:cs="Arial"/>
        </w:rPr>
      </w:pPr>
      <w:r>
        <w:rPr>
          <w:rFonts w:cs="Arial"/>
          <w:b/>
        </w:rPr>
        <w:t>be e</w:t>
      </w:r>
      <w:r w:rsidR="00BF4712" w:rsidRPr="00837213">
        <w:rPr>
          <w:rFonts w:cs="Arial"/>
          <w:b/>
        </w:rPr>
        <w:t xml:space="preserve">xperienced </w:t>
      </w:r>
      <w:r w:rsidR="00FC4D77">
        <w:rPr>
          <w:rFonts w:cs="Arial"/>
        </w:rPr>
        <w:t xml:space="preserve">– experienced, suitably qualified </w:t>
      </w:r>
      <w:r w:rsidR="00BF4712" w:rsidRPr="00837213">
        <w:rPr>
          <w:rFonts w:cs="Arial"/>
        </w:rPr>
        <w:t xml:space="preserve">and trained employees to provide legal advice and information to the public including </w:t>
      </w:r>
      <w:r w:rsidR="00D55875" w:rsidRPr="00837213">
        <w:rPr>
          <w:rFonts w:cs="Arial"/>
        </w:rPr>
        <w:t>ADF personnel</w:t>
      </w:r>
      <w:r w:rsidR="00837213" w:rsidRPr="00837213">
        <w:rPr>
          <w:rFonts w:cs="Arial"/>
        </w:rPr>
        <w:t xml:space="preserve"> and</w:t>
      </w:r>
      <w:r w:rsidR="00BF4712" w:rsidRPr="00837213">
        <w:rPr>
          <w:rFonts w:cs="Arial"/>
        </w:rPr>
        <w:t xml:space="preserve"> veterans, </w:t>
      </w:r>
      <w:r w:rsidR="00837213" w:rsidRPr="00837213">
        <w:rPr>
          <w:rFonts w:cs="Arial"/>
        </w:rPr>
        <w:t xml:space="preserve">and </w:t>
      </w:r>
      <w:r w:rsidR="00BF4712" w:rsidRPr="00837213">
        <w:rPr>
          <w:rFonts w:cs="Arial"/>
        </w:rPr>
        <w:t>their families</w:t>
      </w:r>
      <w:r w:rsidR="00837213" w:rsidRPr="00837213">
        <w:rPr>
          <w:rFonts w:cs="Arial"/>
        </w:rPr>
        <w:t xml:space="preserve">, </w:t>
      </w:r>
      <w:r w:rsidR="00BF4712" w:rsidRPr="00837213">
        <w:rPr>
          <w:rFonts w:cs="Arial"/>
        </w:rPr>
        <w:t xml:space="preserve">carers </w:t>
      </w:r>
      <w:r w:rsidR="00837213" w:rsidRPr="00837213">
        <w:rPr>
          <w:rFonts w:cs="Arial"/>
        </w:rPr>
        <w:t xml:space="preserve">and supporters </w:t>
      </w:r>
      <w:r w:rsidR="00BF4712" w:rsidRPr="00837213">
        <w:rPr>
          <w:rFonts w:cs="Arial"/>
        </w:rPr>
        <w:t>in relation to the Royal Commission, including preparation of voluntary submissions and private sessions where appropriate</w:t>
      </w:r>
    </w:p>
    <w:p w14:paraId="04A97B4B" w14:textId="57EF829F" w:rsidR="00BF4712" w:rsidRDefault="00EB5450" w:rsidP="0010063E">
      <w:pPr>
        <w:pStyle w:val="ListBullet"/>
        <w:numPr>
          <w:ilvl w:val="0"/>
          <w:numId w:val="28"/>
        </w:numPr>
        <w:rPr>
          <w:rFonts w:cs="Arial"/>
        </w:rPr>
      </w:pPr>
      <w:r>
        <w:rPr>
          <w:rFonts w:cs="Arial"/>
          <w:b/>
        </w:rPr>
        <w:t>be a</w:t>
      </w:r>
      <w:r w:rsidR="00BF4712">
        <w:rPr>
          <w:rFonts w:cs="Arial"/>
          <w:b/>
        </w:rPr>
        <w:t xml:space="preserve">ccessible </w:t>
      </w:r>
      <w:r w:rsidR="00BF4712">
        <w:rPr>
          <w:rFonts w:cs="Arial"/>
        </w:rPr>
        <w:t>– provide appropriate arrangements including accessible locations, technology and communication facilities</w:t>
      </w:r>
    </w:p>
    <w:p w14:paraId="74EB935B" w14:textId="5B9B2B8E" w:rsidR="00BF4712" w:rsidRDefault="00EB5450" w:rsidP="0010063E">
      <w:pPr>
        <w:pStyle w:val="ListBullet"/>
        <w:numPr>
          <w:ilvl w:val="0"/>
          <w:numId w:val="28"/>
        </w:numPr>
        <w:rPr>
          <w:rFonts w:cs="Arial"/>
        </w:rPr>
      </w:pPr>
      <w:r>
        <w:rPr>
          <w:rFonts w:cs="Arial"/>
          <w:b/>
        </w:rPr>
        <w:t>be c</w:t>
      </w:r>
      <w:r w:rsidR="00BF4712">
        <w:rPr>
          <w:rFonts w:cs="Arial"/>
          <w:b/>
        </w:rPr>
        <w:t xml:space="preserve">ulturally appropriate </w:t>
      </w:r>
      <w:r w:rsidR="00D55875">
        <w:rPr>
          <w:rFonts w:cs="Arial"/>
        </w:rPr>
        <w:t>– the legal advice</w:t>
      </w:r>
      <w:r w:rsidR="00BF4712">
        <w:rPr>
          <w:rFonts w:cs="Arial"/>
        </w:rPr>
        <w:t xml:space="preserve"> service must provide a culturally safe service</w:t>
      </w:r>
    </w:p>
    <w:p w14:paraId="0C810339" w14:textId="760D0FA9" w:rsidR="00BF4712" w:rsidRDefault="00EB5450" w:rsidP="0010063E">
      <w:pPr>
        <w:pStyle w:val="ListBullet"/>
        <w:numPr>
          <w:ilvl w:val="0"/>
          <w:numId w:val="28"/>
        </w:numPr>
        <w:rPr>
          <w:rFonts w:cs="Arial"/>
        </w:rPr>
      </w:pPr>
      <w:r>
        <w:rPr>
          <w:rFonts w:cs="Arial"/>
          <w:b/>
        </w:rPr>
        <w:t>be a</w:t>
      </w:r>
      <w:r w:rsidR="00BF4712">
        <w:rPr>
          <w:rFonts w:cs="Arial"/>
          <w:b/>
        </w:rPr>
        <w:t>ble to refer</w:t>
      </w:r>
      <w:r w:rsidR="00BF4712" w:rsidRPr="00D953CD">
        <w:rPr>
          <w:rFonts w:cs="Arial"/>
        </w:rPr>
        <w:t xml:space="preserve"> –</w:t>
      </w:r>
      <w:r w:rsidR="00BF4712" w:rsidRPr="00881490">
        <w:rPr>
          <w:rFonts w:cs="Arial"/>
          <w:b/>
        </w:rPr>
        <w:t xml:space="preserve"> </w:t>
      </w:r>
      <w:r w:rsidR="00BF4712" w:rsidRPr="00D953CD">
        <w:rPr>
          <w:rFonts w:cs="Arial"/>
        </w:rPr>
        <w:t xml:space="preserve">use existing networks and have the ability to create referrals for individuals </w:t>
      </w:r>
      <w:r w:rsidR="00BF4712">
        <w:rPr>
          <w:rFonts w:cs="Arial"/>
        </w:rPr>
        <w:t>seeking legal representation for appearances before the Royal Commission. Referrals are to include other services, such as advocacy, social and psychological support services</w:t>
      </w:r>
    </w:p>
    <w:p w14:paraId="4C654A3E" w14:textId="3223BC33" w:rsidR="00BF4712" w:rsidRDefault="00EB5450" w:rsidP="0010063E">
      <w:pPr>
        <w:pStyle w:val="ListBullet"/>
        <w:numPr>
          <w:ilvl w:val="0"/>
          <w:numId w:val="28"/>
        </w:numPr>
        <w:rPr>
          <w:rFonts w:cs="Arial"/>
        </w:rPr>
      </w:pPr>
      <w:r>
        <w:rPr>
          <w:rFonts w:cs="Arial"/>
          <w:b/>
        </w:rPr>
        <w:t>e</w:t>
      </w:r>
      <w:r w:rsidR="00BF4712">
        <w:rPr>
          <w:rFonts w:cs="Arial"/>
          <w:b/>
        </w:rPr>
        <w:t xml:space="preserve">stablish governance </w:t>
      </w:r>
      <w:r w:rsidR="00BF4712">
        <w:rPr>
          <w:rFonts w:cs="Arial"/>
        </w:rPr>
        <w:t>– have strong, existing governance and financial arrangements to support the delivery of a national service</w:t>
      </w:r>
    </w:p>
    <w:p w14:paraId="7664FB55" w14:textId="1383D1D6" w:rsidR="00670ECB" w:rsidRPr="00670ECB" w:rsidRDefault="00EB5450" w:rsidP="00670ECB">
      <w:pPr>
        <w:pStyle w:val="ListBullet"/>
        <w:numPr>
          <w:ilvl w:val="0"/>
          <w:numId w:val="28"/>
        </w:numPr>
        <w:rPr>
          <w:rFonts w:cs="Arial"/>
        </w:rPr>
      </w:pPr>
      <w:r>
        <w:rPr>
          <w:rFonts w:cs="Arial"/>
          <w:b/>
        </w:rPr>
        <w:t>w</w:t>
      </w:r>
      <w:r w:rsidR="00BF4712">
        <w:rPr>
          <w:rFonts w:cs="Arial"/>
          <w:b/>
        </w:rPr>
        <w:t xml:space="preserve">ork with the Royal Commission </w:t>
      </w:r>
      <w:r w:rsidR="00BF4712">
        <w:rPr>
          <w:rFonts w:cs="Arial"/>
        </w:rPr>
        <w:t>– ability to work closely with the Royal Commission, ensuring there are appropriate resources available</w:t>
      </w:r>
      <w:r w:rsidR="00837213">
        <w:rPr>
          <w:rFonts w:cs="Arial"/>
        </w:rPr>
        <w:t>, particularly</w:t>
      </w:r>
      <w:r w:rsidR="00BF4712">
        <w:rPr>
          <w:rFonts w:cs="Arial"/>
        </w:rPr>
        <w:t xml:space="preserve"> during hearing dates. </w:t>
      </w:r>
    </w:p>
    <w:p w14:paraId="1F7CEEDD" w14:textId="77777777" w:rsidR="00670ECB" w:rsidRDefault="00670ECB" w:rsidP="00670ECB">
      <w:pPr>
        <w:pStyle w:val="Heading3"/>
        <w:numPr>
          <w:ilvl w:val="1"/>
          <w:numId w:val="34"/>
        </w:numPr>
      </w:pPr>
      <w:bookmarkStart w:id="10" w:name="_Toc66704094"/>
      <w:bookmarkStart w:id="11" w:name="_Toc74904749"/>
      <w:r w:rsidRPr="001201E0">
        <w:t>Response to COVID-19 (coronavirus)</w:t>
      </w:r>
      <w:bookmarkEnd w:id="10"/>
      <w:bookmarkEnd w:id="11"/>
    </w:p>
    <w:p w14:paraId="16E46403" w14:textId="77777777" w:rsidR="00670ECB" w:rsidRDefault="00670ECB" w:rsidP="00670ECB">
      <w:pPr>
        <w:rPr>
          <w:rFonts w:cs="Arial"/>
        </w:rPr>
      </w:pPr>
      <w:r>
        <w:rPr>
          <w:rFonts w:cs="Arial"/>
        </w:rPr>
        <w:t xml:space="preserve">At the time of publication, there are a range of public health and other measures in place as part of Australia’s response to COVID-19. </w:t>
      </w:r>
    </w:p>
    <w:p w14:paraId="52DD84C1" w14:textId="5A89DDFA" w:rsidR="00670ECB" w:rsidRDefault="00670ECB" w:rsidP="00670ECB">
      <w:pPr>
        <w:rPr>
          <w:rFonts w:cs="Arial"/>
        </w:rPr>
      </w:pPr>
      <w:r>
        <w:rPr>
          <w:rFonts w:cs="Arial"/>
        </w:rPr>
        <w:t xml:space="preserve">COVID-19 represents a significant challenge both in Australia and internationally. Some members of the community may be particularly vulnerable to COVID-19. For this reason, applicants should carefully consider their activities, to ensure that they can be safely delivered, including adhering to COVID-19 social distancing or other public health measures. </w:t>
      </w:r>
    </w:p>
    <w:p w14:paraId="70B6C180" w14:textId="77777777" w:rsidR="00670ECB" w:rsidRDefault="00670ECB" w:rsidP="00670ECB">
      <w:pPr>
        <w:rPr>
          <w:rFonts w:cs="Arial"/>
        </w:rPr>
      </w:pPr>
      <w:r>
        <w:rPr>
          <w:rFonts w:cs="Arial"/>
        </w:rPr>
        <w:t>You are strongly encouraged to adapt proposed activities in your application to allow for social distancing and ensure the safety of participants.</w:t>
      </w:r>
    </w:p>
    <w:p w14:paraId="2E2A3706" w14:textId="77777777" w:rsidR="00670ECB" w:rsidRPr="001201E0" w:rsidRDefault="00670ECB" w:rsidP="00670ECB">
      <w:pPr>
        <w:rPr>
          <w:rFonts w:cs="Arial"/>
        </w:rPr>
      </w:pPr>
      <w:r>
        <w:rPr>
          <w:rFonts w:cs="Arial"/>
        </w:rPr>
        <w:t>Your application should include information about how your proposed activity will comply with COVID-19 requirements.</w:t>
      </w:r>
    </w:p>
    <w:p w14:paraId="173ACCC3" w14:textId="6384E113" w:rsidR="00670ECB" w:rsidRDefault="00670ECB" w:rsidP="00670ECB">
      <w:pPr>
        <w:keepNext/>
        <w:keepLines/>
        <w:rPr>
          <w:rFonts w:cs="Arial"/>
        </w:rPr>
      </w:pPr>
      <w:r>
        <w:rPr>
          <w:rFonts w:cs="Arial"/>
        </w:rPr>
        <w:t xml:space="preserve">Successful applicants will need to comply with the relevant social distancing or other public health measures in place at the time they are delivered (this includes national, state and local government requirements). Australian Government information and advice for limiting the spread of COVID-19 is available on the </w:t>
      </w:r>
      <w:hyperlink r:id="rId20" w:history="1">
        <w:r>
          <w:rPr>
            <w:rStyle w:val="Hyperlink"/>
            <w:rFonts w:eastAsia="MS Mincho" w:cs="Arial"/>
          </w:rPr>
          <w:t>Department of Health website</w:t>
        </w:r>
      </w:hyperlink>
      <w:r>
        <w:rPr>
          <w:rFonts w:cs="Arial"/>
        </w:rPr>
        <w:t>.</w:t>
      </w:r>
    </w:p>
    <w:p w14:paraId="20C84B6F" w14:textId="77777777" w:rsidR="00BE2F53" w:rsidRDefault="00BE2F53" w:rsidP="00010429">
      <w:pPr>
        <w:pStyle w:val="Heading2"/>
      </w:pPr>
      <w:bookmarkStart w:id="12" w:name="_Toc74904750"/>
      <w:r>
        <w:t>Grant amount and grant period</w:t>
      </w:r>
      <w:bookmarkEnd w:id="12"/>
    </w:p>
    <w:p w14:paraId="4D577AAD" w14:textId="77777777" w:rsidR="00BE2F53" w:rsidRDefault="00BE2F53" w:rsidP="00010429">
      <w:pPr>
        <w:pStyle w:val="Heading3"/>
      </w:pPr>
      <w:bookmarkStart w:id="13" w:name="_Toc74904751"/>
      <w:r>
        <w:t>Grants available</w:t>
      </w:r>
      <w:bookmarkEnd w:id="13"/>
    </w:p>
    <w:p w14:paraId="54726C07" w14:textId="6DA65C6A" w:rsidR="00BF4712" w:rsidRDefault="00BF4712" w:rsidP="00BF4712">
      <w:r>
        <w:t xml:space="preserve">The Australian Government has announced a total of </w:t>
      </w:r>
      <w:r w:rsidR="003F1F47">
        <w:t xml:space="preserve">up to </w:t>
      </w:r>
      <w:r>
        <w:t>$9.</w:t>
      </w:r>
      <w:r w:rsidR="00D310B6">
        <w:t>482</w:t>
      </w:r>
      <w:r w:rsidR="00D953CD">
        <w:t xml:space="preserve"> </w:t>
      </w:r>
      <w:r>
        <w:t xml:space="preserve">million (excluding GST) over </w:t>
      </w:r>
      <w:r w:rsidR="00734BB6">
        <w:br/>
      </w:r>
      <w:r w:rsidR="00EB2AA6">
        <w:t>2</w:t>
      </w:r>
      <w:r w:rsidR="00012449">
        <w:t> </w:t>
      </w:r>
      <w:r>
        <w:t xml:space="preserve">years for the provision of the legal advice service supporting the Royal Commission. </w:t>
      </w:r>
    </w:p>
    <w:p w14:paraId="44A73809" w14:textId="52C8951B" w:rsidR="00BF4712" w:rsidRDefault="00BF4712" w:rsidP="00BF4712">
      <w:r>
        <w:t>For this grant opportunity</w:t>
      </w:r>
      <w:r w:rsidR="00F2668C">
        <w:t>,</w:t>
      </w:r>
      <w:r>
        <w:t xml:space="preserve"> </w:t>
      </w:r>
      <w:r w:rsidR="003F1F47">
        <w:t xml:space="preserve">up to </w:t>
      </w:r>
      <w:r>
        <w:t>$5.070 million is available in 2021</w:t>
      </w:r>
      <w:r w:rsidR="00734BB6" w:rsidRPr="00734BB6">
        <w:rPr>
          <w:rFonts w:cs="Arial"/>
        </w:rPr>
        <w:t>–</w:t>
      </w:r>
      <w:r>
        <w:t xml:space="preserve">22 and </w:t>
      </w:r>
      <w:r w:rsidR="003F1F47">
        <w:t xml:space="preserve">up to </w:t>
      </w:r>
      <w:r>
        <w:t>$</w:t>
      </w:r>
      <w:r w:rsidR="00300940">
        <w:t>4.412</w:t>
      </w:r>
      <w:r w:rsidR="00734BB6">
        <w:t xml:space="preserve"> million </w:t>
      </w:r>
      <w:r w:rsidR="00F2668C">
        <w:t xml:space="preserve">is </w:t>
      </w:r>
      <w:r w:rsidR="00734BB6">
        <w:t>available in 2022</w:t>
      </w:r>
      <w:r w:rsidR="00734BB6" w:rsidRPr="00734BB6">
        <w:rPr>
          <w:rFonts w:cs="Arial"/>
        </w:rPr>
        <w:t>–</w:t>
      </w:r>
      <w:r>
        <w:t>23</w:t>
      </w:r>
      <w:r w:rsidR="003F1F47">
        <w:t>.</w:t>
      </w:r>
    </w:p>
    <w:p w14:paraId="300C7039" w14:textId="3EF7E91A" w:rsidR="00BF4712" w:rsidRDefault="00BF4712" w:rsidP="006F0249">
      <w:pPr>
        <w:pStyle w:val="ListBullet"/>
      </w:pPr>
      <w:r>
        <w:lastRenderedPageBreak/>
        <w:t xml:space="preserve">There is no maximum </w:t>
      </w:r>
      <w:r w:rsidR="006F0249">
        <w:t xml:space="preserve">or minimum </w:t>
      </w:r>
      <w:r>
        <w:t>grant amount but grants cannot exceed the amount of available funds.</w:t>
      </w:r>
    </w:p>
    <w:p w14:paraId="7FC771B3" w14:textId="4EC4CAD6" w:rsidR="00BE2F53" w:rsidRDefault="00BE2F53" w:rsidP="00010429">
      <w:pPr>
        <w:pStyle w:val="Heading3"/>
      </w:pPr>
      <w:bookmarkStart w:id="14" w:name="_Toc530486324"/>
      <w:bookmarkStart w:id="15" w:name="_Toc530579967"/>
      <w:bookmarkStart w:id="16" w:name="_Toc74904752"/>
      <w:bookmarkEnd w:id="14"/>
      <w:bookmarkEnd w:id="15"/>
      <w:r>
        <w:t>Grant</w:t>
      </w:r>
      <w:r w:rsidR="00BF4712">
        <w:t xml:space="preserve"> </w:t>
      </w:r>
      <w:r>
        <w:t>period</w:t>
      </w:r>
      <w:bookmarkEnd w:id="16"/>
    </w:p>
    <w:p w14:paraId="41248362" w14:textId="010BC599" w:rsidR="006644A7" w:rsidRDefault="006644A7" w:rsidP="006644A7">
      <w:r>
        <w:t>The grant will run from 1</w:t>
      </w:r>
      <w:r w:rsidR="00D3620F">
        <w:t>6</w:t>
      </w:r>
      <w:r>
        <w:t xml:space="preserve"> September 2021 to 30 </w:t>
      </w:r>
      <w:r w:rsidR="0061226B">
        <w:t xml:space="preserve">June </w:t>
      </w:r>
      <w:r>
        <w:t xml:space="preserve">2023. The maximum grant period is 2 years. </w:t>
      </w:r>
    </w:p>
    <w:p w14:paraId="59A52F72" w14:textId="3C7D92F8" w:rsidR="00810AF0" w:rsidRDefault="006644A7" w:rsidP="00810AF0">
      <w:r>
        <w:t xml:space="preserve">The department may seek to vary the grant period if the Royal Commission is extended beyond </w:t>
      </w:r>
      <w:r w:rsidR="0061226B">
        <w:t>the expected reporting date of 15</w:t>
      </w:r>
      <w:r>
        <w:t> </w:t>
      </w:r>
      <w:r w:rsidRPr="00E80B86">
        <w:t>June</w:t>
      </w:r>
      <w:r>
        <w:t xml:space="preserve"> 2023.</w:t>
      </w:r>
      <w:r w:rsidDel="006644A7">
        <w:t xml:space="preserve"> </w:t>
      </w:r>
    </w:p>
    <w:p w14:paraId="3811766A" w14:textId="244A4C37" w:rsidR="00BE2F53" w:rsidRPr="00DF637B" w:rsidRDefault="00810AF0" w:rsidP="00010429">
      <w:pPr>
        <w:pStyle w:val="Heading2"/>
      </w:pPr>
      <w:r w:rsidRPr="00C2349D">
        <w:t xml:space="preserve"> </w:t>
      </w:r>
      <w:bookmarkStart w:id="17" w:name="_Toc74904753"/>
      <w:r w:rsidR="00BE2F53">
        <w:t>Eligibility criteria</w:t>
      </w:r>
      <w:bookmarkEnd w:id="17"/>
    </w:p>
    <w:p w14:paraId="16798DB1" w14:textId="1E636A12" w:rsidR="00BE2F53" w:rsidRPr="00AB219F" w:rsidRDefault="00BE2F53" w:rsidP="00EB29BE">
      <w:pPr>
        <w:pStyle w:val="ListBullet"/>
      </w:pPr>
      <w:bookmarkStart w:id="18" w:name="_Ref437348317"/>
      <w:bookmarkStart w:id="19" w:name="_Ref437348323"/>
      <w:bookmarkStart w:id="20" w:name="_Ref437349175"/>
      <w:r w:rsidRPr="00452C7A">
        <w:t xml:space="preserve">The </w:t>
      </w:r>
      <w:r>
        <w:t xml:space="preserve">decision maker can choose to waive the </w:t>
      </w:r>
      <w:r w:rsidRPr="00452C7A">
        <w:t>eligibility criteria</w:t>
      </w:r>
      <w:r>
        <w:t xml:space="preserve">, however they must be made aware of the risks. </w:t>
      </w:r>
    </w:p>
    <w:p w14:paraId="503D800A" w14:textId="77777777" w:rsidR="00BE2F53" w:rsidRDefault="00BE2F53" w:rsidP="00010429">
      <w:pPr>
        <w:pStyle w:val="Heading3"/>
      </w:pPr>
      <w:bookmarkStart w:id="21" w:name="_Ref485202969"/>
      <w:bookmarkStart w:id="22" w:name="_Toc74904754"/>
      <w:r>
        <w:t>Who is eligible to apply for a grant?</w:t>
      </w:r>
      <w:bookmarkEnd w:id="18"/>
      <w:bookmarkEnd w:id="19"/>
      <w:bookmarkEnd w:id="20"/>
      <w:bookmarkEnd w:id="21"/>
      <w:bookmarkEnd w:id="22"/>
    </w:p>
    <w:p w14:paraId="05501C91" w14:textId="24735A0D" w:rsidR="00BE2F53" w:rsidRPr="002E037E" w:rsidRDefault="00BE2F53" w:rsidP="002E037E">
      <w:pPr>
        <w:pStyle w:val="ListBullet"/>
      </w:pPr>
      <w:r w:rsidRPr="002E037E">
        <w:t>To be eligible</w:t>
      </w:r>
      <w:r w:rsidR="00FB18F3" w:rsidRPr="002E037E">
        <w:t xml:space="preserve"> to </w:t>
      </w:r>
      <w:r w:rsidR="003F1F47" w:rsidRPr="002E037E">
        <w:t>apply for</w:t>
      </w:r>
      <w:r w:rsidR="00FB18F3" w:rsidRPr="002E037E">
        <w:t xml:space="preserve"> a grant</w:t>
      </w:r>
      <w:r w:rsidR="00EE456A" w:rsidRPr="002E037E">
        <w:t>,</w:t>
      </w:r>
      <w:r w:rsidRPr="002E037E">
        <w:t xml:space="preserve"> you must be one of the listed invited organisations and have received an invitation to apply through GrantConnect. </w:t>
      </w:r>
    </w:p>
    <w:p w14:paraId="6D649DE5" w14:textId="0780840D" w:rsidR="00BE2F53" w:rsidRPr="002E037E" w:rsidRDefault="00BE2F53" w:rsidP="002E037E">
      <w:pPr>
        <w:pStyle w:val="ListBullet"/>
      </w:pPr>
      <w:r w:rsidRPr="002E037E">
        <w:t xml:space="preserve">The list of eligible applicants was determined </w:t>
      </w:r>
      <w:r w:rsidR="00810AF0" w:rsidRPr="002E037E">
        <w:t xml:space="preserve">based on </w:t>
      </w:r>
      <w:r w:rsidR="00D310B6" w:rsidRPr="002E037E">
        <w:t>the need for the establishment of a national legal advice service that will meet the requirements of all individuals, including (ADF) personnel and veterans, and their families, carers and supporters to access and engage with the Royal Commission. Furthermore, the eligible applicants have</w:t>
      </w:r>
      <w:r w:rsidR="00810AF0" w:rsidRPr="002E037E">
        <w:t xml:space="preserve"> experience and specialis</w:t>
      </w:r>
      <w:r w:rsidR="00EB29BE" w:rsidRPr="002E037E">
        <w:t>t</w:t>
      </w:r>
      <w:r w:rsidR="00810AF0" w:rsidRPr="002E037E">
        <w:t xml:space="preserve"> expertise and knowledge in delivering legal assistance services</w:t>
      </w:r>
      <w:r w:rsidR="00EB29BE" w:rsidRPr="002E037E">
        <w:t>.</w:t>
      </w:r>
    </w:p>
    <w:tbl>
      <w:tblPr>
        <w:tblStyle w:val="TableGrid1"/>
        <w:tblW w:w="0" w:type="auto"/>
        <w:tblLook w:val="04A0" w:firstRow="1" w:lastRow="0" w:firstColumn="1" w:lastColumn="0" w:noHBand="0" w:noVBand="1"/>
        <w:tblCaption w:val="Invited Organtion and Rationale for Invitation"/>
      </w:tblPr>
      <w:tblGrid>
        <w:gridCol w:w="1545"/>
        <w:gridCol w:w="5528"/>
        <w:gridCol w:w="1685"/>
      </w:tblGrid>
      <w:tr w:rsidR="00F87419" w:rsidRPr="00F87419" w14:paraId="189F6081" w14:textId="3B91A33D" w:rsidTr="006F0249">
        <w:trPr>
          <w:tblHeader/>
        </w:trPr>
        <w:tc>
          <w:tcPr>
            <w:tcW w:w="7073" w:type="dxa"/>
            <w:gridSpan w:val="2"/>
            <w:tcBorders>
              <w:top w:val="single" w:sz="12" w:space="0" w:color="auto"/>
              <w:left w:val="single" w:sz="12" w:space="0" w:color="auto"/>
              <w:bottom w:val="single" w:sz="12" w:space="0" w:color="auto"/>
              <w:right w:val="single" w:sz="2" w:space="0" w:color="auto"/>
            </w:tcBorders>
            <w:shd w:val="clear" w:color="auto" w:fill="F2F2F2" w:themeFill="background1" w:themeFillShade="F2"/>
          </w:tcPr>
          <w:p w14:paraId="480A5560" w14:textId="4D21F45D" w:rsidR="00F87419" w:rsidRPr="00F87419" w:rsidRDefault="00F87419" w:rsidP="002410B6">
            <w:pPr>
              <w:spacing w:before="60" w:after="60" w:line="240" w:lineRule="auto"/>
              <w:rPr>
                <w:rFonts w:ascii="Arial" w:hAnsi="Arial" w:cs="Arial"/>
                <w:b/>
                <w:sz w:val="20"/>
                <w:szCs w:val="20"/>
              </w:rPr>
            </w:pPr>
            <w:r w:rsidRPr="00F87419">
              <w:rPr>
                <w:rFonts w:ascii="Arial" w:hAnsi="Arial" w:cs="Arial"/>
                <w:b/>
                <w:sz w:val="20"/>
                <w:szCs w:val="20"/>
              </w:rPr>
              <w:t>Invited organisation</w:t>
            </w:r>
            <w:r w:rsidR="00013558">
              <w:rPr>
                <w:rFonts w:ascii="Arial" w:hAnsi="Arial" w:cs="Arial"/>
                <w:b/>
                <w:sz w:val="20"/>
                <w:szCs w:val="20"/>
              </w:rPr>
              <w:t>s</w:t>
            </w:r>
          </w:p>
        </w:tc>
        <w:tc>
          <w:tcPr>
            <w:tcW w:w="1685" w:type="dxa"/>
            <w:tcBorders>
              <w:top w:val="single" w:sz="12" w:space="0" w:color="auto"/>
              <w:left w:val="single" w:sz="2" w:space="0" w:color="auto"/>
              <w:bottom w:val="single" w:sz="12" w:space="0" w:color="auto"/>
              <w:right w:val="single" w:sz="12" w:space="0" w:color="auto"/>
            </w:tcBorders>
            <w:shd w:val="clear" w:color="auto" w:fill="F2F2F2" w:themeFill="background1" w:themeFillShade="F2"/>
          </w:tcPr>
          <w:p w14:paraId="5D3031DA" w14:textId="13459812" w:rsidR="00F87419" w:rsidRPr="00F87419" w:rsidRDefault="00F87419" w:rsidP="002410B6">
            <w:pPr>
              <w:spacing w:before="60" w:after="60" w:line="240" w:lineRule="auto"/>
              <w:rPr>
                <w:rFonts w:ascii="Arial" w:hAnsi="Arial" w:cs="Arial"/>
                <w:b/>
                <w:sz w:val="20"/>
                <w:szCs w:val="20"/>
              </w:rPr>
            </w:pPr>
            <w:r w:rsidRPr="00F87419">
              <w:rPr>
                <w:rFonts w:ascii="Arial" w:hAnsi="Arial" w:cs="Arial"/>
                <w:b/>
                <w:sz w:val="20"/>
                <w:szCs w:val="20"/>
              </w:rPr>
              <w:t>ABN</w:t>
            </w:r>
          </w:p>
        </w:tc>
      </w:tr>
      <w:tr w:rsidR="00D953CD" w:rsidRPr="00F87419" w14:paraId="4C364DC7" w14:textId="1CF5581B" w:rsidTr="00FC4D77">
        <w:tc>
          <w:tcPr>
            <w:tcW w:w="7073" w:type="dxa"/>
            <w:gridSpan w:val="2"/>
            <w:tcBorders>
              <w:top w:val="single" w:sz="12" w:space="0" w:color="auto"/>
              <w:left w:val="single" w:sz="12" w:space="0" w:color="auto"/>
              <w:bottom w:val="single" w:sz="12" w:space="0" w:color="auto"/>
              <w:right w:val="single" w:sz="2" w:space="0" w:color="auto"/>
            </w:tcBorders>
          </w:tcPr>
          <w:p w14:paraId="3545E9FD" w14:textId="731C6E52" w:rsidR="00D953CD" w:rsidRPr="00F87419" w:rsidRDefault="00D953CD" w:rsidP="00EB29BE">
            <w:pPr>
              <w:tabs>
                <w:tab w:val="left" w:pos="1128"/>
              </w:tabs>
              <w:spacing w:before="60" w:after="60" w:line="240" w:lineRule="auto"/>
              <w:rPr>
                <w:rFonts w:ascii="Arial" w:hAnsi="Arial" w:cs="Arial"/>
                <w:sz w:val="20"/>
                <w:szCs w:val="20"/>
              </w:rPr>
            </w:pPr>
            <w:r w:rsidRPr="00F87419">
              <w:rPr>
                <w:rFonts w:ascii="Arial" w:hAnsi="Arial" w:cs="Arial"/>
                <w:sz w:val="20"/>
                <w:szCs w:val="20"/>
              </w:rPr>
              <w:t>Community Legal Centres Australia</w:t>
            </w:r>
          </w:p>
        </w:tc>
        <w:tc>
          <w:tcPr>
            <w:tcW w:w="1685" w:type="dxa"/>
            <w:tcBorders>
              <w:top w:val="single" w:sz="12" w:space="0" w:color="auto"/>
              <w:left w:val="single" w:sz="2" w:space="0" w:color="auto"/>
              <w:bottom w:val="single" w:sz="12" w:space="0" w:color="auto"/>
              <w:right w:val="single" w:sz="12" w:space="0" w:color="auto"/>
            </w:tcBorders>
          </w:tcPr>
          <w:p w14:paraId="0B41CA78" w14:textId="76E75774" w:rsidR="00D953CD" w:rsidRPr="00F87419" w:rsidRDefault="00D953CD" w:rsidP="00EB29BE">
            <w:pPr>
              <w:tabs>
                <w:tab w:val="left" w:pos="1128"/>
              </w:tabs>
              <w:spacing w:before="60" w:after="60" w:line="240" w:lineRule="auto"/>
              <w:rPr>
                <w:rFonts w:ascii="Arial" w:hAnsi="Arial" w:cs="Arial"/>
                <w:sz w:val="20"/>
                <w:szCs w:val="20"/>
              </w:rPr>
            </w:pPr>
            <w:r>
              <w:rPr>
                <w:rFonts w:ascii="Arial" w:hAnsi="Arial" w:cs="Arial"/>
                <w:sz w:val="20"/>
                <w:szCs w:val="20"/>
              </w:rPr>
              <w:t>67 757 001 303</w:t>
            </w:r>
          </w:p>
        </w:tc>
      </w:tr>
      <w:tr w:rsidR="00F87419" w:rsidRPr="00F87419" w14:paraId="409FB17D" w14:textId="76011C15" w:rsidTr="006F0249">
        <w:tc>
          <w:tcPr>
            <w:tcW w:w="1545" w:type="dxa"/>
            <w:vMerge w:val="restart"/>
            <w:tcBorders>
              <w:top w:val="single" w:sz="12" w:space="0" w:color="auto"/>
              <w:left w:val="single" w:sz="12" w:space="0" w:color="auto"/>
              <w:bottom w:val="single" w:sz="12" w:space="0" w:color="auto"/>
            </w:tcBorders>
            <w:vAlign w:val="center"/>
          </w:tcPr>
          <w:p w14:paraId="2BC774A6" w14:textId="7B4E0B56"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Members of National Legal Aid</w:t>
            </w:r>
          </w:p>
        </w:tc>
        <w:tc>
          <w:tcPr>
            <w:tcW w:w="5528" w:type="dxa"/>
            <w:tcBorders>
              <w:top w:val="single" w:sz="12" w:space="0" w:color="auto"/>
            </w:tcBorders>
            <w:shd w:val="clear" w:color="auto" w:fill="auto"/>
          </w:tcPr>
          <w:p w14:paraId="5A52A1C2" w14:textId="25A0FAEF"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Legal Aid ACT</w:t>
            </w:r>
          </w:p>
        </w:tc>
        <w:tc>
          <w:tcPr>
            <w:tcW w:w="1685" w:type="dxa"/>
            <w:tcBorders>
              <w:top w:val="single" w:sz="12" w:space="0" w:color="auto"/>
              <w:right w:val="single" w:sz="12" w:space="0" w:color="auto"/>
            </w:tcBorders>
          </w:tcPr>
          <w:p w14:paraId="239F3E34" w14:textId="4711B923"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40 848 011 291</w:t>
            </w:r>
          </w:p>
        </w:tc>
      </w:tr>
      <w:tr w:rsidR="00F87419" w:rsidRPr="00F87419" w14:paraId="52460AB1" w14:textId="2F220C03" w:rsidTr="006F0249">
        <w:tc>
          <w:tcPr>
            <w:tcW w:w="1545" w:type="dxa"/>
            <w:vMerge/>
            <w:tcBorders>
              <w:top w:val="single" w:sz="12" w:space="0" w:color="auto"/>
              <w:left w:val="single" w:sz="12" w:space="0" w:color="auto"/>
              <w:bottom w:val="single" w:sz="12" w:space="0" w:color="auto"/>
            </w:tcBorders>
            <w:vAlign w:val="center"/>
          </w:tcPr>
          <w:p w14:paraId="39E6AE0D" w14:textId="77777777" w:rsidR="00F87419" w:rsidRPr="00F87419" w:rsidRDefault="00F87419" w:rsidP="00F87419">
            <w:pPr>
              <w:spacing w:before="60" w:after="60" w:line="240" w:lineRule="auto"/>
              <w:rPr>
                <w:rFonts w:ascii="Arial" w:hAnsi="Arial" w:cs="Arial"/>
                <w:sz w:val="20"/>
                <w:szCs w:val="20"/>
              </w:rPr>
            </w:pPr>
          </w:p>
        </w:tc>
        <w:tc>
          <w:tcPr>
            <w:tcW w:w="5528" w:type="dxa"/>
            <w:shd w:val="clear" w:color="auto" w:fill="auto"/>
          </w:tcPr>
          <w:p w14:paraId="4968EC24" w14:textId="1DD2C545"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Tasmania Legal Aid</w:t>
            </w:r>
          </w:p>
        </w:tc>
        <w:tc>
          <w:tcPr>
            <w:tcW w:w="1685" w:type="dxa"/>
            <w:tcBorders>
              <w:right w:val="single" w:sz="12" w:space="0" w:color="auto"/>
            </w:tcBorders>
          </w:tcPr>
          <w:p w14:paraId="48338EA1" w14:textId="13926FC9"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70 223 103 968</w:t>
            </w:r>
          </w:p>
        </w:tc>
      </w:tr>
      <w:tr w:rsidR="00F87419" w:rsidRPr="00F87419" w14:paraId="797A22F1" w14:textId="7CF39186" w:rsidTr="006F0249">
        <w:tc>
          <w:tcPr>
            <w:tcW w:w="1545" w:type="dxa"/>
            <w:vMerge/>
            <w:tcBorders>
              <w:top w:val="single" w:sz="12" w:space="0" w:color="auto"/>
              <w:left w:val="single" w:sz="12" w:space="0" w:color="auto"/>
              <w:bottom w:val="single" w:sz="12" w:space="0" w:color="auto"/>
            </w:tcBorders>
            <w:vAlign w:val="center"/>
          </w:tcPr>
          <w:p w14:paraId="365F7701" w14:textId="77777777" w:rsidR="00F87419" w:rsidRPr="00F87419" w:rsidRDefault="00F87419" w:rsidP="00F87419">
            <w:pPr>
              <w:spacing w:before="60" w:after="60" w:line="240" w:lineRule="auto"/>
              <w:rPr>
                <w:rFonts w:ascii="Arial" w:hAnsi="Arial" w:cs="Arial"/>
                <w:sz w:val="20"/>
                <w:szCs w:val="20"/>
              </w:rPr>
            </w:pPr>
          </w:p>
        </w:tc>
        <w:tc>
          <w:tcPr>
            <w:tcW w:w="5528" w:type="dxa"/>
            <w:shd w:val="clear" w:color="auto" w:fill="auto"/>
          </w:tcPr>
          <w:p w14:paraId="041B5ECD" w14:textId="61AFF539"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Legal Aid New South Wales</w:t>
            </w:r>
          </w:p>
        </w:tc>
        <w:tc>
          <w:tcPr>
            <w:tcW w:w="1685" w:type="dxa"/>
            <w:tcBorders>
              <w:right w:val="single" w:sz="12" w:space="0" w:color="auto"/>
            </w:tcBorders>
          </w:tcPr>
          <w:p w14:paraId="2722B61F" w14:textId="222EC188"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81 173 463 438</w:t>
            </w:r>
          </w:p>
        </w:tc>
      </w:tr>
      <w:tr w:rsidR="00F87419" w:rsidRPr="00F87419" w14:paraId="73365828" w14:textId="79B18139" w:rsidTr="006F0249">
        <w:tc>
          <w:tcPr>
            <w:tcW w:w="1545" w:type="dxa"/>
            <w:vMerge/>
            <w:tcBorders>
              <w:top w:val="single" w:sz="12" w:space="0" w:color="auto"/>
              <w:left w:val="single" w:sz="12" w:space="0" w:color="auto"/>
              <w:bottom w:val="single" w:sz="12" w:space="0" w:color="auto"/>
            </w:tcBorders>
            <w:vAlign w:val="center"/>
          </w:tcPr>
          <w:p w14:paraId="523E0452" w14:textId="77777777" w:rsidR="00F87419" w:rsidRPr="00F87419" w:rsidRDefault="00F87419" w:rsidP="00F87419">
            <w:pPr>
              <w:spacing w:before="60" w:after="60" w:line="240" w:lineRule="auto"/>
              <w:rPr>
                <w:rFonts w:ascii="Arial" w:hAnsi="Arial" w:cs="Arial"/>
                <w:sz w:val="20"/>
                <w:szCs w:val="20"/>
              </w:rPr>
            </w:pPr>
          </w:p>
        </w:tc>
        <w:tc>
          <w:tcPr>
            <w:tcW w:w="5528" w:type="dxa"/>
            <w:shd w:val="clear" w:color="auto" w:fill="auto"/>
          </w:tcPr>
          <w:p w14:paraId="462628F6" w14:textId="07653F67"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Legal Aid Queensland</w:t>
            </w:r>
          </w:p>
        </w:tc>
        <w:tc>
          <w:tcPr>
            <w:tcW w:w="1685" w:type="dxa"/>
            <w:tcBorders>
              <w:right w:val="single" w:sz="12" w:space="0" w:color="auto"/>
            </w:tcBorders>
          </w:tcPr>
          <w:p w14:paraId="29B7703A" w14:textId="087EADE8"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69 062 423 924</w:t>
            </w:r>
          </w:p>
        </w:tc>
      </w:tr>
      <w:tr w:rsidR="00F87419" w:rsidRPr="00F87419" w14:paraId="167AC4D0" w14:textId="7D59391C" w:rsidTr="006F0249">
        <w:tc>
          <w:tcPr>
            <w:tcW w:w="1545" w:type="dxa"/>
            <w:vMerge/>
            <w:tcBorders>
              <w:top w:val="single" w:sz="12" w:space="0" w:color="auto"/>
              <w:left w:val="single" w:sz="12" w:space="0" w:color="auto"/>
              <w:bottom w:val="single" w:sz="12" w:space="0" w:color="auto"/>
            </w:tcBorders>
            <w:vAlign w:val="center"/>
          </w:tcPr>
          <w:p w14:paraId="05F58EF9" w14:textId="77777777" w:rsidR="00F87419" w:rsidRPr="00F87419" w:rsidRDefault="00F87419" w:rsidP="00F87419">
            <w:pPr>
              <w:spacing w:before="60" w:after="60" w:line="240" w:lineRule="auto"/>
              <w:rPr>
                <w:rFonts w:ascii="Arial" w:hAnsi="Arial" w:cs="Arial"/>
                <w:sz w:val="20"/>
                <w:szCs w:val="20"/>
              </w:rPr>
            </w:pPr>
          </w:p>
        </w:tc>
        <w:tc>
          <w:tcPr>
            <w:tcW w:w="5528" w:type="dxa"/>
            <w:shd w:val="clear" w:color="auto" w:fill="auto"/>
          </w:tcPr>
          <w:p w14:paraId="04FE3175" w14:textId="331754D7"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 xml:space="preserve">Legal Aid </w:t>
            </w:r>
            <w:r w:rsidR="00791E3D" w:rsidRPr="00791E3D">
              <w:rPr>
                <w:rFonts w:ascii="Arial" w:hAnsi="Arial" w:cs="Arial"/>
                <w:sz w:val="20"/>
                <w:szCs w:val="20"/>
              </w:rPr>
              <w:t xml:space="preserve">Commission of </w:t>
            </w:r>
            <w:r w:rsidRPr="00F87419">
              <w:rPr>
                <w:rFonts w:ascii="Arial" w:hAnsi="Arial" w:cs="Arial"/>
                <w:sz w:val="20"/>
                <w:szCs w:val="20"/>
              </w:rPr>
              <w:t>Western Australia</w:t>
            </w:r>
          </w:p>
        </w:tc>
        <w:tc>
          <w:tcPr>
            <w:tcW w:w="1685" w:type="dxa"/>
            <w:tcBorders>
              <w:right w:val="single" w:sz="12" w:space="0" w:color="auto"/>
            </w:tcBorders>
          </w:tcPr>
          <w:p w14:paraId="62F0D16B" w14:textId="38B28DAA"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96 166 412 580</w:t>
            </w:r>
          </w:p>
        </w:tc>
      </w:tr>
      <w:tr w:rsidR="00F87419" w:rsidRPr="00F87419" w14:paraId="1F9CB303" w14:textId="4B9EE597" w:rsidTr="006F0249">
        <w:tc>
          <w:tcPr>
            <w:tcW w:w="1545" w:type="dxa"/>
            <w:vMerge/>
            <w:tcBorders>
              <w:top w:val="single" w:sz="12" w:space="0" w:color="auto"/>
              <w:left w:val="single" w:sz="12" w:space="0" w:color="auto"/>
              <w:bottom w:val="single" w:sz="12" w:space="0" w:color="auto"/>
            </w:tcBorders>
            <w:vAlign w:val="center"/>
          </w:tcPr>
          <w:p w14:paraId="554496E8" w14:textId="77777777" w:rsidR="00F87419" w:rsidRPr="00F87419" w:rsidRDefault="00F87419" w:rsidP="00F87419">
            <w:pPr>
              <w:spacing w:before="60" w:after="60" w:line="240" w:lineRule="auto"/>
              <w:rPr>
                <w:rFonts w:ascii="Arial" w:hAnsi="Arial" w:cs="Arial"/>
                <w:sz w:val="20"/>
                <w:szCs w:val="20"/>
              </w:rPr>
            </w:pPr>
          </w:p>
        </w:tc>
        <w:tc>
          <w:tcPr>
            <w:tcW w:w="5528" w:type="dxa"/>
            <w:shd w:val="clear" w:color="auto" w:fill="auto"/>
          </w:tcPr>
          <w:p w14:paraId="3F50B809" w14:textId="387AACD1"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Legal Services Commission of South Australia</w:t>
            </w:r>
          </w:p>
        </w:tc>
        <w:tc>
          <w:tcPr>
            <w:tcW w:w="1685" w:type="dxa"/>
            <w:tcBorders>
              <w:right w:val="single" w:sz="12" w:space="0" w:color="auto"/>
            </w:tcBorders>
          </w:tcPr>
          <w:p w14:paraId="29DAA507" w14:textId="060B8312"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90 731 571 498</w:t>
            </w:r>
          </w:p>
        </w:tc>
      </w:tr>
      <w:tr w:rsidR="00F87419" w:rsidRPr="00F87419" w14:paraId="42267D71" w14:textId="43F9C8D9" w:rsidTr="006F0249">
        <w:tc>
          <w:tcPr>
            <w:tcW w:w="1545" w:type="dxa"/>
            <w:vMerge/>
            <w:tcBorders>
              <w:top w:val="single" w:sz="12" w:space="0" w:color="auto"/>
              <w:left w:val="single" w:sz="12" w:space="0" w:color="auto"/>
              <w:bottom w:val="single" w:sz="12" w:space="0" w:color="auto"/>
            </w:tcBorders>
            <w:vAlign w:val="center"/>
          </w:tcPr>
          <w:p w14:paraId="0BF0E85E" w14:textId="77777777" w:rsidR="00F87419" w:rsidRPr="00F87419" w:rsidRDefault="00F87419" w:rsidP="00F87419">
            <w:pPr>
              <w:spacing w:before="60" w:after="60" w:line="240" w:lineRule="auto"/>
              <w:rPr>
                <w:rFonts w:ascii="Arial" w:hAnsi="Arial" w:cs="Arial"/>
                <w:sz w:val="20"/>
                <w:szCs w:val="20"/>
              </w:rPr>
            </w:pPr>
          </w:p>
        </w:tc>
        <w:tc>
          <w:tcPr>
            <w:tcW w:w="5528" w:type="dxa"/>
            <w:tcBorders>
              <w:bottom w:val="single" w:sz="4" w:space="0" w:color="auto"/>
            </w:tcBorders>
            <w:shd w:val="clear" w:color="auto" w:fill="auto"/>
          </w:tcPr>
          <w:p w14:paraId="76BACCB5" w14:textId="435E18F9"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Northern Territory Legal Aid Commission</w:t>
            </w:r>
          </w:p>
        </w:tc>
        <w:tc>
          <w:tcPr>
            <w:tcW w:w="1685" w:type="dxa"/>
            <w:tcBorders>
              <w:bottom w:val="single" w:sz="4" w:space="0" w:color="auto"/>
              <w:right w:val="single" w:sz="12" w:space="0" w:color="auto"/>
            </w:tcBorders>
          </w:tcPr>
          <w:p w14:paraId="609AF55C" w14:textId="4F7EB553"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74 014 891 677</w:t>
            </w:r>
          </w:p>
        </w:tc>
      </w:tr>
      <w:tr w:rsidR="00F87419" w:rsidRPr="00F87419" w14:paraId="32B5F19B" w14:textId="33C3C408" w:rsidTr="006F0249">
        <w:tc>
          <w:tcPr>
            <w:tcW w:w="1545" w:type="dxa"/>
            <w:vMerge/>
            <w:tcBorders>
              <w:top w:val="single" w:sz="12" w:space="0" w:color="auto"/>
              <w:left w:val="single" w:sz="12" w:space="0" w:color="auto"/>
              <w:bottom w:val="single" w:sz="12" w:space="0" w:color="auto"/>
            </w:tcBorders>
            <w:vAlign w:val="center"/>
          </w:tcPr>
          <w:p w14:paraId="4403D7B1" w14:textId="77777777" w:rsidR="00F87419" w:rsidRPr="00F87419" w:rsidRDefault="00F87419" w:rsidP="00F87419">
            <w:pPr>
              <w:spacing w:before="60" w:after="60" w:line="240" w:lineRule="auto"/>
              <w:rPr>
                <w:rFonts w:ascii="Arial" w:hAnsi="Arial" w:cs="Arial"/>
                <w:sz w:val="20"/>
                <w:szCs w:val="20"/>
              </w:rPr>
            </w:pPr>
          </w:p>
        </w:tc>
        <w:tc>
          <w:tcPr>
            <w:tcW w:w="5528" w:type="dxa"/>
            <w:tcBorders>
              <w:bottom w:val="single" w:sz="12" w:space="0" w:color="auto"/>
            </w:tcBorders>
            <w:shd w:val="clear" w:color="auto" w:fill="auto"/>
          </w:tcPr>
          <w:p w14:paraId="527FD992" w14:textId="340F24CF"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Victoria Legal Aid</w:t>
            </w:r>
          </w:p>
        </w:tc>
        <w:tc>
          <w:tcPr>
            <w:tcW w:w="1685" w:type="dxa"/>
            <w:tcBorders>
              <w:bottom w:val="single" w:sz="12" w:space="0" w:color="auto"/>
              <w:right w:val="single" w:sz="12" w:space="0" w:color="auto"/>
            </w:tcBorders>
          </w:tcPr>
          <w:p w14:paraId="7844392D" w14:textId="24451E00"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42 335 622 126</w:t>
            </w:r>
          </w:p>
        </w:tc>
      </w:tr>
      <w:tr w:rsidR="00F87419" w:rsidRPr="00F87419" w14:paraId="49341DBA" w14:textId="6C525E1E" w:rsidTr="006F0249">
        <w:tc>
          <w:tcPr>
            <w:tcW w:w="1545" w:type="dxa"/>
            <w:vMerge w:val="restart"/>
            <w:tcBorders>
              <w:top w:val="single" w:sz="12" w:space="0" w:color="auto"/>
              <w:left w:val="single" w:sz="12" w:space="0" w:color="auto"/>
              <w:bottom w:val="single" w:sz="12" w:space="0" w:color="auto"/>
            </w:tcBorders>
            <w:vAlign w:val="center"/>
          </w:tcPr>
          <w:p w14:paraId="736DC7A1" w14:textId="78676B0E"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Members of National Aboriginal and Torres Strait Islander Legal Service</w:t>
            </w:r>
          </w:p>
        </w:tc>
        <w:tc>
          <w:tcPr>
            <w:tcW w:w="5528" w:type="dxa"/>
            <w:tcBorders>
              <w:top w:val="single" w:sz="12" w:space="0" w:color="auto"/>
            </w:tcBorders>
            <w:shd w:val="clear" w:color="auto" w:fill="auto"/>
          </w:tcPr>
          <w:p w14:paraId="367481C6" w14:textId="62766782"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Aboriginal and Torres Strait Islander Legal Service (Qld) Ltd</w:t>
            </w:r>
          </w:p>
        </w:tc>
        <w:tc>
          <w:tcPr>
            <w:tcW w:w="1685" w:type="dxa"/>
            <w:tcBorders>
              <w:top w:val="single" w:sz="12" w:space="0" w:color="auto"/>
              <w:right w:val="single" w:sz="12" w:space="0" w:color="auto"/>
            </w:tcBorders>
          </w:tcPr>
          <w:p w14:paraId="2EF19EF5" w14:textId="0B5E4A33"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11 116 314 562</w:t>
            </w:r>
          </w:p>
        </w:tc>
      </w:tr>
      <w:tr w:rsidR="00F87419" w:rsidRPr="00F87419" w14:paraId="48E1BCB1" w14:textId="066BF2CD" w:rsidTr="006F0249">
        <w:tc>
          <w:tcPr>
            <w:tcW w:w="1545" w:type="dxa"/>
            <w:vMerge/>
            <w:tcBorders>
              <w:top w:val="single" w:sz="12" w:space="0" w:color="auto"/>
              <w:left w:val="single" w:sz="12" w:space="0" w:color="auto"/>
              <w:bottom w:val="single" w:sz="12" w:space="0" w:color="auto"/>
            </w:tcBorders>
          </w:tcPr>
          <w:p w14:paraId="2143AE41" w14:textId="77777777" w:rsidR="00F87419" w:rsidRPr="00F87419" w:rsidRDefault="00F87419" w:rsidP="00F87419">
            <w:pPr>
              <w:spacing w:before="60" w:after="60" w:line="240" w:lineRule="auto"/>
              <w:rPr>
                <w:rFonts w:ascii="Arial" w:hAnsi="Arial" w:cs="Arial"/>
                <w:sz w:val="20"/>
                <w:szCs w:val="20"/>
              </w:rPr>
            </w:pPr>
          </w:p>
        </w:tc>
        <w:tc>
          <w:tcPr>
            <w:tcW w:w="5528" w:type="dxa"/>
            <w:shd w:val="clear" w:color="auto" w:fill="auto"/>
          </w:tcPr>
          <w:p w14:paraId="086CFF1C" w14:textId="559070C9"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Aboriginal Legal Service (NSW/ACT) Limited</w:t>
            </w:r>
          </w:p>
        </w:tc>
        <w:tc>
          <w:tcPr>
            <w:tcW w:w="1685" w:type="dxa"/>
            <w:tcBorders>
              <w:right w:val="single" w:sz="12" w:space="0" w:color="auto"/>
            </w:tcBorders>
          </w:tcPr>
          <w:p w14:paraId="764E551F" w14:textId="35B216B2"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93 118 431 066</w:t>
            </w:r>
          </w:p>
        </w:tc>
      </w:tr>
      <w:tr w:rsidR="00F87419" w:rsidRPr="00F87419" w14:paraId="320AC203" w14:textId="36247E5F" w:rsidTr="006F0249">
        <w:tc>
          <w:tcPr>
            <w:tcW w:w="1545" w:type="dxa"/>
            <w:vMerge/>
            <w:tcBorders>
              <w:top w:val="single" w:sz="12" w:space="0" w:color="auto"/>
              <w:left w:val="single" w:sz="12" w:space="0" w:color="auto"/>
              <w:bottom w:val="single" w:sz="12" w:space="0" w:color="auto"/>
            </w:tcBorders>
          </w:tcPr>
          <w:p w14:paraId="339055BD" w14:textId="77777777" w:rsidR="00F87419" w:rsidRPr="00F87419" w:rsidRDefault="00F87419" w:rsidP="00F87419">
            <w:pPr>
              <w:spacing w:before="60" w:after="60" w:line="240" w:lineRule="auto"/>
              <w:rPr>
                <w:rFonts w:ascii="Arial" w:hAnsi="Arial" w:cs="Arial"/>
                <w:sz w:val="20"/>
                <w:szCs w:val="20"/>
              </w:rPr>
            </w:pPr>
          </w:p>
        </w:tc>
        <w:tc>
          <w:tcPr>
            <w:tcW w:w="5528" w:type="dxa"/>
            <w:shd w:val="clear" w:color="auto" w:fill="auto"/>
          </w:tcPr>
          <w:p w14:paraId="36C54B37" w14:textId="3C80C848"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North Australian Aboriginal Justice Agency</w:t>
            </w:r>
          </w:p>
        </w:tc>
        <w:tc>
          <w:tcPr>
            <w:tcW w:w="1685" w:type="dxa"/>
            <w:tcBorders>
              <w:right w:val="single" w:sz="12" w:space="0" w:color="auto"/>
            </w:tcBorders>
          </w:tcPr>
          <w:p w14:paraId="3110E2F2" w14:textId="2765C668"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63 118 017 842</w:t>
            </w:r>
          </w:p>
        </w:tc>
      </w:tr>
      <w:tr w:rsidR="00F87419" w:rsidRPr="00F87419" w14:paraId="2C353B41" w14:textId="6FDF2EFC" w:rsidTr="006F0249">
        <w:tc>
          <w:tcPr>
            <w:tcW w:w="1545" w:type="dxa"/>
            <w:vMerge/>
            <w:tcBorders>
              <w:top w:val="single" w:sz="12" w:space="0" w:color="auto"/>
              <w:left w:val="single" w:sz="12" w:space="0" w:color="auto"/>
              <w:bottom w:val="single" w:sz="12" w:space="0" w:color="auto"/>
            </w:tcBorders>
          </w:tcPr>
          <w:p w14:paraId="083E40E1" w14:textId="77777777" w:rsidR="00F87419" w:rsidRPr="00F87419" w:rsidRDefault="00F87419" w:rsidP="00F87419">
            <w:pPr>
              <w:spacing w:before="60" w:after="60" w:line="240" w:lineRule="auto"/>
              <w:rPr>
                <w:rFonts w:ascii="Arial" w:hAnsi="Arial" w:cs="Arial"/>
                <w:sz w:val="20"/>
                <w:szCs w:val="20"/>
              </w:rPr>
            </w:pPr>
          </w:p>
        </w:tc>
        <w:tc>
          <w:tcPr>
            <w:tcW w:w="5528" w:type="dxa"/>
            <w:shd w:val="clear" w:color="auto" w:fill="auto"/>
          </w:tcPr>
          <w:p w14:paraId="34F8D932" w14:textId="4335F67F"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Aboriginal Legal Service of Western Australia</w:t>
            </w:r>
          </w:p>
        </w:tc>
        <w:tc>
          <w:tcPr>
            <w:tcW w:w="1685" w:type="dxa"/>
            <w:tcBorders>
              <w:right w:val="single" w:sz="12" w:space="0" w:color="auto"/>
            </w:tcBorders>
          </w:tcPr>
          <w:p w14:paraId="601A67EA" w14:textId="1279F57C"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61 532 930 441</w:t>
            </w:r>
          </w:p>
        </w:tc>
      </w:tr>
      <w:tr w:rsidR="00F87419" w:rsidRPr="00F87419" w14:paraId="67F0F2AE" w14:textId="70116B46" w:rsidTr="006F0249">
        <w:tc>
          <w:tcPr>
            <w:tcW w:w="1545" w:type="dxa"/>
            <w:vMerge/>
            <w:tcBorders>
              <w:top w:val="single" w:sz="12" w:space="0" w:color="auto"/>
              <w:left w:val="single" w:sz="12" w:space="0" w:color="auto"/>
              <w:bottom w:val="single" w:sz="12" w:space="0" w:color="auto"/>
            </w:tcBorders>
          </w:tcPr>
          <w:p w14:paraId="0CC350DB" w14:textId="77777777" w:rsidR="00F87419" w:rsidRPr="00F87419" w:rsidRDefault="00F87419" w:rsidP="00F87419">
            <w:pPr>
              <w:spacing w:before="60" w:after="60" w:line="240" w:lineRule="auto"/>
              <w:rPr>
                <w:rFonts w:ascii="Arial" w:hAnsi="Arial" w:cs="Arial"/>
                <w:sz w:val="20"/>
                <w:szCs w:val="20"/>
              </w:rPr>
            </w:pPr>
          </w:p>
        </w:tc>
        <w:tc>
          <w:tcPr>
            <w:tcW w:w="5528" w:type="dxa"/>
            <w:shd w:val="clear" w:color="auto" w:fill="auto"/>
          </w:tcPr>
          <w:p w14:paraId="28306BC6" w14:textId="574BA9F0"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Aboriginal Legal Rights Movement, South Australia</w:t>
            </w:r>
          </w:p>
        </w:tc>
        <w:tc>
          <w:tcPr>
            <w:tcW w:w="1685" w:type="dxa"/>
            <w:tcBorders>
              <w:right w:val="single" w:sz="12" w:space="0" w:color="auto"/>
            </w:tcBorders>
          </w:tcPr>
          <w:p w14:paraId="674D5284" w14:textId="1DDB8462"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32 942 723 464</w:t>
            </w:r>
          </w:p>
        </w:tc>
      </w:tr>
      <w:tr w:rsidR="00F87419" w:rsidRPr="00F87419" w14:paraId="6398A100" w14:textId="1C6375FC" w:rsidTr="006F0249">
        <w:tc>
          <w:tcPr>
            <w:tcW w:w="1545" w:type="dxa"/>
            <w:vMerge/>
            <w:tcBorders>
              <w:top w:val="single" w:sz="12" w:space="0" w:color="auto"/>
              <w:left w:val="single" w:sz="12" w:space="0" w:color="auto"/>
              <w:bottom w:val="single" w:sz="12" w:space="0" w:color="auto"/>
            </w:tcBorders>
          </w:tcPr>
          <w:p w14:paraId="22AE383B" w14:textId="77777777" w:rsidR="00F87419" w:rsidRPr="00F87419" w:rsidRDefault="00F87419" w:rsidP="00F87419">
            <w:pPr>
              <w:spacing w:before="60" w:after="60" w:line="240" w:lineRule="auto"/>
              <w:rPr>
                <w:rFonts w:ascii="Arial" w:hAnsi="Arial" w:cs="Arial"/>
                <w:sz w:val="20"/>
                <w:szCs w:val="20"/>
              </w:rPr>
            </w:pPr>
          </w:p>
        </w:tc>
        <w:tc>
          <w:tcPr>
            <w:tcW w:w="5528" w:type="dxa"/>
            <w:tcBorders>
              <w:bottom w:val="single" w:sz="4" w:space="0" w:color="auto"/>
            </w:tcBorders>
            <w:shd w:val="clear" w:color="auto" w:fill="auto"/>
          </w:tcPr>
          <w:p w14:paraId="6216C3BC" w14:textId="3C018DEB"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Victorian Aboriginal Legal Service</w:t>
            </w:r>
          </w:p>
        </w:tc>
        <w:tc>
          <w:tcPr>
            <w:tcW w:w="1685" w:type="dxa"/>
            <w:tcBorders>
              <w:bottom w:val="single" w:sz="4" w:space="0" w:color="auto"/>
              <w:right w:val="single" w:sz="12" w:space="0" w:color="auto"/>
            </w:tcBorders>
          </w:tcPr>
          <w:p w14:paraId="2EB20AD5" w14:textId="4E426301"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45 926 675 900</w:t>
            </w:r>
          </w:p>
        </w:tc>
      </w:tr>
      <w:tr w:rsidR="00F87419" w:rsidRPr="00F87419" w14:paraId="661BADBD" w14:textId="7F564F63" w:rsidTr="006F0249">
        <w:tc>
          <w:tcPr>
            <w:tcW w:w="1545" w:type="dxa"/>
            <w:vMerge/>
            <w:tcBorders>
              <w:top w:val="single" w:sz="12" w:space="0" w:color="auto"/>
              <w:left w:val="single" w:sz="12" w:space="0" w:color="auto"/>
              <w:bottom w:val="single" w:sz="12" w:space="0" w:color="auto"/>
            </w:tcBorders>
          </w:tcPr>
          <w:p w14:paraId="47BD6983" w14:textId="77777777" w:rsidR="00F87419" w:rsidRPr="00F87419" w:rsidRDefault="00F87419" w:rsidP="00F87419">
            <w:pPr>
              <w:spacing w:before="60" w:after="60" w:line="240" w:lineRule="auto"/>
              <w:rPr>
                <w:rFonts w:ascii="Arial" w:hAnsi="Arial" w:cs="Arial"/>
                <w:sz w:val="20"/>
                <w:szCs w:val="20"/>
              </w:rPr>
            </w:pPr>
          </w:p>
        </w:tc>
        <w:tc>
          <w:tcPr>
            <w:tcW w:w="5528" w:type="dxa"/>
            <w:tcBorders>
              <w:bottom w:val="single" w:sz="12" w:space="0" w:color="auto"/>
            </w:tcBorders>
            <w:shd w:val="clear" w:color="auto" w:fill="auto"/>
          </w:tcPr>
          <w:p w14:paraId="074CBF4B" w14:textId="10AFEA55" w:rsidR="00F87419" w:rsidRPr="00F87419" w:rsidRDefault="00F87419" w:rsidP="00F87419">
            <w:pPr>
              <w:spacing w:before="60" w:after="60" w:line="240" w:lineRule="auto"/>
              <w:rPr>
                <w:rFonts w:ascii="Arial" w:hAnsi="Arial" w:cs="Arial"/>
                <w:sz w:val="20"/>
                <w:szCs w:val="20"/>
              </w:rPr>
            </w:pPr>
            <w:r w:rsidRPr="00F87419">
              <w:rPr>
                <w:rFonts w:ascii="Arial" w:hAnsi="Arial" w:cs="Arial"/>
                <w:sz w:val="20"/>
                <w:szCs w:val="20"/>
              </w:rPr>
              <w:t>Tasmanian Aboriginal Legal Service</w:t>
            </w:r>
          </w:p>
        </w:tc>
        <w:tc>
          <w:tcPr>
            <w:tcW w:w="1685" w:type="dxa"/>
            <w:tcBorders>
              <w:bottom w:val="single" w:sz="12" w:space="0" w:color="auto"/>
              <w:right w:val="single" w:sz="12" w:space="0" w:color="auto"/>
            </w:tcBorders>
          </w:tcPr>
          <w:p w14:paraId="2D308A25" w14:textId="2A16F62C" w:rsidR="00F87419" w:rsidRPr="00F87419" w:rsidRDefault="00791E3D" w:rsidP="00F87419">
            <w:pPr>
              <w:spacing w:before="60" w:after="60" w:line="240" w:lineRule="auto"/>
              <w:rPr>
                <w:rFonts w:ascii="Arial" w:hAnsi="Arial" w:cs="Arial"/>
                <w:sz w:val="20"/>
                <w:szCs w:val="20"/>
              </w:rPr>
            </w:pPr>
            <w:r>
              <w:rPr>
                <w:rFonts w:ascii="Arial" w:hAnsi="Arial" w:cs="Arial"/>
                <w:sz w:val="20"/>
                <w:szCs w:val="20"/>
              </w:rPr>
              <w:t>84 832 275 866</w:t>
            </w:r>
          </w:p>
        </w:tc>
      </w:tr>
    </w:tbl>
    <w:p w14:paraId="03CFE58A" w14:textId="5CA05239" w:rsidR="00BE2F53" w:rsidRPr="00AA68DD" w:rsidRDefault="00BE2F53" w:rsidP="00AA68DD">
      <w:pPr>
        <w:pStyle w:val="ListBullet"/>
        <w:spacing w:after="120"/>
        <w:rPr>
          <w:rStyle w:val="highlightedtextChar"/>
          <w:rFonts w:ascii="Arial" w:eastAsia="Times New Roman" w:hAnsi="Arial" w:cs="Times New Roman"/>
          <w:b w:val="0"/>
          <w:iCs w:val="0"/>
          <w:color w:val="auto"/>
          <w:sz w:val="20"/>
          <w:szCs w:val="20"/>
        </w:rPr>
      </w:pPr>
      <w:r>
        <w:lastRenderedPageBreak/>
        <w:t>Applications from consortia are acceptable, as long as you have a lead applicant who is solely accountable to the Commonwealth for the delivery of grant activities and is an eligible entity as per the list above</w:t>
      </w:r>
      <w:r>
        <w:rPr>
          <w:rStyle w:val="FootnoteReference"/>
        </w:rPr>
        <w:footnoteReference w:id="2"/>
      </w:r>
      <w:r w:rsidR="00576B3C">
        <w:t>.</w:t>
      </w:r>
      <w:r>
        <w:t xml:space="preserve"> </w:t>
      </w:r>
      <w:r>
        <w:rPr>
          <w:iCs w:val="0"/>
        </w:rPr>
        <w:t>Eligible or</w:t>
      </w:r>
      <w:r w:rsidR="006F0249">
        <w:rPr>
          <w:iCs w:val="0"/>
        </w:rPr>
        <w:t>ganisations can form consortia</w:t>
      </w:r>
      <w:r>
        <w:rPr>
          <w:iCs w:val="0"/>
        </w:rPr>
        <w:t xml:space="preserve"> with ineligible organisations.</w:t>
      </w:r>
      <w:bookmarkStart w:id="23" w:name="_Toc529276511"/>
      <w:bookmarkStart w:id="24" w:name="_Toc529276512"/>
      <w:bookmarkStart w:id="25" w:name="_Toc529276513"/>
      <w:bookmarkStart w:id="26" w:name="_Toc529276514"/>
      <w:bookmarkStart w:id="27" w:name="_Toc529276515"/>
      <w:bookmarkStart w:id="28" w:name="_Toc529276516"/>
      <w:bookmarkStart w:id="29" w:name="_Toc529276517"/>
      <w:bookmarkStart w:id="30" w:name="_Toc529276518"/>
      <w:bookmarkEnd w:id="23"/>
      <w:bookmarkEnd w:id="24"/>
      <w:bookmarkEnd w:id="25"/>
      <w:bookmarkEnd w:id="26"/>
      <w:bookmarkEnd w:id="27"/>
      <w:bookmarkEnd w:id="28"/>
      <w:bookmarkEnd w:id="29"/>
      <w:bookmarkEnd w:id="30"/>
    </w:p>
    <w:p w14:paraId="59A597DA" w14:textId="77777777" w:rsidR="00BE2F53" w:rsidRDefault="00BE2F53" w:rsidP="00010429">
      <w:pPr>
        <w:pStyle w:val="Heading3"/>
      </w:pPr>
      <w:bookmarkStart w:id="31" w:name="_Toc494290495"/>
      <w:bookmarkStart w:id="32" w:name="_Toc74904755"/>
      <w:bookmarkEnd w:id="31"/>
      <w:r>
        <w:t>Who is not eligible to apply for a grant?</w:t>
      </w:r>
      <w:bookmarkEnd w:id="32"/>
    </w:p>
    <w:p w14:paraId="5F28288F" w14:textId="4ACD7A7A" w:rsidR="00BE2F53" w:rsidRDefault="00BE2F53" w:rsidP="00BE2F53">
      <w:pPr>
        <w:pStyle w:val="ListBullet"/>
      </w:pPr>
      <w:r w:rsidRPr="004F1605">
        <w:t xml:space="preserve">You are not eligible to apply for this grant opportunity if you have not received an invitation </w:t>
      </w:r>
      <w:r>
        <w:t>to apply through GrantC</w:t>
      </w:r>
      <w:r w:rsidRPr="004F1605">
        <w:t>onnect and ar</w:t>
      </w:r>
      <w:r>
        <w:t>e</w:t>
      </w:r>
      <w:r w:rsidRPr="004F1605">
        <w:t xml:space="preserve"> not listed as an eligible </w:t>
      </w:r>
      <w:r>
        <w:t xml:space="preserve">invited </w:t>
      </w:r>
      <w:r w:rsidRPr="004F1605">
        <w:t xml:space="preserve">organisation </w:t>
      </w:r>
      <w:r w:rsidR="00EE456A">
        <w:t>in</w:t>
      </w:r>
      <w:r w:rsidRPr="004F1605">
        <w:t xml:space="preserve"> </w:t>
      </w:r>
      <w:r w:rsidR="00EE456A">
        <w:t>s</w:t>
      </w:r>
      <w:r w:rsidRPr="004F1605">
        <w:t xml:space="preserve">ection </w:t>
      </w:r>
      <w:r w:rsidR="0045296C">
        <w:t>4.1.</w:t>
      </w:r>
    </w:p>
    <w:p w14:paraId="47E07A61" w14:textId="53794805" w:rsidR="00AA68DD" w:rsidRDefault="00AA68DD" w:rsidP="00AA68DD">
      <w:r w:rsidRPr="00A668C8">
        <w:t xml:space="preserve">You are </w:t>
      </w:r>
      <w:r>
        <w:t xml:space="preserve">also </w:t>
      </w:r>
      <w:r w:rsidRPr="00A668C8">
        <w:t>not eligible to apply if you are</w:t>
      </w:r>
      <w:r>
        <w:t xml:space="preserve"> an </w:t>
      </w:r>
      <w:r w:rsidRPr="0074006B">
        <w:t xml:space="preserve">organisation, or your project partner is an organisation, included on the </w:t>
      </w:r>
      <w:hyperlink r:id="rId21" w:history="1">
        <w:r w:rsidRPr="0074006B">
          <w:rPr>
            <w:rStyle w:val="Hyperlink"/>
          </w:rPr>
          <w:t>National Redress Scheme’s website</w:t>
        </w:r>
      </w:hyperlink>
      <w:r w:rsidRPr="0074006B">
        <w:t xml:space="preserve"> on the list of ‘Institutions that have not joined or signified their intent to join the Scheme’</w:t>
      </w:r>
      <w:r>
        <w:t>.</w:t>
      </w:r>
    </w:p>
    <w:p w14:paraId="22A8DE54" w14:textId="77777777" w:rsidR="00BE2F53" w:rsidRDefault="00BE2F53" w:rsidP="00010429">
      <w:pPr>
        <w:pStyle w:val="Heading3"/>
      </w:pPr>
      <w:bookmarkStart w:id="33" w:name="_Toc74904756"/>
      <w:r>
        <w:t>What qualifications, skills or checks are required?</w:t>
      </w:r>
      <w:bookmarkEnd w:id="33"/>
      <w:r>
        <w:t xml:space="preserve"> </w:t>
      </w:r>
    </w:p>
    <w:p w14:paraId="2121E1E2" w14:textId="1D6A85B2" w:rsidR="00BE2F53" w:rsidRPr="00A815E0" w:rsidRDefault="003C139A" w:rsidP="00BE2F53">
      <w:bookmarkStart w:id="34" w:name="_Toc164844264"/>
      <w:bookmarkStart w:id="35" w:name="_Toc383003257"/>
      <w:r w:rsidRPr="00EB29BE">
        <w:rPr>
          <w:rStyle w:val="highlightedtextChar"/>
          <w:rFonts w:ascii="Arial" w:hAnsi="Arial" w:cs="Arial"/>
          <w:b w:val="0"/>
          <w:color w:val="auto"/>
          <w:sz w:val="20"/>
          <w:szCs w:val="20"/>
        </w:rPr>
        <w:t>If</w:t>
      </w:r>
      <w:r w:rsidR="00BE2F53" w:rsidRPr="003C139A">
        <w:t xml:space="preserve"> you are successful, </w:t>
      </w:r>
      <w:r w:rsidR="00BE2F53" w:rsidRPr="00EB29BE">
        <w:t>all relevant</w:t>
      </w:r>
      <w:r w:rsidR="00BE2F53" w:rsidRPr="003C139A">
        <w:t xml:space="preserve"> personnel </w:t>
      </w:r>
      <w:r w:rsidR="00BE2F53" w:rsidRPr="003C139A">
        <w:rPr>
          <w:rFonts w:cs="Arial"/>
        </w:rPr>
        <w:t xml:space="preserve">working on the </w:t>
      </w:r>
      <w:r w:rsidR="00BE2F53" w:rsidRPr="00EB29BE">
        <w:rPr>
          <w:rFonts w:cs="Arial"/>
        </w:rPr>
        <w:t xml:space="preserve">grant activity </w:t>
      </w:r>
      <w:r w:rsidR="00BE2F53" w:rsidRPr="003C139A">
        <w:rPr>
          <w:rFonts w:cs="Arial"/>
        </w:rPr>
        <w:t xml:space="preserve">must </w:t>
      </w:r>
      <w:r w:rsidR="00BE2F53" w:rsidRPr="00A815E0">
        <w:rPr>
          <w:rFonts w:cs="Arial"/>
        </w:rPr>
        <w:t xml:space="preserve">maintain </w:t>
      </w:r>
      <w:r w:rsidR="00DB184D">
        <w:rPr>
          <w:rFonts w:cs="Arial"/>
        </w:rPr>
        <w:t>a</w:t>
      </w:r>
      <w:r>
        <w:rPr>
          <w:rStyle w:val="highlightedtextChar"/>
          <w:rFonts w:ascii="Arial" w:hAnsi="Arial" w:cs="Arial"/>
          <w:b w:val="0"/>
          <w:color w:val="0070C0"/>
          <w:sz w:val="20"/>
          <w:szCs w:val="20"/>
        </w:rPr>
        <w:t>:</w:t>
      </w:r>
    </w:p>
    <w:p w14:paraId="79DD04B4" w14:textId="77777777" w:rsidR="00C57248" w:rsidRPr="006F0249" w:rsidRDefault="00C57248" w:rsidP="006F0249">
      <w:pPr>
        <w:pStyle w:val="ListBullet"/>
        <w:numPr>
          <w:ilvl w:val="0"/>
          <w:numId w:val="28"/>
        </w:numPr>
        <w:rPr>
          <w:rStyle w:val="highlightedtextChar"/>
          <w:rFonts w:ascii="Arial" w:hAnsi="Arial" w:cs="Arial"/>
          <w:b w:val="0"/>
          <w:color w:val="auto"/>
          <w:sz w:val="20"/>
          <w:szCs w:val="20"/>
        </w:rPr>
      </w:pPr>
      <w:r w:rsidRPr="006F0249">
        <w:rPr>
          <w:rStyle w:val="highlightedtextChar"/>
          <w:rFonts w:ascii="Arial" w:hAnsi="Arial" w:cs="Arial"/>
          <w:b w:val="0"/>
          <w:color w:val="auto"/>
          <w:sz w:val="20"/>
          <w:szCs w:val="20"/>
        </w:rPr>
        <w:t>Working with Vulnerable People registration</w:t>
      </w:r>
    </w:p>
    <w:p w14:paraId="61FB2339" w14:textId="77777777" w:rsidR="00C57248" w:rsidRPr="006F0249" w:rsidRDefault="00C57248" w:rsidP="006F0249">
      <w:pPr>
        <w:pStyle w:val="ListBullet"/>
        <w:numPr>
          <w:ilvl w:val="0"/>
          <w:numId w:val="28"/>
        </w:numPr>
        <w:rPr>
          <w:rStyle w:val="highlightedtextChar"/>
          <w:rFonts w:ascii="Arial" w:hAnsi="Arial" w:cs="Arial"/>
          <w:b w:val="0"/>
          <w:color w:val="auto"/>
          <w:sz w:val="20"/>
          <w:szCs w:val="20"/>
        </w:rPr>
      </w:pPr>
      <w:r w:rsidRPr="006F0249">
        <w:rPr>
          <w:rStyle w:val="highlightedtextChar"/>
          <w:rFonts w:ascii="Arial" w:hAnsi="Arial" w:cs="Arial"/>
          <w:b w:val="0"/>
          <w:color w:val="auto"/>
          <w:sz w:val="20"/>
          <w:szCs w:val="20"/>
        </w:rPr>
        <w:t>Working with Children Check</w:t>
      </w:r>
    </w:p>
    <w:p w14:paraId="25B46720" w14:textId="06E21600" w:rsidR="003C139A" w:rsidRPr="006F0249" w:rsidRDefault="008F7E1C" w:rsidP="006F0249">
      <w:pPr>
        <w:pStyle w:val="ListBullet"/>
        <w:numPr>
          <w:ilvl w:val="0"/>
          <w:numId w:val="28"/>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c</w:t>
      </w:r>
      <w:r w:rsidR="003C139A" w:rsidRPr="006F0249">
        <w:rPr>
          <w:rStyle w:val="highlightedtextChar"/>
          <w:rFonts w:ascii="Arial" w:hAnsi="Arial" w:cs="Arial"/>
          <w:b w:val="0"/>
          <w:color w:val="auto"/>
          <w:sz w:val="20"/>
          <w:szCs w:val="20"/>
        </w:rPr>
        <w:t>urrent legal practitioner certificate with the relevant state/territory legal practitioner board</w:t>
      </w:r>
      <w:r w:rsidR="00FB18F3" w:rsidRPr="006F0249">
        <w:rPr>
          <w:rStyle w:val="highlightedtextChar"/>
          <w:rFonts w:ascii="Arial" w:hAnsi="Arial" w:cs="Arial"/>
          <w:b w:val="0"/>
          <w:color w:val="auto"/>
          <w:sz w:val="20"/>
          <w:szCs w:val="20"/>
        </w:rPr>
        <w:t>.</w:t>
      </w:r>
    </w:p>
    <w:p w14:paraId="41AAAE9D" w14:textId="1EEB541E" w:rsidR="00BE2F53" w:rsidRDefault="003C139A" w:rsidP="00010429">
      <w:pPr>
        <w:pStyle w:val="Heading2"/>
      </w:pPr>
      <w:r w:rsidRPr="00834959" w:rsidDel="00446E9A">
        <w:t xml:space="preserve"> </w:t>
      </w:r>
      <w:bookmarkStart w:id="36" w:name="_Toc74904757"/>
      <w:bookmarkEnd w:id="34"/>
      <w:bookmarkEnd w:id="35"/>
      <w:r w:rsidR="00BE2F53">
        <w:t>What the grant money can be used for</w:t>
      </w:r>
      <w:bookmarkEnd w:id="36"/>
    </w:p>
    <w:p w14:paraId="4BF995C0" w14:textId="77777777" w:rsidR="00BE2F53" w:rsidRDefault="00BE2F53" w:rsidP="00010429">
      <w:pPr>
        <w:pStyle w:val="Heading3"/>
      </w:pPr>
      <w:bookmarkStart w:id="37" w:name="_Toc11318230"/>
      <w:bookmarkStart w:id="38" w:name="_Toc11318231"/>
      <w:bookmarkStart w:id="39" w:name="_Toc74904758"/>
      <w:bookmarkEnd w:id="37"/>
      <w:bookmarkEnd w:id="38"/>
      <w:r w:rsidRPr="005E1F31">
        <w:t xml:space="preserve">Eligible </w:t>
      </w:r>
      <w:r>
        <w:t>g</w:t>
      </w:r>
      <w:r w:rsidRPr="005E1F31">
        <w:t xml:space="preserve">rant </w:t>
      </w:r>
      <w:r>
        <w:t>a</w:t>
      </w:r>
      <w:r w:rsidRPr="005E1F31">
        <w:t>ctivities</w:t>
      </w:r>
      <w:bookmarkEnd w:id="39"/>
    </w:p>
    <w:p w14:paraId="0DF181E2" w14:textId="3165497A" w:rsidR="00BE2F53" w:rsidRPr="001A1945" w:rsidRDefault="00BE2F53" w:rsidP="002E037E">
      <w:bookmarkStart w:id="40" w:name="_Ref468355814"/>
      <w:bookmarkStart w:id="41" w:name="_Toc383003258"/>
      <w:bookmarkStart w:id="42" w:name="_Toc164844265"/>
      <w:r w:rsidRPr="007E508E">
        <w:rPr>
          <w:rFonts w:cs="Arial"/>
        </w:rPr>
        <w:t>To be eligible</w:t>
      </w:r>
      <w:r w:rsidR="00DB184D">
        <w:rPr>
          <w:rFonts w:cs="Arial"/>
        </w:rPr>
        <w:t xml:space="preserve">, </w:t>
      </w:r>
      <w:r w:rsidR="00DB184D">
        <w:t>y</w:t>
      </w:r>
      <w:r w:rsidR="00143A9A" w:rsidRPr="001A1945">
        <w:t>our grant activity must c</w:t>
      </w:r>
      <w:r w:rsidR="00F9058B" w:rsidRPr="001A1945">
        <w:t>reate and operate a trauma-informed national legal advice service to support the objectives of the Royal Commission.</w:t>
      </w:r>
    </w:p>
    <w:p w14:paraId="265DBFDF" w14:textId="555ADC63" w:rsidR="001A1945" w:rsidRDefault="00F9058B" w:rsidP="001A1945">
      <w:pPr>
        <w:pStyle w:val="ListBullet"/>
        <w:numPr>
          <w:ilvl w:val="0"/>
          <w:numId w:val="7"/>
        </w:numPr>
        <w:spacing w:after="120"/>
        <w:ind w:left="360"/>
      </w:pPr>
      <w:r w:rsidRPr="001A1945">
        <w:t>The service will provide:</w:t>
      </w:r>
    </w:p>
    <w:p w14:paraId="01D9E8B9" w14:textId="533E613A" w:rsidR="00013A23" w:rsidRDefault="00D55875" w:rsidP="00013A23">
      <w:pPr>
        <w:pStyle w:val="ListBullet"/>
        <w:numPr>
          <w:ilvl w:val="1"/>
          <w:numId w:val="7"/>
        </w:numPr>
        <w:spacing w:after="120"/>
        <w:ind w:left="851"/>
      </w:pPr>
      <w:r w:rsidRPr="00013A23">
        <w:rPr>
          <w:rFonts w:cs="Arial"/>
        </w:rPr>
        <w:t>f</w:t>
      </w:r>
      <w:r w:rsidR="00F9058B" w:rsidRPr="00013A23">
        <w:rPr>
          <w:rFonts w:cs="Arial"/>
        </w:rPr>
        <w:t>ree legal advice, information and referral to be provided through a national telephone advice line, a website and face-to-face services in key locations (including</w:t>
      </w:r>
      <w:r w:rsidR="0061226B">
        <w:rPr>
          <w:rFonts w:cs="Arial"/>
        </w:rPr>
        <w:t xml:space="preserve"> where the Royal Commission will be located</w:t>
      </w:r>
      <w:r w:rsidR="0045296C" w:rsidRPr="00013A23">
        <w:rPr>
          <w:rFonts w:cs="Arial"/>
        </w:rPr>
        <w:t xml:space="preserve"> and</w:t>
      </w:r>
      <w:r w:rsidR="00F9058B" w:rsidRPr="00013A23">
        <w:rPr>
          <w:rFonts w:cs="Arial"/>
        </w:rPr>
        <w:t xml:space="preserve"> regional areas where there are ADF personnel)</w:t>
      </w:r>
    </w:p>
    <w:p w14:paraId="5F0C7DA1" w14:textId="77777777" w:rsidR="00013A23" w:rsidRDefault="00D55875" w:rsidP="00013A23">
      <w:pPr>
        <w:pStyle w:val="ListBullet"/>
        <w:numPr>
          <w:ilvl w:val="1"/>
          <w:numId w:val="7"/>
        </w:numPr>
        <w:spacing w:after="120"/>
        <w:ind w:left="851"/>
      </w:pPr>
      <w:r w:rsidRPr="00013A23">
        <w:rPr>
          <w:rFonts w:cs="Arial"/>
        </w:rPr>
        <w:t>c</w:t>
      </w:r>
      <w:r w:rsidR="007E508E" w:rsidRPr="00013A23">
        <w:rPr>
          <w:rFonts w:cs="Arial"/>
        </w:rPr>
        <w:t>ommunity outreach and liaison</w:t>
      </w:r>
    </w:p>
    <w:p w14:paraId="6B742CAE" w14:textId="67A6B84A" w:rsidR="007E508E" w:rsidRPr="001A1945" w:rsidRDefault="00D55875" w:rsidP="00013A23">
      <w:pPr>
        <w:pStyle w:val="ListBullet"/>
        <w:numPr>
          <w:ilvl w:val="1"/>
          <w:numId w:val="7"/>
        </w:numPr>
        <w:spacing w:after="120"/>
        <w:ind w:left="851"/>
      </w:pPr>
      <w:r w:rsidRPr="00013A23">
        <w:rPr>
          <w:rFonts w:cs="Arial"/>
        </w:rPr>
        <w:t>c</w:t>
      </w:r>
      <w:r w:rsidR="007E508E" w:rsidRPr="00013A23">
        <w:rPr>
          <w:rFonts w:cs="Arial"/>
        </w:rPr>
        <w:t>ommunity information and education sessions</w:t>
      </w:r>
      <w:r w:rsidR="002E037E">
        <w:rPr>
          <w:rFonts w:cs="Arial"/>
        </w:rPr>
        <w:t>.</w:t>
      </w:r>
    </w:p>
    <w:p w14:paraId="0C70561B" w14:textId="41D74E39" w:rsidR="007E508E" w:rsidRPr="001A1945" w:rsidRDefault="007E508E" w:rsidP="001A1945">
      <w:pPr>
        <w:pStyle w:val="ListBullet"/>
        <w:numPr>
          <w:ilvl w:val="0"/>
          <w:numId w:val="7"/>
        </w:numPr>
        <w:spacing w:after="120"/>
        <w:ind w:left="360"/>
        <w:rPr>
          <w:rFonts w:cs="Arial"/>
        </w:rPr>
      </w:pPr>
      <w:r w:rsidRPr="001A1945">
        <w:rPr>
          <w:rFonts w:cs="Arial"/>
        </w:rPr>
        <w:t xml:space="preserve">The service </w:t>
      </w:r>
      <w:r w:rsidR="00D310B6">
        <w:rPr>
          <w:rFonts w:cs="Arial"/>
        </w:rPr>
        <w:t>must</w:t>
      </w:r>
      <w:r w:rsidR="00D310B6" w:rsidRPr="001A1945">
        <w:rPr>
          <w:rFonts w:cs="Arial"/>
        </w:rPr>
        <w:t xml:space="preserve"> </w:t>
      </w:r>
      <w:r w:rsidRPr="001A1945">
        <w:rPr>
          <w:rFonts w:cs="Arial"/>
        </w:rPr>
        <w:t>consist of:</w:t>
      </w:r>
    </w:p>
    <w:p w14:paraId="59E69D1A" w14:textId="511DC2E0" w:rsidR="007E508E" w:rsidRPr="00791E3D" w:rsidRDefault="00D55875" w:rsidP="00B745B3">
      <w:pPr>
        <w:pStyle w:val="ListBullet"/>
        <w:numPr>
          <w:ilvl w:val="1"/>
          <w:numId w:val="7"/>
        </w:numPr>
        <w:spacing w:after="120"/>
        <w:ind w:left="851"/>
        <w:rPr>
          <w:rFonts w:cs="Arial"/>
        </w:rPr>
      </w:pPr>
      <w:r w:rsidRPr="00791E3D">
        <w:rPr>
          <w:rFonts w:cs="Arial"/>
        </w:rPr>
        <w:t>a</w:t>
      </w:r>
      <w:r w:rsidR="007E508E" w:rsidRPr="00791E3D">
        <w:rPr>
          <w:rFonts w:cs="Arial"/>
        </w:rPr>
        <w:t>ppropriately qualified legal and support staff</w:t>
      </w:r>
    </w:p>
    <w:p w14:paraId="2252A870" w14:textId="77777777" w:rsidR="00B745B3" w:rsidRDefault="00D55875" w:rsidP="00B745B3">
      <w:pPr>
        <w:pStyle w:val="ListBullet"/>
        <w:numPr>
          <w:ilvl w:val="1"/>
          <w:numId w:val="7"/>
        </w:numPr>
        <w:spacing w:after="120"/>
        <w:ind w:left="851"/>
        <w:rPr>
          <w:rFonts w:cs="Arial"/>
        </w:rPr>
      </w:pPr>
      <w:r w:rsidRPr="00791E3D">
        <w:rPr>
          <w:rFonts w:cs="Arial"/>
        </w:rPr>
        <w:t>s</w:t>
      </w:r>
      <w:r w:rsidR="007E508E" w:rsidRPr="00791E3D">
        <w:rPr>
          <w:rFonts w:cs="Arial"/>
        </w:rPr>
        <w:t>pecialist staff for Aboriginal and Torres Strait Islander clients</w:t>
      </w:r>
    </w:p>
    <w:p w14:paraId="4B75AD00" w14:textId="02F99E49" w:rsidR="007E508E" w:rsidRPr="00B745B3" w:rsidRDefault="00D55875" w:rsidP="00B745B3">
      <w:pPr>
        <w:pStyle w:val="ListBullet"/>
        <w:numPr>
          <w:ilvl w:val="1"/>
          <w:numId w:val="7"/>
        </w:numPr>
        <w:spacing w:after="120"/>
        <w:ind w:left="851"/>
        <w:rPr>
          <w:rFonts w:cs="Arial"/>
        </w:rPr>
      </w:pPr>
      <w:r>
        <w:t>s</w:t>
      </w:r>
      <w:r w:rsidR="007E508E">
        <w:t xml:space="preserve">pecialist staff trained and experienced in dealing with </w:t>
      </w:r>
      <w:r w:rsidR="008661DB">
        <w:t>trauma and mental health</w:t>
      </w:r>
      <w:r w:rsidR="0045296C">
        <w:t>.</w:t>
      </w:r>
      <w:r w:rsidR="007E508E">
        <w:t xml:space="preserve"> </w:t>
      </w:r>
    </w:p>
    <w:p w14:paraId="37D872D2" w14:textId="77777777" w:rsidR="00060218" w:rsidRDefault="00060218">
      <w:pPr>
        <w:spacing w:before="0" w:after="0" w:line="240" w:lineRule="auto"/>
        <w:rPr>
          <w:rFonts w:cs="Arial"/>
          <w:iCs/>
        </w:rPr>
      </w:pPr>
      <w:r>
        <w:rPr>
          <w:rFonts w:cs="Arial"/>
        </w:rPr>
        <w:br w:type="page"/>
      </w:r>
    </w:p>
    <w:p w14:paraId="51256ACF" w14:textId="05E4DBFF" w:rsidR="007E508E" w:rsidRPr="001A1945" w:rsidRDefault="007E508E" w:rsidP="001A1945">
      <w:pPr>
        <w:pStyle w:val="ListBullet"/>
        <w:numPr>
          <w:ilvl w:val="0"/>
          <w:numId w:val="7"/>
        </w:numPr>
        <w:spacing w:after="120"/>
        <w:ind w:left="360"/>
        <w:rPr>
          <w:rFonts w:cs="Arial"/>
        </w:rPr>
      </w:pPr>
      <w:r w:rsidRPr="001A1945">
        <w:rPr>
          <w:rFonts w:cs="Arial"/>
        </w:rPr>
        <w:lastRenderedPageBreak/>
        <w:t>The service must develop a close working relationship with key stakeholders and establish referral pathways with:</w:t>
      </w:r>
    </w:p>
    <w:p w14:paraId="5240CDCC" w14:textId="3F26B57F" w:rsidR="007E508E" w:rsidRPr="00791E3D" w:rsidRDefault="00D55875" w:rsidP="00B745B3">
      <w:pPr>
        <w:pStyle w:val="ListBullet"/>
        <w:numPr>
          <w:ilvl w:val="1"/>
          <w:numId w:val="7"/>
        </w:numPr>
        <w:spacing w:after="120"/>
        <w:ind w:left="851"/>
        <w:rPr>
          <w:rFonts w:cs="Arial"/>
        </w:rPr>
      </w:pPr>
      <w:r w:rsidRPr="00791E3D">
        <w:rPr>
          <w:rFonts w:cs="Arial"/>
        </w:rPr>
        <w:t>t</w:t>
      </w:r>
      <w:r w:rsidR="007E508E" w:rsidRPr="00791E3D">
        <w:rPr>
          <w:rFonts w:cs="Arial"/>
        </w:rPr>
        <w:t xml:space="preserve">he Royal Commission </w:t>
      </w:r>
    </w:p>
    <w:p w14:paraId="0B69E0DB" w14:textId="53CFE176" w:rsidR="007E508E" w:rsidRPr="00791E3D" w:rsidRDefault="0045296C" w:rsidP="00B745B3">
      <w:pPr>
        <w:pStyle w:val="ListBullet"/>
        <w:numPr>
          <w:ilvl w:val="1"/>
          <w:numId w:val="7"/>
        </w:numPr>
        <w:spacing w:after="120"/>
        <w:ind w:left="851"/>
        <w:rPr>
          <w:rFonts w:cs="Arial"/>
        </w:rPr>
      </w:pPr>
      <w:r w:rsidRPr="00791E3D">
        <w:rPr>
          <w:rFonts w:cs="Arial"/>
        </w:rPr>
        <w:t>relevant support services</w:t>
      </w:r>
      <w:r w:rsidR="007E508E" w:rsidRPr="00791E3D">
        <w:rPr>
          <w:rFonts w:cs="Arial"/>
        </w:rPr>
        <w:t xml:space="preserve"> </w:t>
      </w:r>
      <w:r w:rsidR="006F0249" w:rsidRPr="00791E3D">
        <w:rPr>
          <w:rFonts w:cs="Arial"/>
        </w:rPr>
        <w:t>(for example,</w:t>
      </w:r>
      <w:r w:rsidR="007E508E" w:rsidRPr="00791E3D">
        <w:rPr>
          <w:rFonts w:cs="Arial"/>
        </w:rPr>
        <w:t xml:space="preserve"> counselling services for ADF </w:t>
      </w:r>
      <w:r w:rsidRPr="00791E3D">
        <w:rPr>
          <w:rFonts w:cs="Arial"/>
        </w:rPr>
        <w:t>personnel and v</w:t>
      </w:r>
      <w:r w:rsidR="003C139A" w:rsidRPr="00791E3D">
        <w:rPr>
          <w:rFonts w:cs="Arial"/>
        </w:rPr>
        <w:t>eterans</w:t>
      </w:r>
      <w:r w:rsidR="006F0249" w:rsidRPr="00791E3D">
        <w:rPr>
          <w:rFonts w:cs="Arial"/>
        </w:rPr>
        <w:t>)</w:t>
      </w:r>
    </w:p>
    <w:p w14:paraId="37BB767E" w14:textId="5768E556" w:rsidR="007E508E" w:rsidRPr="00791E3D" w:rsidRDefault="007E508E" w:rsidP="00B745B3">
      <w:pPr>
        <w:pStyle w:val="ListBullet"/>
        <w:numPr>
          <w:ilvl w:val="1"/>
          <w:numId w:val="7"/>
        </w:numPr>
        <w:spacing w:after="120"/>
        <w:ind w:left="851"/>
        <w:rPr>
          <w:rFonts w:cs="Arial"/>
        </w:rPr>
      </w:pPr>
      <w:r w:rsidRPr="00791E3D">
        <w:rPr>
          <w:rFonts w:cs="Arial"/>
        </w:rPr>
        <w:t>the department</w:t>
      </w:r>
      <w:r w:rsidR="006F0249" w:rsidRPr="00791E3D">
        <w:rPr>
          <w:rFonts w:cs="Arial"/>
        </w:rPr>
        <w:t>.</w:t>
      </w:r>
    </w:p>
    <w:p w14:paraId="43645AFC" w14:textId="1893E980" w:rsidR="007E508E" w:rsidRPr="001A1945" w:rsidRDefault="007E508E" w:rsidP="001A1945">
      <w:pPr>
        <w:pStyle w:val="ListBullet"/>
        <w:numPr>
          <w:ilvl w:val="0"/>
          <w:numId w:val="7"/>
        </w:numPr>
        <w:spacing w:after="120"/>
        <w:ind w:left="360"/>
        <w:rPr>
          <w:rFonts w:cs="Arial"/>
        </w:rPr>
      </w:pPr>
      <w:r w:rsidRPr="001A1945">
        <w:rPr>
          <w:rFonts w:cs="Arial"/>
        </w:rPr>
        <w:t>The service is to be governed under an existing governance structure and/or a specialist board appointed for the activity</w:t>
      </w:r>
      <w:r w:rsidR="007F783C" w:rsidRPr="001A1945">
        <w:rPr>
          <w:rFonts w:cs="Arial"/>
        </w:rPr>
        <w:t>.</w:t>
      </w:r>
    </w:p>
    <w:p w14:paraId="5FD76CFD" w14:textId="5C04CAC8" w:rsidR="00BE2F53" w:rsidRDefault="00BE2F53" w:rsidP="00010429">
      <w:pPr>
        <w:pStyle w:val="Heading3"/>
      </w:pPr>
      <w:bookmarkStart w:id="43" w:name="_Toc506537727"/>
      <w:bookmarkStart w:id="44" w:name="_Toc506537728"/>
      <w:bookmarkStart w:id="45" w:name="_Toc506537729"/>
      <w:bookmarkStart w:id="46" w:name="_Toc506537730"/>
      <w:bookmarkStart w:id="47" w:name="_Toc506537731"/>
      <w:bookmarkStart w:id="48" w:name="_Toc506537732"/>
      <w:bookmarkStart w:id="49" w:name="_Toc506537733"/>
      <w:bookmarkStart w:id="50" w:name="_Toc506537734"/>
      <w:bookmarkStart w:id="51" w:name="_Toc506537735"/>
      <w:bookmarkStart w:id="52" w:name="_Toc506537736"/>
      <w:bookmarkStart w:id="53" w:name="_Toc506537737"/>
      <w:bookmarkStart w:id="54" w:name="_Toc506537738"/>
      <w:bookmarkStart w:id="55" w:name="_Toc506537739"/>
      <w:bookmarkStart w:id="56" w:name="_Toc506537740"/>
      <w:bookmarkStart w:id="57" w:name="_Toc506537741"/>
      <w:bookmarkStart w:id="58" w:name="_Toc506537742"/>
      <w:bookmarkStart w:id="59" w:name="_Toc7490475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Eligible locations</w:t>
      </w:r>
      <w:bookmarkEnd w:id="59"/>
      <w:r>
        <w:t xml:space="preserve"> </w:t>
      </w:r>
    </w:p>
    <w:p w14:paraId="0F945454" w14:textId="38ADD4E3" w:rsidR="00E074CF" w:rsidRDefault="00E074CF" w:rsidP="00BE2F53">
      <w:r>
        <w:t xml:space="preserve">Your grant </w:t>
      </w:r>
      <w:r w:rsidR="00060218">
        <w:t>activity must provide Australia</w:t>
      </w:r>
      <w:r w:rsidR="00DB184D">
        <w:t>-</w:t>
      </w:r>
      <w:r>
        <w:t xml:space="preserve">wide delivery of a legal advice service to individuals seeking to engage with the Royal Commission. </w:t>
      </w:r>
    </w:p>
    <w:p w14:paraId="32DB0CFF" w14:textId="22958590" w:rsidR="00E074CF" w:rsidRPr="00EB29BE" w:rsidRDefault="00E074CF" w:rsidP="00BE2F53">
      <w:r>
        <w:t xml:space="preserve">An ongoing presence is </w:t>
      </w:r>
      <w:r w:rsidR="00A45497">
        <w:t>required</w:t>
      </w:r>
      <w:r>
        <w:t xml:space="preserve"> where the Royal Commission is based and in reg</w:t>
      </w:r>
      <w:r w:rsidR="00A45497">
        <w:t>io</w:t>
      </w:r>
      <w:r>
        <w:t xml:space="preserve">nal areas where there is </w:t>
      </w:r>
      <w:r w:rsidR="0045296C">
        <w:t>a</w:t>
      </w:r>
      <w:r w:rsidR="00904CB3">
        <w:t xml:space="preserve"> large amount of</w:t>
      </w:r>
      <w:r>
        <w:t xml:space="preserve"> ADF personnel. </w:t>
      </w:r>
    </w:p>
    <w:p w14:paraId="52D1040E" w14:textId="77777777" w:rsidR="00BE2F53" w:rsidRDefault="00BE2F53" w:rsidP="00010429">
      <w:pPr>
        <w:pStyle w:val="Heading3"/>
      </w:pPr>
      <w:bookmarkStart w:id="60" w:name="_Toc74904760"/>
      <w:r>
        <w:t>Eligible expenditure</w:t>
      </w:r>
      <w:bookmarkEnd w:id="60"/>
      <w:r>
        <w:t xml:space="preserve"> </w:t>
      </w:r>
    </w:p>
    <w:p w14:paraId="37955DC9" w14:textId="3AB76623" w:rsidR="00BE2F53" w:rsidRDefault="00BE2F53" w:rsidP="00BE2F53">
      <w:r w:rsidRPr="00BB5D57">
        <w:t xml:space="preserve">You can only spend </w:t>
      </w:r>
      <w:r>
        <w:t xml:space="preserve">the </w:t>
      </w:r>
      <w:r w:rsidRPr="00BB5D57">
        <w:t xml:space="preserve">grant on eligible expenditure you have </w:t>
      </w:r>
      <w:r w:rsidRPr="00A45497">
        <w:t xml:space="preserve">incurred </w:t>
      </w:r>
      <w:r w:rsidRPr="00EB29BE">
        <w:t>on eligible grant activities</w:t>
      </w:r>
      <w:r w:rsidRPr="00BB5D57">
        <w:t>.</w:t>
      </w:r>
    </w:p>
    <w:p w14:paraId="783BB38B" w14:textId="2A835929" w:rsidR="00BE2F53" w:rsidRDefault="00BE2F53" w:rsidP="00BE2F53">
      <w:r>
        <w:t xml:space="preserve">Eligible expenditure items </w:t>
      </w:r>
      <w:r w:rsidR="007F783C">
        <w:t>include but are not limited to</w:t>
      </w:r>
      <w:r>
        <w:t>:</w:t>
      </w:r>
    </w:p>
    <w:p w14:paraId="5DC4B5BF" w14:textId="65492175" w:rsidR="00A45497" w:rsidRPr="001A1945" w:rsidRDefault="00D55875" w:rsidP="001A1945">
      <w:pPr>
        <w:pStyle w:val="ListBullet"/>
        <w:numPr>
          <w:ilvl w:val="0"/>
          <w:numId w:val="7"/>
        </w:numPr>
        <w:spacing w:after="120"/>
        <w:ind w:left="360"/>
        <w:rPr>
          <w:rFonts w:cs="Arial"/>
        </w:rPr>
      </w:pPr>
      <w:r w:rsidRPr="001A1945">
        <w:rPr>
          <w:rFonts w:cs="Arial"/>
        </w:rPr>
        <w:t>e</w:t>
      </w:r>
      <w:r w:rsidR="00A45497" w:rsidRPr="001A1945">
        <w:rPr>
          <w:rFonts w:cs="Arial"/>
        </w:rPr>
        <w:t>mployee salary and on-going costs that can be directly attributed to the provision of the grant activity</w:t>
      </w:r>
    </w:p>
    <w:p w14:paraId="26F0AC17" w14:textId="1B353C1C" w:rsidR="00A45497" w:rsidRPr="001A1945" w:rsidRDefault="00D55875" w:rsidP="001A1945">
      <w:pPr>
        <w:pStyle w:val="ListBullet"/>
        <w:numPr>
          <w:ilvl w:val="0"/>
          <w:numId w:val="7"/>
        </w:numPr>
        <w:spacing w:after="120"/>
        <w:ind w:left="360"/>
        <w:rPr>
          <w:rFonts w:cs="Arial"/>
        </w:rPr>
      </w:pPr>
      <w:r w:rsidRPr="001A1945">
        <w:rPr>
          <w:rFonts w:cs="Arial"/>
        </w:rPr>
        <w:t>e</w:t>
      </w:r>
      <w:r w:rsidR="00A45497" w:rsidRPr="001A1945">
        <w:rPr>
          <w:rFonts w:cs="Arial"/>
        </w:rPr>
        <w:t xml:space="preserve">mployee training specifically related to the delivery of the legal advisory service </w:t>
      </w:r>
    </w:p>
    <w:p w14:paraId="1FA78EE4" w14:textId="5FC985B3" w:rsidR="00A45497" w:rsidRPr="001A1945" w:rsidRDefault="00D55875" w:rsidP="001A1945">
      <w:pPr>
        <w:pStyle w:val="ListBullet"/>
        <w:numPr>
          <w:ilvl w:val="0"/>
          <w:numId w:val="7"/>
        </w:numPr>
        <w:spacing w:after="120"/>
        <w:ind w:left="360"/>
        <w:rPr>
          <w:rFonts w:cs="Arial"/>
        </w:rPr>
      </w:pPr>
      <w:r w:rsidRPr="001A1945">
        <w:rPr>
          <w:rFonts w:cs="Arial"/>
        </w:rPr>
        <w:t>c</w:t>
      </w:r>
      <w:r w:rsidR="00A45497" w:rsidRPr="001A1945">
        <w:rPr>
          <w:rFonts w:cs="Arial"/>
        </w:rPr>
        <w:t xml:space="preserve">ounselling services and/or vicarious trauma support services for employees </w:t>
      </w:r>
    </w:p>
    <w:p w14:paraId="56D98369" w14:textId="16D7194D" w:rsidR="00794A23" w:rsidRPr="001A1945" w:rsidRDefault="00D55875" w:rsidP="001A1945">
      <w:pPr>
        <w:pStyle w:val="ListBullet"/>
        <w:numPr>
          <w:ilvl w:val="0"/>
          <w:numId w:val="7"/>
        </w:numPr>
        <w:spacing w:after="120"/>
        <w:ind w:left="360"/>
        <w:rPr>
          <w:rFonts w:cs="Arial"/>
        </w:rPr>
      </w:pPr>
      <w:r w:rsidRPr="001A1945">
        <w:rPr>
          <w:rFonts w:cs="Arial"/>
        </w:rPr>
        <w:t>a</w:t>
      </w:r>
      <w:r w:rsidR="00A45497" w:rsidRPr="001A1945">
        <w:rPr>
          <w:rFonts w:cs="Arial"/>
        </w:rPr>
        <w:t>dministration expenses directly re</w:t>
      </w:r>
      <w:r w:rsidR="00794A23" w:rsidRPr="001A1945">
        <w:rPr>
          <w:rFonts w:cs="Arial"/>
        </w:rPr>
        <w:t>lated to the funded activity:</w:t>
      </w:r>
    </w:p>
    <w:p w14:paraId="2922CC44" w14:textId="71A7BC8C" w:rsidR="00794A23" w:rsidRPr="00791E3D" w:rsidRDefault="00D55875" w:rsidP="00B745B3">
      <w:pPr>
        <w:pStyle w:val="ListBullet"/>
        <w:numPr>
          <w:ilvl w:val="1"/>
          <w:numId w:val="7"/>
        </w:numPr>
        <w:spacing w:after="120"/>
        <w:ind w:left="851"/>
        <w:rPr>
          <w:rFonts w:cs="Arial"/>
        </w:rPr>
      </w:pPr>
      <w:r w:rsidRPr="00791E3D">
        <w:rPr>
          <w:rFonts w:cs="Arial"/>
        </w:rPr>
        <w:t>r</w:t>
      </w:r>
      <w:r w:rsidR="00794A23" w:rsidRPr="00791E3D">
        <w:rPr>
          <w:rFonts w:cs="Arial"/>
        </w:rPr>
        <w:t>ent and outgoings</w:t>
      </w:r>
    </w:p>
    <w:p w14:paraId="1CCFABEC" w14:textId="6DB4CE51" w:rsidR="00794A23" w:rsidRPr="00791E3D" w:rsidRDefault="00D55875" w:rsidP="00B745B3">
      <w:pPr>
        <w:pStyle w:val="ListBullet"/>
        <w:numPr>
          <w:ilvl w:val="1"/>
          <w:numId w:val="7"/>
        </w:numPr>
        <w:spacing w:after="120"/>
        <w:ind w:left="851"/>
        <w:rPr>
          <w:rFonts w:cs="Arial"/>
        </w:rPr>
      </w:pPr>
      <w:r w:rsidRPr="00791E3D">
        <w:rPr>
          <w:rFonts w:cs="Arial"/>
        </w:rPr>
        <w:t>c</w:t>
      </w:r>
      <w:r w:rsidR="00794A23" w:rsidRPr="00791E3D">
        <w:rPr>
          <w:rFonts w:cs="Arial"/>
        </w:rPr>
        <w:t>omputer/information</w:t>
      </w:r>
      <w:r w:rsidR="00060218">
        <w:rPr>
          <w:rFonts w:cs="Arial"/>
        </w:rPr>
        <w:t>/</w:t>
      </w:r>
      <w:r w:rsidR="00794A23" w:rsidRPr="00791E3D">
        <w:rPr>
          <w:rFonts w:cs="Arial"/>
        </w:rPr>
        <w:t>software</w:t>
      </w:r>
    </w:p>
    <w:p w14:paraId="32036806" w14:textId="74C583E6" w:rsidR="00794A23" w:rsidRPr="00791E3D" w:rsidRDefault="00D55875" w:rsidP="00B745B3">
      <w:pPr>
        <w:pStyle w:val="ListBullet"/>
        <w:numPr>
          <w:ilvl w:val="1"/>
          <w:numId w:val="7"/>
        </w:numPr>
        <w:spacing w:after="120"/>
        <w:ind w:left="851"/>
        <w:rPr>
          <w:rFonts w:cs="Arial"/>
        </w:rPr>
      </w:pPr>
      <w:r w:rsidRPr="00791E3D">
        <w:rPr>
          <w:rFonts w:cs="Arial"/>
        </w:rPr>
        <w:t>w</w:t>
      </w:r>
      <w:r w:rsidR="00794A23" w:rsidRPr="00791E3D">
        <w:rPr>
          <w:rFonts w:cs="Arial"/>
        </w:rPr>
        <w:t>ebpage costs</w:t>
      </w:r>
    </w:p>
    <w:p w14:paraId="7096D0E7" w14:textId="7E763363" w:rsidR="00794A23" w:rsidRPr="00791E3D" w:rsidRDefault="00D55875" w:rsidP="00B745B3">
      <w:pPr>
        <w:pStyle w:val="ListBullet"/>
        <w:numPr>
          <w:ilvl w:val="1"/>
          <w:numId w:val="7"/>
        </w:numPr>
        <w:spacing w:after="120"/>
        <w:ind w:left="851"/>
        <w:rPr>
          <w:rFonts w:cs="Arial"/>
        </w:rPr>
      </w:pPr>
      <w:r w:rsidRPr="00791E3D">
        <w:rPr>
          <w:rFonts w:cs="Arial"/>
        </w:rPr>
        <w:t>t</w:t>
      </w:r>
      <w:r w:rsidR="00794A23" w:rsidRPr="00791E3D">
        <w:rPr>
          <w:rFonts w:cs="Arial"/>
        </w:rPr>
        <w:t>elephones, including costs for information line</w:t>
      </w:r>
      <w:r w:rsidR="00060218">
        <w:rPr>
          <w:rFonts w:cs="Arial"/>
        </w:rPr>
        <w:t>/</w:t>
      </w:r>
      <w:r w:rsidR="00794A23" w:rsidRPr="00791E3D">
        <w:rPr>
          <w:rFonts w:cs="Arial"/>
        </w:rPr>
        <w:t>call centre</w:t>
      </w:r>
    </w:p>
    <w:p w14:paraId="716CA643" w14:textId="7FCD95A5" w:rsidR="00794A23" w:rsidRPr="00791E3D" w:rsidRDefault="00D55875" w:rsidP="00B745B3">
      <w:pPr>
        <w:pStyle w:val="ListBullet"/>
        <w:numPr>
          <w:ilvl w:val="1"/>
          <w:numId w:val="7"/>
        </w:numPr>
        <w:spacing w:after="120"/>
        <w:ind w:left="851"/>
        <w:rPr>
          <w:rFonts w:cs="Arial"/>
        </w:rPr>
      </w:pPr>
      <w:r w:rsidRPr="00791E3D">
        <w:rPr>
          <w:rFonts w:cs="Arial"/>
        </w:rPr>
        <w:t>i</w:t>
      </w:r>
      <w:r w:rsidR="00794A23" w:rsidRPr="00791E3D">
        <w:rPr>
          <w:rFonts w:cs="Arial"/>
        </w:rPr>
        <w:t>nsurance</w:t>
      </w:r>
    </w:p>
    <w:p w14:paraId="410F9DBB" w14:textId="5D159D72" w:rsidR="00794A23" w:rsidRPr="00791E3D" w:rsidRDefault="00D55875" w:rsidP="00B745B3">
      <w:pPr>
        <w:pStyle w:val="ListBullet"/>
        <w:numPr>
          <w:ilvl w:val="1"/>
          <w:numId w:val="7"/>
        </w:numPr>
        <w:spacing w:after="120"/>
        <w:ind w:left="851"/>
        <w:rPr>
          <w:rFonts w:cs="Arial"/>
        </w:rPr>
      </w:pPr>
      <w:r w:rsidRPr="00791E3D">
        <w:rPr>
          <w:rFonts w:cs="Arial"/>
        </w:rPr>
        <w:t>u</w:t>
      </w:r>
      <w:r w:rsidR="00794A23" w:rsidRPr="00791E3D">
        <w:rPr>
          <w:rFonts w:cs="Arial"/>
        </w:rPr>
        <w:t>tilities</w:t>
      </w:r>
    </w:p>
    <w:p w14:paraId="2724C502" w14:textId="13E18C55" w:rsidR="00794A23" w:rsidRPr="00791E3D" w:rsidRDefault="00D55875" w:rsidP="00B745B3">
      <w:pPr>
        <w:pStyle w:val="ListBullet"/>
        <w:numPr>
          <w:ilvl w:val="1"/>
          <w:numId w:val="7"/>
        </w:numPr>
        <w:spacing w:after="120"/>
        <w:ind w:left="851"/>
        <w:rPr>
          <w:rFonts w:cs="Arial"/>
        </w:rPr>
      </w:pPr>
      <w:r w:rsidRPr="00791E3D">
        <w:rPr>
          <w:rFonts w:cs="Arial"/>
        </w:rPr>
        <w:t>p</w:t>
      </w:r>
      <w:r w:rsidR="00794A23" w:rsidRPr="00791E3D">
        <w:rPr>
          <w:rFonts w:cs="Arial"/>
        </w:rPr>
        <w:t>ostage</w:t>
      </w:r>
    </w:p>
    <w:p w14:paraId="0E8F6E6D" w14:textId="32F2DA94" w:rsidR="00794A23" w:rsidRPr="00791E3D" w:rsidRDefault="00D55875" w:rsidP="00B745B3">
      <w:pPr>
        <w:pStyle w:val="ListBullet"/>
        <w:numPr>
          <w:ilvl w:val="1"/>
          <w:numId w:val="7"/>
        </w:numPr>
        <w:spacing w:after="120"/>
        <w:ind w:left="851"/>
        <w:rPr>
          <w:rFonts w:cs="Arial"/>
        </w:rPr>
      </w:pPr>
      <w:r w:rsidRPr="00791E3D">
        <w:rPr>
          <w:rFonts w:cs="Arial"/>
        </w:rPr>
        <w:t>s</w:t>
      </w:r>
      <w:r w:rsidR="00794A23" w:rsidRPr="00791E3D">
        <w:rPr>
          <w:rFonts w:cs="Arial"/>
        </w:rPr>
        <w:t>tationery and printing, including communication</w:t>
      </w:r>
      <w:r w:rsidR="00060218">
        <w:rPr>
          <w:rFonts w:cs="Arial"/>
        </w:rPr>
        <w:t>/</w:t>
      </w:r>
      <w:r w:rsidR="00EC5D52" w:rsidRPr="00791E3D">
        <w:rPr>
          <w:rFonts w:cs="Arial"/>
        </w:rPr>
        <w:t>publication</w:t>
      </w:r>
      <w:r w:rsidR="00794A23" w:rsidRPr="00791E3D">
        <w:rPr>
          <w:rFonts w:cs="Arial"/>
        </w:rPr>
        <w:t xml:space="preserve"> material</w:t>
      </w:r>
    </w:p>
    <w:p w14:paraId="3A3C5E8E" w14:textId="77777777" w:rsidR="00B745B3" w:rsidRDefault="00D55875" w:rsidP="00B745B3">
      <w:pPr>
        <w:pStyle w:val="ListBullet"/>
        <w:numPr>
          <w:ilvl w:val="1"/>
          <w:numId w:val="7"/>
        </w:numPr>
        <w:spacing w:after="120"/>
        <w:ind w:left="851"/>
        <w:rPr>
          <w:rFonts w:cs="Arial"/>
        </w:rPr>
      </w:pPr>
      <w:r w:rsidRPr="00791E3D">
        <w:rPr>
          <w:rFonts w:cs="Arial"/>
        </w:rPr>
        <w:t>i</w:t>
      </w:r>
      <w:r w:rsidR="00794A23" w:rsidRPr="00791E3D">
        <w:rPr>
          <w:rFonts w:cs="Arial"/>
        </w:rPr>
        <w:t xml:space="preserve">nterpreter services </w:t>
      </w:r>
    </w:p>
    <w:p w14:paraId="7ED69018" w14:textId="74245087" w:rsidR="00A45497" w:rsidRPr="00B745B3" w:rsidRDefault="00C16956" w:rsidP="00B745B3">
      <w:pPr>
        <w:pStyle w:val="ListBullet"/>
        <w:numPr>
          <w:ilvl w:val="1"/>
          <w:numId w:val="7"/>
        </w:numPr>
        <w:spacing w:after="120"/>
        <w:ind w:left="851"/>
        <w:rPr>
          <w:rFonts w:cs="Arial"/>
        </w:rPr>
      </w:pPr>
      <w:r w:rsidRPr="0045296C">
        <w:t>t</w:t>
      </w:r>
      <w:r w:rsidR="00794A23" w:rsidRPr="0045296C">
        <w:t>ravel costs and vehicles used to deliver outreach services including legal assistance and community legal education, attend Royal Commission hearings</w:t>
      </w:r>
      <w:r w:rsidR="0061226B">
        <w:t xml:space="preserve"> </w:t>
      </w:r>
      <w:r w:rsidR="00794A23" w:rsidRPr="0045296C">
        <w:t xml:space="preserve">and visit clients who are unable to travel to office locations </w:t>
      </w:r>
    </w:p>
    <w:p w14:paraId="750D8695" w14:textId="5344E2A3" w:rsidR="00794A23" w:rsidRPr="00791E3D" w:rsidRDefault="00C16956" w:rsidP="00B745B3">
      <w:pPr>
        <w:pStyle w:val="ListBullet"/>
        <w:numPr>
          <w:ilvl w:val="1"/>
          <w:numId w:val="7"/>
        </w:numPr>
        <w:spacing w:after="120"/>
        <w:ind w:left="851"/>
        <w:rPr>
          <w:rFonts w:cs="Arial"/>
        </w:rPr>
      </w:pPr>
      <w:r w:rsidRPr="00791E3D">
        <w:rPr>
          <w:rFonts w:cs="Arial"/>
        </w:rPr>
        <w:t>a</w:t>
      </w:r>
      <w:r w:rsidR="00794A23" w:rsidRPr="00791E3D">
        <w:rPr>
          <w:rFonts w:cs="Arial"/>
        </w:rPr>
        <w:t>udi</w:t>
      </w:r>
      <w:r w:rsidR="00EC5D52" w:rsidRPr="00791E3D">
        <w:rPr>
          <w:rFonts w:cs="Arial"/>
        </w:rPr>
        <w:t>t</w:t>
      </w:r>
      <w:r w:rsidR="00794A23" w:rsidRPr="00791E3D">
        <w:rPr>
          <w:rFonts w:cs="Arial"/>
        </w:rPr>
        <w:t xml:space="preserve"> costs</w:t>
      </w:r>
    </w:p>
    <w:p w14:paraId="7127EEC3" w14:textId="685FB6CE" w:rsidR="00EC5D52" w:rsidRPr="00791E3D" w:rsidRDefault="00C16956" w:rsidP="00B745B3">
      <w:pPr>
        <w:pStyle w:val="ListBullet"/>
        <w:numPr>
          <w:ilvl w:val="1"/>
          <w:numId w:val="7"/>
        </w:numPr>
        <w:spacing w:after="120"/>
        <w:ind w:left="851"/>
        <w:rPr>
          <w:rFonts w:cs="Arial"/>
        </w:rPr>
      </w:pPr>
      <w:r w:rsidRPr="00791E3D">
        <w:rPr>
          <w:rFonts w:cs="Arial"/>
        </w:rPr>
        <w:t>c</w:t>
      </w:r>
      <w:r w:rsidR="00EC5D52" w:rsidRPr="00791E3D">
        <w:rPr>
          <w:rFonts w:cs="Arial"/>
        </w:rPr>
        <w:t>osts associated with referrals</w:t>
      </w:r>
      <w:r w:rsidR="00013558" w:rsidRPr="00791E3D">
        <w:rPr>
          <w:rFonts w:cs="Arial"/>
        </w:rPr>
        <w:t>.</w:t>
      </w:r>
      <w:r w:rsidR="00EC5D52" w:rsidRPr="00791E3D">
        <w:rPr>
          <w:rFonts w:cs="Arial"/>
        </w:rPr>
        <w:t xml:space="preserve"> </w:t>
      </w:r>
    </w:p>
    <w:p w14:paraId="309D3C1A" w14:textId="08E198A5" w:rsidR="00BE2F53" w:rsidRDefault="00BE2F53" w:rsidP="00013558">
      <w:pPr>
        <w:pStyle w:val="ListBullet"/>
      </w:pPr>
      <w:r>
        <w:t xml:space="preserve">We may update the guidelines on eligible and ineligible expenditure from time to time. If your application is successful, the version in place when you submitted your application applies to </w:t>
      </w:r>
      <w:r w:rsidRPr="00EC5D52">
        <w:t xml:space="preserve">your </w:t>
      </w:r>
      <w:r w:rsidRPr="00EB29BE">
        <w:t>grant activity</w:t>
      </w:r>
      <w:r>
        <w:t>.</w:t>
      </w:r>
    </w:p>
    <w:p w14:paraId="589FA487" w14:textId="77777777" w:rsidR="007F783C" w:rsidRDefault="007F783C" w:rsidP="00013558">
      <w:pPr>
        <w:pStyle w:val="ListBullet"/>
      </w:pPr>
      <w:r>
        <w:lastRenderedPageBreak/>
        <w:t xml:space="preserve">You must incur the expenditure on </w:t>
      </w:r>
      <w:r w:rsidRPr="00EC5D52">
        <w:t xml:space="preserve">your </w:t>
      </w:r>
      <w:r w:rsidRPr="00EB29BE">
        <w:t xml:space="preserve">grant activities </w:t>
      </w:r>
      <w:r>
        <w:t>between the start date and end or completion date for your grant agreement for it to be eligible.</w:t>
      </w:r>
    </w:p>
    <w:p w14:paraId="6DAB1AC4" w14:textId="6EF59677" w:rsidR="00BE2F53" w:rsidRDefault="00BE2F53" w:rsidP="00013558">
      <w:pPr>
        <w:pStyle w:val="ListBullet"/>
      </w:pPr>
      <w:r>
        <w:t xml:space="preserve">Not all expenditure on your </w:t>
      </w:r>
      <w:r w:rsidRPr="00EB29BE">
        <w:t>grant activity</w:t>
      </w:r>
      <w:r w:rsidR="00EC5D52" w:rsidRPr="00013558">
        <w:t xml:space="preserve"> </w:t>
      </w:r>
      <w:r>
        <w:t xml:space="preserve">may be eligible for grant funding. </w:t>
      </w:r>
      <w:r w:rsidRPr="00E162FF">
        <w:t xml:space="preserve">The </w:t>
      </w:r>
      <w:r>
        <w:t>decision maker</w:t>
      </w:r>
      <w:r w:rsidRPr="00E162FF">
        <w:t xml:space="preserve"> makes the final decision </w:t>
      </w:r>
      <w:r>
        <w:t>on what is</w:t>
      </w:r>
      <w:r w:rsidRPr="00E162FF">
        <w:t xml:space="preserve"> eligible expenditure</w:t>
      </w:r>
      <w:r>
        <w:t>.</w:t>
      </w:r>
      <w:r w:rsidRPr="00E162FF">
        <w:t xml:space="preserve"> </w:t>
      </w:r>
    </w:p>
    <w:p w14:paraId="4A3A5B19" w14:textId="77777777" w:rsidR="00BE2F53" w:rsidRPr="00C330AE" w:rsidRDefault="00BE2F53" w:rsidP="00010429">
      <w:pPr>
        <w:pStyle w:val="Heading3"/>
      </w:pPr>
      <w:bookmarkStart w:id="61" w:name="_Toc506537745"/>
      <w:bookmarkStart w:id="62" w:name="_Toc506537746"/>
      <w:bookmarkStart w:id="63" w:name="_Toc506537747"/>
      <w:bookmarkStart w:id="64" w:name="_Toc506537748"/>
      <w:bookmarkStart w:id="65" w:name="_Toc506537749"/>
      <w:bookmarkStart w:id="66" w:name="_Toc506537751"/>
      <w:bookmarkStart w:id="67" w:name="_Toc506537752"/>
      <w:bookmarkStart w:id="68" w:name="_Toc506537753"/>
      <w:bookmarkStart w:id="69" w:name="_Toc506537754"/>
      <w:bookmarkStart w:id="70" w:name="_Toc506537755"/>
      <w:bookmarkStart w:id="71" w:name="_Toc506537756"/>
      <w:bookmarkStart w:id="72" w:name="_Toc506537757"/>
      <w:bookmarkStart w:id="73" w:name="_Toc74904761"/>
      <w:bookmarkEnd w:id="40"/>
      <w:bookmarkEnd w:id="61"/>
      <w:bookmarkEnd w:id="62"/>
      <w:bookmarkEnd w:id="63"/>
      <w:bookmarkEnd w:id="64"/>
      <w:bookmarkEnd w:id="65"/>
      <w:bookmarkEnd w:id="66"/>
      <w:bookmarkEnd w:id="67"/>
      <w:bookmarkEnd w:id="68"/>
      <w:bookmarkEnd w:id="69"/>
      <w:bookmarkEnd w:id="70"/>
      <w:bookmarkEnd w:id="71"/>
      <w:bookmarkEnd w:id="72"/>
      <w:r>
        <w:t>What the grant money cannot be used for</w:t>
      </w:r>
      <w:bookmarkEnd w:id="73"/>
    </w:p>
    <w:p w14:paraId="24487ECA" w14:textId="1AE08DA8" w:rsidR="00BE2F53" w:rsidRDefault="00BE2F53" w:rsidP="00BE2F53">
      <w:pPr>
        <w:pStyle w:val="ListBullet"/>
        <w:ind w:left="360" w:hanging="360"/>
      </w:pPr>
      <w:r>
        <w:t>You cannot use the grant</w:t>
      </w:r>
      <w:r w:rsidR="007F6443">
        <w:t xml:space="preserve"> </w:t>
      </w:r>
      <w:r>
        <w:t xml:space="preserve">for: </w:t>
      </w:r>
      <w:bookmarkStart w:id="74" w:name="_Ref468355804"/>
    </w:p>
    <w:p w14:paraId="5ABDD740" w14:textId="596530B3" w:rsidR="00810695" w:rsidRPr="001A1945" w:rsidRDefault="00C16956" w:rsidP="001A1945">
      <w:pPr>
        <w:pStyle w:val="ListBullet"/>
        <w:numPr>
          <w:ilvl w:val="0"/>
          <w:numId w:val="7"/>
        </w:numPr>
        <w:spacing w:after="120"/>
        <w:ind w:left="360"/>
        <w:rPr>
          <w:rFonts w:cs="Arial"/>
        </w:rPr>
      </w:pPr>
      <w:r w:rsidRPr="001A1945">
        <w:rPr>
          <w:rFonts w:cs="Arial"/>
        </w:rPr>
        <w:t>a</w:t>
      </w:r>
      <w:r w:rsidR="00810695" w:rsidRPr="001A1945">
        <w:rPr>
          <w:rFonts w:cs="Arial"/>
        </w:rPr>
        <w:t>ctivities for the same purpose that is already funded on an ongo</w:t>
      </w:r>
      <w:r w:rsidR="00B745B3">
        <w:rPr>
          <w:rFonts w:cs="Arial"/>
        </w:rPr>
        <w:t>ing basis by another Australian</w:t>
      </w:r>
      <w:r w:rsidR="00810695" w:rsidRPr="001A1945">
        <w:rPr>
          <w:rFonts w:cs="Arial"/>
        </w:rPr>
        <w:t xml:space="preserve"> state</w:t>
      </w:r>
      <w:r w:rsidR="008F7E1C">
        <w:rPr>
          <w:rFonts w:cs="Arial"/>
        </w:rPr>
        <w:t xml:space="preserve">, </w:t>
      </w:r>
      <w:r w:rsidR="00810695" w:rsidRPr="001A1945">
        <w:rPr>
          <w:rFonts w:cs="Arial"/>
        </w:rPr>
        <w:t>territory or local government</w:t>
      </w:r>
    </w:p>
    <w:p w14:paraId="2CB19F74" w14:textId="2324D9B3" w:rsidR="00EC5D52" w:rsidRPr="001A1945" w:rsidRDefault="00C16956" w:rsidP="001A1945">
      <w:pPr>
        <w:pStyle w:val="ListBullet"/>
        <w:numPr>
          <w:ilvl w:val="0"/>
          <w:numId w:val="7"/>
        </w:numPr>
        <w:spacing w:after="120"/>
        <w:ind w:left="360"/>
        <w:rPr>
          <w:rFonts w:cs="Arial"/>
        </w:rPr>
      </w:pPr>
      <w:r w:rsidRPr="001A1945">
        <w:rPr>
          <w:rFonts w:cs="Arial"/>
        </w:rPr>
        <w:t>c</w:t>
      </w:r>
      <w:r w:rsidR="00EC5D52" w:rsidRPr="001A1945">
        <w:rPr>
          <w:rFonts w:cs="Arial"/>
        </w:rPr>
        <w:t>osts incurred in assisting an individual and/or organisation who has been called as a witness for the Royal Commission (funding for legal representation and associated disbursements for witnesses is provided through the department’s leg</w:t>
      </w:r>
      <w:r w:rsidR="00575DE6" w:rsidRPr="001A1945">
        <w:rPr>
          <w:rFonts w:cs="Arial"/>
        </w:rPr>
        <w:t>al financial assistance scheme)</w:t>
      </w:r>
    </w:p>
    <w:p w14:paraId="0C34C48E" w14:textId="77777777" w:rsidR="00BE2F53" w:rsidRPr="001A1945" w:rsidRDefault="00BE2F53" w:rsidP="001A1945">
      <w:pPr>
        <w:pStyle w:val="ListBullet"/>
        <w:numPr>
          <w:ilvl w:val="0"/>
          <w:numId w:val="7"/>
        </w:numPr>
        <w:spacing w:after="120"/>
        <w:ind w:left="360"/>
        <w:rPr>
          <w:rFonts w:cs="Arial"/>
        </w:rPr>
      </w:pPr>
      <w:r w:rsidRPr="001A1945">
        <w:rPr>
          <w:rFonts w:cs="Arial"/>
        </w:rPr>
        <w:t xml:space="preserve">purchase of land </w:t>
      </w:r>
    </w:p>
    <w:p w14:paraId="0D17DB6A" w14:textId="1EAE9BB9" w:rsidR="00810695" w:rsidRPr="001A1945" w:rsidRDefault="00810695" w:rsidP="001A1945">
      <w:pPr>
        <w:pStyle w:val="ListBullet"/>
        <w:numPr>
          <w:ilvl w:val="0"/>
          <w:numId w:val="7"/>
        </w:numPr>
        <w:spacing w:after="120"/>
        <w:ind w:left="360"/>
        <w:rPr>
          <w:rFonts w:cs="Arial"/>
        </w:rPr>
      </w:pPr>
      <w:r w:rsidRPr="001A1945">
        <w:rPr>
          <w:rFonts w:cs="Arial"/>
        </w:rPr>
        <w:t>wages not directly related to the delivery of the service</w:t>
      </w:r>
    </w:p>
    <w:p w14:paraId="4B32434C" w14:textId="542A24F6" w:rsidR="00BE2F53" w:rsidRPr="001A1945" w:rsidRDefault="00BE2F53" w:rsidP="001A1945">
      <w:pPr>
        <w:pStyle w:val="ListBullet"/>
        <w:numPr>
          <w:ilvl w:val="0"/>
          <w:numId w:val="7"/>
        </w:numPr>
        <w:spacing w:after="120"/>
        <w:ind w:left="360"/>
        <w:rPr>
          <w:rFonts w:cs="Arial"/>
        </w:rPr>
      </w:pPr>
      <w:r w:rsidRPr="001A1945">
        <w:rPr>
          <w:rFonts w:cs="Arial"/>
        </w:rPr>
        <w:t xml:space="preserve">major capital expenditure </w:t>
      </w:r>
      <w:r w:rsidR="00EC5D52" w:rsidRPr="001A1945">
        <w:rPr>
          <w:rFonts w:cs="Arial"/>
        </w:rPr>
        <w:t>without prior approval</w:t>
      </w:r>
    </w:p>
    <w:p w14:paraId="624CA54E" w14:textId="77777777" w:rsidR="00BE2F53" w:rsidRPr="001A1945" w:rsidRDefault="00BE2F53" w:rsidP="001A1945">
      <w:pPr>
        <w:pStyle w:val="ListBullet"/>
        <w:numPr>
          <w:ilvl w:val="0"/>
          <w:numId w:val="7"/>
        </w:numPr>
        <w:spacing w:after="120"/>
        <w:ind w:left="360"/>
        <w:rPr>
          <w:rFonts w:cs="Arial"/>
        </w:rPr>
      </w:pPr>
      <w:r w:rsidRPr="001A1945">
        <w:rPr>
          <w:rFonts w:cs="Arial"/>
        </w:rPr>
        <w:t xml:space="preserve">the covering of retrospective costs </w:t>
      </w:r>
    </w:p>
    <w:p w14:paraId="316E945A" w14:textId="77777777" w:rsidR="00BE2F53" w:rsidRPr="001A1945" w:rsidRDefault="00BE2F53" w:rsidP="001A1945">
      <w:pPr>
        <w:pStyle w:val="ListBullet"/>
        <w:numPr>
          <w:ilvl w:val="0"/>
          <w:numId w:val="7"/>
        </w:numPr>
        <w:spacing w:after="120"/>
        <w:ind w:left="360"/>
        <w:rPr>
          <w:rFonts w:cs="Arial"/>
        </w:rPr>
      </w:pPr>
      <w:r w:rsidRPr="001A1945">
        <w:rPr>
          <w:rFonts w:cs="Arial"/>
        </w:rPr>
        <w:t xml:space="preserve">costs incurred in the preparation of a grant application or related documentation </w:t>
      </w:r>
    </w:p>
    <w:p w14:paraId="7A3E1390" w14:textId="77777777" w:rsidR="00BE2F53" w:rsidRPr="001A1945" w:rsidRDefault="00BE2F53" w:rsidP="001A1945">
      <w:pPr>
        <w:pStyle w:val="ListBullet"/>
        <w:numPr>
          <w:ilvl w:val="0"/>
          <w:numId w:val="7"/>
        </w:numPr>
        <w:spacing w:after="120"/>
        <w:ind w:left="360"/>
        <w:rPr>
          <w:rFonts w:cs="Arial"/>
        </w:rPr>
      </w:pPr>
      <w:r w:rsidRPr="001A1945">
        <w:rPr>
          <w:rFonts w:cs="Arial"/>
        </w:rPr>
        <w:t xml:space="preserve">subsidy of general ongoing administration of an organisation such as electricity, phone and rent </w:t>
      </w:r>
    </w:p>
    <w:p w14:paraId="3A817778" w14:textId="4C948145" w:rsidR="00BE2F53" w:rsidRPr="001A1945" w:rsidRDefault="00BE2F53" w:rsidP="001A1945">
      <w:pPr>
        <w:pStyle w:val="ListBullet"/>
        <w:numPr>
          <w:ilvl w:val="0"/>
          <w:numId w:val="7"/>
        </w:numPr>
        <w:spacing w:after="120"/>
        <w:ind w:left="360"/>
        <w:rPr>
          <w:rFonts w:cs="Arial"/>
        </w:rPr>
      </w:pPr>
      <w:r w:rsidRPr="001A1945">
        <w:rPr>
          <w:rFonts w:cs="Arial"/>
        </w:rPr>
        <w:t>major construction</w:t>
      </w:r>
      <w:r w:rsidR="00060218">
        <w:rPr>
          <w:rFonts w:cs="Arial"/>
        </w:rPr>
        <w:t>/</w:t>
      </w:r>
      <w:r w:rsidRPr="001A1945">
        <w:rPr>
          <w:rFonts w:cs="Arial"/>
        </w:rPr>
        <w:t>capital works</w:t>
      </w:r>
      <w:r w:rsidR="00810695" w:rsidRPr="001A1945">
        <w:rPr>
          <w:rFonts w:cs="Arial"/>
        </w:rPr>
        <w:t xml:space="preserve"> without prior approval</w:t>
      </w:r>
    </w:p>
    <w:p w14:paraId="13D10FB0" w14:textId="66173D17" w:rsidR="00BE2F53" w:rsidRPr="001A1945" w:rsidRDefault="00BE2F53" w:rsidP="001A1945">
      <w:pPr>
        <w:pStyle w:val="ListBullet"/>
        <w:numPr>
          <w:ilvl w:val="0"/>
          <w:numId w:val="7"/>
        </w:numPr>
        <w:spacing w:after="120"/>
        <w:ind w:left="360"/>
        <w:rPr>
          <w:rFonts w:cs="Arial"/>
        </w:rPr>
      </w:pPr>
      <w:r w:rsidRPr="001A1945">
        <w:rPr>
          <w:rFonts w:cs="Arial"/>
        </w:rPr>
        <w:t>overseas travel</w:t>
      </w:r>
    </w:p>
    <w:p w14:paraId="358217AC" w14:textId="77777777" w:rsidR="00770152" w:rsidRPr="001A1945" w:rsidRDefault="00BE2F53" w:rsidP="001A1945">
      <w:pPr>
        <w:pStyle w:val="ListBullet"/>
        <w:numPr>
          <w:ilvl w:val="0"/>
          <w:numId w:val="7"/>
        </w:numPr>
        <w:spacing w:after="120"/>
        <w:ind w:left="360"/>
        <w:rPr>
          <w:rFonts w:cs="Arial"/>
        </w:rPr>
      </w:pPr>
      <w:r w:rsidRPr="001A1945">
        <w:rPr>
          <w:rFonts w:cs="Arial"/>
        </w:rPr>
        <w:t xml:space="preserve">activities for which other Commonwealth, state, territory or local government bodies have primary </w:t>
      </w:r>
      <w:r w:rsidR="00770152" w:rsidRPr="001A1945">
        <w:rPr>
          <w:rFonts w:cs="Arial"/>
        </w:rPr>
        <w:t xml:space="preserve">responsibility. </w:t>
      </w:r>
    </w:p>
    <w:p w14:paraId="5D2D441E" w14:textId="3BE75A5B" w:rsidR="00BE2F53" w:rsidRDefault="00770152" w:rsidP="00770152">
      <w:pPr>
        <w:pStyle w:val="ListBullet"/>
      </w:pPr>
      <w:r>
        <w:t>We</w:t>
      </w:r>
      <w:r w:rsidR="00BE2F53">
        <w:t xml:space="preserve"> cannot provide a grant if you receive funding from another government source for the same purpose.</w:t>
      </w:r>
    </w:p>
    <w:p w14:paraId="4D9B9E5D" w14:textId="77777777" w:rsidR="00BE2F53" w:rsidRPr="00747B26" w:rsidRDefault="00BE2F53" w:rsidP="00010429">
      <w:pPr>
        <w:pStyle w:val="Heading2"/>
      </w:pPr>
      <w:bookmarkStart w:id="75" w:name="_Toc494290504"/>
      <w:bookmarkStart w:id="76" w:name="_Toc494290505"/>
      <w:bookmarkStart w:id="77" w:name="_Toc494290506"/>
      <w:bookmarkStart w:id="78" w:name="_Toc494290507"/>
      <w:bookmarkStart w:id="79" w:name="_Toc494290508"/>
      <w:bookmarkStart w:id="80" w:name="_Toc494290509"/>
      <w:bookmarkStart w:id="81" w:name="_Toc494290510"/>
      <w:bookmarkStart w:id="82" w:name="_Toc494290511"/>
      <w:bookmarkStart w:id="83" w:name="_Ref485221187"/>
      <w:bookmarkStart w:id="84" w:name="_Toc74904762"/>
      <w:bookmarkEnd w:id="74"/>
      <w:bookmarkEnd w:id="75"/>
      <w:bookmarkEnd w:id="76"/>
      <w:bookmarkEnd w:id="77"/>
      <w:bookmarkEnd w:id="78"/>
      <w:bookmarkEnd w:id="79"/>
      <w:bookmarkEnd w:id="80"/>
      <w:bookmarkEnd w:id="81"/>
      <w:bookmarkEnd w:id="82"/>
      <w:r>
        <w:t>The assessment criteria</w:t>
      </w:r>
      <w:bookmarkEnd w:id="83"/>
      <w:bookmarkEnd w:id="84"/>
    </w:p>
    <w:p w14:paraId="36FEA944" w14:textId="10A161C0" w:rsidR="002410B6" w:rsidRDefault="00BE2F53" w:rsidP="002E037E">
      <w:pPr>
        <w:pStyle w:val="ListBullet"/>
      </w:pPr>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 </w:t>
      </w:r>
      <w:r w:rsidR="00EC5EE4">
        <w:t>Each of the assessment criteria listed below has an equal weighting so you should provide an equivalent amount of information in responding to each criterion.</w:t>
      </w:r>
    </w:p>
    <w:p w14:paraId="4D3E11A6" w14:textId="0463FD13" w:rsidR="00BE2F53" w:rsidRPr="001331E7" w:rsidRDefault="00BE2F53" w:rsidP="002E037E">
      <w:pPr>
        <w:pStyle w:val="ListBullet"/>
      </w:pPr>
      <w:r w:rsidRPr="00DE5300">
        <w:t xml:space="preserve">The application form includes character limits – up to </w:t>
      </w:r>
      <w:r w:rsidR="00D310B6">
        <w:t xml:space="preserve">4,000 </w:t>
      </w:r>
      <w:r w:rsidR="00B745B3">
        <w:t>characters (approximately</w:t>
      </w:r>
      <w:r w:rsidRPr="00717105">
        <w:t xml:space="preserve"> </w:t>
      </w:r>
      <w:r w:rsidR="00D310B6">
        <w:t>600</w:t>
      </w:r>
      <w:r w:rsidRPr="00DE5300">
        <w:t xml:space="preserve"> words) per criterion. The application form will not accept characters beyond this limit. Please note</w:t>
      </w:r>
      <w:r w:rsidR="00265F1E">
        <w:t>,</w:t>
      </w:r>
      <w:r w:rsidRPr="00DE5300">
        <w:t xml:space="preserve"> spaces are included in the character l</w:t>
      </w:r>
      <w:r w:rsidRPr="001331E7">
        <w:t>imit.</w:t>
      </w:r>
    </w:p>
    <w:p w14:paraId="3ECEA0D6" w14:textId="67E1A483" w:rsidR="00BE2F53" w:rsidRDefault="00E03FD3" w:rsidP="002E037E">
      <w:pPr>
        <w:pStyle w:val="ListBullet"/>
      </w:pPr>
      <w:r w:rsidRPr="00717105">
        <w:t>The amount of detail and supporting evidence you provide in your application should be relative to the size, complexity and grant amount requested.</w:t>
      </w:r>
    </w:p>
    <w:p w14:paraId="56712B4D" w14:textId="1185B642" w:rsidR="00670ECB" w:rsidRPr="00265F1E" w:rsidRDefault="00670ECB" w:rsidP="002E037E">
      <w:pPr>
        <w:pStyle w:val="ListBullet"/>
      </w:pPr>
      <w:r w:rsidRPr="00265F1E">
        <w:t>You are strongly encouraged to adapt proposed activities in your application to allow for social distancing and ensure the safety of participants. In your response to the below assessment criteria, you should include information about how your proposed activity will comply with COVID-19 requirements. This is particularly important for activities that place participants in close physical proximity.</w:t>
      </w:r>
    </w:p>
    <w:p w14:paraId="34A4B3B5" w14:textId="77777777" w:rsidR="00060218" w:rsidRDefault="00060218">
      <w:pPr>
        <w:spacing w:before="0" w:after="0" w:line="240" w:lineRule="auto"/>
        <w:rPr>
          <w:b/>
        </w:rPr>
      </w:pPr>
      <w:r>
        <w:rPr>
          <w:b/>
        </w:rPr>
        <w:br w:type="page"/>
      </w:r>
    </w:p>
    <w:p w14:paraId="70A20D88" w14:textId="54A76398" w:rsidR="00EC5EE4" w:rsidRPr="00770152" w:rsidRDefault="00BE2F53" w:rsidP="00EC5EE4">
      <w:r w:rsidRPr="00770152">
        <w:rPr>
          <w:b/>
        </w:rPr>
        <w:lastRenderedPageBreak/>
        <w:t>Criterion 1</w:t>
      </w:r>
      <w:r w:rsidR="00EC5EE4">
        <w:rPr>
          <w:b/>
        </w:rPr>
        <w:t xml:space="preserve"> </w:t>
      </w:r>
      <w:r w:rsidR="00EC5EE4" w:rsidRPr="00EC5EE4">
        <w:rPr>
          <w:b/>
        </w:rPr>
        <w:t xml:space="preserve">- </w:t>
      </w:r>
      <w:r w:rsidR="00EC5EE4" w:rsidRPr="00770152">
        <w:rPr>
          <w:b/>
        </w:rPr>
        <w:t>How will the needs of individuals seeking to engage with the Royal Commission</w:t>
      </w:r>
      <w:r w:rsidR="00A90293">
        <w:rPr>
          <w:b/>
        </w:rPr>
        <w:t xml:space="preserve"> be met</w:t>
      </w:r>
      <w:r w:rsidR="00EC5EE4" w:rsidRPr="00770152">
        <w:rPr>
          <w:b/>
        </w:rPr>
        <w:t>?</w:t>
      </w:r>
    </w:p>
    <w:p w14:paraId="45B7A5EB" w14:textId="77AB1B48" w:rsidR="00BE2F53" w:rsidRPr="00E44E21" w:rsidRDefault="00BE2F53" w:rsidP="00BE2F53">
      <w:pPr>
        <w:rPr>
          <w:lang w:val="en-GB"/>
        </w:rPr>
      </w:pPr>
      <w:r>
        <w:rPr>
          <w:lang w:val="en-GB"/>
        </w:rPr>
        <w:t>When addressing the criterion</w:t>
      </w:r>
      <w:r w:rsidR="00046281">
        <w:rPr>
          <w:lang w:val="en-GB"/>
        </w:rPr>
        <w:t>,</w:t>
      </w:r>
      <w:r>
        <w:rPr>
          <w:lang w:val="en-GB"/>
        </w:rPr>
        <w:t xml:space="preserve"> strong applicants will</w:t>
      </w:r>
      <w:r w:rsidR="002F021C">
        <w:rPr>
          <w:lang w:val="en-GB"/>
        </w:rPr>
        <w:t xml:space="preserve"> demonstrate</w:t>
      </w:r>
      <w:r>
        <w:rPr>
          <w:lang w:val="en-GB"/>
        </w:rPr>
        <w:t>:</w:t>
      </w:r>
    </w:p>
    <w:p w14:paraId="3164F0E7" w14:textId="5871BAFF" w:rsidR="00BE2F53" w:rsidRPr="001A1945" w:rsidRDefault="00265F1E" w:rsidP="001A1945">
      <w:pPr>
        <w:pStyle w:val="ListBullet"/>
        <w:numPr>
          <w:ilvl w:val="0"/>
          <w:numId w:val="7"/>
        </w:numPr>
        <w:spacing w:after="120"/>
        <w:ind w:left="360"/>
        <w:rPr>
          <w:rFonts w:cs="Arial"/>
        </w:rPr>
      </w:pPr>
      <w:r>
        <w:rPr>
          <w:rFonts w:cs="Arial"/>
        </w:rPr>
        <w:t>e</w:t>
      </w:r>
      <w:r w:rsidR="002F021C" w:rsidRPr="001A1945">
        <w:rPr>
          <w:rFonts w:cs="Arial"/>
        </w:rPr>
        <w:t>xperience in providing a trauma-informed, culturally appropriate, accessible legal service for individuals. Experience in delivering legal services for ADF personnel and veterans</w:t>
      </w:r>
      <w:r w:rsidR="007F7A8F" w:rsidRPr="001A1945">
        <w:rPr>
          <w:rFonts w:cs="Arial"/>
        </w:rPr>
        <w:t xml:space="preserve"> and experience in working with Royal Commission/s are highly desirable</w:t>
      </w:r>
    </w:p>
    <w:p w14:paraId="2F887CD6" w14:textId="10C94C5E" w:rsidR="007F7A8F" w:rsidRPr="001A1945" w:rsidRDefault="00265F1E" w:rsidP="001A1945">
      <w:pPr>
        <w:pStyle w:val="ListBullet"/>
        <w:numPr>
          <w:ilvl w:val="0"/>
          <w:numId w:val="7"/>
        </w:numPr>
        <w:spacing w:after="120"/>
        <w:ind w:left="360"/>
        <w:rPr>
          <w:rFonts w:cs="Arial"/>
        </w:rPr>
      </w:pPr>
      <w:r>
        <w:rPr>
          <w:rFonts w:cs="Arial"/>
        </w:rPr>
        <w:t>t</w:t>
      </w:r>
      <w:r w:rsidR="007F7A8F" w:rsidRPr="001A1945">
        <w:rPr>
          <w:rFonts w:cs="Arial"/>
        </w:rPr>
        <w:t>raining, policies and procedures to provide a trauma-informed, culturally appropriate, accessible legal service</w:t>
      </w:r>
    </w:p>
    <w:p w14:paraId="067CE8D0" w14:textId="4E4A2678" w:rsidR="007F7A8F" w:rsidRPr="001A1945" w:rsidRDefault="00265F1E" w:rsidP="001A1945">
      <w:pPr>
        <w:pStyle w:val="ListBullet"/>
        <w:numPr>
          <w:ilvl w:val="0"/>
          <w:numId w:val="7"/>
        </w:numPr>
        <w:spacing w:after="120"/>
        <w:ind w:left="360"/>
        <w:rPr>
          <w:rFonts w:cs="Arial"/>
        </w:rPr>
      </w:pPr>
      <w:r>
        <w:rPr>
          <w:rFonts w:cs="Arial"/>
        </w:rPr>
        <w:t>m</w:t>
      </w:r>
      <w:r w:rsidR="007F7A8F" w:rsidRPr="001A1945">
        <w:rPr>
          <w:rFonts w:cs="Arial"/>
        </w:rPr>
        <w:t>eans for referral to assist individuals to access community supports for counselling and other legal practitioners.</w:t>
      </w:r>
    </w:p>
    <w:p w14:paraId="2A6005F5" w14:textId="77777777" w:rsidR="00EC5EE4" w:rsidRPr="00770152" w:rsidRDefault="00BE2F53" w:rsidP="00EC5EE4">
      <w:pPr>
        <w:rPr>
          <w:b/>
          <w:u w:val="single"/>
        </w:rPr>
      </w:pPr>
      <w:r w:rsidRPr="00770152">
        <w:rPr>
          <w:b/>
        </w:rPr>
        <w:t>Criterion 2</w:t>
      </w:r>
      <w:r w:rsidR="00EC5EE4" w:rsidRPr="00770152">
        <w:rPr>
          <w:b/>
        </w:rPr>
        <w:t xml:space="preserve"> - </w:t>
      </w:r>
      <w:r w:rsidR="00EC5EE4" w:rsidRPr="00A90293">
        <w:rPr>
          <w:b/>
        </w:rPr>
        <w:t>How will the legal advice service be delivered?</w:t>
      </w:r>
    </w:p>
    <w:p w14:paraId="27EC499C" w14:textId="3781FD50" w:rsidR="00BE2F53" w:rsidRDefault="00BE2F53" w:rsidP="00BE2F53">
      <w:r>
        <w:rPr>
          <w:lang w:val="en-GB"/>
        </w:rPr>
        <w:t>When addressing the criterion</w:t>
      </w:r>
      <w:r w:rsidR="00046281">
        <w:rPr>
          <w:lang w:val="en-GB"/>
        </w:rPr>
        <w:t>,</w:t>
      </w:r>
      <w:r>
        <w:rPr>
          <w:lang w:val="en-GB"/>
        </w:rPr>
        <w:t xml:space="preserve"> strong applicants will</w:t>
      </w:r>
      <w:r w:rsidR="007F7A8F">
        <w:rPr>
          <w:lang w:val="en-GB"/>
        </w:rPr>
        <w:t xml:space="preserve"> demonstrate</w:t>
      </w:r>
      <w:r>
        <w:t>:</w:t>
      </w:r>
    </w:p>
    <w:p w14:paraId="2ED0BBD7" w14:textId="593C5408" w:rsidR="00BE2F53" w:rsidRPr="001A1945" w:rsidRDefault="00265F1E" w:rsidP="001A1945">
      <w:pPr>
        <w:pStyle w:val="ListBullet"/>
        <w:numPr>
          <w:ilvl w:val="0"/>
          <w:numId w:val="7"/>
        </w:numPr>
        <w:spacing w:after="120"/>
        <w:ind w:left="360"/>
        <w:rPr>
          <w:rFonts w:cs="Arial"/>
        </w:rPr>
      </w:pPr>
      <w:r>
        <w:rPr>
          <w:rFonts w:cs="Arial"/>
        </w:rPr>
        <w:t>h</w:t>
      </w:r>
      <w:r w:rsidR="007F7A8F" w:rsidRPr="001A1945">
        <w:rPr>
          <w:rFonts w:cs="Arial"/>
        </w:rPr>
        <w:t>ow it will provide a trauma-informed, culturally appropriate, accessible legal service for individuals, includi</w:t>
      </w:r>
      <w:r w:rsidR="0045296C" w:rsidRPr="001A1945">
        <w:rPr>
          <w:rFonts w:cs="Arial"/>
        </w:rPr>
        <w:t>ng ADF personnel and</w:t>
      </w:r>
      <w:r w:rsidR="007F7A8F" w:rsidRPr="001A1945">
        <w:rPr>
          <w:rFonts w:cs="Arial"/>
        </w:rPr>
        <w:t xml:space="preserve"> veterans, </w:t>
      </w:r>
      <w:r w:rsidR="0045296C" w:rsidRPr="001A1945">
        <w:rPr>
          <w:rFonts w:cs="Arial"/>
        </w:rPr>
        <w:t xml:space="preserve">and their </w:t>
      </w:r>
      <w:r w:rsidR="007F7A8F" w:rsidRPr="001A1945">
        <w:rPr>
          <w:rFonts w:cs="Arial"/>
        </w:rPr>
        <w:t>family</w:t>
      </w:r>
      <w:r w:rsidR="0045296C" w:rsidRPr="001A1945">
        <w:rPr>
          <w:rFonts w:cs="Arial"/>
        </w:rPr>
        <w:t xml:space="preserve"> members, carers and supporters. This should i</w:t>
      </w:r>
      <w:r w:rsidR="0003476A" w:rsidRPr="001A1945">
        <w:rPr>
          <w:rFonts w:cs="Arial"/>
        </w:rPr>
        <w:t>nclud</w:t>
      </w:r>
      <w:r w:rsidR="0045296C" w:rsidRPr="001A1945">
        <w:rPr>
          <w:rFonts w:cs="Arial"/>
        </w:rPr>
        <w:t>e</w:t>
      </w:r>
      <w:r w:rsidR="0003476A" w:rsidRPr="001A1945">
        <w:rPr>
          <w:rFonts w:cs="Arial"/>
        </w:rPr>
        <w:t xml:space="preserve"> any proposed sub-contract</w:t>
      </w:r>
      <w:r w:rsidR="00E03FD3" w:rsidRPr="001A1945">
        <w:rPr>
          <w:rFonts w:cs="Arial"/>
        </w:rPr>
        <w:t>or</w:t>
      </w:r>
      <w:r w:rsidR="0003476A" w:rsidRPr="001A1945">
        <w:rPr>
          <w:rFonts w:cs="Arial"/>
        </w:rPr>
        <w:t xml:space="preserve"> arrangements</w:t>
      </w:r>
    </w:p>
    <w:p w14:paraId="6DD2D025" w14:textId="0868C148" w:rsidR="007F7A8F" w:rsidRPr="001A1945" w:rsidRDefault="00265F1E" w:rsidP="001A1945">
      <w:pPr>
        <w:pStyle w:val="ListBullet"/>
        <w:numPr>
          <w:ilvl w:val="0"/>
          <w:numId w:val="7"/>
        </w:numPr>
        <w:spacing w:after="120"/>
        <w:ind w:left="360"/>
        <w:rPr>
          <w:rFonts w:cs="Arial"/>
        </w:rPr>
      </w:pPr>
      <w:r>
        <w:rPr>
          <w:rFonts w:cs="Arial"/>
        </w:rPr>
        <w:t>l</w:t>
      </w:r>
      <w:r w:rsidR="007F7A8F" w:rsidRPr="001A1945">
        <w:rPr>
          <w:rFonts w:cs="Arial"/>
        </w:rPr>
        <w:t>ocations (</w:t>
      </w:r>
      <w:r w:rsidR="00F239B9" w:rsidRPr="00F239B9">
        <w:rPr>
          <w:rFonts w:cs="Arial"/>
        </w:rPr>
        <w:t>noting that an ongoing presence</w:t>
      </w:r>
      <w:r w:rsidR="0061226B">
        <w:rPr>
          <w:rFonts w:cs="Arial"/>
        </w:rPr>
        <w:t xml:space="preserve"> needs to be where the Royal Commission is located</w:t>
      </w:r>
      <w:r w:rsidR="002E037E">
        <w:rPr>
          <w:rFonts w:cs="Arial"/>
        </w:rPr>
        <w:t>)</w:t>
      </w:r>
      <w:r w:rsidR="007F7A8F" w:rsidRPr="001A1945">
        <w:rPr>
          <w:rFonts w:cs="Arial"/>
        </w:rPr>
        <w:t>, scaling and timeframe for the delivery of the service for the length of the Royal Commission</w:t>
      </w:r>
    </w:p>
    <w:p w14:paraId="2626260C" w14:textId="2E9B0717" w:rsidR="0003476A" w:rsidRPr="001A1945" w:rsidRDefault="00265F1E" w:rsidP="001A1945">
      <w:pPr>
        <w:pStyle w:val="ListBullet"/>
        <w:numPr>
          <w:ilvl w:val="0"/>
          <w:numId w:val="7"/>
        </w:numPr>
        <w:spacing w:after="120"/>
        <w:ind w:left="360"/>
        <w:rPr>
          <w:rFonts w:cs="Arial"/>
        </w:rPr>
      </w:pPr>
      <w:r>
        <w:rPr>
          <w:rFonts w:cs="Arial"/>
        </w:rPr>
        <w:t>p</w:t>
      </w:r>
      <w:r w:rsidR="0003476A" w:rsidRPr="001A1945">
        <w:rPr>
          <w:rFonts w:cs="Arial"/>
        </w:rPr>
        <w:t>olicies, procedures and systems in place to</w:t>
      </w:r>
      <w:r w:rsidR="00060218">
        <w:rPr>
          <w:rFonts w:cs="Arial"/>
        </w:rPr>
        <w:t xml:space="preserve"> deal with conflicts of interest</w:t>
      </w:r>
      <w:r w:rsidR="0003476A" w:rsidRPr="001A1945">
        <w:rPr>
          <w:rFonts w:cs="Arial"/>
        </w:rPr>
        <w:t>, confidentiality, safety of clients and staff and risk assessments. Provide information on insurance and professional indemnity</w:t>
      </w:r>
    </w:p>
    <w:p w14:paraId="7F8CB6A7" w14:textId="25ABAF77" w:rsidR="0003476A" w:rsidRPr="001A1945" w:rsidRDefault="00265F1E" w:rsidP="001A1945">
      <w:pPr>
        <w:pStyle w:val="ListBullet"/>
        <w:numPr>
          <w:ilvl w:val="0"/>
          <w:numId w:val="7"/>
        </w:numPr>
        <w:spacing w:after="120"/>
        <w:ind w:left="360"/>
        <w:rPr>
          <w:rFonts w:cs="Arial"/>
        </w:rPr>
      </w:pPr>
      <w:r>
        <w:rPr>
          <w:rFonts w:cs="Arial"/>
        </w:rPr>
        <w:t>e</w:t>
      </w:r>
      <w:r w:rsidR="0003476A" w:rsidRPr="001A1945">
        <w:rPr>
          <w:rFonts w:cs="Arial"/>
        </w:rPr>
        <w:t xml:space="preserve">ngagement strategy, including for </w:t>
      </w:r>
      <w:r w:rsidR="00A1101C" w:rsidRPr="001A1945">
        <w:rPr>
          <w:rFonts w:cs="Arial"/>
        </w:rPr>
        <w:t>clients, the Royal Commission</w:t>
      </w:r>
      <w:r w:rsidR="0003476A" w:rsidRPr="001A1945">
        <w:rPr>
          <w:rFonts w:cs="Arial"/>
        </w:rPr>
        <w:t>, referral organisations (counselling, other legal representatives)</w:t>
      </w:r>
      <w:r w:rsidR="00DE5300" w:rsidRPr="001A1945">
        <w:rPr>
          <w:rFonts w:cs="Arial"/>
        </w:rPr>
        <w:t>.</w:t>
      </w:r>
    </w:p>
    <w:p w14:paraId="313CF739" w14:textId="4372E08D" w:rsidR="00BE2F53" w:rsidRPr="00770152" w:rsidRDefault="00BE2F53" w:rsidP="00770152">
      <w:pPr>
        <w:rPr>
          <w:b/>
          <w:u w:val="single"/>
        </w:rPr>
      </w:pPr>
      <w:r w:rsidRPr="00770152">
        <w:rPr>
          <w:b/>
        </w:rPr>
        <w:t>Criterion 3</w:t>
      </w:r>
      <w:r w:rsidR="00EC5EE4" w:rsidRPr="00770152">
        <w:rPr>
          <w:b/>
        </w:rPr>
        <w:t xml:space="preserve"> - </w:t>
      </w:r>
      <w:r w:rsidR="00EC5EE4" w:rsidRPr="00A90293">
        <w:rPr>
          <w:b/>
        </w:rPr>
        <w:t>Describe your capacity to deliver the legal advice service</w:t>
      </w:r>
      <w:r w:rsidR="00701EB3">
        <w:rPr>
          <w:b/>
        </w:rPr>
        <w:t>.</w:t>
      </w:r>
    </w:p>
    <w:p w14:paraId="13B8A6DF" w14:textId="7886D2F5" w:rsidR="00BE2F53" w:rsidRDefault="00BE2F53" w:rsidP="00BE2F53">
      <w:r>
        <w:rPr>
          <w:lang w:val="en-GB"/>
        </w:rPr>
        <w:t>When addressing the criterion</w:t>
      </w:r>
      <w:r w:rsidR="00046281">
        <w:rPr>
          <w:lang w:val="en-GB"/>
        </w:rPr>
        <w:t>,</w:t>
      </w:r>
      <w:r>
        <w:rPr>
          <w:lang w:val="en-GB"/>
        </w:rPr>
        <w:t xml:space="preserve"> strong applicants will</w:t>
      </w:r>
      <w:r w:rsidR="00E03FD3">
        <w:rPr>
          <w:lang w:val="en-GB"/>
        </w:rPr>
        <w:t xml:space="preserve"> demonstrate</w:t>
      </w:r>
      <w:r>
        <w:t>:</w:t>
      </w:r>
    </w:p>
    <w:p w14:paraId="2DE66479" w14:textId="18AFE302" w:rsidR="00BE2F53" w:rsidRPr="001A1945" w:rsidRDefault="00E03FD3" w:rsidP="001A1945">
      <w:pPr>
        <w:pStyle w:val="ListBullet"/>
        <w:numPr>
          <w:ilvl w:val="0"/>
          <w:numId w:val="7"/>
        </w:numPr>
        <w:spacing w:after="120"/>
        <w:ind w:left="360"/>
        <w:rPr>
          <w:rFonts w:cs="Arial"/>
        </w:rPr>
      </w:pPr>
      <w:r w:rsidRPr="001A1945">
        <w:rPr>
          <w:rFonts w:cs="Arial"/>
        </w:rPr>
        <w:t>a costed budget for the term of the grant activity, include any proposed sub-contractor arrangements</w:t>
      </w:r>
    </w:p>
    <w:p w14:paraId="4287B98C" w14:textId="56C26D50" w:rsidR="00E03FD3" w:rsidRPr="001A1945" w:rsidRDefault="00701EB3" w:rsidP="001A1945">
      <w:pPr>
        <w:pStyle w:val="ListBullet"/>
        <w:numPr>
          <w:ilvl w:val="0"/>
          <w:numId w:val="7"/>
        </w:numPr>
        <w:spacing w:after="120"/>
        <w:ind w:left="360"/>
        <w:rPr>
          <w:rFonts w:cs="Arial"/>
        </w:rPr>
      </w:pPr>
      <w:r w:rsidRPr="001A1945">
        <w:rPr>
          <w:rFonts w:cs="Arial"/>
        </w:rPr>
        <w:t xml:space="preserve">the </w:t>
      </w:r>
      <w:r w:rsidR="00E03FD3" w:rsidRPr="001A1945">
        <w:rPr>
          <w:rFonts w:cs="Arial"/>
        </w:rPr>
        <w:t>ability to develop, implement, manage and monitor grant activities to achieve positive outcomes relevant to the grant activity</w:t>
      </w:r>
    </w:p>
    <w:p w14:paraId="7AA936EB" w14:textId="10E2DEAF" w:rsidR="00BE2F53" w:rsidRPr="001A1945" w:rsidRDefault="00A1101C" w:rsidP="001A1945">
      <w:pPr>
        <w:pStyle w:val="ListBullet"/>
        <w:numPr>
          <w:ilvl w:val="0"/>
          <w:numId w:val="7"/>
        </w:numPr>
        <w:spacing w:after="120"/>
        <w:ind w:left="360"/>
        <w:rPr>
          <w:rFonts w:cs="Arial"/>
        </w:rPr>
      </w:pPr>
      <w:r w:rsidRPr="001A1945">
        <w:rPr>
          <w:rFonts w:cs="Arial"/>
        </w:rPr>
        <w:t>s</w:t>
      </w:r>
      <w:r w:rsidR="00E03FD3" w:rsidRPr="001A1945">
        <w:rPr>
          <w:rFonts w:cs="Arial"/>
        </w:rPr>
        <w:t>trong governance and financial arrangements that exist in your organisation</w:t>
      </w:r>
      <w:r w:rsidR="0045296C" w:rsidRPr="001A1945">
        <w:rPr>
          <w:rFonts w:cs="Arial"/>
        </w:rPr>
        <w:t>.</w:t>
      </w:r>
    </w:p>
    <w:p w14:paraId="1004E703" w14:textId="77777777" w:rsidR="00BE2F53" w:rsidRPr="00FD47D5" w:rsidRDefault="00BE2F53" w:rsidP="00010429">
      <w:pPr>
        <w:pStyle w:val="Heading2"/>
      </w:pPr>
      <w:bookmarkStart w:id="85" w:name="_Toc74904763"/>
      <w:bookmarkStart w:id="86" w:name="_Toc164844283"/>
      <w:bookmarkStart w:id="87" w:name="_Toc383003272"/>
      <w:bookmarkEnd w:id="41"/>
      <w:bookmarkEnd w:id="42"/>
      <w:r w:rsidRPr="00FD47D5">
        <w:t>How to apply</w:t>
      </w:r>
      <w:bookmarkEnd w:id="85"/>
    </w:p>
    <w:p w14:paraId="73EBF08E" w14:textId="2A44287B" w:rsidR="00BE2F53" w:rsidRDefault="00BE2F53" w:rsidP="00BE2F53">
      <w:pPr>
        <w:rPr>
          <w:color w:val="0070C0"/>
        </w:rPr>
      </w:pPr>
      <w:r>
        <w:t>Before applying, you</w:t>
      </w:r>
      <w:r w:rsidRPr="00B72EE8">
        <w:t xml:space="preserve"> </w:t>
      </w:r>
      <w:r>
        <w:t>must</w:t>
      </w:r>
      <w:r w:rsidRPr="00B72EE8">
        <w:t xml:space="preserve"> read</w:t>
      </w:r>
      <w:r>
        <w:t xml:space="preserve"> and understand</w:t>
      </w:r>
      <w:r w:rsidRPr="00B72EE8">
        <w:t xml:space="preserve"> these guidelines,</w:t>
      </w:r>
      <w:r>
        <w:t xml:space="preserve"> </w:t>
      </w:r>
      <w:r w:rsidRPr="00B72EE8">
        <w:t xml:space="preserve">the </w:t>
      </w:r>
      <w:r>
        <w:t>terms and conditions,</w:t>
      </w:r>
      <w:r w:rsidRPr="00EE0C10">
        <w:rPr>
          <w:color w:val="0070C0"/>
        </w:rPr>
        <w:t xml:space="preserve"> </w:t>
      </w:r>
      <w:r w:rsidRPr="00D2285A">
        <w:t>sample grant agreement</w:t>
      </w:r>
      <w:r w:rsidR="00A90293">
        <w:t xml:space="preserve"> </w:t>
      </w:r>
      <w:r w:rsidRPr="00482964">
        <w:t xml:space="preserve">and </w:t>
      </w:r>
      <w:r w:rsidR="00036C7F">
        <w:t>Q</w:t>
      </w:r>
      <w:r w:rsidRPr="00A90293">
        <w:t xml:space="preserve">uestions and </w:t>
      </w:r>
      <w:r w:rsidR="00036C7F">
        <w:t>A</w:t>
      </w:r>
      <w:r w:rsidRPr="00A90293">
        <w:t>nswers</w:t>
      </w:r>
      <w:r w:rsidR="00482964">
        <w:rPr>
          <w:color w:val="0070C0"/>
        </w:rPr>
        <w:t>.</w:t>
      </w:r>
    </w:p>
    <w:p w14:paraId="296695A3" w14:textId="4A8E8150" w:rsidR="00010E33" w:rsidRPr="00EC1CFB" w:rsidRDefault="00B21549" w:rsidP="003B5054">
      <w:r w:rsidRPr="00EC1CFB">
        <w:t xml:space="preserve">The Grant Opportunity Guidelines </w:t>
      </w:r>
      <w:r w:rsidR="006C11E1" w:rsidRPr="00EC1CFB">
        <w:t>can be</w:t>
      </w:r>
      <w:r w:rsidRPr="00EC1CFB">
        <w:t xml:space="preserve"> found </w:t>
      </w:r>
      <w:r w:rsidR="00046281" w:rsidRPr="00EC1CFB">
        <w:t>on</w:t>
      </w:r>
      <w:r w:rsidRPr="00EC1CFB">
        <w:t xml:space="preserve"> the </w:t>
      </w:r>
      <w:hyperlink r:id="rId22" w:history="1">
        <w:r w:rsidRPr="00EC1CFB">
          <w:rPr>
            <w:rStyle w:val="Hyperlink"/>
          </w:rPr>
          <w:t>GrantConnect</w:t>
        </w:r>
      </w:hyperlink>
      <w:r w:rsidRPr="00EC1CFB">
        <w:t xml:space="preserve"> and </w:t>
      </w:r>
      <w:hyperlink r:id="rId23" w:history="1">
        <w:r w:rsidRPr="00EC1CFB">
          <w:rPr>
            <w:rStyle w:val="Hyperlink"/>
          </w:rPr>
          <w:t>Community Grants Hub</w:t>
        </w:r>
      </w:hyperlink>
      <w:r w:rsidRPr="00EC1CFB">
        <w:t xml:space="preserve"> websites. Any changes to these guidelines</w:t>
      </w:r>
      <w:r w:rsidR="006C11E1" w:rsidRPr="00EC1CFB">
        <w:t xml:space="preserve"> will be published on both sites. All other grant opportunity documentation (including the online application form) wi</w:t>
      </w:r>
      <w:r w:rsidR="00010E33" w:rsidRPr="00EC1CFB">
        <w:t>ll only be available to invited</w:t>
      </w:r>
      <w:r w:rsidR="003B5054">
        <w:t xml:space="preserve"> </w:t>
      </w:r>
      <w:r w:rsidR="00010E33" w:rsidRPr="00EC1CFB">
        <w:lastRenderedPageBreak/>
        <w:t>applicants</w:t>
      </w:r>
      <w:r w:rsidR="006C11E1" w:rsidRPr="00EC1CFB">
        <w:t xml:space="preserve"> via GrantConnect. Addenda</w:t>
      </w:r>
      <w:r w:rsidR="006C11E1" w:rsidRPr="00EC1CFB">
        <w:rPr>
          <w:rStyle w:val="FootnoteReference"/>
        </w:rPr>
        <w:footnoteReference w:id="3"/>
      </w:r>
      <w:r w:rsidR="006C11E1" w:rsidRPr="00EC1CFB">
        <w:t xml:space="preserve"> to these grant opportunity document</w:t>
      </w:r>
      <w:r w:rsidR="00576B3C" w:rsidRPr="00EC1CFB">
        <w:t>s</w:t>
      </w:r>
      <w:r w:rsidR="006C11E1" w:rsidRPr="00EC1CFB">
        <w:t xml:space="preserve"> will </w:t>
      </w:r>
      <w:r w:rsidR="00576B3C" w:rsidRPr="00EC1CFB">
        <w:t xml:space="preserve">only </w:t>
      </w:r>
      <w:r w:rsidR="006C11E1" w:rsidRPr="00EC1CFB">
        <w:t>be published on GrantConnect.</w:t>
      </w:r>
      <w:r w:rsidR="00084D3B" w:rsidRPr="00EC1CFB">
        <w:t xml:space="preserve"> </w:t>
      </w:r>
    </w:p>
    <w:p w14:paraId="631EE2F6" w14:textId="7F387FC2" w:rsidR="00084D3B" w:rsidRPr="00EC1CFB" w:rsidRDefault="00084D3B" w:rsidP="00BE2F53">
      <w:r w:rsidRPr="00EC1CFB">
        <w:t>By registering on this website, you will be automatically notified of any changes. GrantConnect is the authoritative source for grants information.</w:t>
      </w:r>
    </w:p>
    <w:p w14:paraId="35478E9B" w14:textId="63BA6498" w:rsidR="00BE2F53" w:rsidRPr="00717105" w:rsidRDefault="00BE2F53" w:rsidP="00BE2F53">
      <w:r w:rsidRPr="00717105">
        <w:t>You can only submit one application form for this grant opportunity. If more than one application is submitted, the latest accepted application form will progress.</w:t>
      </w:r>
    </w:p>
    <w:p w14:paraId="0073F89C" w14:textId="493F3858" w:rsidR="00BE2F53" w:rsidRDefault="00BE2F53" w:rsidP="00BE2F53">
      <w:pPr>
        <w:pStyle w:val="ListBullet"/>
        <w:ind w:left="360" w:hanging="360"/>
      </w:pPr>
      <w:r>
        <w:t>To apply</w:t>
      </w:r>
      <w:r w:rsidR="00046281">
        <w:t>,</w:t>
      </w:r>
      <w:r>
        <w:t xml:space="preserve"> you must: </w:t>
      </w:r>
    </w:p>
    <w:p w14:paraId="31A48186" w14:textId="42DEBCE5" w:rsidR="00791E3D" w:rsidRDefault="00791E3D" w:rsidP="001A1945">
      <w:pPr>
        <w:pStyle w:val="ListBullet"/>
        <w:numPr>
          <w:ilvl w:val="0"/>
          <w:numId w:val="7"/>
        </w:numPr>
        <w:spacing w:after="120"/>
        <w:ind w:left="360"/>
        <w:rPr>
          <w:rFonts w:cs="Arial"/>
        </w:rPr>
      </w:pPr>
      <w:r>
        <w:t xml:space="preserve">complete the online application form on </w:t>
      </w:r>
      <w:hyperlink r:id="rId24" w:history="1">
        <w:r w:rsidRPr="006740D4">
          <w:rPr>
            <w:rStyle w:val="Hyperlink"/>
          </w:rPr>
          <w:t>GrantConnect</w:t>
        </w:r>
      </w:hyperlink>
    </w:p>
    <w:p w14:paraId="5165B555" w14:textId="13BC15FF" w:rsidR="00BE2F53" w:rsidRPr="001A1945" w:rsidRDefault="00BE2F53" w:rsidP="001A1945">
      <w:pPr>
        <w:pStyle w:val="ListBullet"/>
        <w:numPr>
          <w:ilvl w:val="0"/>
          <w:numId w:val="7"/>
        </w:numPr>
        <w:spacing w:after="120"/>
        <w:ind w:left="360"/>
        <w:rPr>
          <w:rFonts w:cs="Arial"/>
        </w:rPr>
      </w:pPr>
      <w:r w:rsidRPr="001A1945">
        <w:rPr>
          <w:rFonts w:cs="Arial"/>
        </w:rPr>
        <w:t>provide all the information requested</w:t>
      </w:r>
    </w:p>
    <w:p w14:paraId="45EA68CD" w14:textId="77777777" w:rsidR="00BE2F53" w:rsidRPr="001A1945" w:rsidRDefault="00BE2F53" w:rsidP="001A1945">
      <w:pPr>
        <w:pStyle w:val="ListBullet"/>
        <w:numPr>
          <w:ilvl w:val="0"/>
          <w:numId w:val="7"/>
        </w:numPr>
        <w:spacing w:after="120"/>
        <w:ind w:left="360"/>
        <w:rPr>
          <w:rFonts w:cs="Arial"/>
        </w:rPr>
      </w:pPr>
      <w:r w:rsidRPr="001A1945">
        <w:rPr>
          <w:rFonts w:cs="Arial"/>
        </w:rPr>
        <w:t>address all eligibility criteria and assessment criteria</w:t>
      </w:r>
    </w:p>
    <w:p w14:paraId="5ECC2173" w14:textId="77777777" w:rsidR="00791E3D" w:rsidRDefault="00BE2F53" w:rsidP="00791E3D">
      <w:pPr>
        <w:pStyle w:val="ListBullet"/>
        <w:numPr>
          <w:ilvl w:val="0"/>
          <w:numId w:val="7"/>
        </w:numPr>
        <w:spacing w:after="120"/>
        <w:ind w:left="360"/>
        <w:rPr>
          <w:rFonts w:cs="Arial"/>
        </w:rPr>
      </w:pPr>
      <w:r w:rsidRPr="001A1945">
        <w:rPr>
          <w:rFonts w:cs="Arial"/>
        </w:rPr>
        <w:t>include all necessary attachments</w:t>
      </w:r>
    </w:p>
    <w:p w14:paraId="7E949369" w14:textId="0F467A3A" w:rsidR="00BE2F53" w:rsidRPr="00791E3D" w:rsidRDefault="00BE2F53" w:rsidP="00791E3D">
      <w:pPr>
        <w:pStyle w:val="ListBullet"/>
        <w:numPr>
          <w:ilvl w:val="0"/>
          <w:numId w:val="7"/>
        </w:numPr>
        <w:spacing w:after="120"/>
        <w:ind w:left="360"/>
        <w:rPr>
          <w:rFonts w:cs="Arial"/>
        </w:rPr>
      </w:pPr>
      <w:r w:rsidRPr="003A7117">
        <w:t xml:space="preserve">submit your application </w:t>
      </w:r>
      <w:r w:rsidRPr="007F6D34">
        <w:t xml:space="preserve">by </w:t>
      </w:r>
      <w:r w:rsidR="00FA10D1">
        <w:t>9</w:t>
      </w:r>
      <w:r w:rsidR="00046281">
        <w:t>:</w:t>
      </w:r>
      <w:r w:rsidRPr="00084D3B">
        <w:t>00</w:t>
      </w:r>
      <w:r w:rsidR="00046281">
        <w:t xml:space="preserve"> </w:t>
      </w:r>
      <w:r w:rsidR="00D2285A">
        <w:t>pm</w:t>
      </w:r>
      <w:r w:rsidRPr="00084D3B">
        <w:t xml:space="preserve"> </w:t>
      </w:r>
      <w:r w:rsidR="00A90293" w:rsidRPr="00A90293">
        <w:t>AEST</w:t>
      </w:r>
      <w:r w:rsidRPr="00A90293">
        <w:t xml:space="preserve"> </w:t>
      </w:r>
      <w:r w:rsidRPr="00E43530">
        <w:t>on</w:t>
      </w:r>
      <w:r w:rsidR="00E43530" w:rsidRPr="00E43530">
        <w:t xml:space="preserve"> </w:t>
      </w:r>
      <w:r w:rsidR="00FC4D77">
        <w:t>30</w:t>
      </w:r>
      <w:r w:rsidR="00E43530" w:rsidRPr="00E43530">
        <w:t xml:space="preserve"> July 2021</w:t>
      </w:r>
      <w:r w:rsidRPr="00E43530">
        <w:t>.</w:t>
      </w:r>
    </w:p>
    <w:p w14:paraId="24E8206D" w14:textId="77777777" w:rsidR="00BE2F53" w:rsidRPr="00B72EE8" w:rsidRDefault="00BE2F53" w:rsidP="00BE2F53">
      <w:pPr>
        <w:pStyle w:val="ListBullet"/>
      </w:pPr>
      <w:r>
        <w:t>We will not provide application forms or accept applications for this grant opportunity by fax or mail.</w:t>
      </w:r>
    </w:p>
    <w:p w14:paraId="7830C40B" w14:textId="0ED3336B" w:rsidR="00BE2F53" w:rsidRDefault="00BE2F53" w:rsidP="00BE2F53">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25" w:history="1">
        <w:r w:rsidR="001E65FC">
          <w:rPr>
            <w:rStyle w:val="Hyperlink"/>
            <w:i/>
          </w:rPr>
          <w:t>Criminal Code Act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01DDE105" w14:textId="069AB492" w:rsidR="00BE2F53" w:rsidRPr="00B72EE8" w:rsidRDefault="00BE2F53" w:rsidP="00BE2F53">
      <w:r>
        <w:t xml:space="preserve">If you need more help about the application process, submitting an application online, have any technical difficulties or find an error in your </w:t>
      </w:r>
      <w:r w:rsidR="003C0EE4">
        <w:t xml:space="preserve">submitted </w:t>
      </w:r>
      <w:r>
        <w:t xml:space="preserve">application </w:t>
      </w:r>
      <w:r w:rsidR="003C0EE4">
        <w:t>prior to</w:t>
      </w:r>
      <w:r>
        <w:t xml:space="preserve"> the closing date and time, you should contact the Community Grants Hub immediately on 1800 020 283 </w:t>
      </w:r>
      <w:r w:rsidR="004A4DE6">
        <w:t xml:space="preserve">(option 1) </w:t>
      </w:r>
      <w:r>
        <w:t xml:space="preserve">or email </w:t>
      </w:r>
      <w:hyperlink r:id="rId26"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380E3C95" w14:textId="77777777" w:rsidR="00BE2F53" w:rsidRPr="00780114" w:rsidRDefault="00BE2F53" w:rsidP="00576B3C">
      <w:r w:rsidRPr="00780114">
        <w:t xml:space="preserve">You cannot change your application after the closing date and time. </w:t>
      </w:r>
    </w:p>
    <w:p w14:paraId="008D92FF" w14:textId="77777777" w:rsidR="00084D3B" w:rsidRDefault="00BE2F53" w:rsidP="00576B3C">
      <w:r>
        <w:t>If we find an error or something missing, we may ask you for clarification or additional information</w:t>
      </w:r>
      <w:r w:rsidR="00084D3B">
        <w:t>.</w:t>
      </w:r>
    </w:p>
    <w:p w14:paraId="1536E9B7" w14:textId="60F70BD3" w:rsidR="00BE2F53" w:rsidRDefault="00BE2F53" w:rsidP="00576B3C">
      <w:r>
        <w:t xml:space="preserve">This will not change the nature of your application. However, we can refuse to accept any additional information from you that would change your application after the closing time. </w:t>
      </w:r>
    </w:p>
    <w:p w14:paraId="09F592F9" w14:textId="77777777" w:rsidR="00576B3C" w:rsidRDefault="00BE2F53" w:rsidP="00576B3C">
      <w:r>
        <w:t>You should</w:t>
      </w:r>
      <w:r w:rsidRPr="00B72EE8">
        <w:t xml:space="preserve"> keep a copy of your applica</w:t>
      </w:r>
      <w:r>
        <w:t>tion and any supporting documents</w:t>
      </w:r>
      <w:r w:rsidRPr="00B72EE8">
        <w:t xml:space="preserve">. </w:t>
      </w:r>
    </w:p>
    <w:p w14:paraId="76559E9D" w14:textId="320521FC" w:rsidR="00BE2F53" w:rsidRDefault="00BE2F53" w:rsidP="00576B3C">
      <w:r>
        <w:t>You will receive an automated notification acknowledging the receipt of your a</w:t>
      </w:r>
      <w:r w:rsidRPr="00B72EE8">
        <w:t>pplication</w:t>
      </w:r>
      <w:r>
        <w:t>.</w:t>
      </w:r>
    </w:p>
    <w:p w14:paraId="4DB2DDF4" w14:textId="77777777" w:rsidR="00BE2F53" w:rsidRDefault="00BE2F53" w:rsidP="00010429">
      <w:pPr>
        <w:pStyle w:val="Heading3"/>
      </w:pPr>
      <w:bookmarkStart w:id="88" w:name="_Toc525295534"/>
      <w:bookmarkStart w:id="89" w:name="_Toc525552132"/>
      <w:bookmarkStart w:id="90" w:name="_Toc525722832"/>
      <w:bookmarkStart w:id="91" w:name="_Toc74904764"/>
      <w:bookmarkEnd w:id="88"/>
      <w:bookmarkEnd w:id="89"/>
      <w:bookmarkEnd w:id="90"/>
      <w:r>
        <w:t>Attachments to the application</w:t>
      </w:r>
      <w:bookmarkEnd w:id="91"/>
    </w:p>
    <w:p w14:paraId="339BE69A" w14:textId="26A666DD" w:rsidR="00BE2F53" w:rsidRDefault="004773EE" w:rsidP="00BE2F53">
      <w:r>
        <w:t>The following document</w:t>
      </w:r>
      <w:r w:rsidR="00B745B3" w:rsidRPr="00B745B3">
        <w:t xml:space="preserve"> compl</w:t>
      </w:r>
      <w:r w:rsidR="00B745B3">
        <w:t xml:space="preserve">eted on the mandatory template </w:t>
      </w:r>
      <w:r w:rsidR="00BE2F53">
        <w:t>must be attached to</w:t>
      </w:r>
      <w:r w:rsidR="00BE2F53" w:rsidRPr="00B72EE8">
        <w:t xml:space="preserve"> your application</w:t>
      </w:r>
      <w:r w:rsidR="00BE2F53">
        <w:t xml:space="preserve"> for it to be considered compliant and for it to </w:t>
      </w:r>
      <w:r w:rsidR="00B745B3">
        <w:t>proceed to assessment. The mandatory</w:t>
      </w:r>
      <w:r>
        <w:t xml:space="preserve"> template</w:t>
      </w:r>
      <w:r w:rsidR="00BE2F53">
        <w:t xml:space="preserve"> </w:t>
      </w:r>
      <w:r>
        <w:t>is</w:t>
      </w:r>
      <w:r w:rsidR="00BE2F53">
        <w:t xml:space="preserve"> provided for your use with the grant opportunity documents as specified</w:t>
      </w:r>
      <w:r w:rsidR="00046281">
        <w:t>.</w:t>
      </w:r>
    </w:p>
    <w:p w14:paraId="14ED5847" w14:textId="23D84401" w:rsidR="00BE2F53" w:rsidRPr="004773EE" w:rsidRDefault="004773EE" w:rsidP="001A1945">
      <w:pPr>
        <w:pStyle w:val="ListBullet"/>
        <w:numPr>
          <w:ilvl w:val="0"/>
          <w:numId w:val="7"/>
        </w:numPr>
        <w:spacing w:after="120"/>
        <w:ind w:left="360"/>
        <w:rPr>
          <w:rFonts w:cs="Arial"/>
        </w:rPr>
      </w:pPr>
      <w:r>
        <w:rPr>
          <w:rFonts w:cs="Arial"/>
        </w:rPr>
        <w:t xml:space="preserve">Activity </w:t>
      </w:r>
      <w:r w:rsidR="00B745B3">
        <w:rPr>
          <w:rFonts w:cs="Arial"/>
        </w:rPr>
        <w:t>Budget</w:t>
      </w:r>
      <w:r w:rsidR="00BE2F53" w:rsidRPr="004773EE">
        <w:rPr>
          <w:rFonts w:cs="Arial"/>
        </w:rPr>
        <w:t xml:space="preserve"> </w:t>
      </w:r>
    </w:p>
    <w:p w14:paraId="4E32C72A" w14:textId="23EDE0A6" w:rsidR="00BE2F53" w:rsidRPr="00400EC3" w:rsidRDefault="00BE2F53" w:rsidP="00BE2F53">
      <w:r w:rsidRPr="00400EC3">
        <w:t xml:space="preserve">If </w:t>
      </w:r>
      <w:r w:rsidR="00A56633">
        <w:t>the</w:t>
      </w:r>
      <w:r w:rsidRPr="00400EC3">
        <w:t xml:space="preserve"> mandatory template is not used</w:t>
      </w:r>
      <w:r w:rsidR="00046281">
        <w:t>,</w:t>
      </w:r>
      <w:r w:rsidRPr="00400EC3">
        <w:t xml:space="preserve"> your application will be considered non-compliant and will not proceed to assessment. </w:t>
      </w:r>
    </w:p>
    <w:p w14:paraId="0D0F7A24" w14:textId="77777777" w:rsidR="00BE2F53" w:rsidRDefault="00BE2F53" w:rsidP="00BE2F53">
      <w:r>
        <w:lastRenderedPageBreak/>
        <w:t>You must attach s</w:t>
      </w:r>
      <w:r w:rsidRPr="00B72EE8">
        <w:t xml:space="preserve">upporting documentation </w:t>
      </w:r>
      <w:r>
        <w:t xml:space="preserve">according to the instructions provided within the application form. You should only attach requested documents. We will not consider information in attachments we have not asked for. </w:t>
      </w:r>
    </w:p>
    <w:p w14:paraId="25CD6F6D" w14:textId="77777777" w:rsidR="00BE2F53" w:rsidRDefault="00BE2F53" w:rsidP="00BE2F53">
      <w:r w:rsidRPr="006A44FD">
        <w:rPr>
          <w:b/>
        </w:rPr>
        <w:t>Please note</w:t>
      </w:r>
      <w:r>
        <w:t xml:space="preserve">: There is a 2mb limit for each attachment. </w:t>
      </w:r>
    </w:p>
    <w:p w14:paraId="553872DA" w14:textId="2CDACA17" w:rsidR="00BE2F53" w:rsidRDefault="00FC4D77" w:rsidP="00010429">
      <w:pPr>
        <w:pStyle w:val="Heading3"/>
      </w:pPr>
      <w:bookmarkStart w:id="92" w:name="_Toc74904765"/>
      <w:r>
        <w:t>Joint (C</w:t>
      </w:r>
      <w:r w:rsidR="00BE2F53">
        <w:t>onsortia) applications</w:t>
      </w:r>
      <w:bookmarkEnd w:id="92"/>
    </w:p>
    <w:p w14:paraId="3A7E1DB0" w14:textId="2AABA50B" w:rsidR="00BE2F53" w:rsidRDefault="00BE2F53" w:rsidP="00BE2F53">
      <w:r w:rsidRPr="00EE0C10">
        <w:t>We</w:t>
      </w:r>
      <w:r w:rsidRPr="00EC417F">
        <w:rPr>
          <w:color w:val="0070C0"/>
        </w:rPr>
        <w:t xml:space="preserve"> </w:t>
      </w:r>
      <w:r>
        <w:t>recognise that some organisations may want to join together as a group to deliver</w:t>
      </w:r>
      <w:r w:rsidRPr="000D7DB0">
        <w:t xml:space="preserve"> </w:t>
      </w:r>
      <w:r w:rsidRPr="00EB29BE">
        <w:t>a grant activity</w:t>
      </w:r>
      <w:r>
        <w:t xml:space="preserve">. </w:t>
      </w:r>
    </w:p>
    <w:p w14:paraId="1345BF42" w14:textId="65AB6DAF" w:rsidR="00BE2F53" w:rsidRDefault="00BE2F53" w:rsidP="00BE2F53">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00576B3C" w:rsidRPr="007439DD">
        <w:t>The l</w:t>
      </w:r>
      <w:r w:rsidR="00576B3C" w:rsidRPr="007439DD">
        <w:rPr>
          <w:rFonts w:cs="Arial"/>
        </w:rPr>
        <w:t xml:space="preserve">ead organisation of a consortium must also be an eligible entity as outlined in </w:t>
      </w:r>
      <w:r w:rsidR="00EB179C">
        <w:rPr>
          <w:rFonts w:cs="Arial"/>
        </w:rPr>
        <w:t>s</w:t>
      </w:r>
      <w:r w:rsidR="00576B3C" w:rsidRPr="007439DD">
        <w:rPr>
          <w:rFonts w:cs="Arial"/>
        </w:rPr>
        <w:t>ection 4.1.</w:t>
      </w:r>
      <w:r w:rsidR="00576B3C" w:rsidRPr="00E22673">
        <w:rPr>
          <w:rFonts w:cs="Arial"/>
        </w:rPr>
        <w:t xml:space="preserve"> </w:t>
      </w:r>
      <w:r w:rsidRPr="00B72EE8">
        <w:t>The</w:t>
      </w:r>
      <w:r>
        <w:t xml:space="preserve"> a</w:t>
      </w:r>
      <w:r w:rsidRPr="00B72EE8">
        <w:t xml:space="preserve">pplication </w:t>
      </w:r>
      <w:r>
        <w:t>must</w:t>
      </w:r>
      <w:r w:rsidRPr="00B72EE8">
        <w:t xml:space="preserve"> identify all other members of the proposed </w:t>
      </w:r>
      <w:r>
        <w:t>group.</w:t>
      </w:r>
      <w:r w:rsidR="00EC7ADE">
        <w:t xml:space="preserve"> </w:t>
      </w:r>
      <w:r w:rsidR="00EC7ADE" w:rsidRPr="005F17B8">
        <w:t>All members of the consortium must comply with the National Redress legislation.</w:t>
      </w:r>
    </w:p>
    <w:p w14:paraId="75C7040A" w14:textId="77777777" w:rsidR="00BE2F53" w:rsidRPr="00103A95" w:rsidRDefault="00BE2F53" w:rsidP="00BE2F53">
      <w:r>
        <w:t xml:space="preserve">You must have a formal arrangement in place with all parties prior to execution of the agreement. </w:t>
      </w:r>
    </w:p>
    <w:p w14:paraId="6EF2F542" w14:textId="77777777" w:rsidR="00BE2F53" w:rsidRDefault="00BE2F53" w:rsidP="00010429">
      <w:pPr>
        <w:pStyle w:val="Heading3"/>
      </w:pPr>
      <w:bookmarkStart w:id="93" w:name="_Toc74904766"/>
      <w:r>
        <w:t>Timing of grant opportunity processes</w:t>
      </w:r>
      <w:bookmarkEnd w:id="93"/>
    </w:p>
    <w:p w14:paraId="79B7C81A" w14:textId="77777777" w:rsidR="00BE2F53" w:rsidRDefault="00BE2F53" w:rsidP="00BE2F53">
      <w:r>
        <w:t xml:space="preserve">You must submit an application between the published opening and closing dates. </w:t>
      </w:r>
    </w:p>
    <w:p w14:paraId="1A8499A4" w14:textId="77777777" w:rsidR="00BE2F53" w:rsidRPr="00587B4B" w:rsidRDefault="00BE2F53" w:rsidP="00BE2F53">
      <w:pPr>
        <w:rPr>
          <w:b/>
        </w:rPr>
      </w:pPr>
      <w:r w:rsidRPr="00587B4B">
        <w:rPr>
          <w:b/>
        </w:rPr>
        <w:t xml:space="preserve">Late applications </w:t>
      </w:r>
    </w:p>
    <w:p w14:paraId="5C49B604" w14:textId="3A47659E" w:rsidR="00BE2F53" w:rsidRPr="00010E33" w:rsidRDefault="00BE2F53" w:rsidP="00AA68DD">
      <w:pPr>
        <w:rPr>
          <w:rFonts w:cs="Arial"/>
          <w:lang w:eastAsia="en-AU"/>
        </w:rPr>
      </w:pPr>
      <w:r>
        <w:t>We will not accept late applications</w:t>
      </w:r>
      <w:r w:rsidR="00BF54CA">
        <w:t>.</w:t>
      </w:r>
      <w:r>
        <w:t xml:space="preserve"> </w:t>
      </w:r>
    </w:p>
    <w:p w14:paraId="1A9B0CCA" w14:textId="77777777" w:rsidR="00BE2F53" w:rsidRPr="00587B4B" w:rsidRDefault="00BE2F53" w:rsidP="00BE2F53">
      <w:pPr>
        <w:spacing w:before="200"/>
        <w:rPr>
          <w:b/>
        </w:rPr>
      </w:pPr>
      <w:r w:rsidRPr="00632292">
        <w:rPr>
          <w:b/>
        </w:rPr>
        <w:t xml:space="preserve">Expected timing for this grant opportunity </w:t>
      </w:r>
    </w:p>
    <w:p w14:paraId="494664F8" w14:textId="5C49C31A" w:rsidR="00BE2F53" w:rsidRDefault="00BE2F53" w:rsidP="00BE2F53">
      <w:pPr>
        <w:spacing w:before="200"/>
      </w:pPr>
      <w:r>
        <w:t xml:space="preserve">If you are successful, you will be expected to start your </w:t>
      </w:r>
      <w:r w:rsidRPr="00EB29BE">
        <w:t>grant activity</w:t>
      </w:r>
      <w:r w:rsidR="002E3C51">
        <w:t xml:space="preserve"> </w:t>
      </w:r>
      <w:r>
        <w:t xml:space="preserve">around </w:t>
      </w:r>
      <w:r w:rsidR="000D7DB0" w:rsidRPr="00AA68DD">
        <w:t>September 2021.</w:t>
      </w:r>
    </w:p>
    <w:p w14:paraId="2C9C51CA" w14:textId="77777777" w:rsidR="00BE2F53" w:rsidRPr="00456DA5" w:rsidRDefault="00BE2F53" w:rsidP="00BE2F53">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BE2F53" w:rsidRPr="00DB5819" w14:paraId="7978FAA3" w14:textId="77777777" w:rsidTr="00C17086">
        <w:trPr>
          <w:cantSplit/>
          <w:tblHeader/>
        </w:trPr>
        <w:tc>
          <w:tcPr>
            <w:tcW w:w="4248" w:type="dxa"/>
            <w:shd w:val="clear" w:color="auto" w:fill="264F90"/>
          </w:tcPr>
          <w:p w14:paraId="03FA881B" w14:textId="77777777" w:rsidR="00BE2F53" w:rsidRPr="00CB2630" w:rsidRDefault="00BE2F53" w:rsidP="002410B6">
            <w:pPr>
              <w:pStyle w:val="TableHeadingNumbered"/>
              <w:rPr>
                <w:b/>
              </w:rPr>
            </w:pPr>
            <w:r w:rsidRPr="00CB2630">
              <w:rPr>
                <w:b/>
              </w:rPr>
              <w:t>Activity</w:t>
            </w:r>
          </w:p>
        </w:tc>
        <w:tc>
          <w:tcPr>
            <w:tcW w:w="4541" w:type="dxa"/>
            <w:shd w:val="clear" w:color="auto" w:fill="264F90"/>
          </w:tcPr>
          <w:p w14:paraId="3D441F7E" w14:textId="77777777" w:rsidR="00BE2F53" w:rsidRPr="00CB2630" w:rsidRDefault="00BE2F53" w:rsidP="002410B6">
            <w:pPr>
              <w:pStyle w:val="TableHeadingNumbered"/>
              <w:rPr>
                <w:b/>
              </w:rPr>
            </w:pPr>
            <w:r w:rsidRPr="00CB2630">
              <w:rPr>
                <w:b/>
              </w:rPr>
              <w:t>Timeframe</w:t>
            </w:r>
          </w:p>
        </w:tc>
      </w:tr>
      <w:tr w:rsidR="00BE2F53" w14:paraId="451221CA" w14:textId="77777777" w:rsidTr="00C17086">
        <w:trPr>
          <w:cantSplit/>
        </w:trPr>
        <w:tc>
          <w:tcPr>
            <w:tcW w:w="4248" w:type="dxa"/>
          </w:tcPr>
          <w:p w14:paraId="31344590" w14:textId="77777777" w:rsidR="00BE2F53" w:rsidRPr="00B16B54" w:rsidRDefault="00BE2F53" w:rsidP="002410B6">
            <w:pPr>
              <w:pStyle w:val="TableText"/>
            </w:pPr>
            <w:r w:rsidRPr="00B16B54">
              <w:t>Assessment of applications</w:t>
            </w:r>
          </w:p>
        </w:tc>
        <w:tc>
          <w:tcPr>
            <w:tcW w:w="4541" w:type="dxa"/>
          </w:tcPr>
          <w:p w14:paraId="3D5D7303" w14:textId="46EAB57A" w:rsidR="00BE2F53" w:rsidRPr="00B16B54" w:rsidRDefault="00734BB6" w:rsidP="002410B6">
            <w:pPr>
              <w:pStyle w:val="TableText"/>
            </w:pPr>
            <w:r>
              <w:t xml:space="preserve">Within </w:t>
            </w:r>
            <w:r w:rsidR="00FC4D77">
              <w:t>2 weeks</w:t>
            </w:r>
            <w:r w:rsidR="00FC4D77" w:rsidRPr="00B16B54">
              <w:t xml:space="preserve"> </w:t>
            </w:r>
            <w:r w:rsidR="00FC4D77">
              <w:t>from the closing date</w:t>
            </w:r>
          </w:p>
        </w:tc>
      </w:tr>
      <w:tr w:rsidR="00BE2F53" w14:paraId="466984C3" w14:textId="77777777" w:rsidTr="00C17086">
        <w:trPr>
          <w:cantSplit/>
        </w:trPr>
        <w:tc>
          <w:tcPr>
            <w:tcW w:w="4248" w:type="dxa"/>
          </w:tcPr>
          <w:p w14:paraId="63A72B35" w14:textId="77777777" w:rsidR="00BE2F53" w:rsidRPr="00B16B54" w:rsidRDefault="00BE2F53" w:rsidP="002410B6">
            <w:pPr>
              <w:pStyle w:val="TableText"/>
            </w:pPr>
            <w:r w:rsidRPr="00B16B54">
              <w:t>Approval of outcomes of selection process</w:t>
            </w:r>
          </w:p>
        </w:tc>
        <w:tc>
          <w:tcPr>
            <w:tcW w:w="4541" w:type="dxa"/>
          </w:tcPr>
          <w:p w14:paraId="1F316E84" w14:textId="736C3E90" w:rsidR="00BE2F53" w:rsidRPr="00B16B54" w:rsidRDefault="00734BB6" w:rsidP="002410B6">
            <w:pPr>
              <w:pStyle w:val="TableText"/>
            </w:pPr>
            <w:r>
              <w:t xml:space="preserve">Within </w:t>
            </w:r>
            <w:r w:rsidR="00FC4D77">
              <w:t>4</w:t>
            </w:r>
            <w:r w:rsidR="00FC4D77" w:rsidRPr="00B16B54">
              <w:t xml:space="preserve"> weeks </w:t>
            </w:r>
            <w:r w:rsidR="00FC4D77">
              <w:t>from the closing date</w:t>
            </w:r>
          </w:p>
        </w:tc>
      </w:tr>
      <w:tr w:rsidR="00734BB6" w14:paraId="14B417C1" w14:textId="77777777" w:rsidTr="00C17086">
        <w:trPr>
          <w:cantSplit/>
        </w:trPr>
        <w:tc>
          <w:tcPr>
            <w:tcW w:w="4248" w:type="dxa"/>
          </w:tcPr>
          <w:p w14:paraId="597BEF07" w14:textId="1C79217D" w:rsidR="00734BB6" w:rsidRPr="00B16B54" w:rsidRDefault="00734BB6" w:rsidP="00734BB6">
            <w:pPr>
              <w:pStyle w:val="TableText"/>
            </w:pPr>
            <w:r w:rsidRPr="00B16B54">
              <w:t>Notification to unsuccessful applicants</w:t>
            </w:r>
          </w:p>
        </w:tc>
        <w:tc>
          <w:tcPr>
            <w:tcW w:w="4541" w:type="dxa"/>
          </w:tcPr>
          <w:p w14:paraId="028DCB12" w14:textId="6E067E9E" w:rsidR="00734BB6" w:rsidRDefault="00734BB6" w:rsidP="00734BB6">
            <w:pPr>
              <w:pStyle w:val="TableText"/>
            </w:pPr>
            <w:r>
              <w:t>Within 4</w:t>
            </w:r>
            <w:r w:rsidRPr="00B16B54">
              <w:t xml:space="preserve"> weeks</w:t>
            </w:r>
            <w:r>
              <w:t xml:space="preserve"> from the closing date</w:t>
            </w:r>
          </w:p>
        </w:tc>
      </w:tr>
      <w:tr w:rsidR="00734BB6" w14:paraId="0F6D3711" w14:textId="77777777" w:rsidTr="00C17086">
        <w:trPr>
          <w:cantSplit/>
        </w:trPr>
        <w:tc>
          <w:tcPr>
            <w:tcW w:w="4248" w:type="dxa"/>
          </w:tcPr>
          <w:p w14:paraId="5916F944" w14:textId="77777777" w:rsidR="00734BB6" w:rsidRPr="00B16B54" w:rsidRDefault="00734BB6" w:rsidP="00734BB6">
            <w:pPr>
              <w:pStyle w:val="TableText"/>
            </w:pPr>
            <w:r w:rsidRPr="00B16B54">
              <w:t>Negotiations and award of grant agreements</w:t>
            </w:r>
          </w:p>
        </w:tc>
        <w:tc>
          <w:tcPr>
            <w:tcW w:w="4541" w:type="dxa"/>
          </w:tcPr>
          <w:p w14:paraId="61658A08" w14:textId="535FC430" w:rsidR="00734BB6" w:rsidRPr="00B16B54" w:rsidRDefault="00734BB6" w:rsidP="00734BB6">
            <w:pPr>
              <w:pStyle w:val="TableText"/>
            </w:pPr>
            <w:r>
              <w:t xml:space="preserve">Within 7 </w:t>
            </w:r>
            <w:r w:rsidRPr="007F6D34">
              <w:t>weeks</w:t>
            </w:r>
            <w:r>
              <w:t xml:space="preserve"> from the closing date</w:t>
            </w:r>
          </w:p>
        </w:tc>
      </w:tr>
      <w:tr w:rsidR="00734BB6" w14:paraId="2CF883EF" w14:textId="77777777" w:rsidTr="00C17086">
        <w:trPr>
          <w:cantSplit/>
        </w:trPr>
        <w:tc>
          <w:tcPr>
            <w:tcW w:w="4248" w:type="dxa"/>
          </w:tcPr>
          <w:p w14:paraId="2563B3AB" w14:textId="77777777" w:rsidR="00734BB6" w:rsidRPr="00B16B54" w:rsidRDefault="00734BB6" w:rsidP="00734BB6">
            <w:pPr>
              <w:pStyle w:val="TableText"/>
            </w:pPr>
            <w:r>
              <w:t>Earliest start date of grant a</w:t>
            </w:r>
            <w:r w:rsidRPr="00B16B54">
              <w:t>ctivity</w:t>
            </w:r>
            <w:r>
              <w:t xml:space="preserve"> </w:t>
            </w:r>
          </w:p>
        </w:tc>
        <w:tc>
          <w:tcPr>
            <w:tcW w:w="4541" w:type="dxa"/>
          </w:tcPr>
          <w:p w14:paraId="7CF06250" w14:textId="051450ED" w:rsidR="00734BB6" w:rsidRPr="00BF54CA" w:rsidRDefault="00734BB6" w:rsidP="00734BB6">
            <w:pPr>
              <w:pStyle w:val="TableText"/>
            </w:pPr>
            <w:r>
              <w:t>As stated in your grant agreement, if successful</w:t>
            </w:r>
          </w:p>
        </w:tc>
      </w:tr>
      <w:tr w:rsidR="00734BB6" w14:paraId="659EE581" w14:textId="77777777" w:rsidTr="00C17086">
        <w:trPr>
          <w:cantSplit/>
        </w:trPr>
        <w:tc>
          <w:tcPr>
            <w:tcW w:w="4248" w:type="dxa"/>
          </w:tcPr>
          <w:p w14:paraId="54EA3ED1" w14:textId="77777777" w:rsidR="00734BB6" w:rsidRPr="00B16B54" w:rsidRDefault="00734BB6" w:rsidP="00734BB6">
            <w:pPr>
              <w:pStyle w:val="TableText"/>
            </w:pPr>
            <w:r w:rsidRPr="00B16B54">
              <w:t>End date</w:t>
            </w:r>
            <w:r>
              <w:t xml:space="preserve"> of grant activity </w:t>
            </w:r>
          </w:p>
        </w:tc>
        <w:tc>
          <w:tcPr>
            <w:tcW w:w="4541" w:type="dxa"/>
          </w:tcPr>
          <w:p w14:paraId="3978AD58" w14:textId="28A279EB" w:rsidR="00734BB6" w:rsidRPr="00BF54CA" w:rsidRDefault="00734BB6" w:rsidP="00734BB6">
            <w:pPr>
              <w:pStyle w:val="TableText"/>
            </w:pPr>
            <w:r w:rsidRPr="00C17086">
              <w:t>As stated in your grant agreement, if successful</w:t>
            </w:r>
          </w:p>
        </w:tc>
      </w:tr>
    </w:tbl>
    <w:p w14:paraId="1BD76C38" w14:textId="77777777" w:rsidR="00BE2F53" w:rsidRDefault="00BE2F53" w:rsidP="00010429">
      <w:pPr>
        <w:pStyle w:val="Heading3"/>
      </w:pPr>
      <w:bookmarkStart w:id="94" w:name="_Toc74904767"/>
      <w:r w:rsidRPr="00181A24">
        <w:t>Questions during the application process</w:t>
      </w:r>
      <w:bookmarkEnd w:id="94"/>
    </w:p>
    <w:p w14:paraId="0ED1A8F2" w14:textId="51D5DCB0" w:rsidR="00BE2F53" w:rsidRDefault="00BE2F53" w:rsidP="00BE2F53">
      <w:r>
        <w:t>If you have any questions during the application period</w:t>
      </w:r>
      <w:r w:rsidR="00B83745">
        <w:t>,</w:t>
      </w:r>
      <w:r w:rsidRPr="00931A27">
        <w:t xml:space="preserve"> </w:t>
      </w:r>
      <w:r w:rsidRPr="00A847D2">
        <w:rPr>
          <w:color w:val="000000" w:themeColor="text1"/>
        </w:rPr>
        <w:t>only invited applicants’ questions will be responded to during the application submission period</w:t>
      </w:r>
      <w:r w:rsidR="00B83745">
        <w:t>. Please</w:t>
      </w:r>
      <w:r>
        <w:t xml:space="preserve"> contact the Community Grants Hub on 1800 020 283 </w:t>
      </w:r>
      <w:r w:rsidR="004A4DE6">
        <w:t xml:space="preserve">(option 1) </w:t>
      </w:r>
      <w:r>
        <w:t xml:space="preserve">or email </w:t>
      </w:r>
      <w:hyperlink r:id="rId27" w:history="1">
        <w:r w:rsidRPr="000675F4">
          <w:rPr>
            <w:rStyle w:val="Hyperlink"/>
          </w:rPr>
          <w:t>support@communitygrants.gov.au</w:t>
        </w:r>
      </w:hyperlink>
      <w:r>
        <w:t xml:space="preserve">. </w:t>
      </w:r>
    </w:p>
    <w:p w14:paraId="1C4B0BFB" w14:textId="2384D72A" w:rsidR="00BE2F53" w:rsidRDefault="00BE2F53" w:rsidP="00BE2F53">
      <w:r>
        <w:t xml:space="preserve">The Community Grants Hub will respond to emailed questions within </w:t>
      </w:r>
      <w:r w:rsidR="00B83745">
        <w:t>5</w:t>
      </w:r>
      <w:r>
        <w:t xml:space="preserve"> working days. Answers to questions are posted on </w:t>
      </w:r>
      <w:hyperlink r:id="rId28" w:history="1">
        <w:r w:rsidRPr="004D3D46">
          <w:rPr>
            <w:rStyle w:val="Hyperlink"/>
          </w:rPr>
          <w:t>GrantConnect</w:t>
        </w:r>
      </w:hyperlink>
      <w:r w:rsidR="000D7DB0">
        <w:rPr>
          <w:rStyle w:val="Hyperlink"/>
        </w:rPr>
        <w:t>.</w:t>
      </w:r>
      <w:r>
        <w:t xml:space="preserve"> </w:t>
      </w:r>
    </w:p>
    <w:p w14:paraId="06175B47" w14:textId="0E75C9A1" w:rsidR="00BE2F53" w:rsidRPr="000673F8" w:rsidRDefault="00BE2F53" w:rsidP="00BE2F53">
      <w:pPr>
        <w:rPr>
          <w:rFonts w:eastAsiaTheme="minorHAnsi" w:cstheme="minorBidi"/>
          <w:szCs w:val="22"/>
        </w:rPr>
      </w:pPr>
      <w:r w:rsidRPr="00125362">
        <w:rPr>
          <w:rFonts w:eastAsiaTheme="minorHAnsi" w:cstheme="minorBidi"/>
          <w:szCs w:val="22"/>
        </w:rPr>
        <w:t>The question period will close at 5:00</w:t>
      </w:r>
      <w:r w:rsidR="00B83745">
        <w:rPr>
          <w:rFonts w:eastAsiaTheme="minorHAnsi" w:cstheme="minorBidi"/>
          <w:szCs w:val="22"/>
        </w:rPr>
        <w:t xml:space="preserve"> </w:t>
      </w:r>
      <w:r w:rsidR="00D2285A">
        <w:rPr>
          <w:rFonts w:eastAsiaTheme="minorHAnsi" w:cstheme="minorBidi"/>
          <w:szCs w:val="22"/>
        </w:rPr>
        <w:t>pm</w:t>
      </w:r>
      <w:r w:rsidRPr="00125362">
        <w:rPr>
          <w:rFonts w:eastAsiaTheme="minorHAnsi" w:cstheme="minorBidi"/>
          <w:szCs w:val="22"/>
        </w:rPr>
        <w:t xml:space="preserve"> </w:t>
      </w:r>
      <w:r w:rsidR="00C17086" w:rsidRPr="00C17086">
        <w:rPr>
          <w:rFonts w:eastAsiaTheme="minorHAnsi" w:cstheme="minorBidi"/>
          <w:szCs w:val="22"/>
        </w:rPr>
        <w:t>AEST</w:t>
      </w:r>
      <w:r w:rsidRPr="00C17086">
        <w:rPr>
          <w:rFonts w:eastAsiaTheme="minorHAnsi" w:cstheme="minorBidi"/>
          <w:szCs w:val="22"/>
        </w:rPr>
        <w:t xml:space="preserve"> </w:t>
      </w:r>
      <w:r w:rsidR="004773EE">
        <w:rPr>
          <w:rFonts w:eastAsiaTheme="minorHAnsi" w:cstheme="minorBidi"/>
          <w:szCs w:val="22"/>
        </w:rPr>
        <w:t xml:space="preserve">on </w:t>
      </w:r>
      <w:r w:rsidR="00B07CF6">
        <w:rPr>
          <w:rFonts w:eastAsiaTheme="minorHAnsi" w:cstheme="minorBidi"/>
          <w:szCs w:val="22"/>
        </w:rPr>
        <w:t>23</w:t>
      </w:r>
      <w:r w:rsidR="004773EE">
        <w:rPr>
          <w:rFonts w:eastAsiaTheme="minorHAnsi" w:cstheme="minorBidi"/>
          <w:szCs w:val="22"/>
        </w:rPr>
        <w:t xml:space="preserve"> July 2021</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14:paraId="49156405" w14:textId="77777777" w:rsidR="00BE2F53" w:rsidRDefault="00BE2F53" w:rsidP="00010429">
      <w:pPr>
        <w:pStyle w:val="Heading2"/>
      </w:pPr>
      <w:bookmarkStart w:id="95" w:name="_Toc74904768"/>
      <w:r>
        <w:lastRenderedPageBreak/>
        <w:t>The grant selection process</w:t>
      </w:r>
      <w:bookmarkEnd w:id="95"/>
    </w:p>
    <w:p w14:paraId="54AAFA9E" w14:textId="77777777" w:rsidR="00BE2F53" w:rsidRDefault="00BE2F53" w:rsidP="00010429">
      <w:pPr>
        <w:pStyle w:val="Heading3"/>
      </w:pPr>
      <w:bookmarkStart w:id="96" w:name="_Toc74904769"/>
      <w:r>
        <w:t>Assessment of grant applications</w:t>
      </w:r>
      <w:bookmarkEnd w:id="96"/>
      <w:r>
        <w:t xml:space="preserve"> </w:t>
      </w:r>
    </w:p>
    <w:p w14:paraId="0802F289" w14:textId="21529262" w:rsidR="00BF54CA" w:rsidRDefault="00BF54CA" w:rsidP="00010E33">
      <w:pPr>
        <w:rPr>
          <w:rFonts w:eastAsia="Calibri" w:cs="Arial"/>
        </w:rPr>
      </w:pPr>
      <w:r>
        <w:rPr>
          <w:rFonts w:eastAsia="Calibri" w:cs="Arial"/>
        </w:rPr>
        <w:t>Only application</w:t>
      </w:r>
      <w:r w:rsidR="00CB2630">
        <w:rPr>
          <w:rFonts w:eastAsia="Calibri" w:cs="Arial"/>
        </w:rPr>
        <w:t>s</w:t>
      </w:r>
      <w:r>
        <w:rPr>
          <w:rFonts w:eastAsia="Calibri" w:cs="Arial"/>
        </w:rPr>
        <w:t xml:space="preserve"> from the invited organisation</w:t>
      </w:r>
      <w:r w:rsidR="00CB2630">
        <w:rPr>
          <w:rFonts w:eastAsia="Calibri" w:cs="Arial"/>
        </w:rPr>
        <w:t>s</w:t>
      </w:r>
      <w:r>
        <w:rPr>
          <w:rFonts w:eastAsia="Calibri" w:cs="Arial"/>
        </w:rPr>
        <w:t xml:space="preserve"> listed in section 4.1 will be reviewed against the eligibility criteria and then considered through a targeted competitive grant process.</w:t>
      </w:r>
    </w:p>
    <w:p w14:paraId="3888D716" w14:textId="0D898208" w:rsidR="00BF54CA" w:rsidRDefault="00BF54CA" w:rsidP="00010E33">
      <w:pPr>
        <w:rPr>
          <w:rFonts w:eastAsia="Calibri" w:cs="Arial"/>
        </w:rPr>
      </w:pPr>
      <w:r>
        <w:rPr>
          <w:rFonts w:eastAsia="Calibri" w:cs="Arial"/>
        </w:rPr>
        <w:t xml:space="preserve">If eligible, the </w:t>
      </w:r>
      <w:r w:rsidR="00C17086">
        <w:rPr>
          <w:rFonts w:eastAsia="Calibri" w:cs="Arial"/>
        </w:rPr>
        <w:t>d</w:t>
      </w:r>
      <w:r>
        <w:rPr>
          <w:rFonts w:eastAsia="Calibri" w:cs="Arial"/>
        </w:rPr>
        <w:t xml:space="preserve">epartment will assess your application against the assessment criteria (see </w:t>
      </w:r>
      <w:r w:rsidR="00B745B3">
        <w:rPr>
          <w:rFonts w:eastAsia="Calibri" w:cs="Arial"/>
        </w:rPr>
        <w:br/>
      </w:r>
      <w:r>
        <w:rPr>
          <w:rFonts w:eastAsia="Calibri" w:cs="Arial"/>
        </w:rPr>
        <w:t>section 6). We will consider your application on its merits, based on</w:t>
      </w:r>
      <w:r w:rsidR="000926C2">
        <w:rPr>
          <w:rFonts w:eastAsia="Calibri" w:cs="Arial"/>
        </w:rPr>
        <w:t>:</w:t>
      </w:r>
    </w:p>
    <w:p w14:paraId="3BE6D624" w14:textId="7B51359A" w:rsidR="00E001A4" w:rsidRPr="001A1945" w:rsidRDefault="00E001A4" w:rsidP="001A1945">
      <w:pPr>
        <w:pStyle w:val="ListBullet"/>
        <w:numPr>
          <w:ilvl w:val="0"/>
          <w:numId w:val="7"/>
        </w:numPr>
        <w:spacing w:after="120"/>
        <w:ind w:left="360"/>
        <w:rPr>
          <w:rFonts w:cs="Arial"/>
        </w:rPr>
      </w:pPr>
      <w:r w:rsidRPr="001A1945">
        <w:rPr>
          <w:rFonts w:cs="Arial"/>
        </w:rPr>
        <w:t>how well it meets the criteria</w:t>
      </w:r>
    </w:p>
    <w:p w14:paraId="6EC8193E" w14:textId="7BD3A89D" w:rsidR="000926C2" w:rsidRPr="001A1945" w:rsidRDefault="008F7E1C" w:rsidP="001A1945">
      <w:pPr>
        <w:pStyle w:val="ListBullet"/>
        <w:numPr>
          <w:ilvl w:val="0"/>
          <w:numId w:val="7"/>
        </w:numPr>
        <w:spacing w:after="120"/>
        <w:ind w:left="360"/>
        <w:rPr>
          <w:rFonts w:cs="Arial"/>
        </w:rPr>
      </w:pPr>
      <w:r>
        <w:rPr>
          <w:rFonts w:cs="Arial"/>
        </w:rPr>
        <w:t>h</w:t>
      </w:r>
      <w:r w:rsidR="000926C2" w:rsidRPr="001A1945">
        <w:rPr>
          <w:rFonts w:cs="Arial"/>
        </w:rPr>
        <w:t>ow well it compares to other applications</w:t>
      </w:r>
    </w:p>
    <w:p w14:paraId="21B1F607" w14:textId="56D33AC5" w:rsidR="00E001A4" w:rsidRPr="001A1945" w:rsidRDefault="00E001A4" w:rsidP="001A1945">
      <w:pPr>
        <w:pStyle w:val="ListBullet"/>
        <w:numPr>
          <w:ilvl w:val="0"/>
          <w:numId w:val="7"/>
        </w:numPr>
        <w:spacing w:after="120"/>
        <w:ind w:left="360"/>
        <w:rPr>
          <w:rFonts w:cs="Arial"/>
        </w:rPr>
      </w:pPr>
      <w:r w:rsidRPr="001A1945">
        <w:rPr>
          <w:rFonts w:cs="Arial"/>
        </w:rPr>
        <w:t>whether it provides value with relevant money</w:t>
      </w:r>
      <w:r w:rsidR="000926C2" w:rsidRPr="001A1945">
        <w:rPr>
          <w:rFonts w:cs="Arial"/>
        </w:rPr>
        <w:t>.</w:t>
      </w:r>
      <w:r w:rsidRPr="001A1945">
        <w:rPr>
          <w:rFonts w:cs="Arial"/>
        </w:rPr>
        <w:t xml:space="preserve"> </w:t>
      </w:r>
    </w:p>
    <w:p w14:paraId="519095F1" w14:textId="3AFB787E" w:rsidR="00E001A4" w:rsidRPr="00CE7155" w:rsidRDefault="00E001A4" w:rsidP="00E001A4">
      <w:r w:rsidRPr="00CE7155">
        <w:t>If the selection process identifies unintentional errors in your application, you may be contacted to correct or explain the information.</w:t>
      </w:r>
    </w:p>
    <w:p w14:paraId="0456D82F" w14:textId="2A4F1F3E" w:rsidR="00BE2F53" w:rsidRDefault="00BE2F53" w:rsidP="00EB2AA6">
      <w:pPr>
        <w:pStyle w:val="Heading3"/>
      </w:pPr>
      <w:bookmarkStart w:id="97" w:name="_Toc74904770"/>
      <w:r>
        <w:t>Who will assess and select applications?</w:t>
      </w:r>
      <w:bookmarkEnd w:id="97"/>
    </w:p>
    <w:p w14:paraId="5801A403" w14:textId="0888D026" w:rsidR="00BE2F53" w:rsidRPr="00C0447B" w:rsidRDefault="000D7DB0" w:rsidP="00EC1CFB">
      <w:pPr>
        <w:rPr>
          <w:rFonts w:eastAsia="Calibri" w:cs="Arial"/>
        </w:rPr>
      </w:pPr>
      <w:r w:rsidRPr="00EC1CFB">
        <w:rPr>
          <w:rFonts w:cs="Arial"/>
        </w:rPr>
        <w:t xml:space="preserve">The </w:t>
      </w:r>
      <w:r w:rsidR="00C17086">
        <w:rPr>
          <w:rFonts w:cs="Arial"/>
        </w:rPr>
        <w:t>d</w:t>
      </w:r>
      <w:r w:rsidRPr="00EC1CFB">
        <w:rPr>
          <w:rFonts w:cs="Arial"/>
        </w:rPr>
        <w:t>epartment</w:t>
      </w:r>
      <w:r w:rsidR="00BE2F53" w:rsidRPr="00EC1CFB">
        <w:rPr>
          <w:rFonts w:eastAsia="Calibri" w:cs="Arial"/>
        </w:rPr>
        <w:t xml:space="preserve"> will undertake a preliminary assessment against the selection criteria. The preliminary assessment will provide an initial ranking of applications to inform the deliberations of the Selection Advisory Panel.</w:t>
      </w:r>
    </w:p>
    <w:p w14:paraId="16C43871" w14:textId="3216014C" w:rsidR="00BE2F53" w:rsidRPr="00C0447B" w:rsidRDefault="00BE2F53" w:rsidP="00010E33">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 xml:space="preserve">will be established by the </w:t>
      </w:r>
      <w:r w:rsidR="00C17086">
        <w:rPr>
          <w:rFonts w:eastAsia="Calibri" w:cs="Arial"/>
        </w:rPr>
        <w:t>d</w:t>
      </w:r>
      <w:r w:rsidR="000D7DB0" w:rsidRPr="000D7DB0">
        <w:rPr>
          <w:rFonts w:eastAsia="Calibri" w:cs="Arial"/>
        </w:rPr>
        <w:t>epartment</w:t>
      </w:r>
      <w:r w:rsidRPr="00C0447B">
        <w:rPr>
          <w:rFonts w:eastAsia="Calibri" w:cs="Arial"/>
        </w:rPr>
        <w:t xml:space="preserve"> and may include a mix of </w:t>
      </w:r>
      <w:r w:rsidR="004773EE">
        <w:rPr>
          <w:rFonts w:eastAsia="Calibri" w:cs="Arial"/>
        </w:rPr>
        <w:t xml:space="preserve">senior </w:t>
      </w:r>
      <w:r w:rsidRPr="00C0447B">
        <w:rPr>
          <w:rFonts w:eastAsia="Calibri" w:cs="Arial"/>
        </w:rPr>
        <w:t xml:space="preserve">employees of the </w:t>
      </w:r>
      <w:r w:rsidR="00C17086">
        <w:rPr>
          <w:rFonts w:eastAsia="Calibri" w:cs="Arial"/>
        </w:rPr>
        <w:t>d</w:t>
      </w:r>
      <w:r w:rsidR="000D7DB0" w:rsidRPr="000D7DB0">
        <w:rPr>
          <w:rFonts w:eastAsia="Calibri" w:cs="Arial"/>
        </w:rPr>
        <w:t>epartment</w:t>
      </w:r>
      <w:r w:rsidRPr="00C0447B">
        <w:rPr>
          <w:rFonts w:eastAsia="Calibri" w:cs="Arial"/>
        </w:rPr>
        <w:t xml:space="preserve"> with relevant specialist expertise.</w:t>
      </w:r>
    </w:p>
    <w:p w14:paraId="00B60791" w14:textId="2AEA5005" w:rsidR="00BE2F53" w:rsidRDefault="00BE2F53" w:rsidP="00010E33">
      <w:r>
        <w:rPr>
          <w:rFonts w:cs="Arial"/>
        </w:rPr>
        <w:t xml:space="preserve">Any expert/advisor who is not a Commonwealth </w:t>
      </w:r>
      <w:r w:rsidR="003B42F7">
        <w:rPr>
          <w:rFonts w:cs="Arial"/>
        </w:rPr>
        <w:t>o</w:t>
      </w:r>
      <w:r>
        <w:rPr>
          <w:rFonts w:cs="Arial"/>
        </w:rPr>
        <w:t>fficial will be required/expected to perform their duties in accordance with the CGRGs.</w:t>
      </w:r>
    </w:p>
    <w:p w14:paraId="149826FC" w14:textId="66288612" w:rsidR="00BE2F53" w:rsidRPr="00C0447B" w:rsidRDefault="00BE2F53" w:rsidP="00010E33">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 xml:space="preserve">will assess whether the application represents value with </w:t>
      </w:r>
      <w:r w:rsidR="00EB3307">
        <w:rPr>
          <w:rFonts w:eastAsia="Calibri" w:cs="Arial"/>
        </w:rPr>
        <w:t xml:space="preserve">relevant </w:t>
      </w:r>
      <w:r w:rsidRPr="00C0447B">
        <w:rPr>
          <w:rFonts w:eastAsia="Calibri" w:cs="Arial"/>
        </w:rPr>
        <w:t>money and will make final recommendations to the decision maker by taking into account:</w:t>
      </w:r>
    </w:p>
    <w:p w14:paraId="2C1C5655" w14:textId="4B2E26F4" w:rsidR="00BE2F53" w:rsidRPr="00FE2AD6" w:rsidRDefault="008F7E1C" w:rsidP="001A1945">
      <w:pPr>
        <w:pStyle w:val="ListBullet"/>
        <w:numPr>
          <w:ilvl w:val="0"/>
          <w:numId w:val="7"/>
        </w:numPr>
        <w:spacing w:after="120"/>
        <w:ind w:left="360"/>
        <w:rPr>
          <w:rFonts w:cs="Arial"/>
        </w:rPr>
      </w:pPr>
      <w:r>
        <w:rPr>
          <w:rFonts w:cs="Arial"/>
        </w:rPr>
        <w:t>t</w:t>
      </w:r>
      <w:r w:rsidR="00BE2F53" w:rsidRPr="00FE2AD6">
        <w:rPr>
          <w:rFonts w:cs="Arial"/>
        </w:rPr>
        <w:t xml:space="preserve">he initial preliminary score </w:t>
      </w:r>
      <w:r>
        <w:rPr>
          <w:rFonts w:cs="Arial"/>
        </w:rPr>
        <w:t>against the assessment criteria</w:t>
      </w:r>
    </w:p>
    <w:p w14:paraId="5628CAFA" w14:textId="71338256" w:rsidR="00BE2F53" w:rsidRPr="00FE2AD6" w:rsidRDefault="008F7E1C" w:rsidP="001A1945">
      <w:pPr>
        <w:pStyle w:val="ListBullet"/>
        <w:numPr>
          <w:ilvl w:val="0"/>
          <w:numId w:val="7"/>
        </w:numPr>
        <w:spacing w:after="120"/>
        <w:ind w:left="360"/>
        <w:rPr>
          <w:rFonts w:cs="Arial"/>
        </w:rPr>
      </w:pPr>
      <w:r>
        <w:rPr>
          <w:rFonts w:cs="Arial"/>
        </w:rPr>
        <w:t>t</w:t>
      </w:r>
      <w:r w:rsidR="00BE2F53" w:rsidRPr="00FE2AD6">
        <w:rPr>
          <w:rFonts w:cs="Arial"/>
        </w:rPr>
        <w:t>he overall objective</w:t>
      </w:r>
      <w:r w:rsidR="007B3B94">
        <w:rPr>
          <w:rFonts w:cs="Arial"/>
        </w:rPr>
        <w:t>/</w:t>
      </w:r>
      <w:r w:rsidR="00BE2F53" w:rsidRPr="00FE2AD6">
        <w:rPr>
          <w:rFonts w:cs="Arial"/>
        </w:rPr>
        <w:t xml:space="preserve">s to be </w:t>
      </w:r>
      <w:r>
        <w:rPr>
          <w:rFonts w:cs="Arial"/>
        </w:rPr>
        <w:t>achieved in providing the grant</w:t>
      </w:r>
    </w:p>
    <w:p w14:paraId="75FFB953" w14:textId="523108EE" w:rsidR="00BE2F53" w:rsidRPr="00FE2AD6" w:rsidRDefault="008F7E1C" w:rsidP="001A1945">
      <w:pPr>
        <w:pStyle w:val="ListBullet"/>
        <w:numPr>
          <w:ilvl w:val="0"/>
          <w:numId w:val="7"/>
        </w:numPr>
        <w:spacing w:after="120"/>
        <w:ind w:left="360"/>
        <w:rPr>
          <w:rFonts w:cs="Arial"/>
        </w:rPr>
      </w:pPr>
      <w:r>
        <w:rPr>
          <w:rFonts w:cs="Arial"/>
        </w:rPr>
        <w:t>w</w:t>
      </w:r>
      <w:r w:rsidR="00BE2F53" w:rsidRPr="00FE2AD6">
        <w:rPr>
          <w:rFonts w:cs="Arial"/>
        </w:rPr>
        <w:t>hether t</w:t>
      </w:r>
      <w:r>
        <w:rPr>
          <w:rFonts w:cs="Arial"/>
        </w:rPr>
        <w:t>he proposed project is in scope</w:t>
      </w:r>
    </w:p>
    <w:p w14:paraId="321068E9" w14:textId="2F49479D" w:rsidR="00BE2F53" w:rsidRPr="00FE2AD6" w:rsidRDefault="008F7E1C" w:rsidP="001A1945">
      <w:pPr>
        <w:pStyle w:val="ListBullet"/>
        <w:numPr>
          <w:ilvl w:val="0"/>
          <w:numId w:val="7"/>
        </w:numPr>
        <w:spacing w:after="120"/>
        <w:ind w:left="360"/>
        <w:rPr>
          <w:rFonts w:cs="Arial"/>
        </w:rPr>
      </w:pPr>
      <w:r>
        <w:rPr>
          <w:rFonts w:cs="Arial"/>
        </w:rPr>
        <w:t>t</w:t>
      </w:r>
      <w:r w:rsidR="00BE2F53" w:rsidRPr="00FE2AD6">
        <w:rPr>
          <w:rFonts w:cs="Arial"/>
        </w:rPr>
        <w:t>he rel</w:t>
      </w:r>
      <w:r>
        <w:rPr>
          <w:rFonts w:cs="Arial"/>
        </w:rPr>
        <w:t>ative value of the grant sought</w:t>
      </w:r>
    </w:p>
    <w:p w14:paraId="5746743A" w14:textId="148C7CEA" w:rsidR="00BE2F53" w:rsidRPr="00FE2AD6" w:rsidRDefault="008F7E1C" w:rsidP="001A1945">
      <w:pPr>
        <w:pStyle w:val="ListBullet"/>
        <w:numPr>
          <w:ilvl w:val="0"/>
          <w:numId w:val="7"/>
        </w:numPr>
        <w:spacing w:after="120"/>
        <w:ind w:left="360"/>
        <w:rPr>
          <w:rFonts w:cs="Arial"/>
        </w:rPr>
      </w:pPr>
      <w:r>
        <w:rPr>
          <w:rFonts w:cs="Arial"/>
        </w:rPr>
        <w:t>t</w:t>
      </w:r>
      <w:r w:rsidR="00BE2F53" w:rsidRPr="00FE2AD6">
        <w:rPr>
          <w:rFonts w:cs="Arial"/>
        </w:rPr>
        <w:t xml:space="preserve">he extent to which the applicant demonstrates a commitment to the </w:t>
      </w:r>
      <w:r w:rsidR="00182A03">
        <w:rPr>
          <w:rFonts w:cs="Arial"/>
        </w:rPr>
        <w:t>grant activity</w:t>
      </w:r>
    </w:p>
    <w:p w14:paraId="44E5C011" w14:textId="2D4E24EB" w:rsidR="00BE2F53" w:rsidRPr="00FE2AD6" w:rsidRDefault="008F7E1C" w:rsidP="001A1945">
      <w:pPr>
        <w:pStyle w:val="ListBullet"/>
        <w:numPr>
          <w:ilvl w:val="0"/>
          <w:numId w:val="7"/>
        </w:numPr>
        <w:spacing w:after="120"/>
        <w:ind w:left="360"/>
        <w:rPr>
          <w:rFonts w:cs="Arial"/>
        </w:rPr>
      </w:pPr>
      <w:r>
        <w:rPr>
          <w:rFonts w:cs="Arial"/>
        </w:rPr>
        <w:t>how the grant activity</w:t>
      </w:r>
      <w:r w:rsidR="00BE2F53" w:rsidRPr="00FE2AD6">
        <w:rPr>
          <w:rFonts w:cs="Arial"/>
        </w:rPr>
        <w:t xml:space="preserve"> will target groups or individuals.</w:t>
      </w:r>
    </w:p>
    <w:p w14:paraId="289E6C96" w14:textId="77777777" w:rsidR="00BE2F53" w:rsidRPr="000926C2" w:rsidRDefault="00BE2F53" w:rsidP="000926C2">
      <w:pPr>
        <w:pStyle w:val="BodyTextnospace"/>
        <w:rPr>
          <w:rFonts w:ascii="Arial" w:hAnsi="Arial" w:cs="Arial"/>
          <w:sz w:val="20"/>
        </w:rPr>
      </w:pPr>
      <w:r w:rsidRPr="000926C2">
        <w:rPr>
          <w:rFonts w:ascii="Arial" w:hAnsi="Arial" w:cs="Arial"/>
          <w:sz w:val="20"/>
        </w:rPr>
        <w:t>The Selection Advisory Panel may seek additional information from the applicant to assist in making its final recommendations.</w:t>
      </w:r>
    </w:p>
    <w:p w14:paraId="60B8816B" w14:textId="77777777" w:rsidR="00BE2F53" w:rsidRDefault="00BE2F53" w:rsidP="00EB2AA6">
      <w:pPr>
        <w:pStyle w:val="Heading3"/>
      </w:pPr>
      <w:bookmarkStart w:id="98" w:name="_Toc74904771"/>
      <w:r>
        <w:t>Who will approve grants?</w:t>
      </w:r>
      <w:bookmarkEnd w:id="98"/>
    </w:p>
    <w:p w14:paraId="28FB505F" w14:textId="1F529EC3" w:rsidR="00BE2F53" w:rsidRPr="0081693C" w:rsidRDefault="00BE2F53" w:rsidP="00B0651A">
      <w:pPr>
        <w:pStyle w:val="ListBullet"/>
        <w:spacing w:after="120"/>
        <w:rPr>
          <w:rFonts w:cs="Arial"/>
        </w:rPr>
      </w:pPr>
      <w:r w:rsidRPr="00C0447B">
        <w:rPr>
          <w:rFonts w:eastAsia="Calibri" w:cs="Arial"/>
        </w:rPr>
        <w:t xml:space="preserve">Based on the </w:t>
      </w:r>
      <w:r w:rsidRPr="001331E7">
        <w:rPr>
          <w:rFonts w:eastAsia="Calibri" w:cs="Arial"/>
        </w:rPr>
        <w:t xml:space="preserve">value of the grant round, and in line with the </w:t>
      </w:r>
      <w:r w:rsidR="00C17086">
        <w:rPr>
          <w:rFonts w:cs="Arial"/>
        </w:rPr>
        <w:t>d</w:t>
      </w:r>
      <w:r w:rsidR="00182A03" w:rsidRPr="00717105">
        <w:rPr>
          <w:rFonts w:cs="Arial"/>
        </w:rPr>
        <w:t xml:space="preserve">epartment’s </w:t>
      </w:r>
      <w:r w:rsidRPr="001331E7">
        <w:rPr>
          <w:rFonts w:eastAsia="Calibri" w:cs="Arial"/>
        </w:rPr>
        <w:t>Financial Delegations, the</w:t>
      </w:r>
      <w:r w:rsidR="001331E7" w:rsidRPr="001331E7">
        <w:rPr>
          <w:rFonts w:eastAsia="Calibri" w:cs="Arial"/>
        </w:rPr>
        <w:t xml:space="preserve"> </w:t>
      </w:r>
      <w:r w:rsidR="00182A03" w:rsidRPr="001331E7">
        <w:rPr>
          <w:rFonts w:eastAsia="Calibri" w:cs="Arial"/>
        </w:rPr>
        <w:t>Deputy</w:t>
      </w:r>
      <w:r w:rsidRPr="001331E7">
        <w:rPr>
          <w:rFonts w:eastAsia="Calibri" w:cs="Arial"/>
        </w:rPr>
        <w:t xml:space="preserve"> </w:t>
      </w:r>
      <w:r w:rsidR="00182A03" w:rsidRPr="00717105">
        <w:rPr>
          <w:rFonts w:cs="Arial"/>
        </w:rPr>
        <w:t xml:space="preserve">Secretary </w:t>
      </w:r>
      <w:r w:rsidRPr="00C0447B">
        <w:rPr>
          <w:rFonts w:eastAsia="Calibri" w:cs="Arial"/>
        </w:rPr>
        <w:t>will be the decision maker for this round. The decision maker decides which grants to approve based on the recommendations of the Selection Advisory Panel, taking into consideration any further information that may become known, including the</w:t>
      </w:r>
      <w:r>
        <w:rPr>
          <w:rFonts w:cs="Arial"/>
        </w:rPr>
        <w:t xml:space="preserve"> </w:t>
      </w:r>
      <w:r w:rsidRPr="00FE2AD6">
        <w:rPr>
          <w:rFonts w:cs="Arial"/>
        </w:rPr>
        <w:t>availability of grant funds for the purposes of the grant program</w:t>
      </w:r>
      <w:r>
        <w:rPr>
          <w:rFonts w:cs="Arial"/>
        </w:rPr>
        <w:t>.</w:t>
      </w:r>
    </w:p>
    <w:p w14:paraId="1BB8AB69" w14:textId="77777777" w:rsidR="003B5054" w:rsidRDefault="003B5054">
      <w:pPr>
        <w:spacing w:before="0" w:after="0" w:line="240" w:lineRule="auto"/>
        <w:rPr>
          <w:rFonts w:eastAsia="Calibri" w:cs="Arial"/>
        </w:rPr>
      </w:pPr>
      <w:r>
        <w:rPr>
          <w:rFonts w:eastAsia="Calibri" w:cs="Arial"/>
        </w:rPr>
        <w:br w:type="page"/>
      </w:r>
    </w:p>
    <w:p w14:paraId="4C471CE9" w14:textId="2D0E6154" w:rsidR="00BE2F53" w:rsidRPr="00C0447B" w:rsidRDefault="00BE2F53" w:rsidP="00B0651A">
      <w:pPr>
        <w:rPr>
          <w:rFonts w:eastAsia="Calibri" w:cs="Arial"/>
        </w:rPr>
      </w:pPr>
      <w:r w:rsidRPr="00C0447B">
        <w:rPr>
          <w:rFonts w:eastAsia="Calibri" w:cs="Arial"/>
        </w:rPr>
        <w:lastRenderedPageBreak/>
        <w:t>The decision maker’s decision</w:t>
      </w:r>
      <w:r w:rsidRPr="00C0447B">
        <w:rPr>
          <w:rFonts w:eastAsia="Calibri" w:cs="Arial"/>
          <w:color w:val="00B0F0"/>
        </w:rPr>
        <w:t xml:space="preserve"> </w:t>
      </w:r>
      <w:r w:rsidRPr="00C0447B">
        <w:rPr>
          <w:rFonts w:eastAsia="Calibri" w:cs="Arial"/>
        </w:rPr>
        <w:t>is final in all matters, including</w:t>
      </w:r>
      <w:r w:rsidR="00E001A4">
        <w:rPr>
          <w:rFonts w:eastAsia="Calibri" w:cs="Arial"/>
        </w:rPr>
        <w:t xml:space="preserve"> the</w:t>
      </w:r>
      <w:r w:rsidRPr="00C0447B">
        <w:rPr>
          <w:rFonts w:eastAsia="Calibri" w:cs="Arial"/>
        </w:rPr>
        <w:t>:</w:t>
      </w:r>
    </w:p>
    <w:p w14:paraId="5F2CECA9" w14:textId="110B01B5" w:rsidR="00BE2F53" w:rsidRPr="00FE2AD6" w:rsidRDefault="00BE2F53" w:rsidP="001A1945">
      <w:pPr>
        <w:pStyle w:val="ListBullet"/>
        <w:numPr>
          <w:ilvl w:val="0"/>
          <w:numId w:val="7"/>
        </w:numPr>
        <w:spacing w:after="120"/>
        <w:ind w:left="360"/>
        <w:rPr>
          <w:rFonts w:cs="Arial"/>
        </w:rPr>
      </w:pPr>
      <w:r w:rsidRPr="00FE2AD6">
        <w:rPr>
          <w:rFonts w:cs="Arial"/>
        </w:rPr>
        <w:t>approval of the grant</w:t>
      </w:r>
    </w:p>
    <w:p w14:paraId="597FFD50" w14:textId="01699C65" w:rsidR="00BE2F53" w:rsidRPr="00FE2AD6" w:rsidRDefault="00BE2F53" w:rsidP="001A1945">
      <w:pPr>
        <w:pStyle w:val="ListBullet"/>
        <w:numPr>
          <w:ilvl w:val="0"/>
          <w:numId w:val="7"/>
        </w:numPr>
        <w:spacing w:after="120"/>
        <w:ind w:left="360"/>
        <w:rPr>
          <w:rFonts w:cs="Arial"/>
        </w:rPr>
      </w:pPr>
      <w:r w:rsidRPr="00FE2AD6">
        <w:rPr>
          <w:rFonts w:cs="Arial"/>
        </w:rPr>
        <w:t>grant funding amount to be awarded</w:t>
      </w:r>
    </w:p>
    <w:p w14:paraId="1E25D1D0" w14:textId="26031949" w:rsidR="00BE2F53" w:rsidRPr="00FE2AD6" w:rsidRDefault="00BE2F53" w:rsidP="001A1945">
      <w:pPr>
        <w:pStyle w:val="ListBullet"/>
        <w:numPr>
          <w:ilvl w:val="0"/>
          <w:numId w:val="7"/>
        </w:numPr>
        <w:spacing w:after="120"/>
        <w:ind w:left="360"/>
        <w:rPr>
          <w:rFonts w:cs="Arial"/>
        </w:rPr>
      </w:pPr>
      <w:r w:rsidRPr="00FE2AD6">
        <w:rPr>
          <w:rFonts w:cs="Arial"/>
        </w:rPr>
        <w:t xml:space="preserve">terms and conditions of the grant. </w:t>
      </w:r>
    </w:p>
    <w:p w14:paraId="2BEED3AF" w14:textId="77777777" w:rsidR="00BE2F53" w:rsidRPr="00C0447B" w:rsidRDefault="00BE2F53" w:rsidP="00B0651A">
      <w:pPr>
        <w:rPr>
          <w:rFonts w:eastAsia="Calibri" w:cs="Arial"/>
        </w:rPr>
      </w:pPr>
      <w:r w:rsidRPr="00C0447B">
        <w:rPr>
          <w:rFonts w:eastAsia="Calibri" w:cs="Arial"/>
        </w:rPr>
        <w:t>There is no appeal mechanism for decisions to approve or not approve a grant.</w:t>
      </w:r>
    </w:p>
    <w:p w14:paraId="043BA01E" w14:textId="77777777" w:rsidR="00BE2F53" w:rsidRDefault="00BE2F53" w:rsidP="00010429">
      <w:pPr>
        <w:pStyle w:val="Heading2"/>
      </w:pPr>
      <w:bookmarkStart w:id="99" w:name="_Toc74904772"/>
      <w:r>
        <w:t>Notification of application outcomes</w:t>
      </w:r>
      <w:bookmarkEnd w:id="99"/>
    </w:p>
    <w:p w14:paraId="7E7A5392" w14:textId="77777777" w:rsidR="00BE2F53" w:rsidRDefault="00BE2F53" w:rsidP="00B0651A">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2CB6B8A7" w14:textId="77777777" w:rsidR="00BE2F53" w:rsidRDefault="00BE2F53" w:rsidP="00010429">
      <w:pPr>
        <w:pStyle w:val="Heading3"/>
      </w:pPr>
      <w:bookmarkStart w:id="100" w:name="_Toc74904773"/>
      <w:r w:rsidRPr="00FB0C71">
        <w:t>Feedback on your application</w:t>
      </w:r>
      <w:bookmarkEnd w:id="100"/>
    </w:p>
    <w:p w14:paraId="78D69A75" w14:textId="05609421" w:rsidR="00BE2F53" w:rsidRDefault="00BE2F53" w:rsidP="00B0651A">
      <w:r>
        <w:t xml:space="preserve">A </w:t>
      </w:r>
      <w:r w:rsidR="00C03A6E">
        <w:t>f</w:t>
      </w:r>
      <w:r w:rsidRPr="006734C3">
        <w:t xml:space="preserve">eedback </w:t>
      </w:r>
      <w:r w:rsidR="00C03A6E">
        <w:t>s</w:t>
      </w:r>
      <w:r w:rsidRPr="006734C3">
        <w:t>ummary</w:t>
      </w:r>
      <w:r>
        <w:t xml:space="preserve"> will be published on the Community Grants Hub website to provide all organisations with easy access to information about the grant selection process and the main strengths and areas for improving applications.</w:t>
      </w:r>
    </w:p>
    <w:p w14:paraId="5BF078C2" w14:textId="77777777" w:rsidR="00BE2F53" w:rsidRPr="00EB29BE" w:rsidRDefault="00BE2F53" w:rsidP="00B0651A">
      <w:r w:rsidRPr="00EB29BE">
        <w:t>Individual feedback will not be provided for this grant opportunity.</w:t>
      </w:r>
    </w:p>
    <w:p w14:paraId="3C9C3CDA" w14:textId="77777777" w:rsidR="00BE2F53" w:rsidRDefault="00BE2F53" w:rsidP="00010429">
      <w:pPr>
        <w:pStyle w:val="Heading2"/>
      </w:pPr>
      <w:bookmarkStart w:id="101" w:name="_Toc525295546"/>
      <w:bookmarkStart w:id="102" w:name="_Toc525552144"/>
      <w:bookmarkStart w:id="103" w:name="_Toc525722844"/>
      <w:bookmarkStart w:id="104" w:name="_Toc74904774"/>
      <w:bookmarkEnd w:id="101"/>
      <w:bookmarkEnd w:id="102"/>
      <w:bookmarkEnd w:id="103"/>
      <w:r>
        <w:t>Successful grant applications</w:t>
      </w:r>
      <w:bookmarkEnd w:id="104"/>
    </w:p>
    <w:p w14:paraId="50D7595A" w14:textId="77777777" w:rsidR="00BE2F53" w:rsidRPr="00FB0C71" w:rsidRDefault="00BE2F53" w:rsidP="00010429">
      <w:pPr>
        <w:pStyle w:val="Heading3"/>
      </w:pPr>
      <w:bookmarkStart w:id="105" w:name="_Toc74904775"/>
      <w:r>
        <w:t>The grant agreement</w:t>
      </w:r>
      <w:bookmarkEnd w:id="105"/>
    </w:p>
    <w:p w14:paraId="1F317287" w14:textId="19DFE207" w:rsidR="00BE2F53" w:rsidRDefault="00BE2F53" w:rsidP="00BE2F53">
      <w:bookmarkStart w:id="106" w:name="_Toc466898121"/>
      <w:bookmarkEnd w:id="86"/>
      <w:bookmarkEnd w:id="87"/>
      <w:r>
        <w:t>You must enter into a legally binding grant agreement with the Commonwealth.</w:t>
      </w:r>
      <w:r w:rsidRPr="00B65B88">
        <w:t xml:space="preserve"> </w:t>
      </w:r>
      <w:r>
        <w:t xml:space="preserve">We will offer </w:t>
      </w:r>
      <w:r w:rsidRPr="00182A03">
        <w:t>successful applicants a Commonwealth Standard Grant Agreement</w:t>
      </w:r>
      <w:r w:rsidRPr="00961BC2">
        <w:rPr>
          <w:color w:val="0070C0"/>
        </w:rPr>
        <w:t xml:space="preserve"> </w:t>
      </w:r>
      <w:r>
        <w:t>for this grant opportunity.</w:t>
      </w:r>
    </w:p>
    <w:p w14:paraId="67564D41" w14:textId="51CA4534" w:rsidR="00BE2F53" w:rsidRPr="007B4969" w:rsidRDefault="00BE2F53" w:rsidP="00BE2F53">
      <w:r>
        <w:t>Each agreement has</w:t>
      </w:r>
      <w:r w:rsidR="001E7470">
        <w:t xml:space="preserve"> </w:t>
      </w:r>
      <w:r w:rsidRPr="002E037E">
        <w:t>standard</w:t>
      </w:r>
      <w:r>
        <w:t xml:space="preserve"> grant conditions that cannot be changed. </w:t>
      </w:r>
      <w:r w:rsidRPr="00D2285A">
        <w:t xml:space="preserve">Sample </w:t>
      </w:r>
      <w:r w:rsidRPr="00D2285A">
        <w:rPr>
          <w:rStyle w:val="Hyperlink"/>
          <w:rFonts w:eastAsia="MS Mincho"/>
          <w:color w:val="auto"/>
          <w:u w:val="none"/>
        </w:rPr>
        <w:t>grant agreements are</w:t>
      </w:r>
      <w:r w:rsidRPr="00D2285A">
        <w:t xml:space="preserve"> available on GrantConnect as part of the grant documentation</w:t>
      </w:r>
      <w:r w:rsidRPr="00D2285A">
        <w:rPr>
          <w:color w:val="0070C0"/>
        </w:rPr>
        <w:t>.</w:t>
      </w:r>
      <w:r w:rsidRPr="007B4969">
        <w:rPr>
          <w:color w:val="0070C0"/>
        </w:rPr>
        <w:t xml:space="preserve"> </w:t>
      </w:r>
      <w:r w:rsidRPr="007B4969">
        <w:t>We will use a schedule to outline the specific grant requirements.</w:t>
      </w:r>
    </w:p>
    <w:p w14:paraId="74DE9339" w14:textId="29EB175A" w:rsidR="00BE2F53" w:rsidRPr="00566D72" w:rsidRDefault="00BE2F53" w:rsidP="00BE2F53">
      <w:pPr>
        <w:rPr>
          <w:color w:val="0070C0"/>
        </w:rPr>
      </w:pPr>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w:t>
      </w:r>
      <w:r w:rsidR="008F7E1C">
        <w:t>.</w:t>
      </w:r>
    </w:p>
    <w:p w14:paraId="19C2DF08" w14:textId="7CCAC697"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These</w:t>
      </w:r>
      <w:r w:rsidR="008F7E1C">
        <w:t xml:space="preserve"> will be</w:t>
      </w:r>
      <w:r>
        <w:t xml:space="preserve"> identified in the agreement. </w:t>
      </w:r>
    </w:p>
    <w:p w14:paraId="223843B5" w14:textId="2DAF28CE" w:rsidR="00A01DF0" w:rsidRDefault="00A01DF0" w:rsidP="00BE2F53">
      <w:r w:rsidRPr="00A01DF0">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63F2E9FB" w14:textId="77777777" w:rsidR="00BE2F53" w:rsidRDefault="00BE2F53" w:rsidP="00BE2F53">
      <w:r>
        <w:t xml:space="preserve">The Commonwealth may recover grant funds if there is a breach of the </w:t>
      </w:r>
      <w:r w:rsidRPr="00AE3DAF">
        <w:t>grant agreement</w:t>
      </w:r>
      <w:r>
        <w:t>.</w:t>
      </w:r>
    </w:p>
    <w:p w14:paraId="4500CF59" w14:textId="40CEFA75" w:rsidR="00BE2F53" w:rsidRPr="00F1569F" w:rsidRDefault="00BE2F53" w:rsidP="00BE2F53">
      <w:pPr>
        <w:rPr>
          <w:b/>
        </w:rPr>
      </w:pPr>
      <w:bookmarkStart w:id="107" w:name="_Toc468693652"/>
      <w:r w:rsidRPr="00F1569F">
        <w:rPr>
          <w:b/>
        </w:rPr>
        <w:t xml:space="preserve">Commonwealth </w:t>
      </w:r>
      <w:r w:rsidRPr="00EB29BE">
        <w:rPr>
          <w:b/>
        </w:rPr>
        <w:t xml:space="preserve">Standard </w:t>
      </w:r>
      <w:r w:rsidRPr="00F1569F">
        <w:rPr>
          <w:b/>
        </w:rPr>
        <w:t>Grant Agreement</w:t>
      </w:r>
      <w:bookmarkEnd w:id="107"/>
      <w:r w:rsidRPr="00F1569F">
        <w:rPr>
          <w:b/>
        </w:rPr>
        <w:t xml:space="preserve"> </w:t>
      </w:r>
    </w:p>
    <w:p w14:paraId="4B1F6C17" w14:textId="017D1BB6" w:rsidR="00BE2F53" w:rsidRPr="005E5DCD" w:rsidRDefault="00BE2F53" w:rsidP="00BE2F53">
      <w:r>
        <w:rPr>
          <w:iCs/>
        </w:rPr>
        <w:t>We</w:t>
      </w:r>
      <w:r w:rsidRPr="00F1569F">
        <w:rPr>
          <w:iCs/>
          <w:color w:val="548DD4" w:themeColor="text2" w:themeTint="99"/>
        </w:rPr>
        <w:t xml:space="preserve"> </w:t>
      </w:r>
      <w:r w:rsidRPr="008B5C65">
        <w:rPr>
          <w:iCs/>
        </w:rPr>
        <w:t xml:space="preserve">will use a </w:t>
      </w:r>
      <w:r w:rsidRPr="00F1569F">
        <w:rPr>
          <w:iCs/>
        </w:rPr>
        <w:t xml:space="preserve">Commonwealth </w:t>
      </w:r>
      <w:r w:rsidR="00182A03" w:rsidRPr="000926C2">
        <w:rPr>
          <w:iCs/>
        </w:rPr>
        <w:t xml:space="preserve">Standard </w:t>
      </w:r>
      <w:r w:rsidR="00F44F8B" w:rsidRPr="00416054">
        <w:rPr>
          <w:iCs/>
        </w:rPr>
        <w:t xml:space="preserve">Grant </w:t>
      </w:r>
      <w:r w:rsidR="00F44F8B">
        <w:rPr>
          <w:iCs/>
        </w:rPr>
        <w:t>A</w:t>
      </w:r>
      <w:r w:rsidR="00F44F8B" w:rsidRPr="00AE3DAF">
        <w:rPr>
          <w:iCs/>
        </w:rPr>
        <w:t>greement</w:t>
      </w:r>
      <w:r w:rsidRPr="00F1569F">
        <w:rPr>
          <w:iCs/>
        </w:rPr>
        <w:t>.</w:t>
      </w:r>
    </w:p>
    <w:p w14:paraId="0F827EE8" w14:textId="33F994B3" w:rsidR="00BE2F53" w:rsidRDefault="00BE2F53" w:rsidP="00BE2F53">
      <w:pPr>
        <w:rPr>
          <w:iCs/>
        </w:rPr>
      </w:pPr>
      <w:r w:rsidRPr="0001641E">
        <w:rPr>
          <w:iCs/>
        </w:rPr>
        <w:t xml:space="preserve">You will </w:t>
      </w:r>
      <w:r w:rsidRPr="00705C93">
        <w:rPr>
          <w:iCs/>
        </w:rPr>
        <w:t>have</w:t>
      </w:r>
      <w:r>
        <w:rPr>
          <w:iCs/>
        </w:rPr>
        <w:t xml:space="preserve"> </w:t>
      </w:r>
      <w:r w:rsidR="00416054">
        <w:rPr>
          <w:iCs/>
        </w:rPr>
        <w:t>10</w:t>
      </w:r>
      <w:r>
        <w:rPr>
          <w:iCs/>
        </w:rPr>
        <w:t xml:space="preserve">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1C4B47E0" w14:textId="77777777" w:rsidR="00BE2F53" w:rsidRDefault="00BE2F53" w:rsidP="00BE2F53">
      <w:pPr>
        <w:rPr>
          <w:iCs/>
        </w:rPr>
      </w:pPr>
      <w:r w:rsidRPr="0001641E">
        <w:rPr>
          <w:iCs/>
        </w:rPr>
        <w:lastRenderedPageBreak/>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0F111BB1" w14:textId="379CCA2B" w:rsidR="00BE2F53" w:rsidRPr="005E5DCD" w:rsidRDefault="00BE2F53" w:rsidP="00BE2F53">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14:paraId="1E601B70" w14:textId="15049E2E" w:rsidR="00BE2F53" w:rsidRDefault="00BE2F53" w:rsidP="00010429">
      <w:pPr>
        <w:pStyle w:val="Heading3"/>
      </w:pPr>
      <w:bookmarkStart w:id="108" w:name="_Toc74904776"/>
      <w:r>
        <w:t>Commonwealth Child Safe Framework</w:t>
      </w:r>
      <w:bookmarkEnd w:id="108"/>
    </w:p>
    <w:p w14:paraId="68094BC3" w14:textId="77777777" w:rsidR="00BE2F53" w:rsidRDefault="00BE2F53" w:rsidP="00010E33">
      <w:pPr>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47AC5AE5" w14:textId="77777777" w:rsidR="00BE2F53" w:rsidRDefault="00BE2F53" w:rsidP="00010E33">
      <w:pPr>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3A27E1FA" w14:textId="377C7504" w:rsidR="00BE2F53" w:rsidRPr="001A1945" w:rsidRDefault="00BE2F53" w:rsidP="001A1945">
      <w:pPr>
        <w:pStyle w:val="ListBullet"/>
        <w:numPr>
          <w:ilvl w:val="0"/>
          <w:numId w:val="7"/>
        </w:numPr>
        <w:spacing w:after="120"/>
        <w:ind w:left="360"/>
        <w:rPr>
          <w:rFonts w:cs="Arial"/>
        </w:rPr>
      </w:pPr>
      <w:r w:rsidRPr="001A1945">
        <w:rPr>
          <w:rFonts w:cs="Arial"/>
        </w:rPr>
        <w:t>s</w:t>
      </w:r>
      <w:r w:rsidR="00B0651A" w:rsidRPr="001A1945">
        <w:rPr>
          <w:rFonts w:cs="Arial"/>
        </w:rPr>
        <w:t>ervices directly to children</w:t>
      </w:r>
    </w:p>
    <w:p w14:paraId="2715050B" w14:textId="77777777" w:rsidR="00BE2F53" w:rsidRPr="001A1945" w:rsidRDefault="00BE2F53" w:rsidP="001A1945">
      <w:pPr>
        <w:pStyle w:val="ListBullet"/>
        <w:numPr>
          <w:ilvl w:val="0"/>
          <w:numId w:val="7"/>
        </w:numPr>
        <w:spacing w:after="120"/>
        <w:ind w:left="360"/>
        <w:rPr>
          <w:rFonts w:cs="Arial"/>
        </w:rPr>
      </w:pPr>
      <w:r w:rsidRPr="001A1945">
        <w:rPr>
          <w:rFonts w:cs="Arial"/>
        </w:rPr>
        <w:t>activities that involve contact with children that is a usual part of, and more than incidental to, the grant activity.</w:t>
      </w:r>
    </w:p>
    <w:p w14:paraId="6C6F4CF0" w14:textId="77777777" w:rsidR="00BE2F53" w:rsidRDefault="00BE2F53" w:rsidP="00010E33">
      <w:pPr>
        <w:rPr>
          <w:rFonts w:cs="Arial"/>
        </w:rPr>
      </w:pPr>
      <w:r>
        <w:rPr>
          <w:rFonts w:cs="Arial"/>
        </w:rPr>
        <w:t>A child safety clause may also be included in the grant agreement if the Commonwealth considers the grant activity involves children more broadly.</w:t>
      </w:r>
    </w:p>
    <w:p w14:paraId="04E77A25" w14:textId="2B5B17FD" w:rsidR="00BE2F53" w:rsidRPr="00830B56" w:rsidRDefault="00BE2F53" w:rsidP="00010E33">
      <w:pPr>
        <w:rPr>
          <w:rFonts w:cstheme="minorHAnsi"/>
          <w:bCs/>
          <w:lang w:eastAsia="en-AU"/>
        </w:rPr>
      </w:pPr>
      <w:r>
        <w:rPr>
          <w:rFonts w:cs="Arial"/>
        </w:rPr>
        <w:t xml:space="preserve">The successful applicant will be required to comply with all child safety obligations included in the grant agreement published with this grant opportunity or notified to the successful applicant prior to execution of the grant agreement. Irrespective of the child </w:t>
      </w:r>
      <w:r w:rsidR="008F7E1C">
        <w:rPr>
          <w:rFonts w:cs="Arial"/>
        </w:rPr>
        <w:t xml:space="preserve">safety obligations in the grant </w:t>
      </w:r>
      <w:r>
        <w:rPr>
          <w:rFonts w:cs="Arial"/>
        </w:rPr>
        <w:t>agreement</w:t>
      </w:r>
      <w:r w:rsidR="006544E9">
        <w:rPr>
          <w:rFonts w:cs="Arial"/>
        </w:rPr>
        <w:t>,</w:t>
      </w:r>
      <w:r>
        <w:rPr>
          <w:rFonts w:cs="Arial"/>
        </w:rPr>
        <w:t xml:space="preserve"> you must always comply with your state and territory legislative requirements for working with children </w:t>
      </w:r>
      <w:r w:rsidRPr="00830B56">
        <w:rPr>
          <w:rFonts w:cs="Arial"/>
        </w:rPr>
        <w:t>and mandatory reporting.</w:t>
      </w:r>
      <w:r w:rsidRPr="00830B56">
        <w:rPr>
          <w:bCs/>
          <w:lang w:eastAsia="en-AU"/>
        </w:rPr>
        <w:t xml:space="preserve"> </w:t>
      </w:r>
    </w:p>
    <w:p w14:paraId="3F4580BC" w14:textId="77777777" w:rsidR="00BE2F53" w:rsidRPr="00830B56" w:rsidRDefault="00BE2F53" w:rsidP="00010429">
      <w:pPr>
        <w:pStyle w:val="Heading3"/>
      </w:pPr>
      <w:bookmarkStart w:id="109" w:name="_Toc74904777"/>
      <w:bookmarkEnd w:id="106"/>
      <w:r w:rsidRPr="00830B56">
        <w:t>Specific legislation, policies and industry standards</w:t>
      </w:r>
      <w:bookmarkEnd w:id="109"/>
      <w:r w:rsidRPr="00830B56">
        <w:t xml:space="preserve"> </w:t>
      </w:r>
    </w:p>
    <w:p w14:paraId="489873DA" w14:textId="61EE0330" w:rsidR="00BE2F53" w:rsidRPr="001331E7" w:rsidRDefault="00F239B9" w:rsidP="00BE2F53">
      <w:r>
        <w:t>Whilst you are required to be compliant with all relevant laws and regulations, you will be requested to demonstrate compliance with the relevant legislation/policies/industry standards.</w:t>
      </w:r>
    </w:p>
    <w:p w14:paraId="25A6A751" w14:textId="77777777" w:rsidR="00B07CF6" w:rsidRPr="00FD3173" w:rsidRDefault="00B07CF6" w:rsidP="00B07CF6">
      <w:pPr>
        <w:keepNext/>
        <w:numPr>
          <w:ilvl w:val="2"/>
          <w:numId w:val="11"/>
        </w:numPr>
        <w:spacing w:before="240"/>
        <w:outlineLvl w:val="3"/>
        <w:rPr>
          <w:rFonts w:eastAsia="MS Mincho" w:cs="TimesNewRoman"/>
          <w:b/>
          <w:bCs/>
          <w:iCs/>
          <w:color w:val="264F90"/>
          <w:sz w:val="22"/>
        </w:rPr>
      </w:pPr>
      <w:bookmarkStart w:id="110" w:name="_Toc15025968"/>
      <w:r w:rsidRPr="00FD3173">
        <w:rPr>
          <w:rFonts w:eastAsia="MS Mincho" w:cs="TimesNewRoman"/>
          <w:b/>
          <w:bCs/>
          <w:iCs/>
          <w:color w:val="264F90"/>
          <w:sz w:val="22"/>
        </w:rPr>
        <w:t>Legal practitioner legislation, rules and code of conduct</w:t>
      </w:r>
      <w:bookmarkEnd w:id="110"/>
    </w:p>
    <w:p w14:paraId="1BA13EC6" w14:textId="171DAFA3" w:rsidR="00BE2F53" w:rsidRPr="00717105" w:rsidRDefault="00A57425" w:rsidP="00EB29BE">
      <w:r w:rsidRPr="00717105">
        <w:rPr>
          <w:rFonts w:cs="Arial"/>
        </w:rPr>
        <w:t>The successful applicant is required to ensure all persons involved in the delivery of the legal advice service comply with all relevant legislations, rules, and code of conduct in the provision of legal services in the states and territories of Australia.</w:t>
      </w:r>
    </w:p>
    <w:p w14:paraId="13F1FDD6" w14:textId="5863AB5F" w:rsidR="00BE2F53" w:rsidRDefault="00BE2F53" w:rsidP="00BE2F53">
      <w:r>
        <w:t xml:space="preserve">To be eligible for a grant, you must declare in your application that you comply with these requirements. </w:t>
      </w:r>
      <w:r w:rsidRPr="001331E7">
        <w:t xml:space="preserve">You </w:t>
      </w:r>
      <w:r w:rsidRPr="00717105">
        <w:t xml:space="preserve">will </w:t>
      </w:r>
      <w:r w:rsidRPr="001331E7">
        <w:t>need to declare you can meet these requirements in your grant a</w:t>
      </w:r>
      <w:bookmarkStart w:id="111" w:name="_Toc489952707"/>
      <w:r w:rsidRPr="001331E7">
        <w:t>greement with the Commonwealth.</w:t>
      </w:r>
    </w:p>
    <w:bookmarkEnd w:id="111"/>
    <w:p w14:paraId="4DEFB2E5" w14:textId="615B6235" w:rsidR="00BE2F53" w:rsidRPr="00B07CF6" w:rsidRDefault="00BE2F53" w:rsidP="00B07CF6">
      <w:pPr>
        <w:keepNext/>
        <w:numPr>
          <w:ilvl w:val="2"/>
          <w:numId w:val="11"/>
        </w:numPr>
        <w:spacing w:before="240"/>
        <w:outlineLvl w:val="3"/>
        <w:rPr>
          <w:rFonts w:eastAsia="MS Mincho" w:cs="TimesNewRoman"/>
          <w:b/>
          <w:bCs/>
          <w:iCs/>
          <w:color w:val="264F90"/>
          <w:sz w:val="22"/>
        </w:rPr>
      </w:pPr>
      <w:r w:rsidRPr="00B07CF6">
        <w:rPr>
          <w:rFonts w:eastAsia="MS Mincho" w:cs="TimesNewRoman"/>
          <w:b/>
          <w:bCs/>
          <w:iCs/>
          <w:color w:val="264F90"/>
          <w:sz w:val="22"/>
        </w:rPr>
        <w:t xml:space="preserve">Multicultural </w:t>
      </w:r>
      <w:r w:rsidR="006544E9" w:rsidRPr="00B07CF6">
        <w:rPr>
          <w:rFonts w:eastAsia="MS Mincho" w:cs="TimesNewRoman"/>
          <w:b/>
          <w:bCs/>
          <w:iCs/>
          <w:color w:val="264F90"/>
          <w:sz w:val="22"/>
        </w:rPr>
        <w:t>a</w:t>
      </w:r>
      <w:r w:rsidRPr="00B07CF6">
        <w:rPr>
          <w:rFonts w:eastAsia="MS Mincho" w:cs="TimesNewRoman"/>
          <w:b/>
          <w:bCs/>
          <w:iCs/>
          <w:color w:val="264F90"/>
          <w:sz w:val="22"/>
        </w:rPr>
        <w:t xml:space="preserve">ccess and </w:t>
      </w:r>
      <w:r w:rsidR="006544E9" w:rsidRPr="00B07CF6">
        <w:rPr>
          <w:rFonts w:eastAsia="MS Mincho" w:cs="TimesNewRoman"/>
          <w:b/>
          <w:bCs/>
          <w:iCs/>
          <w:color w:val="264F90"/>
          <w:sz w:val="22"/>
        </w:rPr>
        <w:t>e</w:t>
      </w:r>
      <w:r w:rsidRPr="00B07CF6">
        <w:rPr>
          <w:rFonts w:eastAsia="MS Mincho" w:cs="TimesNewRoman"/>
          <w:b/>
          <w:bCs/>
          <w:iCs/>
          <w:color w:val="264F90"/>
          <w:sz w:val="22"/>
        </w:rPr>
        <w:t xml:space="preserve">quity  </w:t>
      </w:r>
    </w:p>
    <w:p w14:paraId="7FAEE9C8" w14:textId="1BD93DBE" w:rsidR="00BE2F53" w:rsidRDefault="00BE2F53" w:rsidP="00BE2F53">
      <w:pPr>
        <w:pStyle w:val="ListBullet"/>
        <w:rPr>
          <w:iCs w:val="0"/>
        </w:rPr>
      </w:pPr>
      <w:r w:rsidRPr="00436036">
        <w:rPr>
          <w:iCs w:val="0"/>
        </w:rPr>
        <w:t xml:space="preserve">The Australian </w:t>
      </w:r>
      <w:r w:rsidR="001373C7">
        <w:rPr>
          <w:iCs w:val="0"/>
        </w:rPr>
        <w:t>G</w:t>
      </w:r>
      <w:r w:rsidR="001373C7" w:rsidRPr="00436036">
        <w:rPr>
          <w:iCs w:val="0"/>
        </w:rPr>
        <w:t xml:space="preserve">overnment’s </w:t>
      </w:r>
      <w:r w:rsidRPr="007F6443">
        <w:rPr>
          <w:iCs w:val="0"/>
        </w:rPr>
        <w:t>Multicultural Access and Equity Policy</w:t>
      </w:r>
      <w:r w:rsidRPr="00CA3DD9">
        <w:rPr>
          <w:i/>
          <w:iCs w:val="0"/>
        </w:rPr>
        <w:t xml:space="preserve"> </w:t>
      </w:r>
      <w:r w:rsidRPr="00436036">
        <w:rPr>
          <w:iCs w:val="0"/>
        </w:rPr>
        <w:t xml:space="preserve">obliges Australian </w:t>
      </w:r>
      <w:r w:rsidR="006544E9">
        <w:rPr>
          <w:iCs w:val="0"/>
        </w:rPr>
        <w:t>G</w:t>
      </w:r>
      <w:r w:rsidRPr="00436036">
        <w:rPr>
          <w:iCs w:val="0"/>
        </w:rPr>
        <w:t xml:space="preserve">overnment agencies to ensure their policies, programs and services </w:t>
      </w:r>
      <w:r w:rsidR="00B745B3">
        <w:rPr>
          <w:iCs w:val="0"/>
        </w:rPr>
        <w:t>–</w:t>
      </w:r>
      <w:r w:rsidRPr="00436036">
        <w:rPr>
          <w:iCs w:val="0"/>
        </w:rPr>
        <w:t xml:space="preserve"> including those provided by contractors and service delivery partners </w:t>
      </w:r>
      <w:r w:rsidR="001373C7">
        <w:t>–</w:t>
      </w:r>
      <w:r w:rsidRPr="00436036">
        <w:rPr>
          <w:iCs w:val="0"/>
        </w:rPr>
        <w:t xml:space="preserve"> are accessible to, and deliver equitable outcomes for, people from culturally and linguistically diverse (CALD) backgrounds. </w:t>
      </w:r>
    </w:p>
    <w:p w14:paraId="744BA1C1" w14:textId="689D7398" w:rsidR="00BE2F53" w:rsidRDefault="00BE2F53" w:rsidP="00BE2F53">
      <w:pPr>
        <w:pStyle w:val="ListBullet"/>
        <w:rPr>
          <w:iCs w:val="0"/>
        </w:rPr>
      </w:pPr>
      <w:r w:rsidRPr="00436036">
        <w:rPr>
          <w:iCs w:val="0"/>
        </w:rPr>
        <w:t xml:space="preserve">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w:t>
      </w:r>
      <w:r w:rsidRPr="00436036">
        <w:rPr>
          <w:iCs w:val="0"/>
        </w:rPr>
        <w:lastRenderedPageBreak/>
        <w:t xml:space="preserve">translating or interpreting services in order to communicate with clients who have limited English proficiency. Based on an assessment of the client target group, costs for translating and interpreting services should be factored into grant </w:t>
      </w:r>
      <w:r w:rsidRPr="00EC1CFB">
        <w:rPr>
          <w:iCs w:val="0"/>
        </w:rPr>
        <w:t>applications.</w:t>
      </w:r>
    </w:p>
    <w:p w14:paraId="14894BF2" w14:textId="7E78FAE4" w:rsidR="00BE2F53" w:rsidRPr="00F4677D" w:rsidRDefault="00BE2F53" w:rsidP="00010429">
      <w:pPr>
        <w:pStyle w:val="Heading3"/>
      </w:pPr>
      <w:bookmarkStart w:id="112" w:name="_Toc530579998"/>
      <w:bookmarkStart w:id="113" w:name="_Toc74904778"/>
      <w:bookmarkEnd w:id="112"/>
      <w:r w:rsidRPr="00F4677D">
        <w:t xml:space="preserve">How </w:t>
      </w:r>
      <w:r>
        <w:t>we</w:t>
      </w:r>
      <w:r w:rsidRPr="00F4677D">
        <w:t xml:space="preserve"> pay the grant</w:t>
      </w:r>
      <w:bookmarkEnd w:id="113"/>
    </w:p>
    <w:p w14:paraId="768F28D1" w14:textId="0AAD927B" w:rsidR="00BE2F53" w:rsidRPr="00DB0315" w:rsidRDefault="00BE2F53" w:rsidP="00EB29BE">
      <w:pPr>
        <w:tabs>
          <w:tab w:val="left" w:pos="0"/>
        </w:tabs>
      </w:pPr>
      <w:bookmarkStart w:id="114"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r>
        <w:rPr>
          <w:bCs/>
          <w:lang w:eastAsia="en-AU"/>
        </w:rPr>
        <w:t xml:space="preserve"> </w:t>
      </w:r>
      <w:r w:rsidRPr="00DB0315">
        <w:t>maximum grant amount to be paid</w:t>
      </w:r>
      <w:r w:rsidR="00A57425">
        <w:t>.</w:t>
      </w:r>
    </w:p>
    <w:p w14:paraId="0ADF09D9" w14:textId="2E3B85AB" w:rsidR="00BE2F53" w:rsidRDefault="00BE2F53" w:rsidP="00BE2F53">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4F18ACE8" w14:textId="1BBED0AE" w:rsidR="00BE2F53" w:rsidRDefault="00BE2F53" w:rsidP="00BE2F53">
      <w:r>
        <w:t xml:space="preserve">We will make payments according to an agreed schedule set out in the </w:t>
      </w:r>
      <w:r w:rsidRPr="00AE3DAF">
        <w:t>grant agreement</w:t>
      </w:r>
      <w:r>
        <w:t xml:space="preserve">. Payments are subject to satisfactory </w:t>
      </w:r>
      <w:r w:rsidRPr="00A57425">
        <w:t xml:space="preserve">progress on the </w:t>
      </w:r>
      <w:r w:rsidRPr="00EB29BE">
        <w:t>grant activity</w:t>
      </w:r>
      <w:r w:rsidR="00A57425" w:rsidRPr="00EB29BE">
        <w:t>.</w:t>
      </w:r>
    </w:p>
    <w:p w14:paraId="00AE2BBC" w14:textId="77777777" w:rsidR="00BE2F53" w:rsidRPr="00D369C8" w:rsidRDefault="00BE2F53" w:rsidP="00010429">
      <w:pPr>
        <w:pStyle w:val="Heading3"/>
      </w:pPr>
      <w:bookmarkStart w:id="115" w:name="_Toc529276547"/>
      <w:bookmarkStart w:id="116" w:name="_Toc529458389"/>
      <w:bookmarkStart w:id="117" w:name="_Toc530486357"/>
      <w:bookmarkStart w:id="118" w:name="_Toc530580001"/>
      <w:bookmarkStart w:id="119" w:name="_Toc74904779"/>
      <w:bookmarkEnd w:id="115"/>
      <w:bookmarkEnd w:id="116"/>
      <w:bookmarkEnd w:id="117"/>
      <w:bookmarkEnd w:id="118"/>
      <w:r>
        <w:t>Grant payments and GST</w:t>
      </w:r>
      <w:bookmarkEnd w:id="119"/>
    </w:p>
    <w:p w14:paraId="34D06A8B" w14:textId="43038324" w:rsidR="00BE2F53" w:rsidRDefault="00BE2F53" w:rsidP="00BE2F53">
      <w:r w:rsidRPr="0008705C">
        <w:t xml:space="preserve">Payments will be GST </w:t>
      </w:r>
      <w:r w:rsidR="006544E9">
        <w:t>i</w:t>
      </w:r>
      <w:r w:rsidR="000926C2">
        <w:t>nclusive</w:t>
      </w:r>
      <w:r w:rsidRPr="0008705C">
        <w:t>.</w:t>
      </w:r>
      <w:r>
        <w:t xml:space="preserve"> </w:t>
      </w:r>
      <w:r w:rsidRPr="0008705C">
        <w:t xml:space="preserve">If you are registered for the </w:t>
      </w:r>
      <w:hyperlink r:id="rId29"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30" w:history="1">
        <w:r w:rsidRPr="00A0120E">
          <w:rPr>
            <w:rStyle w:val="Hyperlink"/>
          </w:rPr>
          <w:t>Recipient Created Tax Invoice</w:t>
        </w:r>
      </w:hyperlink>
      <w:r>
        <w:t>.</w:t>
      </w:r>
    </w:p>
    <w:p w14:paraId="6096A15B" w14:textId="77777777" w:rsidR="00BE2F53" w:rsidRPr="004223FA" w:rsidRDefault="00BE2F53"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1"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0DB90AE9" w14:textId="77777777" w:rsidR="00BE2F53" w:rsidRPr="004223FA" w:rsidDel="00457E6C" w:rsidRDefault="00BE2F53" w:rsidP="00010429">
      <w:pPr>
        <w:pStyle w:val="Heading2"/>
      </w:pPr>
      <w:bookmarkStart w:id="120" w:name="_Toc494290551"/>
      <w:bookmarkStart w:id="121" w:name="_Toc485726977"/>
      <w:bookmarkStart w:id="122" w:name="_Toc485736597"/>
      <w:bookmarkStart w:id="123" w:name="_Toc74904780"/>
      <w:bookmarkStart w:id="124" w:name="_Toc164844284"/>
      <w:bookmarkEnd w:id="114"/>
      <w:bookmarkEnd w:id="120"/>
      <w:r w:rsidRPr="004223FA" w:rsidDel="00457E6C">
        <w:t>Announcement of grants</w:t>
      </w:r>
      <w:bookmarkEnd w:id="121"/>
      <w:bookmarkEnd w:id="122"/>
      <w:bookmarkEnd w:id="123"/>
    </w:p>
    <w:p w14:paraId="0EE440DF" w14:textId="1EE7FD8C" w:rsidR="00BE2F53" w:rsidDel="00457E6C" w:rsidRDefault="00BE2F53" w:rsidP="00BE2F53">
      <w:pPr>
        <w:rPr>
          <w:i/>
        </w:rPr>
      </w:pPr>
      <w:r w:rsidRPr="005239BE" w:rsidDel="00457E6C">
        <w:t xml:space="preserve">If successful, your </w:t>
      </w:r>
      <w:r w:rsidRPr="005239BE">
        <w:t>g</w:t>
      </w:r>
      <w:r w:rsidRPr="005239BE" w:rsidDel="00457E6C">
        <w:t>rant</w:t>
      </w:r>
      <w:r w:rsidDel="00457E6C">
        <w:t xml:space="preserve">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R="00C01C48">
        <w:t xml:space="preserve"> no later than</w:t>
      </w:r>
      <w:bookmarkStart w:id="125" w:name="_GoBack"/>
      <w:bookmarkEnd w:id="125"/>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0E400F">
        <w:t>s</w:t>
      </w:r>
      <w:r w:rsidRPr="00B368D9" w:rsidDel="00457E6C">
        <w:t xml:space="preserve">ection 5.3 of the </w:t>
      </w:r>
      <w:hyperlink r:id="rId32" w:history="1">
        <w:r w:rsidR="00165C8B" w:rsidRPr="004D3D46" w:rsidDel="00457E6C">
          <w:rPr>
            <w:rStyle w:val="Hyperlink"/>
          </w:rPr>
          <w:t>CGRGs</w:t>
        </w:r>
      </w:hyperlink>
      <w:r w:rsidR="00165C8B">
        <w:rPr>
          <w:rStyle w:val="Hyperlink"/>
        </w:rPr>
        <w:t>.</w:t>
      </w:r>
    </w:p>
    <w:p w14:paraId="659975A3" w14:textId="77777777" w:rsidR="00BE2F53" w:rsidRDefault="00BE2F53" w:rsidP="00010429">
      <w:pPr>
        <w:pStyle w:val="Heading2"/>
      </w:pPr>
      <w:bookmarkStart w:id="126" w:name="_Toc530486361"/>
      <w:bookmarkStart w:id="127" w:name="_Toc530580006"/>
      <w:bookmarkStart w:id="128" w:name="_Toc74904781"/>
      <w:bookmarkEnd w:id="126"/>
      <w:bookmarkEnd w:id="127"/>
      <w:r>
        <w:t>How we monitor your grant activity</w:t>
      </w:r>
      <w:bookmarkEnd w:id="128"/>
    </w:p>
    <w:p w14:paraId="0DD2B2C6" w14:textId="77777777" w:rsidR="00BE2F53" w:rsidRPr="00170226" w:rsidRDefault="00BE2F53" w:rsidP="00010429">
      <w:pPr>
        <w:pStyle w:val="Heading3"/>
      </w:pPr>
      <w:bookmarkStart w:id="129" w:name="_Toc74904782"/>
      <w:r w:rsidRPr="00170226">
        <w:t>Keeping us informed</w:t>
      </w:r>
      <w:bookmarkEnd w:id="129"/>
    </w:p>
    <w:p w14:paraId="6720FCD1" w14:textId="26032000" w:rsidR="00BE2F53" w:rsidRDefault="00BE2F53" w:rsidP="00BE2F53">
      <w:r>
        <w:t xml:space="preserve">You should let us know if anything is likely to </w:t>
      </w:r>
      <w:r w:rsidRPr="00A57425">
        <w:t xml:space="preserve">affect your </w:t>
      </w:r>
      <w:r w:rsidR="00A57425" w:rsidRPr="00EB29BE">
        <w:t xml:space="preserve">grant activity </w:t>
      </w:r>
      <w:r w:rsidRPr="00A57425">
        <w:t xml:space="preserve">or </w:t>
      </w:r>
      <w:r>
        <w:t xml:space="preserve">organisation. </w:t>
      </w:r>
    </w:p>
    <w:p w14:paraId="778FC22D" w14:textId="60EF6BD3" w:rsidR="00BE2F53" w:rsidRDefault="00BE2F53"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14:paraId="611939E6" w14:textId="5C0876F6" w:rsidR="00BE2F53" w:rsidRDefault="00BE2F53" w:rsidP="00BE2F53">
      <w:r>
        <w:t>You must also inform us of any changes to your:</w:t>
      </w:r>
    </w:p>
    <w:p w14:paraId="1FCF08A5" w14:textId="77777777" w:rsidR="00BE2F53" w:rsidRPr="001A1945" w:rsidRDefault="00BE2F53" w:rsidP="001A1945">
      <w:pPr>
        <w:pStyle w:val="ListBullet"/>
        <w:numPr>
          <w:ilvl w:val="0"/>
          <w:numId w:val="7"/>
        </w:numPr>
        <w:spacing w:after="120"/>
        <w:ind w:left="360"/>
        <w:rPr>
          <w:rFonts w:cs="Arial"/>
        </w:rPr>
      </w:pPr>
      <w:r w:rsidRPr="001A1945">
        <w:rPr>
          <w:rFonts w:cs="Arial"/>
        </w:rPr>
        <w:t>name</w:t>
      </w:r>
    </w:p>
    <w:p w14:paraId="648B5E7B" w14:textId="77777777" w:rsidR="00BE2F53" w:rsidRPr="001A1945" w:rsidRDefault="00BE2F53" w:rsidP="001A1945">
      <w:pPr>
        <w:pStyle w:val="ListBullet"/>
        <w:numPr>
          <w:ilvl w:val="0"/>
          <w:numId w:val="7"/>
        </w:numPr>
        <w:spacing w:after="120"/>
        <w:ind w:left="360"/>
        <w:rPr>
          <w:rFonts w:cs="Arial"/>
        </w:rPr>
      </w:pPr>
      <w:r w:rsidRPr="001A1945">
        <w:rPr>
          <w:rFonts w:cs="Arial"/>
        </w:rPr>
        <w:t>addresses</w:t>
      </w:r>
    </w:p>
    <w:p w14:paraId="51B48BE5" w14:textId="77777777" w:rsidR="00BE2F53" w:rsidRPr="001A1945" w:rsidRDefault="00BE2F53" w:rsidP="001A1945">
      <w:pPr>
        <w:pStyle w:val="ListBullet"/>
        <w:numPr>
          <w:ilvl w:val="0"/>
          <w:numId w:val="7"/>
        </w:numPr>
        <w:spacing w:after="120"/>
        <w:ind w:left="360"/>
        <w:rPr>
          <w:rFonts w:cs="Arial"/>
        </w:rPr>
      </w:pPr>
      <w:r w:rsidRPr="001A1945">
        <w:rPr>
          <w:rFonts w:cs="Arial"/>
        </w:rPr>
        <w:t>nominated contact details</w:t>
      </w:r>
    </w:p>
    <w:p w14:paraId="1667A9A9" w14:textId="77777777" w:rsidR="00BE2F53" w:rsidRPr="001A1945" w:rsidRDefault="00BE2F53" w:rsidP="001A1945">
      <w:pPr>
        <w:pStyle w:val="ListBullet"/>
        <w:numPr>
          <w:ilvl w:val="0"/>
          <w:numId w:val="7"/>
        </w:numPr>
        <w:spacing w:after="120"/>
        <w:ind w:left="360"/>
        <w:rPr>
          <w:rFonts w:cs="Arial"/>
        </w:rPr>
      </w:pPr>
      <w:r w:rsidRPr="001A1945">
        <w:rPr>
          <w:rFonts w:cs="Arial"/>
        </w:rPr>
        <w:t xml:space="preserve">bank account details. </w:t>
      </w:r>
    </w:p>
    <w:p w14:paraId="21E4673A" w14:textId="4BC89821" w:rsidR="00BE2F53" w:rsidRDefault="00BE2F53" w:rsidP="00BE2F53">
      <w:r>
        <w:t xml:space="preserve">If you become aware of a breach of the terms and conditions under the </w:t>
      </w:r>
      <w:r w:rsidRPr="00AE3DAF">
        <w:t>grant agreement</w:t>
      </w:r>
      <w:r>
        <w:t xml:space="preserve">, you must contact us immediately. </w:t>
      </w:r>
    </w:p>
    <w:p w14:paraId="5258E3B3" w14:textId="6980FEE1" w:rsidR="00BE2F53" w:rsidRDefault="00BE2F53" w:rsidP="00BE2F53">
      <w:r>
        <w:t>You must notify us</w:t>
      </w:r>
      <w:r w:rsidRPr="00F1569F">
        <w:rPr>
          <w:color w:val="0070C0"/>
        </w:rPr>
        <w:t xml:space="preserve"> </w:t>
      </w:r>
      <w:r>
        <w:t>of events relating to your grant and provide an opportunity for the Minister or their representative to attend.</w:t>
      </w:r>
    </w:p>
    <w:p w14:paraId="37243CBE" w14:textId="77777777" w:rsidR="00BE2F53" w:rsidRPr="00683955" w:rsidRDefault="00BE2F53" w:rsidP="00010429">
      <w:pPr>
        <w:pStyle w:val="Heading3"/>
      </w:pPr>
      <w:bookmarkStart w:id="130" w:name="_Toc529276553"/>
      <w:bookmarkStart w:id="131" w:name="_Toc74904783"/>
      <w:bookmarkEnd w:id="130"/>
      <w:r w:rsidRPr="00683955">
        <w:lastRenderedPageBreak/>
        <w:t>Reporting</w:t>
      </w:r>
      <w:bookmarkEnd w:id="131"/>
      <w:r w:rsidRPr="00683955">
        <w:t xml:space="preserve"> </w:t>
      </w:r>
    </w:p>
    <w:p w14:paraId="740B1A24" w14:textId="3A3B3493" w:rsidR="00BE2F53" w:rsidRPr="00726710" w:rsidRDefault="00BE2F53" w:rsidP="00BE2F53">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t>We</w:t>
      </w:r>
      <w:r w:rsidRPr="00726710">
        <w:rPr>
          <w:rFonts w:cstheme="minorHAnsi"/>
        </w:rPr>
        <w:t xml:space="preserve"> </w:t>
      </w:r>
      <w:r w:rsidRPr="00544BAA">
        <w:rPr>
          <w:rFonts w:cstheme="minorHAnsi"/>
        </w:rPr>
        <w:t xml:space="preserve">will provide sample templates for these reports as appendices in the </w:t>
      </w:r>
      <w:r w:rsidRPr="00AE3DAF">
        <w:rPr>
          <w:rFonts w:cstheme="minorHAnsi"/>
        </w:rPr>
        <w:t>grant agreement</w:t>
      </w:r>
      <w:r w:rsidRPr="00544BAA">
        <w:rPr>
          <w:rFonts w:cstheme="minorHAnsi"/>
        </w:rPr>
        <w:t xml:space="preserve">. </w:t>
      </w:r>
      <w:r>
        <w:t xml:space="preserve">We </w:t>
      </w:r>
      <w:r>
        <w:rPr>
          <w:rFonts w:cstheme="minorHAnsi"/>
        </w:rPr>
        <w:t xml:space="preserve">will remind you of your reporting obligations before a report is due. </w:t>
      </w:r>
      <w:r>
        <w:t>We</w:t>
      </w:r>
      <w:r w:rsidRPr="00726710">
        <w:rPr>
          <w:rFonts w:cstheme="minorHAnsi"/>
        </w:rPr>
        <w:t xml:space="preserve"> will expect you to report on</w:t>
      </w:r>
      <w:r>
        <w:rPr>
          <w:rFonts w:cstheme="minorHAnsi"/>
        </w:rPr>
        <w:t>:</w:t>
      </w:r>
    </w:p>
    <w:p w14:paraId="68F6CD03" w14:textId="5AE2D168" w:rsidR="00BE2F53" w:rsidRPr="001A1945" w:rsidRDefault="00BE2F53" w:rsidP="001A1945">
      <w:pPr>
        <w:pStyle w:val="ListBullet"/>
        <w:numPr>
          <w:ilvl w:val="0"/>
          <w:numId w:val="7"/>
        </w:numPr>
        <w:spacing w:after="120"/>
        <w:ind w:left="360"/>
        <w:rPr>
          <w:rFonts w:cs="Arial"/>
        </w:rPr>
      </w:pPr>
      <w:r w:rsidRPr="001A1945">
        <w:rPr>
          <w:rFonts w:cs="Arial"/>
        </w:rPr>
        <w:t xml:space="preserve">progress against agreed </w:t>
      </w:r>
      <w:r w:rsidR="00A57425" w:rsidRPr="001A1945">
        <w:rPr>
          <w:rFonts w:cs="Arial"/>
        </w:rPr>
        <w:t>grant activity’s</w:t>
      </w:r>
      <w:r w:rsidRPr="001A1945">
        <w:rPr>
          <w:rFonts w:cs="Arial"/>
        </w:rPr>
        <w:t xml:space="preserve"> milestones and outcomes</w:t>
      </w:r>
    </w:p>
    <w:p w14:paraId="7FA2D11F" w14:textId="7BEA34ED" w:rsidR="00BE2F53" w:rsidRPr="001A1945" w:rsidRDefault="00BE2F53" w:rsidP="001A1945">
      <w:pPr>
        <w:pStyle w:val="ListBullet"/>
        <w:numPr>
          <w:ilvl w:val="0"/>
          <w:numId w:val="7"/>
        </w:numPr>
        <w:spacing w:after="120"/>
        <w:ind w:left="360"/>
        <w:rPr>
          <w:rFonts w:cs="Arial"/>
        </w:rPr>
      </w:pPr>
      <w:r w:rsidRPr="001A1945">
        <w:rPr>
          <w:rFonts w:cs="Arial"/>
        </w:rPr>
        <w:t>expenditure of the grant</w:t>
      </w:r>
      <w:r w:rsidR="00516061" w:rsidRPr="001A1945">
        <w:rPr>
          <w:rFonts w:cs="Arial"/>
        </w:rPr>
        <w:t>.</w:t>
      </w:r>
    </w:p>
    <w:p w14:paraId="69FD6768" w14:textId="77777777" w:rsidR="00BE2F53" w:rsidRDefault="00BE2F53" w:rsidP="00BE2F53">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r w:rsidRPr="003B18C7">
        <w:t xml:space="preserve"> </w:t>
      </w:r>
    </w:p>
    <w:p w14:paraId="4E09D75C" w14:textId="05B5C3DF" w:rsidR="00540FB7" w:rsidRPr="007439DD" w:rsidRDefault="00BE2F53" w:rsidP="00540FB7">
      <w:pPr>
        <w:rPr>
          <w:b/>
        </w:rPr>
      </w:pPr>
      <w:r>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r w:rsidR="00B745B3">
        <w:rPr>
          <w:b/>
        </w:rPr>
        <w:br/>
      </w:r>
      <w:r w:rsidR="00540FB7" w:rsidRPr="007439DD">
        <w:rPr>
          <w:b/>
        </w:rPr>
        <w:t>Activity Work Plan</w:t>
      </w:r>
    </w:p>
    <w:p w14:paraId="6A97D590" w14:textId="77777777" w:rsidR="00540FB7" w:rsidRPr="007439DD" w:rsidRDefault="00540FB7" w:rsidP="00540FB7">
      <w:pPr>
        <w:rPr>
          <w:color w:val="000000" w:themeColor="text1"/>
        </w:rPr>
      </w:pPr>
      <w:r w:rsidRPr="007439DD">
        <w:t xml:space="preserve">You must submit a completed Activity Work Plan on the template provided with your grant agreement. An Activity Work Plan will be used to outline the specific grant requirements. </w:t>
      </w:r>
      <w:r w:rsidRPr="007439DD">
        <w:rPr>
          <w:color w:val="000000" w:themeColor="text1"/>
        </w:rPr>
        <w:t>The Activity Work Plan documents planned deliverables, milestones and outputs for the funded project. The Activity Work Plan also documents risk management and community engagement relevant to the funded project.</w:t>
      </w:r>
    </w:p>
    <w:p w14:paraId="5DE8D9CA" w14:textId="77777777" w:rsidR="00540FB7" w:rsidRPr="007439DD" w:rsidRDefault="00540FB7" w:rsidP="00540FB7">
      <w:pPr>
        <w:rPr>
          <w:color w:val="000000" w:themeColor="text1"/>
        </w:rPr>
      </w:pPr>
      <w:r w:rsidRPr="007439DD">
        <w:rPr>
          <w:color w:val="000000" w:themeColor="text1"/>
        </w:rPr>
        <w:t xml:space="preserve">Successful applicants’ progress and outcomes against the Activity Work Plan will be monitored throughout the grant through regular reports. </w:t>
      </w:r>
    </w:p>
    <w:p w14:paraId="30A1BEE5" w14:textId="77777777" w:rsidR="00367781" w:rsidRDefault="00367781" w:rsidP="00367781">
      <w:bookmarkStart w:id="132" w:name="_Toc468693655"/>
      <w:bookmarkStart w:id="133" w:name="_Toc509838910"/>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4EA89C48" w14:textId="685A0C4C" w:rsidR="00BE2F53" w:rsidRPr="0052630B" w:rsidRDefault="00BE2F53" w:rsidP="00010429">
      <w:pPr>
        <w:pStyle w:val="Heading3"/>
      </w:pPr>
      <w:bookmarkStart w:id="134" w:name="_Toc509572409"/>
      <w:bookmarkStart w:id="135" w:name="_Toc509572410"/>
      <w:bookmarkStart w:id="136" w:name="_Toc509572411"/>
      <w:bookmarkStart w:id="137" w:name="_Toc74904784"/>
      <w:bookmarkEnd w:id="132"/>
      <w:bookmarkEnd w:id="133"/>
      <w:bookmarkEnd w:id="134"/>
      <w:bookmarkEnd w:id="135"/>
      <w:bookmarkEnd w:id="136"/>
      <w:r w:rsidRPr="0052630B">
        <w:t>Audited financial acquittal repor</w:t>
      </w:r>
      <w:r w:rsidR="007C690D">
        <w:t>t</w:t>
      </w:r>
      <w:bookmarkEnd w:id="137"/>
    </w:p>
    <w:p w14:paraId="1AF1860E" w14:textId="4E8E90AE" w:rsidR="00B10C41" w:rsidRDefault="00B10C41" w:rsidP="00B10C41">
      <w:bookmarkStart w:id="138" w:name="_Toc468693659"/>
      <w:r>
        <w:t>We</w:t>
      </w:r>
      <w:r w:rsidRPr="007A19D9">
        <w:rPr>
          <w:color w:val="0070C0"/>
        </w:rPr>
        <w:t xml:space="preserve"> </w:t>
      </w:r>
      <w:r w:rsidR="007C690D">
        <w:t>will</w:t>
      </w:r>
      <w:r>
        <w:t xml:space="preserve"> ask you to provide </w:t>
      </w:r>
      <w:r w:rsidRPr="004800A3">
        <w:t>a</w:t>
      </w:r>
      <w:r>
        <w:t xml:space="preserve">n </w:t>
      </w:r>
      <w:r w:rsidRPr="005757A8">
        <w:t>independently audited financial acquittal report</w:t>
      </w:r>
      <w:r w:rsidR="003B3437">
        <w:t xml:space="preserve"> annually</w:t>
      </w:r>
      <w:r>
        <w:t>.</w:t>
      </w:r>
      <w:r w:rsidRPr="004800A3">
        <w:t xml:space="preserve"> A</w:t>
      </w:r>
      <w:r>
        <w:t xml:space="preserve"> </w:t>
      </w:r>
      <w:r w:rsidRPr="005757A8">
        <w:t>financial acquittal report</w:t>
      </w:r>
      <w:r>
        <w:t xml:space="preserve"> </w:t>
      </w:r>
      <w:r w:rsidRPr="004800A3">
        <w:t xml:space="preserve">will verify that </w:t>
      </w:r>
      <w:r>
        <w:t xml:space="preserve">you spent the grant in </w:t>
      </w:r>
      <w:r w:rsidRPr="0052630B">
        <w:t>accordance with the grant agreement</w:t>
      </w:r>
      <w:r>
        <w:t xml:space="preserve"> and declare unspent funds</w:t>
      </w:r>
      <w:r w:rsidRPr="0052630B">
        <w:t>.</w:t>
      </w:r>
    </w:p>
    <w:p w14:paraId="2F64526B" w14:textId="77777777" w:rsidR="00BE2F53" w:rsidRPr="00F4677D" w:rsidRDefault="00BE2F53" w:rsidP="00010429">
      <w:pPr>
        <w:pStyle w:val="Heading3"/>
      </w:pPr>
      <w:bookmarkStart w:id="139" w:name="_Toc74904785"/>
      <w:r w:rsidRPr="00F4677D">
        <w:t xml:space="preserve">Grant </w:t>
      </w:r>
      <w:r>
        <w:t>a</w:t>
      </w:r>
      <w:r w:rsidRPr="00F4677D">
        <w:t>greement variations</w:t>
      </w:r>
      <w:bookmarkEnd w:id="139"/>
    </w:p>
    <w:p w14:paraId="2EBABF3E" w14:textId="1625AB08" w:rsidR="00BE2F53" w:rsidRPr="00C6593B" w:rsidRDefault="00BE2F53" w:rsidP="00BE2F53">
      <w:pPr>
        <w:tabs>
          <w:tab w:val="left" w:pos="0"/>
        </w:tabs>
        <w:rPr>
          <w:bCs/>
          <w:color w:val="0070C0"/>
          <w:lang w:eastAsia="en-AU"/>
        </w:rPr>
      </w:pPr>
      <w:r>
        <w:t>We</w:t>
      </w:r>
      <w:r>
        <w:rPr>
          <w:bCs/>
          <w:lang w:eastAsia="en-AU"/>
        </w:rPr>
        <w:t xml:space="preserve"> </w:t>
      </w:r>
      <w:r w:rsidRPr="00795673">
        <w:rPr>
          <w:bCs/>
          <w:lang w:eastAsia="en-AU"/>
        </w:rPr>
        <w:t xml:space="preserve">recognise that unexpected events may affect your progress. In these circumstances, you can </w:t>
      </w:r>
      <w:r w:rsidRPr="001331E7">
        <w:rPr>
          <w:bCs/>
          <w:lang w:eastAsia="en-AU"/>
        </w:rPr>
        <w:t xml:space="preserve">request a variation to your grant agreement. You can request a variation by </w:t>
      </w:r>
      <w:r w:rsidRPr="00717105">
        <w:rPr>
          <w:bCs/>
          <w:lang w:eastAsia="en-AU"/>
        </w:rPr>
        <w:t>contacting your Funding Arrangement Manager, Community Grants Hub</w:t>
      </w:r>
      <w:r w:rsidR="007C690D" w:rsidRPr="00717105">
        <w:rPr>
          <w:bCs/>
          <w:lang w:eastAsia="en-AU"/>
        </w:rPr>
        <w:t>.</w:t>
      </w:r>
      <w:r w:rsidRPr="00717105">
        <w:rPr>
          <w:bCs/>
          <w:lang w:eastAsia="en-AU"/>
        </w:rPr>
        <w:t xml:space="preserve"> </w:t>
      </w:r>
    </w:p>
    <w:p w14:paraId="4D478A82" w14:textId="77777777" w:rsidR="00BE2F53" w:rsidRDefault="00BE2F53" w:rsidP="00BE2F53">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327FB0EF" w14:textId="77777777" w:rsidR="00BE2F53" w:rsidRPr="00E067F3" w:rsidRDefault="00BE2F53" w:rsidP="00010429">
      <w:pPr>
        <w:pStyle w:val="Heading3"/>
      </w:pPr>
      <w:bookmarkStart w:id="140" w:name="_Toc74904786"/>
      <w:bookmarkEnd w:id="138"/>
      <w:r w:rsidRPr="00E067F3">
        <w:t>Record keeping</w:t>
      </w:r>
      <w:bookmarkEnd w:id="140"/>
    </w:p>
    <w:p w14:paraId="67B3921F" w14:textId="77777777" w:rsidR="00BE2F53" w:rsidRDefault="00BE2F53" w:rsidP="00BE2F53">
      <w:r>
        <w:t xml:space="preserve">We may also inspect the records you are required to keep under the </w:t>
      </w:r>
      <w:r w:rsidRPr="006F16B1">
        <w:t>grant agreement</w:t>
      </w:r>
      <w:r>
        <w:t xml:space="preserve">. </w:t>
      </w:r>
    </w:p>
    <w:p w14:paraId="6EF98C2C" w14:textId="77777777" w:rsidR="00BE2F53" w:rsidRDefault="00BE2F53" w:rsidP="00010429">
      <w:pPr>
        <w:pStyle w:val="Heading3"/>
      </w:pPr>
      <w:bookmarkStart w:id="141" w:name="_Toc74904787"/>
      <w:r>
        <w:t>Evaluation</w:t>
      </w:r>
      <w:bookmarkEnd w:id="141"/>
    </w:p>
    <w:p w14:paraId="27A659E2" w14:textId="1DB807AE" w:rsidR="00BE2F53" w:rsidRDefault="00BE2F53" w:rsidP="00BE2F53">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056158">
        <w:t xml:space="preserve">grant </w:t>
      </w:r>
      <w:r w:rsidRPr="00EB29BE">
        <w:t>opportunity</w:t>
      </w:r>
      <w:r w:rsidRPr="00EB29BE">
        <w:rPr>
          <w:b/>
        </w:rPr>
        <w:t xml:space="preserve"> </w:t>
      </w:r>
      <w:r w:rsidRPr="00B72EE8">
        <w:t>to</w:t>
      </w:r>
      <w:r>
        <w:t xml:space="preserve"> see how well </w:t>
      </w:r>
      <w:r w:rsidRPr="00B72EE8">
        <w:t xml:space="preserve">the outcomes and objectives have been achieved. </w:t>
      </w:r>
      <w:r>
        <w:t>We may use information from your application and reports for this purpose. We may also ask you for more information to help us understand how the grant impacted you and to evaluate how effective the program was in achieving its outcomes.</w:t>
      </w:r>
    </w:p>
    <w:p w14:paraId="33D2F15E" w14:textId="6CA58CC6" w:rsidR="00BE2F53" w:rsidRDefault="00BE2F53" w:rsidP="00BE2F53">
      <w:r>
        <w:t xml:space="preserve">We may contact </w:t>
      </w:r>
      <w:r w:rsidRPr="00A1101C">
        <w:t xml:space="preserve">you up to </w:t>
      </w:r>
      <w:r w:rsidRPr="00EB29BE">
        <w:t xml:space="preserve">one </w:t>
      </w:r>
      <w:r>
        <w:t>year after you finish your grant for more information to assist with this evaluation</w:t>
      </w:r>
      <w:r w:rsidRPr="00B72EE8">
        <w:t>.</w:t>
      </w:r>
      <w:r>
        <w:t xml:space="preserve"> </w:t>
      </w:r>
    </w:p>
    <w:p w14:paraId="3E827AD1" w14:textId="77777777" w:rsidR="00BE2F53" w:rsidRDefault="00BE2F53" w:rsidP="00010429">
      <w:pPr>
        <w:pStyle w:val="Heading3"/>
      </w:pPr>
      <w:bookmarkStart w:id="142" w:name="_Toc74904788"/>
      <w:r>
        <w:lastRenderedPageBreak/>
        <w:t>Acknowledgement</w:t>
      </w:r>
      <w:bookmarkEnd w:id="142"/>
    </w:p>
    <w:p w14:paraId="745879B0" w14:textId="777655B6" w:rsidR="00BE2F53" w:rsidRPr="0081615E" w:rsidRDefault="0081615E" w:rsidP="00BE2F53">
      <w:r>
        <w:t>A</w:t>
      </w:r>
      <w:r w:rsidR="00BE2F53" w:rsidRPr="0081615E">
        <w:t>ll materials related to grants under the program</w:t>
      </w:r>
      <w:r>
        <w:t xml:space="preserve"> </w:t>
      </w:r>
      <w:r w:rsidR="00BE2F53" w:rsidRPr="0081615E">
        <w:t>must acknowledge the Commonwealth by saying:</w:t>
      </w:r>
    </w:p>
    <w:p w14:paraId="01413EAA" w14:textId="030C72E3" w:rsidR="00BE2F53" w:rsidRPr="0081615E" w:rsidRDefault="00BE2F53" w:rsidP="00BE2F53">
      <w:r w:rsidRPr="0081615E">
        <w:t>‘</w:t>
      </w:r>
      <w:r w:rsidR="007C690D" w:rsidRPr="0081615E">
        <w:t>Legal advice</w:t>
      </w:r>
      <w:r w:rsidR="001331E7" w:rsidRPr="0081615E">
        <w:t xml:space="preserve"> service</w:t>
      </w:r>
      <w:r w:rsidR="007C690D" w:rsidRPr="0081615E">
        <w:t xml:space="preserve"> supporting the Royal Commission into Defence and Veteran Suicide</w:t>
      </w:r>
      <w:r w:rsidRPr="0081615E">
        <w:t xml:space="preserve"> – an Australian </w:t>
      </w:r>
      <w:r w:rsidR="00540FB7" w:rsidRPr="0081615E">
        <w:t>G</w:t>
      </w:r>
      <w:r w:rsidRPr="0081615E">
        <w:t>overnment initiative</w:t>
      </w:r>
      <w:r w:rsidR="00340BF2" w:rsidRPr="0081615E">
        <w:t>.</w:t>
      </w:r>
      <w:r w:rsidRPr="0081615E">
        <w:t>’</w:t>
      </w:r>
    </w:p>
    <w:p w14:paraId="0D56C2D1" w14:textId="0A69852E" w:rsidR="00BE2F53" w:rsidRPr="0081615E" w:rsidRDefault="00BE2F53" w:rsidP="00BE2F53">
      <w:pPr>
        <w:rPr>
          <w:rFonts w:eastAsiaTheme="minorHAnsi"/>
        </w:rPr>
      </w:pPr>
      <w:r w:rsidRPr="0081615E">
        <w:t>If you make a public statement about a grant activity</w:t>
      </w:r>
      <w:r w:rsidR="007C690D" w:rsidRPr="0081615E">
        <w:t xml:space="preserve"> </w:t>
      </w:r>
      <w:r w:rsidRPr="0081615E">
        <w:t>funded under the program, we require you to acknowledge the grant by using:</w:t>
      </w:r>
    </w:p>
    <w:p w14:paraId="547C7DD4" w14:textId="26A55577" w:rsidR="00BE2F53" w:rsidRPr="00B72EE8" w:rsidRDefault="00634D2F" w:rsidP="00BE2F53">
      <w:pPr>
        <w:spacing w:after="0"/>
      </w:pPr>
      <w:r w:rsidRPr="0081615E">
        <w:t>‘</w:t>
      </w:r>
      <w:r w:rsidR="00BE2F53" w:rsidRPr="0081615E">
        <w:t xml:space="preserve">This </w:t>
      </w:r>
      <w:r w:rsidR="007C690D" w:rsidRPr="0081615E">
        <w:t>legal advice service</w:t>
      </w:r>
      <w:r w:rsidR="00BE2F53" w:rsidRPr="0081615E">
        <w:t xml:space="preserve"> received grant funding from the Australian Government.’</w:t>
      </w:r>
    </w:p>
    <w:p w14:paraId="46F406CE" w14:textId="77777777" w:rsidR="00BE2F53" w:rsidRDefault="00BE2F53" w:rsidP="00010429">
      <w:pPr>
        <w:pStyle w:val="Heading2"/>
      </w:pPr>
      <w:bookmarkStart w:id="143" w:name="_Toc74904789"/>
      <w:r>
        <w:t>Probity</w:t>
      </w:r>
      <w:bookmarkEnd w:id="143"/>
    </w:p>
    <w:p w14:paraId="1AB5F00B" w14:textId="77777777"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0C69C5A" w14:textId="48CC1784" w:rsidR="00BE2F53" w:rsidRPr="00EB29BE" w:rsidRDefault="00BE2F53" w:rsidP="00BE2F53">
      <w:pPr>
        <w:rPr>
          <w:color w:val="0070C0"/>
        </w:rPr>
      </w:pPr>
      <w:r w:rsidRPr="00726710">
        <w:t xml:space="preserve">These guidelines may be changed </w:t>
      </w:r>
      <w:r w:rsidRPr="00122DEC">
        <w:t>by</w:t>
      </w:r>
      <w:r w:rsidRPr="00516E21">
        <w:t xml:space="preserve"> </w:t>
      </w:r>
      <w:r w:rsidR="007C690D">
        <w:t xml:space="preserve">the </w:t>
      </w:r>
      <w:r w:rsidR="00C17086">
        <w:t>d</w:t>
      </w:r>
      <w:r w:rsidR="007C690D">
        <w:t>epartment</w:t>
      </w:r>
      <w:r w:rsidR="0093686D">
        <w:rPr>
          <w:color w:val="0070C0"/>
        </w:rPr>
        <w:t xml:space="preserve">. </w:t>
      </w:r>
      <w:r w:rsidRPr="00122DEC">
        <w:t xml:space="preserve">When this happens, the revised guidelines </w:t>
      </w:r>
      <w:r w:rsidR="00A1101C">
        <w:t>will be</w:t>
      </w:r>
      <w:r w:rsidRPr="00122DEC">
        <w:t xml:space="preserve"> published on</w:t>
      </w:r>
      <w:r w:rsidR="00ED62A7">
        <w:t xml:space="preserve"> the</w:t>
      </w:r>
      <w:r w:rsidRPr="00122DEC">
        <w:t xml:space="preserve"> </w:t>
      </w:r>
      <w:hyperlink r:id="rId33" w:history="1">
        <w:r w:rsidRPr="00790775">
          <w:rPr>
            <w:rStyle w:val="Hyperlink"/>
          </w:rPr>
          <w:t>GrantConnect</w:t>
        </w:r>
      </w:hyperlink>
      <w:r>
        <w:t xml:space="preserve"> and the </w:t>
      </w:r>
      <w:hyperlink r:id="rId34" w:history="1">
        <w:r w:rsidRPr="00790775">
          <w:rPr>
            <w:rStyle w:val="Hyperlink"/>
          </w:rPr>
          <w:t>Community Grants Hub</w:t>
        </w:r>
      </w:hyperlink>
      <w:r>
        <w:t xml:space="preserve"> websites. </w:t>
      </w:r>
    </w:p>
    <w:p w14:paraId="6E691809" w14:textId="77777777" w:rsidR="00BE2F53" w:rsidRDefault="00BE2F53" w:rsidP="00010429">
      <w:pPr>
        <w:pStyle w:val="Heading3"/>
      </w:pPr>
      <w:bookmarkStart w:id="144" w:name="_Toc74904790"/>
      <w:r>
        <w:t>Enquiries and feedback</w:t>
      </w:r>
      <w:bookmarkEnd w:id="144"/>
    </w:p>
    <w:p w14:paraId="50CC0E53" w14:textId="77777777"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3F4E6623" w14:textId="33928F98" w:rsidR="00BE2F53" w:rsidRDefault="00BE2F53" w:rsidP="00BE2F53">
      <w:r w:rsidRPr="00122DEC">
        <w:t>Th</w:t>
      </w:r>
      <w:r w:rsidRPr="0093686D">
        <w:t xml:space="preserve">e </w:t>
      </w:r>
      <w:r w:rsidR="00C17086">
        <w:t>d</w:t>
      </w:r>
      <w:r w:rsidR="0093686D" w:rsidRPr="00EB29BE">
        <w:t>epartmen</w:t>
      </w:r>
      <w:r w:rsidR="007C690D" w:rsidRPr="00EB29BE">
        <w:t>t’s</w:t>
      </w:r>
      <w:r w:rsidR="0093686D" w:rsidRPr="00EB29BE">
        <w:t xml:space="preserve"> </w:t>
      </w:r>
      <w:hyperlink r:id="rId35" w:history="1">
        <w:r w:rsidR="0093686D">
          <w:rPr>
            <w:rStyle w:val="Hyperlink"/>
          </w:rPr>
          <w:t>Client Service Charter</w:t>
        </w:r>
      </w:hyperlink>
      <w:r w:rsidR="0093686D" w:rsidRPr="00790775" w:rsidDel="007C690D">
        <w:rPr>
          <w:color w:val="0070C0"/>
        </w:rPr>
        <w:t xml:space="preserve"> </w:t>
      </w:r>
      <w:r w:rsidRPr="00B72EE8">
        <w:t>appl</w:t>
      </w:r>
      <w:r w:rsidR="00340BF2">
        <w:t>ies</w:t>
      </w:r>
      <w:r w:rsidRPr="00B72EE8">
        <w:t xml:space="preserve">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3DB11A57" w14:textId="3B041810" w:rsidR="00BE2F53" w:rsidRDefault="00BE2F53" w:rsidP="00BE2F53">
      <w:r>
        <w:t xml:space="preserve">Any questions you have about grant decisions for this grant opportunity should be sent to </w:t>
      </w:r>
      <w:r w:rsidR="007C690D">
        <w:t xml:space="preserve">the Legal Assistance Branch at </w:t>
      </w:r>
      <w:hyperlink r:id="rId36" w:history="1">
        <w:r w:rsidR="007C690D" w:rsidRPr="000A3196">
          <w:rPr>
            <w:rStyle w:val="Hyperlink"/>
          </w:rPr>
          <w:t>finass@ag.gov.au</w:t>
        </w:r>
      </w:hyperlink>
      <w:r w:rsidR="007C690D">
        <w:t>.</w:t>
      </w:r>
    </w:p>
    <w:p w14:paraId="4E4C5C56" w14:textId="77777777"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27F3C30" w14:textId="44457D13" w:rsidR="00BE2F53" w:rsidRDefault="00BE2F53" w:rsidP="00BE2F53">
      <w:r>
        <w:t>Applicants can contact the complaints service with complaints about the Community Grants Hub’s service</w:t>
      </w:r>
      <w:r w:rsidR="00ED62A7">
        <w:t>/</w:t>
      </w:r>
      <w:r>
        <w:t xml:space="preserve">s or the selection process. </w:t>
      </w:r>
    </w:p>
    <w:p w14:paraId="4634DB53" w14:textId="113CD712" w:rsidR="00BE2F53" w:rsidRDefault="00BE2F53" w:rsidP="00BE2F53">
      <w:r>
        <w:t xml:space="preserve">Details of what makes an eligible complaint can be provided by asking the Community Grants Hub. Applicants can use the </w:t>
      </w:r>
      <w:hyperlink r:id="rId37" w:history="1">
        <w:r w:rsidRPr="00002D0A">
          <w:rPr>
            <w:rStyle w:val="Hyperlink"/>
          </w:rPr>
          <w:t>online complaints form</w:t>
        </w:r>
      </w:hyperlink>
      <w:r>
        <w:t xml:space="preserve"> on the </w:t>
      </w:r>
      <w:hyperlink r:id="rId38" w:history="1">
        <w:r w:rsidRPr="00002D0A">
          <w:rPr>
            <w:rStyle w:val="Hyperlink"/>
          </w:rPr>
          <w:t>Department of Social Services</w:t>
        </w:r>
      </w:hyperlink>
      <w:r>
        <w:t xml:space="preserve"> website, or contact the D</w:t>
      </w:r>
      <w:r w:rsidR="00ED62A7">
        <w:t>epartment of Social Services</w:t>
      </w:r>
      <w:r>
        <w:t xml:space="preserve"> </w:t>
      </w:r>
      <w:r w:rsidR="00B745B3">
        <w:t>c</w:t>
      </w:r>
      <w:r>
        <w:t>omplaints line.</w:t>
      </w:r>
    </w:p>
    <w:p w14:paraId="74CEC97A" w14:textId="77777777" w:rsidR="00BE2F53" w:rsidRDefault="00BE2F53" w:rsidP="00BE2F53">
      <w:r>
        <w:t>Phone:</w:t>
      </w:r>
      <w:r>
        <w:tab/>
        <w:t>1800 634 035</w:t>
      </w:r>
    </w:p>
    <w:p w14:paraId="3C1454B7" w14:textId="77777777" w:rsidR="00BE2F53" w:rsidRDefault="00BE2F53" w:rsidP="00BE2F53">
      <w:r>
        <w:t xml:space="preserve">Email: </w:t>
      </w:r>
      <w:r>
        <w:tab/>
      </w:r>
      <w:hyperlink r:id="rId39" w:history="1">
        <w:r w:rsidRPr="007F6B3C">
          <w:rPr>
            <w:rStyle w:val="Hyperlink"/>
          </w:rPr>
          <w:t>complaints@dss.gov.au</w:t>
        </w:r>
      </w:hyperlink>
      <w:r>
        <w:t xml:space="preserve"> </w:t>
      </w:r>
    </w:p>
    <w:p w14:paraId="7302D302" w14:textId="77777777" w:rsidR="00BE2F53" w:rsidRDefault="00BE2F53" w:rsidP="00BE2F53">
      <w:pPr>
        <w:spacing w:after="40" w:line="240" w:lineRule="auto"/>
      </w:pPr>
      <w:r>
        <w:t>Mail:</w:t>
      </w:r>
      <w:r>
        <w:tab/>
        <w:t xml:space="preserve">Complaints </w:t>
      </w:r>
    </w:p>
    <w:p w14:paraId="4E65EE75" w14:textId="77777777" w:rsidR="00BE2F53" w:rsidRDefault="00BE2F53" w:rsidP="00BE2F53">
      <w:pPr>
        <w:spacing w:after="40" w:line="240" w:lineRule="auto"/>
      </w:pPr>
      <w:r>
        <w:tab/>
        <w:t>GPO Box 9820</w:t>
      </w:r>
    </w:p>
    <w:p w14:paraId="3779ECB9" w14:textId="77777777" w:rsidR="00BE2F53" w:rsidRDefault="00BE2F53" w:rsidP="00BE2F53">
      <w:pPr>
        <w:spacing w:after="40" w:line="240" w:lineRule="auto"/>
      </w:pPr>
      <w:r>
        <w:tab/>
        <w:t>Canberra ACT 2601</w:t>
      </w:r>
    </w:p>
    <w:p w14:paraId="5B7B5676" w14:textId="77777777" w:rsidR="00BE2F53" w:rsidRPr="00122DEC" w:rsidRDefault="00BE2F53" w:rsidP="00634D2F">
      <w:pPr>
        <w:spacing w:after="40" w:line="240" w:lineRule="auto"/>
      </w:pPr>
    </w:p>
    <w:p w14:paraId="25B0E43B" w14:textId="77777777" w:rsidR="00BE2F53" w:rsidRPr="00790775" w:rsidRDefault="00BE2F53" w:rsidP="00BE2F53">
      <w:pPr>
        <w:rPr>
          <w:b/>
        </w:rPr>
      </w:pPr>
      <w:r w:rsidRPr="00790775">
        <w:rPr>
          <w:b/>
        </w:rPr>
        <w:t>Complaints to the Ombudsman</w:t>
      </w:r>
    </w:p>
    <w:p w14:paraId="0E306C7A" w14:textId="69C7FD65" w:rsidR="00BE2F53" w:rsidRPr="00122DEC" w:rsidRDefault="00BE2F53" w:rsidP="00BE2F53">
      <w:r w:rsidRPr="00122DEC">
        <w:t>If you do not agree with the way the</w:t>
      </w:r>
      <w:r>
        <w:t xml:space="preserve"> Community Grants Hub</w:t>
      </w:r>
      <w:r w:rsidRPr="00F1475D">
        <w:t xml:space="preserve"> </w:t>
      </w:r>
      <w:r w:rsidRPr="00D30E2D">
        <w:t>or</w:t>
      </w:r>
      <w:r w:rsidR="00010429">
        <w:rPr>
          <w:color w:val="0070C0"/>
        </w:rPr>
        <w:t xml:space="preserve"> </w:t>
      </w:r>
      <w:r w:rsidR="00010429" w:rsidRPr="00EB29BE">
        <w:t xml:space="preserve">the </w:t>
      </w:r>
      <w:r w:rsidR="00C17086">
        <w:t>d</w:t>
      </w:r>
      <w:r w:rsidR="00010429" w:rsidRPr="00EB29BE">
        <w:t>epartment</w:t>
      </w:r>
      <w:r w:rsidRPr="00010429">
        <w:t xml:space="preserve"> </w:t>
      </w:r>
      <w:r w:rsidRPr="00122DEC">
        <w:t xml:space="preserve">has handled your complaint, </w:t>
      </w:r>
      <w:r w:rsidRPr="00F1475D">
        <w:t xml:space="preserve">you may complain to the </w:t>
      </w:r>
      <w:hyperlink r:id="rId40"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D30E2D">
        <w:t xml:space="preserve">or </w:t>
      </w:r>
      <w:r w:rsidR="00010429">
        <w:t xml:space="preserve">the </w:t>
      </w:r>
      <w:r w:rsidR="00C17086">
        <w:t>d</w:t>
      </w:r>
      <w:r w:rsidR="00010429">
        <w:t>epartment.</w:t>
      </w:r>
    </w:p>
    <w:p w14:paraId="72BE2AE8" w14:textId="77777777" w:rsidR="00BE2F53" w:rsidRDefault="00BE2F53" w:rsidP="00BE2F53">
      <w:pPr>
        <w:ind w:left="5040" w:hanging="5040"/>
      </w:pPr>
      <w:r w:rsidRPr="00B72EE8">
        <w:t xml:space="preserve">The Commonwealth Ombudsman can be contacted on: </w:t>
      </w:r>
    </w:p>
    <w:p w14:paraId="3FED44A3" w14:textId="0CF233AE" w:rsidR="00B745B3" w:rsidRPr="003B5054" w:rsidRDefault="00BE2F53" w:rsidP="003B5054">
      <w:pPr>
        <w:ind w:left="1276" w:hanging="1276"/>
      </w:pPr>
      <w:r w:rsidRPr="00B72EE8">
        <w:tab/>
        <w:t>Phone (Toll free): 1300 362 072</w:t>
      </w:r>
      <w:r w:rsidRPr="00B72EE8">
        <w:br/>
        <w:t xml:space="preserve">Email: </w:t>
      </w:r>
      <w:hyperlink r:id="rId41" w:history="1">
        <w:r w:rsidRPr="00B72EE8">
          <w:t>ombudsman@ombudsman.gov.au</w:t>
        </w:r>
      </w:hyperlink>
      <w:r w:rsidRPr="00B72EE8">
        <w:t xml:space="preserve"> </w:t>
      </w:r>
      <w:r w:rsidRPr="00B72EE8">
        <w:br/>
        <w:t xml:space="preserve">Website: </w:t>
      </w:r>
      <w:hyperlink r:id="rId42" w:history="1">
        <w:r w:rsidRPr="00B72EE8">
          <w:t>www.ombudsman.gov.au</w:t>
        </w:r>
      </w:hyperlink>
      <w:bookmarkStart w:id="145" w:name="_Toc74904791"/>
    </w:p>
    <w:p w14:paraId="6244D300" w14:textId="01088BF1" w:rsidR="00BE2F53" w:rsidRPr="00A04CCA" w:rsidRDefault="00BE2F53" w:rsidP="00010429">
      <w:pPr>
        <w:pStyle w:val="Heading3"/>
      </w:pPr>
      <w:r w:rsidRPr="00A04CCA">
        <w:lastRenderedPageBreak/>
        <w:t>Conflicts of interest</w:t>
      </w:r>
      <w:bookmarkEnd w:id="145"/>
    </w:p>
    <w:p w14:paraId="055F8F74" w14:textId="3A07B927" w:rsidR="00BE2F53" w:rsidRPr="00F1475D" w:rsidRDefault="00BE2F53" w:rsidP="00BE2F53">
      <w:r w:rsidRPr="00122DEC">
        <w:t>Any conflicts of interest could affect the performance of the grant</w:t>
      </w:r>
      <w:r>
        <w:t xml:space="preserve"> opportunity or program</w:t>
      </w:r>
      <w:r w:rsidRPr="00122DEC">
        <w:t xml:space="preserve">. There may be a </w:t>
      </w:r>
      <w:hyperlink r:id="rId43" w:history="1">
        <w:r w:rsidRPr="00122DEC">
          <w:t>conflict of interest</w:t>
        </w:r>
      </w:hyperlink>
      <w:r w:rsidRPr="00122DEC">
        <w:t xml:space="preserve">, or perceived conflict of interest, </w:t>
      </w:r>
      <w:r w:rsidRPr="00B07CF6">
        <w:t>if</w:t>
      </w:r>
      <w:r w:rsidR="00010429" w:rsidRPr="00B07CF6">
        <w:t xml:space="preserve"> </w:t>
      </w:r>
      <w:r w:rsidR="00C17086" w:rsidRPr="00B07CF6">
        <w:t>the d</w:t>
      </w:r>
      <w:r w:rsidR="00010429" w:rsidRPr="00B07CF6">
        <w:t>epartment</w:t>
      </w:r>
      <w:r w:rsidRPr="00B07CF6">
        <w:t xml:space="preserve"> </w:t>
      </w:r>
      <w:r w:rsidRPr="00EE0C10">
        <w:t>and Community Grants Hub</w:t>
      </w:r>
      <w:r w:rsidRPr="00E96DD6">
        <w:t xml:space="preserve"> staff, any member of a committee or advisor and/or you or any of </w:t>
      </w:r>
      <w:r w:rsidRPr="00F1475D">
        <w:t>your personnel</w:t>
      </w:r>
      <w:r>
        <w:t xml:space="preserve"> </w:t>
      </w:r>
      <w:r w:rsidR="00B745B3">
        <w:br/>
      </w:r>
      <w:r>
        <w:t>has a</w:t>
      </w:r>
      <w:r w:rsidRPr="00F1475D">
        <w:t>:</w:t>
      </w:r>
    </w:p>
    <w:p w14:paraId="3E0F108F" w14:textId="7D842E1C" w:rsidR="00BE2F53" w:rsidRPr="001A1945" w:rsidRDefault="00BE2F53" w:rsidP="001A1945">
      <w:pPr>
        <w:pStyle w:val="ListBullet"/>
        <w:numPr>
          <w:ilvl w:val="0"/>
          <w:numId w:val="7"/>
        </w:numPr>
        <w:spacing w:after="120"/>
        <w:ind w:left="360"/>
        <w:rPr>
          <w:rFonts w:cs="Arial"/>
        </w:rPr>
      </w:pPr>
      <w:r w:rsidRPr="001A1945">
        <w:rPr>
          <w:rFonts w:cs="Arial"/>
        </w:rPr>
        <w:t xml:space="preserve">professional, commercial or personal relationship with a party who is able to influence the application selection process, such as an Australian </w:t>
      </w:r>
      <w:r w:rsidR="00ED62A7" w:rsidRPr="001A1945">
        <w:rPr>
          <w:rFonts w:cs="Arial"/>
        </w:rPr>
        <w:t>G</w:t>
      </w:r>
      <w:r w:rsidRPr="001A1945">
        <w:rPr>
          <w:rFonts w:cs="Arial"/>
        </w:rPr>
        <w:t>overnment officer</w:t>
      </w:r>
    </w:p>
    <w:p w14:paraId="62FB195C" w14:textId="77777777" w:rsidR="00BE2F53" w:rsidRPr="001A1945" w:rsidRDefault="00BE2F53" w:rsidP="001A1945">
      <w:pPr>
        <w:pStyle w:val="ListBullet"/>
        <w:numPr>
          <w:ilvl w:val="0"/>
          <w:numId w:val="7"/>
        </w:numPr>
        <w:spacing w:after="120"/>
        <w:ind w:left="360"/>
        <w:rPr>
          <w:rFonts w:cs="Arial"/>
        </w:rPr>
      </w:pPr>
      <w:r w:rsidRPr="001A1945">
        <w:rPr>
          <w:rFonts w:cs="Arial"/>
        </w:rPr>
        <w:t xml:space="preserve">relationship with or interest in, an organisation, which is likely to interfere with or restrict the applicants from carrying out the proposed activities fairly and independently </w:t>
      </w:r>
    </w:p>
    <w:p w14:paraId="5608CF56" w14:textId="211BE83A" w:rsidR="00BE2F53" w:rsidRPr="001A1945" w:rsidRDefault="00BE2F53" w:rsidP="001A1945">
      <w:pPr>
        <w:pStyle w:val="ListBullet"/>
        <w:numPr>
          <w:ilvl w:val="0"/>
          <w:numId w:val="7"/>
        </w:numPr>
        <w:spacing w:after="120"/>
        <w:ind w:left="360"/>
        <w:rPr>
          <w:rFonts w:cs="Arial"/>
        </w:rPr>
      </w:pPr>
      <w:r w:rsidRPr="001A1945">
        <w:rPr>
          <w:rFonts w:cs="Arial"/>
        </w:rPr>
        <w:t>relationship with, or interest in, an organisation from which they will receive personal gain because the organisation receives a grant under the grant program/grant opportunity.</w:t>
      </w:r>
    </w:p>
    <w:p w14:paraId="2B070C2E" w14:textId="46A8ADBF" w:rsidR="00BE2F53" w:rsidRPr="00F1475D" w:rsidRDefault="00BE2F53" w:rsidP="00BE2F53">
      <w:r w:rsidRPr="00F1475D">
        <w:t>You will be asked to declare, as part of your application, any perceived or existing conflicts of interest or that, to the best of your knowledge, there is no conflict of interest.</w:t>
      </w:r>
    </w:p>
    <w:p w14:paraId="486B16CE" w14:textId="1608FB79" w:rsidR="00BE2F53" w:rsidRDefault="00BE2F53" w:rsidP="00BE2F53">
      <w:r w:rsidRPr="00F1475D">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conflict of interest, you must inform the</w:t>
      </w:r>
      <w:r w:rsidRPr="00516E21">
        <w:t xml:space="preserve"> </w:t>
      </w:r>
      <w:r w:rsidR="00C17086">
        <w:t>d</w:t>
      </w:r>
      <w:r w:rsidR="00010429">
        <w:t>epartment</w:t>
      </w:r>
      <w:r w:rsidRPr="00516E21">
        <w:t xml:space="preserve"> </w:t>
      </w:r>
      <w:r>
        <w:t xml:space="preserve">and the Community Grants Hub </w:t>
      </w:r>
      <w:r w:rsidRPr="00B72EE8">
        <w:t xml:space="preserve">in writing immediately. </w:t>
      </w:r>
    </w:p>
    <w:p w14:paraId="4F56AB5C" w14:textId="7A6EFD93" w:rsidR="00BE2F53" w:rsidRDefault="00BE2F53" w:rsidP="00BE2F53">
      <w:r w:rsidRPr="00B72EE8">
        <w:t xml:space="preserve">Conflicts of interest for </w:t>
      </w:r>
      <w:r>
        <w:t xml:space="preserve">Australian </w:t>
      </w:r>
      <w:r w:rsidR="00F35743">
        <w:t xml:space="preserve">Government </w:t>
      </w:r>
      <w:r w:rsidRPr="00B72EE8">
        <w:t xml:space="preserve">staff will be handled </w:t>
      </w:r>
      <w:r>
        <w:t xml:space="preserve">as set out in </w:t>
      </w:r>
      <w:r w:rsidRPr="00B72EE8">
        <w:t xml:space="preserve">the </w:t>
      </w:r>
      <w:r>
        <w:t xml:space="preserve">Australian </w:t>
      </w:r>
      <w:hyperlink r:id="rId44" w:history="1">
        <w:r w:rsidR="00ED62A7">
          <w:rPr>
            <w:rStyle w:val="Hyperlink"/>
          </w:rPr>
          <w:t>Public Service Code of Conduct (section 13(7))</w:t>
        </w:r>
      </w:hyperlink>
      <w:r>
        <w:t xml:space="preserve"> of the </w:t>
      </w:r>
      <w:hyperlink r:id="rId45" w:history="1">
        <w:r w:rsidRPr="00132512">
          <w:rPr>
            <w:rStyle w:val="Hyperlink"/>
            <w:i/>
          </w:rPr>
          <w:t>Public Service Act 1999</w:t>
        </w:r>
      </w:hyperlink>
      <w:r>
        <w:t>. Committee members and other officials including the decision maker must also declare any conflicts of interest.</w:t>
      </w:r>
    </w:p>
    <w:p w14:paraId="4AF8D00C" w14:textId="74DC27CA"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46" w:history="1">
        <w:r w:rsidR="00ED62A7">
          <w:rPr>
            <w:rStyle w:val="Hyperlink"/>
          </w:rPr>
          <w:t>Community Grants Hub website</w:t>
        </w:r>
      </w:hyperlink>
      <w:r w:rsidR="00ED62A7">
        <w:rPr>
          <w:rStyle w:val="Hyperlink"/>
        </w:rPr>
        <w:t>.</w:t>
      </w:r>
    </w:p>
    <w:p w14:paraId="46523E37" w14:textId="77777777" w:rsidR="00BE2F53" w:rsidRDefault="00BE2F53" w:rsidP="00010429">
      <w:pPr>
        <w:pStyle w:val="Heading3"/>
      </w:pPr>
      <w:bookmarkStart w:id="146" w:name="_Toc74904792"/>
      <w:r>
        <w:t>Privacy</w:t>
      </w:r>
      <w:bookmarkEnd w:id="146"/>
    </w:p>
    <w:p w14:paraId="5C29A65C" w14:textId="3CEF67AB" w:rsidR="00BE2F53" w:rsidRPr="000D1F02" w:rsidRDefault="00BE2F53" w:rsidP="00BE2F53">
      <w:r>
        <w:t>We</w:t>
      </w:r>
      <w:r w:rsidRPr="009668F6">
        <w:rPr>
          <w:color w:val="0070C0"/>
        </w:rPr>
        <w:t xml:space="preserve"> </w:t>
      </w:r>
      <w:r w:rsidRPr="00164671">
        <w:t xml:space="preserve">treat your personal information according to the </w:t>
      </w:r>
      <w:hyperlink r:id="rId47" w:history="1">
        <w:r w:rsidRPr="001420AF">
          <w:rPr>
            <w:rStyle w:val="Hyperlink"/>
            <w:i/>
          </w:rPr>
          <w:t>Privacy Act 1988</w:t>
        </w:r>
      </w:hyperlink>
      <w:r>
        <w:rPr>
          <w:i/>
        </w:rPr>
        <w:t xml:space="preserve"> </w:t>
      </w:r>
      <w:r w:rsidRPr="00B368D9">
        <w:t>and the</w:t>
      </w:r>
      <w:r>
        <w:rPr>
          <w:i/>
        </w:rPr>
        <w:t xml:space="preserve"> </w:t>
      </w:r>
      <w:hyperlink r:id="rId48" w:history="1">
        <w:r w:rsidRPr="009D794C">
          <w:rPr>
            <w:rStyle w:val="Hyperlink"/>
          </w:rPr>
          <w:t>Australian Privacy Principles</w:t>
        </w:r>
      </w:hyperlink>
      <w:r w:rsidRPr="00164671">
        <w:t>. This includes letting you know:</w:t>
      </w:r>
      <w:r w:rsidRPr="000D1F02">
        <w:t xml:space="preserve"> </w:t>
      </w:r>
    </w:p>
    <w:p w14:paraId="44E00438" w14:textId="77777777" w:rsidR="00BE2F53" w:rsidRPr="001A1945" w:rsidRDefault="00BE2F53" w:rsidP="001A1945">
      <w:pPr>
        <w:pStyle w:val="ListBullet"/>
        <w:numPr>
          <w:ilvl w:val="0"/>
          <w:numId w:val="7"/>
        </w:numPr>
        <w:spacing w:after="120"/>
        <w:ind w:left="360"/>
        <w:rPr>
          <w:rFonts w:cs="Arial"/>
        </w:rPr>
      </w:pPr>
      <w:r w:rsidRPr="001A1945">
        <w:rPr>
          <w:rFonts w:cs="Arial"/>
        </w:rPr>
        <w:t>what personal information we collect</w:t>
      </w:r>
    </w:p>
    <w:p w14:paraId="610EA84A" w14:textId="77777777" w:rsidR="00BE2F53" w:rsidRPr="001A1945" w:rsidRDefault="00BE2F53" w:rsidP="001A1945">
      <w:pPr>
        <w:pStyle w:val="ListBullet"/>
        <w:numPr>
          <w:ilvl w:val="0"/>
          <w:numId w:val="7"/>
        </w:numPr>
        <w:spacing w:after="120"/>
        <w:ind w:left="360"/>
        <w:rPr>
          <w:rFonts w:cs="Arial"/>
        </w:rPr>
      </w:pPr>
      <w:r w:rsidRPr="001A1945">
        <w:rPr>
          <w:rFonts w:cs="Arial"/>
        </w:rPr>
        <w:t>why we collect your personal information</w:t>
      </w:r>
    </w:p>
    <w:p w14:paraId="0A5B17D2" w14:textId="77777777" w:rsidR="00BE2F53" w:rsidRPr="001A1945" w:rsidRDefault="00BE2F53" w:rsidP="001A1945">
      <w:pPr>
        <w:pStyle w:val="ListBullet"/>
        <w:numPr>
          <w:ilvl w:val="0"/>
          <w:numId w:val="7"/>
        </w:numPr>
        <w:spacing w:after="120"/>
        <w:ind w:left="360"/>
        <w:rPr>
          <w:rFonts w:cs="Arial"/>
        </w:rPr>
      </w:pPr>
      <w:r w:rsidRPr="001A1945">
        <w:rPr>
          <w:rFonts w:cs="Arial"/>
        </w:rPr>
        <w:t>who we give your personal information to.</w:t>
      </w:r>
    </w:p>
    <w:p w14:paraId="63AD8D35" w14:textId="77777777" w:rsidR="00BE2F53" w:rsidRDefault="00BE2F53" w:rsidP="00BE2F53">
      <w:r>
        <w:t>Your personal information can only be disclosed to someone else for the primary purpose for which it was collected, unless an exemption applies.</w:t>
      </w:r>
    </w:p>
    <w:p w14:paraId="140F13C2" w14:textId="4768EB8E"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ED62A7">
        <w:t>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2175A35D" w14:textId="77777777" w:rsidR="00BE2F53" w:rsidRDefault="00BE2F53"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908EEDE" w14:textId="71A40E52" w:rsidR="00BE2F53" w:rsidRPr="00763129" w:rsidRDefault="00BE2F53" w:rsidP="00BE2F53">
      <w:r>
        <w:t xml:space="preserve">As part of your application, you declare your ability to comply with the </w:t>
      </w:r>
      <w:r w:rsidRPr="007F6443">
        <w:t>Privacy Act</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C17086">
        <w:t>d</w:t>
      </w:r>
      <w:r w:rsidR="00010429">
        <w:t>epartment</w:t>
      </w:r>
      <w:r>
        <w:t xml:space="preserve"> would breach an Australian Privacy Principle as defined in the </w:t>
      </w:r>
      <w:r w:rsidR="007F6443" w:rsidRPr="007F6443">
        <w:rPr>
          <w:rFonts w:cs="Arial"/>
        </w:rPr>
        <w:t xml:space="preserve">Privacy </w:t>
      </w:r>
      <w:r w:rsidRPr="007F6443">
        <w:rPr>
          <w:rFonts w:cs="Arial"/>
        </w:rPr>
        <w:t>Act</w:t>
      </w:r>
      <w:r>
        <w:t>.</w:t>
      </w:r>
    </w:p>
    <w:p w14:paraId="26C08A73" w14:textId="77777777" w:rsidR="00BE2F53" w:rsidRDefault="00BE2F53" w:rsidP="00010429">
      <w:pPr>
        <w:pStyle w:val="Heading3"/>
      </w:pPr>
      <w:bookmarkStart w:id="147" w:name="_Toc74904793"/>
      <w:r>
        <w:lastRenderedPageBreak/>
        <w:t>Confidential information</w:t>
      </w:r>
      <w:bookmarkEnd w:id="147"/>
    </w:p>
    <w:p w14:paraId="438C2269" w14:textId="77777777"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210FEAB" w14:textId="77777777" w:rsidR="00BE2F53" w:rsidRPr="00E96DD6" w:rsidRDefault="00BE2F53" w:rsidP="00BE2F53">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106CEE0" w14:textId="675192C7" w:rsidR="00BE2F53" w:rsidRPr="00E96DD6"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ED62A7">
        <w:rPr>
          <w:lang w:eastAsia="en-AU"/>
        </w:rPr>
        <w:t>3</w:t>
      </w:r>
      <w:r w:rsidRPr="00E96DD6">
        <w:rPr>
          <w:lang w:eastAsia="en-AU"/>
        </w:rPr>
        <w:t xml:space="preserve"> conditions below</w:t>
      </w:r>
      <w:r w:rsidR="005239BE">
        <w:rPr>
          <w:lang w:eastAsia="en-AU"/>
        </w:rPr>
        <w:t>.</w:t>
      </w:r>
    </w:p>
    <w:p w14:paraId="4D3B1874" w14:textId="12203E02" w:rsidR="00BE2F53" w:rsidRPr="00E96DD6" w:rsidRDefault="00ED62A7" w:rsidP="00BE2F53">
      <w:pPr>
        <w:pStyle w:val="ListNumber"/>
        <w:numPr>
          <w:ilvl w:val="0"/>
          <w:numId w:val="16"/>
        </w:numPr>
      </w:pPr>
      <w:r>
        <w:t>Y</w:t>
      </w:r>
      <w:r w:rsidR="00BE2F53" w:rsidRPr="00E96DD6">
        <w:t>ou clearly identify the information as confidential and explain why we should treat it as confidential</w:t>
      </w:r>
      <w:r>
        <w:t>.</w:t>
      </w:r>
    </w:p>
    <w:p w14:paraId="6F25F301" w14:textId="79F79483" w:rsidR="00BE2F53" w:rsidRPr="00E96DD6" w:rsidRDefault="00ED62A7" w:rsidP="00BE2F53">
      <w:pPr>
        <w:pStyle w:val="ListNumber"/>
      </w:pPr>
      <w:r>
        <w:t>T</w:t>
      </w:r>
      <w:r w:rsidR="00BE2F53" w:rsidRPr="00E96DD6">
        <w:t>he information is commercially sensitive</w:t>
      </w:r>
      <w:r>
        <w:t>.</w:t>
      </w:r>
    </w:p>
    <w:p w14:paraId="1DE8578A" w14:textId="2A0951DD" w:rsidR="00BE2F53" w:rsidRPr="00E96DD6" w:rsidRDefault="00ED62A7" w:rsidP="00BE2F53">
      <w:pPr>
        <w:pStyle w:val="ListNumber"/>
      </w:pPr>
      <w:r>
        <w:t>R</w:t>
      </w:r>
      <w:r w:rsidR="00BE2F53" w:rsidRPr="00E96DD6">
        <w:t>evealing the information would cause unreasonable harm to you or someone else.</w:t>
      </w:r>
    </w:p>
    <w:p w14:paraId="75730B71" w14:textId="77777777"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598AE4BC" w14:textId="77777777" w:rsidR="00BE2F53" w:rsidRPr="001A1945" w:rsidRDefault="00BE2F53" w:rsidP="001A1945">
      <w:pPr>
        <w:pStyle w:val="ListBullet"/>
        <w:numPr>
          <w:ilvl w:val="0"/>
          <w:numId w:val="7"/>
        </w:numPr>
        <w:spacing w:after="120"/>
        <w:ind w:left="360"/>
        <w:rPr>
          <w:rFonts w:cs="Arial"/>
        </w:rPr>
      </w:pPr>
      <w:r w:rsidRPr="001A1945">
        <w:rPr>
          <w:rFonts w:cs="Arial"/>
        </w:rPr>
        <w:t>Commonwealth employees and contractors to help us manage the program effectively</w:t>
      </w:r>
    </w:p>
    <w:p w14:paraId="4075F5B6" w14:textId="77777777" w:rsidR="00BE2F53" w:rsidRPr="001A1945" w:rsidRDefault="00BE2F53" w:rsidP="001A1945">
      <w:pPr>
        <w:pStyle w:val="ListBullet"/>
        <w:numPr>
          <w:ilvl w:val="0"/>
          <w:numId w:val="7"/>
        </w:numPr>
        <w:spacing w:after="120"/>
        <w:ind w:left="360"/>
        <w:rPr>
          <w:rFonts w:cs="Arial"/>
        </w:rPr>
      </w:pPr>
      <w:r w:rsidRPr="001A1945">
        <w:rPr>
          <w:rFonts w:cs="Arial"/>
        </w:rPr>
        <w:t>employees and contractors of our department so we can research, assess, monitor and analyse our programs and activities</w:t>
      </w:r>
    </w:p>
    <w:p w14:paraId="086012CC" w14:textId="77777777" w:rsidR="00BE2F53" w:rsidRPr="001A1945" w:rsidRDefault="00BE2F53" w:rsidP="001A1945">
      <w:pPr>
        <w:pStyle w:val="ListBullet"/>
        <w:numPr>
          <w:ilvl w:val="0"/>
          <w:numId w:val="7"/>
        </w:numPr>
        <w:spacing w:after="120"/>
        <w:ind w:left="360"/>
        <w:rPr>
          <w:rFonts w:cs="Arial"/>
        </w:rPr>
      </w:pPr>
      <w:r w:rsidRPr="001A1945">
        <w:rPr>
          <w:rFonts w:cs="Arial"/>
        </w:rPr>
        <w:t>employees and contractors of other Commonwealth agencies for any purposes, including government administration, research or service delivery</w:t>
      </w:r>
    </w:p>
    <w:p w14:paraId="68BDE11E" w14:textId="77777777" w:rsidR="00BE2F53" w:rsidRPr="001A1945" w:rsidRDefault="00BE2F53" w:rsidP="001A1945">
      <w:pPr>
        <w:pStyle w:val="ListBullet"/>
        <w:numPr>
          <w:ilvl w:val="0"/>
          <w:numId w:val="7"/>
        </w:numPr>
        <w:spacing w:after="120"/>
        <w:ind w:left="360"/>
        <w:rPr>
          <w:rFonts w:cs="Arial"/>
        </w:rPr>
      </w:pPr>
      <w:r w:rsidRPr="001A1945">
        <w:rPr>
          <w:rFonts w:cs="Arial"/>
        </w:rPr>
        <w:t>other Commonwealth, state, territory or local government agencies in program reports and consultations</w:t>
      </w:r>
    </w:p>
    <w:p w14:paraId="577220E7" w14:textId="77777777" w:rsidR="00BE2F53" w:rsidRPr="001A1945" w:rsidRDefault="00BE2F53" w:rsidP="001A1945">
      <w:pPr>
        <w:pStyle w:val="ListBullet"/>
        <w:numPr>
          <w:ilvl w:val="0"/>
          <w:numId w:val="7"/>
        </w:numPr>
        <w:spacing w:after="120"/>
        <w:ind w:left="360"/>
        <w:rPr>
          <w:rFonts w:cs="Arial"/>
        </w:rPr>
      </w:pPr>
      <w:r w:rsidRPr="001A1945">
        <w:rPr>
          <w:rFonts w:cs="Arial"/>
        </w:rPr>
        <w:t>the Auditor-General, Ombudsman or Privacy Commissioner</w:t>
      </w:r>
    </w:p>
    <w:p w14:paraId="50651210" w14:textId="77777777" w:rsidR="00BE2F53" w:rsidRPr="001A1945" w:rsidRDefault="00BE2F53" w:rsidP="001A1945">
      <w:pPr>
        <w:pStyle w:val="ListBullet"/>
        <w:numPr>
          <w:ilvl w:val="0"/>
          <w:numId w:val="7"/>
        </w:numPr>
        <w:spacing w:after="120"/>
        <w:ind w:left="360"/>
        <w:rPr>
          <w:rFonts w:cs="Arial"/>
        </w:rPr>
      </w:pPr>
      <w:r w:rsidRPr="001A1945">
        <w:rPr>
          <w:rFonts w:cs="Arial"/>
        </w:rPr>
        <w:t>the responsible Minister or Parliamentary Secretary</w:t>
      </w:r>
    </w:p>
    <w:p w14:paraId="5072C8FA" w14:textId="77777777" w:rsidR="00BE2F53" w:rsidRPr="001A1945" w:rsidRDefault="00BE2F53" w:rsidP="001A1945">
      <w:pPr>
        <w:pStyle w:val="ListBullet"/>
        <w:numPr>
          <w:ilvl w:val="0"/>
          <w:numId w:val="7"/>
        </w:numPr>
        <w:spacing w:after="120"/>
        <w:ind w:left="360"/>
        <w:rPr>
          <w:rFonts w:cs="Arial"/>
        </w:rPr>
      </w:pPr>
      <w:r w:rsidRPr="001A1945">
        <w:rPr>
          <w:rFonts w:cs="Arial"/>
        </w:rPr>
        <w:t>a House or a Committee of the Australian Parliament.</w:t>
      </w:r>
    </w:p>
    <w:p w14:paraId="5E94FE81"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14F472FB" w14:textId="77777777" w:rsidR="00BE2F53" w:rsidRDefault="00BE2F53" w:rsidP="00010429">
      <w:pPr>
        <w:pStyle w:val="Heading3"/>
      </w:pPr>
      <w:bookmarkStart w:id="148" w:name="_Toc74904794"/>
      <w:r>
        <w:t>Freedom of information</w:t>
      </w:r>
      <w:bookmarkEnd w:id="148"/>
    </w:p>
    <w:p w14:paraId="00EBD20B" w14:textId="178E2A98"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49" w:history="1">
        <w:r w:rsidRPr="00443FC0">
          <w:rPr>
            <w:rStyle w:val="Hyperlink"/>
            <w:i/>
          </w:rPr>
          <w:t>Freedom of Information Act 1982</w:t>
        </w:r>
      </w:hyperlink>
      <w:r w:rsidRPr="00B72EE8">
        <w:t xml:space="preserve"> </w:t>
      </w:r>
      <w:r w:rsidRPr="0049044C">
        <w:t>(FOI Act)</w:t>
      </w:r>
      <w:r w:rsidRPr="00333BAC">
        <w:rPr>
          <w:i/>
        </w:rPr>
        <w:t>.</w:t>
      </w:r>
    </w:p>
    <w:p w14:paraId="71E58EB7" w14:textId="33C5B8BE" w:rsidR="00BE2F53" w:rsidRPr="00B72EE8" w:rsidRDefault="00BE2F53" w:rsidP="00BE2F53">
      <w:r w:rsidRPr="00B72EE8">
        <w:t xml:space="preserve">The purpose of the </w:t>
      </w:r>
      <w:r w:rsidRPr="007F6443">
        <w:t>FOI Act</w:t>
      </w:r>
      <w:r w:rsidRPr="00B72EE8">
        <w:t xml:space="preserve"> </w:t>
      </w:r>
      <w:r w:rsidR="00B745B3">
        <w:t>is to give</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w:t>
      </w:r>
      <w:r w:rsidRPr="007F6443">
        <w:t>FOI Act</w:t>
      </w:r>
      <w:r w:rsidRPr="00B72EE8">
        <w:t xml:space="preserve">,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00B745B3">
        <w:t>.</w:t>
      </w:r>
    </w:p>
    <w:p w14:paraId="2B4E4C0C" w14:textId="77777777" w:rsidR="00B745B3" w:rsidRDefault="00B745B3">
      <w:pPr>
        <w:spacing w:before="0" w:after="0" w:line="240" w:lineRule="auto"/>
      </w:pPr>
      <w:r>
        <w:br w:type="page"/>
      </w:r>
    </w:p>
    <w:p w14:paraId="0EA0EE75" w14:textId="34C6022D" w:rsidR="00BE2F53" w:rsidRPr="00B72EE8" w:rsidRDefault="00BE2F53" w:rsidP="00BE2F53">
      <w:r w:rsidRPr="00B72EE8">
        <w:lastRenderedPageBreak/>
        <w:t>All F</w:t>
      </w:r>
      <w:r>
        <w:t xml:space="preserve">reedom of Information </w:t>
      </w:r>
      <w:r w:rsidRPr="00B72EE8">
        <w:t>requests must be referred to the Freedom of Information Coordinator in writing.</w:t>
      </w:r>
    </w:p>
    <w:p w14:paraId="4EE8B3C7" w14:textId="77777777"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14:paraId="5045B8C0" w14:textId="77777777" w:rsidR="00BE2F53" w:rsidRDefault="00BE2F53" w:rsidP="00BE2F53">
      <w:pPr>
        <w:tabs>
          <w:tab w:val="left" w:pos="1418"/>
        </w:tabs>
        <w:spacing w:after="40" w:line="240" w:lineRule="auto"/>
        <w:ind w:left="2836" w:hanging="1418"/>
      </w:pPr>
      <w:r>
        <w:t xml:space="preserve">Government and Executive Services Branch </w:t>
      </w:r>
    </w:p>
    <w:p w14:paraId="1DCD8754" w14:textId="429650E5" w:rsidR="00BE2F53" w:rsidRDefault="00BE2F53" w:rsidP="00BE2F53">
      <w:pPr>
        <w:tabs>
          <w:tab w:val="left" w:pos="1418"/>
        </w:tabs>
        <w:spacing w:after="40" w:line="240" w:lineRule="auto"/>
        <w:ind w:left="2836" w:hanging="1418"/>
      </w:pPr>
      <w:r>
        <w:t>Department of Social Services</w:t>
      </w:r>
    </w:p>
    <w:p w14:paraId="70CD525E" w14:textId="77777777" w:rsidR="00BE2F53" w:rsidRDefault="00BE2F53" w:rsidP="00BE2F53">
      <w:pPr>
        <w:tabs>
          <w:tab w:val="left" w:pos="1418"/>
        </w:tabs>
        <w:spacing w:after="40" w:line="240" w:lineRule="auto"/>
        <w:ind w:left="2836" w:hanging="1418"/>
      </w:pPr>
      <w:r>
        <w:t>GPO Box 9820</w:t>
      </w:r>
    </w:p>
    <w:p w14:paraId="0FDDCA7A" w14:textId="77777777" w:rsidR="00BE2F53" w:rsidRPr="00516E21" w:rsidRDefault="00BE2F53" w:rsidP="00BE2F53">
      <w:pPr>
        <w:tabs>
          <w:tab w:val="left" w:pos="1418"/>
        </w:tabs>
        <w:spacing w:after="40" w:line="240" w:lineRule="auto"/>
        <w:ind w:left="2836" w:hanging="1418"/>
      </w:pPr>
      <w:r>
        <w:t>Canberra ACT 2601</w:t>
      </w:r>
    </w:p>
    <w:p w14:paraId="4AAD5434" w14:textId="77777777" w:rsidR="00BE2F53" w:rsidRPr="00122DEC" w:rsidRDefault="00BE2F53" w:rsidP="00BE2F53">
      <w:r w:rsidRPr="00122DEC">
        <w:t>By email:</w:t>
      </w:r>
      <w:r w:rsidRPr="00122DEC">
        <w:tab/>
      </w:r>
      <w:hyperlink r:id="rId50" w:history="1">
        <w:r w:rsidRPr="00C42A3F">
          <w:rPr>
            <w:rStyle w:val="Hyperlink"/>
          </w:rPr>
          <w:t>foi@dss.gov.au</w:t>
        </w:r>
      </w:hyperlink>
      <w:r>
        <w:t xml:space="preserve"> </w:t>
      </w:r>
    </w:p>
    <w:bookmarkEnd w:id="124"/>
    <w:p w14:paraId="5574CB90" w14:textId="77777777" w:rsidR="00634D2F" w:rsidRDefault="00634D2F">
      <w:pPr>
        <w:spacing w:before="0" w:after="0" w:line="240" w:lineRule="auto"/>
        <w:rPr>
          <w:rFonts w:cstheme="minorHAnsi"/>
          <w:bCs/>
          <w:iCs/>
          <w:color w:val="264F90"/>
          <w:sz w:val="32"/>
          <w:szCs w:val="32"/>
        </w:rPr>
      </w:pPr>
      <w:r>
        <w:br w:type="page"/>
      </w:r>
    </w:p>
    <w:p w14:paraId="188A90BC" w14:textId="4AC728CB" w:rsidR="00BE2F53" w:rsidRDefault="00BE2F53" w:rsidP="00010429">
      <w:pPr>
        <w:pStyle w:val="Heading2"/>
      </w:pPr>
      <w:bookmarkStart w:id="149" w:name="_Toc74904795"/>
      <w:r w:rsidRPr="002D2607">
        <w:lastRenderedPageBreak/>
        <w:t>Glossary</w:t>
      </w:r>
      <w:bookmarkEnd w:id="14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9E3949" w14:paraId="6E68C496" w14:textId="77777777" w:rsidTr="002410B6">
        <w:trPr>
          <w:cantSplit/>
          <w:tblHeader/>
        </w:trPr>
        <w:tc>
          <w:tcPr>
            <w:tcW w:w="1843" w:type="pct"/>
            <w:shd w:val="clear" w:color="auto" w:fill="264F90"/>
          </w:tcPr>
          <w:p w14:paraId="0AE5345B" w14:textId="77777777" w:rsidR="00BE2F53" w:rsidRPr="004D41A5" w:rsidRDefault="00BE2F53" w:rsidP="002410B6">
            <w:pPr>
              <w:pStyle w:val="TableHeadingNumbered"/>
            </w:pPr>
            <w:r w:rsidRPr="004D41A5">
              <w:t>Term</w:t>
            </w:r>
          </w:p>
        </w:tc>
        <w:tc>
          <w:tcPr>
            <w:tcW w:w="3157" w:type="pct"/>
            <w:shd w:val="clear" w:color="auto" w:fill="264F90"/>
          </w:tcPr>
          <w:p w14:paraId="16163E82" w14:textId="77777777" w:rsidR="00BE2F53" w:rsidRPr="004D41A5" w:rsidRDefault="00BE2F53" w:rsidP="002410B6">
            <w:pPr>
              <w:pStyle w:val="TableHeadingNumbered"/>
            </w:pPr>
            <w:r w:rsidRPr="004D41A5">
              <w:t>Definition</w:t>
            </w:r>
          </w:p>
        </w:tc>
      </w:tr>
      <w:tr w:rsidR="00BE2F53" w:rsidRPr="00274AE2" w14:paraId="66F98DD7" w14:textId="77777777" w:rsidTr="002410B6">
        <w:trPr>
          <w:cantSplit/>
        </w:trPr>
        <w:tc>
          <w:tcPr>
            <w:tcW w:w="1843" w:type="pct"/>
          </w:tcPr>
          <w:p w14:paraId="444A93A5" w14:textId="77777777" w:rsidR="00BE2F53" w:rsidRPr="00274AE2" w:rsidRDefault="00BE2F53" w:rsidP="002410B6">
            <w:r w:rsidRPr="00274AE2">
              <w:t>accountable authority</w:t>
            </w:r>
          </w:p>
        </w:tc>
        <w:tc>
          <w:tcPr>
            <w:tcW w:w="3157" w:type="pct"/>
          </w:tcPr>
          <w:p w14:paraId="7C0F032B" w14:textId="1D2824B3" w:rsidR="00BE2F53" w:rsidRPr="00274AE2" w:rsidRDefault="00BE2F53" w:rsidP="002410B6">
            <w:pPr>
              <w:rPr>
                <w:rFonts w:cs="Arial"/>
                <w:lang w:eastAsia="en-AU"/>
              </w:rPr>
            </w:pPr>
            <w:r>
              <w:rPr>
                <w:rFonts w:cs="Arial"/>
                <w:lang w:eastAsia="en-AU"/>
              </w:rPr>
              <w:t>s</w:t>
            </w:r>
            <w:r w:rsidRPr="00A77F5D">
              <w:rPr>
                <w:rFonts w:cs="Arial"/>
                <w:lang w:eastAsia="en-AU"/>
              </w:rPr>
              <w:t xml:space="preserve">ee subsection 12(2) of the </w:t>
            </w:r>
            <w:hyperlink r:id="rId51" w:history="1">
              <w:r w:rsidR="00165C8B" w:rsidRPr="00777F89">
                <w:rPr>
                  <w:rStyle w:val="Hyperlink"/>
                  <w:i/>
                </w:rPr>
                <w:t>Public Governance, Performance and Accountability Act 2013</w:t>
              </w:r>
              <w:r w:rsidR="00F35743">
                <w:rPr>
                  <w:rStyle w:val="Hyperlink"/>
                  <w:i/>
                </w:rPr>
                <w:t xml:space="preserve"> </w:t>
              </w:r>
              <w:r w:rsidR="00F35743" w:rsidRPr="007F6443">
                <w:rPr>
                  <w:rStyle w:val="Hyperlink"/>
                </w:rPr>
                <w:t>(PGPA Act)</w:t>
              </w:r>
              <w:r w:rsidR="00165C8B" w:rsidRPr="00F35743">
                <w:rPr>
                  <w:rStyle w:val="Hyperlink"/>
                </w:rPr>
                <w:t>.</w:t>
              </w:r>
            </w:hyperlink>
          </w:p>
        </w:tc>
      </w:tr>
      <w:tr w:rsidR="00BE2F53" w:rsidRPr="00274AE2" w14:paraId="2F609117" w14:textId="77777777" w:rsidTr="002410B6">
        <w:trPr>
          <w:cantSplit/>
        </w:trPr>
        <w:tc>
          <w:tcPr>
            <w:tcW w:w="1843" w:type="pct"/>
          </w:tcPr>
          <w:p w14:paraId="0EC36FD0" w14:textId="77777777" w:rsidR="00BE2F53" w:rsidRPr="00274AE2" w:rsidRDefault="00BE2F53" w:rsidP="002410B6">
            <w:r>
              <w:t>a</w:t>
            </w:r>
            <w:r w:rsidRPr="00274AE2">
              <w:t>dministering entity</w:t>
            </w:r>
          </w:p>
        </w:tc>
        <w:tc>
          <w:tcPr>
            <w:tcW w:w="3157" w:type="pct"/>
          </w:tcPr>
          <w:p w14:paraId="7AA537F4" w14:textId="685308E6" w:rsidR="00BE2F53" w:rsidRPr="00274AE2" w:rsidRDefault="00BE2F53" w:rsidP="002410B6">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sidR="00ED62A7">
              <w:rPr>
                <w:rFonts w:cs="Arial"/>
                <w:lang w:eastAsia="en-AU"/>
              </w:rPr>
              <w:t>.</w:t>
            </w:r>
          </w:p>
        </w:tc>
      </w:tr>
      <w:tr w:rsidR="00BE2F53" w:rsidRPr="009E3949" w14:paraId="687D0EE7" w14:textId="77777777" w:rsidTr="002410B6">
        <w:trPr>
          <w:cantSplit/>
        </w:trPr>
        <w:tc>
          <w:tcPr>
            <w:tcW w:w="1843" w:type="pct"/>
          </w:tcPr>
          <w:p w14:paraId="26AAE62A" w14:textId="77777777" w:rsidR="00BE2F53" w:rsidRDefault="00BE2F53" w:rsidP="002410B6">
            <w:r w:rsidRPr="001B21A4">
              <w:t>assessment criteria</w:t>
            </w:r>
          </w:p>
        </w:tc>
        <w:tc>
          <w:tcPr>
            <w:tcW w:w="3157" w:type="pct"/>
          </w:tcPr>
          <w:p w14:paraId="054CA5B0" w14:textId="77777777" w:rsidR="00BE2F53" w:rsidRPr="006C4678" w:rsidRDefault="00BE2F53" w:rsidP="002410B6">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5239BE" w:rsidRPr="009E3949" w14:paraId="3795399E" w14:textId="77777777" w:rsidTr="002410B6">
        <w:trPr>
          <w:cantSplit/>
        </w:trPr>
        <w:tc>
          <w:tcPr>
            <w:tcW w:w="1843" w:type="pct"/>
          </w:tcPr>
          <w:p w14:paraId="1855157D" w14:textId="1DEFC6B7" w:rsidR="005239BE" w:rsidRDefault="005239BE" w:rsidP="005239BE">
            <w:r>
              <w:t>c</w:t>
            </w:r>
            <w:r w:rsidRPr="00274AE2">
              <w:t>o-sponsoring entity</w:t>
            </w:r>
          </w:p>
        </w:tc>
        <w:tc>
          <w:tcPr>
            <w:tcW w:w="3157" w:type="pct"/>
          </w:tcPr>
          <w:p w14:paraId="132618E1" w14:textId="12A7098A" w:rsidR="005239BE" w:rsidRDefault="005239BE" w:rsidP="005239BE">
            <w:r>
              <w:rPr>
                <w:rFonts w:cs="Arial"/>
                <w:lang w:eastAsia="en-AU"/>
              </w:rPr>
              <w:t>w</w:t>
            </w:r>
            <w:r w:rsidRPr="00274AE2">
              <w:rPr>
                <w:rFonts w:cs="Arial"/>
                <w:lang w:eastAsia="en-AU"/>
              </w:rPr>
              <w:t xml:space="preserve">hen </w:t>
            </w:r>
            <w:r>
              <w:rPr>
                <w:rFonts w:cs="Arial"/>
                <w:lang w:eastAsia="en-AU"/>
              </w:rPr>
              <w:t>2</w:t>
            </w:r>
            <w:r w:rsidRPr="00274AE2">
              <w:rPr>
                <w:rFonts w:cs="Arial"/>
                <w:lang w:eastAsia="en-AU"/>
              </w:rPr>
              <w:t xml:space="preserve"> or more entities are responsible for the policy and the appropriation for outcomes associated with it</w:t>
            </w:r>
            <w:r>
              <w:rPr>
                <w:rFonts w:cs="Arial"/>
                <w:lang w:eastAsia="en-AU"/>
              </w:rPr>
              <w:t>.</w:t>
            </w:r>
          </w:p>
        </w:tc>
      </w:tr>
      <w:tr w:rsidR="005239BE" w:rsidRPr="009E3949" w14:paraId="752AFE0E" w14:textId="77777777" w:rsidTr="002410B6">
        <w:trPr>
          <w:cantSplit/>
        </w:trPr>
        <w:tc>
          <w:tcPr>
            <w:tcW w:w="1843" w:type="pct"/>
          </w:tcPr>
          <w:p w14:paraId="20B19614" w14:textId="77777777" w:rsidR="005239BE" w:rsidRDefault="005239BE" w:rsidP="005239BE">
            <w:r>
              <w:t>c</w:t>
            </w:r>
            <w:r w:rsidRPr="00463AB3">
              <w:t>ommencement date</w:t>
            </w:r>
          </w:p>
        </w:tc>
        <w:tc>
          <w:tcPr>
            <w:tcW w:w="3157" w:type="pct"/>
          </w:tcPr>
          <w:p w14:paraId="57D72ECB" w14:textId="28149C01" w:rsidR="005239BE" w:rsidRPr="006C4678" w:rsidRDefault="005239BE" w:rsidP="005239BE">
            <w:r>
              <w:t>t</w:t>
            </w:r>
            <w:r w:rsidRPr="00463AB3">
              <w:t>he expected start date for the grant activity</w:t>
            </w:r>
            <w:r>
              <w:t>.</w:t>
            </w:r>
          </w:p>
        </w:tc>
      </w:tr>
      <w:tr w:rsidR="005239BE" w:rsidRPr="009E3949" w14:paraId="36279CA6" w14:textId="77777777" w:rsidTr="002B4171">
        <w:trPr>
          <w:cantSplit/>
        </w:trPr>
        <w:tc>
          <w:tcPr>
            <w:tcW w:w="1843" w:type="pct"/>
          </w:tcPr>
          <w:p w14:paraId="22F79915" w14:textId="77777777" w:rsidR="005239BE" w:rsidRDefault="005239BE" w:rsidP="005239BE">
            <w:r>
              <w:t xml:space="preserve">Commonwealth </w:t>
            </w:r>
            <w:r w:rsidRPr="001B21A4">
              <w:t>entity</w:t>
            </w:r>
          </w:p>
        </w:tc>
        <w:tc>
          <w:tcPr>
            <w:tcW w:w="3157" w:type="pct"/>
          </w:tcPr>
          <w:p w14:paraId="0FB88DE1" w14:textId="77777777" w:rsidR="005239BE" w:rsidRPr="00164671" w:rsidRDefault="005239BE" w:rsidP="005239BE">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 xml:space="preserve">epartment, or a listed entity or a body corporate established by a law of the Commonwealth. See subsections 10(1) and (2) of the </w:t>
            </w:r>
            <w:r w:rsidRPr="007F6443">
              <w:rPr>
                <w:rFonts w:cs="Arial"/>
                <w:lang w:eastAsia="en-AU"/>
              </w:rPr>
              <w:t>PGPA Act.</w:t>
            </w:r>
          </w:p>
        </w:tc>
      </w:tr>
      <w:tr w:rsidR="005239BE" w:rsidRPr="009E3949" w14:paraId="7D77C431" w14:textId="77777777" w:rsidTr="002B4171">
        <w:trPr>
          <w:cantSplit/>
        </w:trPr>
        <w:tc>
          <w:tcPr>
            <w:tcW w:w="1843" w:type="pct"/>
          </w:tcPr>
          <w:p w14:paraId="28B150B7" w14:textId="77777777" w:rsidR="005239BE" w:rsidRDefault="008047C7" w:rsidP="005239BE">
            <w:hyperlink r:id="rId52" w:history="1">
              <w:r w:rsidR="005239BE" w:rsidRPr="00FA5A51">
                <w:rPr>
                  <w:rStyle w:val="Hyperlink"/>
                  <w:i/>
                </w:rPr>
                <w:t>Commonwealth Grants Rules and Guidelines (CGRGs)</w:t>
              </w:r>
            </w:hyperlink>
          </w:p>
        </w:tc>
        <w:tc>
          <w:tcPr>
            <w:tcW w:w="3157" w:type="pct"/>
          </w:tcPr>
          <w:p w14:paraId="3572501A" w14:textId="77777777" w:rsidR="005239BE" w:rsidRPr="00164671" w:rsidRDefault="005239BE" w:rsidP="005239BE">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5239BE" w:rsidRPr="009E3949" w14:paraId="060C8C18" w14:textId="77777777" w:rsidTr="002410B6">
        <w:trPr>
          <w:cantSplit/>
        </w:trPr>
        <w:tc>
          <w:tcPr>
            <w:tcW w:w="1843" w:type="pct"/>
          </w:tcPr>
          <w:p w14:paraId="0D6156E6" w14:textId="77777777" w:rsidR="005239BE" w:rsidRDefault="005239BE" w:rsidP="005239BE">
            <w:r>
              <w:t>c</w:t>
            </w:r>
            <w:r w:rsidRPr="00463AB3">
              <w:t>ompletion date</w:t>
            </w:r>
          </w:p>
        </w:tc>
        <w:tc>
          <w:tcPr>
            <w:tcW w:w="3157" w:type="pct"/>
          </w:tcPr>
          <w:p w14:paraId="6A4F7A1D" w14:textId="39B195F3" w:rsidR="005239BE" w:rsidRPr="006C4678" w:rsidRDefault="005239BE" w:rsidP="005239BE">
            <w:r>
              <w:t>t</w:t>
            </w:r>
            <w:r w:rsidRPr="00463AB3">
              <w:t>he expected date that the grant activity must be completed and the grant spent by</w:t>
            </w:r>
            <w:r>
              <w:t>.</w:t>
            </w:r>
          </w:p>
        </w:tc>
      </w:tr>
      <w:tr w:rsidR="005239BE" w:rsidRPr="009E3949" w14:paraId="4BB65122" w14:textId="77777777" w:rsidTr="002410B6">
        <w:trPr>
          <w:cantSplit/>
        </w:trPr>
        <w:tc>
          <w:tcPr>
            <w:tcW w:w="1843" w:type="pct"/>
          </w:tcPr>
          <w:p w14:paraId="298091A8" w14:textId="77777777" w:rsidR="005239BE" w:rsidRDefault="005239BE" w:rsidP="005239BE">
            <w:r>
              <w:t>date of effect</w:t>
            </w:r>
          </w:p>
        </w:tc>
        <w:tc>
          <w:tcPr>
            <w:tcW w:w="3157" w:type="pct"/>
          </w:tcPr>
          <w:p w14:paraId="4460AC14" w14:textId="77777777" w:rsidR="005239BE" w:rsidRPr="006C4678" w:rsidRDefault="005239BE" w:rsidP="005239BE">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5239BE" w:rsidRPr="009E3949" w14:paraId="7DAE6261" w14:textId="77777777" w:rsidTr="002410B6">
        <w:trPr>
          <w:cantSplit/>
        </w:trPr>
        <w:tc>
          <w:tcPr>
            <w:tcW w:w="1843" w:type="pct"/>
          </w:tcPr>
          <w:p w14:paraId="2C536556" w14:textId="77777777" w:rsidR="005239BE" w:rsidRDefault="005239BE" w:rsidP="005239BE">
            <w:r w:rsidRPr="001B21A4">
              <w:t>decision maker</w:t>
            </w:r>
          </w:p>
        </w:tc>
        <w:tc>
          <w:tcPr>
            <w:tcW w:w="3157" w:type="pct"/>
          </w:tcPr>
          <w:p w14:paraId="166361DF" w14:textId="719C7C25" w:rsidR="005239BE" w:rsidRPr="006C4678" w:rsidRDefault="005239BE" w:rsidP="005239BE">
            <w:r>
              <w:rPr>
                <w:rFonts w:cs="Arial"/>
                <w:lang w:eastAsia="en-AU"/>
              </w:rPr>
              <w:t>t</w:t>
            </w:r>
            <w:r w:rsidRPr="00710FAB">
              <w:rPr>
                <w:rFonts w:cs="Arial"/>
                <w:lang w:eastAsia="en-AU"/>
              </w:rPr>
              <w:t>he person who makes a decision to award a grant</w:t>
            </w:r>
            <w:r>
              <w:rPr>
                <w:rFonts w:cs="Arial"/>
                <w:lang w:eastAsia="en-AU"/>
              </w:rPr>
              <w:t>.</w:t>
            </w:r>
          </w:p>
        </w:tc>
      </w:tr>
      <w:tr w:rsidR="005239BE" w:rsidRPr="009E3949" w14:paraId="75883F6F" w14:textId="77777777" w:rsidTr="002410B6">
        <w:trPr>
          <w:cantSplit/>
        </w:trPr>
        <w:tc>
          <w:tcPr>
            <w:tcW w:w="1843" w:type="pct"/>
          </w:tcPr>
          <w:p w14:paraId="26011030" w14:textId="77777777" w:rsidR="005239BE" w:rsidRDefault="005239BE" w:rsidP="005239BE">
            <w:r w:rsidRPr="001B21A4">
              <w:t>eligibility criteria</w:t>
            </w:r>
          </w:p>
        </w:tc>
        <w:tc>
          <w:tcPr>
            <w:tcW w:w="3157" w:type="pct"/>
          </w:tcPr>
          <w:p w14:paraId="11D6B91D" w14:textId="77777777" w:rsidR="005239BE" w:rsidRPr="006C4678" w:rsidRDefault="005239BE" w:rsidP="005239BE">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5239BE" w:rsidRPr="009E3949" w14:paraId="08DA2446" w14:textId="77777777" w:rsidTr="002410B6">
        <w:trPr>
          <w:cantSplit/>
        </w:trPr>
        <w:tc>
          <w:tcPr>
            <w:tcW w:w="1843" w:type="pct"/>
          </w:tcPr>
          <w:p w14:paraId="06F6847B" w14:textId="566EE3BE" w:rsidR="005239BE" w:rsidRPr="00463AB3" w:rsidRDefault="005239BE" w:rsidP="005239BE">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3A451F9A" w14:textId="77777777" w:rsidR="005239BE" w:rsidRDefault="005239BE" w:rsidP="005239BE">
            <w:pPr>
              <w:suppressAutoHyphens/>
              <w:spacing w:before="60"/>
            </w:pPr>
            <w:r>
              <w:t>is the officer responsible for the ongoing management of the grantee and their compliance with the grant agreement.</w:t>
            </w:r>
          </w:p>
        </w:tc>
      </w:tr>
      <w:tr w:rsidR="005239BE" w:rsidRPr="009E3949" w14:paraId="421715B6" w14:textId="77777777" w:rsidTr="002410B6">
        <w:trPr>
          <w:cantSplit/>
        </w:trPr>
        <w:tc>
          <w:tcPr>
            <w:tcW w:w="1843" w:type="pct"/>
          </w:tcPr>
          <w:p w14:paraId="33AE564A" w14:textId="77777777" w:rsidR="005239BE" w:rsidRPr="0007627E" w:rsidRDefault="005239BE" w:rsidP="005239BE">
            <w:r w:rsidRPr="00463AB3">
              <w:rPr>
                <w:rFonts w:cs="Arial"/>
                <w:lang w:eastAsia="en-AU"/>
              </w:rPr>
              <w:lastRenderedPageBreak/>
              <w:t xml:space="preserve">grant </w:t>
            </w:r>
          </w:p>
        </w:tc>
        <w:tc>
          <w:tcPr>
            <w:tcW w:w="3157" w:type="pct"/>
          </w:tcPr>
          <w:p w14:paraId="42312BF3" w14:textId="77777777" w:rsidR="005239BE" w:rsidRPr="006A6E10" w:rsidRDefault="005239BE" w:rsidP="005239BE">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736FE5A9" w14:textId="35B5E162" w:rsidR="005239BE" w:rsidRPr="00181A24" w:rsidRDefault="005239BE" w:rsidP="005239BE">
            <w:pPr>
              <w:pStyle w:val="NumberedList2"/>
              <w:numPr>
                <w:ilvl w:val="1"/>
                <w:numId w:val="19"/>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4"/>
            </w:r>
            <w:r w:rsidRPr="00181A24">
              <w:rPr>
                <w:rFonts w:ascii="Arial" w:hAnsi="Arial" w:cs="Arial"/>
                <w:sz w:val="20"/>
                <w:szCs w:val="20"/>
              </w:rPr>
              <w:t xml:space="preserve"> or other</w:t>
            </w:r>
            <w:r>
              <w:rPr>
                <w:rFonts w:ascii="Arial" w:hAnsi="Arial" w:cs="Arial"/>
                <w:sz w:val="20"/>
                <w:szCs w:val="20"/>
              </w:rPr>
              <w:t xml:space="preserve"> </w:t>
            </w:r>
            <w:hyperlink r:id="rId53"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5"/>
            </w:r>
            <w:r w:rsidRPr="00181A24">
              <w:rPr>
                <w:rFonts w:ascii="Arial" w:hAnsi="Arial" w:cs="Arial"/>
                <w:sz w:val="20"/>
                <w:szCs w:val="20"/>
              </w:rPr>
              <w:t xml:space="preserve"> is to be paid to a grantee other than the Commonwealth</w:t>
            </w:r>
          </w:p>
          <w:p w14:paraId="26CA832D" w14:textId="5C5F2EB9" w:rsidR="005239BE" w:rsidRPr="00710FAB" w:rsidRDefault="005239BE" w:rsidP="005239BE">
            <w:pPr>
              <w:pStyle w:val="NumberedList2"/>
              <w:numPr>
                <w:ilvl w:val="1"/>
                <w:numId w:val="18"/>
              </w:numPr>
              <w:spacing w:before="60"/>
              <w:ind w:left="284"/>
            </w:pPr>
            <w:r w:rsidRPr="00181A24">
              <w:rPr>
                <w:rFonts w:ascii="Arial" w:hAnsi="Arial" w:cs="Arial"/>
                <w:sz w:val="20"/>
                <w:szCs w:val="20"/>
              </w:rPr>
              <w:t xml:space="preserve">which is intended to help address one or more of the Australian </w:t>
            </w:r>
            <w:r>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5239BE" w:rsidRPr="009E3949" w14:paraId="32867934" w14:textId="77777777" w:rsidTr="002410B6">
        <w:trPr>
          <w:cantSplit/>
        </w:trPr>
        <w:tc>
          <w:tcPr>
            <w:tcW w:w="1843" w:type="pct"/>
          </w:tcPr>
          <w:p w14:paraId="1E448CB4" w14:textId="16AB3162" w:rsidR="005239BE" w:rsidRPr="00463AB3" w:rsidRDefault="008047C7" w:rsidP="005239BE">
            <w:pPr>
              <w:rPr>
                <w:rFonts w:cs="Arial"/>
                <w:lang w:eastAsia="en-AU"/>
              </w:rPr>
            </w:pPr>
            <w:hyperlink r:id="rId54" w:history="1">
              <w:r w:rsidR="005239BE" w:rsidRPr="00A727BF">
                <w:rPr>
                  <w:rStyle w:val="Hyperlink"/>
                </w:rPr>
                <w:t>GrantConnect</w:t>
              </w:r>
            </w:hyperlink>
          </w:p>
        </w:tc>
        <w:tc>
          <w:tcPr>
            <w:tcW w:w="3157" w:type="pct"/>
          </w:tcPr>
          <w:p w14:paraId="46D69E5F" w14:textId="55D571F7" w:rsidR="005239BE" w:rsidRDefault="005239BE" w:rsidP="005239BE">
            <w:pPr>
              <w:suppressAutoHyphens/>
              <w:spacing w:before="60"/>
            </w:pPr>
            <w:r>
              <w:t>is the Australian G</w:t>
            </w:r>
            <w:r w:rsidRPr="00A77F5D">
              <w:t>overnment’s whole-of-government grants information system, which centralises the publication and reporting of Commonwealth grants in accordance with the CGRGs</w:t>
            </w:r>
            <w:r>
              <w:t>.</w:t>
            </w:r>
          </w:p>
        </w:tc>
      </w:tr>
      <w:tr w:rsidR="005239BE" w:rsidRPr="009E3949" w14:paraId="08AAB8A9" w14:textId="77777777" w:rsidTr="002410B6">
        <w:trPr>
          <w:cantSplit/>
        </w:trPr>
        <w:tc>
          <w:tcPr>
            <w:tcW w:w="1843" w:type="pct"/>
          </w:tcPr>
          <w:p w14:paraId="6A49C402" w14:textId="0063C2C8" w:rsidR="005239BE" w:rsidRPr="00A727BF" w:rsidRDefault="005239BE" w:rsidP="005239BE">
            <w:r>
              <w:t>grantee</w:t>
            </w:r>
          </w:p>
        </w:tc>
        <w:tc>
          <w:tcPr>
            <w:tcW w:w="3157" w:type="pct"/>
          </w:tcPr>
          <w:p w14:paraId="2AF15DDD" w14:textId="73CB4607" w:rsidR="005239BE" w:rsidRDefault="005239BE" w:rsidP="005239BE">
            <w:pPr>
              <w:suppressAutoHyphens/>
              <w:spacing w:before="60"/>
            </w:pPr>
            <w:r>
              <w:t>the individual/organisation which has been selected to receive a grant.</w:t>
            </w:r>
          </w:p>
        </w:tc>
      </w:tr>
      <w:tr w:rsidR="005239BE" w:rsidRPr="009E3949" w14:paraId="00B4229A" w14:textId="77777777" w:rsidTr="002410B6">
        <w:trPr>
          <w:cantSplit/>
        </w:trPr>
        <w:tc>
          <w:tcPr>
            <w:tcW w:w="1843" w:type="pct"/>
          </w:tcPr>
          <w:p w14:paraId="0AA8C215" w14:textId="77777777" w:rsidR="005239BE" w:rsidRPr="00463AB3" w:rsidRDefault="005239BE" w:rsidP="005239BE">
            <w:pPr>
              <w:rPr>
                <w:rFonts w:cs="Arial"/>
                <w:lang w:eastAsia="en-AU"/>
              </w:rPr>
            </w:pPr>
            <w:r>
              <w:t xml:space="preserve">grant </w:t>
            </w:r>
            <w:r w:rsidRPr="001B21A4">
              <w:t>activity</w:t>
            </w:r>
            <w:r>
              <w:t>/activities</w:t>
            </w:r>
          </w:p>
        </w:tc>
        <w:tc>
          <w:tcPr>
            <w:tcW w:w="3157" w:type="pct"/>
          </w:tcPr>
          <w:p w14:paraId="072A66BD" w14:textId="612D27D0" w:rsidR="005239BE" w:rsidRPr="00463AB3" w:rsidRDefault="005239BE" w:rsidP="005239BE">
            <w:pPr>
              <w:rPr>
                <w:rFonts w:cs="Arial"/>
                <w:lang w:eastAsia="en-AU"/>
              </w:rPr>
            </w:pPr>
            <w:r>
              <w:t>r</w:t>
            </w:r>
            <w:r w:rsidRPr="00A77F5D">
              <w:t>efers to the project/tasks/services that the grantee is required to undertake</w:t>
            </w:r>
            <w:r>
              <w:t>.</w:t>
            </w:r>
          </w:p>
        </w:tc>
      </w:tr>
      <w:tr w:rsidR="005239BE" w:rsidRPr="009E3949" w14:paraId="42CE7AEB" w14:textId="77777777" w:rsidTr="002410B6">
        <w:trPr>
          <w:cantSplit/>
        </w:trPr>
        <w:tc>
          <w:tcPr>
            <w:tcW w:w="1843" w:type="pct"/>
          </w:tcPr>
          <w:p w14:paraId="19A01B6E" w14:textId="77777777" w:rsidR="005239BE" w:rsidRDefault="005239BE" w:rsidP="005239BE">
            <w:r w:rsidRPr="001B21A4">
              <w:t>grant agreement</w:t>
            </w:r>
          </w:p>
        </w:tc>
        <w:tc>
          <w:tcPr>
            <w:tcW w:w="3157" w:type="pct"/>
          </w:tcPr>
          <w:p w14:paraId="2E490841" w14:textId="1AAF986D" w:rsidR="005239BE" w:rsidRPr="00710FAB" w:rsidRDefault="005239BE" w:rsidP="005239BE">
            <w:r>
              <w:t>s</w:t>
            </w:r>
            <w:r w:rsidRPr="00A77F5D">
              <w:t>ets out the relationship between the parties to the agreement, and specifies the details of the grant</w:t>
            </w:r>
            <w:r>
              <w:t>.</w:t>
            </w:r>
          </w:p>
        </w:tc>
      </w:tr>
      <w:tr w:rsidR="005239BE" w:rsidRPr="009E3949" w14:paraId="071DA54A" w14:textId="77777777" w:rsidTr="002410B6">
        <w:trPr>
          <w:cantSplit/>
        </w:trPr>
        <w:tc>
          <w:tcPr>
            <w:tcW w:w="1843" w:type="pct"/>
          </w:tcPr>
          <w:p w14:paraId="008BEDA3" w14:textId="77777777" w:rsidR="005239BE" w:rsidRPr="001B21A4" w:rsidRDefault="005239BE" w:rsidP="005239BE">
            <w:r>
              <w:t>grant opportunity</w:t>
            </w:r>
          </w:p>
        </w:tc>
        <w:tc>
          <w:tcPr>
            <w:tcW w:w="3157" w:type="pct"/>
          </w:tcPr>
          <w:p w14:paraId="13282B9B" w14:textId="77777777" w:rsidR="005239BE" w:rsidRPr="00710FAB" w:rsidRDefault="005239BE" w:rsidP="005239BE">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5239BE" w:rsidRPr="009E3949" w14:paraId="5B1BF40C" w14:textId="77777777" w:rsidTr="002410B6">
        <w:trPr>
          <w:cantSplit/>
        </w:trPr>
        <w:tc>
          <w:tcPr>
            <w:tcW w:w="1843" w:type="pct"/>
          </w:tcPr>
          <w:p w14:paraId="175ACDE8" w14:textId="77777777" w:rsidR="005239BE" w:rsidRDefault="005239BE" w:rsidP="005239BE">
            <w:r w:rsidRPr="001B21A4">
              <w:t xml:space="preserve">grant </w:t>
            </w:r>
            <w:r>
              <w:t>program</w:t>
            </w:r>
          </w:p>
        </w:tc>
        <w:tc>
          <w:tcPr>
            <w:tcW w:w="3157" w:type="pct"/>
          </w:tcPr>
          <w:p w14:paraId="1199FA17" w14:textId="177CA70A" w:rsidR="005239BE" w:rsidRPr="00F85418" w:rsidRDefault="005239BE" w:rsidP="005239BE">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Pr>
                <w:rFonts w:cs="Arial"/>
              </w:rPr>
              <w:t>p</w:t>
            </w:r>
            <w:r w:rsidRPr="00A77F5D">
              <w:rPr>
                <w:rFonts w:cs="Arial"/>
              </w:rPr>
              <w:t>rogram</w:t>
            </w:r>
            <w:r>
              <w:rPr>
                <w:rFonts w:cs="Arial"/>
              </w:rPr>
              <w:t>.</w:t>
            </w:r>
          </w:p>
        </w:tc>
      </w:tr>
      <w:tr w:rsidR="005239BE" w:rsidRPr="009E3949" w14:paraId="1D7BF229" w14:textId="77777777" w:rsidTr="002410B6">
        <w:trPr>
          <w:cantSplit/>
        </w:trPr>
        <w:tc>
          <w:tcPr>
            <w:tcW w:w="1843" w:type="pct"/>
          </w:tcPr>
          <w:p w14:paraId="1C5B22C3" w14:textId="6D03925E" w:rsidR="005239BE" w:rsidRDefault="005239BE" w:rsidP="005239BE">
            <w:r w:rsidRPr="00CE3B6B">
              <w:t>National Redress legislation</w:t>
            </w:r>
          </w:p>
        </w:tc>
        <w:tc>
          <w:tcPr>
            <w:tcW w:w="3157" w:type="pct"/>
          </w:tcPr>
          <w:p w14:paraId="6F515021" w14:textId="2D13847A" w:rsidR="005239BE" w:rsidRDefault="005239BE" w:rsidP="005239BE">
            <w:r w:rsidRPr="008B5398">
              <w:t>m</w:t>
            </w:r>
            <w:r w:rsidRPr="0074006B">
              <w:t xml:space="preserve">eans the </w:t>
            </w:r>
            <w:hyperlink r:id="rId55" w:history="1">
              <w:r w:rsidRPr="007F6443">
                <w:rPr>
                  <w:rStyle w:val="Hyperlink"/>
                  <w:i/>
                </w:rPr>
                <w:t>National Redress Scheme for Institutional Child Sexual Abuse Act 2018</w:t>
              </w:r>
            </w:hyperlink>
            <w:r>
              <w:rPr>
                <w:rStyle w:val="Hyperlink"/>
              </w:rPr>
              <w:t>.</w:t>
            </w:r>
          </w:p>
        </w:tc>
      </w:tr>
      <w:tr w:rsidR="005239BE" w:rsidRPr="009E3949" w14:paraId="7DABF88F" w14:textId="77777777" w:rsidTr="002410B6">
        <w:trPr>
          <w:cantSplit/>
        </w:trPr>
        <w:tc>
          <w:tcPr>
            <w:tcW w:w="1843" w:type="pct"/>
          </w:tcPr>
          <w:p w14:paraId="1A22A584" w14:textId="60CDFA5C" w:rsidR="005239BE" w:rsidRDefault="005239BE" w:rsidP="005239BE">
            <w:r>
              <w:t>Portfolio Budget Statement (</w:t>
            </w:r>
            <w:r w:rsidRPr="00463AB3">
              <w:t>PBS</w:t>
            </w:r>
            <w:r>
              <w:t>)</w:t>
            </w:r>
            <w:r w:rsidRPr="00463AB3">
              <w:t xml:space="preserve"> </w:t>
            </w:r>
            <w:r>
              <w:t>p</w:t>
            </w:r>
            <w:r w:rsidRPr="00463AB3">
              <w:t>rogram</w:t>
            </w:r>
          </w:p>
        </w:tc>
        <w:tc>
          <w:tcPr>
            <w:tcW w:w="3157" w:type="pct"/>
          </w:tcPr>
          <w:p w14:paraId="3E347652" w14:textId="60FE4702" w:rsidR="005239BE" w:rsidRPr="00634D2F" w:rsidRDefault="005239BE" w:rsidP="005239BE">
            <w:pPr>
              <w:rPr>
                <w:highlight w:val="yellow"/>
              </w:rPr>
            </w:pPr>
            <w:r w:rsidRPr="000F1DC1">
              <w:rPr>
                <w:rFonts w:cs="Arial"/>
              </w:rPr>
              <w:t xml:space="preserve">described within the entity’s </w:t>
            </w:r>
            <w:hyperlink r:id="rId56" w:history="1">
              <w:r w:rsidRPr="000F1DC1">
                <w:rPr>
                  <w:rStyle w:val="Hyperlink"/>
                  <w:rFonts w:cs="Arial"/>
                </w:rPr>
                <w:t>Portfolio Budget Statement</w:t>
              </w:r>
            </w:hyperlink>
            <w:r w:rsidRPr="000F1DC1">
              <w:rPr>
                <w:rFonts w:cs="Arial"/>
              </w:rPr>
              <w:t xml:space="preserve">, </w:t>
            </w:r>
            <w:r w:rsidRPr="000F1DC1">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0F1DC1">
              <w:rPr>
                <w:rFonts w:cs="Arial"/>
              </w:rPr>
              <w:t>one or more grant opportunities.</w:t>
            </w:r>
          </w:p>
        </w:tc>
      </w:tr>
      <w:tr w:rsidR="005239BE" w:rsidRPr="009E3949" w14:paraId="54577F93" w14:textId="77777777" w:rsidTr="002B4171">
        <w:trPr>
          <w:cantSplit/>
          <w:trHeight w:val="1133"/>
        </w:trPr>
        <w:tc>
          <w:tcPr>
            <w:tcW w:w="1843" w:type="pct"/>
          </w:tcPr>
          <w:p w14:paraId="2B4F53F5" w14:textId="77777777" w:rsidR="005239BE" w:rsidRPr="001B21A4" w:rsidRDefault="005239BE" w:rsidP="005239BE">
            <w:r>
              <w:lastRenderedPageBreak/>
              <w:t xml:space="preserve">Selection Advisory Panel </w:t>
            </w:r>
          </w:p>
        </w:tc>
        <w:tc>
          <w:tcPr>
            <w:tcW w:w="3157" w:type="pct"/>
            <w:vAlign w:val="center"/>
          </w:tcPr>
          <w:p w14:paraId="1D54AC02" w14:textId="77777777" w:rsidR="005239BE" w:rsidRPr="00117DE3" w:rsidRDefault="005239BE" w:rsidP="005239BE">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5239BE" w:rsidRPr="009E3949" w14:paraId="00730316" w14:textId="77777777" w:rsidTr="002410B6">
        <w:trPr>
          <w:cantSplit/>
        </w:trPr>
        <w:tc>
          <w:tcPr>
            <w:tcW w:w="1843" w:type="pct"/>
          </w:tcPr>
          <w:p w14:paraId="496B7ECF" w14:textId="77777777" w:rsidR="005239BE" w:rsidRPr="00463AB3" w:rsidRDefault="005239BE" w:rsidP="005239BE">
            <w:r w:rsidRPr="001B21A4">
              <w:t>selection criteria</w:t>
            </w:r>
          </w:p>
        </w:tc>
        <w:tc>
          <w:tcPr>
            <w:tcW w:w="3157" w:type="pct"/>
          </w:tcPr>
          <w:p w14:paraId="3BECA497" w14:textId="77777777" w:rsidR="005239BE" w:rsidRPr="00463AB3" w:rsidRDefault="005239BE" w:rsidP="005239BE">
            <w:pPr>
              <w:rPr>
                <w:rFonts w:cs="Arial"/>
              </w:rPr>
            </w:pPr>
            <w:r>
              <w:t>c</w:t>
            </w:r>
            <w:r w:rsidRPr="00710FAB">
              <w:t xml:space="preserve">omprise eligibility criteria </w:t>
            </w:r>
            <w:r>
              <w:t>and assessment criteria.</w:t>
            </w:r>
          </w:p>
        </w:tc>
      </w:tr>
      <w:tr w:rsidR="005239BE" w:rsidRPr="009E3949" w14:paraId="3169111D" w14:textId="77777777" w:rsidTr="002410B6">
        <w:trPr>
          <w:cantSplit/>
        </w:trPr>
        <w:tc>
          <w:tcPr>
            <w:tcW w:w="1843" w:type="pct"/>
          </w:tcPr>
          <w:p w14:paraId="574A0861" w14:textId="77777777" w:rsidR="005239BE" w:rsidRPr="001B21A4" w:rsidRDefault="005239BE" w:rsidP="005239BE">
            <w:r w:rsidRPr="001B21A4">
              <w:t>selection process</w:t>
            </w:r>
          </w:p>
        </w:tc>
        <w:tc>
          <w:tcPr>
            <w:tcW w:w="3157" w:type="pct"/>
          </w:tcPr>
          <w:p w14:paraId="4E306394" w14:textId="77777777" w:rsidR="005239BE" w:rsidRPr="00710FAB" w:rsidRDefault="005239BE" w:rsidP="005239BE">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5239BE" w:rsidRPr="009E3949" w14:paraId="4230A61E" w14:textId="77777777" w:rsidTr="002410B6">
        <w:trPr>
          <w:cantSplit/>
        </w:trPr>
        <w:tc>
          <w:tcPr>
            <w:tcW w:w="1843" w:type="pct"/>
          </w:tcPr>
          <w:p w14:paraId="438C5462" w14:textId="77777777" w:rsidR="005239BE" w:rsidRPr="001B21A4" w:rsidRDefault="005239BE" w:rsidP="005239BE">
            <w:r>
              <w:t xml:space="preserve">value with </w:t>
            </w:r>
            <w:r w:rsidRPr="00274AE2">
              <w:t>money</w:t>
            </w:r>
          </w:p>
        </w:tc>
        <w:tc>
          <w:tcPr>
            <w:tcW w:w="3157" w:type="pct"/>
          </w:tcPr>
          <w:p w14:paraId="798E0C63" w14:textId="77777777" w:rsidR="005239BE" w:rsidRPr="00274AE2" w:rsidRDefault="005239BE" w:rsidP="005239BE">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597E3B88" w14:textId="77777777" w:rsidR="005239BE" w:rsidRPr="00274AE2" w:rsidRDefault="005239BE" w:rsidP="005239BE">
            <w:r w:rsidRPr="00274AE2">
              <w:t>When administering a grant opportunity, an official should consider the relevant financial and non-financial costs and benefits of each proposal including, but not limited to</w:t>
            </w:r>
            <w:r>
              <w:t xml:space="preserve"> the</w:t>
            </w:r>
            <w:r w:rsidRPr="00274AE2">
              <w:t>:</w:t>
            </w:r>
          </w:p>
          <w:p w14:paraId="5ABEBD20" w14:textId="2C4758EC" w:rsidR="005239BE" w:rsidRPr="00274AE2" w:rsidRDefault="005239BE" w:rsidP="005239BE">
            <w:pPr>
              <w:pStyle w:val="ListBullet"/>
              <w:numPr>
                <w:ilvl w:val="0"/>
                <w:numId w:val="23"/>
              </w:numPr>
              <w:spacing w:after="120"/>
              <w:rPr>
                <w:rFonts w:cs="Arial"/>
              </w:rPr>
            </w:pPr>
            <w:r w:rsidRPr="00274AE2">
              <w:rPr>
                <w:rFonts w:cs="Arial"/>
              </w:rPr>
              <w:t>quality of the project proposal and activities</w:t>
            </w:r>
          </w:p>
          <w:p w14:paraId="626A63F7" w14:textId="482B2E99" w:rsidR="005239BE" w:rsidRPr="00274AE2" w:rsidRDefault="005239BE" w:rsidP="005239BE">
            <w:pPr>
              <w:pStyle w:val="ListBullet"/>
              <w:numPr>
                <w:ilvl w:val="0"/>
                <w:numId w:val="23"/>
              </w:numPr>
              <w:spacing w:after="120"/>
              <w:rPr>
                <w:rFonts w:cs="Arial"/>
              </w:rPr>
            </w:pPr>
            <w:r>
              <w:rPr>
                <w:rFonts w:cs="Arial"/>
              </w:rPr>
              <w:t>fit</w:t>
            </w:r>
            <w:r w:rsidRPr="00274AE2">
              <w:rPr>
                <w:rFonts w:cs="Arial"/>
              </w:rPr>
              <w:t xml:space="preserve"> for purpose of the proposal in contributing to government objectives</w:t>
            </w:r>
          </w:p>
          <w:p w14:paraId="2689F7CA" w14:textId="77777777" w:rsidR="005239BE" w:rsidRPr="00ED62A7" w:rsidRDefault="005239BE" w:rsidP="005239BE">
            <w:pPr>
              <w:pStyle w:val="ListBullet"/>
              <w:numPr>
                <w:ilvl w:val="0"/>
                <w:numId w:val="23"/>
              </w:numPr>
              <w:spacing w:after="120"/>
              <w:rPr>
                <w:rFonts w:cs="Arial"/>
              </w:rPr>
            </w:pPr>
            <w:r w:rsidRPr="00274AE2">
              <w:rPr>
                <w:rFonts w:cs="Arial"/>
              </w:rPr>
              <w:t>absence of a grant is likely to prevent the grantee and gover</w:t>
            </w:r>
            <w:r>
              <w:rPr>
                <w:rFonts w:cs="Arial"/>
              </w:rPr>
              <w:t>nment’s outcomes being achieved</w:t>
            </w:r>
          </w:p>
          <w:p w14:paraId="15F3B9EE" w14:textId="77777777" w:rsidR="005239BE" w:rsidRPr="00710FAB" w:rsidRDefault="005239BE" w:rsidP="005239BE">
            <w:pPr>
              <w:pStyle w:val="ListBullet"/>
              <w:numPr>
                <w:ilvl w:val="0"/>
                <w:numId w:val="23"/>
              </w:numPr>
              <w:spacing w:after="120"/>
            </w:pPr>
            <w:r w:rsidRPr="00274AE2">
              <w:rPr>
                <w:rFonts w:cs="Arial"/>
              </w:rPr>
              <w:t>potential grantee’s relevant experience and performance history</w:t>
            </w:r>
            <w:r w:rsidRPr="007F6443">
              <w:rPr>
                <w:rFonts w:cs="Arial"/>
              </w:rPr>
              <w:t>.</w:t>
            </w:r>
          </w:p>
        </w:tc>
      </w:tr>
    </w:tbl>
    <w:p w14:paraId="71681254" w14:textId="57A082A3" w:rsidR="00387FC0" w:rsidRPr="00BE2F53" w:rsidRDefault="00387FC0" w:rsidP="000F1DC1"/>
    <w:sectPr w:rsidR="00387FC0" w:rsidRPr="00BE2F53" w:rsidSect="0002331D">
      <w:headerReference w:type="even" r:id="rId57"/>
      <w:headerReference w:type="default" r:id="rId58"/>
      <w:footerReference w:type="default" r:id="rId59"/>
      <w:headerReference w:type="first" r:id="rId60"/>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FD0A" w14:textId="77777777" w:rsidR="0061226B" w:rsidRDefault="0061226B" w:rsidP="00077C3D">
      <w:r>
        <w:separator/>
      </w:r>
    </w:p>
  </w:endnote>
  <w:endnote w:type="continuationSeparator" w:id="0">
    <w:p w14:paraId="6144EE9B" w14:textId="77777777" w:rsidR="0061226B" w:rsidRDefault="0061226B" w:rsidP="00077C3D">
      <w:r>
        <w:continuationSeparator/>
      </w:r>
    </w:p>
  </w:endnote>
  <w:endnote w:type="continuationNotice" w:id="1">
    <w:p w14:paraId="292B2C42" w14:textId="77777777" w:rsidR="0061226B" w:rsidRDefault="0061226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0664D" w14:textId="77777777" w:rsidR="003B38E7" w:rsidRDefault="003B3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7CE3" w14:textId="37BDBD88" w:rsidR="0061226B" w:rsidRPr="005B72F4" w:rsidRDefault="0061226B" w:rsidP="0014403E">
    <w:pPr>
      <w:pStyle w:val="Footer"/>
      <w:tabs>
        <w:tab w:val="clear" w:pos="4153"/>
        <w:tab w:val="clear" w:pos="8306"/>
        <w:tab w:val="center" w:pos="6096"/>
        <w:tab w:val="right" w:pos="8789"/>
      </w:tabs>
      <w:jc w:val="right"/>
      <w:rPr>
        <w:noProof/>
      </w:rPr>
    </w:pPr>
    <w:r w:rsidRPr="0014403E">
      <w:rPr>
        <w:rFonts w:cs="Arial"/>
        <w:szCs w:val="16"/>
      </w:rPr>
      <w:t xml:space="preserve">Legal advice service supporting the Royal Commission into Defence and Veteran Suicide </w:t>
    </w:r>
    <w:r>
      <w:rPr>
        <w:rFonts w:cs="Arial"/>
        <w:szCs w:val="16"/>
      </w:rPr>
      <w:t>Guidelines</w:t>
    </w:r>
    <w:r w:rsidRPr="005B72F4">
      <w:tab/>
      <w:t xml:space="preserve">Page </w:t>
    </w:r>
    <w:r w:rsidRPr="005B72F4">
      <w:fldChar w:fldCharType="begin"/>
    </w:r>
    <w:r w:rsidRPr="005B72F4">
      <w:instrText xml:space="preserve"> PAGE </w:instrText>
    </w:r>
    <w:r w:rsidRPr="005B72F4">
      <w:fldChar w:fldCharType="separate"/>
    </w:r>
    <w:r w:rsidR="008047C7">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047C7">
      <w:rPr>
        <w:noProof/>
      </w:rPr>
      <w:t>25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4340" w14:textId="77777777" w:rsidR="003B38E7" w:rsidRDefault="003B38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53DECAA5" w:rsidR="0061226B" w:rsidRPr="000F1DC1" w:rsidRDefault="0061226B" w:rsidP="000F1DC1">
    <w:pPr>
      <w:pStyle w:val="Footer"/>
      <w:tabs>
        <w:tab w:val="clear" w:pos="4153"/>
        <w:tab w:val="clear" w:pos="8306"/>
        <w:tab w:val="center" w:pos="6096"/>
        <w:tab w:val="right" w:pos="8789"/>
      </w:tabs>
      <w:jc w:val="right"/>
      <w:rPr>
        <w:noProof/>
      </w:rPr>
    </w:pPr>
    <w:r w:rsidRPr="0014403E">
      <w:rPr>
        <w:rFonts w:cs="Arial"/>
        <w:szCs w:val="16"/>
      </w:rPr>
      <w:t xml:space="preserve">Legal advice service supporting the Royal Commission into Defence and Veteran Suicide </w:t>
    </w:r>
    <w:r>
      <w:rPr>
        <w:rFonts w:cs="Arial"/>
        <w:szCs w:val="16"/>
      </w:rPr>
      <w:t>Guidelines</w:t>
    </w:r>
    <w:r w:rsidRPr="005B72F4">
      <w:tab/>
      <w:t xml:space="preserve">Page </w:t>
    </w:r>
    <w:r w:rsidRPr="005B72F4">
      <w:fldChar w:fldCharType="begin"/>
    </w:r>
    <w:r w:rsidRPr="005B72F4">
      <w:instrText xml:space="preserve"> PAGE </w:instrText>
    </w:r>
    <w:r w:rsidRPr="005B72F4">
      <w:fldChar w:fldCharType="separate"/>
    </w:r>
    <w:r w:rsidR="008047C7">
      <w:rPr>
        <w:noProof/>
      </w:rPr>
      <w:t>17</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047C7">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7F542" w14:textId="77777777" w:rsidR="0061226B" w:rsidRDefault="0061226B" w:rsidP="00077C3D">
      <w:r>
        <w:separator/>
      </w:r>
    </w:p>
  </w:footnote>
  <w:footnote w:type="continuationSeparator" w:id="0">
    <w:p w14:paraId="790D809D" w14:textId="77777777" w:rsidR="0061226B" w:rsidRDefault="0061226B" w:rsidP="00077C3D">
      <w:r>
        <w:continuationSeparator/>
      </w:r>
    </w:p>
  </w:footnote>
  <w:footnote w:type="continuationNotice" w:id="1">
    <w:p w14:paraId="671F79AA" w14:textId="77777777" w:rsidR="0061226B" w:rsidRDefault="0061226B" w:rsidP="00077C3D"/>
  </w:footnote>
  <w:footnote w:id="2">
    <w:p w14:paraId="7E30954D" w14:textId="7A6A7D3E" w:rsidR="0061226B" w:rsidRDefault="0061226B" w:rsidP="00BE2F53">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in section 7.2.</w:t>
      </w:r>
    </w:p>
  </w:footnote>
  <w:footnote w:id="3">
    <w:p w14:paraId="4B14996D" w14:textId="4DC9816F" w:rsidR="0061226B" w:rsidRDefault="0061226B" w:rsidP="006C11E1">
      <w:pPr>
        <w:pStyle w:val="FootnoteText"/>
      </w:pPr>
      <w:r w:rsidRPr="00482964">
        <w:rPr>
          <w:rStyle w:val="FootnoteReference"/>
        </w:rPr>
        <w:footnoteRef/>
      </w:r>
      <w:r w:rsidRPr="00482964">
        <w:t xml:space="preserve"> </w:t>
      </w:r>
      <w:r w:rsidRPr="00013558">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4">
    <w:p w14:paraId="3D97D5D0" w14:textId="77777777" w:rsidR="0061226B" w:rsidRPr="007133C2" w:rsidRDefault="0061226B" w:rsidP="00BE2F53">
      <w:pPr>
        <w:pStyle w:val="FootnoteText"/>
      </w:pPr>
      <w:r w:rsidRPr="007133C2">
        <w:rPr>
          <w:rStyle w:val="FootnoteReference"/>
        </w:rPr>
        <w:footnoteRef/>
      </w:r>
      <w:r w:rsidRPr="007133C2">
        <w:t xml:space="preserve"> Relevant money is defined in the </w:t>
      </w:r>
      <w:r w:rsidRPr="007F6443">
        <w:t>PGPA Act.</w:t>
      </w:r>
      <w:r w:rsidRPr="007133C2">
        <w:t xml:space="preserve"> See section 8, Dictionary</w:t>
      </w:r>
      <w:r>
        <w:t>.</w:t>
      </w:r>
    </w:p>
  </w:footnote>
  <w:footnote w:id="5">
    <w:p w14:paraId="04F255C5" w14:textId="77777777" w:rsidR="0061226B" w:rsidRPr="007133C2" w:rsidRDefault="0061226B" w:rsidP="00BE2F53">
      <w:pPr>
        <w:pStyle w:val="FootnoteText"/>
      </w:pPr>
      <w:r w:rsidRPr="007133C2">
        <w:rPr>
          <w:rStyle w:val="FootnoteReference"/>
        </w:rPr>
        <w:footnoteRef/>
      </w:r>
      <w:r w:rsidRPr="007133C2">
        <w:t xml:space="preserve"> Other CRF money is defined in the </w:t>
      </w:r>
      <w:r w:rsidRPr="007F6443">
        <w:t>PGPA Act</w:t>
      </w:r>
      <w:r w:rsidRPr="007133C2">
        <w: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E9CD" w14:textId="6005C594" w:rsidR="0061226B" w:rsidRDefault="008047C7">
    <w:pPr>
      <w:pStyle w:val="Header"/>
    </w:pPr>
    <w:r>
      <w:rPr>
        <w:noProof/>
      </w:rPr>
      <w:pict w14:anchorId="5FD12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2pt;height:77.4pt;rotation:315;z-index:-251658752;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AB3" w14:textId="5879BB5F" w:rsidR="0061226B" w:rsidRDefault="0061226B"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C962" w14:textId="5E598F19" w:rsidR="0061226B" w:rsidRDefault="0061226B" w:rsidP="000F1DC1">
    <w:pPr>
      <w:pStyle w:val="Header"/>
      <w:jc w:val="center"/>
    </w:pPr>
    <w:r>
      <w:rPr>
        <w:noProof/>
        <w:lang w:eastAsia="en-AU"/>
      </w:rPr>
      <w:drawing>
        <wp:inline distT="0" distB="0" distL="0" distR="0" wp14:anchorId="330CC17B" wp14:editId="0A59EB42">
          <wp:extent cx="5580380" cy="765175"/>
          <wp:effectExtent l="0" t="0" r="1270" b="0"/>
          <wp:docPr id="1" name="Picture 1" title="Hub and AGD logo"/>
          <wp:cNvGraphicFramePr/>
          <a:graphic xmlns:a="http://schemas.openxmlformats.org/drawingml/2006/main">
            <a:graphicData uri="http://schemas.openxmlformats.org/drawingml/2006/picture">
              <pic:pic xmlns:pic="http://schemas.openxmlformats.org/drawingml/2006/picture">
                <pic:nvPicPr>
                  <pic:cNvPr id="1" name="Picture 1" title="Hub and AGD logo"/>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F64" w14:textId="553CBAD7" w:rsidR="0061226B" w:rsidRDefault="006122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15D8ACB7" w:rsidR="0061226B" w:rsidRDefault="0061226B"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511607F9" w:rsidR="0061226B" w:rsidRDefault="00612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A619EA"/>
    <w:multiLevelType w:val="hybridMultilevel"/>
    <w:tmpl w:val="65C6F8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2440119"/>
    <w:multiLevelType w:val="hybridMultilevel"/>
    <w:tmpl w:val="AA726C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4C6A27"/>
    <w:multiLevelType w:val="multilevel"/>
    <w:tmpl w:val="9D5E9B2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CA5580"/>
    <w:multiLevelType w:val="hybridMultilevel"/>
    <w:tmpl w:val="0802ADE2"/>
    <w:lvl w:ilvl="0" w:tplc="63E4870E">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BD12E7"/>
    <w:multiLevelType w:val="multilevel"/>
    <w:tmpl w:val="1D6E5B46"/>
    <w:lvl w:ilvl="0">
      <w:start w:val="1"/>
      <w:numFmt w:val="bullet"/>
      <w:lvlText w:val=""/>
      <w:lvlJc w:val="left"/>
      <w:pPr>
        <w:ind w:left="142" w:hanging="360"/>
      </w:pPr>
      <w:rPr>
        <w:rFonts w:ascii="Wingdings" w:hAnsi="Wingdings" w:hint="default"/>
        <w:color w:val="264F90"/>
        <w:w w:val="100"/>
        <w:sz w:val="20"/>
        <w:szCs w:val="20"/>
      </w:rPr>
    </w:lvl>
    <w:lvl w:ilvl="1">
      <w:start w:val="1"/>
      <w:numFmt w:val="bullet"/>
      <w:lvlText w:val="-"/>
      <w:lvlJc w:val="left"/>
      <w:pPr>
        <w:ind w:left="502" w:hanging="360"/>
      </w:pPr>
      <w:rPr>
        <w:rFonts w:ascii="Courier New" w:hAnsi="Courier New" w:hint="default"/>
        <w:color w:val="264F90"/>
      </w:rPr>
    </w:lvl>
    <w:lvl w:ilvl="2">
      <w:start w:val="1"/>
      <w:numFmt w:val="bullet"/>
      <w:lvlText w:val="o"/>
      <w:lvlJc w:val="left"/>
      <w:pPr>
        <w:ind w:left="862" w:hanging="360"/>
      </w:pPr>
      <w:rPr>
        <w:rFonts w:ascii="Courier New" w:hAnsi="Courier New" w:hint="default"/>
        <w:color w:val="264F90"/>
      </w:rPr>
    </w:lvl>
    <w:lvl w:ilvl="3">
      <w:start w:val="1"/>
      <w:numFmt w:val="bullet"/>
      <w:lvlText w:val=""/>
      <w:lvlJc w:val="left"/>
      <w:pPr>
        <w:ind w:left="1222" w:hanging="360"/>
      </w:pPr>
      <w:rPr>
        <w:rFonts w:ascii="Symbol" w:hAnsi="Symbol" w:hint="default"/>
      </w:rPr>
    </w:lvl>
    <w:lvl w:ilvl="4">
      <w:start w:val="1"/>
      <w:numFmt w:val="bullet"/>
      <w:lvlText w:val=""/>
      <w:lvlJc w:val="left"/>
      <w:pPr>
        <w:ind w:left="1582" w:hanging="360"/>
      </w:pPr>
      <w:rPr>
        <w:rFonts w:ascii="Symbol" w:hAnsi="Symbol" w:hint="default"/>
      </w:rPr>
    </w:lvl>
    <w:lvl w:ilvl="5">
      <w:start w:val="1"/>
      <w:numFmt w:val="bullet"/>
      <w:lvlText w:val=""/>
      <w:lvlJc w:val="left"/>
      <w:pPr>
        <w:ind w:left="1942" w:hanging="360"/>
      </w:pPr>
      <w:rPr>
        <w:rFonts w:ascii="Wingdings" w:hAnsi="Wingdings" w:hint="default"/>
      </w:rPr>
    </w:lvl>
    <w:lvl w:ilvl="6">
      <w:start w:val="1"/>
      <w:numFmt w:val="bullet"/>
      <w:lvlText w:val=""/>
      <w:lvlJc w:val="left"/>
      <w:pPr>
        <w:ind w:left="2302" w:hanging="360"/>
      </w:pPr>
      <w:rPr>
        <w:rFonts w:ascii="Wingdings" w:hAnsi="Wingdings" w:hint="default"/>
      </w:rPr>
    </w:lvl>
    <w:lvl w:ilvl="7">
      <w:start w:val="1"/>
      <w:numFmt w:val="bullet"/>
      <w:lvlText w:val=""/>
      <w:lvlJc w:val="left"/>
      <w:pPr>
        <w:ind w:left="2662" w:hanging="360"/>
      </w:pPr>
      <w:rPr>
        <w:rFonts w:ascii="Symbol" w:hAnsi="Symbol" w:hint="default"/>
      </w:rPr>
    </w:lvl>
    <w:lvl w:ilvl="8">
      <w:start w:val="1"/>
      <w:numFmt w:val="bullet"/>
      <w:lvlText w:val=""/>
      <w:lvlJc w:val="left"/>
      <w:pPr>
        <w:ind w:left="3022" w:hanging="360"/>
      </w:pPr>
      <w:rPr>
        <w:rFonts w:ascii="Symbol" w:hAnsi="Symbol" w:hint="default"/>
      </w:rPr>
    </w:lvl>
  </w:abstractNum>
  <w:abstractNum w:abstractNumId="10" w15:restartNumberingAfterBreak="0">
    <w:nsid w:val="24CB486C"/>
    <w:multiLevelType w:val="hybridMultilevel"/>
    <w:tmpl w:val="A35EE450"/>
    <w:lvl w:ilvl="0" w:tplc="676AC5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B7A22"/>
    <w:multiLevelType w:val="hybridMultilevel"/>
    <w:tmpl w:val="204E994A"/>
    <w:lvl w:ilvl="0" w:tplc="7FA662DC">
      <w:start w:val="10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3A745E"/>
    <w:multiLevelType w:val="hybridMultilevel"/>
    <w:tmpl w:val="2024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4069381A"/>
    <w:multiLevelType w:val="hybridMultilevel"/>
    <w:tmpl w:val="0F56C280"/>
    <w:lvl w:ilvl="0" w:tplc="9F14415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57BD4652"/>
    <w:multiLevelType w:val="hybridMultilevel"/>
    <w:tmpl w:val="400C5FAA"/>
    <w:lvl w:ilvl="0" w:tplc="63E4870E">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7601F7C"/>
    <w:multiLevelType w:val="hybridMultilevel"/>
    <w:tmpl w:val="5BECFE96"/>
    <w:lvl w:ilvl="0" w:tplc="881C303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8674F51"/>
    <w:multiLevelType w:val="hybridMultilevel"/>
    <w:tmpl w:val="508A2D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14"/>
  </w:num>
  <w:num w:numId="4">
    <w:abstractNumId w:val="16"/>
  </w:num>
  <w:num w:numId="5">
    <w:abstractNumId w:val="26"/>
  </w:num>
  <w:num w:numId="6">
    <w:abstractNumId w:val="24"/>
  </w:num>
  <w:num w:numId="7">
    <w:abstractNumId w:val="9"/>
  </w:num>
  <w:num w:numId="8">
    <w:abstractNumId w:val="7"/>
  </w:num>
  <w:num w:numId="9">
    <w:abstractNumId w:val="4"/>
  </w:num>
  <w:num w:numId="10">
    <w:abstractNumId w:val="9"/>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23"/>
  </w:num>
  <w:num w:numId="14">
    <w:abstractNumId w:val="19"/>
  </w:num>
  <w:num w:numId="15">
    <w:abstractNumId w:val="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num>
  <w:num w:numId="24">
    <w:abstractNumId w:val="12"/>
  </w:num>
  <w:num w:numId="25">
    <w:abstractNumId w:val="10"/>
  </w:num>
  <w:num w:numId="26">
    <w:abstractNumId w:val="25"/>
  </w:num>
  <w:num w:numId="27">
    <w:abstractNumId w:val="6"/>
  </w:num>
  <w:num w:numId="28">
    <w:abstractNumId w:val="8"/>
  </w:num>
  <w:num w:numId="29">
    <w:abstractNumId w:val="7"/>
  </w:num>
  <w:num w:numId="30">
    <w:abstractNumId w:val="11"/>
  </w:num>
  <w:num w:numId="31">
    <w:abstractNumId w:val="2"/>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38CF"/>
    <w:rsid w:val="0000459B"/>
    <w:rsid w:val="00005E68"/>
    <w:rsid w:val="00005FD8"/>
    <w:rsid w:val="000062D1"/>
    <w:rsid w:val="0000687C"/>
    <w:rsid w:val="0000694F"/>
    <w:rsid w:val="000071CC"/>
    <w:rsid w:val="0000740C"/>
    <w:rsid w:val="00007C0D"/>
    <w:rsid w:val="0001007B"/>
    <w:rsid w:val="00010429"/>
    <w:rsid w:val="00010CF8"/>
    <w:rsid w:val="00010E33"/>
    <w:rsid w:val="00011AA7"/>
    <w:rsid w:val="00011DF1"/>
    <w:rsid w:val="00012449"/>
    <w:rsid w:val="00013558"/>
    <w:rsid w:val="00013A23"/>
    <w:rsid w:val="00014DD7"/>
    <w:rsid w:val="00015FE2"/>
    <w:rsid w:val="0001641E"/>
    <w:rsid w:val="0001685F"/>
    <w:rsid w:val="00016C0F"/>
    <w:rsid w:val="00016E51"/>
    <w:rsid w:val="00017238"/>
    <w:rsid w:val="00017503"/>
    <w:rsid w:val="000207D9"/>
    <w:rsid w:val="00021292"/>
    <w:rsid w:val="000216F2"/>
    <w:rsid w:val="000220D6"/>
    <w:rsid w:val="00022A7F"/>
    <w:rsid w:val="00023115"/>
    <w:rsid w:val="0002331D"/>
    <w:rsid w:val="00023A73"/>
    <w:rsid w:val="00024BA4"/>
    <w:rsid w:val="00024C55"/>
    <w:rsid w:val="00025467"/>
    <w:rsid w:val="00026A96"/>
    <w:rsid w:val="00027157"/>
    <w:rsid w:val="000273AD"/>
    <w:rsid w:val="0003065E"/>
    <w:rsid w:val="00031075"/>
    <w:rsid w:val="0003165D"/>
    <w:rsid w:val="0003249B"/>
    <w:rsid w:val="00032BB0"/>
    <w:rsid w:val="0003476A"/>
    <w:rsid w:val="00034775"/>
    <w:rsid w:val="00034FFA"/>
    <w:rsid w:val="00035412"/>
    <w:rsid w:val="00036078"/>
    <w:rsid w:val="000363BF"/>
    <w:rsid w:val="00036C7F"/>
    <w:rsid w:val="00037556"/>
    <w:rsid w:val="00037E02"/>
    <w:rsid w:val="0004098F"/>
    <w:rsid w:val="00040A03"/>
    <w:rsid w:val="000419F8"/>
    <w:rsid w:val="0004214E"/>
    <w:rsid w:val="00042438"/>
    <w:rsid w:val="0004338B"/>
    <w:rsid w:val="00044DC0"/>
    <w:rsid w:val="00044EF8"/>
    <w:rsid w:val="0004553D"/>
    <w:rsid w:val="00046281"/>
    <w:rsid w:val="00046C7E"/>
    <w:rsid w:val="00046DBC"/>
    <w:rsid w:val="00046E84"/>
    <w:rsid w:val="000525BC"/>
    <w:rsid w:val="00052C0D"/>
    <w:rsid w:val="00052E3E"/>
    <w:rsid w:val="0005371D"/>
    <w:rsid w:val="00055101"/>
    <w:rsid w:val="000553F2"/>
    <w:rsid w:val="000554C8"/>
    <w:rsid w:val="00056158"/>
    <w:rsid w:val="00057B0D"/>
    <w:rsid w:val="00057E29"/>
    <w:rsid w:val="00060218"/>
    <w:rsid w:val="00060AD3"/>
    <w:rsid w:val="00060F83"/>
    <w:rsid w:val="00062B2E"/>
    <w:rsid w:val="000635B2"/>
    <w:rsid w:val="0006399E"/>
    <w:rsid w:val="000644EE"/>
    <w:rsid w:val="0006586E"/>
    <w:rsid w:val="00065F24"/>
    <w:rsid w:val="000668C5"/>
    <w:rsid w:val="00066A84"/>
    <w:rsid w:val="000673F8"/>
    <w:rsid w:val="0007009A"/>
    <w:rsid w:val="00071B85"/>
    <w:rsid w:val="00071CC0"/>
    <w:rsid w:val="00072DD5"/>
    <w:rsid w:val="00073AC8"/>
    <w:rsid w:val="000741DE"/>
    <w:rsid w:val="000747A5"/>
    <w:rsid w:val="000752EC"/>
    <w:rsid w:val="00075FB2"/>
    <w:rsid w:val="00076300"/>
    <w:rsid w:val="000764C9"/>
    <w:rsid w:val="00077C3D"/>
    <w:rsid w:val="000805C4"/>
    <w:rsid w:val="00081379"/>
    <w:rsid w:val="0008289E"/>
    <w:rsid w:val="000833DF"/>
    <w:rsid w:val="00083CC7"/>
    <w:rsid w:val="0008479B"/>
    <w:rsid w:val="000849D6"/>
    <w:rsid w:val="00084D3B"/>
    <w:rsid w:val="0008697C"/>
    <w:rsid w:val="00087254"/>
    <w:rsid w:val="00090431"/>
    <w:rsid w:val="0009133F"/>
    <w:rsid w:val="000926C2"/>
    <w:rsid w:val="00093BA1"/>
    <w:rsid w:val="000951B3"/>
    <w:rsid w:val="00096575"/>
    <w:rsid w:val="0009683F"/>
    <w:rsid w:val="000A1FEA"/>
    <w:rsid w:val="000A2011"/>
    <w:rsid w:val="000A2037"/>
    <w:rsid w:val="000A4261"/>
    <w:rsid w:val="000A4490"/>
    <w:rsid w:val="000A4D8A"/>
    <w:rsid w:val="000A615C"/>
    <w:rsid w:val="000A6E25"/>
    <w:rsid w:val="000A79C0"/>
    <w:rsid w:val="000A7F58"/>
    <w:rsid w:val="000B0CB0"/>
    <w:rsid w:val="000B1184"/>
    <w:rsid w:val="000B138C"/>
    <w:rsid w:val="000B1991"/>
    <w:rsid w:val="000B1AEF"/>
    <w:rsid w:val="000B1E17"/>
    <w:rsid w:val="000B22A7"/>
    <w:rsid w:val="000B2D39"/>
    <w:rsid w:val="000B2DAA"/>
    <w:rsid w:val="000B3A19"/>
    <w:rsid w:val="000B4337"/>
    <w:rsid w:val="000B44F5"/>
    <w:rsid w:val="000B522C"/>
    <w:rsid w:val="000B5615"/>
    <w:rsid w:val="000B597B"/>
    <w:rsid w:val="000B7C0B"/>
    <w:rsid w:val="000C07C6"/>
    <w:rsid w:val="000C2B51"/>
    <w:rsid w:val="000C317E"/>
    <w:rsid w:val="000C31F3"/>
    <w:rsid w:val="000C34B4"/>
    <w:rsid w:val="000C34D6"/>
    <w:rsid w:val="000C3B35"/>
    <w:rsid w:val="000C43A3"/>
    <w:rsid w:val="000C4A54"/>
    <w:rsid w:val="000C4AA2"/>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D7DB0"/>
    <w:rsid w:val="000E08D0"/>
    <w:rsid w:val="000E0C56"/>
    <w:rsid w:val="000E11A2"/>
    <w:rsid w:val="000E167A"/>
    <w:rsid w:val="000E1E35"/>
    <w:rsid w:val="000E23A5"/>
    <w:rsid w:val="000E276D"/>
    <w:rsid w:val="000E2D44"/>
    <w:rsid w:val="000E2F40"/>
    <w:rsid w:val="000E400F"/>
    <w:rsid w:val="000E4061"/>
    <w:rsid w:val="000E4CD5"/>
    <w:rsid w:val="000E562C"/>
    <w:rsid w:val="000E620A"/>
    <w:rsid w:val="000E62C8"/>
    <w:rsid w:val="000E6C18"/>
    <w:rsid w:val="000E70D4"/>
    <w:rsid w:val="000F027E"/>
    <w:rsid w:val="000F18DD"/>
    <w:rsid w:val="000F1DC1"/>
    <w:rsid w:val="000F2AE0"/>
    <w:rsid w:val="000F3424"/>
    <w:rsid w:val="000F48FA"/>
    <w:rsid w:val="000F7174"/>
    <w:rsid w:val="000F7621"/>
    <w:rsid w:val="000F7E57"/>
    <w:rsid w:val="00100216"/>
    <w:rsid w:val="0010063E"/>
    <w:rsid w:val="00101B22"/>
    <w:rsid w:val="0010200A"/>
    <w:rsid w:val="00102271"/>
    <w:rsid w:val="0010349B"/>
    <w:rsid w:val="00103E27"/>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476"/>
    <w:rsid w:val="00114CE2"/>
    <w:rsid w:val="00115A51"/>
    <w:rsid w:val="00115A9B"/>
    <w:rsid w:val="00115C6B"/>
    <w:rsid w:val="0011744A"/>
    <w:rsid w:val="00117513"/>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1E7"/>
    <w:rsid w:val="001339E8"/>
    <w:rsid w:val="00133B5E"/>
    <w:rsid w:val="001347F8"/>
    <w:rsid w:val="0013514F"/>
    <w:rsid w:val="0013564A"/>
    <w:rsid w:val="00135C5C"/>
    <w:rsid w:val="00136C23"/>
    <w:rsid w:val="00137190"/>
    <w:rsid w:val="0013734A"/>
    <w:rsid w:val="001373C7"/>
    <w:rsid w:val="0014016C"/>
    <w:rsid w:val="00140DBC"/>
    <w:rsid w:val="00141149"/>
    <w:rsid w:val="0014141C"/>
    <w:rsid w:val="001420AF"/>
    <w:rsid w:val="00143A9A"/>
    <w:rsid w:val="00143EA2"/>
    <w:rsid w:val="0014403E"/>
    <w:rsid w:val="0014408C"/>
    <w:rsid w:val="00144380"/>
    <w:rsid w:val="001450BD"/>
    <w:rsid w:val="001452A7"/>
    <w:rsid w:val="00146033"/>
    <w:rsid w:val="00146445"/>
    <w:rsid w:val="00151417"/>
    <w:rsid w:val="00151A65"/>
    <w:rsid w:val="0015405F"/>
    <w:rsid w:val="00154230"/>
    <w:rsid w:val="00155480"/>
    <w:rsid w:val="00160DFD"/>
    <w:rsid w:val="001611B7"/>
    <w:rsid w:val="00161E9F"/>
    <w:rsid w:val="001624F7"/>
    <w:rsid w:val="001642EF"/>
    <w:rsid w:val="001642FE"/>
    <w:rsid w:val="00164671"/>
    <w:rsid w:val="00165C8B"/>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722"/>
    <w:rsid w:val="00177EA6"/>
    <w:rsid w:val="001803B9"/>
    <w:rsid w:val="00180B0E"/>
    <w:rsid w:val="001817F4"/>
    <w:rsid w:val="00181A24"/>
    <w:rsid w:val="0018250A"/>
    <w:rsid w:val="00182A03"/>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602B"/>
    <w:rsid w:val="00197A10"/>
    <w:rsid w:val="00197B11"/>
    <w:rsid w:val="001A11B0"/>
    <w:rsid w:val="001A1945"/>
    <w:rsid w:val="001A1C64"/>
    <w:rsid w:val="001A20AF"/>
    <w:rsid w:val="001A2806"/>
    <w:rsid w:val="001A28C0"/>
    <w:rsid w:val="001A2AE6"/>
    <w:rsid w:val="001A368B"/>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8"/>
    <w:rsid w:val="001D69D9"/>
    <w:rsid w:val="001D712A"/>
    <w:rsid w:val="001D76D4"/>
    <w:rsid w:val="001E282D"/>
    <w:rsid w:val="001E3267"/>
    <w:rsid w:val="001E465D"/>
    <w:rsid w:val="001E4DC2"/>
    <w:rsid w:val="001E52F4"/>
    <w:rsid w:val="001E5C44"/>
    <w:rsid w:val="001E5DE9"/>
    <w:rsid w:val="001E5E68"/>
    <w:rsid w:val="001E60B8"/>
    <w:rsid w:val="001E659F"/>
    <w:rsid w:val="001E65FC"/>
    <w:rsid w:val="001E7470"/>
    <w:rsid w:val="001E7CCD"/>
    <w:rsid w:val="001F00B7"/>
    <w:rsid w:val="001F031B"/>
    <w:rsid w:val="001F1B51"/>
    <w:rsid w:val="001F2424"/>
    <w:rsid w:val="001F24BD"/>
    <w:rsid w:val="001F2ED0"/>
    <w:rsid w:val="001F3068"/>
    <w:rsid w:val="001F32A5"/>
    <w:rsid w:val="001F42E4"/>
    <w:rsid w:val="001F45CE"/>
    <w:rsid w:val="001F569C"/>
    <w:rsid w:val="001F5791"/>
    <w:rsid w:val="001F5D08"/>
    <w:rsid w:val="001F6379"/>
    <w:rsid w:val="001F6906"/>
    <w:rsid w:val="001F7438"/>
    <w:rsid w:val="00200152"/>
    <w:rsid w:val="002004E1"/>
    <w:rsid w:val="0020114E"/>
    <w:rsid w:val="002017E2"/>
    <w:rsid w:val="00201B59"/>
    <w:rsid w:val="00202DFC"/>
    <w:rsid w:val="00203F73"/>
    <w:rsid w:val="002067C9"/>
    <w:rsid w:val="00207A20"/>
    <w:rsid w:val="00207C66"/>
    <w:rsid w:val="0021021D"/>
    <w:rsid w:val="00211AB8"/>
    <w:rsid w:val="00211D98"/>
    <w:rsid w:val="0021431B"/>
    <w:rsid w:val="00214903"/>
    <w:rsid w:val="002149C1"/>
    <w:rsid w:val="00214A1F"/>
    <w:rsid w:val="00216D80"/>
    <w:rsid w:val="00217440"/>
    <w:rsid w:val="00220403"/>
    <w:rsid w:val="00220627"/>
    <w:rsid w:val="0022081B"/>
    <w:rsid w:val="00221230"/>
    <w:rsid w:val="00222382"/>
    <w:rsid w:val="00222B57"/>
    <w:rsid w:val="00222C72"/>
    <w:rsid w:val="002232D1"/>
    <w:rsid w:val="00223F20"/>
    <w:rsid w:val="00224E34"/>
    <w:rsid w:val="0022578C"/>
    <w:rsid w:val="00226A9A"/>
    <w:rsid w:val="00226C2F"/>
    <w:rsid w:val="00226D9F"/>
    <w:rsid w:val="00226FCB"/>
    <w:rsid w:val="00227080"/>
    <w:rsid w:val="002277F9"/>
    <w:rsid w:val="00227D98"/>
    <w:rsid w:val="0023055D"/>
    <w:rsid w:val="00230A2B"/>
    <w:rsid w:val="00231B61"/>
    <w:rsid w:val="002330BB"/>
    <w:rsid w:val="00233C3E"/>
    <w:rsid w:val="00234A47"/>
    <w:rsid w:val="00235894"/>
    <w:rsid w:val="00235F40"/>
    <w:rsid w:val="00236D85"/>
    <w:rsid w:val="00240385"/>
    <w:rsid w:val="002410B6"/>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1FF0"/>
    <w:rsid w:val="00262481"/>
    <w:rsid w:val="00263167"/>
    <w:rsid w:val="00264420"/>
    <w:rsid w:val="00265BC2"/>
    <w:rsid w:val="00265F1E"/>
    <w:rsid w:val="002662F6"/>
    <w:rsid w:val="00266329"/>
    <w:rsid w:val="00267C03"/>
    <w:rsid w:val="00270215"/>
    <w:rsid w:val="00271EC3"/>
    <w:rsid w:val="00271FAE"/>
    <w:rsid w:val="00272178"/>
    <w:rsid w:val="00272AD7"/>
    <w:rsid w:val="00272EFB"/>
    <w:rsid w:val="00272F10"/>
    <w:rsid w:val="00274B8B"/>
    <w:rsid w:val="00276D9D"/>
    <w:rsid w:val="00276EDC"/>
    <w:rsid w:val="00276F60"/>
    <w:rsid w:val="00277135"/>
    <w:rsid w:val="00281521"/>
    <w:rsid w:val="00282312"/>
    <w:rsid w:val="0028277B"/>
    <w:rsid w:val="0028417F"/>
    <w:rsid w:val="0028433B"/>
    <w:rsid w:val="00284561"/>
    <w:rsid w:val="0028593B"/>
    <w:rsid w:val="00285F58"/>
    <w:rsid w:val="002862FD"/>
    <w:rsid w:val="002876F0"/>
    <w:rsid w:val="00287AC7"/>
    <w:rsid w:val="00287D87"/>
    <w:rsid w:val="00290F12"/>
    <w:rsid w:val="00291460"/>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A07"/>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171"/>
    <w:rsid w:val="002B4620"/>
    <w:rsid w:val="002B4C24"/>
    <w:rsid w:val="002B5660"/>
    <w:rsid w:val="002B5733"/>
    <w:rsid w:val="002B5B15"/>
    <w:rsid w:val="002B5F43"/>
    <w:rsid w:val="002C00A0"/>
    <w:rsid w:val="002C0A35"/>
    <w:rsid w:val="002C0E1E"/>
    <w:rsid w:val="002C0FF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C06"/>
    <w:rsid w:val="002D2DC7"/>
    <w:rsid w:val="002D3517"/>
    <w:rsid w:val="002D6428"/>
    <w:rsid w:val="002D6748"/>
    <w:rsid w:val="002D720E"/>
    <w:rsid w:val="002E0040"/>
    <w:rsid w:val="002E037E"/>
    <w:rsid w:val="002E18F3"/>
    <w:rsid w:val="002E2BEC"/>
    <w:rsid w:val="002E2C8B"/>
    <w:rsid w:val="002E367A"/>
    <w:rsid w:val="002E3A5A"/>
    <w:rsid w:val="002E3C51"/>
    <w:rsid w:val="002E3CA8"/>
    <w:rsid w:val="002E4ED1"/>
    <w:rsid w:val="002E5556"/>
    <w:rsid w:val="002F021C"/>
    <w:rsid w:val="002F115B"/>
    <w:rsid w:val="002F28CA"/>
    <w:rsid w:val="002F2933"/>
    <w:rsid w:val="002F5D25"/>
    <w:rsid w:val="002F65BC"/>
    <w:rsid w:val="002F71EC"/>
    <w:rsid w:val="002F7D07"/>
    <w:rsid w:val="002F7E8A"/>
    <w:rsid w:val="002F7EAE"/>
    <w:rsid w:val="003001C7"/>
    <w:rsid w:val="003005AC"/>
    <w:rsid w:val="00300940"/>
    <w:rsid w:val="00300D02"/>
    <w:rsid w:val="003015F1"/>
    <w:rsid w:val="003019AF"/>
    <w:rsid w:val="003027D2"/>
    <w:rsid w:val="00302AF5"/>
    <w:rsid w:val="003038C5"/>
    <w:rsid w:val="00303AA0"/>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40BF2"/>
    <w:rsid w:val="003416C1"/>
    <w:rsid w:val="003420F9"/>
    <w:rsid w:val="00342D0A"/>
    <w:rsid w:val="0034303A"/>
    <w:rsid w:val="00343643"/>
    <w:rsid w:val="0034447B"/>
    <w:rsid w:val="00344AF3"/>
    <w:rsid w:val="00344BC3"/>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55C"/>
    <w:rsid w:val="0036071F"/>
    <w:rsid w:val="00363657"/>
    <w:rsid w:val="0036437D"/>
    <w:rsid w:val="00365288"/>
    <w:rsid w:val="00365CF4"/>
    <w:rsid w:val="00367781"/>
    <w:rsid w:val="003703B2"/>
    <w:rsid w:val="00370E02"/>
    <w:rsid w:val="0037141F"/>
    <w:rsid w:val="00372018"/>
    <w:rsid w:val="003728F9"/>
    <w:rsid w:val="00374A77"/>
    <w:rsid w:val="00374C8A"/>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3889"/>
    <w:rsid w:val="003941BA"/>
    <w:rsid w:val="00394349"/>
    <w:rsid w:val="00394497"/>
    <w:rsid w:val="0039610D"/>
    <w:rsid w:val="003A0BCC"/>
    <w:rsid w:val="003A270D"/>
    <w:rsid w:val="003A402D"/>
    <w:rsid w:val="003A48C0"/>
    <w:rsid w:val="003A4A83"/>
    <w:rsid w:val="003A5754"/>
    <w:rsid w:val="003A5D94"/>
    <w:rsid w:val="003A638D"/>
    <w:rsid w:val="003A79AD"/>
    <w:rsid w:val="003B0568"/>
    <w:rsid w:val="003B0700"/>
    <w:rsid w:val="003B18C7"/>
    <w:rsid w:val="003B29BA"/>
    <w:rsid w:val="003B2EF1"/>
    <w:rsid w:val="003B3437"/>
    <w:rsid w:val="003B38E7"/>
    <w:rsid w:val="003B42F7"/>
    <w:rsid w:val="003B4A52"/>
    <w:rsid w:val="003B5054"/>
    <w:rsid w:val="003B50DD"/>
    <w:rsid w:val="003B575D"/>
    <w:rsid w:val="003B6AC4"/>
    <w:rsid w:val="003C001C"/>
    <w:rsid w:val="003C04A5"/>
    <w:rsid w:val="003C0EE4"/>
    <w:rsid w:val="003C139A"/>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ED1"/>
    <w:rsid w:val="003D7F5C"/>
    <w:rsid w:val="003E0690"/>
    <w:rsid w:val="003E0C6C"/>
    <w:rsid w:val="003E2735"/>
    <w:rsid w:val="003E2A09"/>
    <w:rsid w:val="003E316D"/>
    <w:rsid w:val="003E339B"/>
    <w:rsid w:val="003E354A"/>
    <w:rsid w:val="003E38D5"/>
    <w:rsid w:val="003E44A7"/>
    <w:rsid w:val="003E4BF0"/>
    <w:rsid w:val="003E4D65"/>
    <w:rsid w:val="003E5B2A"/>
    <w:rsid w:val="003E639F"/>
    <w:rsid w:val="003E63B6"/>
    <w:rsid w:val="003E6E52"/>
    <w:rsid w:val="003E785D"/>
    <w:rsid w:val="003F044F"/>
    <w:rsid w:val="003F0BEC"/>
    <w:rsid w:val="003F1913"/>
    <w:rsid w:val="003F1A84"/>
    <w:rsid w:val="003F1F47"/>
    <w:rsid w:val="003F3392"/>
    <w:rsid w:val="003F385C"/>
    <w:rsid w:val="003F5421"/>
    <w:rsid w:val="003F5453"/>
    <w:rsid w:val="003F65A5"/>
    <w:rsid w:val="003F7220"/>
    <w:rsid w:val="003F745B"/>
    <w:rsid w:val="003F7476"/>
    <w:rsid w:val="003F7C5F"/>
    <w:rsid w:val="00400EC3"/>
    <w:rsid w:val="004023A1"/>
    <w:rsid w:val="004028F2"/>
    <w:rsid w:val="00402CA9"/>
    <w:rsid w:val="004033C5"/>
    <w:rsid w:val="0040475A"/>
    <w:rsid w:val="00404C02"/>
    <w:rsid w:val="00405ADB"/>
    <w:rsid w:val="00405D85"/>
    <w:rsid w:val="00407403"/>
    <w:rsid w:val="004102B0"/>
    <w:rsid w:val="004108DC"/>
    <w:rsid w:val="00411141"/>
    <w:rsid w:val="00411E9C"/>
    <w:rsid w:val="004131A3"/>
    <w:rsid w:val="004131EC"/>
    <w:rsid w:val="00414211"/>
    <w:rsid w:val="004142C1"/>
    <w:rsid w:val="004149EB"/>
    <w:rsid w:val="00416054"/>
    <w:rsid w:val="004161D7"/>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6036"/>
    <w:rsid w:val="00436853"/>
    <w:rsid w:val="00437174"/>
    <w:rsid w:val="00437CDA"/>
    <w:rsid w:val="00441028"/>
    <w:rsid w:val="00441195"/>
    <w:rsid w:val="00441373"/>
    <w:rsid w:val="00443024"/>
    <w:rsid w:val="004431AE"/>
    <w:rsid w:val="004436AA"/>
    <w:rsid w:val="00443AEE"/>
    <w:rsid w:val="00443FC0"/>
    <w:rsid w:val="00445D92"/>
    <w:rsid w:val="0044632D"/>
    <w:rsid w:val="00446E9A"/>
    <w:rsid w:val="00452841"/>
    <w:rsid w:val="0045296C"/>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3AFA"/>
    <w:rsid w:val="00463F04"/>
    <w:rsid w:val="00464749"/>
    <w:rsid w:val="00464E2C"/>
    <w:rsid w:val="00466F9B"/>
    <w:rsid w:val="004671DC"/>
    <w:rsid w:val="004678C6"/>
    <w:rsid w:val="00470E18"/>
    <w:rsid w:val="004710B7"/>
    <w:rsid w:val="004710C5"/>
    <w:rsid w:val="004712C0"/>
    <w:rsid w:val="004714FC"/>
    <w:rsid w:val="00473161"/>
    <w:rsid w:val="00473945"/>
    <w:rsid w:val="004749FB"/>
    <w:rsid w:val="00475473"/>
    <w:rsid w:val="00475C18"/>
    <w:rsid w:val="004763FB"/>
    <w:rsid w:val="00476546"/>
    <w:rsid w:val="004773EE"/>
    <w:rsid w:val="00480913"/>
    <w:rsid w:val="00480B95"/>
    <w:rsid w:val="00480C37"/>
    <w:rsid w:val="00480CC8"/>
    <w:rsid w:val="00482964"/>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0FE5"/>
    <w:rsid w:val="004A169C"/>
    <w:rsid w:val="004A2224"/>
    <w:rsid w:val="004A238A"/>
    <w:rsid w:val="004A2472"/>
    <w:rsid w:val="004A2CCD"/>
    <w:rsid w:val="004A4DE6"/>
    <w:rsid w:val="004A500A"/>
    <w:rsid w:val="004A7109"/>
    <w:rsid w:val="004B0468"/>
    <w:rsid w:val="004B0697"/>
    <w:rsid w:val="004B0ACE"/>
    <w:rsid w:val="004B1409"/>
    <w:rsid w:val="004B2923"/>
    <w:rsid w:val="004B3CEA"/>
    <w:rsid w:val="004B43E7"/>
    <w:rsid w:val="004B44EC"/>
    <w:rsid w:val="004B6D1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31D8"/>
    <w:rsid w:val="004E4327"/>
    <w:rsid w:val="004E43BF"/>
    <w:rsid w:val="004E5976"/>
    <w:rsid w:val="004E75D4"/>
    <w:rsid w:val="004F12AC"/>
    <w:rsid w:val="004F222D"/>
    <w:rsid w:val="004F2FAF"/>
    <w:rsid w:val="004F3523"/>
    <w:rsid w:val="004F3711"/>
    <w:rsid w:val="004F3D4A"/>
    <w:rsid w:val="004F486E"/>
    <w:rsid w:val="004F4C5B"/>
    <w:rsid w:val="004F5112"/>
    <w:rsid w:val="004F5841"/>
    <w:rsid w:val="004F75B8"/>
    <w:rsid w:val="004F76F0"/>
    <w:rsid w:val="004F7AE0"/>
    <w:rsid w:val="00501068"/>
    <w:rsid w:val="0050156B"/>
    <w:rsid w:val="00501C36"/>
    <w:rsid w:val="00502558"/>
    <w:rsid w:val="00502D31"/>
    <w:rsid w:val="00504E1C"/>
    <w:rsid w:val="00505E7B"/>
    <w:rsid w:val="0050697C"/>
    <w:rsid w:val="00506B23"/>
    <w:rsid w:val="0050723E"/>
    <w:rsid w:val="00510511"/>
    <w:rsid w:val="005108D4"/>
    <w:rsid w:val="00510C89"/>
    <w:rsid w:val="00511003"/>
    <w:rsid w:val="00512453"/>
    <w:rsid w:val="00512583"/>
    <w:rsid w:val="005126AD"/>
    <w:rsid w:val="00512AB1"/>
    <w:rsid w:val="00512E13"/>
    <w:rsid w:val="00512EB0"/>
    <w:rsid w:val="0051430B"/>
    <w:rsid w:val="00514FEF"/>
    <w:rsid w:val="00515075"/>
    <w:rsid w:val="005158AD"/>
    <w:rsid w:val="00516061"/>
    <w:rsid w:val="005163DB"/>
    <w:rsid w:val="00516B9D"/>
    <w:rsid w:val="00516E21"/>
    <w:rsid w:val="00517013"/>
    <w:rsid w:val="0051798D"/>
    <w:rsid w:val="00517A79"/>
    <w:rsid w:val="00517B97"/>
    <w:rsid w:val="00520403"/>
    <w:rsid w:val="0052054C"/>
    <w:rsid w:val="00521250"/>
    <w:rsid w:val="005224BF"/>
    <w:rsid w:val="0052269A"/>
    <w:rsid w:val="0052322E"/>
    <w:rsid w:val="005239BE"/>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5DC6"/>
    <w:rsid w:val="00535FC6"/>
    <w:rsid w:val="005365FF"/>
    <w:rsid w:val="00537A0D"/>
    <w:rsid w:val="0054009F"/>
    <w:rsid w:val="005409E2"/>
    <w:rsid w:val="00540FB7"/>
    <w:rsid w:val="005410A3"/>
    <w:rsid w:val="00541A30"/>
    <w:rsid w:val="005427E1"/>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2D8"/>
    <w:rsid w:val="00564451"/>
    <w:rsid w:val="00565026"/>
    <w:rsid w:val="005652A4"/>
    <w:rsid w:val="00565996"/>
    <w:rsid w:val="00565D77"/>
    <w:rsid w:val="00566A42"/>
    <w:rsid w:val="00566D72"/>
    <w:rsid w:val="005716C1"/>
    <w:rsid w:val="00571845"/>
    <w:rsid w:val="005718EF"/>
    <w:rsid w:val="00572707"/>
    <w:rsid w:val="00572E54"/>
    <w:rsid w:val="0057327E"/>
    <w:rsid w:val="00573821"/>
    <w:rsid w:val="0057495B"/>
    <w:rsid w:val="005753B8"/>
    <w:rsid w:val="00575DE6"/>
    <w:rsid w:val="00576B3C"/>
    <w:rsid w:val="00577D3F"/>
    <w:rsid w:val="0058001F"/>
    <w:rsid w:val="00580418"/>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881"/>
    <w:rsid w:val="005A02A4"/>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8D5"/>
    <w:rsid w:val="005B2AC9"/>
    <w:rsid w:val="005B4ADF"/>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D1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26B"/>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275D"/>
    <w:rsid w:val="00622F42"/>
    <w:rsid w:val="00624853"/>
    <w:rsid w:val="00624C58"/>
    <w:rsid w:val="00626268"/>
    <w:rsid w:val="006268DB"/>
    <w:rsid w:val="00626B4F"/>
    <w:rsid w:val="0062711A"/>
    <w:rsid w:val="006276CC"/>
    <w:rsid w:val="006301B6"/>
    <w:rsid w:val="006320C9"/>
    <w:rsid w:val="006323DB"/>
    <w:rsid w:val="00634D2F"/>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47ABB"/>
    <w:rsid w:val="006505AD"/>
    <w:rsid w:val="00651083"/>
    <w:rsid w:val="00651302"/>
    <w:rsid w:val="00654036"/>
    <w:rsid w:val="006544BC"/>
    <w:rsid w:val="006544E9"/>
    <w:rsid w:val="00654610"/>
    <w:rsid w:val="00656393"/>
    <w:rsid w:val="006567FA"/>
    <w:rsid w:val="00660516"/>
    <w:rsid w:val="00660F26"/>
    <w:rsid w:val="006611B5"/>
    <w:rsid w:val="006622BE"/>
    <w:rsid w:val="00663320"/>
    <w:rsid w:val="00663D9A"/>
    <w:rsid w:val="0066445B"/>
    <w:rsid w:val="006644A7"/>
    <w:rsid w:val="00664507"/>
    <w:rsid w:val="00664C5F"/>
    <w:rsid w:val="00664D75"/>
    <w:rsid w:val="00665793"/>
    <w:rsid w:val="00665FC5"/>
    <w:rsid w:val="00666176"/>
    <w:rsid w:val="00666A5E"/>
    <w:rsid w:val="00666EA6"/>
    <w:rsid w:val="00667E91"/>
    <w:rsid w:val="00670A05"/>
    <w:rsid w:val="00670D60"/>
    <w:rsid w:val="00670ECB"/>
    <w:rsid w:val="00671E17"/>
    <w:rsid w:val="00671F7E"/>
    <w:rsid w:val="00672886"/>
    <w:rsid w:val="0067309B"/>
    <w:rsid w:val="006734C3"/>
    <w:rsid w:val="006740D4"/>
    <w:rsid w:val="00676423"/>
    <w:rsid w:val="00676604"/>
    <w:rsid w:val="006772FC"/>
    <w:rsid w:val="0068075B"/>
    <w:rsid w:val="00680B56"/>
    <w:rsid w:val="00680F5F"/>
    <w:rsid w:val="006816EA"/>
    <w:rsid w:val="00682BBD"/>
    <w:rsid w:val="00683955"/>
    <w:rsid w:val="00683C71"/>
    <w:rsid w:val="00684E39"/>
    <w:rsid w:val="00685918"/>
    <w:rsid w:val="006908DF"/>
    <w:rsid w:val="00690F2D"/>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2929"/>
    <w:rsid w:val="006B3737"/>
    <w:rsid w:val="006B3A15"/>
    <w:rsid w:val="006B3CDC"/>
    <w:rsid w:val="006B468C"/>
    <w:rsid w:val="006B48AA"/>
    <w:rsid w:val="006B6136"/>
    <w:rsid w:val="006B64E8"/>
    <w:rsid w:val="006B6532"/>
    <w:rsid w:val="006B6AFA"/>
    <w:rsid w:val="006B79F2"/>
    <w:rsid w:val="006B7BD8"/>
    <w:rsid w:val="006C11E1"/>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249"/>
    <w:rsid w:val="006F0483"/>
    <w:rsid w:val="006F1011"/>
    <w:rsid w:val="006F1108"/>
    <w:rsid w:val="006F145A"/>
    <w:rsid w:val="006F1552"/>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1EB3"/>
    <w:rsid w:val="007028A9"/>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105"/>
    <w:rsid w:val="00717725"/>
    <w:rsid w:val="007178EC"/>
    <w:rsid w:val="00717E7A"/>
    <w:rsid w:val="007203A0"/>
    <w:rsid w:val="00720C09"/>
    <w:rsid w:val="00720C1C"/>
    <w:rsid w:val="007229F2"/>
    <w:rsid w:val="00722AD2"/>
    <w:rsid w:val="00722B13"/>
    <w:rsid w:val="0072301C"/>
    <w:rsid w:val="00724B55"/>
    <w:rsid w:val="007254DD"/>
    <w:rsid w:val="007256F7"/>
    <w:rsid w:val="00726387"/>
    <w:rsid w:val="0072723C"/>
    <w:rsid w:val="007279B3"/>
    <w:rsid w:val="0073066C"/>
    <w:rsid w:val="00732300"/>
    <w:rsid w:val="00732C96"/>
    <w:rsid w:val="007331B0"/>
    <w:rsid w:val="00734BB6"/>
    <w:rsid w:val="00736393"/>
    <w:rsid w:val="00736E53"/>
    <w:rsid w:val="00737DEE"/>
    <w:rsid w:val="00740C2D"/>
    <w:rsid w:val="00741240"/>
    <w:rsid w:val="0074125C"/>
    <w:rsid w:val="00741F3C"/>
    <w:rsid w:val="00742B12"/>
    <w:rsid w:val="007439DD"/>
    <w:rsid w:val="00743AC0"/>
    <w:rsid w:val="007447F0"/>
    <w:rsid w:val="00744DC9"/>
    <w:rsid w:val="00745C80"/>
    <w:rsid w:val="00746AF0"/>
    <w:rsid w:val="00747060"/>
    <w:rsid w:val="00747674"/>
    <w:rsid w:val="00747B26"/>
    <w:rsid w:val="00750459"/>
    <w:rsid w:val="00751049"/>
    <w:rsid w:val="00751645"/>
    <w:rsid w:val="00751F59"/>
    <w:rsid w:val="00752E32"/>
    <w:rsid w:val="00752F67"/>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7028"/>
    <w:rsid w:val="00770152"/>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1E3D"/>
    <w:rsid w:val="00794A23"/>
    <w:rsid w:val="00794AE1"/>
    <w:rsid w:val="00795551"/>
    <w:rsid w:val="00795673"/>
    <w:rsid w:val="00795995"/>
    <w:rsid w:val="00796F89"/>
    <w:rsid w:val="00797639"/>
    <w:rsid w:val="00797720"/>
    <w:rsid w:val="0079793D"/>
    <w:rsid w:val="00797EB2"/>
    <w:rsid w:val="007A0CB7"/>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1D25"/>
    <w:rsid w:val="007B3B94"/>
    <w:rsid w:val="007B48E7"/>
    <w:rsid w:val="007B4969"/>
    <w:rsid w:val="007B4CC0"/>
    <w:rsid w:val="007B4D20"/>
    <w:rsid w:val="007B53BD"/>
    <w:rsid w:val="007B576A"/>
    <w:rsid w:val="007B6464"/>
    <w:rsid w:val="007B656D"/>
    <w:rsid w:val="007B6EED"/>
    <w:rsid w:val="007C01D8"/>
    <w:rsid w:val="007C0282"/>
    <w:rsid w:val="007C05FC"/>
    <w:rsid w:val="007C0996"/>
    <w:rsid w:val="007C2638"/>
    <w:rsid w:val="007C5B91"/>
    <w:rsid w:val="007C690D"/>
    <w:rsid w:val="007C7D07"/>
    <w:rsid w:val="007D363A"/>
    <w:rsid w:val="007D4984"/>
    <w:rsid w:val="007D59A6"/>
    <w:rsid w:val="007D7130"/>
    <w:rsid w:val="007D715A"/>
    <w:rsid w:val="007D71FE"/>
    <w:rsid w:val="007D7B2C"/>
    <w:rsid w:val="007D7F3A"/>
    <w:rsid w:val="007E00D3"/>
    <w:rsid w:val="007E27FD"/>
    <w:rsid w:val="007E29A1"/>
    <w:rsid w:val="007E37B8"/>
    <w:rsid w:val="007E381F"/>
    <w:rsid w:val="007E508E"/>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47F1"/>
    <w:rsid w:val="007F514E"/>
    <w:rsid w:val="007F57C6"/>
    <w:rsid w:val="007F5BD1"/>
    <w:rsid w:val="007F6443"/>
    <w:rsid w:val="007F6708"/>
    <w:rsid w:val="007F67AE"/>
    <w:rsid w:val="007F6D34"/>
    <w:rsid w:val="007F749D"/>
    <w:rsid w:val="007F7815"/>
    <w:rsid w:val="007F783C"/>
    <w:rsid w:val="007F7A8F"/>
    <w:rsid w:val="007F7B85"/>
    <w:rsid w:val="00800D88"/>
    <w:rsid w:val="0080138B"/>
    <w:rsid w:val="0080207B"/>
    <w:rsid w:val="00802265"/>
    <w:rsid w:val="00802523"/>
    <w:rsid w:val="00803E02"/>
    <w:rsid w:val="00804137"/>
    <w:rsid w:val="008043C1"/>
    <w:rsid w:val="008045BB"/>
    <w:rsid w:val="008047C7"/>
    <w:rsid w:val="00804E1C"/>
    <w:rsid w:val="00805843"/>
    <w:rsid w:val="0080599F"/>
    <w:rsid w:val="00805F6E"/>
    <w:rsid w:val="00807290"/>
    <w:rsid w:val="00810695"/>
    <w:rsid w:val="00810AF0"/>
    <w:rsid w:val="00810B65"/>
    <w:rsid w:val="00810E9A"/>
    <w:rsid w:val="00810ECD"/>
    <w:rsid w:val="008112C1"/>
    <w:rsid w:val="0081166F"/>
    <w:rsid w:val="00811E36"/>
    <w:rsid w:val="00812A2F"/>
    <w:rsid w:val="00812A90"/>
    <w:rsid w:val="0081304B"/>
    <w:rsid w:val="0081615E"/>
    <w:rsid w:val="00821D5F"/>
    <w:rsid w:val="00822D7B"/>
    <w:rsid w:val="008241F3"/>
    <w:rsid w:val="00824B45"/>
    <w:rsid w:val="00826BA9"/>
    <w:rsid w:val="0082724F"/>
    <w:rsid w:val="008274BA"/>
    <w:rsid w:val="00827752"/>
    <w:rsid w:val="00830B56"/>
    <w:rsid w:val="008314DD"/>
    <w:rsid w:val="00831D7D"/>
    <w:rsid w:val="00832270"/>
    <w:rsid w:val="008325C9"/>
    <w:rsid w:val="00832FC6"/>
    <w:rsid w:val="008334C2"/>
    <w:rsid w:val="00834959"/>
    <w:rsid w:val="00835746"/>
    <w:rsid w:val="00837213"/>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57771"/>
    <w:rsid w:val="0086014A"/>
    <w:rsid w:val="00861387"/>
    <w:rsid w:val="0086141C"/>
    <w:rsid w:val="00862339"/>
    <w:rsid w:val="00862C18"/>
    <w:rsid w:val="00863265"/>
    <w:rsid w:val="0086382B"/>
    <w:rsid w:val="00864478"/>
    <w:rsid w:val="00864C31"/>
    <w:rsid w:val="00865088"/>
    <w:rsid w:val="008661DB"/>
    <w:rsid w:val="00866D16"/>
    <w:rsid w:val="00867F5B"/>
    <w:rsid w:val="008705F3"/>
    <w:rsid w:val="00870894"/>
    <w:rsid w:val="00870D28"/>
    <w:rsid w:val="008711BE"/>
    <w:rsid w:val="00871471"/>
    <w:rsid w:val="0087265C"/>
    <w:rsid w:val="008744C5"/>
    <w:rsid w:val="008748C8"/>
    <w:rsid w:val="00874AA7"/>
    <w:rsid w:val="00875229"/>
    <w:rsid w:val="00876342"/>
    <w:rsid w:val="0087656C"/>
    <w:rsid w:val="00876BEB"/>
    <w:rsid w:val="008778C3"/>
    <w:rsid w:val="00877D77"/>
    <w:rsid w:val="00881490"/>
    <w:rsid w:val="008815E1"/>
    <w:rsid w:val="0088267A"/>
    <w:rsid w:val="0088307E"/>
    <w:rsid w:val="008863EB"/>
    <w:rsid w:val="00886DE3"/>
    <w:rsid w:val="008900FD"/>
    <w:rsid w:val="0089043E"/>
    <w:rsid w:val="00891C1B"/>
    <w:rsid w:val="008922D3"/>
    <w:rsid w:val="00892698"/>
    <w:rsid w:val="008940F7"/>
    <w:rsid w:val="00894461"/>
    <w:rsid w:val="008947F2"/>
    <w:rsid w:val="00894C0F"/>
    <w:rsid w:val="008954BF"/>
    <w:rsid w:val="00897183"/>
    <w:rsid w:val="008974DE"/>
    <w:rsid w:val="0089753F"/>
    <w:rsid w:val="008A010C"/>
    <w:rsid w:val="008A0771"/>
    <w:rsid w:val="008A18B2"/>
    <w:rsid w:val="008A28C1"/>
    <w:rsid w:val="008A34DB"/>
    <w:rsid w:val="008A405F"/>
    <w:rsid w:val="008A499A"/>
    <w:rsid w:val="008A5CD2"/>
    <w:rsid w:val="008A6130"/>
    <w:rsid w:val="008A63F3"/>
    <w:rsid w:val="008A650B"/>
    <w:rsid w:val="008A6CA5"/>
    <w:rsid w:val="008B07C1"/>
    <w:rsid w:val="008B0BAD"/>
    <w:rsid w:val="008B244F"/>
    <w:rsid w:val="008B587C"/>
    <w:rsid w:val="008B5C65"/>
    <w:rsid w:val="008B647C"/>
    <w:rsid w:val="008B6764"/>
    <w:rsid w:val="008B6D2E"/>
    <w:rsid w:val="008B6D30"/>
    <w:rsid w:val="008B7895"/>
    <w:rsid w:val="008C051B"/>
    <w:rsid w:val="008C119E"/>
    <w:rsid w:val="008C11EE"/>
    <w:rsid w:val="008C180E"/>
    <w:rsid w:val="008C1A08"/>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F09BF"/>
    <w:rsid w:val="008F13FF"/>
    <w:rsid w:val="008F4F41"/>
    <w:rsid w:val="008F6014"/>
    <w:rsid w:val="008F61B1"/>
    <w:rsid w:val="008F67FF"/>
    <w:rsid w:val="008F74E2"/>
    <w:rsid w:val="008F767D"/>
    <w:rsid w:val="008F7952"/>
    <w:rsid w:val="008F7E1C"/>
    <w:rsid w:val="009023CF"/>
    <w:rsid w:val="00903AB8"/>
    <w:rsid w:val="00903C16"/>
    <w:rsid w:val="009044BB"/>
    <w:rsid w:val="00904953"/>
    <w:rsid w:val="00904CB3"/>
    <w:rsid w:val="00906BA9"/>
    <w:rsid w:val="00907078"/>
    <w:rsid w:val="00907818"/>
    <w:rsid w:val="00910BB8"/>
    <w:rsid w:val="00910BD5"/>
    <w:rsid w:val="00911067"/>
    <w:rsid w:val="009111C1"/>
    <w:rsid w:val="0091149E"/>
    <w:rsid w:val="00912D67"/>
    <w:rsid w:val="0091403C"/>
    <w:rsid w:val="00914E04"/>
    <w:rsid w:val="00915E73"/>
    <w:rsid w:val="0091651F"/>
    <w:rsid w:val="0091685B"/>
    <w:rsid w:val="00916B94"/>
    <w:rsid w:val="00916C21"/>
    <w:rsid w:val="00917A23"/>
    <w:rsid w:val="00917DEA"/>
    <w:rsid w:val="0092061F"/>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86D"/>
    <w:rsid w:val="00936AEC"/>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44CC0"/>
    <w:rsid w:val="0095009F"/>
    <w:rsid w:val="00950E19"/>
    <w:rsid w:val="00951FF3"/>
    <w:rsid w:val="0095200B"/>
    <w:rsid w:val="009534A2"/>
    <w:rsid w:val="0095373D"/>
    <w:rsid w:val="009539EF"/>
    <w:rsid w:val="00954932"/>
    <w:rsid w:val="00956979"/>
    <w:rsid w:val="00957C3E"/>
    <w:rsid w:val="00960103"/>
    <w:rsid w:val="009601F8"/>
    <w:rsid w:val="00961BC2"/>
    <w:rsid w:val="009627CE"/>
    <w:rsid w:val="009630DC"/>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77470"/>
    <w:rsid w:val="00980041"/>
    <w:rsid w:val="00980862"/>
    <w:rsid w:val="009820BB"/>
    <w:rsid w:val="009823AA"/>
    <w:rsid w:val="009824E3"/>
    <w:rsid w:val="00982519"/>
    <w:rsid w:val="00982A88"/>
    <w:rsid w:val="00982D45"/>
    <w:rsid w:val="00982F1B"/>
    <w:rsid w:val="00984F6C"/>
    <w:rsid w:val="00985BEF"/>
    <w:rsid w:val="0098645D"/>
    <w:rsid w:val="0098764A"/>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2087"/>
    <w:rsid w:val="009A4524"/>
    <w:rsid w:val="009A51AE"/>
    <w:rsid w:val="009A6162"/>
    <w:rsid w:val="009A7AC5"/>
    <w:rsid w:val="009A7B87"/>
    <w:rsid w:val="009B0047"/>
    <w:rsid w:val="009B0082"/>
    <w:rsid w:val="009B0708"/>
    <w:rsid w:val="009B07D5"/>
    <w:rsid w:val="009B08FC"/>
    <w:rsid w:val="009B0D64"/>
    <w:rsid w:val="009B1ACF"/>
    <w:rsid w:val="009B1EB3"/>
    <w:rsid w:val="009B3C90"/>
    <w:rsid w:val="009B3D6A"/>
    <w:rsid w:val="009B4329"/>
    <w:rsid w:val="009B449D"/>
    <w:rsid w:val="009B46E3"/>
    <w:rsid w:val="009B47EF"/>
    <w:rsid w:val="009B4B4D"/>
    <w:rsid w:val="009B51A8"/>
    <w:rsid w:val="009B58E1"/>
    <w:rsid w:val="009B67C3"/>
    <w:rsid w:val="009B6938"/>
    <w:rsid w:val="009B74A8"/>
    <w:rsid w:val="009C047C"/>
    <w:rsid w:val="009C14A7"/>
    <w:rsid w:val="009C167A"/>
    <w:rsid w:val="009C2996"/>
    <w:rsid w:val="009C2B2B"/>
    <w:rsid w:val="009C370B"/>
    <w:rsid w:val="009C3F2F"/>
    <w:rsid w:val="009C4CFB"/>
    <w:rsid w:val="009C6D08"/>
    <w:rsid w:val="009C70EE"/>
    <w:rsid w:val="009C7586"/>
    <w:rsid w:val="009C7D9F"/>
    <w:rsid w:val="009D0014"/>
    <w:rsid w:val="009D11E3"/>
    <w:rsid w:val="009D1831"/>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21"/>
    <w:rsid w:val="009F5D4A"/>
    <w:rsid w:val="009F604C"/>
    <w:rsid w:val="009F628E"/>
    <w:rsid w:val="009F76E3"/>
    <w:rsid w:val="009F7B46"/>
    <w:rsid w:val="009F7D28"/>
    <w:rsid w:val="009F7DC9"/>
    <w:rsid w:val="009F7F9A"/>
    <w:rsid w:val="009F7FCB"/>
    <w:rsid w:val="00A0109E"/>
    <w:rsid w:val="00A0120E"/>
    <w:rsid w:val="00A01DF0"/>
    <w:rsid w:val="00A035A5"/>
    <w:rsid w:val="00A04B6E"/>
    <w:rsid w:val="00A04CCA"/>
    <w:rsid w:val="00A04E7B"/>
    <w:rsid w:val="00A05313"/>
    <w:rsid w:val="00A05845"/>
    <w:rsid w:val="00A05932"/>
    <w:rsid w:val="00A10050"/>
    <w:rsid w:val="00A1101C"/>
    <w:rsid w:val="00A12251"/>
    <w:rsid w:val="00A12913"/>
    <w:rsid w:val="00A129F8"/>
    <w:rsid w:val="00A13BBD"/>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594"/>
    <w:rsid w:val="00A255E2"/>
    <w:rsid w:val="00A2674E"/>
    <w:rsid w:val="00A2711B"/>
    <w:rsid w:val="00A3007E"/>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3AF0"/>
    <w:rsid w:val="00A44085"/>
    <w:rsid w:val="00A448BA"/>
    <w:rsid w:val="00A45497"/>
    <w:rsid w:val="00A4556A"/>
    <w:rsid w:val="00A45797"/>
    <w:rsid w:val="00A46AEA"/>
    <w:rsid w:val="00A473DA"/>
    <w:rsid w:val="00A47491"/>
    <w:rsid w:val="00A47BCC"/>
    <w:rsid w:val="00A5049E"/>
    <w:rsid w:val="00A50607"/>
    <w:rsid w:val="00A506FB"/>
    <w:rsid w:val="00A50ED4"/>
    <w:rsid w:val="00A51A3F"/>
    <w:rsid w:val="00A53C2A"/>
    <w:rsid w:val="00A546B0"/>
    <w:rsid w:val="00A5557D"/>
    <w:rsid w:val="00A56633"/>
    <w:rsid w:val="00A572EB"/>
    <w:rsid w:val="00A57425"/>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293"/>
    <w:rsid w:val="00A9087E"/>
    <w:rsid w:val="00A90C8A"/>
    <w:rsid w:val="00A90DDC"/>
    <w:rsid w:val="00A91141"/>
    <w:rsid w:val="00A92962"/>
    <w:rsid w:val="00A93901"/>
    <w:rsid w:val="00A93D6F"/>
    <w:rsid w:val="00A93D79"/>
    <w:rsid w:val="00A95129"/>
    <w:rsid w:val="00A952FF"/>
    <w:rsid w:val="00A9533B"/>
    <w:rsid w:val="00A95AC8"/>
    <w:rsid w:val="00AA0375"/>
    <w:rsid w:val="00AA0543"/>
    <w:rsid w:val="00AA1213"/>
    <w:rsid w:val="00AA1B96"/>
    <w:rsid w:val="00AA2994"/>
    <w:rsid w:val="00AA2CCB"/>
    <w:rsid w:val="00AA2DD3"/>
    <w:rsid w:val="00AA3B37"/>
    <w:rsid w:val="00AA496B"/>
    <w:rsid w:val="00AA4C10"/>
    <w:rsid w:val="00AA59BE"/>
    <w:rsid w:val="00AA68DD"/>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603"/>
    <w:rsid w:val="00AC1BCE"/>
    <w:rsid w:val="00AC1D76"/>
    <w:rsid w:val="00AC289B"/>
    <w:rsid w:val="00AC3A64"/>
    <w:rsid w:val="00AC498F"/>
    <w:rsid w:val="00AC60DD"/>
    <w:rsid w:val="00AC6930"/>
    <w:rsid w:val="00AD0896"/>
    <w:rsid w:val="00AD2074"/>
    <w:rsid w:val="00AD24AE"/>
    <w:rsid w:val="00AD24B5"/>
    <w:rsid w:val="00AD28FD"/>
    <w:rsid w:val="00AD31F2"/>
    <w:rsid w:val="00AD39D2"/>
    <w:rsid w:val="00AD6169"/>
    <w:rsid w:val="00AD6183"/>
    <w:rsid w:val="00AD742E"/>
    <w:rsid w:val="00AE0706"/>
    <w:rsid w:val="00AE2DD9"/>
    <w:rsid w:val="00AE38B8"/>
    <w:rsid w:val="00AE3D5B"/>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C2A"/>
    <w:rsid w:val="00B05D29"/>
    <w:rsid w:val="00B060EE"/>
    <w:rsid w:val="00B0651A"/>
    <w:rsid w:val="00B07CF6"/>
    <w:rsid w:val="00B10071"/>
    <w:rsid w:val="00B102D1"/>
    <w:rsid w:val="00B10524"/>
    <w:rsid w:val="00B10560"/>
    <w:rsid w:val="00B10A26"/>
    <w:rsid w:val="00B10C41"/>
    <w:rsid w:val="00B10D58"/>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5F8"/>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2FB9"/>
    <w:rsid w:val="00B737FE"/>
    <w:rsid w:val="00B73AB6"/>
    <w:rsid w:val="00B745B3"/>
    <w:rsid w:val="00B767AA"/>
    <w:rsid w:val="00B76F24"/>
    <w:rsid w:val="00B802F8"/>
    <w:rsid w:val="00B80A5A"/>
    <w:rsid w:val="00B80A92"/>
    <w:rsid w:val="00B82734"/>
    <w:rsid w:val="00B82FF9"/>
    <w:rsid w:val="00B832A1"/>
    <w:rsid w:val="00B83745"/>
    <w:rsid w:val="00B83CD5"/>
    <w:rsid w:val="00B83D23"/>
    <w:rsid w:val="00B84308"/>
    <w:rsid w:val="00B8451B"/>
    <w:rsid w:val="00B84964"/>
    <w:rsid w:val="00B85676"/>
    <w:rsid w:val="00B85896"/>
    <w:rsid w:val="00B85E35"/>
    <w:rsid w:val="00B8635D"/>
    <w:rsid w:val="00B90D14"/>
    <w:rsid w:val="00B94249"/>
    <w:rsid w:val="00B94276"/>
    <w:rsid w:val="00B94653"/>
    <w:rsid w:val="00B94CE2"/>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D5"/>
    <w:rsid w:val="00BC0AC9"/>
    <w:rsid w:val="00BC1471"/>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1BA5"/>
    <w:rsid w:val="00BD20AF"/>
    <w:rsid w:val="00BD2CDE"/>
    <w:rsid w:val="00BD39BE"/>
    <w:rsid w:val="00BD3F7A"/>
    <w:rsid w:val="00BD48E4"/>
    <w:rsid w:val="00BD59A9"/>
    <w:rsid w:val="00BD6C2C"/>
    <w:rsid w:val="00BD7A0B"/>
    <w:rsid w:val="00BD7B7E"/>
    <w:rsid w:val="00BD7C12"/>
    <w:rsid w:val="00BE2107"/>
    <w:rsid w:val="00BE279E"/>
    <w:rsid w:val="00BE27CA"/>
    <w:rsid w:val="00BE2F53"/>
    <w:rsid w:val="00BE3005"/>
    <w:rsid w:val="00BE30C6"/>
    <w:rsid w:val="00BE34F3"/>
    <w:rsid w:val="00BE3786"/>
    <w:rsid w:val="00BE4922"/>
    <w:rsid w:val="00BE4CFA"/>
    <w:rsid w:val="00BE551F"/>
    <w:rsid w:val="00BE5AD5"/>
    <w:rsid w:val="00BE5FD3"/>
    <w:rsid w:val="00BE65C8"/>
    <w:rsid w:val="00BE67A7"/>
    <w:rsid w:val="00BE6E4E"/>
    <w:rsid w:val="00BE7B9A"/>
    <w:rsid w:val="00BE7DED"/>
    <w:rsid w:val="00BF0BFC"/>
    <w:rsid w:val="00BF0D05"/>
    <w:rsid w:val="00BF214C"/>
    <w:rsid w:val="00BF3714"/>
    <w:rsid w:val="00BF382B"/>
    <w:rsid w:val="00BF3BA3"/>
    <w:rsid w:val="00BF41E9"/>
    <w:rsid w:val="00BF45AD"/>
    <w:rsid w:val="00BF4712"/>
    <w:rsid w:val="00BF5118"/>
    <w:rsid w:val="00BF5228"/>
    <w:rsid w:val="00BF54CA"/>
    <w:rsid w:val="00BF59DF"/>
    <w:rsid w:val="00BF68E0"/>
    <w:rsid w:val="00BF696E"/>
    <w:rsid w:val="00BF69A2"/>
    <w:rsid w:val="00BF6A6B"/>
    <w:rsid w:val="00BF6BD6"/>
    <w:rsid w:val="00C004CC"/>
    <w:rsid w:val="00C006A3"/>
    <w:rsid w:val="00C00A9E"/>
    <w:rsid w:val="00C01C48"/>
    <w:rsid w:val="00C026BB"/>
    <w:rsid w:val="00C03A6E"/>
    <w:rsid w:val="00C03D6D"/>
    <w:rsid w:val="00C04F7C"/>
    <w:rsid w:val="00C05A13"/>
    <w:rsid w:val="00C06276"/>
    <w:rsid w:val="00C06B9E"/>
    <w:rsid w:val="00C07D29"/>
    <w:rsid w:val="00C108BC"/>
    <w:rsid w:val="00C10924"/>
    <w:rsid w:val="00C116D9"/>
    <w:rsid w:val="00C121CC"/>
    <w:rsid w:val="00C12447"/>
    <w:rsid w:val="00C124EC"/>
    <w:rsid w:val="00C128FE"/>
    <w:rsid w:val="00C12EDE"/>
    <w:rsid w:val="00C147D1"/>
    <w:rsid w:val="00C157E9"/>
    <w:rsid w:val="00C15AD1"/>
    <w:rsid w:val="00C166EB"/>
    <w:rsid w:val="00C16956"/>
    <w:rsid w:val="00C169BF"/>
    <w:rsid w:val="00C16D19"/>
    <w:rsid w:val="00C17086"/>
    <w:rsid w:val="00C17209"/>
    <w:rsid w:val="00C17E72"/>
    <w:rsid w:val="00C2211B"/>
    <w:rsid w:val="00C2349D"/>
    <w:rsid w:val="00C23CD4"/>
    <w:rsid w:val="00C25327"/>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2EB"/>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6F6"/>
    <w:rsid w:val="00C546FD"/>
    <w:rsid w:val="00C54D4D"/>
    <w:rsid w:val="00C5530D"/>
    <w:rsid w:val="00C56F6A"/>
    <w:rsid w:val="00C57248"/>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1D"/>
    <w:rsid w:val="00C67C57"/>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186C"/>
    <w:rsid w:val="00C826F3"/>
    <w:rsid w:val="00C836BF"/>
    <w:rsid w:val="00C83C63"/>
    <w:rsid w:val="00C84490"/>
    <w:rsid w:val="00C8466C"/>
    <w:rsid w:val="00C84E84"/>
    <w:rsid w:val="00C86224"/>
    <w:rsid w:val="00C86D1B"/>
    <w:rsid w:val="00C86E8A"/>
    <w:rsid w:val="00C878B0"/>
    <w:rsid w:val="00C90253"/>
    <w:rsid w:val="00C9122C"/>
    <w:rsid w:val="00C91BE9"/>
    <w:rsid w:val="00C93318"/>
    <w:rsid w:val="00C933BA"/>
    <w:rsid w:val="00C94785"/>
    <w:rsid w:val="00C94DB7"/>
    <w:rsid w:val="00C97389"/>
    <w:rsid w:val="00C97AC5"/>
    <w:rsid w:val="00C97EB3"/>
    <w:rsid w:val="00CA0E5D"/>
    <w:rsid w:val="00CA1CFF"/>
    <w:rsid w:val="00CA3900"/>
    <w:rsid w:val="00CA3DD9"/>
    <w:rsid w:val="00CA4ADF"/>
    <w:rsid w:val="00CA4D1F"/>
    <w:rsid w:val="00CA5C20"/>
    <w:rsid w:val="00CB0227"/>
    <w:rsid w:val="00CB0A28"/>
    <w:rsid w:val="00CB0FBC"/>
    <w:rsid w:val="00CB2630"/>
    <w:rsid w:val="00CB2888"/>
    <w:rsid w:val="00CB3A14"/>
    <w:rsid w:val="00CB4EC9"/>
    <w:rsid w:val="00CB58C7"/>
    <w:rsid w:val="00CC0269"/>
    <w:rsid w:val="00CC084C"/>
    <w:rsid w:val="00CC1475"/>
    <w:rsid w:val="00CC3253"/>
    <w:rsid w:val="00CC3AA3"/>
    <w:rsid w:val="00CC4422"/>
    <w:rsid w:val="00CC5520"/>
    <w:rsid w:val="00CC5634"/>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4EC2"/>
    <w:rsid w:val="00CE5163"/>
    <w:rsid w:val="00CE538B"/>
    <w:rsid w:val="00CE5824"/>
    <w:rsid w:val="00CE63D4"/>
    <w:rsid w:val="00CE6D9D"/>
    <w:rsid w:val="00CE6DAD"/>
    <w:rsid w:val="00CF0F48"/>
    <w:rsid w:val="00CF14E4"/>
    <w:rsid w:val="00CF1B21"/>
    <w:rsid w:val="00CF2166"/>
    <w:rsid w:val="00CF23B7"/>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5A"/>
    <w:rsid w:val="00D22898"/>
    <w:rsid w:val="00D22A04"/>
    <w:rsid w:val="00D230B6"/>
    <w:rsid w:val="00D23CB8"/>
    <w:rsid w:val="00D2428E"/>
    <w:rsid w:val="00D242BE"/>
    <w:rsid w:val="00D255E2"/>
    <w:rsid w:val="00D26AD5"/>
    <w:rsid w:val="00D26B94"/>
    <w:rsid w:val="00D27332"/>
    <w:rsid w:val="00D30C1B"/>
    <w:rsid w:val="00D30E2D"/>
    <w:rsid w:val="00D310B6"/>
    <w:rsid w:val="00D3117F"/>
    <w:rsid w:val="00D34386"/>
    <w:rsid w:val="00D34CAE"/>
    <w:rsid w:val="00D35A39"/>
    <w:rsid w:val="00D3620F"/>
    <w:rsid w:val="00D36608"/>
    <w:rsid w:val="00D3694B"/>
    <w:rsid w:val="00D369C8"/>
    <w:rsid w:val="00D36DA9"/>
    <w:rsid w:val="00D3746E"/>
    <w:rsid w:val="00D37595"/>
    <w:rsid w:val="00D40F50"/>
    <w:rsid w:val="00D42E57"/>
    <w:rsid w:val="00D4387F"/>
    <w:rsid w:val="00D43B4E"/>
    <w:rsid w:val="00D44386"/>
    <w:rsid w:val="00D4478D"/>
    <w:rsid w:val="00D4499F"/>
    <w:rsid w:val="00D44B42"/>
    <w:rsid w:val="00D44C83"/>
    <w:rsid w:val="00D450B6"/>
    <w:rsid w:val="00D4528C"/>
    <w:rsid w:val="00D51281"/>
    <w:rsid w:val="00D52C71"/>
    <w:rsid w:val="00D537D5"/>
    <w:rsid w:val="00D539F8"/>
    <w:rsid w:val="00D53C64"/>
    <w:rsid w:val="00D5467F"/>
    <w:rsid w:val="00D54F36"/>
    <w:rsid w:val="00D54FEB"/>
    <w:rsid w:val="00D55875"/>
    <w:rsid w:val="00D55D7C"/>
    <w:rsid w:val="00D562B3"/>
    <w:rsid w:val="00D57F95"/>
    <w:rsid w:val="00D60AB8"/>
    <w:rsid w:val="00D61C1D"/>
    <w:rsid w:val="00D62A67"/>
    <w:rsid w:val="00D63209"/>
    <w:rsid w:val="00D633E8"/>
    <w:rsid w:val="00D6389C"/>
    <w:rsid w:val="00D63B19"/>
    <w:rsid w:val="00D6463C"/>
    <w:rsid w:val="00D64802"/>
    <w:rsid w:val="00D64BC2"/>
    <w:rsid w:val="00D64CB3"/>
    <w:rsid w:val="00D65127"/>
    <w:rsid w:val="00D676ED"/>
    <w:rsid w:val="00D70655"/>
    <w:rsid w:val="00D70DC1"/>
    <w:rsid w:val="00D71FE9"/>
    <w:rsid w:val="00D725C0"/>
    <w:rsid w:val="00D75C27"/>
    <w:rsid w:val="00D77D54"/>
    <w:rsid w:val="00D8368A"/>
    <w:rsid w:val="00D83E78"/>
    <w:rsid w:val="00D83EC2"/>
    <w:rsid w:val="00D83F8C"/>
    <w:rsid w:val="00D8494A"/>
    <w:rsid w:val="00D84E34"/>
    <w:rsid w:val="00D8714D"/>
    <w:rsid w:val="00D87689"/>
    <w:rsid w:val="00D90C20"/>
    <w:rsid w:val="00D913BC"/>
    <w:rsid w:val="00D92B92"/>
    <w:rsid w:val="00D9367D"/>
    <w:rsid w:val="00D94719"/>
    <w:rsid w:val="00D94F47"/>
    <w:rsid w:val="00D950F7"/>
    <w:rsid w:val="00D953CD"/>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184D"/>
    <w:rsid w:val="00DB1C3E"/>
    <w:rsid w:val="00DB1F2B"/>
    <w:rsid w:val="00DB3B12"/>
    <w:rsid w:val="00DB3FAC"/>
    <w:rsid w:val="00DB426A"/>
    <w:rsid w:val="00DB4913"/>
    <w:rsid w:val="00DB5819"/>
    <w:rsid w:val="00DB5C42"/>
    <w:rsid w:val="00DB5CDD"/>
    <w:rsid w:val="00DB663D"/>
    <w:rsid w:val="00DB695B"/>
    <w:rsid w:val="00DB71B6"/>
    <w:rsid w:val="00DB78A9"/>
    <w:rsid w:val="00DB796E"/>
    <w:rsid w:val="00DB7F40"/>
    <w:rsid w:val="00DC0D83"/>
    <w:rsid w:val="00DC10C8"/>
    <w:rsid w:val="00DC1820"/>
    <w:rsid w:val="00DC19AF"/>
    <w:rsid w:val="00DC1B40"/>
    <w:rsid w:val="00DC1BCD"/>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1CBA"/>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445A"/>
    <w:rsid w:val="00DE4C18"/>
    <w:rsid w:val="00DE5300"/>
    <w:rsid w:val="00DE5CF4"/>
    <w:rsid w:val="00DE60BA"/>
    <w:rsid w:val="00DE6B9E"/>
    <w:rsid w:val="00DF0789"/>
    <w:rsid w:val="00DF2012"/>
    <w:rsid w:val="00DF2CD3"/>
    <w:rsid w:val="00DF38B2"/>
    <w:rsid w:val="00DF3C44"/>
    <w:rsid w:val="00DF5CED"/>
    <w:rsid w:val="00DF618E"/>
    <w:rsid w:val="00DF637B"/>
    <w:rsid w:val="00DF69C8"/>
    <w:rsid w:val="00DF72B5"/>
    <w:rsid w:val="00E001A4"/>
    <w:rsid w:val="00E008C0"/>
    <w:rsid w:val="00E00BAF"/>
    <w:rsid w:val="00E00BF7"/>
    <w:rsid w:val="00E00D3D"/>
    <w:rsid w:val="00E02AC9"/>
    <w:rsid w:val="00E03219"/>
    <w:rsid w:val="00E03FD3"/>
    <w:rsid w:val="00E045B5"/>
    <w:rsid w:val="00E04E9B"/>
    <w:rsid w:val="00E056BA"/>
    <w:rsid w:val="00E067F3"/>
    <w:rsid w:val="00E0741E"/>
    <w:rsid w:val="00E074CF"/>
    <w:rsid w:val="00E10BD1"/>
    <w:rsid w:val="00E11EEE"/>
    <w:rsid w:val="00E12BEC"/>
    <w:rsid w:val="00E1311F"/>
    <w:rsid w:val="00E13F1C"/>
    <w:rsid w:val="00E14125"/>
    <w:rsid w:val="00E152D5"/>
    <w:rsid w:val="00E15BED"/>
    <w:rsid w:val="00E15E86"/>
    <w:rsid w:val="00E162FF"/>
    <w:rsid w:val="00E169A8"/>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C9F"/>
    <w:rsid w:val="00E31C36"/>
    <w:rsid w:val="00E31F9B"/>
    <w:rsid w:val="00E3290D"/>
    <w:rsid w:val="00E32BD7"/>
    <w:rsid w:val="00E330D7"/>
    <w:rsid w:val="00E348C0"/>
    <w:rsid w:val="00E3522D"/>
    <w:rsid w:val="00E356CC"/>
    <w:rsid w:val="00E37729"/>
    <w:rsid w:val="00E379F8"/>
    <w:rsid w:val="00E403B5"/>
    <w:rsid w:val="00E42771"/>
    <w:rsid w:val="00E42BB1"/>
    <w:rsid w:val="00E43530"/>
    <w:rsid w:val="00E456FA"/>
    <w:rsid w:val="00E459C5"/>
    <w:rsid w:val="00E45AEC"/>
    <w:rsid w:val="00E45C5A"/>
    <w:rsid w:val="00E50114"/>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4CB1"/>
    <w:rsid w:val="00E65040"/>
    <w:rsid w:val="00E66F1B"/>
    <w:rsid w:val="00E67ACA"/>
    <w:rsid w:val="00E67FC6"/>
    <w:rsid w:val="00E70243"/>
    <w:rsid w:val="00E71DAA"/>
    <w:rsid w:val="00E72F06"/>
    <w:rsid w:val="00E737D8"/>
    <w:rsid w:val="00E73A04"/>
    <w:rsid w:val="00E7479E"/>
    <w:rsid w:val="00E75866"/>
    <w:rsid w:val="00E75B0B"/>
    <w:rsid w:val="00E75C7B"/>
    <w:rsid w:val="00E760D0"/>
    <w:rsid w:val="00E7646A"/>
    <w:rsid w:val="00E80192"/>
    <w:rsid w:val="00E80B86"/>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9C"/>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79C"/>
    <w:rsid w:val="00EB18FF"/>
    <w:rsid w:val="00EB2820"/>
    <w:rsid w:val="00EB29BE"/>
    <w:rsid w:val="00EB2AA6"/>
    <w:rsid w:val="00EB2D42"/>
    <w:rsid w:val="00EB3307"/>
    <w:rsid w:val="00EB38EC"/>
    <w:rsid w:val="00EB4357"/>
    <w:rsid w:val="00EB4BDD"/>
    <w:rsid w:val="00EB5450"/>
    <w:rsid w:val="00EB5DA7"/>
    <w:rsid w:val="00EB7255"/>
    <w:rsid w:val="00EC04E1"/>
    <w:rsid w:val="00EC106D"/>
    <w:rsid w:val="00EC16AF"/>
    <w:rsid w:val="00EC1CFB"/>
    <w:rsid w:val="00EC1DAB"/>
    <w:rsid w:val="00EC29D6"/>
    <w:rsid w:val="00EC2B2A"/>
    <w:rsid w:val="00EC4044"/>
    <w:rsid w:val="00EC417F"/>
    <w:rsid w:val="00EC4B19"/>
    <w:rsid w:val="00EC58D5"/>
    <w:rsid w:val="00EC5D52"/>
    <w:rsid w:val="00EC5EE4"/>
    <w:rsid w:val="00EC61D9"/>
    <w:rsid w:val="00EC65D5"/>
    <w:rsid w:val="00EC7146"/>
    <w:rsid w:val="00EC727B"/>
    <w:rsid w:val="00EC753F"/>
    <w:rsid w:val="00EC7ADE"/>
    <w:rsid w:val="00ED0DBE"/>
    <w:rsid w:val="00ED2E1A"/>
    <w:rsid w:val="00ED339D"/>
    <w:rsid w:val="00ED53C7"/>
    <w:rsid w:val="00ED5B16"/>
    <w:rsid w:val="00ED5B33"/>
    <w:rsid w:val="00ED5EB4"/>
    <w:rsid w:val="00ED6108"/>
    <w:rsid w:val="00ED62A7"/>
    <w:rsid w:val="00ED7E49"/>
    <w:rsid w:val="00EE0ABE"/>
    <w:rsid w:val="00EE0C10"/>
    <w:rsid w:val="00EE1EA4"/>
    <w:rsid w:val="00EE21BD"/>
    <w:rsid w:val="00EE3158"/>
    <w:rsid w:val="00EE34B8"/>
    <w:rsid w:val="00EE3CB8"/>
    <w:rsid w:val="00EE3EB8"/>
    <w:rsid w:val="00EE456A"/>
    <w:rsid w:val="00EE4DCE"/>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136"/>
    <w:rsid w:val="00EF4972"/>
    <w:rsid w:val="00EF5513"/>
    <w:rsid w:val="00EF599B"/>
    <w:rsid w:val="00EF6FD3"/>
    <w:rsid w:val="00EF7358"/>
    <w:rsid w:val="00EF7769"/>
    <w:rsid w:val="00EF7838"/>
    <w:rsid w:val="00F00C3F"/>
    <w:rsid w:val="00F0194C"/>
    <w:rsid w:val="00F01B33"/>
    <w:rsid w:val="00F01C31"/>
    <w:rsid w:val="00F029F6"/>
    <w:rsid w:val="00F02A17"/>
    <w:rsid w:val="00F04B89"/>
    <w:rsid w:val="00F05983"/>
    <w:rsid w:val="00F069A0"/>
    <w:rsid w:val="00F06FDE"/>
    <w:rsid w:val="00F07612"/>
    <w:rsid w:val="00F102F4"/>
    <w:rsid w:val="00F11248"/>
    <w:rsid w:val="00F113A1"/>
    <w:rsid w:val="00F12EF4"/>
    <w:rsid w:val="00F13000"/>
    <w:rsid w:val="00F13F1D"/>
    <w:rsid w:val="00F1475D"/>
    <w:rsid w:val="00F14C36"/>
    <w:rsid w:val="00F1542A"/>
    <w:rsid w:val="00F1569F"/>
    <w:rsid w:val="00F2002A"/>
    <w:rsid w:val="00F20775"/>
    <w:rsid w:val="00F22E66"/>
    <w:rsid w:val="00F2323C"/>
    <w:rsid w:val="00F23464"/>
    <w:rsid w:val="00F234B6"/>
    <w:rsid w:val="00F239B9"/>
    <w:rsid w:val="00F2474E"/>
    <w:rsid w:val="00F24828"/>
    <w:rsid w:val="00F24BAA"/>
    <w:rsid w:val="00F2668C"/>
    <w:rsid w:val="00F27C1B"/>
    <w:rsid w:val="00F316C0"/>
    <w:rsid w:val="00F320FD"/>
    <w:rsid w:val="00F32981"/>
    <w:rsid w:val="00F32B29"/>
    <w:rsid w:val="00F3325D"/>
    <w:rsid w:val="00F3368A"/>
    <w:rsid w:val="00F34280"/>
    <w:rsid w:val="00F34E3C"/>
    <w:rsid w:val="00F354C8"/>
    <w:rsid w:val="00F35743"/>
    <w:rsid w:val="00F35977"/>
    <w:rsid w:val="00F359DD"/>
    <w:rsid w:val="00F3602C"/>
    <w:rsid w:val="00F36691"/>
    <w:rsid w:val="00F3685E"/>
    <w:rsid w:val="00F37040"/>
    <w:rsid w:val="00F4029A"/>
    <w:rsid w:val="00F40975"/>
    <w:rsid w:val="00F41DD5"/>
    <w:rsid w:val="00F421FB"/>
    <w:rsid w:val="00F42208"/>
    <w:rsid w:val="00F427E3"/>
    <w:rsid w:val="00F44B61"/>
    <w:rsid w:val="00F44F8B"/>
    <w:rsid w:val="00F44FCC"/>
    <w:rsid w:val="00F45113"/>
    <w:rsid w:val="00F454C2"/>
    <w:rsid w:val="00F4677D"/>
    <w:rsid w:val="00F4729F"/>
    <w:rsid w:val="00F513BD"/>
    <w:rsid w:val="00F52FEE"/>
    <w:rsid w:val="00F54561"/>
    <w:rsid w:val="00F5522D"/>
    <w:rsid w:val="00F55826"/>
    <w:rsid w:val="00F55CBB"/>
    <w:rsid w:val="00F608C8"/>
    <w:rsid w:val="00F61D4E"/>
    <w:rsid w:val="00F622C9"/>
    <w:rsid w:val="00F6297A"/>
    <w:rsid w:val="00F65053"/>
    <w:rsid w:val="00F653DE"/>
    <w:rsid w:val="00F6562F"/>
    <w:rsid w:val="00F65AF4"/>
    <w:rsid w:val="00F65C53"/>
    <w:rsid w:val="00F667BB"/>
    <w:rsid w:val="00F70AEF"/>
    <w:rsid w:val="00F713CF"/>
    <w:rsid w:val="00F716A4"/>
    <w:rsid w:val="00F72B15"/>
    <w:rsid w:val="00F72DA9"/>
    <w:rsid w:val="00F72ED1"/>
    <w:rsid w:val="00F730C8"/>
    <w:rsid w:val="00F73AC7"/>
    <w:rsid w:val="00F73E7E"/>
    <w:rsid w:val="00F74AB5"/>
    <w:rsid w:val="00F7642B"/>
    <w:rsid w:val="00F80064"/>
    <w:rsid w:val="00F80A76"/>
    <w:rsid w:val="00F813FD"/>
    <w:rsid w:val="00F842FB"/>
    <w:rsid w:val="00F85418"/>
    <w:rsid w:val="00F8543B"/>
    <w:rsid w:val="00F8592A"/>
    <w:rsid w:val="00F85DE5"/>
    <w:rsid w:val="00F860AA"/>
    <w:rsid w:val="00F86212"/>
    <w:rsid w:val="00F87419"/>
    <w:rsid w:val="00F87B83"/>
    <w:rsid w:val="00F90132"/>
    <w:rsid w:val="00F90223"/>
    <w:rsid w:val="00F9028C"/>
    <w:rsid w:val="00F90355"/>
    <w:rsid w:val="00F9058B"/>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0D1"/>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8F3"/>
    <w:rsid w:val="00FB1C0B"/>
    <w:rsid w:val="00FB1F46"/>
    <w:rsid w:val="00FB340B"/>
    <w:rsid w:val="00FB67ED"/>
    <w:rsid w:val="00FB6F5B"/>
    <w:rsid w:val="00FB7C51"/>
    <w:rsid w:val="00FC1B73"/>
    <w:rsid w:val="00FC279F"/>
    <w:rsid w:val="00FC2D7B"/>
    <w:rsid w:val="00FC2F26"/>
    <w:rsid w:val="00FC3813"/>
    <w:rsid w:val="00FC48E1"/>
    <w:rsid w:val="00FC4CDD"/>
    <w:rsid w:val="00FC4D77"/>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3A8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010429"/>
    <w:pPr>
      <w:keepNext/>
      <w:numPr>
        <w:numId w:val="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010429"/>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semiHidden/>
    <w:unhideWhenUsed/>
    <w:rsid w:val="001373C7"/>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76725716">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312593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ag.gov.au/about-us/publications/budget-2021-22/portfolio-budget-statements" TargetMode="External"/><Relationship Id="rId26" Type="http://schemas.openxmlformats.org/officeDocument/2006/relationships/hyperlink" Target="mailto:support@communitygrants.gov.au" TargetMode="External"/><Relationship Id="rId39" Type="http://schemas.openxmlformats.org/officeDocument/2006/relationships/hyperlink" Target="mailto:complaints@dss.gov.au" TargetMode="External"/><Relationship Id="rId21" Type="http://schemas.openxmlformats.org/officeDocument/2006/relationships/hyperlink" Target="https://www.nationalredress.gov.au/" TargetMode="External"/><Relationship Id="rId34" Type="http://schemas.openxmlformats.org/officeDocument/2006/relationships/hyperlink" Target="https://www.communitygrants.gov.au/"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Details/C2021C00139" TargetMode="External"/><Relationship Id="rId50" Type="http://schemas.openxmlformats.org/officeDocument/2006/relationships/hyperlink" Target="mailto:foi@dss.gov.au" TargetMode="External"/><Relationship Id="rId55" Type="http://schemas.openxmlformats.org/officeDocument/2006/relationships/hyperlink" Target="https://www.legislation.gov.au/Details/C2021C0014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rants.gov.au/" TargetMode="External"/><Relationship Id="rId20" Type="http://schemas.openxmlformats.org/officeDocument/2006/relationships/hyperlink" Target="https://www.health.gov.au/news/health-alerts/novel-coronavirus-2019-ncov-health-alert/government-response-to-the-covid-19-outbreak" TargetMode="External"/><Relationship Id="rId29" Type="http://schemas.openxmlformats.org/officeDocument/2006/relationships/hyperlink" Target="https://www.ato.gov.au/Business/GST/Registering-for-GST/" TargetMode="External"/><Relationship Id="rId41" Type="http://schemas.openxmlformats.org/officeDocument/2006/relationships/hyperlink" Target="mailto:ombudsman@ombudsman.gov.au" TargetMode="External"/><Relationship Id="rId54" Type="http://schemas.openxmlformats.org/officeDocument/2006/relationships/hyperlink" Target="http://www.grants.gov.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rants.gov.au/" TargetMode="External"/><Relationship Id="rId32" Type="http://schemas.openxmlformats.org/officeDocument/2006/relationships/hyperlink" Target="https://finance.govcms.gov.au/sites/default/files/2019-11/commonwealth-grants-rules-and-guidelines.pdf" TargetMode="External"/><Relationship Id="rId37" Type="http://schemas.openxmlformats.org/officeDocument/2006/relationships/hyperlink" Target="https://www.dss.gov.au/contact/feedback-compliments-complaints-and-enquiries/feedback-form"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s://www.finance.gov.au/about-us/glossary/pgpa/term-consolidated-revenue-fund-crf" TargetMode="External"/><Relationship Id="rId58"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finance.govcms.gov.au/sites/default/files/2019-11/commonwealth-grants-rules-and-guidelines.pdf" TargetMode="External"/><Relationship Id="rId23" Type="http://schemas.openxmlformats.org/officeDocument/2006/relationships/hyperlink" Target="https://www.communitygrants.gov.au/" TargetMode="External"/><Relationship Id="rId28" Type="http://schemas.openxmlformats.org/officeDocument/2006/relationships/hyperlink" Target="https://www.grants.gov.au/" TargetMode="External"/><Relationship Id="rId36" Type="http://schemas.openxmlformats.org/officeDocument/2006/relationships/hyperlink" Target="mailto:finass@ag.gov.au" TargetMode="External"/><Relationship Id="rId49" Type="http://schemas.openxmlformats.org/officeDocument/2006/relationships/hyperlink" Target="https://www.legislation.gov.au/Series/C2004A02562" TargetMode="External"/><Relationship Id="rId57" Type="http://schemas.openxmlformats.org/officeDocument/2006/relationships/header" Target="header4.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finance.govcms.gov.au/sites/default/files/2019-11/commonwealth-grants-rules-and-guidelines.pdf" TargetMode="External"/><Relationship Id="rId31" Type="http://schemas.openxmlformats.org/officeDocument/2006/relationships/hyperlink" Target="https://www.ato.gov.au/"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finance.govcms.gov.au/sites/default/files/2019-11/commonwealth-grants-rules-and-guidelines.pdf"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www.ato.gov.au/Forms/Recipient-created-tax-invoices/" TargetMode="External"/><Relationship Id="rId35" Type="http://schemas.openxmlformats.org/officeDocument/2006/relationships/hyperlink" Target="https://www.ag.gov.au/node/1318"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s://www.oaic.gov.au/privacy-law/privacy-act/australian-privacy-principles" TargetMode="External"/><Relationship Id="rId56" Type="http://schemas.openxmlformats.org/officeDocument/2006/relationships/hyperlink" Target="https://budget.gov.au/2021-22/content/pbs/index.htm" TargetMode="External"/><Relationship Id="rId8" Type="http://schemas.openxmlformats.org/officeDocument/2006/relationships/hyperlink" Target="mailto:support@communitygrants.gov.au" TargetMode="External"/><Relationship Id="rId51" Type="http://schemas.openxmlformats.org/officeDocument/2006/relationships/hyperlink" Target="https://www.legislation.gov.au/Details/C2017C00269"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communitygrants.gov.au/" TargetMode="Externa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www.grants.gov.au/?event=public.GO.list" TargetMode="External"/><Relationship Id="rId38" Type="http://schemas.openxmlformats.org/officeDocument/2006/relationships/hyperlink" Target="https://www.dss.gov.au/contact/feedback-compliments-complaints-and-enquiries/complaints-page" TargetMode="External"/><Relationship Id="rId46" Type="http://schemas.openxmlformats.org/officeDocument/2006/relationships/hyperlink" Target="https://www.communitygrants.gov.au/open-grants/how-apply/conflict-interest-policy-commonwealth-government-employee" TargetMode="External"/><Relationship Id="rId59"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EDC28-A4BC-4493-BCC5-D23DC7E5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8106</Words>
  <Characters>49218</Characters>
  <Application>Microsoft Office Word</Application>
  <DocSecurity>0</DocSecurity>
  <Lines>410</Lines>
  <Paragraphs>114</Paragraphs>
  <ScaleCrop>false</ScaleCrop>
  <HeadingPairs>
    <vt:vector size="2" baseType="variant">
      <vt:variant>
        <vt:lpstr>Title</vt:lpstr>
      </vt:variant>
      <vt:variant>
        <vt:i4>1</vt:i4>
      </vt:variant>
    </vt:vector>
  </HeadingPairs>
  <TitlesOfParts>
    <vt:vector size="1" baseType="lpstr">
      <vt:lpstr>Legal advice service - Grant Opportunity Guidelines</vt:lpstr>
    </vt:vector>
  </TitlesOfParts>
  <Company/>
  <LinksUpToDate>false</LinksUpToDate>
  <CharactersWithSpaces>57210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advice service - Grant Opportunity Guidelines</dc:title>
  <dc:subject/>
  <dc:creator/>
  <cp:keywords/>
  <dc:description/>
  <cp:lastModifiedBy/>
  <cp:revision>1</cp:revision>
  <dcterms:created xsi:type="dcterms:W3CDTF">2021-07-16T01:24:00Z</dcterms:created>
  <dcterms:modified xsi:type="dcterms:W3CDTF">2021-07-16T04:36:00Z</dcterms:modified>
</cp:coreProperties>
</file>