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72" w:rsidRPr="00303F6C" w:rsidRDefault="00FA0172" w:rsidP="00303F6C">
      <w:pPr>
        <w:pStyle w:val="Heading1"/>
      </w:pPr>
      <w:bookmarkStart w:id="0" w:name="_GoBack"/>
      <w:bookmarkEnd w:id="0"/>
      <w:r w:rsidRPr="00303F6C">
        <w:t>Redress Support Services</w:t>
      </w:r>
    </w:p>
    <w:p w:rsidR="00FA0172" w:rsidRDefault="00FA0172" w:rsidP="00FA0172">
      <w:pPr>
        <w:pStyle w:val="Heading2"/>
      </w:pPr>
      <w:r w:rsidRPr="00A27C35">
        <w:t>Independence Assurance Management Strategy</w:t>
      </w:r>
    </w:p>
    <w:p w:rsidR="002A0E70" w:rsidRPr="00A27C35" w:rsidRDefault="000C0E8D" w:rsidP="002A0E70">
      <w:pPr>
        <w:tabs>
          <w:tab w:val="left" w:pos="1418"/>
          <w:tab w:val="left" w:pos="1985"/>
          <w:tab w:val="left" w:pos="2835"/>
          <w:tab w:val="center" w:pos="8505"/>
          <w:tab w:val="left" w:pos="31185"/>
        </w:tabs>
        <w:spacing w:before="0" w:after="200"/>
        <w:rPr>
          <w:rFonts w:eastAsia="Times New Roman"/>
          <w:szCs w:val="20"/>
        </w:rPr>
      </w:pPr>
      <w:r>
        <w:rPr>
          <w:rFonts w:eastAsia="Times New Roman"/>
          <w:szCs w:val="20"/>
        </w:rPr>
        <w:t>T</w:t>
      </w:r>
      <w:r w:rsidR="002A0E70" w:rsidRPr="00A27C35">
        <w:rPr>
          <w:rFonts w:eastAsia="Times New Roman"/>
          <w:szCs w:val="20"/>
        </w:rPr>
        <w:t>he Independence Assurance Management Strategy outline</w:t>
      </w:r>
      <w:r>
        <w:rPr>
          <w:rFonts w:eastAsia="Times New Roman"/>
          <w:szCs w:val="20"/>
        </w:rPr>
        <w:t>s</w:t>
      </w:r>
      <w:r w:rsidR="002A0E70" w:rsidRPr="00A27C35">
        <w:rPr>
          <w:rFonts w:eastAsia="Times New Roman"/>
          <w:szCs w:val="20"/>
        </w:rPr>
        <w:t xml:space="preserve"> your organisation’s conflicts of interest, strategies to manage these, and </w:t>
      </w:r>
      <w:r w:rsidR="002A0E70">
        <w:rPr>
          <w:rFonts w:eastAsia="Times New Roman"/>
          <w:szCs w:val="20"/>
        </w:rPr>
        <w:t>ways to review and improve their effectiveness.</w:t>
      </w:r>
    </w:p>
    <w:p w:rsidR="00FA0172" w:rsidRPr="00A27C35" w:rsidRDefault="00FA0172" w:rsidP="00E65A61">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It is important that the support and advice </w:t>
      </w:r>
      <w:r w:rsidR="00EA1184">
        <w:rPr>
          <w:rFonts w:eastAsia="Times New Roman"/>
          <w:szCs w:val="20"/>
        </w:rPr>
        <w:t>provided to</w:t>
      </w:r>
      <w:r w:rsidRPr="00A27C35">
        <w:rPr>
          <w:rFonts w:eastAsia="Times New Roman"/>
          <w:szCs w:val="20"/>
        </w:rPr>
        <w:t xml:space="preserve"> client</w:t>
      </w:r>
      <w:r w:rsidR="007135E7">
        <w:rPr>
          <w:rFonts w:eastAsia="Times New Roman"/>
          <w:szCs w:val="20"/>
        </w:rPr>
        <w:t>s</w:t>
      </w:r>
      <w:r w:rsidRPr="00A27C35">
        <w:rPr>
          <w:rFonts w:eastAsia="Times New Roman"/>
          <w:szCs w:val="20"/>
        </w:rPr>
        <w:t xml:space="preserve"> is as independent as possible from any actual or perceived influence from an institution responsible for child </w:t>
      </w:r>
      <w:r w:rsidR="007135E7">
        <w:rPr>
          <w:rFonts w:eastAsia="Times New Roman"/>
          <w:szCs w:val="20"/>
        </w:rPr>
        <w:t xml:space="preserve">sexual </w:t>
      </w:r>
      <w:r w:rsidRPr="00A27C35">
        <w:rPr>
          <w:rFonts w:eastAsia="Times New Roman"/>
          <w:szCs w:val="20"/>
        </w:rPr>
        <w:t>abuse.</w:t>
      </w:r>
    </w:p>
    <w:p w:rsidR="00FA0172" w:rsidRPr="00A27C35" w:rsidRDefault="00EA1184" w:rsidP="00FA0172">
      <w:pPr>
        <w:tabs>
          <w:tab w:val="left" w:pos="1418"/>
          <w:tab w:val="left" w:pos="1985"/>
          <w:tab w:val="left" w:pos="2835"/>
          <w:tab w:val="center" w:pos="8505"/>
          <w:tab w:val="left" w:pos="31185"/>
        </w:tabs>
        <w:spacing w:before="0" w:after="200"/>
        <w:rPr>
          <w:rFonts w:eastAsia="Times New Roman"/>
          <w:szCs w:val="20"/>
        </w:rPr>
      </w:pPr>
      <w:r>
        <w:rPr>
          <w:rFonts w:eastAsia="Times New Roman"/>
          <w:szCs w:val="20"/>
        </w:rPr>
        <w:t>T</w:t>
      </w:r>
      <w:r w:rsidR="00FA0172" w:rsidRPr="00A27C35">
        <w:rPr>
          <w:rFonts w:eastAsia="Times New Roman"/>
          <w:szCs w:val="20"/>
        </w:rPr>
        <w:t>here is a conflict of interest where you are attempting to serve two or more interests that are not compatible. For example, there is a conflict of interest when a Redress Support Service assists a person to prepare an application to the National Redress Scheme that may result in a financial liability for the organisation they work for, or one closely associated with that organisation.</w:t>
      </w:r>
    </w:p>
    <w:p w:rsidR="00FA0172"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Conflicts include formal links between organisations, board members, key personnel, </w:t>
      </w:r>
      <w:r w:rsidR="006802DA" w:rsidRPr="006802DA">
        <w:rPr>
          <w:rFonts w:eastAsia="Times New Roman"/>
          <w:szCs w:val="20"/>
        </w:rPr>
        <w:t>et cetera</w:t>
      </w:r>
      <w:r w:rsidRPr="00A27C35">
        <w:rPr>
          <w:rFonts w:eastAsia="Times New Roman"/>
          <w:szCs w:val="20"/>
        </w:rPr>
        <w:t xml:space="preserve">, or perceived </w:t>
      </w:r>
      <w:r w:rsidR="00EA1184">
        <w:rPr>
          <w:rFonts w:eastAsia="Times New Roman"/>
          <w:szCs w:val="20"/>
        </w:rPr>
        <w:t>associations</w:t>
      </w:r>
      <w:r w:rsidRPr="00A27C35">
        <w:rPr>
          <w:rFonts w:eastAsia="Times New Roman"/>
          <w:szCs w:val="20"/>
        </w:rPr>
        <w:t xml:space="preserve"> where a reasonable person may see a link between two organisations. Organisations should consider how they </w:t>
      </w:r>
      <w:r w:rsidR="000C0E8D">
        <w:rPr>
          <w:rFonts w:eastAsia="Times New Roman"/>
          <w:szCs w:val="20"/>
        </w:rPr>
        <w:t xml:space="preserve">can </w:t>
      </w:r>
      <w:r w:rsidRPr="00A27C35">
        <w:rPr>
          <w:rFonts w:eastAsia="Times New Roman"/>
          <w:szCs w:val="20"/>
        </w:rPr>
        <w:t>assure an</w:t>
      </w:r>
      <w:r w:rsidR="00EA1184">
        <w:rPr>
          <w:rFonts w:eastAsia="Times New Roman"/>
          <w:szCs w:val="20"/>
        </w:rPr>
        <w:t xml:space="preserve">y client </w:t>
      </w:r>
      <w:r w:rsidRPr="00A27C35">
        <w:rPr>
          <w:rFonts w:eastAsia="Times New Roman"/>
          <w:szCs w:val="20"/>
        </w:rPr>
        <w:t xml:space="preserve">that the service they </w:t>
      </w:r>
      <w:r w:rsidR="00EA1184">
        <w:rPr>
          <w:rFonts w:eastAsia="Times New Roman"/>
          <w:szCs w:val="20"/>
        </w:rPr>
        <w:t xml:space="preserve">are attending </w:t>
      </w:r>
      <w:r w:rsidRPr="00A27C35">
        <w:rPr>
          <w:rFonts w:eastAsia="Times New Roman"/>
          <w:szCs w:val="20"/>
        </w:rPr>
        <w:t>is transparent and independent from organisations responsible for abuse.</w:t>
      </w:r>
    </w:p>
    <w:p w:rsidR="002A0E70" w:rsidRDefault="002A0E70" w:rsidP="002A0E70">
      <w:pPr>
        <w:tabs>
          <w:tab w:val="left" w:pos="1418"/>
          <w:tab w:val="left" w:pos="1985"/>
          <w:tab w:val="left" w:pos="2835"/>
          <w:tab w:val="center" w:pos="8505"/>
          <w:tab w:val="left" w:pos="31185"/>
        </w:tabs>
        <w:spacing w:before="0" w:after="200"/>
        <w:rPr>
          <w:rFonts w:eastAsia="Times New Roman"/>
          <w:szCs w:val="20"/>
        </w:rPr>
      </w:pPr>
      <w:r>
        <w:rPr>
          <w:rFonts w:eastAsia="Times New Roman"/>
          <w:szCs w:val="20"/>
        </w:rPr>
        <w:t>Institutional abuse occurred in a range of organisations that provided ‘care’ for children, but can also include sporting and recreational institutions, schools and training providers, secular or religious community services, for profit and not-for-profit organisation, government and non-government institutions, and many more.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Some conflicts of interest can be managed within an organisation, but some cannot.</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Declaring your</w:t>
      </w:r>
      <w:r w:rsidR="002A0E70">
        <w:rPr>
          <w:rFonts w:eastAsia="Times New Roman"/>
          <w:szCs w:val="20"/>
        </w:rPr>
        <w:t xml:space="preserve"> organisation’s</w:t>
      </w:r>
      <w:r w:rsidRPr="00A27C35">
        <w:rPr>
          <w:rFonts w:eastAsia="Times New Roman"/>
          <w:szCs w:val="20"/>
        </w:rPr>
        <w:t xml:space="preserve"> </w:t>
      </w:r>
      <w:r w:rsidR="002A0E70" w:rsidRPr="00A27C35">
        <w:rPr>
          <w:rFonts w:eastAsia="Times New Roman"/>
          <w:szCs w:val="20"/>
        </w:rPr>
        <w:t xml:space="preserve">real and perceived </w:t>
      </w:r>
      <w:r w:rsidRPr="00A27C35">
        <w:rPr>
          <w:rFonts w:eastAsia="Times New Roman"/>
          <w:szCs w:val="20"/>
        </w:rPr>
        <w:t xml:space="preserve">conflicts </w:t>
      </w:r>
      <w:r w:rsidR="002A0E70">
        <w:rPr>
          <w:rFonts w:eastAsia="Times New Roman"/>
          <w:szCs w:val="20"/>
        </w:rPr>
        <w:t>is a key component of managing conflicts</w:t>
      </w:r>
      <w:r w:rsidRPr="00A27C35">
        <w:rPr>
          <w:rFonts w:eastAsia="Times New Roman"/>
          <w:szCs w:val="20"/>
        </w:rPr>
        <w:t xml:space="preserve"> to ensure they do not adversely affect your organisation, existing or potential clients or </w:t>
      </w:r>
      <w:r w:rsidR="002A0E70">
        <w:rPr>
          <w:rFonts w:eastAsia="Times New Roman"/>
          <w:szCs w:val="20"/>
        </w:rPr>
        <w:t>the Australian Government. Even</w:t>
      </w:r>
      <w:r w:rsidR="006802DA">
        <w:rPr>
          <w:rFonts w:eastAsia="Times New Roman"/>
          <w:szCs w:val="20"/>
        </w:rPr>
        <w:t xml:space="preserve"> </w:t>
      </w:r>
      <w:r w:rsidRPr="00A27C35">
        <w:rPr>
          <w:rFonts w:eastAsia="Times New Roman"/>
          <w:szCs w:val="20"/>
        </w:rPr>
        <w:t xml:space="preserve">a perceived conflict could result in a complaint about your organisation if a client believes that they may not receive impartial advice. However, clear and transparent communication and disclosure should provide reassurance to existing and potential clients. </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To address this issue, the </w:t>
      </w:r>
      <w:r w:rsidR="00BA7942">
        <w:rPr>
          <w:rFonts w:eastAsia="Times New Roman"/>
          <w:szCs w:val="20"/>
        </w:rPr>
        <w:t>d</w:t>
      </w:r>
      <w:r w:rsidRPr="00A27C35">
        <w:rPr>
          <w:rFonts w:eastAsia="Times New Roman"/>
          <w:szCs w:val="20"/>
        </w:rPr>
        <w:t xml:space="preserve">epartment seeks assurance that </w:t>
      </w:r>
      <w:r w:rsidR="002A0E70">
        <w:rPr>
          <w:rFonts w:eastAsia="Times New Roman"/>
          <w:szCs w:val="20"/>
        </w:rPr>
        <w:t xml:space="preserve">your organisation takes </w:t>
      </w:r>
      <w:r w:rsidRPr="00A27C35">
        <w:rPr>
          <w:rFonts w:eastAsia="Times New Roman"/>
          <w:szCs w:val="20"/>
        </w:rPr>
        <w:t>conflict of int</w:t>
      </w:r>
      <w:r w:rsidR="002A0E70">
        <w:rPr>
          <w:rFonts w:eastAsia="Times New Roman"/>
          <w:szCs w:val="20"/>
        </w:rPr>
        <w:t xml:space="preserve">erest </w:t>
      </w:r>
      <w:r w:rsidRPr="00A27C35">
        <w:rPr>
          <w:rFonts w:eastAsia="Times New Roman"/>
          <w:szCs w:val="20"/>
        </w:rPr>
        <w:t>seriously, that systems are in place to manage it and that you</w:t>
      </w:r>
      <w:r w:rsidR="002A0E70">
        <w:rPr>
          <w:rFonts w:eastAsia="Times New Roman"/>
          <w:szCs w:val="20"/>
        </w:rPr>
        <w:t xml:space="preserve">r organisation is </w:t>
      </w:r>
      <w:r w:rsidRPr="00A27C35">
        <w:rPr>
          <w:rFonts w:eastAsia="Times New Roman"/>
          <w:szCs w:val="20"/>
        </w:rPr>
        <w:t xml:space="preserve">open and transparent with clients and </w:t>
      </w:r>
      <w:r w:rsidR="004A080C">
        <w:rPr>
          <w:rFonts w:eastAsia="Times New Roman"/>
          <w:szCs w:val="20"/>
        </w:rPr>
        <w:t>the department</w:t>
      </w:r>
      <w:r w:rsidRPr="00A27C35">
        <w:rPr>
          <w:rFonts w:eastAsia="Times New Roman"/>
          <w:szCs w:val="20"/>
        </w:rPr>
        <w:t>.</w:t>
      </w:r>
    </w:p>
    <w:p w:rsidR="00FA0172" w:rsidRPr="00A27C35" w:rsidRDefault="00FA0172" w:rsidP="00FA0172">
      <w:pPr>
        <w:tabs>
          <w:tab w:val="left" w:pos="1418"/>
          <w:tab w:val="left" w:pos="1985"/>
          <w:tab w:val="left" w:pos="2835"/>
          <w:tab w:val="center" w:pos="8505"/>
          <w:tab w:val="left" w:pos="31185"/>
        </w:tabs>
        <w:spacing w:before="0"/>
        <w:rPr>
          <w:rFonts w:ascii="Arial Bold" w:hAnsi="Arial Bold"/>
          <w:b/>
          <w:color w:val="DD6D28" w:themeColor="background2"/>
          <w:sz w:val="24"/>
          <w:u w:color="24793F" w:themeColor="text2"/>
        </w:rPr>
      </w:pPr>
      <w:r w:rsidRPr="00A27C35">
        <w:rPr>
          <w:rFonts w:ascii="Arial Bold" w:hAnsi="Arial Bold"/>
          <w:b/>
          <w:color w:val="DD6D28" w:themeColor="background2"/>
          <w:sz w:val="24"/>
          <w:u w:color="24793F" w:themeColor="text2"/>
        </w:rPr>
        <w:t>Instructions</w:t>
      </w:r>
    </w:p>
    <w:p w:rsidR="0005544F"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For this strategy, identify </w:t>
      </w:r>
      <w:r w:rsidR="002A0E70" w:rsidRPr="00A27C35">
        <w:rPr>
          <w:rFonts w:eastAsia="Times New Roman"/>
          <w:szCs w:val="20"/>
        </w:rPr>
        <w:t>your organisation</w:t>
      </w:r>
      <w:r w:rsidR="002A0E70">
        <w:rPr>
          <w:rFonts w:eastAsia="Times New Roman"/>
          <w:szCs w:val="20"/>
        </w:rPr>
        <w:t xml:space="preserve">’s </w:t>
      </w:r>
      <w:r w:rsidR="002A0E70" w:rsidRPr="00A27C35">
        <w:rPr>
          <w:rFonts w:eastAsia="Times New Roman"/>
          <w:szCs w:val="20"/>
        </w:rPr>
        <w:t xml:space="preserve">real or perceived </w:t>
      </w:r>
      <w:r w:rsidRPr="00A27C35">
        <w:rPr>
          <w:rFonts w:eastAsia="Times New Roman"/>
          <w:szCs w:val="20"/>
        </w:rPr>
        <w:t>relationships with organisations and people responsible for all form</w:t>
      </w:r>
      <w:r w:rsidR="002A0E70">
        <w:rPr>
          <w:rFonts w:eastAsia="Times New Roman"/>
          <w:szCs w:val="20"/>
        </w:rPr>
        <w:t>s of institutional child abuse.</w:t>
      </w:r>
      <w:r w:rsidR="001111B5">
        <w:rPr>
          <w:rFonts w:eastAsia="Times New Roman"/>
          <w:szCs w:val="20"/>
        </w:rPr>
        <w:t xml:space="preserve"> </w:t>
      </w:r>
      <w:r w:rsidRPr="00A27C35">
        <w:rPr>
          <w:rFonts w:eastAsia="Times New Roman"/>
          <w:szCs w:val="20"/>
        </w:rPr>
        <w:t xml:space="preserve">Please provide a brief description of the conflict of interest, the strategies </w:t>
      </w:r>
      <w:r w:rsidR="00FC1DFB">
        <w:rPr>
          <w:rFonts w:eastAsia="Times New Roman"/>
          <w:szCs w:val="20"/>
        </w:rPr>
        <w:t>you</w:t>
      </w:r>
      <w:r w:rsidR="0005544F">
        <w:rPr>
          <w:rFonts w:eastAsia="Times New Roman"/>
          <w:szCs w:val="20"/>
        </w:rPr>
        <w:t>r organisation has</w:t>
      </w:r>
      <w:r w:rsidR="00FC1DFB">
        <w:rPr>
          <w:rFonts w:eastAsia="Times New Roman"/>
          <w:szCs w:val="20"/>
        </w:rPr>
        <w:t xml:space="preserve"> in place to manage them</w:t>
      </w:r>
      <w:r w:rsidRPr="00A27C35">
        <w:rPr>
          <w:rFonts w:eastAsia="Times New Roman"/>
          <w:szCs w:val="20"/>
        </w:rPr>
        <w:t>, and how you</w:t>
      </w:r>
      <w:r w:rsidR="0005544F">
        <w:rPr>
          <w:rFonts w:eastAsia="Times New Roman"/>
          <w:szCs w:val="20"/>
        </w:rPr>
        <w:t>r organisation</w:t>
      </w:r>
      <w:r w:rsidRPr="00A27C35">
        <w:rPr>
          <w:rFonts w:eastAsia="Times New Roman"/>
          <w:szCs w:val="20"/>
        </w:rPr>
        <w:t xml:space="preserve"> will review these to e</w:t>
      </w:r>
      <w:r w:rsidR="004368C9">
        <w:rPr>
          <w:rFonts w:eastAsia="Times New Roman"/>
          <w:szCs w:val="20"/>
        </w:rPr>
        <w:t>nsure they remain effective.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If you</w:t>
      </w:r>
      <w:r w:rsidR="00AB79B3">
        <w:rPr>
          <w:rFonts w:eastAsia="Times New Roman"/>
          <w:szCs w:val="20"/>
        </w:rPr>
        <w:t>r organisation</w:t>
      </w:r>
      <w:r w:rsidRPr="00A27C35">
        <w:rPr>
          <w:rFonts w:eastAsia="Times New Roman"/>
          <w:szCs w:val="20"/>
        </w:rPr>
        <w:t xml:space="preserve"> do</w:t>
      </w:r>
      <w:r w:rsidR="00AB79B3">
        <w:rPr>
          <w:rFonts w:eastAsia="Times New Roman"/>
          <w:szCs w:val="20"/>
        </w:rPr>
        <w:t>es</w:t>
      </w:r>
      <w:r w:rsidRPr="00A27C35">
        <w:rPr>
          <w:rFonts w:eastAsia="Times New Roman"/>
          <w:szCs w:val="20"/>
        </w:rPr>
        <w:t xml:space="preserve"> not have a conflict of interest to declare, please briefly outline </w:t>
      </w:r>
      <w:r w:rsidR="004368C9">
        <w:rPr>
          <w:rFonts w:eastAsia="Times New Roman"/>
          <w:szCs w:val="20"/>
        </w:rPr>
        <w:t xml:space="preserve">the steps you have taken to </w:t>
      </w:r>
      <w:r w:rsidR="001111B5">
        <w:rPr>
          <w:rFonts w:eastAsia="Times New Roman"/>
          <w:szCs w:val="20"/>
        </w:rPr>
        <w:t>come to this conclusion</w:t>
      </w:r>
      <w:r w:rsidRPr="00A27C35">
        <w:rPr>
          <w:rFonts w:eastAsia="Times New Roman"/>
          <w:szCs w:val="20"/>
        </w:rPr>
        <w:t>.</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Conflicts may exist at an organisational level, so your completed template should describe any links or associations with any organisation responsible for institutional abuse. Associations could be financial, affiliations, legal ties, sponsorships, etc.</w:t>
      </w:r>
      <w:r w:rsidR="004368C9">
        <w:rPr>
          <w:rFonts w:eastAsia="Times New Roman"/>
          <w:szCs w:val="20"/>
        </w:rPr>
        <w:t>, or your organisation may have an agreement to provide training or support to staff at a responsible institution.</w:t>
      </w:r>
    </w:p>
    <w:p w:rsidR="00FA0172" w:rsidRDefault="00FA0172" w:rsidP="0005544F">
      <w:pPr>
        <w:keepLines/>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Management/board members refers to the professional and personal linkages and affiliations of the persons in those roles. This could include existing or past Board membership or employment. Similarly, staff delivering support services may have past or existing affiliations that could be seen as potential conflicts of interest. Please identify the role of the individual, but do not include names. For example</w:t>
      </w:r>
      <w:r w:rsidR="005E12EA">
        <w:rPr>
          <w:rFonts w:eastAsia="Times New Roman"/>
          <w:szCs w:val="20"/>
        </w:rPr>
        <w:t>:</w:t>
      </w:r>
      <w:r w:rsidRPr="00A27C35">
        <w:rPr>
          <w:rFonts w:eastAsia="Times New Roman"/>
          <w:szCs w:val="20"/>
        </w:rPr>
        <w:t xml:space="preserve"> </w:t>
      </w:r>
      <w:r w:rsidR="005E12EA" w:rsidRPr="0079034E">
        <w:rPr>
          <w:rFonts w:eastAsia="Times New Roman"/>
          <w:i/>
          <w:szCs w:val="20"/>
        </w:rPr>
        <w:t>A</w:t>
      </w:r>
      <w:r w:rsidRPr="0079034E">
        <w:rPr>
          <w:rFonts w:eastAsia="Times New Roman"/>
          <w:i/>
          <w:szCs w:val="20"/>
        </w:rPr>
        <w:t xml:space="preserve"> board member previously worked in Human Resources at </w:t>
      </w:r>
      <w:r w:rsidR="00EA1184" w:rsidRPr="0079034E">
        <w:rPr>
          <w:rFonts w:eastAsia="Times New Roman"/>
          <w:i/>
          <w:szCs w:val="20"/>
        </w:rPr>
        <w:t xml:space="preserve">an </w:t>
      </w:r>
      <w:r w:rsidRPr="0079034E">
        <w:rPr>
          <w:rFonts w:eastAsia="Times New Roman"/>
          <w:i/>
          <w:szCs w:val="20"/>
        </w:rPr>
        <w:t>organisation responsibl</w:t>
      </w:r>
      <w:r w:rsidR="00EA1184" w:rsidRPr="0079034E">
        <w:rPr>
          <w:rFonts w:eastAsia="Times New Roman"/>
          <w:i/>
          <w:szCs w:val="20"/>
        </w:rPr>
        <w:t>e for institutional abuse; the following strategies are in place to manage this.</w:t>
      </w:r>
    </w:p>
    <w:p w:rsidR="00FA0172" w:rsidRPr="00A27C35" w:rsidRDefault="001111B5" w:rsidP="001111B5">
      <w:pPr>
        <w:tabs>
          <w:tab w:val="left" w:pos="1418"/>
          <w:tab w:val="left" w:pos="1985"/>
          <w:tab w:val="left" w:pos="2835"/>
          <w:tab w:val="center" w:pos="8505"/>
          <w:tab w:val="left" w:pos="31185"/>
        </w:tabs>
        <w:spacing w:before="0" w:after="200"/>
        <w:rPr>
          <w:rFonts w:eastAsia="Times New Roman"/>
          <w:b/>
          <w:szCs w:val="20"/>
        </w:rPr>
      </w:pPr>
      <w:r w:rsidRPr="00A27C35">
        <w:rPr>
          <w:rFonts w:eastAsia="Times New Roman"/>
          <w:szCs w:val="20"/>
        </w:rPr>
        <w:t xml:space="preserve">Conflicts also apply to </w:t>
      </w:r>
      <w:r>
        <w:rPr>
          <w:rFonts w:eastAsia="Times New Roman"/>
          <w:szCs w:val="20"/>
        </w:rPr>
        <w:t xml:space="preserve">subcontracted or brokered </w:t>
      </w:r>
      <w:r w:rsidR="0005544F">
        <w:rPr>
          <w:rFonts w:eastAsia="Times New Roman"/>
          <w:szCs w:val="20"/>
        </w:rPr>
        <w:t xml:space="preserve">services </w:t>
      </w:r>
      <w:r>
        <w:rPr>
          <w:rFonts w:eastAsia="Times New Roman"/>
          <w:szCs w:val="20"/>
        </w:rPr>
        <w:t xml:space="preserve">or </w:t>
      </w:r>
      <w:r w:rsidRPr="00A27C35">
        <w:rPr>
          <w:rFonts w:eastAsia="Times New Roman"/>
          <w:szCs w:val="20"/>
        </w:rPr>
        <w:t xml:space="preserve">services that </w:t>
      </w:r>
      <w:r>
        <w:rPr>
          <w:rFonts w:eastAsia="Times New Roman"/>
          <w:szCs w:val="20"/>
        </w:rPr>
        <w:t xml:space="preserve">your organisation </w:t>
      </w:r>
      <w:r w:rsidR="0005544F">
        <w:rPr>
          <w:rFonts w:eastAsia="Times New Roman"/>
          <w:szCs w:val="20"/>
        </w:rPr>
        <w:t>refers clients to for other types of support</w:t>
      </w:r>
      <w:r w:rsidR="00FA0172" w:rsidRPr="00A27C35">
        <w:rPr>
          <w:rFonts w:eastAsia="Times New Roman"/>
          <w:szCs w:val="20"/>
        </w:rPr>
        <w:t xml:space="preserve">. </w:t>
      </w:r>
      <w:r w:rsidR="004368C9">
        <w:rPr>
          <w:rFonts w:eastAsia="Times New Roman"/>
          <w:szCs w:val="20"/>
        </w:rPr>
        <w:t>Please</w:t>
      </w:r>
      <w:r w:rsidR="00FA0172" w:rsidRPr="00A27C35">
        <w:rPr>
          <w:rFonts w:eastAsia="Times New Roman"/>
          <w:szCs w:val="20"/>
        </w:rPr>
        <w:t xml:space="preserve"> detail how your organisation source</w:t>
      </w:r>
      <w:r w:rsidR="004368C9">
        <w:rPr>
          <w:rFonts w:eastAsia="Times New Roman"/>
          <w:szCs w:val="20"/>
        </w:rPr>
        <w:t>s</w:t>
      </w:r>
      <w:r w:rsidR="00FA0172" w:rsidRPr="00A27C35">
        <w:rPr>
          <w:rFonts w:eastAsia="Times New Roman"/>
          <w:szCs w:val="20"/>
        </w:rPr>
        <w:t xml:space="preserve"> suitable service</w:t>
      </w:r>
      <w:r w:rsidR="004368C9">
        <w:rPr>
          <w:rFonts w:eastAsia="Times New Roman"/>
          <w:szCs w:val="20"/>
        </w:rPr>
        <w:t>s</w:t>
      </w:r>
      <w:r w:rsidR="00FA0172" w:rsidRPr="00A27C35">
        <w:rPr>
          <w:rFonts w:eastAsia="Times New Roman"/>
          <w:szCs w:val="20"/>
        </w:rPr>
        <w:t xml:space="preserve"> for Redress clients to ensure they receive impartial and independent support and advice.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lastRenderedPageBreak/>
        <w:t xml:space="preserve">Strategies to manage and mitigate these conflicts may include, but are not limited to, publicly available conflict of interest declarations, codes of conduct, training, </w:t>
      </w:r>
      <w:r w:rsidR="004368C9" w:rsidRPr="00A27C35">
        <w:rPr>
          <w:rFonts w:eastAsia="Times New Roman"/>
          <w:szCs w:val="20"/>
        </w:rPr>
        <w:t xml:space="preserve">internal processes to </w:t>
      </w:r>
      <w:r w:rsidR="0005544F">
        <w:rPr>
          <w:rFonts w:eastAsia="Times New Roman"/>
          <w:szCs w:val="20"/>
        </w:rPr>
        <w:t xml:space="preserve">identify and prevent </w:t>
      </w:r>
      <w:r w:rsidR="004368C9" w:rsidRPr="00A27C35">
        <w:rPr>
          <w:rFonts w:eastAsia="Times New Roman"/>
          <w:szCs w:val="20"/>
        </w:rPr>
        <w:t>conflict</w:t>
      </w:r>
      <w:r w:rsidR="0005544F">
        <w:rPr>
          <w:rFonts w:eastAsia="Times New Roman"/>
          <w:szCs w:val="20"/>
        </w:rPr>
        <w:t>s</w:t>
      </w:r>
      <w:r w:rsidR="004368C9" w:rsidRPr="00A27C35">
        <w:rPr>
          <w:rFonts w:eastAsia="Times New Roman"/>
          <w:szCs w:val="20"/>
        </w:rPr>
        <w:t xml:space="preserve"> of interest from arising</w:t>
      </w:r>
      <w:r w:rsidR="004368C9">
        <w:rPr>
          <w:rFonts w:eastAsia="Times New Roman"/>
          <w:szCs w:val="20"/>
        </w:rPr>
        <w:t xml:space="preserve">, and </w:t>
      </w:r>
      <w:r w:rsidRPr="00A27C35">
        <w:rPr>
          <w:rFonts w:eastAsia="Times New Roman"/>
          <w:szCs w:val="20"/>
        </w:rPr>
        <w:t xml:space="preserve">documented evidence showing that a client understands there is a potential conflict of interest and </w:t>
      </w:r>
      <w:r w:rsidR="004368C9">
        <w:rPr>
          <w:rFonts w:eastAsia="Times New Roman"/>
          <w:szCs w:val="20"/>
        </w:rPr>
        <w:t>agrees</w:t>
      </w:r>
      <w:r w:rsidRPr="00A27C35">
        <w:rPr>
          <w:rFonts w:eastAsia="Times New Roman"/>
          <w:szCs w:val="20"/>
        </w:rPr>
        <w:t xml:space="preserve"> to </w:t>
      </w:r>
      <w:r w:rsidR="004368C9">
        <w:rPr>
          <w:rFonts w:eastAsia="Times New Roman"/>
          <w:szCs w:val="20"/>
        </w:rPr>
        <w:t>continue to receive services</w:t>
      </w:r>
      <w:r w:rsidRPr="00A27C35">
        <w:rPr>
          <w:rFonts w:eastAsia="Times New Roman"/>
          <w:szCs w:val="20"/>
        </w:rPr>
        <w:t>.</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The template should also include how your organisation will manage and monitor disclosed conflicts and how you will review an</w:t>
      </w:r>
      <w:r w:rsidR="0005544F">
        <w:rPr>
          <w:rFonts w:eastAsia="Times New Roman"/>
          <w:szCs w:val="20"/>
        </w:rPr>
        <w:t>d improve the described strategies</w:t>
      </w:r>
      <w:r w:rsidRPr="00A27C35">
        <w:rPr>
          <w:rFonts w:eastAsia="Times New Roman"/>
          <w:szCs w:val="20"/>
        </w:rPr>
        <w:t xml:space="preserve">. This should also include mechanisms for </w:t>
      </w:r>
      <w:r w:rsidR="0005544F">
        <w:rPr>
          <w:rFonts w:eastAsia="Times New Roman"/>
          <w:szCs w:val="20"/>
        </w:rPr>
        <w:t xml:space="preserve">addressing </w:t>
      </w:r>
      <w:r w:rsidRPr="00A27C35">
        <w:rPr>
          <w:rFonts w:eastAsia="Times New Roman"/>
          <w:szCs w:val="20"/>
        </w:rPr>
        <w:t>complaints regarding conflict of interest or possible breaches.</w:t>
      </w:r>
    </w:p>
    <w:p w:rsidR="00FA0172" w:rsidRDefault="00FA0172" w:rsidP="00FA0172">
      <w:pPr>
        <w:spacing w:before="0" w:after="0"/>
        <w:rPr>
          <w:rFonts w:eastAsia="Times New Roman"/>
          <w:szCs w:val="20"/>
        </w:rPr>
        <w:sectPr w:rsidR="00FA0172" w:rsidSect="00303F6C">
          <w:footerReference w:type="even" r:id="rId8"/>
          <w:footerReference w:type="default" r:id="rId9"/>
          <w:footerReference w:type="first" r:id="rId10"/>
          <w:pgSz w:w="11900" w:h="16840"/>
          <w:pgMar w:top="1440" w:right="1083" w:bottom="1440" w:left="1083" w:header="709" w:footer="680" w:gutter="0"/>
          <w:cols w:space="708"/>
          <w:titlePg/>
          <w:docGrid w:linePitch="360"/>
        </w:sectPr>
      </w:pPr>
      <w:r w:rsidRPr="00A27C35">
        <w:rPr>
          <w:rFonts w:eastAsia="Times New Roman"/>
          <w:szCs w:val="20"/>
        </w:rPr>
        <w:t>If you have any questions regarding this template, please call your Funding Agreement Manager for assistance.</w:t>
      </w:r>
    </w:p>
    <w:p w:rsidR="00FA0172" w:rsidRDefault="00FA0172" w:rsidP="00303F6C">
      <w:pPr>
        <w:pStyle w:val="Heading2"/>
        <w:spacing w:before="0"/>
      </w:pPr>
      <w:r w:rsidRPr="00A27C35">
        <w:lastRenderedPageBreak/>
        <w:t>Independence Assurance Management Strategy</w:t>
      </w:r>
    </w:p>
    <w:tbl>
      <w:tblPr>
        <w:tblW w:w="0" w:type="auto"/>
        <w:tblInd w:w="-5" w:type="dxa"/>
        <w:tblLook w:val="04A0" w:firstRow="1" w:lastRow="0" w:firstColumn="1" w:lastColumn="0" w:noHBand="0" w:noVBand="1"/>
        <w:tblCaption w:val="Activity Details including your organisations name and grant activity ID"/>
      </w:tblPr>
      <w:tblGrid>
        <w:gridCol w:w="3045"/>
        <w:gridCol w:w="6208"/>
        <w:gridCol w:w="1975"/>
        <w:gridCol w:w="3447"/>
      </w:tblGrid>
      <w:tr w:rsidR="00FA0172" w:rsidRPr="00A27C35" w:rsidTr="00FA0172">
        <w:trPr>
          <w:tblHeader/>
        </w:trPr>
        <w:tc>
          <w:tcPr>
            <w:tcW w:w="3045" w:type="dxa"/>
            <w:tcBorders>
              <w:top w:val="single" w:sz="4" w:space="0" w:color="auto"/>
              <w:left w:val="single" w:sz="4" w:space="0" w:color="auto"/>
              <w:bottom w:val="single" w:sz="4" w:space="0" w:color="auto"/>
              <w:right w:val="single" w:sz="4" w:space="0" w:color="auto"/>
            </w:tcBorders>
            <w:shd w:val="clear" w:color="auto" w:fill="E9F1D6" w:themeFill="accent3" w:themeFillTint="33"/>
            <w:hideMark/>
          </w:tcPr>
          <w:p w:rsidR="00FA0172" w:rsidRPr="00A27C35" w:rsidRDefault="00FA0172" w:rsidP="00715A3C">
            <w:pPr>
              <w:spacing w:before="60" w:after="0"/>
              <w:rPr>
                <w:b/>
                <w:bCs/>
              </w:rPr>
            </w:pPr>
            <w:r w:rsidRPr="00A27C35">
              <w:rPr>
                <w:b/>
                <w:bCs/>
              </w:rPr>
              <w:t>Organisation Name</w:t>
            </w:r>
          </w:p>
        </w:tc>
        <w:tc>
          <w:tcPr>
            <w:tcW w:w="6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0172" w:rsidRPr="00A27C35" w:rsidRDefault="00FA0172" w:rsidP="00715A3C">
            <w:pPr>
              <w:spacing w:before="0" w:after="0"/>
              <w:rPr>
                <w:b/>
                <w:bCs/>
              </w:rPr>
            </w:pPr>
          </w:p>
        </w:tc>
        <w:tc>
          <w:tcPr>
            <w:tcW w:w="1975" w:type="dxa"/>
            <w:tcBorders>
              <w:top w:val="single" w:sz="4" w:space="0" w:color="auto"/>
              <w:left w:val="single" w:sz="4" w:space="0" w:color="auto"/>
              <w:bottom w:val="single" w:sz="4" w:space="0" w:color="auto"/>
              <w:right w:val="single" w:sz="4" w:space="0" w:color="auto"/>
            </w:tcBorders>
            <w:shd w:val="clear" w:color="auto" w:fill="E9F1D6" w:themeFill="accent3" w:themeFillTint="33"/>
          </w:tcPr>
          <w:p w:rsidR="00FA0172" w:rsidRPr="00A27C35" w:rsidRDefault="00FA0172" w:rsidP="00715A3C">
            <w:pPr>
              <w:spacing w:before="60" w:after="60"/>
              <w:rPr>
                <w:b/>
                <w:bCs/>
              </w:rPr>
            </w:pPr>
            <w:r w:rsidRPr="00A27C35">
              <w:rPr>
                <w:b/>
                <w:bCs/>
              </w:rPr>
              <w:t>Grant Activity ID</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Pr>
          <w:p w:rsidR="00FA0172" w:rsidRPr="00A27C35" w:rsidRDefault="00FA0172" w:rsidP="00715A3C">
            <w:pPr>
              <w:spacing w:before="0" w:after="0"/>
              <w:rPr>
                <w:b/>
                <w:bCs/>
              </w:rPr>
            </w:pPr>
          </w:p>
        </w:tc>
      </w:tr>
    </w:tbl>
    <w:p w:rsidR="00FA0172" w:rsidRPr="00A27C35" w:rsidRDefault="00FA0172" w:rsidP="00FA0172">
      <w:pPr>
        <w:spacing w:after="0"/>
      </w:pPr>
      <w:r w:rsidRPr="00A27C35">
        <w:t>This document outlines your organisation’s strategy to ensure there is real and perceived independence of Redress Support Services from institutions responsible for child abuse. In the table below,</w:t>
      </w:r>
      <w:r w:rsidRPr="00A27C35">
        <w:rPr>
          <w:b/>
        </w:rPr>
        <w:t xml:space="preserve"> </w:t>
      </w:r>
      <w:r w:rsidR="0005544F">
        <w:rPr>
          <w:rFonts w:eastAsia="Times New Roman"/>
          <w:szCs w:val="20"/>
        </w:rPr>
        <w:t>p</w:t>
      </w:r>
      <w:r w:rsidR="0005544F" w:rsidRPr="00A27C35">
        <w:rPr>
          <w:rFonts w:eastAsia="Times New Roman"/>
          <w:szCs w:val="20"/>
        </w:rPr>
        <w:t xml:space="preserve">lease provide a brief description of the conflict of interest, the strategies </w:t>
      </w:r>
      <w:r w:rsidR="0005544F">
        <w:rPr>
          <w:rFonts w:eastAsia="Times New Roman"/>
          <w:szCs w:val="20"/>
        </w:rPr>
        <w:t>your organisation has in place to manage them</w:t>
      </w:r>
      <w:r w:rsidR="0005544F" w:rsidRPr="00A27C35">
        <w:rPr>
          <w:rFonts w:eastAsia="Times New Roman"/>
          <w:szCs w:val="20"/>
        </w:rPr>
        <w:t>, and how you</w:t>
      </w:r>
      <w:r w:rsidR="0005544F">
        <w:rPr>
          <w:rFonts w:eastAsia="Times New Roman"/>
          <w:szCs w:val="20"/>
        </w:rPr>
        <w:t>r organisation</w:t>
      </w:r>
      <w:r w:rsidR="0005544F" w:rsidRPr="00A27C35">
        <w:rPr>
          <w:rFonts w:eastAsia="Times New Roman"/>
          <w:szCs w:val="20"/>
        </w:rPr>
        <w:t xml:space="preserve"> will review these to e</w:t>
      </w:r>
      <w:r w:rsidR="0005544F">
        <w:rPr>
          <w:rFonts w:eastAsia="Times New Roman"/>
          <w:szCs w:val="20"/>
        </w:rPr>
        <w:t>nsure they remain effective.</w:t>
      </w:r>
    </w:p>
    <w:p w:rsidR="00FA0172" w:rsidRPr="00A27C35" w:rsidRDefault="00FA0172" w:rsidP="00FA0172">
      <w:pPr>
        <w:spacing w:before="0" w:after="0"/>
      </w:pPr>
    </w:p>
    <w:tbl>
      <w:tblPr>
        <w:tblStyle w:val="GridTable4-Accent3"/>
        <w:tblW w:w="0" w:type="auto"/>
        <w:tblLook w:val="04A0" w:firstRow="1" w:lastRow="0" w:firstColumn="1" w:lastColumn="0" w:noHBand="0" w:noVBand="1"/>
        <w:tblCaption w:val="Table to outline your organisation's conflicts of interest and management strategies"/>
        <w:tblDescription w:val="Please identify your conflicts of interest, the strategies you will use to manage them, and how you will review and improve these over time. Consider conflicts at the organisational level, and for management, board members, staff and subcontracting/brokerage."/>
      </w:tblPr>
      <w:tblGrid>
        <w:gridCol w:w="1739"/>
        <w:gridCol w:w="4310"/>
        <w:gridCol w:w="4310"/>
        <w:gridCol w:w="4311"/>
      </w:tblGrid>
      <w:tr w:rsidR="00FA0172" w:rsidRPr="00A27C35" w:rsidTr="000554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FA0172" w:rsidP="00715A3C">
            <w:pPr>
              <w:spacing w:before="0" w:after="0"/>
            </w:pPr>
            <w:r w:rsidRPr="00A27C35">
              <w:rPr>
                <w:iCs/>
              </w:rPr>
              <w:t>Type of conflict</w:t>
            </w:r>
          </w:p>
        </w:tc>
        <w:tc>
          <w:tcPr>
            <w:tcW w:w="4310"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Disclosure</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Brief description of the conflict</w:t>
            </w:r>
          </w:p>
        </w:tc>
        <w:tc>
          <w:tcPr>
            <w:tcW w:w="4310"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Strategy</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What is your strategy to manage the conflict?</w:t>
            </w:r>
          </w:p>
        </w:tc>
        <w:tc>
          <w:tcPr>
            <w:tcW w:w="4311"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Management</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How will you review and improve the strategy?</w:t>
            </w:r>
          </w:p>
        </w:tc>
      </w:tr>
      <w:tr w:rsidR="00FA0172" w:rsidRPr="00A27C35" w:rsidTr="0005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FA0172" w:rsidP="00715A3C">
            <w:pPr>
              <w:spacing w:before="0" w:after="600"/>
            </w:pPr>
            <w:r w:rsidRPr="00A27C35">
              <w:rPr>
                <w:iCs/>
              </w:rPr>
              <w:t>Organisational</w:t>
            </w:r>
          </w:p>
        </w:tc>
        <w:tc>
          <w:tcPr>
            <w:tcW w:w="4310" w:type="dxa"/>
          </w:tcPr>
          <w:p w:rsidR="0005544F" w:rsidRPr="00A27C35" w:rsidRDefault="0005544F"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1"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r w:rsidR="00FA0172" w:rsidRPr="00A27C35" w:rsidTr="0005544F">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FA0172" w:rsidP="00715A3C">
            <w:pPr>
              <w:spacing w:before="0" w:after="600"/>
            </w:pPr>
            <w:r w:rsidRPr="00A27C35">
              <w:rPr>
                <w:iCs/>
              </w:rPr>
              <w:t>Management/ board members</w:t>
            </w:r>
          </w:p>
        </w:tc>
        <w:tc>
          <w:tcPr>
            <w:tcW w:w="431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431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4311"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r>
      <w:tr w:rsidR="00FA0172" w:rsidRPr="00A27C35" w:rsidTr="0005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FA0172" w:rsidP="00715A3C">
            <w:pPr>
              <w:spacing w:before="0" w:after="600"/>
            </w:pPr>
            <w:r w:rsidRPr="00A27C35">
              <w:rPr>
                <w:iCs/>
              </w:rPr>
              <w:t>Staff</w:t>
            </w:r>
          </w:p>
        </w:tc>
        <w:tc>
          <w:tcPr>
            <w:tcW w:w="431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1"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r w:rsidR="00FA0172" w:rsidRPr="00A27C35" w:rsidTr="0005544F">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05544F" w:rsidP="0005544F">
            <w:pPr>
              <w:spacing w:before="0" w:after="360"/>
            </w:pPr>
            <w:r>
              <w:rPr>
                <w:iCs/>
              </w:rPr>
              <w:t>Other services (</w:t>
            </w:r>
            <w:r w:rsidR="00FA0172" w:rsidRPr="00A27C35">
              <w:rPr>
                <w:iCs/>
              </w:rPr>
              <w:t>Referrals,</w:t>
            </w:r>
            <w:r>
              <w:rPr>
                <w:iCs/>
              </w:rPr>
              <w:t xml:space="preserve"> brokerage,</w:t>
            </w:r>
            <w:r w:rsidR="00FA0172" w:rsidRPr="00A27C35">
              <w:rPr>
                <w:iCs/>
              </w:rPr>
              <w:t xml:space="preserve"> subcontractors)</w:t>
            </w:r>
          </w:p>
        </w:tc>
        <w:tc>
          <w:tcPr>
            <w:tcW w:w="431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431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4311"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r>
      <w:tr w:rsidR="00FA0172" w:rsidRPr="00A27C35" w:rsidTr="0005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FA0172" w:rsidRPr="00A27C35" w:rsidRDefault="00FA0172" w:rsidP="00715A3C">
            <w:pPr>
              <w:spacing w:before="0" w:after="600"/>
            </w:pPr>
            <w:r w:rsidRPr="00A27C35">
              <w:rPr>
                <w:iCs/>
              </w:rPr>
              <w:t>Other</w:t>
            </w:r>
          </w:p>
        </w:tc>
        <w:tc>
          <w:tcPr>
            <w:tcW w:w="431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4311"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bl>
    <w:p w:rsidR="00FA0172" w:rsidRPr="00A27C35" w:rsidRDefault="00FA0172" w:rsidP="00FA0172">
      <w:pPr>
        <w:spacing w:before="0" w:after="0"/>
      </w:pPr>
    </w:p>
    <w:p w:rsidR="00FA0172" w:rsidRPr="00F806A4" w:rsidRDefault="00FA0172" w:rsidP="00FA0172">
      <w:pPr>
        <w:spacing w:before="0" w:after="0"/>
      </w:pPr>
    </w:p>
    <w:p w:rsidR="00811330" w:rsidRPr="00F806A4" w:rsidRDefault="00811330" w:rsidP="00FA0172">
      <w:pPr>
        <w:pStyle w:val="ListNumber"/>
        <w:numPr>
          <w:ilvl w:val="0"/>
          <w:numId w:val="0"/>
        </w:numPr>
      </w:pPr>
    </w:p>
    <w:sectPr w:rsidR="00811330" w:rsidRPr="00F806A4" w:rsidSect="00FA0172">
      <w:footerReference w:type="default" r:id="rId11"/>
      <w:headerReference w:type="first" r:id="rId12"/>
      <w:footerReference w:type="first" r:id="rId13"/>
      <w:pgSz w:w="16840" w:h="11900" w:orient="landscape"/>
      <w:pgMar w:top="1440" w:right="1080" w:bottom="1440" w:left="108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8E" w:rsidRDefault="006A188E" w:rsidP="00F806A4">
      <w:r>
        <w:separator/>
      </w:r>
    </w:p>
  </w:endnote>
  <w:endnote w:type="continuationSeparator" w:id="0">
    <w:p w:rsidR="006A188E" w:rsidRDefault="006A188E" w:rsidP="00F8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750850"/>
      <w:docPartObj>
        <w:docPartGallery w:val="Page Numbers (Bottom of Page)"/>
        <w:docPartUnique/>
      </w:docPartObj>
    </w:sdtPr>
    <w:sdtEndPr>
      <w:rPr>
        <w:rStyle w:val="PageNumber"/>
      </w:rPr>
    </w:sdtEndPr>
    <w:sdtContent>
      <w:p w:rsidR="004700E4" w:rsidRDefault="004700E4" w:rsidP="00892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00E4" w:rsidRDefault="004700E4" w:rsidP="004700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E4" w:rsidRDefault="004700E4" w:rsidP="00892CE0">
    <w:pPr>
      <w:pStyle w:val="Footer"/>
      <w:framePr w:wrap="none" w:vAnchor="text" w:hAnchor="margin" w:xAlign="right" w:y="1"/>
      <w:rPr>
        <w:rStyle w:val="PageNumber"/>
      </w:rPr>
    </w:pPr>
  </w:p>
  <w:p w:rsidR="00811330" w:rsidRDefault="00E65A61" w:rsidP="004700E4">
    <w:pPr>
      <w:pStyle w:val="Footer"/>
      <w:ind w:right="360"/>
    </w:pPr>
    <w:r>
      <w:tab/>
    </w:r>
    <w:r>
      <w:tab/>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61" w:rsidRDefault="00E65A61">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1645659"/>
      <w:docPartObj>
        <w:docPartGallery w:val="Page Numbers (Bottom of Page)"/>
        <w:docPartUnique/>
      </w:docPartObj>
    </w:sdtPr>
    <w:sdtEndPr>
      <w:rPr>
        <w:rStyle w:val="PageNumber"/>
      </w:rPr>
    </w:sdtEndPr>
    <w:sdtContent>
      <w:p w:rsidR="00FA0172" w:rsidRDefault="00FA0172" w:rsidP="00892CE0">
        <w:pPr>
          <w:pStyle w:val="Footer"/>
          <w:framePr w:wrap="none" w:vAnchor="text" w:hAnchor="margin" w:xAlign="right" w:y="1"/>
          <w:rPr>
            <w:rStyle w:val="PageNumber"/>
          </w:rPr>
        </w:pPr>
        <w:r w:rsidRPr="004700E4">
          <w:rPr>
            <w:rStyle w:val="PageNumber"/>
            <w:b/>
            <w:sz w:val="22"/>
          </w:rPr>
          <w:fldChar w:fldCharType="begin"/>
        </w:r>
        <w:r w:rsidRPr="004700E4">
          <w:rPr>
            <w:rStyle w:val="PageNumber"/>
            <w:b/>
            <w:sz w:val="22"/>
          </w:rPr>
          <w:instrText xml:space="preserve"> PAGE </w:instrText>
        </w:r>
        <w:r w:rsidRPr="004700E4">
          <w:rPr>
            <w:rStyle w:val="PageNumber"/>
            <w:b/>
            <w:sz w:val="22"/>
          </w:rPr>
          <w:fldChar w:fldCharType="separate"/>
        </w:r>
        <w:r w:rsidR="0005544F">
          <w:rPr>
            <w:rStyle w:val="PageNumber"/>
            <w:b/>
            <w:noProof/>
            <w:sz w:val="22"/>
          </w:rPr>
          <w:t>4</w:t>
        </w:r>
        <w:r w:rsidRPr="004700E4">
          <w:rPr>
            <w:rStyle w:val="PageNumber"/>
            <w:b/>
            <w:sz w:val="22"/>
          </w:rPr>
          <w:fldChar w:fldCharType="end"/>
        </w:r>
      </w:p>
    </w:sdtContent>
  </w:sdt>
  <w:p w:rsidR="00FA0172" w:rsidRDefault="00FA0172" w:rsidP="004700E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72" w:rsidRDefault="00E65A61">
    <w:pPr>
      <w:pStyle w:val="Footer"/>
    </w:pP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8E" w:rsidRDefault="006A188E" w:rsidP="00F806A4">
      <w:r>
        <w:separator/>
      </w:r>
    </w:p>
  </w:footnote>
  <w:footnote w:type="continuationSeparator" w:id="0">
    <w:p w:rsidR="006A188E" w:rsidRDefault="006A188E" w:rsidP="00F8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6C" w:rsidRPr="00303F6C" w:rsidRDefault="00303F6C" w:rsidP="00303F6C">
    <w:pPr>
      <w:pStyle w:val="Heading1"/>
    </w:pPr>
    <w:r w:rsidRPr="00303F6C">
      <w:t>Redress Support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FE204C"/>
    <w:lvl w:ilvl="0">
      <w:start w:val="1"/>
      <w:numFmt w:val="decimal"/>
      <w:pStyle w:val="ListNumber"/>
      <w:lvlText w:val="%1."/>
      <w:lvlJc w:val="left"/>
      <w:pPr>
        <w:tabs>
          <w:tab w:val="num" w:pos="360"/>
        </w:tabs>
        <w:ind w:left="360" w:hanging="360"/>
      </w:pPr>
    </w:lvl>
  </w:abstractNum>
  <w:abstractNum w:abstractNumId="1" w15:restartNumberingAfterBreak="0">
    <w:nsid w:val="3E447A51"/>
    <w:multiLevelType w:val="multilevel"/>
    <w:tmpl w:val="0809001D"/>
    <w:styleLink w:val="ListNumbere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8461D6"/>
    <w:multiLevelType w:val="multilevel"/>
    <w:tmpl w:val="0809001D"/>
    <w:styleLink w:val="NumberedList"/>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861C4A"/>
    <w:multiLevelType w:val="hybridMultilevel"/>
    <w:tmpl w:val="E02473FC"/>
    <w:lvl w:ilvl="0" w:tplc="20FE338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A8"/>
    <w:rsid w:val="0005544F"/>
    <w:rsid w:val="00091177"/>
    <w:rsid w:val="000C0E8D"/>
    <w:rsid w:val="000E5E4F"/>
    <w:rsid w:val="001111B5"/>
    <w:rsid w:val="00260708"/>
    <w:rsid w:val="002A0E70"/>
    <w:rsid w:val="00303F6C"/>
    <w:rsid w:val="00325423"/>
    <w:rsid w:val="003353A7"/>
    <w:rsid w:val="00371CA6"/>
    <w:rsid w:val="003B3C09"/>
    <w:rsid w:val="003D2091"/>
    <w:rsid w:val="004368C9"/>
    <w:rsid w:val="004700E4"/>
    <w:rsid w:val="004A080C"/>
    <w:rsid w:val="004B0B70"/>
    <w:rsid w:val="004B2D0E"/>
    <w:rsid w:val="005010D8"/>
    <w:rsid w:val="00517BF6"/>
    <w:rsid w:val="00554C3C"/>
    <w:rsid w:val="005E12EA"/>
    <w:rsid w:val="005E2042"/>
    <w:rsid w:val="006802DA"/>
    <w:rsid w:val="0069244F"/>
    <w:rsid w:val="006A188E"/>
    <w:rsid w:val="007135E7"/>
    <w:rsid w:val="00775D07"/>
    <w:rsid w:val="007824ED"/>
    <w:rsid w:val="0079034E"/>
    <w:rsid w:val="007B3E02"/>
    <w:rsid w:val="007F0F18"/>
    <w:rsid w:val="00803C20"/>
    <w:rsid w:val="00811330"/>
    <w:rsid w:val="008E7BB1"/>
    <w:rsid w:val="009A277A"/>
    <w:rsid w:val="00A06F58"/>
    <w:rsid w:val="00A533D4"/>
    <w:rsid w:val="00AB79B3"/>
    <w:rsid w:val="00AE3461"/>
    <w:rsid w:val="00B607C1"/>
    <w:rsid w:val="00B616BF"/>
    <w:rsid w:val="00B71798"/>
    <w:rsid w:val="00BA7942"/>
    <w:rsid w:val="00BE30D1"/>
    <w:rsid w:val="00BF0046"/>
    <w:rsid w:val="00C66C2E"/>
    <w:rsid w:val="00C66DAB"/>
    <w:rsid w:val="00C82A24"/>
    <w:rsid w:val="00CD1A5A"/>
    <w:rsid w:val="00D65D86"/>
    <w:rsid w:val="00E50A3C"/>
    <w:rsid w:val="00E54843"/>
    <w:rsid w:val="00E65A61"/>
    <w:rsid w:val="00E81BC6"/>
    <w:rsid w:val="00EA1184"/>
    <w:rsid w:val="00EB3D01"/>
    <w:rsid w:val="00F018DD"/>
    <w:rsid w:val="00F12636"/>
    <w:rsid w:val="00F2191E"/>
    <w:rsid w:val="00F5210F"/>
    <w:rsid w:val="00F806A4"/>
    <w:rsid w:val="00FA0172"/>
    <w:rsid w:val="00FC1DFB"/>
    <w:rsid w:val="00FE25A8"/>
    <w:rsid w:val="00FF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efaultImageDpi w14:val="32767"/>
  <w15:chartTrackingRefBased/>
  <w15:docId w15:val="{5C531187-079D-4ADB-821C-A562AA9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6A4"/>
    <w:pPr>
      <w:spacing w:before="120" w:after="120"/>
    </w:pPr>
    <w:rPr>
      <w:rFonts w:ascii="Arial" w:hAnsi="Arial" w:cs="Arial"/>
      <w:sz w:val="20"/>
      <w:szCs w:val="22"/>
      <w:lang w:val="en-AU"/>
    </w:rPr>
  </w:style>
  <w:style w:type="paragraph" w:styleId="Heading1">
    <w:name w:val="heading 1"/>
    <w:basedOn w:val="Normal"/>
    <w:next w:val="Normal"/>
    <w:link w:val="Heading1Char"/>
    <w:autoRedefine/>
    <w:uiPriority w:val="9"/>
    <w:qFormat/>
    <w:rsid w:val="00303F6C"/>
    <w:pPr>
      <w:spacing w:after="0"/>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091177"/>
    <w:pPr>
      <w:outlineLvl w:val="1"/>
    </w:pPr>
    <w:rPr>
      <w:rFonts w:ascii="Arial Bold" w:hAnsi="Arial Bold"/>
      <w:b/>
      <w:color w:val="DD6D28" w:themeColor="background2"/>
      <w:sz w:val="28"/>
      <w:u w:color="24793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303F6C"/>
    <w:rPr>
      <w:rFonts w:ascii="Arial" w:hAnsi="Arial" w:cs="Arial"/>
      <w:caps/>
      <w:color w:val="DD6D28" w:themeColor="background2"/>
      <w:spacing w:val="26"/>
      <w:sz w:val="44"/>
      <w:szCs w:val="22"/>
      <w:lang w:val="en-AU"/>
    </w:rPr>
  </w:style>
  <w:style w:type="numbering" w:customStyle="1" w:styleId="NumberedList">
    <w:name w:val="Numbered List"/>
    <w:basedOn w:val="NoList"/>
    <w:uiPriority w:val="99"/>
    <w:rsid w:val="00BE30D1"/>
    <w:pPr>
      <w:numPr>
        <w:numId w:val="1"/>
      </w:numPr>
    </w:p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numbering" w:customStyle="1" w:styleId="ListNumbered">
    <w:name w:val="List Numbered"/>
    <w:basedOn w:val="NoList"/>
    <w:uiPriority w:val="99"/>
    <w:rsid w:val="00BE30D1"/>
    <w:pPr>
      <w:numPr>
        <w:numId w:val="2"/>
      </w:numPr>
    </w:pPr>
  </w:style>
  <w:style w:type="paragraph" w:styleId="ListNumber">
    <w:name w:val="List Number"/>
    <w:basedOn w:val="Normal"/>
    <w:autoRedefine/>
    <w:uiPriority w:val="99"/>
    <w:unhideWhenUsed/>
    <w:qFormat/>
    <w:rsid w:val="00F806A4"/>
    <w:pPr>
      <w:numPr>
        <w:numId w:val="4"/>
      </w:numPr>
      <w:ind w:left="709"/>
      <w:contextualSpacing/>
    </w:pPr>
  </w:style>
  <w:style w:type="table" w:customStyle="1" w:styleId="Style1">
    <w:name w:val="Style1"/>
    <w:basedOn w:val="TableNormal"/>
    <w:uiPriority w:val="99"/>
    <w:rsid w:val="00BE30D1"/>
    <w:pPr>
      <w:jc w:val="center"/>
    </w:pPr>
    <w:rPr>
      <w:rFonts w:ascii="PT Sans" w:hAnsi="PT Sans"/>
      <w:color w:val="FEFFFE" w:themeColor="text1"/>
      <w:sz w:val="22"/>
    </w:rPr>
    <w:tblPr>
      <w:tblBorders>
        <w:insideH w:val="single" w:sz="4" w:space="0" w:color="3578A2"/>
        <w:insideV w:val="single" w:sz="4" w:space="0" w:color="3578A2"/>
      </w:tblBorders>
    </w:tblPr>
    <w:tcPr>
      <w:vAlign w:val="center"/>
    </w:tcPr>
    <w:tblStylePr w:type="firstRow">
      <w:rPr>
        <w:rFonts w:ascii="PT Sans" w:hAnsi="PT Sans"/>
        <w:b/>
        <w:bCs/>
        <w:i w:val="0"/>
        <w:iCs w:val="0"/>
        <w:color w:val="3578A2"/>
        <w:sz w:val="22"/>
      </w:rPr>
      <w:tblPr/>
      <w:tcPr>
        <w:shd w:val="clear" w:color="auto" w:fill="DAEADB" w:themeFill="accent1" w:themeFillTint="33"/>
      </w:tcPr>
    </w:tblStylePr>
  </w:style>
  <w:style w:type="character" w:customStyle="1" w:styleId="Heading2Char">
    <w:name w:val="Heading 2 Char"/>
    <w:basedOn w:val="DefaultParagraphFont"/>
    <w:link w:val="Heading2"/>
    <w:uiPriority w:val="9"/>
    <w:rsid w:val="00091177"/>
    <w:rPr>
      <w:rFonts w:ascii="Arial Bold" w:hAnsi="Arial Bold" w:cs="Arial"/>
      <w:b/>
      <w:color w:val="DD6D28" w:themeColor="background2"/>
      <w:sz w:val="28"/>
      <w:szCs w:val="22"/>
      <w:u w:color="24793F" w:themeColor="text2"/>
      <w:lang w:val="en-AU"/>
    </w:rPr>
  </w:style>
  <w:style w:type="paragraph" w:styleId="NoSpacing">
    <w:name w:val="No Spacing"/>
    <w:basedOn w:val="Normal"/>
    <w:uiPriority w:val="1"/>
    <w:qFormat/>
    <w:rsid w:val="00325423"/>
  </w:style>
  <w:style w:type="paragraph" w:styleId="ListParagraph">
    <w:name w:val="List Paragraph"/>
    <w:basedOn w:val="Normal"/>
    <w:uiPriority w:val="34"/>
    <w:qFormat/>
    <w:rsid w:val="00F806A4"/>
    <w:pPr>
      <w:numPr>
        <w:numId w:val="5"/>
      </w:numPr>
      <w:contextualSpacing/>
    </w:pPr>
  </w:style>
  <w:style w:type="character" w:styleId="PageNumber">
    <w:name w:val="page number"/>
    <w:basedOn w:val="DefaultParagraphFont"/>
    <w:uiPriority w:val="99"/>
    <w:semiHidden/>
    <w:unhideWhenUsed/>
    <w:rsid w:val="004700E4"/>
  </w:style>
  <w:style w:type="table" w:styleId="GridTable4-Accent3">
    <w:name w:val="Grid Table 4 Accent 3"/>
    <w:basedOn w:val="TableNormal"/>
    <w:uiPriority w:val="49"/>
    <w:rsid w:val="00FA0172"/>
    <w:tblPr>
      <w:tblStyleRowBandSize w:val="1"/>
      <w:tblStyleColBandSize w:val="1"/>
      <w:tblBorders>
        <w:top w:val="single" w:sz="4" w:space="0" w:color="BED485" w:themeColor="accent3" w:themeTint="99"/>
        <w:left w:val="single" w:sz="4" w:space="0" w:color="BED485" w:themeColor="accent3" w:themeTint="99"/>
        <w:bottom w:val="single" w:sz="4" w:space="0" w:color="BED485" w:themeColor="accent3" w:themeTint="99"/>
        <w:right w:val="single" w:sz="4" w:space="0" w:color="BED485" w:themeColor="accent3" w:themeTint="99"/>
        <w:insideH w:val="single" w:sz="4" w:space="0" w:color="BED485" w:themeColor="accent3" w:themeTint="99"/>
        <w:insideV w:val="single" w:sz="4" w:space="0" w:color="BED485" w:themeColor="accent3" w:themeTint="99"/>
      </w:tblBorders>
    </w:tblPr>
    <w:tblStylePr w:type="firstRow">
      <w:rPr>
        <w:b/>
        <w:bCs/>
        <w:color w:val="FFFFFF" w:themeColor="background1"/>
      </w:rPr>
      <w:tblPr/>
      <w:tcPr>
        <w:tcBorders>
          <w:top w:val="single" w:sz="4" w:space="0" w:color="90B03D" w:themeColor="accent3"/>
          <w:left w:val="single" w:sz="4" w:space="0" w:color="90B03D" w:themeColor="accent3"/>
          <w:bottom w:val="single" w:sz="4" w:space="0" w:color="90B03D" w:themeColor="accent3"/>
          <w:right w:val="single" w:sz="4" w:space="0" w:color="90B03D" w:themeColor="accent3"/>
          <w:insideH w:val="nil"/>
          <w:insideV w:val="nil"/>
        </w:tcBorders>
        <w:shd w:val="clear" w:color="auto" w:fill="90B03D" w:themeFill="accent3"/>
      </w:tcPr>
    </w:tblStylePr>
    <w:tblStylePr w:type="lastRow">
      <w:rPr>
        <w:b/>
        <w:bCs/>
      </w:rPr>
      <w:tblPr/>
      <w:tcPr>
        <w:tcBorders>
          <w:top w:val="double" w:sz="4" w:space="0" w:color="90B03D" w:themeColor="accent3"/>
        </w:tcBorders>
      </w:tcPr>
    </w:tblStylePr>
    <w:tblStylePr w:type="firstCol">
      <w:rPr>
        <w:b/>
        <w:bCs/>
      </w:rPr>
    </w:tblStylePr>
    <w:tblStylePr w:type="lastCol">
      <w:rPr>
        <w:b/>
        <w:bCs/>
      </w:rPr>
    </w:tblStylePr>
    <w:tblStylePr w:type="band1Vert">
      <w:tblPr/>
      <w:tcPr>
        <w:shd w:val="clear" w:color="auto" w:fill="E9F1D6" w:themeFill="accent3" w:themeFillTint="33"/>
      </w:tcPr>
    </w:tblStylePr>
    <w:tblStylePr w:type="band1Horz">
      <w:tblPr/>
      <w:tcPr>
        <w:shd w:val="clear" w:color="auto" w:fill="E9F1D6" w:themeFill="accent3" w:themeFillTint="33"/>
      </w:tcPr>
    </w:tblStylePr>
  </w:style>
  <w:style w:type="paragraph" w:styleId="BalloonText">
    <w:name w:val="Balloon Text"/>
    <w:basedOn w:val="Normal"/>
    <w:link w:val="BalloonTextChar"/>
    <w:uiPriority w:val="99"/>
    <w:semiHidden/>
    <w:unhideWhenUsed/>
    <w:rsid w:val="004A08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0C"/>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0048\AppData\Local\Hewlett-Packard\HP%20TRIM\TEMP\HPTRIM.5896\D18%20489087%20%20Redress%20Scheme_Letterhead%20Template.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303E-0598-4390-BB3A-FFB60C10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489087  Redress Scheme_Letterhead Template</Template>
  <TotalTime>17</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Independence Assurance Management Strategy</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Assurance Management Strategy</dc:title>
  <dc:subject/>
  <dc:creator>Community Grants Hub</dc:creator>
  <cp:keywords/>
  <dc:description/>
  <cp:lastModifiedBy>CRAWFORD, Anna</cp:lastModifiedBy>
  <cp:revision>11</cp:revision>
  <cp:lastPrinted>2018-04-10T00:28:00Z</cp:lastPrinted>
  <dcterms:created xsi:type="dcterms:W3CDTF">2021-07-26T01:38:00Z</dcterms:created>
  <dcterms:modified xsi:type="dcterms:W3CDTF">2021-07-28T04:37:00Z</dcterms:modified>
</cp:coreProperties>
</file>