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heme="minorHAnsi"/>
          <w:b/>
          <w:bCs/>
          <w:color w:val="CF0A2C" w:themeColor="accent1"/>
          <w:sz w:val="36"/>
          <w:szCs w:val="28"/>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68C535" w14:textId="77777777" w:rsidR="00F85F98" w:rsidRPr="00B026AB" w:rsidRDefault="000E4EAA" w:rsidP="00424534">
          <w:pPr>
            <w:spacing w:before="120" w:after="140"/>
            <w:contextualSpacing/>
            <w:rPr>
              <w:rFonts w:eastAsia="Times New Roman" w:cstheme="minorHAnsi"/>
              <w:b/>
              <w:bCs/>
              <w:color w:val="CF0A2C" w:themeColor="accent1"/>
              <w:sz w:val="36"/>
              <w:szCs w:val="28"/>
            </w:rPr>
          </w:pPr>
          <w:r w:rsidRPr="00B026AB">
            <w:rPr>
              <w:rFonts w:eastAsia="Times New Roman" w:cstheme="minorHAnsi"/>
              <w:b/>
              <w:bCs/>
              <w:color w:val="CF0A2C" w:themeColor="accent1"/>
              <w:sz w:val="36"/>
              <w:szCs w:val="28"/>
            </w:rPr>
            <w:t>Murray</w:t>
          </w:r>
          <w:r w:rsidR="00416570" w:rsidRPr="00B026AB">
            <w:rPr>
              <w:rFonts w:eastAsia="Times New Roman" w:cstheme="minorHAnsi"/>
              <w:b/>
              <w:bCs/>
              <w:color w:val="CF0A2C" w:themeColor="accent1"/>
              <w:sz w:val="36"/>
              <w:szCs w:val="28"/>
            </w:rPr>
            <w:t>–</w:t>
          </w:r>
          <w:r w:rsidRPr="00B026AB">
            <w:rPr>
              <w:rFonts w:eastAsia="Times New Roman" w:cstheme="minorHAnsi"/>
              <w:b/>
              <w:bCs/>
              <w:color w:val="CF0A2C" w:themeColor="accent1"/>
              <w:sz w:val="36"/>
              <w:szCs w:val="28"/>
            </w:rPr>
            <w:t xml:space="preserve">Darling Basin Economic Development Program Round </w:t>
          </w:r>
          <w:r w:rsidR="004B62B6" w:rsidRPr="00B026AB">
            <w:rPr>
              <w:rFonts w:eastAsia="Times New Roman" w:cstheme="minorHAnsi"/>
              <w:b/>
              <w:bCs/>
              <w:color w:val="CF0A2C" w:themeColor="accent1"/>
              <w:sz w:val="36"/>
              <w:szCs w:val="28"/>
            </w:rPr>
            <w:t>3</w:t>
          </w:r>
        </w:p>
      </w:sdtContent>
    </w:sdt>
    <w:sdt>
      <w:sdtPr>
        <w:rPr>
          <w:rFonts w:ascii="Arial" w:hAnsi="Arial" w:cs="Arial"/>
          <w:color w:val="000000"/>
          <w:sz w:val="24"/>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236256B3" w14:textId="77777777" w:rsidR="00F85F98" w:rsidRPr="00B026AB" w:rsidRDefault="00A96EF4" w:rsidP="00424534">
          <w:pPr>
            <w:numPr>
              <w:ilvl w:val="1"/>
              <w:numId w:val="0"/>
            </w:numPr>
            <w:pBdr>
              <w:bottom w:val="single" w:sz="4" w:space="9" w:color="000000" w:themeColor="text1"/>
            </w:pBdr>
            <w:spacing w:before="120" w:after="140"/>
            <w:rPr>
              <w:rFonts w:asciiTheme="majorHAnsi" w:eastAsiaTheme="majorEastAsia" w:hAnsiTheme="majorHAnsi" w:cstheme="majorBidi"/>
              <w:iCs/>
              <w:sz w:val="30"/>
              <w:szCs w:val="24"/>
            </w:rPr>
          </w:pPr>
          <w:r w:rsidRPr="00B026AB">
            <w:rPr>
              <w:rFonts w:ascii="Arial" w:hAnsi="Arial" w:cs="Arial"/>
              <w:color w:val="000000"/>
              <w:sz w:val="24"/>
              <w:szCs w:val="24"/>
            </w:rPr>
            <w:t xml:space="preserve">General </w:t>
          </w:r>
          <w:r w:rsidR="00A412BD" w:rsidRPr="00B026AB">
            <w:rPr>
              <w:rFonts w:ascii="Arial" w:hAnsi="Arial" w:cs="Arial"/>
              <w:color w:val="000000"/>
              <w:sz w:val="24"/>
              <w:szCs w:val="24"/>
            </w:rPr>
            <w:t>f</w:t>
          </w:r>
          <w:r w:rsidRPr="00B026AB">
            <w:rPr>
              <w:rFonts w:ascii="Arial" w:hAnsi="Arial" w:cs="Arial"/>
              <w:color w:val="000000"/>
              <w:sz w:val="24"/>
              <w:szCs w:val="24"/>
            </w:rPr>
            <w:t>eedback for applicants</w:t>
          </w:r>
        </w:p>
      </w:sdtContent>
    </w:sdt>
    <w:p w14:paraId="0EA4DFB5" w14:textId="77777777" w:rsidR="00E21EFC" w:rsidRPr="00B45F54" w:rsidRDefault="00E21EFC" w:rsidP="00424534">
      <w:pPr>
        <w:pStyle w:val="Heading1"/>
        <w:numPr>
          <w:ilvl w:val="0"/>
          <w:numId w:val="0"/>
        </w:numPr>
        <w:spacing w:before="120" w:after="140" w:line="280" w:lineRule="atLeast"/>
        <w:ind w:left="454" w:hanging="454"/>
        <w:rPr>
          <w:rFonts w:asciiTheme="minorHAnsi" w:eastAsia="Times New Roman" w:hAnsiTheme="minorHAnsi" w:cstheme="minorHAnsi"/>
          <w:bCs/>
        </w:rPr>
      </w:pPr>
      <w:r w:rsidRPr="00B45F54">
        <w:rPr>
          <w:rFonts w:asciiTheme="minorHAnsi" w:eastAsia="Times New Roman" w:hAnsiTheme="minorHAnsi" w:cstheme="minorHAnsi"/>
          <w:bCs/>
        </w:rPr>
        <w:t>Overview</w:t>
      </w:r>
    </w:p>
    <w:p w14:paraId="6626CB96" w14:textId="4CE1A3BF" w:rsidR="00E21EFC" w:rsidRPr="00B45F54" w:rsidRDefault="00E21EFC" w:rsidP="00424534">
      <w:pPr>
        <w:pStyle w:val="BodyText"/>
        <w:rPr>
          <w:rFonts w:ascii="Arial" w:eastAsia="Times New Roman" w:hAnsi="Arial" w:cs="Arial"/>
          <w:color w:val="auto"/>
          <w:szCs w:val="22"/>
        </w:rPr>
      </w:pPr>
      <w:r w:rsidRPr="00B45F54">
        <w:rPr>
          <w:rFonts w:ascii="Arial" w:eastAsia="Times New Roman" w:hAnsi="Arial" w:cs="Arial"/>
          <w:color w:val="auto"/>
          <w:szCs w:val="22"/>
        </w:rPr>
        <w:t xml:space="preserve">As part of our commitment to sharing information with the sector and as an acknowledgement of the time and effort </w:t>
      </w:r>
      <w:r w:rsidR="007572E0" w:rsidRPr="00B45F54">
        <w:rPr>
          <w:rFonts w:ascii="Arial" w:eastAsia="Times New Roman" w:hAnsi="Arial" w:cs="Arial"/>
          <w:color w:val="auto"/>
          <w:szCs w:val="22"/>
        </w:rPr>
        <w:t xml:space="preserve">applicants </w:t>
      </w:r>
      <w:r w:rsidRPr="00B45F54">
        <w:rPr>
          <w:rFonts w:ascii="Arial" w:eastAsia="Times New Roman" w:hAnsi="Arial" w:cs="Arial"/>
          <w:color w:val="auto"/>
          <w:szCs w:val="22"/>
        </w:rPr>
        <w:t xml:space="preserve">have put into developing applications, the </w:t>
      </w:r>
      <w:r w:rsidRPr="00B45F54">
        <w:rPr>
          <w:rFonts w:asciiTheme="majorHAnsi" w:hAnsiTheme="majorHAnsi" w:cstheme="majorHAnsi"/>
          <w:szCs w:val="22"/>
        </w:rPr>
        <w:t>Department of Agriculture, Water and the Environment (</w:t>
      </w:r>
      <w:r w:rsidR="00C70A86" w:rsidRPr="00B45F54">
        <w:rPr>
          <w:rFonts w:asciiTheme="majorHAnsi" w:hAnsiTheme="majorHAnsi" w:cstheme="majorHAnsi"/>
          <w:szCs w:val="22"/>
        </w:rPr>
        <w:t>the department</w:t>
      </w:r>
      <w:r w:rsidRPr="00B45F54">
        <w:rPr>
          <w:rFonts w:asciiTheme="majorHAnsi" w:hAnsiTheme="majorHAnsi" w:cstheme="majorHAnsi"/>
          <w:szCs w:val="22"/>
        </w:rPr>
        <w:t>) is pleased to share this feedback for</w:t>
      </w:r>
      <w:r w:rsidRPr="00B45F54">
        <w:rPr>
          <w:rFonts w:ascii="Arial" w:eastAsia="Times New Roman" w:hAnsi="Arial" w:cs="Arial"/>
          <w:color w:val="auto"/>
          <w:szCs w:val="22"/>
        </w:rPr>
        <w:t xml:space="preserve"> </w:t>
      </w:r>
      <w:r w:rsidR="00127C14" w:rsidRPr="00B45F54">
        <w:rPr>
          <w:rFonts w:ascii="Arial" w:eastAsia="Times New Roman" w:hAnsi="Arial" w:cs="Arial"/>
          <w:color w:val="auto"/>
          <w:szCs w:val="22"/>
        </w:rPr>
        <w:t>Round 3 of t</w:t>
      </w:r>
      <w:r w:rsidRPr="00B45F54">
        <w:rPr>
          <w:rFonts w:ascii="Arial" w:eastAsia="Times New Roman" w:hAnsi="Arial" w:cs="Arial"/>
          <w:color w:val="auto"/>
          <w:szCs w:val="22"/>
        </w:rPr>
        <w:t>he Murray–Darling Basin Economic Development Program</w:t>
      </w:r>
      <w:r w:rsidR="00127C14" w:rsidRPr="00B45F54">
        <w:rPr>
          <w:rFonts w:ascii="Arial" w:eastAsia="Times New Roman" w:hAnsi="Arial" w:cs="Arial"/>
          <w:color w:val="auto"/>
          <w:szCs w:val="22"/>
        </w:rPr>
        <w:t xml:space="preserve"> (the program)</w:t>
      </w:r>
      <w:r w:rsidRPr="00B45F54">
        <w:rPr>
          <w:rFonts w:ascii="Arial" w:eastAsia="Times New Roman" w:hAnsi="Arial" w:cs="Arial"/>
          <w:color w:val="auto"/>
          <w:szCs w:val="22"/>
        </w:rPr>
        <w:t xml:space="preserve"> </w:t>
      </w:r>
      <w:r w:rsidR="00127C14" w:rsidRPr="00B45F54">
        <w:rPr>
          <w:rFonts w:ascii="Arial" w:eastAsia="Times New Roman" w:hAnsi="Arial" w:cs="Arial"/>
          <w:color w:val="auto"/>
          <w:szCs w:val="22"/>
        </w:rPr>
        <w:t>competitive grant opportunity</w:t>
      </w:r>
      <w:r w:rsidRPr="00B45F54">
        <w:rPr>
          <w:rFonts w:ascii="Arial" w:eastAsia="Times New Roman" w:hAnsi="Arial" w:cs="Arial"/>
          <w:color w:val="auto"/>
          <w:szCs w:val="22"/>
        </w:rPr>
        <w:t>.</w:t>
      </w:r>
    </w:p>
    <w:p w14:paraId="795D3977" w14:textId="563B1708" w:rsidR="00E21EFC" w:rsidRPr="00B45F54" w:rsidRDefault="00E21EFC" w:rsidP="00424534">
      <w:pPr>
        <w:pStyle w:val="BodyText"/>
        <w:rPr>
          <w:rFonts w:ascii="Arial" w:eastAsia="Times New Roman" w:hAnsi="Arial" w:cs="Arial"/>
          <w:color w:val="auto"/>
          <w:szCs w:val="22"/>
        </w:rPr>
      </w:pPr>
      <w:r w:rsidRPr="00B45F54">
        <w:rPr>
          <w:rFonts w:ascii="Arial" w:eastAsia="Times New Roman" w:hAnsi="Arial" w:cs="Arial"/>
          <w:color w:val="auto"/>
          <w:szCs w:val="22"/>
        </w:rPr>
        <w:t>The funding round for the Program</w:t>
      </w:r>
      <w:r w:rsidRPr="00B45F54">
        <w:rPr>
          <w:rFonts w:ascii="Arial" w:eastAsia="Times New Roman" w:hAnsi="Arial" w:cs="Arial"/>
          <w:i/>
          <w:color w:val="auto"/>
          <w:szCs w:val="22"/>
        </w:rPr>
        <w:t xml:space="preserve"> </w:t>
      </w:r>
      <w:r w:rsidRPr="00B45F54">
        <w:rPr>
          <w:rFonts w:ascii="Arial" w:eastAsia="Times New Roman" w:hAnsi="Arial" w:cs="Arial"/>
          <w:color w:val="auto"/>
          <w:szCs w:val="22"/>
        </w:rPr>
        <w:t xml:space="preserve">opened 3 March 2021 and closed on 12 April 2021, </w:t>
      </w:r>
      <w:r w:rsidR="000E1D6F" w:rsidRPr="00B45F54">
        <w:rPr>
          <w:rFonts w:ascii="Arial" w:eastAsia="Times New Roman" w:hAnsi="Arial" w:cs="Arial"/>
          <w:color w:val="auto"/>
          <w:szCs w:val="22"/>
        </w:rPr>
        <w:t>9</w:t>
      </w:r>
      <w:r w:rsidR="00424534">
        <w:rPr>
          <w:rFonts w:ascii="Arial" w:eastAsia="Times New Roman" w:hAnsi="Arial" w:cs="Arial"/>
          <w:color w:val="auto"/>
          <w:szCs w:val="22"/>
        </w:rPr>
        <w:t xml:space="preserve">:00 </w:t>
      </w:r>
      <w:r w:rsidR="000E1D6F" w:rsidRPr="00B45F54">
        <w:rPr>
          <w:rFonts w:ascii="Arial" w:eastAsia="Times New Roman" w:hAnsi="Arial" w:cs="Arial"/>
          <w:color w:val="auto"/>
          <w:szCs w:val="22"/>
        </w:rPr>
        <w:t xml:space="preserve">pm </w:t>
      </w:r>
      <w:r w:rsidRPr="00B45F54">
        <w:rPr>
          <w:rFonts w:ascii="Arial" w:eastAsia="Times New Roman" w:hAnsi="Arial" w:cs="Arial"/>
          <w:color w:val="auto"/>
          <w:szCs w:val="22"/>
        </w:rPr>
        <w:t xml:space="preserve">AEST. </w:t>
      </w:r>
    </w:p>
    <w:p w14:paraId="2E24110B" w14:textId="1C902082" w:rsidR="00127C14" w:rsidRPr="00B45F54" w:rsidRDefault="00127C14" w:rsidP="00424534">
      <w:pPr>
        <w:spacing w:before="120" w:after="140"/>
        <w:rPr>
          <w:rFonts w:ascii="Arial" w:eastAsia="Times New Roman" w:hAnsi="Arial" w:cs="Arial"/>
          <w:color w:val="auto"/>
          <w:szCs w:val="22"/>
        </w:rPr>
      </w:pPr>
      <w:r w:rsidRPr="00B45F54">
        <w:rPr>
          <w:rFonts w:ascii="Arial" w:eastAsia="Times New Roman" w:hAnsi="Arial" w:cs="Arial"/>
          <w:color w:val="auto"/>
          <w:szCs w:val="22"/>
        </w:rPr>
        <w:t xml:space="preserve">As with the previous </w:t>
      </w:r>
      <w:r w:rsidR="00424534">
        <w:rPr>
          <w:rFonts w:ascii="Arial" w:eastAsia="Times New Roman" w:hAnsi="Arial" w:cs="Arial"/>
          <w:color w:val="auto"/>
          <w:szCs w:val="22"/>
        </w:rPr>
        <w:t>2</w:t>
      </w:r>
      <w:r w:rsidRPr="00B45F54">
        <w:rPr>
          <w:rFonts w:ascii="Arial" w:eastAsia="Times New Roman" w:hAnsi="Arial" w:cs="Arial"/>
          <w:color w:val="auto"/>
          <w:szCs w:val="22"/>
        </w:rPr>
        <w:t xml:space="preserve"> rounds, </w:t>
      </w:r>
      <w:r w:rsidR="00A92357" w:rsidRPr="00B45F54">
        <w:rPr>
          <w:rFonts w:ascii="Arial" w:eastAsia="Times New Roman" w:hAnsi="Arial" w:cs="Arial"/>
          <w:color w:val="auto"/>
          <w:szCs w:val="22"/>
        </w:rPr>
        <w:t>i</w:t>
      </w:r>
      <w:r w:rsidRPr="00B45F54">
        <w:rPr>
          <w:rFonts w:ascii="Arial" w:eastAsia="Times New Roman" w:hAnsi="Arial" w:cs="Arial"/>
          <w:color w:val="auto"/>
          <w:szCs w:val="22"/>
        </w:rPr>
        <w:t>nterest in the third round of the program was high result</w:t>
      </w:r>
      <w:r w:rsidR="00B941BF" w:rsidRPr="00B45F54">
        <w:rPr>
          <w:rFonts w:ascii="Arial" w:eastAsia="Times New Roman" w:hAnsi="Arial" w:cs="Arial"/>
          <w:color w:val="auto"/>
          <w:szCs w:val="22"/>
        </w:rPr>
        <w:t>ing</w:t>
      </w:r>
      <w:r w:rsidRPr="00B45F54">
        <w:rPr>
          <w:rFonts w:ascii="Arial" w:eastAsia="Times New Roman" w:hAnsi="Arial" w:cs="Arial"/>
          <w:color w:val="auto"/>
          <w:szCs w:val="22"/>
        </w:rPr>
        <w:t xml:space="preserve"> in a competitive round and the full allocation of program funding.</w:t>
      </w:r>
    </w:p>
    <w:p w14:paraId="087293BA" w14:textId="1450D27C" w:rsidR="00E21EFC" w:rsidRPr="00B45F54" w:rsidRDefault="00E21EFC" w:rsidP="00424534">
      <w:pPr>
        <w:pStyle w:val="BodyText"/>
        <w:rPr>
          <w:rFonts w:cs="Arial"/>
        </w:rPr>
      </w:pPr>
      <w:r w:rsidRPr="00B45F54">
        <w:rPr>
          <w:rFonts w:ascii="Arial" w:eastAsia="Times New Roman" w:hAnsi="Arial" w:cs="Arial"/>
          <w:color w:val="auto"/>
          <w:szCs w:val="22"/>
        </w:rPr>
        <w:t xml:space="preserve">The grant opportunity received 105 eligible applications. Following the </w:t>
      </w:r>
      <w:r w:rsidR="00664096" w:rsidRPr="00B45F54">
        <w:rPr>
          <w:rFonts w:ascii="Arial" w:eastAsia="Times New Roman" w:hAnsi="Arial" w:cs="Arial"/>
          <w:color w:val="auto"/>
          <w:szCs w:val="22"/>
        </w:rPr>
        <w:t>decision-maker</w:t>
      </w:r>
      <w:r w:rsidRPr="00B45F54">
        <w:rPr>
          <w:rFonts w:ascii="Arial" w:eastAsia="Times New Roman" w:hAnsi="Arial" w:cs="Arial"/>
          <w:color w:val="auto"/>
          <w:szCs w:val="22"/>
        </w:rPr>
        <w:t>’s decision,</w:t>
      </w:r>
      <w:r w:rsidRPr="00B45F54">
        <w:t xml:space="preserve"> </w:t>
      </w:r>
      <w:r w:rsidR="003D70F9" w:rsidRPr="00B45F54">
        <w:t>58</w:t>
      </w:r>
      <w:r w:rsidRPr="00B45F54">
        <w:t xml:space="preserve"> applications </w:t>
      </w:r>
      <w:r w:rsidRPr="00B45F54">
        <w:rPr>
          <w:rFonts w:ascii="Arial" w:eastAsia="Times New Roman" w:hAnsi="Arial" w:cs="Arial"/>
          <w:color w:val="auto"/>
          <w:szCs w:val="22"/>
        </w:rPr>
        <w:t xml:space="preserve">were selected for funding, to a value of </w:t>
      </w:r>
      <w:r w:rsidRPr="00B45F54">
        <w:rPr>
          <w:rFonts w:cs="Arial"/>
        </w:rPr>
        <w:t>$</w:t>
      </w:r>
      <w:r w:rsidR="003D70F9" w:rsidRPr="00B45F54">
        <w:rPr>
          <w:rFonts w:cs="Arial"/>
        </w:rPr>
        <w:t>33,971,203</w:t>
      </w:r>
      <w:r w:rsidRPr="00B45F54">
        <w:rPr>
          <w:rFonts w:cs="Arial"/>
        </w:rPr>
        <w:t xml:space="preserve"> </w:t>
      </w:r>
      <w:r w:rsidRPr="00B45F54">
        <w:rPr>
          <w:rFonts w:ascii="Arial" w:eastAsia="Times New Roman" w:hAnsi="Arial" w:cs="Arial"/>
          <w:color w:val="auto"/>
          <w:szCs w:val="22"/>
        </w:rPr>
        <w:t>(GST excl</w:t>
      </w:r>
      <w:r w:rsidR="00664096" w:rsidRPr="00B45F54">
        <w:rPr>
          <w:rFonts w:ascii="Arial" w:eastAsia="Times New Roman" w:hAnsi="Arial" w:cs="Arial"/>
          <w:color w:val="auto"/>
          <w:szCs w:val="22"/>
        </w:rPr>
        <w:t>usive</w:t>
      </w:r>
      <w:r w:rsidRPr="00B45F54">
        <w:rPr>
          <w:rFonts w:ascii="Arial" w:eastAsia="Times New Roman" w:hAnsi="Arial" w:cs="Arial"/>
          <w:color w:val="auto"/>
          <w:szCs w:val="22"/>
        </w:rPr>
        <w:t>).</w:t>
      </w:r>
      <w:r w:rsidR="000E1D6F" w:rsidRPr="00B45F54">
        <w:rPr>
          <w:rFonts w:ascii="Arial" w:eastAsia="Times New Roman" w:hAnsi="Arial" w:cs="Arial"/>
          <w:color w:val="auto"/>
          <w:szCs w:val="22"/>
        </w:rPr>
        <w:t xml:space="preserve"> A list of the successful projects can be found on the </w:t>
      </w:r>
      <w:hyperlink r:id="rId12" w:history="1">
        <w:r w:rsidR="00424534" w:rsidRPr="00B45F54">
          <w:rPr>
            <w:rFonts w:ascii="Arial" w:eastAsia="Times New Roman" w:hAnsi="Arial" w:cs="Arial"/>
            <w:color w:val="auto"/>
            <w:szCs w:val="22"/>
          </w:rPr>
          <w:t xml:space="preserve"> </w:t>
        </w:r>
        <w:r w:rsidR="00424534" w:rsidRPr="00B45F54">
          <w:rPr>
            <w:rFonts w:asciiTheme="majorHAnsi" w:hAnsiTheme="majorHAnsi" w:cstheme="majorHAnsi"/>
            <w:szCs w:val="22"/>
          </w:rPr>
          <w:t xml:space="preserve">Department of Agriculture, Water and the Environment </w:t>
        </w:r>
        <w:r w:rsidR="00127C14" w:rsidRPr="00B45F54">
          <w:rPr>
            <w:rStyle w:val="Hyperlink"/>
            <w:rFonts w:ascii="Arial" w:eastAsia="Times New Roman" w:hAnsi="Arial" w:cs="Arial"/>
            <w:szCs w:val="22"/>
          </w:rPr>
          <w:t xml:space="preserve"> website</w:t>
        </w:r>
      </w:hyperlink>
      <w:r w:rsidR="000E1D6F" w:rsidRPr="00B45F54">
        <w:rPr>
          <w:rFonts w:ascii="Arial" w:eastAsia="Times New Roman" w:hAnsi="Arial" w:cs="Arial"/>
          <w:color w:val="auto"/>
          <w:szCs w:val="22"/>
        </w:rPr>
        <w:t xml:space="preserve">. </w:t>
      </w:r>
    </w:p>
    <w:p w14:paraId="36E96307" w14:textId="79FBCB64" w:rsidR="00C70A86" w:rsidRPr="00B026AB" w:rsidRDefault="00E21EFC"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This feedback is provided to assist </w:t>
      </w:r>
      <w:r w:rsidR="007572E0">
        <w:rPr>
          <w:rFonts w:ascii="Arial" w:eastAsia="Times New Roman" w:hAnsi="Arial" w:cs="Arial"/>
          <w:color w:val="auto"/>
          <w:szCs w:val="22"/>
        </w:rPr>
        <w:t>a</w:t>
      </w:r>
      <w:r w:rsidRPr="00B026AB">
        <w:rPr>
          <w:rFonts w:ascii="Arial" w:eastAsia="Times New Roman" w:hAnsi="Arial" w:cs="Arial"/>
          <w:color w:val="auto"/>
          <w:szCs w:val="22"/>
        </w:rPr>
        <w:t>pplicants to understand what generally comprised a strong application and the content of quality responses to the assessment criteria for this grant round.</w:t>
      </w:r>
      <w:r w:rsidR="00127C14" w:rsidRPr="00B026AB">
        <w:rPr>
          <w:rFonts w:ascii="Arial" w:eastAsia="Times New Roman" w:hAnsi="Arial" w:cs="Arial"/>
          <w:color w:val="auto"/>
          <w:szCs w:val="22"/>
        </w:rPr>
        <w:t xml:space="preserve"> It provides feedback to applicants on how applications could have been strengthened. </w:t>
      </w:r>
    </w:p>
    <w:p w14:paraId="17DE0915" w14:textId="4859C1FF" w:rsidR="00C70A86" w:rsidRPr="00B026AB" w:rsidRDefault="00127C1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Unsuccessful applicants are encouraged to consider how this feedback applies to their application and, should they wish to apply for any grant funding in the future, are also encouraged to use this information to maximise their chances of gaining funding in other programs.</w:t>
      </w:r>
      <w:r w:rsidR="00C70A86" w:rsidRPr="00B026AB">
        <w:rPr>
          <w:rFonts w:ascii="Arial" w:eastAsia="Times New Roman" w:hAnsi="Arial" w:cs="Arial"/>
          <w:color w:val="auto"/>
          <w:szCs w:val="22"/>
        </w:rPr>
        <w:t xml:space="preserve"> Individual feedback is available to applicants, and details on how to request this is provided in this document.</w:t>
      </w:r>
    </w:p>
    <w:p w14:paraId="514AEACD" w14:textId="77777777" w:rsidR="00E21EFC" w:rsidRPr="00B026AB" w:rsidRDefault="00E21EFC" w:rsidP="00424534">
      <w:pPr>
        <w:pStyle w:val="Heading1"/>
        <w:numPr>
          <w:ilvl w:val="0"/>
          <w:numId w:val="0"/>
        </w:numPr>
        <w:spacing w:before="120" w:after="140" w:line="280" w:lineRule="atLeast"/>
        <w:ind w:left="454" w:hanging="454"/>
        <w:rPr>
          <w:rFonts w:asciiTheme="minorHAnsi" w:eastAsia="Times New Roman" w:hAnsiTheme="minorHAnsi" w:cstheme="minorHAnsi"/>
          <w:bCs/>
        </w:rPr>
      </w:pPr>
      <w:r w:rsidRPr="00B026AB">
        <w:rPr>
          <w:rFonts w:asciiTheme="minorHAnsi" w:eastAsia="Times New Roman" w:hAnsiTheme="minorHAnsi" w:cstheme="minorHAnsi"/>
          <w:bCs/>
        </w:rPr>
        <w:t>Program Background</w:t>
      </w:r>
    </w:p>
    <w:p w14:paraId="421E9E47" w14:textId="77777777" w:rsidR="00AA2262" w:rsidRPr="00B026AB" w:rsidRDefault="000E4EAA"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The </w:t>
      </w:r>
      <w:r w:rsidR="00AA2262" w:rsidRPr="00B026AB">
        <w:rPr>
          <w:rFonts w:ascii="Arial" w:eastAsia="Times New Roman" w:hAnsi="Arial" w:cs="Arial"/>
          <w:color w:val="auto"/>
          <w:szCs w:val="22"/>
        </w:rPr>
        <w:t>Murray</w:t>
      </w:r>
      <w:r w:rsidR="007009DB" w:rsidRPr="00B026AB">
        <w:rPr>
          <w:rFonts w:ascii="Arial" w:eastAsia="Times New Roman" w:hAnsi="Arial" w:cs="Arial"/>
          <w:color w:val="auto"/>
          <w:szCs w:val="22"/>
        </w:rPr>
        <w:t>–</w:t>
      </w:r>
      <w:r w:rsidR="00AA2262" w:rsidRPr="00B026AB">
        <w:rPr>
          <w:rFonts w:ascii="Arial" w:eastAsia="Times New Roman" w:hAnsi="Arial" w:cs="Arial"/>
          <w:color w:val="auto"/>
          <w:szCs w:val="22"/>
        </w:rPr>
        <w:t>Dar</w:t>
      </w:r>
      <w:r w:rsidR="007009DB" w:rsidRPr="00B026AB">
        <w:rPr>
          <w:rFonts w:ascii="Arial" w:eastAsia="Times New Roman" w:hAnsi="Arial" w:cs="Arial"/>
          <w:color w:val="auto"/>
          <w:szCs w:val="22"/>
        </w:rPr>
        <w:t>l</w:t>
      </w:r>
      <w:r w:rsidR="00AA2262" w:rsidRPr="00B026AB">
        <w:rPr>
          <w:rFonts w:ascii="Arial" w:eastAsia="Times New Roman" w:hAnsi="Arial" w:cs="Arial"/>
          <w:color w:val="auto"/>
          <w:szCs w:val="22"/>
        </w:rPr>
        <w:t xml:space="preserve">ing Basin Economic Development Program </w:t>
      </w:r>
      <w:r w:rsidRPr="00B026AB">
        <w:rPr>
          <w:rFonts w:ascii="Arial" w:eastAsia="Times New Roman" w:hAnsi="Arial" w:cs="Arial"/>
          <w:color w:val="auto"/>
          <w:szCs w:val="22"/>
        </w:rPr>
        <w:t xml:space="preserve">was announced by </w:t>
      </w:r>
      <w:r w:rsidR="00D63946" w:rsidRPr="00B026AB">
        <w:rPr>
          <w:rFonts w:ascii="Arial" w:eastAsia="Times New Roman" w:hAnsi="Arial" w:cs="Arial"/>
          <w:color w:val="auto"/>
          <w:szCs w:val="22"/>
        </w:rPr>
        <w:t xml:space="preserve">the </w:t>
      </w:r>
      <w:r w:rsidRPr="00B026AB">
        <w:rPr>
          <w:rFonts w:ascii="Arial" w:eastAsia="Times New Roman" w:hAnsi="Arial" w:cs="Arial"/>
          <w:color w:val="auto"/>
          <w:szCs w:val="22"/>
        </w:rPr>
        <w:t>the</w:t>
      </w:r>
      <w:r w:rsidR="00AA2262" w:rsidRPr="00B026AB">
        <w:rPr>
          <w:rFonts w:ascii="Arial" w:eastAsia="Times New Roman" w:hAnsi="Arial" w:cs="Arial"/>
          <w:color w:val="auto"/>
          <w:szCs w:val="22"/>
        </w:rPr>
        <w:t>n</w:t>
      </w:r>
      <w:r w:rsidRPr="00B026AB">
        <w:rPr>
          <w:rFonts w:ascii="Arial" w:eastAsia="Times New Roman" w:hAnsi="Arial" w:cs="Arial"/>
          <w:color w:val="auto"/>
          <w:szCs w:val="22"/>
        </w:rPr>
        <w:t xml:space="preserve"> Minister for Agriculture and Water Resources on 7</w:t>
      </w:r>
      <w:r w:rsidR="00AA2262" w:rsidRPr="00B026AB">
        <w:rPr>
          <w:rFonts w:ascii="Arial" w:eastAsia="Times New Roman" w:hAnsi="Arial" w:cs="Arial"/>
          <w:color w:val="auto"/>
          <w:szCs w:val="22"/>
        </w:rPr>
        <w:t> </w:t>
      </w:r>
      <w:r w:rsidRPr="00B026AB">
        <w:rPr>
          <w:rFonts w:ascii="Arial" w:eastAsia="Times New Roman" w:hAnsi="Arial" w:cs="Arial"/>
          <w:color w:val="auto"/>
          <w:szCs w:val="22"/>
        </w:rPr>
        <w:t>May</w:t>
      </w:r>
      <w:r w:rsidR="00AA2262" w:rsidRPr="00B026AB">
        <w:rPr>
          <w:rFonts w:ascii="Arial" w:eastAsia="Times New Roman" w:hAnsi="Arial" w:cs="Arial"/>
          <w:color w:val="auto"/>
          <w:szCs w:val="22"/>
        </w:rPr>
        <w:t> </w:t>
      </w:r>
      <w:r w:rsidRPr="00B026AB">
        <w:rPr>
          <w:rFonts w:ascii="Arial" w:eastAsia="Times New Roman" w:hAnsi="Arial" w:cs="Arial"/>
          <w:color w:val="auto"/>
          <w:szCs w:val="22"/>
        </w:rPr>
        <w:t>2018, as part of the Basin Plan Commitments Package</w:t>
      </w:r>
      <w:r w:rsidR="00AA2262" w:rsidRPr="00B026AB">
        <w:rPr>
          <w:rFonts w:ascii="Arial" w:eastAsia="Times New Roman" w:hAnsi="Arial" w:cs="Arial"/>
          <w:color w:val="auto"/>
          <w:szCs w:val="22"/>
        </w:rPr>
        <w:t>, to support those communities identified as impacted by water recovery under the Murray</w:t>
      </w:r>
      <w:r w:rsidR="007009DB" w:rsidRPr="00B026AB">
        <w:rPr>
          <w:rFonts w:ascii="Arial" w:eastAsia="Times New Roman" w:hAnsi="Arial" w:cs="Arial"/>
          <w:color w:val="auto"/>
          <w:szCs w:val="22"/>
        </w:rPr>
        <w:t>–</w:t>
      </w:r>
      <w:r w:rsidR="00AA2262" w:rsidRPr="00B026AB">
        <w:rPr>
          <w:rFonts w:ascii="Arial" w:eastAsia="Times New Roman" w:hAnsi="Arial" w:cs="Arial"/>
          <w:color w:val="auto"/>
          <w:szCs w:val="22"/>
        </w:rPr>
        <w:t>Darling Basin Plan (the Basin Plan).</w:t>
      </w:r>
    </w:p>
    <w:p w14:paraId="2BAAE189" w14:textId="7BA78BDA" w:rsidR="00AA2262" w:rsidRPr="00B026AB" w:rsidRDefault="00AA2262"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The first round of the program identified 15 Basin communities as ‘most impacted’ by water recovery activities under the Basin Plan (as defined by Murray–Darling Basin Authority research) and </w:t>
      </w:r>
      <w:r w:rsidR="00D2640C" w:rsidRPr="00B026AB">
        <w:rPr>
          <w:rFonts w:ascii="Arial" w:eastAsia="Times New Roman" w:hAnsi="Arial" w:cs="Arial"/>
          <w:color w:val="auto"/>
          <w:szCs w:val="22"/>
        </w:rPr>
        <w:t xml:space="preserve">therefore </w:t>
      </w:r>
      <w:r w:rsidRPr="00B026AB">
        <w:rPr>
          <w:rFonts w:ascii="Arial" w:eastAsia="Times New Roman" w:hAnsi="Arial" w:cs="Arial"/>
          <w:color w:val="auto"/>
          <w:szCs w:val="22"/>
        </w:rPr>
        <w:t>eligible for funding.</w:t>
      </w:r>
    </w:p>
    <w:p w14:paraId="559B1325" w14:textId="67D17C97" w:rsidR="00A8096F" w:rsidRPr="00B026AB" w:rsidRDefault="00AA2262" w:rsidP="00997358">
      <w:pPr>
        <w:spacing w:before="120" w:after="140"/>
      </w:pPr>
      <w:r w:rsidRPr="00B026AB">
        <w:rPr>
          <w:rFonts w:ascii="Arial" w:eastAsia="Times New Roman" w:hAnsi="Arial" w:cs="Arial"/>
          <w:color w:val="auto"/>
          <w:szCs w:val="22"/>
        </w:rPr>
        <w:t>The second round identified 31 communities as eligible for funding,</w:t>
      </w:r>
      <w:r w:rsidR="0020448F" w:rsidRPr="00B026AB">
        <w:rPr>
          <w:rFonts w:ascii="Arial" w:eastAsia="Times New Roman" w:hAnsi="Arial" w:cs="Arial"/>
          <w:color w:val="auto"/>
          <w:szCs w:val="22"/>
        </w:rPr>
        <w:t xml:space="preserve"> with</w:t>
      </w:r>
      <w:r w:rsidRPr="00B026AB">
        <w:rPr>
          <w:rFonts w:ascii="Arial" w:eastAsia="Times New Roman" w:hAnsi="Arial" w:cs="Arial"/>
          <w:color w:val="auto"/>
          <w:szCs w:val="22"/>
        </w:rPr>
        <w:t xml:space="preserve"> </w:t>
      </w:r>
      <w:r w:rsidR="00E21EFC" w:rsidRPr="00B026AB">
        <w:rPr>
          <w:rFonts w:ascii="Arial" w:eastAsia="Times New Roman" w:hAnsi="Arial" w:cs="Arial"/>
          <w:color w:val="auto"/>
          <w:szCs w:val="22"/>
        </w:rPr>
        <w:t>t</w:t>
      </w:r>
      <w:r w:rsidRPr="00B026AB">
        <w:rPr>
          <w:rFonts w:ascii="Arial" w:eastAsia="Times New Roman" w:hAnsi="Arial" w:cs="Arial"/>
          <w:color w:val="auto"/>
          <w:szCs w:val="22"/>
        </w:rPr>
        <w:t xml:space="preserve">he communities eligible for funding under Round 1 of the program </w:t>
      </w:r>
      <w:r w:rsidR="0020448F" w:rsidRPr="00B026AB">
        <w:rPr>
          <w:rFonts w:ascii="Arial" w:eastAsia="Times New Roman" w:hAnsi="Arial" w:cs="Arial"/>
          <w:color w:val="auto"/>
          <w:szCs w:val="22"/>
        </w:rPr>
        <w:t>in</w:t>
      </w:r>
      <w:r w:rsidRPr="00B026AB">
        <w:rPr>
          <w:rFonts w:ascii="Arial" w:eastAsia="Times New Roman" w:hAnsi="Arial" w:cs="Arial"/>
          <w:color w:val="auto"/>
          <w:szCs w:val="22"/>
        </w:rPr>
        <w:t>eligible for funding under Round 2.</w:t>
      </w:r>
    </w:p>
    <w:p w14:paraId="1C7C5BEF" w14:textId="4EFFE25C" w:rsidR="0020448F" w:rsidRPr="00B026AB" w:rsidRDefault="00C70A86" w:rsidP="00997358">
      <w:pPr>
        <w:keepNext/>
        <w:keepLines/>
        <w:spacing w:before="120" w:after="140"/>
        <w:rPr>
          <w:rFonts w:ascii="Arial" w:eastAsia="Times New Roman" w:hAnsi="Arial" w:cs="Arial"/>
          <w:color w:val="auto"/>
          <w:szCs w:val="22"/>
        </w:rPr>
      </w:pPr>
      <w:r w:rsidRPr="00B026AB">
        <w:rPr>
          <w:rFonts w:ascii="Arial" w:eastAsia="Times New Roman" w:hAnsi="Arial" w:cs="Arial"/>
          <w:color w:val="auto"/>
          <w:szCs w:val="22"/>
        </w:rPr>
        <w:lastRenderedPageBreak/>
        <w:t>Th</w:t>
      </w:r>
      <w:r w:rsidR="0020448F" w:rsidRPr="00B026AB">
        <w:rPr>
          <w:rFonts w:ascii="Arial" w:eastAsia="Times New Roman" w:hAnsi="Arial" w:cs="Arial"/>
          <w:color w:val="auto"/>
          <w:szCs w:val="22"/>
        </w:rPr>
        <w:t>e</w:t>
      </w:r>
      <w:r w:rsidRPr="00B026AB">
        <w:rPr>
          <w:rFonts w:ascii="Arial" w:eastAsia="Times New Roman" w:hAnsi="Arial" w:cs="Arial"/>
          <w:color w:val="auto"/>
          <w:szCs w:val="22"/>
        </w:rPr>
        <w:t xml:space="preserve"> third round </w:t>
      </w:r>
      <w:r w:rsidR="0020448F" w:rsidRPr="00B026AB">
        <w:rPr>
          <w:rFonts w:ascii="Arial" w:eastAsia="Times New Roman" w:hAnsi="Arial" w:cs="Arial"/>
          <w:color w:val="auto"/>
          <w:szCs w:val="22"/>
        </w:rPr>
        <w:t xml:space="preserve">identified 38 </w:t>
      </w:r>
      <w:r w:rsidR="007572E0">
        <w:rPr>
          <w:rFonts w:ascii="Arial" w:eastAsia="Times New Roman" w:hAnsi="Arial" w:cs="Arial"/>
          <w:color w:val="auto"/>
          <w:szCs w:val="22"/>
        </w:rPr>
        <w:t>L</w:t>
      </w:r>
      <w:r w:rsidR="0020448F" w:rsidRPr="00B026AB">
        <w:rPr>
          <w:rFonts w:ascii="Arial" w:eastAsia="Times New Roman" w:hAnsi="Arial" w:cs="Arial"/>
          <w:color w:val="auto"/>
          <w:szCs w:val="22"/>
        </w:rPr>
        <w:t xml:space="preserve">ocal </w:t>
      </w:r>
      <w:r w:rsidR="007572E0">
        <w:rPr>
          <w:rFonts w:ascii="Arial" w:eastAsia="Times New Roman" w:hAnsi="Arial" w:cs="Arial"/>
          <w:color w:val="auto"/>
          <w:szCs w:val="22"/>
        </w:rPr>
        <w:t>G</w:t>
      </w:r>
      <w:r w:rsidR="0020448F" w:rsidRPr="00B026AB">
        <w:rPr>
          <w:rFonts w:ascii="Arial" w:eastAsia="Times New Roman" w:hAnsi="Arial" w:cs="Arial"/>
          <w:color w:val="auto"/>
          <w:szCs w:val="22"/>
        </w:rPr>
        <w:t xml:space="preserve">overnment </w:t>
      </w:r>
      <w:r w:rsidR="007572E0">
        <w:rPr>
          <w:rFonts w:ascii="Arial" w:eastAsia="Times New Roman" w:hAnsi="Arial" w:cs="Arial"/>
          <w:color w:val="auto"/>
          <w:szCs w:val="22"/>
        </w:rPr>
        <w:t>A</w:t>
      </w:r>
      <w:r w:rsidR="0020448F" w:rsidRPr="00B026AB">
        <w:rPr>
          <w:rFonts w:ascii="Arial" w:eastAsia="Times New Roman" w:hAnsi="Arial" w:cs="Arial"/>
          <w:color w:val="auto"/>
          <w:szCs w:val="22"/>
        </w:rPr>
        <w:t xml:space="preserve">reas </w:t>
      </w:r>
      <w:r w:rsidR="007572E0">
        <w:rPr>
          <w:rFonts w:ascii="Arial" w:eastAsia="Times New Roman" w:hAnsi="Arial" w:cs="Arial"/>
          <w:color w:val="auto"/>
          <w:szCs w:val="22"/>
        </w:rPr>
        <w:t xml:space="preserve">(LGAs) </w:t>
      </w:r>
      <w:r w:rsidR="0020448F" w:rsidRPr="00B026AB">
        <w:rPr>
          <w:rFonts w:ascii="Arial" w:eastAsia="Times New Roman" w:hAnsi="Arial" w:cs="Arial"/>
          <w:color w:val="auto"/>
          <w:szCs w:val="22"/>
        </w:rPr>
        <w:t>as eligible for funding</w:t>
      </w:r>
      <w:r w:rsidR="007F01B0" w:rsidRPr="00B026AB">
        <w:rPr>
          <w:rFonts w:ascii="Arial" w:eastAsia="Times New Roman" w:hAnsi="Arial" w:cs="Arial"/>
          <w:color w:val="auto"/>
          <w:szCs w:val="22"/>
        </w:rPr>
        <w:t xml:space="preserve"> as those</w:t>
      </w:r>
      <w:r w:rsidR="0020448F" w:rsidRPr="00B026AB">
        <w:rPr>
          <w:rFonts w:ascii="Arial" w:eastAsia="Times New Roman" w:hAnsi="Arial" w:cs="Arial"/>
          <w:color w:val="auto"/>
          <w:szCs w:val="22"/>
        </w:rPr>
        <w:t xml:space="preserve"> impacted to varying degrees by water recovery under the Basin Plan</w:t>
      </w:r>
      <w:r w:rsidR="007F01B0" w:rsidRPr="00B026AB">
        <w:rPr>
          <w:rFonts w:ascii="Arial" w:eastAsia="Times New Roman" w:hAnsi="Arial" w:cs="Arial"/>
          <w:color w:val="auto"/>
          <w:szCs w:val="22"/>
        </w:rPr>
        <w:t xml:space="preserve"> and taking into a</w:t>
      </w:r>
      <w:r w:rsidR="0020448F" w:rsidRPr="00B026AB">
        <w:rPr>
          <w:rFonts w:ascii="Arial" w:eastAsia="Times New Roman" w:hAnsi="Arial" w:cs="Arial"/>
          <w:color w:val="auto"/>
          <w:szCs w:val="22"/>
        </w:rPr>
        <w:t xml:space="preserve">ccount a wide range of research, including Murray–Darling Basin Authority (MDBA) evaluations and newer research conducted around the Sefton report. </w:t>
      </w:r>
    </w:p>
    <w:p w14:paraId="314CF7CD" w14:textId="7628CB7A" w:rsidR="0020448F" w:rsidRPr="00B026AB" w:rsidRDefault="0020448F"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The boundaries of the communities eligible under Round 3 are based on LGAs. This expansion of community size takes into consideration the expansion of impacts of Basin Plan water recovery since MDBA assessments in 2016 and 2017 and the social and economic linkages between populations within LGAs.</w:t>
      </w:r>
    </w:p>
    <w:p w14:paraId="10DF28E4" w14:textId="0712BFEB" w:rsidR="00C70A86" w:rsidRPr="00B026AB" w:rsidRDefault="00C70A86"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Communities eligible for funding under Round 1 or Round 2 of the program were eligible for funding under Round 3.</w:t>
      </w:r>
    </w:p>
    <w:p w14:paraId="5C305C56" w14:textId="3D12B5E4" w:rsidR="00C70A86" w:rsidRPr="00B026AB" w:rsidRDefault="00C70A86"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The 3</w:t>
      </w:r>
      <w:r w:rsidR="004A44C0">
        <w:rPr>
          <w:rFonts w:ascii="Arial" w:eastAsia="Times New Roman" w:hAnsi="Arial" w:cs="Arial"/>
          <w:color w:val="auto"/>
          <w:szCs w:val="22"/>
        </w:rPr>
        <w:t>8</w:t>
      </w:r>
      <w:r w:rsidRPr="00B026AB">
        <w:rPr>
          <w:rFonts w:ascii="Arial" w:eastAsia="Times New Roman" w:hAnsi="Arial" w:cs="Arial"/>
          <w:color w:val="auto"/>
          <w:szCs w:val="22"/>
        </w:rPr>
        <w:t xml:space="preserve"> communities identified by the department as eligible for the program </w:t>
      </w:r>
      <w:r w:rsidR="00664096">
        <w:rPr>
          <w:rFonts w:ascii="Arial" w:eastAsia="Times New Roman" w:hAnsi="Arial" w:cs="Arial"/>
          <w:color w:val="auto"/>
          <w:szCs w:val="22"/>
        </w:rPr>
        <w:t>under</w:t>
      </w:r>
      <w:r w:rsidRPr="00B026AB">
        <w:rPr>
          <w:rFonts w:ascii="Arial" w:eastAsia="Times New Roman" w:hAnsi="Arial" w:cs="Arial"/>
          <w:color w:val="auto"/>
          <w:szCs w:val="22"/>
        </w:rPr>
        <w:t xml:space="preserve"> Round </w:t>
      </w:r>
      <w:r w:rsidR="00664096">
        <w:rPr>
          <w:rFonts w:ascii="Arial" w:eastAsia="Times New Roman" w:hAnsi="Arial" w:cs="Arial"/>
          <w:color w:val="auto"/>
          <w:szCs w:val="22"/>
        </w:rPr>
        <w:t>3</w:t>
      </w:r>
      <w:r w:rsidR="00664096" w:rsidRPr="00B026AB">
        <w:rPr>
          <w:rFonts w:ascii="Arial" w:eastAsia="Times New Roman" w:hAnsi="Arial" w:cs="Arial"/>
          <w:color w:val="auto"/>
          <w:szCs w:val="22"/>
        </w:rPr>
        <w:t xml:space="preserve"> </w:t>
      </w:r>
      <w:r w:rsidRPr="00B026AB">
        <w:rPr>
          <w:rFonts w:ascii="Arial" w:eastAsia="Times New Roman" w:hAnsi="Arial" w:cs="Arial"/>
          <w:color w:val="auto"/>
          <w:szCs w:val="22"/>
        </w:rPr>
        <w:t>are:</w:t>
      </w:r>
    </w:p>
    <w:tbl>
      <w:tblPr>
        <w:tblStyle w:val="TableGrid1"/>
        <w:tblW w:w="9344" w:type="dxa"/>
        <w:tblLook w:val="04A0" w:firstRow="1" w:lastRow="0" w:firstColumn="1" w:lastColumn="0" w:noHBand="0" w:noVBand="1"/>
        <w:tblCaption w:val="Table of eligible local governments areas"/>
        <w:tblDescription w:val="Table of eligible local governments areas"/>
      </w:tblPr>
      <w:tblGrid>
        <w:gridCol w:w="3114"/>
        <w:gridCol w:w="1558"/>
        <w:gridCol w:w="1557"/>
        <w:gridCol w:w="3115"/>
      </w:tblGrid>
      <w:tr w:rsidR="00C70A86" w:rsidRPr="00B026AB" w14:paraId="19326AC9" w14:textId="77777777" w:rsidTr="00BF6418">
        <w:trPr>
          <w:trHeight w:val="471"/>
          <w:tblHeader/>
        </w:trPr>
        <w:tc>
          <w:tcPr>
            <w:tcW w:w="9344" w:type="dxa"/>
            <w:gridSpan w:val="4"/>
            <w:shd w:val="clear" w:color="auto" w:fill="FFD923"/>
            <w:vAlign w:val="center"/>
          </w:tcPr>
          <w:p w14:paraId="206D390D" w14:textId="3D096C20" w:rsidR="00C70A86" w:rsidRPr="00B026AB" w:rsidRDefault="00C70A86" w:rsidP="00424534">
            <w:pPr>
              <w:spacing w:before="120" w:after="140"/>
              <w:rPr>
                <w:rFonts w:ascii="Arial" w:eastAsia="Times New Roman" w:hAnsi="Arial" w:cs="Arial"/>
                <w:b/>
                <w:color w:val="auto"/>
              </w:rPr>
            </w:pPr>
            <w:r w:rsidRPr="00B026AB">
              <w:rPr>
                <w:rFonts w:ascii="Arial" w:eastAsia="Times New Roman" w:hAnsi="Arial" w:cs="Arial"/>
                <w:b/>
                <w:color w:val="auto"/>
              </w:rPr>
              <w:t>Queensland</w:t>
            </w:r>
          </w:p>
        </w:tc>
      </w:tr>
      <w:tr w:rsidR="00C70A86" w:rsidRPr="00B026AB" w14:paraId="6EF5D82C" w14:textId="77777777" w:rsidTr="00B52656">
        <w:trPr>
          <w:trHeight w:val="35"/>
        </w:trPr>
        <w:tc>
          <w:tcPr>
            <w:tcW w:w="4672" w:type="dxa"/>
            <w:gridSpan w:val="2"/>
          </w:tcPr>
          <w:p w14:paraId="751B4476" w14:textId="62FF283A" w:rsidR="00C70A86" w:rsidRPr="00B026AB" w:rsidRDefault="00C70A86" w:rsidP="00424534">
            <w:pPr>
              <w:spacing w:before="120" w:after="140"/>
              <w:rPr>
                <w:rFonts w:ascii="Arial" w:eastAsia="Times New Roman" w:hAnsi="Arial" w:cs="Arial"/>
                <w:color w:val="auto"/>
              </w:rPr>
            </w:pPr>
            <w:bookmarkStart w:id="0" w:name="_GoBack" w:colFirst="0" w:colLast="1"/>
            <w:r w:rsidRPr="00B026AB">
              <w:rPr>
                <w:rFonts w:cs="Calibri"/>
                <w:color w:val="000000"/>
                <w:lang w:eastAsia="en-AU"/>
              </w:rPr>
              <w:t>Balonne</w:t>
            </w:r>
          </w:p>
        </w:tc>
        <w:tc>
          <w:tcPr>
            <w:tcW w:w="4672" w:type="dxa"/>
            <w:gridSpan w:val="2"/>
          </w:tcPr>
          <w:p w14:paraId="3E376A4D" w14:textId="32BF3079" w:rsidR="00C70A86" w:rsidRPr="00B026AB" w:rsidRDefault="00C70A86" w:rsidP="00424534">
            <w:pPr>
              <w:spacing w:before="120" w:after="140"/>
              <w:rPr>
                <w:rFonts w:ascii="Arial" w:eastAsia="Times New Roman" w:hAnsi="Arial" w:cs="Arial"/>
                <w:color w:val="auto"/>
              </w:rPr>
            </w:pPr>
            <w:r w:rsidRPr="00B026AB">
              <w:rPr>
                <w:rFonts w:cs="Calibri"/>
                <w:color w:val="000000"/>
                <w:lang w:eastAsia="en-AU"/>
              </w:rPr>
              <w:t>Paroo</w:t>
            </w:r>
          </w:p>
        </w:tc>
      </w:tr>
      <w:bookmarkEnd w:id="0"/>
      <w:tr w:rsidR="00C70A86" w:rsidRPr="00B026AB" w14:paraId="1FB14517" w14:textId="77777777" w:rsidTr="00FD27EB">
        <w:trPr>
          <w:trHeight w:val="471"/>
        </w:trPr>
        <w:tc>
          <w:tcPr>
            <w:tcW w:w="9344" w:type="dxa"/>
            <w:gridSpan w:val="4"/>
            <w:shd w:val="clear" w:color="auto" w:fill="FFD923"/>
            <w:vAlign w:val="center"/>
          </w:tcPr>
          <w:p w14:paraId="687305C5" w14:textId="77777777" w:rsidR="00C70A86" w:rsidRPr="00B026AB" w:rsidRDefault="00C70A86" w:rsidP="00424534">
            <w:pPr>
              <w:spacing w:before="120" w:after="140"/>
              <w:rPr>
                <w:rFonts w:ascii="Arial" w:eastAsia="Times New Roman" w:hAnsi="Arial" w:cs="Arial"/>
                <w:b/>
                <w:color w:val="auto"/>
              </w:rPr>
            </w:pPr>
            <w:r w:rsidRPr="00B026AB">
              <w:rPr>
                <w:rFonts w:ascii="Arial" w:eastAsia="Times New Roman" w:hAnsi="Arial" w:cs="Arial"/>
                <w:b/>
                <w:color w:val="auto"/>
              </w:rPr>
              <w:t>New South Wales</w:t>
            </w:r>
          </w:p>
        </w:tc>
      </w:tr>
      <w:tr w:rsidR="00C70A86" w:rsidRPr="00B026AB" w14:paraId="2756D50B" w14:textId="77777777" w:rsidTr="00FD27EB">
        <w:trPr>
          <w:trHeight w:val="468"/>
        </w:trPr>
        <w:tc>
          <w:tcPr>
            <w:tcW w:w="3114" w:type="dxa"/>
          </w:tcPr>
          <w:p w14:paraId="4F77A6D1"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 xml:space="preserve">Balranald </w:t>
            </w:r>
          </w:p>
          <w:p w14:paraId="1C836490"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Berrigan</w:t>
            </w:r>
          </w:p>
          <w:p w14:paraId="0B4634EA"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Bland</w:t>
            </w:r>
          </w:p>
          <w:p w14:paraId="243AAFCE"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Bourke</w:t>
            </w:r>
          </w:p>
          <w:p w14:paraId="577CBD05"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Brewarrina</w:t>
            </w:r>
          </w:p>
          <w:p w14:paraId="33E4F7E3"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Carrathool</w:t>
            </w:r>
          </w:p>
          <w:p w14:paraId="2CEB7980"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Central Darling</w:t>
            </w:r>
          </w:p>
          <w:p w14:paraId="7728BD4E" w14:textId="28026993"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Coonamble</w:t>
            </w:r>
          </w:p>
        </w:tc>
        <w:tc>
          <w:tcPr>
            <w:tcW w:w="3115" w:type="dxa"/>
            <w:gridSpan w:val="2"/>
          </w:tcPr>
          <w:p w14:paraId="03ECF8A1"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Edward River</w:t>
            </w:r>
          </w:p>
          <w:p w14:paraId="350AEB4A"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Federation</w:t>
            </w:r>
          </w:p>
          <w:p w14:paraId="7EF15590"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Griffith</w:t>
            </w:r>
          </w:p>
          <w:p w14:paraId="0B6C73CC"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Gwydir</w:t>
            </w:r>
          </w:p>
          <w:p w14:paraId="5AA2FD99"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Hay</w:t>
            </w:r>
          </w:p>
          <w:p w14:paraId="39E7C208"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Leeton</w:t>
            </w:r>
          </w:p>
          <w:p w14:paraId="347AE8F3" w14:textId="5F50E37B"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Moree Plains</w:t>
            </w:r>
          </w:p>
        </w:tc>
        <w:tc>
          <w:tcPr>
            <w:tcW w:w="3115" w:type="dxa"/>
          </w:tcPr>
          <w:p w14:paraId="44DFB090"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Murray River</w:t>
            </w:r>
          </w:p>
          <w:p w14:paraId="54855E60"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Murrumbidgee</w:t>
            </w:r>
          </w:p>
          <w:p w14:paraId="1B826F74"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Narrabri</w:t>
            </w:r>
          </w:p>
          <w:p w14:paraId="75FA822A"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Narromine</w:t>
            </w:r>
          </w:p>
          <w:p w14:paraId="26607AF9"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Walgett</w:t>
            </w:r>
          </w:p>
          <w:p w14:paraId="5E5A63B8"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Warren</w:t>
            </w:r>
          </w:p>
          <w:p w14:paraId="00AA7BAA" w14:textId="3784BEF2"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 xml:space="preserve">Wentworth </w:t>
            </w:r>
          </w:p>
        </w:tc>
      </w:tr>
      <w:tr w:rsidR="00C70A86" w:rsidRPr="00B026AB" w14:paraId="18A812BB" w14:textId="77777777" w:rsidTr="00FD27EB">
        <w:trPr>
          <w:trHeight w:val="471"/>
        </w:trPr>
        <w:tc>
          <w:tcPr>
            <w:tcW w:w="9344" w:type="dxa"/>
            <w:gridSpan w:val="4"/>
            <w:shd w:val="clear" w:color="auto" w:fill="FFD923"/>
            <w:vAlign w:val="center"/>
          </w:tcPr>
          <w:p w14:paraId="62C77388" w14:textId="77777777" w:rsidR="00C70A86" w:rsidRPr="00B026AB" w:rsidRDefault="00C70A86" w:rsidP="00424534">
            <w:pPr>
              <w:spacing w:before="120" w:after="140"/>
              <w:rPr>
                <w:rFonts w:ascii="Arial" w:eastAsia="Times New Roman" w:hAnsi="Arial" w:cs="Arial"/>
                <w:b/>
                <w:color w:val="auto"/>
              </w:rPr>
            </w:pPr>
            <w:r w:rsidRPr="00B026AB">
              <w:rPr>
                <w:rFonts w:ascii="Arial" w:eastAsia="Times New Roman" w:hAnsi="Arial" w:cs="Arial"/>
                <w:b/>
                <w:color w:val="auto"/>
              </w:rPr>
              <w:t>Victoria</w:t>
            </w:r>
          </w:p>
        </w:tc>
      </w:tr>
      <w:tr w:rsidR="00C70A86" w:rsidRPr="00B026AB" w14:paraId="790F8ECF" w14:textId="77777777" w:rsidTr="00FD27EB">
        <w:trPr>
          <w:trHeight w:val="583"/>
        </w:trPr>
        <w:tc>
          <w:tcPr>
            <w:tcW w:w="3114" w:type="dxa"/>
          </w:tcPr>
          <w:p w14:paraId="041342FD"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Campaspe</w:t>
            </w:r>
          </w:p>
          <w:p w14:paraId="6C144C5C"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 xml:space="preserve">Gannawarra </w:t>
            </w:r>
          </w:p>
          <w:p w14:paraId="67EAD348" w14:textId="61C24A6C"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Greater Shepparton</w:t>
            </w:r>
          </w:p>
        </w:tc>
        <w:tc>
          <w:tcPr>
            <w:tcW w:w="3115" w:type="dxa"/>
            <w:gridSpan w:val="2"/>
          </w:tcPr>
          <w:p w14:paraId="2EDDA06D"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Loddon</w:t>
            </w:r>
          </w:p>
          <w:p w14:paraId="5BFEA950" w14:textId="11E8EEFD"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Mildura</w:t>
            </w:r>
          </w:p>
        </w:tc>
        <w:tc>
          <w:tcPr>
            <w:tcW w:w="3115" w:type="dxa"/>
          </w:tcPr>
          <w:p w14:paraId="67633FB0"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Moira</w:t>
            </w:r>
          </w:p>
          <w:p w14:paraId="53B2450B" w14:textId="658F34E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Swan Hill</w:t>
            </w:r>
          </w:p>
        </w:tc>
      </w:tr>
      <w:tr w:rsidR="00C70A86" w:rsidRPr="00B026AB" w14:paraId="7D3817EC" w14:textId="77777777" w:rsidTr="00FD27EB">
        <w:trPr>
          <w:trHeight w:val="471"/>
        </w:trPr>
        <w:tc>
          <w:tcPr>
            <w:tcW w:w="9344" w:type="dxa"/>
            <w:gridSpan w:val="4"/>
            <w:shd w:val="clear" w:color="auto" w:fill="FFD923"/>
            <w:vAlign w:val="center"/>
          </w:tcPr>
          <w:p w14:paraId="64E696E7" w14:textId="77777777" w:rsidR="00C70A86" w:rsidRPr="00B026AB" w:rsidRDefault="00C70A86" w:rsidP="00424534">
            <w:pPr>
              <w:spacing w:before="120" w:after="140"/>
              <w:rPr>
                <w:rFonts w:ascii="Arial" w:eastAsia="Times New Roman" w:hAnsi="Arial" w:cs="Arial"/>
                <w:b/>
                <w:color w:val="auto"/>
              </w:rPr>
            </w:pPr>
            <w:r w:rsidRPr="00B026AB">
              <w:rPr>
                <w:rFonts w:ascii="Arial" w:eastAsia="Times New Roman" w:hAnsi="Arial" w:cs="Arial"/>
                <w:b/>
                <w:color w:val="auto"/>
              </w:rPr>
              <w:t>South Australia</w:t>
            </w:r>
          </w:p>
        </w:tc>
      </w:tr>
      <w:tr w:rsidR="00C70A86" w:rsidRPr="00B026AB" w14:paraId="22B79670" w14:textId="77777777" w:rsidTr="00FD27EB">
        <w:trPr>
          <w:trHeight w:val="701"/>
        </w:trPr>
        <w:tc>
          <w:tcPr>
            <w:tcW w:w="3114" w:type="dxa"/>
          </w:tcPr>
          <w:p w14:paraId="541E06DC"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Alexandrina</w:t>
            </w:r>
          </w:p>
          <w:p w14:paraId="2426E1DC"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Berri Barmera</w:t>
            </w:r>
          </w:p>
          <w:p w14:paraId="0A5F5A7D" w14:textId="08E068F3"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Coorong</w:t>
            </w:r>
          </w:p>
        </w:tc>
        <w:tc>
          <w:tcPr>
            <w:tcW w:w="3115" w:type="dxa"/>
            <w:gridSpan w:val="2"/>
          </w:tcPr>
          <w:p w14:paraId="5C678EA9" w14:textId="77777777"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Loxton Waikerie</w:t>
            </w:r>
          </w:p>
          <w:p w14:paraId="533453FE" w14:textId="741172A1" w:rsidR="00C70A86" w:rsidRPr="00B026AB" w:rsidRDefault="00C70A86" w:rsidP="00424534">
            <w:pPr>
              <w:spacing w:before="120" w:after="140"/>
              <w:rPr>
                <w:rFonts w:ascii="Arial" w:eastAsia="Times New Roman" w:hAnsi="Arial" w:cs="Arial"/>
                <w:color w:val="auto"/>
              </w:rPr>
            </w:pPr>
            <w:r w:rsidRPr="00B026AB">
              <w:rPr>
                <w:rFonts w:ascii="Arial" w:eastAsia="Times New Roman" w:hAnsi="Arial" w:cs="Arial"/>
                <w:color w:val="auto"/>
              </w:rPr>
              <w:t>Mid Murray</w:t>
            </w:r>
          </w:p>
        </w:tc>
        <w:tc>
          <w:tcPr>
            <w:tcW w:w="3115" w:type="dxa"/>
          </w:tcPr>
          <w:p w14:paraId="5FC808AC" w14:textId="739E0165" w:rsidR="00C70A86" w:rsidRPr="00B026AB" w:rsidRDefault="00A81C0E" w:rsidP="00424534">
            <w:pPr>
              <w:spacing w:before="120" w:after="140"/>
              <w:rPr>
                <w:rFonts w:ascii="Arial" w:eastAsia="Times New Roman" w:hAnsi="Arial" w:cs="Arial"/>
                <w:color w:val="auto"/>
              </w:rPr>
            </w:pPr>
            <w:r w:rsidRPr="00B026AB">
              <w:rPr>
                <w:rFonts w:ascii="Arial" w:eastAsia="Times New Roman" w:hAnsi="Arial" w:cs="Arial"/>
                <w:color w:val="auto"/>
              </w:rPr>
              <w:t>Murray Bridg</w:t>
            </w:r>
            <w:r w:rsidR="00C70A86" w:rsidRPr="00B026AB">
              <w:rPr>
                <w:rFonts w:ascii="Arial" w:eastAsia="Times New Roman" w:hAnsi="Arial" w:cs="Arial"/>
                <w:color w:val="auto"/>
              </w:rPr>
              <w:t>e</w:t>
            </w:r>
          </w:p>
          <w:p w14:paraId="7145ED90" w14:textId="0FDD51D2" w:rsidR="00C70A86" w:rsidRPr="00B026AB" w:rsidRDefault="00A81C0E" w:rsidP="00424534">
            <w:pPr>
              <w:spacing w:before="120" w:after="140"/>
              <w:rPr>
                <w:rFonts w:ascii="Arial" w:eastAsia="Times New Roman" w:hAnsi="Arial" w:cs="Arial"/>
                <w:color w:val="auto"/>
              </w:rPr>
            </w:pPr>
            <w:r w:rsidRPr="00B026AB">
              <w:rPr>
                <w:rFonts w:ascii="Arial" w:eastAsia="Times New Roman" w:hAnsi="Arial" w:cs="Arial"/>
                <w:color w:val="auto"/>
              </w:rPr>
              <w:t>Renmark Paringa</w:t>
            </w:r>
          </w:p>
        </w:tc>
      </w:tr>
    </w:tbl>
    <w:p w14:paraId="393A4C22" w14:textId="64299D42" w:rsidR="000E4EAA"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lastRenderedPageBreak/>
        <w:br/>
      </w:r>
      <w:r w:rsidR="000E4EAA" w:rsidRPr="00B026AB">
        <w:rPr>
          <w:rFonts w:ascii="Arial" w:eastAsia="Times New Roman" w:hAnsi="Arial" w:cs="Arial"/>
          <w:color w:val="auto"/>
          <w:szCs w:val="22"/>
        </w:rPr>
        <w:t>The objective of the program is to assist eligible communities to undertake economic development projects to respond to the impact of water recovery activities under the Basin Plan. The outputs of the program are the number of jobs created as a result of the economic development projects and the number of projects supporting activities continu</w:t>
      </w:r>
      <w:r w:rsidR="00237C0C" w:rsidRPr="00B026AB">
        <w:rPr>
          <w:rFonts w:ascii="Arial" w:eastAsia="Times New Roman" w:hAnsi="Arial" w:cs="Arial"/>
          <w:color w:val="auto"/>
          <w:szCs w:val="22"/>
        </w:rPr>
        <w:t>ing</w:t>
      </w:r>
      <w:r w:rsidR="008438BB" w:rsidRPr="00B026AB">
        <w:rPr>
          <w:rFonts w:ascii="Arial" w:eastAsia="Times New Roman" w:hAnsi="Arial" w:cs="Arial"/>
          <w:color w:val="auto"/>
          <w:szCs w:val="22"/>
        </w:rPr>
        <w:t xml:space="preserve"> after the end of the projects.</w:t>
      </w:r>
    </w:p>
    <w:p w14:paraId="0C877817" w14:textId="77777777" w:rsidR="000E4EAA" w:rsidRPr="00B026AB" w:rsidRDefault="000E4EAA" w:rsidP="00424534">
      <w:pPr>
        <w:keepNext/>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The </w:t>
      </w:r>
      <w:r w:rsidR="00D2640C" w:rsidRPr="00B026AB">
        <w:rPr>
          <w:rFonts w:ascii="Arial" w:eastAsia="Times New Roman" w:hAnsi="Arial" w:cs="Arial"/>
          <w:color w:val="auto"/>
          <w:szCs w:val="22"/>
        </w:rPr>
        <w:t>intended outcomes of the program are to</w:t>
      </w:r>
      <w:r w:rsidR="008438BB" w:rsidRPr="00B026AB">
        <w:rPr>
          <w:rFonts w:ascii="Arial" w:eastAsia="Times New Roman" w:hAnsi="Arial" w:cs="Arial"/>
          <w:color w:val="auto"/>
          <w:szCs w:val="22"/>
        </w:rPr>
        <w:t>:</w:t>
      </w:r>
    </w:p>
    <w:p w14:paraId="4416C5A0" w14:textId="77777777" w:rsidR="000E4EAA" w:rsidRPr="00B026AB" w:rsidRDefault="000E4EAA" w:rsidP="00424534">
      <w:pPr>
        <w:pStyle w:val="BodyText"/>
        <w:numPr>
          <w:ilvl w:val="0"/>
          <w:numId w:val="12"/>
        </w:numPr>
        <w:ind w:left="360"/>
      </w:pPr>
      <w:r w:rsidRPr="00B026AB">
        <w:t>increas</w:t>
      </w:r>
      <w:r w:rsidR="00D2640C" w:rsidRPr="00B026AB">
        <w:t>e</w:t>
      </w:r>
      <w:r w:rsidRPr="00B026AB">
        <w:t xml:space="preserve"> the capacity of communities to diversify and strengthen local economies</w:t>
      </w:r>
    </w:p>
    <w:p w14:paraId="38A8589A" w14:textId="30BC2B78" w:rsidR="000E4EAA" w:rsidRPr="00B026AB" w:rsidRDefault="000E4EAA" w:rsidP="00424534">
      <w:pPr>
        <w:pStyle w:val="BodyText"/>
        <w:numPr>
          <w:ilvl w:val="0"/>
          <w:numId w:val="12"/>
        </w:numPr>
        <w:ind w:left="360"/>
      </w:pPr>
      <w:r w:rsidRPr="00B026AB">
        <w:t>enhanc</w:t>
      </w:r>
      <w:r w:rsidR="00D2640C" w:rsidRPr="00B026AB">
        <w:t>e</w:t>
      </w:r>
      <w:r w:rsidRPr="00B026AB">
        <w:t xml:space="preserve"> the resilience of communities to manage current and future economic challenges and changes</w:t>
      </w:r>
    </w:p>
    <w:p w14:paraId="2D5BDEBE" w14:textId="77777777" w:rsidR="000E4EAA" w:rsidRPr="00B026AB" w:rsidRDefault="000E4EAA" w:rsidP="00424534">
      <w:pPr>
        <w:pStyle w:val="BodyText"/>
        <w:numPr>
          <w:ilvl w:val="0"/>
          <w:numId w:val="12"/>
        </w:numPr>
        <w:ind w:left="360"/>
      </w:pPr>
      <w:r w:rsidRPr="00B026AB">
        <w:t>increas</w:t>
      </w:r>
      <w:r w:rsidR="00D2640C" w:rsidRPr="00B026AB">
        <w:t>e</w:t>
      </w:r>
      <w:r w:rsidRPr="00B026AB">
        <w:t xml:space="preserve"> opportunities for employment within communities.</w:t>
      </w:r>
    </w:p>
    <w:p w14:paraId="387CEDD9" w14:textId="0A4540F5" w:rsidR="00AF7F13" w:rsidRPr="00B026AB" w:rsidRDefault="00AF7F13"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The </w:t>
      </w:r>
      <w:r w:rsidR="001952E2" w:rsidRPr="00B026AB">
        <w:rPr>
          <w:rFonts w:ascii="Arial" w:eastAsia="Times New Roman" w:hAnsi="Arial" w:cs="Arial"/>
          <w:color w:val="auto"/>
          <w:szCs w:val="22"/>
        </w:rPr>
        <w:t>p</w:t>
      </w:r>
      <w:r w:rsidR="006011C5" w:rsidRPr="00B026AB">
        <w:rPr>
          <w:rFonts w:ascii="Arial" w:eastAsia="Times New Roman" w:hAnsi="Arial" w:cs="Arial"/>
          <w:color w:val="auto"/>
          <w:szCs w:val="22"/>
        </w:rPr>
        <w:t>rogram</w:t>
      </w:r>
      <w:r w:rsidRPr="00B026AB">
        <w:rPr>
          <w:rFonts w:ascii="Arial" w:eastAsia="Times New Roman" w:hAnsi="Arial" w:cs="Arial"/>
          <w:color w:val="auto"/>
          <w:szCs w:val="22"/>
        </w:rPr>
        <w:t xml:space="preserve"> is administered by the Department of Social Services’ Community Grants Hub (the Hub), on behalf of </w:t>
      </w:r>
      <w:r w:rsidR="00424534">
        <w:rPr>
          <w:rFonts w:ascii="Arial" w:eastAsia="Times New Roman" w:hAnsi="Arial" w:cs="Arial"/>
          <w:color w:val="auto"/>
          <w:szCs w:val="22"/>
        </w:rPr>
        <w:t xml:space="preserve">the </w:t>
      </w:r>
      <w:r w:rsidR="00424534" w:rsidRPr="00B45F54">
        <w:rPr>
          <w:rFonts w:asciiTheme="majorHAnsi" w:hAnsiTheme="majorHAnsi" w:cstheme="majorHAnsi"/>
          <w:szCs w:val="22"/>
        </w:rPr>
        <w:t xml:space="preserve">Department of Agriculture, Water and the Environment </w:t>
      </w:r>
      <w:r w:rsidR="00966D37" w:rsidRPr="00B026AB">
        <w:rPr>
          <w:rFonts w:ascii="Arial" w:eastAsia="Times New Roman" w:hAnsi="Arial" w:cs="Arial"/>
          <w:color w:val="auto"/>
          <w:szCs w:val="22"/>
        </w:rPr>
        <w:t xml:space="preserve"> </w:t>
      </w:r>
      <w:r w:rsidRPr="00B026AB">
        <w:rPr>
          <w:rFonts w:ascii="Arial" w:eastAsia="Times New Roman" w:hAnsi="Arial" w:cs="Arial"/>
          <w:color w:val="auto"/>
          <w:szCs w:val="22"/>
        </w:rPr>
        <w:t>under a Whole of Australian Government initiative to streamline grant processes across agencies.</w:t>
      </w:r>
    </w:p>
    <w:p w14:paraId="2BBD7AF8" w14:textId="77777777" w:rsidR="000D0EB9" w:rsidRPr="00B026AB" w:rsidRDefault="000D0EB9" w:rsidP="00424534">
      <w:pPr>
        <w:pStyle w:val="Heading1"/>
        <w:numPr>
          <w:ilvl w:val="0"/>
          <w:numId w:val="0"/>
        </w:numPr>
        <w:spacing w:before="120" w:after="140" w:line="280" w:lineRule="atLeast"/>
        <w:ind w:left="454" w:hanging="454"/>
        <w:rPr>
          <w:rFonts w:asciiTheme="minorHAnsi" w:eastAsia="Times New Roman" w:hAnsiTheme="minorHAnsi" w:cstheme="minorHAnsi"/>
          <w:bCs/>
        </w:rPr>
      </w:pPr>
      <w:r w:rsidRPr="00B026AB">
        <w:rPr>
          <w:rFonts w:asciiTheme="minorHAnsi" w:eastAsia="Times New Roman" w:hAnsiTheme="minorHAnsi" w:cstheme="minorHAnsi"/>
          <w:bCs/>
        </w:rPr>
        <w:t xml:space="preserve">Selection </w:t>
      </w:r>
      <w:r w:rsidR="00A31A68" w:rsidRPr="00B026AB">
        <w:rPr>
          <w:rFonts w:asciiTheme="minorHAnsi" w:eastAsia="Times New Roman" w:hAnsiTheme="minorHAnsi" w:cstheme="minorHAnsi"/>
          <w:bCs/>
        </w:rPr>
        <w:t>p</w:t>
      </w:r>
      <w:r w:rsidRPr="00B026AB">
        <w:rPr>
          <w:rFonts w:asciiTheme="minorHAnsi" w:eastAsia="Times New Roman" w:hAnsiTheme="minorHAnsi" w:cstheme="minorHAnsi"/>
          <w:bCs/>
        </w:rPr>
        <w:t>rocess</w:t>
      </w:r>
    </w:p>
    <w:p w14:paraId="0005B78A" w14:textId="77777777"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Projects were selected through an open competitive process.</w:t>
      </w:r>
    </w:p>
    <w:p w14:paraId="765EDBDB" w14:textId="6E5A1DD9"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The submitted applications were screened for </w:t>
      </w:r>
      <w:r w:rsidR="00574505" w:rsidRPr="00B026AB">
        <w:rPr>
          <w:rFonts w:ascii="Arial" w:eastAsia="Times New Roman" w:hAnsi="Arial" w:cs="Arial"/>
          <w:color w:val="auto"/>
          <w:szCs w:val="22"/>
        </w:rPr>
        <w:t xml:space="preserve">applicant </w:t>
      </w:r>
      <w:r w:rsidRPr="00B026AB">
        <w:rPr>
          <w:rFonts w:ascii="Arial" w:eastAsia="Times New Roman" w:hAnsi="Arial" w:cs="Arial"/>
          <w:color w:val="auto"/>
          <w:szCs w:val="22"/>
        </w:rPr>
        <w:t>eligibility and</w:t>
      </w:r>
      <w:r w:rsidR="00574505" w:rsidRPr="00B026AB">
        <w:rPr>
          <w:rFonts w:ascii="Arial" w:eastAsia="Times New Roman" w:hAnsi="Arial" w:cs="Arial"/>
          <w:color w:val="auto"/>
          <w:szCs w:val="22"/>
        </w:rPr>
        <w:t xml:space="preserve"> application</w:t>
      </w:r>
      <w:r w:rsidRPr="00B026AB">
        <w:rPr>
          <w:rFonts w:ascii="Arial" w:eastAsia="Times New Roman" w:hAnsi="Arial" w:cs="Arial"/>
          <w:color w:val="auto"/>
          <w:szCs w:val="22"/>
        </w:rPr>
        <w:t xml:space="preserve"> compliance against the requirements outlined in the Grant Opportunity Guidelines and those applications </w:t>
      </w:r>
      <w:r w:rsidR="001E528A">
        <w:rPr>
          <w:rFonts w:ascii="Arial" w:eastAsia="Times New Roman" w:hAnsi="Arial" w:cs="Arial"/>
          <w:color w:val="auto"/>
          <w:szCs w:val="22"/>
        </w:rPr>
        <w:t>which were</w:t>
      </w:r>
      <w:r w:rsidRPr="00B026AB">
        <w:rPr>
          <w:rFonts w:ascii="Arial" w:eastAsia="Times New Roman" w:hAnsi="Arial" w:cs="Arial"/>
          <w:color w:val="auto"/>
          <w:szCs w:val="22"/>
        </w:rPr>
        <w:t xml:space="preserve"> passed were provided to the Selection Advisory Panel (the panel) for assessment against the three selection criteria:</w:t>
      </w:r>
    </w:p>
    <w:p w14:paraId="30255FA4" w14:textId="77777777" w:rsidR="009256B4" w:rsidRPr="00B026AB" w:rsidRDefault="009256B4" w:rsidP="00424534">
      <w:pPr>
        <w:pStyle w:val="BodyText"/>
        <w:numPr>
          <w:ilvl w:val="0"/>
          <w:numId w:val="12"/>
        </w:numPr>
        <w:ind w:left="360"/>
      </w:pPr>
      <w:r w:rsidRPr="00B026AB">
        <w:t>Criterion 1 – Economic benefits (weighting of 40%)</w:t>
      </w:r>
    </w:p>
    <w:p w14:paraId="24D2DA64" w14:textId="77777777" w:rsidR="009256B4" w:rsidRPr="00B026AB" w:rsidRDefault="009256B4" w:rsidP="00424534">
      <w:pPr>
        <w:pStyle w:val="BodyText"/>
        <w:numPr>
          <w:ilvl w:val="0"/>
          <w:numId w:val="12"/>
        </w:numPr>
        <w:ind w:left="360"/>
      </w:pPr>
      <w:r w:rsidRPr="00B026AB">
        <w:t>Criterion 2 – Community support and benefit (weighting of 30%)</w:t>
      </w:r>
    </w:p>
    <w:p w14:paraId="4810F091" w14:textId="77777777" w:rsidR="009256B4" w:rsidRPr="00B026AB" w:rsidRDefault="009256B4" w:rsidP="00424534">
      <w:pPr>
        <w:pStyle w:val="BodyText"/>
        <w:numPr>
          <w:ilvl w:val="0"/>
          <w:numId w:val="12"/>
        </w:numPr>
        <w:ind w:left="360"/>
      </w:pPr>
      <w:r w:rsidRPr="00B026AB">
        <w:t>Criterion 3 – Organisational capability (weighting of 30%).</w:t>
      </w:r>
    </w:p>
    <w:p w14:paraId="4CE9B408" w14:textId="389A802A"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The panel comprised a </w:t>
      </w:r>
      <w:r w:rsidR="00E00AD5" w:rsidRPr="00B026AB">
        <w:rPr>
          <w:rFonts w:ascii="Arial" w:eastAsia="Times New Roman" w:hAnsi="Arial" w:cs="Arial"/>
          <w:color w:val="auto"/>
          <w:szCs w:val="22"/>
        </w:rPr>
        <w:t>c</w:t>
      </w:r>
      <w:r w:rsidRPr="00B026AB">
        <w:rPr>
          <w:rFonts w:ascii="Arial" w:eastAsia="Times New Roman" w:hAnsi="Arial" w:cs="Arial"/>
          <w:color w:val="auto"/>
          <w:szCs w:val="22"/>
        </w:rPr>
        <w:t>hair</w:t>
      </w:r>
      <w:r w:rsidR="00E00AD5" w:rsidRPr="00B026AB">
        <w:rPr>
          <w:rFonts w:ascii="Arial" w:eastAsia="Times New Roman" w:hAnsi="Arial" w:cs="Arial"/>
          <w:color w:val="auto"/>
          <w:szCs w:val="22"/>
        </w:rPr>
        <w:t xml:space="preserve"> and </w:t>
      </w:r>
      <w:r w:rsidRPr="00B026AB">
        <w:rPr>
          <w:rFonts w:ascii="Arial" w:eastAsia="Times New Roman" w:hAnsi="Arial" w:cs="Arial"/>
          <w:color w:val="auto"/>
          <w:szCs w:val="22"/>
        </w:rPr>
        <w:t>another member from the department</w:t>
      </w:r>
      <w:r w:rsidR="00574505" w:rsidRPr="00B026AB">
        <w:rPr>
          <w:rFonts w:ascii="Arial" w:eastAsia="Times New Roman" w:hAnsi="Arial" w:cs="Arial"/>
          <w:color w:val="auto"/>
          <w:szCs w:val="22"/>
        </w:rPr>
        <w:t>,</w:t>
      </w:r>
      <w:r w:rsidRPr="00B026AB">
        <w:rPr>
          <w:rFonts w:ascii="Arial" w:eastAsia="Times New Roman" w:hAnsi="Arial" w:cs="Arial"/>
          <w:color w:val="auto"/>
          <w:szCs w:val="22"/>
        </w:rPr>
        <w:t xml:space="preserve"> two members from the MDBA</w:t>
      </w:r>
      <w:r w:rsidR="00574505" w:rsidRPr="00B026AB">
        <w:rPr>
          <w:rFonts w:ascii="Arial" w:eastAsia="Times New Roman" w:hAnsi="Arial" w:cs="Arial"/>
          <w:color w:val="auto"/>
          <w:szCs w:val="22"/>
        </w:rPr>
        <w:t xml:space="preserve"> and one each from</w:t>
      </w:r>
      <w:r w:rsidR="00E00AD5" w:rsidRPr="00B026AB">
        <w:rPr>
          <w:rFonts w:ascii="Arial" w:eastAsia="Times New Roman" w:hAnsi="Arial" w:cs="Arial"/>
          <w:color w:val="auto"/>
          <w:szCs w:val="22"/>
        </w:rPr>
        <w:t xml:space="preserve"> the ACT Government Planning and Sustainable Development Directorate, National Indigenous Australians Agency and La Trobe University.</w:t>
      </w:r>
      <w:r w:rsidRPr="00B026AB">
        <w:rPr>
          <w:rFonts w:ascii="Arial" w:eastAsia="Times New Roman" w:hAnsi="Arial" w:cs="Arial"/>
          <w:color w:val="auto"/>
          <w:szCs w:val="22"/>
        </w:rPr>
        <w:t xml:space="preserve"> The panel assessed the eligible and compl</w:t>
      </w:r>
      <w:r w:rsidR="004A44C0">
        <w:rPr>
          <w:rFonts w:ascii="Arial" w:eastAsia="Times New Roman" w:hAnsi="Arial" w:cs="Arial"/>
          <w:color w:val="auto"/>
          <w:szCs w:val="22"/>
        </w:rPr>
        <w:t>iant</w:t>
      </w:r>
      <w:r w:rsidRPr="00B026AB">
        <w:rPr>
          <w:rFonts w:ascii="Arial" w:eastAsia="Times New Roman" w:hAnsi="Arial" w:cs="Arial"/>
          <w:color w:val="auto"/>
          <w:szCs w:val="22"/>
        </w:rPr>
        <w:t xml:space="preserve"> applications, making final selections based on the strength of the applicants’ responses to the assessment criteria, and their demonstrated ability to meet the requirements of the Grant Opportunity Guidelines.</w:t>
      </w:r>
    </w:p>
    <w:p w14:paraId="3CAC6A14" w14:textId="3DDC587C"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The process of the panel involved a number of phases to obtain an agreed order of merit for applications with a balance of projects across the </w:t>
      </w:r>
      <w:r w:rsidR="00E00AD5" w:rsidRPr="00B026AB">
        <w:rPr>
          <w:rFonts w:ascii="Arial" w:eastAsia="Times New Roman" w:hAnsi="Arial" w:cs="Arial"/>
          <w:color w:val="auto"/>
          <w:szCs w:val="22"/>
        </w:rPr>
        <w:t>38</w:t>
      </w:r>
      <w:r w:rsidRPr="00B026AB">
        <w:rPr>
          <w:rFonts w:ascii="Arial" w:eastAsia="Times New Roman" w:hAnsi="Arial" w:cs="Arial"/>
          <w:color w:val="auto"/>
          <w:szCs w:val="22"/>
        </w:rPr>
        <w:t xml:space="preserve"> identified </w:t>
      </w:r>
      <w:r w:rsidR="007572E0">
        <w:rPr>
          <w:rFonts w:ascii="Arial" w:eastAsia="Times New Roman" w:hAnsi="Arial" w:cs="Arial"/>
          <w:color w:val="auto"/>
          <w:szCs w:val="22"/>
        </w:rPr>
        <w:t>LGAs</w:t>
      </w:r>
      <w:r w:rsidRPr="00B026AB">
        <w:rPr>
          <w:rFonts w:ascii="Arial" w:eastAsia="Times New Roman" w:hAnsi="Arial" w:cs="Arial"/>
          <w:color w:val="auto"/>
          <w:szCs w:val="22"/>
        </w:rPr>
        <w:t xml:space="preserve">. </w:t>
      </w:r>
    </w:p>
    <w:p w14:paraId="3D6E4C92" w14:textId="77777777"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To do this, the panel considered the application on its merits based on:</w:t>
      </w:r>
    </w:p>
    <w:p w14:paraId="4B7C4592" w14:textId="77777777" w:rsidR="009256B4" w:rsidRPr="00B026AB" w:rsidRDefault="009256B4" w:rsidP="00424534">
      <w:pPr>
        <w:pStyle w:val="BodyText"/>
        <w:numPr>
          <w:ilvl w:val="0"/>
          <w:numId w:val="12"/>
        </w:numPr>
        <w:ind w:left="360"/>
      </w:pPr>
      <w:r w:rsidRPr="00B026AB">
        <w:t>how well it meets the criteria</w:t>
      </w:r>
    </w:p>
    <w:p w14:paraId="7985C548" w14:textId="493B683C" w:rsidR="009256B4" w:rsidRPr="00B026AB" w:rsidRDefault="009256B4" w:rsidP="00424534">
      <w:pPr>
        <w:pStyle w:val="BodyText"/>
        <w:numPr>
          <w:ilvl w:val="0"/>
          <w:numId w:val="12"/>
        </w:numPr>
        <w:ind w:left="360"/>
      </w:pPr>
      <w:r w:rsidRPr="00B026AB" w:rsidDel="00B52810">
        <w:t>how it compares to other applications</w:t>
      </w:r>
    </w:p>
    <w:p w14:paraId="1BEE53CB" w14:textId="77777777" w:rsidR="009256B4" w:rsidRPr="00B026AB" w:rsidRDefault="009256B4" w:rsidP="00424534">
      <w:pPr>
        <w:pStyle w:val="BodyText"/>
        <w:numPr>
          <w:ilvl w:val="0"/>
          <w:numId w:val="12"/>
        </w:numPr>
        <w:ind w:left="360"/>
      </w:pPr>
      <w:r w:rsidRPr="00B026AB">
        <w:t>whether it provides value with relevant money.</w:t>
      </w:r>
    </w:p>
    <w:p w14:paraId="12CF3A9F" w14:textId="77777777" w:rsidR="00682C05" w:rsidRDefault="00682C05" w:rsidP="00424534">
      <w:pPr>
        <w:spacing w:before="120" w:after="140"/>
        <w:rPr>
          <w:rFonts w:ascii="Arial" w:eastAsia="Times New Roman" w:hAnsi="Arial" w:cs="Arial"/>
          <w:color w:val="auto"/>
          <w:szCs w:val="22"/>
        </w:rPr>
      </w:pPr>
      <w:r>
        <w:rPr>
          <w:rFonts w:ascii="Arial" w:eastAsia="Times New Roman" w:hAnsi="Arial" w:cs="Arial"/>
          <w:color w:val="auto"/>
          <w:szCs w:val="22"/>
        </w:rPr>
        <w:br w:type="page"/>
      </w:r>
    </w:p>
    <w:p w14:paraId="2111574F" w14:textId="59AE67C1"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lastRenderedPageBreak/>
        <w:t>When assessing the extent to which the application represent</w:t>
      </w:r>
      <w:r w:rsidR="00E00AD5" w:rsidRPr="00B026AB">
        <w:rPr>
          <w:rFonts w:ascii="Arial" w:eastAsia="Times New Roman" w:hAnsi="Arial" w:cs="Arial"/>
          <w:color w:val="auto"/>
          <w:szCs w:val="22"/>
        </w:rPr>
        <w:t>ed</w:t>
      </w:r>
      <w:r w:rsidRPr="00B026AB">
        <w:rPr>
          <w:rFonts w:ascii="Arial" w:eastAsia="Times New Roman" w:hAnsi="Arial" w:cs="Arial"/>
          <w:color w:val="auto"/>
          <w:szCs w:val="22"/>
        </w:rPr>
        <w:t xml:space="preserve"> value with relevant money, the panel will have regard to: </w:t>
      </w:r>
    </w:p>
    <w:p w14:paraId="314F2CE5" w14:textId="77777777" w:rsidR="009256B4" w:rsidRPr="00B026AB" w:rsidRDefault="009256B4" w:rsidP="00424534">
      <w:pPr>
        <w:pStyle w:val="BodyText"/>
        <w:numPr>
          <w:ilvl w:val="0"/>
          <w:numId w:val="12"/>
        </w:numPr>
        <w:ind w:left="360"/>
      </w:pPr>
      <w:r w:rsidRPr="00B026AB">
        <w:rPr>
          <w:rFonts w:ascii="Arial" w:eastAsia="Times New Roman" w:hAnsi="Arial" w:cs="Arial"/>
          <w:color w:val="auto"/>
          <w:szCs w:val="22"/>
        </w:rPr>
        <w:t>th</w:t>
      </w:r>
      <w:r w:rsidRPr="00B026AB">
        <w:t>e overall objective/s to be achieved in providing the grant</w:t>
      </w:r>
    </w:p>
    <w:p w14:paraId="457A13B3" w14:textId="77777777" w:rsidR="009256B4" w:rsidRPr="00B026AB" w:rsidRDefault="009256B4" w:rsidP="00424534">
      <w:pPr>
        <w:pStyle w:val="BodyText"/>
        <w:numPr>
          <w:ilvl w:val="0"/>
          <w:numId w:val="12"/>
        </w:numPr>
        <w:ind w:left="360"/>
      </w:pPr>
      <w:r w:rsidRPr="00B026AB">
        <w:t>the relative value of the grant sought</w:t>
      </w:r>
    </w:p>
    <w:p w14:paraId="775290F1" w14:textId="66B96233" w:rsidR="009256B4" w:rsidRPr="00B026AB" w:rsidRDefault="009256B4" w:rsidP="00424534">
      <w:pPr>
        <w:pStyle w:val="BodyText"/>
        <w:numPr>
          <w:ilvl w:val="0"/>
          <w:numId w:val="12"/>
        </w:numPr>
        <w:ind w:left="360"/>
      </w:pPr>
      <w:r w:rsidRPr="00B026AB">
        <w:t>the extent to which the geographic location of the application matche</w:t>
      </w:r>
      <w:r w:rsidR="00E00AD5" w:rsidRPr="00B026AB">
        <w:t>d</w:t>
      </w:r>
      <w:r w:rsidRPr="00B026AB">
        <w:t xml:space="preserve"> identified </w:t>
      </w:r>
      <w:r w:rsidR="00E00AD5" w:rsidRPr="00B026AB">
        <w:t>local government areas</w:t>
      </w:r>
    </w:p>
    <w:p w14:paraId="358F625D" w14:textId="500D88F1" w:rsidR="009256B4" w:rsidRPr="00B026AB" w:rsidRDefault="009256B4" w:rsidP="00424534">
      <w:pPr>
        <w:pStyle w:val="BodyText"/>
        <w:numPr>
          <w:ilvl w:val="0"/>
          <w:numId w:val="12"/>
        </w:numPr>
        <w:ind w:left="360"/>
      </w:pPr>
      <w:r w:rsidRPr="00B026AB">
        <w:t>the extent to which the evidence in the application demonstrate</w:t>
      </w:r>
      <w:r w:rsidR="001E528A">
        <w:t>d</w:t>
      </w:r>
      <w:r w:rsidRPr="00B026AB">
        <w:t xml:space="preserve"> it will contribute to meeting the program outcomes/objectives</w:t>
      </w:r>
    </w:p>
    <w:p w14:paraId="58BD6A84" w14:textId="23BE5E23" w:rsidR="009256B4" w:rsidRPr="00B026AB" w:rsidRDefault="009256B4" w:rsidP="00424534">
      <w:pPr>
        <w:pStyle w:val="BodyText"/>
        <w:numPr>
          <w:ilvl w:val="0"/>
          <w:numId w:val="12"/>
        </w:numPr>
        <w:ind w:left="360"/>
      </w:pPr>
      <w:r w:rsidRPr="00B026AB">
        <w:t xml:space="preserve">how the grant activities will target economic development in the identified </w:t>
      </w:r>
      <w:r w:rsidR="00E00AD5" w:rsidRPr="00B026AB">
        <w:t>local government areas</w:t>
      </w:r>
    </w:p>
    <w:p w14:paraId="75AC36E5" w14:textId="49F223F7" w:rsidR="009256B4" w:rsidRPr="00B026AB" w:rsidRDefault="009256B4" w:rsidP="00424534">
      <w:pPr>
        <w:pStyle w:val="BodyText"/>
        <w:numPr>
          <w:ilvl w:val="0"/>
          <w:numId w:val="12"/>
        </w:numPr>
        <w:ind w:left="360"/>
      </w:pPr>
      <w:r w:rsidRPr="00B026AB">
        <w:t xml:space="preserve">the distribution of projects across the </w:t>
      </w:r>
      <w:r w:rsidR="00E00AD5" w:rsidRPr="00B026AB">
        <w:t>38</w:t>
      </w:r>
      <w:r w:rsidRPr="00B026AB">
        <w:t xml:space="preserve"> eligible </w:t>
      </w:r>
      <w:r w:rsidR="00664096">
        <w:t>LGAs</w:t>
      </w:r>
    </w:p>
    <w:p w14:paraId="65553607" w14:textId="77777777" w:rsidR="00E00AD5" w:rsidRPr="00B026AB" w:rsidRDefault="00E00AD5" w:rsidP="00424534">
      <w:pPr>
        <w:pStyle w:val="BodyText"/>
        <w:numPr>
          <w:ilvl w:val="0"/>
          <w:numId w:val="12"/>
        </w:numPr>
        <w:ind w:left="360"/>
      </w:pPr>
      <w:r w:rsidRPr="00B026AB">
        <w:t>possible duplication with other known Commonwealth/state/territory government programs/service delivery.</w:t>
      </w:r>
    </w:p>
    <w:p w14:paraId="6AC2F370" w14:textId="77777777"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The phases of ranking projects were as follows:</w:t>
      </w:r>
    </w:p>
    <w:p w14:paraId="708DBA80" w14:textId="77777777" w:rsidR="0087632D" w:rsidRPr="00B026AB" w:rsidRDefault="0087632D" w:rsidP="00424534">
      <w:pPr>
        <w:pStyle w:val="BodyText"/>
        <w:numPr>
          <w:ilvl w:val="0"/>
          <w:numId w:val="12"/>
        </w:numPr>
        <w:ind w:left="360"/>
      </w:pPr>
      <w:r w:rsidRPr="00B026AB">
        <w:rPr>
          <w:iCs/>
        </w:rPr>
        <w:t>P</w:t>
      </w:r>
      <w:r w:rsidRPr="00B026AB">
        <w:t>hase 1: ranking of all eligible applications into an order of merit.</w:t>
      </w:r>
    </w:p>
    <w:p w14:paraId="0838B46B" w14:textId="5CA619DB" w:rsidR="0087632D" w:rsidRPr="00B026AB" w:rsidRDefault="0087632D" w:rsidP="00424534">
      <w:pPr>
        <w:pStyle w:val="BodyText"/>
        <w:numPr>
          <w:ilvl w:val="0"/>
          <w:numId w:val="12"/>
        </w:numPr>
        <w:ind w:left="360"/>
      </w:pPr>
      <w:r w:rsidRPr="00B026AB">
        <w:t xml:space="preserve">Phase 2: eliminating projects </w:t>
      </w:r>
      <w:r w:rsidR="001E528A">
        <w:t>which</w:t>
      </w:r>
      <w:r w:rsidRPr="00B026AB">
        <w:t xml:space="preserve"> do not meet a minimum threshold of value with relevant money. This would constitute a ranking of 2 out of 5.</w:t>
      </w:r>
    </w:p>
    <w:p w14:paraId="026E205A" w14:textId="70342D39" w:rsidR="0087632D" w:rsidRPr="00B026AB" w:rsidRDefault="0087632D" w:rsidP="00424534">
      <w:pPr>
        <w:pStyle w:val="BodyText"/>
        <w:numPr>
          <w:ilvl w:val="0"/>
          <w:numId w:val="12"/>
        </w:numPr>
        <w:ind w:left="360"/>
      </w:pPr>
      <w:r w:rsidRPr="00B026AB">
        <w:t xml:space="preserve">Phase 3: adjusting the order of merit by applying a weighting to prioritise funding for the more disadvantaged and vulnerable communities, accounting for the impacts of water recovery. For those communities previously eligible under Rounds 1 and 2, consideration will be given to the amounts of program funding awarded against notional funding thresholds to ensure a distribution of funding </w:t>
      </w:r>
      <w:r w:rsidR="001E528A">
        <w:t>which</w:t>
      </w:r>
      <w:r w:rsidRPr="00B026AB">
        <w:t xml:space="preserve"> addresses the impacts of water recovery on employment and economic development opportunities and ensures a fair distribution of funds within the competitive process. Consideration will also be given to those communities previously ineligible and who have therefore received no program funding to date. </w:t>
      </w:r>
    </w:p>
    <w:p w14:paraId="55DBC801" w14:textId="77777777" w:rsidR="0087632D" w:rsidRPr="00B026AB" w:rsidRDefault="0087632D" w:rsidP="00997358">
      <w:pPr>
        <w:pStyle w:val="BodyText"/>
        <w:numPr>
          <w:ilvl w:val="0"/>
          <w:numId w:val="12"/>
        </w:numPr>
        <w:ind w:left="360"/>
      </w:pPr>
      <w:r w:rsidRPr="00B026AB">
        <w:t>Phase 4: assigning funding available to the highest ranked projects according to the order of merit, until available program funding has been exhausted.</w:t>
      </w:r>
    </w:p>
    <w:p w14:paraId="6B94A7C1" w14:textId="6D28315F" w:rsidR="0087632D" w:rsidRPr="00B026AB" w:rsidRDefault="0087632D" w:rsidP="00424534">
      <w:pPr>
        <w:spacing w:before="120" w:after="140"/>
      </w:pPr>
      <w:r w:rsidRPr="00B026AB">
        <w:t xml:space="preserve">Projects </w:t>
      </w:r>
      <w:r w:rsidR="001E528A">
        <w:t>which</w:t>
      </w:r>
      <w:r w:rsidRPr="00B026AB">
        <w:t xml:space="preserve"> exceed the notional funding amount of $1,000,000 (GST exclusive) were considered in the context of the value for money they offer against all other projects during Phase 1. Consideration was also given to the time in which projects can be delivered and the number of communities provided benefit by the projects. </w:t>
      </w:r>
    </w:p>
    <w:p w14:paraId="3825215C" w14:textId="09581180" w:rsidR="009256B4" w:rsidRPr="00B026AB" w:rsidRDefault="009256B4" w:rsidP="00424534">
      <w:pPr>
        <w:spacing w:before="120" w:after="140"/>
        <w:rPr>
          <w:rFonts w:ascii="Arial" w:eastAsia="Times New Roman" w:hAnsi="Arial" w:cs="Arial"/>
          <w:color w:val="auto"/>
          <w:szCs w:val="22"/>
        </w:rPr>
      </w:pPr>
      <w:r w:rsidRPr="00B45F54">
        <w:rPr>
          <w:rFonts w:ascii="Arial" w:eastAsia="Times New Roman" w:hAnsi="Arial" w:cs="Arial"/>
          <w:color w:val="auto"/>
          <w:szCs w:val="22"/>
        </w:rPr>
        <w:t xml:space="preserve">The decision to award grant funding to projects was made by the Hon. Keith Pitt MP, Minister for Resources and </w:t>
      </w:r>
      <w:r w:rsidR="00394803" w:rsidRPr="00B45F54">
        <w:rPr>
          <w:rFonts w:ascii="Arial" w:eastAsia="Times New Roman" w:hAnsi="Arial" w:cs="Arial"/>
          <w:color w:val="auto"/>
          <w:szCs w:val="22"/>
        </w:rPr>
        <w:t xml:space="preserve">Water </w:t>
      </w:r>
      <w:r w:rsidRPr="00B45F54">
        <w:rPr>
          <w:rFonts w:ascii="Arial" w:eastAsia="Times New Roman" w:hAnsi="Arial" w:cs="Arial"/>
          <w:color w:val="auto"/>
          <w:szCs w:val="22"/>
        </w:rPr>
        <w:t>based on the recommendations of the panel.</w:t>
      </w:r>
    </w:p>
    <w:p w14:paraId="2A971AC7" w14:textId="77777777" w:rsidR="00F75493" w:rsidRPr="00B026AB" w:rsidRDefault="00D559CA" w:rsidP="00424534">
      <w:pPr>
        <w:pStyle w:val="Heading1"/>
        <w:numPr>
          <w:ilvl w:val="0"/>
          <w:numId w:val="0"/>
        </w:numPr>
        <w:spacing w:before="120" w:after="140" w:line="280" w:lineRule="atLeast"/>
        <w:ind w:left="454" w:hanging="454"/>
        <w:rPr>
          <w:rFonts w:asciiTheme="minorHAnsi" w:eastAsia="Times New Roman" w:hAnsiTheme="minorHAnsi" w:cstheme="minorHAnsi"/>
          <w:bCs/>
        </w:rPr>
      </w:pPr>
      <w:r w:rsidRPr="00B026AB">
        <w:rPr>
          <w:rFonts w:asciiTheme="minorHAnsi" w:eastAsia="Times New Roman" w:hAnsiTheme="minorHAnsi" w:cstheme="minorHAnsi"/>
          <w:bCs/>
        </w:rPr>
        <w:t>General feedback</w:t>
      </w:r>
      <w:r w:rsidR="00F75493" w:rsidRPr="00B026AB">
        <w:rPr>
          <w:rFonts w:asciiTheme="minorHAnsi" w:eastAsia="Times New Roman" w:hAnsiTheme="minorHAnsi" w:cstheme="minorHAnsi"/>
          <w:bCs/>
        </w:rPr>
        <w:t xml:space="preserve"> for </w:t>
      </w:r>
      <w:r w:rsidR="0014659B" w:rsidRPr="00B026AB">
        <w:rPr>
          <w:rFonts w:asciiTheme="minorHAnsi" w:eastAsia="Times New Roman" w:hAnsiTheme="minorHAnsi" w:cstheme="minorHAnsi"/>
          <w:bCs/>
        </w:rPr>
        <w:t>applicants</w:t>
      </w:r>
    </w:p>
    <w:p w14:paraId="7446AD2A" w14:textId="77777777"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Details about what made a strong response to each selection criterion is provided in the section below, Criteria specific feedback.</w:t>
      </w:r>
    </w:p>
    <w:p w14:paraId="566E0C2F" w14:textId="65026963"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lastRenderedPageBreak/>
        <w:t xml:space="preserve">Successful applicants proposed activities </w:t>
      </w:r>
      <w:r w:rsidR="001E528A">
        <w:rPr>
          <w:rFonts w:ascii="Arial" w:eastAsia="Times New Roman" w:hAnsi="Arial" w:cs="Arial"/>
          <w:color w:val="auto"/>
          <w:szCs w:val="22"/>
        </w:rPr>
        <w:t>which</w:t>
      </w:r>
      <w:r w:rsidRPr="00B026AB">
        <w:rPr>
          <w:rFonts w:ascii="Arial" w:eastAsia="Times New Roman" w:hAnsi="Arial" w:cs="Arial"/>
          <w:color w:val="auto"/>
          <w:szCs w:val="22"/>
        </w:rPr>
        <w:t xml:space="preserve"> were eligible, appropriate and considered effective for achieving the program objectives. They demonstrated their suitability for public funding, value with relevant money and met the requirements outlined in the Grant Opportunity Guidelines. Successful applications included strong responses to all assessment criteria.</w:t>
      </w:r>
    </w:p>
    <w:p w14:paraId="56D63E84" w14:textId="77777777"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The feedback is based on the information provided by the panel and assessment team during the funding round.</w:t>
      </w:r>
    </w:p>
    <w:p w14:paraId="3188ABB3" w14:textId="77777777" w:rsidR="007A1318" w:rsidRPr="00B026AB" w:rsidRDefault="007A1318" w:rsidP="00424534">
      <w:pPr>
        <w:pStyle w:val="Heading2"/>
        <w:spacing w:before="120" w:after="140" w:line="280" w:lineRule="atLeast"/>
        <w:rPr>
          <w:rStyle w:val="Strong"/>
        </w:rPr>
      </w:pPr>
      <w:r w:rsidRPr="00B026AB">
        <w:rPr>
          <w:rStyle w:val="Strong"/>
        </w:rPr>
        <w:t>Writing and providing details</w:t>
      </w:r>
    </w:p>
    <w:p w14:paraId="0E70A7FA" w14:textId="77777777"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Applications needed to clearly and concisely address the selection criteria. It was difficult to assess poorly written and verbose applications. The proper and discerning use of sub-headings and dot points in some applications assisted in improving their readability.</w:t>
      </w:r>
    </w:p>
    <w:p w14:paraId="12E8E0C3" w14:textId="5BABE5E9"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A number of applicants did not effectively utilise the word limits in their applications, providing either </w:t>
      </w:r>
      <w:r w:rsidR="00626D44" w:rsidRPr="00B026AB">
        <w:rPr>
          <w:rFonts w:ascii="Arial" w:eastAsia="Times New Roman" w:hAnsi="Arial" w:cs="Arial"/>
          <w:color w:val="auto"/>
          <w:szCs w:val="22"/>
        </w:rPr>
        <w:t>insufficient</w:t>
      </w:r>
      <w:r w:rsidRPr="00B026AB">
        <w:rPr>
          <w:rFonts w:ascii="Arial" w:eastAsia="Times New Roman" w:hAnsi="Arial" w:cs="Arial"/>
          <w:color w:val="auto"/>
          <w:szCs w:val="22"/>
        </w:rPr>
        <w:t xml:space="preserve"> detail on the proposed project or too little relevant detail. Low scoring applications often lacked sufficient relevant detail to describe</w:t>
      </w:r>
      <w:r w:rsidR="0015098F" w:rsidRPr="00B026AB">
        <w:rPr>
          <w:rFonts w:ascii="Arial" w:eastAsia="Times New Roman" w:hAnsi="Arial" w:cs="Arial"/>
          <w:color w:val="auto"/>
          <w:szCs w:val="22"/>
        </w:rPr>
        <w:t xml:space="preserve"> what the project was and</w:t>
      </w:r>
      <w:r w:rsidRPr="00B026AB">
        <w:rPr>
          <w:rFonts w:ascii="Arial" w:eastAsia="Times New Roman" w:hAnsi="Arial" w:cs="Arial"/>
          <w:color w:val="auto"/>
          <w:szCs w:val="22"/>
        </w:rPr>
        <w:t xml:space="preserve"> how the grant activity would meet the selection criteria and therefore the objectives and outcomes of the program. Applications </w:t>
      </w:r>
      <w:r w:rsidR="001E528A">
        <w:rPr>
          <w:rFonts w:ascii="Arial" w:eastAsia="Times New Roman" w:hAnsi="Arial" w:cs="Arial"/>
          <w:color w:val="auto"/>
          <w:szCs w:val="22"/>
        </w:rPr>
        <w:t>which</w:t>
      </w:r>
      <w:r w:rsidRPr="00B026AB">
        <w:rPr>
          <w:rFonts w:ascii="Arial" w:eastAsia="Times New Roman" w:hAnsi="Arial" w:cs="Arial"/>
          <w:color w:val="auto"/>
          <w:szCs w:val="22"/>
        </w:rPr>
        <w:t xml:space="preserve"> provided limited or no details about how project activities would deliver on program outcomes, outputs and objectives generally did not score well. Higher scoring applications clearly articulated exactly how well the grant activity would meet the selection criteria and why this method of achieving program objectives and outcomes was better than others.</w:t>
      </w:r>
    </w:p>
    <w:p w14:paraId="237F0D14" w14:textId="77777777" w:rsidR="009256B4" w:rsidRPr="00B026AB" w:rsidRDefault="009256B4" w:rsidP="00424534">
      <w:pPr>
        <w:pStyle w:val="Heading2"/>
        <w:spacing w:before="120" w:after="140" w:line="280" w:lineRule="atLeast"/>
        <w:rPr>
          <w:rStyle w:val="Strong"/>
        </w:rPr>
      </w:pPr>
      <w:r w:rsidRPr="00B026AB">
        <w:rPr>
          <w:rStyle w:val="Strong"/>
        </w:rPr>
        <w:t>Contribution towards program outcomes and demonstration of community benefit</w:t>
      </w:r>
    </w:p>
    <w:p w14:paraId="5C258F55" w14:textId="6B259FA2"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These Australian Government grants are funded by public money and suitable projects were selected on the basis </w:t>
      </w:r>
      <w:r w:rsidR="001E528A">
        <w:rPr>
          <w:rFonts w:ascii="Arial" w:eastAsia="Times New Roman" w:hAnsi="Arial" w:cs="Arial"/>
          <w:color w:val="auto"/>
          <w:szCs w:val="22"/>
        </w:rPr>
        <w:t>which</w:t>
      </w:r>
      <w:r w:rsidRPr="00B026AB">
        <w:rPr>
          <w:rFonts w:ascii="Arial" w:eastAsia="Times New Roman" w:hAnsi="Arial" w:cs="Arial"/>
          <w:color w:val="auto"/>
          <w:szCs w:val="22"/>
        </w:rPr>
        <w:t xml:space="preserve"> they will deliver economic benefits across the eligible Basin </w:t>
      </w:r>
      <w:r w:rsidR="0015098F" w:rsidRPr="00B026AB">
        <w:rPr>
          <w:rFonts w:ascii="Arial" w:eastAsia="Times New Roman" w:hAnsi="Arial" w:cs="Arial"/>
          <w:color w:val="auto"/>
          <w:szCs w:val="22"/>
        </w:rPr>
        <w:t>local government areas</w:t>
      </w:r>
      <w:r w:rsidRPr="00B026AB">
        <w:rPr>
          <w:rFonts w:ascii="Arial" w:eastAsia="Times New Roman" w:hAnsi="Arial" w:cs="Arial"/>
          <w:color w:val="auto"/>
          <w:szCs w:val="22"/>
        </w:rPr>
        <w:t xml:space="preserve">. </w:t>
      </w:r>
    </w:p>
    <w:p w14:paraId="27F88C44" w14:textId="568ADA96" w:rsidR="009256B4" w:rsidRPr="00B026AB" w:rsidRDefault="009256B4" w:rsidP="00424534">
      <w:pPr>
        <w:keepNext/>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Applications needed to clearly demonstrate </w:t>
      </w:r>
      <w:r w:rsidR="001E528A">
        <w:rPr>
          <w:rFonts w:ascii="Arial" w:eastAsia="Times New Roman" w:hAnsi="Arial" w:cs="Arial"/>
          <w:color w:val="auto"/>
          <w:szCs w:val="22"/>
        </w:rPr>
        <w:t>which</w:t>
      </w:r>
      <w:r w:rsidRPr="00B026AB">
        <w:rPr>
          <w:rFonts w:ascii="Arial" w:eastAsia="Times New Roman" w:hAnsi="Arial" w:cs="Arial"/>
          <w:color w:val="auto"/>
          <w:szCs w:val="22"/>
        </w:rPr>
        <w:t xml:space="preserve"> the project would:</w:t>
      </w:r>
    </w:p>
    <w:p w14:paraId="76026076" w14:textId="1A339FA1" w:rsidR="009256B4" w:rsidRPr="00B026AB" w:rsidRDefault="009256B4" w:rsidP="00997358">
      <w:pPr>
        <w:pStyle w:val="BodyText"/>
        <w:numPr>
          <w:ilvl w:val="0"/>
          <w:numId w:val="12"/>
        </w:numPr>
        <w:ind w:left="360"/>
      </w:pPr>
      <w:r w:rsidRPr="00B026AB">
        <w:t xml:space="preserve">deliver the program objective of helping eligible communities undertake economic development projects to respond to the impact of water recovery activities under the Basin Plan </w:t>
      </w:r>
    </w:p>
    <w:p w14:paraId="543B772B" w14:textId="13B2ADF7" w:rsidR="009256B4" w:rsidRPr="00B026AB" w:rsidRDefault="009256B4" w:rsidP="00997358">
      <w:pPr>
        <w:pStyle w:val="BodyText"/>
        <w:numPr>
          <w:ilvl w:val="0"/>
          <w:numId w:val="12"/>
        </w:numPr>
        <w:ind w:left="360"/>
      </w:pPr>
      <w:r w:rsidRPr="00B026AB">
        <w:t xml:space="preserve">deliver the program outputs, especially through the number of jobs created because of the economic development project and the activities </w:t>
      </w:r>
      <w:r w:rsidR="001E528A">
        <w:t>which</w:t>
      </w:r>
      <w:r w:rsidRPr="00B026AB">
        <w:t xml:space="preserve"> continue after the end of the project. </w:t>
      </w:r>
    </w:p>
    <w:p w14:paraId="08578078" w14:textId="7A3E1806"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Low scoring applications often lacked sufficient relevant detail and evidence to describe project outcomes and activities and how the project will directly contribute towards the program outcomes, deliver community benefits and provide value with relevant money. Applications </w:t>
      </w:r>
      <w:r w:rsidR="001E528A">
        <w:rPr>
          <w:rFonts w:ascii="Arial" w:eastAsia="Times New Roman" w:hAnsi="Arial" w:cs="Arial"/>
          <w:color w:val="auto"/>
          <w:szCs w:val="22"/>
        </w:rPr>
        <w:t>which</w:t>
      </w:r>
      <w:r w:rsidRPr="00B026AB">
        <w:rPr>
          <w:rFonts w:ascii="Arial" w:eastAsia="Times New Roman" w:hAnsi="Arial" w:cs="Arial"/>
          <w:color w:val="auto"/>
          <w:szCs w:val="22"/>
        </w:rPr>
        <w:t xml:space="preserve"> provided limited details about project activities generally did not score well. Higher scoring applications more clearly articulated the project activities and what they would deliver, making stronger arguments, backed with some evidence, for the proposition they put forward.</w:t>
      </w:r>
    </w:p>
    <w:p w14:paraId="1FE838E3" w14:textId="0BBDC986"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In general, many applications could have more clearly articulated how their project would contribute to program outcomes and provided more and better information on the numbers of jobs to be created. Generally speaking, applications made reasonable arguments for the ongoing economic development activities </w:t>
      </w:r>
      <w:r w:rsidR="001E528A">
        <w:rPr>
          <w:rFonts w:ascii="Arial" w:eastAsia="Times New Roman" w:hAnsi="Arial" w:cs="Arial"/>
          <w:color w:val="auto"/>
          <w:szCs w:val="22"/>
        </w:rPr>
        <w:t>which</w:t>
      </w:r>
      <w:r w:rsidRPr="00B026AB">
        <w:rPr>
          <w:rFonts w:ascii="Arial" w:eastAsia="Times New Roman" w:hAnsi="Arial" w:cs="Arial"/>
          <w:color w:val="auto"/>
          <w:szCs w:val="22"/>
        </w:rPr>
        <w:t xml:space="preserve"> would be created by projects, although here too there was room for some improvement. </w:t>
      </w:r>
    </w:p>
    <w:p w14:paraId="2ADB2645" w14:textId="77777777" w:rsidR="009256B4" w:rsidRPr="00B026AB" w:rsidRDefault="009256B4" w:rsidP="00424534">
      <w:pPr>
        <w:keepNext/>
        <w:spacing w:before="120" w:after="140"/>
        <w:rPr>
          <w:rFonts w:ascii="Arial" w:eastAsia="Times New Roman" w:hAnsi="Arial" w:cs="Arial"/>
          <w:color w:val="auto"/>
          <w:szCs w:val="22"/>
        </w:rPr>
      </w:pPr>
      <w:r w:rsidRPr="00B026AB">
        <w:rPr>
          <w:rFonts w:ascii="Arial" w:eastAsia="Times New Roman" w:hAnsi="Arial" w:cs="Arial"/>
          <w:color w:val="auto"/>
          <w:szCs w:val="22"/>
        </w:rPr>
        <w:lastRenderedPageBreak/>
        <w:t>In particular, in order to improve a project’s relevance with the program should there be any future rounds, applicants should consider:</w:t>
      </w:r>
    </w:p>
    <w:p w14:paraId="3457FBAF" w14:textId="6C2AB570" w:rsidR="009256B4" w:rsidRPr="00B026AB" w:rsidRDefault="009256B4" w:rsidP="00997358">
      <w:pPr>
        <w:pStyle w:val="BodyText"/>
        <w:numPr>
          <w:ilvl w:val="0"/>
          <w:numId w:val="12"/>
        </w:numPr>
        <w:ind w:left="360"/>
      </w:pPr>
      <w:r w:rsidRPr="00B026AB">
        <w:t>checking the Grant Opportunity Guidelines to ensure the proposed project is a good fit for the program</w:t>
      </w:r>
    </w:p>
    <w:p w14:paraId="2E5F4184" w14:textId="3AA1D4CA" w:rsidR="009256B4" w:rsidRPr="00B026AB" w:rsidRDefault="009256B4" w:rsidP="00997358">
      <w:pPr>
        <w:pStyle w:val="BodyText"/>
        <w:numPr>
          <w:ilvl w:val="0"/>
          <w:numId w:val="12"/>
        </w:numPr>
        <w:ind w:left="360"/>
      </w:pPr>
      <w:r w:rsidRPr="00B026AB">
        <w:t>ensuring the application clearly demonstrates how the proposed project meets the program’s outcomes and linking project activities to those outcomes</w:t>
      </w:r>
    </w:p>
    <w:p w14:paraId="17612FBC" w14:textId="497FAB32" w:rsidR="009256B4" w:rsidRPr="00B026AB" w:rsidRDefault="009256B4" w:rsidP="00997358">
      <w:pPr>
        <w:pStyle w:val="BodyText"/>
        <w:numPr>
          <w:ilvl w:val="0"/>
          <w:numId w:val="12"/>
        </w:numPr>
        <w:ind w:left="360"/>
      </w:pPr>
      <w:r w:rsidRPr="00B026AB">
        <w:t>demonstrating the reasons this project is the best possible use of taxpayer’s funds to deliver benefits to the identified community</w:t>
      </w:r>
      <w:r w:rsidR="00373BF1">
        <w:t xml:space="preserve"> or communities</w:t>
      </w:r>
      <w:r w:rsidRPr="00B026AB">
        <w:t>.</w:t>
      </w:r>
    </w:p>
    <w:p w14:paraId="0670FD6B" w14:textId="77777777" w:rsidR="009256B4" w:rsidRPr="00B026AB" w:rsidRDefault="009256B4" w:rsidP="00424534">
      <w:pPr>
        <w:pStyle w:val="Heading2"/>
        <w:spacing w:before="120" w:after="140" w:line="280" w:lineRule="atLeast"/>
        <w:rPr>
          <w:rStyle w:val="Strong"/>
        </w:rPr>
      </w:pPr>
      <w:r w:rsidRPr="00B026AB">
        <w:rPr>
          <w:rStyle w:val="Strong"/>
        </w:rPr>
        <w:t>Capacity to deliver</w:t>
      </w:r>
    </w:p>
    <w:p w14:paraId="37B6953D" w14:textId="16552901" w:rsidR="009256B4" w:rsidRPr="00B026AB" w:rsidRDefault="009256B4" w:rsidP="00424534">
      <w:pPr>
        <w:keepNext/>
        <w:spacing w:before="120" w:after="140"/>
        <w:rPr>
          <w:rFonts w:ascii="Arial" w:eastAsia="Times New Roman" w:hAnsi="Arial" w:cs="Arial"/>
          <w:color w:val="auto"/>
          <w:szCs w:val="22"/>
        </w:rPr>
      </w:pPr>
      <w:r w:rsidRPr="00B026AB">
        <w:rPr>
          <w:rFonts w:ascii="Arial" w:eastAsia="Times New Roman" w:hAnsi="Arial" w:cs="Arial"/>
          <w:color w:val="auto"/>
          <w:szCs w:val="22"/>
        </w:rPr>
        <w:t>Low scoring applications commonly did not strongly demonstrate the applicants had the capacity to successfully deliver the project. It was important to</w:t>
      </w:r>
      <w:r w:rsidR="0015098F" w:rsidRPr="00B026AB">
        <w:t xml:space="preserve"> demonstrate</w:t>
      </w:r>
      <w:r w:rsidRPr="00B026AB">
        <w:rPr>
          <w:rFonts w:ascii="Arial" w:eastAsia="Times New Roman" w:hAnsi="Arial" w:cs="Arial"/>
          <w:color w:val="auto"/>
          <w:szCs w:val="22"/>
        </w:rPr>
        <w:t>:</w:t>
      </w:r>
    </w:p>
    <w:p w14:paraId="728814CE" w14:textId="50662BC8" w:rsidR="009256B4" w:rsidRPr="00B026AB" w:rsidRDefault="009256B4" w:rsidP="00997358">
      <w:pPr>
        <w:pStyle w:val="BodyText"/>
        <w:numPr>
          <w:ilvl w:val="0"/>
          <w:numId w:val="12"/>
        </w:numPr>
        <w:ind w:left="360"/>
      </w:pPr>
      <w:r w:rsidRPr="00B026AB">
        <w:t xml:space="preserve">an applicant’s ability to deliver projects of the nature, size and complexity outlined in </w:t>
      </w:r>
      <w:r w:rsidR="0015098F" w:rsidRPr="00B026AB">
        <w:t>the</w:t>
      </w:r>
      <w:r w:rsidRPr="00B026AB">
        <w:t xml:space="preserve"> proposal</w:t>
      </w:r>
    </w:p>
    <w:p w14:paraId="69932642" w14:textId="4E3AC508" w:rsidR="009256B4" w:rsidRPr="00B026AB" w:rsidRDefault="009256B4" w:rsidP="00997358">
      <w:pPr>
        <w:pStyle w:val="BodyText"/>
        <w:numPr>
          <w:ilvl w:val="0"/>
          <w:numId w:val="12"/>
        </w:numPr>
        <w:ind w:left="360"/>
      </w:pPr>
      <w:r w:rsidRPr="00B026AB">
        <w:t>appropriate governance structures are in place</w:t>
      </w:r>
    </w:p>
    <w:p w14:paraId="4D2FA2E5" w14:textId="4BDD1E1A" w:rsidR="009256B4" w:rsidRPr="00B026AB" w:rsidRDefault="009256B4" w:rsidP="00997358">
      <w:pPr>
        <w:pStyle w:val="BodyText"/>
        <w:numPr>
          <w:ilvl w:val="0"/>
          <w:numId w:val="12"/>
        </w:numPr>
        <w:ind w:left="360"/>
      </w:pPr>
      <w:r w:rsidRPr="00B026AB">
        <w:t xml:space="preserve">the applicant knew what good governance looked like and could realise </w:t>
      </w:r>
      <w:r w:rsidR="001E528A">
        <w:t>this</w:t>
      </w:r>
      <w:r w:rsidRPr="00B026AB">
        <w:t xml:space="preserve"> through its project </w:t>
      </w:r>
    </w:p>
    <w:p w14:paraId="3788FAC4" w14:textId="4FA459EE" w:rsidR="009256B4" w:rsidRPr="00B026AB" w:rsidRDefault="009256B4" w:rsidP="00997358">
      <w:pPr>
        <w:pStyle w:val="BodyText"/>
        <w:numPr>
          <w:ilvl w:val="0"/>
          <w:numId w:val="12"/>
        </w:numPr>
        <w:ind w:left="360"/>
      </w:pPr>
      <w:r w:rsidRPr="00B026AB">
        <w:t>the project was adequately resourced and explain how those delivering the project were well qualified and suitable to do so</w:t>
      </w:r>
    </w:p>
    <w:p w14:paraId="1D09074C" w14:textId="2D1B0B36" w:rsidR="009256B4" w:rsidRPr="00B026AB" w:rsidRDefault="009256B4" w:rsidP="00997358">
      <w:pPr>
        <w:pStyle w:val="BodyText"/>
        <w:numPr>
          <w:ilvl w:val="0"/>
          <w:numId w:val="12"/>
        </w:numPr>
        <w:ind w:left="360"/>
      </w:pPr>
      <w:r w:rsidRPr="00B026AB">
        <w:t xml:space="preserve">clear roles and responsibilities of different organisations involved in the project (including project partners or co-contributors). </w:t>
      </w:r>
    </w:p>
    <w:p w14:paraId="7E69BD21" w14:textId="77777777" w:rsidR="009256B4" w:rsidRPr="00B026AB" w:rsidRDefault="009256B4" w:rsidP="00424534">
      <w:pPr>
        <w:pStyle w:val="Heading2"/>
        <w:spacing w:before="120" w:after="140" w:line="280" w:lineRule="atLeast"/>
        <w:rPr>
          <w:rStyle w:val="Strong"/>
        </w:rPr>
      </w:pPr>
      <w:r w:rsidRPr="00B026AB">
        <w:rPr>
          <w:rStyle w:val="Strong"/>
        </w:rPr>
        <w:t>Ineligible activities and budget items</w:t>
      </w:r>
    </w:p>
    <w:p w14:paraId="3989A8FA" w14:textId="4CB57B84" w:rsidR="009256B4"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Several applications included ineligible budget items or activities, including activities </w:t>
      </w:r>
      <w:r w:rsidR="001E528A">
        <w:rPr>
          <w:rFonts w:ascii="Arial" w:eastAsia="Times New Roman" w:hAnsi="Arial" w:cs="Arial"/>
          <w:color w:val="auto"/>
          <w:szCs w:val="22"/>
        </w:rPr>
        <w:t>which</w:t>
      </w:r>
      <w:r w:rsidRPr="00B026AB">
        <w:rPr>
          <w:rFonts w:ascii="Arial" w:eastAsia="Times New Roman" w:hAnsi="Arial" w:cs="Arial"/>
          <w:color w:val="auto"/>
          <w:szCs w:val="22"/>
        </w:rPr>
        <w:t xml:space="preserve"> were the responsibility of other Government agencies. A full list of ineligible items and activities can be found at Section 5.4 of the Grant Opportunity Guidelines. In particular, there were unsuccessful applications </w:t>
      </w:r>
      <w:r w:rsidR="001E528A">
        <w:rPr>
          <w:rFonts w:ascii="Arial" w:eastAsia="Times New Roman" w:hAnsi="Arial" w:cs="Arial"/>
          <w:color w:val="auto"/>
          <w:szCs w:val="22"/>
        </w:rPr>
        <w:t xml:space="preserve">which </w:t>
      </w:r>
      <w:r w:rsidRPr="00B026AB">
        <w:rPr>
          <w:rFonts w:ascii="Arial" w:eastAsia="Times New Roman" w:hAnsi="Arial" w:cs="Arial"/>
          <w:color w:val="auto"/>
          <w:szCs w:val="22"/>
        </w:rPr>
        <w:t>included:</w:t>
      </w:r>
    </w:p>
    <w:p w14:paraId="712460C0" w14:textId="77777777" w:rsidR="009256B4" w:rsidRPr="00B026AB" w:rsidRDefault="009256B4" w:rsidP="00997358">
      <w:pPr>
        <w:pStyle w:val="BodyText"/>
        <w:numPr>
          <w:ilvl w:val="0"/>
          <w:numId w:val="12"/>
        </w:numPr>
        <w:ind w:left="360"/>
      </w:pPr>
      <w:r w:rsidRPr="00B026AB">
        <w:t xml:space="preserve">research and development projects </w:t>
      </w:r>
    </w:p>
    <w:p w14:paraId="1BA08F1A" w14:textId="1CB8153E" w:rsidR="009256B4" w:rsidRPr="00B026AB" w:rsidRDefault="009256B4" w:rsidP="00997358">
      <w:pPr>
        <w:pStyle w:val="BodyText"/>
        <w:numPr>
          <w:ilvl w:val="0"/>
          <w:numId w:val="12"/>
        </w:numPr>
        <w:ind w:left="360"/>
      </w:pPr>
      <w:r w:rsidRPr="00B026AB">
        <w:t xml:space="preserve">activities </w:t>
      </w:r>
      <w:r w:rsidR="001E528A">
        <w:t>which</w:t>
      </w:r>
      <w:r w:rsidRPr="00B026AB">
        <w:t xml:space="preserve"> were the primary responsibility of local government authorities</w:t>
      </w:r>
    </w:p>
    <w:p w14:paraId="799E9AE7" w14:textId="25A75811" w:rsidR="009256B4" w:rsidRPr="00B026AB" w:rsidRDefault="009256B4" w:rsidP="00997358">
      <w:pPr>
        <w:pStyle w:val="BodyText"/>
        <w:numPr>
          <w:ilvl w:val="0"/>
          <w:numId w:val="12"/>
        </w:numPr>
        <w:ind w:left="360"/>
      </w:pPr>
      <w:r w:rsidRPr="00B026AB">
        <w:t xml:space="preserve">projects </w:t>
      </w:r>
      <w:r w:rsidR="001E528A">
        <w:t>which</w:t>
      </w:r>
      <w:r w:rsidRPr="00B026AB">
        <w:t xml:space="preserve"> benefitted only private individuals/enterprises. </w:t>
      </w:r>
    </w:p>
    <w:p w14:paraId="2438E0F0" w14:textId="77777777" w:rsidR="007A1318" w:rsidRPr="00B026AB" w:rsidRDefault="007A1318" w:rsidP="00424534">
      <w:pPr>
        <w:spacing w:before="120" w:after="140"/>
        <w:rPr>
          <w:rFonts w:eastAsia="Times New Roman" w:cstheme="minorHAnsi"/>
          <w:b/>
          <w:bCs/>
          <w:color w:val="CF0A2C" w:themeColor="accent1"/>
          <w:sz w:val="36"/>
          <w:szCs w:val="28"/>
        </w:rPr>
      </w:pPr>
      <w:r w:rsidRPr="00B026AB">
        <w:rPr>
          <w:rFonts w:eastAsia="Times New Roman" w:cstheme="minorHAnsi"/>
          <w:bCs/>
        </w:rPr>
        <w:br w:type="page"/>
      </w:r>
    </w:p>
    <w:p w14:paraId="351A26C3" w14:textId="77777777" w:rsidR="00295CE9" w:rsidRPr="00B026AB" w:rsidRDefault="00E511FB" w:rsidP="00424534">
      <w:pPr>
        <w:pStyle w:val="Heading1"/>
        <w:numPr>
          <w:ilvl w:val="0"/>
          <w:numId w:val="0"/>
        </w:numPr>
        <w:spacing w:before="120" w:after="140" w:line="280" w:lineRule="atLeast"/>
        <w:ind w:left="454" w:hanging="454"/>
        <w:rPr>
          <w:rFonts w:asciiTheme="minorHAnsi" w:eastAsia="Times New Roman" w:hAnsiTheme="minorHAnsi" w:cstheme="minorHAnsi"/>
          <w:bCs/>
        </w:rPr>
      </w:pPr>
      <w:r w:rsidRPr="00B026AB">
        <w:rPr>
          <w:rFonts w:asciiTheme="minorHAnsi" w:eastAsia="Times New Roman" w:hAnsiTheme="minorHAnsi" w:cstheme="minorHAnsi"/>
          <w:bCs/>
        </w:rPr>
        <w:lastRenderedPageBreak/>
        <w:t>Criteria s</w:t>
      </w:r>
      <w:r w:rsidR="00755D9B" w:rsidRPr="00B026AB">
        <w:rPr>
          <w:rFonts w:asciiTheme="minorHAnsi" w:eastAsia="Times New Roman" w:hAnsiTheme="minorHAnsi" w:cstheme="minorHAnsi"/>
          <w:bCs/>
        </w:rPr>
        <w:t>pecific feedback</w:t>
      </w:r>
    </w:p>
    <w:p w14:paraId="474DDCEF" w14:textId="77777777" w:rsidR="007A1318" w:rsidRPr="00B026AB" w:rsidRDefault="007A1318" w:rsidP="00424534">
      <w:pPr>
        <w:pStyle w:val="Heading2"/>
        <w:spacing w:before="120" w:after="140" w:line="280" w:lineRule="atLeast"/>
        <w:rPr>
          <w:rStyle w:val="Strong"/>
        </w:rPr>
      </w:pPr>
      <w:r w:rsidRPr="00B026AB">
        <w:rPr>
          <w:rStyle w:val="Strong"/>
        </w:rPr>
        <w:t xml:space="preserve">Criterion 1: Economic benefits [weighting of 40%] </w:t>
      </w:r>
    </w:p>
    <w:p w14:paraId="1DA4AE4E" w14:textId="5369DC7B" w:rsidR="007A1318" w:rsidRPr="00B026AB" w:rsidRDefault="009256B4" w:rsidP="00424534">
      <w:pPr>
        <w:spacing w:before="120" w:after="140"/>
        <w:rPr>
          <w:rFonts w:ascii="Arial" w:eastAsia="Times New Roman" w:hAnsi="Arial" w:cs="Arial"/>
          <w:color w:val="auto"/>
          <w:szCs w:val="22"/>
        </w:rPr>
      </w:pPr>
      <w:r w:rsidRPr="00B026AB">
        <w:rPr>
          <w:rFonts w:ascii="Arial" w:eastAsia="Times New Roman" w:hAnsi="Arial" w:cs="Arial"/>
          <w:color w:val="auto"/>
          <w:szCs w:val="22"/>
        </w:rPr>
        <w:t xml:space="preserve">In responding to this criterion applicants </w:t>
      </w:r>
      <w:r w:rsidR="004A1224" w:rsidRPr="00B026AB">
        <w:rPr>
          <w:rFonts w:ascii="Arial" w:eastAsia="Times New Roman" w:hAnsi="Arial" w:cs="Arial"/>
          <w:color w:val="auto"/>
          <w:szCs w:val="22"/>
        </w:rPr>
        <w:t>were to</w:t>
      </w:r>
      <w:r w:rsidR="007A1318" w:rsidRPr="00B026AB">
        <w:rPr>
          <w:rFonts w:ascii="Arial" w:eastAsia="Times New Roman" w:hAnsi="Arial" w:cs="Arial"/>
          <w:color w:val="auto"/>
          <w:szCs w:val="22"/>
        </w:rPr>
        <w:t xml:space="preserve"> describe </w:t>
      </w:r>
      <w:r w:rsidR="004A1224" w:rsidRPr="00B026AB">
        <w:rPr>
          <w:rFonts w:ascii="Arial" w:eastAsia="Times New Roman" w:hAnsi="Arial" w:cs="Arial"/>
          <w:color w:val="auto"/>
          <w:szCs w:val="22"/>
        </w:rPr>
        <w:t xml:space="preserve">the </w:t>
      </w:r>
      <w:r w:rsidR="007A1318" w:rsidRPr="00B026AB">
        <w:rPr>
          <w:rFonts w:ascii="Arial" w:eastAsia="Times New Roman" w:hAnsi="Arial" w:cs="Arial"/>
          <w:color w:val="auto"/>
          <w:szCs w:val="22"/>
        </w:rPr>
        <w:t>project in detail</w:t>
      </w:r>
      <w:r w:rsidR="004A1224" w:rsidRPr="00B026AB">
        <w:rPr>
          <w:rFonts w:ascii="Arial" w:eastAsia="Times New Roman" w:hAnsi="Arial" w:cs="Arial"/>
          <w:color w:val="auto"/>
          <w:szCs w:val="22"/>
        </w:rPr>
        <w:t>,</w:t>
      </w:r>
      <w:r w:rsidR="007A1318" w:rsidRPr="00B026AB">
        <w:rPr>
          <w:rFonts w:ascii="Arial" w:eastAsia="Times New Roman" w:hAnsi="Arial" w:cs="Arial"/>
          <w:color w:val="auto"/>
          <w:szCs w:val="22"/>
        </w:rPr>
        <w:t xml:space="preserve"> identify which community </w:t>
      </w:r>
      <w:r w:rsidR="004A1224" w:rsidRPr="00B026AB">
        <w:rPr>
          <w:rFonts w:ascii="Arial" w:eastAsia="Times New Roman" w:hAnsi="Arial" w:cs="Arial"/>
          <w:color w:val="auto"/>
          <w:szCs w:val="22"/>
        </w:rPr>
        <w:t>it related</w:t>
      </w:r>
      <w:r w:rsidR="007A1318" w:rsidRPr="00B026AB">
        <w:rPr>
          <w:rFonts w:ascii="Arial" w:eastAsia="Times New Roman" w:hAnsi="Arial" w:cs="Arial"/>
          <w:color w:val="auto"/>
          <w:szCs w:val="22"/>
        </w:rPr>
        <w:t xml:space="preserve"> to, specify the location of the activities, and describe how it will deliver economic benefits </w:t>
      </w:r>
      <w:r w:rsidR="001E528A">
        <w:rPr>
          <w:rFonts w:ascii="Arial" w:eastAsia="Times New Roman" w:hAnsi="Arial" w:cs="Arial"/>
          <w:color w:val="auto"/>
          <w:szCs w:val="22"/>
        </w:rPr>
        <w:t>which</w:t>
      </w:r>
      <w:r w:rsidR="007A1318" w:rsidRPr="00B026AB">
        <w:rPr>
          <w:rFonts w:ascii="Arial" w:eastAsia="Times New Roman" w:hAnsi="Arial" w:cs="Arial"/>
          <w:color w:val="auto"/>
          <w:szCs w:val="22"/>
        </w:rPr>
        <w:t xml:space="preserve"> address the impacts of water recovery on the community.</w:t>
      </w:r>
      <w:r w:rsidR="004A1224" w:rsidRPr="00B026AB">
        <w:rPr>
          <w:rFonts w:ascii="Arial" w:eastAsia="Times New Roman" w:hAnsi="Arial" w:cs="Arial"/>
          <w:color w:val="auto"/>
          <w:szCs w:val="22"/>
        </w:rPr>
        <w:t xml:space="preserve"> E</w:t>
      </w:r>
      <w:r w:rsidR="007A1318" w:rsidRPr="00B026AB">
        <w:rPr>
          <w:rFonts w:ascii="Arial" w:eastAsia="Times New Roman" w:hAnsi="Arial" w:cs="Arial"/>
          <w:color w:val="auto"/>
          <w:szCs w:val="22"/>
        </w:rPr>
        <w:t>conomic benefits includ</w:t>
      </w:r>
      <w:r w:rsidR="004A1224" w:rsidRPr="00B026AB">
        <w:rPr>
          <w:rFonts w:ascii="Arial" w:eastAsia="Times New Roman" w:hAnsi="Arial" w:cs="Arial"/>
          <w:color w:val="auto"/>
          <w:szCs w:val="22"/>
        </w:rPr>
        <w:t>e h</w:t>
      </w:r>
      <w:r w:rsidR="007A1318" w:rsidRPr="00B026AB">
        <w:rPr>
          <w:rFonts w:ascii="Arial" w:eastAsia="Times New Roman" w:hAnsi="Arial" w:cs="Arial"/>
          <w:color w:val="auto"/>
          <w:szCs w:val="22"/>
        </w:rPr>
        <w:t xml:space="preserve">ow </w:t>
      </w:r>
      <w:r w:rsidR="004A1224" w:rsidRPr="00B026AB">
        <w:rPr>
          <w:rFonts w:ascii="Arial" w:eastAsia="Times New Roman" w:hAnsi="Arial" w:cs="Arial"/>
          <w:color w:val="auto"/>
          <w:szCs w:val="22"/>
        </w:rPr>
        <w:t>the project</w:t>
      </w:r>
      <w:r w:rsidR="007A1318" w:rsidRPr="00B026AB">
        <w:rPr>
          <w:rFonts w:ascii="Arial" w:eastAsia="Times New Roman" w:hAnsi="Arial" w:cs="Arial"/>
          <w:color w:val="auto"/>
          <w:szCs w:val="22"/>
        </w:rPr>
        <w:t xml:space="preserve"> will: </w:t>
      </w:r>
    </w:p>
    <w:p w14:paraId="51BFACC5" w14:textId="77777777" w:rsidR="007A1318" w:rsidRPr="00B026AB" w:rsidRDefault="007A1318" w:rsidP="00997358">
      <w:pPr>
        <w:pStyle w:val="BodyText"/>
        <w:numPr>
          <w:ilvl w:val="0"/>
          <w:numId w:val="12"/>
        </w:numPr>
        <w:ind w:left="360"/>
        <w:rPr>
          <w:iCs/>
        </w:rPr>
      </w:pPr>
      <w:r w:rsidRPr="00B026AB">
        <w:rPr>
          <w:rFonts w:cstheme="minorHAnsi"/>
          <w:color w:val="000000"/>
          <w:szCs w:val="22"/>
        </w:rPr>
        <w:t>i</w:t>
      </w:r>
      <w:r w:rsidRPr="00B026AB">
        <w:rPr>
          <w:iCs/>
        </w:rPr>
        <w:t xml:space="preserve">ncrease opportunities within the community for employment </w:t>
      </w:r>
    </w:p>
    <w:p w14:paraId="4153D184" w14:textId="77777777" w:rsidR="007A1318" w:rsidRPr="00B026AB" w:rsidRDefault="007A1318" w:rsidP="00997358">
      <w:pPr>
        <w:pStyle w:val="BodyText"/>
        <w:numPr>
          <w:ilvl w:val="0"/>
          <w:numId w:val="12"/>
        </w:numPr>
        <w:ind w:left="360"/>
        <w:rPr>
          <w:iCs/>
        </w:rPr>
      </w:pPr>
      <w:r w:rsidRPr="00B026AB">
        <w:rPr>
          <w:iCs/>
        </w:rPr>
        <w:t xml:space="preserve">diversify and strengthen an identified community’s economy </w:t>
      </w:r>
    </w:p>
    <w:p w14:paraId="47998786" w14:textId="77777777" w:rsidR="007A1318" w:rsidRPr="00B026AB" w:rsidRDefault="007A1318" w:rsidP="00997358">
      <w:pPr>
        <w:pStyle w:val="BodyText"/>
        <w:numPr>
          <w:ilvl w:val="0"/>
          <w:numId w:val="12"/>
        </w:numPr>
        <w:ind w:left="360"/>
        <w:rPr>
          <w:iCs/>
        </w:rPr>
      </w:pPr>
      <w:r w:rsidRPr="00B026AB">
        <w:rPr>
          <w:iCs/>
        </w:rPr>
        <w:t xml:space="preserve">enhance resilience of the community to manage current and future economic challenges and changes. </w:t>
      </w:r>
    </w:p>
    <w:p w14:paraId="292239E6" w14:textId="1DD9B127" w:rsidR="007F330D" w:rsidRPr="007A1318" w:rsidRDefault="007A1318" w:rsidP="00424534">
      <w:pPr>
        <w:autoSpaceDE w:val="0"/>
        <w:autoSpaceDN w:val="0"/>
        <w:adjustRightInd w:val="0"/>
        <w:spacing w:before="120" w:after="140"/>
        <w:rPr>
          <w:rFonts w:cstheme="minorHAnsi"/>
          <w:szCs w:val="22"/>
        </w:rPr>
      </w:pPr>
      <w:r w:rsidRPr="00B026AB">
        <w:rPr>
          <w:rFonts w:cstheme="minorHAnsi"/>
          <w:color w:val="000000"/>
          <w:szCs w:val="22"/>
        </w:rPr>
        <w:t xml:space="preserve">Applications </w:t>
      </w:r>
      <w:r w:rsidR="001E528A">
        <w:rPr>
          <w:rFonts w:cstheme="minorHAnsi"/>
          <w:color w:val="000000"/>
          <w:szCs w:val="22"/>
        </w:rPr>
        <w:t>which</w:t>
      </w:r>
      <w:r w:rsidRPr="00B026AB">
        <w:rPr>
          <w:rFonts w:cstheme="minorHAnsi"/>
          <w:color w:val="000000"/>
          <w:szCs w:val="22"/>
        </w:rPr>
        <w:t xml:space="preserve"> outline</w:t>
      </w:r>
      <w:r w:rsidR="00321FBE" w:rsidRPr="00B026AB">
        <w:rPr>
          <w:rFonts w:cstheme="minorHAnsi"/>
          <w:color w:val="000000"/>
          <w:szCs w:val="22"/>
        </w:rPr>
        <w:t>d</w:t>
      </w:r>
      <w:r w:rsidRPr="00B026AB">
        <w:rPr>
          <w:rFonts w:cstheme="minorHAnsi"/>
          <w:color w:val="000000"/>
          <w:szCs w:val="22"/>
        </w:rPr>
        <w:t xml:space="preserve"> measurable outputs of the proposed projects, such as the number of jobs created as a result of the project, </w:t>
      </w:r>
      <w:r w:rsidR="00321FBE" w:rsidRPr="00B026AB">
        <w:rPr>
          <w:rFonts w:cstheme="minorHAnsi"/>
          <w:color w:val="000000"/>
          <w:szCs w:val="22"/>
        </w:rPr>
        <w:t>were</w:t>
      </w:r>
      <w:r w:rsidRPr="00B026AB">
        <w:rPr>
          <w:rFonts w:cstheme="minorHAnsi"/>
          <w:color w:val="000000"/>
          <w:szCs w:val="22"/>
        </w:rPr>
        <w:t xml:space="preserve"> highly regarded.</w:t>
      </w:r>
      <w:r w:rsidRPr="007A1318">
        <w:rPr>
          <w:rFonts w:cstheme="minorHAnsi"/>
          <w:color w:val="000000"/>
          <w:szCs w:val="22"/>
        </w:rPr>
        <w:t xml:space="preserve"> </w:t>
      </w:r>
    </w:p>
    <w:tbl>
      <w:tblPr>
        <w:tblStyle w:val="CGHTableBanded"/>
        <w:tblW w:w="9781" w:type="dxa"/>
        <w:tblInd w:w="-147" w:type="dxa"/>
        <w:shd w:val="clear" w:color="auto" w:fill="FFE74B" w:themeFill="accent5" w:themeFillShade="BF"/>
        <w:tblLook w:val="04A0" w:firstRow="1" w:lastRow="0" w:firstColumn="1" w:lastColumn="0" w:noHBand="0" w:noVBand="1"/>
        <w:tblDescription w:val="Areas for improvement"/>
      </w:tblPr>
      <w:tblGrid>
        <w:gridCol w:w="3828"/>
        <w:gridCol w:w="5953"/>
      </w:tblGrid>
      <w:tr w:rsidR="00677EBC" w:rsidRPr="00677EBC" w14:paraId="4EA75C4E" w14:textId="77777777" w:rsidTr="00682C05">
        <w:trPr>
          <w:cnfStyle w:val="100000000000" w:firstRow="1" w:lastRow="0" w:firstColumn="0" w:lastColumn="0" w:oddVBand="0" w:evenVBand="0" w:oddHBand="0" w:evenHBand="0" w:firstRowFirstColumn="0" w:firstRowLastColumn="0" w:lastRowFirstColumn="0" w:lastRowLastColumn="0"/>
          <w:cantSplit/>
          <w:trHeight w:val="472"/>
          <w:tblHeader/>
        </w:trPr>
        <w:tc>
          <w:tcPr>
            <w:tcW w:w="3828"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1ADDD440" w14:textId="4B102963" w:rsidR="00677EBC" w:rsidRPr="00677EBC" w:rsidRDefault="00677EBC" w:rsidP="00424534">
            <w:pPr>
              <w:spacing w:before="120" w:after="140"/>
              <w:ind w:left="57" w:right="57"/>
              <w:rPr>
                <w:rFonts w:ascii="Arial" w:eastAsia="Arial" w:hAnsi="Arial"/>
                <w:b/>
                <w:color w:val="000000"/>
                <w:szCs w:val="22"/>
              </w:rPr>
            </w:pPr>
            <w:bookmarkStart w:id="1" w:name="_Hlk72736475"/>
            <w:r w:rsidRPr="00677EBC">
              <w:rPr>
                <w:rFonts w:ascii="Arial" w:eastAsia="Arial" w:hAnsi="Arial"/>
                <w:b/>
                <w:color w:val="000000"/>
                <w:szCs w:val="22"/>
              </w:rPr>
              <w:t xml:space="preserve">Strong applications: </w:t>
            </w:r>
          </w:p>
        </w:tc>
        <w:tc>
          <w:tcPr>
            <w:tcW w:w="59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4B24679A" w14:textId="46109687" w:rsidR="00677EBC" w:rsidRPr="00677EBC" w:rsidRDefault="00677EBC" w:rsidP="00424534">
            <w:pPr>
              <w:spacing w:before="120" w:after="140"/>
              <w:ind w:left="57" w:right="57"/>
              <w:rPr>
                <w:rFonts w:ascii="Arial" w:eastAsia="Arial" w:hAnsi="Arial"/>
                <w:bCs/>
                <w:color w:val="000000"/>
                <w:szCs w:val="22"/>
              </w:rPr>
            </w:pPr>
            <w:r w:rsidRPr="00677EBC">
              <w:rPr>
                <w:rFonts w:ascii="Arial" w:eastAsia="Arial" w:hAnsi="Arial"/>
                <w:bCs/>
                <w:color w:val="000000"/>
                <w:szCs w:val="22"/>
              </w:rPr>
              <w:t>Quality responses clearly</w:t>
            </w:r>
            <w:r w:rsidR="00682C05">
              <w:rPr>
                <w:rFonts w:ascii="Arial" w:eastAsia="Arial" w:hAnsi="Arial"/>
                <w:bCs/>
                <w:color w:val="000000"/>
                <w:szCs w:val="22"/>
              </w:rPr>
              <w:t>:</w:t>
            </w:r>
            <w:r w:rsidRPr="00677EBC">
              <w:rPr>
                <w:rFonts w:ascii="Arial" w:eastAsia="Arial" w:hAnsi="Arial"/>
                <w:bCs/>
                <w:color w:val="000000"/>
                <w:szCs w:val="22"/>
              </w:rPr>
              <w:t xml:space="preserve"> </w:t>
            </w:r>
          </w:p>
        </w:tc>
      </w:tr>
      <w:bookmarkEnd w:id="1"/>
      <w:tr w:rsidR="00321FBE" w:rsidRPr="00B026AB" w14:paraId="1CFA034A" w14:textId="77777777" w:rsidTr="00682C05">
        <w:trPr>
          <w:cnfStyle w:val="000000100000" w:firstRow="0" w:lastRow="0" w:firstColumn="0" w:lastColumn="0" w:oddVBand="0" w:evenVBand="0" w:oddHBand="1" w:evenHBand="0" w:firstRowFirstColumn="0" w:firstRowLastColumn="0" w:lastRowFirstColumn="0" w:lastRowLastColumn="0"/>
          <w:cantSplit/>
          <w:trHeight w:val="1164"/>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76B2B5F8" w14:textId="38E47714" w:rsidR="00321FBE" w:rsidRPr="00B026AB" w:rsidRDefault="00321FBE" w:rsidP="00424534">
            <w:pPr>
              <w:spacing w:before="120" w:after="140"/>
              <w:ind w:left="113" w:right="57"/>
              <w:rPr>
                <w:rFonts w:ascii="Arial" w:eastAsia="Arial" w:hAnsi="Arial" w:cs="Arial"/>
                <w:color w:val="auto"/>
                <w:szCs w:val="22"/>
              </w:rPr>
            </w:pPr>
            <w:r w:rsidRPr="00B026AB">
              <w:rPr>
                <w:rFonts w:ascii="Arial" w:eastAsia="Arial" w:hAnsi="Arial" w:cs="Arial"/>
                <w:color w:val="auto"/>
                <w:szCs w:val="22"/>
              </w:rPr>
              <w:t xml:space="preserve">Clearly identified </w:t>
            </w:r>
            <w:r w:rsidR="00154458" w:rsidRPr="00B026AB">
              <w:rPr>
                <w:rFonts w:ascii="Arial" w:eastAsia="Arial" w:hAnsi="Arial" w:cs="Arial"/>
                <w:color w:val="auto"/>
                <w:szCs w:val="22"/>
              </w:rPr>
              <w:t xml:space="preserve">where the activities will take place and, therefore, </w:t>
            </w:r>
            <w:r w:rsidRPr="00B026AB">
              <w:rPr>
                <w:rFonts w:ascii="Arial" w:eastAsia="Arial" w:hAnsi="Arial" w:cs="Arial"/>
                <w:color w:val="auto"/>
                <w:szCs w:val="22"/>
              </w:rPr>
              <w:t>which eligible community or communities were to benefit from the project</w:t>
            </w:r>
            <w:r w:rsidR="00154458" w:rsidRPr="00B026AB">
              <w:rPr>
                <w:rFonts w:ascii="Arial" w:eastAsia="Arial" w:hAnsi="Arial" w:cs="Arial"/>
                <w:color w:val="auto"/>
                <w:szCs w:val="22"/>
              </w:rPr>
              <w:t xml:space="preserve"> and why</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F185409" w14:textId="77777777" w:rsidR="00AF5CB9" w:rsidRPr="00B026AB" w:rsidRDefault="00AF5CB9" w:rsidP="00997358">
            <w:pPr>
              <w:pStyle w:val="TableBullets1"/>
            </w:pPr>
            <w:r w:rsidRPr="00B026AB">
              <w:t>identified the location/s where the activities will be delivered</w:t>
            </w:r>
          </w:p>
          <w:p w14:paraId="2B5A4C0E" w14:textId="7CFED32D" w:rsidR="00321FBE" w:rsidRDefault="00AF5CB9" w:rsidP="00997358">
            <w:pPr>
              <w:pStyle w:val="TableBullets1"/>
            </w:pPr>
            <w:r w:rsidRPr="00B026AB">
              <w:t xml:space="preserve">identified a direct need for this activity in </w:t>
            </w:r>
            <w:r w:rsidR="00333CD8">
              <w:t>the</w:t>
            </w:r>
            <w:r w:rsidRPr="00B026AB">
              <w:t xml:space="preserve"> location</w:t>
            </w:r>
            <w:r w:rsidR="00333CD8">
              <w:t>/s</w:t>
            </w:r>
          </w:p>
          <w:p w14:paraId="40FBF530" w14:textId="6FB64734" w:rsidR="00B026AB" w:rsidRPr="00B026AB" w:rsidRDefault="00B026AB" w:rsidP="00424534">
            <w:pPr>
              <w:spacing w:before="120" w:after="140"/>
              <w:ind w:right="57"/>
              <w:rPr>
                <w:rFonts w:ascii="Arial" w:eastAsia="Arial" w:hAnsi="Arial" w:cs="Arial"/>
                <w:color w:val="auto"/>
                <w:szCs w:val="22"/>
              </w:rPr>
            </w:pPr>
          </w:p>
        </w:tc>
      </w:tr>
      <w:tr w:rsidR="00321FBE" w:rsidRPr="00B026AB" w14:paraId="276658A8" w14:textId="77777777" w:rsidTr="00682C05">
        <w:trPr>
          <w:cantSplit/>
          <w:trHeight w:val="311"/>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E5CE0FC" w14:textId="48D7316B" w:rsidR="00321FBE" w:rsidRPr="00B026AB" w:rsidRDefault="00321FBE" w:rsidP="00424534">
            <w:pPr>
              <w:spacing w:before="120" w:after="140"/>
              <w:ind w:left="113" w:right="57"/>
              <w:rPr>
                <w:rFonts w:ascii="Arial" w:eastAsia="Arial" w:hAnsi="Arial" w:cs="Arial"/>
                <w:color w:val="auto"/>
                <w:szCs w:val="22"/>
              </w:rPr>
            </w:pPr>
            <w:r w:rsidRPr="00B026AB">
              <w:rPr>
                <w:rFonts w:ascii="Arial" w:eastAsia="Arial" w:hAnsi="Arial" w:cs="Arial"/>
                <w:color w:val="auto"/>
                <w:szCs w:val="22"/>
              </w:rPr>
              <w:t>Defined the project well, including its scope</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D390B0A" w14:textId="77777777" w:rsidR="00B026AB" w:rsidRDefault="00B026AB" w:rsidP="00997358">
            <w:pPr>
              <w:pStyle w:val="TableBullets1"/>
            </w:pPr>
            <w:r w:rsidRPr="00B026AB">
              <w:t xml:space="preserve">described what the activity to be delivered was, in a clear and logical manner </w:t>
            </w:r>
          </w:p>
          <w:p w14:paraId="5517AC14" w14:textId="77777777" w:rsidR="004C5712" w:rsidRPr="00680307" w:rsidRDefault="004C5712" w:rsidP="00997358">
            <w:pPr>
              <w:pStyle w:val="TableBullets1"/>
            </w:pPr>
            <w:r w:rsidRPr="004C5712">
              <w:t>identified and articulated the benefit of the project to the community, what benefit the project was to deliver and how this would be realised</w:t>
            </w:r>
          </w:p>
          <w:p w14:paraId="0C2FF8BE" w14:textId="373D5B26" w:rsidR="00321FBE" w:rsidRPr="00B026AB" w:rsidRDefault="00B026AB" w:rsidP="00997358">
            <w:pPr>
              <w:pStyle w:val="TableBullets1"/>
            </w:pPr>
            <w:r w:rsidRPr="00B026AB">
              <w:t xml:space="preserve">articulated innovative and original projects </w:t>
            </w:r>
          </w:p>
        </w:tc>
      </w:tr>
      <w:tr w:rsidR="00AF5CB9" w:rsidRPr="00321FBE" w14:paraId="0BE03462" w14:textId="77777777" w:rsidTr="00682C05">
        <w:trPr>
          <w:cnfStyle w:val="000000100000" w:firstRow="0" w:lastRow="0" w:firstColumn="0" w:lastColumn="0" w:oddVBand="0" w:evenVBand="0" w:oddHBand="1" w:evenHBand="0" w:firstRowFirstColumn="0" w:firstRowLastColumn="0" w:lastRowFirstColumn="0" w:lastRowLastColumn="0"/>
          <w:cantSplit/>
          <w:trHeight w:val="1164"/>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E3F4B20" w14:textId="379E2170" w:rsidR="00AF5CB9" w:rsidRPr="00B026AB" w:rsidRDefault="00B026AB" w:rsidP="00424534">
            <w:pPr>
              <w:spacing w:before="120" w:after="140"/>
              <w:ind w:left="113" w:right="57"/>
              <w:rPr>
                <w:rFonts w:ascii="Arial" w:eastAsia="Arial" w:hAnsi="Arial" w:cs="Arial"/>
                <w:color w:val="auto"/>
                <w:szCs w:val="22"/>
              </w:rPr>
            </w:pPr>
            <w:r w:rsidRPr="00B026AB">
              <w:rPr>
                <w:rFonts w:ascii="Arial" w:eastAsia="Arial" w:hAnsi="Arial" w:cs="Arial"/>
                <w:color w:val="auto"/>
                <w:szCs w:val="22"/>
              </w:rPr>
              <w:t>Showed c</w:t>
            </w:r>
            <w:r w:rsidR="00154458" w:rsidRPr="00B026AB">
              <w:rPr>
                <w:rFonts w:ascii="Arial" w:eastAsia="Arial" w:hAnsi="Arial" w:cs="Arial"/>
                <w:color w:val="auto"/>
                <w:szCs w:val="22"/>
              </w:rPr>
              <w:t xml:space="preserve">apacity to deliver </w:t>
            </w:r>
            <w:r w:rsidRPr="00B026AB">
              <w:rPr>
                <w:rFonts w:ascii="Arial" w:eastAsia="Arial" w:hAnsi="Arial" w:cs="Arial"/>
                <w:color w:val="auto"/>
                <w:szCs w:val="22"/>
              </w:rPr>
              <w:t xml:space="preserve">the project </w:t>
            </w:r>
            <w:r w:rsidR="00154458" w:rsidRPr="00B026AB">
              <w:rPr>
                <w:rFonts w:ascii="Arial" w:eastAsia="Arial" w:hAnsi="Arial" w:cs="Arial"/>
                <w:color w:val="auto"/>
                <w:szCs w:val="22"/>
              </w:rPr>
              <w:t xml:space="preserve">within the grant period </w:t>
            </w:r>
            <w:r w:rsidRPr="00B026AB">
              <w:rPr>
                <w:rFonts w:ascii="Arial" w:eastAsia="Arial" w:hAnsi="Arial" w:cs="Arial"/>
                <w:color w:val="auto"/>
                <w:szCs w:val="22"/>
              </w:rPr>
              <w:t>(that is within 12 months from 1 June 2021 to 31 May 2022)</w:t>
            </w:r>
            <w:r w:rsidR="00154458" w:rsidRPr="00B026AB">
              <w:rPr>
                <w:rFonts w:ascii="Arial" w:eastAsia="Arial" w:hAnsi="Arial" w:cs="Arial"/>
                <w:color w:val="auto"/>
                <w:szCs w:val="22"/>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D31D5B4" w14:textId="7C252FB4" w:rsidR="00AF5CB9" w:rsidRPr="00B026AB" w:rsidRDefault="00B026AB" w:rsidP="00997358">
            <w:pPr>
              <w:pStyle w:val="TableBullets1"/>
            </w:pPr>
            <w:r w:rsidRPr="00B026AB">
              <w:t>established their ability to deliver the outcomes within the grant period through demonstrating their proposal was clear and well planned</w:t>
            </w:r>
          </w:p>
        </w:tc>
      </w:tr>
      <w:tr w:rsidR="00AF5CB9" w:rsidRPr="00321FBE" w14:paraId="4E928DBE" w14:textId="77777777" w:rsidTr="00682C05">
        <w:trPr>
          <w:cantSplit/>
          <w:trHeight w:val="1164"/>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FFBDFAE" w14:textId="32C64A85" w:rsidR="00AF5CB9" w:rsidRDefault="00154458" w:rsidP="00424534">
            <w:pPr>
              <w:spacing w:before="120" w:after="140"/>
              <w:ind w:left="113" w:right="57"/>
              <w:rPr>
                <w:rFonts w:ascii="Arial" w:eastAsia="Arial" w:hAnsi="Arial" w:cs="Arial"/>
                <w:color w:val="auto"/>
                <w:szCs w:val="22"/>
                <w:highlight w:val="yellow"/>
              </w:rPr>
            </w:pPr>
            <w:r w:rsidRPr="00680307">
              <w:rPr>
                <w:rFonts w:ascii="Arial" w:eastAsia="Arial" w:hAnsi="Arial" w:cs="Arial"/>
                <w:color w:val="auto"/>
                <w:szCs w:val="22"/>
              </w:rPr>
              <w:lastRenderedPageBreak/>
              <w:t xml:space="preserve">Clearly </w:t>
            </w:r>
            <w:r w:rsidR="00680307">
              <w:rPr>
                <w:rFonts w:ascii="Arial" w:eastAsia="Arial" w:hAnsi="Arial" w:cs="Arial"/>
                <w:color w:val="auto"/>
                <w:szCs w:val="22"/>
              </w:rPr>
              <w:t>outlined</w:t>
            </w:r>
            <w:r w:rsidRPr="00680307">
              <w:rPr>
                <w:rFonts w:ascii="Arial" w:eastAsia="Arial" w:hAnsi="Arial" w:cs="Arial"/>
                <w:color w:val="auto"/>
                <w:szCs w:val="22"/>
              </w:rPr>
              <w:t xml:space="preserve"> how the project will </w:t>
            </w:r>
            <w:r w:rsidR="00680307">
              <w:rPr>
                <w:rFonts w:ascii="Arial" w:eastAsia="Arial" w:hAnsi="Arial" w:cs="Arial"/>
                <w:color w:val="auto"/>
                <w:szCs w:val="22"/>
              </w:rPr>
              <w:t>deliver</w:t>
            </w:r>
            <w:r w:rsidRPr="00680307">
              <w:rPr>
                <w:rFonts w:ascii="Arial" w:eastAsia="Arial" w:hAnsi="Arial" w:cs="Arial"/>
                <w:color w:val="auto"/>
                <w:szCs w:val="22"/>
              </w:rPr>
              <w:t xml:space="preserve"> the outcomes sought by the Murray–Darling Basin Economic Development Program Round 3</w:t>
            </w:r>
            <w:r w:rsidR="00680307" w:rsidRPr="00321FBE">
              <w:rPr>
                <w:rFonts w:ascii="Arial" w:eastAsia="Arial" w:hAnsi="Arial" w:cs="Arial"/>
                <w:color w:val="auto"/>
                <w:szCs w:val="22"/>
                <w:highlight w:val="yellow"/>
              </w:rPr>
              <w:t xml:space="preserve"> </w:t>
            </w:r>
            <w:r w:rsidR="00680307" w:rsidRPr="00680307">
              <w:rPr>
                <w:rFonts w:ascii="Arial" w:eastAsia="Arial" w:hAnsi="Arial" w:cs="Arial"/>
                <w:color w:val="auto"/>
                <w:szCs w:val="22"/>
              </w:rPr>
              <w:t>(specifically: increase employment opportunities; diversify and/or strengthen a community’s economy; and/or enhance a community’s resilience)</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85A7C6E" w14:textId="77EBE695" w:rsidR="00B026AB" w:rsidRDefault="00B026AB" w:rsidP="00997358">
            <w:pPr>
              <w:pStyle w:val="TableBullets1"/>
            </w:pPr>
            <w:r w:rsidRPr="00680307">
              <w:t xml:space="preserve">identified a linkage between the proposed activities and identified needs and program outcomes </w:t>
            </w:r>
          </w:p>
          <w:p w14:paraId="7D05D089" w14:textId="53064AF2" w:rsidR="00154458" w:rsidRPr="00680307" w:rsidRDefault="00154458" w:rsidP="00997358">
            <w:pPr>
              <w:pStyle w:val="TableBullets1"/>
            </w:pPr>
            <w:r w:rsidRPr="00680307">
              <w:t>detail</w:t>
            </w:r>
            <w:r w:rsidR="00B026AB" w:rsidRPr="00680307">
              <w:t>ed</w:t>
            </w:r>
            <w:r w:rsidRPr="00680307">
              <w:t xml:space="preserve"> how the project will contribute to economic development and how this will deliver benefits to the broader community</w:t>
            </w:r>
          </w:p>
          <w:p w14:paraId="14D575D2" w14:textId="4A579F33" w:rsidR="00680307" w:rsidRPr="00680307" w:rsidRDefault="00680307" w:rsidP="00997358">
            <w:pPr>
              <w:pStyle w:val="TableBullets1"/>
            </w:pPr>
            <w:r w:rsidRPr="00680307">
              <w:t>detailed how the proposed activity will deliver clear achievements against the program outcomes</w:t>
            </w:r>
          </w:p>
          <w:p w14:paraId="11688137" w14:textId="2F6ED646" w:rsidR="00154458" w:rsidRPr="00680307" w:rsidRDefault="00154458" w:rsidP="00997358">
            <w:pPr>
              <w:pStyle w:val="TableBullets1"/>
            </w:pPr>
            <w:r w:rsidRPr="00680307">
              <w:t>articulat</w:t>
            </w:r>
            <w:r w:rsidR="00B026AB" w:rsidRPr="00680307">
              <w:t>ed</w:t>
            </w:r>
            <w:r w:rsidRPr="00680307">
              <w:t xml:space="preserve"> how the activity will enhance an existing industry, generate opportunities for a new industry, link with and / or complement other activities in the region </w:t>
            </w:r>
          </w:p>
          <w:p w14:paraId="1E8DD2E5" w14:textId="36663E19" w:rsidR="00154458" w:rsidRPr="00680307" w:rsidRDefault="00154458" w:rsidP="00997358">
            <w:pPr>
              <w:pStyle w:val="TableBullets1"/>
            </w:pPr>
            <w:r w:rsidRPr="00680307">
              <w:t>outlin</w:t>
            </w:r>
            <w:r w:rsidR="00680307" w:rsidRPr="00680307">
              <w:t xml:space="preserve">ed </w:t>
            </w:r>
            <w:r w:rsidRPr="00680307">
              <w:t xml:space="preserve">the employment opportunities to be created / </w:t>
            </w:r>
            <w:r w:rsidR="00680307" w:rsidRPr="00680307">
              <w:t>the</w:t>
            </w:r>
            <w:r w:rsidRPr="00680307">
              <w:t xml:space="preserve"> impacts </w:t>
            </w:r>
            <w:r w:rsidR="00680307" w:rsidRPr="00680307">
              <w:t>to</w:t>
            </w:r>
            <w:r w:rsidRPr="00680307">
              <w:t xml:space="preserve"> be realised in the community</w:t>
            </w:r>
          </w:p>
          <w:p w14:paraId="7843AE5B" w14:textId="334FFB9E" w:rsidR="00154458" w:rsidRPr="00680307" w:rsidRDefault="00154458" w:rsidP="00997358">
            <w:pPr>
              <w:pStyle w:val="TableBullets1"/>
            </w:pPr>
            <w:r w:rsidRPr="00680307">
              <w:t>demonstrated projects were adapting to changing circumstances and providing the community with options for its future</w:t>
            </w:r>
          </w:p>
          <w:p w14:paraId="5784D67D" w14:textId="77777777" w:rsidR="00154458" w:rsidRPr="00680307" w:rsidRDefault="00154458" w:rsidP="00997358">
            <w:pPr>
              <w:pStyle w:val="TableBullets1"/>
            </w:pPr>
            <w:r w:rsidRPr="00680307">
              <w:t>provided solid examples of diversification and/or strengthening of the local economy through the project</w:t>
            </w:r>
          </w:p>
          <w:p w14:paraId="22BB051C" w14:textId="77777777" w:rsidR="00680307" w:rsidRDefault="00154458" w:rsidP="00997358">
            <w:pPr>
              <w:pStyle w:val="TableBullets1"/>
            </w:pPr>
            <w:r w:rsidRPr="00680307">
              <w:t>illustrated how the community would be made more resilient</w:t>
            </w:r>
          </w:p>
          <w:p w14:paraId="3CC0E15D" w14:textId="73190AAA" w:rsidR="00AF5CB9" w:rsidRPr="00680307" w:rsidRDefault="00B026AB" w:rsidP="00997358">
            <w:pPr>
              <w:pStyle w:val="TableBullets1"/>
            </w:pPr>
            <w:r w:rsidRPr="00B026AB">
              <w:t xml:space="preserve">stated </w:t>
            </w:r>
            <w:r w:rsidRPr="00680307">
              <w:t xml:space="preserve">any other </w:t>
            </w:r>
            <w:r w:rsidRPr="00B026AB">
              <w:t>additional benefits</w:t>
            </w:r>
            <w:r w:rsidRPr="00680307">
              <w:t xml:space="preserve"> for the community</w:t>
            </w:r>
          </w:p>
        </w:tc>
      </w:tr>
    </w:tbl>
    <w:p w14:paraId="154C1F53" w14:textId="77777777" w:rsidR="007A1318" w:rsidRDefault="007A1318" w:rsidP="00424534">
      <w:pPr>
        <w:autoSpaceDE w:val="0"/>
        <w:autoSpaceDN w:val="0"/>
        <w:adjustRightInd w:val="0"/>
        <w:spacing w:before="120" w:after="140"/>
        <w:rPr>
          <w:rFonts w:ascii="Arial" w:hAnsi="Arial" w:cs="Arial"/>
          <w:b/>
          <w:bCs/>
          <w:color w:val="000000"/>
          <w:sz w:val="20"/>
        </w:rPr>
      </w:pPr>
    </w:p>
    <w:p w14:paraId="245A62CF" w14:textId="77777777" w:rsidR="001E3E28" w:rsidRDefault="001E3E28" w:rsidP="00424534">
      <w:pPr>
        <w:spacing w:before="120" w:after="140"/>
        <w:rPr>
          <w:rFonts w:ascii="Arial" w:hAnsi="Arial" w:cs="Arial"/>
          <w:b/>
          <w:bCs/>
          <w:color w:val="000000"/>
          <w:sz w:val="20"/>
        </w:rPr>
      </w:pPr>
      <w:r>
        <w:rPr>
          <w:rFonts w:ascii="Arial" w:hAnsi="Arial" w:cs="Arial"/>
          <w:b/>
          <w:bCs/>
          <w:color w:val="000000"/>
          <w:sz w:val="20"/>
        </w:rPr>
        <w:br w:type="page"/>
      </w:r>
    </w:p>
    <w:p w14:paraId="3A8D66C2" w14:textId="77777777" w:rsidR="007A1318" w:rsidRPr="00B026AB" w:rsidRDefault="007A1318" w:rsidP="00424534">
      <w:pPr>
        <w:pStyle w:val="Heading2"/>
        <w:spacing w:before="120" w:after="140" w:line="280" w:lineRule="atLeast"/>
        <w:rPr>
          <w:rStyle w:val="Strong"/>
        </w:rPr>
      </w:pPr>
      <w:r w:rsidRPr="00B026AB">
        <w:rPr>
          <w:rStyle w:val="Strong"/>
        </w:rPr>
        <w:lastRenderedPageBreak/>
        <w:t xml:space="preserve">Criterion 2: Community support and benefit [weighting of 30%] </w:t>
      </w:r>
    </w:p>
    <w:p w14:paraId="269E0A68" w14:textId="6EED5075" w:rsidR="001E3E28" w:rsidRPr="004C5712" w:rsidRDefault="009256B4" w:rsidP="00424534">
      <w:pPr>
        <w:spacing w:before="120" w:after="140"/>
        <w:rPr>
          <w:rFonts w:ascii="Arial" w:eastAsia="Times New Roman" w:hAnsi="Arial" w:cs="Arial"/>
          <w:color w:val="auto"/>
          <w:szCs w:val="22"/>
        </w:rPr>
      </w:pPr>
      <w:r w:rsidRPr="004C5712">
        <w:rPr>
          <w:rFonts w:ascii="Arial" w:eastAsia="Times New Roman" w:hAnsi="Arial" w:cs="Arial"/>
          <w:color w:val="auto"/>
          <w:szCs w:val="22"/>
        </w:rPr>
        <w:t xml:space="preserve">In responding to this criterion, applicants were </w:t>
      </w:r>
      <w:r w:rsidR="00AF5CB9" w:rsidRPr="004C5712">
        <w:rPr>
          <w:rFonts w:ascii="Arial" w:eastAsia="Times New Roman" w:hAnsi="Arial" w:cs="Arial"/>
          <w:color w:val="auto"/>
          <w:szCs w:val="22"/>
        </w:rPr>
        <w:t xml:space="preserve">to </w:t>
      </w:r>
      <w:r w:rsidR="007A1318" w:rsidRPr="004C5712">
        <w:rPr>
          <w:rFonts w:ascii="Arial" w:eastAsia="Times New Roman" w:hAnsi="Arial" w:cs="Arial"/>
          <w:color w:val="auto"/>
          <w:szCs w:val="22"/>
        </w:rPr>
        <w:t xml:space="preserve">describe how </w:t>
      </w:r>
      <w:r w:rsidR="00AF5CB9" w:rsidRPr="004C5712">
        <w:rPr>
          <w:rFonts w:ascii="Arial" w:eastAsia="Times New Roman" w:hAnsi="Arial" w:cs="Arial"/>
          <w:color w:val="auto"/>
          <w:szCs w:val="22"/>
        </w:rPr>
        <w:t xml:space="preserve">the </w:t>
      </w:r>
      <w:r w:rsidR="007A1318" w:rsidRPr="004C5712">
        <w:rPr>
          <w:rFonts w:ascii="Arial" w:eastAsia="Times New Roman" w:hAnsi="Arial" w:cs="Arial"/>
          <w:color w:val="auto"/>
          <w:szCs w:val="22"/>
        </w:rPr>
        <w:t>project will provide support for and benefit to the community, as opposed to only individuals or enterprises within the community.</w:t>
      </w:r>
      <w:r w:rsidR="00AF5CB9" w:rsidRPr="004C5712">
        <w:rPr>
          <w:rFonts w:ascii="Arial" w:eastAsia="Times New Roman" w:hAnsi="Arial" w:cs="Arial"/>
          <w:color w:val="auto"/>
          <w:szCs w:val="22"/>
        </w:rPr>
        <w:t xml:space="preserve"> Applicants were </w:t>
      </w:r>
      <w:r w:rsidR="007A1318" w:rsidRPr="004C5712">
        <w:rPr>
          <w:rFonts w:ascii="Arial" w:eastAsia="Times New Roman" w:hAnsi="Arial" w:cs="Arial"/>
          <w:color w:val="auto"/>
          <w:szCs w:val="22"/>
        </w:rPr>
        <w:t>t</w:t>
      </w:r>
      <w:r w:rsidR="00AF5CB9" w:rsidRPr="004C5712">
        <w:rPr>
          <w:rFonts w:ascii="Arial" w:eastAsia="Times New Roman" w:hAnsi="Arial" w:cs="Arial"/>
          <w:color w:val="auto"/>
          <w:szCs w:val="22"/>
        </w:rPr>
        <w:t>o</w:t>
      </w:r>
      <w:r w:rsidR="007A1318" w:rsidRPr="004C5712">
        <w:rPr>
          <w:rFonts w:ascii="Arial" w:eastAsia="Times New Roman" w:hAnsi="Arial" w:cs="Arial"/>
          <w:color w:val="auto"/>
          <w:szCs w:val="22"/>
        </w:rPr>
        <w:t xml:space="preserve"> detail how </w:t>
      </w:r>
      <w:r w:rsidR="00AF5CB9" w:rsidRPr="004C5712">
        <w:rPr>
          <w:rFonts w:ascii="Arial" w:eastAsia="Times New Roman" w:hAnsi="Arial" w:cs="Arial"/>
          <w:color w:val="auto"/>
          <w:szCs w:val="22"/>
        </w:rPr>
        <w:t xml:space="preserve">the </w:t>
      </w:r>
      <w:r w:rsidR="007A1318" w:rsidRPr="004C5712">
        <w:rPr>
          <w:rFonts w:ascii="Arial" w:eastAsia="Times New Roman" w:hAnsi="Arial" w:cs="Arial"/>
          <w:color w:val="auto"/>
          <w:szCs w:val="22"/>
        </w:rPr>
        <w:t xml:space="preserve">project is supported by the community. </w:t>
      </w:r>
      <w:r w:rsidR="00AF5CB9" w:rsidRPr="004C5712">
        <w:rPr>
          <w:rFonts w:ascii="Arial" w:eastAsia="Times New Roman" w:hAnsi="Arial" w:cs="Arial"/>
          <w:color w:val="auto"/>
          <w:szCs w:val="22"/>
        </w:rPr>
        <w:t>These elements may be evidenced by</w:t>
      </w:r>
      <w:r w:rsidR="007A1318" w:rsidRPr="004C5712">
        <w:rPr>
          <w:rFonts w:ascii="Arial" w:eastAsia="Times New Roman" w:hAnsi="Arial" w:cs="Arial"/>
          <w:color w:val="auto"/>
          <w:szCs w:val="22"/>
        </w:rPr>
        <w:t xml:space="preserve">: </w:t>
      </w:r>
    </w:p>
    <w:p w14:paraId="1801F753" w14:textId="1EE6E616" w:rsidR="007A1318" w:rsidRPr="004C5712" w:rsidRDefault="007A1318" w:rsidP="00997358">
      <w:pPr>
        <w:pStyle w:val="BodyText"/>
        <w:numPr>
          <w:ilvl w:val="0"/>
          <w:numId w:val="12"/>
        </w:numPr>
        <w:ind w:left="360"/>
        <w:rPr>
          <w:iCs/>
        </w:rPr>
      </w:pPr>
      <w:r w:rsidRPr="004C5712">
        <w:rPr>
          <w:iCs/>
        </w:rPr>
        <w:t xml:space="preserve">a description of the linkages to relevant local economic development strategies, including the plans, priorities or challenges outlined in any relevant local, state or Australian Government policies or other documentation </w:t>
      </w:r>
      <w:r w:rsidR="001E528A">
        <w:rPr>
          <w:iCs/>
        </w:rPr>
        <w:t>which</w:t>
      </w:r>
      <w:r w:rsidRPr="004C5712">
        <w:rPr>
          <w:iCs/>
        </w:rPr>
        <w:t xml:space="preserve"> demonstrates the project is a strategic priority </w:t>
      </w:r>
    </w:p>
    <w:p w14:paraId="1E79DFD4" w14:textId="77777777" w:rsidR="007A1318" w:rsidRPr="004C5712" w:rsidRDefault="007A1318" w:rsidP="00997358">
      <w:pPr>
        <w:pStyle w:val="BodyText"/>
        <w:numPr>
          <w:ilvl w:val="0"/>
          <w:numId w:val="12"/>
        </w:numPr>
        <w:ind w:left="360"/>
        <w:rPr>
          <w:iCs/>
        </w:rPr>
      </w:pPr>
      <w:r w:rsidRPr="004C5712">
        <w:rPr>
          <w:iCs/>
        </w:rPr>
        <w:t xml:space="preserve">an analysis of the public benefit </w:t>
      </w:r>
    </w:p>
    <w:p w14:paraId="6066D488" w14:textId="33AA548E" w:rsidR="001E3E28" w:rsidRPr="004C5712" w:rsidRDefault="007A1318" w:rsidP="00997358">
      <w:pPr>
        <w:pStyle w:val="BodyText"/>
        <w:numPr>
          <w:ilvl w:val="0"/>
          <w:numId w:val="12"/>
        </w:numPr>
        <w:ind w:left="360"/>
        <w:rPr>
          <w:iCs/>
        </w:rPr>
      </w:pPr>
      <w:r w:rsidRPr="004C5712">
        <w:rPr>
          <w:iCs/>
        </w:rPr>
        <w:t>recent evidence from key stakeholders of support for this project includ</w:t>
      </w:r>
      <w:r w:rsidR="00AF5CB9" w:rsidRPr="004C5712">
        <w:rPr>
          <w:iCs/>
        </w:rPr>
        <w:t>ing,</w:t>
      </w:r>
      <w:r w:rsidRPr="004C5712">
        <w:rPr>
          <w:iCs/>
        </w:rPr>
        <w:t xml:space="preserve"> but are not limited to, relevant local governments, community stakeholders and Indigenous communitie</w:t>
      </w:r>
      <w:r w:rsidR="00AF5CB9" w:rsidRPr="004C5712">
        <w:rPr>
          <w:iCs/>
        </w:rPr>
        <w:t>s</w:t>
      </w:r>
      <w:r w:rsidRPr="004C5712">
        <w:rPr>
          <w:iCs/>
        </w:rPr>
        <w:t xml:space="preserve"> </w:t>
      </w:r>
      <w:r w:rsidR="00AF5CB9" w:rsidRPr="004C5712">
        <w:rPr>
          <w:iCs/>
        </w:rPr>
        <w:t>(</w:t>
      </w:r>
      <w:r w:rsidRPr="004C5712">
        <w:rPr>
          <w:iCs/>
        </w:rPr>
        <w:t xml:space="preserve">up to 5 written letters of support </w:t>
      </w:r>
      <w:r w:rsidR="00AF5CB9" w:rsidRPr="004C5712">
        <w:rPr>
          <w:iCs/>
        </w:rPr>
        <w:t xml:space="preserve">could be included and/or </w:t>
      </w:r>
      <w:r w:rsidRPr="004C5712">
        <w:rPr>
          <w:iCs/>
        </w:rPr>
        <w:t>documentation demonstrat</w:t>
      </w:r>
      <w:r w:rsidR="00AF5CB9" w:rsidRPr="004C5712">
        <w:rPr>
          <w:iCs/>
        </w:rPr>
        <w:t>ing</w:t>
      </w:r>
      <w:r w:rsidRPr="004C5712">
        <w:rPr>
          <w:iCs/>
        </w:rPr>
        <w:t xml:space="preserve"> community consultation processes and the resulting community support for the project</w:t>
      </w:r>
      <w:r w:rsidR="00AF5CB9" w:rsidRPr="004C5712">
        <w:rPr>
          <w:iCs/>
        </w:rPr>
        <w:t>)</w:t>
      </w:r>
      <w:r w:rsidRPr="004C5712">
        <w:rPr>
          <w:iCs/>
        </w:rPr>
        <w:t xml:space="preserve">. </w:t>
      </w:r>
    </w:p>
    <w:tbl>
      <w:tblPr>
        <w:tblStyle w:val="CGHTableBanded"/>
        <w:tblW w:w="9781" w:type="dxa"/>
        <w:tblInd w:w="-147" w:type="dxa"/>
        <w:shd w:val="clear" w:color="auto" w:fill="FFE74B" w:themeFill="accent5" w:themeFillShade="BF"/>
        <w:tblLook w:val="04A0" w:firstRow="1" w:lastRow="0" w:firstColumn="1" w:lastColumn="0" w:noHBand="0" w:noVBand="1"/>
        <w:tblDescription w:val="Areas for improvement"/>
      </w:tblPr>
      <w:tblGrid>
        <w:gridCol w:w="3828"/>
        <w:gridCol w:w="5953"/>
      </w:tblGrid>
      <w:tr w:rsidR="00682C05" w:rsidRPr="00682C05" w14:paraId="6683DAFF" w14:textId="77777777" w:rsidTr="00682C05">
        <w:trPr>
          <w:cnfStyle w:val="100000000000" w:firstRow="1" w:lastRow="0" w:firstColumn="0" w:lastColumn="0" w:oddVBand="0" w:evenVBand="0" w:oddHBand="0" w:evenHBand="0" w:firstRowFirstColumn="0" w:firstRowLastColumn="0" w:lastRowFirstColumn="0" w:lastRowLastColumn="0"/>
          <w:cantSplit/>
          <w:trHeight w:val="472"/>
          <w:tblHeader/>
        </w:trPr>
        <w:tc>
          <w:tcPr>
            <w:tcW w:w="3828"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1D051CCE" w14:textId="77777777" w:rsidR="00682C05" w:rsidRPr="00682C05" w:rsidRDefault="00682C05" w:rsidP="00424534">
            <w:pPr>
              <w:spacing w:before="120" w:after="140"/>
              <w:ind w:left="57" w:right="57"/>
              <w:rPr>
                <w:rFonts w:ascii="Arial" w:eastAsia="Arial" w:hAnsi="Arial"/>
                <w:b/>
                <w:color w:val="000000"/>
                <w:szCs w:val="22"/>
              </w:rPr>
            </w:pPr>
            <w:r w:rsidRPr="00682C05">
              <w:rPr>
                <w:rFonts w:ascii="Arial" w:eastAsia="Arial" w:hAnsi="Arial"/>
                <w:b/>
                <w:color w:val="000000"/>
                <w:szCs w:val="22"/>
              </w:rPr>
              <w:t xml:space="preserve">Strong applications: </w:t>
            </w:r>
          </w:p>
        </w:tc>
        <w:tc>
          <w:tcPr>
            <w:tcW w:w="59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682ECD38" w14:textId="77777777" w:rsidR="00682C05" w:rsidRPr="00682C05" w:rsidRDefault="00682C05" w:rsidP="00424534">
            <w:pPr>
              <w:spacing w:before="120" w:after="140"/>
              <w:ind w:left="57" w:right="57"/>
              <w:rPr>
                <w:rFonts w:ascii="Arial" w:eastAsia="Arial" w:hAnsi="Arial"/>
                <w:color w:val="000000"/>
                <w:szCs w:val="22"/>
              </w:rPr>
            </w:pPr>
            <w:r w:rsidRPr="00682C05">
              <w:rPr>
                <w:rFonts w:ascii="Arial" w:eastAsia="Arial" w:hAnsi="Arial"/>
                <w:color w:val="000000"/>
                <w:szCs w:val="22"/>
              </w:rPr>
              <w:t xml:space="preserve">Quality responses clearly: </w:t>
            </w:r>
          </w:p>
        </w:tc>
      </w:tr>
      <w:tr w:rsidR="001E3E28" w:rsidRPr="001E3E28" w14:paraId="574EFC71" w14:textId="77777777" w:rsidTr="00682C05">
        <w:trPr>
          <w:cnfStyle w:val="000000100000" w:firstRow="0" w:lastRow="0" w:firstColumn="0" w:lastColumn="0" w:oddVBand="0" w:evenVBand="0" w:oddHBand="1" w:evenHBand="0" w:firstRowFirstColumn="0" w:firstRowLastColumn="0" w:lastRowFirstColumn="0" w:lastRowLastColumn="0"/>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518D9870" w14:textId="57435310" w:rsidR="001E3E28" w:rsidRPr="00F13913" w:rsidRDefault="00680307" w:rsidP="00424534">
            <w:pPr>
              <w:spacing w:before="120" w:after="140"/>
              <w:ind w:left="113" w:right="57"/>
              <w:rPr>
                <w:rFonts w:ascii="Arial" w:eastAsia="Arial" w:hAnsi="Arial" w:cs="Arial"/>
                <w:color w:val="auto"/>
                <w:szCs w:val="22"/>
              </w:rPr>
            </w:pPr>
            <w:r w:rsidRPr="00F13913">
              <w:rPr>
                <w:rFonts w:ascii="Arial" w:eastAsia="Arial" w:hAnsi="Arial" w:cs="Arial"/>
                <w:color w:val="auto"/>
                <w:szCs w:val="22"/>
              </w:rPr>
              <w:t>E</w:t>
            </w:r>
            <w:r w:rsidR="009256B4" w:rsidRPr="00F13913">
              <w:rPr>
                <w:rFonts w:ascii="Arial" w:eastAsia="Arial" w:hAnsi="Arial" w:cs="Arial"/>
                <w:color w:val="auto"/>
                <w:szCs w:val="22"/>
              </w:rPr>
              <w:t xml:space="preserve">xplicitly linked to strategies relevant to the community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01DEE62" w14:textId="3422E4D3" w:rsidR="001E3E28" w:rsidRPr="004C5712" w:rsidRDefault="004C5712" w:rsidP="00997358">
            <w:pPr>
              <w:pStyle w:val="TableBullets1"/>
            </w:pPr>
            <w:r w:rsidRPr="004C5712">
              <w:t>demonstrat</w:t>
            </w:r>
            <w:r>
              <w:t>ed</w:t>
            </w:r>
            <w:r w:rsidRPr="004C5712">
              <w:t xml:space="preserve"> the project is a priority for the community</w:t>
            </w:r>
            <w:r>
              <w:t>, through identification in or alignment to, in order of highest relevance, relevant local, regional, state or national economic or community strategies</w:t>
            </w:r>
          </w:p>
        </w:tc>
      </w:tr>
      <w:tr w:rsidR="004C5712" w:rsidRPr="001E3E28" w14:paraId="78CB1DE8" w14:textId="77777777" w:rsidTr="00682C05">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B2B4990" w14:textId="77777777" w:rsidR="004C5712" w:rsidRPr="00F13913" w:rsidRDefault="004C5712" w:rsidP="00424534">
            <w:pPr>
              <w:spacing w:before="120" w:after="140"/>
              <w:ind w:left="113" w:right="57"/>
              <w:rPr>
                <w:rFonts w:ascii="Arial" w:eastAsia="Arial" w:hAnsi="Arial" w:cs="Arial"/>
                <w:color w:val="auto"/>
                <w:szCs w:val="22"/>
              </w:rPr>
            </w:pPr>
            <w:r w:rsidRPr="00F13913">
              <w:rPr>
                <w:rFonts w:ascii="Arial" w:eastAsia="Arial" w:hAnsi="Arial" w:cs="Arial"/>
                <w:color w:val="auto"/>
                <w:szCs w:val="22"/>
              </w:rPr>
              <w:t xml:space="preserve">Made the connection on how the project would support or address relevant challenges or priorities in relevant local economic development strategies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6B1D4E2" w14:textId="15CD7A01" w:rsidR="004C5712" w:rsidRPr="004C5712" w:rsidRDefault="004C5712" w:rsidP="00997358">
            <w:pPr>
              <w:pStyle w:val="TableBullets1"/>
            </w:pPr>
            <w:r w:rsidRPr="004C5712">
              <w:t>providing clear evidence the project supports and brings benefits to the community broadly</w:t>
            </w:r>
          </w:p>
          <w:p w14:paraId="6AFCA176" w14:textId="1FCBA69E" w:rsidR="004C5712" w:rsidRPr="004C5712" w:rsidRDefault="004C5712" w:rsidP="00997358">
            <w:pPr>
              <w:pStyle w:val="TableBullets1"/>
            </w:pPr>
            <w:r w:rsidRPr="004C5712">
              <w:t>evidencing support from a broad cross-section of the community, not only those organisations directly involved in the project</w:t>
            </w:r>
          </w:p>
        </w:tc>
      </w:tr>
      <w:tr w:rsidR="00AF5CB9" w:rsidRPr="001E3E28" w14:paraId="0E2E2971" w14:textId="77777777" w:rsidTr="00682C05">
        <w:trPr>
          <w:cnfStyle w:val="000000100000" w:firstRow="0" w:lastRow="0" w:firstColumn="0" w:lastColumn="0" w:oddVBand="0" w:evenVBand="0" w:oddHBand="1" w:evenHBand="0" w:firstRowFirstColumn="0" w:firstRowLastColumn="0" w:lastRowFirstColumn="0" w:lastRowLastColumn="0"/>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195F929" w14:textId="07A96C99" w:rsidR="00AF5CB9" w:rsidRPr="00F13913" w:rsidRDefault="00680307" w:rsidP="00424534">
            <w:pPr>
              <w:spacing w:before="120" w:after="140"/>
              <w:ind w:left="113" w:right="57"/>
              <w:rPr>
                <w:rFonts w:ascii="Arial" w:eastAsia="Arial" w:hAnsi="Arial" w:cs="Arial"/>
                <w:color w:val="auto"/>
                <w:szCs w:val="22"/>
              </w:rPr>
            </w:pPr>
            <w:r w:rsidRPr="00F13913">
              <w:rPr>
                <w:rFonts w:ascii="Arial" w:eastAsia="Arial" w:hAnsi="Arial" w:cs="Arial"/>
                <w:color w:val="auto"/>
                <w:szCs w:val="22"/>
              </w:rPr>
              <w:t>Considered the community needs and the benefits to a wide range of community and interest groups outside of the immediate project personnel and / or organisations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EEFDB0D" w14:textId="77777777" w:rsidR="0062690E" w:rsidRPr="004C5712" w:rsidRDefault="0062690E" w:rsidP="00997358">
            <w:pPr>
              <w:pStyle w:val="TableBullets1"/>
            </w:pPr>
            <w:r w:rsidRPr="004C5712">
              <w:t xml:space="preserve">identified their priority cohorts or justified why they did not support a priority cohort </w:t>
            </w:r>
          </w:p>
          <w:p w14:paraId="41845E9B" w14:textId="0FB671DA" w:rsidR="00AF5CB9" w:rsidRPr="004C5712" w:rsidRDefault="0062690E" w:rsidP="00997358">
            <w:pPr>
              <w:pStyle w:val="TableBullets1"/>
            </w:pPr>
            <w:r w:rsidRPr="004C5712">
              <w:t>described how the activities will benefit the target group/s</w:t>
            </w:r>
          </w:p>
        </w:tc>
      </w:tr>
      <w:tr w:rsidR="00680307" w:rsidRPr="001E3E28" w14:paraId="4A4FF3EF" w14:textId="77777777" w:rsidTr="00682C05">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C05D2AB" w14:textId="29D194D2" w:rsidR="00680307" w:rsidRPr="00F13913" w:rsidRDefault="00F13913" w:rsidP="00424534">
            <w:pPr>
              <w:spacing w:before="120" w:after="140"/>
              <w:ind w:left="113" w:right="57"/>
              <w:rPr>
                <w:rFonts w:ascii="Arial" w:eastAsia="Arial" w:hAnsi="Arial" w:cs="Arial"/>
                <w:color w:val="auto"/>
                <w:szCs w:val="22"/>
              </w:rPr>
            </w:pPr>
            <w:r w:rsidRPr="00F13913">
              <w:rPr>
                <w:rFonts w:ascii="Arial" w:eastAsia="Arial" w:hAnsi="Arial" w:cs="Arial"/>
                <w:color w:val="auto"/>
                <w:szCs w:val="22"/>
              </w:rPr>
              <w:lastRenderedPageBreak/>
              <w:t>P</w:t>
            </w:r>
            <w:r w:rsidR="00680307" w:rsidRPr="00F13913">
              <w:rPr>
                <w:rFonts w:ascii="Arial" w:eastAsia="Arial" w:hAnsi="Arial" w:cs="Arial"/>
                <w:color w:val="auto"/>
                <w:szCs w:val="22"/>
              </w:rPr>
              <w:t xml:space="preserve">rovided evidence of support </w:t>
            </w:r>
            <w:r w:rsidR="004C5712" w:rsidRPr="00F13913">
              <w:rPr>
                <w:rFonts w:ascii="Arial" w:eastAsia="Arial" w:hAnsi="Arial" w:cs="Arial"/>
                <w:color w:val="auto"/>
                <w:szCs w:val="22"/>
              </w:rPr>
              <w:t xml:space="preserve">/ letters of support </w:t>
            </w:r>
            <w:r w:rsidR="00680307" w:rsidRPr="00F13913">
              <w:rPr>
                <w:rFonts w:ascii="Arial" w:eastAsia="Arial" w:hAnsi="Arial" w:cs="Arial"/>
                <w:color w:val="auto"/>
                <w:szCs w:val="22"/>
              </w:rPr>
              <w:t xml:space="preserve">from </w:t>
            </w:r>
            <w:r w:rsidR="004C5712" w:rsidRPr="00F13913">
              <w:rPr>
                <w:rFonts w:ascii="Arial" w:eastAsia="Arial" w:hAnsi="Arial" w:cs="Arial"/>
                <w:color w:val="auto"/>
                <w:szCs w:val="22"/>
              </w:rPr>
              <w:t xml:space="preserve">a broad cross-section of the community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E315E09" w14:textId="53EBAD9C" w:rsidR="004C5712" w:rsidRDefault="004C5712" w:rsidP="00997358">
            <w:pPr>
              <w:pStyle w:val="TableBullets1"/>
            </w:pPr>
            <w:r w:rsidRPr="004C5712">
              <w:t>attach</w:t>
            </w:r>
            <w:r>
              <w:t xml:space="preserve">ed ‘genuine’ </w:t>
            </w:r>
            <w:r w:rsidRPr="004C5712">
              <w:t>letters</w:t>
            </w:r>
            <w:r>
              <w:t xml:space="preserve"> of support (</w:t>
            </w:r>
            <w:r w:rsidR="001E528A">
              <w:t>for example</w:t>
            </w:r>
            <w:r>
              <w:t>, letters prepared by supporters of the project</w:t>
            </w:r>
            <w:r w:rsidR="00F13913">
              <w:t>,</w:t>
            </w:r>
            <w:r>
              <w:t xml:space="preserve"> not </w:t>
            </w:r>
            <w:r w:rsidR="00F13913">
              <w:t xml:space="preserve">‘form’ </w:t>
            </w:r>
            <w:r>
              <w:t>letters</w:t>
            </w:r>
            <w:r w:rsidRPr="004C5712">
              <w:t xml:space="preserve"> where the text has been provided by the applicant for signing by multiple supporters of the project</w:t>
            </w:r>
            <w:r w:rsidR="00F13913">
              <w:t>)</w:t>
            </w:r>
            <w:r w:rsidRPr="004C5712">
              <w:t xml:space="preserve"> </w:t>
            </w:r>
          </w:p>
          <w:p w14:paraId="7454BC96" w14:textId="5A7DE846" w:rsidR="00680307" w:rsidRDefault="004C5712" w:rsidP="00997358">
            <w:pPr>
              <w:pStyle w:val="TableBullets1"/>
            </w:pPr>
            <w:r w:rsidRPr="004C5712">
              <w:t>provid</w:t>
            </w:r>
            <w:r w:rsidR="00F13913">
              <w:t xml:space="preserve">ed </w:t>
            </w:r>
            <w:r w:rsidRPr="004C5712">
              <w:t>a wide</w:t>
            </w:r>
            <w:r w:rsidR="00F13913">
              <w:t xml:space="preserve">r </w:t>
            </w:r>
            <w:r w:rsidRPr="004C5712">
              <w:t>cross</w:t>
            </w:r>
            <w:r w:rsidR="00F13913">
              <w:t>-</w:t>
            </w:r>
            <w:r w:rsidRPr="004C5712">
              <w:t xml:space="preserve">section of community letters of </w:t>
            </w:r>
            <w:r w:rsidR="00F13913">
              <w:t>s</w:t>
            </w:r>
            <w:r w:rsidRPr="004C5712">
              <w:t>upport than the local members of Parliament, including from Indigenous groups and grass roots organisations</w:t>
            </w:r>
          </w:p>
          <w:p w14:paraId="2B44B47A" w14:textId="57C3C425" w:rsidR="00F13913" w:rsidRDefault="00F13913" w:rsidP="00997358">
            <w:pPr>
              <w:pStyle w:val="TableBullets1"/>
            </w:pPr>
            <w:r>
              <w:t xml:space="preserve">noted letters of support </w:t>
            </w:r>
            <w:r w:rsidRPr="00F13913">
              <w:t>were available upon request</w:t>
            </w:r>
            <w:r>
              <w:t xml:space="preserve">, </w:t>
            </w:r>
            <w:r w:rsidRPr="00F13913">
              <w:t>who they would be from</w:t>
            </w:r>
            <w:r>
              <w:t xml:space="preserve"> and the key points made in support of the project</w:t>
            </w:r>
          </w:p>
          <w:p w14:paraId="466FCE73" w14:textId="63E17DB7" w:rsidR="00F13913" w:rsidRPr="004C5712" w:rsidRDefault="00F13913" w:rsidP="00997358">
            <w:pPr>
              <w:pStyle w:val="TableBullets1"/>
            </w:pPr>
            <w:r>
              <w:t>detailed and attached (within the project plan attachment) community surveys and outcomes on the project directly or community needs (or other forms of community consultation)</w:t>
            </w:r>
          </w:p>
        </w:tc>
      </w:tr>
    </w:tbl>
    <w:p w14:paraId="0C3768E6" w14:textId="77777777" w:rsidR="001E3E28" w:rsidRPr="007A1318" w:rsidRDefault="001E3E28" w:rsidP="00424534">
      <w:pPr>
        <w:autoSpaceDE w:val="0"/>
        <w:autoSpaceDN w:val="0"/>
        <w:adjustRightInd w:val="0"/>
        <w:spacing w:before="120" w:after="140"/>
        <w:rPr>
          <w:rFonts w:ascii="Arial" w:hAnsi="Arial" w:cs="Arial"/>
          <w:color w:val="000000"/>
          <w:sz w:val="20"/>
        </w:rPr>
      </w:pPr>
    </w:p>
    <w:p w14:paraId="44BFFDF8" w14:textId="77777777" w:rsidR="001E3E28" w:rsidRDefault="001E3E28" w:rsidP="00424534">
      <w:pPr>
        <w:spacing w:before="120" w:after="140"/>
        <w:rPr>
          <w:rStyle w:val="Strong"/>
          <w:rFonts w:asciiTheme="majorHAnsi" w:hAnsiTheme="majorHAnsi" w:cstheme="majorBidi"/>
          <w:b/>
          <w:bCs/>
          <w:sz w:val="24"/>
        </w:rPr>
      </w:pPr>
      <w:r>
        <w:rPr>
          <w:rStyle w:val="Strong"/>
        </w:rPr>
        <w:br w:type="page"/>
      </w:r>
    </w:p>
    <w:p w14:paraId="147EF8B3" w14:textId="77777777" w:rsidR="007F330D" w:rsidRPr="001E3E28" w:rsidRDefault="00EB4121" w:rsidP="00424534">
      <w:pPr>
        <w:pStyle w:val="Heading2"/>
        <w:spacing w:before="120" w:after="140" w:line="280" w:lineRule="atLeast"/>
        <w:rPr>
          <w:rStyle w:val="Strong"/>
          <w:sz w:val="22"/>
        </w:rPr>
      </w:pPr>
      <w:r w:rsidRPr="001E3E28">
        <w:rPr>
          <w:rStyle w:val="Strong"/>
          <w:sz w:val="22"/>
        </w:rPr>
        <w:lastRenderedPageBreak/>
        <w:t xml:space="preserve">Criterion 3 </w:t>
      </w:r>
      <w:r w:rsidR="007F330D" w:rsidRPr="001E3E28">
        <w:rPr>
          <w:rStyle w:val="Strong"/>
          <w:sz w:val="22"/>
        </w:rPr>
        <w:t>–</w:t>
      </w:r>
      <w:r w:rsidRPr="001E3E28">
        <w:rPr>
          <w:rStyle w:val="Strong"/>
          <w:sz w:val="22"/>
        </w:rPr>
        <w:t xml:space="preserve"> </w:t>
      </w:r>
      <w:r w:rsidR="00B1655C" w:rsidRPr="001E3E28">
        <w:rPr>
          <w:rStyle w:val="Strong"/>
          <w:sz w:val="22"/>
        </w:rPr>
        <w:t>Organisational capability</w:t>
      </w:r>
    </w:p>
    <w:p w14:paraId="6617AA31" w14:textId="77777777" w:rsidR="00B1655C" w:rsidRPr="00F13913" w:rsidRDefault="00B1655C" w:rsidP="00424534">
      <w:pPr>
        <w:spacing w:before="120" w:after="140"/>
        <w:rPr>
          <w:rFonts w:ascii="Arial" w:eastAsia="Times New Roman" w:hAnsi="Arial" w:cs="Arial"/>
          <w:color w:val="auto"/>
          <w:szCs w:val="22"/>
        </w:rPr>
      </w:pPr>
      <w:r w:rsidRPr="00F13913">
        <w:rPr>
          <w:rFonts w:ascii="Arial" w:eastAsia="Times New Roman" w:hAnsi="Arial" w:cs="Arial"/>
          <w:color w:val="auto"/>
          <w:szCs w:val="22"/>
        </w:rPr>
        <w:t xml:space="preserve">In responding to this criterion, </w:t>
      </w:r>
      <w:r w:rsidR="00217B4A" w:rsidRPr="00F13913">
        <w:rPr>
          <w:rFonts w:ascii="Arial" w:eastAsia="Times New Roman" w:hAnsi="Arial" w:cs="Arial"/>
          <w:color w:val="auto"/>
          <w:szCs w:val="22"/>
        </w:rPr>
        <w:t>applicants were to describe how they will manage and deliver the project, including their financial control systems and project management arrangements. Applicants</w:t>
      </w:r>
      <w:r w:rsidRPr="00F13913">
        <w:rPr>
          <w:rFonts w:ascii="Arial" w:eastAsia="Times New Roman" w:hAnsi="Arial" w:cs="Arial"/>
          <w:color w:val="auto"/>
          <w:szCs w:val="22"/>
        </w:rPr>
        <w:t xml:space="preserve"> were to include:</w:t>
      </w:r>
    </w:p>
    <w:p w14:paraId="34E8F85C" w14:textId="77777777" w:rsidR="00B1655C" w:rsidRPr="00F13913" w:rsidRDefault="00B1655C" w:rsidP="00997358">
      <w:pPr>
        <w:pStyle w:val="BodyText"/>
        <w:numPr>
          <w:ilvl w:val="0"/>
          <w:numId w:val="12"/>
        </w:numPr>
        <w:ind w:left="360"/>
        <w:rPr>
          <w:iCs/>
        </w:rPr>
      </w:pPr>
      <w:r w:rsidRPr="00F13913">
        <w:rPr>
          <w:szCs w:val="22"/>
        </w:rPr>
        <w:t>a</w:t>
      </w:r>
      <w:r w:rsidRPr="00F13913">
        <w:rPr>
          <w:iCs/>
        </w:rPr>
        <w:t xml:space="preserve"> detailed itemised budget, including contingency allowances, in the template provided</w:t>
      </w:r>
    </w:p>
    <w:p w14:paraId="688CC41A" w14:textId="77777777" w:rsidR="00B1655C" w:rsidRPr="00F13913" w:rsidRDefault="00B1655C" w:rsidP="00997358">
      <w:pPr>
        <w:pStyle w:val="BodyText"/>
        <w:numPr>
          <w:ilvl w:val="0"/>
          <w:numId w:val="12"/>
        </w:numPr>
        <w:ind w:left="360"/>
        <w:rPr>
          <w:iCs/>
        </w:rPr>
      </w:pPr>
      <w:r w:rsidRPr="00F13913">
        <w:rPr>
          <w:iCs/>
        </w:rPr>
        <w:t>details of your proposed governance arrangements and how you will manage the project</w:t>
      </w:r>
    </w:p>
    <w:p w14:paraId="7B4BFBBF" w14:textId="77777777" w:rsidR="00B1655C" w:rsidRPr="00F13913" w:rsidRDefault="00B1655C" w:rsidP="00997358">
      <w:pPr>
        <w:pStyle w:val="BodyText"/>
        <w:numPr>
          <w:ilvl w:val="0"/>
          <w:numId w:val="12"/>
        </w:numPr>
        <w:ind w:left="360"/>
        <w:rPr>
          <w:iCs/>
        </w:rPr>
      </w:pPr>
      <w:r w:rsidRPr="00F13913">
        <w:rPr>
          <w:iCs/>
        </w:rPr>
        <w:t>a summary of your plan to deliver the project,</w:t>
      </w:r>
      <w:r w:rsidR="00217B4A" w:rsidRPr="00F13913">
        <w:rPr>
          <w:iCs/>
        </w:rPr>
        <w:t xml:space="preserve"> in the form of a detailed project plan, </w:t>
      </w:r>
      <w:r w:rsidRPr="00F13913">
        <w:rPr>
          <w:iCs/>
        </w:rPr>
        <w:t>including subcontracting arrangements</w:t>
      </w:r>
    </w:p>
    <w:p w14:paraId="2D05DA94" w14:textId="77777777" w:rsidR="00B1655C" w:rsidRPr="00F13913" w:rsidRDefault="00B1655C" w:rsidP="00997358">
      <w:pPr>
        <w:pStyle w:val="BodyText"/>
        <w:numPr>
          <w:ilvl w:val="0"/>
          <w:numId w:val="12"/>
        </w:numPr>
        <w:ind w:left="360"/>
        <w:rPr>
          <w:iCs/>
        </w:rPr>
      </w:pPr>
      <w:r w:rsidRPr="00F13913">
        <w:rPr>
          <w:iCs/>
        </w:rPr>
        <w:t>a description of the experience of the personnel who will be delivering and managing the project/s.</w:t>
      </w:r>
    </w:p>
    <w:tbl>
      <w:tblPr>
        <w:tblStyle w:val="CGHTableBanded"/>
        <w:tblW w:w="9781" w:type="dxa"/>
        <w:tblInd w:w="-147" w:type="dxa"/>
        <w:shd w:val="clear" w:color="auto" w:fill="FFE74B" w:themeFill="accent5" w:themeFillShade="BF"/>
        <w:tblLook w:val="04A0" w:firstRow="1" w:lastRow="0" w:firstColumn="1" w:lastColumn="0" w:noHBand="0" w:noVBand="1"/>
        <w:tblDescription w:val="Areas for improvement"/>
      </w:tblPr>
      <w:tblGrid>
        <w:gridCol w:w="3828"/>
        <w:gridCol w:w="5953"/>
      </w:tblGrid>
      <w:tr w:rsidR="00682C05" w:rsidRPr="00682C05" w14:paraId="15ADA9EA" w14:textId="77777777" w:rsidTr="00682C05">
        <w:trPr>
          <w:cnfStyle w:val="100000000000" w:firstRow="1" w:lastRow="0" w:firstColumn="0" w:lastColumn="0" w:oddVBand="0" w:evenVBand="0" w:oddHBand="0" w:evenHBand="0" w:firstRowFirstColumn="0" w:firstRowLastColumn="0" w:lastRowFirstColumn="0" w:lastRowLastColumn="0"/>
          <w:cantSplit/>
          <w:trHeight w:val="472"/>
          <w:tblHeader/>
        </w:trPr>
        <w:tc>
          <w:tcPr>
            <w:tcW w:w="3828"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7E10BF54" w14:textId="77777777" w:rsidR="00682C05" w:rsidRPr="00682C05" w:rsidRDefault="00682C05" w:rsidP="00424534">
            <w:pPr>
              <w:spacing w:before="120" w:after="140"/>
              <w:ind w:left="57" w:right="57"/>
              <w:rPr>
                <w:rFonts w:ascii="Arial" w:eastAsia="Arial" w:hAnsi="Arial"/>
                <w:b/>
                <w:color w:val="000000"/>
                <w:szCs w:val="22"/>
              </w:rPr>
            </w:pPr>
            <w:r w:rsidRPr="00682C05">
              <w:rPr>
                <w:rFonts w:ascii="Arial" w:eastAsia="Arial" w:hAnsi="Arial"/>
                <w:b/>
                <w:color w:val="000000"/>
                <w:szCs w:val="22"/>
              </w:rPr>
              <w:t xml:space="preserve">Strong applications: </w:t>
            </w:r>
          </w:p>
        </w:tc>
        <w:tc>
          <w:tcPr>
            <w:tcW w:w="59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6388E45D" w14:textId="77777777" w:rsidR="00682C05" w:rsidRPr="00682C05" w:rsidRDefault="00682C05" w:rsidP="00424534">
            <w:pPr>
              <w:spacing w:before="120" w:after="140"/>
              <w:ind w:left="57" w:right="57"/>
              <w:rPr>
                <w:rFonts w:ascii="Arial" w:eastAsia="Arial" w:hAnsi="Arial"/>
                <w:color w:val="000000"/>
                <w:szCs w:val="22"/>
              </w:rPr>
            </w:pPr>
            <w:r w:rsidRPr="00682C05">
              <w:rPr>
                <w:rFonts w:ascii="Arial" w:eastAsia="Arial" w:hAnsi="Arial"/>
                <w:color w:val="000000"/>
                <w:szCs w:val="22"/>
              </w:rPr>
              <w:t xml:space="preserve">Quality responses clearly: </w:t>
            </w:r>
          </w:p>
        </w:tc>
      </w:tr>
      <w:tr w:rsidR="001E3E28" w:rsidRPr="001E3E28" w14:paraId="1556AA81" w14:textId="77777777" w:rsidTr="00682C05">
        <w:trPr>
          <w:cnfStyle w:val="000000100000" w:firstRow="0" w:lastRow="0" w:firstColumn="0" w:lastColumn="0" w:oddVBand="0" w:evenVBand="0" w:oddHBand="1" w:evenHBand="0" w:firstRowFirstColumn="0" w:firstRowLastColumn="0" w:lastRowFirstColumn="0" w:lastRowLastColumn="0"/>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663A44B" w14:textId="0D6EE93D" w:rsidR="001E3E28" w:rsidRPr="00F13913" w:rsidRDefault="00F13913" w:rsidP="00424534">
            <w:pPr>
              <w:spacing w:before="120" w:after="140"/>
              <w:ind w:left="113" w:right="57"/>
              <w:rPr>
                <w:rFonts w:ascii="Arial" w:eastAsia="Arial" w:hAnsi="Arial" w:cs="Arial"/>
                <w:color w:val="auto"/>
                <w:szCs w:val="22"/>
              </w:rPr>
            </w:pPr>
            <w:r>
              <w:rPr>
                <w:rFonts w:ascii="Arial" w:eastAsia="Arial" w:hAnsi="Arial" w:cs="Arial"/>
                <w:color w:val="auto"/>
                <w:szCs w:val="22"/>
              </w:rPr>
              <w:t>I</w:t>
            </w:r>
            <w:r w:rsidR="009256B4" w:rsidRPr="00F13913">
              <w:rPr>
                <w:rFonts w:ascii="Arial" w:eastAsia="Arial" w:hAnsi="Arial" w:cs="Arial"/>
                <w:color w:val="auto"/>
                <w:szCs w:val="22"/>
              </w:rPr>
              <w:t>ncluded a sufficiently detailed budget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57AF3EA" w14:textId="7A130768" w:rsidR="00677EBC" w:rsidRDefault="00677EBC" w:rsidP="00997358">
            <w:pPr>
              <w:pStyle w:val="TableBullets1"/>
            </w:pPr>
            <w:r>
              <w:t>i</w:t>
            </w:r>
            <w:r w:rsidRPr="00F13913">
              <w:t>dentified project costs to a level appropriate to the size and scope of the project</w:t>
            </w:r>
          </w:p>
          <w:p w14:paraId="47102BEC" w14:textId="645CFA20" w:rsidR="00F25209" w:rsidRPr="00F13913" w:rsidRDefault="00F25209" w:rsidP="00997358">
            <w:pPr>
              <w:pStyle w:val="TableBullets1"/>
            </w:pPr>
            <w:r>
              <w:t xml:space="preserve">identified the amount of funding sought from the Australian Government through the program (i.e. with the amount requested in the application matching </w:t>
            </w:r>
            <w:r w:rsidR="001E528A">
              <w:t>which was</w:t>
            </w:r>
            <w:r>
              <w:t xml:space="preserve"> outlined in the budget)</w:t>
            </w:r>
          </w:p>
          <w:p w14:paraId="162B10FA" w14:textId="47B1C058" w:rsidR="00677EBC" w:rsidRPr="00F13913" w:rsidRDefault="00677EBC" w:rsidP="00997358">
            <w:pPr>
              <w:pStyle w:val="TableBullets1"/>
            </w:pPr>
            <w:r w:rsidRPr="00F13913">
              <w:t>includ</w:t>
            </w:r>
            <w:r w:rsidR="00F25209">
              <w:t>ed</w:t>
            </w:r>
            <w:r w:rsidRPr="00F13913">
              <w:t xml:space="preserve"> a budget with sufficient number and detailed line items of requested funding was sourced from industry information – many applications required more detailed budgets</w:t>
            </w:r>
          </w:p>
          <w:p w14:paraId="57A2A311" w14:textId="6983F8A4" w:rsidR="00677EBC" w:rsidRPr="00F25209" w:rsidRDefault="00F25209" w:rsidP="00997358">
            <w:pPr>
              <w:pStyle w:val="TableBullets1"/>
            </w:pPr>
            <w:r>
              <w:t>i</w:t>
            </w:r>
            <w:r w:rsidR="00677EBC" w:rsidRPr="00F13913">
              <w:t>dentified financial contributions – amount and to which items – from other organisations</w:t>
            </w:r>
          </w:p>
        </w:tc>
      </w:tr>
      <w:tr w:rsidR="00677EBC" w:rsidRPr="001E3E28" w14:paraId="037A4BB2" w14:textId="77777777" w:rsidTr="00682C05">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4BF908A5" w14:textId="5F802DBA" w:rsidR="00677EBC" w:rsidRPr="00F13913" w:rsidRDefault="00F25209" w:rsidP="00424534">
            <w:pPr>
              <w:spacing w:before="120" w:after="140"/>
              <w:ind w:left="113" w:right="57"/>
              <w:rPr>
                <w:rFonts w:ascii="Arial" w:eastAsia="Arial" w:hAnsi="Arial" w:cs="Arial"/>
                <w:color w:val="auto"/>
                <w:szCs w:val="22"/>
              </w:rPr>
            </w:pPr>
            <w:r>
              <w:rPr>
                <w:rFonts w:ascii="Arial" w:eastAsia="Arial" w:hAnsi="Arial" w:cs="Arial"/>
                <w:color w:val="auto"/>
                <w:szCs w:val="22"/>
              </w:rPr>
              <w:t>O</w:t>
            </w:r>
            <w:r w:rsidR="00677EBC" w:rsidRPr="00F13913">
              <w:rPr>
                <w:rFonts w:ascii="Arial" w:eastAsia="Arial" w:hAnsi="Arial" w:cs="Arial"/>
                <w:color w:val="auto"/>
                <w:szCs w:val="22"/>
              </w:rPr>
              <w:t xml:space="preserve">utlined the governance arrangements </w:t>
            </w:r>
            <w:r>
              <w:rPr>
                <w:rFonts w:ascii="Arial" w:eastAsia="Arial" w:hAnsi="Arial" w:cs="Arial"/>
                <w:color w:val="auto"/>
                <w:szCs w:val="22"/>
              </w:rPr>
              <w:t>for</w:t>
            </w:r>
            <w:r w:rsidR="00677EBC" w:rsidRPr="00F13913">
              <w:rPr>
                <w:rFonts w:ascii="Arial" w:eastAsia="Arial" w:hAnsi="Arial" w:cs="Arial"/>
                <w:color w:val="auto"/>
                <w:szCs w:val="22"/>
              </w:rPr>
              <w:t xml:space="preserve"> the project</w:t>
            </w:r>
            <w:r>
              <w:rPr>
                <w:rFonts w:ascii="Arial" w:eastAsia="Arial" w:hAnsi="Arial" w:cs="Arial"/>
                <w:color w:val="auto"/>
                <w:szCs w:val="22"/>
              </w:rPr>
              <w:t xml:space="preserve"> to assurance to a level sufficient for the size and scope of the project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8C368E0" w14:textId="77777777" w:rsidR="00677EBC" w:rsidRPr="00F13913" w:rsidRDefault="00677EBC" w:rsidP="00997358">
            <w:pPr>
              <w:pStyle w:val="TableBullets1"/>
            </w:pPr>
            <w:r w:rsidRPr="00F13913">
              <w:t>described the organisation’s management structure for governance and oversight, including relevant skill sets of staff and members</w:t>
            </w:r>
          </w:p>
          <w:p w14:paraId="1B9B19AB" w14:textId="77777777" w:rsidR="00677EBC" w:rsidRPr="00F13913" w:rsidRDefault="00677EBC" w:rsidP="00997358">
            <w:pPr>
              <w:pStyle w:val="TableBullets1"/>
            </w:pPr>
            <w:r w:rsidRPr="00F13913">
              <w:t xml:space="preserve">provided evidence of planning and detailed project management </w:t>
            </w:r>
          </w:p>
          <w:p w14:paraId="34F4EF69" w14:textId="09BED851" w:rsidR="00F25209" w:rsidRDefault="00677EBC" w:rsidP="00997358">
            <w:pPr>
              <w:pStyle w:val="TableBullets1"/>
            </w:pPr>
            <w:r w:rsidRPr="00F13913">
              <w:t xml:space="preserve">described partnerships and </w:t>
            </w:r>
            <w:r w:rsidR="00F25209" w:rsidRPr="00F13913">
              <w:t>collaborations of</w:t>
            </w:r>
            <w:r w:rsidRPr="00F13913">
              <w:t xml:space="preserve"> the project, how the organisation would use its existing networks to improve the outcomes of the proposal</w:t>
            </w:r>
          </w:p>
          <w:p w14:paraId="2BCD7124" w14:textId="24E6F1EA" w:rsidR="00677EBC" w:rsidRPr="00F13913" w:rsidRDefault="00C8495B" w:rsidP="00997358">
            <w:pPr>
              <w:pStyle w:val="TableBullets1"/>
            </w:pPr>
            <w:r>
              <w:t>d</w:t>
            </w:r>
            <w:r w:rsidR="00677EBC" w:rsidRPr="00F13913">
              <w:t>emonstrated</w:t>
            </w:r>
            <w:r w:rsidR="00F25209">
              <w:t>, if applicable</w:t>
            </w:r>
            <w:r w:rsidR="00F25209" w:rsidRPr="00F25209">
              <w:t xml:space="preserve">, </w:t>
            </w:r>
            <w:r w:rsidR="00677EBC" w:rsidRPr="00F13913">
              <w:t>the consortium’s collective ability to deliver the proposed activities</w:t>
            </w:r>
          </w:p>
        </w:tc>
      </w:tr>
      <w:tr w:rsidR="00677EBC" w:rsidRPr="001E3E28" w14:paraId="03D6659C" w14:textId="77777777" w:rsidTr="00682C05">
        <w:trPr>
          <w:cnfStyle w:val="000000100000" w:firstRow="0" w:lastRow="0" w:firstColumn="0" w:lastColumn="0" w:oddVBand="0" w:evenVBand="0" w:oddHBand="1" w:evenHBand="0" w:firstRowFirstColumn="0" w:firstRowLastColumn="0" w:lastRowFirstColumn="0" w:lastRowLastColumn="0"/>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00D38CB" w14:textId="7909EBB3" w:rsidR="00677EBC" w:rsidRPr="00F13913" w:rsidRDefault="00F25209" w:rsidP="00424534">
            <w:pPr>
              <w:spacing w:before="120" w:after="140"/>
              <w:ind w:left="113" w:right="57"/>
              <w:rPr>
                <w:rFonts w:ascii="Arial" w:eastAsia="Arial" w:hAnsi="Arial" w:cs="Arial"/>
                <w:color w:val="auto"/>
                <w:szCs w:val="22"/>
              </w:rPr>
            </w:pPr>
            <w:r>
              <w:rPr>
                <w:rFonts w:ascii="Arial" w:eastAsia="Arial" w:hAnsi="Arial" w:cs="Arial"/>
                <w:color w:val="auto"/>
                <w:szCs w:val="22"/>
              </w:rPr>
              <w:lastRenderedPageBreak/>
              <w:t>E</w:t>
            </w:r>
            <w:r w:rsidR="00677EBC" w:rsidRPr="00F13913">
              <w:rPr>
                <w:rFonts w:ascii="Arial" w:eastAsia="Arial" w:hAnsi="Arial" w:cs="Arial"/>
                <w:color w:val="auto"/>
                <w:szCs w:val="22"/>
              </w:rPr>
              <w:t>videnced the applicant had relevant processes in place to ensure the project</w:t>
            </w:r>
            <w:r w:rsidR="00C8495B">
              <w:rPr>
                <w:rFonts w:ascii="Arial" w:eastAsia="Arial" w:hAnsi="Arial" w:cs="Arial"/>
                <w:color w:val="auto"/>
                <w:szCs w:val="22"/>
              </w:rPr>
              <w:t xml:space="preserve"> would be successfully delivered on time and within budget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0D99FAA1" w14:textId="67C48888" w:rsidR="00F25209" w:rsidRPr="00F13913" w:rsidRDefault="00F25209" w:rsidP="00997358">
            <w:pPr>
              <w:pStyle w:val="TableBullets1"/>
            </w:pPr>
            <w:r w:rsidRPr="00F13913">
              <w:t>provid</w:t>
            </w:r>
            <w:r w:rsidR="00C8495B">
              <w:t>ed</w:t>
            </w:r>
            <w:r w:rsidRPr="00F13913">
              <w:t xml:space="preserve"> detailed information and evidence the applicant had the required technical knowledge, skills and systems in place to be able to deliver the proposed project and achieve a positive outcome</w:t>
            </w:r>
          </w:p>
          <w:p w14:paraId="67309C4C" w14:textId="68AB1C93" w:rsidR="00F25209" w:rsidRPr="00F13913" w:rsidRDefault="00F25209" w:rsidP="00997358">
            <w:pPr>
              <w:pStyle w:val="TableBullets1"/>
            </w:pPr>
            <w:r w:rsidRPr="00F13913">
              <w:t>detailed how the project would be managed and</w:t>
            </w:r>
            <w:r w:rsidR="00C8495B">
              <w:t xml:space="preserve"> on</w:t>
            </w:r>
            <w:r w:rsidRPr="00F13913">
              <w:t xml:space="preserve"> governance arrangements to manage, coordinate and implement project activities</w:t>
            </w:r>
          </w:p>
          <w:p w14:paraId="4EE8F716" w14:textId="69ADDB8E" w:rsidR="00F25209" w:rsidRPr="00F13913" w:rsidRDefault="00F25209" w:rsidP="00997358">
            <w:pPr>
              <w:pStyle w:val="TableBullets1"/>
            </w:pPr>
            <w:r w:rsidRPr="00F13913">
              <w:t>explain</w:t>
            </w:r>
            <w:r w:rsidR="00C8495B">
              <w:t>ed</w:t>
            </w:r>
            <w:r w:rsidRPr="00F13913">
              <w:t xml:space="preserve"> capacity constraints where the same personnel were identified to be involved in multiple </w:t>
            </w:r>
            <w:r w:rsidR="00C8495B">
              <w:t xml:space="preserve">proposed </w:t>
            </w:r>
            <w:r w:rsidRPr="00F13913">
              <w:t>projects</w:t>
            </w:r>
            <w:r w:rsidR="00C8495B">
              <w:t>, if applying for more than one project</w:t>
            </w:r>
          </w:p>
          <w:p w14:paraId="7C654778" w14:textId="77777777" w:rsidR="00677EBC" w:rsidRDefault="00F25209" w:rsidP="00997358">
            <w:pPr>
              <w:pStyle w:val="TableBullets1"/>
            </w:pPr>
            <w:r w:rsidRPr="00F13913">
              <w:t>evidence</w:t>
            </w:r>
            <w:r w:rsidR="00C8495B">
              <w:t>d</w:t>
            </w:r>
            <w:r w:rsidRPr="00F13913">
              <w:t xml:space="preserve"> they can work collaboratively with </w:t>
            </w:r>
            <w:r w:rsidR="00C8495B" w:rsidRPr="00F13913">
              <w:t xml:space="preserve">project </w:t>
            </w:r>
            <w:r w:rsidRPr="00F13913">
              <w:t>partners</w:t>
            </w:r>
            <w:r w:rsidR="00C8495B">
              <w:t xml:space="preserve"> a</w:t>
            </w:r>
            <w:r w:rsidRPr="00F13913">
              <w:t>nd manage sub-contracting arrangements to successful conclusions</w:t>
            </w:r>
          </w:p>
          <w:p w14:paraId="7D387DCE" w14:textId="485BC2E0" w:rsidR="00F92E17" w:rsidRPr="00F13913" w:rsidRDefault="00F92E17" w:rsidP="00997358">
            <w:pPr>
              <w:pStyle w:val="TableBullets1"/>
            </w:pPr>
            <w:r>
              <w:t xml:space="preserve">specified key activities and how they would be scheduled to </w:t>
            </w:r>
            <w:r w:rsidRPr="00F13913">
              <w:t>met</w:t>
            </w:r>
            <w:r>
              <w:t xml:space="preserve"> timelines for the project and within the grant period of 12 months</w:t>
            </w:r>
          </w:p>
          <w:p w14:paraId="66486EFA" w14:textId="598B9F2C" w:rsidR="00C8495B" w:rsidRPr="0020407D" w:rsidRDefault="00591F83" w:rsidP="00997358">
            <w:pPr>
              <w:pStyle w:val="TableBullets1"/>
            </w:pPr>
            <w:r>
              <w:t xml:space="preserve">explained how </w:t>
            </w:r>
            <w:r w:rsidR="00F92E17" w:rsidRPr="00591F83">
              <w:t xml:space="preserve">finances </w:t>
            </w:r>
            <w:r w:rsidR="0020407D">
              <w:t>will</w:t>
            </w:r>
            <w:r w:rsidR="00F92E17" w:rsidRPr="00591F83">
              <w:t xml:space="preserve"> be</w:t>
            </w:r>
            <w:r>
              <w:t xml:space="preserve"> manage</w:t>
            </w:r>
            <w:r w:rsidR="0020407D">
              <w:t>d</w:t>
            </w:r>
            <w:r>
              <w:t xml:space="preserve"> and</w:t>
            </w:r>
            <w:r w:rsidR="00F92E17" w:rsidRPr="00591F83">
              <w:t xml:space="preserve"> monitored accurately </w:t>
            </w:r>
          </w:p>
        </w:tc>
      </w:tr>
      <w:tr w:rsidR="00677EBC" w:rsidRPr="001E3E28" w14:paraId="77A0A28C" w14:textId="77777777" w:rsidTr="00682C05">
        <w:trPr>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45882AE" w14:textId="3CB27AE2" w:rsidR="00677EBC" w:rsidRPr="00F13913" w:rsidRDefault="00C8495B" w:rsidP="00424534">
            <w:pPr>
              <w:spacing w:before="120" w:after="140"/>
              <w:ind w:left="113" w:right="57"/>
              <w:rPr>
                <w:rFonts w:ascii="Arial" w:eastAsia="Arial" w:hAnsi="Arial" w:cs="Arial"/>
                <w:color w:val="auto"/>
                <w:szCs w:val="22"/>
              </w:rPr>
            </w:pPr>
            <w:r>
              <w:rPr>
                <w:rFonts w:ascii="Arial" w:eastAsia="Arial" w:hAnsi="Arial" w:cs="Arial"/>
                <w:color w:val="auto"/>
                <w:szCs w:val="22"/>
              </w:rPr>
              <w:t>Detailed</w:t>
            </w:r>
            <w:r w:rsidR="00677EBC" w:rsidRPr="00F13913">
              <w:rPr>
                <w:rFonts w:ascii="Arial" w:eastAsia="Arial" w:hAnsi="Arial" w:cs="Arial"/>
                <w:color w:val="auto"/>
                <w:szCs w:val="22"/>
              </w:rPr>
              <w:t xml:space="preserve"> any proposed sub-contracting arrangements and the skills and expertise to be brought in to deliver the project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EE81EA2" w14:textId="77777777" w:rsidR="00C8495B" w:rsidRPr="00F13913" w:rsidRDefault="00C8495B" w:rsidP="00997358">
            <w:pPr>
              <w:pStyle w:val="TableBullets1"/>
            </w:pPr>
            <w:r w:rsidRPr="00F13913">
              <w:t xml:space="preserve">detailed the way in which relevant partnerships would operate both administratively and practically, and explained the role of each organisation partner and the activities they would be responsible for </w:t>
            </w:r>
          </w:p>
          <w:p w14:paraId="5299F6DF" w14:textId="49EBDF6E" w:rsidR="00677EBC" w:rsidRPr="00F13913" w:rsidRDefault="00C8495B" w:rsidP="00997358">
            <w:pPr>
              <w:pStyle w:val="TableBullets1"/>
            </w:pPr>
            <w:r w:rsidRPr="00F13913">
              <w:t>evidenced the applicants’ ability to work collaboratively with partner organisations in their project</w:t>
            </w:r>
          </w:p>
        </w:tc>
      </w:tr>
      <w:tr w:rsidR="00677EBC" w:rsidRPr="001E3E28" w14:paraId="04EAC8A1" w14:textId="77777777" w:rsidTr="00682C05">
        <w:trPr>
          <w:cnfStyle w:val="000000100000" w:firstRow="0" w:lastRow="0" w:firstColumn="0" w:lastColumn="0" w:oddVBand="0" w:evenVBand="0" w:oddHBand="1" w:evenHBand="0" w:firstRowFirstColumn="0" w:firstRowLastColumn="0" w:lastRowFirstColumn="0" w:lastRowLastColumn="0"/>
          <w:cantSplit/>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48975FF7" w14:textId="44177ECC" w:rsidR="00677EBC" w:rsidRPr="00F13913" w:rsidRDefault="00C8495B" w:rsidP="00424534">
            <w:pPr>
              <w:spacing w:before="120" w:after="140"/>
              <w:ind w:left="113" w:right="57"/>
              <w:rPr>
                <w:rFonts w:ascii="Arial" w:eastAsia="Arial" w:hAnsi="Arial" w:cs="Arial"/>
                <w:color w:val="auto"/>
                <w:szCs w:val="22"/>
              </w:rPr>
            </w:pPr>
            <w:r>
              <w:rPr>
                <w:rFonts w:ascii="Arial" w:eastAsia="Arial" w:hAnsi="Arial" w:cs="Arial"/>
                <w:color w:val="auto"/>
                <w:szCs w:val="22"/>
              </w:rPr>
              <w:t>D</w:t>
            </w:r>
            <w:r w:rsidR="00677EBC" w:rsidRPr="00F13913">
              <w:rPr>
                <w:rFonts w:ascii="Arial" w:eastAsia="Arial" w:hAnsi="Arial" w:cs="Arial"/>
                <w:color w:val="auto"/>
                <w:szCs w:val="22"/>
              </w:rPr>
              <w:t xml:space="preserve">etailed the applicant had personnel with the required technical knowledge and skills to be able to deliver the proposed project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A179A21" w14:textId="535CC684" w:rsidR="00F25209" w:rsidRDefault="00F25209" w:rsidP="00997358">
            <w:pPr>
              <w:pStyle w:val="TableBullets1"/>
            </w:pPr>
            <w:r w:rsidRPr="00F13913">
              <w:t>demonstrated the applicant had adequate relevant experience to deliver the proposed project</w:t>
            </w:r>
          </w:p>
          <w:p w14:paraId="4C9998DE" w14:textId="77777777" w:rsidR="0020407D" w:rsidRPr="00F13913" w:rsidRDefault="0020407D" w:rsidP="00997358">
            <w:pPr>
              <w:pStyle w:val="TableBullets1"/>
            </w:pPr>
            <w:r w:rsidRPr="00F13913">
              <w:t>outlined the organisation’s history in administering projects of the size and type proposed</w:t>
            </w:r>
          </w:p>
          <w:p w14:paraId="112E1CC3" w14:textId="6B5E332C" w:rsidR="00D33CDC" w:rsidRDefault="00D33CDC" w:rsidP="00997358">
            <w:pPr>
              <w:pStyle w:val="TableBullets1"/>
            </w:pPr>
            <w:r w:rsidRPr="0020407D">
              <w:t>outlined their expertise or access to the relevant expertise was required to deliver the project</w:t>
            </w:r>
          </w:p>
          <w:p w14:paraId="29389F01" w14:textId="7642FE9E" w:rsidR="0020407D" w:rsidRPr="0020407D" w:rsidRDefault="0020407D" w:rsidP="00997358">
            <w:pPr>
              <w:pStyle w:val="TableBullets1"/>
            </w:pPr>
            <w:r w:rsidRPr="0020407D">
              <w:t xml:space="preserve">described the skills of the project staff to outline the project is to be resourced with suitably skilled and experienced personnel </w:t>
            </w:r>
          </w:p>
          <w:p w14:paraId="72496669" w14:textId="522F082A" w:rsidR="00677EBC" w:rsidRPr="00D33CDC" w:rsidRDefault="0020407D" w:rsidP="00997358">
            <w:pPr>
              <w:pStyle w:val="TableBullets1"/>
            </w:pPr>
            <w:r w:rsidRPr="00F13913">
              <w:t xml:space="preserve">demonstrated the applicant was adequately equipped to deliver a project of the complexity proposed and achieve a positive outcome </w:t>
            </w:r>
            <w:r w:rsidR="00F25209" w:rsidRPr="00F13913">
              <w:t>ensured partner organisations</w:t>
            </w:r>
          </w:p>
        </w:tc>
      </w:tr>
    </w:tbl>
    <w:p w14:paraId="3D93F805" w14:textId="77777777" w:rsidR="00AF5CB9" w:rsidRPr="00B026AB" w:rsidRDefault="00AF5CB9" w:rsidP="00424534">
      <w:pPr>
        <w:pStyle w:val="Heading2"/>
        <w:pageBreakBefore/>
        <w:spacing w:before="120" w:after="140" w:line="280" w:lineRule="atLeast"/>
        <w:rPr>
          <w:rStyle w:val="Strong"/>
          <w:sz w:val="22"/>
        </w:rPr>
      </w:pPr>
      <w:r w:rsidRPr="00B026AB">
        <w:rPr>
          <w:rStyle w:val="Strong"/>
          <w:sz w:val="22"/>
        </w:rPr>
        <w:lastRenderedPageBreak/>
        <w:t>Attachments</w:t>
      </w:r>
    </w:p>
    <w:p w14:paraId="709EB5D9" w14:textId="77777777" w:rsidR="00AF5CB9" w:rsidRPr="00AF5CB9" w:rsidRDefault="00AF5CB9" w:rsidP="00424534">
      <w:pPr>
        <w:spacing w:before="120" w:after="140"/>
      </w:pPr>
      <w:r w:rsidRPr="00AF5CB9">
        <w:t>Applicants were to attach the following documentation to the application for it to be considered compliant and for it to proceed to assessment:</w:t>
      </w:r>
    </w:p>
    <w:p w14:paraId="13B34477" w14:textId="6FAFA3FE" w:rsidR="00AF5CB9" w:rsidRPr="00AF5CB9" w:rsidRDefault="00AF5CB9" w:rsidP="00997358">
      <w:pPr>
        <w:pStyle w:val="BodyText"/>
        <w:numPr>
          <w:ilvl w:val="0"/>
          <w:numId w:val="12"/>
        </w:numPr>
        <w:ind w:left="360"/>
      </w:pPr>
      <w:r w:rsidRPr="00AF5CB9">
        <w:t xml:space="preserve">a project </w:t>
      </w:r>
      <w:r w:rsidR="00D33CDC">
        <w:t xml:space="preserve">plan, </w:t>
      </w:r>
      <w:r w:rsidR="00D33CDC" w:rsidRPr="00D33CDC">
        <w:t>including description of the proposed activity, resourcing, justification for grant amount, and outline of plan for project and risk management</w:t>
      </w:r>
    </w:p>
    <w:p w14:paraId="38591B17" w14:textId="7F2E5216" w:rsidR="00D33CDC" w:rsidRPr="00AF5CB9" w:rsidRDefault="00AF5CB9" w:rsidP="00997358">
      <w:pPr>
        <w:pStyle w:val="BodyText"/>
        <w:numPr>
          <w:ilvl w:val="0"/>
          <w:numId w:val="12"/>
        </w:numPr>
        <w:ind w:left="360"/>
      </w:pPr>
      <w:r w:rsidRPr="00AF5CB9">
        <w:t>a project budget</w:t>
      </w:r>
      <w:r w:rsidR="00D33CDC">
        <w:t xml:space="preserve"> – </w:t>
      </w:r>
      <w:r w:rsidR="00D33CDC" w:rsidRPr="00D33CDC">
        <w:t>as part of the project plan</w:t>
      </w:r>
    </w:p>
    <w:p w14:paraId="0A413EFB" w14:textId="36015C70" w:rsidR="00AF5CB9" w:rsidRPr="00AF5CB9" w:rsidRDefault="00A213D0" w:rsidP="00997358">
      <w:pPr>
        <w:pStyle w:val="BodyText"/>
        <w:numPr>
          <w:ilvl w:val="0"/>
          <w:numId w:val="12"/>
        </w:numPr>
        <w:ind w:left="360"/>
      </w:pPr>
      <w:r>
        <w:rPr>
          <w:iCs/>
        </w:rPr>
        <w:t>e</w:t>
      </w:r>
      <w:r w:rsidR="00D33CDC" w:rsidRPr="00D33CDC">
        <w:rPr>
          <w:iCs/>
        </w:rPr>
        <w:t xml:space="preserve">vidence of community support – written support and/or evidence of community consultations </w:t>
      </w:r>
    </w:p>
    <w:tbl>
      <w:tblPr>
        <w:tblStyle w:val="CGHTableBanded"/>
        <w:tblW w:w="9781" w:type="dxa"/>
        <w:tblInd w:w="-147" w:type="dxa"/>
        <w:shd w:val="clear" w:color="auto" w:fill="FFE74B" w:themeFill="accent5" w:themeFillShade="BF"/>
        <w:tblLook w:val="04A0" w:firstRow="1" w:lastRow="0" w:firstColumn="1" w:lastColumn="0" w:noHBand="0" w:noVBand="1"/>
        <w:tblDescription w:val="Areas for improvement"/>
      </w:tblPr>
      <w:tblGrid>
        <w:gridCol w:w="3828"/>
        <w:gridCol w:w="5953"/>
      </w:tblGrid>
      <w:tr w:rsidR="00682C05" w:rsidRPr="00682C05" w14:paraId="6F4C0723" w14:textId="77777777" w:rsidTr="00181AFB">
        <w:trPr>
          <w:cnfStyle w:val="100000000000" w:firstRow="1" w:lastRow="0" w:firstColumn="0" w:lastColumn="0" w:oddVBand="0" w:evenVBand="0" w:oddHBand="0" w:evenHBand="0" w:firstRowFirstColumn="0" w:firstRowLastColumn="0" w:lastRowFirstColumn="0" w:lastRowLastColumn="0"/>
          <w:trHeight w:val="472"/>
          <w:tblHeader/>
        </w:trPr>
        <w:tc>
          <w:tcPr>
            <w:tcW w:w="3828"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43D08F1E" w14:textId="77777777" w:rsidR="00682C05" w:rsidRPr="00682C05" w:rsidRDefault="00682C05" w:rsidP="00424534">
            <w:pPr>
              <w:spacing w:before="120" w:after="140"/>
              <w:ind w:left="57" w:right="57"/>
              <w:rPr>
                <w:rFonts w:ascii="Arial" w:eastAsia="Arial" w:hAnsi="Arial"/>
                <w:b/>
                <w:color w:val="000000"/>
                <w:szCs w:val="22"/>
              </w:rPr>
            </w:pPr>
            <w:r w:rsidRPr="00682C05">
              <w:rPr>
                <w:rFonts w:ascii="Arial" w:eastAsia="Arial" w:hAnsi="Arial"/>
                <w:b/>
                <w:color w:val="000000"/>
                <w:szCs w:val="22"/>
              </w:rPr>
              <w:t xml:space="preserve">Strong applications: </w:t>
            </w:r>
          </w:p>
        </w:tc>
        <w:tc>
          <w:tcPr>
            <w:tcW w:w="59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330F5C13" w14:textId="77777777" w:rsidR="00682C05" w:rsidRPr="00682C05" w:rsidRDefault="00682C05" w:rsidP="00424534">
            <w:pPr>
              <w:spacing w:before="120" w:after="140"/>
              <w:ind w:left="57" w:right="57"/>
              <w:rPr>
                <w:rFonts w:ascii="Arial" w:eastAsia="Arial" w:hAnsi="Arial"/>
                <w:color w:val="000000"/>
                <w:szCs w:val="22"/>
              </w:rPr>
            </w:pPr>
            <w:r w:rsidRPr="00682C05">
              <w:rPr>
                <w:rFonts w:ascii="Arial" w:eastAsia="Arial" w:hAnsi="Arial"/>
                <w:color w:val="000000"/>
                <w:szCs w:val="22"/>
              </w:rPr>
              <w:t xml:space="preserve">Quality responses clearly: </w:t>
            </w:r>
          </w:p>
        </w:tc>
      </w:tr>
      <w:tr w:rsidR="00AF5CB9" w:rsidRPr="00AF5CB9" w14:paraId="404261E0" w14:textId="77777777" w:rsidTr="00A213D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830"/>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4801F1C5" w14:textId="6F4653AD" w:rsidR="00AF5CB9" w:rsidRPr="00A213D0" w:rsidRDefault="00A213D0" w:rsidP="00424534">
            <w:pPr>
              <w:spacing w:before="120" w:after="140"/>
              <w:ind w:left="113" w:right="57"/>
              <w:rPr>
                <w:rFonts w:ascii="Arial" w:eastAsia="Arial" w:hAnsi="Arial" w:cs="Arial"/>
                <w:color w:val="auto"/>
                <w:szCs w:val="22"/>
              </w:rPr>
            </w:pPr>
            <w:r>
              <w:rPr>
                <w:rFonts w:ascii="Arial" w:eastAsia="Arial" w:hAnsi="Arial" w:cs="Arial"/>
                <w:color w:val="auto"/>
                <w:szCs w:val="22"/>
              </w:rPr>
              <w:t>A</w:t>
            </w:r>
            <w:r w:rsidR="00AF5CB9" w:rsidRPr="00A213D0">
              <w:rPr>
                <w:rFonts w:ascii="Arial" w:eastAsia="Arial" w:hAnsi="Arial" w:cs="Arial"/>
                <w:color w:val="auto"/>
                <w:szCs w:val="22"/>
              </w:rPr>
              <w:t xml:space="preserve">ttached a project </w:t>
            </w:r>
            <w:r w:rsidR="00C77E41">
              <w:rPr>
                <w:rFonts w:ascii="Arial" w:eastAsia="Arial" w:hAnsi="Arial" w:cs="Arial"/>
                <w:color w:val="auto"/>
                <w:szCs w:val="22"/>
              </w:rPr>
              <w:t>plan</w:t>
            </w:r>
            <w:r w:rsidR="00AF5CB9" w:rsidRPr="00A213D0">
              <w:rPr>
                <w:rFonts w:ascii="Arial" w:eastAsia="Arial" w:hAnsi="Arial" w:cs="Arial"/>
                <w:color w:val="auto"/>
                <w:szCs w:val="22"/>
              </w:rPr>
              <w:t xml:space="preserve"> </w:t>
            </w:r>
            <w:r w:rsidR="001E528A">
              <w:rPr>
                <w:rFonts w:ascii="Arial" w:eastAsia="Arial" w:hAnsi="Arial" w:cs="Arial"/>
                <w:color w:val="auto"/>
                <w:szCs w:val="22"/>
              </w:rPr>
              <w:t>which</w:t>
            </w:r>
            <w:r w:rsidR="00AF5CB9" w:rsidRPr="00A213D0">
              <w:rPr>
                <w:rFonts w:ascii="Arial" w:eastAsia="Arial" w:hAnsi="Arial" w:cs="Arial"/>
                <w:color w:val="auto"/>
                <w:szCs w:val="22"/>
              </w:rPr>
              <w:t>:</w:t>
            </w:r>
          </w:p>
          <w:p w14:paraId="0DA4E3F1" w14:textId="2302E5BB" w:rsidR="00AF5CB9" w:rsidRPr="00A213D0" w:rsidRDefault="00AF5CB9" w:rsidP="00997358">
            <w:pPr>
              <w:pStyle w:val="TableBullets1"/>
            </w:pPr>
            <w:r w:rsidRPr="00A213D0">
              <w:t xml:space="preserve">provided additional information to complement </w:t>
            </w:r>
            <w:r w:rsidR="001E528A">
              <w:t xml:space="preserve">what was </w:t>
            </w:r>
            <w:r w:rsidRPr="00A213D0">
              <w:t>provided in the application form (e.g. relating to governance arrangements, and against the selection criteria)</w:t>
            </w:r>
          </w:p>
          <w:p w14:paraId="09C95212" w14:textId="77777777" w:rsidR="00AF5CB9" w:rsidRPr="00A213D0" w:rsidRDefault="00AF5CB9" w:rsidP="00997358">
            <w:pPr>
              <w:pStyle w:val="TableBullets1"/>
            </w:pPr>
            <w:r w:rsidRPr="00A213D0">
              <w:t>outlined a suitable plan for the project including activities, tasks, deliverables, key milestones and timeframes</w:t>
            </w:r>
          </w:p>
          <w:p w14:paraId="5EE1CCF2" w14:textId="7C41709D" w:rsidR="00AF5CB9" w:rsidRPr="00C77E41" w:rsidRDefault="00AF5CB9" w:rsidP="00997358">
            <w:pPr>
              <w:pStyle w:val="TableBullets1"/>
            </w:pPr>
            <w:r w:rsidRPr="00A213D0">
              <w:t xml:space="preserve">demonstrated an understanding and consideration of risks associated with delivering the grant activities, and </w:t>
            </w:r>
            <w:r w:rsidR="001E528A">
              <w:t>which</w:t>
            </w:r>
            <w:r w:rsidRPr="00A213D0">
              <w:t xml:space="preserve"> stipulated the processes to be put in place to ensure management and mitigation of identified risks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AF804BB" w14:textId="5F19F6A1" w:rsidR="00A213D0" w:rsidRDefault="00C77E41" w:rsidP="00997358">
            <w:pPr>
              <w:pStyle w:val="TableBullets1"/>
            </w:pPr>
            <w:r w:rsidRPr="00A213D0">
              <w:t>descri</w:t>
            </w:r>
            <w:r>
              <w:t>bed</w:t>
            </w:r>
            <w:r w:rsidRPr="00A213D0">
              <w:t xml:space="preserve"> how the activities would be conducted to deliver the outcomes </w:t>
            </w:r>
          </w:p>
          <w:p w14:paraId="0E7641BD" w14:textId="56F86BFE" w:rsidR="00AF5CB9" w:rsidRPr="00A213D0" w:rsidRDefault="00AF5CB9" w:rsidP="00997358">
            <w:pPr>
              <w:pStyle w:val="TableBullets1"/>
            </w:pPr>
            <w:r w:rsidRPr="00A213D0">
              <w:t>avoid</w:t>
            </w:r>
            <w:r w:rsidR="00C77E41">
              <w:t>ed</w:t>
            </w:r>
            <w:r w:rsidRPr="00A213D0">
              <w:t xml:space="preserve"> cutting and pasting from the main application, and including more</w:t>
            </w:r>
            <w:r w:rsidR="00C77E41">
              <w:t xml:space="preserve"> specific</w:t>
            </w:r>
            <w:r w:rsidRPr="00A213D0">
              <w:t xml:space="preserve"> details on the project </w:t>
            </w:r>
          </w:p>
          <w:p w14:paraId="69C4AFCC" w14:textId="005ADAC8" w:rsidR="00AF5CB9" w:rsidRPr="00A213D0" w:rsidRDefault="00AF5CB9" w:rsidP="00997358">
            <w:pPr>
              <w:pStyle w:val="TableBullets1"/>
            </w:pPr>
            <w:r w:rsidRPr="00A213D0">
              <w:t>explain</w:t>
            </w:r>
            <w:r w:rsidR="00C77E41">
              <w:t>ed</w:t>
            </w:r>
            <w:r w:rsidRPr="00A213D0">
              <w:t xml:space="preserve"> how the applicant will coordinate the interests, needs and valuable contributions of all stakeholders, including people from diverse or minority backgrounds </w:t>
            </w:r>
          </w:p>
          <w:p w14:paraId="0A882B2C" w14:textId="1353D8DA" w:rsidR="00C77E41" w:rsidRPr="00A213D0" w:rsidRDefault="00C77E41" w:rsidP="00997358">
            <w:pPr>
              <w:pStyle w:val="TableBullets1"/>
            </w:pPr>
            <w:r w:rsidRPr="00A213D0">
              <w:t xml:space="preserve">described timeframes and milestones for when the activity will be completed within the </w:t>
            </w:r>
            <w:r w:rsidR="00333CD8" w:rsidRPr="00A213D0">
              <w:t>12</w:t>
            </w:r>
            <w:r w:rsidR="00333CD8">
              <w:t>-</w:t>
            </w:r>
            <w:r w:rsidRPr="00A213D0">
              <w:t>month duration described strategies to ensure the sustainability of the program outcomes beyond the 12 months of the grant</w:t>
            </w:r>
          </w:p>
          <w:p w14:paraId="573BC611" w14:textId="7E67BE47" w:rsidR="00C77E41" w:rsidRDefault="00333CD8" w:rsidP="00997358">
            <w:pPr>
              <w:pStyle w:val="TableBullets1"/>
            </w:pPr>
            <w:r>
              <w:t>c</w:t>
            </w:r>
            <w:r w:rsidR="00C77E41" w:rsidRPr="00A213D0">
              <w:t>apacity to deliver within the grant period – the grant period was for 12 months across 2 financial years. The applicants needed to establish their ability to deliver the outcomes within 12 months by demonstrating their proposal was clear, well planned and involved (or had the ability to garner) strong partnerships with key stakeholders for their proposed activities</w:t>
            </w:r>
          </w:p>
          <w:p w14:paraId="39991188" w14:textId="0FC36D10" w:rsidR="005A660C" w:rsidRPr="00C77E41" w:rsidRDefault="00C77E41" w:rsidP="00997358">
            <w:pPr>
              <w:pStyle w:val="TableBullets1"/>
            </w:pPr>
            <w:r>
              <w:t>demonstrated</w:t>
            </w:r>
            <w:r w:rsidRPr="00A213D0">
              <w:t xml:space="preserve"> th</w:t>
            </w:r>
            <w:r>
              <w:t>e applican</w:t>
            </w:r>
            <w:r w:rsidRPr="00A213D0">
              <w:t xml:space="preserve">t understood risks </w:t>
            </w:r>
            <w:r>
              <w:t>relevant to the proposed project and had identified</w:t>
            </w:r>
            <w:r w:rsidRPr="00A213D0">
              <w:t xml:space="preserve"> processes to manage and mitigate the identified risks</w:t>
            </w:r>
          </w:p>
        </w:tc>
      </w:tr>
    </w:tbl>
    <w:p w14:paraId="1309A60F" w14:textId="12C8F411" w:rsidR="00C3189E" w:rsidRPr="00C3189E" w:rsidRDefault="00C3189E" w:rsidP="00424534">
      <w:pPr>
        <w:spacing w:before="120" w:after="140"/>
      </w:pPr>
      <w:r>
        <w:t>For further comments relevant to this section</w:t>
      </w:r>
      <w:r w:rsidR="00B941BF">
        <w:t xml:space="preserve"> (specifically on the project budget and the evidence of community support elements)</w:t>
      </w:r>
      <w:r>
        <w:t>, please r</w:t>
      </w:r>
      <w:r w:rsidRPr="00C3189E">
        <w:t xml:space="preserve">efer to specific feedback </w:t>
      </w:r>
      <w:r>
        <w:t>above for</w:t>
      </w:r>
      <w:r w:rsidRPr="00C3189E">
        <w:t xml:space="preserve"> Criterion</w:t>
      </w:r>
      <w:r>
        <w:t> </w:t>
      </w:r>
      <w:r w:rsidRPr="00C3189E">
        <w:t>2</w:t>
      </w:r>
      <w:r>
        <w:t>,</w:t>
      </w:r>
      <w:r w:rsidRPr="00C3189E">
        <w:t xml:space="preserve"> Community support and benefit</w:t>
      </w:r>
      <w:r>
        <w:t xml:space="preserve">, and </w:t>
      </w:r>
      <w:r w:rsidRPr="00C3189E">
        <w:t>Criterion 3</w:t>
      </w:r>
      <w:r>
        <w:t xml:space="preserve">, </w:t>
      </w:r>
      <w:r w:rsidRPr="00C3189E">
        <w:t>Organisation capability</w:t>
      </w:r>
      <w:r>
        <w:t>.</w:t>
      </w:r>
    </w:p>
    <w:p w14:paraId="4C403D55" w14:textId="77777777" w:rsidR="00EC114F" w:rsidRPr="0084087C" w:rsidRDefault="00EC114F" w:rsidP="00424534">
      <w:pPr>
        <w:pStyle w:val="Heading1"/>
        <w:pageBreakBefore/>
        <w:numPr>
          <w:ilvl w:val="0"/>
          <w:numId w:val="0"/>
        </w:numPr>
        <w:spacing w:before="120" w:after="140" w:line="280" w:lineRule="atLeast"/>
        <w:ind w:left="454" w:hanging="454"/>
        <w:rPr>
          <w:rFonts w:asciiTheme="minorHAnsi" w:eastAsia="Times New Roman" w:hAnsiTheme="minorHAnsi" w:cstheme="minorHAnsi"/>
          <w:bCs/>
        </w:rPr>
      </w:pPr>
      <w:r w:rsidRPr="0084087C">
        <w:rPr>
          <w:rFonts w:asciiTheme="minorHAnsi" w:eastAsia="Times New Roman" w:hAnsiTheme="minorHAnsi" w:cstheme="minorHAnsi"/>
          <w:bCs/>
        </w:rPr>
        <w:lastRenderedPageBreak/>
        <w:t xml:space="preserve">Individual feedback </w:t>
      </w:r>
    </w:p>
    <w:p w14:paraId="577DD12D" w14:textId="0CCA2719" w:rsidR="00EC114F" w:rsidRPr="00682C05" w:rsidRDefault="00EC114F" w:rsidP="00424534">
      <w:pPr>
        <w:spacing w:before="120" w:after="140"/>
        <w:rPr>
          <w:rFonts w:eastAsia="Times New Roman" w:cstheme="minorHAnsi"/>
          <w:color w:val="auto"/>
          <w:szCs w:val="22"/>
        </w:rPr>
      </w:pPr>
      <w:r w:rsidRPr="00682C05">
        <w:rPr>
          <w:rFonts w:eastAsia="Times New Roman" w:cstheme="minorHAnsi"/>
          <w:color w:val="auto"/>
          <w:szCs w:val="22"/>
        </w:rPr>
        <w:t>Individual feedback is available to applicants by contacting the</w:t>
      </w:r>
      <w:r w:rsidR="00997358">
        <w:rPr>
          <w:rFonts w:eastAsia="Times New Roman" w:cstheme="minorHAnsi"/>
          <w:color w:val="auto"/>
          <w:szCs w:val="22"/>
        </w:rPr>
        <w:t xml:space="preserve"> </w:t>
      </w:r>
      <w:r w:rsidR="007B2B49" w:rsidRPr="00682C05">
        <w:rPr>
          <w:rFonts w:eastAsia="Times New Roman" w:cstheme="minorHAnsi"/>
          <w:color w:val="auto"/>
          <w:szCs w:val="22"/>
        </w:rPr>
        <w:t xml:space="preserve">Hub </w:t>
      </w:r>
      <w:r w:rsidRPr="00682C05">
        <w:rPr>
          <w:rFonts w:eastAsia="Times New Roman" w:cstheme="minorHAnsi"/>
          <w:color w:val="auto"/>
          <w:szCs w:val="22"/>
        </w:rPr>
        <w:t>(phone</w:t>
      </w:r>
      <w:r w:rsidR="007B2B49" w:rsidRPr="00682C05">
        <w:rPr>
          <w:rFonts w:eastAsia="Times New Roman" w:cstheme="minorHAnsi"/>
          <w:color w:val="auto"/>
          <w:szCs w:val="22"/>
        </w:rPr>
        <w:t>:</w:t>
      </w:r>
      <w:r w:rsidRPr="00682C05">
        <w:rPr>
          <w:rFonts w:eastAsia="Times New Roman" w:cstheme="minorHAnsi"/>
          <w:color w:val="auto"/>
          <w:szCs w:val="22"/>
        </w:rPr>
        <w:t>1800 020 283</w:t>
      </w:r>
      <w:r w:rsidR="00997358">
        <w:rPr>
          <w:rFonts w:eastAsia="Times New Roman" w:cstheme="minorHAnsi"/>
          <w:color w:val="auto"/>
          <w:szCs w:val="22"/>
        </w:rPr>
        <w:t xml:space="preserve"> (option 1)</w:t>
      </w:r>
      <w:r w:rsidRPr="00682C05">
        <w:rPr>
          <w:rFonts w:eastAsia="Times New Roman" w:cstheme="minorHAnsi"/>
          <w:color w:val="auto"/>
          <w:szCs w:val="22"/>
        </w:rPr>
        <w:t xml:space="preserve"> or email</w:t>
      </w:r>
      <w:r w:rsidR="007B2B49" w:rsidRPr="00682C05">
        <w:rPr>
          <w:rFonts w:eastAsia="Times New Roman" w:cstheme="minorHAnsi"/>
          <w:color w:val="auto"/>
          <w:szCs w:val="22"/>
        </w:rPr>
        <w:t>:</w:t>
      </w:r>
      <w:r w:rsidR="00A52535" w:rsidRPr="00682C05">
        <w:rPr>
          <w:rFonts w:eastAsia="Times New Roman" w:cstheme="minorHAnsi"/>
          <w:color w:val="auto"/>
          <w:szCs w:val="22"/>
        </w:rPr>
        <w:t xml:space="preserve"> </w:t>
      </w:r>
      <w:hyperlink r:id="rId13" w:history="1">
        <w:r w:rsidR="00307603" w:rsidRPr="00682C05">
          <w:rPr>
            <w:rStyle w:val="Hyperlink"/>
            <w:rFonts w:cstheme="minorHAnsi"/>
          </w:rPr>
          <w:t>support@communitygrants.gov.au</w:t>
        </w:r>
      </w:hyperlink>
      <w:r w:rsidRPr="00682C05">
        <w:rPr>
          <w:rFonts w:cstheme="minorHAnsi"/>
        </w:rPr>
        <w:t xml:space="preserve">) within </w:t>
      </w:r>
      <w:r w:rsidR="004B62B6" w:rsidRPr="00682C05">
        <w:rPr>
          <w:rFonts w:cstheme="minorHAnsi"/>
          <w:b/>
        </w:rPr>
        <w:t>2</w:t>
      </w:r>
      <w:r w:rsidRPr="00682C05">
        <w:rPr>
          <w:rFonts w:cstheme="minorHAnsi"/>
          <w:b/>
        </w:rPr>
        <w:t>0 business days</w:t>
      </w:r>
      <w:r w:rsidRPr="00682C05">
        <w:rPr>
          <w:rFonts w:cstheme="minorHAnsi"/>
        </w:rPr>
        <w:t xml:space="preserve"> of having received the outcome notification letter. Please include in the request your legal entity name, application ID and the project activity title. </w:t>
      </w:r>
      <w:r w:rsidRPr="00682C05">
        <w:rPr>
          <w:rFonts w:eastAsia="Calibri" w:cstheme="minorHAnsi"/>
          <w:color w:val="auto"/>
          <w:szCs w:val="22"/>
        </w:rPr>
        <w:t>The Hub will endeavour to respond to your request within 30 business days from the date of the request for feedback</w:t>
      </w:r>
      <w:r w:rsidRPr="00682C05">
        <w:rPr>
          <w:rFonts w:cstheme="minorHAnsi"/>
        </w:rPr>
        <w:t>.</w:t>
      </w:r>
    </w:p>
    <w:sectPr w:rsidR="00EC114F" w:rsidRPr="00682C05" w:rsidSect="001E3E28">
      <w:headerReference w:type="default" r:id="rId14"/>
      <w:footerReference w:type="default" r:id="rId15"/>
      <w:headerReference w:type="first" r:id="rId16"/>
      <w:footerReference w:type="first" r:id="rId17"/>
      <w:pgSz w:w="11906" w:h="16838" w:code="9"/>
      <w:pgMar w:top="2835" w:right="1134" w:bottom="1247" w:left="1134" w:header="624"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41BCC" w14:textId="77777777" w:rsidR="007B0585" w:rsidRDefault="007B0585" w:rsidP="00772718">
      <w:pPr>
        <w:spacing w:line="240" w:lineRule="auto"/>
      </w:pPr>
      <w:r>
        <w:separator/>
      </w:r>
    </w:p>
  </w:endnote>
  <w:endnote w:type="continuationSeparator" w:id="0">
    <w:p w14:paraId="07784284" w14:textId="77777777" w:rsidR="007B0585" w:rsidRDefault="007B0585"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F3DE" w14:textId="1E5CDAB5" w:rsidR="004F1A2E" w:rsidRDefault="004F1A2E">
    <w:pPr>
      <w:pStyle w:val="Footer"/>
    </w:pPr>
    <w:r>
      <w:fldChar w:fldCharType="begin"/>
    </w:r>
    <w:r>
      <w:instrText xml:space="preserve"> PAGE   \* MERGEFORMAT </w:instrText>
    </w:r>
    <w:r>
      <w:fldChar w:fldCharType="separate"/>
    </w:r>
    <w:r w:rsidR="00BF6418">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56192" behindDoc="0" locked="1" layoutInCell="1" allowOverlap="1" wp14:anchorId="1E646FE2" wp14:editId="0E24F763">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4FE0CE"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28386" w14:textId="58B4DF45" w:rsidR="004F1A2E" w:rsidRDefault="004F1A2E">
    <w:pPr>
      <w:pStyle w:val="Footer"/>
    </w:pPr>
    <w:r>
      <w:fldChar w:fldCharType="begin"/>
    </w:r>
    <w:r>
      <w:instrText xml:space="preserve"> PAGE   \* MERGEFORMAT </w:instrText>
    </w:r>
    <w:r>
      <w:fldChar w:fldCharType="separate"/>
    </w:r>
    <w:r w:rsidR="00BF6418">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55E8" w14:textId="77777777" w:rsidR="007B0585" w:rsidRDefault="007B0585" w:rsidP="00772718">
      <w:pPr>
        <w:spacing w:line="240" w:lineRule="auto"/>
      </w:pPr>
      <w:r>
        <w:separator/>
      </w:r>
    </w:p>
  </w:footnote>
  <w:footnote w:type="continuationSeparator" w:id="0">
    <w:p w14:paraId="07E5E7B4" w14:textId="77777777" w:rsidR="007B0585" w:rsidRDefault="007B0585"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F4C4B" w14:textId="77777777"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17FCBAF2" wp14:editId="559C9D18">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C5A0F9"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744390FC" wp14:editId="5F1E09A2">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39106" w14:textId="77777777" w:rsidR="004F1A2E" w:rsidRDefault="004F1A2E">
    <w:pPr>
      <w:pStyle w:val="Header"/>
    </w:pPr>
    <w:r>
      <w:rPr>
        <w:noProof/>
        <w:lang w:eastAsia="en-AU"/>
      </w:rPr>
      <w:drawing>
        <wp:anchor distT="0" distB="0" distL="114300" distR="114300" simplePos="0" relativeHeight="251660288" behindDoc="0" locked="1" layoutInCell="1" allowOverlap="1" wp14:anchorId="3B3352FA" wp14:editId="3B031BA2">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0147F564" wp14:editId="409DA125">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05BC74"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7A3BDB89" wp14:editId="65620CEE">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F40B47"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7D96F188" wp14:editId="22BCDDE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4E0955"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2379F2"/>
    <w:multiLevelType w:val="hybridMultilevel"/>
    <w:tmpl w:val="1C009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238C2"/>
    <w:multiLevelType w:val="hybridMultilevel"/>
    <w:tmpl w:val="43A0AE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 w15:restartNumberingAfterBreak="0">
    <w:nsid w:val="11AA4A52"/>
    <w:multiLevelType w:val="hybridMultilevel"/>
    <w:tmpl w:val="CC2E8922"/>
    <w:lvl w:ilvl="0" w:tplc="0C090005">
      <w:start w:val="1"/>
      <w:numFmt w:val="bullet"/>
      <w:lvlText w:val=""/>
      <w:lvlJc w:val="left"/>
      <w:pPr>
        <w:ind w:left="720" w:hanging="360"/>
      </w:pPr>
      <w:rPr>
        <w:rFonts w:ascii="Wingdings" w:hAnsi="Wingdings" w:hint="default"/>
      </w:rPr>
    </w:lvl>
    <w:lvl w:ilvl="1" w:tplc="FCE0DC2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CF0F0B"/>
    <w:multiLevelType w:val="multilevel"/>
    <w:tmpl w:val="8228C812"/>
    <w:lvl w:ilvl="0">
      <w:start w:val="1"/>
      <w:numFmt w:val="bullet"/>
      <w:lvlText w:val=""/>
      <w:lvlJc w:val="left"/>
      <w:pPr>
        <w:ind w:left="680" w:hanging="226"/>
      </w:pPr>
      <w:rPr>
        <w:rFonts w:ascii="Symbol" w:hAnsi="Symbol" w:hint="default"/>
        <w:color w:val="000000" w:themeColor="text1"/>
      </w:rPr>
    </w:lvl>
    <w:lvl w:ilvl="1">
      <w:start w:val="1"/>
      <w:numFmt w:val="bullet"/>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lvlText w:val=""/>
      <w:lvlJc w:val="left"/>
      <w:pPr>
        <w:ind w:left="340" w:hanging="227"/>
      </w:pPr>
      <w:rPr>
        <w:rFonts w:ascii="Symbol" w:hAnsi="Symbol" w:hint="default"/>
        <w:color w:val="000000" w:themeColor="text1"/>
      </w:rPr>
    </w:lvl>
    <w:lvl w:ilvl="7">
      <w:start w:val="1"/>
      <w:numFmt w:val="bullet"/>
      <w:lvlText w:val="o"/>
      <w:lvlJc w:val="left"/>
      <w:pPr>
        <w:ind w:left="567" w:hanging="227"/>
      </w:pPr>
      <w:rPr>
        <w:rFonts w:ascii="Courier New" w:hAnsi="Courier New" w:cs="Courier New"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5" w15:restartNumberingAfterBreak="0">
    <w:nsid w:val="156860D5"/>
    <w:multiLevelType w:val="hybridMultilevel"/>
    <w:tmpl w:val="94B46B2C"/>
    <w:lvl w:ilvl="0" w:tplc="0C090005">
      <w:start w:val="1"/>
      <w:numFmt w:val="bullet"/>
      <w:lvlText w:val=""/>
      <w:lvlJc w:val="left"/>
      <w:pPr>
        <w:ind w:left="644"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163889B3"/>
    <w:multiLevelType w:val="hybridMultilevel"/>
    <w:tmpl w:val="474E33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E5A2D28"/>
    <w:multiLevelType w:val="hybridMultilevel"/>
    <w:tmpl w:val="485C4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290C76"/>
    <w:multiLevelType w:val="hybridMultilevel"/>
    <w:tmpl w:val="45F43030"/>
    <w:lvl w:ilvl="0" w:tplc="0C090005">
      <w:start w:val="1"/>
      <w:numFmt w:val="bullet"/>
      <w:lvlText w:val=""/>
      <w:lvlJc w:val="left"/>
      <w:pPr>
        <w:ind w:left="420" w:hanging="360"/>
      </w:pPr>
      <w:rPr>
        <w:rFonts w:ascii="Wingdings" w:hAnsi="Wingdings"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2F6A2378"/>
    <w:multiLevelType w:val="hybridMultilevel"/>
    <w:tmpl w:val="E6DAF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4251D2"/>
    <w:multiLevelType w:val="hybridMultilevel"/>
    <w:tmpl w:val="493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77066BA"/>
    <w:multiLevelType w:val="multilevel"/>
    <w:tmpl w:val="61A6B264"/>
    <w:lvl w:ilvl="0">
      <w:start w:val="1"/>
      <w:numFmt w:val="bullet"/>
      <w:lvlText w:val="o"/>
      <w:lvlJc w:val="left"/>
      <w:pPr>
        <w:ind w:left="786" w:hanging="360"/>
      </w:pPr>
      <w:rPr>
        <w:rFonts w:ascii="Courier New" w:hAnsi="Courier New" w:cs="Courier New" w:hint="default"/>
        <w:color w:val="264F90"/>
        <w:w w:val="100"/>
        <w:sz w:val="20"/>
        <w:szCs w:val="20"/>
      </w:rPr>
    </w:lvl>
    <w:lvl w:ilvl="1">
      <w:start w:val="1"/>
      <w:numFmt w:val="bullet"/>
      <w:lvlText w:val="o"/>
      <w:lvlJc w:val="left"/>
      <w:pPr>
        <w:ind w:left="1146" w:hanging="360"/>
      </w:pPr>
      <w:rPr>
        <w:rFonts w:ascii="Courier New" w:hAnsi="Courier New" w:cs="Courier New" w:hint="default"/>
        <w:color w:val="auto"/>
      </w:rPr>
    </w:lvl>
    <w:lvl w:ilvl="2">
      <w:start w:val="1"/>
      <w:numFmt w:val="bullet"/>
      <w:lvlText w:val="o"/>
      <w:lvlJc w:val="left"/>
      <w:pPr>
        <w:ind w:left="1506" w:hanging="360"/>
      </w:pPr>
      <w:rPr>
        <w:rFonts w:ascii="Courier New" w:hAnsi="Courier New" w:hint="default"/>
        <w:color w:val="264F90"/>
      </w:rPr>
    </w:lvl>
    <w:lvl w:ilvl="3">
      <w:start w:val="1"/>
      <w:numFmt w:val="bullet"/>
      <w:lvlText w:val=""/>
      <w:lvlJc w:val="left"/>
      <w:pPr>
        <w:ind w:left="1866" w:hanging="360"/>
      </w:pPr>
      <w:rPr>
        <w:rFonts w:ascii="Symbol" w:hAnsi="Symbol" w:hint="default"/>
      </w:rPr>
    </w:lvl>
    <w:lvl w:ilvl="4">
      <w:start w:val="1"/>
      <w:numFmt w:val="bullet"/>
      <w:lvlText w:val=""/>
      <w:lvlJc w:val="left"/>
      <w:pPr>
        <w:ind w:left="2226" w:hanging="360"/>
      </w:pPr>
      <w:rPr>
        <w:rFonts w:ascii="Symbol" w:hAnsi="Symbol"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Wingdings" w:hAnsi="Wingdings" w:hint="default"/>
      </w:rPr>
    </w:lvl>
    <w:lvl w:ilvl="7">
      <w:start w:val="1"/>
      <w:numFmt w:val="bullet"/>
      <w:lvlText w:val=""/>
      <w:lvlJc w:val="left"/>
      <w:pPr>
        <w:ind w:left="3306" w:hanging="360"/>
      </w:pPr>
      <w:rPr>
        <w:rFonts w:ascii="Symbol" w:hAnsi="Symbol" w:hint="default"/>
      </w:rPr>
    </w:lvl>
    <w:lvl w:ilvl="8">
      <w:start w:val="1"/>
      <w:numFmt w:val="bullet"/>
      <w:lvlText w:val=""/>
      <w:lvlJc w:val="left"/>
      <w:pPr>
        <w:ind w:left="3666" w:hanging="360"/>
      </w:pPr>
      <w:rPr>
        <w:rFonts w:ascii="Symbol" w:hAnsi="Symbol" w:hint="default"/>
      </w:rPr>
    </w:lvl>
  </w:abstractNum>
  <w:abstractNum w:abstractNumId="17" w15:restartNumberingAfterBreak="0">
    <w:nsid w:val="506B4C8A"/>
    <w:multiLevelType w:val="hybridMultilevel"/>
    <w:tmpl w:val="018CAC9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2792A7B"/>
    <w:multiLevelType w:val="hybridMultilevel"/>
    <w:tmpl w:val="C608C478"/>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58370EAF"/>
    <w:multiLevelType w:val="hybridMultilevel"/>
    <w:tmpl w:val="F77E5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4425AA"/>
    <w:multiLevelType w:val="hybridMultilevel"/>
    <w:tmpl w:val="63CC031C"/>
    <w:lvl w:ilvl="0" w:tplc="0C090001">
      <w:start w:val="1"/>
      <w:numFmt w:val="bullet"/>
      <w:lvlText w:val=""/>
      <w:lvlJc w:val="left"/>
      <w:pPr>
        <w:ind w:left="720" w:hanging="360"/>
      </w:pPr>
      <w:rPr>
        <w:rFonts w:ascii="Symbol" w:hAnsi="Symbol" w:hint="default"/>
      </w:rPr>
    </w:lvl>
    <w:lvl w:ilvl="1" w:tplc="EBCEBE4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1D16DC"/>
    <w:multiLevelType w:val="hybridMultilevel"/>
    <w:tmpl w:val="6B622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E12D20"/>
    <w:multiLevelType w:val="hybridMultilevel"/>
    <w:tmpl w:val="BC00D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940D5"/>
    <w:multiLevelType w:val="multilevel"/>
    <w:tmpl w:val="95CEABE2"/>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Wingdings" w:hAnsi="Wingdings" w:hint="default"/>
        <w:color w:val="000000" w:themeColor="text1"/>
      </w:rPr>
    </w:lvl>
    <w:lvl w:ilvl="7">
      <w:start w:val="1"/>
      <w:numFmt w:val="bullet"/>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6" w15:restartNumberingAfterBreak="0">
    <w:nsid w:val="71A066D3"/>
    <w:multiLevelType w:val="hybridMultilevel"/>
    <w:tmpl w:val="F23A2AB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7" w15:restartNumberingAfterBreak="0">
    <w:nsid w:val="77914A0C"/>
    <w:multiLevelType w:val="hybridMultilevel"/>
    <w:tmpl w:val="E822066A"/>
    <w:lvl w:ilvl="0" w:tplc="0C090001">
      <w:start w:val="1"/>
      <w:numFmt w:val="bullet"/>
      <w:lvlText w:val=""/>
      <w:lvlJc w:val="left"/>
      <w:pPr>
        <w:ind w:left="720" w:hanging="360"/>
      </w:pPr>
      <w:rPr>
        <w:rFonts w:ascii="Symbol" w:hAnsi="Symbol" w:hint="default"/>
      </w:rPr>
    </w:lvl>
    <w:lvl w:ilvl="1" w:tplc="83828BC2">
      <w:start w:val="1"/>
      <w:numFmt w:val="bullet"/>
      <w:pStyle w:val="TableBullets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5"/>
  </w:num>
  <w:num w:numId="4">
    <w:abstractNumId w:val="14"/>
  </w:num>
  <w:num w:numId="5">
    <w:abstractNumId w:val="7"/>
  </w:num>
  <w:num w:numId="6">
    <w:abstractNumId w:val="26"/>
  </w:num>
  <w:num w:numId="7">
    <w:abstractNumId w:val="24"/>
  </w:num>
  <w:num w:numId="8">
    <w:abstractNumId w:val="21"/>
  </w:num>
  <w:num w:numId="9">
    <w:abstractNumId w:val="2"/>
  </w:num>
  <w:num w:numId="10">
    <w:abstractNumId w:val="11"/>
  </w:num>
  <w:num w:numId="11">
    <w:abstractNumId w:val="13"/>
  </w:num>
  <w:num w:numId="12">
    <w:abstractNumId w:val="10"/>
  </w:num>
  <w:num w:numId="13">
    <w:abstractNumId w:val="9"/>
  </w:num>
  <w:num w:numId="14">
    <w:abstractNumId w:val="22"/>
  </w:num>
  <w:num w:numId="15">
    <w:abstractNumId w:val="0"/>
  </w:num>
  <w:num w:numId="16">
    <w:abstractNumId w:val="12"/>
  </w:num>
  <w:num w:numId="17">
    <w:abstractNumId w:val="18"/>
  </w:num>
  <w:num w:numId="18">
    <w:abstractNumId w:val="27"/>
  </w:num>
  <w:num w:numId="19">
    <w:abstractNumId w:val="17"/>
  </w:num>
  <w:num w:numId="20">
    <w:abstractNumId w:val="20"/>
  </w:num>
  <w:num w:numId="21">
    <w:abstractNumId w:val="8"/>
  </w:num>
  <w:num w:numId="22">
    <w:abstractNumId w:val="8"/>
  </w:num>
  <w:num w:numId="23">
    <w:abstractNumId w:val="11"/>
  </w:num>
  <w:num w:numId="24">
    <w:abstractNumId w:val="8"/>
  </w:num>
  <w:num w:numId="25">
    <w:abstractNumId w:val="4"/>
  </w:num>
  <w:num w:numId="26">
    <w:abstractNumId w:val="10"/>
  </w:num>
  <w:num w:numId="27">
    <w:abstractNumId w:val="6"/>
  </w:num>
  <w:num w:numId="28">
    <w:abstractNumId w:val="19"/>
  </w:num>
  <w:num w:numId="29">
    <w:abstractNumId w:val="23"/>
  </w:num>
  <w:num w:numId="30">
    <w:abstractNumId w:val="16"/>
  </w:num>
  <w:num w:numId="31">
    <w:abstractNumId w:val="1"/>
  </w:num>
  <w:num w:numId="32">
    <w:abstractNumId w:val="3"/>
  </w:num>
  <w:num w:numId="3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AFD"/>
    <w:rsid w:val="000044D2"/>
    <w:rsid w:val="00004A79"/>
    <w:rsid w:val="00006E45"/>
    <w:rsid w:val="00007DE9"/>
    <w:rsid w:val="0001460A"/>
    <w:rsid w:val="00015336"/>
    <w:rsid w:val="00015AE4"/>
    <w:rsid w:val="00015C7D"/>
    <w:rsid w:val="00016C0A"/>
    <w:rsid w:val="00022B9E"/>
    <w:rsid w:val="00023016"/>
    <w:rsid w:val="00027482"/>
    <w:rsid w:val="0003018E"/>
    <w:rsid w:val="00031D4F"/>
    <w:rsid w:val="00031FDC"/>
    <w:rsid w:val="00033547"/>
    <w:rsid w:val="00033BC3"/>
    <w:rsid w:val="00034E5F"/>
    <w:rsid w:val="00044E09"/>
    <w:rsid w:val="0004784D"/>
    <w:rsid w:val="0005020E"/>
    <w:rsid w:val="00053A00"/>
    <w:rsid w:val="00053C7A"/>
    <w:rsid w:val="00062AF7"/>
    <w:rsid w:val="00063DD0"/>
    <w:rsid w:val="00065156"/>
    <w:rsid w:val="00066489"/>
    <w:rsid w:val="00070C27"/>
    <w:rsid w:val="00072433"/>
    <w:rsid w:val="00073764"/>
    <w:rsid w:val="00073A5C"/>
    <w:rsid w:val="0007778C"/>
    <w:rsid w:val="000800F4"/>
    <w:rsid w:val="00081EB4"/>
    <w:rsid w:val="00091B9D"/>
    <w:rsid w:val="00092F03"/>
    <w:rsid w:val="00094CF6"/>
    <w:rsid w:val="000A2894"/>
    <w:rsid w:val="000B2964"/>
    <w:rsid w:val="000B4208"/>
    <w:rsid w:val="000B6C00"/>
    <w:rsid w:val="000C0671"/>
    <w:rsid w:val="000C1F06"/>
    <w:rsid w:val="000C3648"/>
    <w:rsid w:val="000D0579"/>
    <w:rsid w:val="000D0EB9"/>
    <w:rsid w:val="000D16D3"/>
    <w:rsid w:val="000D3BBD"/>
    <w:rsid w:val="000E1D6F"/>
    <w:rsid w:val="000E4EAA"/>
    <w:rsid w:val="000E7DCF"/>
    <w:rsid w:val="000F1DD1"/>
    <w:rsid w:val="000F257D"/>
    <w:rsid w:val="000F28B8"/>
    <w:rsid w:val="000F3766"/>
    <w:rsid w:val="000F515D"/>
    <w:rsid w:val="000F57B2"/>
    <w:rsid w:val="00100880"/>
    <w:rsid w:val="00102284"/>
    <w:rsid w:val="001024F7"/>
    <w:rsid w:val="00104194"/>
    <w:rsid w:val="00104389"/>
    <w:rsid w:val="00106FC4"/>
    <w:rsid w:val="0011132E"/>
    <w:rsid w:val="00111F0C"/>
    <w:rsid w:val="00113403"/>
    <w:rsid w:val="00120B80"/>
    <w:rsid w:val="00127C14"/>
    <w:rsid w:val="00130B81"/>
    <w:rsid w:val="00132915"/>
    <w:rsid w:val="001331C7"/>
    <w:rsid w:val="00145E2D"/>
    <w:rsid w:val="0014659B"/>
    <w:rsid w:val="00146BD1"/>
    <w:rsid w:val="00150160"/>
    <w:rsid w:val="0015098F"/>
    <w:rsid w:val="0015362E"/>
    <w:rsid w:val="00154458"/>
    <w:rsid w:val="001564E2"/>
    <w:rsid w:val="001565F6"/>
    <w:rsid w:val="00164EDF"/>
    <w:rsid w:val="0016612C"/>
    <w:rsid w:val="00166366"/>
    <w:rsid w:val="00171102"/>
    <w:rsid w:val="00173EC8"/>
    <w:rsid w:val="0017488A"/>
    <w:rsid w:val="00174C7B"/>
    <w:rsid w:val="00174CE0"/>
    <w:rsid w:val="00175A70"/>
    <w:rsid w:val="001763D4"/>
    <w:rsid w:val="00180AD4"/>
    <w:rsid w:val="00181433"/>
    <w:rsid w:val="001834DD"/>
    <w:rsid w:val="00183A19"/>
    <w:rsid w:val="00191A86"/>
    <w:rsid w:val="00192E42"/>
    <w:rsid w:val="001952E2"/>
    <w:rsid w:val="00195636"/>
    <w:rsid w:val="00195BE7"/>
    <w:rsid w:val="001962A5"/>
    <w:rsid w:val="00196578"/>
    <w:rsid w:val="00197294"/>
    <w:rsid w:val="001978B0"/>
    <w:rsid w:val="001A58FE"/>
    <w:rsid w:val="001B159A"/>
    <w:rsid w:val="001B41E3"/>
    <w:rsid w:val="001B67F8"/>
    <w:rsid w:val="001B7998"/>
    <w:rsid w:val="001B7AD0"/>
    <w:rsid w:val="001C16E2"/>
    <w:rsid w:val="001C2C9B"/>
    <w:rsid w:val="001C41B4"/>
    <w:rsid w:val="001C53CE"/>
    <w:rsid w:val="001C5D96"/>
    <w:rsid w:val="001C6BD1"/>
    <w:rsid w:val="001C701C"/>
    <w:rsid w:val="001C7AD3"/>
    <w:rsid w:val="001D2486"/>
    <w:rsid w:val="001D2D74"/>
    <w:rsid w:val="001D341B"/>
    <w:rsid w:val="001D50B1"/>
    <w:rsid w:val="001D6D55"/>
    <w:rsid w:val="001E3D2B"/>
    <w:rsid w:val="001E3E28"/>
    <w:rsid w:val="001E4329"/>
    <w:rsid w:val="001E528A"/>
    <w:rsid w:val="001E66CE"/>
    <w:rsid w:val="001F09A5"/>
    <w:rsid w:val="001F2BF8"/>
    <w:rsid w:val="0020407D"/>
    <w:rsid w:val="0020448F"/>
    <w:rsid w:val="00205772"/>
    <w:rsid w:val="00205B47"/>
    <w:rsid w:val="00207C16"/>
    <w:rsid w:val="00210A2F"/>
    <w:rsid w:val="00213095"/>
    <w:rsid w:val="002158D1"/>
    <w:rsid w:val="00217B4A"/>
    <w:rsid w:val="00221DC2"/>
    <w:rsid w:val="00222E26"/>
    <w:rsid w:val="0022344A"/>
    <w:rsid w:val="00224C37"/>
    <w:rsid w:val="00224CBF"/>
    <w:rsid w:val="00225D7F"/>
    <w:rsid w:val="00231B64"/>
    <w:rsid w:val="00234BC3"/>
    <w:rsid w:val="00237AF9"/>
    <w:rsid w:val="00237C0C"/>
    <w:rsid w:val="00243004"/>
    <w:rsid w:val="00244B48"/>
    <w:rsid w:val="00247511"/>
    <w:rsid w:val="00251AE1"/>
    <w:rsid w:val="00251FF4"/>
    <w:rsid w:val="002573D5"/>
    <w:rsid w:val="00261A54"/>
    <w:rsid w:val="00261B70"/>
    <w:rsid w:val="00262AB4"/>
    <w:rsid w:val="002648CA"/>
    <w:rsid w:val="00264E26"/>
    <w:rsid w:val="00277E25"/>
    <w:rsid w:val="00280BE3"/>
    <w:rsid w:val="00280E74"/>
    <w:rsid w:val="00286B8B"/>
    <w:rsid w:val="00290BCD"/>
    <w:rsid w:val="00293A8D"/>
    <w:rsid w:val="002947F9"/>
    <w:rsid w:val="00294B81"/>
    <w:rsid w:val="00295CE9"/>
    <w:rsid w:val="002A4156"/>
    <w:rsid w:val="002A41E1"/>
    <w:rsid w:val="002A510A"/>
    <w:rsid w:val="002A71DE"/>
    <w:rsid w:val="002A745D"/>
    <w:rsid w:val="002B633C"/>
    <w:rsid w:val="002B6574"/>
    <w:rsid w:val="002C3AB2"/>
    <w:rsid w:val="002C4179"/>
    <w:rsid w:val="002C52A4"/>
    <w:rsid w:val="002D0127"/>
    <w:rsid w:val="002D4008"/>
    <w:rsid w:val="002D4D48"/>
    <w:rsid w:val="002D6388"/>
    <w:rsid w:val="002D6931"/>
    <w:rsid w:val="002E00BA"/>
    <w:rsid w:val="002E012D"/>
    <w:rsid w:val="002E1CCC"/>
    <w:rsid w:val="002E21D2"/>
    <w:rsid w:val="002E2F29"/>
    <w:rsid w:val="002E46B8"/>
    <w:rsid w:val="002E5A61"/>
    <w:rsid w:val="002F03CC"/>
    <w:rsid w:val="002F2295"/>
    <w:rsid w:val="002F5763"/>
    <w:rsid w:val="002F7D3C"/>
    <w:rsid w:val="003037F7"/>
    <w:rsid w:val="00303BDE"/>
    <w:rsid w:val="00305720"/>
    <w:rsid w:val="00306267"/>
    <w:rsid w:val="00307603"/>
    <w:rsid w:val="0031098A"/>
    <w:rsid w:val="003111A7"/>
    <w:rsid w:val="003118AA"/>
    <w:rsid w:val="0031204D"/>
    <w:rsid w:val="003131AB"/>
    <w:rsid w:val="003162AA"/>
    <w:rsid w:val="00320C67"/>
    <w:rsid w:val="003217BE"/>
    <w:rsid w:val="00321C8B"/>
    <w:rsid w:val="00321FBE"/>
    <w:rsid w:val="0032411D"/>
    <w:rsid w:val="003251CC"/>
    <w:rsid w:val="003300C7"/>
    <w:rsid w:val="003313BA"/>
    <w:rsid w:val="003315F3"/>
    <w:rsid w:val="003329A5"/>
    <w:rsid w:val="00332FC1"/>
    <w:rsid w:val="00333CD8"/>
    <w:rsid w:val="00334D04"/>
    <w:rsid w:val="00334DC7"/>
    <w:rsid w:val="0034044F"/>
    <w:rsid w:val="00342269"/>
    <w:rsid w:val="00343839"/>
    <w:rsid w:val="00344467"/>
    <w:rsid w:val="00344E24"/>
    <w:rsid w:val="00346B12"/>
    <w:rsid w:val="00355FF2"/>
    <w:rsid w:val="00357DF2"/>
    <w:rsid w:val="00363B03"/>
    <w:rsid w:val="00372EE9"/>
    <w:rsid w:val="00373BF1"/>
    <w:rsid w:val="00380479"/>
    <w:rsid w:val="0038068A"/>
    <w:rsid w:val="00382ECE"/>
    <w:rsid w:val="003831F0"/>
    <w:rsid w:val="003839B9"/>
    <w:rsid w:val="00390AFC"/>
    <w:rsid w:val="00391AE7"/>
    <w:rsid w:val="003921F5"/>
    <w:rsid w:val="00394803"/>
    <w:rsid w:val="0039591B"/>
    <w:rsid w:val="00395D3C"/>
    <w:rsid w:val="00397BC4"/>
    <w:rsid w:val="003A17CA"/>
    <w:rsid w:val="003A1B1D"/>
    <w:rsid w:val="003A1BAF"/>
    <w:rsid w:val="003A3191"/>
    <w:rsid w:val="003A389F"/>
    <w:rsid w:val="003A7148"/>
    <w:rsid w:val="003B06E1"/>
    <w:rsid w:val="003B35C9"/>
    <w:rsid w:val="003B4E9C"/>
    <w:rsid w:val="003B5E95"/>
    <w:rsid w:val="003B722F"/>
    <w:rsid w:val="003C0679"/>
    <w:rsid w:val="003D0647"/>
    <w:rsid w:val="003D1132"/>
    <w:rsid w:val="003D1265"/>
    <w:rsid w:val="003D255E"/>
    <w:rsid w:val="003D274D"/>
    <w:rsid w:val="003D3B1D"/>
    <w:rsid w:val="003D5678"/>
    <w:rsid w:val="003D5DBE"/>
    <w:rsid w:val="003D6079"/>
    <w:rsid w:val="003D684E"/>
    <w:rsid w:val="003D70F9"/>
    <w:rsid w:val="003E2315"/>
    <w:rsid w:val="003E37C5"/>
    <w:rsid w:val="003F09D6"/>
    <w:rsid w:val="003F1645"/>
    <w:rsid w:val="003F25F3"/>
    <w:rsid w:val="00404841"/>
    <w:rsid w:val="00404D00"/>
    <w:rsid w:val="00412059"/>
    <w:rsid w:val="00413640"/>
    <w:rsid w:val="00416570"/>
    <w:rsid w:val="00421A24"/>
    <w:rsid w:val="00422AB9"/>
    <w:rsid w:val="00423713"/>
    <w:rsid w:val="00424534"/>
    <w:rsid w:val="00424926"/>
    <w:rsid w:val="00424F4F"/>
    <w:rsid w:val="00425633"/>
    <w:rsid w:val="00426F36"/>
    <w:rsid w:val="00427A2E"/>
    <w:rsid w:val="00432641"/>
    <w:rsid w:val="004341FF"/>
    <w:rsid w:val="00441E79"/>
    <w:rsid w:val="004428FD"/>
    <w:rsid w:val="00444ECD"/>
    <w:rsid w:val="00445A32"/>
    <w:rsid w:val="00446217"/>
    <w:rsid w:val="00450486"/>
    <w:rsid w:val="004516B1"/>
    <w:rsid w:val="00452062"/>
    <w:rsid w:val="00453BF8"/>
    <w:rsid w:val="00453F68"/>
    <w:rsid w:val="00454EB4"/>
    <w:rsid w:val="00462D4A"/>
    <w:rsid w:val="00467029"/>
    <w:rsid w:val="004709E9"/>
    <w:rsid w:val="00472379"/>
    <w:rsid w:val="00474E5B"/>
    <w:rsid w:val="00476E68"/>
    <w:rsid w:val="004825FC"/>
    <w:rsid w:val="00482C76"/>
    <w:rsid w:val="0048304A"/>
    <w:rsid w:val="00483A58"/>
    <w:rsid w:val="004868C2"/>
    <w:rsid w:val="004873E8"/>
    <w:rsid w:val="00490618"/>
    <w:rsid w:val="00492003"/>
    <w:rsid w:val="00493178"/>
    <w:rsid w:val="00493E0C"/>
    <w:rsid w:val="004964D0"/>
    <w:rsid w:val="004A0077"/>
    <w:rsid w:val="004A1224"/>
    <w:rsid w:val="004A44C0"/>
    <w:rsid w:val="004A7058"/>
    <w:rsid w:val="004B05FE"/>
    <w:rsid w:val="004B0B5B"/>
    <w:rsid w:val="004B2929"/>
    <w:rsid w:val="004B4449"/>
    <w:rsid w:val="004B55D5"/>
    <w:rsid w:val="004B5F40"/>
    <w:rsid w:val="004B62B6"/>
    <w:rsid w:val="004C2477"/>
    <w:rsid w:val="004C2A2C"/>
    <w:rsid w:val="004C47AD"/>
    <w:rsid w:val="004C5712"/>
    <w:rsid w:val="004C7D16"/>
    <w:rsid w:val="004D5AF1"/>
    <w:rsid w:val="004D6E73"/>
    <w:rsid w:val="004D700E"/>
    <w:rsid w:val="004D72B5"/>
    <w:rsid w:val="004D7F17"/>
    <w:rsid w:val="004E0670"/>
    <w:rsid w:val="004E123B"/>
    <w:rsid w:val="004E146D"/>
    <w:rsid w:val="004E1AAE"/>
    <w:rsid w:val="004E67C2"/>
    <w:rsid w:val="004E7F37"/>
    <w:rsid w:val="004F1A2E"/>
    <w:rsid w:val="004F31BA"/>
    <w:rsid w:val="005012DE"/>
    <w:rsid w:val="005027EA"/>
    <w:rsid w:val="00510012"/>
    <w:rsid w:val="0051057A"/>
    <w:rsid w:val="005108E5"/>
    <w:rsid w:val="005118E4"/>
    <w:rsid w:val="0051299F"/>
    <w:rsid w:val="00513F66"/>
    <w:rsid w:val="00514E1B"/>
    <w:rsid w:val="00515185"/>
    <w:rsid w:val="00517BA0"/>
    <w:rsid w:val="00521391"/>
    <w:rsid w:val="00522DAD"/>
    <w:rsid w:val="005251CF"/>
    <w:rsid w:val="00525ECC"/>
    <w:rsid w:val="00526B85"/>
    <w:rsid w:val="00526BF0"/>
    <w:rsid w:val="00530560"/>
    <w:rsid w:val="005306A1"/>
    <w:rsid w:val="0053550A"/>
    <w:rsid w:val="00536475"/>
    <w:rsid w:val="00537C38"/>
    <w:rsid w:val="00544751"/>
    <w:rsid w:val="0055317C"/>
    <w:rsid w:val="0055343E"/>
    <w:rsid w:val="00557244"/>
    <w:rsid w:val="0056260A"/>
    <w:rsid w:val="00566721"/>
    <w:rsid w:val="00570825"/>
    <w:rsid w:val="00574505"/>
    <w:rsid w:val="005769E5"/>
    <w:rsid w:val="00582083"/>
    <w:rsid w:val="00582D93"/>
    <w:rsid w:val="00585A02"/>
    <w:rsid w:val="0059000C"/>
    <w:rsid w:val="00591F83"/>
    <w:rsid w:val="005938EA"/>
    <w:rsid w:val="0059519E"/>
    <w:rsid w:val="00596B3A"/>
    <w:rsid w:val="00596DBB"/>
    <w:rsid w:val="005A02A1"/>
    <w:rsid w:val="005A4D08"/>
    <w:rsid w:val="005A63AE"/>
    <w:rsid w:val="005A660C"/>
    <w:rsid w:val="005B1BB6"/>
    <w:rsid w:val="005B3AC7"/>
    <w:rsid w:val="005B4BCA"/>
    <w:rsid w:val="005B6071"/>
    <w:rsid w:val="005C5100"/>
    <w:rsid w:val="005C7DDE"/>
    <w:rsid w:val="005D7594"/>
    <w:rsid w:val="005D7A24"/>
    <w:rsid w:val="005D7F06"/>
    <w:rsid w:val="005E2422"/>
    <w:rsid w:val="00600152"/>
    <w:rsid w:val="006011C5"/>
    <w:rsid w:val="00603CDA"/>
    <w:rsid w:val="00603D95"/>
    <w:rsid w:val="00604ED5"/>
    <w:rsid w:val="006062DC"/>
    <w:rsid w:val="006129CE"/>
    <w:rsid w:val="00612F90"/>
    <w:rsid w:val="00616EBA"/>
    <w:rsid w:val="00622B47"/>
    <w:rsid w:val="00625C95"/>
    <w:rsid w:val="00625EFC"/>
    <w:rsid w:val="0062690E"/>
    <w:rsid w:val="00626D44"/>
    <w:rsid w:val="00630AD6"/>
    <w:rsid w:val="00632BF6"/>
    <w:rsid w:val="00632C08"/>
    <w:rsid w:val="00633A27"/>
    <w:rsid w:val="00641CF2"/>
    <w:rsid w:val="00654C42"/>
    <w:rsid w:val="00655952"/>
    <w:rsid w:val="0065598C"/>
    <w:rsid w:val="006564F7"/>
    <w:rsid w:val="00656772"/>
    <w:rsid w:val="00660361"/>
    <w:rsid w:val="00661512"/>
    <w:rsid w:val="00664096"/>
    <w:rsid w:val="00665BD7"/>
    <w:rsid w:val="00666A01"/>
    <w:rsid w:val="0067074A"/>
    <w:rsid w:val="00672994"/>
    <w:rsid w:val="006732CE"/>
    <w:rsid w:val="00673B45"/>
    <w:rsid w:val="00677EBC"/>
    <w:rsid w:val="00680307"/>
    <w:rsid w:val="00681310"/>
    <w:rsid w:val="00682BBA"/>
    <w:rsid w:val="00682C05"/>
    <w:rsid w:val="00686F39"/>
    <w:rsid w:val="006906DE"/>
    <w:rsid w:val="006910DE"/>
    <w:rsid w:val="00692D09"/>
    <w:rsid w:val="00692EFD"/>
    <w:rsid w:val="0069456D"/>
    <w:rsid w:val="006A1D47"/>
    <w:rsid w:val="006A3D42"/>
    <w:rsid w:val="006A3EE5"/>
    <w:rsid w:val="006A52D2"/>
    <w:rsid w:val="006A7781"/>
    <w:rsid w:val="006B2011"/>
    <w:rsid w:val="006B2CDE"/>
    <w:rsid w:val="006B5DC6"/>
    <w:rsid w:val="006C0035"/>
    <w:rsid w:val="006C15C5"/>
    <w:rsid w:val="006C1C0E"/>
    <w:rsid w:val="006D0352"/>
    <w:rsid w:val="006D3DAD"/>
    <w:rsid w:val="006D57A8"/>
    <w:rsid w:val="006D61F2"/>
    <w:rsid w:val="006E1AA2"/>
    <w:rsid w:val="006E24DC"/>
    <w:rsid w:val="006E49FB"/>
    <w:rsid w:val="006E4A9D"/>
    <w:rsid w:val="006F35CF"/>
    <w:rsid w:val="006F375B"/>
    <w:rsid w:val="006F6BEE"/>
    <w:rsid w:val="006F7B19"/>
    <w:rsid w:val="007009DB"/>
    <w:rsid w:val="00702F57"/>
    <w:rsid w:val="00706490"/>
    <w:rsid w:val="00707E21"/>
    <w:rsid w:val="0071294C"/>
    <w:rsid w:val="00713439"/>
    <w:rsid w:val="00715715"/>
    <w:rsid w:val="00716D7B"/>
    <w:rsid w:val="00720986"/>
    <w:rsid w:val="00720DC4"/>
    <w:rsid w:val="00722F1F"/>
    <w:rsid w:val="007234C6"/>
    <w:rsid w:val="00725712"/>
    <w:rsid w:val="00730371"/>
    <w:rsid w:val="00736A76"/>
    <w:rsid w:val="00746CB5"/>
    <w:rsid w:val="007506FA"/>
    <w:rsid w:val="00752C6B"/>
    <w:rsid w:val="00753D0C"/>
    <w:rsid w:val="00755D9B"/>
    <w:rsid w:val="007572E0"/>
    <w:rsid w:val="00760C83"/>
    <w:rsid w:val="00760CE6"/>
    <w:rsid w:val="00762F09"/>
    <w:rsid w:val="00771218"/>
    <w:rsid w:val="007719C9"/>
    <w:rsid w:val="00772702"/>
    <w:rsid w:val="00772718"/>
    <w:rsid w:val="00776963"/>
    <w:rsid w:val="00776A60"/>
    <w:rsid w:val="0078466E"/>
    <w:rsid w:val="00786D4F"/>
    <w:rsid w:val="00794F55"/>
    <w:rsid w:val="007A0011"/>
    <w:rsid w:val="007A1318"/>
    <w:rsid w:val="007B0585"/>
    <w:rsid w:val="007B2B49"/>
    <w:rsid w:val="007B5D45"/>
    <w:rsid w:val="007B7FCE"/>
    <w:rsid w:val="007C1A27"/>
    <w:rsid w:val="007D1D65"/>
    <w:rsid w:val="007D2882"/>
    <w:rsid w:val="007D30A8"/>
    <w:rsid w:val="007D5349"/>
    <w:rsid w:val="007D724D"/>
    <w:rsid w:val="007E0FC0"/>
    <w:rsid w:val="007F01B0"/>
    <w:rsid w:val="007F1BC7"/>
    <w:rsid w:val="007F31FF"/>
    <w:rsid w:val="007F330D"/>
    <w:rsid w:val="007F3459"/>
    <w:rsid w:val="007F3535"/>
    <w:rsid w:val="007F6FC4"/>
    <w:rsid w:val="00801565"/>
    <w:rsid w:val="00803A69"/>
    <w:rsid w:val="008060C3"/>
    <w:rsid w:val="00814FB1"/>
    <w:rsid w:val="00815371"/>
    <w:rsid w:val="008160BB"/>
    <w:rsid w:val="00816AF9"/>
    <w:rsid w:val="00820CB3"/>
    <w:rsid w:val="00820F20"/>
    <w:rsid w:val="00822DC5"/>
    <w:rsid w:val="00824EAC"/>
    <w:rsid w:val="0082528A"/>
    <w:rsid w:val="00825754"/>
    <w:rsid w:val="00830E71"/>
    <w:rsid w:val="008315A0"/>
    <w:rsid w:val="0083175C"/>
    <w:rsid w:val="00833758"/>
    <w:rsid w:val="00834563"/>
    <w:rsid w:val="00835210"/>
    <w:rsid w:val="00836BDF"/>
    <w:rsid w:val="0084087C"/>
    <w:rsid w:val="00841F3C"/>
    <w:rsid w:val="008438BB"/>
    <w:rsid w:val="0084413D"/>
    <w:rsid w:val="00844C2D"/>
    <w:rsid w:val="00847E84"/>
    <w:rsid w:val="00850312"/>
    <w:rsid w:val="00851FDD"/>
    <w:rsid w:val="00853D31"/>
    <w:rsid w:val="008619E0"/>
    <w:rsid w:val="008648C1"/>
    <w:rsid w:val="008666B2"/>
    <w:rsid w:val="00866C0A"/>
    <w:rsid w:val="00871888"/>
    <w:rsid w:val="008737C8"/>
    <w:rsid w:val="0087438E"/>
    <w:rsid w:val="00875645"/>
    <w:rsid w:val="00875DF8"/>
    <w:rsid w:val="0087632D"/>
    <w:rsid w:val="0087791C"/>
    <w:rsid w:val="00882668"/>
    <w:rsid w:val="008839FF"/>
    <w:rsid w:val="00884668"/>
    <w:rsid w:val="008874AF"/>
    <w:rsid w:val="008874DC"/>
    <w:rsid w:val="008915B2"/>
    <w:rsid w:val="00893395"/>
    <w:rsid w:val="00897BE8"/>
    <w:rsid w:val="008A1B6B"/>
    <w:rsid w:val="008B0295"/>
    <w:rsid w:val="008B13FC"/>
    <w:rsid w:val="008B2B46"/>
    <w:rsid w:val="008B2BFA"/>
    <w:rsid w:val="008B7A17"/>
    <w:rsid w:val="008C5224"/>
    <w:rsid w:val="008D0FA0"/>
    <w:rsid w:val="008D1524"/>
    <w:rsid w:val="008D6A9B"/>
    <w:rsid w:val="008E0298"/>
    <w:rsid w:val="008E05BC"/>
    <w:rsid w:val="008E1230"/>
    <w:rsid w:val="008E2E66"/>
    <w:rsid w:val="008F0C90"/>
    <w:rsid w:val="008F17B8"/>
    <w:rsid w:val="008F1863"/>
    <w:rsid w:val="008F1AFF"/>
    <w:rsid w:val="008F1DC2"/>
    <w:rsid w:val="008F3CCF"/>
    <w:rsid w:val="008F3D20"/>
    <w:rsid w:val="008F72D1"/>
    <w:rsid w:val="00900396"/>
    <w:rsid w:val="009006FB"/>
    <w:rsid w:val="0090175A"/>
    <w:rsid w:val="00906717"/>
    <w:rsid w:val="00906EBC"/>
    <w:rsid w:val="00921840"/>
    <w:rsid w:val="00924155"/>
    <w:rsid w:val="009256B4"/>
    <w:rsid w:val="00926610"/>
    <w:rsid w:val="00927427"/>
    <w:rsid w:val="00932C87"/>
    <w:rsid w:val="009331B4"/>
    <w:rsid w:val="009345F1"/>
    <w:rsid w:val="00934E9B"/>
    <w:rsid w:val="00935394"/>
    <w:rsid w:val="00940352"/>
    <w:rsid w:val="00944BBB"/>
    <w:rsid w:val="009462F1"/>
    <w:rsid w:val="00947673"/>
    <w:rsid w:val="009500A5"/>
    <w:rsid w:val="00951C1A"/>
    <w:rsid w:val="009527EB"/>
    <w:rsid w:val="009547B6"/>
    <w:rsid w:val="00961072"/>
    <w:rsid w:val="0096497E"/>
    <w:rsid w:val="00965208"/>
    <w:rsid w:val="009652A6"/>
    <w:rsid w:val="0096623C"/>
    <w:rsid w:val="00966D37"/>
    <w:rsid w:val="0097065C"/>
    <w:rsid w:val="00970AE0"/>
    <w:rsid w:val="009730C4"/>
    <w:rsid w:val="009764AD"/>
    <w:rsid w:val="009852D7"/>
    <w:rsid w:val="00986D5E"/>
    <w:rsid w:val="00990A0D"/>
    <w:rsid w:val="00994C3E"/>
    <w:rsid w:val="00997358"/>
    <w:rsid w:val="009A1AEB"/>
    <w:rsid w:val="009A4E30"/>
    <w:rsid w:val="009B52E3"/>
    <w:rsid w:val="009B5794"/>
    <w:rsid w:val="009B5A45"/>
    <w:rsid w:val="009C13C1"/>
    <w:rsid w:val="009C33EE"/>
    <w:rsid w:val="009C5496"/>
    <w:rsid w:val="009C6C53"/>
    <w:rsid w:val="009D4D65"/>
    <w:rsid w:val="009E05D2"/>
    <w:rsid w:val="009E1182"/>
    <w:rsid w:val="009E2AB6"/>
    <w:rsid w:val="009E3298"/>
    <w:rsid w:val="009E5733"/>
    <w:rsid w:val="009E750F"/>
    <w:rsid w:val="009E7F5C"/>
    <w:rsid w:val="009F065A"/>
    <w:rsid w:val="009F7EC9"/>
    <w:rsid w:val="00A007EE"/>
    <w:rsid w:val="00A00C85"/>
    <w:rsid w:val="00A022DC"/>
    <w:rsid w:val="00A0291F"/>
    <w:rsid w:val="00A04D96"/>
    <w:rsid w:val="00A0629B"/>
    <w:rsid w:val="00A06EFC"/>
    <w:rsid w:val="00A075B9"/>
    <w:rsid w:val="00A10957"/>
    <w:rsid w:val="00A14495"/>
    <w:rsid w:val="00A16BE1"/>
    <w:rsid w:val="00A213D0"/>
    <w:rsid w:val="00A23D46"/>
    <w:rsid w:val="00A24F65"/>
    <w:rsid w:val="00A260B4"/>
    <w:rsid w:val="00A26792"/>
    <w:rsid w:val="00A31A68"/>
    <w:rsid w:val="00A338F2"/>
    <w:rsid w:val="00A33C01"/>
    <w:rsid w:val="00A34B50"/>
    <w:rsid w:val="00A412BD"/>
    <w:rsid w:val="00A43B49"/>
    <w:rsid w:val="00A447F8"/>
    <w:rsid w:val="00A454BF"/>
    <w:rsid w:val="00A504A6"/>
    <w:rsid w:val="00A52535"/>
    <w:rsid w:val="00A52E3A"/>
    <w:rsid w:val="00A53EEC"/>
    <w:rsid w:val="00A54997"/>
    <w:rsid w:val="00A5623F"/>
    <w:rsid w:val="00A56A23"/>
    <w:rsid w:val="00A622EE"/>
    <w:rsid w:val="00A6372B"/>
    <w:rsid w:val="00A66452"/>
    <w:rsid w:val="00A707F2"/>
    <w:rsid w:val="00A736F7"/>
    <w:rsid w:val="00A738B6"/>
    <w:rsid w:val="00A8096F"/>
    <w:rsid w:val="00A814CB"/>
    <w:rsid w:val="00A81C0E"/>
    <w:rsid w:val="00A849E2"/>
    <w:rsid w:val="00A90D1B"/>
    <w:rsid w:val="00A92357"/>
    <w:rsid w:val="00A93FC8"/>
    <w:rsid w:val="00A96810"/>
    <w:rsid w:val="00A96EF4"/>
    <w:rsid w:val="00AA2262"/>
    <w:rsid w:val="00AA45B2"/>
    <w:rsid w:val="00AA4A02"/>
    <w:rsid w:val="00AA5034"/>
    <w:rsid w:val="00AB2AD3"/>
    <w:rsid w:val="00AB6913"/>
    <w:rsid w:val="00AC0F02"/>
    <w:rsid w:val="00AC282B"/>
    <w:rsid w:val="00AC4E35"/>
    <w:rsid w:val="00AD1265"/>
    <w:rsid w:val="00AD70E2"/>
    <w:rsid w:val="00AD73C1"/>
    <w:rsid w:val="00AF28B2"/>
    <w:rsid w:val="00AF542D"/>
    <w:rsid w:val="00AF55F8"/>
    <w:rsid w:val="00AF5920"/>
    <w:rsid w:val="00AF5CB9"/>
    <w:rsid w:val="00AF6116"/>
    <w:rsid w:val="00AF6E1D"/>
    <w:rsid w:val="00AF7F13"/>
    <w:rsid w:val="00B026AB"/>
    <w:rsid w:val="00B02784"/>
    <w:rsid w:val="00B05FAF"/>
    <w:rsid w:val="00B10ABA"/>
    <w:rsid w:val="00B11E13"/>
    <w:rsid w:val="00B14C28"/>
    <w:rsid w:val="00B1655C"/>
    <w:rsid w:val="00B23C58"/>
    <w:rsid w:val="00B303E4"/>
    <w:rsid w:val="00B314E7"/>
    <w:rsid w:val="00B321FA"/>
    <w:rsid w:val="00B34004"/>
    <w:rsid w:val="00B4002B"/>
    <w:rsid w:val="00B420D4"/>
    <w:rsid w:val="00B45F54"/>
    <w:rsid w:val="00B46434"/>
    <w:rsid w:val="00B51758"/>
    <w:rsid w:val="00B51A1E"/>
    <w:rsid w:val="00B54B03"/>
    <w:rsid w:val="00B56A3A"/>
    <w:rsid w:val="00B57910"/>
    <w:rsid w:val="00B70FFF"/>
    <w:rsid w:val="00B8449B"/>
    <w:rsid w:val="00B91B21"/>
    <w:rsid w:val="00B92AC6"/>
    <w:rsid w:val="00B941BF"/>
    <w:rsid w:val="00B9436E"/>
    <w:rsid w:val="00B952F6"/>
    <w:rsid w:val="00BA202A"/>
    <w:rsid w:val="00BA24FF"/>
    <w:rsid w:val="00BA6371"/>
    <w:rsid w:val="00BB154D"/>
    <w:rsid w:val="00BB5805"/>
    <w:rsid w:val="00BB766F"/>
    <w:rsid w:val="00BC093A"/>
    <w:rsid w:val="00BC2B00"/>
    <w:rsid w:val="00BC4ACC"/>
    <w:rsid w:val="00BC4D8F"/>
    <w:rsid w:val="00BC4FCC"/>
    <w:rsid w:val="00BD02F8"/>
    <w:rsid w:val="00BD1D38"/>
    <w:rsid w:val="00BE1A18"/>
    <w:rsid w:val="00BE1E09"/>
    <w:rsid w:val="00BE623E"/>
    <w:rsid w:val="00BF3226"/>
    <w:rsid w:val="00BF5FB9"/>
    <w:rsid w:val="00BF6418"/>
    <w:rsid w:val="00BF6C9D"/>
    <w:rsid w:val="00C111A1"/>
    <w:rsid w:val="00C12F57"/>
    <w:rsid w:val="00C1353C"/>
    <w:rsid w:val="00C14193"/>
    <w:rsid w:val="00C1488E"/>
    <w:rsid w:val="00C157F0"/>
    <w:rsid w:val="00C16253"/>
    <w:rsid w:val="00C16A52"/>
    <w:rsid w:val="00C205D9"/>
    <w:rsid w:val="00C217A8"/>
    <w:rsid w:val="00C248E7"/>
    <w:rsid w:val="00C24913"/>
    <w:rsid w:val="00C3189E"/>
    <w:rsid w:val="00C324AD"/>
    <w:rsid w:val="00C33510"/>
    <w:rsid w:val="00C34B34"/>
    <w:rsid w:val="00C4188F"/>
    <w:rsid w:val="00C41D6C"/>
    <w:rsid w:val="00C4313F"/>
    <w:rsid w:val="00C57947"/>
    <w:rsid w:val="00C62704"/>
    <w:rsid w:val="00C63FC6"/>
    <w:rsid w:val="00C64820"/>
    <w:rsid w:val="00C66B2B"/>
    <w:rsid w:val="00C70797"/>
    <w:rsid w:val="00C70A86"/>
    <w:rsid w:val="00C73B24"/>
    <w:rsid w:val="00C751F3"/>
    <w:rsid w:val="00C763D6"/>
    <w:rsid w:val="00C77E41"/>
    <w:rsid w:val="00C806A3"/>
    <w:rsid w:val="00C80C2E"/>
    <w:rsid w:val="00C819A4"/>
    <w:rsid w:val="00C824AE"/>
    <w:rsid w:val="00C82FD6"/>
    <w:rsid w:val="00C8495B"/>
    <w:rsid w:val="00C84EA8"/>
    <w:rsid w:val="00C90210"/>
    <w:rsid w:val="00C91993"/>
    <w:rsid w:val="00C924BF"/>
    <w:rsid w:val="00C92998"/>
    <w:rsid w:val="00C92ABF"/>
    <w:rsid w:val="00C967AF"/>
    <w:rsid w:val="00CA1AC0"/>
    <w:rsid w:val="00CA720A"/>
    <w:rsid w:val="00CB1600"/>
    <w:rsid w:val="00CB531C"/>
    <w:rsid w:val="00CB59BC"/>
    <w:rsid w:val="00CC27E9"/>
    <w:rsid w:val="00CD0003"/>
    <w:rsid w:val="00CD4F62"/>
    <w:rsid w:val="00CD544C"/>
    <w:rsid w:val="00CD5925"/>
    <w:rsid w:val="00CE1F45"/>
    <w:rsid w:val="00CE2EC7"/>
    <w:rsid w:val="00CE3FC4"/>
    <w:rsid w:val="00CE557A"/>
    <w:rsid w:val="00CE5D1C"/>
    <w:rsid w:val="00CF09EF"/>
    <w:rsid w:val="00CF4277"/>
    <w:rsid w:val="00D00A89"/>
    <w:rsid w:val="00D031B2"/>
    <w:rsid w:val="00D131DD"/>
    <w:rsid w:val="00D1410C"/>
    <w:rsid w:val="00D22FEA"/>
    <w:rsid w:val="00D23395"/>
    <w:rsid w:val="00D24D59"/>
    <w:rsid w:val="00D257B6"/>
    <w:rsid w:val="00D2640C"/>
    <w:rsid w:val="00D26CED"/>
    <w:rsid w:val="00D275DA"/>
    <w:rsid w:val="00D27F03"/>
    <w:rsid w:val="00D33CDC"/>
    <w:rsid w:val="00D35642"/>
    <w:rsid w:val="00D359DB"/>
    <w:rsid w:val="00D36C4B"/>
    <w:rsid w:val="00D40D16"/>
    <w:rsid w:val="00D41087"/>
    <w:rsid w:val="00D43803"/>
    <w:rsid w:val="00D44A81"/>
    <w:rsid w:val="00D4593C"/>
    <w:rsid w:val="00D51733"/>
    <w:rsid w:val="00D5402B"/>
    <w:rsid w:val="00D548F0"/>
    <w:rsid w:val="00D559CA"/>
    <w:rsid w:val="00D56344"/>
    <w:rsid w:val="00D56B26"/>
    <w:rsid w:val="00D57F79"/>
    <w:rsid w:val="00D61AF8"/>
    <w:rsid w:val="00D62404"/>
    <w:rsid w:val="00D63946"/>
    <w:rsid w:val="00D64FAC"/>
    <w:rsid w:val="00D65704"/>
    <w:rsid w:val="00D65A37"/>
    <w:rsid w:val="00D668F6"/>
    <w:rsid w:val="00D67AFA"/>
    <w:rsid w:val="00D74395"/>
    <w:rsid w:val="00D84100"/>
    <w:rsid w:val="00D84875"/>
    <w:rsid w:val="00D904F0"/>
    <w:rsid w:val="00D91378"/>
    <w:rsid w:val="00D91B18"/>
    <w:rsid w:val="00D92CEA"/>
    <w:rsid w:val="00D930FB"/>
    <w:rsid w:val="00D935AF"/>
    <w:rsid w:val="00D947C3"/>
    <w:rsid w:val="00D95D89"/>
    <w:rsid w:val="00DA31CE"/>
    <w:rsid w:val="00DA365F"/>
    <w:rsid w:val="00DB138E"/>
    <w:rsid w:val="00DB15C9"/>
    <w:rsid w:val="00DB1A91"/>
    <w:rsid w:val="00DB514C"/>
    <w:rsid w:val="00DC0747"/>
    <w:rsid w:val="00DC0F4A"/>
    <w:rsid w:val="00DC2647"/>
    <w:rsid w:val="00DC6053"/>
    <w:rsid w:val="00DD1408"/>
    <w:rsid w:val="00DD19CB"/>
    <w:rsid w:val="00DD20ED"/>
    <w:rsid w:val="00DD356D"/>
    <w:rsid w:val="00DD6735"/>
    <w:rsid w:val="00DE6D07"/>
    <w:rsid w:val="00DE6ECB"/>
    <w:rsid w:val="00DE77F8"/>
    <w:rsid w:val="00DF136A"/>
    <w:rsid w:val="00DF51FA"/>
    <w:rsid w:val="00DF6AAD"/>
    <w:rsid w:val="00DF6E57"/>
    <w:rsid w:val="00E006F4"/>
    <w:rsid w:val="00E00AD5"/>
    <w:rsid w:val="00E031B8"/>
    <w:rsid w:val="00E0448C"/>
    <w:rsid w:val="00E066B0"/>
    <w:rsid w:val="00E13525"/>
    <w:rsid w:val="00E154A8"/>
    <w:rsid w:val="00E15516"/>
    <w:rsid w:val="00E21EFC"/>
    <w:rsid w:val="00E244FF"/>
    <w:rsid w:val="00E27E1E"/>
    <w:rsid w:val="00E3256F"/>
    <w:rsid w:val="00E4025D"/>
    <w:rsid w:val="00E40D59"/>
    <w:rsid w:val="00E434E6"/>
    <w:rsid w:val="00E45BE0"/>
    <w:rsid w:val="00E47250"/>
    <w:rsid w:val="00E47ADA"/>
    <w:rsid w:val="00E511FB"/>
    <w:rsid w:val="00E61535"/>
    <w:rsid w:val="00E62CAB"/>
    <w:rsid w:val="00E6592D"/>
    <w:rsid w:val="00E73F55"/>
    <w:rsid w:val="00E7540B"/>
    <w:rsid w:val="00E75AD7"/>
    <w:rsid w:val="00E77434"/>
    <w:rsid w:val="00E8037F"/>
    <w:rsid w:val="00E80383"/>
    <w:rsid w:val="00E8122F"/>
    <w:rsid w:val="00E8246B"/>
    <w:rsid w:val="00E84012"/>
    <w:rsid w:val="00E84BE4"/>
    <w:rsid w:val="00E91A3B"/>
    <w:rsid w:val="00E92198"/>
    <w:rsid w:val="00E9373C"/>
    <w:rsid w:val="00E94528"/>
    <w:rsid w:val="00EA0724"/>
    <w:rsid w:val="00EA34D5"/>
    <w:rsid w:val="00EA3D85"/>
    <w:rsid w:val="00EA4532"/>
    <w:rsid w:val="00EA59B9"/>
    <w:rsid w:val="00EA5FEC"/>
    <w:rsid w:val="00EA6251"/>
    <w:rsid w:val="00EB1B40"/>
    <w:rsid w:val="00EB4121"/>
    <w:rsid w:val="00EB448C"/>
    <w:rsid w:val="00EB6414"/>
    <w:rsid w:val="00EB7FF6"/>
    <w:rsid w:val="00EC03EE"/>
    <w:rsid w:val="00EC114F"/>
    <w:rsid w:val="00EC12CB"/>
    <w:rsid w:val="00EC27FB"/>
    <w:rsid w:val="00EC3DF8"/>
    <w:rsid w:val="00ED558F"/>
    <w:rsid w:val="00ED60F8"/>
    <w:rsid w:val="00ED7A4C"/>
    <w:rsid w:val="00EE0E90"/>
    <w:rsid w:val="00EE1F53"/>
    <w:rsid w:val="00EE2510"/>
    <w:rsid w:val="00EE5747"/>
    <w:rsid w:val="00EE75C9"/>
    <w:rsid w:val="00EF188F"/>
    <w:rsid w:val="00EF3804"/>
    <w:rsid w:val="00EF529C"/>
    <w:rsid w:val="00EF575D"/>
    <w:rsid w:val="00EF5E05"/>
    <w:rsid w:val="00F002FD"/>
    <w:rsid w:val="00F00C4B"/>
    <w:rsid w:val="00F0574D"/>
    <w:rsid w:val="00F11F82"/>
    <w:rsid w:val="00F1330B"/>
    <w:rsid w:val="00F13913"/>
    <w:rsid w:val="00F15250"/>
    <w:rsid w:val="00F2115C"/>
    <w:rsid w:val="00F220F1"/>
    <w:rsid w:val="00F227AF"/>
    <w:rsid w:val="00F25209"/>
    <w:rsid w:val="00F26454"/>
    <w:rsid w:val="00F27370"/>
    <w:rsid w:val="00F2772A"/>
    <w:rsid w:val="00F27BCD"/>
    <w:rsid w:val="00F30C97"/>
    <w:rsid w:val="00F34AF4"/>
    <w:rsid w:val="00F35692"/>
    <w:rsid w:val="00F37267"/>
    <w:rsid w:val="00F40B00"/>
    <w:rsid w:val="00F41765"/>
    <w:rsid w:val="00F420DC"/>
    <w:rsid w:val="00F44C8A"/>
    <w:rsid w:val="00F452B5"/>
    <w:rsid w:val="00F46044"/>
    <w:rsid w:val="00F5341C"/>
    <w:rsid w:val="00F56321"/>
    <w:rsid w:val="00F56954"/>
    <w:rsid w:val="00F64378"/>
    <w:rsid w:val="00F73307"/>
    <w:rsid w:val="00F75493"/>
    <w:rsid w:val="00F81DAA"/>
    <w:rsid w:val="00F85F98"/>
    <w:rsid w:val="00F92E17"/>
    <w:rsid w:val="00F92E6C"/>
    <w:rsid w:val="00F948AF"/>
    <w:rsid w:val="00F9531C"/>
    <w:rsid w:val="00F96A34"/>
    <w:rsid w:val="00FA1F45"/>
    <w:rsid w:val="00FA3251"/>
    <w:rsid w:val="00FA35DC"/>
    <w:rsid w:val="00FA5A7B"/>
    <w:rsid w:val="00FB11B1"/>
    <w:rsid w:val="00FB3199"/>
    <w:rsid w:val="00FB7E62"/>
    <w:rsid w:val="00FC1346"/>
    <w:rsid w:val="00FC2B7F"/>
    <w:rsid w:val="00FC5531"/>
    <w:rsid w:val="00FD00F8"/>
    <w:rsid w:val="00FD0274"/>
    <w:rsid w:val="00FD366B"/>
    <w:rsid w:val="00FD3F0D"/>
    <w:rsid w:val="00FD7BC3"/>
    <w:rsid w:val="00FE00E8"/>
    <w:rsid w:val="00FE04D3"/>
    <w:rsid w:val="00FE20EB"/>
    <w:rsid w:val="00FE221A"/>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62D3BE"/>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677EBC"/>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2"/>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ListParagraph"/>
    <w:uiPriority w:val="20"/>
    <w:qFormat/>
    <w:rsid w:val="00A260B4"/>
    <w:pPr>
      <w:numPr>
        <w:ilvl w:val="1"/>
        <w:numId w:val="18"/>
      </w:numPr>
      <w:spacing w:before="40" w:after="120" w:line="240" w:lineRule="auto"/>
      <w:ind w:left="709" w:right="142" w:hanging="284"/>
    </w:pPr>
    <w:rPr>
      <w:rFonts w:eastAsia="Arial" w:cstheme="minorHAnsi"/>
      <w:color w:val="auto"/>
    </w:rPr>
  </w:style>
  <w:style w:type="paragraph" w:customStyle="1" w:styleId="TableBullets1">
    <w:name w:val="Table Bullets 1"/>
    <w:basedOn w:val="TableText"/>
    <w:uiPriority w:val="20"/>
    <w:qFormat/>
    <w:rsid w:val="00303BDE"/>
    <w:pPr>
      <w:numPr>
        <w:ilvl w:val="6"/>
        <w:numId w:val="1"/>
      </w:numPr>
      <w:spacing w:after="120"/>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uiPriority w:val="22"/>
    <w:qFormat/>
    <w:rsid w:val="00A260B4"/>
    <w:rPr>
      <w:rFonts w:eastAsia="Arial"/>
      <w:szCs w:val="22"/>
    </w:rPr>
  </w:style>
  <w:style w:type="paragraph" w:styleId="ListParagraph">
    <w:name w:val="List Paragraph"/>
    <w:aliases w:val="List Paragraph11,Recommendation,Bullet Points,NFP GP Bulleted List,Bullet point,#List Paragraph,L,List Paragraph*,Dot Point,First level bullet point,List Paragraph Number,Figure_name,Bullet- First level,Listenabsatz1,CAB - List Bulle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character" w:customStyle="1" w:styleId="UnresolvedMention1">
    <w:name w:val="Unresolved Mention1"/>
    <w:basedOn w:val="DefaultParagraphFont"/>
    <w:uiPriority w:val="99"/>
    <w:semiHidden/>
    <w:unhideWhenUsed/>
    <w:rsid w:val="000E4EAA"/>
    <w:rPr>
      <w:color w:val="605E5C"/>
      <w:shd w:val="clear" w:color="auto" w:fill="E1DFDD"/>
    </w:rPr>
  </w:style>
  <w:style w:type="table" w:customStyle="1" w:styleId="TableGrid1">
    <w:name w:val="Table Grid1"/>
    <w:basedOn w:val="TableNormal"/>
    <w:next w:val="TableGrid"/>
    <w:uiPriority w:val="59"/>
    <w:rsid w:val="0094035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7"/>
    <w:rsid w:val="001962A5"/>
    <w:rPr>
      <w:sz w:val="16"/>
    </w:rPr>
  </w:style>
  <w:style w:type="paragraph" w:styleId="ListBullet">
    <w:name w:val="List Bullet"/>
    <w:basedOn w:val="Normal"/>
    <w:uiPriority w:val="99"/>
    <w:rsid w:val="001962A5"/>
    <w:pPr>
      <w:numPr>
        <w:numId w:val="21"/>
      </w:numPr>
      <w:spacing w:before="40" w:after="80"/>
    </w:pPr>
    <w:rPr>
      <w:rFonts w:ascii="Arial" w:eastAsia="Times New Roman" w:hAnsi="Arial"/>
      <w:iCs/>
      <w:color w:val="auto"/>
      <w:sz w:val="20"/>
    </w:rPr>
  </w:style>
  <w:style w:type="character" w:styleId="FootnoteReference">
    <w:name w:val="footnote reference"/>
    <w:basedOn w:val="DefaultParagraphFont"/>
    <w:uiPriority w:val="99"/>
    <w:rsid w:val="001962A5"/>
    <w:rPr>
      <w:rFonts w:cs="Times New Roman"/>
      <w:vertAlign w:val="superscript"/>
    </w:rPr>
  </w:style>
  <w:style w:type="character" w:customStyle="1" w:styleId="UnresolvedMention2">
    <w:name w:val="Unresolved Mention2"/>
    <w:basedOn w:val="DefaultParagraphFont"/>
    <w:uiPriority w:val="99"/>
    <w:semiHidden/>
    <w:unhideWhenUsed/>
    <w:rsid w:val="00307603"/>
    <w:rPr>
      <w:color w:val="605E5C"/>
      <w:shd w:val="clear" w:color="auto" w:fill="E1DFDD"/>
    </w:rPr>
  </w:style>
  <w:style w:type="character" w:styleId="FollowedHyperlink">
    <w:name w:val="FollowedHyperlink"/>
    <w:basedOn w:val="DefaultParagraphFont"/>
    <w:uiPriority w:val="99"/>
    <w:semiHidden/>
    <w:unhideWhenUsed/>
    <w:rsid w:val="005B4BCA"/>
    <w:rPr>
      <w:color w:val="800080" w:themeColor="followedHyperlink"/>
      <w:u w:val="single"/>
    </w:rPr>
  </w:style>
  <w:style w:type="character" w:customStyle="1" w:styleId="UnresolvedMention">
    <w:name w:val="Unresolved Mention"/>
    <w:basedOn w:val="DefaultParagraphFont"/>
    <w:uiPriority w:val="99"/>
    <w:semiHidden/>
    <w:unhideWhenUsed/>
    <w:rsid w:val="000E1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15962">
      <w:bodyDiv w:val="1"/>
      <w:marLeft w:val="0"/>
      <w:marRight w:val="0"/>
      <w:marTop w:val="0"/>
      <w:marBottom w:val="0"/>
      <w:divBdr>
        <w:top w:val="none" w:sz="0" w:space="0" w:color="auto"/>
        <w:left w:val="none" w:sz="0" w:space="0" w:color="auto"/>
        <w:bottom w:val="none" w:sz="0" w:space="0" w:color="auto"/>
        <w:right w:val="none" w:sz="0" w:space="0" w:color="auto"/>
      </w:divBdr>
    </w:div>
    <w:div w:id="1649550540">
      <w:bodyDiv w:val="1"/>
      <w:marLeft w:val="0"/>
      <w:marRight w:val="0"/>
      <w:marTop w:val="0"/>
      <w:marBottom w:val="0"/>
      <w:divBdr>
        <w:top w:val="none" w:sz="0" w:space="0" w:color="auto"/>
        <w:left w:val="none" w:sz="0" w:space="0" w:color="auto"/>
        <w:bottom w:val="none" w:sz="0" w:space="0" w:color="auto"/>
        <w:right w:val="none" w:sz="0" w:space="0" w:color="auto"/>
      </w:divBdr>
    </w:div>
    <w:div w:id="21053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communitygrant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water/mdb/programs/basin-wide/edpgra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45FC2"/>
    <w:rsid w:val="00085E48"/>
    <w:rsid w:val="00177105"/>
    <w:rsid w:val="00190F4F"/>
    <w:rsid w:val="001A11AD"/>
    <w:rsid w:val="001F1F4A"/>
    <w:rsid w:val="0021012C"/>
    <w:rsid w:val="002134EA"/>
    <w:rsid w:val="002A1BC5"/>
    <w:rsid w:val="002C47E4"/>
    <w:rsid w:val="002F0AC9"/>
    <w:rsid w:val="0033310B"/>
    <w:rsid w:val="003F3F0B"/>
    <w:rsid w:val="004405A0"/>
    <w:rsid w:val="004A2604"/>
    <w:rsid w:val="004C4552"/>
    <w:rsid w:val="004D047B"/>
    <w:rsid w:val="00546877"/>
    <w:rsid w:val="00562BE0"/>
    <w:rsid w:val="00605577"/>
    <w:rsid w:val="006424F2"/>
    <w:rsid w:val="00671A11"/>
    <w:rsid w:val="006F25DE"/>
    <w:rsid w:val="007633C2"/>
    <w:rsid w:val="007F4A39"/>
    <w:rsid w:val="00806ED5"/>
    <w:rsid w:val="008776F5"/>
    <w:rsid w:val="00883053"/>
    <w:rsid w:val="008A5A26"/>
    <w:rsid w:val="008C12E5"/>
    <w:rsid w:val="008E7B28"/>
    <w:rsid w:val="00912B40"/>
    <w:rsid w:val="00956087"/>
    <w:rsid w:val="00975D8C"/>
    <w:rsid w:val="00980B6E"/>
    <w:rsid w:val="009963F3"/>
    <w:rsid w:val="009C2CB6"/>
    <w:rsid w:val="00A2224C"/>
    <w:rsid w:val="00A81537"/>
    <w:rsid w:val="00AD393D"/>
    <w:rsid w:val="00B068AD"/>
    <w:rsid w:val="00B4136B"/>
    <w:rsid w:val="00B50E10"/>
    <w:rsid w:val="00B60803"/>
    <w:rsid w:val="00B64844"/>
    <w:rsid w:val="00BD5B08"/>
    <w:rsid w:val="00C14706"/>
    <w:rsid w:val="00D40FAE"/>
    <w:rsid w:val="00D41612"/>
    <w:rsid w:val="00D96DB2"/>
    <w:rsid w:val="00DB7554"/>
    <w:rsid w:val="00DB797D"/>
    <w:rsid w:val="00E538EE"/>
    <w:rsid w:val="00EE112D"/>
    <w:rsid w:val="00F23885"/>
    <w:rsid w:val="00FC5FF7"/>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D0BF037D07164F87F343895841C10E" ma:contentTypeVersion="" ma:contentTypeDescription="PDMS Document Site Content Type" ma:contentTypeScope="" ma:versionID="0039fed112e505f9cad304fc8b44f890">
  <xsd:schema xmlns:xsd="http://www.w3.org/2001/XMLSchema" xmlns:xs="http://www.w3.org/2001/XMLSchema" xmlns:p="http://schemas.microsoft.com/office/2006/metadata/properties" xmlns:ns2="8E749BDD-3C27-441B-B626-ED91D7A17587" targetNamespace="http://schemas.microsoft.com/office/2006/metadata/properties" ma:root="true" ma:fieldsID="21fc1fbaaa276049080bd1c066ade37c" ns2:_="">
    <xsd:import namespace="8E749BDD-3C27-441B-B626-ED91D7A1758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49BDD-3C27-441B-B626-ED91D7A1758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E749BDD-3C27-441B-B626-ED91D7A1758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D2EEA9-ADF1-42DF-BBA0-B62E1B648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49BDD-3C27-441B-B626-ED91D7A1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1C471-522E-4FBD-819F-4D9EA3AD4F16}">
  <ds:schemaRefs>
    <ds:schemaRef ds:uri="http://schemas.microsoft.com/sharepoint/v3/contenttype/forms"/>
  </ds:schemaRefs>
</ds:datastoreItem>
</file>

<file path=customXml/itemProps4.xml><?xml version="1.0" encoding="utf-8"?>
<ds:datastoreItem xmlns:ds="http://schemas.openxmlformats.org/officeDocument/2006/customXml" ds:itemID="{EEA095E6-D2B8-483B-8ED1-B3646B3EFB3F}">
  <ds:schemaRefs>
    <ds:schemaRef ds:uri="http://purl.org/dc/terms/"/>
    <ds:schemaRef ds:uri="http://schemas.openxmlformats.org/package/2006/metadata/core-properties"/>
    <ds:schemaRef ds:uri="http://schemas.microsoft.com/office/2006/documentManagement/types"/>
    <ds:schemaRef ds:uri="8E749BDD-3C27-441B-B626-ED91D7A1758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652661F2-33FA-4D5D-BB88-27F9ECA0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3903</Words>
  <Characters>22236</Characters>
  <Application>Microsoft Office Word</Application>
  <DocSecurity>0</DocSecurity>
  <Lines>499</Lines>
  <Paragraphs>224</Paragraphs>
  <ScaleCrop>false</ScaleCrop>
  <HeadingPairs>
    <vt:vector size="2" baseType="variant">
      <vt:variant>
        <vt:lpstr>Title</vt:lpstr>
      </vt:variant>
      <vt:variant>
        <vt:i4>1</vt:i4>
      </vt:variant>
    </vt:vector>
  </HeadingPairs>
  <TitlesOfParts>
    <vt:vector size="1" baseType="lpstr">
      <vt:lpstr>Murray–Darling Basin Economic Development Program Round 3</vt:lpstr>
    </vt:vector>
  </TitlesOfParts>
  <Company>Community Grants Hub</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Economic Development Program Round 3</dc:title>
  <dc:subject>General feedback for applicants</dc:subject>
  <dc:creator>LONG, Andrew</dc:creator>
  <cp:keywords> [SEC=OFFICIAL]</cp:keywords>
  <cp:lastModifiedBy>WOOD, Sue</cp:lastModifiedBy>
  <cp:revision>3</cp:revision>
  <cp:lastPrinted>2019-04-05T01:31:00Z</cp:lastPrinted>
  <dcterms:created xsi:type="dcterms:W3CDTF">2021-09-21T00:04:00Z</dcterms:created>
  <dcterms:modified xsi:type="dcterms:W3CDTF">2021-09-21T00:35:00Z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0x010100266966F133664895A6EE3632470D45F5005AD0BF037D07164F87F343895841C10E</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B8CBD31BFD884915812AF3B77FE624B9</vt:lpwstr>
  </property>
  <property fmtid="{D5CDD505-2E9C-101B-9397-08002B2CF9AE}" pid="10" name="PM_ProtectiveMarkingValue_Footer">
    <vt:lpwstr>OFFICIAL</vt:lpwstr>
  </property>
  <property fmtid="{D5CDD505-2E9C-101B-9397-08002B2CF9AE}" pid="11" name="PM_Originator_Hash_SHA1">
    <vt:lpwstr>8F5AB1464C784087F80A21B2BDCD01F4DB429B6A</vt:lpwstr>
  </property>
  <property fmtid="{D5CDD505-2E9C-101B-9397-08002B2CF9AE}" pid="12" name="PM_OriginationTimeStamp">
    <vt:lpwstr>2021-09-21T00:12:14Z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1700230632E100DC530DC62282A0924E</vt:lpwstr>
  </property>
  <property fmtid="{D5CDD505-2E9C-101B-9397-08002B2CF9AE}" pid="21" name="PM_Hash_Salt">
    <vt:lpwstr>15454E00782A35CFC66AC0FBA4DDB78E</vt:lpwstr>
  </property>
  <property fmtid="{D5CDD505-2E9C-101B-9397-08002B2CF9AE}" pid="22" name="PM_Hash_SHA1">
    <vt:lpwstr>7BAAF8A98B87261DAD0C9DD0628E60608FE8FAF2</vt:lpwstr>
  </property>
  <property fmtid="{D5CDD505-2E9C-101B-9397-08002B2CF9AE}" pid="23" name="PM_SecurityClassification_Prev">
    <vt:lpwstr>OFFICIAL</vt:lpwstr>
  </property>
  <property fmtid="{D5CDD505-2E9C-101B-9397-08002B2CF9AE}" pid="24" name="PM_Qualifier_Prev">
    <vt:lpwstr/>
  </property>
</Properties>
</file>