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60338D7B" w:rsidR="00CC1B7B" w:rsidRDefault="00245776" w:rsidP="002B6717">
      <w:pPr>
        <w:pStyle w:val="Title"/>
        <w:spacing w:line="360" w:lineRule="auto"/>
        <w:rPr>
          <w:rFonts w:ascii="Arial" w:hAnsi="Arial"/>
          <w:color w:val="auto"/>
          <w:sz w:val="44"/>
          <w:szCs w:val="44"/>
        </w:rPr>
      </w:pPr>
      <w:r>
        <w:rPr>
          <w:sz w:val="44"/>
          <w:szCs w:val="44"/>
        </w:rPr>
        <w:t xml:space="preserve">Strong and </w:t>
      </w:r>
      <w:r w:rsidR="00A51C99" w:rsidRPr="00A51C99">
        <w:rPr>
          <w:sz w:val="44"/>
          <w:szCs w:val="44"/>
        </w:rPr>
        <w:t>Resilient</w:t>
      </w:r>
      <w:r w:rsidR="00A51C99" w:rsidRPr="00A51C99" w:rsidDel="00A51C99">
        <w:rPr>
          <w:sz w:val="44"/>
          <w:szCs w:val="44"/>
        </w:rPr>
        <w:t xml:space="preserve"> </w:t>
      </w:r>
      <w:r>
        <w:rPr>
          <w:sz w:val="44"/>
          <w:szCs w:val="44"/>
        </w:rPr>
        <w:t>Communities</w:t>
      </w:r>
      <w:r w:rsidR="0023281A">
        <w:rPr>
          <w:sz w:val="44"/>
          <w:szCs w:val="44"/>
        </w:rPr>
        <w:t xml:space="preserve"> -</w:t>
      </w:r>
      <w:r>
        <w:rPr>
          <w:sz w:val="44"/>
          <w:szCs w:val="44"/>
        </w:rPr>
        <w:t xml:space="preserve"> Cashless Debit Card Support Services Grant Opportunity</w:t>
      </w:r>
    </w:p>
    <w:p w14:paraId="38EFDFD7" w14:textId="77777777" w:rsidR="00CC1B7B" w:rsidRDefault="00CC1B7B" w:rsidP="00CC1B7B">
      <w:pPr>
        <w:rPr>
          <w:sz w:val="40"/>
          <w:szCs w:val="40"/>
        </w:rPr>
      </w:pPr>
      <w:r>
        <w:rPr>
          <w:sz w:val="40"/>
          <w:szCs w:val="40"/>
        </w:rPr>
        <w:t xml:space="preserve">Questions and Answers </w:t>
      </w:r>
    </w:p>
    <w:p w14:paraId="637386BD" w14:textId="679242E3" w:rsidR="000E1B60" w:rsidRPr="006D7BFB" w:rsidRDefault="000E1B60" w:rsidP="00046AC0">
      <w:pPr>
        <w:pStyle w:val="Heading2"/>
        <w:numPr>
          <w:ilvl w:val="0"/>
          <w:numId w:val="6"/>
        </w:numPr>
        <w:ind w:left="426" w:hanging="426"/>
        <w:rPr>
          <w:rFonts w:eastAsia="Calibri" w:cstheme="majorHAnsi"/>
          <w:szCs w:val="24"/>
        </w:rPr>
      </w:pPr>
      <w:r w:rsidRPr="006D7BFB">
        <w:rPr>
          <w:rFonts w:eastAsia="Calibri" w:cstheme="majorHAnsi"/>
          <w:szCs w:val="24"/>
        </w:rPr>
        <w:t xml:space="preserve">What is the </w:t>
      </w:r>
      <w:r w:rsidR="0028156F" w:rsidRPr="006D7BFB">
        <w:rPr>
          <w:rFonts w:eastAsia="Calibri" w:cstheme="majorHAnsi"/>
          <w:szCs w:val="24"/>
        </w:rPr>
        <w:t xml:space="preserve">Strong and </w:t>
      </w:r>
      <w:r w:rsidR="00A51C99">
        <w:t>Resilient</w:t>
      </w:r>
      <w:r w:rsidR="00EF06B3" w:rsidRPr="006D7BFB">
        <w:rPr>
          <w:rFonts w:eastAsia="Calibri" w:cstheme="majorHAnsi"/>
          <w:szCs w:val="24"/>
        </w:rPr>
        <w:t xml:space="preserve"> Communities</w:t>
      </w:r>
      <w:r w:rsidR="0028156F" w:rsidRPr="006D7BFB">
        <w:rPr>
          <w:rFonts w:eastAsia="Calibri" w:cstheme="majorHAnsi"/>
          <w:szCs w:val="24"/>
        </w:rPr>
        <w:t xml:space="preserve"> (SARC)</w:t>
      </w:r>
      <w:r w:rsidR="00411760">
        <w:rPr>
          <w:rFonts w:eastAsia="Calibri" w:cstheme="majorHAnsi"/>
          <w:szCs w:val="24"/>
        </w:rPr>
        <w:t xml:space="preserve"> -</w:t>
      </w:r>
      <w:r w:rsidR="0028156F" w:rsidRPr="006D7BFB">
        <w:rPr>
          <w:rFonts w:eastAsia="Calibri" w:cstheme="majorHAnsi"/>
          <w:szCs w:val="24"/>
        </w:rPr>
        <w:t xml:space="preserve"> Cashless Debit Card (CDC) Support Services grant opportunity</w:t>
      </w:r>
      <w:r w:rsidR="00AF3C53" w:rsidRPr="006D7BFB">
        <w:rPr>
          <w:rFonts w:eastAsia="Calibri" w:cstheme="majorHAnsi"/>
          <w:szCs w:val="24"/>
        </w:rPr>
        <w:t>.</w:t>
      </w:r>
    </w:p>
    <w:p w14:paraId="005F7BD8" w14:textId="711CFFA3" w:rsidR="00A95273" w:rsidRDefault="00A95273" w:rsidP="006A7FB8">
      <w:pPr>
        <w:pStyle w:val="BodyText"/>
        <w:ind w:left="426"/>
      </w:pPr>
      <w:r>
        <w:t>The Cashless Debit Card support services grant opportunity is delivered as a separate stream within the Strong and Resilient Communities Activity under the Families and Communities Program.</w:t>
      </w:r>
    </w:p>
    <w:p w14:paraId="5C2C4D6A" w14:textId="7FC520C9" w:rsidR="008A0B8D" w:rsidRDefault="00A95273" w:rsidP="002B6717">
      <w:pPr>
        <w:pStyle w:val="BodyText"/>
        <w:spacing w:after="200"/>
        <w:ind w:left="425"/>
      </w:pPr>
      <w:r>
        <w:t>The grant opportunity aims to support the social and economic participation of vulnerable and disadvantaged people by enabling the development of community driven/led solutions, designed to meet identified strong needs that place people on long-term pathways towards self-reliance. This opportunity will focus on</w:t>
      </w:r>
      <w:r w:rsidRPr="0028156F">
        <w:t xml:space="preserve"> CDC locations including the regions of Ceduna in South Australia; East Kimberley and the Goldfields in Western Australia; Bundaberg and Hervey Bay in Queensland; and in the Northern Territory.</w:t>
      </w:r>
    </w:p>
    <w:p w14:paraId="6EF81D97" w14:textId="4887BF73" w:rsidR="008A0B8D" w:rsidRPr="002B6717" w:rsidRDefault="008A0B8D" w:rsidP="002B6717">
      <w:pPr>
        <w:pStyle w:val="Heading2"/>
        <w:numPr>
          <w:ilvl w:val="0"/>
          <w:numId w:val="6"/>
        </w:numPr>
        <w:ind w:left="426" w:hanging="426"/>
        <w:rPr>
          <w:rFonts w:asciiTheme="minorHAnsi" w:hAnsiTheme="minorHAnsi" w:cs="Times New Roman"/>
          <w:szCs w:val="20"/>
        </w:rPr>
      </w:pPr>
      <w:r w:rsidRPr="006D7BFB">
        <w:rPr>
          <w:rFonts w:eastAsia="Calibri" w:cstheme="majorHAnsi"/>
          <w:szCs w:val="24"/>
        </w:rPr>
        <w:t xml:space="preserve">What is the difference between the SARC CDC </w:t>
      </w:r>
      <w:r w:rsidR="00BC68CA" w:rsidRPr="006D7BFB">
        <w:rPr>
          <w:rFonts w:eastAsia="Calibri" w:cstheme="majorHAnsi"/>
          <w:szCs w:val="24"/>
        </w:rPr>
        <w:t xml:space="preserve">Support Services </w:t>
      </w:r>
      <w:r w:rsidRPr="006D7BFB">
        <w:rPr>
          <w:rFonts w:eastAsia="Calibri" w:cstheme="majorHAnsi"/>
          <w:szCs w:val="24"/>
        </w:rPr>
        <w:t xml:space="preserve">Grant Opportunity to the SARC Inclusive Community </w:t>
      </w:r>
      <w:r w:rsidR="005E7CDA" w:rsidRPr="006D7BFB">
        <w:rPr>
          <w:rFonts w:eastAsia="Calibri" w:cstheme="majorHAnsi"/>
          <w:szCs w:val="24"/>
        </w:rPr>
        <w:t>grant opportunity</w:t>
      </w:r>
      <w:r w:rsidRPr="006D7BFB">
        <w:rPr>
          <w:rFonts w:eastAsia="Calibri" w:cstheme="majorHAnsi"/>
          <w:szCs w:val="24"/>
        </w:rPr>
        <w:t>?</w:t>
      </w:r>
    </w:p>
    <w:p w14:paraId="6DBAAE00" w14:textId="7B283051" w:rsidR="00A51C99" w:rsidRPr="00A51C99" w:rsidRDefault="008A0B8D" w:rsidP="002B6717">
      <w:pPr>
        <w:ind w:left="426"/>
      </w:pPr>
      <w:r w:rsidRPr="00BC68CA">
        <w:t>The SARC</w:t>
      </w:r>
      <w:r w:rsidR="006D7BFB">
        <w:t xml:space="preserve"> </w:t>
      </w:r>
      <w:r w:rsidRPr="00BC68CA">
        <w:t>CDC Support</w:t>
      </w:r>
      <w:r w:rsidR="00BC68CA">
        <w:t xml:space="preserve"> Service</w:t>
      </w:r>
      <w:r w:rsidRPr="00BC68CA">
        <w:t xml:space="preserve">s grant </w:t>
      </w:r>
      <w:r w:rsidR="00BC68CA">
        <w:t xml:space="preserve">opportunity </w:t>
      </w:r>
      <w:r w:rsidRPr="00BC68CA">
        <w:t>opened on 27 September 2021, with grant expenditure of up to $31.1 million (GST exclusive) for the period of 2021</w:t>
      </w:r>
      <w:r w:rsidR="006D7BFB">
        <w:t>–</w:t>
      </w:r>
      <w:r w:rsidRPr="00BC68CA">
        <w:t>222 to 2022</w:t>
      </w:r>
      <w:r w:rsidR="006D7BFB">
        <w:t>–</w:t>
      </w:r>
      <w:r w:rsidRPr="00BC68CA">
        <w:t>23. The SARC CDC Support</w:t>
      </w:r>
      <w:r w:rsidR="00BC68CA">
        <w:t xml:space="preserve"> Services</w:t>
      </w:r>
      <w:r w:rsidRPr="00BC68CA">
        <w:t xml:space="preserve"> grants will focus on supporting CDC participants in the regions of Ceduna in South Australia; East Kimberley and the Goldfields in Western Australia; Bundaberg and Hervey Bay in Queensland; and in the Northern Territory.</w:t>
      </w:r>
    </w:p>
    <w:p w14:paraId="4094F39B" w14:textId="5A4012C9" w:rsidR="008A0B8D" w:rsidRPr="002B6717" w:rsidRDefault="008A0B8D" w:rsidP="002B6717">
      <w:pPr>
        <w:pStyle w:val="ListParagraph"/>
        <w:spacing w:line="280" w:lineRule="atLeast"/>
        <w:ind w:left="426"/>
        <w:rPr>
          <w:rFonts w:asciiTheme="minorHAnsi" w:hAnsiTheme="minorHAnsi" w:cs="Times New Roman"/>
          <w:color w:val="000000" w:themeColor="text1"/>
          <w:szCs w:val="20"/>
        </w:rPr>
      </w:pPr>
      <w:r w:rsidRPr="002B6717">
        <w:rPr>
          <w:rFonts w:asciiTheme="minorHAnsi" w:hAnsiTheme="minorHAnsi" w:cs="Times New Roman"/>
          <w:color w:val="000000" w:themeColor="text1"/>
          <w:szCs w:val="20"/>
        </w:rPr>
        <w:t xml:space="preserve">The SARC Inclusive Communities </w:t>
      </w:r>
      <w:r w:rsidR="00BC68CA" w:rsidRPr="002B6717">
        <w:rPr>
          <w:rFonts w:asciiTheme="minorHAnsi" w:hAnsiTheme="minorHAnsi" w:cs="Times New Roman"/>
          <w:color w:val="000000" w:themeColor="text1"/>
          <w:szCs w:val="20"/>
        </w:rPr>
        <w:t>grant opportunity is anticipated to open by December 2021</w:t>
      </w:r>
      <w:r w:rsidR="00D230E7" w:rsidRPr="002B6717">
        <w:rPr>
          <w:rFonts w:asciiTheme="minorHAnsi" w:hAnsiTheme="minorHAnsi" w:cs="Times New Roman"/>
          <w:color w:val="000000" w:themeColor="text1"/>
          <w:szCs w:val="20"/>
        </w:rPr>
        <w:t>,</w:t>
      </w:r>
      <w:r w:rsidRPr="002B6717">
        <w:rPr>
          <w:rFonts w:asciiTheme="minorHAnsi" w:hAnsiTheme="minorHAnsi" w:cs="Times New Roman"/>
          <w:color w:val="000000" w:themeColor="text1"/>
          <w:szCs w:val="20"/>
        </w:rPr>
        <w:t xml:space="preserve"> with grant expenditure up to $63 million (GST exclusive) for the period of 2022</w:t>
      </w:r>
      <w:r w:rsidR="006D7BFB" w:rsidRPr="002B6717">
        <w:rPr>
          <w:rFonts w:asciiTheme="minorHAnsi" w:hAnsiTheme="minorHAnsi" w:cs="Times New Roman"/>
          <w:color w:val="000000" w:themeColor="text1"/>
          <w:szCs w:val="20"/>
        </w:rPr>
        <w:t>–</w:t>
      </w:r>
      <w:r w:rsidRPr="002B6717">
        <w:rPr>
          <w:rFonts w:asciiTheme="minorHAnsi" w:hAnsiTheme="minorHAnsi" w:cs="Times New Roman"/>
          <w:color w:val="000000" w:themeColor="text1"/>
          <w:szCs w:val="20"/>
        </w:rPr>
        <w:t xml:space="preserve">23 to </w:t>
      </w:r>
    </w:p>
    <w:p w14:paraId="2D525D66" w14:textId="75260194" w:rsidR="008A0B8D" w:rsidRPr="00BC68CA" w:rsidRDefault="008A0B8D" w:rsidP="002B6717">
      <w:pPr>
        <w:pStyle w:val="ListParagraph"/>
        <w:spacing w:line="280" w:lineRule="atLeast"/>
        <w:ind w:left="425"/>
        <w:rPr>
          <w:rFonts w:asciiTheme="minorHAnsi" w:hAnsiTheme="minorHAnsi" w:cs="Times New Roman"/>
          <w:color w:val="000000" w:themeColor="text1"/>
          <w:szCs w:val="20"/>
        </w:rPr>
      </w:pPr>
      <w:r w:rsidRPr="00BC68CA">
        <w:rPr>
          <w:rFonts w:asciiTheme="minorHAnsi" w:hAnsiTheme="minorHAnsi" w:cs="Times New Roman"/>
          <w:color w:val="000000" w:themeColor="text1"/>
          <w:szCs w:val="20"/>
        </w:rPr>
        <w:t>2026</w:t>
      </w:r>
      <w:r w:rsidR="006D7BFB">
        <w:rPr>
          <w:rFonts w:asciiTheme="minorHAnsi" w:hAnsiTheme="minorHAnsi" w:cs="Times New Roman"/>
          <w:color w:val="000000" w:themeColor="text1"/>
          <w:szCs w:val="20"/>
        </w:rPr>
        <w:t>–</w:t>
      </w:r>
      <w:r w:rsidRPr="00BC68CA">
        <w:rPr>
          <w:rFonts w:asciiTheme="minorHAnsi" w:hAnsiTheme="minorHAnsi" w:cs="Times New Roman"/>
          <w:color w:val="000000" w:themeColor="text1"/>
          <w:szCs w:val="20"/>
        </w:rPr>
        <w:t xml:space="preserve">27. The SARC Activity Inclusive Communities Grants are </w:t>
      </w:r>
      <w:r w:rsidR="00D230E7" w:rsidRPr="00BC68CA">
        <w:rPr>
          <w:rFonts w:asciiTheme="minorHAnsi" w:hAnsiTheme="minorHAnsi" w:cs="Times New Roman"/>
          <w:color w:val="000000" w:themeColor="text1"/>
          <w:szCs w:val="20"/>
        </w:rPr>
        <w:t>for</w:t>
      </w:r>
      <w:r w:rsidRPr="00BC68CA">
        <w:rPr>
          <w:rFonts w:asciiTheme="minorHAnsi" w:hAnsiTheme="minorHAnsi" w:cs="Times New Roman"/>
          <w:color w:val="000000" w:themeColor="text1"/>
          <w:szCs w:val="20"/>
        </w:rPr>
        <w:t xml:space="preserve"> building strong, resilient, cohesive and harmonious communities to ensure that individuals, families and communities have the opportunity to thrive and are not focused on supporting CDC participants or confined to any particular geographic locations.</w:t>
      </w:r>
    </w:p>
    <w:p w14:paraId="265F031B" w14:textId="69D1D3EE" w:rsidR="00CC1B7B" w:rsidRPr="006D7BFB" w:rsidRDefault="00CC1B7B" w:rsidP="00046AC0">
      <w:pPr>
        <w:pStyle w:val="Heading2"/>
        <w:numPr>
          <w:ilvl w:val="0"/>
          <w:numId w:val="6"/>
        </w:numPr>
        <w:ind w:left="426" w:hanging="426"/>
        <w:rPr>
          <w:rFonts w:eastAsia="Calibri" w:cstheme="majorHAnsi"/>
          <w:szCs w:val="24"/>
        </w:rPr>
      </w:pPr>
      <w:r w:rsidRPr="006D7BFB">
        <w:rPr>
          <w:rFonts w:eastAsia="Calibri" w:cstheme="majorHAnsi"/>
          <w:szCs w:val="24"/>
        </w:rPr>
        <w:t>What is the closing time and date for applications?</w:t>
      </w:r>
    </w:p>
    <w:p w14:paraId="2606F8E7" w14:textId="76AAB817" w:rsidR="00CC1B7B" w:rsidRPr="00660F7F" w:rsidRDefault="00CC1B7B" w:rsidP="00D27746">
      <w:pPr>
        <w:ind w:left="426"/>
        <w:rPr>
          <w:lang w:val="en" w:eastAsia="en-AU"/>
        </w:rPr>
      </w:pPr>
      <w:r w:rsidRPr="00D27746">
        <w:t>The</w:t>
      </w:r>
      <w:r w:rsidRPr="00660F7F">
        <w:rPr>
          <w:lang w:val="en" w:eastAsia="en-AU"/>
        </w:rPr>
        <w:t xml:space="preserve"> </w:t>
      </w:r>
      <w:r w:rsidR="00411760">
        <w:rPr>
          <w:lang w:val="en" w:eastAsia="en-AU"/>
        </w:rPr>
        <w:t>a</w:t>
      </w:r>
      <w:r w:rsidRPr="00660F7F">
        <w:rPr>
          <w:lang w:val="en" w:eastAsia="en-AU"/>
        </w:rPr>
        <w:t xml:space="preserve">pplication </w:t>
      </w:r>
      <w:r w:rsidR="00411760">
        <w:rPr>
          <w:lang w:val="en" w:eastAsia="en-AU"/>
        </w:rPr>
        <w:t>f</w:t>
      </w:r>
      <w:r w:rsidRPr="00660F7F">
        <w:rPr>
          <w:lang w:val="en" w:eastAsia="en-AU"/>
        </w:rPr>
        <w:t xml:space="preserve">orm must be submitted by </w:t>
      </w:r>
      <w:r w:rsidR="00BB1C50">
        <w:rPr>
          <w:b/>
          <w:lang w:val="en" w:eastAsia="en-AU"/>
        </w:rPr>
        <w:t>9</w:t>
      </w:r>
      <w:r w:rsidR="006D7BFB">
        <w:rPr>
          <w:b/>
          <w:lang w:val="en" w:eastAsia="en-AU"/>
        </w:rPr>
        <w:t>:</w:t>
      </w:r>
      <w:r w:rsidRPr="00660F7F">
        <w:rPr>
          <w:b/>
          <w:lang w:val="en" w:eastAsia="en-AU"/>
        </w:rPr>
        <w:t>00</w:t>
      </w:r>
      <w:r w:rsidR="006D7BFB">
        <w:rPr>
          <w:b/>
          <w:lang w:val="en" w:eastAsia="en-AU"/>
        </w:rPr>
        <w:t xml:space="preserve"> </w:t>
      </w:r>
      <w:r w:rsidRPr="00660F7F">
        <w:rPr>
          <w:b/>
          <w:lang w:val="en" w:eastAsia="en-AU"/>
        </w:rPr>
        <w:t xml:space="preserve">pm </w:t>
      </w:r>
      <w:r w:rsidR="00BA6326" w:rsidRPr="00BA6326">
        <w:rPr>
          <w:b/>
          <w:lang w:val="en" w:eastAsia="en-AU"/>
        </w:rPr>
        <w:t>AEDT</w:t>
      </w:r>
      <w:r w:rsidRPr="00660F7F">
        <w:rPr>
          <w:lang w:val="en" w:eastAsia="en-AU"/>
        </w:rPr>
        <w:t xml:space="preserve"> </w:t>
      </w:r>
      <w:r w:rsidRPr="00660F7F">
        <w:rPr>
          <w:b/>
          <w:lang w:val="en" w:eastAsia="en-AU"/>
        </w:rPr>
        <w:t xml:space="preserve">on </w:t>
      </w:r>
      <w:r w:rsidR="00CB2E65" w:rsidRPr="00CB0CB5">
        <w:rPr>
          <w:b/>
          <w:lang w:val="en" w:eastAsia="en-AU"/>
        </w:rPr>
        <w:t>Monday</w:t>
      </w:r>
      <w:r w:rsidRPr="00CB0CB5">
        <w:rPr>
          <w:b/>
          <w:lang w:val="en" w:eastAsia="en-AU"/>
        </w:rPr>
        <w:t xml:space="preserve"> </w:t>
      </w:r>
      <w:r w:rsidR="009A4FC5" w:rsidRPr="00CB0CB5">
        <w:rPr>
          <w:b/>
          <w:lang w:val="en" w:eastAsia="en-AU"/>
        </w:rPr>
        <w:t>25</w:t>
      </w:r>
      <w:r w:rsidR="00A95273" w:rsidRPr="00CB0CB5">
        <w:rPr>
          <w:b/>
          <w:lang w:val="en" w:eastAsia="en-AU"/>
        </w:rPr>
        <w:t xml:space="preserve"> </w:t>
      </w:r>
      <w:r w:rsidR="00567836" w:rsidRPr="00CB0CB5">
        <w:rPr>
          <w:b/>
          <w:lang w:val="en" w:eastAsia="en-AU"/>
        </w:rPr>
        <w:t>October</w:t>
      </w:r>
      <w:r w:rsidRPr="00CB0CB5">
        <w:rPr>
          <w:b/>
          <w:lang w:val="en" w:eastAsia="en-AU"/>
        </w:rPr>
        <w:t> 20</w:t>
      </w:r>
      <w:r w:rsidR="00567836" w:rsidRPr="00CB0CB5">
        <w:rPr>
          <w:b/>
          <w:lang w:val="en" w:eastAsia="en-AU"/>
        </w:rPr>
        <w:t>21</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6D7BFB" w:rsidRDefault="00CC1B7B" w:rsidP="00046AC0">
      <w:pPr>
        <w:pStyle w:val="Heading2"/>
        <w:numPr>
          <w:ilvl w:val="0"/>
          <w:numId w:val="6"/>
        </w:numPr>
        <w:ind w:left="426" w:hanging="426"/>
        <w:rPr>
          <w:rFonts w:eastAsia="Calibri" w:cstheme="majorHAnsi"/>
          <w:szCs w:val="24"/>
        </w:rPr>
      </w:pPr>
      <w:r w:rsidRPr="006D7BFB">
        <w:rPr>
          <w:rFonts w:eastAsia="Calibri" w:cstheme="majorHAnsi"/>
          <w:szCs w:val="24"/>
        </w:rPr>
        <w:lastRenderedPageBreak/>
        <w:t>If I am not able to submit my application by the due time and date, can I be granted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77777777"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28082BA5" w14:textId="0F34C588" w:rsidR="00CC1B7B" w:rsidRPr="006D7BFB" w:rsidRDefault="00CC1B7B" w:rsidP="00046AC0">
      <w:pPr>
        <w:pStyle w:val="Heading2"/>
        <w:numPr>
          <w:ilvl w:val="0"/>
          <w:numId w:val="6"/>
        </w:numPr>
        <w:ind w:left="426" w:hanging="426"/>
        <w:rPr>
          <w:rFonts w:eastAsia="Calibri" w:cstheme="majorHAnsi"/>
          <w:szCs w:val="24"/>
        </w:rPr>
      </w:pPr>
      <w:r w:rsidRPr="006D7BFB">
        <w:rPr>
          <w:rFonts w:eastAsia="Calibri" w:cstheme="majorHAnsi"/>
          <w:szCs w:val="24"/>
        </w:rPr>
        <w:t xml:space="preserve">How much funding is available for this </w:t>
      </w:r>
      <w:r w:rsidR="005E7CDA" w:rsidRPr="006D7BFB">
        <w:rPr>
          <w:rFonts w:eastAsia="Calibri" w:cstheme="majorHAnsi"/>
          <w:szCs w:val="24"/>
        </w:rPr>
        <w:t>grant opportunity</w:t>
      </w:r>
      <w:r w:rsidRPr="006D7BFB">
        <w:rPr>
          <w:rFonts w:eastAsia="Calibri" w:cstheme="majorHAnsi"/>
          <w:szCs w:val="24"/>
        </w:rPr>
        <w:t>?</w:t>
      </w:r>
    </w:p>
    <w:p w14:paraId="039EFB37" w14:textId="31C179BE" w:rsidR="00235946" w:rsidRPr="00235946" w:rsidRDefault="00235946" w:rsidP="00235946">
      <w:pPr>
        <w:ind w:left="426"/>
        <w:rPr>
          <w:color w:val="000000" w:themeColor="text1"/>
        </w:rPr>
      </w:pPr>
      <w:r w:rsidRPr="00235946">
        <w:rPr>
          <w:color w:val="000000" w:themeColor="text1"/>
        </w:rPr>
        <w:t>The Australian Government has announced a total of up to $3</w:t>
      </w:r>
      <w:r w:rsidR="00AF3C53">
        <w:rPr>
          <w:color w:val="000000" w:themeColor="text1"/>
        </w:rPr>
        <w:t>1.1</w:t>
      </w:r>
      <w:r w:rsidRPr="00235946">
        <w:rPr>
          <w:color w:val="000000" w:themeColor="text1"/>
        </w:rPr>
        <w:t xml:space="preserve"> million (GST exclusive) over </w:t>
      </w:r>
      <w:r w:rsidR="006D7BFB">
        <w:rPr>
          <w:color w:val="000000" w:themeColor="text1"/>
        </w:rPr>
        <w:t>2</w:t>
      </w:r>
      <w:r w:rsidR="006D7BFB" w:rsidRPr="00235946">
        <w:rPr>
          <w:color w:val="000000" w:themeColor="text1"/>
        </w:rPr>
        <w:t xml:space="preserve"> </w:t>
      </w:r>
      <w:r w:rsidRPr="00235946">
        <w:rPr>
          <w:color w:val="000000" w:themeColor="text1"/>
        </w:rPr>
        <w:t xml:space="preserve">years for the Strong and Resilient Communities Activity – CDC Support Services </w:t>
      </w:r>
      <w:r w:rsidR="005E7CDA">
        <w:rPr>
          <w:color w:val="000000" w:themeColor="text1"/>
        </w:rPr>
        <w:t>grant opportunity</w:t>
      </w:r>
      <w:r w:rsidRPr="00235946">
        <w:rPr>
          <w:color w:val="000000" w:themeColor="text1"/>
        </w:rPr>
        <w:t>.</w:t>
      </w:r>
    </w:p>
    <w:p w14:paraId="13455CF1" w14:textId="51FC37D8" w:rsidR="00CC1B7B" w:rsidRPr="006D7BFB" w:rsidRDefault="00CC1B7B" w:rsidP="00046AC0">
      <w:pPr>
        <w:pStyle w:val="Heading2"/>
        <w:numPr>
          <w:ilvl w:val="0"/>
          <w:numId w:val="6"/>
        </w:numPr>
        <w:ind w:left="426" w:hanging="426"/>
        <w:rPr>
          <w:rFonts w:eastAsia="Calibri" w:cstheme="majorHAnsi"/>
          <w:szCs w:val="24"/>
        </w:rPr>
      </w:pPr>
      <w:r w:rsidRPr="006D7BFB">
        <w:rPr>
          <w:rFonts w:eastAsia="Calibri" w:cstheme="majorHAnsi"/>
          <w:szCs w:val="24"/>
        </w:rPr>
        <w:t xml:space="preserve">Is the funding </w:t>
      </w:r>
      <w:r w:rsidR="00235946" w:rsidRPr="006D7BFB">
        <w:rPr>
          <w:rFonts w:eastAsia="Calibri" w:cstheme="majorHAnsi"/>
          <w:szCs w:val="24"/>
        </w:rPr>
        <w:t>on going</w:t>
      </w:r>
      <w:r w:rsidRPr="006D7BFB">
        <w:rPr>
          <w:rFonts w:eastAsia="Calibri" w:cstheme="majorHAnsi"/>
          <w:szCs w:val="24"/>
        </w:rPr>
        <w:t>?</w:t>
      </w:r>
    </w:p>
    <w:p w14:paraId="670B323C" w14:textId="003B3DDF" w:rsidR="00E94149" w:rsidRPr="00235946" w:rsidRDefault="00235946" w:rsidP="00046AC0">
      <w:pPr>
        <w:ind w:left="426"/>
        <w:rPr>
          <w:color w:val="000000" w:themeColor="text1"/>
        </w:rPr>
      </w:pPr>
      <w:r w:rsidRPr="00CB356F">
        <w:t xml:space="preserve">This grant opportunity </w:t>
      </w:r>
      <w:r>
        <w:t>seeks applications for projects to be delivered</w:t>
      </w:r>
      <w:r w:rsidRPr="00CB356F">
        <w:t xml:space="preserve"> from </w:t>
      </w:r>
      <w:r>
        <w:t>February</w:t>
      </w:r>
      <w:r w:rsidRPr="00E20901">
        <w:t xml:space="preserve"> 2022 to</w:t>
      </w:r>
      <w:r w:rsidR="006D7BFB">
        <w:t xml:space="preserve"> </w:t>
      </w:r>
      <w:r w:rsidR="006D7BFB">
        <w:br/>
      </w:r>
      <w:r>
        <w:t xml:space="preserve">30 June 2023 with the possibility of a </w:t>
      </w:r>
      <w:r w:rsidR="00E03A88">
        <w:t xml:space="preserve">2 </w:t>
      </w:r>
      <w:r>
        <w:t>year extension.</w:t>
      </w:r>
    </w:p>
    <w:p w14:paraId="339319D7" w14:textId="77777777" w:rsidR="00CC1B7B" w:rsidRPr="006D7BFB" w:rsidRDefault="00CC1B7B" w:rsidP="00046AC0">
      <w:pPr>
        <w:pStyle w:val="Heading2"/>
        <w:numPr>
          <w:ilvl w:val="0"/>
          <w:numId w:val="6"/>
        </w:numPr>
        <w:ind w:left="426" w:hanging="426"/>
        <w:rPr>
          <w:rFonts w:eastAsia="Calibri" w:cstheme="majorHAnsi"/>
          <w:szCs w:val="24"/>
        </w:rPr>
      </w:pPr>
      <w:r w:rsidRPr="006D7BFB">
        <w:rPr>
          <w:rFonts w:eastAsia="Calibri" w:cstheme="majorHAnsi"/>
          <w:szCs w:val="24"/>
        </w:rPr>
        <w:t>When will I know the outcome of my application?</w:t>
      </w:r>
    </w:p>
    <w:p w14:paraId="2D53121E" w14:textId="7BC134E7" w:rsidR="00CC1B7B" w:rsidRDefault="00CC1B7B" w:rsidP="00046AC0">
      <w:pPr>
        <w:ind w:left="426"/>
        <w:rPr>
          <w:lang w:eastAsia="en-AU"/>
        </w:rPr>
      </w:pPr>
      <w:r w:rsidRPr="00496141">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66EAC789" w14:textId="77777777" w:rsidR="00CC1B7B" w:rsidRPr="006D7BFB" w:rsidRDefault="00CC1B7B" w:rsidP="00046AC0">
      <w:pPr>
        <w:pStyle w:val="Heading2"/>
        <w:numPr>
          <w:ilvl w:val="0"/>
          <w:numId w:val="6"/>
        </w:numPr>
        <w:ind w:left="426" w:hanging="426"/>
        <w:rPr>
          <w:rFonts w:eastAsia="Calibri" w:cstheme="majorHAnsi"/>
          <w:szCs w:val="24"/>
        </w:rPr>
      </w:pPr>
      <w:r w:rsidRPr="006D7BFB">
        <w:rPr>
          <w:rFonts w:eastAsia="Calibri" w:cstheme="majorHAnsi"/>
          <w:szCs w:val="24"/>
        </w:rPr>
        <w:t>How can I submit the Application Form?</w:t>
      </w:r>
    </w:p>
    <w:p w14:paraId="72EB97C5" w14:textId="590E7DEC" w:rsidR="006A7FB8" w:rsidRPr="00046AC0" w:rsidRDefault="00CC1B7B" w:rsidP="00677451">
      <w:pPr>
        <w:ind w:left="426"/>
        <w:rPr>
          <w:lang w:eastAsia="en-AU"/>
        </w:rPr>
      </w:pPr>
      <w:r w:rsidRPr="00046AC0">
        <w:rPr>
          <w:lang w:eastAsia="en-AU"/>
        </w:rPr>
        <w:t xml:space="preserve">The form is an online Application Form that you must submit electronically. The Community Grants Hub will not provide application forms or accept application forms for this grant opportunity by fax, email or through Australia Post unless otherwise stated in the </w:t>
      </w:r>
      <w:r w:rsidR="00B24520">
        <w:rPr>
          <w:lang w:eastAsia="en-AU"/>
        </w:rPr>
        <w:t>g</w:t>
      </w:r>
      <w:r w:rsidRPr="00046AC0">
        <w:rPr>
          <w:lang w:eastAsia="en-AU"/>
        </w:rPr>
        <w:t xml:space="preserve">rant </w:t>
      </w:r>
      <w:r w:rsidR="00B24520">
        <w:rPr>
          <w:lang w:eastAsia="en-AU"/>
        </w:rPr>
        <w:t>o</w:t>
      </w:r>
      <w:r w:rsidRPr="00046AC0">
        <w:rPr>
          <w:lang w:eastAsia="en-AU"/>
        </w:rPr>
        <w:t xml:space="preserve">pportunity </w:t>
      </w:r>
      <w:r w:rsidR="00B24520">
        <w:rPr>
          <w:lang w:eastAsia="en-AU"/>
        </w:rPr>
        <w:t>d</w:t>
      </w:r>
      <w:r w:rsidRPr="00046AC0">
        <w:rPr>
          <w:lang w:eastAsia="en-AU"/>
        </w:rPr>
        <w:t>ocuments</w:t>
      </w:r>
      <w:r w:rsidR="00006597">
        <w:rPr>
          <w:lang w:eastAsia="en-AU"/>
        </w:rPr>
        <w:t>.</w:t>
      </w:r>
    </w:p>
    <w:p w14:paraId="0BD0F5F6" w14:textId="0D49BD8B" w:rsidR="00046AC0" w:rsidRPr="006D7BFB" w:rsidRDefault="00046AC0" w:rsidP="00046AC0">
      <w:pPr>
        <w:pStyle w:val="Heading2"/>
        <w:numPr>
          <w:ilvl w:val="0"/>
          <w:numId w:val="6"/>
        </w:numPr>
        <w:ind w:left="426" w:hanging="426"/>
        <w:rPr>
          <w:rFonts w:eastAsia="Calibri" w:cstheme="majorHAnsi"/>
          <w:szCs w:val="24"/>
        </w:rPr>
      </w:pPr>
      <w:r w:rsidRPr="006D7BFB">
        <w:rPr>
          <w:rFonts w:eastAsia="Calibri" w:cstheme="majorHAnsi"/>
          <w:szCs w:val="24"/>
        </w:rPr>
        <w:t xml:space="preserve">Do </w:t>
      </w:r>
      <w:r w:rsidR="007D7536" w:rsidRPr="006D7BFB">
        <w:rPr>
          <w:rFonts w:eastAsia="Calibri" w:cstheme="majorHAnsi"/>
          <w:szCs w:val="24"/>
        </w:rPr>
        <w:t>character</w:t>
      </w:r>
      <w:r w:rsidRPr="006D7BFB">
        <w:rPr>
          <w:rFonts w:eastAsia="Calibri" w:cstheme="majorHAnsi"/>
          <w:szCs w:val="24"/>
        </w:rPr>
        <w:t xml:space="preserve"> limits apply to </w:t>
      </w:r>
      <w:r w:rsidR="007D7536" w:rsidRPr="006D7BFB">
        <w:rPr>
          <w:rFonts w:eastAsia="Calibri" w:cstheme="majorHAnsi"/>
          <w:szCs w:val="24"/>
        </w:rPr>
        <w:t>my application</w:t>
      </w:r>
      <w:r w:rsidRPr="006D7BFB">
        <w:rPr>
          <w:rFonts w:eastAsia="Calibri" w:cstheme="majorHAnsi"/>
          <w:szCs w:val="24"/>
        </w:rPr>
        <w:t xml:space="preserve">? </w:t>
      </w:r>
    </w:p>
    <w:p w14:paraId="6A7897AF" w14:textId="09EC45DD" w:rsidR="00046AC0" w:rsidRPr="002B6717" w:rsidRDefault="00046AC0" w:rsidP="002B6717">
      <w:pPr>
        <w:pStyle w:val="BodyText"/>
        <w:ind w:left="426"/>
        <w:rPr>
          <w:b/>
          <w:bCs/>
          <w:lang w:eastAsia="en-AU"/>
        </w:rPr>
      </w:pPr>
      <w:r w:rsidRPr="002B6717">
        <w:rPr>
          <w:lang w:eastAsia="en-AU"/>
        </w:rPr>
        <w:t>Yes, the</w:t>
      </w:r>
      <w:r w:rsidR="007D7536" w:rsidRPr="002B6717">
        <w:rPr>
          <w:lang w:eastAsia="en-AU"/>
        </w:rPr>
        <w:t xml:space="preserve"> application for</w:t>
      </w:r>
      <w:r w:rsidR="00B24520">
        <w:rPr>
          <w:lang w:eastAsia="en-AU"/>
        </w:rPr>
        <w:t>m</w:t>
      </w:r>
      <w:r w:rsidR="007D7536" w:rsidRPr="002B6717">
        <w:rPr>
          <w:lang w:eastAsia="en-AU"/>
        </w:rPr>
        <w:t xml:space="preserve"> includes character limits – up to </w:t>
      </w:r>
      <w:r w:rsidR="00235946" w:rsidRPr="002B6717">
        <w:rPr>
          <w:lang w:eastAsia="en-AU"/>
        </w:rPr>
        <w:t>6000 c</w:t>
      </w:r>
      <w:r w:rsidR="007D7536" w:rsidRPr="002B6717">
        <w:rPr>
          <w:lang w:eastAsia="en-AU"/>
        </w:rPr>
        <w:t>haracters (approx</w:t>
      </w:r>
      <w:r w:rsidR="00B24520">
        <w:rPr>
          <w:lang w:eastAsia="en-AU"/>
        </w:rPr>
        <w:t>imately</w:t>
      </w:r>
      <w:r w:rsidR="007D7536" w:rsidRPr="002B6717">
        <w:rPr>
          <w:lang w:eastAsia="en-AU"/>
        </w:rPr>
        <w:t xml:space="preserve"> </w:t>
      </w:r>
      <w:r w:rsidR="00235946" w:rsidRPr="002B6717">
        <w:rPr>
          <w:lang w:eastAsia="en-AU"/>
        </w:rPr>
        <w:t>900 wo</w:t>
      </w:r>
      <w:r w:rsidR="007D7536" w:rsidRPr="002B6717">
        <w:rPr>
          <w:lang w:eastAsia="en-AU"/>
        </w:rPr>
        <w:t>rds) per assessment criterion. Please note spaces are included in the character limit.</w:t>
      </w:r>
    </w:p>
    <w:p w14:paraId="79E1F6EB" w14:textId="333DBBDF" w:rsidR="00B10911" w:rsidRPr="006A7FB8" w:rsidRDefault="00B10911" w:rsidP="00B10911">
      <w:pPr>
        <w:pStyle w:val="Heading2"/>
        <w:numPr>
          <w:ilvl w:val="0"/>
          <w:numId w:val="6"/>
        </w:numPr>
        <w:ind w:left="426" w:hanging="426"/>
        <w:rPr>
          <w:rFonts w:eastAsia="Calibri" w:cstheme="majorHAnsi"/>
          <w:szCs w:val="24"/>
        </w:rPr>
      </w:pPr>
      <w:r w:rsidRPr="006D7BFB">
        <w:rPr>
          <w:rFonts w:eastAsia="Calibri" w:cstheme="majorHAnsi"/>
          <w:szCs w:val="24"/>
        </w:rPr>
        <w:t>Does my organisation need to be located and operating in</w:t>
      </w:r>
      <w:r w:rsidR="00CB0CB5" w:rsidRPr="006D7BFB">
        <w:rPr>
          <w:rFonts w:eastAsia="Calibri" w:cstheme="majorHAnsi"/>
          <w:szCs w:val="24"/>
        </w:rPr>
        <w:t xml:space="preserve"> </w:t>
      </w:r>
      <w:r w:rsidR="004D5492" w:rsidRPr="006D7BFB">
        <w:rPr>
          <w:rFonts w:eastAsia="Calibri" w:cstheme="majorHAnsi"/>
          <w:szCs w:val="24"/>
        </w:rPr>
        <w:t>the</w:t>
      </w:r>
      <w:r w:rsidRPr="006D7BFB">
        <w:rPr>
          <w:rFonts w:eastAsia="Calibri" w:cstheme="majorHAnsi"/>
          <w:szCs w:val="24"/>
        </w:rPr>
        <w:t xml:space="preserve"> </w:t>
      </w:r>
      <w:r w:rsidR="00A95273" w:rsidRPr="006D7BFB">
        <w:rPr>
          <w:rFonts w:eastAsia="Calibri" w:cstheme="majorHAnsi"/>
          <w:szCs w:val="24"/>
        </w:rPr>
        <w:t xml:space="preserve">CDC </w:t>
      </w:r>
      <w:r w:rsidR="00CB0CB5" w:rsidRPr="006D7BFB">
        <w:rPr>
          <w:rFonts w:eastAsia="Calibri" w:cstheme="majorHAnsi"/>
          <w:szCs w:val="24"/>
        </w:rPr>
        <w:t>site</w:t>
      </w:r>
      <w:r w:rsidR="004D5492" w:rsidRPr="006A7FB8">
        <w:rPr>
          <w:rFonts w:eastAsia="Calibri" w:cstheme="majorHAnsi"/>
          <w:szCs w:val="24"/>
        </w:rPr>
        <w:t>s</w:t>
      </w:r>
      <w:r w:rsidR="00CB0CB5" w:rsidRPr="006A7FB8">
        <w:rPr>
          <w:rFonts w:eastAsia="Calibri" w:cstheme="majorHAnsi"/>
          <w:szCs w:val="24"/>
        </w:rPr>
        <w:t xml:space="preserve"> of </w:t>
      </w:r>
      <w:r w:rsidR="00A95273" w:rsidRPr="006A7FB8">
        <w:rPr>
          <w:rFonts w:cstheme="majorHAnsi"/>
          <w:szCs w:val="24"/>
        </w:rPr>
        <w:t>Ceduna in South Australia; East Kimberley and the Goldfields in Western Australia; Bundaberg and Hervey Bay in Queensland; and in the Northern Territory (NT)</w:t>
      </w:r>
      <w:r w:rsidRPr="006A7FB8">
        <w:rPr>
          <w:rFonts w:eastAsia="Calibri" w:cstheme="majorHAnsi"/>
          <w:szCs w:val="24"/>
        </w:rPr>
        <w:t xml:space="preserve">? </w:t>
      </w:r>
    </w:p>
    <w:p w14:paraId="71254714" w14:textId="4F0FF137" w:rsidR="00B10911" w:rsidRPr="002B6717" w:rsidRDefault="00A95273" w:rsidP="002B6717">
      <w:pPr>
        <w:pStyle w:val="BodyText"/>
        <w:spacing w:after="200"/>
        <w:ind w:left="426"/>
        <w:rPr>
          <w:b/>
          <w:bCs/>
        </w:rPr>
      </w:pPr>
      <w:r w:rsidRPr="002B6717">
        <w:t>To</w:t>
      </w:r>
      <w:r w:rsidR="00B10911" w:rsidRPr="002B6717">
        <w:t xml:space="preserve"> be eligible to receive funding under the SARC CDC Support Services grant opportunity</w:t>
      </w:r>
      <w:r w:rsidR="00BA35FF" w:rsidRPr="002B6717">
        <w:t>,</w:t>
      </w:r>
      <w:r w:rsidR="00B10911" w:rsidRPr="002B6717">
        <w:t xml:space="preserve"> organisations need to be </w:t>
      </w:r>
      <w:r w:rsidRPr="002B6717">
        <w:t>currently operating or have the capacity to operate in CDC locations and currently deliver services in regional and remote Australia.</w:t>
      </w:r>
    </w:p>
    <w:p w14:paraId="743B1BC8" w14:textId="3D1DB5CB" w:rsidR="00B10911" w:rsidRPr="006A7FB8" w:rsidRDefault="00B10911" w:rsidP="00B10911">
      <w:pPr>
        <w:pStyle w:val="Heading2"/>
        <w:numPr>
          <w:ilvl w:val="0"/>
          <w:numId w:val="6"/>
        </w:numPr>
        <w:ind w:left="426" w:hanging="426"/>
        <w:rPr>
          <w:rFonts w:eastAsia="Calibri" w:cstheme="majorHAnsi"/>
          <w:szCs w:val="24"/>
        </w:rPr>
      </w:pPr>
      <w:r w:rsidRPr="006D7BFB">
        <w:rPr>
          <w:rFonts w:eastAsia="Calibri" w:cstheme="majorHAnsi"/>
          <w:szCs w:val="24"/>
        </w:rPr>
        <w:lastRenderedPageBreak/>
        <w:t>Why is the Department of Social Services emphasising the difference between outputs and outcomes for the SARC</w:t>
      </w:r>
      <w:r w:rsidR="00CB2E65" w:rsidRPr="006D7BFB">
        <w:rPr>
          <w:rFonts w:eastAsia="Calibri" w:cstheme="majorHAnsi"/>
          <w:szCs w:val="24"/>
        </w:rPr>
        <w:t xml:space="preserve"> CDC</w:t>
      </w:r>
      <w:r w:rsidRPr="006D7BFB">
        <w:rPr>
          <w:rFonts w:eastAsia="Calibri" w:cstheme="majorHAnsi"/>
          <w:szCs w:val="24"/>
        </w:rPr>
        <w:t xml:space="preserve"> </w:t>
      </w:r>
      <w:r w:rsidR="00F3395F" w:rsidRPr="006D7BFB">
        <w:rPr>
          <w:rFonts w:eastAsia="Calibri" w:cstheme="majorHAnsi"/>
          <w:szCs w:val="24"/>
        </w:rPr>
        <w:t xml:space="preserve">Support Services </w:t>
      </w:r>
      <w:r w:rsidR="00CB2E65" w:rsidRPr="006D7BFB">
        <w:rPr>
          <w:rFonts w:eastAsia="Calibri" w:cstheme="majorHAnsi"/>
          <w:szCs w:val="24"/>
        </w:rPr>
        <w:t>Activity</w:t>
      </w:r>
      <w:r w:rsidRPr="006D7BFB">
        <w:rPr>
          <w:rFonts w:eastAsia="Calibri" w:cstheme="majorHAnsi"/>
          <w:szCs w:val="24"/>
        </w:rPr>
        <w:t>?</w:t>
      </w:r>
    </w:p>
    <w:p w14:paraId="1AA5C949" w14:textId="37D3F534" w:rsidR="00B10911" w:rsidRPr="00B10911" w:rsidRDefault="00B10911" w:rsidP="002B6717">
      <w:pPr>
        <w:pStyle w:val="BodyText"/>
        <w:spacing w:after="200"/>
        <w:ind w:left="426"/>
      </w:pPr>
      <w:r>
        <w:t>The department is interested in understanding what outcomes are being achieved for all funding it administers. The outputs delivered are important. However, the outcomes – the specific benefits and positive change achieved though SARC</w:t>
      </w:r>
      <w:r w:rsidR="00E70157">
        <w:t xml:space="preserve"> CDC</w:t>
      </w:r>
      <w:r>
        <w:t xml:space="preserve"> funding, is equally important. Measureable outcomes achieved tell the department how effective </w:t>
      </w:r>
      <w:r w:rsidR="00AF3C53">
        <w:t>activity</w:t>
      </w:r>
      <w:r>
        <w:t xml:space="preserve"> funding has been.</w:t>
      </w:r>
    </w:p>
    <w:p w14:paraId="6527B249" w14:textId="294FDE02" w:rsidR="00B10911" w:rsidRPr="006A7FB8" w:rsidRDefault="00B10911" w:rsidP="00B10911">
      <w:pPr>
        <w:pStyle w:val="Heading2"/>
        <w:numPr>
          <w:ilvl w:val="0"/>
          <w:numId w:val="6"/>
        </w:numPr>
        <w:ind w:left="426" w:hanging="426"/>
        <w:rPr>
          <w:rFonts w:eastAsia="Calibri" w:cstheme="majorHAnsi"/>
          <w:szCs w:val="24"/>
        </w:rPr>
      </w:pPr>
      <w:r w:rsidRPr="006D7BFB">
        <w:rPr>
          <w:rFonts w:eastAsia="Calibri" w:cstheme="majorHAnsi"/>
          <w:szCs w:val="24"/>
        </w:rPr>
        <w:t xml:space="preserve">Can organisations apply for funding to </w:t>
      </w:r>
      <w:r w:rsidR="002D1B7B" w:rsidRPr="006D7BFB">
        <w:rPr>
          <w:rFonts w:eastAsia="Calibri" w:cstheme="majorHAnsi"/>
          <w:szCs w:val="24"/>
        </w:rPr>
        <w:t>enhance</w:t>
      </w:r>
      <w:r w:rsidRPr="006D7BFB">
        <w:rPr>
          <w:rFonts w:eastAsia="Calibri" w:cstheme="majorHAnsi"/>
          <w:szCs w:val="24"/>
        </w:rPr>
        <w:t xml:space="preserve"> an existing </w:t>
      </w:r>
      <w:r w:rsidR="00AF3C53" w:rsidRPr="006D7BFB">
        <w:rPr>
          <w:rFonts w:eastAsia="Calibri" w:cstheme="majorHAnsi"/>
          <w:szCs w:val="24"/>
        </w:rPr>
        <w:t>activity</w:t>
      </w:r>
      <w:r w:rsidRPr="006D7BFB">
        <w:rPr>
          <w:rFonts w:eastAsia="Calibri" w:cstheme="majorHAnsi"/>
          <w:szCs w:val="24"/>
        </w:rPr>
        <w:t xml:space="preserve"> or project </w:t>
      </w:r>
      <w:r w:rsidR="00C05A89" w:rsidRPr="006D7BFB">
        <w:rPr>
          <w:rFonts w:eastAsia="Calibri" w:cstheme="majorHAnsi"/>
          <w:szCs w:val="24"/>
        </w:rPr>
        <w:t>o</w:t>
      </w:r>
      <w:r w:rsidRPr="006A7FB8">
        <w:rPr>
          <w:rFonts w:eastAsia="Calibri" w:cstheme="majorHAnsi"/>
          <w:szCs w:val="24"/>
        </w:rPr>
        <w:t>r is it exclusively for brand new projects?</w:t>
      </w:r>
    </w:p>
    <w:p w14:paraId="3CFC6CD0" w14:textId="36824739" w:rsidR="00C05A89" w:rsidRDefault="005E7CDA" w:rsidP="002B6717">
      <w:pPr>
        <w:pStyle w:val="BodyText"/>
        <w:spacing w:after="200"/>
        <w:ind w:left="426"/>
      </w:pPr>
      <w:r>
        <w:t>Yes. You can apply t</w:t>
      </w:r>
      <w:r w:rsidR="00E865D1">
        <w:t xml:space="preserve">o enhance </w:t>
      </w:r>
      <w:r>
        <w:t>an</w:t>
      </w:r>
      <w:r w:rsidR="00EE73B8">
        <w:t xml:space="preserve"> </w:t>
      </w:r>
      <w:r w:rsidR="00E865D1">
        <w:t>e</w:t>
      </w:r>
      <w:r w:rsidR="00B10911">
        <w:t xml:space="preserve">xisting </w:t>
      </w:r>
      <w:r>
        <w:t>activity/project</w:t>
      </w:r>
      <w:r w:rsidR="00B10911">
        <w:t xml:space="preserve"> as well as brand new projects for SARC </w:t>
      </w:r>
      <w:r w:rsidR="00E70157">
        <w:t>CDC</w:t>
      </w:r>
      <w:r w:rsidR="00F3395F">
        <w:t xml:space="preserve"> Support Services</w:t>
      </w:r>
      <w:r w:rsidR="00E70157">
        <w:t xml:space="preserve"> </w:t>
      </w:r>
      <w:r w:rsidR="00B10911">
        <w:t>funding.</w:t>
      </w:r>
    </w:p>
    <w:p w14:paraId="5B3AC8DC" w14:textId="13996376" w:rsidR="00F76080" w:rsidRPr="006D7BFB" w:rsidRDefault="00F76080" w:rsidP="00F76080">
      <w:pPr>
        <w:pStyle w:val="Heading2"/>
        <w:numPr>
          <w:ilvl w:val="0"/>
          <w:numId w:val="6"/>
        </w:numPr>
        <w:ind w:left="426" w:hanging="426"/>
        <w:rPr>
          <w:rFonts w:eastAsia="Calibri" w:cstheme="majorHAnsi"/>
          <w:szCs w:val="24"/>
        </w:rPr>
      </w:pPr>
      <w:r w:rsidRPr="006D7BFB">
        <w:rPr>
          <w:rFonts w:eastAsia="Calibri" w:cstheme="majorHAnsi"/>
          <w:szCs w:val="24"/>
        </w:rPr>
        <w:t xml:space="preserve">Can organisations apply for funding for a project that has already been funded by the Government for example </w:t>
      </w:r>
      <w:proofErr w:type="spellStart"/>
      <w:r w:rsidRPr="006D7BFB">
        <w:rPr>
          <w:rFonts w:eastAsia="Calibri" w:cstheme="majorHAnsi"/>
          <w:szCs w:val="24"/>
        </w:rPr>
        <w:t>Jobactive</w:t>
      </w:r>
      <w:proofErr w:type="spellEnd"/>
      <w:r w:rsidRPr="006D7BFB">
        <w:rPr>
          <w:rFonts w:eastAsia="Calibri" w:cstheme="majorHAnsi"/>
          <w:szCs w:val="24"/>
        </w:rPr>
        <w:t>, Disability Employment Service?</w:t>
      </w:r>
    </w:p>
    <w:p w14:paraId="2C4892E3" w14:textId="5A248376" w:rsidR="00F76080" w:rsidRDefault="00F76080" w:rsidP="002B6717">
      <w:pPr>
        <w:pStyle w:val="BodyText"/>
        <w:spacing w:after="200"/>
        <w:ind w:left="426"/>
      </w:pPr>
      <w:r>
        <w:t>No.</w:t>
      </w:r>
      <w:r w:rsidR="00E865D1">
        <w:t xml:space="preserve"> We cannot provide a grant if you have received funding from another government source for the same purpose.</w:t>
      </w:r>
    </w:p>
    <w:p w14:paraId="3009031D" w14:textId="5781CFD3" w:rsidR="00C05A89" w:rsidRPr="006D7BFB" w:rsidRDefault="00C05A89" w:rsidP="00C05A89">
      <w:pPr>
        <w:pStyle w:val="Heading2"/>
        <w:numPr>
          <w:ilvl w:val="0"/>
          <w:numId w:val="6"/>
        </w:numPr>
        <w:ind w:left="426" w:hanging="426"/>
        <w:rPr>
          <w:rFonts w:eastAsia="Calibri" w:cstheme="majorHAnsi"/>
          <w:szCs w:val="24"/>
        </w:rPr>
      </w:pPr>
      <w:r w:rsidRPr="002B6717">
        <w:rPr>
          <w:rFonts w:cstheme="majorHAnsi"/>
          <w:szCs w:val="24"/>
        </w:rPr>
        <w:t xml:space="preserve">Can organisations propose projects that operate through partnerships and/or consortia? </w:t>
      </w:r>
    </w:p>
    <w:p w14:paraId="64C94879" w14:textId="0A7B5504" w:rsidR="00C05A89" w:rsidRDefault="00C05A89" w:rsidP="002B6717">
      <w:pPr>
        <w:pStyle w:val="BodyText"/>
        <w:spacing w:after="200"/>
        <w:ind w:left="426"/>
      </w:pPr>
      <w:r w:rsidRPr="00C05A89">
        <w:t xml:space="preserve">Project proposals that operate through various partnership and/or consortia models may be considered for SARC </w:t>
      </w:r>
      <w:r w:rsidR="00E70157">
        <w:t>CDC</w:t>
      </w:r>
      <w:r w:rsidR="00F3395F">
        <w:t xml:space="preserve"> Support Services</w:t>
      </w:r>
      <w:r w:rsidR="00E70157">
        <w:t xml:space="preserve"> </w:t>
      </w:r>
      <w:r w:rsidRPr="00C05A89">
        <w:t xml:space="preserve">funding. </w:t>
      </w:r>
      <w:r w:rsidR="00632A29">
        <w:t xml:space="preserve">In these circumstances, you </w:t>
      </w:r>
      <w:r w:rsidR="00632A29" w:rsidRPr="00B72EE8">
        <w:t xml:space="preserve">must appoint a </w:t>
      </w:r>
      <w:r w:rsidR="00632A29">
        <w:t>‘</w:t>
      </w:r>
      <w:r w:rsidR="00632A29" w:rsidRPr="00B72EE8">
        <w:t xml:space="preserve">lead </w:t>
      </w:r>
      <w:r w:rsidR="00632A29">
        <w:t>organisation’</w:t>
      </w:r>
      <w:r w:rsidR="00632A29" w:rsidRPr="00B72EE8">
        <w:t>.</w:t>
      </w:r>
    </w:p>
    <w:p w14:paraId="61FAE80A" w14:textId="3C44A14D" w:rsidR="00C05A89" w:rsidRPr="002B6717" w:rsidRDefault="00C05A89" w:rsidP="00E7231A">
      <w:pPr>
        <w:pStyle w:val="Heading2"/>
        <w:numPr>
          <w:ilvl w:val="0"/>
          <w:numId w:val="6"/>
        </w:numPr>
        <w:ind w:left="426" w:hanging="426"/>
        <w:rPr>
          <w:rFonts w:cstheme="majorHAnsi"/>
          <w:szCs w:val="24"/>
        </w:rPr>
      </w:pPr>
      <w:r w:rsidRPr="002B6717">
        <w:rPr>
          <w:rFonts w:cstheme="majorHAnsi"/>
          <w:szCs w:val="24"/>
        </w:rPr>
        <w:t xml:space="preserve">Will reporting under the Data Exchange allow sufficient insights into benefits for individuals level changes or are the results going to be aggregated up to the group cohort level? </w:t>
      </w:r>
    </w:p>
    <w:p w14:paraId="6B7B4D58" w14:textId="0AEFDD7E" w:rsidR="00C05A89" w:rsidRPr="004D5492" w:rsidRDefault="00C05A89" w:rsidP="002B6717">
      <w:pPr>
        <w:pStyle w:val="BodyText"/>
        <w:spacing w:after="200"/>
        <w:ind w:left="426"/>
      </w:pPr>
      <w:r w:rsidRPr="00C05A89">
        <w:t xml:space="preserve">The SARC </w:t>
      </w:r>
      <w:r w:rsidR="00E70157">
        <w:t xml:space="preserve">CDC </w:t>
      </w:r>
      <w:r w:rsidR="00F3395F">
        <w:t xml:space="preserve">Support Services </w:t>
      </w:r>
      <w:r w:rsidR="00E70157">
        <w:t xml:space="preserve">grant opportunity </w:t>
      </w:r>
      <w:r w:rsidRPr="00C05A89">
        <w:t xml:space="preserve">will mandate the Data Exchange (DEX) Partnership Approach. As part of the Partnership Approach, organisations will gain access to a number of additional reports. The DEX Client Outcomes report allows grantees to apply filters and drill down from an aggregate group level to an individual client level, where paired SCORE changes for an individual can be viewed over time. The ‘filter’ feature of the DEX reports allows grantees to find insights at the aggregate level based on client demographics, location, outcome domain, and so on. Additional information on the DEX and reporting requirements will </w:t>
      </w:r>
      <w:r w:rsidRPr="004D5492">
        <w:t>be provided in the Grant Opportunity Guidelines</w:t>
      </w:r>
      <w:r w:rsidR="00E70157" w:rsidRPr="004D5492">
        <w:t>.</w:t>
      </w:r>
    </w:p>
    <w:p w14:paraId="69DAB7A9" w14:textId="129A610F" w:rsidR="004D5492" w:rsidRPr="006D7BFB" w:rsidRDefault="004D5492" w:rsidP="002B6717">
      <w:pPr>
        <w:pStyle w:val="Heading2"/>
        <w:numPr>
          <w:ilvl w:val="0"/>
          <w:numId w:val="6"/>
        </w:numPr>
        <w:ind w:left="425" w:hanging="426"/>
        <w:rPr>
          <w:rFonts w:eastAsia="Calibri" w:cstheme="majorHAnsi"/>
          <w:szCs w:val="24"/>
        </w:rPr>
      </w:pPr>
      <w:r w:rsidRPr="006D7BFB">
        <w:rPr>
          <w:rFonts w:eastAsia="Calibri" w:cstheme="majorHAnsi"/>
          <w:szCs w:val="24"/>
        </w:rPr>
        <w:lastRenderedPageBreak/>
        <w:t>Can I put in a joint application?</w:t>
      </w:r>
    </w:p>
    <w:p w14:paraId="668D26DB" w14:textId="4840F3FF" w:rsidR="004D5492" w:rsidRPr="002B6717" w:rsidRDefault="004D5492" w:rsidP="002B6717">
      <w:pPr>
        <w:pStyle w:val="BodyText"/>
        <w:keepNext/>
        <w:keepLines/>
        <w:spacing w:after="200"/>
        <w:ind w:left="425"/>
      </w:pPr>
      <w:r w:rsidRPr="006D7BFB">
        <w:t>The department will accept these arrangements and will particularly encourage them where an Aboriginal Community Controlled Organisation (ACCO) and non</w:t>
      </w:r>
      <w:r w:rsidRPr="006D7BFB">
        <w:noBreakHyphen/>
        <w:t>Indigenous organisation have a relationship. Organisations that use this kind of partnership arrangement</w:t>
      </w:r>
      <w:r w:rsidR="000419B3" w:rsidRPr="006A7FB8">
        <w:t>s</w:t>
      </w:r>
      <w:r w:rsidRPr="006A7FB8">
        <w:t xml:space="preserve"> should ground their partnership in the APO NT </w:t>
      </w:r>
      <w:hyperlink r:id="rId10" w:history="1">
        <w:r w:rsidRPr="002B6717">
          <w:t>Partnership Principles</w:t>
        </w:r>
      </w:hyperlink>
      <w:r w:rsidRPr="002B6717">
        <w:t>.</w:t>
      </w:r>
    </w:p>
    <w:p w14:paraId="1840839B" w14:textId="37FA4797" w:rsidR="004D5492" w:rsidRPr="002B6717" w:rsidRDefault="004D5492" w:rsidP="002B6717">
      <w:pPr>
        <w:pStyle w:val="BodyText"/>
        <w:spacing w:after="200"/>
        <w:ind w:left="426"/>
        <w:rPr>
          <w:b/>
          <w:bCs/>
        </w:rPr>
      </w:pPr>
      <w:r w:rsidRPr="006D7BFB">
        <w:t>In these circumstances, you must appoint a ‘lead organisation’. Only the lead organisation can submit the application form and enter into a grant agreement with the Commonwealth. The application must identify all other members of the proposed group. The lead organisation will also</w:t>
      </w:r>
      <w:r w:rsidRPr="002B6717">
        <w:t xml:space="preserve"> need to be currently operating or have the capacity to operate in CDC locations and currently deliver services in regional and remote Australia.</w:t>
      </w:r>
    </w:p>
    <w:p w14:paraId="595748CC" w14:textId="7EDD46C3" w:rsidR="004D5492" w:rsidRPr="006D7BFB" w:rsidRDefault="004D5492" w:rsidP="002B6717">
      <w:pPr>
        <w:pStyle w:val="BodyText"/>
        <w:spacing w:after="200"/>
        <w:ind w:left="426"/>
      </w:pPr>
      <w:r w:rsidRPr="006D7BFB">
        <w:t>Where consortia arrangements have been finalised, you must attach a copy of the final arrangement.</w:t>
      </w:r>
    </w:p>
    <w:p w14:paraId="0490AD0E" w14:textId="0F0DC43F" w:rsidR="004D5492" w:rsidRDefault="004D5492" w:rsidP="002B6717">
      <w:pPr>
        <w:pStyle w:val="BodyText"/>
        <w:spacing w:after="200"/>
        <w:ind w:left="426"/>
      </w:pPr>
      <w:r w:rsidRPr="006A7FB8">
        <w:t>Where an arrangement has not yet been finalised, you must attach evidence outlining all parties’ agreement to the consortia arrangements. You must have a formal arrangement in place with all parties prior to execution of the agreement.</w:t>
      </w:r>
    </w:p>
    <w:p w14:paraId="72A1DDB9" w14:textId="77777777" w:rsidR="00283AD0" w:rsidRPr="002B6717" w:rsidRDefault="00283AD0" w:rsidP="00283AD0">
      <w:pPr>
        <w:pStyle w:val="Heading2"/>
        <w:numPr>
          <w:ilvl w:val="0"/>
          <w:numId w:val="6"/>
        </w:numPr>
        <w:ind w:left="426" w:hanging="426"/>
        <w:rPr>
          <w:rFonts w:cstheme="majorHAnsi"/>
          <w:szCs w:val="24"/>
        </w:rPr>
      </w:pPr>
      <w:bookmarkStart w:id="0" w:name="_GoBack"/>
      <w:r w:rsidRPr="006D7BFB">
        <w:rPr>
          <w:rFonts w:eastAsia="Calibri" w:cstheme="majorHAnsi"/>
          <w:szCs w:val="24"/>
        </w:rPr>
        <w:t xml:space="preserve">Where should I go for further information? </w:t>
      </w:r>
    </w:p>
    <w:bookmarkEnd w:id="0"/>
    <w:p w14:paraId="46C3F080" w14:textId="48FC3BA1" w:rsidR="00283AD0" w:rsidRPr="002B6717" w:rsidRDefault="00283AD0" w:rsidP="00283AD0">
      <w:pPr>
        <w:pStyle w:val="BodyText"/>
        <w:spacing w:after="200"/>
        <w:ind w:left="426"/>
      </w:pPr>
      <w:r w:rsidRPr="002B6717">
        <w:t xml:space="preserve">Applicants are encouraged to keep an eye on </w:t>
      </w:r>
      <w:hyperlink r:id="rId11" w:history="1">
        <w:proofErr w:type="spellStart"/>
        <w:r w:rsidRPr="002B6717">
          <w:t>GrantConnect</w:t>
        </w:r>
        <w:proofErr w:type="spellEnd"/>
        <w:r w:rsidRPr="002B6717">
          <w:t xml:space="preserve"> </w:t>
        </w:r>
      </w:hyperlink>
      <w:r w:rsidRPr="002B6717">
        <w:t>for further information, including additional questions and answers for</w:t>
      </w:r>
      <w:r>
        <w:t xml:space="preserve"> all applicants as part of the grants opportunity d</w:t>
      </w:r>
      <w:r w:rsidRPr="002B6717">
        <w:t>ocuments, once the round opens.</w:t>
      </w:r>
    </w:p>
    <w:p w14:paraId="65EE46B9" w14:textId="77777777" w:rsidR="00283AD0" w:rsidRPr="00CC1B7B" w:rsidRDefault="00283AD0" w:rsidP="00283AD0">
      <w:pPr>
        <w:ind w:left="567" w:hanging="141"/>
      </w:pPr>
      <w:r w:rsidRPr="00A53743">
        <w:t xml:space="preserve">Please email your enquiries to </w:t>
      </w:r>
      <w:hyperlink r:id="rId12" w:history="1">
        <w:r w:rsidRPr="00A53743">
          <w:rPr>
            <w:rStyle w:val="Hyperlink"/>
          </w:rPr>
          <w:t>support@communitygrants.gov.au</w:t>
        </w:r>
      </w:hyperlink>
      <w:r>
        <w:t>.</w:t>
      </w:r>
    </w:p>
    <w:p w14:paraId="4CAE4D1D" w14:textId="7ECAFCEB" w:rsidR="00353CE8" w:rsidRPr="00353CE8" w:rsidRDefault="00353CE8" w:rsidP="00353CE8">
      <w:pPr>
        <w:spacing w:line="280" w:lineRule="atLeast"/>
        <w:ind w:firstLine="425"/>
        <w:rPr>
          <w:b/>
          <w:sz w:val="24"/>
          <w:szCs w:val="24"/>
          <w:u w:val="single"/>
        </w:rPr>
      </w:pPr>
      <w:r>
        <w:rPr>
          <w:rStyle w:val="Hyperlink"/>
          <w:b/>
          <w:color w:val="auto"/>
          <w:sz w:val="24"/>
          <w:szCs w:val="24"/>
        </w:rPr>
        <w:t>Questions and Answers</w:t>
      </w:r>
      <w:r w:rsidRPr="00550894">
        <w:rPr>
          <w:rStyle w:val="Hyperlink"/>
          <w:b/>
          <w:color w:val="auto"/>
          <w:sz w:val="24"/>
          <w:szCs w:val="24"/>
        </w:rPr>
        <w:t xml:space="preserve"> </w:t>
      </w:r>
      <w:r>
        <w:rPr>
          <w:rStyle w:val="Hyperlink"/>
          <w:b/>
          <w:color w:val="auto"/>
          <w:sz w:val="24"/>
          <w:szCs w:val="24"/>
        </w:rPr>
        <w:t>added on 8 October 2021</w:t>
      </w:r>
    </w:p>
    <w:p w14:paraId="141DE562" w14:textId="77777777" w:rsidR="00353CE8" w:rsidRPr="00353CE8" w:rsidRDefault="00353CE8" w:rsidP="00353CE8">
      <w:pPr>
        <w:pStyle w:val="Heading2"/>
        <w:numPr>
          <w:ilvl w:val="0"/>
          <w:numId w:val="6"/>
        </w:numPr>
        <w:ind w:left="426" w:hanging="426"/>
        <w:rPr>
          <w:rFonts w:eastAsia="Calibri"/>
        </w:rPr>
      </w:pPr>
      <w:r w:rsidRPr="00353CE8">
        <w:rPr>
          <w:rFonts w:eastAsia="Calibri"/>
        </w:rPr>
        <w:t>Section 3 of the SARC CDC Support Services Grant Opportunity has been updated</w:t>
      </w:r>
    </w:p>
    <w:p w14:paraId="59F5A8AE" w14:textId="77426893" w:rsidR="00353CE8" w:rsidRPr="00353CE8" w:rsidRDefault="00353CE8" w:rsidP="00353CE8">
      <w:pPr>
        <w:pStyle w:val="BodyText"/>
        <w:ind w:left="426"/>
      </w:pPr>
      <w:r w:rsidRPr="00353CE8">
        <w:t>The department has updated</w:t>
      </w:r>
      <w:r w:rsidR="00283AD0">
        <w:t xml:space="preserve"> the SARC CDC Support Services g</w:t>
      </w:r>
      <w:r w:rsidRPr="00353CE8">
        <w:t xml:space="preserve">rant </w:t>
      </w:r>
      <w:r w:rsidR="00283AD0">
        <w:t>o</w:t>
      </w:r>
      <w:r w:rsidRPr="00353CE8">
        <w:t>pportunity</w:t>
      </w:r>
      <w:r>
        <w:t xml:space="preserve">. </w:t>
      </w:r>
      <w:r w:rsidRPr="00353CE8">
        <w:t>The updated version of the grant opportunity removes the second paragraph under Section 3</w:t>
      </w:r>
      <w:r w:rsidR="00935739">
        <w:t>, the</w:t>
      </w:r>
      <w:r w:rsidRPr="00353CE8">
        <w:t xml:space="preserve"> gra</w:t>
      </w:r>
      <w:r>
        <w:t xml:space="preserve">nt amount and grant period. </w:t>
      </w:r>
      <w:r w:rsidRPr="00353CE8">
        <w:t>The department has removed the sentence regarding the maximum amount per project.</w:t>
      </w:r>
    </w:p>
    <w:p w14:paraId="40551160" w14:textId="77777777" w:rsidR="00353CE8" w:rsidRPr="00353CE8" w:rsidRDefault="00353CE8" w:rsidP="00353CE8">
      <w:pPr>
        <w:pStyle w:val="Heading2"/>
        <w:numPr>
          <w:ilvl w:val="0"/>
          <w:numId w:val="6"/>
        </w:numPr>
        <w:ind w:left="426" w:hanging="426"/>
        <w:rPr>
          <w:rFonts w:eastAsia="Calibri"/>
        </w:rPr>
      </w:pPr>
      <w:r w:rsidRPr="00353CE8">
        <w:rPr>
          <w:rFonts w:eastAsia="Calibri"/>
        </w:rPr>
        <w:t>Instructions on how to update your already submitted application</w:t>
      </w:r>
    </w:p>
    <w:p w14:paraId="1A885483" w14:textId="6B8B1679" w:rsidR="00353CE8" w:rsidRPr="00353CE8" w:rsidRDefault="00353CE8" w:rsidP="00353CE8">
      <w:pPr>
        <w:pStyle w:val="BodyText"/>
        <w:ind w:left="426"/>
      </w:pPr>
      <w:r w:rsidRPr="00353CE8">
        <w:t>The department has updated</w:t>
      </w:r>
      <w:r w:rsidR="00935739">
        <w:t xml:space="preserve"> the SARC CDC Support Services grant opportunity. If you have </w:t>
      </w:r>
      <w:r w:rsidRPr="00353CE8">
        <w:t xml:space="preserve">already submitted </w:t>
      </w:r>
      <w:r w:rsidR="00935739">
        <w:t xml:space="preserve">an </w:t>
      </w:r>
      <w:r w:rsidRPr="00353CE8">
        <w:t xml:space="preserve">application </w:t>
      </w:r>
      <w:r w:rsidR="00935739">
        <w:t xml:space="preserve">that </w:t>
      </w:r>
      <w:r w:rsidRPr="00353CE8">
        <w:t>now needs to be update</w:t>
      </w:r>
      <w:r>
        <w:t>d</w:t>
      </w:r>
      <w:r w:rsidRPr="00353CE8">
        <w:t xml:space="preserve"> be</w:t>
      </w:r>
      <w:r w:rsidR="00935739">
        <w:t>cause of this change, you</w:t>
      </w:r>
      <w:r w:rsidRPr="00353CE8">
        <w:t xml:space="preserve"> will need to create a completely new application fo</w:t>
      </w:r>
      <w:r>
        <w:t>rm. You</w:t>
      </w:r>
      <w:r w:rsidR="00935739">
        <w:t xml:space="preserve"> will</w:t>
      </w:r>
      <w:r>
        <w:t xml:space="preserve"> then </w:t>
      </w:r>
      <w:r w:rsidR="00935739">
        <w:t xml:space="preserve">be able </w:t>
      </w:r>
      <w:r>
        <w:t>submit the new application</w:t>
      </w:r>
      <w:r w:rsidRPr="00353CE8">
        <w:t xml:space="preserve"> which will replace the already submitted one. </w:t>
      </w:r>
    </w:p>
    <w:p w14:paraId="3579938A" w14:textId="77777777" w:rsidR="00353CE8" w:rsidRPr="006A7FB8" w:rsidRDefault="00353CE8" w:rsidP="002B6717">
      <w:pPr>
        <w:pStyle w:val="BodyText"/>
        <w:spacing w:after="200"/>
        <w:ind w:left="426"/>
      </w:pPr>
    </w:p>
    <w:sectPr w:rsidR="00353CE8" w:rsidRPr="006A7FB8" w:rsidSect="00105397">
      <w:headerReference w:type="default" r:id="rId13"/>
      <w:footerReference w:type="default" r:id="rId14"/>
      <w:headerReference w:type="first" r:id="rId15"/>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2F6E9" w14:textId="77777777" w:rsidR="00790BF8" w:rsidRDefault="00790BF8" w:rsidP="00772718">
      <w:pPr>
        <w:spacing w:line="240" w:lineRule="auto"/>
      </w:pPr>
      <w:r>
        <w:separator/>
      </w:r>
    </w:p>
  </w:endnote>
  <w:endnote w:type="continuationSeparator" w:id="0">
    <w:p w14:paraId="1AC41080" w14:textId="77777777" w:rsidR="00790BF8" w:rsidRDefault="00790BF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930D3" w14:textId="77777777" w:rsidR="00790BF8" w:rsidRDefault="00790BF8" w:rsidP="00772718">
      <w:pPr>
        <w:spacing w:line="240" w:lineRule="auto"/>
      </w:pPr>
      <w:r>
        <w:separator/>
      </w:r>
    </w:p>
  </w:footnote>
  <w:footnote w:type="continuationSeparator" w:id="0">
    <w:p w14:paraId="1E0FA67F" w14:textId="77777777" w:rsidR="00790BF8" w:rsidRDefault="00790BF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B300ADD4"/>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7680C02"/>
    <w:multiLevelType w:val="hybridMultilevel"/>
    <w:tmpl w:val="F9F0F1BC"/>
    <w:lvl w:ilvl="0" w:tplc="43CE8DE6">
      <w:start w:val="1"/>
      <w:numFmt w:val="decimal"/>
      <w:lvlText w:val="%1."/>
      <w:lvlJc w:val="left"/>
      <w:pPr>
        <w:ind w:left="360" w:hanging="360"/>
      </w:pPr>
      <w:rPr>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8"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0"/>
  </w:num>
  <w:num w:numId="3">
    <w:abstractNumId w:val="4"/>
  </w:num>
  <w:num w:numId="4">
    <w:abstractNumId w:val="9"/>
  </w:num>
  <w:num w:numId="5">
    <w:abstractNumId w:val="7"/>
  </w:num>
  <w:num w:numId="6">
    <w:abstractNumId w:val="3"/>
  </w:num>
  <w:num w:numId="7">
    <w:abstractNumId w:val="2"/>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6597"/>
    <w:rsid w:val="00007DE9"/>
    <w:rsid w:val="00015AE4"/>
    <w:rsid w:val="0003018E"/>
    <w:rsid w:val="00033BC3"/>
    <w:rsid w:val="000419B3"/>
    <w:rsid w:val="00044E09"/>
    <w:rsid w:val="00046AC0"/>
    <w:rsid w:val="0004784D"/>
    <w:rsid w:val="00053A00"/>
    <w:rsid w:val="00057321"/>
    <w:rsid w:val="000B378A"/>
    <w:rsid w:val="000B6C00"/>
    <w:rsid w:val="000B71F8"/>
    <w:rsid w:val="000C1F06"/>
    <w:rsid w:val="000C6D8C"/>
    <w:rsid w:val="000E1B60"/>
    <w:rsid w:val="000E4451"/>
    <w:rsid w:val="000E6B5E"/>
    <w:rsid w:val="000F1DD1"/>
    <w:rsid w:val="000F28B8"/>
    <w:rsid w:val="000F3766"/>
    <w:rsid w:val="00103502"/>
    <w:rsid w:val="00105397"/>
    <w:rsid w:val="00106FC4"/>
    <w:rsid w:val="00111F0C"/>
    <w:rsid w:val="00145E2D"/>
    <w:rsid w:val="0016612C"/>
    <w:rsid w:val="001763D4"/>
    <w:rsid w:val="00181433"/>
    <w:rsid w:val="001834DD"/>
    <w:rsid w:val="00195AD3"/>
    <w:rsid w:val="001C096E"/>
    <w:rsid w:val="001C53CE"/>
    <w:rsid w:val="001C5D96"/>
    <w:rsid w:val="001D341B"/>
    <w:rsid w:val="001E3D2B"/>
    <w:rsid w:val="001E66CE"/>
    <w:rsid w:val="00207788"/>
    <w:rsid w:val="00221DC2"/>
    <w:rsid w:val="0023281A"/>
    <w:rsid w:val="00235946"/>
    <w:rsid w:val="00244B48"/>
    <w:rsid w:val="00245776"/>
    <w:rsid w:val="002573D5"/>
    <w:rsid w:val="00263275"/>
    <w:rsid w:val="00264E26"/>
    <w:rsid w:val="00265580"/>
    <w:rsid w:val="00280E74"/>
    <w:rsid w:val="0028156F"/>
    <w:rsid w:val="00283AD0"/>
    <w:rsid w:val="002A41E1"/>
    <w:rsid w:val="002B6574"/>
    <w:rsid w:val="002B6717"/>
    <w:rsid w:val="002D1B7B"/>
    <w:rsid w:val="002D4D48"/>
    <w:rsid w:val="002E21D2"/>
    <w:rsid w:val="002F7D3C"/>
    <w:rsid w:val="00305720"/>
    <w:rsid w:val="003131AB"/>
    <w:rsid w:val="00313E1C"/>
    <w:rsid w:val="003217BE"/>
    <w:rsid w:val="00353CE8"/>
    <w:rsid w:val="00355677"/>
    <w:rsid w:val="003D0647"/>
    <w:rsid w:val="003D1265"/>
    <w:rsid w:val="003D3B1D"/>
    <w:rsid w:val="003D5DBE"/>
    <w:rsid w:val="003F09C3"/>
    <w:rsid w:val="00404841"/>
    <w:rsid w:val="00411760"/>
    <w:rsid w:val="00412059"/>
    <w:rsid w:val="0041496C"/>
    <w:rsid w:val="00425633"/>
    <w:rsid w:val="00441E79"/>
    <w:rsid w:val="004475BB"/>
    <w:rsid w:val="00450486"/>
    <w:rsid w:val="004537DC"/>
    <w:rsid w:val="004709E9"/>
    <w:rsid w:val="00483A58"/>
    <w:rsid w:val="00486155"/>
    <w:rsid w:val="004924DA"/>
    <w:rsid w:val="004B0675"/>
    <w:rsid w:val="004D5492"/>
    <w:rsid w:val="004D700E"/>
    <w:rsid w:val="004D7F17"/>
    <w:rsid w:val="004E0670"/>
    <w:rsid w:val="004E7F37"/>
    <w:rsid w:val="004F31BA"/>
    <w:rsid w:val="0051299F"/>
    <w:rsid w:val="00516672"/>
    <w:rsid w:val="00526B85"/>
    <w:rsid w:val="005306A1"/>
    <w:rsid w:val="00567836"/>
    <w:rsid w:val="0059000C"/>
    <w:rsid w:val="0059662A"/>
    <w:rsid w:val="005A02A1"/>
    <w:rsid w:val="005A0CA3"/>
    <w:rsid w:val="005D5B5B"/>
    <w:rsid w:val="005D6D33"/>
    <w:rsid w:val="005D7A24"/>
    <w:rsid w:val="005E7A67"/>
    <w:rsid w:val="005E7CDA"/>
    <w:rsid w:val="00616EBA"/>
    <w:rsid w:val="00632A29"/>
    <w:rsid w:val="00632C08"/>
    <w:rsid w:val="00642143"/>
    <w:rsid w:val="006468F4"/>
    <w:rsid w:val="00654C42"/>
    <w:rsid w:val="0067074A"/>
    <w:rsid w:val="00672994"/>
    <w:rsid w:val="00677451"/>
    <w:rsid w:val="006A7FB8"/>
    <w:rsid w:val="006C15C5"/>
    <w:rsid w:val="006C6291"/>
    <w:rsid w:val="006D7BFB"/>
    <w:rsid w:val="00736A76"/>
    <w:rsid w:val="00752C6B"/>
    <w:rsid w:val="00760CE6"/>
    <w:rsid w:val="00765764"/>
    <w:rsid w:val="007719C9"/>
    <w:rsid w:val="00772718"/>
    <w:rsid w:val="00790BF8"/>
    <w:rsid w:val="007D30A8"/>
    <w:rsid w:val="007D7536"/>
    <w:rsid w:val="007E001B"/>
    <w:rsid w:val="007F3C8F"/>
    <w:rsid w:val="007F6B85"/>
    <w:rsid w:val="00814FB1"/>
    <w:rsid w:val="00820F20"/>
    <w:rsid w:val="0082528A"/>
    <w:rsid w:val="00825754"/>
    <w:rsid w:val="00835210"/>
    <w:rsid w:val="00844C2D"/>
    <w:rsid w:val="0087438E"/>
    <w:rsid w:val="00884668"/>
    <w:rsid w:val="008A0B8D"/>
    <w:rsid w:val="008B2B46"/>
    <w:rsid w:val="008B2C58"/>
    <w:rsid w:val="00917FC9"/>
    <w:rsid w:val="00921840"/>
    <w:rsid w:val="009331B4"/>
    <w:rsid w:val="009345F1"/>
    <w:rsid w:val="00935739"/>
    <w:rsid w:val="0094382B"/>
    <w:rsid w:val="00944BBB"/>
    <w:rsid w:val="00946A1E"/>
    <w:rsid w:val="009547B6"/>
    <w:rsid w:val="00961072"/>
    <w:rsid w:val="00973D7C"/>
    <w:rsid w:val="009741CF"/>
    <w:rsid w:val="00982554"/>
    <w:rsid w:val="009A4FC5"/>
    <w:rsid w:val="009D405C"/>
    <w:rsid w:val="009E750F"/>
    <w:rsid w:val="009F49A7"/>
    <w:rsid w:val="00A04D96"/>
    <w:rsid w:val="00A0629B"/>
    <w:rsid w:val="00A14495"/>
    <w:rsid w:val="00A16BE1"/>
    <w:rsid w:val="00A454BF"/>
    <w:rsid w:val="00A51C99"/>
    <w:rsid w:val="00A523DA"/>
    <w:rsid w:val="00A52E3A"/>
    <w:rsid w:val="00A814CB"/>
    <w:rsid w:val="00A90D1B"/>
    <w:rsid w:val="00A95273"/>
    <w:rsid w:val="00AD6763"/>
    <w:rsid w:val="00AF3C53"/>
    <w:rsid w:val="00AF55F8"/>
    <w:rsid w:val="00B069C3"/>
    <w:rsid w:val="00B10911"/>
    <w:rsid w:val="00B10ABA"/>
    <w:rsid w:val="00B24520"/>
    <w:rsid w:val="00B420D4"/>
    <w:rsid w:val="00B51F28"/>
    <w:rsid w:val="00B57910"/>
    <w:rsid w:val="00B7600D"/>
    <w:rsid w:val="00BA35FF"/>
    <w:rsid w:val="00BA6326"/>
    <w:rsid w:val="00BA6686"/>
    <w:rsid w:val="00BB1C50"/>
    <w:rsid w:val="00BC093A"/>
    <w:rsid w:val="00BC4ACC"/>
    <w:rsid w:val="00BC4FCC"/>
    <w:rsid w:val="00BC68CA"/>
    <w:rsid w:val="00BD02F8"/>
    <w:rsid w:val="00C05A89"/>
    <w:rsid w:val="00C1219A"/>
    <w:rsid w:val="00C12E71"/>
    <w:rsid w:val="00C1507A"/>
    <w:rsid w:val="00C217A8"/>
    <w:rsid w:val="00C4188F"/>
    <w:rsid w:val="00C819A4"/>
    <w:rsid w:val="00C82A1B"/>
    <w:rsid w:val="00C82E6F"/>
    <w:rsid w:val="00C84EA8"/>
    <w:rsid w:val="00C918A2"/>
    <w:rsid w:val="00C92998"/>
    <w:rsid w:val="00CA720A"/>
    <w:rsid w:val="00CB0CB5"/>
    <w:rsid w:val="00CB2E65"/>
    <w:rsid w:val="00CC1B7B"/>
    <w:rsid w:val="00CD38EE"/>
    <w:rsid w:val="00CD5925"/>
    <w:rsid w:val="00CE557A"/>
    <w:rsid w:val="00D031B2"/>
    <w:rsid w:val="00D1410C"/>
    <w:rsid w:val="00D230E7"/>
    <w:rsid w:val="00D27746"/>
    <w:rsid w:val="00D31029"/>
    <w:rsid w:val="00D40D16"/>
    <w:rsid w:val="00D42E0E"/>
    <w:rsid w:val="00D548F0"/>
    <w:rsid w:val="00D57F79"/>
    <w:rsid w:val="00D64FA9"/>
    <w:rsid w:val="00D64FAC"/>
    <w:rsid w:val="00D65704"/>
    <w:rsid w:val="00D668F6"/>
    <w:rsid w:val="00D84875"/>
    <w:rsid w:val="00D904F0"/>
    <w:rsid w:val="00D91378"/>
    <w:rsid w:val="00D91B18"/>
    <w:rsid w:val="00DB22AE"/>
    <w:rsid w:val="00DB6558"/>
    <w:rsid w:val="00DC0747"/>
    <w:rsid w:val="00DC2647"/>
    <w:rsid w:val="00DD1408"/>
    <w:rsid w:val="00DD356D"/>
    <w:rsid w:val="00DD4EB9"/>
    <w:rsid w:val="00DD6735"/>
    <w:rsid w:val="00DF0607"/>
    <w:rsid w:val="00DF136A"/>
    <w:rsid w:val="00E03A88"/>
    <w:rsid w:val="00E0448C"/>
    <w:rsid w:val="00E13525"/>
    <w:rsid w:val="00E47250"/>
    <w:rsid w:val="00E57EF6"/>
    <w:rsid w:val="00E61535"/>
    <w:rsid w:val="00E70157"/>
    <w:rsid w:val="00E84012"/>
    <w:rsid w:val="00E865D1"/>
    <w:rsid w:val="00E9373C"/>
    <w:rsid w:val="00E94149"/>
    <w:rsid w:val="00E965DD"/>
    <w:rsid w:val="00EA0724"/>
    <w:rsid w:val="00EA6251"/>
    <w:rsid w:val="00EB6414"/>
    <w:rsid w:val="00EE5747"/>
    <w:rsid w:val="00EE73B8"/>
    <w:rsid w:val="00EF06B3"/>
    <w:rsid w:val="00EF3804"/>
    <w:rsid w:val="00EF5E05"/>
    <w:rsid w:val="00F227AF"/>
    <w:rsid w:val="00F27370"/>
    <w:rsid w:val="00F3395F"/>
    <w:rsid w:val="00F5341C"/>
    <w:rsid w:val="00F56954"/>
    <w:rsid w:val="00F66049"/>
    <w:rsid w:val="00F72486"/>
    <w:rsid w:val="00F76080"/>
    <w:rsid w:val="00F948AF"/>
    <w:rsid w:val="00FA5A7B"/>
    <w:rsid w:val="00FA5D07"/>
    <w:rsid w:val="00FB11B1"/>
    <w:rsid w:val="00FC0935"/>
    <w:rsid w:val="00FE00E8"/>
    <w:rsid w:val="00FF5C54"/>
    <w:rsid w:val="00FF6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CommentSubject">
    <w:name w:val="annotation subject"/>
    <w:basedOn w:val="CommentText"/>
    <w:next w:val="CommentText"/>
    <w:link w:val="CommentSubjectChar"/>
    <w:uiPriority w:val="99"/>
    <w:semiHidden/>
    <w:unhideWhenUsed/>
    <w:rsid w:val="00235946"/>
    <w:rPr>
      <w:b/>
      <w:bCs/>
    </w:rPr>
  </w:style>
  <w:style w:type="character" w:customStyle="1" w:styleId="CommentSubjectChar">
    <w:name w:val="Comment Subject Char"/>
    <w:basedOn w:val="CommentTextChar"/>
    <w:link w:val="CommentSubject"/>
    <w:uiPriority w:val="99"/>
    <w:semiHidden/>
    <w:rsid w:val="00235946"/>
    <w:rPr>
      <w:rFonts w:ascii="Arial" w:hAnsi="Arial" w:cstheme="minorBidi"/>
      <w:b/>
      <w:bCs/>
    </w:rPr>
  </w:style>
  <w:style w:type="paragraph" w:styleId="ListParagraph">
    <w:name w:val="List Paragraph"/>
    <w:aliases w:val="#List Paragraph,Bullet point,Bullet- First level,CV text,Dot pt,F5 List Paragraph,Figure_name,L,List Paragraph1,List Paragraph11,List Paragraph111,Listenabsatz1,Medium Grid 1 - Accent 21,Number,Numbered Paragraph,Recommendation,Table text"/>
    <w:basedOn w:val="Normal"/>
    <w:link w:val="ListParagraphChar"/>
    <w:uiPriority w:val="34"/>
    <w:qFormat/>
    <w:rsid w:val="00235946"/>
    <w:pPr>
      <w:ind w:left="720"/>
      <w:contextualSpacing/>
    </w:pPr>
  </w:style>
  <w:style w:type="character" w:customStyle="1" w:styleId="ListParagraphChar">
    <w:name w:val="List Paragraph Char"/>
    <w:aliases w:val="#List Paragraph Char,Bullet point Char,Bullet- First level Char,CV text Char,Dot pt Char,F5 List Paragraph Char,Figure_name Char,L Char,List Paragraph1 Char,List Paragraph11 Char,List Paragraph111 Char,Listenabsatz1 Char,Number Char"/>
    <w:basedOn w:val="DefaultParagraphFont"/>
    <w:link w:val="ListParagraph"/>
    <w:uiPriority w:val="34"/>
    <w:locked/>
    <w:rsid w:val="008A0B8D"/>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500464417">
      <w:bodyDiv w:val="1"/>
      <w:marLeft w:val="0"/>
      <w:marRight w:val="0"/>
      <w:marTop w:val="0"/>
      <w:marBottom w:val="0"/>
      <w:divBdr>
        <w:top w:val="none" w:sz="0" w:space="0" w:color="auto"/>
        <w:left w:val="none" w:sz="0" w:space="0" w:color="auto"/>
        <w:bottom w:val="none" w:sz="0" w:space="0" w:color="auto"/>
        <w:right w:val="none" w:sz="0" w:space="0" w:color="auto"/>
      </w:divBdr>
    </w:div>
    <w:div w:id="546995919">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03708318">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4414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ants.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amsant.org.au/apont/our-work/non-government-organisations/apo-nt-ngo-principles/" TargetMode="Externa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21459D-51A8-488C-824F-86357F34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39</TotalTime>
  <Pages>4</Pages>
  <Words>1359</Words>
  <Characters>7457</Characters>
  <Application>Microsoft Office Word</Application>
  <DocSecurity>0</DocSecurity>
  <Lines>125</Lines>
  <Paragraphs>49</Paragraphs>
  <ScaleCrop>false</ScaleCrop>
  <HeadingPairs>
    <vt:vector size="2" baseType="variant">
      <vt:variant>
        <vt:lpstr>Title</vt:lpstr>
      </vt:variant>
      <vt:variant>
        <vt:i4>1</vt:i4>
      </vt:variant>
    </vt:vector>
  </HeadingPairs>
  <TitlesOfParts>
    <vt:vector size="1" baseType="lpstr">
      <vt:lpstr>Cashless Debit Card Support Services - Updated Questions and Answers 08102021</vt:lpstr>
    </vt:vector>
  </TitlesOfParts>
  <Company>Community Grants Hub</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Cashless Debit Card Support Services - Updated Questions and Answers 08102021</dc:title>
  <dc:creator>CGH Publishing</dc:creator>
  <cp:keywords>[SEC=OFFICIAL]</cp:keywords>
  <cp:lastModifiedBy>WOOD, Sue</cp:lastModifiedBy>
  <cp:revision>6</cp:revision>
  <cp:lastPrinted>2021-10-08T01:02:00Z</cp:lastPrinted>
  <dcterms:created xsi:type="dcterms:W3CDTF">2021-10-08T00:09:00Z</dcterms:created>
  <dcterms:modified xsi:type="dcterms:W3CDTF">2021-10-08T01:25:00Z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AA00BE56667349B6B332873C40A75A5A</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2021-10-08T00:44:19Z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97AF24B1BDD2D964524A3046F31AD067</vt:lpwstr>
  </property>
  <property fmtid="{D5CDD505-2E9C-101B-9397-08002B2CF9AE}" pid="20" name="PM_Hash_Salt">
    <vt:lpwstr>CF405D3612D414FE0E391A2C54FA79AD</vt:lpwstr>
  </property>
  <property fmtid="{D5CDD505-2E9C-101B-9397-08002B2CF9AE}" pid="21" name="PM_Hash_SHA1">
    <vt:lpwstr>F0CCF709D7B92604D0E863BFE30FC8129093B7D8</vt:lpwstr>
  </property>
  <property fmtid="{D5CDD505-2E9C-101B-9397-08002B2CF9AE}" pid="22" name="PM_SecurityClassification_Prev">
    <vt:lpwstr>OFFICIAL</vt:lpwstr>
  </property>
  <property fmtid="{D5CDD505-2E9C-101B-9397-08002B2CF9AE}" pid="23" name="PM_Qualifier_Prev">
    <vt:lpwstr/>
  </property>
</Properties>
</file>