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FBBA6" w14:textId="5F06973D" w:rsidR="001E609F" w:rsidRDefault="001E609F" w:rsidP="00637524">
      <w:pPr>
        <w:pStyle w:val="Heading1"/>
        <w:tabs>
          <w:tab w:val="left" w:pos="3818"/>
        </w:tabs>
        <w:spacing w:before="120" w:after="120"/>
        <w:rPr>
          <w:bCs w:val="0"/>
        </w:rPr>
      </w:pPr>
      <w:r>
        <w:t xml:space="preserve">Strong and Resilient Communities </w:t>
      </w:r>
      <w:r w:rsidR="00AE3FD3">
        <w:t xml:space="preserve">(SARC) </w:t>
      </w:r>
      <w:r>
        <w:t xml:space="preserve">Activity </w:t>
      </w:r>
      <w:r w:rsidR="00E000B2">
        <w:t xml:space="preserve">– Inclusive Communities </w:t>
      </w:r>
      <w:r w:rsidRPr="001E609F">
        <w:rPr>
          <w:bCs w:val="0"/>
        </w:rPr>
        <w:t>Grant</w:t>
      </w:r>
      <w:r w:rsidR="00637524">
        <w:rPr>
          <w:bCs w:val="0"/>
        </w:rPr>
        <w:t>s</w:t>
      </w:r>
    </w:p>
    <w:p w14:paraId="36B5B985" w14:textId="77777777" w:rsidR="001E609F" w:rsidRPr="001E609F" w:rsidRDefault="001E609F" w:rsidP="008A4FAF">
      <w:pPr>
        <w:spacing w:after="120"/>
        <w:rPr>
          <w:sz w:val="16"/>
          <w:szCs w:val="16"/>
        </w:rPr>
      </w:pPr>
    </w:p>
    <w:p w14:paraId="4792488F" w14:textId="7911B0BA" w:rsidR="001E609F" w:rsidRDefault="00CC1B7B" w:rsidP="005B50BE">
      <w:pPr>
        <w:spacing w:after="120"/>
        <w:ind w:left="426" w:hanging="426"/>
        <w:rPr>
          <w:sz w:val="40"/>
          <w:szCs w:val="40"/>
        </w:rPr>
      </w:pPr>
      <w:r>
        <w:rPr>
          <w:sz w:val="40"/>
          <w:szCs w:val="40"/>
        </w:rPr>
        <w:t xml:space="preserve">Questions and Answers </w:t>
      </w:r>
    </w:p>
    <w:p w14:paraId="265F031B" w14:textId="34A20B25" w:rsidR="00CC1B7B" w:rsidRPr="00660F7F" w:rsidRDefault="00CC1B7B" w:rsidP="005B50BE">
      <w:pPr>
        <w:pStyle w:val="Heading2"/>
        <w:numPr>
          <w:ilvl w:val="0"/>
          <w:numId w:val="6"/>
        </w:numPr>
        <w:spacing w:before="120"/>
        <w:ind w:left="426" w:hanging="426"/>
        <w:rPr>
          <w:rFonts w:eastAsia="Calibri"/>
        </w:rPr>
      </w:pPr>
      <w:r>
        <w:rPr>
          <w:rFonts w:eastAsia="Calibri"/>
        </w:rPr>
        <w:t>What is the closing time and date for applications</w:t>
      </w:r>
      <w:r w:rsidRPr="00660F7F">
        <w:rPr>
          <w:rFonts w:eastAsia="Calibri"/>
        </w:rPr>
        <w:t>?</w:t>
      </w:r>
    </w:p>
    <w:p w14:paraId="2606F8E7" w14:textId="3D296050" w:rsidR="00CC1B7B" w:rsidRPr="00660F7F" w:rsidRDefault="00CC1B7B" w:rsidP="005E3A55">
      <w:pPr>
        <w:spacing w:line="280" w:lineRule="atLeast"/>
        <w:ind w:left="425"/>
        <w:rPr>
          <w:lang w:val="en" w:eastAsia="en-AU"/>
        </w:rPr>
      </w:pPr>
      <w:r w:rsidRPr="00660F7F">
        <w:rPr>
          <w:lang w:val="en" w:eastAsia="en-AU"/>
        </w:rPr>
        <w:t xml:space="preserve">The </w:t>
      </w:r>
      <w:r w:rsidR="00441FCF">
        <w:rPr>
          <w:lang w:val="en" w:eastAsia="en-AU"/>
        </w:rPr>
        <w:t>a</w:t>
      </w:r>
      <w:r w:rsidRPr="00660F7F">
        <w:rPr>
          <w:lang w:val="en" w:eastAsia="en-AU"/>
        </w:rPr>
        <w:t xml:space="preserve">pplication </w:t>
      </w:r>
      <w:r w:rsidR="00441FCF">
        <w:rPr>
          <w:lang w:val="en" w:eastAsia="en-AU"/>
        </w:rPr>
        <w:t>f</w:t>
      </w:r>
      <w:r w:rsidRPr="00660F7F">
        <w:rPr>
          <w:lang w:val="en" w:eastAsia="en-AU"/>
        </w:rPr>
        <w:t xml:space="preserve">orm must be </w:t>
      </w:r>
      <w:r w:rsidRPr="007A4766">
        <w:rPr>
          <w:lang w:val="en" w:eastAsia="en-AU"/>
        </w:rPr>
        <w:t xml:space="preserve">submitted by </w:t>
      </w:r>
      <w:r w:rsidR="007521CA" w:rsidRPr="007A4766">
        <w:rPr>
          <w:b/>
          <w:lang w:val="en" w:eastAsia="en-AU"/>
        </w:rPr>
        <w:t>9</w:t>
      </w:r>
      <w:r w:rsidR="00441FCF">
        <w:rPr>
          <w:b/>
          <w:lang w:val="en" w:eastAsia="en-AU"/>
        </w:rPr>
        <w:t>:</w:t>
      </w:r>
      <w:r w:rsidRPr="007A4766">
        <w:rPr>
          <w:b/>
          <w:lang w:val="en" w:eastAsia="en-AU"/>
        </w:rPr>
        <w:t>00</w:t>
      </w:r>
      <w:r w:rsidR="00441FCF">
        <w:rPr>
          <w:b/>
          <w:lang w:val="en" w:eastAsia="en-AU"/>
        </w:rPr>
        <w:t xml:space="preserve"> </w:t>
      </w:r>
      <w:r w:rsidRPr="007A4766">
        <w:rPr>
          <w:b/>
          <w:lang w:val="en" w:eastAsia="en-AU"/>
        </w:rPr>
        <w:t xml:space="preserve">pm AEDT on </w:t>
      </w:r>
      <w:r w:rsidR="00AE3FD3" w:rsidRPr="007A4766">
        <w:rPr>
          <w:b/>
          <w:lang w:val="en" w:eastAsia="en-AU"/>
        </w:rPr>
        <w:t xml:space="preserve">Monday </w:t>
      </w:r>
      <w:r w:rsidR="007521CA" w:rsidRPr="007A4766">
        <w:rPr>
          <w:b/>
          <w:lang w:val="en" w:eastAsia="en-AU"/>
        </w:rPr>
        <w:t>15</w:t>
      </w:r>
      <w:r w:rsidR="004814A8" w:rsidRPr="007A4766">
        <w:rPr>
          <w:b/>
          <w:lang w:val="en" w:eastAsia="en-AU"/>
        </w:rPr>
        <w:t> </w:t>
      </w:r>
      <w:r w:rsidR="00EA094D" w:rsidRPr="007A4766">
        <w:rPr>
          <w:b/>
          <w:lang w:val="en" w:eastAsia="en-AU"/>
        </w:rPr>
        <w:t>November</w:t>
      </w:r>
      <w:r w:rsidR="004814A8" w:rsidRPr="007A4766">
        <w:rPr>
          <w:b/>
          <w:lang w:val="en" w:eastAsia="en-AU"/>
        </w:rPr>
        <w:t> </w:t>
      </w:r>
      <w:r w:rsidR="00EA094D" w:rsidRPr="007A4766">
        <w:rPr>
          <w:b/>
          <w:lang w:val="en" w:eastAsia="en-AU"/>
        </w:rPr>
        <w:t>2021</w:t>
      </w:r>
      <w:r w:rsidRPr="007A4766">
        <w:rPr>
          <w:lang w:val="en" w:eastAsia="en-AU"/>
        </w:rPr>
        <w:t>. It is recommended that you submit your application well before the closing time and date.</w:t>
      </w:r>
    </w:p>
    <w:p w14:paraId="74878471" w14:textId="77777777" w:rsidR="00CC1B7B" w:rsidRPr="004A1301" w:rsidRDefault="00CC1B7B" w:rsidP="005B50BE">
      <w:pPr>
        <w:pStyle w:val="Heading2"/>
        <w:numPr>
          <w:ilvl w:val="0"/>
          <w:numId w:val="6"/>
        </w:numPr>
        <w:spacing w:before="0"/>
        <w:ind w:left="426" w:hanging="426"/>
        <w:rPr>
          <w:rFonts w:eastAsia="Calibri"/>
          <w:szCs w:val="24"/>
        </w:rPr>
      </w:pPr>
      <w:r w:rsidRPr="004A1301">
        <w:rPr>
          <w:rFonts w:eastAsia="Calibri"/>
          <w:szCs w:val="24"/>
        </w:rPr>
        <w:t>If I am not able to submit my application by the due time and date, can I be granted an extension?</w:t>
      </w:r>
    </w:p>
    <w:p w14:paraId="0DF0CAAE" w14:textId="328416F9" w:rsidR="00CC1B7B" w:rsidRPr="006375BB" w:rsidRDefault="00CC1B7B" w:rsidP="005E3A55">
      <w:pPr>
        <w:spacing w:line="280" w:lineRule="atLeast"/>
        <w:ind w:left="425"/>
        <w:rPr>
          <w:rFonts w:cs="Arial"/>
          <w:b/>
          <w:color w:val="2C2A29"/>
          <w:lang w:val="en"/>
        </w:rPr>
      </w:pPr>
      <w:r w:rsidRPr="00496141">
        <w:t>No</w:t>
      </w:r>
      <w:r w:rsidR="00512D91">
        <w:t>. E</w:t>
      </w:r>
      <w:r w:rsidRPr="00496141">
        <w:t xml:space="preserve">xtensions </w:t>
      </w:r>
      <w:r>
        <w:t>will not be given.</w:t>
      </w:r>
    </w:p>
    <w:p w14:paraId="699C30C7" w14:textId="79E45346" w:rsidR="00CC1B7B" w:rsidRPr="005B50BE" w:rsidRDefault="00CC1B7B" w:rsidP="005E3A55">
      <w:pPr>
        <w:spacing w:line="280" w:lineRule="atLeast"/>
        <w:ind w:left="425"/>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7B3E26">
        <w:rPr>
          <w:lang w:eastAsia="en-AU"/>
        </w:rPr>
        <w:t>,</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t>
      </w:r>
      <w:r w:rsidRPr="005B50BE">
        <w:rPr>
          <w:lang w:eastAsia="en-AU"/>
        </w:rPr>
        <w:t>website will apply.</w:t>
      </w:r>
    </w:p>
    <w:p w14:paraId="00C288F0" w14:textId="522DA66B" w:rsidR="00754894" w:rsidRPr="006E5B9A" w:rsidRDefault="00754894" w:rsidP="00754894">
      <w:pPr>
        <w:pStyle w:val="Heading2"/>
        <w:numPr>
          <w:ilvl w:val="0"/>
          <w:numId w:val="6"/>
        </w:numPr>
        <w:spacing w:before="0"/>
        <w:ind w:left="426" w:hanging="426"/>
        <w:rPr>
          <w:rFonts w:eastAsia="Calibri"/>
        </w:rPr>
      </w:pPr>
      <w:r w:rsidRPr="006E5B9A">
        <w:rPr>
          <w:rFonts w:eastAsia="Calibri"/>
        </w:rPr>
        <w:t xml:space="preserve">How can I submit the </w:t>
      </w:r>
      <w:r w:rsidR="002655A7">
        <w:rPr>
          <w:rFonts w:eastAsia="Calibri"/>
        </w:rPr>
        <w:t>a</w:t>
      </w:r>
      <w:r w:rsidRPr="006E5B9A">
        <w:rPr>
          <w:rFonts w:eastAsia="Calibri"/>
        </w:rPr>
        <w:t xml:space="preserve">pplication </w:t>
      </w:r>
      <w:r w:rsidR="002655A7">
        <w:rPr>
          <w:rFonts w:eastAsia="Calibri"/>
        </w:rPr>
        <w:t>f</w:t>
      </w:r>
      <w:r w:rsidRPr="006E5B9A">
        <w:rPr>
          <w:rFonts w:eastAsia="Calibri"/>
        </w:rPr>
        <w:t>orm?</w:t>
      </w:r>
    </w:p>
    <w:p w14:paraId="420C1570" w14:textId="409525E3" w:rsidR="00754894" w:rsidRPr="00046AC0" w:rsidRDefault="00754894" w:rsidP="005E3A55">
      <w:pPr>
        <w:spacing w:line="280" w:lineRule="atLeast"/>
        <w:ind w:left="425"/>
        <w:rPr>
          <w:lang w:eastAsia="en-AU"/>
        </w:rPr>
      </w:pPr>
      <w:r w:rsidRPr="00046AC0">
        <w:rPr>
          <w:lang w:eastAsia="en-AU"/>
        </w:rPr>
        <w:t xml:space="preserve">The form is an online </w:t>
      </w:r>
      <w:r w:rsidR="002655A7">
        <w:rPr>
          <w:lang w:eastAsia="en-AU"/>
        </w:rPr>
        <w:t>a</w:t>
      </w:r>
      <w:r w:rsidRPr="00046AC0">
        <w:rPr>
          <w:lang w:eastAsia="en-AU"/>
        </w:rPr>
        <w:t xml:space="preserve">pplication </w:t>
      </w:r>
      <w:r w:rsidR="002655A7">
        <w:rPr>
          <w:lang w:eastAsia="en-AU"/>
        </w:rPr>
        <w:t>f</w:t>
      </w:r>
      <w:r w:rsidRPr="00046AC0">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2655A7">
        <w:rPr>
          <w:lang w:eastAsia="en-AU"/>
        </w:rPr>
        <w:t>g</w:t>
      </w:r>
      <w:r w:rsidRPr="00046AC0">
        <w:rPr>
          <w:lang w:eastAsia="en-AU"/>
        </w:rPr>
        <w:t xml:space="preserve">rant </w:t>
      </w:r>
      <w:r w:rsidR="002655A7">
        <w:rPr>
          <w:lang w:eastAsia="en-AU"/>
        </w:rPr>
        <w:t>o</w:t>
      </w:r>
      <w:r w:rsidRPr="00046AC0">
        <w:rPr>
          <w:lang w:eastAsia="en-AU"/>
        </w:rPr>
        <w:t xml:space="preserve">pportunity </w:t>
      </w:r>
      <w:r w:rsidR="002655A7">
        <w:rPr>
          <w:lang w:eastAsia="en-AU"/>
        </w:rPr>
        <w:t>d</w:t>
      </w:r>
      <w:r w:rsidRPr="00046AC0">
        <w:rPr>
          <w:lang w:eastAsia="en-AU"/>
        </w:rPr>
        <w:t>ocuments</w:t>
      </w:r>
      <w:r>
        <w:rPr>
          <w:lang w:eastAsia="en-AU"/>
        </w:rPr>
        <w:t>.</w:t>
      </w:r>
    </w:p>
    <w:p w14:paraId="5ED38A05" w14:textId="77777777" w:rsidR="00754894" w:rsidRPr="004A1301" w:rsidRDefault="00754894" w:rsidP="00754894">
      <w:pPr>
        <w:pStyle w:val="Heading2"/>
        <w:numPr>
          <w:ilvl w:val="0"/>
          <w:numId w:val="6"/>
        </w:numPr>
        <w:spacing w:before="0"/>
        <w:ind w:left="426" w:hanging="426"/>
        <w:rPr>
          <w:rFonts w:eastAsia="Calibri"/>
          <w:szCs w:val="24"/>
        </w:rPr>
      </w:pPr>
      <w:r w:rsidRPr="004A1301">
        <w:rPr>
          <w:rFonts w:eastAsia="Calibri"/>
          <w:szCs w:val="24"/>
        </w:rPr>
        <w:t xml:space="preserve">Do character limits apply to my application? </w:t>
      </w:r>
    </w:p>
    <w:p w14:paraId="7462BEF3" w14:textId="34DB4BEF" w:rsidR="00754894" w:rsidRPr="007B3E26" w:rsidRDefault="00754894" w:rsidP="005E3A55">
      <w:pPr>
        <w:spacing w:line="280" w:lineRule="atLeast"/>
        <w:ind w:left="425"/>
        <w:rPr>
          <w:lang w:eastAsia="en-AU"/>
        </w:rPr>
      </w:pPr>
      <w:r w:rsidRPr="00F61510">
        <w:rPr>
          <w:lang w:eastAsia="en-AU"/>
        </w:rPr>
        <w:t>Yes, the application for</w:t>
      </w:r>
      <w:r w:rsidR="00512D91" w:rsidRPr="007B3E26">
        <w:rPr>
          <w:lang w:eastAsia="en-AU"/>
        </w:rPr>
        <w:t>m</w:t>
      </w:r>
      <w:r w:rsidRPr="00F61510">
        <w:rPr>
          <w:lang w:eastAsia="en-AU"/>
        </w:rPr>
        <w:t xml:space="preserve"> includes character limits – up to 6000 characters (approx</w:t>
      </w:r>
      <w:r w:rsidR="002655A7">
        <w:rPr>
          <w:lang w:eastAsia="en-AU"/>
        </w:rPr>
        <w:t>imately</w:t>
      </w:r>
      <w:r w:rsidRPr="00F61510">
        <w:rPr>
          <w:lang w:eastAsia="en-AU"/>
        </w:rPr>
        <w:t xml:space="preserve"> 900 words) per assessment criterion. Please note</w:t>
      </w:r>
      <w:r w:rsidR="00512D91" w:rsidRPr="007B3E26">
        <w:rPr>
          <w:lang w:eastAsia="en-AU"/>
        </w:rPr>
        <w:t>,</w:t>
      </w:r>
      <w:r w:rsidRPr="00F61510">
        <w:rPr>
          <w:lang w:eastAsia="en-AU"/>
        </w:rPr>
        <w:t xml:space="preserve"> spaces are incl</w:t>
      </w:r>
      <w:r w:rsidR="00512D91" w:rsidRPr="007B3E26">
        <w:rPr>
          <w:lang w:eastAsia="en-AU"/>
        </w:rPr>
        <w:t>uded in the character limit.</w:t>
      </w:r>
    </w:p>
    <w:p w14:paraId="57AE9D8B" w14:textId="5304B1EA" w:rsidR="005B50BE" w:rsidRPr="005E3A55" w:rsidRDefault="00AA5A0A" w:rsidP="005E3A55">
      <w:pPr>
        <w:pStyle w:val="Heading2"/>
        <w:numPr>
          <w:ilvl w:val="0"/>
          <w:numId w:val="6"/>
        </w:numPr>
        <w:spacing w:before="0" w:line="280" w:lineRule="atLeast"/>
        <w:ind w:left="425" w:hanging="425"/>
        <w:rPr>
          <w:rFonts w:ascii="Arial" w:hAnsi="Arial" w:cs="Arial"/>
          <w:szCs w:val="22"/>
        </w:rPr>
      </w:pPr>
      <w:r w:rsidRPr="004A1301">
        <w:rPr>
          <w:rFonts w:ascii="Arial" w:eastAsia="Calibri" w:hAnsi="Arial" w:cs="Arial"/>
          <w:szCs w:val="24"/>
        </w:rPr>
        <w:t>How do I know that my application has been received</w:t>
      </w:r>
    </w:p>
    <w:p w14:paraId="2D8027E8" w14:textId="7232F63C" w:rsidR="005B50BE" w:rsidRDefault="005B50BE" w:rsidP="005E3A55">
      <w:pPr>
        <w:spacing w:line="280" w:lineRule="atLeast"/>
        <w:ind w:left="425"/>
        <w:rPr>
          <w:b/>
        </w:rPr>
      </w:pPr>
      <w:r w:rsidRPr="005B50BE">
        <w:rPr>
          <w:rFonts w:cs="Arial"/>
        </w:rPr>
        <w:t>When you successfully submit your application you will receive an acknowledgem</w:t>
      </w:r>
      <w:r w:rsidR="007B3E26">
        <w:rPr>
          <w:rFonts w:cs="Arial"/>
        </w:rPr>
        <w:t>ent email, so that you know</w:t>
      </w:r>
      <w:r w:rsidRPr="005B50BE">
        <w:rPr>
          <w:rFonts w:cs="Arial"/>
        </w:rPr>
        <w:t xml:space="preserve"> your submission has been received. If you do not receive an acknowledgement email you should contact</w:t>
      </w:r>
      <w:r>
        <w:rPr>
          <w:rFonts w:cs="Arial"/>
          <w:sz w:val="24"/>
          <w:szCs w:val="24"/>
        </w:rPr>
        <w:t xml:space="preserve"> </w:t>
      </w:r>
      <w:hyperlink r:id="rId10" w:history="1">
        <w:r w:rsidRPr="00A53743">
          <w:rPr>
            <w:rStyle w:val="Hyperlink"/>
          </w:rPr>
          <w:t>support@communitygrants.gov.au</w:t>
        </w:r>
      </w:hyperlink>
      <w:r w:rsidR="00194820">
        <w:rPr>
          <w:rStyle w:val="Hyperlink"/>
        </w:rPr>
        <w:t>.</w:t>
      </w:r>
    </w:p>
    <w:p w14:paraId="7106FC0D" w14:textId="77777777" w:rsidR="00754894" w:rsidRPr="00496141" w:rsidRDefault="00754894" w:rsidP="005E3A55">
      <w:pPr>
        <w:pStyle w:val="Heading2"/>
        <w:numPr>
          <w:ilvl w:val="0"/>
          <w:numId w:val="6"/>
        </w:numPr>
        <w:spacing w:before="0" w:line="280" w:lineRule="atLeast"/>
        <w:ind w:left="425" w:hanging="425"/>
        <w:rPr>
          <w:rFonts w:eastAsia="Calibri"/>
        </w:rPr>
      </w:pPr>
      <w:r w:rsidRPr="00496141">
        <w:rPr>
          <w:rFonts w:eastAsia="Calibri"/>
        </w:rPr>
        <w:t>When will I know the outcome of my application?</w:t>
      </w:r>
    </w:p>
    <w:p w14:paraId="217AB42E" w14:textId="254A9F00" w:rsidR="0012771B" w:rsidRDefault="00754894" w:rsidP="005E3A55">
      <w:pPr>
        <w:spacing w:line="280" w:lineRule="atLeast"/>
        <w:ind w:left="425"/>
        <w:rPr>
          <w:lang w:eastAsia="en-AU"/>
        </w:rPr>
      </w:pPr>
      <w:r w:rsidRPr="00496141">
        <w:rPr>
          <w:lang w:eastAsia="en-AU"/>
        </w:rPr>
        <w:t>You will be notified of the outcome of your application at the</w:t>
      </w:r>
      <w:r w:rsidR="007B3E26">
        <w:rPr>
          <w:lang w:eastAsia="en-AU"/>
        </w:rPr>
        <w:t xml:space="preserve"> end of the selection process. </w:t>
      </w:r>
      <w:r w:rsidRPr="00496141">
        <w:rPr>
          <w:lang w:eastAsia="en-AU"/>
        </w:rPr>
        <w:t>For probity reasons, to treat all applicants fairly and equally, it is not possible to give you information about the status of individual applications during the assessment process.</w:t>
      </w:r>
    </w:p>
    <w:p w14:paraId="28082BA5" w14:textId="77777777" w:rsidR="00CC1B7B" w:rsidRPr="00496141" w:rsidRDefault="00CC1B7B" w:rsidP="00193020">
      <w:pPr>
        <w:pStyle w:val="Heading2"/>
        <w:numPr>
          <w:ilvl w:val="0"/>
          <w:numId w:val="6"/>
        </w:numPr>
        <w:spacing w:before="0"/>
        <w:ind w:left="426" w:hanging="426"/>
        <w:rPr>
          <w:rFonts w:eastAsia="Calibri"/>
        </w:rPr>
      </w:pPr>
      <w:r w:rsidRPr="00496141">
        <w:rPr>
          <w:rFonts w:eastAsia="Calibri"/>
        </w:rPr>
        <w:lastRenderedPageBreak/>
        <w:t xml:space="preserve">How much funding is available for this </w:t>
      </w:r>
      <w:r>
        <w:rPr>
          <w:rFonts w:eastAsia="Calibri"/>
        </w:rPr>
        <w:t>Program</w:t>
      </w:r>
      <w:r w:rsidRPr="00496141">
        <w:rPr>
          <w:rFonts w:eastAsia="Calibri"/>
        </w:rPr>
        <w:t>?</w:t>
      </w:r>
    </w:p>
    <w:p w14:paraId="0E094FC1" w14:textId="3AC293C6" w:rsidR="00EA094D" w:rsidRPr="00EA094D" w:rsidRDefault="00E13027" w:rsidP="005E3A55">
      <w:pPr>
        <w:keepNext/>
        <w:keepLines/>
        <w:spacing w:line="280" w:lineRule="atLeast"/>
        <w:ind w:left="425"/>
        <w:rPr>
          <w:lang w:eastAsia="en-AU"/>
        </w:rPr>
      </w:pPr>
      <w:r>
        <w:rPr>
          <w:lang w:eastAsia="en-AU"/>
        </w:rPr>
        <w:t>A</w:t>
      </w:r>
      <w:r w:rsidR="00EA094D" w:rsidRPr="00EA094D">
        <w:rPr>
          <w:lang w:eastAsia="en-AU"/>
        </w:rPr>
        <w:t xml:space="preserve"> total of up to $63.0 million (GST exclusive) over </w:t>
      </w:r>
      <w:r w:rsidR="002655A7">
        <w:rPr>
          <w:lang w:eastAsia="en-AU"/>
        </w:rPr>
        <w:t>5</w:t>
      </w:r>
      <w:r w:rsidR="00EA094D" w:rsidRPr="00EA094D">
        <w:rPr>
          <w:lang w:eastAsia="en-AU"/>
        </w:rPr>
        <w:t xml:space="preserve"> years</w:t>
      </w:r>
      <w:r>
        <w:rPr>
          <w:lang w:eastAsia="en-AU"/>
        </w:rPr>
        <w:t xml:space="preserve"> is available</w:t>
      </w:r>
      <w:r w:rsidR="00EA094D" w:rsidRPr="00EA094D">
        <w:rPr>
          <w:lang w:eastAsia="en-AU"/>
        </w:rPr>
        <w:t xml:space="preserve"> for the Strong and Resilient Communities </w:t>
      </w:r>
      <w:r w:rsidR="00AE3FD3">
        <w:rPr>
          <w:lang w:eastAsia="en-AU"/>
        </w:rPr>
        <w:t xml:space="preserve">(SARC) </w:t>
      </w:r>
      <w:r w:rsidR="00EA094D" w:rsidRPr="00EA094D">
        <w:rPr>
          <w:lang w:eastAsia="en-AU"/>
        </w:rPr>
        <w:t>Activity</w:t>
      </w:r>
      <w:r w:rsidR="00AE3FD3">
        <w:rPr>
          <w:lang w:eastAsia="en-AU"/>
        </w:rPr>
        <w:t xml:space="preserve"> – Inclusive Communities Grants</w:t>
      </w:r>
      <w:r w:rsidR="00EA094D" w:rsidRPr="00EA094D">
        <w:rPr>
          <w:lang w:eastAsia="en-AU"/>
        </w:rPr>
        <w:t xml:space="preserve">. </w:t>
      </w:r>
    </w:p>
    <w:p w14:paraId="17D7C6D7" w14:textId="55ABE56D" w:rsidR="00EA094D" w:rsidRDefault="00EA094D" w:rsidP="005E3A55">
      <w:pPr>
        <w:keepNext/>
        <w:keepLines/>
        <w:spacing w:line="280" w:lineRule="atLeast"/>
        <w:ind w:left="425"/>
        <w:rPr>
          <w:lang w:eastAsia="en-AU"/>
        </w:rPr>
      </w:pPr>
      <w:r w:rsidRPr="00CB356F">
        <w:rPr>
          <w:lang w:eastAsia="en-AU"/>
        </w:rPr>
        <w:t xml:space="preserve">This grant opportunity </w:t>
      </w:r>
      <w:r>
        <w:rPr>
          <w:lang w:eastAsia="en-AU"/>
        </w:rPr>
        <w:t>seeks applications for projects to be delivered</w:t>
      </w:r>
      <w:r w:rsidRPr="00CB356F">
        <w:rPr>
          <w:lang w:eastAsia="en-AU"/>
        </w:rPr>
        <w:t xml:space="preserve"> </w:t>
      </w:r>
      <w:r w:rsidR="004A1301">
        <w:rPr>
          <w:lang w:eastAsia="en-AU"/>
        </w:rPr>
        <w:t xml:space="preserve">over </w:t>
      </w:r>
      <w:r w:rsidR="002655A7">
        <w:rPr>
          <w:lang w:eastAsia="en-AU"/>
        </w:rPr>
        <w:t>2</w:t>
      </w:r>
      <w:r w:rsidR="004A1301">
        <w:rPr>
          <w:lang w:eastAsia="en-AU"/>
        </w:rPr>
        <w:t xml:space="preserve"> years </w:t>
      </w:r>
      <w:r w:rsidRPr="00CB356F">
        <w:rPr>
          <w:lang w:eastAsia="en-AU"/>
        </w:rPr>
        <w:t xml:space="preserve">from </w:t>
      </w:r>
      <w:r w:rsidRPr="00E20901">
        <w:rPr>
          <w:lang w:eastAsia="en-AU"/>
        </w:rPr>
        <w:t>1</w:t>
      </w:r>
      <w:r w:rsidR="004A1301">
        <w:rPr>
          <w:lang w:eastAsia="en-AU"/>
        </w:rPr>
        <w:t> </w:t>
      </w:r>
      <w:r w:rsidRPr="00E20901">
        <w:rPr>
          <w:lang w:eastAsia="en-AU"/>
        </w:rPr>
        <w:t>July 2022 to 30 June 2024</w:t>
      </w:r>
      <w:r w:rsidRPr="00455742">
        <w:rPr>
          <w:lang w:eastAsia="en-AU"/>
        </w:rPr>
        <w:t>.</w:t>
      </w:r>
      <w:r w:rsidR="004A1301">
        <w:rPr>
          <w:lang w:eastAsia="en-AU"/>
        </w:rPr>
        <w:t xml:space="preserve"> </w:t>
      </w:r>
      <w:r w:rsidR="00D43702" w:rsidRPr="00D43702">
        <w:rPr>
          <w:lang w:eastAsia="en-AU"/>
        </w:rPr>
        <w:t>Grant funding of up to $180,000 per year</w:t>
      </w:r>
      <w:r w:rsidR="00D43702">
        <w:rPr>
          <w:lang w:eastAsia="en-AU"/>
        </w:rPr>
        <w:t xml:space="preserve"> (GST exclusive)</w:t>
      </w:r>
      <w:r w:rsidR="00D43702" w:rsidRPr="00D43702">
        <w:rPr>
          <w:lang w:eastAsia="en-AU"/>
        </w:rPr>
        <w:t>, per project will be available to eligible organisations t</w:t>
      </w:r>
      <w:r w:rsidR="007B3E26">
        <w:rPr>
          <w:lang w:eastAsia="en-AU"/>
        </w:rPr>
        <w:t>o deliver one-off time-limited</w:t>
      </w:r>
      <w:r w:rsidR="00D43702" w:rsidRPr="00D43702">
        <w:rPr>
          <w:lang w:eastAsia="en-AU"/>
        </w:rPr>
        <w:t xml:space="preserve"> projects in their communities.</w:t>
      </w:r>
      <w:r w:rsidR="00D43702">
        <w:rPr>
          <w:lang w:eastAsia="en-AU"/>
        </w:rPr>
        <w:t xml:space="preserve"> </w:t>
      </w:r>
      <w:r w:rsidRPr="004A1301">
        <w:rPr>
          <w:lang w:eastAsia="en-AU"/>
        </w:rPr>
        <w:t>The maximum grant amount is $360,000 (GST exclusive).</w:t>
      </w:r>
    </w:p>
    <w:p w14:paraId="049EB08E" w14:textId="77777777" w:rsidR="00637524" w:rsidRPr="00AA5A0A" w:rsidRDefault="00637524" w:rsidP="005E3A55">
      <w:pPr>
        <w:pStyle w:val="Heading2"/>
        <w:numPr>
          <w:ilvl w:val="0"/>
          <w:numId w:val="6"/>
        </w:numPr>
        <w:spacing w:before="0"/>
        <w:ind w:left="426" w:hanging="426"/>
        <w:rPr>
          <w:rFonts w:eastAsia="Calibri"/>
        </w:rPr>
      </w:pPr>
      <w:r w:rsidRPr="00754894">
        <w:rPr>
          <w:rFonts w:eastAsia="Calibri"/>
        </w:rPr>
        <w:t>Can organisations submit more than one application?</w:t>
      </w:r>
    </w:p>
    <w:p w14:paraId="56E7E298" w14:textId="77777777" w:rsidR="00637524" w:rsidRDefault="00637524" w:rsidP="005E3A55">
      <w:pPr>
        <w:spacing w:line="280" w:lineRule="atLeast"/>
        <w:ind w:left="425"/>
        <w:rPr>
          <w:rFonts w:eastAsiaTheme="majorEastAsia"/>
        </w:rPr>
      </w:pPr>
      <w:r w:rsidRPr="00754894">
        <w:rPr>
          <w:rFonts w:eastAsiaTheme="majorEastAsia"/>
        </w:rPr>
        <w:t xml:space="preserve">Yes. Organisations can submit more than one application provided the different applications </w:t>
      </w:r>
      <w:proofErr w:type="gramStart"/>
      <w:r w:rsidRPr="00C9051C">
        <w:rPr>
          <w:rFonts w:eastAsiaTheme="majorEastAsia"/>
        </w:rPr>
        <w:t>propose</w:t>
      </w:r>
      <w:proofErr w:type="gramEnd"/>
      <w:r w:rsidRPr="00C9051C">
        <w:rPr>
          <w:rFonts w:eastAsiaTheme="majorEastAsia"/>
        </w:rPr>
        <w:t xml:space="preserve"> different projects and/or address different needs. Submitting more than one application does not provide an organisation any advantage or greater chance of funding and there</w:t>
      </w:r>
      <w:r w:rsidRPr="00754894">
        <w:rPr>
          <w:rFonts w:eastAsiaTheme="majorEastAsia"/>
        </w:rPr>
        <w:t xml:space="preserve"> is no guarantee that any or all proposals will be granted funding.</w:t>
      </w:r>
    </w:p>
    <w:p w14:paraId="18ECC51A" w14:textId="77777777" w:rsidR="00637524" w:rsidRPr="00AA5A0A" w:rsidRDefault="00637524" w:rsidP="005E3A55">
      <w:pPr>
        <w:pStyle w:val="Heading2"/>
        <w:numPr>
          <w:ilvl w:val="0"/>
          <w:numId w:val="6"/>
        </w:numPr>
        <w:spacing w:before="0"/>
        <w:ind w:left="426" w:hanging="426"/>
        <w:rPr>
          <w:rFonts w:eastAsia="Calibri"/>
        </w:rPr>
      </w:pPr>
      <w:r w:rsidRPr="00374985">
        <w:rPr>
          <w:rFonts w:eastAsia="Calibri"/>
        </w:rPr>
        <w:t>Can</w:t>
      </w:r>
      <w:r w:rsidRPr="004A1301">
        <w:rPr>
          <w:rFonts w:eastAsia="Calibri"/>
        </w:rPr>
        <w:t xml:space="preserve"> organisations propose projects that operate through partnerships and/or consortia?</w:t>
      </w:r>
    </w:p>
    <w:p w14:paraId="1A3BD673" w14:textId="4E522ECA" w:rsidR="00637524" w:rsidRPr="005E3A55" w:rsidRDefault="00637524" w:rsidP="005E3A55">
      <w:pPr>
        <w:spacing w:line="280" w:lineRule="atLeast"/>
        <w:ind w:left="425"/>
        <w:rPr>
          <w:rFonts w:eastAsiaTheme="majorEastAsia"/>
        </w:rPr>
      </w:pPr>
      <w:r w:rsidRPr="005E3A55">
        <w:rPr>
          <w:rFonts w:eastAsiaTheme="majorEastAsia"/>
        </w:rPr>
        <w:t>Project proposals that operate through various partnership and/or consortia models may be considered for the SARC Activity – Inclusive Communities Grants. Where partnership and/or consortia models have been identified, evidence outlining all parties’ agreement to the consortia arrangements must be attached to the application.</w:t>
      </w:r>
    </w:p>
    <w:p w14:paraId="13455CF1" w14:textId="6E2B9D3B" w:rsidR="00CC1B7B" w:rsidRPr="00496141" w:rsidRDefault="00CC1B7B" w:rsidP="005B50BE">
      <w:pPr>
        <w:pStyle w:val="Heading2"/>
        <w:numPr>
          <w:ilvl w:val="0"/>
          <w:numId w:val="6"/>
        </w:numPr>
        <w:spacing w:before="0"/>
        <w:ind w:left="426" w:hanging="426"/>
        <w:rPr>
          <w:rFonts w:eastAsia="Calibri"/>
        </w:rPr>
      </w:pPr>
      <w:r w:rsidRPr="00496141">
        <w:rPr>
          <w:rFonts w:eastAsia="Calibri"/>
        </w:rPr>
        <w:t>Is the funding on-going?</w:t>
      </w:r>
    </w:p>
    <w:p w14:paraId="670B323C" w14:textId="3E8D5FEA" w:rsidR="00E94149" w:rsidRDefault="003051DF" w:rsidP="005E3A55">
      <w:pPr>
        <w:spacing w:line="280" w:lineRule="atLeast"/>
        <w:ind w:left="425"/>
        <w:rPr>
          <w:lang w:eastAsia="en-AU"/>
        </w:rPr>
      </w:pPr>
      <w:r>
        <w:t xml:space="preserve">The </w:t>
      </w:r>
      <w:r>
        <w:rPr>
          <w:rFonts w:cs="Arial"/>
          <w:color w:val="000000" w:themeColor="text1"/>
        </w:rPr>
        <w:t xml:space="preserve">SARC Activity – Inclusive Communities Grants </w:t>
      </w:r>
      <w:r>
        <w:t xml:space="preserve">will run over 5 years from 1 July 2022 to 30 June 2027. An annual submission period will run, with grant applications being considered </w:t>
      </w:r>
      <w:r w:rsidRPr="003051DF">
        <w:rPr>
          <w:lang w:eastAsia="en-AU"/>
        </w:rPr>
        <w:t xml:space="preserve">for </w:t>
      </w:r>
      <w:r w:rsidR="002655A7">
        <w:rPr>
          <w:lang w:eastAsia="en-AU"/>
        </w:rPr>
        <w:t>2</w:t>
      </w:r>
      <w:r w:rsidRPr="003051DF">
        <w:rPr>
          <w:lang w:eastAsia="en-AU"/>
        </w:rPr>
        <w:t xml:space="preserve"> years of funding to deliver one-off, time limited projects</w:t>
      </w:r>
      <w:r>
        <w:rPr>
          <w:lang w:eastAsia="en-AU"/>
        </w:rPr>
        <w:t>. This grant opportunity seeks</w:t>
      </w:r>
      <w:r>
        <w:t xml:space="preserve"> applications for projects to be delivered from 1 July 2022 to 30 June 2024.</w:t>
      </w:r>
      <w:r w:rsidR="00EA094D" w:rsidRPr="00EA094D">
        <w:rPr>
          <w:lang w:eastAsia="en-AU"/>
        </w:rPr>
        <w:tab/>
      </w:r>
    </w:p>
    <w:p w14:paraId="0440FCA9" w14:textId="019891C1" w:rsidR="007544DC" w:rsidRPr="00C9051C" w:rsidRDefault="00E622C3" w:rsidP="00C9051C">
      <w:pPr>
        <w:pStyle w:val="Heading2"/>
        <w:numPr>
          <w:ilvl w:val="0"/>
          <w:numId w:val="6"/>
        </w:numPr>
        <w:spacing w:before="0"/>
        <w:ind w:left="426" w:hanging="426"/>
        <w:rPr>
          <w:rFonts w:eastAsia="Calibri"/>
        </w:rPr>
      </w:pPr>
      <w:r>
        <w:rPr>
          <w:rFonts w:eastAsia="Calibri"/>
        </w:rPr>
        <w:t>Why did the D</w:t>
      </w:r>
      <w:r w:rsidR="007544DC" w:rsidRPr="00C9051C">
        <w:rPr>
          <w:rFonts w:eastAsia="Calibri"/>
        </w:rPr>
        <w:t>epartment</w:t>
      </w:r>
      <w:r>
        <w:rPr>
          <w:rFonts w:eastAsia="Calibri"/>
        </w:rPr>
        <w:t xml:space="preserve"> of Social Services</w:t>
      </w:r>
      <w:r w:rsidR="007544DC" w:rsidRPr="00C9051C">
        <w:rPr>
          <w:rFonts w:eastAsia="Calibri"/>
        </w:rPr>
        <w:t xml:space="preserve"> implement a ‘rolling grant round’ approach?</w:t>
      </w:r>
    </w:p>
    <w:p w14:paraId="3535E286" w14:textId="50A55B44" w:rsidR="007544DC" w:rsidRDefault="007544DC" w:rsidP="005E3A55">
      <w:pPr>
        <w:spacing w:line="280" w:lineRule="atLeast"/>
        <w:ind w:left="425"/>
        <w:rPr>
          <w:lang w:eastAsia="en-AU"/>
        </w:rPr>
      </w:pPr>
      <w:r w:rsidRPr="00D43702">
        <w:rPr>
          <w:lang w:eastAsia="en-AU"/>
        </w:rPr>
        <w:t>The rationale for the rolling grant rounds is to ensure that the funding available is well targeted, maximises impact and can respond to emerging need.</w:t>
      </w:r>
    </w:p>
    <w:p w14:paraId="7F698029" w14:textId="645EFBA6" w:rsidR="007544DC" w:rsidRDefault="00F7781C" w:rsidP="005E3A55">
      <w:pPr>
        <w:spacing w:line="280" w:lineRule="atLeast"/>
        <w:ind w:left="425"/>
        <w:rPr>
          <w:lang w:eastAsia="en-AU"/>
        </w:rPr>
      </w:pPr>
      <w:r>
        <w:rPr>
          <w:lang w:eastAsia="en-AU"/>
        </w:rPr>
        <w:t>The De</w:t>
      </w:r>
      <w:r w:rsidR="007544DC">
        <w:rPr>
          <w:lang w:eastAsia="en-AU"/>
        </w:rPr>
        <w:t>partment</w:t>
      </w:r>
      <w:r>
        <w:rPr>
          <w:lang w:eastAsia="en-AU"/>
        </w:rPr>
        <w:t xml:space="preserve"> of Social Services</w:t>
      </w:r>
      <w:r w:rsidR="007544DC">
        <w:rPr>
          <w:lang w:eastAsia="en-AU"/>
        </w:rPr>
        <w:t xml:space="preserve"> </w:t>
      </w:r>
      <w:r w:rsidR="00486888">
        <w:rPr>
          <w:lang w:eastAsia="en-AU"/>
        </w:rPr>
        <w:t xml:space="preserve">(the department) </w:t>
      </w:r>
      <w:r w:rsidR="007544DC">
        <w:rPr>
          <w:lang w:eastAsia="en-AU"/>
        </w:rPr>
        <w:t xml:space="preserve">will run </w:t>
      </w:r>
      <w:r w:rsidR="003051DF">
        <w:rPr>
          <w:lang w:eastAsia="en-AU"/>
        </w:rPr>
        <w:t xml:space="preserve">annual </w:t>
      </w:r>
      <w:r w:rsidR="007544DC">
        <w:rPr>
          <w:lang w:eastAsia="en-AU"/>
        </w:rPr>
        <w:t>open competitive grant rounds, which will provide</w:t>
      </w:r>
      <w:r w:rsidR="007544DC" w:rsidRPr="004E2C8E">
        <w:rPr>
          <w:lang w:eastAsia="en-AU"/>
        </w:rPr>
        <w:t xml:space="preserve"> organisations</w:t>
      </w:r>
      <w:r w:rsidR="007544DC">
        <w:rPr>
          <w:lang w:eastAsia="en-AU"/>
        </w:rPr>
        <w:t xml:space="preserve"> with</w:t>
      </w:r>
      <w:r w:rsidR="007544DC" w:rsidRPr="004E2C8E">
        <w:rPr>
          <w:lang w:eastAsia="en-AU"/>
        </w:rPr>
        <w:t xml:space="preserve"> regular opportunities to bid for funding.</w:t>
      </w:r>
    </w:p>
    <w:p w14:paraId="0C9C1E1F" w14:textId="588A32C4" w:rsidR="00345F74" w:rsidRDefault="00363C98" w:rsidP="006D6E17">
      <w:pPr>
        <w:pStyle w:val="Heading2"/>
        <w:numPr>
          <w:ilvl w:val="0"/>
          <w:numId w:val="6"/>
        </w:numPr>
        <w:spacing w:before="0"/>
        <w:ind w:left="426" w:hanging="426"/>
        <w:rPr>
          <w:rFonts w:eastAsia="Calibri"/>
          <w:szCs w:val="24"/>
        </w:rPr>
      </w:pPr>
      <w:r>
        <w:rPr>
          <w:rFonts w:eastAsia="Calibri"/>
          <w:szCs w:val="24"/>
        </w:rPr>
        <w:t>How and w</w:t>
      </w:r>
      <w:r w:rsidR="00345F74">
        <w:rPr>
          <w:rFonts w:eastAsia="Calibri"/>
          <w:szCs w:val="24"/>
        </w:rPr>
        <w:t>hy has the SARC</w:t>
      </w:r>
      <w:r w:rsidR="00AE3FD3">
        <w:rPr>
          <w:rFonts w:eastAsia="Calibri"/>
          <w:szCs w:val="24"/>
        </w:rPr>
        <w:t xml:space="preserve"> Activity</w:t>
      </w:r>
      <w:r w:rsidR="00B42438">
        <w:rPr>
          <w:rFonts w:eastAsia="Calibri"/>
          <w:szCs w:val="24"/>
        </w:rPr>
        <w:t xml:space="preserve"> – Inclusive Communities Grants</w:t>
      </w:r>
      <w:r w:rsidR="00345F74">
        <w:rPr>
          <w:rFonts w:eastAsia="Calibri"/>
          <w:szCs w:val="24"/>
        </w:rPr>
        <w:t xml:space="preserve"> changed </w:t>
      </w:r>
      <w:r>
        <w:rPr>
          <w:rFonts w:eastAsia="Calibri"/>
          <w:szCs w:val="24"/>
        </w:rPr>
        <w:t>since the last grant round?</w:t>
      </w:r>
    </w:p>
    <w:p w14:paraId="1CE8DABF" w14:textId="09E12875" w:rsidR="001A451C" w:rsidRPr="00B42438" w:rsidRDefault="001A451C" w:rsidP="005E3A55">
      <w:pPr>
        <w:spacing w:line="280" w:lineRule="atLeast"/>
        <w:ind w:left="425"/>
        <w:rPr>
          <w:lang w:eastAsia="en-AU"/>
        </w:rPr>
      </w:pPr>
      <w:r w:rsidRPr="00B42438">
        <w:rPr>
          <w:lang w:eastAsia="en-AU"/>
        </w:rPr>
        <w:t>The SARC Activity</w:t>
      </w:r>
      <w:r w:rsidR="00B42438" w:rsidRPr="00B42438">
        <w:rPr>
          <w:lang w:eastAsia="en-AU"/>
        </w:rPr>
        <w:t xml:space="preserve"> – Inclusive Communities Grants have</w:t>
      </w:r>
      <w:r w:rsidRPr="00B42438">
        <w:rPr>
          <w:lang w:eastAsia="en-AU"/>
        </w:rPr>
        <w:t xml:space="preserve"> been redesigned to better address emerging community needs and to strengthen alignment with current government policies. </w:t>
      </w:r>
    </w:p>
    <w:p w14:paraId="775B664C" w14:textId="27816C5F" w:rsidR="00B42438" w:rsidRPr="00B42438" w:rsidRDefault="0016311B" w:rsidP="005E3A55">
      <w:pPr>
        <w:spacing w:line="280" w:lineRule="atLeast"/>
        <w:ind w:left="425"/>
        <w:rPr>
          <w:lang w:eastAsia="en-AU"/>
        </w:rPr>
      </w:pPr>
      <w:r w:rsidRPr="00B42438">
        <w:rPr>
          <w:lang w:eastAsia="en-AU"/>
        </w:rPr>
        <w:t xml:space="preserve">In January 2020, the </w:t>
      </w:r>
      <w:r w:rsidR="00486888">
        <w:rPr>
          <w:lang w:eastAsia="en-AU"/>
        </w:rPr>
        <w:t>d</w:t>
      </w:r>
      <w:r w:rsidR="00F7781C">
        <w:rPr>
          <w:lang w:eastAsia="en-AU"/>
        </w:rPr>
        <w:t>epartment</w:t>
      </w:r>
      <w:r w:rsidRPr="00B42438">
        <w:rPr>
          <w:lang w:eastAsia="en-AU"/>
        </w:rPr>
        <w:t xml:space="preserve"> contracted the Social Research Centre to undertake an evaluation of the SARC grant activity. The evaluation sought to assess the effectiveness, appropriateness and performance of the SARC </w:t>
      </w:r>
      <w:r w:rsidR="00B42438" w:rsidRPr="00B42438">
        <w:rPr>
          <w:lang w:eastAsia="en-AU"/>
        </w:rPr>
        <w:t xml:space="preserve">grant </w:t>
      </w:r>
      <w:r w:rsidRPr="00B42438">
        <w:rPr>
          <w:lang w:eastAsia="en-AU"/>
        </w:rPr>
        <w:t xml:space="preserve">activity. </w:t>
      </w:r>
      <w:r w:rsidR="00363C98" w:rsidRPr="00B42438">
        <w:rPr>
          <w:lang w:eastAsia="en-AU"/>
        </w:rPr>
        <w:t xml:space="preserve">Findings from the evaluation </w:t>
      </w:r>
      <w:r w:rsidR="00363C98" w:rsidRPr="00B42438">
        <w:rPr>
          <w:lang w:eastAsia="en-AU"/>
        </w:rPr>
        <w:lastRenderedPageBreak/>
        <w:t>have been used to improve the design and</w:t>
      </w:r>
      <w:r w:rsidR="00B42438" w:rsidRPr="00B42438">
        <w:rPr>
          <w:lang w:eastAsia="en-AU"/>
        </w:rPr>
        <w:t xml:space="preserve"> focus of this and future SARC grant activity </w:t>
      </w:r>
      <w:r w:rsidR="00363C98" w:rsidRPr="00B42438">
        <w:rPr>
          <w:lang w:eastAsia="en-AU"/>
        </w:rPr>
        <w:t xml:space="preserve">opportunities. </w:t>
      </w:r>
    </w:p>
    <w:p w14:paraId="1985C2C3" w14:textId="7AB69F1C" w:rsidR="001A451C" w:rsidRPr="00B42438" w:rsidRDefault="0016311B" w:rsidP="005E3A55">
      <w:pPr>
        <w:spacing w:line="280" w:lineRule="atLeast"/>
        <w:ind w:left="425"/>
        <w:rPr>
          <w:lang w:eastAsia="en-AU"/>
        </w:rPr>
      </w:pPr>
      <w:r w:rsidRPr="00B42438">
        <w:rPr>
          <w:lang w:eastAsia="en-AU"/>
        </w:rPr>
        <w:t xml:space="preserve">Findings from the evaluation were largely positive, however opportunities for improvement were identified to more clearly define program outcomes and focus cohorts. </w:t>
      </w:r>
      <w:r w:rsidR="001A451C" w:rsidRPr="00B42438">
        <w:rPr>
          <w:lang w:eastAsia="en-AU"/>
        </w:rPr>
        <w:t>This has resulted in a strengthening of focus towards services that support vulne</w:t>
      </w:r>
      <w:r w:rsidR="00B42438" w:rsidRPr="00B42438">
        <w:rPr>
          <w:lang w:eastAsia="en-AU"/>
        </w:rPr>
        <w:t>rable and disadvantaged people</w:t>
      </w:r>
      <w:r w:rsidR="001A451C" w:rsidRPr="00B42438">
        <w:rPr>
          <w:lang w:eastAsia="en-AU"/>
        </w:rPr>
        <w:t>, to more equitably participate socially and economically in society.</w:t>
      </w:r>
      <w:r w:rsidR="007A4766" w:rsidRPr="00B42438">
        <w:rPr>
          <w:lang w:eastAsia="en-AU"/>
        </w:rPr>
        <w:t xml:space="preserve"> T</w:t>
      </w:r>
      <w:r w:rsidR="001A451C" w:rsidRPr="00B42438">
        <w:rPr>
          <w:lang w:eastAsia="en-AU"/>
        </w:rPr>
        <w:t xml:space="preserve">he re-designed program also establishes a new set of </w:t>
      </w:r>
      <w:r w:rsidR="00B42438" w:rsidRPr="00B42438">
        <w:rPr>
          <w:lang w:eastAsia="en-AU"/>
        </w:rPr>
        <w:t xml:space="preserve">four </w:t>
      </w:r>
      <w:r w:rsidR="001A451C" w:rsidRPr="00B42438">
        <w:rPr>
          <w:lang w:eastAsia="en-AU"/>
        </w:rPr>
        <w:t>priority cohorts.</w:t>
      </w:r>
    </w:p>
    <w:p w14:paraId="091FB04C" w14:textId="1C9E296C" w:rsidR="002826E0" w:rsidRPr="00B42438" w:rsidRDefault="0016311B" w:rsidP="005E3A55">
      <w:pPr>
        <w:spacing w:line="280" w:lineRule="atLeast"/>
        <w:ind w:left="425"/>
        <w:rPr>
          <w:lang w:eastAsia="en-AU"/>
        </w:rPr>
      </w:pPr>
      <w:r w:rsidRPr="00B42438">
        <w:rPr>
          <w:lang w:eastAsia="en-AU"/>
        </w:rPr>
        <w:t>The primary objective of the SARC Activity – Inclusive Communities Grants continues to be to build strong, resilient, cohesive and harmonious communities to ensure that individuals, families and communities have the opportunity to thrive.</w:t>
      </w:r>
    </w:p>
    <w:p w14:paraId="3883EBE2" w14:textId="1A678838" w:rsidR="00637524" w:rsidRPr="005E3A55" w:rsidRDefault="00637524" w:rsidP="005E3A55">
      <w:pPr>
        <w:pStyle w:val="Heading2"/>
        <w:numPr>
          <w:ilvl w:val="0"/>
          <w:numId w:val="6"/>
        </w:numPr>
        <w:spacing w:before="0"/>
        <w:ind w:left="426" w:hanging="426"/>
        <w:rPr>
          <w:rFonts w:eastAsia="Calibri"/>
          <w:b w:val="0"/>
          <w:bCs w:val="0"/>
        </w:rPr>
      </w:pPr>
      <w:r w:rsidRPr="001A46CB">
        <w:rPr>
          <w:rFonts w:eastAsia="Calibri"/>
          <w:szCs w:val="24"/>
        </w:rPr>
        <w:t xml:space="preserve">Why is the </w:t>
      </w:r>
      <w:r w:rsidR="00486888" w:rsidRPr="001A46CB">
        <w:rPr>
          <w:rFonts w:eastAsia="Calibri"/>
          <w:szCs w:val="24"/>
        </w:rPr>
        <w:t>d</w:t>
      </w:r>
      <w:r w:rsidRPr="001A46CB">
        <w:rPr>
          <w:rFonts w:eastAsia="Calibri"/>
          <w:szCs w:val="24"/>
        </w:rPr>
        <w:t>epartment</w:t>
      </w:r>
      <w:r w:rsidR="00193020" w:rsidRPr="001A46CB">
        <w:rPr>
          <w:rFonts w:eastAsia="Calibri"/>
          <w:szCs w:val="24"/>
        </w:rPr>
        <w:t xml:space="preserve"> </w:t>
      </w:r>
      <w:r w:rsidRPr="005E3A55">
        <w:rPr>
          <w:rFonts w:eastAsia="Calibri"/>
          <w:szCs w:val="24"/>
        </w:rPr>
        <w:t>emphasising the difference between outputs and outcomes for the SARC Activity – Inclusive Communities Grants?</w:t>
      </w:r>
    </w:p>
    <w:p w14:paraId="37FD0602" w14:textId="4BD46AB6" w:rsidR="00637524" w:rsidRDefault="00637524" w:rsidP="005E3A55">
      <w:pPr>
        <w:spacing w:line="280" w:lineRule="atLeast"/>
        <w:ind w:left="426"/>
        <w:rPr>
          <w:rFonts w:cs="Times New Roman"/>
          <w:szCs w:val="24"/>
        </w:rPr>
      </w:pPr>
      <w:r>
        <w:rPr>
          <w:rFonts w:cs="Times New Roman"/>
          <w:szCs w:val="24"/>
        </w:rPr>
        <w:t>Findings from the evaluation</w:t>
      </w:r>
      <w:r w:rsidR="00F7781C">
        <w:rPr>
          <w:rFonts w:cs="Times New Roman"/>
          <w:szCs w:val="24"/>
        </w:rPr>
        <w:t xml:space="preserve"> of the</w:t>
      </w:r>
      <w:r w:rsidR="00F7781C" w:rsidRPr="00F7781C">
        <w:rPr>
          <w:rFonts w:cs="Times New Roman"/>
          <w:szCs w:val="24"/>
        </w:rPr>
        <w:t xml:space="preserve"> </w:t>
      </w:r>
      <w:r w:rsidR="00F7781C">
        <w:rPr>
          <w:rFonts w:cs="Times New Roman"/>
          <w:szCs w:val="24"/>
        </w:rPr>
        <w:t>SARC program</w:t>
      </w:r>
      <w:r>
        <w:rPr>
          <w:rFonts w:cs="Times New Roman"/>
          <w:szCs w:val="24"/>
        </w:rPr>
        <w:t xml:space="preserve"> identified the opportunity for the SARC Activity – Inclusive Communities Grants to improve outcomes-focused data collection to ensure the effectiveness of SARC Activity projects.</w:t>
      </w:r>
    </w:p>
    <w:p w14:paraId="00DC4A74" w14:textId="015979A6" w:rsidR="00637524" w:rsidRDefault="00637524" w:rsidP="005E3A55">
      <w:pPr>
        <w:spacing w:line="280" w:lineRule="atLeast"/>
        <w:ind w:left="426"/>
        <w:rPr>
          <w:rFonts w:cs="Times New Roman"/>
          <w:szCs w:val="24"/>
        </w:rPr>
      </w:pPr>
      <w:r w:rsidRPr="00026B8C">
        <w:rPr>
          <w:rFonts w:cs="Times New Roman"/>
          <w:szCs w:val="24"/>
        </w:rPr>
        <w:t>Th</w:t>
      </w:r>
      <w:r>
        <w:rPr>
          <w:rFonts w:cs="Times New Roman"/>
          <w:szCs w:val="24"/>
        </w:rPr>
        <w:t>e</w:t>
      </w:r>
      <w:r w:rsidRPr="00026B8C">
        <w:rPr>
          <w:rFonts w:cs="Times New Roman"/>
          <w:szCs w:val="24"/>
        </w:rPr>
        <w:t xml:space="preserve"> </w:t>
      </w:r>
      <w:r w:rsidR="00486888">
        <w:rPr>
          <w:lang w:eastAsia="en-AU"/>
        </w:rPr>
        <w:t>d</w:t>
      </w:r>
      <w:r w:rsidR="00F7781C">
        <w:rPr>
          <w:lang w:eastAsia="en-AU"/>
        </w:rPr>
        <w:t xml:space="preserve">epartment </w:t>
      </w:r>
      <w:r w:rsidRPr="00026B8C">
        <w:rPr>
          <w:rFonts w:cs="Times New Roman"/>
          <w:szCs w:val="24"/>
        </w:rPr>
        <w:t xml:space="preserve">wants to understand what has changed for </w:t>
      </w:r>
      <w:r w:rsidR="00E13027">
        <w:rPr>
          <w:rFonts w:cs="Times New Roman"/>
          <w:szCs w:val="24"/>
        </w:rPr>
        <w:t xml:space="preserve">individuals </w:t>
      </w:r>
      <w:r w:rsidRPr="00026B8C">
        <w:rPr>
          <w:rFonts w:cs="Times New Roman"/>
          <w:szCs w:val="24"/>
        </w:rPr>
        <w:t xml:space="preserve">because of the SARC </w:t>
      </w:r>
      <w:r>
        <w:rPr>
          <w:rFonts w:cs="Times New Roman"/>
          <w:szCs w:val="24"/>
        </w:rPr>
        <w:t>Activity – Inclusive Communities Grants funding</w:t>
      </w:r>
      <w:r w:rsidRPr="00026B8C">
        <w:rPr>
          <w:rFonts w:cs="Times New Roman"/>
          <w:szCs w:val="24"/>
        </w:rPr>
        <w:t xml:space="preserve">. </w:t>
      </w:r>
      <w:r>
        <w:rPr>
          <w:rFonts w:cs="Times New Roman"/>
          <w:szCs w:val="24"/>
        </w:rPr>
        <w:t>At a higher level, measuring</w:t>
      </w:r>
      <w:r w:rsidRPr="00D17946">
        <w:rPr>
          <w:rFonts w:cs="Times New Roman"/>
          <w:szCs w:val="24"/>
        </w:rPr>
        <w:t xml:space="preserve"> outcomes </w:t>
      </w:r>
      <w:r w:rsidR="00F7781C">
        <w:rPr>
          <w:rFonts w:cs="Times New Roman"/>
          <w:szCs w:val="24"/>
        </w:rPr>
        <w:t>identifies</w:t>
      </w:r>
      <w:r w:rsidRPr="00D17946">
        <w:rPr>
          <w:rFonts w:cs="Times New Roman"/>
          <w:szCs w:val="24"/>
        </w:rPr>
        <w:t xml:space="preserve"> how effective </w:t>
      </w:r>
      <w:r>
        <w:rPr>
          <w:rFonts w:cs="Times New Roman"/>
          <w:szCs w:val="24"/>
        </w:rPr>
        <w:t xml:space="preserve">the </w:t>
      </w:r>
      <w:r w:rsidRPr="00D17946">
        <w:rPr>
          <w:rFonts w:cs="Times New Roman"/>
          <w:szCs w:val="24"/>
        </w:rPr>
        <w:t xml:space="preserve">program </w:t>
      </w:r>
      <w:r>
        <w:rPr>
          <w:rFonts w:cs="Times New Roman"/>
          <w:szCs w:val="24"/>
        </w:rPr>
        <w:t xml:space="preserve">overall </w:t>
      </w:r>
      <w:r w:rsidRPr="00D17946">
        <w:rPr>
          <w:rFonts w:cs="Times New Roman"/>
          <w:szCs w:val="24"/>
        </w:rPr>
        <w:t>has been.</w:t>
      </w:r>
    </w:p>
    <w:p w14:paraId="1E2101CF" w14:textId="77777777" w:rsidR="00637524" w:rsidRPr="00026B8C" w:rsidRDefault="00637524" w:rsidP="005E3A55">
      <w:pPr>
        <w:spacing w:line="280" w:lineRule="atLeast"/>
        <w:ind w:left="426"/>
        <w:rPr>
          <w:rFonts w:cs="Times New Roman"/>
          <w:szCs w:val="24"/>
        </w:rPr>
      </w:pPr>
      <w:r w:rsidRPr="00026B8C">
        <w:rPr>
          <w:rFonts w:cs="Times New Roman"/>
          <w:szCs w:val="24"/>
        </w:rPr>
        <w:t xml:space="preserve">Measuring </w:t>
      </w:r>
      <w:r>
        <w:rPr>
          <w:rFonts w:cs="Times New Roman"/>
          <w:szCs w:val="24"/>
        </w:rPr>
        <w:t>outcomes also benefits grant recipients</w:t>
      </w:r>
      <w:r w:rsidRPr="00026B8C">
        <w:rPr>
          <w:rFonts w:cs="Times New Roman"/>
          <w:szCs w:val="24"/>
        </w:rPr>
        <w:t xml:space="preserve">. By recording outcomes data, you can: </w:t>
      </w:r>
    </w:p>
    <w:p w14:paraId="734F287B" w14:textId="609C96F1" w:rsidR="00637524" w:rsidRPr="0012771B" w:rsidRDefault="00637524" w:rsidP="005E3A55">
      <w:pPr>
        <w:pStyle w:val="ListParagraph"/>
        <w:numPr>
          <w:ilvl w:val="0"/>
          <w:numId w:val="21"/>
        </w:numPr>
        <w:spacing w:before="0" w:after="200"/>
        <w:ind w:left="782" w:hanging="357"/>
        <w:rPr>
          <w:rFonts w:eastAsiaTheme="minorHAnsi"/>
          <w:sz w:val="22"/>
          <w:szCs w:val="22"/>
        </w:rPr>
      </w:pPr>
      <w:r w:rsidRPr="0012771B">
        <w:rPr>
          <w:rFonts w:eastAsiaTheme="minorHAnsi"/>
          <w:sz w:val="22"/>
          <w:szCs w:val="22"/>
        </w:rPr>
        <w:t>demonstrate the positive changes you are making to people’s lives</w:t>
      </w:r>
    </w:p>
    <w:p w14:paraId="3ED0EA90" w14:textId="725779E2" w:rsidR="00637524" w:rsidRPr="0012771B" w:rsidRDefault="00637524" w:rsidP="005E3A55">
      <w:pPr>
        <w:pStyle w:val="ListParagraph"/>
        <w:numPr>
          <w:ilvl w:val="0"/>
          <w:numId w:val="21"/>
        </w:numPr>
        <w:spacing w:before="0" w:after="200"/>
        <w:ind w:left="782" w:hanging="357"/>
        <w:rPr>
          <w:rFonts w:eastAsiaTheme="minorHAnsi"/>
          <w:sz w:val="22"/>
          <w:szCs w:val="22"/>
        </w:rPr>
      </w:pPr>
      <w:r w:rsidRPr="0012771B">
        <w:rPr>
          <w:rFonts w:eastAsiaTheme="minorHAnsi"/>
          <w:sz w:val="22"/>
          <w:szCs w:val="22"/>
        </w:rPr>
        <w:t>prioritise and allocate resources where they are most needed or can make the most difference, and modify your service delivery as needed</w:t>
      </w:r>
    </w:p>
    <w:p w14:paraId="5807A64E" w14:textId="1A966AD5" w:rsidR="00637524" w:rsidRPr="00637524" w:rsidRDefault="00637524" w:rsidP="005E3A55">
      <w:pPr>
        <w:pStyle w:val="ListParagraph"/>
        <w:numPr>
          <w:ilvl w:val="0"/>
          <w:numId w:val="21"/>
        </w:numPr>
        <w:spacing w:before="0" w:after="200"/>
        <w:ind w:left="782" w:hanging="357"/>
        <w:rPr>
          <w:rFonts w:eastAsiaTheme="minorHAnsi"/>
          <w:sz w:val="22"/>
          <w:szCs w:val="22"/>
        </w:rPr>
      </w:pPr>
      <w:proofErr w:type="gramStart"/>
      <w:r w:rsidRPr="0012771B">
        <w:rPr>
          <w:rFonts w:eastAsiaTheme="minorHAnsi"/>
          <w:sz w:val="22"/>
          <w:szCs w:val="22"/>
        </w:rPr>
        <w:t>know</w:t>
      </w:r>
      <w:proofErr w:type="gramEnd"/>
      <w:r w:rsidRPr="0012771B">
        <w:rPr>
          <w:rFonts w:eastAsiaTheme="minorHAnsi"/>
          <w:sz w:val="22"/>
          <w:szCs w:val="22"/>
        </w:rPr>
        <w:t xml:space="preserve"> that you are making a difference to your clients and the community.</w:t>
      </w:r>
    </w:p>
    <w:p w14:paraId="64FE5769" w14:textId="41118427" w:rsidR="002826E0" w:rsidRPr="00032491" w:rsidRDefault="00032491" w:rsidP="00C9051C">
      <w:pPr>
        <w:pStyle w:val="Heading2"/>
        <w:numPr>
          <w:ilvl w:val="0"/>
          <w:numId w:val="6"/>
        </w:numPr>
        <w:spacing w:before="0"/>
        <w:ind w:left="426" w:hanging="426"/>
        <w:rPr>
          <w:rFonts w:eastAsia="Calibri"/>
          <w:szCs w:val="24"/>
        </w:rPr>
      </w:pPr>
      <w:r w:rsidRPr="00032491">
        <w:rPr>
          <w:rFonts w:eastAsia="Calibri"/>
          <w:szCs w:val="24"/>
        </w:rPr>
        <w:t>Which cohorts will be prioritised in this grant round?</w:t>
      </w:r>
    </w:p>
    <w:p w14:paraId="0BA191E8" w14:textId="0A6A1FC3" w:rsidR="00032491" w:rsidRPr="00B42438" w:rsidRDefault="00032491" w:rsidP="005E3A55">
      <w:pPr>
        <w:spacing w:line="280" w:lineRule="atLeast"/>
        <w:ind w:left="426"/>
        <w:rPr>
          <w:lang w:eastAsia="en-AU"/>
        </w:rPr>
      </w:pPr>
      <w:r w:rsidRPr="00B42438">
        <w:rPr>
          <w:lang w:eastAsia="en-AU"/>
        </w:rPr>
        <w:t xml:space="preserve">The following </w:t>
      </w:r>
      <w:r w:rsidR="00B42438">
        <w:rPr>
          <w:lang w:eastAsia="en-AU"/>
        </w:rPr>
        <w:t xml:space="preserve">target </w:t>
      </w:r>
      <w:r w:rsidRPr="00B42438">
        <w:rPr>
          <w:lang w:eastAsia="en-AU"/>
        </w:rPr>
        <w:t>cohorts will be pr</w:t>
      </w:r>
      <w:r w:rsidR="00637524">
        <w:rPr>
          <w:lang w:eastAsia="en-AU"/>
        </w:rPr>
        <w:t xml:space="preserve">ioritised as part of the </w:t>
      </w:r>
      <w:r w:rsidRPr="00B42438">
        <w:rPr>
          <w:lang w:eastAsia="en-AU"/>
        </w:rPr>
        <w:t xml:space="preserve">SARC Activity – Inclusive Communities Grants: </w:t>
      </w:r>
    </w:p>
    <w:p w14:paraId="50673624" w14:textId="6408B30D" w:rsidR="00032491" w:rsidRPr="00B42438" w:rsidRDefault="00F7781C" w:rsidP="005E3A55">
      <w:pPr>
        <w:pStyle w:val="ListParagraph"/>
        <w:numPr>
          <w:ilvl w:val="0"/>
          <w:numId w:val="21"/>
        </w:numPr>
        <w:spacing w:before="0" w:after="200"/>
        <w:ind w:left="782" w:hanging="357"/>
        <w:rPr>
          <w:rFonts w:eastAsiaTheme="minorHAnsi"/>
          <w:sz w:val="22"/>
          <w:szCs w:val="22"/>
        </w:rPr>
      </w:pPr>
      <w:r>
        <w:rPr>
          <w:rFonts w:eastAsiaTheme="minorHAnsi"/>
          <w:sz w:val="22"/>
          <w:szCs w:val="22"/>
        </w:rPr>
        <w:t>Young people aged 12 to 18</w:t>
      </w:r>
      <w:r w:rsidR="00032491" w:rsidRPr="00B42438">
        <w:rPr>
          <w:rFonts w:eastAsiaTheme="minorHAnsi"/>
          <w:sz w:val="22"/>
          <w:szCs w:val="22"/>
        </w:rPr>
        <w:t xml:space="preserve"> years who are, or are at risk of</w:t>
      </w:r>
      <w:r w:rsidR="00B42438">
        <w:rPr>
          <w:rFonts w:eastAsiaTheme="minorHAnsi"/>
          <w:sz w:val="22"/>
          <w:szCs w:val="22"/>
        </w:rPr>
        <w:t xml:space="preserve"> being</w:t>
      </w:r>
      <w:r w:rsidR="00032491" w:rsidRPr="00B42438">
        <w:rPr>
          <w:rFonts w:eastAsiaTheme="minorHAnsi"/>
          <w:sz w:val="22"/>
          <w:szCs w:val="22"/>
        </w:rPr>
        <w:t>, disengaged, marginalised and having li</w:t>
      </w:r>
      <w:r w:rsidR="008A4FAF">
        <w:rPr>
          <w:rFonts w:eastAsiaTheme="minorHAnsi"/>
          <w:sz w:val="22"/>
          <w:szCs w:val="22"/>
        </w:rPr>
        <w:t>mited engagement with education/</w:t>
      </w:r>
      <w:r w:rsidR="00032491" w:rsidRPr="00B42438">
        <w:rPr>
          <w:rFonts w:eastAsiaTheme="minorHAnsi"/>
          <w:sz w:val="22"/>
          <w:szCs w:val="22"/>
        </w:rPr>
        <w:t xml:space="preserve">training </w:t>
      </w:r>
    </w:p>
    <w:p w14:paraId="2294DA26" w14:textId="11FF2A1F" w:rsidR="00032491" w:rsidRPr="00B42438" w:rsidRDefault="00032491" w:rsidP="005E3A55">
      <w:pPr>
        <w:pStyle w:val="ListParagraph"/>
        <w:numPr>
          <w:ilvl w:val="0"/>
          <w:numId w:val="21"/>
        </w:numPr>
        <w:spacing w:before="0" w:after="200"/>
        <w:ind w:left="782" w:hanging="357"/>
        <w:rPr>
          <w:rFonts w:eastAsiaTheme="minorHAnsi"/>
          <w:sz w:val="22"/>
          <w:szCs w:val="22"/>
        </w:rPr>
      </w:pPr>
      <w:r w:rsidRPr="00B42438">
        <w:rPr>
          <w:rFonts w:eastAsiaTheme="minorHAnsi"/>
          <w:sz w:val="22"/>
          <w:szCs w:val="22"/>
        </w:rPr>
        <w:t>People with disabilities and/or mental health issues requiring support to participate in their community, and work towards becoming and/or remaining independent and engaged</w:t>
      </w:r>
    </w:p>
    <w:p w14:paraId="438199D4" w14:textId="04FF9BDE" w:rsidR="00032491" w:rsidRPr="00B42438" w:rsidRDefault="00032491" w:rsidP="005E3A55">
      <w:pPr>
        <w:pStyle w:val="ListParagraph"/>
        <w:numPr>
          <w:ilvl w:val="0"/>
          <w:numId w:val="21"/>
        </w:numPr>
        <w:spacing w:before="0" w:after="200"/>
        <w:ind w:left="782" w:hanging="357"/>
        <w:rPr>
          <w:rFonts w:eastAsiaTheme="minorHAnsi"/>
          <w:sz w:val="22"/>
          <w:szCs w:val="22"/>
        </w:rPr>
      </w:pPr>
      <w:r w:rsidRPr="00B42438">
        <w:rPr>
          <w:rFonts w:eastAsiaTheme="minorHAnsi"/>
          <w:sz w:val="22"/>
          <w:szCs w:val="22"/>
        </w:rPr>
        <w:t>Vulnerable women who are, or are at risk of</w:t>
      </w:r>
      <w:r w:rsidR="00B42438">
        <w:rPr>
          <w:rFonts w:eastAsiaTheme="minorHAnsi"/>
          <w:sz w:val="22"/>
          <w:szCs w:val="22"/>
        </w:rPr>
        <w:t>,</w:t>
      </w:r>
      <w:r w:rsidRPr="00B42438">
        <w:rPr>
          <w:rFonts w:eastAsiaTheme="minorHAnsi"/>
          <w:sz w:val="22"/>
          <w:szCs w:val="22"/>
        </w:rPr>
        <w:t xml:space="preserve"> social isolation and exclusion requiring support to participate in their community and increase their sense of self agency and empowerment</w:t>
      </w:r>
    </w:p>
    <w:p w14:paraId="10794F6A" w14:textId="469E419D" w:rsidR="00F74128" w:rsidRPr="00B42438" w:rsidRDefault="00032491" w:rsidP="005E3A55">
      <w:pPr>
        <w:pStyle w:val="ListParagraph"/>
        <w:numPr>
          <w:ilvl w:val="0"/>
          <w:numId w:val="21"/>
        </w:numPr>
        <w:spacing w:before="0" w:after="200"/>
        <w:ind w:left="782" w:hanging="357"/>
        <w:rPr>
          <w:rFonts w:eastAsiaTheme="minorHAnsi"/>
          <w:sz w:val="22"/>
          <w:szCs w:val="22"/>
        </w:rPr>
      </w:pPr>
      <w:r w:rsidRPr="00B42438">
        <w:rPr>
          <w:rFonts w:eastAsiaTheme="minorHAnsi"/>
          <w:sz w:val="22"/>
          <w:szCs w:val="22"/>
        </w:rPr>
        <w:t xml:space="preserve">Unemployed people who face individual barriers to employment to support their increased capacity to </w:t>
      </w:r>
      <w:r w:rsidR="008A4FAF">
        <w:rPr>
          <w:rFonts w:eastAsiaTheme="minorHAnsi"/>
          <w:sz w:val="22"/>
          <w:szCs w:val="22"/>
        </w:rPr>
        <w:t>engage with existing employment/</w:t>
      </w:r>
      <w:r w:rsidRPr="00B42438">
        <w:rPr>
          <w:rFonts w:eastAsiaTheme="minorHAnsi"/>
          <w:sz w:val="22"/>
          <w:szCs w:val="22"/>
        </w:rPr>
        <w:t>training services and/or work towards gaining employment.</w:t>
      </w:r>
    </w:p>
    <w:p w14:paraId="1D8F012A" w14:textId="71A52889" w:rsidR="00F74128" w:rsidRPr="004A1301" w:rsidRDefault="00F74128" w:rsidP="00F74128">
      <w:pPr>
        <w:pStyle w:val="Heading2"/>
        <w:numPr>
          <w:ilvl w:val="0"/>
          <w:numId w:val="6"/>
        </w:numPr>
        <w:spacing w:before="0"/>
        <w:ind w:left="426" w:hanging="426"/>
        <w:rPr>
          <w:rFonts w:eastAsia="Calibri"/>
          <w:szCs w:val="24"/>
        </w:rPr>
      </w:pPr>
      <w:r w:rsidRPr="004A1301">
        <w:rPr>
          <w:rFonts w:eastAsia="Calibri"/>
          <w:szCs w:val="24"/>
        </w:rPr>
        <w:lastRenderedPageBreak/>
        <w:t xml:space="preserve">Can proposals address the issues of combinations of target </w:t>
      </w:r>
      <w:r w:rsidR="00B42438">
        <w:rPr>
          <w:rFonts w:eastAsia="Calibri"/>
          <w:szCs w:val="24"/>
        </w:rPr>
        <w:t>cohorts? For example, can</w:t>
      </w:r>
      <w:r>
        <w:rPr>
          <w:rFonts w:eastAsia="Calibri"/>
          <w:szCs w:val="24"/>
        </w:rPr>
        <w:t xml:space="preserve"> the </w:t>
      </w:r>
      <w:r w:rsidRPr="004A1301">
        <w:rPr>
          <w:rFonts w:eastAsia="Calibri"/>
          <w:szCs w:val="24"/>
        </w:rPr>
        <w:t>SARC</w:t>
      </w:r>
      <w:r>
        <w:rPr>
          <w:rFonts w:eastAsia="Calibri"/>
          <w:szCs w:val="24"/>
        </w:rPr>
        <w:t xml:space="preserve"> Activity – Inclusive Communities Grants</w:t>
      </w:r>
      <w:r w:rsidRPr="004A1301">
        <w:rPr>
          <w:rFonts w:eastAsia="Calibri"/>
          <w:szCs w:val="24"/>
        </w:rPr>
        <w:t xml:space="preserve"> include interventions for vulnerable women who are also part of the unemployed target cohort?</w:t>
      </w:r>
    </w:p>
    <w:p w14:paraId="122C7609" w14:textId="2FFF5E2D" w:rsidR="00F74128" w:rsidRPr="00F61510" w:rsidRDefault="00F74128" w:rsidP="005E3A55">
      <w:pPr>
        <w:spacing w:line="280" w:lineRule="atLeast"/>
        <w:ind w:left="425"/>
        <w:rPr>
          <w:rFonts w:eastAsiaTheme="majorEastAsia"/>
        </w:rPr>
      </w:pPr>
      <w:r w:rsidRPr="00F61510">
        <w:rPr>
          <w:rFonts w:eastAsiaTheme="majorEastAsia"/>
        </w:rPr>
        <w:t>Yes</w:t>
      </w:r>
      <w:r w:rsidR="00E622C3">
        <w:rPr>
          <w:rFonts w:eastAsiaTheme="majorEastAsia"/>
        </w:rPr>
        <w:t>. P</w:t>
      </w:r>
      <w:r w:rsidRPr="00F61510">
        <w:rPr>
          <w:rFonts w:eastAsiaTheme="majorEastAsia"/>
        </w:rPr>
        <w:t xml:space="preserve">roposals for funding under </w:t>
      </w:r>
      <w:r>
        <w:rPr>
          <w:rFonts w:eastAsiaTheme="majorEastAsia"/>
        </w:rPr>
        <w:t xml:space="preserve">the </w:t>
      </w:r>
      <w:r w:rsidRPr="00F61510">
        <w:rPr>
          <w:rFonts w:eastAsiaTheme="majorEastAsia"/>
        </w:rPr>
        <w:t xml:space="preserve">SARC </w:t>
      </w:r>
      <w:r>
        <w:rPr>
          <w:rFonts w:eastAsiaTheme="majorEastAsia"/>
        </w:rPr>
        <w:t xml:space="preserve">Activity – Inclusive Communities Grants </w:t>
      </w:r>
      <w:r w:rsidRPr="00F61510">
        <w:rPr>
          <w:rFonts w:eastAsiaTheme="majorEastAsia"/>
        </w:rPr>
        <w:t xml:space="preserve">can address different combinations of the broadly defined SARC target cohorts, as long as the proposal still meets the objectives of the SARC </w:t>
      </w:r>
      <w:r>
        <w:rPr>
          <w:rFonts w:eastAsiaTheme="majorEastAsia"/>
        </w:rPr>
        <w:t>Activity – Inclusive Communities Grants</w:t>
      </w:r>
      <w:r w:rsidRPr="00F61510">
        <w:rPr>
          <w:rFonts w:eastAsiaTheme="majorEastAsia"/>
        </w:rPr>
        <w:t>.</w:t>
      </w:r>
    </w:p>
    <w:p w14:paraId="4EB8FF93" w14:textId="2C8A5664" w:rsidR="00F74128" w:rsidRPr="004A1301" w:rsidRDefault="00F74128" w:rsidP="00F74128">
      <w:pPr>
        <w:pStyle w:val="Heading2"/>
        <w:numPr>
          <w:ilvl w:val="0"/>
          <w:numId w:val="6"/>
        </w:numPr>
        <w:spacing w:before="0"/>
        <w:ind w:left="426" w:hanging="426"/>
        <w:rPr>
          <w:rFonts w:eastAsia="Calibri"/>
          <w:szCs w:val="24"/>
        </w:rPr>
      </w:pPr>
      <w:r w:rsidRPr="004A1301">
        <w:rPr>
          <w:rFonts w:eastAsia="Calibri"/>
          <w:szCs w:val="24"/>
        </w:rPr>
        <w:t xml:space="preserve">Can a project take a focus on </w:t>
      </w:r>
      <w:r w:rsidR="00B42438">
        <w:rPr>
          <w:rFonts w:eastAsia="Calibri"/>
          <w:szCs w:val="24"/>
        </w:rPr>
        <w:t xml:space="preserve">a </w:t>
      </w:r>
      <w:r w:rsidRPr="004A1301">
        <w:rPr>
          <w:rFonts w:eastAsia="Calibri"/>
          <w:szCs w:val="24"/>
        </w:rPr>
        <w:t xml:space="preserve">sub-set of a cohort or does it have to address the entire cohort as defined in the SARC </w:t>
      </w:r>
      <w:r>
        <w:rPr>
          <w:rFonts w:eastAsia="Calibri"/>
          <w:szCs w:val="24"/>
        </w:rPr>
        <w:t xml:space="preserve">Activity – Inclusive Communities Grants </w:t>
      </w:r>
      <w:r w:rsidR="00B42438">
        <w:rPr>
          <w:rFonts w:eastAsia="Calibri"/>
          <w:szCs w:val="24"/>
        </w:rPr>
        <w:t>cohort descriptions</w:t>
      </w:r>
      <w:r w:rsidRPr="004A1301">
        <w:rPr>
          <w:rFonts w:eastAsia="Calibri"/>
          <w:szCs w:val="24"/>
        </w:rPr>
        <w:t xml:space="preserve">? </w:t>
      </w:r>
    </w:p>
    <w:p w14:paraId="16F058E5" w14:textId="59F32CD6" w:rsidR="00F74128" w:rsidRPr="007A4766" w:rsidRDefault="00E622C3" w:rsidP="005E3A55">
      <w:pPr>
        <w:spacing w:line="280" w:lineRule="atLeast"/>
        <w:ind w:left="425"/>
        <w:rPr>
          <w:rFonts w:eastAsiaTheme="majorEastAsia"/>
        </w:rPr>
      </w:pPr>
      <w:r>
        <w:rPr>
          <w:rFonts w:eastAsiaTheme="majorEastAsia"/>
        </w:rPr>
        <w:t xml:space="preserve">Yes. </w:t>
      </w:r>
      <w:r w:rsidR="00F74128" w:rsidRPr="00F61510">
        <w:rPr>
          <w:rFonts w:eastAsiaTheme="majorEastAsia"/>
        </w:rPr>
        <w:t xml:space="preserve">Proposals for funding under </w:t>
      </w:r>
      <w:r w:rsidR="00F74128">
        <w:rPr>
          <w:rFonts w:eastAsiaTheme="majorEastAsia"/>
        </w:rPr>
        <w:t xml:space="preserve">the </w:t>
      </w:r>
      <w:r w:rsidR="00F74128" w:rsidRPr="00F61510">
        <w:rPr>
          <w:rFonts w:eastAsiaTheme="majorEastAsia"/>
        </w:rPr>
        <w:t xml:space="preserve">SARC </w:t>
      </w:r>
      <w:r w:rsidR="00F74128">
        <w:rPr>
          <w:rFonts w:eastAsiaTheme="majorEastAsia"/>
        </w:rPr>
        <w:t xml:space="preserve">Activity – Inclusive Communities Grants </w:t>
      </w:r>
      <w:r w:rsidR="00F74128" w:rsidRPr="00F61510">
        <w:rPr>
          <w:rFonts w:eastAsiaTheme="majorEastAsia"/>
        </w:rPr>
        <w:t>can address particular sub</w:t>
      </w:r>
      <w:r>
        <w:rPr>
          <w:rFonts w:eastAsiaTheme="majorEastAsia"/>
        </w:rPr>
        <w:t>-</w:t>
      </w:r>
      <w:r w:rsidR="00F74128" w:rsidRPr="00F61510">
        <w:rPr>
          <w:rFonts w:eastAsiaTheme="majorEastAsia"/>
        </w:rPr>
        <w:t xml:space="preserve">sets of the broadly defined SARC target cohorts, as long as the proposal still meets the objectives of the SARC </w:t>
      </w:r>
      <w:r w:rsidR="00F74128">
        <w:rPr>
          <w:rFonts w:eastAsiaTheme="majorEastAsia"/>
        </w:rPr>
        <w:t>Activity – Inclusive Communities Grants</w:t>
      </w:r>
      <w:r w:rsidR="00F74128" w:rsidRPr="00F61510">
        <w:rPr>
          <w:rFonts w:eastAsiaTheme="majorEastAsia"/>
        </w:rPr>
        <w:t xml:space="preserve">. </w:t>
      </w:r>
    </w:p>
    <w:p w14:paraId="28EEF427" w14:textId="5DCA38C9" w:rsidR="00032491" w:rsidRPr="001A451C" w:rsidRDefault="001A451C" w:rsidP="00C9051C">
      <w:pPr>
        <w:pStyle w:val="Heading2"/>
        <w:numPr>
          <w:ilvl w:val="0"/>
          <w:numId w:val="6"/>
        </w:numPr>
        <w:spacing w:before="0"/>
        <w:ind w:left="426" w:hanging="426"/>
        <w:rPr>
          <w:rFonts w:eastAsia="Calibri"/>
          <w:szCs w:val="24"/>
        </w:rPr>
      </w:pPr>
      <w:r w:rsidRPr="001A451C">
        <w:rPr>
          <w:rFonts w:eastAsia="Calibri"/>
          <w:szCs w:val="24"/>
        </w:rPr>
        <w:t>What kinds of activities can be funded under the SARC Activity – Inclusive Communities Grants?</w:t>
      </w:r>
    </w:p>
    <w:p w14:paraId="7A6386F1" w14:textId="5D0B3464" w:rsidR="001A451C" w:rsidRPr="00C9051C" w:rsidRDefault="001A451C" w:rsidP="005E3A55">
      <w:pPr>
        <w:spacing w:line="280" w:lineRule="atLeast"/>
        <w:ind w:left="425"/>
        <w:rPr>
          <w:rFonts w:asciiTheme="majorHAnsi" w:eastAsia="Calibri" w:hAnsiTheme="majorHAnsi" w:cstheme="majorBidi"/>
          <w:bCs/>
          <w:color w:val="000000" w:themeColor="text1"/>
        </w:rPr>
      </w:pPr>
      <w:r w:rsidRPr="00C9051C">
        <w:rPr>
          <w:rFonts w:asciiTheme="majorHAnsi" w:eastAsia="Calibri" w:hAnsiTheme="majorHAnsi" w:cstheme="majorBidi"/>
          <w:bCs/>
          <w:color w:val="000000" w:themeColor="text1"/>
        </w:rPr>
        <w:t>Funding will be available to eligible organisations to deliver one-off, time-limited, projects in their communities. Projects may include a trial, seed or start-up project to establish new activities, short-term interventions, or expand or reframe the delivery of existing activities.</w:t>
      </w:r>
    </w:p>
    <w:p w14:paraId="23B43035" w14:textId="7B3ECD40" w:rsidR="0012771B" w:rsidRDefault="001A451C" w:rsidP="005E3A55">
      <w:pPr>
        <w:spacing w:line="280" w:lineRule="atLeast"/>
        <w:ind w:left="425"/>
        <w:rPr>
          <w:rFonts w:asciiTheme="majorHAnsi" w:eastAsia="Calibri" w:hAnsiTheme="majorHAnsi" w:cstheme="majorBidi"/>
          <w:bCs/>
          <w:color w:val="000000" w:themeColor="text1"/>
        </w:rPr>
      </w:pPr>
      <w:r w:rsidRPr="002826E0">
        <w:rPr>
          <w:rFonts w:asciiTheme="majorHAnsi" w:eastAsia="Calibri" w:hAnsiTheme="majorHAnsi" w:cstheme="majorBidi"/>
          <w:bCs/>
          <w:color w:val="000000" w:themeColor="text1"/>
        </w:rPr>
        <w:t xml:space="preserve">Examples of services may include but are not limited </w:t>
      </w:r>
      <w:r w:rsidRPr="00765CB8">
        <w:rPr>
          <w:rFonts w:asciiTheme="majorHAnsi" w:eastAsia="Calibri" w:hAnsiTheme="majorHAnsi" w:cstheme="majorBidi"/>
          <w:bCs/>
          <w:color w:val="000000" w:themeColor="text1"/>
        </w:rPr>
        <w:t>to</w:t>
      </w:r>
      <w:r>
        <w:rPr>
          <w:rFonts w:asciiTheme="majorHAnsi" w:eastAsia="Calibri" w:hAnsiTheme="majorHAnsi" w:cstheme="majorBidi"/>
          <w:bCs/>
          <w:color w:val="000000" w:themeColor="text1"/>
        </w:rPr>
        <w:t>:</w:t>
      </w:r>
      <w:r w:rsidRPr="00765CB8">
        <w:rPr>
          <w:rFonts w:asciiTheme="majorHAnsi" w:eastAsia="Calibri" w:hAnsiTheme="majorHAnsi" w:cstheme="majorBidi"/>
          <w:bCs/>
          <w:color w:val="000000" w:themeColor="text1"/>
        </w:rPr>
        <w:t xml:space="preserve"> education, training and work readiness activities, mentoring, counselling, and/or programs that build resilience, leadership, self-care, social and/or economic engagement skills and/or the ability and confidence to access support and services to support one or more of the identified cohorts.</w:t>
      </w:r>
    </w:p>
    <w:p w14:paraId="0AC56E5C" w14:textId="3409A480" w:rsidR="00DA580D" w:rsidRDefault="00DA580D" w:rsidP="005B50BE">
      <w:pPr>
        <w:pStyle w:val="Heading2"/>
        <w:numPr>
          <w:ilvl w:val="0"/>
          <w:numId w:val="6"/>
        </w:numPr>
        <w:spacing w:before="0"/>
        <w:ind w:left="426" w:hanging="426"/>
        <w:rPr>
          <w:rFonts w:eastAsia="Calibri"/>
          <w:szCs w:val="24"/>
        </w:rPr>
      </w:pPr>
      <w:r>
        <w:rPr>
          <w:rFonts w:eastAsia="Calibri"/>
          <w:szCs w:val="24"/>
        </w:rPr>
        <w:t xml:space="preserve">How </w:t>
      </w:r>
      <w:r w:rsidR="00232299">
        <w:rPr>
          <w:rFonts w:eastAsia="Calibri"/>
          <w:szCs w:val="24"/>
        </w:rPr>
        <w:t xml:space="preserve">will the </w:t>
      </w:r>
      <w:r w:rsidR="00E622C3">
        <w:rPr>
          <w:rFonts w:eastAsia="Calibri"/>
          <w:szCs w:val="24"/>
        </w:rPr>
        <w:t>d</w:t>
      </w:r>
      <w:r>
        <w:rPr>
          <w:rFonts w:eastAsia="Calibri"/>
          <w:szCs w:val="24"/>
        </w:rPr>
        <w:t xml:space="preserve">epartment </w:t>
      </w:r>
      <w:r w:rsidR="00232299">
        <w:rPr>
          <w:rFonts w:eastAsia="Calibri"/>
          <w:szCs w:val="24"/>
        </w:rPr>
        <w:t>identify geographical areas of</w:t>
      </w:r>
      <w:r w:rsidR="00E622C3">
        <w:rPr>
          <w:rFonts w:eastAsia="Calibri"/>
          <w:szCs w:val="24"/>
        </w:rPr>
        <w:t xml:space="preserve"> socio-</w:t>
      </w:r>
      <w:r w:rsidR="00232299">
        <w:rPr>
          <w:rFonts w:eastAsia="Calibri"/>
          <w:szCs w:val="24"/>
        </w:rPr>
        <w:t xml:space="preserve">economic disadvantage? </w:t>
      </w:r>
    </w:p>
    <w:p w14:paraId="3552B964" w14:textId="41484BFF" w:rsidR="00E4356C" w:rsidRPr="00D17946" w:rsidRDefault="00232299" w:rsidP="005E3A55">
      <w:pPr>
        <w:spacing w:line="280" w:lineRule="atLeast"/>
        <w:ind w:left="425"/>
        <w:rPr>
          <w:rFonts w:asciiTheme="majorHAnsi" w:eastAsia="Calibri" w:hAnsiTheme="majorHAnsi" w:cstheme="majorBidi"/>
          <w:bCs/>
          <w:color w:val="000000" w:themeColor="text1"/>
        </w:rPr>
      </w:pPr>
      <w:r>
        <w:rPr>
          <w:rFonts w:asciiTheme="majorHAnsi" w:eastAsia="Calibri" w:hAnsiTheme="majorHAnsi" w:cstheme="majorBidi"/>
          <w:bCs/>
          <w:color w:val="000000" w:themeColor="text1"/>
        </w:rPr>
        <w:t>T</w:t>
      </w:r>
      <w:r w:rsidR="00D17946" w:rsidRPr="00D17946">
        <w:rPr>
          <w:rFonts w:asciiTheme="majorHAnsi" w:eastAsia="Calibri" w:hAnsiTheme="majorHAnsi" w:cstheme="majorBidi"/>
          <w:bCs/>
          <w:color w:val="000000" w:themeColor="text1"/>
        </w:rPr>
        <w:t>he department will</w:t>
      </w:r>
      <w:r w:rsidR="00E622C3">
        <w:rPr>
          <w:rFonts w:asciiTheme="majorHAnsi" w:eastAsia="Calibri" w:hAnsiTheme="majorHAnsi" w:cstheme="majorBidi"/>
          <w:bCs/>
          <w:color w:val="000000" w:themeColor="text1"/>
        </w:rPr>
        <w:t xml:space="preserve"> use</w:t>
      </w:r>
      <w:r w:rsidR="00E4356C" w:rsidRPr="00D17946">
        <w:rPr>
          <w:rFonts w:asciiTheme="majorHAnsi" w:eastAsia="Calibri" w:hAnsiTheme="majorHAnsi" w:cstheme="majorBidi"/>
          <w:bCs/>
          <w:color w:val="000000" w:themeColor="text1"/>
        </w:rPr>
        <w:t xml:space="preserve"> the Australian Bureau of Statistics’ Socio-Economic Indexes for Areas (SEIFA) as an accessible measure regarding disadvantage.</w:t>
      </w:r>
      <w:r w:rsidR="00D17946" w:rsidRPr="00D17946">
        <w:rPr>
          <w:rFonts w:asciiTheme="majorHAnsi" w:eastAsia="Calibri" w:hAnsiTheme="majorHAnsi" w:cstheme="majorBidi"/>
          <w:bCs/>
          <w:color w:val="000000" w:themeColor="text1"/>
        </w:rPr>
        <w:t xml:space="preserve"> </w:t>
      </w:r>
      <w:r w:rsidR="00E4356C" w:rsidRPr="00D17946">
        <w:rPr>
          <w:rFonts w:asciiTheme="majorHAnsi" w:eastAsia="Calibri" w:hAnsiTheme="majorHAnsi" w:cstheme="majorBidi"/>
          <w:bCs/>
          <w:color w:val="000000" w:themeColor="text1"/>
        </w:rPr>
        <w:t xml:space="preserve">The index in SEIFA 2011 </w:t>
      </w:r>
      <w:r w:rsidR="00D17946" w:rsidRPr="00D17946">
        <w:rPr>
          <w:rFonts w:asciiTheme="majorHAnsi" w:eastAsia="Calibri" w:hAnsiTheme="majorHAnsi" w:cstheme="majorBidi"/>
          <w:bCs/>
          <w:color w:val="000000" w:themeColor="text1"/>
        </w:rPr>
        <w:t xml:space="preserve">that </w:t>
      </w:r>
      <w:r w:rsidR="00E4356C" w:rsidRPr="00D17946">
        <w:rPr>
          <w:rFonts w:asciiTheme="majorHAnsi" w:eastAsia="Calibri" w:hAnsiTheme="majorHAnsi" w:cstheme="majorBidi"/>
          <w:bCs/>
          <w:color w:val="000000" w:themeColor="text1"/>
        </w:rPr>
        <w:t xml:space="preserve">will </w:t>
      </w:r>
      <w:r w:rsidR="00D17946" w:rsidRPr="00D17946">
        <w:rPr>
          <w:rFonts w:asciiTheme="majorHAnsi" w:eastAsia="Calibri" w:hAnsiTheme="majorHAnsi" w:cstheme="majorBidi"/>
          <w:bCs/>
          <w:color w:val="000000" w:themeColor="text1"/>
        </w:rPr>
        <w:t xml:space="preserve">be </w:t>
      </w:r>
      <w:r w:rsidR="00E4356C" w:rsidRPr="00D17946">
        <w:rPr>
          <w:rFonts w:asciiTheme="majorHAnsi" w:eastAsia="Calibri" w:hAnsiTheme="majorHAnsi" w:cstheme="majorBidi"/>
          <w:bCs/>
          <w:color w:val="000000" w:themeColor="text1"/>
        </w:rPr>
        <w:t>utilise</w:t>
      </w:r>
      <w:r w:rsidR="00D17946" w:rsidRPr="00D17946">
        <w:rPr>
          <w:rFonts w:asciiTheme="majorHAnsi" w:eastAsia="Calibri" w:hAnsiTheme="majorHAnsi" w:cstheme="majorBidi"/>
          <w:bCs/>
          <w:color w:val="000000" w:themeColor="text1"/>
        </w:rPr>
        <w:t>d</w:t>
      </w:r>
      <w:r w:rsidR="00E4356C" w:rsidRPr="00D17946">
        <w:rPr>
          <w:rFonts w:asciiTheme="majorHAnsi" w:eastAsia="Calibri" w:hAnsiTheme="majorHAnsi" w:cstheme="majorBidi"/>
          <w:bCs/>
          <w:color w:val="000000" w:themeColor="text1"/>
        </w:rPr>
        <w:t xml:space="preserve"> is the</w:t>
      </w:r>
      <w:r w:rsidR="00E4356C" w:rsidRPr="00E4356C">
        <w:t xml:space="preserve">: </w:t>
      </w:r>
      <w:hyperlink r:id="rId11" w:history="1">
        <w:r w:rsidR="00E4356C" w:rsidRPr="00E4356C">
          <w:rPr>
            <w:rStyle w:val="Hyperlink"/>
          </w:rPr>
          <w:t>Index of Relative Socio-Economic Disadvantage (IRSD)</w:t>
        </w:r>
      </w:hyperlink>
      <w:r w:rsidR="00E4356C" w:rsidRPr="00E4356C">
        <w:t xml:space="preserve"> </w:t>
      </w:r>
      <w:r w:rsidR="00E4356C" w:rsidRPr="00D17946">
        <w:rPr>
          <w:rFonts w:asciiTheme="majorHAnsi" w:eastAsia="Calibri" w:hAnsiTheme="majorHAnsi" w:cstheme="majorBidi"/>
          <w:bCs/>
          <w:color w:val="000000" w:themeColor="text1"/>
        </w:rPr>
        <w:t xml:space="preserve">and </w:t>
      </w:r>
      <w:r w:rsidR="00D17946" w:rsidRPr="00D17946">
        <w:rPr>
          <w:rFonts w:asciiTheme="majorHAnsi" w:eastAsia="Calibri" w:hAnsiTheme="majorHAnsi" w:cstheme="majorBidi"/>
          <w:bCs/>
          <w:color w:val="000000" w:themeColor="text1"/>
        </w:rPr>
        <w:t xml:space="preserve">the department </w:t>
      </w:r>
      <w:r w:rsidR="00E4356C" w:rsidRPr="00D17946">
        <w:rPr>
          <w:rFonts w:asciiTheme="majorHAnsi" w:eastAsia="Calibri" w:hAnsiTheme="majorHAnsi" w:cstheme="majorBidi"/>
          <w:bCs/>
          <w:color w:val="000000" w:themeColor="text1"/>
        </w:rPr>
        <w:t xml:space="preserve">will focus on areas of high disadvantage as defined through the IRSD quintile </w:t>
      </w:r>
      <w:r w:rsidR="00D17946" w:rsidRPr="00D17946">
        <w:rPr>
          <w:rFonts w:asciiTheme="majorHAnsi" w:eastAsia="Calibri" w:hAnsiTheme="majorHAnsi" w:cstheme="majorBidi"/>
          <w:bCs/>
          <w:color w:val="000000" w:themeColor="text1"/>
        </w:rPr>
        <w:t>one to three</w:t>
      </w:r>
      <w:r w:rsidR="00E4356C" w:rsidRPr="00D17946">
        <w:rPr>
          <w:rFonts w:asciiTheme="majorHAnsi" w:eastAsia="Calibri" w:hAnsiTheme="majorHAnsi" w:cstheme="majorBidi"/>
          <w:bCs/>
          <w:color w:val="000000" w:themeColor="text1"/>
        </w:rPr>
        <w:t xml:space="preserve">. </w:t>
      </w:r>
    </w:p>
    <w:p w14:paraId="2DC19623" w14:textId="1B89EE40" w:rsidR="00E4356C" w:rsidRDefault="001E2BAE" w:rsidP="005E3A55">
      <w:pPr>
        <w:spacing w:line="280" w:lineRule="atLeast"/>
        <w:ind w:left="425"/>
        <w:rPr>
          <w:rFonts w:asciiTheme="majorHAnsi" w:eastAsia="Calibri" w:hAnsiTheme="majorHAnsi" w:cstheme="majorBidi"/>
          <w:bCs/>
          <w:color w:val="000000" w:themeColor="text1"/>
        </w:rPr>
      </w:pPr>
      <w:r>
        <w:rPr>
          <w:rFonts w:asciiTheme="majorHAnsi" w:eastAsia="Calibri" w:hAnsiTheme="majorHAnsi" w:cstheme="majorBidi"/>
          <w:bCs/>
          <w:color w:val="000000" w:themeColor="text1"/>
        </w:rPr>
        <w:t xml:space="preserve">In addition to the IRSD, </w:t>
      </w:r>
      <w:r w:rsidR="008A2545">
        <w:rPr>
          <w:rFonts w:asciiTheme="majorHAnsi" w:eastAsia="Calibri" w:hAnsiTheme="majorHAnsi" w:cstheme="majorBidi"/>
          <w:bCs/>
          <w:color w:val="000000" w:themeColor="text1"/>
        </w:rPr>
        <w:t>o</w:t>
      </w:r>
      <w:r w:rsidR="00E622C3">
        <w:rPr>
          <w:rFonts w:asciiTheme="majorHAnsi" w:eastAsia="Calibri" w:hAnsiTheme="majorHAnsi" w:cstheme="majorBidi"/>
          <w:bCs/>
          <w:color w:val="000000" w:themeColor="text1"/>
        </w:rPr>
        <w:t xml:space="preserve">rganisations will </w:t>
      </w:r>
      <w:r w:rsidR="008A2545">
        <w:rPr>
          <w:rFonts w:asciiTheme="majorHAnsi" w:eastAsia="Calibri" w:hAnsiTheme="majorHAnsi" w:cstheme="majorBidi"/>
          <w:bCs/>
          <w:color w:val="000000" w:themeColor="text1"/>
        </w:rPr>
        <w:t>be required to demonstrate the need for the project</w:t>
      </w:r>
      <w:r w:rsidR="00E622C3">
        <w:rPr>
          <w:rFonts w:asciiTheme="majorHAnsi" w:eastAsia="Calibri" w:hAnsiTheme="majorHAnsi" w:cstheme="majorBidi"/>
          <w:bCs/>
          <w:color w:val="000000" w:themeColor="text1"/>
        </w:rPr>
        <w:t>,</w:t>
      </w:r>
      <w:r w:rsidR="008A2545">
        <w:rPr>
          <w:rFonts w:asciiTheme="majorHAnsi" w:eastAsia="Calibri" w:hAnsiTheme="majorHAnsi" w:cstheme="majorBidi"/>
          <w:bCs/>
          <w:color w:val="000000" w:themeColor="text1"/>
        </w:rPr>
        <w:t xml:space="preserve"> including the extent to which the identified need relates to the identified community</w:t>
      </w:r>
      <w:r>
        <w:rPr>
          <w:rFonts w:asciiTheme="majorHAnsi" w:eastAsia="Calibri" w:hAnsiTheme="majorHAnsi" w:cstheme="majorBidi"/>
          <w:bCs/>
          <w:color w:val="000000" w:themeColor="text1"/>
        </w:rPr>
        <w:t>, as part of the selection criteria</w:t>
      </w:r>
      <w:r w:rsidR="008A2545">
        <w:rPr>
          <w:rFonts w:asciiTheme="majorHAnsi" w:eastAsia="Calibri" w:hAnsiTheme="majorHAnsi" w:cstheme="majorBidi"/>
          <w:bCs/>
          <w:color w:val="000000" w:themeColor="text1"/>
        </w:rPr>
        <w:t xml:space="preserve">. This will </w:t>
      </w:r>
      <w:r w:rsidR="00E622C3">
        <w:rPr>
          <w:rFonts w:asciiTheme="majorHAnsi" w:eastAsia="Calibri" w:hAnsiTheme="majorHAnsi" w:cstheme="majorBidi"/>
          <w:bCs/>
          <w:color w:val="000000" w:themeColor="text1"/>
        </w:rPr>
        <w:t xml:space="preserve">also </w:t>
      </w:r>
      <w:r w:rsidR="008A2545">
        <w:rPr>
          <w:rFonts w:asciiTheme="majorHAnsi" w:eastAsia="Calibri" w:hAnsiTheme="majorHAnsi" w:cstheme="majorBidi"/>
          <w:bCs/>
          <w:color w:val="000000" w:themeColor="text1"/>
        </w:rPr>
        <w:t>be considered by the department as part of identifying communities of disadvantage.</w:t>
      </w:r>
    </w:p>
    <w:p w14:paraId="0C0820BE" w14:textId="77777777" w:rsidR="00D43702" w:rsidRPr="005E3A55" w:rsidRDefault="00D43702" w:rsidP="005E3A55">
      <w:pPr>
        <w:pStyle w:val="Heading2"/>
        <w:numPr>
          <w:ilvl w:val="0"/>
          <w:numId w:val="6"/>
        </w:numPr>
        <w:spacing w:before="0"/>
        <w:ind w:left="426" w:hanging="426"/>
        <w:rPr>
          <w:rFonts w:eastAsia="Calibri"/>
          <w:b w:val="0"/>
          <w:bCs w:val="0"/>
          <w:szCs w:val="24"/>
        </w:rPr>
      </w:pPr>
      <w:r w:rsidRPr="001A46CB">
        <w:rPr>
          <w:rFonts w:eastAsia="Calibri"/>
          <w:szCs w:val="24"/>
        </w:rPr>
        <w:t>Are organisations able to draw on other evidence of disadvantage in addition to utilising the SEIFA index?</w:t>
      </w:r>
    </w:p>
    <w:p w14:paraId="5D2750C0" w14:textId="1F233274" w:rsidR="00F74128" w:rsidRDefault="00D43702" w:rsidP="005E3A55">
      <w:pPr>
        <w:spacing w:line="280" w:lineRule="atLeast"/>
        <w:ind w:left="425"/>
        <w:rPr>
          <w:rFonts w:eastAsiaTheme="majorEastAsia"/>
        </w:rPr>
      </w:pPr>
      <w:r>
        <w:rPr>
          <w:rFonts w:eastAsiaTheme="majorEastAsia"/>
        </w:rPr>
        <w:t>Yes. In proposals, organisations are encouraged</w:t>
      </w:r>
      <w:r w:rsidR="00F74128">
        <w:rPr>
          <w:rFonts w:eastAsiaTheme="majorEastAsia"/>
        </w:rPr>
        <w:t xml:space="preserve"> to draw on SEIFA as well as any additional data and evidence to demonstrate need.</w:t>
      </w:r>
    </w:p>
    <w:p w14:paraId="2B6E4309" w14:textId="77777777" w:rsidR="00637524" w:rsidRPr="005E3A55" w:rsidRDefault="00637524" w:rsidP="005E3A55">
      <w:pPr>
        <w:pStyle w:val="Heading2"/>
        <w:numPr>
          <w:ilvl w:val="0"/>
          <w:numId w:val="6"/>
        </w:numPr>
        <w:spacing w:before="0"/>
        <w:ind w:left="426" w:hanging="426"/>
        <w:rPr>
          <w:rFonts w:eastAsia="Calibri"/>
          <w:b w:val="0"/>
          <w:bCs w:val="0"/>
        </w:rPr>
      </w:pPr>
      <w:r w:rsidRPr="001A46CB">
        <w:rPr>
          <w:rFonts w:eastAsia="Calibri"/>
          <w:szCs w:val="24"/>
        </w:rPr>
        <w:lastRenderedPageBreak/>
        <w:t>Are projects expected to service a particular minimum number of participants per year?</w:t>
      </w:r>
    </w:p>
    <w:p w14:paraId="2453519A" w14:textId="400E6BB0" w:rsidR="00637524" w:rsidRDefault="00637524" w:rsidP="005E3A55">
      <w:pPr>
        <w:spacing w:line="280" w:lineRule="atLeast"/>
        <w:ind w:left="425"/>
        <w:rPr>
          <w:rFonts w:eastAsiaTheme="majorEastAsia"/>
        </w:rPr>
      </w:pPr>
      <w:r w:rsidRPr="0012771B">
        <w:rPr>
          <w:rFonts w:cs="Times New Roman"/>
          <w:szCs w:val="24"/>
        </w:rPr>
        <w:t>The number of anticipated participants will depend on the specific project proposed and will be a matter for negotiation if and when an offer of funding is made.</w:t>
      </w:r>
    </w:p>
    <w:p w14:paraId="613AA968" w14:textId="5DD04C88" w:rsidR="00CC2F2B" w:rsidRPr="005E3A55" w:rsidRDefault="00CC2F2B" w:rsidP="005E3A55">
      <w:pPr>
        <w:pStyle w:val="Heading2"/>
        <w:numPr>
          <w:ilvl w:val="0"/>
          <w:numId w:val="6"/>
        </w:numPr>
        <w:spacing w:before="0"/>
        <w:ind w:left="426" w:hanging="426"/>
        <w:rPr>
          <w:rFonts w:eastAsia="Calibri"/>
          <w:b w:val="0"/>
          <w:bCs w:val="0"/>
        </w:rPr>
      </w:pPr>
      <w:r w:rsidRPr="001A46CB">
        <w:rPr>
          <w:rFonts w:eastAsia="Calibri"/>
          <w:szCs w:val="24"/>
        </w:rPr>
        <w:t xml:space="preserve">Why is the </w:t>
      </w:r>
      <w:r w:rsidR="00486888" w:rsidRPr="001A46CB">
        <w:rPr>
          <w:rFonts w:eastAsia="Calibri"/>
          <w:szCs w:val="24"/>
        </w:rPr>
        <w:t>d</w:t>
      </w:r>
      <w:r w:rsidR="00F7781C" w:rsidRPr="001A46CB">
        <w:rPr>
          <w:rFonts w:eastAsia="Calibri"/>
          <w:szCs w:val="24"/>
        </w:rPr>
        <w:t xml:space="preserve">epartment </w:t>
      </w:r>
      <w:r w:rsidRPr="005E3A55">
        <w:rPr>
          <w:rFonts w:eastAsia="Calibri"/>
          <w:szCs w:val="24"/>
        </w:rPr>
        <w:t>mandating participation in the Data Exchange Partnership Approach as part of this grant opportunity?</w:t>
      </w:r>
    </w:p>
    <w:p w14:paraId="6D0E03AB" w14:textId="55646A65" w:rsidR="00CC2F2B" w:rsidRPr="00026B8C" w:rsidRDefault="00026B8C" w:rsidP="005E3A55">
      <w:pPr>
        <w:keepLines/>
        <w:spacing w:line="280" w:lineRule="atLeast"/>
        <w:ind w:left="425"/>
        <w:rPr>
          <w:rFonts w:cs="Times New Roman"/>
          <w:szCs w:val="24"/>
        </w:rPr>
      </w:pPr>
      <w:r w:rsidRPr="00026B8C">
        <w:rPr>
          <w:rFonts w:cs="Times New Roman"/>
          <w:szCs w:val="24"/>
        </w:rPr>
        <w:t xml:space="preserve">It is through participation in the DEX Partnership Approach that all </w:t>
      </w:r>
      <w:r w:rsidR="00CC2F2B" w:rsidRPr="00026B8C">
        <w:rPr>
          <w:rFonts w:cs="Times New Roman"/>
          <w:szCs w:val="24"/>
        </w:rPr>
        <w:t xml:space="preserve">grant </w:t>
      </w:r>
      <w:r w:rsidR="005B27F8" w:rsidRPr="00026B8C">
        <w:rPr>
          <w:rFonts w:cs="Times New Roman"/>
          <w:szCs w:val="24"/>
        </w:rPr>
        <w:t>recipients measure</w:t>
      </w:r>
      <w:r w:rsidR="00CC2F2B" w:rsidRPr="00026B8C">
        <w:rPr>
          <w:rFonts w:cs="Times New Roman"/>
          <w:szCs w:val="24"/>
        </w:rPr>
        <w:t xml:space="preserve"> and report client outcomes and, if applicable, community outcomes. </w:t>
      </w:r>
    </w:p>
    <w:p w14:paraId="4DAFA8C9" w14:textId="77777777" w:rsidR="00CC2F2B" w:rsidRPr="00026B8C" w:rsidRDefault="00CC2F2B" w:rsidP="005E3A55">
      <w:pPr>
        <w:keepLines/>
        <w:spacing w:line="280" w:lineRule="atLeast"/>
        <w:ind w:left="425"/>
        <w:rPr>
          <w:rFonts w:cs="Times New Roman"/>
          <w:szCs w:val="24"/>
        </w:rPr>
      </w:pPr>
      <w:r w:rsidRPr="00026B8C">
        <w:rPr>
          <w:rFonts w:cs="Times New Roman"/>
          <w:szCs w:val="24"/>
        </w:rPr>
        <w:t>The department refers to this type of reporting as Standard Client/Community Outcome Reporting (SCORE). SCORE measures four types of outcomes: client circumstances, client goals, client satisfaction, and community outcomes.</w:t>
      </w:r>
    </w:p>
    <w:p w14:paraId="63B7651F" w14:textId="4C082778" w:rsidR="00CC2F2B" w:rsidRPr="004E4C4A" w:rsidRDefault="00CC2F2B" w:rsidP="005E3A55">
      <w:pPr>
        <w:keepLines/>
        <w:spacing w:line="280" w:lineRule="atLeast"/>
        <w:ind w:left="425"/>
        <w:rPr>
          <w:rFonts w:cs="Times New Roman"/>
          <w:szCs w:val="24"/>
        </w:rPr>
      </w:pPr>
      <w:r w:rsidRPr="004E4C4A">
        <w:rPr>
          <w:rFonts w:cs="Times New Roman"/>
          <w:szCs w:val="24"/>
        </w:rPr>
        <w:t xml:space="preserve">The intended outcomes of the SARC Activity </w:t>
      </w:r>
      <w:r w:rsidR="00AE3FD3" w:rsidRPr="004E4C4A">
        <w:rPr>
          <w:rFonts w:cs="Times New Roman"/>
          <w:szCs w:val="24"/>
        </w:rPr>
        <w:t xml:space="preserve">– Inclusive </w:t>
      </w:r>
      <w:r w:rsidR="006F4415" w:rsidRPr="004E4C4A">
        <w:rPr>
          <w:rFonts w:cs="Times New Roman"/>
          <w:szCs w:val="24"/>
        </w:rPr>
        <w:t xml:space="preserve">Communities </w:t>
      </w:r>
      <w:r w:rsidR="00AE3FD3" w:rsidRPr="004E4C4A">
        <w:rPr>
          <w:rFonts w:cs="Times New Roman"/>
          <w:szCs w:val="24"/>
        </w:rPr>
        <w:t xml:space="preserve">Grants </w:t>
      </w:r>
      <w:r w:rsidRPr="004E4C4A">
        <w:rPr>
          <w:rFonts w:cs="Times New Roman"/>
          <w:szCs w:val="24"/>
        </w:rPr>
        <w:t>relate to strengthened community connections, economic and social participation and increased levels of self-reliance, wellbeing and mental health.</w:t>
      </w:r>
    </w:p>
    <w:p w14:paraId="0DAF4AC7" w14:textId="0CEAF706" w:rsidR="00CC2F2B" w:rsidRDefault="00CC2F2B" w:rsidP="005E3A55">
      <w:pPr>
        <w:keepLines/>
        <w:spacing w:line="280" w:lineRule="atLeast"/>
        <w:ind w:left="425"/>
        <w:rPr>
          <w:rFonts w:cs="Times New Roman"/>
          <w:szCs w:val="24"/>
        </w:rPr>
      </w:pPr>
      <w:r w:rsidRPr="004E4C4A">
        <w:rPr>
          <w:rFonts w:cs="Times New Roman"/>
          <w:szCs w:val="24"/>
        </w:rPr>
        <w:t>With the understandin</w:t>
      </w:r>
      <w:r w:rsidR="00E622C3" w:rsidRPr="004E4C4A">
        <w:rPr>
          <w:rFonts w:cs="Times New Roman"/>
          <w:szCs w:val="24"/>
        </w:rPr>
        <w:t>g that the emphasis is on short-</w:t>
      </w:r>
      <w:r w:rsidRPr="004E4C4A">
        <w:rPr>
          <w:rFonts w:cs="Times New Roman"/>
          <w:szCs w:val="24"/>
        </w:rPr>
        <w:t xml:space="preserve">term </w:t>
      </w:r>
      <w:r w:rsidR="00486888">
        <w:rPr>
          <w:rFonts w:cs="Times New Roman"/>
          <w:szCs w:val="24"/>
        </w:rPr>
        <w:t>2</w:t>
      </w:r>
      <w:r w:rsidR="00AA5A0A">
        <w:rPr>
          <w:rFonts w:cs="Times New Roman"/>
          <w:szCs w:val="24"/>
        </w:rPr>
        <w:t xml:space="preserve"> </w:t>
      </w:r>
      <w:r w:rsidRPr="004E4C4A">
        <w:rPr>
          <w:rFonts w:cs="Times New Roman"/>
          <w:szCs w:val="24"/>
        </w:rPr>
        <w:t>year projects under the SARC Activity</w:t>
      </w:r>
      <w:r w:rsidR="00E622C3" w:rsidRPr="004E4C4A">
        <w:rPr>
          <w:rFonts w:cs="Times New Roman"/>
          <w:szCs w:val="24"/>
        </w:rPr>
        <w:t xml:space="preserve"> – Inclusive Communities Grants</w:t>
      </w:r>
      <w:r w:rsidRPr="004E4C4A">
        <w:rPr>
          <w:rFonts w:cs="Times New Roman"/>
          <w:szCs w:val="24"/>
        </w:rPr>
        <w:t xml:space="preserve">, the department understands that </w:t>
      </w:r>
      <w:r w:rsidR="003E289A" w:rsidRPr="004E4C4A">
        <w:rPr>
          <w:rFonts w:cs="Times New Roman"/>
          <w:szCs w:val="24"/>
        </w:rPr>
        <w:t xml:space="preserve">the </w:t>
      </w:r>
      <w:r w:rsidRPr="004E4C4A">
        <w:rPr>
          <w:rFonts w:cs="Times New Roman"/>
          <w:szCs w:val="24"/>
        </w:rPr>
        <w:t xml:space="preserve">outcomes </w:t>
      </w:r>
      <w:r w:rsidR="003E289A" w:rsidRPr="004E4C4A">
        <w:rPr>
          <w:rFonts w:cs="Times New Roman"/>
          <w:szCs w:val="24"/>
        </w:rPr>
        <w:t xml:space="preserve">achieved over the life of the funding arrangement </w:t>
      </w:r>
      <w:r w:rsidRPr="004E4C4A">
        <w:rPr>
          <w:rFonts w:cs="Times New Roman"/>
          <w:szCs w:val="24"/>
        </w:rPr>
        <w:t>may be limited to imm</w:t>
      </w:r>
      <w:r w:rsidR="00E622C3" w:rsidRPr="004E4C4A">
        <w:rPr>
          <w:rFonts w:cs="Times New Roman"/>
          <w:szCs w:val="24"/>
        </w:rPr>
        <w:t>ediate and short term outcomes.</w:t>
      </w:r>
    </w:p>
    <w:p w14:paraId="42BFB0D5" w14:textId="0F77F1C3" w:rsidR="004E4C4A" w:rsidRPr="0012771B" w:rsidRDefault="004E4C4A" w:rsidP="005E3A55">
      <w:pPr>
        <w:spacing w:line="280" w:lineRule="atLeast"/>
        <w:ind w:left="425"/>
        <w:rPr>
          <w:rFonts w:asciiTheme="majorHAnsi" w:eastAsia="Calibri" w:hAnsiTheme="majorHAnsi" w:cstheme="majorBidi"/>
          <w:bCs/>
          <w:color w:val="000000" w:themeColor="text1"/>
        </w:rPr>
      </w:pPr>
      <w:r w:rsidRPr="0012771B">
        <w:rPr>
          <w:rFonts w:asciiTheme="majorHAnsi" w:eastAsia="Calibri" w:hAnsiTheme="majorHAnsi" w:cstheme="majorBidi"/>
          <w:bCs/>
          <w:color w:val="000000" w:themeColor="text1"/>
        </w:rPr>
        <w:t>Further information on the collection of the Partnership Approach, including the extended data items required for this Activity</w:t>
      </w:r>
      <w:r w:rsidR="0012771B">
        <w:rPr>
          <w:rFonts w:asciiTheme="majorHAnsi" w:eastAsia="Calibri" w:hAnsiTheme="majorHAnsi" w:cstheme="majorBidi"/>
          <w:bCs/>
          <w:color w:val="000000" w:themeColor="text1"/>
        </w:rPr>
        <w:t>,</w:t>
      </w:r>
      <w:r w:rsidRPr="0012771B">
        <w:rPr>
          <w:rFonts w:asciiTheme="majorHAnsi" w:eastAsia="Calibri" w:hAnsiTheme="majorHAnsi" w:cstheme="majorBidi"/>
          <w:bCs/>
          <w:color w:val="000000" w:themeColor="text1"/>
        </w:rPr>
        <w:t xml:space="preserve"> will be documented in the Grant Opportunity Guidelines and the ‘Program Specific Guidance for Commonwealth Agencies in the Data Exchange’ prior to the establishment </w:t>
      </w:r>
      <w:r w:rsidR="0012771B">
        <w:rPr>
          <w:rFonts w:asciiTheme="majorHAnsi" w:eastAsia="Calibri" w:hAnsiTheme="majorHAnsi" w:cstheme="majorBidi"/>
          <w:bCs/>
          <w:color w:val="000000" w:themeColor="text1"/>
        </w:rPr>
        <w:t>of individual</w:t>
      </w:r>
      <w:r w:rsidRPr="0012771B">
        <w:rPr>
          <w:rFonts w:asciiTheme="majorHAnsi" w:eastAsia="Calibri" w:hAnsiTheme="majorHAnsi" w:cstheme="majorBidi"/>
          <w:bCs/>
          <w:color w:val="000000" w:themeColor="text1"/>
        </w:rPr>
        <w:t xml:space="preserve"> agreements</w:t>
      </w:r>
      <w:r w:rsidR="0012771B">
        <w:rPr>
          <w:rFonts w:asciiTheme="majorHAnsi" w:eastAsia="Calibri" w:hAnsiTheme="majorHAnsi" w:cstheme="majorBidi"/>
          <w:bCs/>
          <w:color w:val="000000" w:themeColor="text1"/>
        </w:rPr>
        <w:t>.</w:t>
      </w:r>
    </w:p>
    <w:p w14:paraId="7BE913CF" w14:textId="528F71B8" w:rsidR="00C9051C" w:rsidRPr="004D3891" w:rsidRDefault="00C9051C" w:rsidP="004E4C4A">
      <w:pPr>
        <w:pStyle w:val="Heading2"/>
        <w:numPr>
          <w:ilvl w:val="0"/>
          <w:numId w:val="6"/>
        </w:numPr>
        <w:spacing w:before="0"/>
        <w:ind w:left="426" w:hanging="426"/>
        <w:rPr>
          <w:rFonts w:eastAsia="Calibri"/>
          <w:szCs w:val="24"/>
        </w:rPr>
      </w:pPr>
      <w:r w:rsidRPr="004D3891">
        <w:rPr>
          <w:rFonts w:eastAsia="Calibri"/>
          <w:szCs w:val="24"/>
        </w:rPr>
        <w:t>Will reporting under the Data Exchange allow sufficient insigh</w:t>
      </w:r>
      <w:r w:rsidR="00E622C3" w:rsidRPr="004D3891">
        <w:rPr>
          <w:rFonts w:eastAsia="Calibri"/>
          <w:szCs w:val="24"/>
        </w:rPr>
        <w:t>ts into benefits for individual</w:t>
      </w:r>
      <w:r w:rsidRPr="004D3891">
        <w:rPr>
          <w:rFonts w:eastAsia="Calibri"/>
          <w:szCs w:val="24"/>
        </w:rPr>
        <w:t xml:space="preserve"> level changes or are the results going to be aggregated up to the group cohort level?</w:t>
      </w:r>
    </w:p>
    <w:p w14:paraId="37A9DDCB" w14:textId="1C69C573" w:rsidR="00C9051C" w:rsidRPr="0012771B" w:rsidRDefault="00C9051C" w:rsidP="005E3A55">
      <w:pPr>
        <w:spacing w:line="280" w:lineRule="atLeast"/>
        <w:ind w:left="425"/>
        <w:rPr>
          <w:rFonts w:asciiTheme="majorHAnsi" w:eastAsia="Calibri" w:hAnsiTheme="majorHAnsi" w:cstheme="majorBidi"/>
          <w:bCs/>
          <w:color w:val="000000" w:themeColor="text1"/>
        </w:rPr>
      </w:pPr>
      <w:r w:rsidRPr="0012771B">
        <w:rPr>
          <w:rFonts w:asciiTheme="majorHAnsi" w:eastAsia="Calibri" w:hAnsiTheme="majorHAnsi" w:cstheme="majorBidi"/>
          <w:bCs/>
          <w:color w:val="000000" w:themeColor="text1"/>
        </w:rPr>
        <w:t xml:space="preserve">The upcoming SARC </w:t>
      </w:r>
      <w:r w:rsidR="00E622C3" w:rsidRPr="0012771B">
        <w:rPr>
          <w:rFonts w:asciiTheme="majorHAnsi" w:eastAsia="Calibri" w:hAnsiTheme="majorHAnsi" w:cstheme="majorBidi"/>
          <w:bCs/>
          <w:color w:val="000000" w:themeColor="text1"/>
        </w:rPr>
        <w:t xml:space="preserve">Activity – Inclusive Communities Grants </w:t>
      </w:r>
      <w:r w:rsidRPr="0012771B">
        <w:rPr>
          <w:rFonts w:asciiTheme="majorHAnsi" w:eastAsia="Calibri" w:hAnsiTheme="majorHAnsi" w:cstheme="majorBidi"/>
          <w:bCs/>
          <w:color w:val="000000" w:themeColor="text1"/>
        </w:rPr>
        <w:t xml:space="preserve">will mandate the Data Exchange (DEX) Partnership Approach. As part of the Partnership Approach, organisations will gain access to a number of additional reports. The DEX Client Outcomes report allows grantees to apply filters and drill down from an aggregate group level to an individual client level, where paired SCORE changes for an individual can be viewed over time. The ‘filter’ feature of the DEX reports allows grantees to find insights at the aggregate level based on client demographics, location, outcome domain, and so on. </w:t>
      </w:r>
    </w:p>
    <w:p w14:paraId="56E7279D" w14:textId="6A787C3F" w:rsidR="00754894" w:rsidRPr="0012771B" w:rsidRDefault="00754894" w:rsidP="00754894">
      <w:pPr>
        <w:pStyle w:val="Heading2"/>
        <w:numPr>
          <w:ilvl w:val="0"/>
          <w:numId w:val="6"/>
        </w:numPr>
        <w:spacing w:before="0"/>
        <w:ind w:left="426" w:hanging="426"/>
        <w:rPr>
          <w:rFonts w:eastAsia="Calibri"/>
        </w:rPr>
      </w:pPr>
      <w:r w:rsidRPr="0012771B">
        <w:rPr>
          <w:rFonts w:eastAsia="Calibri"/>
        </w:rPr>
        <w:t>If my organisation is currently receiving funding under SARC will it continue or will this grant opportunity stop that?</w:t>
      </w:r>
    </w:p>
    <w:p w14:paraId="7CE78893" w14:textId="134FBC43" w:rsidR="00754894" w:rsidRDefault="00754894" w:rsidP="005E3A55">
      <w:pPr>
        <w:spacing w:line="280" w:lineRule="atLeast"/>
        <w:ind w:left="425"/>
        <w:rPr>
          <w:rFonts w:cs="Times New Roman"/>
          <w:szCs w:val="24"/>
        </w:rPr>
      </w:pPr>
      <w:r>
        <w:rPr>
          <w:rFonts w:cs="Times New Roman"/>
          <w:szCs w:val="24"/>
        </w:rPr>
        <w:t>SARC has always provided one</w:t>
      </w:r>
      <w:r w:rsidR="00344F14">
        <w:rPr>
          <w:rFonts w:cs="Times New Roman"/>
          <w:szCs w:val="24"/>
        </w:rPr>
        <w:t>-</w:t>
      </w:r>
      <w:r>
        <w:rPr>
          <w:rFonts w:cs="Times New Roman"/>
          <w:szCs w:val="24"/>
        </w:rPr>
        <w:t>off grants for time-limited projects. Grant recipients who are c</w:t>
      </w:r>
      <w:r w:rsidR="00344F14">
        <w:rPr>
          <w:rFonts w:cs="Times New Roman"/>
          <w:szCs w:val="24"/>
        </w:rPr>
        <w:t>urrently funded under SARC</w:t>
      </w:r>
      <w:r>
        <w:rPr>
          <w:rFonts w:cs="Times New Roman"/>
          <w:szCs w:val="24"/>
        </w:rPr>
        <w:t xml:space="preserve"> will continue to be funded up until the end of their current grant agreement period, which for most is until </w:t>
      </w:r>
      <w:r w:rsidRPr="00DD285E">
        <w:rPr>
          <w:rFonts w:cs="Times New Roman"/>
          <w:szCs w:val="24"/>
        </w:rPr>
        <w:t xml:space="preserve">30 June 2022. </w:t>
      </w:r>
    </w:p>
    <w:p w14:paraId="3C2B391C" w14:textId="7E69FF40" w:rsidR="00CC2F2B" w:rsidRPr="00D17946" w:rsidRDefault="00754894" w:rsidP="005E3A55">
      <w:pPr>
        <w:spacing w:line="280" w:lineRule="atLeast"/>
        <w:ind w:left="425"/>
        <w:rPr>
          <w:rFonts w:cs="Times New Roman"/>
          <w:szCs w:val="24"/>
        </w:rPr>
      </w:pPr>
      <w:r>
        <w:rPr>
          <w:rFonts w:cs="Times New Roman"/>
          <w:szCs w:val="24"/>
        </w:rPr>
        <w:lastRenderedPageBreak/>
        <w:t xml:space="preserve">In order to ensure </w:t>
      </w:r>
      <w:r w:rsidRPr="004E4C4A">
        <w:rPr>
          <w:rFonts w:cs="Times New Roman"/>
          <w:szCs w:val="24"/>
        </w:rPr>
        <w:t>funding clarity, existing grant recipients will be notified of future funding arrangements. They will also have regular opportunities to bid for grant funding due to the program’s new</w:t>
      </w:r>
      <w:r w:rsidR="00344F14" w:rsidRPr="004E4C4A">
        <w:rPr>
          <w:rFonts w:cs="Times New Roman"/>
          <w:szCs w:val="24"/>
        </w:rPr>
        <w:t xml:space="preserve"> </w:t>
      </w:r>
      <w:r w:rsidR="004E4C4A" w:rsidRPr="004E4C4A">
        <w:rPr>
          <w:rFonts w:cs="Times New Roman"/>
          <w:szCs w:val="24"/>
        </w:rPr>
        <w:t>rolling annual grant rounds arrangement</w:t>
      </w:r>
      <w:r w:rsidRPr="004E4C4A">
        <w:rPr>
          <w:rFonts w:cs="Times New Roman"/>
          <w:szCs w:val="24"/>
        </w:rPr>
        <w:t>.</w:t>
      </w:r>
      <w:r>
        <w:rPr>
          <w:rFonts w:cs="Times New Roman"/>
          <w:szCs w:val="24"/>
        </w:rPr>
        <w:t xml:space="preserve"> </w:t>
      </w:r>
    </w:p>
    <w:p w14:paraId="707D86EB" w14:textId="53421713" w:rsidR="001E609F" w:rsidRPr="004A1301" w:rsidRDefault="001E609F" w:rsidP="005B50BE">
      <w:pPr>
        <w:pStyle w:val="Heading2"/>
        <w:numPr>
          <w:ilvl w:val="0"/>
          <w:numId w:val="6"/>
        </w:numPr>
        <w:spacing w:before="0"/>
        <w:ind w:left="426" w:hanging="426"/>
        <w:rPr>
          <w:rFonts w:eastAsia="Calibri"/>
          <w:szCs w:val="24"/>
        </w:rPr>
      </w:pPr>
      <w:r w:rsidRPr="004A1301">
        <w:rPr>
          <w:rFonts w:eastAsia="Calibri"/>
          <w:szCs w:val="24"/>
        </w:rPr>
        <w:t>Can organisations apply for funding to support an existing program or project or is it exclusively for brand new projects?</w:t>
      </w:r>
    </w:p>
    <w:p w14:paraId="1AADCD13" w14:textId="2D1353C2" w:rsidR="001E609F" w:rsidRPr="00F61510" w:rsidRDefault="001E609F" w:rsidP="005E3A55">
      <w:pPr>
        <w:spacing w:line="280" w:lineRule="atLeast"/>
        <w:ind w:left="425"/>
        <w:rPr>
          <w:rFonts w:eastAsiaTheme="majorEastAsia"/>
        </w:rPr>
      </w:pPr>
      <w:r w:rsidRPr="00F61510">
        <w:rPr>
          <w:rFonts w:eastAsiaTheme="majorEastAsia"/>
        </w:rPr>
        <w:t>Existing initiatives as well as brand ne</w:t>
      </w:r>
      <w:r w:rsidR="00344F14">
        <w:rPr>
          <w:rFonts w:eastAsiaTheme="majorEastAsia"/>
        </w:rPr>
        <w:t>w projects may be considered for</w:t>
      </w:r>
      <w:r w:rsidRPr="00F61510">
        <w:rPr>
          <w:rFonts w:eastAsiaTheme="majorEastAsia"/>
        </w:rPr>
        <w:t xml:space="preserve"> </w:t>
      </w:r>
      <w:r w:rsidR="00D3146E">
        <w:rPr>
          <w:rFonts w:eastAsiaTheme="majorEastAsia"/>
        </w:rPr>
        <w:t xml:space="preserve">the </w:t>
      </w:r>
      <w:r w:rsidRPr="00F61510">
        <w:rPr>
          <w:rFonts w:eastAsiaTheme="majorEastAsia"/>
        </w:rPr>
        <w:t xml:space="preserve">SARC </w:t>
      </w:r>
      <w:r w:rsidR="00D3146E">
        <w:rPr>
          <w:rFonts w:eastAsiaTheme="majorEastAsia"/>
        </w:rPr>
        <w:t>Activity – Inclusive Communities Grants</w:t>
      </w:r>
      <w:r w:rsidRPr="00F61510">
        <w:rPr>
          <w:rFonts w:eastAsiaTheme="majorEastAsia"/>
        </w:rPr>
        <w:t>.</w:t>
      </w:r>
      <w:r w:rsidR="002902CA">
        <w:rPr>
          <w:rFonts w:eastAsiaTheme="majorEastAsia"/>
        </w:rPr>
        <w:t xml:space="preserve"> </w:t>
      </w:r>
      <w:r w:rsidR="007544DC">
        <w:rPr>
          <w:rFonts w:eastAsiaTheme="majorEastAsia"/>
        </w:rPr>
        <w:t>If you are planning to seek funding for an existing initiative, the application for funding under the SARC Activity – Inclusive Communities Grant</w:t>
      </w:r>
      <w:r w:rsidR="0080789D">
        <w:rPr>
          <w:rFonts w:eastAsiaTheme="majorEastAsia"/>
        </w:rPr>
        <w:t>s</w:t>
      </w:r>
      <w:r w:rsidR="007544DC">
        <w:rPr>
          <w:rFonts w:eastAsiaTheme="majorEastAsia"/>
        </w:rPr>
        <w:t xml:space="preserve"> must </w:t>
      </w:r>
      <w:r w:rsidR="0080789D">
        <w:rPr>
          <w:rFonts w:eastAsiaTheme="majorEastAsia"/>
        </w:rPr>
        <w:t xml:space="preserve">demonstrate how you propose to build on or expand the existing initiative. </w:t>
      </w:r>
      <w:r w:rsidR="002902CA">
        <w:rPr>
          <w:lang w:eastAsia="en-AU"/>
        </w:rPr>
        <w:t xml:space="preserve">Funded projects will be for a </w:t>
      </w:r>
      <w:r w:rsidR="00486888">
        <w:rPr>
          <w:lang w:eastAsia="en-AU"/>
        </w:rPr>
        <w:t>2</w:t>
      </w:r>
      <w:r w:rsidR="00193020">
        <w:rPr>
          <w:lang w:eastAsia="en-AU"/>
        </w:rPr>
        <w:t xml:space="preserve"> </w:t>
      </w:r>
      <w:r w:rsidR="002902CA">
        <w:rPr>
          <w:lang w:eastAsia="en-AU"/>
        </w:rPr>
        <w:t>year maximum project funding term.</w:t>
      </w:r>
      <w:r w:rsidR="007544DC">
        <w:rPr>
          <w:lang w:eastAsia="en-AU"/>
        </w:rPr>
        <w:t xml:space="preserve"> </w:t>
      </w:r>
    </w:p>
    <w:p w14:paraId="7697120B" w14:textId="791F8F74" w:rsidR="001E609F" w:rsidRPr="004A1301" w:rsidRDefault="00344F14" w:rsidP="005B50BE">
      <w:pPr>
        <w:pStyle w:val="Heading2"/>
        <w:numPr>
          <w:ilvl w:val="0"/>
          <w:numId w:val="6"/>
        </w:numPr>
        <w:spacing w:before="0"/>
        <w:ind w:left="426" w:hanging="426"/>
        <w:rPr>
          <w:rFonts w:eastAsia="Calibri"/>
          <w:szCs w:val="24"/>
        </w:rPr>
      </w:pPr>
      <w:r>
        <w:rPr>
          <w:rFonts w:eastAsia="Calibri"/>
          <w:szCs w:val="24"/>
        </w:rPr>
        <w:t>Are</w:t>
      </w:r>
      <w:r w:rsidR="001E609F" w:rsidRPr="004A1301">
        <w:rPr>
          <w:rFonts w:eastAsia="Calibri"/>
          <w:szCs w:val="24"/>
        </w:rPr>
        <w:t xml:space="preserve"> </w:t>
      </w:r>
      <w:r w:rsidR="00D3146E">
        <w:rPr>
          <w:rFonts w:eastAsia="Calibri"/>
          <w:szCs w:val="24"/>
        </w:rPr>
        <w:t xml:space="preserve">the </w:t>
      </w:r>
      <w:r w:rsidR="001E609F" w:rsidRPr="004A1301">
        <w:rPr>
          <w:rFonts w:eastAsia="Calibri"/>
          <w:szCs w:val="24"/>
        </w:rPr>
        <w:t xml:space="preserve">SARC </w:t>
      </w:r>
      <w:r w:rsidR="00D3146E">
        <w:rPr>
          <w:rFonts w:eastAsia="Calibri"/>
          <w:szCs w:val="24"/>
        </w:rPr>
        <w:t xml:space="preserve">Activity – Inclusive Communities Grants </w:t>
      </w:r>
      <w:r w:rsidR="006F6115">
        <w:rPr>
          <w:rFonts w:eastAsia="Calibri"/>
          <w:szCs w:val="24"/>
        </w:rPr>
        <w:t>exclusively for intervention-</w:t>
      </w:r>
      <w:r w:rsidR="001E609F" w:rsidRPr="004A1301">
        <w:rPr>
          <w:rFonts w:eastAsia="Calibri"/>
          <w:szCs w:val="24"/>
        </w:rPr>
        <w:t>based proposals or could proposals that involve data collection or research also be considered?</w:t>
      </w:r>
    </w:p>
    <w:p w14:paraId="1AA42201" w14:textId="458D1618" w:rsidR="00F61510" w:rsidRPr="00F61510" w:rsidRDefault="00D3146E" w:rsidP="005E3A55">
      <w:pPr>
        <w:spacing w:line="280" w:lineRule="atLeast"/>
        <w:ind w:left="425"/>
        <w:rPr>
          <w:rFonts w:eastAsiaTheme="majorEastAsia"/>
        </w:rPr>
      </w:pPr>
      <w:r>
        <w:rPr>
          <w:rFonts w:eastAsiaTheme="majorEastAsia"/>
        </w:rPr>
        <w:t xml:space="preserve">The </w:t>
      </w:r>
      <w:r w:rsidR="001E609F" w:rsidRPr="00F61510">
        <w:rPr>
          <w:rFonts w:eastAsiaTheme="majorEastAsia"/>
        </w:rPr>
        <w:t xml:space="preserve">SARC </w:t>
      </w:r>
      <w:r>
        <w:rPr>
          <w:rFonts w:eastAsiaTheme="majorEastAsia"/>
        </w:rPr>
        <w:t xml:space="preserve">Activity </w:t>
      </w:r>
      <w:r w:rsidR="001E609F" w:rsidRPr="00F61510">
        <w:rPr>
          <w:rFonts w:eastAsiaTheme="majorEastAsia"/>
        </w:rPr>
        <w:t xml:space="preserve">has been consolidated from </w:t>
      </w:r>
      <w:r w:rsidR="00486888">
        <w:rPr>
          <w:rFonts w:eastAsiaTheme="majorEastAsia"/>
        </w:rPr>
        <w:t>3</w:t>
      </w:r>
      <w:r w:rsidR="001E609F" w:rsidRPr="00F61510">
        <w:rPr>
          <w:rFonts w:eastAsiaTheme="majorEastAsia"/>
        </w:rPr>
        <w:t xml:space="preserve"> streams to one: Inclusive Communities</w:t>
      </w:r>
      <w:r>
        <w:rPr>
          <w:rFonts w:eastAsiaTheme="majorEastAsia"/>
        </w:rPr>
        <w:t xml:space="preserve"> Grants</w:t>
      </w:r>
      <w:r w:rsidR="001E609F" w:rsidRPr="00F61510">
        <w:rPr>
          <w:rFonts w:eastAsiaTheme="majorEastAsia"/>
        </w:rPr>
        <w:t xml:space="preserve">. This means that there will not be a specific national research stream for the upcoming round. Proposals for data collection or research may still be considered as long as they are able to articulate how outcomes will be achieved within the </w:t>
      </w:r>
      <w:r w:rsidR="00486888">
        <w:rPr>
          <w:rFonts w:eastAsiaTheme="majorEastAsia"/>
        </w:rPr>
        <w:t>2</w:t>
      </w:r>
      <w:r w:rsidR="001E609F" w:rsidRPr="00F61510">
        <w:rPr>
          <w:rFonts w:eastAsiaTheme="majorEastAsia"/>
        </w:rPr>
        <w:t xml:space="preserve"> year timeframe and also meet the overall objectives of the SARC</w:t>
      </w:r>
      <w:r>
        <w:rPr>
          <w:rFonts w:eastAsiaTheme="majorEastAsia"/>
        </w:rPr>
        <w:t xml:space="preserve"> Activity – Inclusive Communities Grants</w:t>
      </w:r>
      <w:r w:rsidR="001E609F" w:rsidRPr="00F61510">
        <w:rPr>
          <w:rFonts w:eastAsiaTheme="majorEastAsia"/>
        </w:rPr>
        <w:t xml:space="preserve">. Organisations seeking funding for research proposals may also wish to explore opportunities advertised on </w:t>
      </w:r>
      <w:hyperlink r:id="rId12" w:history="1">
        <w:proofErr w:type="spellStart"/>
        <w:r w:rsidR="001E609F" w:rsidRPr="00F61510">
          <w:rPr>
            <w:rStyle w:val="Hyperlink"/>
          </w:rPr>
          <w:t>GrantConnect</w:t>
        </w:r>
        <w:proofErr w:type="spellEnd"/>
      </w:hyperlink>
      <w:r w:rsidR="001E609F" w:rsidRPr="00F61510">
        <w:rPr>
          <w:rFonts w:eastAsiaTheme="majorEastAsia"/>
        </w:rPr>
        <w:t xml:space="preserve"> by </w:t>
      </w:r>
      <w:r w:rsidR="001E609F" w:rsidRPr="0012771B">
        <w:rPr>
          <w:rFonts w:asciiTheme="majorHAnsi" w:eastAsia="Calibri" w:hAnsiTheme="majorHAnsi" w:cstheme="majorBidi"/>
          <w:bCs/>
          <w:color w:val="000000" w:themeColor="text1"/>
        </w:rPr>
        <w:t>using the search term “research”.</w:t>
      </w:r>
    </w:p>
    <w:p w14:paraId="273EDB90" w14:textId="5FEBD247" w:rsidR="001E609F" w:rsidRPr="004A1301" w:rsidRDefault="001E609F" w:rsidP="00AA3C9D">
      <w:pPr>
        <w:pStyle w:val="Heading2"/>
        <w:numPr>
          <w:ilvl w:val="0"/>
          <w:numId w:val="6"/>
        </w:numPr>
        <w:spacing w:before="0"/>
        <w:ind w:left="425" w:hanging="426"/>
        <w:rPr>
          <w:rFonts w:eastAsia="Calibri"/>
          <w:szCs w:val="22"/>
        </w:rPr>
      </w:pPr>
      <w:r w:rsidRPr="004A1301">
        <w:rPr>
          <w:rFonts w:eastAsia="Calibri"/>
          <w:szCs w:val="22"/>
        </w:rPr>
        <w:t xml:space="preserve">Can proposals that seek to address system change be considered or is it exclusively for individual change interventions? </w:t>
      </w:r>
    </w:p>
    <w:p w14:paraId="3179DAFC" w14:textId="0DA1EB6E" w:rsidR="001E609F" w:rsidRPr="005E3A55" w:rsidRDefault="001E609F" w:rsidP="005E3A55">
      <w:pPr>
        <w:ind w:left="426"/>
        <w:rPr>
          <w:b/>
        </w:rPr>
      </w:pPr>
      <w:r w:rsidRPr="005E3A55">
        <w:rPr>
          <w:rFonts w:eastAsiaTheme="majorEastAsia"/>
        </w:rPr>
        <w:t>Proposals to achieve</w:t>
      </w:r>
      <w:r w:rsidRPr="005E3A55">
        <w:t xml:space="preserve"> systemic change may be considered as long as they are able to articulate how outcomes will be achieved within the two</w:t>
      </w:r>
      <w:r w:rsidR="002902CA" w:rsidRPr="005E3A55">
        <w:t>-</w:t>
      </w:r>
      <w:r w:rsidRPr="005E3A55">
        <w:t xml:space="preserve">year timeframe and also meet the overall objectives of the SARC Program. These may be projects that demonstrate proof of concepts within the </w:t>
      </w:r>
      <w:r w:rsidR="00486888" w:rsidRPr="005E3A55">
        <w:t>2</w:t>
      </w:r>
      <w:r w:rsidR="00193020" w:rsidRPr="005E3A55">
        <w:t xml:space="preserve"> </w:t>
      </w:r>
      <w:r w:rsidRPr="005E3A55">
        <w:t>year project timeframe.</w:t>
      </w:r>
    </w:p>
    <w:p w14:paraId="2CA4F5AC" w14:textId="0946A158" w:rsidR="001E609F" w:rsidRPr="005E3A55" w:rsidRDefault="001E609F" w:rsidP="005E3A55">
      <w:pPr>
        <w:pStyle w:val="Heading2"/>
        <w:numPr>
          <w:ilvl w:val="0"/>
          <w:numId w:val="6"/>
        </w:numPr>
        <w:spacing w:before="0"/>
        <w:ind w:left="425" w:hanging="426"/>
        <w:rPr>
          <w:rFonts w:eastAsia="Calibri"/>
          <w:b w:val="0"/>
          <w:bCs w:val="0"/>
          <w:szCs w:val="22"/>
        </w:rPr>
      </w:pPr>
      <w:r w:rsidRPr="001A46CB">
        <w:rPr>
          <w:rFonts w:eastAsia="Calibri"/>
          <w:szCs w:val="22"/>
        </w:rPr>
        <w:t>Can organisations propose projects that operate through partnerships and/or consortia?</w:t>
      </w:r>
    </w:p>
    <w:p w14:paraId="3747C710" w14:textId="5DCDCACC" w:rsidR="0012771B" w:rsidRDefault="001E609F" w:rsidP="005E3A55">
      <w:pPr>
        <w:ind w:left="426"/>
      </w:pPr>
      <w:r w:rsidRPr="00512D91">
        <w:t xml:space="preserve">Project proposals that operate through various partnership and/or consortia models may be considered for </w:t>
      </w:r>
      <w:r w:rsidR="006F6115">
        <w:t xml:space="preserve">the </w:t>
      </w:r>
      <w:r w:rsidRPr="00512D91">
        <w:t>SARC</w:t>
      </w:r>
      <w:r w:rsidR="006F6115">
        <w:t xml:space="preserve"> Activity – Inclusive Communities Grants</w:t>
      </w:r>
      <w:r w:rsidRPr="00512D91">
        <w:t>.</w:t>
      </w:r>
      <w:r w:rsidR="00D43702" w:rsidRPr="00512D91">
        <w:t xml:space="preserve"> Where partnership and/or consortia models have been identified, evidence outlining all parties’ agreement to the consortia arrangements </w:t>
      </w:r>
      <w:r w:rsidR="00E2508D" w:rsidRPr="00512D91">
        <w:t>must</w:t>
      </w:r>
      <w:r w:rsidR="00D43702" w:rsidRPr="00512D91">
        <w:t xml:space="preserve"> be attached to the application.</w:t>
      </w:r>
    </w:p>
    <w:p w14:paraId="74B10CAA" w14:textId="77777777" w:rsidR="00C9051C" w:rsidRPr="005E3A55" w:rsidRDefault="00C9051C" w:rsidP="005E3A55">
      <w:pPr>
        <w:pStyle w:val="Heading2"/>
        <w:numPr>
          <w:ilvl w:val="0"/>
          <w:numId w:val="6"/>
        </w:numPr>
        <w:spacing w:before="0"/>
        <w:ind w:left="425" w:hanging="426"/>
        <w:rPr>
          <w:rFonts w:eastAsia="Calibri"/>
          <w:b w:val="0"/>
          <w:bCs w:val="0"/>
          <w:szCs w:val="22"/>
        </w:rPr>
      </w:pPr>
      <w:r w:rsidRPr="001A46CB">
        <w:rPr>
          <w:rFonts w:eastAsia="Calibri"/>
          <w:szCs w:val="22"/>
        </w:rPr>
        <w:t>Can organisations apply for funding to support cohorts of people living overseas or is the grant going to focus solely on Australia-focused programs?</w:t>
      </w:r>
    </w:p>
    <w:p w14:paraId="473FBB5C" w14:textId="3E75B478" w:rsidR="00C9051C" w:rsidRDefault="00C9051C" w:rsidP="00C9051C">
      <w:pPr>
        <w:ind w:left="426"/>
        <w:rPr>
          <w:rFonts w:eastAsiaTheme="majorEastAsia"/>
        </w:rPr>
      </w:pPr>
      <w:r w:rsidRPr="00B3354C">
        <w:rPr>
          <w:rFonts w:eastAsiaTheme="majorEastAsia"/>
        </w:rPr>
        <w:t xml:space="preserve">The SARC </w:t>
      </w:r>
      <w:r w:rsidR="006F6115">
        <w:rPr>
          <w:rFonts w:eastAsiaTheme="majorEastAsia"/>
        </w:rPr>
        <w:t>Activity – Inclusive Communities Grants aim</w:t>
      </w:r>
      <w:r w:rsidRPr="00B3354C">
        <w:rPr>
          <w:rFonts w:eastAsiaTheme="majorEastAsia"/>
        </w:rPr>
        <w:t xml:space="preserve"> to provide benefits to vulnerable people residing in Australia. Proposals that seek to work with beneficiaries who are residing overseas would not address the policy intent of SARC. Organisations interested in working with participants overseas </w:t>
      </w:r>
      <w:r w:rsidR="00E2508D">
        <w:rPr>
          <w:rFonts w:eastAsiaTheme="majorEastAsia"/>
        </w:rPr>
        <w:t>should</w:t>
      </w:r>
      <w:r w:rsidRPr="00B3354C">
        <w:rPr>
          <w:rFonts w:eastAsiaTheme="majorEastAsia"/>
        </w:rPr>
        <w:t xml:space="preserve"> explore grant opportunities provided through other avenues</w:t>
      </w:r>
      <w:r w:rsidR="00E2508D">
        <w:rPr>
          <w:rFonts w:eastAsiaTheme="majorEastAsia"/>
        </w:rPr>
        <w:t>.</w:t>
      </w:r>
    </w:p>
    <w:p w14:paraId="41D6302F" w14:textId="2E4E95E3" w:rsidR="00AA5A0A" w:rsidRPr="00866BA1" w:rsidRDefault="00AA5A0A" w:rsidP="00AA5A0A">
      <w:pPr>
        <w:pStyle w:val="Heading2"/>
        <w:numPr>
          <w:ilvl w:val="0"/>
          <w:numId w:val="6"/>
        </w:numPr>
        <w:spacing w:before="0"/>
        <w:ind w:left="425" w:hanging="426"/>
        <w:rPr>
          <w:rFonts w:eastAsia="Calibri"/>
          <w:szCs w:val="22"/>
        </w:rPr>
      </w:pPr>
      <w:r w:rsidRPr="00866BA1">
        <w:rPr>
          <w:rFonts w:eastAsia="Calibri"/>
        </w:rPr>
        <w:lastRenderedPageBreak/>
        <w:t>Is a formal graphic version of a Program Logic required as part of the application for SARC funding?</w:t>
      </w:r>
    </w:p>
    <w:p w14:paraId="131ABE4D" w14:textId="752F50C5" w:rsidR="004814A8" w:rsidRPr="0012771B" w:rsidRDefault="00F82B49" w:rsidP="0012771B">
      <w:pPr>
        <w:ind w:left="426"/>
        <w:rPr>
          <w:rFonts w:eastAsiaTheme="majorEastAsia"/>
        </w:rPr>
      </w:pPr>
      <w:r w:rsidRPr="0012771B">
        <w:rPr>
          <w:rFonts w:eastAsiaTheme="majorEastAsia"/>
        </w:rPr>
        <w:t xml:space="preserve">No. </w:t>
      </w:r>
      <w:r w:rsidR="004D3891">
        <w:rPr>
          <w:rFonts w:eastAsiaTheme="majorEastAsia"/>
        </w:rPr>
        <w:t xml:space="preserve">The </w:t>
      </w:r>
      <w:r w:rsidR="004D3891" w:rsidRPr="004D3891">
        <w:rPr>
          <w:rFonts w:eastAsiaTheme="majorEastAsia"/>
        </w:rPr>
        <w:t>Strong and Resilient Communities Indicative Program Logic template available in the Grant Opportunity documents is a</w:t>
      </w:r>
      <w:r w:rsidR="004D3891">
        <w:rPr>
          <w:rFonts w:eastAsiaTheme="majorEastAsia"/>
        </w:rPr>
        <w:t xml:space="preserve"> reference tool only, which you </w:t>
      </w:r>
      <w:r w:rsidR="004D3891">
        <w:rPr>
          <w:rFonts w:cs="Arial"/>
        </w:rPr>
        <w:t xml:space="preserve">may wish to refer to in order to develop your content in response to the criteria. If a graphic version of the program logic is attached it will not be assessed. </w:t>
      </w:r>
      <w:r w:rsidRPr="0012771B">
        <w:rPr>
          <w:rFonts w:eastAsiaTheme="majorEastAsia"/>
        </w:rPr>
        <w:t xml:space="preserve">Applicants </w:t>
      </w:r>
      <w:r w:rsidR="00F61510" w:rsidRPr="0012771B">
        <w:rPr>
          <w:rFonts w:eastAsiaTheme="majorEastAsia"/>
        </w:rPr>
        <w:t xml:space="preserve">need to provide </w:t>
      </w:r>
      <w:r w:rsidRPr="0012771B">
        <w:rPr>
          <w:rFonts w:eastAsiaTheme="majorEastAsia"/>
        </w:rPr>
        <w:t>a description</w:t>
      </w:r>
      <w:r w:rsidR="00F61510" w:rsidRPr="0012771B">
        <w:rPr>
          <w:rFonts w:eastAsiaTheme="majorEastAsia"/>
        </w:rPr>
        <w:t xml:space="preserve"> of the proposed activity that explain</w:t>
      </w:r>
      <w:r w:rsidRPr="0012771B">
        <w:rPr>
          <w:rFonts w:eastAsiaTheme="majorEastAsia"/>
        </w:rPr>
        <w:t>s</w:t>
      </w:r>
      <w:r w:rsidR="00F61510" w:rsidRPr="0012771B">
        <w:rPr>
          <w:rFonts w:eastAsiaTheme="majorEastAsia"/>
        </w:rPr>
        <w:t xml:space="preserve"> the causal links between activities and measurable outcomes. This can be done through </w:t>
      </w:r>
      <w:r w:rsidRPr="0012771B">
        <w:rPr>
          <w:rFonts w:eastAsiaTheme="majorEastAsia"/>
        </w:rPr>
        <w:t xml:space="preserve">a </w:t>
      </w:r>
      <w:r w:rsidR="00F61510" w:rsidRPr="0012771B">
        <w:rPr>
          <w:rFonts w:eastAsiaTheme="majorEastAsia"/>
        </w:rPr>
        <w:t xml:space="preserve">narrative </w:t>
      </w:r>
      <w:r w:rsidRPr="0012771B">
        <w:rPr>
          <w:rFonts w:eastAsiaTheme="majorEastAsia"/>
        </w:rPr>
        <w:t>and include</w:t>
      </w:r>
      <w:r w:rsidR="003D3009">
        <w:rPr>
          <w:rFonts w:eastAsiaTheme="majorEastAsia"/>
        </w:rPr>
        <w:t>d</w:t>
      </w:r>
      <w:r w:rsidRPr="0012771B">
        <w:rPr>
          <w:rFonts w:eastAsiaTheme="majorEastAsia"/>
        </w:rPr>
        <w:t xml:space="preserve"> </w:t>
      </w:r>
      <w:r w:rsidR="00F61510" w:rsidRPr="0012771B">
        <w:rPr>
          <w:rFonts w:eastAsiaTheme="majorEastAsia"/>
        </w:rPr>
        <w:t>as a series of “if.</w:t>
      </w:r>
      <w:r w:rsidR="00663049" w:rsidRPr="0012771B">
        <w:rPr>
          <w:rFonts w:eastAsiaTheme="majorEastAsia"/>
        </w:rPr>
        <w:t>.</w:t>
      </w:r>
      <w:r w:rsidR="00F61510" w:rsidRPr="0012771B">
        <w:rPr>
          <w:rFonts w:eastAsiaTheme="majorEastAsia"/>
        </w:rPr>
        <w:t>.then</w:t>
      </w:r>
      <w:r w:rsidR="00663049" w:rsidRPr="0012771B">
        <w:rPr>
          <w:rFonts w:eastAsiaTheme="majorEastAsia"/>
        </w:rPr>
        <w:t>.</w:t>
      </w:r>
      <w:r w:rsidR="00F61510" w:rsidRPr="0012771B">
        <w:rPr>
          <w:rFonts w:eastAsiaTheme="majorEastAsia"/>
        </w:rPr>
        <w:t xml:space="preserve">..” statements. </w:t>
      </w:r>
    </w:p>
    <w:p w14:paraId="5767CC79" w14:textId="7458D59B" w:rsidR="00F61510" w:rsidRPr="0012771B" w:rsidRDefault="00F61510" w:rsidP="0012771B">
      <w:pPr>
        <w:ind w:left="426"/>
        <w:rPr>
          <w:rFonts w:eastAsiaTheme="majorEastAsia"/>
        </w:rPr>
      </w:pPr>
      <w:r w:rsidRPr="0012771B">
        <w:rPr>
          <w:rFonts w:eastAsiaTheme="majorEastAsia"/>
        </w:rPr>
        <w:t>An example of this is:</w:t>
      </w:r>
      <w:r w:rsidR="0012771B" w:rsidRPr="0012771B">
        <w:rPr>
          <w:rFonts w:eastAsiaTheme="majorEastAsia"/>
        </w:rPr>
        <w:t xml:space="preserve"> </w:t>
      </w:r>
      <w:r w:rsidRPr="0012771B">
        <w:rPr>
          <w:rFonts w:eastAsiaTheme="majorEastAsia"/>
        </w:rPr>
        <w:t>If we provide support for vulnerable and disadvantaged women then they will gain the necessary skills and understanding to be able to gain and maintain employment. Through developing new skills women can become more empowered and develop their independence, increasing their options in life and contributing to overall wellbeing.</w:t>
      </w:r>
    </w:p>
    <w:p w14:paraId="3D063E2E" w14:textId="4F08E2F7" w:rsidR="000A32C0" w:rsidRPr="00C9051C" w:rsidRDefault="000A32C0" w:rsidP="00C9051C">
      <w:pPr>
        <w:pStyle w:val="Heading2"/>
        <w:numPr>
          <w:ilvl w:val="0"/>
          <w:numId w:val="6"/>
        </w:numPr>
        <w:spacing w:before="0"/>
        <w:ind w:left="425" w:hanging="426"/>
        <w:rPr>
          <w:rFonts w:eastAsia="Calibri"/>
        </w:rPr>
      </w:pPr>
      <w:r w:rsidRPr="00C9051C">
        <w:rPr>
          <w:rFonts w:eastAsia="Calibri"/>
        </w:rPr>
        <w:t>What is the difference</w:t>
      </w:r>
      <w:r>
        <w:rPr>
          <w:rFonts w:eastAsia="Calibri"/>
        </w:rPr>
        <w:t xml:space="preserve"> between </w:t>
      </w:r>
      <w:r w:rsidR="00F82B49">
        <w:rPr>
          <w:rFonts w:eastAsia="Calibri"/>
        </w:rPr>
        <w:t xml:space="preserve">the </w:t>
      </w:r>
      <w:r>
        <w:rPr>
          <w:rFonts w:eastAsia="Calibri"/>
        </w:rPr>
        <w:t xml:space="preserve">SARC Activity – Inclusive Communities Grants and </w:t>
      </w:r>
      <w:r w:rsidR="00F82B49">
        <w:rPr>
          <w:rFonts w:eastAsia="Calibri"/>
        </w:rPr>
        <w:t xml:space="preserve">the </w:t>
      </w:r>
      <w:r w:rsidR="003D3009">
        <w:rPr>
          <w:rFonts w:eastAsia="Calibri"/>
        </w:rPr>
        <w:t>SARC Activities</w:t>
      </w:r>
      <w:r>
        <w:rPr>
          <w:rFonts w:eastAsia="Calibri"/>
        </w:rPr>
        <w:t xml:space="preserve"> – C</w:t>
      </w:r>
      <w:r w:rsidR="003D3009">
        <w:rPr>
          <w:rFonts w:eastAsia="Calibri"/>
        </w:rPr>
        <w:t xml:space="preserve">ashless </w:t>
      </w:r>
      <w:r>
        <w:rPr>
          <w:rFonts w:eastAsia="Calibri"/>
        </w:rPr>
        <w:t>D</w:t>
      </w:r>
      <w:r w:rsidR="003D3009">
        <w:rPr>
          <w:rFonts w:eastAsia="Calibri"/>
        </w:rPr>
        <w:t xml:space="preserve">ebit </w:t>
      </w:r>
      <w:r>
        <w:rPr>
          <w:rFonts w:eastAsia="Calibri"/>
        </w:rPr>
        <w:t>C</w:t>
      </w:r>
      <w:r w:rsidR="003D3009">
        <w:rPr>
          <w:rFonts w:eastAsia="Calibri"/>
        </w:rPr>
        <w:t>ard</w:t>
      </w:r>
      <w:r>
        <w:rPr>
          <w:rFonts w:eastAsia="Calibri"/>
        </w:rPr>
        <w:t xml:space="preserve"> </w:t>
      </w:r>
      <w:r w:rsidR="003D3009">
        <w:rPr>
          <w:rFonts w:eastAsia="Calibri"/>
        </w:rPr>
        <w:t xml:space="preserve">(CDC) </w:t>
      </w:r>
      <w:r>
        <w:rPr>
          <w:rFonts w:eastAsia="Calibri"/>
        </w:rPr>
        <w:t>Support</w:t>
      </w:r>
      <w:r w:rsidR="003D3009">
        <w:rPr>
          <w:rFonts w:eastAsia="Calibri"/>
        </w:rPr>
        <w:t xml:space="preserve"> Service</w:t>
      </w:r>
      <w:r>
        <w:rPr>
          <w:rFonts w:eastAsia="Calibri"/>
        </w:rPr>
        <w:t>s?</w:t>
      </w:r>
    </w:p>
    <w:p w14:paraId="1A28CE87" w14:textId="2FB137D3" w:rsidR="00663049" w:rsidRPr="0061573A" w:rsidRDefault="00161A63" w:rsidP="005E3A55">
      <w:pPr>
        <w:spacing w:line="280" w:lineRule="atLeast"/>
        <w:ind w:left="425"/>
        <w:rPr>
          <w:rFonts w:eastAsia="Calibri"/>
        </w:rPr>
      </w:pPr>
      <w:r>
        <w:rPr>
          <w:rFonts w:asciiTheme="majorHAnsi" w:eastAsia="Calibri" w:hAnsiTheme="majorHAnsi" w:cstheme="majorBidi"/>
          <w:bCs/>
          <w:color w:val="000000" w:themeColor="text1"/>
        </w:rPr>
        <w:t>The SARC Activity</w:t>
      </w:r>
      <w:r w:rsidR="000A32C0">
        <w:rPr>
          <w:rFonts w:asciiTheme="majorHAnsi" w:eastAsia="Calibri" w:hAnsiTheme="majorHAnsi" w:cstheme="majorBidi"/>
          <w:bCs/>
          <w:color w:val="000000" w:themeColor="text1"/>
        </w:rPr>
        <w:t xml:space="preserve"> – Inclusive Communit</w:t>
      </w:r>
      <w:r w:rsidR="003D3009">
        <w:rPr>
          <w:rFonts w:asciiTheme="majorHAnsi" w:eastAsia="Calibri" w:hAnsiTheme="majorHAnsi" w:cstheme="majorBidi"/>
          <w:bCs/>
          <w:color w:val="000000" w:themeColor="text1"/>
        </w:rPr>
        <w:t>ies Grants and the SARC Activities</w:t>
      </w:r>
      <w:r w:rsidR="000A32C0">
        <w:rPr>
          <w:rFonts w:asciiTheme="majorHAnsi" w:eastAsia="Calibri" w:hAnsiTheme="majorHAnsi" w:cstheme="majorBidi"/>
          <w:bCs/>
          <w:color w:val="000000" w:themeColor="text1"/>
        </w:rPr>
        <w:t xml:space="preserve"> – CDC Support</w:t>
      </w:r>
      <w:r w:rsidR="003D3009">
        <w:rPr>
          <w:rFonts w:asciiTheme="majorHAnsi" w:eastAsia="Calibri" w:hAnsiTheme="majorHAnsi" w:cstheme="majorBidi"/>
          <w:bCs/>
          <w:color w:val="000000" w:themeColor="text1"/>
        </w:rPr>
        <w:t xml:space="preserve"> Service</w:t>
      </w:r>
      <w:r w:rsidR="000A32C0">
        <w:rPr>
          <w:rFonts w:asciiTheme="majorHAnsi" w:eastAsia="Calibri" w:hAnsiTheme="majorHAnsi" w:cstheme="majorBidi"/>
          <w:bCs/>
          <w:color w:val="000000" w:themeColor="text1"/>
        </w:rPr>
        <w:t xml:space="preserve">s are </w:t>
      </w:r>
      <w:r w:rsidR="005E2E82">
        <w:rPr>
          <w:rFonts w:asciiTheme="majorHAnsi" w:eastAsia="Calibri" w:hAnsiTheme="majorHAnsi" w:cstheme="majorBidi"/>
          <w:bCs/>
          <w:color w:val="000000" w:themeColor="text1"/>
        </w:rPr>
        <w:t>2</w:t>
      </w:r>
      <w:r w:rsidR="000A32C0">
        <w:rPr>
          <w:rFonts w:asciiTheme="majorHAnsi" w:eastAsia="Calibri" w:hAnsiTheme="majorHAnsi" w:cstheme="majorBidi"/>
          <w:bCs/>
          <w:color w:val="000000" w:themeColor="text1"/>
        </w:rPr>
        <w:t xml:space="preserve"> separate </w:t>
      </w:r>
      <w:r>
        <w:rPr>
          <w:rFonts w:asciiTheme="majorHAnsi" w:eastAsia="Calibri" w:hAnsiTheme="majorHAnsi" w:cstheme="majorBidi"/>
          <w:bCs/>
          <w:color w:val="000000" w:themeColor="text1"/>
        </w:rPr>
        <w:t>grant</w:t>
      </w:r>
      <w:r w:rsidR="000A32C0">
        <w:rPr>
          <w:rFonts w:asciiTheme="majorHAnsi" w:eastAsia="Calibri" w:hAnsiTheme="majorHAnsi" w:cstheme="majorBidi"/>
          <w:bCs/>
          <w:color w:val="000000" w:themeColor="text1"/>
        </w:rPr>
        <w:t xml:space="preserve"> rounds</w:t>
      </w:r>
      <w:r w:rsidR="005E2E82">
        <w:rPr>
          <w:rFonts w:asciiTheme="majorHAnsi" w:eastAsia="Calibri" w:hAnsiTheme="majorHAnsi" w:cstheme="majorBidi"/>
          <w:bCs/>
          <w:color w:val="000000" w:themeColor="text1"/>
        </w:rPr>
        <w:t>.</w:t>
      </w:r>
    </w:p>
    <w:p w14:paraId="0B6E79CB" w14:textId="24BEB9CF" w:rsidR="00E56CE7" w:rsidRPr="005E3A55" w:rsidRDefault="00E56CE7" w:rsidP="005E3A55">
      <w:pPr>
        <w:pStyle w:val="ListParagraph"/>
        <w:keepLines/>
        <w:spacing w:before="0" w:after="200"/>
        <w:ind w:left="425"/>
        <w:rPr>
          <w:rFonts w:eastAsia="Calibri"/>
          <w:sz w:val="22"/>
          <w:szCs w:val="22"/>
        </w:rPr>
      </w:pPr>
      <w:r>
        <w:rPr>
          <w:rFonts w:asciiTheme="majorHAnsi" w:eastAsia="Calibri" w:hAnsiTheme="majorHAnsi" w:cstheme="majorBidi"/>
          <w:bCs/>
          <w:color w:val="000000" w:themeColor="text1"/>
          <w:sz w:val="22"/>
          <w:szCs w:val="22"/>
        </w:rPr>
        <w:t>The SARC Activity – Inclusive Communities Grants (this grant round) opened on 5</w:t>
      </w:r>
      <w:r w:rsidR="003D3009">
        <w:rPr>
          <w:rFonts w:asciiTheme="majorHAnsi" w:eastAsia="Calibri" w:hAnsiTheme="majorHAnsi" w:cstheme="majorBidi"/>
          <w:bCs/>
          <w:color w:val="000000" w:themeColor="text1"/>
          <w:sz w:val="22"/>
          <w:szCs w:val="22"/>
        </w:rPr>
        <w:t> October </w:t>
      </w:r>
      <w:r>
        <w:rPr>
          <w:rFonts w:asciiTheme="majorHAnsi" w:eastAsia="Calibri" w:hAnsiTheme="majorHAnsi" w:cstheme="majorBidi"/>
          <w:bCs/>
          <w:color w:val="000000" w:themeColor="text1"/>
          <w:sz w:val="22"/>
          <w:szCs w:val="22"/>
        </w:rPr>
        <w:t xml:space="preserve">2021 with grant expenditure up </w:t>
      </w:r>
      <w:r w:rsidRPr="00161A63">
        <w:rPr>
          <w:rFonts w:asciiTheme="majorHAnsi" w:eastAsia="Calibri" w:hAnsiTheme="majorHAnsi" w:cstheme="majorBidi"/>
          <w:bCs/>
          <w:color w:val="000000" w:themeColor="text1"/>
          <w:sz w:val="22"/>
          <w:szCs w:val="22"/>
        </w:rPr>
        <w:t>to $63 million (GST exclusive) for the period of 2022</w:t>
      </w:r>
      <w:r w:rsidR="005E2E82">
        <w:rPr>
          <w:rFonts w:asciiTheme="majorHAnsi" w:eastAsia="Calibri" w:hAnsiTheme="majorHAnsi" w:cstheme="majorBidi"/>
          <w:bCs/>
          <w:color w:val="000000" w:themeColor="text1"/>
          <w:sz w:val="22"/>
          <w:szCs w:val="22"/>
        </w:rPr>
        <w:t>–</w:t>
      </w:r>
      <w:r w:rsidRPr="00161A63">
        <w:rPr>
          <w:rFonts w:asciiTheme="majorHAnsi" w:eastAsia="Calibri" w:hAnsiTheme="majorHAnsi" w:cstheme="majorBidi"/>
          <w:bCs/>
          <w:color w:val="000000" w:themeColor="text1"/>
          <w:sz w:val="22"/>
          <w:szCs w:val="22"/>
        </w:rPr>
        <w:t>23 to 2026</w:t>
      </w:r>
      <w:r w:rsidR="005E2E82">
        <w:rPr>
          <w:rFonts w:asciiTheme="majorHAnsi" w:eastAsia="Calibri" w:hAnsiTheme="majorHAnsi" w:cstheme="majorBidi"/>
          <w:bCs/>
          <w:color w:val="000000" w:themeColor="text1"/>
          <w:sz w:val="22"/>
          <w:szCs w:val="22"/>
        </w:rPr>
        <w:t>–</w:t>
      </w:r>
      <w:r w:rsidRPr="00161A63">
        <w:rPr>
          <w:rFonts w:asciiTheme="majorHAnsi" w:eastAsia="Calibri" w:hAnsiTheme="majorHAnsi" w:cstheme="majorBidi"/>
          <w:bCs/>
          <w:color w:val="000000" w:themeColor="text1"/>
          <w:sz w:val="22"/>
          <w:szCs w:val="22"/>
        </w:rPr>
        <w:t>27.</w:t>
      </w:r>
      <w:r>
        <w:rPr>
          <w:rFonts w:asciiTheme="majorHAnsi" w:eastAsia="Calibri" w:hAnsiTheme="majorHAnsi" w:cstheme="majorBidi"/>
          <w:bCs/>
          <w:color w:val="000000" w:themeColor="text1"/>
          <w:sz w:val="22"/>
          <w:szCs w:val="22"/>
        </w:rPr>
        <w:t xml:space="preserve"> </w:t>
      </w:r>
      <w:r>
        <w:rPr>
          <w:rFonts w:eastAsia="Calibri"/>
          <w:sz w:val="22"/>
          <w:szCs w:val="22"/>
        </w:rPr>
        <w:t>The SARC Activity – Inclusive Communities Grants are</w:t>
      </w:r>
      <w:r>
        <w:rPr>
          <w:rFonts w:asciiTheme="majorHAnsi" w:eastAsia="Calibri" w:hAnsiTheme="majorHAnsi" w:cstheme="majorBidi"/>
          <w:bCs/>
          <w:color w:val="000000" w:themeColor="text1"/>
          <w:sz w:val="22"/>
          <w:szCs w:val="22"/>
        </w:rPr>
        <w:t xml:space="preserve"> for the purpose of </w:t>
      </w:r>
      <w:r w:rsidRPr="006D6E17">
        <w:rPr>
          <w:rFonts w:eastAsia="Calibri"/>
          <w:sz w:val="22"/>
          <w:szCs w:val="22"/>
        </w:rPr>
        <w:t>build</w:t>
      </w:r>
      <w:r>
        <w:rPr>
          <w:rFonts w:eastAsia="Calibri"/>
          <w:sz w:val="22"/>
          <w:szCs w:val="22"/>
        </w:rPr>
        <w:t>ing</w:t>
      </w:r>
      <w:r w:rsidRPr="006D6E17">
        <w:rPr>
          <w:rFonts w:eastAsia="Calibri"/>
          <w:sz w:val="22"/>
          <w:szCs w:val="22"/>
        </w:rPr>
        <w:t xml:space="preserve"> strong, resilient, cohesive and harmonious communities to ensure that individuals, families and communities</w:t>
      </w:r>
      <w:r>
        <w:rPr>
          <w:rFonts w:eastAsia="Calibri"/>
          <w:sz w:val="22"/>
          <w:szCs w:val="22"/>
        </w:rPr>
        <w:t xml:space="preserve"> have the opportunity to thrive and are not focused on supporting CDC participants or confined to any particular geographic locations.</w:t>
      </w:r>
    </w:p>
    <w:p w14:paraId="0A24BF6C" w14:textId="2887222F" w:rsidR="00161A63" w:rsidRPr="005E3A55" w:rsidRDefault="000A32C0" w:rsidP="005E3A55">
      <w:pPr>
        <w:spacing w:line="280" w:lineRule="atLeast"/>
        <w:ind w:left="425"/>
        <w:rPr>
          <w:rFonts w:asciiTheme="majorHAnsi" w:eastAsia="Calibri" w:hAnsiTheme="majorHAnsi" w:cstheme="majorBidi"/>
          <w:bCs/>
          <w:color w:val="000000" w:themeColor="text1"/>
        </w:rPr>
      </w:pPr>
      <w:r w:rsidRPr="005E3A55">
        <w:rPr>
          <w:rFonts w:asciiTheme="majorHAnsi" w:eastAsia="Calibri" w:hAnsiTheme="majorHAnsi" w:cstheme="majorBidi"/>
          <w:bCs/>
          <w:color w:val="000000" w:themeColor="text1"/>
        </w:rPr>
        <w:t xml:space="preserve">The SARC Activity – CDC </w:t>
      </w:r>
      <w:r w:rsidR="00161A63" w:rsidRPr="005E3A55">
        <w:rPr>
          <w:rFonts w:asciiTheme="majorHAnsi" w:eastAsia="Calibri" w:hAnsiTheme="majorHAnsi" w:cstheme="majorBidi"/>
          <w:bCs/>
          <w:color w:val="000000" w:themeColor="text1"/>
        </w:rPr>
        <w:t>Supports grant</w:t>
      </w:r>
      <w:r w:rsidRPr="005E3A55">
        <w:rPr>
          <w:rFonts w:asciiTheme="majorHAnsi" w:eastAsia="Calibri" w:hAnsiTheme="majorHAnsi" w:cstheme="majorBidi"/>
          <w:bCs/>
          <w:color w:val="000000" w:themeColor="text1"/>
        </w:rPr>
        <w:t xml:space="preserve"> round opened on 27 September 2021, with grant expenditure of up to $31.1 million (GST exc</w:t>
      </w:r>
      <w:r w:rsidR="00F572FA" w:rsidRPr="005E3A55">
        <w:rPr>
          <w:rFonts w:asciiTheme="majorHAnsi" w:eastAsia="Calibri" w:hAnsiTheme="majorHAnsi" w:cstheme="majorBidi"/>
          <w:bCs/>
          <w:color w:val="000000" w:themeColor="text1"/>
        </w:rPr>
        <w:t>lusive) for the period of 2021</w:t>
      </w:r>
      <w:r w:rsidR="005E2E82" w:rsidRPr="005E3A55">
        <w:rPr>
          <w:rFonts w:asciiTheme="majorHAnsi" w:eastAsia="Calibri" w:hAnsiTheme="majorHAnsi" w:cstheme="majorBidi"/>
          <w:bCs/>
          <w:color w:val="000000" w:themeColor="text1"/>
        </w:rPr>
        <w:t>–</w:t>
      </w:r>
      <w:r w:rsidRPr="005E3A55">
        <w:rPr>
          <w:rFonts w:asciiTheme="majorHAnsi" w:eastAsia="Calibri" w:hAnsiTheme="majorHAnsi" w:cstheme="majorBidi"/>
          <w:bCs/>
          <w:color w:val="000000" w:themeColor="text1"/>
        </w:rPr>
        <w:t>22 to 2022</w:t>
      </w:r>
      <w:r w:rsidR="005E2E82" w:rsidRPr="005E3A55">
        <w:rPr>
          <w:rFonts w:asciiTheme="majorHAnsi" w:eastAsia="Calibri" w:hAnsiTheme="majorHAnsi" w:cstheme="majorBidi"/>
          <w:bCs/>
          <w:color w:val="000000" w:themeColor="text1"/>
        </w:rPr>
        <w:t>–</w:t>
      </w:r>
      <w:r w:rsidRPr="005E3A55">
        <w:rPr>
          <w:rFonts w:asciiTheme="majorHAnsi" w:eastAsia="Calibri" w:hAnsiTheme="majorHAnsi" w:cstheme="majorBidi"/>
          <w:bCs/>
          <w:color w:val="000000" w:themeColor="text1"/>
        </w:rPr>
        <w:t xml:space="preserve">23. The </w:t>
      </w:r>
      <w:r w:rsidR="003D3009" w:rsidRPr="005E3A55">
        <w:rPr>
          <w:rFonts w:asciiTheme="majorHAnsi" w:eastAsia="Calibri" w:hAnsiTheme="majorHAnsi" w:cstheme="majorBidi"/>
          <w:bCs/>
          <w:color w:val="000000" w:themeColor="text1"/>
        </w:rPr>
        <w:t>SARC Activities</w:t>
      </w:r>
      <w:r w:rsidR="00161A63" w:rsidRPr="005E3A55">
        <w:rPr>
          <w:rFonts w:asciiTheme="majorHAnsi" w:eastAsia="Calibri" w:hAnsiTheme="majorHAnsi" w:cstheme="majorBidi"/>
          <w:bCs/>
          <w:color w:val="000000" w:themeColor="text1"/>
        </w:rPr>
        <w:t xml:space="preserve"> – CDC Support</w:t>
      </w:r>
      <w:r w:rsidR="003D3009" w:rsidRPr="005E3A55">
        <w:rPr>
          <w:rFonts w:asciiTheme="majorHAnsi" w:eastAsia="Calibri" w:hAnsiTheme="majorHAnsi" w:cstheme="majorBidi"/>
          <w:bCs/>
          <w:color w:val="000000" w:themeColor="text1"/>
        </w:rPr>
        <w:t xml:space="preserve"> Service</w:t>
      </w:r>
      <w:r w:rsidR="00161A63" w:rsidRPr="005E3A55">
        <w:rPr>
          <w:rFonts w:asciiTheme="majorHAnsi" w:eastAsia="Calibri" w:hAnsiTheme="majorHAnsi" w:cstheme="majorBidi"/>
          <w:bCs/>
          <w:color w:val="000000" w:themeColor="text1"/>
        </w:rPr>
        <w:t xml:space="preserve">s </w:t>
      </w:r>
      <w:r w:rsidRPr="005E3A55">
        <w:rPr>
          <w:rFonts w:asciiTheme="majorHAnsi" w:eastAsia="Calibri" w:hAnsiTheme="majorHAnsi" w:cstheme="majorBidi"/>
          <w:bCs/>
          <w:color w:val="000000" w:themeColor="text1"/>
        </w:rPr>
        <w:t>grants will focus on supporting CDC participants in the regions of Ceduna in South Australia; East Kimberley and the Goldfields in Western Australia; Bundaberg and Hervey Bay in Queensland; and in the Northern Territory.</w:t>
      </w:r>
    </w:p>
    <w:p w14:paraId="1BE5C5E5" w14:textId="6DDA35ED" w:rsidR="00E94149" w:rsidRPr="004814A8" w:rsidRDefault="00E94149" w:rsidP="004A1301">
      <w:pPr>
        <w:pStyle w:val="Heading2"/>
        <w:numPr>
          <w:ilvl w:val="0"/>
          <w:numId w:val="6"/>
        </w:numPr>
        <w:spacing w:before="0"/>
        <w:ind w:left="425" w:hanging="426"/>
        <w:rPr>
          <w:rFonts w:eastAsia="Calibri"/>
        </w:rPr>
      </w:pPr>
      <w:r w:rsidRPr="004814A8">
        <w:rPr>
          <w:rFonts w:eastAsia="Calibri"/>
        </w:rPr>
        <w:t xml:space="preserve">Where should I go for further information? </w:t>
      </w:r>
    </w:p>
    <w:p w14:paraId="58E592AB" w14:textId="77777777" w:rsidR="00E94149" w:rsidRDefault="00E94149" w:rsidP="004A1301">
      <w:pPr>
        <w:spacing w:after="120"/>
        <w:ind w:left="426"/>
        <w:rPr>
          <w:b/>
        </w:rPr>
      </w:pPr>
      <w:r w:rsidRPr="004814A8">
        <w:t>Please email</w:t>
      </w:r>
      <w:r w:rsidRPr="00A53743">
        <w:t xml:space="preserve"> your enquiries to </w:t>
      </w:r>
      <w:hyperlink r:id="rId13" w:history="1">
        <w:r w:rsidRPr="00A53743">
          <w:rPr>
            <w:rStyle w:val="Hyperlink"/>
          </w:rPr>
          <w:t>support@communitygrants.gov.au</w:t>
        </w:r>
      </w:hyperlink>
    </w:p>
    <w:p w14:paraId="0C7EE38E" w14:textId="47182BBA" w:rsidR="008A3B30" w:rsidRDefault="00CC1B7B" w:rsidP="008A3B30">
      <w:pPr>
        <w:spacing w:line="280" w:lineRule="atLeast"/>
        <w:ind w:firstLine="425"/>
        <w:rPr>
          <w:rStyle w:val="Hyperlink"/>
          <w:b/>
          <w:color w:val="auto"/>
          <w:sz w:val="24"/>
          <w:szCs w:val="24"/>
        </w:rPr>
      </w:pPr>
      <w:r w:rsidRPr="00643939">
        <w:rPr>
          <w:b/>
        </w:rPr>
        <w:t xml:space="preserve"> </w:t>
      </w:r>
      <w:r w:rsidR="008A3B30">
        <w:rPr>
          <w:rStyle w:val="Hyperlink"/>
          <w:b/>
          <w:color w:val="auto"/>
          <w:sz w:val="24"/>
          <w:szCs w:val="24"/>
        </w:rPr>
        <w:t>Questions and Answers</w:t>
      </w:r>
      <w:r w:rsidR="008A3B30" w:rsidRPr="00550894">
        <w:rPr>
          <w:rStyle w:val="Hyperlink"/>
          <w:b/>
          <w:color w:val="auto"/>
          <w:sz w:val="24"/>
          <w:szCs w:val="24"/>
        </w:rPr>
        <w:t xml:space="preserve"> </w:t>
      </w:r>
      <w:r w:rsidR="008A3B30">
        <w:rPr>
          <w:rStyle w:val="Hyperlink"/>
          <w:b/>
          <w:color w:val="auto"/>
          <w:sz w:val="24"/>
          <w:szCs w:val="24"/>
        </w:rPr>
        <w:t>added on 25 October 2021</w:t>
      </w:r>
    </w:p>
    <w:p w14:paraId="055260A8" w14:textId="6CB60694" w:rsidR="008A3B30" w:rsidRDefault="008A3B30" w:rsidP="008A3B30">
      <w:pPr>
        <w:pStyle w:val="Heading2"/>
        <w:numPr>
          <w:ilvl w:val="0"/>
          <w:numId w:val="6"/>
        </w:numPr>
        <w:spacing w:before="0"/>
        <w:ind w:left="425" w:hanging="426"/>
        <w:rPr>
          <w:rFonts w:ascii="Arial" w:hAnsi="Arial" w:cs="Arial"/>
        </w:rPr>
      </w:pPr>
      <w:r>
        <w:rPr>
          <w:rFonts w:ascii="Arial" w:hAnsi="Arial" w:cs="Arial"/>
        </w:rPr>
        <w:t xml:space="preserve">You have asked us not to provide the PO Box. We have not secured the physical location of our organisation yet. I am wondering what is an alternative way to overcome this </w:t>
      </w:r>
      <w:proofErr w:type="gramStart"/>
      <w:r>
        <w:rPr>
          <w:rFonts w:ascii="Arial" w:hAnsi="Arial" w:cs="Arial"/>
        </w:rPr>
        <w:t>question?</w:t>
      </w:r>
      <w:proofErr w:type="gramEnd"/>
    </w:p>
    <w:p w14:paraId="0FBBDF03" w14:textId="75F0894E" w:rsidR="008A3B30" w:rsidRDefault="008A3B30" w:rsidP="008A3B30">
      <w:pPr>
        <w:pStyle w:val="ListParagraph"/>
        <w:ind w:left="360"/>
      </w:pPr>
      <w:r>
        <w:t>If an organisation does not have a business address, applicants should provide the physical address where the organisation is most active or that activities are currently coordinated from.</w:t>
      </w:r>
    </w:p>
    <w:p w14:paraId="27D068F4" w14:textId="08D8662C" w:rsidR="008A3B30" w:rsidRDefault="008A3B30" w:rsidP="008A3B30">
      <w:pPr>
        <w:pStyle w:val="Heading2"/>
        <w:numPr>
          <w:ilvl w:val="0"/>
          <w:numId w:val="6"/>
        </w:numPr>
        <w:spacing w:before="0"/>
        <w:ind w:left="425" w:hanging="426"/>
      </w:pPr>
      <w:r>
        <w:lastRenderedPageBreak/>
        <w:t xml:space="preserve">Can you please tell me the 'level' of the SEIFA index that is going to be used to identify geographic areas for the Inclusive community grant, i.e. SLA,SA1, 2 or 3 or LGA </w:t>
      </w:r>
      <w:proofErr w:type="spellStart"/>
      <w:r>
        <w:t>etc</w:t>
      </w:r>
      <w:proofErr w:type="spellEnd"/>
      <w:r>
        <w:t>?</w:t>
      </w:r>
    </w:p>
    <w:p w14:paraId="15CF193B" w14:textId="26835560" w:rsidR="008A3B30" w:rsidRDefault="008A3B30" w:rsidP="008A3B30">
      <w:pPr>
        <w:pStyle w:val="ListParagraph"/>
        <w:ind w:left="360"/>
      </w:pPr>
      <w:r>
        <w:t>When completing the application form applicants are asked to specify the coverage area of their project, which includes identification of service areas at Statistical Area Level 4.</w:t>
      </w:r>
    </w:p>
    <w:p w14:paraId="176F1447" w14:textId="14B21DF9" w:rsidR="008A3B30" w:rsidRDefault="008A3B30" w:rsidP="008A3B30">
      <w:pPr>
        <w:pStyle w:val="Heading2"/>
        <w:numPr>
          <w:ilvl w:val="0"/>
          <w:numId w:val="6"/>
        </w:numPr>
        <w:spacing w:before="0"/>
        <w:ind w:left="425" w:hanging="426"/>
      </w:pPr>
      <w:r>
        <w:t>So if I understand correctly there are no geographic areas that this funding round is specific to, it comes down to relative IRSD quintile and organisations evidencing the need, is that correct?</w:t>
      </w:r>
    </w:p>
    <w:p w14:paraId="421EBB8F" w14:textId="77777777" w:rsidR="008A3B30" w:rsidRPr="008A3B30" w:rsidRDefault="008A3B30" w:rsidP="008A3B30">
      <w:pPr>
        <w:pStyle w:val="ListParagraph"/>
        <w:ind w:left="360"/>
        <w:rPr>
          <w:rFonts w:ascii="Calibri" w:hAnsi="Calibri"/>
          <w:sz w:val="22"/>
          <w:szCs w:val="22"/>
        </w:rPr>
      </w:pPr>
      <w:r>
        <w:t>SARC Activity – Inclusive Communities Grants are not confined to any particular geographic location. Applications will be assessed on the organisations ability to demonstrate as part of the selection criteria the need for the project including the extent to which the identified need relates to the specified community. The Socio-Economic Indexes for Areas is only one approach that may be used in the consideration of applications.</w:t>
      </w:r>
    </w:p>
    <w:p w14:paraId="167A74B9" w14:textId="7FF373CE" w:rsidR="0041447B" w:rsidRPr="00550894" w:rsidRDefault="0041447B" w:rsidP="0041447B">
      <w:pPr>
        <w:spacing w:line="280" w:lineRule="atLeast"/>
        <w:ind w:firstLine="425"/>
        <w:rPr>
          <w:rStyle w:val="Hyperlink"/>
          <w:b/>
          <w:color w:val="auto"/>
          <w:sz w:val="24"/>
          <w:szCs w:val="24"/>
        </w:rPr>
      </w:pPr>
      <w:r>
        <w:rPr>
          <w:rStyle w:val="Hyperlink"/>
          <w:b/>
          <w:color w:val="auto"/>
          <w:sz w:val="24"/>
          <w:szCs w:val="24"/>
        </w:rPr>
        <w:t>Questions and Answers added on 29 October</w:t>
      </w:r>
      <w:r w:rsidRPr="00550894">
        <w:rPr>
          <w:rStyle w:val="Hyperlink"/>
          <w:b/>
          <w:color w:val="auto"/>
          <w:sz w:val="24"/>
          <w:szCs w:val="24"/>
        </w:rPr>
        <w:t xml:space="preserve"> 2021</w:t>
      </w:r>
    </w:p>
    <w:p w14:paraId="1034A2D1" w14:textId="75E6D015" w:rsidR="008A3B30" w:rsidRPr="008A3B30" w:rsidRDefault="0041447B" w:rsidP="0041447B">
      <w:pPr>
        <w:pStyle w:val="Heading2"/>
        <w:numPr>
          <w:ilvl w:val="0"/>
          <w:numId w:val="6"/>
        </w:numPr>
        <w:spacing w:before="0"/>
        <w:ind w:left="425" w:hanging="426"/>
      </w:pPr>
      <w:r>
        <w:rPr>
          <w:shd w:val="clear" w:color="auto" w:fill="FFFFFF"/>
        </w:rPr>
        <w:t>Could it please be explained why this is only open to not-for-profits organisations</w:t>
      </w:r>
    </w:p>
    <w:p w14:paraId="70D45C74" w14:textId="6AE1AD74" w:rsidR="008A3B30" w:rsidRPr="008A3B30" w:rsidRDefault="0041447B" w:rsidP="008A3B30">
      <w:pPr>
        <w:pStyle w:val="BodyText"/>
        <w:ind w:left="425"/>
      </w:pPr>
      <w:r w:rsidRPr="0041447B">
        <w:rPr>
          <w:sz w:val="24"/>
          <w:szCs w:val="24"/>
        </w:rPr>
        <w:t>The Strong and Resilient Communities Activity (SARC) – Inclusive Communities grants are an element of the Volunteering and Community Connectedness Program Component within the Families and Communities Program. The purpose of the SARC – Inclusive Communities grants is to strengthen the capacity of communities to become more self-reliant and empowered to address local issues through community driven/led solutions. As a result the decision has been made to limit eligibility to not-for-profit organisations</w:t>
      </w:r>
      <w:r w:rsidRPr="0041447B">
        <w:t>.</w:t>
      </w:r>
    </w:p>
    <w:p w14:paraId="1E274C4F" w14:textId="0F1ABBCA" w:rsidR="008A3B30" w:rsidRDefault="0041447B" w:rsidP="0041447B">
      <w:pPr>
        <w:pStyle w:val="Heading2"/>
        <w:numPr>
          <w:ilvl w:val="0"/>
          <w:numId w:val="6"/>
        </w:numPr>
        <w:spacing w:before="0"/>
        <w:ind w:left="425" w:hanging="426"/>
        <w:rPr>
          <w:shd w:val="clear" w:color="auto" w:fill="FFFFFF"/>
        </w:rPr>
      </w:pPr>
      <w:r>
        <w:rPr>
          <w:shd w:val="clear" w:color="auto" w:fill="FFFFFF"/>
        </w:rPr>
        <w:t>Is auspicing through a relevant not-for profit entity available for this round, or only through a consortium?</w:t>
      </w:r>
    </w:p>
    <w:p w14:paraId="62C4041F" w14:textId="77777777" w:rsidR="0041447B" w:rsidRPr="0041447B" w:rsidRDefault="0041447B" w:rsidP="0041447B">
      <w:pPr>
        <w:pStyle w:val="ListParagraph"/>
        <w:ind w:left="360"/>
        <w:rPr>
          <w:rFonts w:ascii="Calibri" w:hAnsi="Calibri" w:cs="Calibri"/>
          <w:sz w:val="22"/>
          <w:szCs w:val="22"/>
          <w:shd w:val="clear" w:color="auto" w:fill="FFFFFF"/>
        </w:rPr>
      </w:pPr>
      <w:r w:rsidRPr="0041447B">
        <w:rPr>
          <w:shd w:val="clear" w:color="auto" w:fill="FFFFFF"/>
        </w:rPr>
        <w:t xml:space="preserve">Organisations that are not eligible may apply through an auspicing body that is eligible in accordance with the eligibility criteria at section 4.1 of the Grant Opportunity Guidelines. The auspicing organisation will need to complete the application form including identifying at Criterion 4 details of the organisation funded through any auspicing arrangements. The auspicing organisation will receive and manage the grant funding, with the organisation being </w:t>
      </w:r>
      <w:proofErr w:type="spellStart"/>
      <w:r w:rsidRPr="0041447B">
        <w:rPr>
          <w:shd w:val="clear" w:color="auto" w:fill="FFFFFF"/>
        </w:rPr>
        <w:t>auspiced</w:t>
      </w:r>
      <w:proofErr w:type="spellEnd"/>
      <w:r w:rsidRPr="0041447B">
        <w:rPr>
          <w:shd w:val="clear" w:color="auto" w:fill="FFFFFF"/>
        </w:rPr>
        <w:t xml:space="preserve"> delivering the volunteer activity.</w:t>
      </w:r>
    </w:p>
    <w:p w14:paraId="4677A45E" w14:textId="2BDE6DD6" w:rsidR="008048DE" w:rsidRPr="00550894" w:rsidRDefault="008048DE" w:rsidP="008048DE">
      <w:pPr>
        <w:spacing w:line="280" w:lineRule="atLeast"/>
        <w:ind w:firstLine="425"/>
        <w:rPr>
          <w:rStyle w:val="Hyperlink"/>
          <w:b/>
          <w:color w:val="auto"/>
          <w:sz w:val="24"/>
          <w:szCs w:val="24"/>
        </w:rPr>
      </w:pPr>
      <w:r>
        <w:rPr>
          <w:rStyle w:val="Hyperlink"/>
          <w:b/>
          <w:color w:val="auto"/>
          <w:sz w:val="24"/>
          <w:szCs w:val="24"/>
        </w:rPr>
        <w:t>Question and Answer added on 1 November</w:t>
      </w:r>
      <w:r w:rsidRPr="00550894">
        <w:rPr>
          <w:rStyle w:val="Hyperlink"/>
          <w:b/>
          <w:color w:val="auto"/>
          <w:sz w:val="24"/>
          <w:szCs w:val="24"/>
        </w:rPr>
        <w:t xml:space="preserve"> 2021</w:t>
      </w:r>
    </w:p>
    <w:p w14:paraId="0FA2E5C4" w14:textId="73FFF21F" w:rsidR="0041447B" w:rsidRDefault="008048DE" w:rsidP="008048DE">
      <w:pPr>
        <w:pStyle w:val="Heading2"/>
        <w:numPr>
          <w:ilvl w:val="0"/>
          <w:numId w:val="6"/>
        </w:numPr>
        <w:spacing w:before="0"/>
        <w:ind w:left="425" w:hanging="426"/>
        <w:rPr>
          <w:rFonts w:cstheme="majorHAnsi"/>
        </w:rPr>
      </w:pPr>
      <w:r w:rsidRPr="008048DE">
        <w:rPr>
          <w:rFonts w:cstheme="majorHAnsi"/>
        </w:rPr>
        <w:lastRenderedPageBreak/>
        <w:t xml:space="preserve">When it came to the questions on the Governance page, what type of incidents should be highlighted? Do you have a list of unsuitable actions by people or organisations? Are you looking for investigations into the organisation or people associated with it, by the ATO, the Federal Police, the State Police, ASIC, ACNC, ICAC, IBAC </w:t>
      </w:r>
      <w:proofErr w:type="spellStart"/>
      <w:proofErr w:type="gramStart"/>
      <w:r w:rsidRPr="008048DE">
        <w:rPr>
          <w:rFonts w:cstheme="majorHAnsi"/>
        </w:rPr>
        <w:t>etc</w:t>
      </w:r>
      <w:proofErr w:type="spellEnd"/>
      <w:r w:rsidRPr="008048DE">
        <w:rPr>
          <w:rFonts w:cstheme="majorHAnsi"/>
        </w:rPr>
        <w:t xml:space="preserve"> ?</w:t>
      </w:r>
      <w:proofErr w:type="gramEnd"/>
    </w:p>
    <w:p w14:paraId="68F28CD3" w14:textId="77777777" w:rsidR="008048DE" w:rsidRPr="008048DE" w:rsidRDefault="008048DE" w:rsidP="008048DE">
      <w:pPr>
        <w:pStyle w:val="ListParagraph"/>
        <w:ind w:left="360"/>
        <w:rPr>
          <w:rFonts w:asciiTheme="minorHAnsi" w:hAnsiTheme="minorHAnsi" w:cstheme="minorHAnsi"/>
          <w:sz w:val="22"/>
          <w:szCs w:val="22"/>
        </w:rPr>
      </w:pPr>
      <w:r w:rsidRPr="008048DE">
        <w:rPr>
          <w:rFonts w:asciiTheme="minorHAnsi" w:hAnsiTheme="minorHAnsi" w:cstheme="minorHAnsi"/>
        </w:rPr>
        <w:t xml:space="preserve">We are seeking information on whether there has been any external investigation into the governance arrangements of your organisation. Governance is the way your organisation is managed, directed and held accountable for achieving its goals. This relates to any external investigation and is not limited to any specific authority. Please select the appropriate boxes that relate to any event which your entity may have been subject to in the last five years. You may select multiple events. </w:t>
      </w:r>
    </w:p>
    <w:p w14:paraId="77AC8192" w14:textId="676506F3" w:rsidR="00531BFD" w:rsidRDefault="00531BFD" w:rsidP="00531BFD">
      <w:pPr>
        <w:spacing w:line="280" w:lineRule="atLeast"/>
        <w:ind w:firstLine="425"/>
        <w:rPr>
          <w:rStyle w:val="Hyperlink"/>
          <w:b/>
          <w:color w:val="auto"/>
          <w:sz w:val="24"/>
          <w:szCs w:val="24"/>
        </w:rPr>
      </w:pPr>
      <w:r>
        <w:rPr>
          <w:rStyle w:val="Hyperlink"/>
          <w:b/>
          <w:color w:val="auto"/>
          <w:sz w:val="24"/>
          <w:szCs w:val="24"/>
        </w:rPr>
        <w:t>Question and Answer added on 8</w:t>
      </w:r>
      <w:r>
        <w:rPr>
          <w:rStyle w:val="Hyperlink"/>
          <w:b/>
          <w:color w:val="auto"/>
          <w:sz w:val="24"/>
          <w:szCs w:val="24"/>
        </w:rPr>
        <w:t xml:space="preserve"> November</w:t>
      </w:r>
      <w:r w:rsidRPr="00550894">
        <w:rPr>
          <w:rStyle w:val="Hyperlink"/>
          <w:b/>
          <w:color w:val="auto"/>
          <w:sz w:val="24"/>
          <w:szCs w:val="24"/>
        </w:rPr>
        <w:t xml:space="preserve"> 2021</w:t>
      </w:r>
    </w:p>
    <w:p w14:paraId="7C578AD0" w14:textId="77777777" w:rsidR="00B6191F" w:rsidRPr="00B6191F" w:rsidRDefault="00B6191F" w:rsidP="00B6191F">
      <w:pPr>
        <w:pStyle w:val="Heading2"/>
        <w:numPr>
          <w:ilvl w:val="0"/>
          <w:numId w:val="6"/>
        </w:numPr>
        <w:spacing w:before="0"/>
        <w:ind w:left="425" w:hanging="426"/>
        <w:rPr>
          <w:rFonts w:cstheme="majorHAnsi"/>
          <w:color w:val="000000"/>
          <w:sz w:val="22"/>
          <w:szCs w:val="22"/>
        </w:rPr>
      </w:pPr>
      <w:r w:rsidRPr="00B6191F">
        <w:rPr>
          <w:rFonts w:cstheme="majorHAnsi"/>
          <w:color w:val="000000"/>
        </w:rPr>
        <w:t>Will links submitted via the response body text be accepted and assessed?</w:t>
      </w:r>
    </w:p>
    <w:p w14:paraId="29C87A96" w14:textId="69DB0DBF" w:rsidR="00531BFD" w:rsidRPr="00B6191F" w:rsidRDefault="00B6191F" w:rsidP="00B6191F">
      <w:pPr>
        <w:pStyle w:val="Heading2"/>
        <w:spacing w:before="0"/>
        <w:ind w:left="360"/>
        <w:rPr>
          <w:rStyle w:val="Hyperlink"/>
          <w:b w:val="0"/>
          <w:color w:val="auto"/>
          <w:szCs w:val="24"/>
          <w:u w:val="none"/>
        </w:rPr>
      </w:pPr>
      <w:r w:rsidRPr="00B6191F">
        <w:rPr>
          <w:rStyle w:val="Hyperlink"/>
          <w:rFonts w:asciiTheme="minorHAnsi" w:hAnsiTheme="minorHAnsi" w:cstheme="minorHAnsi"/>
          <w:b w:val="0"/>
          <w:color w:val="auto"/>
          <w:szCs w:val="24"/>
          <w:u w:val="none"/>
        </w:rPr>
        <w:t>Only</w:t>
      </w:r>
      <w:r w:rsidRPr="00B6191F">
        <w:rPr>
          <w:rStyle w:val="Hyperlink"/>
          <w:b w:val="0"/>
          <w:color w:val="auto"/>
          <w:szCs w:val="24"/>
          <w:u w:val="none"/>
        </w:rPr>
        <w:t xml:space="preserve"> text entered into the application form will be considered as part of the assessment process.</w:t>
      </w:r>
    </w:p>
    <w:p w14:paraId="3CF88294" w14:textId="432744A7" w:rsidR="008048DE" w:rsidRPr="00B6191F" w:rsidRDefault="00B6191F" w:rsidP="00B6191F">
      <w:pPr>
        <w:pStyle w:val="Heading2"/>
        <w:numPr>
          <w:ilvl w:val="0"/>
          <w:numId w:val="6"/>
        </w:numPr>
        <w:spacing w:before="0"/>
        <w:ind w:left="425" w:hanging="426"/>
        <w:rPr>
          <w:rFonts w:cstheme="majorHAnsi"/>
        </w:rPr>
      </w:pPr>
      <w:r w:rsidRPr="00B6191F">
        <w:rPr>
          <w:rFonts w:cstheme="majorHAnsi"/>
        </w:rPr>
        <w:t xml:space="preserve">Is the </w:t>
      </w:r>
      <w:r w:rsidRPr="00B6191F">
        <w:rPr>
          <w:rStyle w:val="Strong"/>
          <w:rFonts w:cstheme="majorHAnsi"/>
          <w:b/>
          <w:bCs/>
        </w:rPr>
        <w:t>SARC Activity – Inclusive Communities Grants</w:t>
      </w:r>
      <w:r w:rsidRPr="00B6191F">
        <w:rPr>
          <w:rFonts w:cstheme="majorHAnsi"/>
          <w:b w:val="0"/>
          <w:bCs w:val="0"/>
        </w:rPr>
        <w:t xml:space="preserve"> </w:t>
      </w:r>
      <w:r w:rsidRPr="00B6191F">
        <w:rPr>
          <w:rFonts w:cstheme="majorHAnsi"/>
        </w:rPr>
        <w:t>scheme intended to be open to Universities?</w:t>
      </w:r>
    </w:p>
    <w:p w14:paraId="1CBC856B" w14:textId="36044142" w:rsidR="00CC1B7B" w:rsidRPr="00B6191F" w:rsidRDefault="00B6191F" w:rsidP="00B6191F">
      <w:pPr>
        <w:pStyle w:val="Heading2"/>
        <w:spacing w:before="0"/>
        <w:ind w:left="360"/>
        <w:rPr>
          <w:rFonts w:asciiTheme="minorHAnsi" w:hAnsiTheme="minorHAnsi" w:cstheme="minorHAnsi"/>
          <w:b w:val="0"/>
          <w:szCs w:val="24"/>
        </w:rPr>
      </w:pPr>
      <w:r w:rsidRPr="00B6191F">
        <w:rPr>
          <w:rFonts w:asciiTheme="minorHAnsi" w:hAnsiTheme="minorHAnsi" w:cstheme="minorHAnsi"/>
          <w:b w:val="0"/>
          <w:szCs w:val="24"/>
        </w:rPr>
        <w:t>The Strong and Resilient Communities Activity – Inclusive Communities Grants is only open to entities that meet the eligibility requirements at section 4.1 of the Grant Opportunity Guidelines. If a U</w:t>
      </w:r>
      <w:bookmarkStart w:id="0" w:name="_GoBack"/>
      <w:bookmarkEnd w:id="0"/>
      <w:r w:rsidRPr="00B6191F">
        <w:rPr>
          <w:rFonts w:asciiTheme="minorHAnsi" w:hAnsiTheme="minorHAnsi" w:cstheme="minorHAnsi"/>
          <w:b w:val="0"/>
          <w:szCs w:val="24"/>
        </w:rPr>
        <w:t>niversity meets these requirements then they are eligible.</w:t>
      </w:r>
    </w:p>
    <w:sectPr w:rsidR="00CC1B7B" w:rsidRPr="00B6191F" w:rsidSect="00105397">
      <w:headerReference w:type="even" r:id="rId14"/>
      <w:headerReference w:type="default" r:id="rId15"/>
      <w:footerReference w:type="even" r:id="rId16"/>
      <w:footerReference w:type="default" r:id="rId17"/>
      <w:headerReference w:type="first" r:id="rId18"/>
      <w:footerReference w:type="first" r:id="rId19"/>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EB75" w14:textId="77777777" w:rsidR="00182743" w:rsidRDefault="00182743" w:rsidP="00772718">
      <w:pPr>
        <w:spacing w:line="240" w:lineRule="auto"/>
      </w:pPr>
      <w:r>
        <w:separator/>
      </w:r>
    </w:p>
  </w:endnote>
  <w:endnote w:type="continuationSeparator" w:id="0">
    <w:p w14:paraId="071BEFEB" w14:textId="77777777" w:rsidR="00182743" w:rsidRDefault="0018274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2F42" w14:textId="77777777" w:rsidR="003B04D7" w:rsidRDefault="003B0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C733" w14:textId="77777777" w:rsidR="003B04D7" w:rsidRDefault="003B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21E0C" w14:textId="77777777" w:rsidR="00182743" w:rsidRDefault="00182743" w:rsidP="00772718">
      <w:pPr>
        <w:spacing w:line="240" w:lineRule="auto"/>
      </w:pPr>
      <w:r>
        <w:separator/>
      </w:r>
    </w:p>
  </w:footnote>
  <w:footnote w:type="continuationSeparator" w:id="0">
    <w:p w14:paraId="20252E0C" w14:textId="77777777" w:rsidR="00182743" w:rsidRDefault="0018274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43A1" w14:textId="77777777" w:rsidR="003B04D7" w:rsidRDefault="003B0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674DD1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ED81A6D"/>
    <w:multiLevelType w:val="hybridMultilevel"/>
    <w:tmpl w:val="15409B40"/>
    <w:lvl w:ilvl="0" w:tplc="F094EE74">
      <w:numFmt w:val="bullet"/>
      <w:lvlText w:val="-"/>
      <w:lvlJc w:val="left"/>
      <w:pPr>
        <w:ind w:left="1146" w:hanging="360"/>
      </w:pPr>
      <w:rPr>
        <w:rFonts w:ascii="Calibri" w:eastAsia="Times New Roman"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3DC0E2E"/>
    <w:multiLevelType w:val="hybridMultilevel"/>
    <w:tmpl w:val="453A1990"/>
    <w:lvl w:ilvl="0" w:tplc="92040CE4">
      <w:start w:val="1"/>
      <w:numFmt w:val="bullet"/>
      <w:lvlText w:val=""/>
      <w:lvlJc w:val="left"/>
      <w:pPr>
        <w:ind w:left="1146" w:hanging="360"/>
      </w:pPr>
      <w:rPr>
        <w:rFonts w:ascii="Wingdings" w:hAnsi="Wingdings" w:hint="default"/>
        <w:color w:val="264F9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E74512"/>
    <w:multiLevelType w:val="hybridMultilevel"/>
    <w:tmpl w:val="D01C651A"/>
    <w:lvl w:ilvl="0" w:tplc="372AAA5C">
      <w:start w:val="1"/>
      <w:numFmt w:val="decimal"/>
      <w:lvlText w:val="%1."/>
      <w:lvlJc w:val="left"/>
      <w:pPr>
        <w:ind w:left="360" w:hanging="360"/>
      </w:pPr>
      <w:rPr>
        <w:rFonts w:asciiTheme="minorHAnsi" w:hAnsiTheme="minorHAnsi" w:cstheme="minorHAnsi"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AF3621"/>
    <w:multiLevelType w:val="hybridMultilevel"/>
    <w:tmpl w:val="A10AAF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AD7D59"/>
    <w:multiLevelType w:val="hybridMultilevel"/>
    <w:tmpl w:val="2344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90F28"/>
    <w:multiLevelType w:val="hybridMultilevel"/>
    <w:tmpl w:val="F7E23844"/>
    <w:lvl w:ilvl="0" w:tplc="8B409BDE">
      <w:start w:val="1"/>
      <w:numFmt w:val="bullet"/>
      <w:pStyle w:val="ListBullet2"/>
      <w:lvlText w:val="-"/>
      <w:lvlJc w:val="left"/>
      <w:pPr>
        <w:ind w:left="720" w:hanging="360"/>
      </w:pPr>
      <w:rPr>
        <w:rFonts w:ascii="Calibri" w:hAnsi="Calibri" w:hint="default"/>
        <w:color w:val="48B860"/>
      </w:rPr>
    </w:lvl>
    <w:lvl w:ilvl="1" w:tplc="DCFC28BC">
      <w:start w:val="1"/>
      <w:numFmt w:val="bullet"/>
      <w:pStyle w:val="3dot"/>
      <w:lvlText w:val="-"/>
      <w:lvlJc w:val="left"/>
      <w:pPr>
        <w:ind w:left="1440" w:hanging="360"/>
      </w:pPr>
      <w:rPr>
        <w:rFonts w:ascii="Calibri" w:hAnsi="Calibri" w:hint="default"/>
        <w:color w:val="48B86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536B73"/>
    <w:multiLevelType w:val="hybridMultilevel"/>
    <w:tmpl w:val="B45E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F094EE74">
      <w:numFmt w:val="bullet"/>
      <w:lvlText w:val="-"/>
      <w:lvlJc w:val="left"/>
      <w:pPr>
        <w:ind w:left="2880" w:hanging="360"/>
      </w:pPr>
      <w:rPr>
        <w:rFonts w:ascii="Calibri" w:eastAsia="Times New Roman" w:hAnsi="Calibri" w:cs="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116965"/>
    <w:multiLevelType w:val="hybridMultilevel"/>
    <w:tmpl w:val="33605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6574554"/>
    <w:multiLevelType w:val="hybridMultilevel"/>
    <w:tmpl w:val="DEDC62AC"/>
    <w:lvl w:ilvl="0" w:tplc="4F5A9F4E">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68567791"/>
    <w:multiLevelType w:val="hybridMultilevel"/>
    <w:tmpl w:val="8FE6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9"/>
  </w:num>
  <w:num w:numId="3">
    <w:abstractNumId w:val="8"/>
  </w:num>
  <w:num w:numId="4">
    <w:abstractNumId w:val="16"/>
  </w:num>
  <w:num w:numId="5">
    <w:abstractNumId w:val="14"/>
  </w:num>
  <w:num w:numId="6">
    <w:abstractNumId w:val="6"/>
  </w:num>
  <w:num w:numId="7">
    <w:abstractNumId w:val="5"/>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20"/>
  </w:num>
  <w:num w:numId="13">
    <w:abstractNumId w:val="0"/>
  </w:num>
  <w:num w:numId="14">
    <w:abstractNumId w:val="17"/>
  </w:num>
  <w:num w:numId="15">
    <w:abstractNumId w:val="3"/>
  </w:num>
  <w:num w:numId="16">
    <w:abstractNumId w:val="18"/>
  </w:num>
  <w:num w:numId="17">
    <w:abstractNumId w:val="12"/>
  </w:num>
  <w:num w:numId="18">
    <w:abstractNumId w:val="10"/>
  </w:num>
  <w:num w:numId="19">
    <w:abstractNumId w:val="7"/>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2D6A"/>
    <w:rsid w:val="00015AE4"/>
    <w:rsid w:val="00026B8C"/>
    <w:rsid w:val="0003018E"/>
    <w:rsid w:val="00032491"/>
    <w:rsid w:val="00032F3D"/>
    <w:rsid w:val="00033BC3"/>
    <w:rsid w:val="000431B4"/>
    <w:rsid w:val="00044E09"/>
    <w:rsid w:val="00046AC0"/>
    <w:rsid w:val="0004784D"/>
    <w:rsid w:val="00053A00"/>
    <w:rsid w:val="0009723B"/>
    <w:rsid w:val="000A32C0"/>
    <w:rsid w:val="000B378A"/>
    <w:rsid w:val="000B6C00"/>
    <w:rsid w:val="000B71F8"/>
    <w:rsid w:val="000C1F06"/>
    <w:rsid w:val="000E6B5E"/>
    <w:rsid w:val="000F1DD1"/>
    <w:rsid w:val="000F28B8"/>
    <w:rsid w:val="000F3766"/>
    <w:rsid w:val="00105397"/>
    <w:rsid w:val="00106FC4"/>
    <w:rsid w:val="00111F0C"/>
    <w:rsid w:val="0012771B"/>
    <w:rsid w:val="00143029"/>
    <w:rsid w:val="00145E2D"/>
    <w:rsid w:val="00146249"/>
    <w:rsid w:val="00161A63"/>
    <w:rsid w:val="0016311B"/>
    <w:rsid w:val="0016612C"/>
    <w:rsid w:val="001763D4"/>
    <w:rsid w:val="00176CAD"/>
    <w:rsid w:val="00181433"/>
    <w:rsid w:val="00182743"/>
    <w:rsid w:val="001834DD"/>
    <w:rsid w:val="00193020"/>
    <w:rsid w:val="00194820"/>
    <w:rsid w:val="001A451C"/>
    <w:rsid w:val="001A46CB"/>
    <w:rsid w:val="001C096E"/>
    <w:rsid w:val="001C53CE"/>
    <w:rsid w:val="001C5D96"/>
    <w:rsid w:val="001D341B"/>
    <w:rsid w:val="001E2BAE"/>
    <w:rsid w:val="001E3D2B"/>
    <w:rsid w:val="001E609F"/>
    <w:rsid w:val="001E66CE"/>
    <w:rsid w:val="00207788"/>
    <w:rsid w:val="00221DC2"/>
    <w:rsid w:val="00232299"/>
    <w:rsid w:val="00232C8F"/>
    <w:rsid w:val="00244B48"/>
    <w:rsid w:val="002573D5"/>
    <w:rsid w:val="0026145F"/>
    <w:rsid w:val="00264E26"/>
    <w:rsid w:val="00265580"/>
    <w:rsid w:val="002655A7"/>
    <w:rsid w:val="00280E74"/>
    <w:rsid w:val="002826E0"/>
    <w:rsid w:val="002902CA"/>
    <w:rsid w:val="002A41E1"/>
    <w:rsid w:val="002B6574"/>
    <w:rsid w:val="002C7B8F"/>
    <w:rsid w:val="002D4D48"/>
    <w:rsid w:val="002D4E76"/>
    <w:rsid w:val="002E21D2"/>
    <w:rsid w:val="002E238C"/>
    <w:rsid w:val="002F5291"/>
    <w:rsid w:val="002F7D3C"/>
    <w:rsid w:val="003051DF"/>
    <w:rsid w:val="00305720"/>
    <w:rsid w:val="003131AB"/>
    <w:rsid w:val="00316CD3"/>
    <w:rsid w:val="003217BE"/>
    <w:rsid w:val="00344F14"/>
    <w:rsid w:val="00345F74"/>
    <w:rsid w:val="00355677"/>
    <w:rsid w:val="00363C98"/>
    <w:rsid w:val="00372ED7"/>
    <w:rsid w:val="003B04D7"/>
    <w:rsid w:val="003B11A9"/>
    <w:rsid w:val="003B488A"/>
    <w:rsid w:val="003D0647"/>
    <w:rsid w:val="003D1265"/>
    <w:rsid w:val="003D3009"/>
    <w:rsid w:val="003D3B1D"/>
    <w:rsid w:val="003D5DBE"/>
    <w:rsid w:val="003E1799"/>
    <w:rsid w:val="003E289A"/>
    <w:rsid w:val="00404841"/>
    <w:rsid w:val="00412059"/>
    <w:rsid w:val="0041447B"/>
    <w:rsid w:val="0041496C"/>
    <w:rsid w:val="00425633"/>
    <w:rsid w:val="00425D81"/>
    <w:rsid w:val="00441B82"/>
    <w:rsid w:val="00441E79"/>
    <w:rsid w:val="00441FCF"/>
    <w:rsid w:val="00450486"/>
    <w:rsid w:val="004537DC"/>
    <w:rsid w:val="004709E9"/>
    <w:rsid w:val="004814A8"/>
    <w:rsid w:val="00483A58"/>
    <w:rsid w:val="00486155"/>
    <w:rsid w:val="00486888"/>
    <w:rsid w:val="004924DA"/>
    <w:rsid w:val="00497C17"/>
    <w:rsid w:val="004A1301"/>
    <w:rsid w:val="004C0336"/>
    <w:rsid w:val="004C2CFB"/>
    <w:rsid w:val="004C71D2"/>
    <w:rsid w:val="004D3891"/>
    <w:rsid w:val="004D700E"/>
    <w:rsid w:val="004D7F17"/>
    <w:rsid w:val="004E0670"/>
    <w:rsid w:val="004E4C4A"/>
    <w:rsid w:val="004E7F37"/>
    <w:rsid w:val="004F31BA"/>
    <w:rsid w:val="0051299F"/>
    <w:rsid w:val="00512D91"/>
    <w:rsid w:val="00516672"/>
    <w:rsid w:val="00526B85"/>
    <w:rsid w:val="005306A1"/>
    <w:rsid w:val="005316D7"/>
    <w:rsid w:val="00531BFD"/>
    <w:rsid w:val="00552741"/>
    <w:rsid w:val="005756E7"/>
    <w:rsid w:val="0059000C"/>
    <w:rsid w:val="00595E29"/>
    <w:rsid w:val="005A02A1"/>
    <w:rsid w:val="005A0CA3"/>
    <w:rsid w:val="005B27F8"/>
    <w:rsid w:val="005B50BE"/>
    <w:rsid w:val="005D5B5B"/>
    <w:rsid w:val="005D6D33"/>
    <w:rsid w:val="005D7A24"/>
    <w:rsid w:val="005E2E82"/>
    <w:rsid w:val="005E3A55"/>
    <w:rsid w:val="005F25EB"/>
    <w:rsid w:val="005F5CF2"/>
    <w:rsid w:val="00612065"/>
    <w:rsid w:val="00615638"/>
    <w:rsid w:val="0061573A"/>
    <w:rsid w:val="00616EBA"/>
    <w:rsid w:val="00632C08"/>
    <w:rsid w:val="00637524"/>
    <w:rsid w:val="006421FC"/>
    <w:rsid w:val="006468F4"/>
    <w:rsid w:val="0065332C"/>
    <w:rsid w:val="00654C42"/>
    <w:rsid w:val="00663049"/>
    <w:rsid w:val="0067074A"/>
    <w:rsid w:val="00672994"/>
    <w:rsid w:val="006739F3"/>
    <w:rsid w:val="006C15C5"/>
    <w:rsid w:val="006D2106"/>
    <w:rsid w:val="006D616A"/>
    <w:rsid w:val="006D6E17"/>
    <w:rsid w:val="006F4415"/>
    <w:rsid w:val="006F6115"/>
    <w:rsid w:val="0073190E"/>
    <w:rsid w:val="00736A76"/>
    <w:rsid w:val="007521CA"/>
    <w:rsid w:val="00752C6B"/>
    <w:rsid w:val="007544DC"/>
    <w:rsid w:val="00754894"/>
    <w:rsid w:val="00760CE6"/>
    <w:rsid w:val="00765764"/>
    <w:rsid w:val="007719C9"/>
    <w:rsid w:val="00772718"/>
    <w:rsid w:val="00776CA6"/>
    <w:rsid w:val="007945DA"/>
    <w:rsid w:val="007A4766"/>
    <w:rsid w:val="007B3E26"/>
    <w:rsid w:val="007C1C00"/>
    <w:rsid w:val="007D30A8"/>
    <w:rsid w:val="007D7536"/>
    <w:rsid w:val="007F6B85"/>
    <w:rsid w:val="008048DE"/>
    <w:rsid w:val="0080789D"/>
    <w:rsid w:val="00814FB1"/>
    <w:rsid w:val="00820F20"/>
    <w:rsid w:val="0082528A"/>
    <w:rsid w:val="00825754"/>
    <w:rsid w:val="008346B7"/>
    <w:rsid w:val="00835210"/>
    <w:rsid w:val="00844C2D"/>
    <w:rsid w:val="0086743E"/>
    <w:rsid w:val="0087438E"/>
    <w:rsid w:val="00884668"/>
    <w:rsid w:val="008A2545"/>
    <w:rsid w:val="008A3B30"/>
    <w:rsid w:val="008A4FAF"/>
    <w:rsid w:val="008B2B46"/>
    <w:rsid w:val="008B2C58"/>
    <w:rsid w:val="008F74CC"/>
    <w:rsid w:val="00917FC9"/>
    <w:rsid w:val="00921840"/>
    <w:rsid w:val="00922780"/>
    <w:rsid w:val="009331B4"/>
    <w:rsid w:val="009345F1"/>
    <w:rsid w:val="00944BBB"/>
    <w:rsid w:val="009547B6"/>
    <w:rsid w:val="00961072"/>
    <w:rsid w:val="009642FE"/>
    <w:rsid w:val="00982554"/>
    <w:rsid w:val="009A374B"/>
    <w:rsid w:val="009B588B"/>
    <w:rsid w:val="009C6A23"/>
    <w:rsid w:val="009D405C"/>
    <w:rsid w:val="009E750F"/>
    <w:rsid w:val="009F49A7"/>
    <w:rsid w:val="00A04D96"/>
    <w:rsid w:val="00A0629B"/>
    <w:rsid w:val="00A14495"/>
    <w:rsid w:val="00A16BE1"/>
    <w:rsid w:val="00A454BF"/>
    <w:rsid w:val="00A52E3A"/>
    <w:rsid w:val="00A814CB"/>
    <w:rsid w:val="00A90D1B"/>
    <w:rsid w:val="00AA3C9D"/>
    <w:rsid w:val="00AA5A0A"/>
    <w:rsid w:val="00AE3FD3"/>
    <w:rsid w:val="00AF55F8"/>
    <w:rsid w:val="00B06549"/>
    <w:rsid w:val="00B10ABA"/>
    <w:rsid w:val="00B420D4"/>
    <w:rsid w:val="00B42438"/>
    <w:rsid w:val="00B51F28"/>
    <w:rsid w:val="00B57910"/>
    <w:rsid w:val="00B6191F"/>
    <w:rsid w:val="00B7600D"/>
    <w:rsid w:val="00B976FF"/>
    <w:rsid w:val="00BA6686"/>
    <w:rsid w:val="00BC093A"/>
    <w:rsid w:val="00BC3B5A"/>
    <w:rsid w:val="00BC4ACC"/>
    <w:rsid w:val="00BC4FCC"/>
    <w:rsid w:val="00BD02F8"/>
    <w:rsid w:val="00BE14B7"/>
    <w:rsid w:val="00C12E71"/>
    <w:rsid w:val="00C217A8"/>
    <w:rsid w:val="00C4188F"/>
    <w:rsid w:val="00C64289"/>
    <w:rsid w:val="00C819A4"/>
    <w:rsid w:val="00C82A1B"/>
    <w:rsid w:val="00C82E6F"/>
    <w:rsid w:val="00C84EA8"/>
    <w:rsid w:val="00C9051C"/>
    <w:rsid w:val="00C918A2"/>
    <w:rsid w:val="00C92998"/>
    <w:rsid w:val="00CA720A"/>
    <w:rsid w:val="00CC1B7B"/>
    <w:rsid w:val="00CC2F2B"/>
    <w:rsid w:val="00CC7548"/>
    <w:rsid w:val="00CD38EE"/>
    <w:rsid w:val="00CD5925"/>
    <w:rsid w:val="00CE557A"/>
    <w:rsid w:val="00D031B2"/>
    <w:rsid w:val="00D04C72"/>
    <w:rsid w:val="00D1410C"/>
    <w:rsid w:val="00D17946"/>
    <w:rsid w:val="00D31029"/>
    <w:rsid w:val="00D3146E"/>
    <w:rsid w:val="00D37A24"/>
    <w:rsid w:val="00D40D16"/>
    <w:rsid w:val="00D42E0E"/>
    <w:rsid w:val="00D43702"/>
    <w:rsid w:val="00D548F0"/>
    <w:rsid w:val="00D57F79"/>
    <w:rsid w:val="00D64DC5"/>
    <w:rsid w:val="00D64FAC"/>
    <w:rsid w:val="00D65704"/>
    <w:rsid w:val="00D668F6"/>
    <w:rsid w:val="00D72786"/>
    <w:rsid w:val="00D746E0"/>
    <w:rsid w:val="00D84875"/>
    <w:rsid w:val="00D904F0"/>
    <w:rsid w:val="00D91378"/>
    <w:rsid w:val="00D91B18"/>
    <w:rsid w:val="00D97DF1"/>
    <w:rsid w:val="00DA580D"/>
    <w:rsid w:val="00DC0747"/>
    <w:rsid w:val="00DC1BA6"/>
    <w:rsid w:val="00DC2647"/>
    <w:rsid w:val="00DC7CD3"/>
    <w:rsid w:val="00DD1408"/>
    <w:rsid w:val="00DD285E"/>
    <w:rsid w:val="00DD356D"/>
    <w:rsid w:val="00DD6735"/>
    <w:rsid w:val="00DE6390"/>
    <w:rsid w:val="00DF0607"/>
    <w:rsid w:val="00DF136A"/>
    <w:rsid w:val="00E000B2"/>
    <w:rsid w:val="00E0448C"/>
    <w:rsid w:val="00E13027"/>
    <w:rsid w:val="00E13525"/>
    <w:rsid w:val="00E1721E"/>
    <w:rsid w:val="00E2508D"/>
    <w:rsid w:val="00E4356C"/>
    <w:rsid w:val="00E47250"/>
    <w:rsid w:val="00E56CE7"/>
    <w:rsid w:val="00E61535"/>
    <w:rsid w:val="00E622C3"/>
    <w:rsid w:val="00E81CB0"/>
    <w:rsid w:val="00E84012"/>
    <w:rsid w:val="00E844FC"/>
    <w:rsid w:val="00E9373C"/>
    <w:rsid w:val="00E94149"/>
    <w:rsid w:val="00EA0724"/>
    <w:rsid w:val="00EA094D"/>
    <w:rsid w:val="00EA6251"/>
    <w:rsid w:val="00EB6414"/>
    <w:rsid w:val="00EC7CA4"/>
    <w:rsid w:val="00ED4F65"/>
    <w:rsid w:val="00EE5747"/>
    <w:rsid w:val="00EF3804"/>
    <w:rsid w:val="00EF5E05"/>
    <w:rsid w:val="00F227AF"/>
    <w:rsid w:val="00F27370"/>
    <w:rsid w:val="00F30429"/>
    <w:rsid w:val="00F3611B"/>
    <w:rsid w:val="00F5341C"/>
    <w:rsid w:val="00F56954"/>
    <w:rsid w:val="00F572FA"/>
    <w:rsid w:val="00F61510"/>
    <w:rsid w:val="00F66049"/>
    <w:rsid w:val="00F74128"/>
    <w:rsid w:val="00F7781C"/>
    <w:rsid w:val="00F82B49"/>
    <w:rsid w:val="00F948AF"/>
    <w:rsid w:val="00F97C3A"/>
    <w:rsid w:val="00FA5A7B"/>
    <w:rsid w:val="00FA5D07"/>
    <w:rsid w:val="00FB11B1"/>
    <w:rsid w:val="00FB4601"/>
    <w:rsid w:val="00FC0935"/>
    <w:rsid w:val="00FC4133"/>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Paragraph,Bullet point,Bullet- First level,CV text,Dot pt,F5 List Paragraph,Figure_name,L,List Paragraph1,List Paragraph11,List Paragraph111,Listenabsatz1,Medium Grid 1 - Accent 21,Number,Numbered Paragraph,Recommendation,Table text"/>
    <w:basedOn w:val="Normal"/>
    <w:link w:val="ListParagraphChar"/>
    <w:uiPriority w:val="34"/>
    <w:qFormat/>
    <w:rsid w:val="001E609F"/>
    <w:pPr>
      <w:spacing w:before="120" w:after="180" w:line="280" w:lineRule="atLeast"/>
      <w:ind w:left="720"/>
      <w:contextualSpacing/>
    </w:pPr>
    <w:rPr>
      <w:rFonts w:eastAsia="Times New Roman" w:cs="Times New Roman"/>
      <w:spacing w:val="4"/>
      <w:sz w:val="24"/>
      <w:szCs w:val="24"/>
      <w:lang w:eastAsia="en-AU"/>
    </w:rPr>
  </w:style>
  <w:style w:type="character" w:customStyle="1" w:styleId="ListParagraphChar">
    <w:name w:val="List Paragraph Char"/>
    <w:aliases w:val="#List Paragraph Char,Bullet point Char,Bullet- First level Char,CV text Char,Dot pt Char,F5 List Paragraph Char,Figure_name Char,L Char,List Paragraph1 Char,List Paragraph11 Char,List Paragraph111 Char,Listenabsatz1 Char,Number Char"/>
    <w:link w:val="ListParagraph"/>
    <w:uiPriority w:val="34"/>
    <w:qFormat/>
    <w:locked/>
    <w:rsid w:val="001E609F"/>
    <w:rPr>
      <w:rFonts w:ascii="Arial" w:eastAsia="Times New Roman" w:hAnsi="Arial"/>
      <w:spacing w:val="4"/>
      <w:sz w:val="24"/>
      <w:szCs w:val="24"/>
      <w:lang w:eastAsia="en-AU"/>
    </w:rPr>
  </w:style>
  <w:style w:type="paragraph" w:styleId="ListBullet">
    <w:name w:val="List Bullet"/>
    <w:basedOn w:val="Normal"/>
    <w:uiPriority w:val="99"/>
    <w:qFormat/>
    <w:rsid w:val="00EA094D"/>
    <w:pPr>
      <w:spacing w:before="40" w:after="80" w:line="280" w:lineRule="atLeast"/>
    </w:pPr>
    <w:rPr>
      <w:rFonts w:eastAsia="Times New Roman" w:cs="Times New Roman"/>
      <w:iCs/>
      <w:sz w:val="20"/>
      <w:szCs w:val="20"/>
    </w:rPr>
  </w:style>
  <w:style w:type="paragraph" w:customStyle="1" w:styleId="Default">
    <w:name w:val="Default"/>
    <w:rsid w:val="006D6E1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4356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4">
    <w:name w:val="List Bullet 4"/>
    <w:basedOn w:val="Normal"/>
    <w:uiPriority w:val="99"/>
    <w:semiHidden/>
    <w:unhideWhenUsed/>
    <w:rsid w:val="00232299"/>
    <w:pPr>
      <w:numPr>
        <w:numId w:val="13"/>
      </w:numPr>
      <w:contextualSpacing/>
    </w:pPr>
  </w:style>
  <w:style w:type="paragraph" w:styleId="CommentSubject">
    <w:name w:val="annotation subject"/>
    <w:basedOn w:val="CommentText"/>
    <w:next w:val="CommentText"/>
    <w:link w:val="CommentSubjectChar"/>
    <w:uiPriority w:val="99"/>
    <w:semiHidden/>
    <w:unhideWhenUsed/>
    <w:rsid w:val="00E000B2"/>
    <w:rPr>
      <w:b/>
      <w:bCs/>
    </w:rPr>
  </w:style>
  <w:style w:type="character" w:customStyle="1" w:styleId="CommentSubjectChar">
    <w:name w:val="Comment Subject Char"/>
    <w:basedOn w:val="CommentTextChar"/>
    <w:link w:val="CommentSubject"/>
    <w:uiPriority w:val="99"/>
    <w:semiHidden/>
    <w:rsid w:val="00E000B2"/>
    <w:rPr>
      <w:rFonts w:ascii="Arial" w:hAnsi="Arial" w:cstheme="minorBidi"/>
      <w:b/>
      <w:bCs/>
    </w:rPr>
  </w:style>
  <w:style w:type="paragraph" w:customStyle="1" w:styleId="3dot">
    <w:name w:val="3dot"/>
    <w:basedOn w:val="ListBullet2"/>
    <w:qFormat/>
    <w:rsid w:val="007544DC"/>
    <w:pPr>
      <w:numPr>
        <w:ilvl w:val="1"/>
      </w:numPr>
      <w:shd w:val="clear" w:color="auto" w:fill="FFFFFF"/>
      <w:spacing w:after="120" w:line="264" w:lineRule="auto"/>
      <w:ind w:left="0" w:firstLine="0"/>
      <w:contextualSpacing w:val="0"/>
      <w:jc w:val="both"/>
    </w:pPr>
    <w:rPr>
      <w:rFonts w:asciiTheme="minorHAnsi" w:eastAsia="Times New Roman" w:hAnsiTheme="minorHAnsi" w:cstheme="minorHAnsi"/>
      <w:iCs/>
      <w:color w:val="111111"/>
      <w:lang w:eastAsia="en-AU"/>
    </w:rPr>
  </w:style>
  <w:style w:type="paragraph" w:styleId="ListBullet2">
    <w:name w:val="List Bullet 2"/>
    <w:basedOn w:val="Normal"/>
    <w:uiPriority w:val="99"/>
    <w:semiHidden/>
    <w:unhideWhenUsed/>
    <w:rsid w:val="007544DC"/>
    <w:pPr>
      <w:numPr>
        <w:numId w:val="20"/>
      </w:numPr>
      <w:contextualSpacing/>
    </w:pPr>
  </w:style>
  <w:style w:type="character" w:styleId="FootnoteReference">
    <w:name w:val="footnote reference"/>
    <w:basedOn w:val="DefaultParagraphFont"/>
    <w:uiPriority w:val="99"/>
    <w:semiHidden/>
    <w:unhideWhenUsed/>
    <w:rsid w:val="004D3891"/>
    <w:rPr>
      <w:rFonts w:ascii="Times New Roman" w:hAnsi="Times New Roman" w:cs="Times New Roman" w:hint="default"/>
      <w:vertAlign w:val="superscript"/>
    </w:rPr>
  </w:style>
  <w:style w:type="character" w:customStyle="1" w:styleId="FootnoteTextChar1">
    <w:name w:val="Footnote Text Char1"/>
    <w:basedOn w:val="DefaultParagraphFont"/>
    <w:uiPriority w:val="97"/>
    <w:semiHidden/>
    <w:locked/>
    <w:rsid w:val="004D3891"/>
    <w:rPr>
      <w:rFonts w:ascii="Arial" w:eastAsia="Times New Roman" w:hAnsi="Arial"/>
      <w:sz w:val="16"/>
    </w:rPr>
  </w:style>
  <w:style w:type="character" w:styleId="FollowedHyperlink">
    <w:name w:val="FollowedHyperlink"/>
    <w:basedOn w:val="DefaultParagraphFont"/>
    <w:uiPriority w:val="99"/>
    <w:semiHidden/>
    <w:unhideWhenUsed/>
    <w:rsid w:val="00486888"/>
    <w:rPr>
      <w:color w:val="800080" w:themeColor="followedHyperlink"/>
      <w:u w:val="single"/>
    </w:rPr>
  </w:style>
  <w:style w:type="character" w:styleId="Strong">
    <w:name w:val="Strong"/>
    <w:basedOn w:val="DefaultParagraphFont"/>
    <w:uiPriority w:val="22"/>
    <w:qFormat/>
    <w:rsid w:val="00B61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55844996">
      <w:bodyDiv w:val="1"/>
      <w:marLeft w:val="0"/>
      <w:marRight w:val="0"/>
      <w:marTop w:val="0"/>
      <w:marBottom w:val="0"/>
      <w:divBdr>
        <w:top w:val="none" w:sz="0" w:space="0" w:color="auto"/>
        <w:left w:val="none" w:sz="0" w:space="0" w:color="auto"/>
        <w:bottom w:val="none" w:sz="0" w:space="0" w:color="auto"/>
        <w:right w:val="none" w:sz="0" w:space="0" w:color="auto"/>
      </w:divBdr>
    </w:div>
    <w:div w:id="353699544">
      <w:bodyDiv w:val="1"/>
      <w:marLeft w:val="0"/>
      <w:marRight w:val="0"/>
      <w:marTop w:val="0"/>
      <w:marBottom w:val="0"/>
      <w:divBdr>
        <w:top w:val="none" w:sz="0" w:space="0" w:color="auto"/>
        <w:left w:val="none" w:sz="0" w:space="0" w:color="auto"/>
        <w:bottom w:val="none" w:sz="0" w:space="0" w:color="auto"/>
        <w:right w:val="none" w:sz="0" w:space="0" w:color="auto"/>
      </w:divBdr>
    </w:div>
    <w:div w:id="631591692">
      <w:bodyDiv w:val="1"/>
      <w:marLeft w:val="0"/>
      <w:marRight w:val="0"/>
      <w:marTop w:val="0"/>
      <w:marBottom w:val="0"/>
      <w:divBdr>
        <w:top w:val="none" w:sz="0" w:space="0" w:color="auto"/>
        <w:left w:val="none" w:sz="0" w:space="0" w:color="auto"/>
        <w:bottom w:val="none" w:sz="0" w:space="0" w:color="auto"/>
        <w:right w:val="none" w:sz="0" w:space="0" w:color="auto"/>
      </w:divBdr>
    </w:div>
    <w:div w:id="641234886">
      <w:bodyDiv w:val="1"/>
      <w:marLeft w:val="0"/>
      <w:marRight w:val="0"/>
      <w:marTop w:val="0"/>
      <w:marBottom w:val="0"/>
      <w:divBdr>
        <w:top w:val="none" w:sz="0" w:space="0" w:color="auto"/>
        <w:left w:val="none" w:sz="0" w:space="0" w:color="auto"/>
        <w:bottom w:val="none" w:sz="0" w:space="0" w:color="auto"/>
        <w:right w:val="none" w:sz="0" w:space="0" w:color="auto"/>
      </w:divBdr>
    </w:div>
    <w:div w:id="729353849">
      <w:bodyDiv w:val="1"/>
      <w:marLeft w:val="0"/>
      <w:marRight w:val="0"/>
      <w:marTop w:val="0"/>
      <w:marBottom w:val="0"/>
      <w:divBdr>
        <w:top w:val="none" w:sz="0" w:space="0" w:color="auto"/>
        <w:left w:val="none" w:sz="0" w:space="0" w:color="auto"/>
        <w:bottom w:val="none" w:sz="0" w:space="0" w:color="auto"/>
        <w:right w:val="none" w:sz="0" w:space="0" w:color="auto"/>
      </w:divBdr>
    </w:div>
    <w:div w:id="946539807">
      <w:bodyDiv w:val="1"/>
      <w:marLeft w:val="0"/>
      <w:marRight w:val="0"/>
      <w:marTop w:val="0"/>
      <w:marBottom w:val="0"/>
      <w:divBdr>
        <w:top w:val="none" w:sz="0" w:space="0" w:color="auto"/>
        <w:left w:val="none" w:sz="0" w:space="0" w:color="auto"/>
        <w:bottom w:val="none" w:sz="0" w:space="0" w:color="auto"/>
        <w:right w:val="none" w:sz="0" w:space="0" w:color="auto"/>
      </w:divBdr>
    </w:div>
    <w:div w:id="109381493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65126848">
      <w:bodyDiv w:val="1"/>
      <w:marLeft w:val="0"/>
      <w:marRight w:val="0"/>
      <w:marTop w:val="0"/>
      <w:marBottom w:val="0"/>
      <w:divBdr>
        <w:top w:val="none" w:sz="0" w:space="0" w:color="auto"/>
        <w:left w:val="none" w:sz="0" w:space="0" w:color="auto"/>
        <w:bottom w:val="none" w:sz="0" w:space="0" w:color="auto"/>
        <w:right w:val="none" w:sz="0" w:space="0" w:color="auto"/>
      </w:divBdr>
    </w:div>
    <w:div w:id="1218710543">
      <w:bodyDiv w:val="1"/>
      <w:marLeft w:val="0"/>
      <w:marRight w:val="0"/>
      <w:marTop w:val="0"/>
      <w:marBottom w:val="0"/>
      <w:divBdr>
        <w:top w:val="none" w:sz="0" w:space="0" w:color="auto"/>
        <w:left w:val="none" w:sz="0" w:space="0" w:color="auto"/>
        <w:bottom w:val="none" w:sz="0" w:space="0" w:color="auto"/>
        <w:right w:val="none" w:sz="0" w:space="0" w:color="auto"/>
      </w:divBdr>
    </w:div>
    <w:div w:id="1431702726">
      <w:bodyDiv w:val="1"/>
      <w:marLeft w:val="0"/>
      <w:marRight w:val="0"/>
      <w:marTop w:val="0"/>
      <w:marBottom w:val="0"/>
      <w:divBdr>
        <w:top w:val="none" w:sz="0" w:space="0" w:color="auto"/>
        <w:left w:val="none" w:sz="0" w:space="0" w:color="auto"/>
        <w:bottom w:val="none" w:sz="0" w:space="0" w:color="auto"/>
        <w:right w:val="none" w:sz="0" w:space="0" w:color="auto"/>
      </w:divBdr>
    </w:div>
    <w:div w:id="1701321620">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81382602">
      <w:bodyDiv w:val="1"/>
      <w:marLeft w:val="0"/>
      <w:marRight w:val="0"/>
      <w:marTop w:val="0"/>
      <w:marBottom w:val="0"/>
      <w:divBdr>
        <w:top w:val="none" w:sz="0" w:space="0" w:color="auto"/>
        <w:left w:val="none" w:sz="0" w:space="0" w:color="auto"/>
        <w:bottom w:val="none" w:sz="0" w:space="0" w:color="auto"/>
        <w:right w:val="none" w:sz="0" w:space="0" w:color="auto"/>
      </w:divBdr>
    </w:div>
    <w:div w:id="2004434824">
      <w:bodyDiv w:val="1"/>
      <w:marLeft w:val="0"/>
      <w:marRight w:val="0"/>
      <w:marTop w:val="0"/>
      <w:marBottom w:val="0"/>
      <w:divBdr>
        <w:top w:val="none" w:sz="0" w:space="0" w:color="auto"/>
        <w:left w:val="none" w:sz="0" w:space="0" w:color="auto"/>
        <w:bottom w:val="none" w:sz="0" w:space="0" w:color="auto"/>
        <w:right w:val="none" w:sz="0" w:space="0" w:color="auto"/>
      </w:divBdr>
    </w:div>
    <w:div w:id="21405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rants.gov.au/Go/List?orderBy=Close+Date+%26+Time+-+Ascending&amp;GoId=&amp;Keyword=research&amp;KeywordTypeSearch=AllWo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s.gov.au/ausstats/abs@.nsf/Lookup/2033.0.55.001main+features1000520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pport@communitygrants.gov.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5929F9-E4C3-4D4D-BF85-1D5C2DF0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3341</Words>
  <Characters>18632</Characters>
  <Application>Microsoft Office Word</Application>
  <DocSecurity>0</DocSecurity>
  <Lines>305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2021-11-07T22:53:00Z</dcterms:created>
  <dcterms:modified xsi:type="dcterms:W3CDTF">2021-11-07T22:57:00Z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B87FF47C05A54BAD9964E41368BBE543</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2021-11-07T22:52:29Z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D7A979246C5CD6E35404524E9AD05AB9</vt:lpwstr>
  </property>
  <property fmtid="{D5CDD505-2E9C-101B-9397-08002B2CF9AE}" pid="20" name="PM_Hash_Salt">
    <vt:lpwstr>0E4C09A6F807BBFEB21168BCBF38D5A4</vt:lpwstr>
  </property>
  <property fmtid="{D5CDD505-2E9C-101B-9397-08002B2CF9AE}" pid="21" name="PM_Hash_SHA1">
    <vt:lpwstr>07D90C66C2436BB95A25F17E53616ABF269BA1F4</vt:lpwstr>
  </property>
  <property fmtid="{D5CDD505-2E9C-101B-9397-08002B2CF9AE}" pid="22" name="PM_SecurityClassification_Prev">
    <vt:lpwstr>OFFICIAL</vt:lpwstr>
  </property>
  <property fmtid="{D5CDD505-2E9C-101B-9397-08002B2CF9AE}" pid="23" name="PM_Qualifier_Prev">
    <vt:lpwstr/>
  </property>
</Properties>
</file>