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D6491" w14:textId="77777777" w:rsidR="000E26D0" w:rsidRDefault="000E26D0" w:rsidP="00FB40D1">
      <w:pPr>
        <w:pStyle w:val="Title"/>
        <w:rPr>
          <w:sz w:val="44"/>
          <w:szCs w:val="44"/>
        </w:rPr>
      </w:pPr>
      <w:r w:rsidRPr="000E26D0">
        <w:rPr>
          <w:sz w:val="44"/>
          <w:szCs w:val="44"/>
        </w:rPr>
        <w:t xml:space="preserve">2021-6696 - NAIDOC </w:t>
      </w:r>
      <w:r w:rsidR="0067460D">
        <w:rPr>
          <w:sz w:val="44"/>
          <w:szCs w:val="44"/>
        </w:rPr>
        <w:t xml:space="preserve">Local Grants </w:t>
      </w:r>
      <w:r w:rsidRPr="000E26D0">
        <w:rPr>
          <w:sz w:val="44"/>
          <w:szCs w:val="44"/>
        </w:rPr>
        <w:t>2022</w:t>
      </w:r>
    </w:p>
    <w:p w14:paraId="69D7DC00" w14:textId="77777777" w:rsidR="00CC1B7B" w:rsidRDefault="00CC1B7B" w:rsidP="00FB40D1">
      <w:pPr>
        <w:spacing w:after="200" w:line="276" w:lineRule="auto"/>
        <w:rPr>
          <w:sz w:val="40"/>
          <w:szCs w:val="40"/>
        </w:rPr>
      </w:pPr>
      <w:r>
        <w:rPr>
          <w:sz w:val="40"/>
          <w:szCs w:val="40"/>
        </w:rPr>
        <w:t xml:space="preserve">Questions and Answers </w:t>
      </w:r>
    </w:p>
    <w:p w14:paraId="63E2DDF7" w14:textId="77777777" w:rsidR="00101505" w:rsidRPr="00550BF9" w:rsidRDefault="00101505" w:rsidP="00FB40D1">
      <w:pPr>
        <w:pStyle w:val="Heading2"/>
        <w:numPr>
          <w:ilvl w:val="0"/>
          <w:numId w:val="6"/>
        </w:numPr>
        <w:ind w:left="426" w:hanging="426"/>
        <w:rPr>
          <w:rFonts w:eastAsia="Calibri"/>
        </w:rPr>
      </w:pPr>
      <w:r>
        <w:rPr>
          <w:rFonts w:eastAsia="Calibri"/>
        </w:rPr>
        <w:t>What is the NAIDOC 2022 t</w:t>
      </w:r>
      <w:r w:rsidRPr="000E26D0">
        <w:rPr>
          <w:rFonts w:eastAsia="Calibri"/>
        </w:rPr>
        <w:t>heme?</w:t>
      </w:r>
    </w:p>
    <w:p w14:paraId="116A425F" w14:textId="444D6F62" w:rsidR="00101505" w:rsidRDefault="00101505" w:rsidP="00101505">
      <w:pPr>
        <w:pStyle w:val="BodyText"/>
        <w:spacing w:before="120" w:after="120"/>
        <w:ind w:left="426"/>
        <w:rPr>
          <w:rFonts w:ascii="Arial" w:hAnsi="Arial" w:cstheme="minorBidi"/>
          <w:color w:val="auto"/>
          <w:szCs w:val="22"/>
          <w:lang w:val="en" w:eastAsia="en-AU"/>
        </w:rPr>
      </w:pPr>
      <w:r w:rsidRPr="00550BF9">
        <w:rPr>
          <w:rFonts w:ascii="Arial" w:hAnsi="Arial" w:cstheme="minorBidi"/>
          <w:color w:val="auto"/>
          <w:szCs w:val="22"/>
          <w:lang w:val="en" w:eastAsia="en-AU"/>
        </w:rPr>
        <w:t xml:space="preserve">The 2022 </w:t>
      </w:r>
      <w:r>
        <w:rPr>
          <w:rFonts w:ascii="Arial" w:hAnsi="Arial" w:cstheme="minorBidi"/>
          <w:color w:val="auto"/>
          <w:szCs w:val="22"/>
          <w:lang w:val="en" w:eastAsia="en-AU"/>
        </w:rPr>
        <w:t xml:space="preserve">National </w:t>
      </w:r>
      <w:r w:rsidRPr="00550BF9">
        <w:rPr>
          <w:rFonts w:ascii="Arial" w:hAnsi="Arial" w:cstheme="minorBidi"/>
          <w:color w:val="auto"/>
          <w:szCs w:val="22"/>
          <w:lang w:val="en" w:eastAsia="en-AU"/>
        </w:rPr>
        <w:t xml:space="preserve">NAIDOC theme </w:t>
      </w:r>
      <w:r>
        <w:rPr>
          <w:rFonts w:ascii="Arial" w:hAnsi="Arial" w:cstheme="minorBidi"/>
          <w:color w:val="auto"/>
          <w:szCs w:val="22"/>
          <w:lang w:val="en" w:eastAsia="en-AU"/>
        </w:rPr>
        <w:t>is ‘</w:t>
      </w:r>
      <w:hyperlink r:id="rId12" w:history="1">
        <w:r w:rsidRPr="0067460D">
          <w:rPr>
            <w:rStyle w:val="Hyperlink"/>
            <w:rFonts w:ascii="Arial" w:hAnsi="Arial" w:cstheme="minorBidi"/>
            <w:szCs w:val="22"/>
            <w:lang w:val="en" w:eastAsia="en-AU"/>
          </w:rPr>
          <w:t>Get Up! Stand Up! Show Up!</w:t>
        </w:r>
      </w:hyperlink>
      <w:r>
        <w:rPr>
          <w:rFonts w:ascii="Arial" w:hAnsi="Arial" w:cstheme="minorBidi"/>
          <w:color w:val="auto"/>
          <w:szCs w:val="22"/>
          <w:lang w:val="en" w:eastAsia="en-AU"/>
        </w:rPr>
        <w:t>’.</w:t>
      </w:r>
    </w:p>
    <w:p w14:paraId="3480F0BB" w14:textId="2F184EED" w:rsidR="00101505" w:rsidRDefault="00101505" w:rsidP="00101505">
      <w:pPr>
        <w:pStyle w:val="BodyText"/>
        <w:spacing w:before="120" w:after="120"/>
        <w:ind w:left="426"/>
        <w:rPr>
          <w:lang w:val="en-US" w:eastAsia="en-AU"/>
        </w:rPr>
      </w:pPr>
      <w:r w:rsidRPr="000F29C8">
        <w:rPr>
          <w:lang w:val="en-US" w:eastAsia="en-AU"/>
        </w:rPr>
        <w:t xml:space="preserve">NAIDOC grant funding is available for communities and organisations to help meet the costs of local NAIDOC activities </w:t>
      </w:r>
      <w:r w:rsidR="001242A4">
        <w:rPr>
          <w:lang w:val="en-US" w:eastAsia="en-AU"/>
        </w:rPr>
        <w:t>that</w:t>
      </w:r>
      <w:r w:rsidR="00C163E8">
        <w:rPr>
          <w:lang w:val="en-US" w:eastAsia="en-AU"/>
        </w:rPr>
        <w:t xml:space="preserve"> align with this theme, and</w:t>
      </w:r>
      <w:r w:rsidR="001242A4">
        <w:rPr>
          <w:lang w:val="en-US" w:eastAsia="en-AU"/>
        </w:rPr>
        <w:t xml:space="preserve"> support </w:t>
      </w:r>
      <w:r w:rsidR="001242A4">
        <w:t xml:space="preserve">and </w:t>
      </w:r>
      <w:r w:rsidR="00C163E8">
        <w:rPr>
          <w:lang w:val="en-US" w:eastAsia="en-AU"/>
        </w:rPr>
        <w:t>celebrate the histories</w:t>
      </w:r>
      <w:r w:rsidR="001242A4" w:rsidRPr="00387564">
        <w:rPr>
          <w:lang w:val="en-US" w:eastAsia="en-AU"/>
        </w:rPr>
        <w:t xml:space="preserve">, </w:t>
      </w:r>
      <w:r w:rsidR="001242A4" w:rsidRPr="00FB40D1">
        <w:rPr>
          <w:rFonts w:ascii="Arial" w:hAnsi="Arial" w:cstheme="minorBidi"/>
          <w:color w:val="auto"/>
          <w:szCs w:val="22"/>
          <w:lang w:val="en" w:eastAsia="en-AU"/>
        </w:rPr>
        <w:t>culture</w:t>
      </w:r>
      <w:r w:rsidR="00C163E8" w:rsidRPr="00FB40D1">
        <w:rPr>
          <w:rFonts w:ascii="Arial" w:hAnsi="Arial" w:cstheme="minorBidi"/>
          <w:color w:val="auto"/>
          <w:szCs w:val="22"/>
          <w:lang w:val="en" w:eastAsia="en-AU"/>
        </w:rPr>
        <w:t>s</w:t>
      </w:r>
      <w:r w:rsidR="001242A4" w:rsidRPr="00387564">
        <w:rPr>
          <w:lang w:val="en-US" w:eastAsia="en-AU"/>
        </w:rPr>
        <w:t xml:space="preserve"> and achievements of Aboriginal and Torres Strait Islander peoples</w:t>
      </w:r>
      <w:r w:rsidR="001242A4">
        <w:rPr>
          <w:lang w:val="en-US" w:eastAsia="en-AU"/>
        </w:rPr>
        <w:t>.</w:t>
      </w:r>
      <w:r w:rsidR="001242A4" w:rsidRPr="003425DD">
        <w:t xml:space="preserve"> </w:t>
      </w:r>
      <w:r w:rsidR="001242A4">
        <w:rPr>
          <w:lang w:val="en-US" w:eastAsia="en-AU"/>
        </w:rPr>
        <w:t>Activities may include</w:t>
      </w:r>
      <w:r w:rsidR="001242A4" w:rsidRPr="003425DD">
        <w:rPr>
          <w:lang w:val="en-US" w:eastAsia="en-AU"/>
        </w:rPr>
        <w:t xml:space="preserve"> family days, art exhibitions,</w:t>
      </w:r>
      <w:r w:rsidR="002251F3">
        <w:rPr>
          <w:lang w:val="en-US" w:eastAsia="en-AU"/>
        </w:rPr>
        <w:t xml:space="preserve"> community cooking activities (for example,</w:t>
      </w:r>
      <w:r w:rsidR="001242A4" w:rsidRPr="003425DD">
        <w:rPr>
          <w:lang w:val="en-US" w:eastAsia="en-AU"/>
        </w:rPr>
        <w:t xml:space="preserve"> using bush tucker) and other cultural activities</w:t>
      </w:r>
      <w:r w:rsidRPr="000F29C8">
        <w:rPr>
          <w:lang w:val="en-US" w:eastAsia="en-AU"/>
        </w:rPr>
        <w:t>.</w:t>
      </w:r>
    </w:p>
    <w:p w14:paraId="37933585" w14:textId="77777777" w:rsidR="00101505" w:rsidRPr="0067460D" w:rsidRDefault="00101505" w:rsidP="00FB40D1">
      <w:pPr>
        <w:pStyle w:val="Heading2"/>
        <w:numPr>
          <w:ilvl w:val="0"/>
          <w:numId w:val="6"/>
        </w:numPr>
        <w:ind w:left="426" w:hanging="426"/>
        <w:rPr>
          <w:rFonts w:eastAsia="Calibri"/>
        </w:rPr>
      </w:pPr>
      <w:r w:rsidRPr="0067460D">
        <w:rPr>
          <w:rFonts w:eastAsia="Calibri"/>
        </w:rPr>
        <w:t>How do I find out more about how to celebrate NAIDOC?</w:t>
      </w:r>
    </w:p>
    <w:p w14:paraId="2578F97F" w14:textId="77777777" w:rsidR="00101505" w:rsidRPr="002679C9" w:rsidRDefault="00101505" w:rsidP="00FB40D1">
      <w:pPr>
        <w:pStyle w:val="BodyText"/>
        <w:spacing w:before="120" w:after="120"/>
        <w:ind w:left="426"/>
      </w:pPr>
      <w:r>
        <w:t xml:space="preserve">Go to the </w:t>
      </w:r>
      <w:hyperlink r:id="rId13" w:history="1">
        <w:r w:rsidRPr="00F64B48">
          <w:rPr>
            <w:rStyle w:val="Hyperlink"/>
          </w:rPr>
          <w:t>NAIDOC website</w:t>
        </w:r>
      </w:hyperlink>
      <w:r>
        <w:t xml:space="preserve"> and head to the ‘Get Involved’ tab to plan your event, and get </w:t>
      </w:r>
      <w:r w:rsidRPr="00FB40D1">
        <w:rPr>
          <w:rFonts w:ascii="Arial" w:hAnsi="Arial" w:cstheme="minorBidi"/>
          <w:color w:val="auto"/>
          <w:szCs w:val="22"/>
          <w:lang w:val="en" w:eastAsia="en-AU"/>
        </w:rPr>
        <w:t>some</w:t>
      </w:r>
      <w:r>
        <w:t xml:space="preserve"> ideas on what you can do, see what others are doing and advertise your own event.</w:t>
      </w:r>
    </w:p>
    <w:p w14:paraId="2F98B867" w14:textId="77777777" w:rsidR="00101505" w:rsidRPr="00496141" w:rsidRDefault="00101505" w:rsidP="00FB40D1">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10E704B6" w14:textId="199CE6C8" w:rsidR="00101505" w:rsidRPr="00E94149" w:rsidRDefault="00C163E8" w:rsidP="00FB40D1">
      <w:pPr>
        <w:pStyle w:val="BodyText"/>
        <w:spacing w:before="120" w:after="120"/>
        <w:ind w:left="426"/>
        <w:rPr>
          <w:color w:val="FF0000"/>
        </w:rPr>
      </w:pPr>
      <w:r>
        <w:t>The total allocation for 2021</w:t>
      </w:r>
      <w:r w:rsidR="00FB40D1">
        <w:rPr>
          <w:rFonts w:cstheme="minorHAnsi"/>
        </w:rPr>
        <w:t>–</w:t>
      </w:r>
      <w:r w:rsidR="00101505">
        <w:t xml:space="preserve">22 is $1.4 </w:t>
      </w:r>
      <w:r w:rsidR="00101505" w:rsidRPr="00FB40D1">
        <w:rPr>
          <w:rFonts w:ascii="Arial" w:hAnsi="Arial" w:cstheme="minorBidi"/>
          <w:color w:val="auto"/>
          <w:szCs w:val="22"/>
          <w:lang w:val="en" w:eastAsia="en-AU"/>
        </w:rPr>
        <w:t>million</w:t>
      </w:r>
      <w:r w:rsidR="00101505">
        <w:t>.</w:t>
      </w:r>
    </w:p>
    <w:p w14:paraId="430436FD" w14:textId="77777777" w:rsidR="00101505" w:rsidRPr="00496141" w:rsidRDefault="00101505" w:rsidP="00FB40D1">
      <w:pPr>
        <w:pStyle w:val="Heading2"/>
        <w:numPr>
          <w:ilvl w:val="0"/>
          <w:numId w:val="6"/>
        </w:numPr>
        <w:ind w:left="426" w:hanging="426"/>
        <w:rPr>
          <w:rFonts w:eastAsia="Calibri"/>
        </w:rPr>
      </w:pPr>
      <w:r w:rsidRPr="00496141">
        <w:rPr>
          <w:rFonts w:eastAsia="Calibri"/>
        </w:rPr>
        <w:t>Is the funding on-going?</w:t>
      </w:r>
    </w:p>
    <w:p w14:paraId="13BE5012" w14:textId="77777777" w:rsidR="00101505" w:rsidRPr="006B5FAA" w:rsidRDefault="00101505" w:rsidP="00101505">
      <w:pPr>
        <w:spacing w:before="120" w:after="120" w:line="280" w:lineRule="atLeast"/>
        <w:ind w:left="426"/>
      </w:pPr>
      <w:r w:rsidRPr="006B5FAA">
        <w:t>No. Grants under the NAIDOC Local Grants Program are meant as a one</w:t>
      </w:r>
      <w:r>
        <w:t>-</w:t>
      </w:r>
      <w:r w:rsidRPr="006B5FAA">
        <w:t>off financial contribution only.</w:t>
      </w:r>
    </w:p>
    <w:p w14:paraId="191FD73A" w14:textId="071272F2" w:rsidR="00CC1B7B" w:rsidRPr="00660F7F" w:rsidRDefault="00101505" w:rsidP="00FB40D1">
      <w:pPr>
        <w:pStyle w:val="Heading2"/>
        <w:numPr>
          <w:ilvl w:val="0"/>
          <w:numId w:val="6"/>
        </w:numPr>
        <w:ind w:left="426" w:hanging="426"/>
        <w:rPr>
          <w:rFonts w:eastAsia="Calibri"/>
        </w:rPr>
      </w:pPr>
      <w:r>
        <w:rPr>
          <w:rFonts w:eastAsia="Calibri"/>
        </w:rPr>
        <w:t xml:space="preserve"> </w:t>
      </w:r>
      <w:r w:rsidR="00CC1B7B">
        <w:rPr>
          <w:rFonts w:eastAsia="Calibri"/>
        </w:rPr>
        <w:t>What is the closing time and date for applications</w:t>
      </w:r>
      <w:r w:rsidR="00CC1B7B" w:rsidRPr="00660F7F">
        <w:rPr>
          <w:rFonts w:eastAsia="Calibri"/>
        </w:rPr>
        <w:t>?</w:t>
      </w:r>
    </w:p>
    <w:p w14:paraId="75907CC5" w14:textId="36830F7C" w:rsidR="00CC1B7B" w:rsidRPr="00660F7F" w:rsidRDefault="00CC1B7B" w:rsidP="0067460D">
      <w:pPr>
        <w:spacing w:before="120" w:after="120" w:line="280" w:lineRule="atLeast"/>
        <w:ind w:left="426"/>
        <w:rPr>
          <w:lang w:val="en" w:eastAsia="en-AU"/>
        </w:rPr>
      </w:pPr>
      <w:r w:rsidRPr="00660F7F">
        <w:rPr>
          <w:lang w:val="en" w:eastAsia="en-AU"/>
        </w:rPr>
        <w:t xml:space="preserve">The </w:t>
      </w:r>
      <w:r w:rsidR="00614B73">
        <w:rPr>
          <w:lang w:val="en" w:eastAsia="en-AU"/>
        </w:rPr>
        <w:t>application form</w:t>
      </w:r>
      <w:r w:rsidRPr="00660F7F">
        <w:rPr>
          <w:lang w:val="en" w:eastAsia="en-AU"/>
        </w:rPr>
        <w:t xml:space="preserve"> must be submitted </w:t>
      </w:r>
      <w:r w:rsidRPr="00FB40D1">
        <w:rPr>
          <w:lang w:val="en" w:eastAsia="en-AU"/>
        </w:rPr>
        <w:t xml:space="preserve">by </w:t>
      </w:r>
      <w:r w:rsidR="00BB1C50" w:rsidRPr="00FB40D1">
        <w:rPr>
          <w:lang w:val="en" w:eastAsia="en-AU"/>
        </w:rPr>
        <w:t>9</w:t>
      </w:r>
      <w:r w:rsidR="002251F3" w:rsidRPr="00FB40D1">
        <w:rPr>
          <w:lang w:val="en" w:eastAsia="en-AU"/>
        </w:rPr>
        <w:t>:</w:t>
      </w:r>
      <w:r w:rsidRPr="00FB40D1">
        <w:rPr>
          <w:lang w:val="en" w:eastAsia="en-AU"/>
        </w:rPr>
        <w:t>00</w:t>
      </w:r>
      <w:r w:rsidR="002251F3" w:rsidRPr="00FB40D1">
        <w:rPr>
          <w:lang w:val="en" w:eastAsia="en-AU"/>
        </w:rPr>
        <w:t xml:space="preserve"> </w:t>
      </w:r>
      <w:r w:rsidRPr="00FB40D1">
        <w:rPr>
          <w:lang w:val="en" w:eastAsia="en-AU"/>
        </w:rPr>
        <w:t xml:space="preserve">pm AEDT on </w:t>
      </w:r>
      <w:r w:rsidR="000E26D0" w:rsidRPr="00FB40D1">
        <w:rPr>
          <w:lang w:val="en" w:eastAsia="en-AU"/>
        </w:rPr>
        <w:t>Tuesday, 22 February 2022</w:t>
      </w:r>
      <w:r w:rsidRPr="00FB40D1">
        <w:rPr>
          <w:lang w:val="en" w:eastAsia="en-AU"/>
        </w:rPr>
        <w:t>.</w:t>
      </w:r>
      <w:r w:rsidR="00870884" w:rsidRPr="00FB40D1">
        <w:rPr>
          <w:lang w:val="en" w:eastAsia="en-AU"/>
        </w:rPr>
        <w:t xml:space="preserve"> </w:t>
      </w:r>
      <w:r w:rsidR="002251F3" w:rsidRPr="00FB40D1">
        <w:rPr>
          <w:lang w:val="en" w:eastAsia="en-AU"/>
        </w:rPr>
        <w:t>It </w:t>
      </w:r>
      <w:r w:rsidRPr="00FB40D1">
        <w:rPr>
          <w:lang w:val="en" w:eastAsia="en-AU"/>
        </w:rPr>
        <w:t>is recommended that you submit your application well before the closing time and date</w:t>
      </w:r>
      <w:r w:rsidRPr="00660F7F">
        <w:rPr>
          <w:lang w:val="en" w:eastAsia="en-AU"/>
        </w:rPr>
        <w:t>.</w:t>
      </w:r>
    </w:p>
    <w:p w14:paraId="430F9451" w14:textId="77777777" w:rsidR="00CC1B7B" w:rsidRPr="00496141" w:rsidRDefault="00CC1B7B" w:rsidP="00FB40D1">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47B9BFEA" w14:textId="6564DE95" w:rsidR="00CC1B7B" w:rsidRPr="006375BB" w:rsidRDefault="00177068" w:rsidP="0067460D">
      <w:pPr>
        <w:spacing w:before="120" w:after="120" w:line="280" w:lineRule="atLeast"/>
        <w:ind w:left="426"/>
        <w:rPr>
          <w:rFonts w:cs="Arial"/>
          <w:b/>
          <w:color w:val="2C2A29"/>
          <w:lang w:val="en"/>
        </w:rPr>
      </w:pPr>
      <w:r>
        <w:t>L</w:t>
      </w:r>
      <w:r w:rsidR="0078262C">
        <w:t>ate applications</w:t>
      </w:r>
      <w:r>
        <w:t xml:space="preserve"> will not be accepted</w:t>
      </w:r>
      <w:r w:rsidR="0078262C">
        <w:t xml:space="preserve"> unless an applicant has experienced exceptional circumstances that prevent the submission of the</w:t>
      </w:r>
      <w:r>
        <w:t>ir</w:t>
      </w:r>
      <w:r w:rsidR="0078262C">
        <w:t xml:space="preserve"> application. </w:t>
      </w:r>
      <w:r w:rsidR="0078262C" w:rsidRPr="0078262C">
        <w:t>If you miss the deadline, you can request approval to lodge a late application</w:t>
      </w:r>
      <w:r w:rsidR="0078262C">
        <w:t xml:space="preserve"> which will be considered and approved on a case-by-case basis</w:t>
      </w:r>
      <w:r w:rsidR="0078262C" w:rsidRPr="0078262C">
        <w:t xml:space="preserve">. </w:t>
      </w:r>
    </w:p>
    <w:p w14:paraId="3C0461B4" w14:textId="69BBDF21" w:rsidR="00CC1B7B" w:rsidRPr="006375BB" w:rsidRDefault="00CC1B7B" w:rsidP="0067460D">
      <w:pPr>
        <w:spacing w:before="120" w:after="120" w:line="280" w:lineRule="atLeast"/>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sidR="001B20FB">
        <w:rPr>
          <w:lang w:eastAsia="en-AU"/>
        </w:rPr>
        <w:t>,</w:t>
      </w:r>
      <w:r>
        <w:rPr>
          <w:lang w:eastAsia="en-AU"/>
        </w:rPr>
        <w:t xml:space="preserve"> the </w:t>
      </w:r>
      <w:hyperlink r:id="rId14" w:tooltip="late application policy" w:history="1">
        <w:r>
          <w:rPr>
            <w:color w:val="0000FF"/>
            <w:u w:val="single"/>
            <w:lang w:eastAsia="en-AU"/>
          </w:rPr>
          <w:t>late application policy</w:t>
        </w:r>
      </w:hyperlink>
      <w:r>
        <w:rPr>
          <w:lang w:eastAsia="en-AU"/>
        </w:rPr>
        <w:t xml:space="preserve"> available on the Community Grants Hub website </w:t>
      </w:r>
      <w:r w:rsidR="00A247FD">
        <w:rPr>
          <w:lang w:eastAsia="en-AU"/>
        </w:rPr>
        <w:t>applies</w:t>
      </w:r>
      <w:r>
        <w:rPr>
          <w:lang w:eastAsia="en-AU"/>
        </w:rPr>
        <w:t>.</w:t>
      </w:r>
    </w:p>
    <w:p w14:paraId="2B85F706" w14:textId="56877AB4" w:rsidR="00101505" w:rsidRPr="006E5B9A" w:rsidRDefault="00101505" w:rsidP="00FB40D1">
      <w:pPr>
        <w:pStyle w:val="Heading2"/>
        <w:numPr>
          <w:ilvl w:val="0"/>
          <w:numId w:val="6"/>
        </w:numPr>
        <w:ind w:left="426" w:hanging="426"/>
        <w:rPr>
          <w:rFonts w:eastAsia="Calibri"/>
        </w:rPr>
      </w:pPr>
      <w:r w:rsidRPr="006E5B9A">
        <w:rPr>
          <w:rFonts w:eastAsia="Calibri"/>
        </w:rPr>
        <w:lastRenderedPageBreak/>
        <w:t xml:space="preserve">How can I submit the </w:t>
      </w:r>
      <w:r w:rsidR="00614B73">
        <w:rPr>
          <w:rFonts w:eastAsia="Calibri"/>
        </w:rPr>
        <w:t>application form</w:t>
      </w:r>
      <w:r w:rsidRPr="006E5B9A">
        <w:rPr>
          <w:rFonts w:eastAsia="Calibri"/>
        </w:rPr>
        <w:t>?</w:t>
      </w:r>
    </w:p>
    <w:p w14:paraId="4D626A29" w14:textId="18C2BDBE" w:rsidR="00101505" w:rsidRPr="000F29C8" w:rsidRDefault="00101505" w:rsidP="00101505">
      <w:pPr>
        <w:spacing w:before="120" w:after="120" w:line="280" w:lineRule="atLeast"/>
        <w:ind w:left="426"/>
        <w:rPr>
          <w:lang w:val="en-US" w:eastAsia="en-AU"/>
        </w:rPr>
      </w:pPr>
      <w:r w:rsidRPr="00046AC0">
        <w:rPr>
          <w:lang w:eastAsia="en-AU"/>
        </w:rPr>
        <w:t xml:space="preserve">The form is an online </w:t>
      </w:r>
      <w:r w:rsidR="00614B73">
        <w:rPr>
          <w:lang w:eastAsia="en-AU"/>
        </w:rPr>
        <w:t>application form</w:t>
      </w:r>
      <w:r w:rsidRPr="00046AC0">
        <w:rPr>
          <w:lang w:eastAsia="en-AU"/>
        </w:rPr>
        <w:t xml:space="preserve"> that you must submit electronically. </w:t>
      </w:r>
      <w:r w:rsidRPr="000F29C8">
        <w:rPr>
          <w:lang w:val="en-US" w:eastAsia="en-AU"/>
        </w:rPr>
        <w:t xml:space="preserve">It is important that you carefully read the NAIDOC Local Grant Opportunity Guidelines before completing the </w:t>
      </w:r>
      <w:r w:rsidR="00614B73">
        <w:rPr>
          <w:lang w:val="en-US" w:eastAsia="en-AU"/>
        </w:rPr>
        <w:t>application form</w:t>
      </w:r>
      <w:r w:rsidRPr="000F29C8">
        <w:rPr>
          <w:lang w:val="en-US" w:eastAsia="en-AU"/>
        </w:rPr>
        <w:t>.</w:t>
      </w:r>
    </w:p>
    <w:p w14:paraId="538F7D96" w14:textId="3B25FBA7" w:rsidR="00101505" w:rsidRDefault="00101505" w:rsidP="00101505">
      <w:pPr>
        <w:spacing w:before="120" w:after="120" w:line="280" w:lineRule="atLeast"/>
        <w:ind w:left="426"/>
        <w:rPr>
          <w:lang w:eastAsia="en-AU"/>
        </w:rPr>
      </w:pPr>
      <w:r w:rsidRPr="00046AC0">
        <w:rPr>
          <w:lang w:eastAsia="en-AU"/>
        </w:rPr>
        <w:t xml:space="preserve">The Community Grants Hub will not provide </w:t>
      </w:r>
      <w:r w:rsidR="00614B73">
        <w:rPr>
          <w:lang w:eastAsia="en-AU"/>
        </w:rPr>
        <w:t>application form</w:t>
      </w:r>
      <w:r w:rsidRPr="00046AC0">
        <w:rPr>
          <w:lang w:eastAsia="en-AU"/>
        </w:rPr>
        <w:t xml:space="preserve">s or accept </w:t>
      </w:r>
      <w:r w:rsidR="00614B73">
        <w:rPr>
          <w:lang w:eastAsia="en-AU"/>
        </w:rPr>
        <w:t>application form</w:t>
      </w:r>
      <w:r w:rsidRPr="00046AC0">
        <w:rPr>
          <w:lang w:eastAsia="en-AU"/>
        </w:rPr>
        <w:t>s for this grant opportunity by fax, email or through Australia Post unless otherwise stated in the Grant Opportunity Documents</w:t>
      </w:r>
      <w:r>
        <w:rPr>
          <w:lang w:eastAsia="en-AU"/>
        </w:rPr>
        <w:t>.</w:t>
      </w:r>
    </w:p>
    <w:p w14:paraId="42D1C367" w14:textId="78E69699" w:rsidR="00101505" w:rsidRDefault="00101505" w:rsidP="00101505">
      <w:pPr>
        <w:spacing w:before="120" w:after="120" w:line="280" w:lineRule="atLeast"/>
        <w:ind w:left="426"/>
        <w:rPr>
          <w:lang w:eastAsia="en-AU"/>
        </w:rPr>
      </w:pPr>
      <w:r w:rsidRPr="006B5FAA">
        <w:rPr>
          <w:lang w:eastAsia="en-AU"/>
        </w:rPr>
        <w:t xml:space="preserve">You must submit your grant application using the </w:t>
      </w:r>
      <w:r w:rsidR="00614B73">
        <w:rPr>
          <w:lang w:eastAsia="en-AU"/>
        </w:rPr>
        <w:t>application form</w:t>
      </w:r>
      <w:r w:rsidRPr="006B5FAA">
        <w:rPr>
          <w:lang w:eastAsia="en-AU"/>
        </w:rPr>
        <w:t xml:space="preserve">, which is available on the </w:t>
      </w:r>
      <w:hyperlink r:id="rId15" w:history="1">
        <w:r w:rsidRPr="006B5FAA">
          <w:rPr>
            <w:rStyle w:val="Hyperlink"/>
            <w:lang w:eastAsia="en-AU"/>
          </w:rPr>
          <w:t>GrantConnect</w:t>
        </w:r>
      </w:hyperlink>
      <w:r w:rsidRPr="006B5FAA">
        <w:rPr>
          <w:lang w:eastAsia="en-AU"/>
        </w:rPr>
        <w:t xml:space="preserve"> and </w:t>
      </w:r>
      <w:hyperlink r:id="rId16" w:history="1">
        <w:r w:rsidRPr="006B5FAA">
          <w:rPr>
            <w:rStyle w:val="Hyperlink"/>
            <w:lang w:eastAsia="en-AU"/>
          </w:rPr>
          <w:t>Community Grants Hub</w:t>
        </w:r>
      </w:hyperlink>
      <w:r w:rsidRPr="006B5FAA">
        <w:rPr>
          <w:lang w:eastAsia="en-AU"/>
        </w:rPr>
        <w:t xml:space="preserve"> websites. The </w:t>
      </w:r>
      <w:r w:rsidR="00614B73">
        <w:rPr>
          <w:lang w:eastAsia="en-AU"/>
        </w:rPr>
        <w:t>application form</w:t>
      </w:r>
      <w:r w:rsidRPr="006B5FAA">
        <w:rPr>
          <w:lang w:eastAsia="en-AU"/>
        </w:rPr>
        <w:t xml:space="preserve"> includes help information. </w:t>
      </w:r>
    </w:p>
    <w:p w14:paraId="04420D14" w14:textId="323DFD55" w:rsidR="00101505" w:rsidRPr="00046AC0" w:rsidRDefault="00101505" w:rsidP="00101505">
      <w:pPr>
        <w:spacing w:before="120" w:after="120" w:line="280" w:lineRule="atLeast"/>
        <w:ind w:left="426"/>
        <w:rPr>
          <w:lang w:eastAsia="en-AU"/>
        </w:rPr>
      </w:pPr>
      <w:r w:rsidRPr="000F29C8">
        <w:rPr>
          <w:lang w:eastAsia="en-AU"/>
        </w:rPr>
        <w:t>If you need more help about the application process, submitting an application online, have any technical difficulties or find an error in your application after submission, but before the closing date and time, please call the Commu</w:t>
      </w:r>
      <w:r>
        <w:rPr>
          <w:lang w:eastAsia="en-AU"/>
        </w:rPr>
        <w:t xml:space="preserve">nity Grants Hub on 1800 020 283 (option 1), </w:t>
      </w:r>
      <w:r>
        <w:rPr>
          <w:lang w:eastAsia="en-AU"/>
        </w:rPr>
        <w:br/>
        <w:t xml:space="preserve">TTY 1800 555 677 or by </w:t>
      </w:r>
      <w:r w:rsidRPr="000F29C8">
        <w:rPr>
          <w:lang w:eastAsia="en-AU"/>
        </w:rPr>
        <w:t>email</w:t>
      </w:r>
      <w:r>
        <w:rPr>
          <w:lang w:eastAsia="en-AU"/>
        </w:rPr>
        <w:t>ing</w:t>
      </w:r>
      <w:r w:rsidRPr="000F29C8">
        <w:rPr>
          <w:lang w:eastAsia="en-AU"/>
        </w:rPr>
        <w:t xml:space="preserve"> </w:t>
      </w:r>
      <w:hyperlink r:id="rId17" w:history="1">
        <w:r w:rsidRPr="00887B60">
          <w:rPr>
            <w:rStyle w:val="Hyperlink"/>
            <w:lang w:eastAsia="en-AU"/>
          </w:rPr>
          <w:t>support@communitygrants.gov.au</w:t>
        </w:r>
      </w:hyperlink>
      <w:r w:rsidRPr="000F29C8">
        <w:rPr>
          <w:lang w:eastAsia="en-AU"/>
        </w:rPr>
        <w:t>.</w:t>
      </w:r>
      <w:r w:rsidR="007F2480">
        <w:rPr>
          <w:lang w:eastAsia="en-AU"/>
        </w:rPr>
        <w:t xml:space="preserve"> Email queries will be responded to within 5 working days.</w:t>
      </w:r>
    </w:p>
    <w:p w14:paraId="646C43A0" w14:textId="77777777" w:rsidR="00101505" w:rsidRDefault="00101505" w:rsidP="00FB40D1">
      <w:pPr>
        <w:pStyle w:val="Heading2"/>
        <w:numPr>
          <w:ilvl w:val="0"/>
          <w:numId w:val="6"/>
        </w:numPr>
        <w:ind w:left="426" w:hanging="426"/>
        <w:rPr>
          <w:rFonts w:eastAsia="Calibri"/>
        </w:rPr>
      </w:pPr>
      <w:r>
        <w:rPr>
          <w:rFonts w:eastAsia="Calibri"/>
        </w:rPr>
        <w:t xml:space="preserve">Do character limits apply to the assessment criteria? </w:t>
      </w:r>
    </w:p>
    <w:p w14:paraId="286B2BB7" w14:textId="5A303D80" w:rsidR="00101505" w:rsidRDefault="00101505" w:rsidP="00101505">
      <w:pPr>
        <w:spacing w:before="120" w:after="120" w:line="280" w:lineRule="atLeast"/>
        <w:ind w:left="426"/>
        <w:rPr>
          <w:lang w:eastAsia="en-AU"/>
        </w:rPr>
      </w:pPr>
      <w:r>
        <w:rPr>
          <w:lang w:eastAsia="en-AU"/>
        </w:rPr>
        <w:t>Yes, the application for</w:t>
      </w:r>
      <w:r w:rsidR="00491705">
        <w:rPr>
          <w:lang w:eastAsia="en-AU"/>
        </w:rPr>
        <w:t>m</w:t>
      </w:r>
      <w:r>
        <w:rPr>
          <w:lang w:eastAsia="en-AU"/>
        </w:rPr>
        <w:t xml:space="preserve"> includes character limits </w:t>
      </w:r>
      <w:r w:rsidR="00FB40D1">
        <w:rPr>
          <w:rFonts w:cs="Arial"/>
          <w:lang w:eastAsia="en-AU"/>
        </w:rPr>
        <w:t>–</w:t>
      </w:r>
      <w:r>
        <w:rPr>
          <w:lang w:eastAsia="en-AU"/>
        </w:rPr>
        <w:t xml:space="preserve"> up to </w:t>
      </w:r>
      <w:r w:rsidRPr="0067460D">
        <w:rPr>
          <w:lang w:eastAsia="en-AU"/>
        </w:rPr>
        <w:t>2,000</w:t>
      </w:r>
      <w:r>
        <w:rPr>
          <w:lang w:eastAsia="en-AU"/>
        </w:rPr>
        <w:t xml:space="preserve"> characters (approx</w:t>
      </w:r>
      <w:r w:rsidRPr="0067460D">
        <w:rPr>
          <w:lang w:eastAsia="en-AU"/>
        </w:rPr>
        <w:t>imately 300</w:t>
      </w:r>
      <w:r w:rsidR="007E41F4">
        <w:rPr>
          <w:lang w:eastAsia="en-AU"/>
        </w:rPr>
        <w:t> </w:t>
      </w:r>
      <w:r>
        <w:rPr>
          <w:lang w:eastAsia="en-AU"/>
        </w:rPr>
        <w:t>words) per assessment criterion. Please note spaces are included in the character limit.</w:t>
      </w:r>
    </w:p>
    <w:p w14:paraId="3278D61C" w14:textId="77777777" w:rsidR="00101505" w:rsidRPr="006B5FAA" w:rsidRDefault="00101505" w:rsidP="00101505">
      <w:pPr>
        <w:spacing w:before="120" w:after="120" w:line="280" w:lineRule="atLeast"/>
        <w:ind w:left="426"/>
        <w:rPr>
          <w:lang w:eastAsia="en-AU"/>
        </w:rPr>
      </w:pPr>
      <w:r w:rsidRPr="0067460D">
        <w:rPr>
          <w:lang w:eastAsia="en-AU"/>
        </w:rPr>
        <w:t>The amount of detail and supporting evidence you provide in your application should be relative to the complexity and grant amount requested.</w:t>
      </w:r>
    </w:p>
    <w:p w14:paraId="6030675A" w14:textId="77777777" w:rsidR="00101505" w:rsidRPr="0067460D" w:rsidRDefault="00101505" w:rsidP="00FB40D1">
      <w:pPr>
        <w:pStyle w:val="Heading2"/>
        <w:numPr>
          <w:ilvl w:val="0"/>
          <w:numId w:val="6"/>
        </w:numPr>
        <w:ind w:left="426" w:hanging="426"/>
        <w:rPr>
          <w:rFonts w:eastAsia="Calibri"/>
        </w:rPr>
      </w:pPr>
      <w:r w:rsidRPr="0067460D">
        <w:rPr>
          <w:rFonts w:eastAsia="Calibri"/>
        </w:rPr>
        <w:t>How do we enter location information in the application?</w:t>
      </w:r>
    </w:p>
    <w:p w14:paraId="3BF9D7DD" w14:textId="07CDC604" w:rsidR="00101505" w:rsidRDefault="00101505" w:rsidP="00101505">
      <w:pPr>
        <w:spacing w:before="120" w:after="120" w:line="280" w:lineRule="atLeast"/>
        <w:ind w:left="426"/>
        <w:rPr>
          <w:rFonts w:asciiTheme="minorHAnsi" w:hAnsiTheme="minorHAnsi"/>
        </w:rPr>
      </w:pPr>
      <w:r>
        <w:t>The location information is based on the Indigenous Location (ILOC) so if you live in a city, regional area or larger town (</w:t>
      </w:r>
      <w:r w:rsidR="00FB40D1">
        <w:t>for example,</w:t>
      </w:r>
      <w:r>
        <w:t xml:space="preserve"> Alice Springs), you may need to look up exactly which ILOC your event will be held in. To do this:</w:t>
      </w:r>
    </w:p>
    <w:p w14:paraId="7ADB0FE6" w14:textId="06C09120" w:rsidR="00101505" w:rsidRDefault="00101505" w:rsidP="00101505">
      <w:pPr>
        <w:pStyle w:val="ListParagraph"/>
        <w:widowControl w:val="0"/>
        <w:numPr>
          <w:ilvl w:val="0"/>
          <w:numId w:val="14"/>
        </w:numPr>
        <w:spacing w:before="120" w:after="120" w:line="280" w:lineRule="atLeast"/>
        <w:ind w:left="851"/>
        <w:contextualSpacing w:val="0"/>
      </w:pPr>
      <w:r>
        <w:t xml:space="preserve">Go to the </w:t>
      </w:r>
      <w:hyperlink r:id="rId18" w:history="1">
        <w:r w:rsidRPr="002251F3">
          <w:rPr>
            <w:rStyle w:val="Hyperlink"/>
          </w:rPr>
          <w:t>A</w:t>
        </w:r>
        <w:r w:rsidR="002251F3" w:rsidRPr="002251F3">
          <w:rPr>
            <w:rStyle w:val="Hyperlink"/>
          </w:rPr>
          <w:t xml:space="preserve">ustralian </w:t>
        </w:r>
        <w:r w:rsidRPr="002251F3">
          <w:rPr>
            <w:rStyle w:val="Hyperlink"/>
          </w:rPr>
          <w:t>B</w:t>
        </w:r>
        <w:r w:rsidR="002251F3" w:rsidRPr="002251F3">
          <w:rPr>
            <w:rStyle w:val="Hyperlink"/>
          </w:rPr>
          <w:t xml:space="preserve">ureau of </w:t>
        </w:r>
        <w:r w:rsidRPr="002251F3">
          <w:rPr>
            <w:rStyle w:val="Hyperlink"/>
          </w:rPr>
          <w:t>S</w:t>
        </w:r>
        <w:r w:rsidR="002251F3" w:rsidRPr="002251F3">
          <w:rPr>
            <w:rStyle w:val="Hyperlink"/>
          </w:rPr>
          <w:t>tatistics (ABS) website</w:t>
        </w:r>
      </w:hyperlink>
      <w:r>
        <w:t xml:space="preserve"> </w:t>
      </w:r>
    </w:p>
    <w:p w14:paraId="40FDE9DC" w14:textId="77777777" w:rsidR="00101505" w:rsidRDefault="00101505" w:rsidP="00101505">
      <w:pPr>
        <w:pStyle w:val="ListParagraph"/>
        <w:widowControl w:val="0"/>
        <w:numPr>
          <w:ilvl w:val="0"/>
          <w:numId w:val="14"/>
        </w:numPr>
        <w:spacing w:before="120" w:after="120" w:line="280" w:lineRule="atLeast"/>
        <w:ind w:left="851"/>
        <w:contextualSpacing w:val="0"/>
      </w:pPr>
      <w:r>
        <w:t>Click on the “Choose a boundary type” drop down menu on the right hand side of the page and select “2016 Indigenous Location (ILOC)”</w:t>
      </w:r>
    </w:p>
    <w:p w14:paraId="0F5F8131" w14:textId="77777777" w:rsidR="00101505" w:rsidRPr="0067460D" w:rsidRDefault="00101505" w:rsidP="00FB40D1">
      <w:pPr>
        <w:pStyle w:val="Heading2"/>
        <w:numPr>
          <w:ilvl w:val="0"/>
          <w:numId w:val="6"/>
        </w:numPr>
        <w:ind w:left="426" w:hanging="426"/>
        <w:rPr>
          <w:rFonts w:eastAsia="Calibri"/>
        </w:rPr>
      </w:pPr>
      <w:r w:rsidRPr="0067460D">
        <w:rPr>
          <w:rFonts w:eastAsia="Calibri"/>
        </w:rPr>
        <w:t>Who can apply for NAIDOC funding?</w:t>
      </w:r>
    </w:p>
    <w:p w14:paraId="5DEBF3D0" w14:textId="77777777" w:rsidR="00101505" w:rsidRDefault="00101505" w:rsidP="00101505">
      <w:pPr>
        <w:widowControl w:val="0"/>
        <w:spacing w:before="120" w:after="120" w:line="280" w:lineRule="atLeast"/>
        <w:ind w:left="426"/>
        <w:rPr>
          <w:rFonts w:asciiTheme="minorHAnsi" w:eastAsia="Calibri" w:hAnsiTheme="minorHAnsi" w:cstheme="minorHAnsi"/>
          <w:lang w:val="en-US"/>
        </w:rPr>
      </w:pPr>
      <w:r w:rsidRPr="0024697B">
        <w:rPr>
          <w:rFonts w:asciiTheme="minorHAnsi" w:eastAsia="Calibri" w:hAnsiTheme="minorHAnsi" w:cstheme="minorHAnsi"/>
          <w:lang w:val="en-US"/>
        </w:rPr>
        <w:t>Both currently funded and new applicants can apply for NAIDOC funding, consistent with the eligibility criteria of the funding round as described in the NAIDOC Local Grant</w:t>
      </w:r>
      <w:r>
        <w:rPr>
          <w:rFonts w:asciiTheme="minorHAnsi" w:eastAsia="Calibri" w:hAnsiTheme="minorHAnsi" w:cstheme="minorHAnsi"/>
          <w:lang w:val="en-US"/>
        </w:rPr>
        <w:t xml:space="preserve">s Program </w:t>
      </w:r>
      <w:r w:rsidRPr="0024697B">
        <w:rPr>
          <w:rFonts w:asciiTheme="minorHAnsi" w:eastAsia="Calibri" w:hAnsiTheme="minorHAnsi" w:cstheme="minorHAnsi"/>
          <w:lang w:val="en-US"/>
        </w:rPr>
        <w:t>Guidelines.</w:t>
      </w:r>
    </w:p>
    <w:p w14:paraId="3FF5698D" w14:textId="77777777" w:rsidR="00101505" w:rsidRPr="00870884" w:rsidRDefault="00101505" w:rsidP="00101505">
      <w:pPr>
        <w:widowControl w:val="0"/>
        <w:spacing w:before="120" w:after="120" w:line="280" w:lineRule="atLeast"/>
        <w:ind w:left="426"/>
        <w:rPr>
          <w:rFonts w:asciiTheme="minorHAnsi" w:eastAsia="Calibri" w:hAnsiTheme="minorHAnsi" w:cstheme="minorHAnsi"/>
          <w:lang w:val="en-US"/>
        </w:rPr>
      </w:pPr>
      <w:r w:rsidRPr="00870884">
        <w:rPr>
          <w:rFonts w:asciiTheme="minorHAnsi" w:eastAsia="Calibri" w:hAnsiTheme="minorHAnsi" w:cstheme="minorHAnsi"/>
          <w:lang w:val="en-US"/>
        </w:rPr>
        <w:t>To be eligible to apply for grant funding under the NAIDOC Local Grants opportunity you must be one of the following entity types:</w:t>
      </w:r>
    </w:p>
    <w:p w14:paraId="44DF0AC8"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t>Company</w:t>
      </w:r>
    </w:p>
    <w:p w14:paraId="3BAD7C37"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t>Cooperative</w:t>
      </w:r>
    </w:p>
    <w:p w14:paraId="0983107E"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lastRenderedPageBreak/>
        <w:t xml:space="preserve">Corporate State or Territory Entity </w:t>
      </w:r>
    </w:p>
    <w:p w14:paraId="041C6255"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t>Incorporated Association</w:t>
      </w:r>
    </w:p>
    <w:p w14:paraId="4FF4FEF7"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t>Indigenous Corporation</w:t>
      </w:r>
    </w:p>
    <w:p w14:paraId="04E62A64"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t>Local Government Entity</w:t>
      </w:r>
    </w:p>
    <w:p w14:paraId="0CF4FDF2"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t>Non-corporate State or Territory Entity</w:t>
      </w:r>
    </w:p>
    <w:p w14:paraId="2DBEE88F"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t>Person</w:t>
      </w:r>
    </w:p>
    <w:p w14:paraId="0FEC7FE8"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t xml:space="preserve">Sole Trader </w:t>
      </w:r>
    </w:p>
    <w:p w14:paraId="7EF3A578"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870884">
        <w:rPr>
          <w:rFonts w:asciiTheme="minorHAnsi" w:eastAsia="Calibri" w:hAnsiTheme="minorHAnsi" w:cstheme="minorHAnsi"/>
          <w:lang w:val="en-US"/>
        </w:rPr>
        <w:t xml:space="preserve">Statutory Entity </w:t>
      </w:r>
    </w:p>
    <w:p w14:paraId="641FE3A7" w14:textId="77777777" w:rsidR="00101505" w:rsidRPr="00870884"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proofErr w:type="gramStart"/>
      <w:r w:rsidRPr="00870884">
        <w:rPr>
          <w:rFonts w:asciiTheme="minorHAnsi" w:eastAsia="Calibri" w:hAnsiTheme="minorHAnsi" w:cstheme="minorHAnsi"/>
          <w:lang w:val="en-US"/>
        </w:rPr>
        <w:t>a</w:t>
      </w:r>
      <w:proofErr w:type="gramEnd"/>
      <w:r w:rsidRPr="00870884">
        <w:rPr>
          <w:rFonts w:asciiTheme="minorHAnsi" w:eastAsia="Calibri" w:hAnsiTheme="minorHAnsi" w:cstheme="minorHAnsi"/>
          <w:lang w:val="en-US"/>
        </w:rPr>
        <w:t xml:space="preserve"> school or correctional facility (note: State and Territory agencies and bodies may apply on behalf of a school or correctional facility, such as under NSW and WA funding arrange</w:t>
      </w:r>
      <w:r>
        <w:rPr>
          <w:rFonts w:asciiTheme="minorHAnsi" w:eastAsia="Calibri" w:hAnsiTheme="minorHAnsi" w:cstheme="minorHAnsi"/>
          <w:lang w:val="en-US"/>
        </w:rPr>
        <w:t>ments for NAIDOC activities</w:t>
      </w:r>
      <w:r w:rsidRPr="00870884">
        <w:rPr>
          <w:rFonts w:asciiTheme="minorHAnsi" w:eastAsia="Calibri" w:hAnsiTheme="minorHAnsi" w:cstheme="minorHAnsi"/>
          <w:lang w:val="en-US"/>
        </w:rPr>
        <w:t>)</w:t>
      </w:r>
      <w:r>
        <w:rPr>
          <w:rFonts w:asciiTheme="minorHAnsi" w:eastAsia="Calibri" w:hAnsiTheme="minorHAnsi" w:cstheme="minorHAnsi"/>
          <w:lang w:val="en-US"/>
        </w:rPr>
        <w:t>.</w:t>
      </w:r>
    </w:p>
    <w:p w14:paraId="366D6FA3" w14:textId="77777777" w:rsidR="00101505" w:rsidRPr="00870884" w:rsidRDefault="00101505" w:rsidP="00101505">
      <w:pPr>
        <w:widowControl w:val="0"/>
        <w:spacing w:before="120" w:after="120" w:line="280" w:lineRule="atLeast"/>
        <w:ind w:left="426"/>
        <w:rPr>
          <w:rFonts w:asciiTheme="minorHAnsi" w:eastAsia="Calibri" w:hAnsiTheme="minorHAnsi" w:cstheme="minorHAnsi"/>
          <w:lang w:val="en-US"/>
        </w:rPr>
      </w:pPr>
      <w:r w:rsidRPr="00870884">
        <w:rPr>
          <w:rFonts w:asciiTheme="minorHAnsi" w:eastAsia="Calibri" w:hAnsiTheme="minorHAnsi" w:cstheme="minorHAnsi"/>
          <w:lang w:val="en-US"/>
        </w:rPr>
        <w:t>Applicants that are an eligible entity type must also have an account with an Australian financial institution.</w:t>
      </w:r>
    </w:p>
    <w:p w14:paraId="1F607E42" w14:textId="5E30D327" w:rsidR="00101505" w:rsidRPr="00870884" w:rsidRDefault="00EE3FC1" w:rsidP="00101505">
      <w:pPr>
        <w:widowControl w:val="0"/>
        <w:spacing w:before="120" w:after="120" w:line="280" w:lineRule="atLeast"/>
        <w:ind w:left="426"/>
        <w:rPr>
          <w:rFonts w:asciiTheme="minorHAnsi" w:eastAsia="Calibri" w:hAnsiTheme="minorHAnsi" w:cstheme="minorHAnsi"/>
          <w:lang w:val="en-US"/>
        </w:rPr>
      </w:pPr>
      <w:r>
        <w:rPr>
          <w:rFonts w:asciiTheme="minorHAnsi" w:eastAsia="Calibri" w:hAnsiTheme="minorHAnsi" w:cstheme="minorHAnsi"/>
          <w:lang w:val="en-US"/>
        </w:rPr>
        <w:t>If you are applying as a p</w:t>
      </w:r>
      <w:r w:rsidR="00101505" w:rsidRPr="00870884">
        <w:rPr>
          <w:rFonts w:asciiTheme="minorHAnsi" w:eastAsia="Calibri" w:hAnsiTheme="minorHAnsi" w:cstheme="minorHAnsi"/>
          <w:lang w:val="en-US"/>
        </w:rPr>
        <w:t>erson, you must be a permanent resident of Australia.</w:t>
      </w:r>
    </w:p>
    <w:p w14:paraId="53D86CBD" w14:textId="77777777" w:rsidR="00101505" w:rsidRPr="0067460D" w:rsidRDefault="00101505" w:rsidP="00101505">
      <w:pPr>
        <w:widowControl w:val="0"/>
        <w:spacing w:before="120" w:after="120" w:line="280" w:lineRule="atLeast"/>
        <w:ind w:left="426"/>
        <w:rPr>
          <w:rFonts w:asciiTheme="minorHAnsi" w:eastAsia="Calibri" w:hAnsiTheme="minorHAnsi" w:cstheme="minorHAnsi"/>
          <w:lang w:val="en-US"/>
        </w:rPr>
      </w:pPr>
      <w:r w:rsidRPr="0067460D">
        <w:rPr>
          <w:rFonts w:asciiTheme="minorHAnsi" w:eastAsia="Calibri" w:hAnsiTheme="minorHAnsi" w:cstheme="minorHAnsi"/>
          <w:lang w:val="en-US"/>
        </w:rPr>
        <w:t>Both Aboriginal and Torres Strait Islander and non-Indigenous legal entities may apply for NAIDOC Grant funding. Preference will be given to:</w:t>
      </w:r>
    </w:p>
    <w:p w14:paraId="30D0626E" w14:textId="77777777" w:rsidR="00101505" w:rsidRPr="0024697B"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24697B">
        <w:rPr>
          <w:rFonts w:asciiTheme="minorHAnsi" w:eastAsia="Calibri" w:hAnsiTheme="minorHAnsi" w:cstheme="minorHAnsi"/>
          <w:lang w:val="en-US"/>
        </w:rPr>
        <w:t>Aboriginal and Torres Strait Islander organisations</w:t>
      </w:r>
    </w:p>
    <w:p w14:paraId="455CF2A6" w14:textId="77777777" w:rsidR="00101505" w:rsidRPr="0024697B"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r w:rsidRPr="0024697B">
        <w:rPr>
          <w:rFonts w:asciiTheme="minorHAnsi" w:eastAsia="Calibri" w:hAnsiTheme="minorHAnsi" w:cstheme="minorHAnsi"/>
          <w:lang w:val="en-US"/>
        </w:rPr>
        <w:t>activities that will involve Aboriginal and Torres Strait Islander people and communities in the design and delivery of the activity</w:t>
      </w:r>
    </w:p>
    <w:p w14:paraId="19D5983C" w14:textId="77777777" w:rsidR="00101505" w:rsidRPr="0067460D" w:rsidRDefault="00101505" w:rsidP="00101505">
      <w:pPr>
        <w:widowControl w:val="0"/>
        <w:numPr>
          <w:ilvl w:val="0"/>
          <w:numId w:val="12"/>
        </w:numPr>
        <w:spacing w:before="120" w:after="120" w:line="280" w:lineRule="atLeast"/>
        <w:ind w:left="851"/>
        <w:rPr>
          <w:rFonts w:asciiTheme="minorHAnsi" w:eastAsia="Calibri" w:hAnsiTheme="minorHAnsi" w:cstheme="minorHAnsi"/>
          <w:lang w:val="en-US"/>
        </w:rPr>
      </w:pPr>
      <w:proofErr w:type="gramStart"/>
      <w:r w:rsidRPr="0024697B">
        <w:rPr>
          <w:rFonts w:asciiTheme="minorHAnsi" w:eastAsia="Calibri" w:hAnsiTheme="minorHAnsi" w:cstheme="minorHAnsi"/>
          <w:lang w:val="en-US"/>
        </w:rPr>
        <w:t>activities</w:t>
      </w:r>
      <w:proofErr w:type="gramEnd"/>
      <w:r w:rsidRPr="0024697B">
        <w:rPr>
          <w:rFonts w:asciiTheme="minorHAnsi" w:eastAsia="Calibri" w:hAnsiTheme="minorHAnsi" w:cstheme="minorHAnsi"/>
          <w:lang w:val="en-US"/>
        </w:rPr>
        <w:t xml:space="preserve"> in remote areas and areas where there is a high Indigenous population, and include the local community.</w:t>
      </w:r>
    </w:p>
    <w:p w14:paraId="323DE5AD" w14:textId="737D6951" w:rsidR="00101505" w:rsidRPr="00870884" w:rsidRDefault="00101505" w:rsidP="00101505">
      <w:pPr>
        <w:widowControl w:val="0"/>
        <w:spacing w:before="120" w:after="120" w:line="280" w:lineRule="atLeast"/>
        <w:ind w:left="426"/>
        <w:rPr>
          <w:rFonts w:asciiTheme="minorHAnsi" w:eastAsia="Calibri" w:hAnsiTheme="minorHAnsi" w:cstheme="minorHAnsi"/>
          <w:lang w:val="en-US"/>
        </w:rPr>
      </w:pPr>
      <w:r w:rsidRPr="0024697B">
        <w:rPr>
          <w:rFonts w:asciiTheme="minorHAnsi" w:eastAsia="Calibri" w:hAnsiTheme="minorHAnsi" w:cstheme="minorHAnsi"/>
          <w:lang w:val="en-US"/>
        </w:rPr>
        <w:t xml:space="preserve">Note: Commonwealth and state and territory agencies and bodies (including government business enterprises) are </w:t>
      </w:r>
      <w:r w:rsidR="00C163E8">
        <w:rPr>
          <w:rFonts w:asciiTheme="minorHAnsi" w:eastAsia="Calibri" w:hAnsiTheme="minorHAnsi" w:cstheme="minorHAnsi"/>
          <w:lang w:val="en-US"/>
        </w:rPr>
        <w:t xml:space="preserve">generally </w:t>
      </w:r>
      <w:r w:rsidRPr="0024697B">
        <w:rPr>
          <w:rFonts w:asciiTheme="minorHAnsi" w:eastAsia="Calibri" w:hAnsiTheme="minorHAnsi" w:cstheme="minorHAnsi"/>
          <w:lang w:val="en-US"/>
        </w:rPr>
        <w:t>not eligible to apply for NAIDOC grant funding. However, schools and correctional facilities are eligible. Commonwealth and State and Territory agencies and bodies may apply on behalf of a school or correctional facility. Community groups that may not be eligible to apply for funding are encouraged to consider partnering with an eligible organisation.</w:t>
      </w:r>
      <w:r w:rsidRPr="00870884">
        <w:rPr>
          <w:rFonts w:asciiTheme="minorHAnsi" w:eastAsia="Calibri" w:hAnsiTheme="minorHAnsi" w:cstheme="minorHAnsi"/>
          <w:lang w:val="en-US"/>
        </w:rPr>
        <w:t xml:space="preserve"> </w:t>
      </w:r>
    </w:p>
    <w:p w14:paraId="672E3A29" w14:textId="77777777" w:rsidR="00101505" w:rsidRPr="0067460D" w:rsidRDefault="00101505" w:rsidP="00FB40D1">
      <w:pPr>
        <w:pStyle w:val="Heading2"/>
        <w:numPr>
          <w:ilvl w:val="0"/>
          <w:numId w:val="6"/>
        </w:numPr>
        <w:ind w:left="426" w:hanging="426"/>
        <w:rPr>
          <w:rFonts w:eastAsia="Calibri"/>
        </w:rPr>
      </w:pPr>
      <w:r w:rsidRPr="000E26D0">
        <w:rPr>
          <w:rFonts w:eastAsia="Calibri"/>
        </w:rPr>
        <w:t>When must NAIDOC Week activities be completed by?</w:t>
      </w:r>
      <w:r w:rsidRPr="0067460D">
        <w:rPr>
          <w:rFonts w:eastAsia="Calibri"/>
        </w:rPr>
        <w:t xml:space="preserve"> </w:t>
      </w:r>
    </w:p>
    <w:p w14:paraId="737A1261" w14:textId="4824C971" w:rsidR="00101505" w:rsidRDefault="00C3128A" w:rsidP="00101505">
      <w:pPr>
        <w:spacing w:before="120" w:after="120" w:line="280" w:lineRule="atLeast"/>
        <w:ind w:left="426"/>
        <w:rPr>
          <w:rFonts w:asciiTheme="minorHAnsi" w:hAnsiTheme="minorHAnsi"/>
        </w:rPr>
      </w:pPr>
      <w:r>
        <w:t>Ideally p</w:t>
      </w:r>
      <w:r w:rsidR="00101505">
        <w:t>roject activities funded under the NAIDOC Local Grants Program should occur during the scheduled NAIDOC Week from 3</w:t>
      </w:r>
      <w:r w:rsidR="00C163E8">
        <w:rPr>
          <w:rFonts w:cs="Arial"/>
        </w:rPr>
        <w:t>–</w:t>
      </w:r>
      <w:r w:rsidR="00101505">
        <w:t xml:space="preserve">10 July 2022, or sometime during July 2022. Events must be held on or after 27 June 2022, and on or before 30 November 2022. </w:t>
      </w:r>
    </w:p>
    <w:p w14:paraId="2D200B20" w14:textId="77777777" w:rsidR="00101505" w:rsidRDefault="00101505" w:rsidP="00101505">
      <w:pPr>
        <w:spacing w:before="120" w:after="120" w:line="280" w:lineRule="atLeast"/>
        <w:ind w:left="426"/>
      </w:pPr>
      <w:r>
        <w:t>Should you be successful and unforeseen circumstances arise that mean you are unable to complete your activity on schedule, you will need to discuss this with the Community Grants Hub.</w:t>
      </w:r>
    </w:p>
    <w:p w14:paraId="3549CDBD" w14:textId="77777777" w:rsidR="00101505" w:rsidRPr="0067460D" w:rsidRDefault="00101505" w:rsidP="00FB40D1">
      <w:pPr>
        <w:pStyle w:val="Heading2"/>
        <w:numPr>
          <w:ilvl w:val="0"/>
          <w:numId w:val="6"/>
        </w:numPr>
        <w:ind w:left="426" w:hanging="426"/>
        <w:rPr>
          <w:rFonts w:eastAsia="Calibri"/>
        </w:rPr>
      </w:pPr>
      <w:r w:rsidRPr="0067460D">
        <w:rPr>
          <w:rFonts w:eastAsia="Calibri"/>
        </w:rPr>
        <w:lastRenderedPageBreak/>
        <w:t>My activity will require more than $1,000 funding. Should I still apply?</w:t>
      </w:r>
    </w:p>
    <w:p w14:paraId="6B669DEE" w14:textId="550427FE" w:rsidR="00101505" w:rsidRPr="0067460D" w:rsidRDefault="00101505" w:rsidP="00101505">
      <w:pPr>
        <w:spacing w:before="120" w:after="120" w:line="280" w:lineRule="atLeast"/>
        <w:ind w:left="426"/>
      </w:pPr>
      <w:r>
        <w:t>As outlined in the Grant Opportunity Guidelines, the majority of grants are for amounts o</w:t>
      </w:r>
      <w:r w:rsidR="00C163E8">
        <w:t xml:space="preserve">f </w:t>
      </w:r>
      <w:r w:rsidR="00C163E8">
        <w:br/>
        <w:t>$200</w:t>
      </w:r>
      <w:r>
        <w:t>–$1,000. This general guide is intended to give you an understanding of the size of most funded activities. However, as in previous years, a small number of applications</w:t>
      </w:r>
      <w:r w:rsidR="00EE3FC1">
        <w:t xml:space="preserve"> that require more funding (for example</w:t>
      </w:r>
      <w:r>
        <w:t xml:space="preserve"> $10,000 or more) may also be </w:t>
      </w:r>
      <w:r w:rsidR="001242A4">
        <w:t>considered</w:t>
      </w:r>
      <w:r>
        <w:t>.</w:t>
      </w:r>
    </w:p>
    <w:p w14:paraId="5AC59E3C" w14:textId="0B93191F" w:rsidR="00101505" w:rsidRDefault="00101505" w:rsidP="00101505">
      <w:pPr>
        <w:spacing w:before="120" w:after="120" w:line="280" w:lineRule="atLeast"/>
        <w:ind w:left="426"/>
      </w:pPr>
      <w:r>
        <w:t>These tend to be for activities that have a broader reach, including series of events. If you are seeking larger amounts of funding, you will need to provide additional detail about what you will be delivering and who will benefit from the activity or activities. To support your application, further detailed information on the budget and other organisations involved in the activity, including any financial or other support they are providing should be included.</w:t>
      </w:r>
    </w:p>
    <w:p w14:paraId="19EF7AB0" w14:textId="3178899F" w:rsidR="003E4135" w:rsidRPr="003E4135" w:rsidRDefault="003E4135" w:rsidP="00FB40D1">
      <w:pPr>
        <w:pStyle w:val="Heading2"/>
        <w:numPr>
          <w:ilvl w:val="0"/>
          <w:numId w:val="6"/>
        </w:numPr>
        <w:ind w:left="426" w:hanging="426"/>
        <w:rPr>
          <w:rFonts w:eastAsia="Calibri"/>
        </w:rPr>
      </w:pPr>
      <w:r w:rsidRPr="003E4135">
        <w:rPr>
          <w:rFonts w:eastAsia="Calibri"/>
        </w:rPr>
        <w:t xml:space="preserve">Can I </w:t>
      </w:r>
      <w:r w:rsidR="002D5A26">
        <w:rPr>
          <w:rFonts w:eastAsia="Calibri"/>
        </w:rPr>
        <w:t>make</w:t>
      </w:r>
      <w:r w:rsidRPr="003E4135">
        <w:rPr>
          <w:rFonts w:eastAsia="Calibri"/>
        </w:rPr>
        <w:t xml:space="preserve"> more than one application?</w:t>
      </w:r>
    </w:p>
    <w:p w14:paraId="2C5C6188" w14:textId="77777777" w:rsidR="00FB40D1" w:rsidRDefault="003E4135" w:rsidP="003E4135">
      <w:pPr>
        <w:spacing w:before="120" w:after="120" w:line="280" w:lineRule="atLeast"/>
        <w:ind w:left="425"/>
      </w:pPr>
      <w:r>
        <w:t>Each organisation can only make one application</w:t>
      </w:r>
      <w:r w:rsidR="002D5A26">
        <w:t xml:space="preserve"> for this grant opportunity</w:t>
      </w:r>
      <w:r>
        <w:t xml:space="preserve">. If you plan to hold multiple events or will be running events in multiple locations, please include </w:t>
      </w:r>
      <w:r w:rsidR="004B1703">
        <w:t>all proposed activities</w:t>
      </w:r>
      <w:r>
        <w:t xml:space="preserve"> in a single application form. It is recommended that you list each activity and </w:t>
      </w:r>
      <w:r w:rsidR="00AB322E">
        <w:t>its</w:t>
      </w:r>
      <w:r>
        <w:t xml:space="preserve"> costs in the Budget question on the Additional Information tab.</w:t>
      </w:r>
      <w:r w:rsidR="00F60024">
        <w:t xml:space="preserve"> </w:t>
      </w:r>
    </w:p>
    <w:p w14:paraId="2537680B" w14:textId="7C322FB0" w:rsidR="003E4135" w:rsidRDefault="00AB322E" w:rsidP="003E4135">
      <w:pPr>
        <w:spacing w:before="120" w:after="120" w:line="280" w:lineRule="atLeast"/>
        <w:ind w:left="425"/>
      </w:pPr>
      <w:r>
        <w:t>If</w:t>
      </w:r>
      <w:r w:rsidR="00F60024" w:rsidRPr="00F60024">
        <w:t xml:space="preserve"> multiple application</w:t>
      </w:r>
      <w:r w:rsidR="00F60024">
        <w:t xml:space="preserve"> forms</w:t>
      </w:r>
      <w:r w:rsidR="00F60024" w:rsidRPr="00F60024">
        <w:t xml:space="preserve"> </w:t>
      </w:r>
      <w:r>
        <w:t>are</w:t>
      </w:r>
      <w:r w:rsidRPr="00F60024">
        <w:t xml:space="preserve"> lodged </w:t>
      </w:r>
      <w:r w:rsidR="00F60024" w:rsidRPr="00F60024">
        <w:t xml:space="preserve">from </w:t>
      </w:r>
      <w:r>
        <w:t>the same</w:t>
      </w:r>
      <w:r w:rsidR="00F60024" w:rsidRPr="00F60024">
        <w:t xml:space="preserve"> organisation, the latest application will be considered. If you have </w:t>
      </w:r>
      <w:r>
        <w:t>make</w:t>
      </w:r>
      <w:r w:rsidR="00F60024" w:rsidRPr="00F60024">
        <w:t xml:space="preserve"> a submission error, please </w:t>
      </w:r>
      <w:r w:rsidR="00F60024">
        <w:t xml:space="preserve">contact the </w:t>
      </w:r>
      <w:hyperlink r:id="rId19" w:history="1">
        <w:r w:rsidR="00F60024" w:rsidRPr="00550BF9">
          <w:t>Community Grants Hub</w:t>
        </w:r>
      </w:hyperlink>
      <w:r w:rsidR="00F60024">
        <w:t xml:space="preserve"> on 1800 020 283 (option 1) or TTY 1800 555 677</w:t>
      </w:r>
      <w:r>
        <w:t xml:space="preserve"> or</w:t>
      </w:r>
      <w:r w:rsidR="00F60024">
        <w:t xml:space="preserve"> email </w:t>
      </w:r>
      <w:hyperlink r:id="rId20" w:history="1">
        <w:r w:rsidR="00F60024" w:rsidRPr="0067460D">
          <w:rPr>
            <w:rStyle w:val="Hyperlink"/>
          </w:rPr>
          <w:t>support@communitygrants.gov.au</w:t>
        </w:r>
      </w:hyperlink>
      <w:r w:rsidRPr="00AB322E">
        <w:t xml:space="preserve"> to have the matter resolved</w:t>
      </w:r>
      <w:r w:rsidR="00F60024">
        <w:t>.</w:t>
      </w:r>
    </w:p>
    <w:p w14:paraId="54E3B483" w14:textId="46F595D1" w:rsidR="00101505" w:rsidRPr="0067460D" w:rsidRDefault="00101505" w:rsidP="00FB40D1">
      <w:pPr>
        <w:pStyle w:val="Heading2"/>
        <w:numPr>
          <w:ilvl w:val="0"/>
          <w:numId w:val="6"/>
        </w:numPr>
        <w:ind w:left="426" w:hanging="426"/>
        <w:rPr>
          <w:rFonts w:eastAsia="Calibri"/>
        </w:rPr>
      </w:pPr>
      <w:r w:rsidRPr="0067460D">
        <w:rPr>
          <w:rFonts w:eastAsia="Calibri"/>
        </w:rPr>
        <w:t>What are the funding arrangements for W</w:t>
      </w:r>
      <w:r w:rsidR="00C163E8">
        <w:rPr>
          <w:rFonts w:eastAsia="Calibri"/>
        </w:rPr>
        <w:t xml:space="preserve">estern </w:t>
      </w:r>
      <w:r w:rsidRPr="0067460D">
        <w:rPr>
          <w:rFonts w:eastAsia="Calibri"/>
        </w:rPr>
        <w:t>A</w:t>
      </w:r>
      <w:r w:rsidR="00C163E8">
        <w:rPr>
          <w:rFonts w:eastAsia="Calibri"/>
        </w:rPr>
        <w:t>ustralian (WA)</w:t>
      </w:r>
      <w:r w:rsidRPr="0067460D">
        <w:rPr>
          <w:rFonts w:eastAsia="Calibri"/>
        </w:rPr>
        <w:t xml:space="preserve"> public schools when applying for a NAIDOC grant?</w:t>
      </w:r>
    </w:p>
    <w:p w14:paraId="2793E15F" w14:textId="77777777" w:rsidR="00C163E8" w:rsidRDefault="00101505" w:rsidP="00101505">
      <w:pPr>
        <w:spacing w:before="120" w:after="120" w:line="280" w:lineRule="atLeast"/>
        <w:ind w:left="426"/>
      </w:pPr>
      <w:r>
        <w:t>WA public schools are eligible to apply for and receive NAID</w:t>
      </w:r>
      <w:r w:rsidR="00C163E8">
        <w:t>OC grants. Applications from WA </w:t>
      </w:r>
      <w:r>
        <w:t xml:space="preserve">public schools will be identified and all grant agreement and financial arrangements will be made with the WA Department of Education. Schools are asked to include the central bank account details provided to them by the WA Department of Education. Schools will be advised of the outcome of their NAIDOC application and the WA Department of Education coordinate the payment of grants to individual schools. </w:t>
      </w:r>
    </w:p>
    <w:p w14:paraId="3E90E63F" w14:textId="3BE19E19" w:rsidR="00101505" w:rsidRDefault="00101505" w:rsidP="00101505">
      <w:pPr>
        <w:spacing w:before="120" w:after="120" w:line="280" w:lineRule="atLeast"/>
        <w:ind w:left="426"/>
        <w:rPr>
          <w:rFonts w:asciiTheme="minorHAnsi" w:hAnsiTheme="minorHAnsi"/>
        </w:rPr>
      </w:pPr>
      <w:r>
        <w:t>For more information on holding a NAIDOC 2022 Week</w:t>
      </w:r>
      <w:r w:rsidR="00C163E8">
        <w:t xml:space="preserve"> activity please contact the WA Department of </w:t>
      </w:r>
      <w:r>
        <w:t>Education</w:t>
      </w:r>
      <w:r w:rsidRPr="00AF2A4B">
        <w:t xml:space="preserve"> for advice</w:t>
      </w:r>
      <w:r>
        <w:t xml:space="preserve">. </w:t>
      </w:r>
      <w:r w:rsidRPr="00AF2A4B">
        <w:t xml:space="preserve">If you require assistance with the application process or online </w:t>
      </w:r>
      <w:r w:rsidR="00614B73">
        <w:t>application form</w:t>
      </w:r>
      <w:r w:rsidRPr="00AF2A4B">
        <w:t>, before the closing date and time</w:t>
      </w:r>
      <w:r>
        <w:t>,</w:t>
      </w:r>
      <w:r w:rsidRPr="00AF2A4B">
        <w:t xml:space="preserve"> please call the Community Grants Hub on 1800 020 283 (option 1), TTY 1800 555 677 or email </w:t>
      </w:r>
      <w:hyperlink r:id="rId21" w:history="1">
        <w:r w:rsidR="00C163E8" w:rsidRPr="000F74C4">
          <w:rPr>
            <w:rStyle w:val="Hyperlink"/>
          </w:rPr>
          <w:t>support@communitygrants.gov.au</w:t>
        </w:r>
      </w:hyperlink>
      <w:r w:rsidRPr="00AF2A4B">
        <w:t>.</w:t>
      </w:r>
      <w:r w:rsidRPr="00AF2A4B" w:rsidDel="00D93FDF">
        <w:t xml:space="preserve"> </w:t>
      </w:r>
    </w:p>
    <w:p w14:paraId="10FEA20D" w14:textId="77777777" w:rsidR="00101505" w:rsidRPr="0067460D" w:rsidRDefault="00101505" w:rsidP="00FB40D1">
      <w:pPr>
        <w:pStyle w:val="Heading2"/>
        <w:numPr>
          <w:ilvl w:val="0"/>
          <w:numId w:val="6"/>
        </w:numPr>
        <w:ind w:left="426" w:hanging="426"/>
        <w:rPr>
          <w:rFonts w:eastAsia="Calibri"/>
        </w:rPr>
      </w:pPr>
      <w:r w:rsidRPr="0067460D">
        <w:rPr>
          <w:rFonts w:eastAsia="Calibri"/>
        </w:rPr>
        <w:t>What are the funding arrangements for NSW public schools when applying for a NAIDOC grant?</w:t>
      </w:r>
    </w:p>
    <w:p w14:paraId="139B8FF0" w14:textId="77777777" w:rsidR="00101505" w:rsidRPr="0067460D" w:rsidRDefault="00101505" w:rsidP="00101505">
      <w:pPr>
        <w:spacing w:before="120" w:after="120" w:line="280" w:lineRule="atLeast"/>
        <w:ind w:left="426"/>
      </w:pPr>
      <w:r>
        <w:t>NSW public schools are eligible to apply for and receive NAIDOC grants. Applications from NSW public schools will be identified and individual grant agreements made with each school under their registered name.</w:t>
      </w:r>
    </w:p>
    <w:p w14:paraId="51ED9B0A" w14:textId="3B199D19" w:rsidR="00101505" w:rsidRDefault="00101505" w:rsidP="00EE3FC1">
      <w:pPr>
        <w:keepNext/>
        <w:keepLines/>
        <w:spacing w:before="120" w:after="120" w:line="280" w:lineRule="atLeast"/>
        <w:ind w:left="425"/>
      </w:pPr>
      <w:r>
        <w:lastRenderedPageBreak/>
        <w:t>Payments for successful schools will be paid into the centralised bank account managed by NSW Education. NSW government schools will provide information to schools about how individual schools will receive their payments. Schools are encouraged to submit the applications well ahead of the closing date to allow time to verify information before the round closes.</w:t>
      </w:r>
    </w:p>
    <w:p w14:paraId="60AC96C1" w14:textId="65EADE34" w:rsidR="00491705" w:rsidRDefault="00491705" w:rsidP="00101505">
      <w:pPr>
        <w:spacing w:before="120" w:after="120" w:line="280" w:lineRule="atLeast"/>
        <w:ind w:left="426"/>
      </w:pPr>
      <w:r>
        <w:t xml:space="preserve">For more information on holding a NAIDOC 2022 Week activity please contact the NSW Department of Education. </w:t>
      </w:r>
      <w:r w:rsidRPr="00AF2A4B">
        <w:t>If you require assistance with the application process or online application form, before the closing date and time</w:t>
      </w:r>
      <w:r>
        <w:t>,</w:t>
      </w:r>
      <w:r w:rsidRPr="00AF2A4B">
        <w:t xml:space="preserve"> please call the Community Grants Hub on 1800 020 283 (option 1), TTY 1800 555 677 or email </w:t>
      </w:r>
      <w:hyperlink r:id="rId22" w:history="1">
        <w:r w:rsidR="00C163E8" w:rsidRPr="000F74C4">
          <w:rPr>
            <w:rStyle w:val="Hyperlink"/>
          </w:rPr>
          <w:t>support@communitygrants.gov.au</w:t>
        </w:r>
      </w:hyperlink>
      <w:r w:rsidRPr="00AF2A4B">
        <w:t>.</w:t>
      </w:r>
    </w:p>
    <w:p w14:paraId="5979380E" w14:textId="77777777" w:rsidR="00101505" w:rsidRPr="00496141" w:rsidRDefault="00101505" w:rsidP="00FB40D1">
      <w:pPr>
        <w:pStyle w:val="Heading2"/>
        <w:numPr>
          <w:ilvl w:val="0"/>
          <w:numId w:val="6"/>
        </w:numPr>
        <w:ind w:left="426" w:hanging="426"/>
        <w:rPr>
          <w:rFonts w:eastAsia="Calibri"/>
        </w:rPr>
      </w:pPr>
      <w:r w:rsidRPr="00496141">
        <w:rPr>
          <w:rFonts w:eastAsia="Calibri"/>
        </w:rPr>
        <w:t>When will I know the outcome of my application?</w:t>
      </w:r>
    </w:p>
    <w:p w14:paraId="1A68569E" w14:textId="77777777" w:rsidR="00101505" w:rsidRDefault="00101505" w:rsidP="00101505">
      <w:pPr>
        <w:spacing w:before="120" w:after="120" w:line="280" w:lineRule="atLeast"/>
        <w:ind w:left="426"/>
        <w:rPr>
          <w:lang w:eastAsia="en-AU"/>
        </w:rPr>
      </w:pPr>
      <w:r w:rsidRPr="00496141">
        <w:rPr>
          <w:lang w:eastAsia="en-AU"/>
        </w:rPr>
        <w:t>You will be notified of the outcome of your application at the end of the selection process.</w:t>
      </w:r>
      <w:r>
        <w:rPr>
          <w:lang w:eastAsia="en-AU"/>
        </w:rPr>
        <w:t xml:space="preserve"> </w:t>
      </w:r>
      <w:r w:rsidRPr="00496141">
        <w:rPr>
          <w:lang w:eastAsia="en-AU"/>
        </w:rPr>
        <w:t>For probity reasons, to treat all applicants fairly and equally, it is not possible to give you information about the status of individual applications during the assessment process.</w:t>
      </w:r>
    </w:p>
    <w:p w14:paraId="2FCFA399" w14:textId="77777777" w:rsidR="00101505" w:rsidRPr="0024697B" w:rsidRDefault="00101505" w:rsidP="00101505">
      <w:pPr>
        <w:spacing w:before="120" w:after="120" w:line="280" w:lineRule="atLeast"/>
        <w:ind w:left="426"/>
        <w:rPr>
          <w:lang w:val="en-US" w:eastAsia="en-AU"/>
        </w:rPr>
      </w:pPr>
      <w:r w:rsidRPr="0024697B">
        <w:rPr>
          <w:lang w:val="en-US" w:eastAsia="en-AU"/>
        </w:rPr>
        <w:t>We expect to notify all applicants of the outcomes from early June 2022.</w:t>
      </w:r>
    </w:p>
    <w:p w14:paraId="4BC3E0E6" w14:textId="5F52DD74" w:rsidR="00101505" w:rsidRPr="000F29C8" w:rsidRDefault="00101505" w:rsidP="00101505">
      <w:pPr>
        <w:spacing w:before="120" w:after="120" w:line="280" w:lineRule="atLeast"/>
        <w:ind w:left="426"/>
        <w:rPr>
          <w:lang w:val="en-US" w:eastAsia="en-AU"/>
        </w:rPr>
      </w:pPr>
      <w:r w:rsidRPr="0024697B">
        <w:rPr>
          <w:lang w:val="en-US" w:eastAsia="en-AU"/>
        </w:rPr>
        <w:t xml:space="preserve">Successful organisations should have staff available from that time to accept agreements. We will have a short window to </w:t>
      </w:r>
      <w:proofErr w:type="spellStart"/>
      <w:r w:rsidRPr="0024697B">
        <w:rPr>
          <w:lang w:val="en-US" w:eastAsia="en-AU"/>
        </w:rPr>
        <w:t>finalise</w:t>
      </w:r>
      <w:proofErr w:type="spellEnd"/>
      <w:r w:rsidRPr="0024697B">
        <w:rPr>
          <w:lang w:val="en-US" w:eastAsia="en-AU"/>
        </w:rPr>
        <w:t xml:space="preserve"> agreements to get payments out to organisations in time for NAIDOC Week.</w:t>
      </w:r>
      <w:r w:rsidR="00A54CF3">
        <w:rPr>
          <w:lang w:val="en-US" w:eastAsia="en-AU"/>
        </w:rPr>
        <w:t xml:space="preserve"> </w:t>
      </w:r>
    </w:p>
    <w:p w14:paraId="44971068" w14:textId="02C1FB0D" w:rsidR="00DE1395" w:rsidRPr="0067460D" w:rsidRDefault="00101505" w:rsidP="00FB40D1">
      <w:pPr>
        <w:pStyle w:val="Heading2"/>
        <w:numPr>
          <w:ilvl w:val="0"/>
          <w:numId w:val="6"/>
        </w:numPr>
        <w:ind w:left="426" w:hanging="426"/>
        <w:rPr>
          <w:rFonts w:eastAsia="Calibri"/>
        </w:rPr>
      </w:pPr>
      <w:r>
        <w:t xml:space="preserve"> </w:t>
      </w:r>
      <w:r w:rsidR="00DE1395" w:rsidRPr="0067460D">
        <w:rPr>
          <w:rFonts w:eastAsia="Calibri"/>
        </w:rPr>
        <w:t>When will NAIDOC Week funding be available?</w:t>
      </w:r>
    </w:p>
    <w:p w14:paraId="725D31D5" w14:textId="77777777" w:rsidR="00DE1395" w:rsidRPr="0067460D" w:rsidRDefault="00DE1395" w:rsidP="00DE1395">
      <w:pPr>
        <w:spacing w:before="120" w:after="120" w:line="280" w:lineRule="atLeast"/>
        <w:ind w:left="426"/>
      </w:pPr>
      <w:r>
        <w:t xml:space="preserve">The NAIDOC local grant funding round will open on Monday, 17 January 2022 and close 9:00pm AEDT Tuesday, 22 February 2022. </w:t>
      </w:r>
    </w:p>
    <w:p w14:paraId="7C4DA03A" w14:textId="4D9B7121" w:rsidR="00DE1395" w:rsidRDefault="00DE1395" w:rsidP="00DE1395">
      <w:pPr>
        <w:spacing w:before="120" w:after="120" w:line="280" w:lineRule="atLeast"/>
        <w:ind w:left="426"/>
      </w:pPr>
      <w:r>
        <w:t xml:space="preserve">We strongly recommend you start your </w:t>
      </w:r>
      <w:r w:rsidR="00614B73">
        <w:t>application form</w:t>
      </w:r>
      <w:r>
        <w:t xml:space="preserve"> as soon as possible to allow adequate time to complete and submit your application on or before the closing date. You must submit an application between the published opening and closing dates. Late applications may not be accepted. Please note: any assistance required with applications is provided during normal office hours. </w:t>
      </w:r>
    </w:p>
    <w:p w14:paraId="4908C7FB" w14:textId="325220B3" w:rsidR="00DE1395" w:rsidRPr="0024697B" w:rsidRDefault="00A54CF3" w:rsidP="00DE1395">
      <w:pPr>
        <w:spacing w:before="120" w:after="120" w:line="280" w:lineRule="atLeast"/>
        <w:ind w:left="426"/>
      </w:pPr>
      <w:r>
        <w:t>F</w:t>
      </w:r>
      <w:r w:rsidR="00DE1395">
        <w:t xml:space="preserve">unding will be made available prior to 30 June 2022. </w:t>
      </w:r>
    </w:p>
    <w:p w14:paraId="273938C7" w14:textId="0C9BCF9E" w:rsidR="0024697B" w:rsidRPr="0067460D" w:rsidRDefault="0024697B" w:rsidP="00FB40D1">
      <w:pPr>
        <w:pStyle w:val="Heading2"/>
        <w:numPr>
          <w:ilvl w:val="0"/>
          <w:numId w:val="6"/>
        </w:numPr>
        <w:ind w:left="426" w:hanging="426"/>
        <w:rPr>
          <w:rFonts w:eastAsia="Calibri"/>
        </w:rPr>
      </w:pPr>
      <w:r w:rsidRPr="0067460D">
        <w:rPr>
          <w:rFonts w:eastAsia="Calibri"/>
        </w:rPr>
        <w:t>What if COVID-19 imp</w:t>
      </w:r>
      <w:r w:rsidR="00870884">
        <w:rPr>
          <w:rFonts w:eastAsia="Calibri"/>
        </w:rPr>
        <w:t>acts on the delivery of NAIDOC grants?</w:t>
      </w:r>
    </w:p>
    <w:p w14:paraId="5943F991" w14:textId="77777777" w:rsidR="00A75334" w:rsidRPr="00A75334" w:rsidRDefault="0024697B" w:rsidP="0067460D">
      <w:pPr>
        <w:widowControl w:val="0"/>
        <w:spacing w:before="120" w:after="120" w:line="280" w:lineRule="atLeast"/>
        <w:ind w:left="426"/>
        <w:rPr>
          <w:rFonts w:asciiTheme="minorHAnsi" w:eastAsia="Calibri" w:hAnsiTheme="minorHAnsi" w:cstheme="minorHAnsi"/>
          <w:lang w:val="en-US"/>
        </w:rPr>
      </w:pPr>
      <w:r w:rsidRPr="00A75334">
        <w:rPr>
          <w:rFonts w:asciiTheme="minorHAnsi" w:eastAsia="Calibri" w:hAnsiTheme="minorHAnsi" w:cstheme="minorHAnsi"/>
          <w:lang w:val="en-US"/>
        </w:rPr>
        <w:t>Given the changing and variable impacts of COVID-19 across Australia, activities should also be in line with relevant government advice, particularly with respect to protecting elders and those with chronic health issues. You may also wish to consider arranging an activity that can be delivered remotely. For example, participants could respond to a theme at home and share with the group online, or materials for an activity (e.g. some craft) can be delivered and the final product shared online or in a community gallery that people can visit on an individual basis.</w:t>
      </w:r>
    </w:p>
    <w:p w14:paraId="1FCA1043" w14:textId="77777777" w:rsidR="0024697B" w:rsidRPr="00A75334" w:rsidRDefault="0024697B" w:rsidP="0067460D">
      <w:pPr>
        <w:widowControl w:val="0"/>
        <w:spacing w:before="120" w:after="120" w:line="280" w:lineRule="atLeast"/>
        <w:ind w:left="426"/>
        <w:rPr>
          <w:rFonts w:asciiTheme="minorHAnsi" w:eastAsia="Calibri" w:hAnsiTheme="minorHAnsi" w:cstheme="minorHAnsi"/>
          <w:lang w:val="en-US"/>
        </w:rPr>
      </w:pPr>
      <w:r w:rsidRPr="00A75334">
        <w:rPr>
          <w:rFonts w:asciiTheme="minorHAnsi" w:eastAsia="Calibri" w:hAnsiTheme="minorHAnsi" w:cstheme="minorHAnsi"/>
          <w:lang w:val="en-US"/>
        </w:rPr>
        <w:t xml:space="preserve">If your proposed activity requires face-to-face delivery or is likely to result in a public gathering, you must include information (from your risk management plan) in your application outlining how your grant activity will ensure Australian government advice and regulations, including </w:t>
      </w:r>
      <w:r w:rsidRPr="00A75334">
        <w:rPr>
          <w:rFonts w:asciiTheme="minorHAnsi" w:eastAsia="Calibri" w:hAnsiTheme="minorHAnsi" w:cstheme="minorHAnsi"/>
          <w:lang w:val="en-US"/>
        </w:rPr>
        <w:lastRenderedPageBreak/>
        <w:t>social distancing requirements, are met to mitigate the spread of COVID-19.</w:t>
      </w:r>
    </w:p>
    <w:p w14:paraId="25DE92FD" w14:textId="7E01BCAB" w:rsidR="0024697B" w:rsidRDefault="0024697B" w:rsidP="0067460D">
      <w:pPr>
        <w:widowControl w:val="0"/>
        <w:spacing w:before="120" w:after="120" w:line="280" w:lineRule="atLeast"/>
        <w:ind w:left="426"/>
        <w:rPr>
          <w:rFonts w:asciiTheme="minorHAnsi" w:eastAsia="Calibri" w:hAnsiTheme="minorHAnsi" w:cstheme="minorHAnsi"/>
          <w:lang w:val="en-US"/>
        </w:rPr>
      </w:pPr>
      <w:r w:rsidRPr="00A75334">
        <w:rPr>
          <w:rFonts w:asciiTheme="minorHAnsi" w:eastAsia="Calibri" w:hAnsiTheme="minorHAnsi" w:cstheme="minorHAnsi"/>
          <w:lang w:val="en-US"/>
        </w:rPr>
        <w:t xml:space="preserve">In some cases, where the </w:t>
      </w:r>
      <w:r w:rsidR="002E275B">
        <w:t xml:space="preserve">National Indigenous Australians Agency (NIAA) </w:t>
      </w:r>
      <w:r w:rsidRPr="00A75334">
        <w:rPr>
          <w:rFonts w:asciiTheme="minorHAnsi" w:eastAsia="Calibri" w:hAnsiTheme="minorHAnsi" w:cstheme="minorHAnsi"/>
          <w:lang w:val="en-US"/>
        </w:rPr>
        <w:t>requires further information about how you propose to manage COVID-19 risks associated with the delivery of an activity, you may be asked to submit your COVID-19 Risk Management Plan.</w:t>
      </w:r>
    </w:p>
    <w:p w14:paraId="23AFE9C7" w14:textId="3A3A9C98" w:rsidR="00C163E8" w:rsidRPr="00F60024" w:rsidRDefault="00C163E8" w:rsidP="00F60024">
      <w:pPr>
        <w:spacing w:before="120" w:after="120" w:line="280" w:lineRule="atLeast"/>
        <w:ind w:left="426"/>
      </w:pPr>
      <w:r>
        <w:t>Should you be successful and COVID-19 impacts mean you are unable to complete your activity on schedule, you will need to discuss this with the Community Grants Hub.</w:t>
      </w:r>
    </w:p>
    <w:p w14:paraId="1229F676" w14:textId="18933C68" w:rsidR="00101505" w:rsidRPr="0067460D" w:rsidRDefault="00101505" w:rsidP="00FB40D1">
      <w:pPr>
        <w:pStyle w:val="Heading2"/>
        <w:numPr>
          <w:ilvl w:val="0"/>
          <w:numId w:val="6"/>
        </w:numPr>
        <w:ind w:left="426" w:hanging="426"/>
        <w:rPr>
          <w:rFonts w:eastAsia="Calibri"/>
        </w:rPr>
      </w:pPr>
      <w:r w:rsidRPr="0067460D">
        <w:rPr>
          <w:rFonts w:eastAsia="Calibri"/>
        </w:rPr>
        <w:t>What is the grant acquittal process for NAIDOC funded activities?</w:t>
      </w:r>
    </w:p>
    <w:p w14:paraId="6EE0B5DA" w14:textId="51E97620" w:rsidR="00101505" w:rsidRPr="00550BF9" w:rsidRDefault="00101505" w:rsidP="00101505">
      <w:pPr>
        <w:spacing w:before="120" w:after="120" w:line="280" w:lineRule="atLeast"/>
        <w:ind w:left="426"/>
        <w:rPr>
          <w:rFonts w:asciiTheme="minorHAnsi" w:hAnsiTheme="minorHAnsi"/>
        </w:rPr>
      </w:pPr>
      <w:r>
        <w:t>A grant acquittal is an important accountability measure to ensure that funds provided by the NIAA have been used i</w:t>
      </w:r>
      <w:r w:rsidR="00EE3FC1">
        <w:t>n a manner consistent with the a</w:t>
      </w:r>
      <w:r>
        <w:t>greement.</w:t>
      </w:r>
    </w:p>
    <w:p w14:paraId="3DAD53BF" w14:textId="58ACDF1C" w:rsidR="00101505" w:rsidRDefault="00101505" w:rsidP="00101505">
      <w:pPr>
        <w:spacing w:before="120" w:after="120" w:line="280" w:lineRule="atLeast"/>
        <w:ind w:left="426"/>
      </w:pPr>
      <w:r>
        <w:t xml:space="preserve">The Commonwealth may request receipts and/or a statutory declaration to account for the expenditure of </w:t>
      </w:r>
      <w:r w:rsidR="00EE3FC1">
        <w:t>the Grant at any time up to 5 years after the a</w:t>
      </w:r>
      <w:r>
        <w:t>greement completion date.</w:t>
      </w:r>
    </w:p>
    <w:p w14:paraId="333DAE85" w14:textId="77777777" w:rsidR="0024697B" w:rsidRPr="0067460D" w:rsidRDefault="0024697B" w:rsidP="00FB40D1">
      <w:pPr>
        <w:pStyle w:val="Heading2"/>
        <w:numPr>
          <w:ilvl w:val="0"/>
          <w:numId w:val="6"/>
        </w:numPr>
        <w:ind w:left="426" w:hanging="426"/>
        <w:rPr>
          <w:rFonts w:eastAsia="Calibri"/>
        </w:rPr>
      </w:pPr>
      <w:r w:rsidRPr="0067460D">
        <w:rPr>
          <w:rFonts w:eastAsia="Calibri"/>
        </w:rPr>
        <w:t>What is the role of the Community Grants Hub?</w:t>
      </w:r>
    </w:p>
    <w:p w14:paraId="605CF144" w14:textId="17323F9E" w:rsidR="00A75334" w:rsidRPr="00550BF9" w:rsidRDefault="0024697B" w:rsidP="0067460D">
      <w:pPr>
        <w:spacing w:before="120" w:after="120" w:line="280" w:lineRule="atLeast"/>
        <w:ind w:left="426"/>
      </w:pPr>
      <w:r>
        <w:t xml:space="preserve">While the NAIDOC Local Grants </w:t>
      </w:r>
      <w:r w:rsidR="006B5FAA">
        <w:t xml:space="preserve">2022 </w:t>
      </w:r>
      <w:r>
        <w:t xml:space="preserve">funding continues to be provided by </w:t>
      </w:r>
      <w:r w:rsidR="002E275B">
        <w:t>the NIAA</w:t>
      </w:r>
      <w:r>
        <w:t xml:space="preserve">, the funding process this year is being managed by the Community Grants Hub. The Hub has a shared-services arrangement to administer grants on behalf of Australian Government agencies. </w:t>
      </w:r>
    </w:p>
    <w:p w14:paraId="68A0AC72" w14:textId="77777777" w:rsidR="00A75334" w:rsidRDefault="0024697B" w:rsidP="0067460D">
      <w:pPr>
        <w:spacing w:before="120" w:after="120" w:line="280" w:lineRule="atLeast"/>
        <w:ind w:left="426"/>
      </w:pPr>
      <w:r>
        <w:t>The NIAA remains responsible for grant policy and the development of our grant programs and will share administration of this grant round with the Community Grants Hub. Assessment of NAIDOC applications for funding will continue to be undertaken by the NIAA.</w:t>
      </w:r>
    </w:p>
    <w:p w14:paraId="77047D15" w14:textId="34C498A8" w:rsidR="0024697B" w:rsidRPr="0024697B" w:rsidRDefault="0024697B" w:rsidP="0067460D">
      <w:pPr>
        <w:spacing w:before="120" w:after="120" w:line="280" w:lineRule="atLeast"/>
        <w:ind w:left="426"/>
      </w:pPr>
      <w:r>
        <w:t xml:space="preserve">For now, this means that instead of contacting </w:t>
      </w:r>
      <w:r w:rsidR="002E275B">
        <w:t xml:space="preserve">the </w:t>
      </w:r>
      <w:r>
        <w:t xml:space="preserve">NIAA for assistance with the application process, you will contact the </w:t>
      </w:r>
      <w:hyperlink r:id="rId23" w:history="1">
        <w:r w:rsidRPr="00550BF9">
          <w:t>Community Grants Hub</w:t>
        </w:r>
      </w:hyperlink>
      <w:r w:rsidR="002E275B">
        <w:t xml:space="preserve"> on 1800 020 283</w:t>
      </w:r>
      <w:r>
        <w:t xml:space="preserve"> (option 1) </w:t>
      </w:r>
      <w:r w:rsidR="0067460D">
        <w:t xml:space="preserve">or </w:t>
      </w:r>
      <w:r w:rsidR="00EE3FC1">
        <w:t>TTY 1800 555 </w:t>
      </w:r>
      <w:r>
        <w:t>677. You can also emai</w:t>
      </w:r>
      <w:r w:rsidR="0067460D">
        <w:t xml:space="preserve">l </w:t>
      </w:r>
      <w:hyperlink r:id="rId24" w:history="1">
        <w:r w:rsidR="0067460D" w:rsidRPr="0067460D">
          <w:rPr>
            <w:rStyle w:val="Hyperlink"/>
          </w:rPr>
          <w:t>support@communitygrants.gov.au</w:t>
        </w:r>
      </w:hyperlink>
      <w:r>
        <w:t xml:space="preserve">. The Community Grants Hub will work with </w:t>
      </w:r>
      <w:r w:rsidR="002E275B">
        <w:t xml:space="preserve">the </w:t>
      </w:r>
      <w:r>
        <w:t xml:space="preserve">NIAA on responses to your queries. </w:t>
      </w:r>
    </w:p>
    <w:p w14:paraId="023F8F82" w14:textId="77777777" w:rsidR="00550BF9" w:rsidRPr="0067460D" w:rsidRDefault="00550BF9" w:rsidP="00FB40D1">
      <w:pPr>
        <w:pStyle w:val="Heading2"/>
        <w:numPr>
          <w:ilvl w:val="0"/>
          <w:numId w:val="6"/>
        </w:numPr>
        <w:ind w:left="426" w:hanging="426"/>
        <w:rPr>
          <w:rFonts w:eastAsia="Calibri"/>
        </w:rPr>
      </w:pPr>
      <w:r w:rsidRPr="0067460D">
        <w:rPr>
          <w:rFonts w:eastAsia="Calibri"/>
        </w:rPr>
        <w:t xml:space="preserve">Why is the NAIDOC Local Grants </w:t>
      </w:r>
      <w:r w:rsidR="006B5FAA">
        <w:rPr>
          <w:rFonts w:eastAsia="Calibri"/>
        </w:rPr>
        <w:t>2022 r</w:t>
      </w:r>
      <w:r w:rsidRPr="0067460D">
        <w:rPr>
          <w:rFonts w:eastAsia="Calibri"/>
        </w:rPr>
        <w:t>ound being administered by the Community Grants Hub?</w:t>
      </w:r>
    </w:p>
    <w:p w14:paraId="5B7131E3" w14:textId="1F751A5C" w:rsidR="0067460D" w:rsidRPr="00550BF9" w:rsidRDefault="002E275B" w:rsidP="0067460D">
      <w:pPr>
        <w:spacing w:before="120" w:after="120" w:line="280" w:lineRule="atLeast"/>
        <w:ind w:left="426"/>
      </w:pPr>
      <w:r>
        <w:t xml:space="preserve">The </w:t>
      </w:r>
      <w:r w:rsidR="006B5FAA">
        <w:t>NIAA</w:t>
      </w:r>
      <w:r w:rsidR="00550BF9">
        <w:t xml:space="preserve"> is slowly transitioning some elements of grant administration to the Community Grants Hub under the Governments Streamlining Government Grants Administration program. This is expected to allow grant applicants to experience more uniform and simpler processes to make things easier when applying for Australian Government Grants and be consistent with the requirements of the </w:t>
      </w:r>
      <w:hyperlink r:id="rId25" w:history="1">
        <w:r w:rsidR="00550BF9" w:rsidRPr="0067460D">
          <w:rPr>
            <w:rStyle w:val="Hyperlink"/>
          </w:rPr>
          <w:t>Commonwealth Grants Rules and Guidelines 2017</w:t>
        </w:r>
      </w:hyperlink>
      <w:r w:rsidR="0067460D">
        <w:t>.</w:t>
      </w:r>
    </w:p>
    <w:p w14:paraId="12E6F2CA" w14:textId="77777777" w:rsidR="00E94149" w:rsidRPr="0067460D" w:rsidRDefault="00E94149" w:rsidP="00FB40D1">
      <w:pPr>
        <w:pStyle w:val="Heading2"/>
        <w:numPr>
          <w:ilvl w:val="0"/>
          <w:numId w:val="6"/>
        </w:numPr>
        <w:ind w:left="426" w:hanging="426"/>
        <w:rPr>
          <w:rFonts w:eastAsia="Calibri"/>
        </w:rPr>
      </w:pPr>
      <w:r w:rsidRPr="00A75334">
        <w:rPr>
          <w:rFonts w:eastAsia="Calibri"/>
        </w:rPr>
        <w:t>Where</w:t>
      </w:r>
      <w:r w:rsidRPr="00496141">
        <w:rPr>
          <w:rFonts w:eastAsia="Calibri"/>
        </w:rPr>
        <w:t xml:space="preserve"> should I go for further information?</w:t>
      </w:r>
      <w:r>
        <w:rPr>
          <w:rFonts w:eastAsia="Calibri"/>
        </w:rPr>
        <w:t xml:space="preserve"> </w:t>
      </w:r>
    </w:p>
    <w:p w14:paraId="40FCFAB0" w14:textId="77777777" w:rsidR="006B5FAA" w:rsidRDefault="006B5FAA" w:rsidP="006B5FAA">
      <w:pPr>
        <w:spacing w:before="120" w:after="120" w:line="280" w:lineRule="atLeast"/>
        <w:ind w:left="426"/>
        <w:rPr>
          <w:lang w:eastAsia="en-AU"/>
        </w:rPr>
      </w:pPr>
      <w:r>
        <w:t>More information about this grant can be found in the Grant Opportunity Guidelines. If you</w:t>
      </w:r>
      <w:r>
        <w:rPr>
          <w:lang w:eastAsia="en-AU"/>
        </w:rPr>
        <w:t xml:space="preserve"> have any questions during the application period, please contact the Community Grants Hub on 1800 020 283 (option 1) or email </w:t>
      </w:r>
      <w:hyperlink r:id="rId26" w:history="1">
        <w:r>
          <w:rPr>
            <w:rStyle w:val="Hyperlink"/>
            <w:lang w:eastAsia="en-AU"/>
          </w:rPr>
          <w:t>support@communitygrants.gov.au</w:t>
        </w:r>
      </w:hyperlink>
      <w:r>
        <w:rPr>
          <w:lang w:eastAsia="en-AU"/>
        </w:rPr>
        <w:t>.</w:t>
      </w:r>
    </w:p>
    <w:p w14:paraId="135B8FA7" w14:textId="5BB145D8" w:rsidR="0059000C" w:rsidRDefault="006B5FAA" w:rsidP="00EE3FC1">
      <w:pPr>
        <w:spacing w:before="120" w:after="120" w:line="280" w:lineRule="atLeast"/>
        <w:ind w:left="425"/>
      </w:pPr>
      <w:r>
        <w:t>The Community Grants Hub will respond to emailed questions within 5 working days.</w:t>
      </w:r>
    </w:p>
    <w:p w14:paraId="22FC42FB" w14:textId="2617A34E" w:rsidR="00E268DD" w:rsidRDefault="00E268DD" w:rsidP="00E268DD">
      <w:pPr>
        <w:pStyle w:val="Heading2"/>
        <w:rPr>
          <w:rFonts w:eastAsia="Calibri"/>
        </w:rPr>
      </w:pPr>
      <w:r>
        <w:rPr>
          <w:rFonts w:eastAsia="Calibri"/>
        </w:rPr>
        <w:lastRenderedPageBreak/>
        <w:t>Question and Answer added 19 January 2022</w:t>
      </w:r>
    </w:p>
    <w:p w14:paraId="6D042931" w14:textId="0EC7D327" w:rsidR="00D24025" w:rsidRPr="00E268DD" w:rsidRDefault="00D24025" w:rsidP="00E268DD">
      <w:pPr>
        <w:pStyle w:val="Heading2"/>
        <w:numPr>
          <w:ilvl w:val="0"/>
          <w:numId w:val="6"/>
        </w:numPr>
        <w:ind w:left="426" w:hanging="426"/>
        <w:rPr>
          <w:rFonts w:eastAsia="Calibri"/>
        </w:rPr>
      </w:pPr>
      <w:r w:rsidRPr="00E268DD">
        <w:rPr>
          <w:rFonts w:eastAsia="Calibri"/>
        </w:rPr>
        <w:t>Are approved Kindergarten Programs in QLD childcare centres eligible to apply, or are they simply primary schools who are eligible?</w:t>
      </w:r>
    </w:p>
    <w:p w14:paraId="337555E0" w14:textId="25E4BCD6" w:rsidR="00D24025" w:rsidRPr="00E268DD" w:rsidRDefault="00D24025" w:rsidP="00E268DD">
      <w:pPr>
        <w:spacing w:before="120" w:after="120" w:line="280" w:lineRule="atLeast"/>
        <w:ind w:left="426"/>
      </w:pPr>
      <w:r w:rsidRPr="00E268DD">
        <w:t xml:space="preserve">Yes, Kindergarten Programs in QLD childcare centres are eligible to apply. Kindergartens and preschools are classed as schools for the purposes of the NAIDOC Local Grants Program. </w:t>
      </w:r>
    </w:p>
    <w:p w14:paraId="3AD1616F" w14:textId="77777777" w:rsidR="00D24025" w:rsidRPr="00CC1B7B" w:rsidRDefault="00D24025" w:rsidP="00EE3FC1">
      <w:pPr>
        <w:spacing w:before="120" w:after="120" w:line="280" w:lineRule="atLeast"/>
        <w:ind w:left="425"/>
      </w:pPr>
      <w:bookmarkStart w:id="0" w:name="_GoBack"/>
      <w:bookmarkEnd w:id="0"/>
    </w:p>
    <w:sectPr w:rsidR="00D24025" w:rsidRPr="00CC1B7B" w:rsidSect="00105397">
      <w:headerReference w:type="default" r:id="rId27"/>
      <w:footerReference w:type="default" r:id="rId28"/>
      <w:headerReference w:type="first" r:id="rId29"/>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F604" w14:textId="77777777" w:rsidR="0089186A" w:rsidRDefault="0089186A" w:rsidP="00772718">
      <w:r>
        <w:separator/>
      </w:r>
    </w:p>
  </w:endnote>
  <w:endnote w:type="continuationSeparator" w:id="0">
    <w:p w14:paraId="3D489959" w14:textId="77777777" w:rsidR="0089186A" w:rsidRDefault="0089186A" w:rsidP="00772718">
      <w:r>
        <w:continuationSeparator/>
      </w:r>
    </w:p>
  </w:endnote>
  <w:endnote w:type="continuationNotice" w:id="1">
    <w:p w14:paraId="6218A478" w14:textId="77777777" w:rsidR="00BF48A8" w:rsidRDefault="00BF4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A5BE" w14:textId="77777777" w:rsidR="0089186A" w:rsidRDefault="0089186A" w:rsidP="00207788">
    <w:pPr>
      <w:pStyle w:val="Footer"/>
    </w:pPr>
    <w:r>
      <w:rPr>
        <w:noProof/>
        <w:lang w:eastAsia="en-AU"/>
      </w:rPr>
      <mc:AlternateContent>
        <mc:Choice Requires="wps">
          <w:drawing>
            <wp:anchor distT="0" distB="0" distL="114300" distR="114300" simplePos="0" relativeHeight="251658241" behindDoc="0" locked="1" layoutInCell="1" allowOverlap="1" wp14:anchorId="408D748D" wp14:editId="0DBD2642">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7BF30" id="Straight Connector 80" o:spid="_x0000_s1026" alt="Title: Graphic Element - Description: Line"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EC684" w14:textId="77777777" w:rsidR="0089186A" w:rsidRDefault="0089186A" w:rsidP="00772718">
      <w:r>
        <w:separator/>
      </w:r>
    </w:p>
  </w:footnote>
  <w:footnote w:type="continuationSeparator" w:id="0">
    <w:p w14:paraId="3CB40E38" w14:textId="77777777" w:rsidR="0089186A" w:rsidRDefault="0089186A" w:rsidP="00772718">
      <w:r>
        <w:continuationSeparator/>
      </w:r>
    </w:p>
  </w:footnote>
  <w:footnote w:type="continuationNotice" w:id="1">
    <w:p w14:paraId="1CA52023" w14:textId="77777777" w:rsidR="00BF48A8" w:rsidRDefault="00BF48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6D14" w14:textId="77777777" w:rsidR="0089186A" w:rsidRDefault="0089186A">
    <w:pPr>
      <w:pStyle w:val="Header"/>
    </w:pPr>
    <w:r>
      <w:rPr>
        <w:noProof/>
        <w:lang w:eastAsia="en-AU"/>
      </w:rPr>
      <mc:AlternateContent>
        <mc:Choice Requires="wps">
          <w:drawing>
            <wp:anchor distT="0" distB="0" distL="114300" distR="114300" simplePos="0" relativeHeight="251658240" behindDoc="0" locked="1" layoutInCell="1" allowOverlap="1" wp14:anchorId="358678BE" wp14:editId="02D2CE9E">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63FD94" id="Straight Connector 79" o:spid="_x0000_s1026" alt="Title: Graphic Element - Description: Line&#10;"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8246" behindDoc="0" locked="1" layoutInCell="1" allowOverlap="1" wp14:anchorId="6C4D42B6" wp14:editId="6B052C9D">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3EAF" w14:textId="77777777" w:rsidR="0089186A" w:rsidRDefault="0089186A">
    <w:pPr>
      <w:pStyle w:val="Header"/>
    </w:pPr>
    <w:r>
      <w:rPr>
        <w:noProof/>
        <w:lang w:eastAsia="en-AU"/>
      </w:rPr>
      <w:drawing>
        <wp:anchor distT="0" distB="0" distL="114300" distR="114300" simplePos="0" relativeHeight="251658245" behindDoc="0" locked="1" layoutInCell="1" allowOverlap="1" wp14:anchorId="2C716E12" wp14:editId="169875F1">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4" behindDoc="0" locked="1" layoutInCell="1" allowOverlap="1" wp14:anchorId="71F16A60" wp14:editId="558ADE2F">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122B76"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5824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8242" behindDoc="0" locked="1" layoutInCell="1" allowOverlap="1" wp14:anchorId="4B7A8DE9" wp14:editId="37A2FF8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BE4AF" id="Straight Connector 1" o:spid="_x0000_s1026" alt="Title: Graphic Element - Description: Line&#10;"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3" behindDoc="0" locked="1" layoutInCell="1" allowOverlap="1" wp14:anchorId="0330EC3B" wp14:editId="06E34A49">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A62A5" id="Straight Connector 2" o:spid="_x0000_s1026" alt="Title: Graphic Element - Description: Line"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B335803"/>
    <w:multiLevelType w:val="hybridMultilevel"/>
    <w:tmpl w:val="51EEA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74512"/>
    <w:multiLevelType w:val="hybridMultilevel"/>
    <w:tmpl w:val="6AF845D2"/>
    <w:lvl w:ilvl="0" w:tplc="7EA0248C">
      <w:start w:val="1"/>
      <w:numFmt w:val="decimal"/>
      <w:lvlText w:val="%1."/>
      <w:lvlJc w:val="left"/>
      <w:pPr>
        <w:ind w:left="785" w:hanging="360"/>
      </w:pPr>
      <w:rPr>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B7A2E5C"/>
    <w:multiLevelType w:val="hybridMultilevel"/>
    <w:tmpl w:val="E0689B54"/>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4FC3056"/>
    <w:multiLevelType w:val="hybridMultilevel"/>
    <w:tmpl w:val="4392B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6563492"/>
    <w:multiLevelType w:val="hybridMultilevel"/>
    <w:tmpl w:val="145089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4"/>
  </w:num>
  <w:num w:numId="3">
    <w:abstractNumId w:val="6"/>
  </w:num>
  <w:num w:numId="4">
    <w:abstractNumId w:val="11"/>
  </w:num>
  <w:num w:numId="5">
    <w:abstractNumId w:val="9"/>
  </w:num>
  <w:num w:numId="6">
    <w:abstractNumId w:val="5"/>
  </w:num>
  <w:num w:numId="7">
    <w:abstractNumId w:val="3"/>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7"/>
  </w:num>
  <w:num w:numId="13">
    <w:abstractNumId w:val="2"/>
  </w:num>
  <w:num w:numId="14">
    <w:abstractNumId w:val="12"/>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57321"/>
    <w:rsid w:val="000B378A"/>
    <w:rsid w:val="000B6C00"/>
    <w:rsid w:val="000B71F8"/>
    <w:rsid w:val="000C1F06"/>
    <w:rsid w:val="000E26D0"/>
    <w:rsid w:val="000E5B0E"/>
    <w:rsid w:val="000E6B5E"/>
    <w:rsid w:val="000F1DD1"/>
    <w:rsid w:val="000F28B8"/>
    <w:rsid w:val="000F29C8"/>
    <w:rsid w:val="000F3766"/>
    <w:rsid w:val="00101505"/>
    <w:rsid w:val="00105397"/>
    <w:rsid w:val="00106FC4"/>
    <w:rsid w:val="00111F0C"/>
    <w:rsid w:val="001242A4"/>
    <w:rsid w:val="00145E2D"/>
    <w:rsid w:val="0016612C"/>
    <w:rsid w:val="001763D4"/>
    <w:rsid w:val="00177068"/>
    <w:rsid w:val="00181433"/>
    <w:rsid w:val="001834DD"/>
    <w:rsid w:val="001A539A"/>
    <w:rsid w:val="001B20FB"/>
    <w:rsid w:val="001C096E"/>
    <w:rsid w:val="001C53CE"/>
    <w:rsid w:val="001C5D96"/>
    <w:rsid w:val="001D341B"/>
    <w:rsid w:val="001E3D2B"/>
    <w:rsid w:val="001E66CE"/>
    <w:rsid w:val="00207788"/>
    <w:rsid w:val="00221DC2"/>
    <w:rsid w:val="002251F3"/>
    <w:rsid w:val="00244B48"/>
    <w:rsid w:val="0024697B"/>
    <w:rsid w:val="002573D5"/>
    <w:rsid w:val="00264E26"/>
    <w:rsid w:val="00265580"/>
    <w:rsid w:val="00280E74"/>
    <w:rsid w:val="002A41E1"/>
    <w:rsid w:val="002B6574"/>
    <w:rsid w:val="002D4D48"/>
    <w:rsid w:val="002D5A26"/>
    <w:rsid w:val="002E21D2"/>
    <w:rsid w:val="002E275B"/>
    <w:rsid w:val="002F7D3C"/>
    <w:rsid w:val="00305720"/>
    <w:rsid w:val="003131AB"/>
    <w:rsid w:val="003217BE"/>
    <w:rsid w:val="00355677"/>
    <w:rsid w:val="00360FA2"/>
    <w:rsid w:val="00383802"/>
    <w:rsid w:val="003D0647"/>
    <w:rsid w:val="003D1265"/>
    <w:rsid w:val="003D3B1D"/>
    <w:rsid w:val="003D5DBE"/>
    <w:rsid w:val="003E4135"/>
    <w:rsid w:val="00404841"/>
    <w:rsid w:val="00412059"/>
    <w:rsid w:val="0041496C"/>
    <w:rsid w:val="00425633"/>
    <w:rsid w:val="00441E79"/>
    <w:rsid w:val="00450486"/>
    <w:rsid w:val="004537DC"/>
    <w:rsid w:val="004709E9"/>
    <w:rsid w:val="00483A58"/>
    <w:rsid w:val="00486155"/>
    <w:rsid w:val="00491705"/>
    <w:rsid w:val="004924DA"/>
    <w:rsid w:val="004B1703"/>
    <w:rsid w:val="004D700E"/>
    <w:rsid w:val="004D7F17"/>
    <w:rsid w:val="004E0670"/>
    <w:rsid w:val="004E7F37"/>
    <w:rsid w:val="004F31BA"/>
    <w:rsid w:val="0051299F"/>
    <w:rsid w:val="00516672"/>
    <w:rsid w:val="00526B85"/>
    <w:rsid w:val="005306A1"/>
    <w:rsid w:val="005467AC"/>
    <w:rsid w:val="00550BF9"/>
    <w:rsid w:val="0059000C"/>
    <w:rsid w:val="005A02A1"/>
    <w:rsid w:val="005A0CA3"/>
    <w:rsid w:val="005D5B5B"/>
    <w:rsid w:val="005D6D33"/>
    <w:rsid w:val="005D7A24"/>
    <w:rsid w:val="00614B73"/>
    <w:rsid w:val="00616EBA"/>
    <w:rsid w:val="00632C08"/>
    <w:rsid w:val="006468F4"/>
    <w:rsid w:val="00654C42"/>
    <w:rsid w:val="0067074A"/>
    <w:rsid w:val="00672994"/>
    <w:rsid w:val="0067460D"/>
    <w:rsid w:val="006B5FAA"/>
    <w:rsid w:val="006C15C5"/>
    <w:rsid w:val="00736A76"/>
    <w:rsid w:val="00752C6B"/>
    <w:rsid w:val="00760CE6"/>
    <w:rsid w:val="00765764"/>
    <w:rsid w:val="007719C9"/>
    <w:rsid w:val="00772718"/>
    <w:rsid w:val="0078262C"/>
    <w:rsid w:val="007D30A8"/>
    <w:rsid w:val="007D7536"/>
    <w:rsid w:val="007E41F4"/>
    <w:rsid w:val="007F2480"/>
    <w:rsid w:val="007F6B85"/>
    <w:rsid w:val="00814FB1"/>
    <w:rsid w:val="00820F20"/>
    <w:rsid w:val="0082528A"/>
    <w:rsid w:val="00825754"/>
    <w:rsid w:val="00835210"/>
    <w:rsid w:val="00844C2D"/>
    <w:rsid w:val="00852DD2"/>
    <w:rsid w:val="00870884"/>
    <w:rsid w:val="0087438E"/>
    <w:rsid w:val="00884668"/>
    <w:rsid w:val="0089186A"/>
    <w:rsid w:val="008B2B46"/>
    <w:rsid w:val="008B2C58"/>
    <w:rsid w:val="008F50D4"/>
    <w:rsid w:val="00904ABF"/>
    <w:rsid w:val="00910884"/>
    <w:rsid w:val="00917FC9"/>
    <w:rsid w:val="00921840"/>
    <w:rsid w:val="009331B4"/>
    <w:rsid w:val="009345F1"/>
    <w:rsid w:val="00944BBB"/>
    <w:rsid w:val="009547B6"/>
    <w:rsid w:val="00961072"/>
    <w:rsid w:val="00982554"/>
    <w:rsid w:val="009A7AA2"/>
    <w:rsid w:val="009D405C"/>
    <w:rsid w:val="009E5E52"/>
    <w:rsid w:val="009E70B8"/>
    <w:rsid w:val="009E750F"/>
    <w:rsid w:val="009F49A7"/>
    <w:rsid w:val="009F58CE"/>
    <w:rsid w:val="00A04D96"/>
    <w:rsid w:val="00A0629B"/>
    <w:rsid w:val="00A14495"/>
    <w:rsid w:val="00A16BE1"/>
    <w:rsid w:val="00A247FD"/>
    <w:rsid w:val="00A24AAF"/>
    <w:rsid w:val="00A27C29"/>
    <w:rsid w:val="00A35F7C"/>
    <w:rsid w:val="00A454BF"/>
    <w:rsid w:val="00A52E3A"/>
    <w:rsid w:val="00A54CF3"/>
    <w:rsid w:val="00A67CEF"/>
    <w:rsid w:val="00A75334"/>
    <w:rsid w:val="00A814CB"/>
    <w:rsid w:val="00A90D1B"/>
    <w:rsid w:val="00AB322E"/>
    <w:rsid w:val="00AF2A4B"/>
    <w:rsid w:val="00AF55F8"/>
    <w:rsid w:val="00B10ABA"/>
    <w:rsid w:val="00B420D4"/>
    <w:rsid w:val="00B51F28"/>
    <w:rsid w:val="00B57910"/>
    <w:rsid w:val="00B7600D"/>
    <w:rsid w:val="00BA6686"/>
    <w:rsid w:val="00BB1C50"/>
    <w:rsid w:val="00BC093A"/>
    <w:rsid w:val="00BC4ACC"/>
    <w:rsid w:val="00BC4FCC"/>
    <w:rsid w:val="00BD02F8"/>
    <w:rsid w:val="00BF48A8"/>
    <w:rsid w:val="00C12E71"/>
    <w:rsid w:val="00C163E8"/>
    <w:rsid w:val="00C217A8"/>
    <w:rsid w:val="00C3128A"/>
    <w:rsid w:val="00C4188F"/>
    <w:rsid w:val="00C819A4"/>
    <w:rsid w:val="00C82A1B"/>
    <w:rsid w:val="00C82E6F"/>
    <w:rsid w:val="00C84EA8"/>
    <w:rsid w:val="00C918A2"/>
    <w:rsid w:val="00C92998"/>
    <w:rsid w:val="00CA6388"/>
    <w:rsid w:val="00CA720A"/>
    <w:rsid w:val="00CC1B7B"/>
    <w:rsid w:val="00CD38EE"/>
    <w:rsid w:val="00CD5925"/>
    <w:rsid w:val="00CE557A"/>
    <w:rsid w:val="00CF198B"/>
    <w:rsid w:val="00D031B2"/>
    <w:rsid w:val="00D1410C"/>
    <w:rsid w:val="00D24025"/>
    <w:rsid w:val="00D31029"/>
    <w:rsid w:val="00D40D16"/>
    <w:rsid w:val="00D42E0E"/>
    <w:rsid w:val="00D548F0"/>
    <w:rsid w:val="00D57F79"/>
    <w:rsid w:val="00D64FAC"/>
    <w:rsid w:val="00D65704"/>
    <w:rsid w:val="00D668F6"/>
    <w:rsid w:val="00D84875"/>
    <w:rsid w:val="00D86469"/>
    <w:rsid w:val="00D904F0"/>
    <w:rsid w:val="00D91378"/>
    <w:rsid w:val="00D91B18"/>
    <w:rsid w:val="00D93FDF"/>
    <w:rsid w:val="00DC0747"/>
    <w:rsid w:val="00DC2647"/>
    <w:rsid w:val="00DD1408"/>
    <w:rsid w:val="00DD356D"/>
    <w:rsid w:val="00DD6735"/>
    <w:rsid w:val="00DE1395"/>
    <w:rsid w:val="00DF0607"/>
    <w:rsid w:val="00DF136A"/>
    <w:rsid w:val="00E0448C"/>
    <w:rsid w:val="00E13525"/>
    <w:rsid w:val="00E268DD"/>
    <w:rsid w:val="00E47250"/>
    <w:rsid w:val="00E61535"/>
    <w:rsid w:val="00E84012"/>
    <w:rsid w:val="00E9373C"/>
    <w:rsid w:val="00E94149"/>
    <w:rsid w:val="00EA0724"/>
    <w:rsid w:val="00EA6251"/>
    <w:rsid w:val="00EB6414"/>
    <w:rsid w:val="00ED2672"/>
    <w:rsid w:val="00EE3FC1"/>
    <w:rsid w:val="00EE5747"/>
    <w:rsid w:val="00EF3804"/>
    <w:rsid w:val="00EF5E05"/>
    <w:rsid w:val="00F227AF"/>
    <w:rsid w:val="00F27370"/>
    <w:rsid w:val="00F5341C"/>
    <w:rsid w:val="00F56954"/>
    <w:rsid w:val="00F60024"/>
    <w:rsid w:val="00F64B48"/>
    <w:rsid w:val="00F66049"/>
    <w:rsid w:val="00F948AF"/>
    <w:rsid w:val="00FA5A7B"/>
    <w:rsid w:val="00FA5D07"/>
    <w:rsid w:val="00FB11B1"/>
    <w:rsid w:val="00FB40D1"/>
    <w:rsid w:val="00FC0935"/>
    <w:rsid w:val="00FE00E8"/>
    <w:rsid w:val="00FF0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3E0499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1"/>
    <w:qFormat/>
    <w:rsid w:val="000E26D0"/>
    <w:pPr>
      <w:ind w:left="720"/>
      <w:contextualSpacing/>
    </w:pPr>
  </w:style>
  <w:style w:type="character" w:styleId="FootnoteReference">
    <w:name w:val="footnote reference"/>
    <w:basedOn w:val="DefaultParagraphFont"/>
    <w:uiPriority w:val="99"/>
    <w:semiHidden/>
    <w:unhideWhenUsed/>
    <w:rsid w:val="0024697B"/>
    <w:rPr>
      <w:rFonts w:ascii="Times New Roman" w:hAnsi="Times New Roman" w:cs="Times New Roman" w:hint="default"/>
      <w:vertAlign w:val="superscript"/>
    </w:rPr>
  </w:style>
  <w:style w:type="character" w:styleId="FollowedHyperlink">
    <w:name w:val="FollowedHyperlink"/>
    <w:basedOn w:val="DefaultParagraphFont"/>
    <w:uiPriority w:val="99"/>
    <w:semiHidden/>
    <w:unhideWhenUsed/>
    <w:rsid w:val="0087088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70884"/>
    <w:rPr>
      <w:b/>
      <w:bCs/>
    </w:rPr>
  </w:style>
  <w:style w:type="character" w:customStyle="1" w:styleId="CommentSubjectChar">
    <w:name w:val="Comment Subject Char"/>
    <w:basedOn w:val="CommentTextChar"/>
    <w:link w:val="CommentSubject"/>
    <w:uiPriority w:val="99"/>
    <w:semiHidden/>
    <w:rsid w:val="00870884"/>
    <w:rPr>
      <w:rFonts w:ascii="Arial" w:hAnsi="Arial"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5868">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7447757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53393952">
      <w:bodyDiv w:val="1"/>
      <w:marLeft w:val="0"/>
      <w:marRight w:val="0"/>
      <w:marTop w:val="0"/>
      <w:marBottom w:val="0"/>
      <w:divBdr>
        <w:top w:val="none" w:sz="0" w:space="0" w:color="auto"/>
        <w:left w:val="none" w:sz="0" w:space="0" w:color="auto"/>
        <w:bottom w:val="none" w:sz="0" w:space="0" w:color="auto"/>
        <w:right w:val="none" w:sz="0" w:space="0" w:color="auto"/>
      </w:divBdr>
    </w:div>
    <w:div w:id="391466265">
      <w:bodyDiv w:val="1"/>
      <w:marLeft w:val="0"/>
      <w:marRight w:val="0"/>
      <w:marTop w:val="0"/>
      <w:marBottom w:val="0"/>
      <w:divBdr>
        <w:top w:val="none" w:sz="0" w:space="0" w:color="auto"/>
        <w:left w:val="none" w:sz="0" w:space="0" w:color="auto"/>
        <w:bottom w:val="none" w:sz="0" w:space="0" w:color="auto"/>
        <w:right w:val="none" w:sz="0" w:space="0" w:color="auto"/>
      </w:divBdr>
    </w:div>
    <w:div w:id="459107438">
      <w:bodyDiv w:val="1"/>
      <w:marLeft w:val="0"/>
      <w:marRight w:val="0"/>
      <w:marTop w:val="0"/>
      <w:marBottom w:val="0"/>
      <w:divBdr>
        <w:top w:val="none" w:sz="0" w:space="0" w:color="auto"/>
        <w:left w:val="none" w:sz="0" w:space="0" w:color="auto"/>
        <w:bottom w:val="none" w:sz="0" w:space="0" w:color="auto"/>
        <w:right w:val="none" w:sz="0" w:space="0" w:color="auto"/>
      </w:divBdr>
    </w:div>
    <w:div w:id="841355448">
      <w:bodyDiv w:val="1"/>
      <w:marLeft w:val="0"/>
      <w:marRight w:val="0"/>
      <w:marTop w:val="0"/>
      <w:marBottom w:val="0"/>
      <w:divBdr>
        <w:top w:val="none" w:sz="0" w:space="0" w:color="auto"/>
        <w:left w:val="none" w:sz="0" w:space="0" w:color="auto"/>
        <w:bottom w:val="none" w:sz="0" w:space="0" w:color="auto"/>
        <w:right w:val="none" w:sz="0" w:space="0" w:color="auto"/>
      </w:divBdr>
    </w:div>
    <w:div w:id="858081003">
      <w:bodyDiv w:val="1"/>
      <w:marLeft w:val="0"/>
      <w:marRight w:val="0"/>
      <w:marTop w:val="0"/>
      <w:marBottom w:val="0"/>
      <w:divBdr>
        <w:top w:val="none" w:sz="0" w:space="0" w:color="auto"/>
        <w:left w:val="none" w:sz="0" w:space="0" w:color="auto"/>
        <w:bottom w:val="none" w:sz="0" w:space="0" w:color="auto"/>
        <w:right w:val="none" w:sz="0" w:space="0" w:color="auto"/>
      </w:divBdr>
    </w:div>
    <w:div w:id="862939276">
      <w:bodyDiv w:val="1"/>
      <w:marLeft w:val="0"/>
      <w:marRight w:val="0"/>
      <w:marTop w:val="0"/>
      <w:marBottom w:val="0"/>
      <w:divBdr>
        <w:top w:val="none" w:sz="0" w:space="0" w:color="auto"/>
        <w:left w:val="none" w:sz="0" w:space="0" w:color="auto"/>
        <w:bottom w:val="none" w:sz="0" w:space="0" w:color="auto"/>
        <w:right w:val="none" w:sz="0" w:space="0" w:color="auto"/>
      </w:divBdr>
    </w:div>
    <w:div w:id="898978559">
      <w:bodyDiv w:val="1"/>
      <w:marLeft w:val="0"/>
      <w:marRight w:val="0"/>
      <w:marTop w:val="0"/>
      <w:marBottom w:val="0"/>
      <w:divBdr>
        <w:top w:val="none" w:sz="0" w:space="0" w:color="auto"/>
        <w:left w:val="none" w:sz="0" w:space="0" w:color="auto"/>
        <w:bottom w:val="none" w:sz="0" w:space="0" w:color="auto"/>
        <w:right w:val="none" w:sz="0" w:space="0" w:color="auto"/>
      </w:divBdr>
    </w:div>
    <w:div w:id="924730137">
      <w:bodyDiv w:val="1"/>
      <w:marLeft w:val="0"/>
      <w:marRight w:val="0"/>
      <w:marTop w:val="0"/>
      <w:marBottom w:val="0"/>
      <w:divBdr>
        <w:top w:val="none" w:sz="0" w:space="0" w:color="auto"/>
        <w:left w:val="none" w:sz="0" w:space="0" w:color="auto"/>
        <w:bottom w:val="none" w:sz="0" w:space="0" w:color="auto"/>
        <w:right w:val="none" w:sz="0" w:space="0" w:color="auto"/>
      </w:divBdr>
    </w:div>
    <w:div w:id="944919050">
      <w:bodyDiv w:val="1"/>
      <w:marLeft w:val="0"/>
      <w:marRight w:val="0"/>
      <w:marTop w:val="0"/>
      <w:marBottom w:val="0"/>
      <w:divBdr>
        <w:top w:val="none" w:sz="0" w:space="0" w:color="auto"/>
        <w:left w:val="none" w:sz="0" w:space="0" w:color="auto"/>
        <w:bottom w:val="none" w:sz="0" w:space="0" w:color="auto"/>
        <w:right w:val="none" w:sz="0" w:space="0" w:color="auto"/>
      </w:divBdr>
    </w:div>
    <w:div w:id="958150066">
      <w:bodyDiv w:val="1"/>
      <w:marLeft w:val="0"/>
      <w:marRight w:val="0"/>
      <w:marTop w:val="0"/>
      <w:marBottom w:val="0"/>
      <w:divBdr>
        <w:top w:val="none" w:sz="0" w:space="0" w:color="auto"/>
        <w:left w:val="none" w:sz="0" w:space="0" w:color="auto"/>
        <w:bottom w:val="none" w:sz="0" w:space="0" w:color="auto"/>
        <w:right w:val="none" w:sz="0" w:space="0" w:color="auto"/>
      </w:divBdr>
    </w:div>
    <w:div w:id="977227947">
      <w:bodyDiv w:val="1"/>
      <w:marLeft w:val="0"/>
      <w:marRight w:val="0"/>
      <w:marTop w:val="0"/>
      <w:marBottom w:val="0"/>
      <w:divBdr>
        <w:top w:val="none" w:sz="0" w:space="0" w:color="auto"/>
        <w:left w:val="none" w:sz="0" w:space="0" w:color="auto"/>
        <w:bottom w:val="none" w:sz="0" w:space="0" w:color="auto"/>
        <w:right w:val="none" w:sz="0" w:space="0" w:color="auto"/>
      </w:divBdr>
    </w:div>
    <w:div w:id="1068773028">
      <w:bodyDiv w:val="1"/>
      <w:marLeft w:val="0"/>
      <w:marRight w:val="0"/>
      <w:marTop w:val="0"/>
      <w:marBottom w:val="0"/>
      <w:divBdr>
        <w:top w:val="none" w:sz="0" w:space="0" w:color="auto"/>
        <w:left w:val="none" w:sz="0" w:space="0" w:color="auto"/>
        <w:bottom w:val="none" w:sz="0" w:space="0" w:color="auto"/>
        <w:right w:val="none" w:sz="0" w:space="0" w:color="auto"/>
      </w:divBdr>
    </w:div>
    <w:div w:id="1109353289">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54032767">
      <w:bodyDiv w:val="1"/>
      <w:marLeft w:val="0"/>
      <w:marRight w:val="0"/>
      <w:marTop w:val="0"/>
      <w:marBottom w:val="0"/>
      <w:divBdr>
        <w:top w:val="none" w:sz="0" w:space="0" w:color="auto"/>
        <w:left w:val="none" w:sz="0" w:space="0" w:color="auto"/>
        <w:bottom w:val="none" w:sz="0" w:space="0" w:color="auto"/>
        <w:right w:val="none" w:sz="0" w:space="0" w:color="auto"/>
      </w:divBdr>
    </w:div>
    <w:div w:id="1208107188">
      <w:bodyDiv w:val="1"/>
      <w:marLeft w:val="0"/>
      <w:marRight w:val="0"/>
      <w:marTop w:val="0"/>
      <w:marBottom w:val="0"/>
      <w:divBdr>
        <w:top w:val="none" w:sz="0" w:space="0" w:color="auto"/>
        <w:left w:val="none" w:sz="0" w:space="0" w:color="auto"/>
        <w:bottom w:val="none" w:sz="0" w:space="0" w:color="auto"/>
        <w:right w:val="none" w:sz="0" w:space="0" w:color="auto"/>
      </w:divBdr>
    </w:div>
    <w:div w:id="1234045942">
      <w:bodyDiv w:val="1"/>
      <w:marLeft w:val="0"/>
      <w:marRight w:val="0"/>
      <w:marTop w:val="0"/>
      <w:marBottom w:val="0"/>
      <w:divBdr>
        <w:top w:val="none" w:sz="0" w:space="0" w:color="auto"/>
        <w:left w:val="none" w:sz="0" w:space="0" w:color="auto"/>
        <w:bottom w:val="none" w:sz="0" w:space="0" w:color="auto"/>
        <w:right w:val="none" w:sz="0" w:space="0" w:color="auto"/>
      </w:divBdr>
    </w:div>
    <w:div w:id="1249727682">
      <w:bodyDiv w:val="1"/>
      <w:marLeft w:val="0"/>
      <w:marRight w:val="0"/>
      <w:marTop w:val="0"/>
      <w:marBottom w:val="0"/>
      <w:divBdr>
        <w:top w:val="none" w:sz="0" w:space="0" w:color="auto"/>
        <w:left w:val="none" w:sz="0" w:space="0" w:color="auto"/>
        <w:bottom w:val="none" w:sz="0" w:space="0" w:color="auto"/>
        <w:right w:val="none" w:sz="0" w:space="0" w:color="auto"/>
      </w:divBdr>
    </w:div>
    <w:div w:id="1301770317">
      <w:bodyDiv w:val="1"/>
      <w:marLeft w:val="0"/>
      <w:marRight w:val="0"/>
      <w:marTop w:val="0"/>
      <w:marBottom w:val="0"/>
      <w:divBdr>
        <w:top w:val="none" w:sz="0" w:space="0" w:color="auto"/>
        <w:left w:val="none" w:sz="0" w:space="0" w:color="auto"/>
        <w:bottom w:val="none" w:sz="0" w:space="0" w:color="auto"/>
        <w:right w:val="none" w:sz="0" w:space="0" w:color="auto"/>
      </w:divBdr>
    </w:div>
    <w:div w:id="1342850688">
      <w:bodyDiv w:val="1"/>
      <w:marLeft w:val="0"/>
      <w:marRight w:val="0"/>
      <w:marTop w:val="0"/>
      <w:marBottom w:val="0"/>
      <w:divBdr>
        <w:top w:val="none" w:sz="0" w:space="0" w:color="auto"/>
        <w:left w:val="none" w:sz="0" w:space="0" w:color="auto"/>
        <w:bottom w:val="none" w:sz="0" w:space="0" w:color="auto"/>
        <w:right w:val="none" w:sz="0" w:space="0" w:color="auto"/>
      </w:divBdr>
    </w:div>
    <w:div w:id="1368606032">
      <w:bodyDiv w:val="1"/>
      <w:marLeft w:val="0"/>
      <w:marRight w:val="0"/>
      <w:marTop w:val="0"/>
      <w:marBottom w:val="0"/>
      <w:divBdr>
        <w:top w:val="none" w:sz="0" w:space="0" w:color="auto"/>
        <w:left w:val="none" w:sz="0" w:space="0" w:color="auto"/>
        <w:bottom w:val="none" w:sz="0" w:space="0" w:color="auto"/>
        <w:right w:val="none" w:sz="0" w:space="0" w:color="auto"/>
      </w:divBdr>
    </w:div>
    <w:div w:id="1523664399">
      <w:bodyDiv w:val="1"/>
      <w:marLeft w:val="0"/>
      <w:marRight w:val="0"/>
      <w:marTop w:val="0"/>
      <w:marBottom w:val="0"/>
      <w:divBdr>
        <w:top w:val="none" w:sz="0" w:space="0" w:color="auto"/>
        <w:left w:val="none" w:sz="0" w:space="0" w:color="auto"/>
        <w:bottom w:val="none" w:sz="0" w:space="0" w:color="auto"/>
        <w:right w:val="none" w:sz="0" w:space="0" w:color="auto"/>
      </w:divBdr>
    </w:div>
    <w:div w:id="1556238927">
      <w:bodyDiv w:val="1"/>
      <w:marLeft w:val="0"/>
      <w:marRight w:val="0"/>
      <w:marTop w:val="0"/>
      <w:marBottom w:val="0"/>
      <w:divBdr>
        <w:top w:val="none" w:sz="0" w:space="0" w:color="auto"/>
        <w:left w:val="none" w:sz="0" w:space="0" w:color="auto"/>
        <w:bottom w:val="none" w:sz="0" w:space="0" w:color="auto"/>
        <w:right w:val="none" w:sz="0" w:space="0" w:color="auto"/>
      </w:divBdr>
    </w:div>
    <w:div w:id="1617709969">
      <w:bodyDiv w:val="1"/>
      <w:marLeft w:val="0"/>
      <w:marRight w:val="0"/>
      <w:marTop w:val="0"/>
      <w:marBottom w:val="0"/>
      <w:divBdr>
        <w:top w:val="none" w:sz="0" w:space="0" w:color="auto"/>
        <w:left w:val="none" w:sz="0" w:space="0" w:color="auto"/>
        <w:bottom w:val="none" w:sz="0" w:space="0" w:color="auto"/>
        <w:right w:val="none" w:sz="0" w:space="0" w:color="auto"/>
      </w:divBdr>
    </w:div>
    <w:div w:id="1690133723">
      <w:bodyDiv w:val="1"/>
      <w:marLeft w:val="0"/>
      <w:marRight w:val="0"/>
      <w:marTop w:val="0"/>
      <w:marBottom w:val="0"/>
      <w:divBdr>
        <w:top w:val="none" w:sz="0" w:space="0" w:color="auto"/>
        <w:left w:val="none" w:sz="0" w:space="0" w:color="auto"/>
        <w:bottom w:val="none" w:sz="0" w:space="0" w:color="auto"/>
        <w:right w:val="none" w:sz="0" w:space="0" w:color="auto"/>
      </w:divBdr>
    </w:div>
    <w:div w:id="1716158328">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84439913">
      <w:bodyDiv w:val="1"/>
      <w:marLeft w:val="0"/>
      <w:marRight w:val="0"/>
      <w:marTop w:val="0"/>
      <w:marBottom w:val="0"/>
      <w:divBdr>
        <w:top w:val="none" w:sz="0" w:space="0" w:color="auto"/>
        <w:left w:val="none" w:sz="0" w:space="0" w:color="auto"/>
        <w:bottom w:val="none" w:sz="0" w:space="0" w:color="auto"/>
        <w:right w:val="none" w:sz="0" w:space="0" w:color="auto"/>
      </w:divBdr>
    </w:div>
    <w:div w:id="1971862587">
      <w:bodyDiv w:val="1"/>
      <w:marLeft w:val="0"/>
      <w:marRight w:val="0"/>
      <w:marTop w:val="0"/>
      <w:marBottom w:val="0"/>
      <w:divBdr>
        <w:top w:val="none" w:sz="0" w:space="0" w:color="auto"/>
        <w:left w:val="none" w:sz="0" w:space="0" w:color="auto"/>
        <w:bottom w:val="none" w:sz="0" w:space="0" w:color="auto"/>
        <w:right w:val="none" w:sz="0" w:space="0" w:color="auto"/>
      </w:divBdr>
    </w:div>
    <w:div w:id="1984507013">
      <w:bodyDiv w:val="1"/>
      <w:marLeft w:val="0"/>
      <w:marRight w:val="0"/>
      <w:marTop w:val="0"/>
      <w:marBottom w:val="0"/>
      <w:divBdr>
        <w:top w:val="none" w:sz="0" w:space="0" w:color="auto"/>
        <w:left w:val="none" w:sz="0" w:space="0" w:color="auto"/>
        <w:bottom w:val="none" w:sz="0" w:space="0" w:color="auto"/>
        <w:right w:val="none" w:sz="0" w:space="0" w:color="auto"/>
      </w:divBdr>
    </w:div>
    <w:div w:id="198996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idoc.org.au/" TargetMode="External"/><Relationship Id="rId18" Type="http://schemas.openxmlformats.org/officeDocument/2006/relationships/hyperlink" Target="https://dbr.abs.gov.au/absmaps/index.html" TargetMode="External"/><Relationship Id="rId26" Type="http://schemas.openxmlformats.org/officeDocument/2006/relationships/hyperlink" Target="mailto:support@communitygrants.gov.au" TargetMode="External"/><Relationship Id="rId3" Type="http://schemas.openxmlformats.org/officeDocument/2006/relationships/customXml" Target="../customXml/item3.xml"/><Relationship Id="rId21" Type="http://schemas.openxmlformats.org/officeDocument/2006/relationships/hyperlink" Target="mailto:support@communitygrants.gov.au" TargetMode="External"/><Relationship Id="rId7" Type="http://schemas.openxmlformats.org/officeDocument/2006/relationships/styles" Target="styles.xml"/><Relationship Id="rId12" Type="http://schemas.openxmlformats.org/officeDocument/2006/relationships/hyperlink" Target="https://www.naidoc.org.au" TargetMode="External"/><Relationship Id="rId17" Type="http://schemas.openxmlformats.org/officeDocument/2006/relationships/hyperlink" Target="mailto:support@communitygrants.gov.au" TargetMode="External"/><Relationship Id="rId25" Type="http://schemas.openxmlformats.org/officeDocument/2006/relationships/hyperlink" Target="https://www.finance.gov.au/sites/default/files/2019-11/commonwealth-grants-rules-and-guidelines.pdf" TargetMode="External"/><Relationship Id="rId2" Type="http://schemas.openxmlformats.org/officeDocument/2006/relationships/customXml" Target="../customXml/item2.xml"/><Relationship Id="rId16" Type="http://schemas.openxmlformats.org/officeDocument/2006/relationships/hyperlink" Target="https://www.communitygrants.gov.au/grants" TargetMode="External"/><Relationship Id="rId20" Type="http://schemas.openxmlformats.org/officeDocument/2006/relationships/hyperlink" Target="mailto:support@communitygrants.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FA0017\AppData\Local\Microsoft\Windows\INetCache\Content.Outlook\4E1P13ME\support@communitygrants.gov.au" TargetMode="External"/><Relationship Id="rId5" Type="http://schemas.openxmlformats.org/officeDocument/2006/relationships/customXml" Target="../customXml/item5.xml"/><Relationship Id="rId15" Type="http://schemas.openxmlformats.org/officeDocument/2006/relationships/hyperlink" Target="https://www.grants.gov.au/" TargetMode="External"/><Relationship Id="rId23" Type="http://schemas.openxmlformats.org/officeDocument/2006/relationships/hyperlink" Target="https://www.communitygrants.gov.au/information/information-applicants/making-enquir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ommunitygrants.gov.au/information/information-applicants/making-enqui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mmunitygrants.gov.au/information-applicants/late-applications-policy" TargetMode="External"/><Relationship Id="rId22" Type="http://schemas.openxmlformats.org/officeDocument/2006/relationships/hyperlink" Target="mailto:support@communitygrants.gov.au"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MCNotes xmlns="ad87c6ff-2712-4122-a9a7-7b6729a5df9d" xsi:nil="true"/>
    <ShareHubID xmlns="ad87c6ff-2712-4122-a9a7-7b6729a5df9d">UDOC22-4503</ShareHubID>
    <TaxCatchAll xmlns="ad87c6ff-2712-4122-a9a7-7b6729a5df9d">
      <Value>1</Value>
    </TaxCatchAll>
    <NonRecordJustification xmlns="685f9fda-bd71-4433-b331-92feb9553089">None</NonRecordJustification>
    <mc5611b894cf49d8aeeb8ebf39dc09bc xmlns="ad87c6ff-2712-4122-a9a7-7b6729a5df9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ad87c6ff-2712-4122-a9a7-7b6729a5df9d">
      <Terms xmlns="http://schemas.microsoft.com/office/infopath/2007/PartnerControls"/>
    </jd1c641577414dfdab1686c9d5d0dbd0>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09F0D9DB35F0C4ABAE218DB5F0F39F4" ma:contentTypeVersion="4" ma:contentTypeDescription="ShareHub Document" ma:contentTypeScope="" ma:versionID="b3fe970b2a6ae0bf14b673c73aa50da6">
  <xsd:schema xmlns:xsd="http://www.w3.org/2001/XMLSchema" xmlns:xs="http://www.w3.org/2001/XMLSchema" xmlns:p="http://schemas.microsoft.com/office/2006/metadata/properties" xmlns:ns1="ad87c6ff-2712-4122-a9a7-7b6729a5df9d" xmlns:ns3="685f9fda-bd71-4433-b331-92feb9553089" targetNamespace="http://schemas.microsoft.com/office/2006/metadata/properties" ma:root="true" ma:fieldsID="df645e4028e0e7065899e1083ac1958a" ns1:_="" ns3:_="">
    <xsd:import namespace="ad87c6ff-2712-4122-a9a7-7b6729a5df9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7c6ff-2712-4122-a9a7-7b6729a5df9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33a321-4e11-4890-bbab-fd20e1a45cb0}" ma:internalName="TaxCatchAll" ma:showField="CatchAllData" ma:web="ad87c6ff-2712-4122-a9a7-7b6729a5df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33a321-4e11-4890-bbab-fd20e1a45cb0}" ma:internalName="TaxCatchAllLabel" ma:readOnly="true" ma:showField="CatchAllDataLabel" ma:web="ad87c6ff-2712-4122-a9a7-7b6729a5df9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7F0D76-7D35-4898-A9A3-1C3893FEA897}">
  <ds:schemaRefs>
    <ds:schemaRef ds:uri="http://schemas.microsoft.com/office/2006/documentManagement/types"/>
    <ds:schemaRef ds:uri="685f9fda-bd71-4433-b331-92feb9553089"/>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ad87c6ff-2712-4122-a9a7-7b6729a5df9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B762B08-4E7E-467D-B812-C231F35EF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7c6ff-2712-4122-a9a7-7b6729a5df9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E282F-E91F-4ECC-A69D-2D2CD60D2022}">
  <ds:schemaRefs>
    <ds:schemaRef ds:uri="http://schemas.microsoft.com/sharepoint/v3/contenttype/forms"/>
  </ds:schemaRefs>
</ds:datastoreItem>
</file>

<file path=customXml/itemProps5.xml><?xml version="1.0" encoding="utf-8"?>
<ds:datastoreItem xmlns:ds="http://schemas.openxmlformats.org/officeDocument/2006/customXml" ds:itemID="{AA3C94BC-23F0-42F3-BB2C-A39BC9F4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3</TotalTime>
  <Pages>7</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keywords>[SEC=OFFICIAL]</cp:keywords>
  <cp:lastModifiedBy>MCGLASHAN, Jade</cp:lastModifiedBy>
  <cp:revision>3</cp:revision>
  <cp:lastPrinted>2022-01-13T23:35:00Z</cp:lastPrinted>
  <dcterms:created xsi:type="dcterms:W3CDTF">2022-01-18T21:14:00Z</dcterms:created>
  <dcterms:modified xsi:type="dcterms:W3CDTF">2022-01-18T21:17:00Z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486B53B07E064FADB267EFA691B4F08B</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2022-01-13T23:36:13Z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F8B7C2F18B7C92D1ED4AC58657B0ED7C</vt:lpwstr>
  </property>
  <property fmtid="{D5CDD505-2E9C-101B-9397-08002B2CF9AE}" pid="21" name="PM_Hash_Salt">
    <vt:lpwstr>2ED944AB826F09219A0F618AC9C08852</vt:lpwstr>
  </property>
  <property fmtid="{D5CDD505-2E9C-101B-9397-08002B2CF9AE}" pid="22" name="PM_Hash_SHA1">
    <vt:lpwstr>4E7A82AAE247A531CF93CB37704BE514653B8999</vt:lpwstr>
  </property>
  <property fmtid="{D5CDD505-2E9C-101B-9397-08002B2CF9AE}" pid="23" name="PM_OriginatorUserAccountName_SHA256">
    <vt:lpwstr>05B62DD2CF68D8D1231C9B6E19A465C4AFD1373AF430FB3FE9055172694826A7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0x0101002825A64A6E1845A99A9D8EE8A5686ECB00009F0D9DB35F0C4ABAE218DB5F0F39F4</vt:lpwstr>
  </property>
  <property fmtid="{D5CDD505-2E9C-101B-9397-08002B2CF9AE}" pid="27" name="HPRMSecurityCaveat">
    <vt:lpwstr/>
  </property>
  <property fmtid="{D5CDD505-2E9C-101B-9397-08002B2CF9AE}" pid="28" name="HPRMSecurityLevel">
    <vt:lpwstr>1;#OFFICIAL|11463c70-78df-4e3b-b0ff-f66cd3cb26ec</vt:lpwstr>
  </property>
  <property fmtid="{D5CDD505-2E9C-101B-9397-08002B2CF9AE}" pid="29" name="PM_SecurityClassification_Prev">
    <vt:lpwstr>OFFICIAL</vt:lpwstr>
  </property>
  <property fmtid="{D5CDD505-2E9C-101B-9397-08002B2CF9AE}" pid="30" name="PM_Qualifier_Prev">
    <vt:lpwstr/>
  </property>
</Properties>
</file>