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DF0E6" w14:textId="0DAA82CC" w:rsidR="00F85F98" w:rsidRPr="007119A6" w:rsidRDefault="00E374DD" w:rsidP="00F85F98">
      <w:pPr>
        <w:spacing w:after="140" w:line="1000" w:lineRule="exact"/>
        <w:contextualSpacing/>
        <w:rPr>
          <w:rFonts w:ascii="Georgia" w:eastAsiaTheme="majorEastAsia" w:hAnsi="Georgia" w:cstheme="majorBidi"/>
          <w:color w:val="CF0A2C" w:themeColor="accent1"/>
          <w:kern w:val="28"/>
          <w:sz w:val="44"/>
          <w:szCs w:val="44"/>
        </w:rPr>
      </w:pPr>
      <w:sdt>
        <w:sdtPr>
          <w:rPr>
            <w:rFonts w:ascii="Georgia" w:eastAsiaTheme="majorEastAsia" w:hAnsi="Georgia" w:cstheme="majorBidi"/>
            <w:color w:val="CF0A2C" w:themeColor="accent1"/>
            <w:kern w:val="28"/>
            <w:sz w:val="44"/>
            <w:szCs w:val="4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Content>
          <w:r w:rsidR="00D15A57">
            <w:rPr>
              <w:rFonts w:ascii="Georgia" w:eastAsiaTheme="majorEastAsia" w:hAnsi="Georgia" w:cstheme="majorBidi"/>
              <w:color w:val="CF0A2C" w:themeColor="accent1"/>
              <w:kern w:val="28"/>
              <w:sz w:val="44"/>
              <w:szCs w:val="44"/>
            </w:rPr>
            <w:t>2021 Volunteer Grants</w:t>
          </w:r>
        </w:sdtContent>
      </w:sdt>
    </w:p>
    <w:p w14:paraId="768F68AA" w14:textId="71893D36" w:rsidR="00F85F98" w:rsidRPr="00290CE4" w:rsidRDefault="00E374DD" w:rsidP="00F85F98">
      <w:pPr>
        <w:numPr>
          <w:ilvl w:val="1"/>
          <w:numId w:val="0"/>
        </w:numPr>
        <w:pBdr>
          <w:bottom w:val="single" w:sz="4" w:space="22" w:color="000000" w:themeColor="text1"/>
        </w:pBdr>
        <w:spacing w:before="120" w:after="280" w:line="400" w:lineRule="atLeast"/>
        <w:rPr>
          <w:rFonts w:ascii="Calibri" w:eastAsiaTheme="majorEastAsia" w:hAnsi="Calibri" w:cs="Calibr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Content>
          <w:r w:rsidR="00D15A57">
            <w:rPr>
              <w:rFonts w:asciiTheme="majorHAnsi" w:eastAsiaTheme="majorEastAsia" w:hAnsiTheme="majorHAnsi" w:cstheme="majorBidi"/>
              <w:iCs/>
              <w:sz w:val="30"/>
              <w:szCs w:val="24"/>
            </w:rPr>
            <w:t>Feedback for applicants</w:t>
          </w:r>
        </w:sdtContent>
      </w:sdt>
    </w:p>
    <w:p w14:paraId="76AF3C0A" w14:textId="77777777" w:rsidR="00F85F98" w:rsidRPr="00FF0006" w:rsidRDefault="00F85F98" w:rsidP="00FF0006">
      <w:pPr>
        <w:pStyle w:val="Heading1"/>
        <w:spacing w:before="480"/>
      </w:pPr>
      <w:r w:rsidRPr="00FF0006">
        <w:t>Overview</w:t>
      </w:r>
    </w:p>
    <w:p w14:paraId="3B9F3642" w14:textId="02B715A3" w:rsidR="00901A61" w:rsidRPr="007119A6" w:rsidRDefault="00A941A0" w:rsidP="00901A61">
      <w:pPr>
        <w:pStyle w:val="BodyText"/>
      </w:pPr>
      <w:r w:rsidRPr="007119A6">
        <w:t>The Department of Social Services (the department) thanks you once again for taking the time to apply for the 2021 Volunteer Grants</w:t>
      </w:r>
      <w:r w:rsidR="006F0085" w:rsidRPr="007119A6">
        <w:t xml:space="preserve"> </w:t>
      </w:r>
      <w:r w:rsidRPr="007119A6">
        <w:t>round. Feedback from the 2021 Volunteer Grants round may help you in developing an application for future Volunteer Grants rounds.</w:t>
      </w:r>
    </w:p>
    <w:p w14:paraId="65F147BC" w14:textId="77777777" w:rsidR="00A941A0" w:rsidRPr="007119A6" w:rsidRDefault="00A941A0" w:rsidP="00FF0006">
      <w:pPr>
        <w:pStyle w:val="Heading1"/>
        <w:spacing w:before="480"/>
      </w:pPr>
      <w:r w:rsidRPr="007119A6">
        <w:t>Selection results</w:t>
      </w:r>
    </w:p>
    <w:p w14:paraId="7459D541" w14:textId="653238AF" w:rsidR="00A941A0" w:rsidRPr="007119A6" w:rsidRDefault="00A40865" w:rsidP="007119A6">
      <w:pPr>
        <w:pStyle w:val="BodyText"/>
      </w:pPr>
      <w:r w:rsidRPr="007119A6">
        <w:t>More than 5,500</w:t>
      </w:r>
      <w:r w:rsidR="00A941A0" w:rsidRPr="007119A6">
        <w:t xml:space="preserve"> organisations will receive funding from the 2021 Volunteer Grants round. The department considered </w:t>
      </w:r>
      <w:r w:rsidR="002B5051" w:rsidRPr="007119A6">
        <w:t xml:space="preserve">all </w:t>
      </w:r>
      <w:r w:rsidR="00A941A0" w:rsidRPr="007119A6">
        <w:t xml:space="preserve">applications </w:t>
      </w:r>
      <w:r w:rsidR="002B5051" w:rsidRPr="007119A6">
        <w:t xml:space="preserve">in line with </w:t>
      </w:r>
      <w:r w:rsidR="00A941A0" w:rsidRPr="007119A6">
        <w:t>the Grant Opportunity Guidelines.</w:t>
      </w:r>
    </w:p>
    <w:p w14:paraId="35571646" w14:textId="77777777" w:rsidR="00901A61" w:rsidRPr="007119A6" w:rsidRDefault="00A941A0" w:rsidP="00FF0006">
      <w:pPr>
        <w:pStyle w:val="Heading1"/>
        <w:spacing w:before="480"/>
      </w:pPr>
      <w:r w:rsidRPr="007119A6">
        <w:t>Selection process</w:t>
      </w:r>
    </w:p>
    <w:p w14:paraId="68FE586A" w14:textId="16D4FCF0" w:rsidR="00A941A0" w:rsidRPr="007119A6" w:rsidRDefault="00A941A0" w:rsidP="00A941A0">
      <w:pPr>
        <w:pStyle w:val="BodyText"/>
      </w:pPr>
      <w:r w:rsidRPr="007119A6">
        <w:t xml:space="preserve">The electorate based, closed, non-competitive selection process </w:t>
      </w:r>
      <w:r w:rsidR="002B5051" w:rsidRPr="007119A6">
        <w:t xml:space="preserve">was designed to </w:t>
      </w:r>
      <w:r w:rsidRPr="007119A6">
        <w:t>ensure grant funding addresses local priorities and achieves an equitable geographic distribution of funding. Members of Parliament (MPs) nominated organisations from within their electorate to apply for funding. The department sent an application form to nominated organisations and undertook assessments.</w:t>
      </w:r>
    </w:p>
    <w:p w14:paraId="0092C450" w14:textId="77777777" w:rsidR="00FA1F45" w:rsidRPr="00FF0006" w:rsidRDefault="00A941A0" w:rsidP="00FF0006">
      <w:pPr>
        <w:pStyle w:val="Heading1"/>
        <w:spacing w:before="480"/>
      </w:pPr>
      <w:r w:rsidRPr="00FF0006">
        <w:t>General feedback for future Volunteer Grants applications</w:t>
      </w:r>
    </w:p>
    <w:p w14:paraId="1981D076" w14:textId="77777777" w:rsidR="00A941A0" w:rsidRPr="007119A6" w:rsidRDefault="00A941A0" w:rsidP="00FF0006">
      <w:pPr>
        <w:pStyle w:val="BodyText"/>
      </w:pPr>
      <w:r w:rsidRPr="007119A6">
        <w:t xml:space="preserve">The following tips </w:t>
      </w:r>
      <w:r w:rsidR="002B5051" w:rsidRPr="007119A6">
        <w:t xml:space="preserve">are intended to </w:t>
      </w:r>
      <w:r w:rsidRPr="007119A6">
        <w:t>provide guidance in completing applications for Volunteer Grants funding.</w:t>
      </w:r>
    </w:p>
    <w:p w14:paraId="2219A889" w14:textId="3F097933" w:rsidR="007119A6" w:rsidRPr="007119A6" w:rsidRDefault="002B5051" w:rsidP="00FF0006">
      <w:pPr>
        <w:pStyle w:val="BodyText"/>
        <w:spacing w:before="240"/>
        <w:rPr>
          <w:b/>
          <w:bCs/>
        </w:rPr>
      </w:pPr>
      <w:r w:rsidRPr="007119A6">
        <w:rPr>
          <w:b/>
          <w:bCs/>
        </w:rPr>
        <w:t>Make sure you r</w:t>
      </w:r>
      <w:r w:rsidR="00A941A0" w:rsidRPr="007119A6">
        <w:rPr>
          <w:b/>
          <w:bCs/>
        </w:rPr>
        <w:t>ead supporting information before applying</w:t>
      </w:r>
    </w:p>
    <w:p w14:paraId="05CA1008" w14:textId="77777777" w:rsidR="00A941A0" w:rsidRPr="007119A6" w:rsidRDefault="00A941A0" w:rsidP="00FF0006">
      <w:pPr>
        <w:pStyle w:val="BodyText"/>
        <w:numPr>
          <w:ilvl w:val="0"/>
          <w:numId w:val="23"/>
        </w:numPr>
        <w:ind w:hanging="357"/>
        <w:rPr>
          <w:color w:val="auto"/>
        </w:rPr>
      </w:pPr>
      <w:r w:rsidRPr="007119A6">
        <w:rPr>
          <w:color w:val="auto"/>
        </w:rPr>
        <w:t>It is important to read all available information provided about Volunteer Grants when applying for funding, especially the grant opportunity documents provided on the</w:t>
      </w:r>
      <w:r w:rsidRPr="00290CE4">
        <w:rPr>
          <w:rFonts w:ascii="Calibri" w:hAnsi="Calibri" w:cs="Calibri"/>
          <w:szCs w:val="22"/>
        </w:rPr>
        <w:t xml:space="preserve"> </w:t>
      </w:r>
      <w:hyperlink r:id="rId9" w:history="1">
        <w:r w:rsidR="006F0085" w:rsidRPr="007119A6">
          <w:rPr>
            <w:rStyle w:val="Hyperlink"/>
            <w:rFonts w:cstheme="minorHAnsi"/>
            <w:szCs w:val="22"/>
          </w:rPr>
          <w:t>GrantConnect</w:t>
        </w:r>
      </w:hyperlink>
      <w:r w:rsidRPr="00290CE4">
        <w:rPr>
          <w:rFonts w:ascii="Calibri" w:hAnsi="Calibri" w:cs="Calibri"/>
          <w:szCs w:val="22"/>
        </w:rPr>
        <w:t xml:space="preserve"> </w:t>
      </w:r>
      <w:r w:rsidRPr="007119A6">
        <w:rPr>
          <w:color w:val="auto"/>
        </w:rPr>
        <w:t>website. The grant opportunity documents are specific to each Volunteer Grants round and contain important information about the purpose of the program, eligibility and compliance requirements, timeframes and how to apply.</w:t>
      </w:r>
    </w:p>
    <w:p w14:paraId="33D5C81B" w14:textId="77777777" w:rsidR="00A941A0" w:rsidRPr="007119A6" w:rsidRDefault="00A941A0" w:rsidP="00FF0006">
      <w:pPr>
        <w:pStyle w:val="BodyText"/>
        <w:numPr>
          <w:ilvl w:val="0"/>
          <w:numId w:val="23"/>
        </w:numPr>
        <w:ind w:hanging="357"/>
        <w:rPr>
          <w:color w:val="auto"/>
        </w:rPr>
      </w:pPr>
      <w:r w:rsidRPr="007119A6">
        <w:rPr>
          <w:color w:val="auto"/>
        </w:rPr>
        <w:t>The application form includes helpful information and details on questions relating to priorities for funding and mandatory information required for the selection process.</w:t>
      </w:r>
    </w:p>
    <w:p w14:paraId="2B6A70B0" w14:textId="77777777" w:rsidR="00A941A0" w:rsidRPr="007119A6" w:rsidRDefault="00A941A0" w:rsidP="00FF0006">
      <w:pPr>
        <w:pStyle w:val="BodyText"/>
        <w:spacing w:before="240"/>
        <w:rPr>
          <w:b/>
          <w:bCs/>
        </w:rPr>
      </w:pPr>
      <w:r w:rsidRPr="007119A6">
        <w:rPr>
          <w:b/>
          <w:bCs/>
        </w:rPr>
        <w:lastRenderedPageBreak/>
        <w:t>Check the application before it is submitted</w:t>
      </w:r>
    </w:p>
    <w:p w14:paraId="2D71ECF6" w14:textId="35278ECD" w:rsidR="00A941A0" w:rsidRPr="007119A6" w:rsidRDefault="007D1DD8" w:rsidP="00FF0006">
      <w:pPr>
        <w:pStyle w:val="BodyText"/>
        <w:numPr>
          <w:ilvl w:val="0"/>
          <w:numId w:val="23"/>
        </w:numPr>
        <w:ind w:hanging="357"/>
        <w:rPr>
          <w:color w:val="auto"/>
        </w:rPr>
      </w:pPr>
      <w:r w:rsidRPr="007119A6">
        <w:rPr>
          <w:color w:val="auto"/>
        </w:rPr>
        <w:t>Applicants</w:t>
      </w:r>
      <w:r w:rsidR="00A941A0" w:rsidRPr="007119A6">
        <w:rPr>
          <w:color w:val="auto"/>
        </w:rPr>
        <w:t xml:space="preserve"> are encouraged to check the application form for completeness and that it contains accurate organisational</w:t>
      </w:r>
      <w:r w:rsidR="009A59CC">
        <w:rPr>
          <w:color w:val="auto"/>
        </w:rPr>
        <w:t xml:space="preserve"> details prior to submitting it:</w:t>
      </w:r>
    </w:p>
    <w:p w14:paraId="3B069979" w14:textId="333A240F" w:rsidR="00A941A0" w:rsidRPr="001A29AE" w:rsidRDefault="00A941A0" w:rsidP="00FF0006">
      <w:pPr>
        <w:pStyle w:val="BodyText"/>
        <w:numPr>
          <w:ilvl w:val="1"/>
          <w:numId w:val="25"/>
        </w:numPr>
        <w:ind w:left="709" w:hanging="357"/>
        <w:rPr>
          <w:rFonts w:cstheme="minorHAnsi"/>
          <w:szCs w:val="22"/>
        </w:rPr>
      </w:pPr>
      <w:r w:rsidRPr="001A29AE">
        <w:rPr>
          <w:rFonts w:cstheme="minorHAnsi"/>
          <w:szCs w:val="22"/>
        </w:rPr>
        <w:t xml:space="preserve">Check that all fields in the application form have been completed in full, including in particular </w:t>
      </w:r>
      <w:r w:rsidR="007D1DD8" w:rsidRPr="001A29AE">
        <w:rPr>
          <w:rFonts w:cstheme="minorHAnsi"/>
          <w:szCs w:val="22"/>
        </w:rPr>
        <w:t xml:space="preserve">the </w:t>
      </w:r>
      <w:r w:rsidRPr="001A29AE">
        <w:rPr>
          <w:rFonts w:cstheme="minorHAnsi"/>
          <w:szCs w:val="22"/>
        </w:rPr>
        <w:t>correct bank and contact details.</w:t>
      </w:r>
    </w:p>
    <w:p w14:paraId="797FA877" w14:textId="3F06A4AF" w:rsidR="001A29AE" w:rsidRDefault="00A941A0" w:rsidP="00FF0006">
      <w:pPr>
        <w:pStyle w:val="Default"/>
        <w:numPr>
          <w:ilvl w:val="1"/>
          <w:numId w:val="25"/>
        </w:numPr>
        <w:spacing w:before="120" w:after="140" w:line="280" w:lineRule="atLeast"/>
        <w:ind w:left="709" w:hanging="357"/>
        <w:rPr>
          <w:rFonts w:asciiTheme="minorHAnsi" w:hAnsiTheme="minorHAnsi" w:cstheme="minorHAnsi"/>
          <w:sz w:val="22"/>
          <w:szCs w:val="22"/>
        </w:rPr>
      </w:pPr>
      <w:r w:rsidRPr="001A29AE">
        <w:rPr>
          <w:rFonts w:asciiTheme="minorHAnsi" w:hAnsiTheme="minorHAnsi" w:cstheme="minorHAnsi"/>
          <w:sz w:val="22"/>
          <w:szCs w:val="22"/>
        </w:rPr>
        <w:t>Check that all answers to questions have been entered correctly and s</w:t>
      </w:r>
      <w:r w:rsidR="009A59CC">
        <w:rPr>
          <w:rFonts w:asciiTheme="minorHAnsi" w:hAnsiTheme="minorHAnsi" w:cstheme="minorHAnsi"/>
          <w:sz w:val="22"/>
          <w:szCs w:val="22"/>
        </w:rPr>
        <w:t>aved into the application form.</w:t>
      </w:r>
    </w:p>
    <w:p w14:paraId="6D76FC61" w14:textId="17E1B676" w:rsidR="00097351" w:rsidRPr="001A29AE" w:rsidRDefault="00A941A0" w:rsidP="00FF0006">
      <w:pPr>
        <w:pStyle w:val="Default"/>
        <w:numPr>
          <w:ilvl w:val="1"/>
          <w:numId w:val="25"/>
        </w:numPr>
        <w:spacing w:before="120" w:after="140" w:line="280" w:lineRule="atLeast"/>
        <w:ind w:left="709" w:hanging="357"/>
        <w:rPr>
          <w:rFonts w:asciiTheme="minorHAnsi" w:hAnsiTheme="minorHAnsi" w:cstheme="minorHAnsi"/>
          <w:sz w:val="22"/>
          <w:szCs w:val="22"/>
        </w:rPr>
      </w:pPr>
      <w:r w:rsidRPr="001A29AE">
        <w:rPr>
          <w:rFonts w:asciiTheme="minorHAnsi" w:hAnsiTheme="minorHAnsi" w:cstheme="minorHAnsi"/>
          <w:sz w:val="22"/>
          <w:szCs w:val="22"/>
        </w:rPr>
        <w:t>Check that any required attachments have been completed in full and correctly saved into the relevant sec</w:t>
      </w:r>
      <w:r w:rsidR="009A59CC">
        <w:rPr>
          <w:rFonts w:asciiTheme="minorHAnsi" w:hAnsiTheme="minorHAnsi" w:cstheme="minorHAnsi"/>
          <w:sz w:val="22"/>
          <w:szCs w:val="22"/>
        </w:rPr>
        <w:t>tion/s on the application form.</w:t>
      </w:r>
    </w:p>
    <w:p w14:paraId="08BD11B3" w14:textId="4E342F79" w:rsidR="00A941A0" w:rsidRPr="007119A6" w:rsidRDefault="00A941A0" w:rsidP="00FF0006">
      <w:pPr>
        <w:pStyle w:val="BodyText"/>
        <w:numPr>
          <w:ilvl w:val="0"/>
          <w:numId w:val="23"/>
        </w:numPr>
        <w:ind w:hanging="357"/>
        <w:rPr>
          <w:color w:val="auto"/>
        </w:rPr>
      </w:pPr>
      <w:r w:rsidRPr="007119A6">
        <w:rPr>
          <w:color w:val="auto"/>
        </w:rPr>
        <w:t xml:space="preserve">Please note that </w:t>
      </w:r>
      <w:r w:rsidR="007D1DD8" w:rsidRPr="007119A6">
        <w:rPr>
          <w:color w:val="auto"/>
        </w:rPr>
        <w:t xml:space="preserve">the </w:t>
      </w:r>
      <w:r w:rsidRPr="007119A6">
        <w:rPr>
          <w:color w:val="auto"/>
        </w:rPr>
        <w:t>lack of information</w:t>
      </w:r>
      <w:r w:rsidR="007D1DD8" w:rsidRPr="007119A6">
        <w:rPr>
          <w:color w:val="auto"/>
        </w:rPr>
        <w:t xml:space="preserve">, or missing information, </w:t>
      </w:r>
      <w:r w:rsidRPr="007119A6">
        <w:rPr>
          <w:color w:val="auto"/>
        </w:rPr>
        <w:t>may impact on the overall co</w:t>
      </w:r>
      <w:r w:rsidR="009A59CC">
        <w:rPr>
          <w:color w:val="auto"/>
        </w:rPr>
        <w:t>nsideration of the application.</w:t>
      </w:r>
    </w:p>
    <w:p w14:paraId="585CA843" w14:textId="004F20C0" w:rsidR="00914C18" w:rsidRPr="007119A6" w:rsidRDefault="00A941A0" w:rsidP="00FF0006">
      <w:pPr>
        <w:pStyle w:val="BodyText"/>
        <w:numPr>
          <w:ilvl w:val="0"/>
          <w:numId w:val="23"/>
        </w:numPr>
        <w:ind w:hanging="357"/>
        <w:rPr>
          <w:color w:val="auto"/>
        </w:rPr>
      </w:pPr>
      <w:r w:rsidRPr="007119A6">
        <w:rPr>
          <w:color w:val="auto"/>
        </w:rPr>
        <w:t xml:space="preserve">The Community Grants Hub </w:t>
      </w:r>
      <w:r w:rsidR="00F021D8">
        <w:rPr>
          <w:color w:val="auto"/>
        </w:rPr>
        <w:t xml:space="preserve">(the Hub) </w:t>
      </w:r>
      <w:r w:rsidRPr="007119A6">
        <w:rPr>
          <w:color w:val="auto"/>
        </w:rPr>
        <w:t xml:space="preserve">Hotline is available via </w:t>
      </w:r>
      <w:hyperlink r:id="rId10" w:history="1">
        <w:r w:rsidR="0001600E" w:rsidRPr="001A29AE">
          <w:rPr>
            <w:rStyle w:val="Hyperlink"/>
            <w:rFonts w:cstheme="minorHAnsi"/>
            <w:szCs w:val="22"/>
          </w:rPr>
          <w:t>support@communitygrants.gov.au</w:t>
        </w:r>
      </w:hyperlink>
      <w:r w:rsidR="0001600E" w:rsidRPr="007119A6">
        <w:rPr>
          <w:color w:val="auto"/>
        </w:rPr>
        <w:t xml:space="preserve"> </w:t>
      </w:r>
      <w:r w:rsidRPr="007119A6">
        <w:rPr>
          <w:color w:val="auto"/>
        </w:rPr>
        <w:t>to provide assistance. Applications that are not completed correctly and in full may be deemed as non-compliant or inelig</w:t>
      </w:r>
      <w:r w:rsidR="00FF0006">
        <w:rPr>
          <w:color w:val="auto"/>
        </w:rPr>
        <w:t>ible and may not be considered.</w:t>
      </w:r>
    </w:p>
    <w:p w14:paraId="75B000EE" w14:textId="7FA7C30A" w:rsidR="00914C18" w:rsidRPr="007119A6" w:rsidRDefault="00FF0006" w:rsidP="00FF0006">
      <w:pPr>
        <w:pStyle w:val="BodyText"/>
        <w:spacing w:before="240"/>
        <w:rPr>
          <w:b/>
          <w:bCs/>
        </w:rPr>
      </w:pPr>
      <w:r>
        <w:rPr>
          <w:b/>
          <w:bCs/>
        </w:rPr>
        <w:t>Submitting an application</w:t>
      </w:r>
    </w:p>
    <w:p w14:paraId="7C20AE8E" w14:textId="6AD83F8B" w:rsidR="00A941A0" w:rsidRPr="001A29AE" w:rsidRDefault="00A941A0" w:rsidP="00FF0006">
      <w:pPr>
        <w:pStyle w:val="Default"/>
        <w:numPr>
          <w:ilvl w:val="0"/>
          <w:numId w:val="26"/>
        </w:numPr>
        <w:spacing w:before="120" w:after="140" w:line="280" w:lineRule="atLeast"/>
        <w:ind w:hanging="357"/>
        <w:rPr>
          <w:rFonts w:asciiTheme="minorHAnsi" w:hAnsiTheme="minorHAnsi" w:cstheme="minorHAnsi"/>
          <w:sz w:val="22"/>
          <w:szCs w:val="22"/>
        </w:rPr>
      </w:pPr>
      <w:r w:rsidRPr="001A29AE">
        <w:rPr>
          <w:rFonts w:asciiTheme="minorHAnsi" w:hAnsiTheme="minorHAnsi" w:cs="Times New Roman"/>
          <w:color w:val="auto"/>
          <w:sz w:val="22"/>
          <w:szCs w:val="20"/>
        </w:rPr>
        <w:t xml:space="preserve">Organisations are encouraged to prepare early and allow plenty of time </w:t>
      </w:r>
      <w:r w:rsidR="007D1DD8" w:rsidRPr="001A29AE">
        <w:rPr>
          <w:rFonts w:asciiTheme="minorHAnsi" w:hAnsiTheme="minorHAnsi" w:cs="Times New Roman"/>
          <w:color w:val="auto"/>
          <w:sz w:val="22"/>
          <w:szCs w:val="20"/>
        </w:rPr>
        <w:t>to</w:t>
      </w:r>
      <w:r w:rsidRPr="001A29AE">
        <w:rPr>
          <w:rFonts w:asciiTheme="minorHAnsi" w:hAnsiTheme="minorHAnsi" w:cs="Times New Roman"/>
          <w:color w:val="auto"/>
          <w:sz w:val="22"/>
          <w:szCs w:val="20"/>
        </w:rPr>
        <w:t xml:space="preserve"> complet</w:t>
      </w:r>
      <w:r w:rsidR="007D1DD8" w:rsidRPr="001A29AE">
        <w:rPr>
          <w:rFonts w:asciiTheme="minorHAnsi" w:hAnsiTheme="minorHAnsi" w:cs="Times New Roman"/>
          <w:color w:val="auto"/>
          <w:sz w:val="22"/>
          <w:szCs w:val="20"/>
        </w:rPr>
        <w:t>e</w:t>
      </w:r>
      <w:r w:rsidRPr="001A29AE">
        <w:rPr>
          <w:rFonts w:asciiTheme="minorHAnsi" w:hAnsiTheme="minorHAnsi" w:cs="Times New Roman"/>
          <w:color w:val="auto"/>
          <w:sz w:val="22"/>
          <w:szCs w:val="20"/>
        </w:rPr>
        <w:t xml:space="preserve"> and submi</w:t>
      </w:r>
      <w:r w:rsidR="007D1DD8" w:rsidRPr="001A29AE">
        <w:rPr>
          <w:rFonts w:asciiTheme="minorHAnsi" w:hAnsiTheme="minorHAnsi" w:cs="Times New Roman"/>
          <w:color w:val="auto"/>
          <w:sz w:val="22"/>
          <w:szCs w:val="20"/>
        </w:rPr>
        <w:t xml:space="preserve">t </w:t>
      </w:r>
      <w:r w:rsidRPr="001A29AE">
        <w:rPr>
          <w:rFonts w:asciiTheme="minorHAnsi" w:hAnsiTheme="minorHAnsi" w:cs="Times New Roman"/>
          <w:color w:val="auto"/>
          <w:sz w:val="22"/>
          <w:szCs w:val="20"/>
        </w:rPr>
        <w:t xml:space="preserve">the application in order to meet the closing date and time specified in the published information on the </w:t>
      </w:r>
      <w:hyperlink r:id="rId11" w:history="1">
        <w:r w:rsidR="00FF0006">
          <w:rPr>
            <w:rStyle w:val="Hyperlink"/>
            <w:rFonts w:asciiTheme="minorHAnsi" w:hAnsiTheme="minorHAnsi" w:cstheme="minorHAnsi"/>
            <w:sz w:val="22"/>
            <w:szCs w:val="22"/>
          </w:rPr>
          <w:t>GrantConnect website</w:t>
        </w:r>
      </w:hyperlink>
      <w:r w:rsidR="00FF0006">
        <w:rPr>
          <w:rFonts w:asciiTheme="minorHAnsi" w:hAnsiTheme="minorHAnsi" w:cstheme="minorHAnsi"/>
          <w:sz w:val="22"/>
          <w:szCs w:val="22"/>
        </w:rPr>
        <w:t>:</w:t>
      </w:r>
    </w:p>
    <w:p w14:paraId="0CD586C8" w14:textId="45C6C689" w:rsidR="00A941A0" w:rsidRPr="001A29AE" w:rsidRDefault="00914C18" w:rsidP="00FF0006">
      <w:pPr>
        <w:pStyle w:val="BodyText"/>
        <w:numPr>
          <w:ilvl w:val="1"/>
          <w:numId w:val="25"/>
        </w:numPr>
        <w:ind w:left="709" w:hanging="357"/>
        <w:rPr>
          <w:rFonts w:cstheme="minorHAnsi"/>
          <w:szCs w:val="22"/>
        </w:rPr>
      </w:pPr>
      <w:r w:rsidRPr="00290CE4">
        <w:rPr>
          <w:rFonts w:ascii="Calibri" w:hAnsi="Calibri" w:cs="Calibri"/>
          <w:color w:val="auto"/>
          <w:szCs w:val="22"/>
        </w:rPr>
        <w:tab/>
      </w:r>
      <w:r w:rsidR="00A941A0" w:rsidRPr="001A29AE">
        <w:rPr>
          <w:rFonts w:cstheme="minorHAnsi"/>
          <w:szCs w:val="22"/>
        </w:rPr>
        <w:t>It is the applicant’s responsibility to ensure the application is received by the department on time.</w:t>
      </w:r>
    </w:p>
    <w:p w14:paraId="040CF53B" w14:textId="230DE404" w:rsidR="00914C18" w:rsidRPr="001A29AE" w:rsidRDefault="00914C18" w:rsidP="00FF0006">
      <w:pPr>
        <w:pStyle w:val="BodyText"/>
        <w:numPr>
          <w:ilvl w:val="1"/>
          <w:numId w:val="25"/>
        </w:numPr>
        <w:ind w:left="709" w:hanging="357"/>
        <w:rPr>
          <w:rFonts w:cstheme="minorHAnsi"/>
          <w:szCs w:val="22"/>
        </w:rPr>
      </w:pPr>
      <w:r w:rsidRPr="001A29AE">
        <w:rPr>
          <w:rFonts w:cstheme="minorHAnsi"/>
          <w:szCs w:val="22"/>
        </w:rPr>
        <w:tab/>
      </w:r>
      <w:r w:rsidR="00A941A0" w:rsidRPr="001A29AE">
        <w:rPr>
          <w:rFonts w:cstheme="minorHAnsi"/>
          <w:szCs w:val="22"/>
        </w:rPr>
        <w:t>Application deadlines are in Australian Eastern time zone. Please take this into account to ensure the ap</w:t>
      </w:r>
      <w:r w:rsidR="00FF0006">
        <w:rPr>
          <w:rFonts w:cstheme="minorHAnsi"/>
          <w:szCs w:val="22"/>
        </w:rPr>
        <w:t>plication is submitted on time.</w:t>
      </w:r>
    </w:p>
    <w:p w14:paraId="002882EC" w14:textId="74A07E57" w:rsidR="00A941A0" w:rsidRPr="001A29AE" w:rsidRDefault="00A941A0" w:rsidP="00FF0006">
      <w:pPr>
        <w:pStyle w:val="Default"/>
        <w:numPr>
          <w:ilvl w:val="0"/>
          <w:numId w:val="27"/>
        </w:numPr>
        <w:spacing w:before="120" w:after="140" w:line="280" w:lineRule="atLeast"/>
        <w:ind w:hanging="357"/>
        <w:rPr>
          <w:rFonts w:asciiTheme="minorHAnsi" w:hAnsiTheme="minorHAnsi" w:cstheme="minorHAnsi"/>
          <w:sz w:val="22"/>
          <w:szCs w:val="22"/>
        </w:rPr>
      </w:pPr>
      <w:r w:rsidRPr="001A29AE">
        <w:rPr>
          <w:rFonts w:asciiTheme="minorHAnsi" w:hAnsiTheme="minorHAnsi" w:cstheme="minorHAnsi"/>
          <w:sz w:val="22"/>
          <w:szCs w:val="22"/>
        </w:rPr>
        <w:t>Organisations need to clearly establish their legal entity status to ensure that they have the required legal status t</w:t>
      </w:r>
      <w:r w:rsidR="00FF0006">
        <w:rPr>
          <w:rFonts w:asciiTheme="minorHAnsi" w:hAnsiTheme="minorHAnsi" w:cstheme="minorHAnsi"/>
          <w:sz w:val="22"/>
          <w:szCs w:val="22"/>
        </w:rPr>
        <w:t>o apply for Volunteer Grants:</w:t>
      </w:r>
    </w:p>
    <w:p w14:paraId="2D334AD6" w14:textId="74B4C8D8" w:rsidR="00A941A0" w:rsidRPr="001A29AE" w:rsidRDefault="00914C18" w:rsidP="00FF0006">
      <w:pPr>
        <w:pStyle w:val="BodyText"/>
        <w:numPr>
          <w:ilvl w:val="1"/>
          <w:numId w:val="25"/>
        </w:numPr>
        <w:ind w:left="709" w:hanging="357"/>
        <w:rPr>
          <w:rFonts w:cstheme="minorHAnsi"/>
          <w:szCs w:val="22"/>
        </w:rPr>
      </w:pPr>
      <w:r w:rsidRPr="001A29AE">
        <w:rPr>
          <w:rFonts w:cstheme="minorHAnsi"/>
          <w:color w:val="auto"/>
          <w:szCs w:val="22"/>
        </w:rPr>
        <w:tab/>
      </w:r>
      <w:r w:rsidR="00A941A0" w:rsidRPr="001A29AE">
        <w:rPr>
          <w:rFonts w:cstheme="minorHAnsi"/>
          <w:szCs w:val="22"/>
        </w:rPr>
        <w:t>Organisations are encouraged to seek information as to whether their legal entity name and/or trading name is registered for use under the ABN they provide on the application form. It is important that applicants applying as an organisation provide the correct ABN associated with the legal name and/or trad</w:t>
      </w:r>
      <w:r w:rsidR="00FF0006">
        <w:rPr>
          <w:rFonts w:cstheme="minorHAnsi"/>
          <w:szCs w:val="22"/>
        </w:rPr>
        <w:t>ing name of their organisation.</w:t>
      </w:r>
    </w:p>
    <w:p w14:paraId="23CAC8F0" w14:textId="076E9583" w:rsidR="00A941A0" w:rsidRPr="001A29AE" w:rsidRDefault="00914C18" w:rsidP="00FF0006">
      <w:pPr>
        <w:pStyle w:val="BodyText"/>
        <w:numPr>
          <w:ilvl w:val="1"/>
          <w:numId w:val="25"/>
        </w:numPr>
        <w:ind w:left="709" w:hanging="357"/>
        <w:rPr>
          <w:rFonts w:cstheme="minorHAnsi"/>
          <w:szCs w:val="22"/>
        </w:rPr>
      </w:pPr>
      <w:r w:rsidRPr="001A29AE">
        <w:rPr>
          <w:rFonts w:cstheme="minorHAnsi"/>
          <w:szCs w:val="22"/>
        </w:rPr>
        <w:tab/>
      </w:r>
      <w:r w:rsidR="00A941A0" w:rsidRPr="001A29AE">
        <w:rPr>
          <w:rFonts w:cstheme="minorHAnsi"/>
          <w:szCs w:val="22"/>
        </w:rPr>
        <w:t>Unincorporated entities and entities that are not eligible according to section 4.3 of the Grant Opportunity Guidelines are encouraged to seek an auspicing arrangement with an organisation that is an eligible legal entity according to section 4 of th</w:t>
      </w:r>
      <w:r w:rsidR="00FF0006">
        <w:rPr>
          <w:rFonts w:cstheme="minorHAnsi"/>
          <w:szCs w:val="22"/>
        </w:rPr>
        <w:t>e Grant Opportunity Guidelines.</w:t>
      </w:r>
    </w:p>
    <w:p w14:paraId="358B7535" w14:textId="36354C68" w:rsidR="00A941A0" w:rsidRPr="001A29AE" w:rsidRDefault="00914C18" w:rsidP="00FF0006">
      <w:pPr>
        <w:pStyle w:val="BodyText"/>
        <w:numPr>
          <w:ilvl w:val="1"/>
          <w:numId w:val="25"/>
        </w:numPr>
        <w:ind w:left="709" w:hanging="357"/>
        <w:rPr>
          <w:rFonts w:cstheme="minorHAnsi"/>
          <w:szCs w:val="22"/>
        </w:rPr>
      </w:pPr>
      <w:r w:rsidRPr="001A29AE">
        <w:rPr>
          <w:rFonts w:cstheme="minorHAnsi"/>
          <w:szCs w:val="22"/>
        </w:rPr>
        <w:tab/>
      </w:r>
      <w:r w:rsidR="00A941A0" w:rsidRPr="001A29AE">
        <w:rPr>
          <w:rFonts w:cstheme="minorHAnsi"/>
          <w:szCs w:val="22"/>
        </w:rPr>
        <w:t>Please read the grant opportunity documents to under</w:t>
      </w:r>
      <w:r w:rsidR="00FF0006">
        <w:rPr>
          <w:rFonts w:cstheme="minorHAnsi"/>
          <w:szCs w:val="22"/>
        </w:rPr>
        <w:t>stand eligibility requirements.</w:t>
      </w:r>
    </w:p>
    <w:p w14:paraId="421C39D0" w14:textId="0F501100" w:rsidR="00914C18" w:rsidRPr="001A29AE" w:rsidRDefault="00914C18" w:rsidP="00FF0006">
      <w:pPr>
        <w:pStyle w:val="BodyText"/>
        <w:numPr>
          <w:ilvl w:val="1"/>
          <w:numId w:val="25"/>
        </w:numPr>
        <w:ind w:left="709" w:hanging="357"/>
        <w:rPr>
          <w:rFonts w:cstheme="minorHAnsi"/>
          <w:szCs w:val="22"/>
        </w:rPr>
      </w:pPr>
      <w:r w:rsidRPr="001A29AE">
        <w:rPr>
          <w:rFonts w:cstheme="minorHAnsi"/>
          <w:szCs w:val="22"/>
        </w:rPr>
        <w:tab/>
      </w:r>
      <w:r w:rsidR="00A941A0" w:rsidRPr="001A29AE">
        <w:rPr>
          <w:rFonts w:cstheme="minorHAnsi"/>
          <w:szCs w:val="22"/>
        </w:rPr>
        <w:t>The Hub may request additional supporting documentation to confirm an organisations entity type and status, for example, Incorpora</w:t>
      </w:r>
      <w:r w:rsidR="00FF0006">
        <w:rPr>
          <w:rFonts w:cstheme="minorHAnsi"/>
          <w:szCs w:val="22"/>
        </w:rPr>
        <w:t>tion Certificate or Trust Deed.</w:t>
      </w:r>
    </w:p>
    <w:p w14:paraId="4FE2A5F2" w14:textId="527E690E" w:rsidR="00A941A0" w:rsidRPr="001A29AE" w:rsidRDefault="00A941A0" w:rsidP="00FF0006">
      <w:pPr>
        <w:pStyle w:val="Default"/>
        <w:pageBreakBefore/>
        <w:numPr>
          <w:ilvl w:val="0"/>
          <w:numId w:val="28"/>
        </w:numPr>
        <w:spacing w:before="120" w:after="140" w:line="280" w:lineRule="atLeast"/>
        <w:ind w:left="363" w:hanging="357"/>
        <w:rPr>
          <w:rFonts w:asciiTheme="minorHAnsi" w:hAnsiTheme="minorHAnsi" w:cstheme="minorHAnsi"/>
          <w:color w:val="auto"/>
          <w:sz w:val="22"/>
          <w:szCs w:val="22"/>
        </w:rPr>
      </w:pPr>
      <w:r w:rsidRPr="001A29AE">
        <w:rPr>
          <w:rFonts w:asciiTheme="minorHAnsi" w:hAnsiTheme="minorHAnsi" w:cstheme="minorHAnsi"/>
          <w:sz w:val="22"/>
          <w:szCs w:val="22"/>
        </w:rPr>
        <w:lastRenderedPageBreak/>
        <w:t xml:space="preserve">Organisations may only submit one application on their own behalf, with the exception of entering </w:t>
      </w:r>
      <w:r w:rsidRPr="001A29AE">
        <w:rPr>
          <w:rFonts w:asciiTheme="minorHAnsi" w:hAnsiTheme="minorHAnsi" w:cstheme="minorHAnsi"/>
          <w:color w:val="auto"/>
          <w:sz w:val="22"/>
          <w:szCs w:val="22"/>
        </w:rPr>
        <w:t xml:space="preserve">into an eligible auspice arrangement on </w:t>
      </w:r>
      <w:r w:rsidR="00FF0006">
        <w:rPr>
          <w:rFonts w:asciiTheme="minorHAnsi" w:hAnsiTheme="minorHAnsi" w:cstheme="minorHAnsi"/>
          <w:color w:val="auto"/>
          <w:sz w:val="22"/>
          <w:szCs w:val="22"/>
        </w:rPr>
        <w:t>behalf of another organisation:</w:t>
      </w:r>
    </w:p>
    <w:p w14:paraId="45051665" w14:textId="167291F2" w:rsidR="00A941A0" w:rsidRPr="001A29AE" w:rsidRDefault="00914C18" w:rsidP="00FF0006">
      <w:pPr>
        <w:pStyle w:val="BodyText"/>
        <w:numPr>
          <w:ilvl w:val="1"/>
          <w:numId w:val="25"/>
        </w:numPr>
        <w:ind w:left="709" w:hanging="357"/>
        <w:rPr>
          <w:rFonts w:cstheme="minorHAnsi"/>
          <w:szCs w:val="22"/>
        </w:rPr>
      </w:pPr>
      <w:r w:rsidRPr="001A29AE">
        <w:rPr>
          <w:rFonts w:cstheme="minorHAnsi"/>
          <w:color w:val="auto"/>
          <w:szCs w:val="22"/>
        </w:rPr>
        <w:tab/>
      </w:r>
      <w:r w:rsidR="00A941A0" w:rsidRPr="001A29AE">
        <w:rPr>
          <w:rFonts w:cstheme="minorHAnsi"/>
          <w:szCs w:val="22"/>
        </w:rPr>
        <w:t>For organisations that applied on their own behalf in multiple electorates, only the first submission will be evaluated unless the first submiss</w:t>
      </w:r>
      <w:r w:rsidR="00FF0006">
        <w:rPr>
          <w:rFonts w:cstheme="minorHAnsi"/>
          <w:szCs w:val="22"/>
        </w:rPr>
        <w:t>ion requested ineligible items.</w:t>
      </w:r>
    </w:p>
    <w:p w14:paraId="6F390697" w14:textId="0A30A9F8" w:rsidR="00A941A0" w:rsidRPr="001A29AE" w:rsidRDefault="00914C18" w:rsidP="00FF0006">
      <w:pPr>
        <w:pStyle w:val="BodyText"/>
        <w:numPr>
          <w:ilvl w:val="1"/>
          <w:numId w:val="25"/>
        </w:numPr>
        <w:ind w:left="709" w:hanging="357"/>
        <w:rPr>
          <w:rFonts w:cstheme="minorHAnsi"/>
          <w:szCs w:val="22"/>
        </w:rPr>
      </w:pPr>
      <w:r w:rsidRPr="001A29AE">
        <w:rPr>
          <w:rFonts w:cstheme="minorHAnsi"/>
          <w:szCs w:val="22"/>
        </w:rPr>
        <w:tab/>
      </w:r>
      <w:r w:rsidR="00A941A0" w:rsidRPr="001A29AE">
        <w:rPr>
          <w:rFonts w:cstheme="minorHAnsi"/>
          <w:szCs w:val="22"/>
        </w:rPr>
        <w:t>Persons completing an application are encouraged to consult with other members from their organisation to ensure that onl</w:t>
      </w:r>
      <w:r w:rsidR="00FF0006">
        <w:rPr>
          <w:rFonts w:cstheme="minorHAnsi"/>
          <w:szCs w:val="22"/>
        </w:rPr>
        <w:t>y one application is submitted.</w:t>
      </w:r>
    </w:p>
    <w:p w14:paraId="79BED041" w14:textId="264CEB71" w:rsidR="003F61C7" w:rsidRPr="001A29AE" w:rsidRDefault="00A941A0" w:rsidP="00FF0006">
      <w:pPr>
        <w:pStyle w:val="BodyText"/>
        <w:numPr>
          <w:ilvl w:val="1"/>
          <w:numId w:val="25"/>
        </w:numPr>
        <w:ind w:left="709" w:hanging="357"/>
        <w:rPr>
          <w:rFonts w:cstheme="minorHAnsi"/>
          <w:szCs w:val="22"/>
        </w:rPr>
      </w:pPr>
      <w:r w:rsidRPr="001A29AE">
        <w:rPr>
          <w:rFonts w:cstheme="minorHAnsi"/>
          <w:szCs w:val="22"/>
        </w:rPr>
        <w:t xml:space="preserve">Organisations recalling their applications to correct omissions or details often ended up generating duplicate applications upon resubmission. </w:t>
      </w:r>
      <w:r w:rsidR="00317F79" w:rsidRPr="001A29AE">
        <w:rPr>
          <w:rFonts w:cstheme="minorHAnsi"/>
          <w:szCs w:val="22"/>
        </w:rPr>
        <w:t>If</w:t>
      </w:r>
      <w:r w:rsidRPr="001A29AE">
        <w:rPr>
          <w:rFonts w:cstheme="minorHAnsi"/>
          <w:szCs w:val="22"/>
        </w:rPr>
        <w:t xml:space="preserve"> resubmitting an application, organisations </w:t>
      </w:r>
      <w:r w:rsidR="00317F79" w:rsidRPr="001A29AE">
        <w:rPr>
          <w:rFonts w:cstheme="minorHAnsi"/>
          <w:szCs w:val="22"/>
        </w:rPr>
        <w:t>should</w:t>
      </w:r>
      <w:r w:rsidRPr="001A29AE">
        <w:rPr>
          <w:rFonts w:cstheme="minorHAnsi"/>
          <w:szCs w:val="22"/>
        </w:rPr>
        <w:t xml:space="preserve"> email </w:t>
      </w:r>
      <w:hyperlink r:id="rId12" w:history="1">
        <w:r w:rsidRPr="001A29AE">
          <w:rPr>
            <w:rFonts w:cstheme="minorHAnsi"/>
            <w:szCs w:val="22"/>
          </w:rPr>
          <w:t>Community Grants support</w:t>
        </w:r>
      </w:hyperlink>
      <w:r w:rsidRPr="001A29AE">
        <w:rPr>
          <w:rFonts w:cstheme="minorHAnsi"/>
          <w:szCs w:val="22"/>
        </w:rPr>
        <w:t xml:space="preserve"> requesting to remove the incorrect application. Where a duplicate application has been identified, only the last submission wil</w:t>
      </w:r>
      <w:r w:rsidR="00FF0006">
        <w:rPr>
          <w:rFonts w:cstheme="minorHAnsi"/>
          <w:szCs w:val="22"/>
        </w:rPr>
        <w:t>l be considered for assessment.</w:t>
      </w:r>
    </w:p>
    <w:p w14:paraId="28484221" w14:textId="2391B47E" w:rsidR="00A941A0" w:rsidRPr="001A29AE" w:rsidRDefault="00A941A0" w:rsidP="00FF0006">
      <w:pPr>
        <w:pStyle w:val="Default"/>
        <w:numPr>
          <w:ilvl w:val="0"/>
          <w:numId w:val="29"/>
        </w:numPr>
        <w:spacing w:before="120" w:after="140" w:line="280" w:lineRule="atLeast"/>
        <w:ind w:hanging="357"/>
        <w:rPr>
          <w:rFonts w:asciiTheme="minorHAnsi" w:hAnsiTheme="minorHAnsi" w:cstheme="minorHAnsi"/>
          <w:color w:val="auto"/>
          <w:sz w:val="22"/>
          <w:szCs w:val="22"/>
        </w:rPr>
      </w:pPr>
      <w:r w:rsidRPr="001A29AE">
        <w:rPr>
          <w:rFonts w:asciiTheme="minorHAnsi" w:hAnsiTheme="minorHAnsi" w:cstheme="minorHAnsi"/>
          <w:sz w:val="22"/>
          <w:szCs w:val="22"/>
        </w:rPr>
        <w:t xml:space="preserve">Late applications are only considered under exceptional circumstances beyond the applicants control and in line with information on the </w:t>
      </w:r>
      <w:hyperlink r:id="rId13" w:history="1">
        <w:r w:rsidR="00FF0006">
          <w:rPr>
            <w:rStyle w:val="Hyperlink"/>
            <w:rFonts w:asciiTheme="minorHAnsi" w:hAnsiTheme="minorHAnsi" w:cstheme="minorHAnsi"/>
            <w:sz w:val="22"/>
            <w:szCs w:val="22"/>
          </w:rPr>
          <w:t>Community Grants Hub website</w:t>
        </w:r>
      </w:hyperlink>
      <w:r w:rsidR="00FF0006">
        <w:rPr>
          <w:rFonts w:asciiTheme="minorHAnsi" w:hAnsiTheme="minorHAnsi" w:cstheme="minorHAnsi"/>
          <w:color w:val="auto"/>
          <w:sz w:val="22"/>
          <w:szCs w:val="22"/>
        </w:rPr>
        <w:t>:</w:t>
      </w:r>
    </w:p>
    <w:p w14:paraId="771DB0D8" w14:textId="2BBA4C2E" w:rsidR="003F61C7" w:rsidRPr="001A29AE" w:rsidRDefault="00A941A0" w:rsidP="00FF0006">
      <w:pPr>
        <w:pStyle w:val="BodyText"/>
        <w:numPr>
          <w:ilvl w:val="1"/>
          <w:numId w:val="25"/>
        </w:numPr>
        <w:ind w:left="709" w:hanging="357"/>
        <w:rPr>
          <w:rFonts w:cstheme="minorHAnsi"/>
          <w:szCs w:val="22"/>
        </w:rPr>
      </w:pPr>
      <w:r w:rsidRPr="001A29AE">
        <w:rPr>
          <w:rFonts w:cstheme="minorHAnsi"/>
          <w:szCs w:val="22"/>
        </w:rPr>
        <w:t xml:space="preserve">It is strongly recommended that the application is submitted well before the closing date and time. </w:t>
      </w:r>
      <w:bookmarkStart w:id="0" w:name="_GoBack"/>
      <w:r w:rsidRPr="001A29AE">
        <w:rPr>
          <w:rFonts w:cstheme="minorHAnsi"/>
          <w:szCs w:val="22"/>
        </w:rPr>
        <w:t>The Hub</w:t>
      </w:r>
      <w:bookmarkEnd w:id="0"/>
      <w:r w:rsidRPr="001A29AE">
        <w:rPr>
          <w:rFonts w:cstheme="minorHAnsi"/>
          <w:szCs w:val="22"/>
        </w:rPr>
        <w:t xml:space="preserve"> cannot accept a request to submit a late application if exceptional or unfores</w:t>
      </w:r>
      <w:r w:rsidR="00FF0006">
        <w:rPr>
          <w:rFonts w:cstheme="minorHAnsi"/>
          <w:szCs w:val="22"/>
        </w:rPr>
        <w:t>een circumstances do not exist.</w:t>
      </w:r>
    </w:p>
    <w:p w14:paraId="49164BE6" w14:textId="0DAF4405" w:rsidR="00A941A0" w:rsidRPr="001A29AE" w:rsidRDefault="00A941A0" w:rsidP="00FF0006">
      <w:pPr>
        <w:pStyle w:val="Default"/>
        <w:numPr>
          <w:ilvl w:val="0"/>
          <w:numId w:val="30"/>
        </w:numPr>
        <w:spacing w:before="120" w:after="140" w:line="280" w:lineRule="atLeast"/>
        <w:ind w:hanging="357"/>
        <w:rPr>
          <w:rFonts w:asciiTheme="minorHAnsi" w:hAnsiTheme="minorHAnsi" w:cstheme="minorHAnsi"/>
          <w:color w:val="auto"/>
          <w:sz w:val="22"/>
          <w:szCs w:val="22"/>
        </w:rPr>
      </w:pPr>
      <w:r w:rsidRPr="001A29AE">
        <w:rPr>
          <w:rFonts w:asciiTheme="minorHAnsi" w:hAnsiTheme="minorHAnsi" w:cstheme="minorHAnsi"/>
          <w:color w:val="auto"/>
          <w:sz w:val="22"/>
          <w:szCs w:val="22"/>
        </w:rPr>
        <w:t>Only eligible items as outlined in section 5 of the Grant Opportun</w:t>
      </w:r>
      <w:r w:rsidR="00FF0006">
        <w:rPr>
          <w:rFonts w:asciiTheme="minorHAnsi" w:hAnsiTheme="minorHAnsi" w:cstheme="minorHAnsi"/>
          <w:color w:val="auto"/>
          <w:sz w:val="22"/>
          <w:szCs w:val="22"/>
        </w:rPr>
        <w:t>ity Guidelines are considered. s</w:t>
      </w:r>
      <w:r w:rsidRPr="001A29AE">
        <w:rPr>
          <w:rFonts w:asciiTheme="minorHAnsi" w:hAnsiTheme="minorHAnsi" w:cstheme="minorHAnsi"/>
          <w:color w:val="auto"/>
          <w:sz w:val="22"/>
          <w:szCs w:val="22"/>
        </w:rPr>
        <w:t xml:space="preserve">ection 5.4 of the Grant Opportunity Guidelines also sets out what </w:t>
      </w:r>
      <w:r w:rsidR="00FF0006">
        <w:rPr>
          <w:rFonts w:asciiTheme="minorHAnsi" w:hAnsiTheme="minorHAnsi" w:cstheme="minorHAnsi"/>
          <w:color w:val="auto"/>
          <w:sz w:val="22"/>
          <w:szCs w:val="22"/>
        </w:rPr>
        <w:t>grant money cannot be used for:</w:t>
      </w:r>
    </w:p>
    <w:p w14:paraId="4E99BFB5" w14:textId="60DF640A" w:rsidR="00A941A0" w:rsidRPr="001A29AE" w:rsidRDefault="00A941A0" w:rsidP="00FF0006">
      <w:pPr>
        <w:pStyle w:val="BodyText"/>
        <w:numPr>
          <w:ilvl w:val="1"/>
          <w:numId w:val="25"/>
        </w:numPr>
        <w:ind w:left="709" w:hanging="357"/>
        <w:rPr>
          <w:rFonts w:cstheme="minorHAnsi"/>
          <w:szCs w:val="22"/>
        </w:rPr>
      </w:pPr>
      <w:r w:rsidRPr="001A29AE">
        <w:rPr>
          <w:rFonts w:cstheme="minorHAnsi"/>
          <w:szCs w:val="22"/>
        </w:rPr>
        <w:t>Organisations are required to select the categories that match the items they wish to buy. Appendix A of the Grant Opportunity Guidelines provides examples of each item category to help organisations select</w:t>
      </w:r>
      <w:r w:rsidR="00FF0006">
        <w:rPr>
          <w:rFonts w:cstheme="minorHAnsi"/>
          <w:szCs w:val="22"/>
        </w:rPr>
        <w:t xml:space="preserve"> the most appropriate category.</w:t>
      </w:r>
    </w:p>
    <w:sectPr w:rsidR="00A941A0" w:rsidRPr="001A29AE" w:rsidSect="00D91B18">
      <w:headerReference w:type="default" r:id="rId14"/>
      <w:footerReference w:type="default" r:id="rId15"/>
      <w:headerReference w:type="first" r:id="rId16"/>
      <w:footerReference w:type="first" r:id="rId17"/>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34D64" w14:textId="77777777" w:rsidR="009E6C03" w:rsidRDefault="009E6C03" w:rsidP="00772718">
      <w:pPr>
        <w:spacing w:line="240" w:lineRule="auto"/>
      </w:pPr>
      <w:r>
        <w:separator/>
      </w:r>
    </w:p>
  </w:endnote>
  <w:endnote w:type="continuationSeparator" w:id="0">
    <w:p w14:paraId="33B64CDA" w14:textId="77777777" w:rsidR="009E6C03" w:rsidRDefault="009E6C0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7C35" w14:textId="5976A99A" w:rsidR="00A14495" w:rsidRPr="00FF0006" w:rsidRDefault="00FF0006" w:rsidP="00FF0006">
    <w:pPr>
      <w:pStyle w:val="Footer"/>
      <w:tabs>
        <w:tab w:val="clear" w:pos="4513"/>
        <w:tab w:val="clear" w:pos="9026"/>
        <w:tab w:val="right" w:pos="9638"/>
      </w:tabs>
      <w:rPr>
        <w:b w:val="0"/>
      </w:rPr>
    </w:pPr>
    <w:r w:rsidRPr="00FF0006">
      <w:rPr>
        <w:b w:val="0"/>
      </w:rPr>
      <w:t>2021 Volunteer Grants General Feedback</w:t>
    </w:r>
    <w:r>
      <w:rPr>
        <w:b w:val="0"/>
      </w:rPr>
      <w:tab/>
    </w:r>
    <w:r w:rsidRPr="00FF0006">
      <w:rPr>
        <w:b w:val="0"/>
      </w:rPr>
      <w:t xml:space="preserve">Page </w:t>
    </w:r>
    <w:r w:rsidRPr="00FF0006">
      <w:rPr>
        <w:b w:val="0"/>
        <w:bCs/>
      </w:rPr>
      <w:fldChar w:fldCharType="begin"/>
    </w:r>
    <w:r w:rsidRPr="00FF0006">
      <w:rPr>
        <w:b w:val="0"/>
        <w:bCs/>
      </w:rPr>
      <w:instrText xml:space="preserve"> PAGE  \* Arabic  \* MERGEFORMAT </w:instrText>
    </w:r>
    <w:r w:rsidRPr="00FF0006">
      <w:rPr>
        <w:b w:val="0"/>
        <w:bCs/>
      </w:rPr>
      <w:fldChar w:fldCharType="separate"/>
    </w:r>
    <w:r w:rsidR="00F021D8">
      <w:rPr>
        <w:b w:val="0"/>
        <w:bCs/>
        <w:noProof/>
      </w:rPr>
      <w:t>3</w:t>
    </w:r>
    <w:r w:rsidRPr="00FF0006">
      <w:rPr>
        <w:b w:val="0"/>
        <w:bCs/>
      </w:rPr>
      <w:fldChar w:fldCharType="end"/>
    </w:r>
    <w:r w:rsidRPr="00FF0006">
      <w:rPr>
        <w:b w:val="0"/>
      </w:rPr>
      <w:t xml:space="preserve"> of </w:t>
    </w:r>
    <w:r w:rsidRPr="00FF0006">
      <w:rPr>
        <w:b w:val="0"/>
        <w:bCs/>
      </w:rPr>
      <w:fldChar w:fldCharType="begin"/>
    </w:r>
    <w:r w:rsidRPr="00FF0006">
      <w:rPr>
        <w:b w:val="0"/>
        <w:bCs/>
      </w:rPr>
      <w:instrText xml:space="preserve"> NUMPAGES  \* Arabic  \* MERGEFORMAT </w:instrText>
    </w:r>
    <w:r w:rsidRPr="00FF0006">
      <w:rPr>
        <w:b w:val="0"/>
        <w:bCs/>
      </w:rPr>
      <w:fldChar w:fldCharType="separate"/>
    </w:r>
    <w:r w:rsidR="00F021D8">
      <w:rPr>
        <w:b w:val="0"/>
        <w:bCs/>
        <w:noProof/>
      </w:rPr>
      <w:t>3</w:t>
    </w:r>
    <w:r w:rsidRPr="00FF0006">
      <w:rPr>
        <w:b w:val="0"/>
        <w:bCs/>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3A50AC62" wp14:editId="43F1F7E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94625"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5350" w14:textId="3ACC039A" w:rsidR="00D91B18" w:rsidRPr="00FF0006" w:rsidRDefault="00FF0006" w:rsidP="00FF0006">
    <w:pPr>
      <w:pStyle w:val="Footer"/>
      <w:tabs>
        <w:tab w:val="clear" w:pos="4513"/>
        <w:tab w:val="clear" w:pos="9026"/>
        <w:tab w:val="right" w:pos="9638"/>
      </w:tabs>
      <w:rPr>
        <w:b w:val="0"/>
      </w:rPr>
    </w:pPr>
    <w:r w:rsidRPr="00FF0006">
      <w:rPr>
        <w:b w:val="0"/>
      </w:rPr>
      <w:t>2021 Volunteer Grants General Feedback</w:t>
    </w:r>
    <w:r>
      <w:rPr>
        <w:b w:val="0"/>
      </w:rPr>
      <w:tab/>
    </w:r>
    <w:r w:rsidRPr="00FF0006">
      <w:rPr>
        <w:b w:val="0"/>
      </w:rPr>
      <w:t xml:space="preserve">Page </w:t>
    </w:r>
    <w:r w:rsidRPr="00FF0006">
      <w:rPr>
        <w:b w:val="0"/>
        <w:bCs/>
      </w:rPr>
      <w:fldChar w:fldCharType="begin"/>
    </w:r>
    <w:r w:rsidRPr="00FF0006">
      <w:rPr>
        <w:b w:val="0"/>
        <w:bCs/>
      </w:rPr>
      <w:instrText xml:space="preserve"> PAGE  \* Arabic  \* MERGEFORMAT </w:instrText>
    </w:r>
    <w:r w:rsidRPr="00FF0006">
      <w:rPr>
        <w:b w:val="0"/>
        <w:bCs/>
      </w:rPr>
      <w:fldChar w:fldCharType="separate"/>
    </w:r>
    <w:r w:rsidR="00F021D8">
      <w:rPr>
        <w:b w:val="0"/>
        <w:bCs/>
        <w:noProof/>
      </w:rPr>
      <w:t>1</w:t>
    </w:r>
    <w:r w:rsidRPr="00FF0006">
      <w:rPr>
        <w:b w:val="0"/>
        <w:bCs/>
      </w:rPr>
      <w:fldChar w:fldCharType="end"/>
    </w:r>
    <w:r w:rsidRPr="00FF0006">
      <w:rPr>
        <w:b w:val="0"/>
      </w:rPr>
      <w:t xml:space="preserve"> of </w:t>
    </w:r>
    <w:r w:rsidRPr="00FF0006">
      <w:rPr>
        <w:b w:val="0"/>
        <w:bCs/>
      </w:rPr>
      <w:fldChar w:fldCharType="begin"/>
    </w:r>
    <w:r w:rsidRPr="00FF0006">
      <w:rPr>
        <w:b w:val="0"/>
        <w:bCs/>
      </w:rPr>
      <w:instrText xml:space="preserve"> NUMPAGES  \* Arabic  \* MERGEFORMAT </w:instrText>
    </w:r>
    <w:r w:rsidRPr="00FF0006">
      <w:rPr>
        <w:b w:val="0"/>
        <w:bCs/>
      </w:rPr>
      <w:fldChar w:fldCharType="separate"/>
    </w:r>
    <w:r w:rsidR="00F021D8">
      <w:rPr>
        <w:b w:val="0"/>
        <w:bCs/>
        <w:noProof/>
      </w:rPr>
      <w:t>3</w:t>
    </w:r>
    <w:r w:rsidRPr="00FF0006">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7BDB" w14:textId="77777777" w:rsidR="009E6C03" w:rsidRDefault="009E6C03" w:rsidP="00772718">
      <w:pPr>
        <w:spacing w:line="240" w:lineRule="auto"/>
      </w:pPr>
      <w:r>
        <w:separator/>
      </w:r>
    </w:p>
  </w:footnote>
  <w:footnote w:type="continuationSeparator" w:id="0">
    <w:p w14:paraId="0B24ABB3" w14:textId="77777777" w:rsidR="009E6C03" w:rsidRDefault="009E6C0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F41C"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D015421" wp14:editId="47055659">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0167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2CE5E70" wp14:editId="3209BAD1">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EE1D" w14:textId="77777777" w:rsidR="00D91B18" w:rsidRDefault="0016612C">
    <w:pPr>
      <w:pStyle w:val="Header"/>
    </w:pPr>
    <w:r>
      <w:rPr>
        <w:noProof/>
        <w:lang w:eastAsia="en-AU"/>
      </w:rPr>
      <w:drawing>
        <wp:anchor distT="0" distB="0" distL="114300" distR="114300" simplePos="0" relativeHeight="251673600" behindDoc="0" locked="1" layoutInCell="1" allowOverlap="1" wp14:anchorId="34BF4922" wp14:editId="2965616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3155EA1C" wp14:editId="4802F12A">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2C26F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3EAAC8E" wp14:editId="4CEA845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CF0DDB"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BE33B98" wp14:editId="37720F1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1835C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CEE26BF"/>
    <w:multiLevelType w:val="hybridMultilevel"/>
    <w:tmpl w:val="2A00CB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B81097"/>
    <w:multiLevelType w:val="hybridMultilevel"/>
    <w:tmpl w:val="F3E892A6"/>
    <w:lvl w:ilvl="0" w:tplc="BB1CA4E4">
      <w:start w:val="1"/>
      <w:numFmt w:val="bullet"/>
      <w:lvlText w:val=""/>
      <w:lvlJc w:val="left"/>
      <w:pPr>
        <w:ind w:left="720" w:hanging="360"/>
      </w:pPr>
      <w:rPr>
        <w:rFonts w:ascii="Wingdings" w:hAnsi="Wingdings" w:hint="default"/>
        <w:color w:val="264F90"/>
      </w:rPr>
    </w:lvl>
    <w:lvl w:ilvl="1" w:tplc="6706C83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31429"/>
    <w:multiLevelType w:val="hybridMultilevel"/>
    <w:tmpl w:val="20B642F6"/>
    <w:lvl w:ilvl="0" w:tplc="BB1CA4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B44687"/>
    <w:multiLevelType w:val="hybridMultilevel"/>
    <w:tmpl w:val="D930824A"/>
    <w:lvl w:ilvl="0" w:tplc="8BD02B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E50C0B"/>
    <w:multiLevelType w:val="hybridMultilevel"/>
    <w:tmpl w:val="47588B98"/>
    <w:lvl w:ilvl="0" w:tplc="1E7E2556">
      <w:start w:val="1"/>
      <w:numFmt w:val="bullet"/>
      <w:lvlText w:val="-"/>
      <w:lvlJc w:val="left"/>
      <w:pPr>
        <w:ind w:left="1080" w:hanging="360"/>
      </w:pPr>
      <w:rPr>
        <w:rFonts w:ascii="Courier New" w:hAnsi="Courier New" w:hint="default"/>
        <w:color w:val="0069B8"/>
      </w:rPr>
    </w:lvl>
    <w:lvl w:ilvl="1" w:tplc="1E7E2556">
      <w:start w:val="1"/>
      <w:numFmt w:val="bullet"/>
      <w:lvlText w:val="-"/>
      <w:lvlJc w:val="left"/>
      <w:pPr>
        <w:ind w:left="1800" w:hanging="360"/>
      </w:pPr>
      <w:rPr>
        <w:rFonts w:ascii="Courier New" w:hAnsi="Courier New" w:hint="default"/>
        <w:color w:val="0069B8"/>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AF7F8C"/>
    <w:multiLevelType w:val="hybridMultilevel"/>
    <w:tmpl w:val="B26A3D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4B79B8"/>
    <w:multiLevelType w:val="hybridMultilevel"/>
    <w:tmpl w:val="8DE8909E"/>
    <w:lvl w:ilvl="0" w:tplc="CD3C237C">
      <w:numFmt w:val="bullet"/>
      <w:lvlText w:val="-"/>
      <w:lvlJc w:val="left"/>
      <w:pPr>
        <w:ind w:left="720" w:hanging="360"/>
      </w:pPr>
      <w:rPr>
        <w:rFonts w:ascii="Arial" w:eastAsiaTheme="minorHAnsi" w:hAnsi="Arial" w:cs="Arial" w:hint="default"/>
        <w:color w:val="006F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E553D6"/>
    <w:multiLevelType w:val="hybridMultilevel"/>
    <w:tmpl w:val="C0E6B0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F42B1B"/>
    <w:multiLevelType w:val="hybridMultilevel"/>
    <w:tmpl w:val="DDE080C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C6F786B"/>
    <w:multiLevelType w:val="hybridMultilevel"/>
    <w:tmpl w:val="CA164FB8"/>
    <w:lvl w:ilvl="0" w:tplc="BB1CA4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C4C1294"/>
    <w:multiLevelType w:val="hybridMultilevel"/>
    <w:tmpl w:val="FC18E87C"/>
    <w:lvl w:ilvl="0" w:tplc="1E7E2556">
      <w:start w:val="1"/>
      <w:numFmt w:val="bullet"/>
      <w:lvlText w:val="-"/>
      <w:lvlJc w:val="left"/>
      <w:pPr>
        <w:ind w:left="1080" w:hanging="360"/>
      </w:pPr>
      <w:rPr>
        <w:rFonts w:ascii="Courier New" w:hAnsi="Courier New" w:hint="default"/>
        <w:color w:val="0069B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A44C70"/>
    <w:multiLevelType w:val="hybridMultilevel"/>
    <w:tmpl w:val="746E205C"/>
    <w:lvl w:ilvl="0" w:tplc="BB1CA4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E6356E"/>
    <w:multiLevelType w:val="hybridMultilevel"/>
    <w:tmpl w:val="B10A55C0"/>
    <w:lvl w:ilvl="0" w:tplc="BB1CA4E4">
      <w:start w:val="1"/>
      <w:numFmt w:val="bullet"/>
      <w:lvlText w:val=""/>
      <w:lvlJc w:val="left"/>
      <w:pPr>
        <w:ind w:left="360" w:hanging="360"/>
      </w:pPr>
      <w:rPr>
        <w:rFonts w:ascii="Wingdings" w:hAnsi="Wingdings" w:hint="default"/>
        <w:color w:val="264F90"/>
      </w:rPr>
    </w:lvl>
    <w:lvl w:ilvl="1" w:tplc="236A072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A1459E"/>
    <w:multiLevelType w:val="hybridMultilevel"/>
    <w:tmpl w:val="6E7C2EAE"/>
    <w:lvl w:ilvl="0" w:tplc="014E713C">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78786A"/>
    <w:multiLevelType w:val="hybridMultilevel"/>
    <w:tmpl w:val="77C2AA22"/>
    <w:lvl w:ilvl="0" w:tplc="BB1CA4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59260C"/>
    <w:multiLevelType w:val="hybridMultilevel"/>
    <w:tmpl w:val="AB50860C"/>
    <w:lvl w:ilvl="0" w:tplc="BB1CA4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7"/>
  </w:num>
  <w:num w:numId="4">
    <w:abstractNumId w:val="17"/>
  </w:num>
  <w:num w:numId="5">
    <w:abstractNumId w:val="16"/>
  </w:num>
  <w:num w:numId="6">
    <w:abstractNumId w:val="12"/>
  </w:num>
  <w:num w:numId="7">
    <w:abstractNumId w:val="8"/>
  </w:num>
  <w:num w:numId="8">
    <w:abstractNumId w:val="22"/>
  </w:num>
  <w:num w:numId="9">
    <w:abstractNumId w:val="19"/>
  </w:num>
  <w:num w:numId="10">
    <w:abstractNumId w:val="3"/>
  </w:num>
  <w:num w:numId="11">
    <w:abstractNumId w:val="9"/>
  </w:num>
  <w:num w:numId="12">
    <w:abstractNumId w:val="3"/>
  </w:num>
  <w:num w:numId="13">
    <w:abstractNumId w:val="25"/>
  </w:num>
  <w:num w:numId="14">
    <w:abstractNumId w:val="10"/>
  </w:num>
  <w:num w:numId="15">
    <w:abstractNumId w:val="14"/>
  </w:num>
  <w:num w:numId="16">
    <w:abstractNumId w:val="1"/>
  </w:num>
  <w:num w:numId="17">
    <w:abstractNumId w:val="15"/>
  </w:num>
  <w:num w:numId="18">
    <w:abstractNumId w:val="11"/>
  </w:num>
  <w:num w:numId="19">
    <w:abstractNumId w:val="13"/>
  </w:num>
  <w:num w:numId="20">
    <w:abstractNumId w:val="26"/>
  </w:num>
  <w:num w:numId="21">
    <w:abstractNumId w:val="5"/>
  </w:num>
  <w:num w:numId="22">
    <w:abstractNumId w:val="2"/>
  </w:num>
  <w:num w:numId="23">
    <w:abstractNumId w:val="23"/>
  </w:num>
  <w:num w:numId="24">
    <w:abstractNumId w:val="20"/>
  </w:num>
  <w:num w:numId="25">
    <w:abstractNumId w:val="6"/>
  </w:num>
  <w:num w:numId="26">
    <w:abstractNumId w:val="4"/>
  </w:num>
  <w:num w:numId="27">
    <w:abstractNumId w:val="18"/>
  </w:num>
  <w:num w:numId="28">
    <w:abstractNumId w:val="21"/>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1600E"/>
    <w:rsid w:val="0003018E"/>
    <w:rsid w:val="00033BC3"/>
    <w:rsid w:val="00044E09"/>
    <w:rsid w:val="000455E3"/>
    <w:rsid w:val="0004784D"/>
    <w:rsid w:val="000535A3"/>
    <w:rsid w:val="00053A00"/>
    <w:rsid w:val="00053DC5"/>
    <w:rsid w:val="000551F5"/>
    <w:rsid w:val="00097351"/>
    <w:rsid w:val="000B6C00"/>
    <w:rsid w:val="000C1F06"/>
    <w:rsid w:val="000F1DD1"/>
    <w:rsid w:val="000F28B8"/>
    <w:rsid w:val="000F3766"/>
    <w:rsid w:val="00100880"/>
    <w:rsid w:val="00106FC4"/>
    <w:rsid w:val="00111F0C"/>
    <w:rsid w:val="00120B80"/>
    <w:rsid w:val="00142B79"/>
    <w:rsid w:val="00145E2D"/>
    <w:rsid w:val="00152277"/>
    <w:rsid w:val="0016612C"/>
    <w:rsid w:val="001763D4"/>
    <w:rsid w:val="00181433"/>
    <w:rsid w:val="001834DD"/>
    <w:rsid w:val="00191BCF"/>
    <w:rsid w:val="001A29AE"/>
    <w:rsid w:val="001C53CE"/>
    <w:rsid w:val="001C5D96"/>
    <w:rsid w:val="001D341B"/>
    <w:rsid w:val="001E3D2B"/>
    <w:rsid w:val="001E5415"/>
    <w:rsid w:val="001E66CE"/>
    <w:rsid w:val="001F6BE3"/>
    <w:rsid w:val="001F6BE5"/>
    <w:rsid w:val="00221DC2"/>
    <w:rsid w:val="00243004"/>
    <w:rsid w:val="00244B48"/>
    <w:rsid w:val="00256CDA"/>
    <w:rsid w:val="002573D5"/>
    <w:rsid w:val="002600F2"/>
    <w:rsid w:val="00264E26"/>
    <w:rsid w:val="00280E74"/>
    <w:rsid w:val="00284E4B"/>
    <w:rsid w:val="00290CE4"/>
    <w:rsid w:val="002A41E1"/>
    <w:rsid w:val="002B5051"/>
    <w:rsid w:val="002B6574"/>
    <w:rsid w:val="002D3419"/>
    <w:rsid w:val="002D4D48"/>
    <w:rsid w:val="002E0AA1"/>
    <w:rsid w:val="002E1CCC"/>
    <w:rsid w:val="002E21D2"/>
    <w:rsid w:val="002F7D3C"/>
    <w:rsid w:val="00302D5E"/>
    <w:rsid w:val="00305720"/>
    <w:rsid w:val="0031098A"/>
    <w:rsid w:val="003131AB"/>
    <w:rsid w:val="00317F79"/>
    <w:rsid w:val="003217BE"/>
    <w:rsid w:val="0034044F"/>
    <w:rsid w:val="00355FF2"/>
    <w:rsid w:val="0035639D"/>
    <w:rsid w:val="00376001"/>
    <w:rsid w:val="003A17CA"/>
    <w:rsid w:val="003B5410"/>
    <w:rsid w:val="003D0647"/>
    <w:rsid w:val="003D1265"/>
    <w:rsid w:val="003D255E"/>
    <w:rsid w:val="003D3B1D"/>
    <w:rsid w:val="003D4B2C"/>
    <w:rsid w:val="003D5DBE"/>
    <w:rsid w:val="003E01D1"/>
    <w:rsid w:val="003F61C7"/>
    <w:rsid w:val="00404841"/>
    <w:rsid w:val="00412059"/>
    <w:rsid w:val="00422E02"/>
    <w:rsid w:val="00425633"/>
    <w:rsid w:val="00441E79"/>
    <w:rsid w:val="00444032"/>
    <w:rsid w:val="0044643A"/>
    <w:rsid w:val="00450486"/>
    <w:rsid w:val="00454EB4"/>
    <w:rsid w:val="00461BE1"/>
    <w:rsid w:val="004709E9"/>
    <w:rsid w:val="00472379"/>
    <w:rsid w:val="00483A58"/>
    <w:rsid w:val="00490618"/>
    <w:rsid w:val="004B203A"/>
    <w:rsid w:val="004B581F"/>
    <w:rsid w:val="004B5F40"/>
    <w:rsid w:val="004C7D16"/>
    <w:rsid w:val="004D0860"/>
    <w:rsid w:val="004D700E"/>
    <w:rsid w:val="004D7F17"/>
    <w:rsid w:val="004E0670"/>
    <w:rsid w:val="004E7F37"/>
    <w:rsid w:val="004F31BA"/>
    <w:rsid w:val="005118E4"/>
    <w:rsid w:val="0051299F"/>
    <w:rsid w:val="005159E6"/>
    <w:rsid w:val="00526B85"/>
    <w:rsid w:val="005306A1"/>
    <w:rsid w:val="00544751"/>
    <w:rsid w:val="00553A84"/>
    <w:rsid w:val="00563F88"/>
    <w:rsid w:val="00571E8B"/>
    <w:rsid w:val="0059000C"/>
    <w:rsid w:val="005A02A1"/>
    <w:rsid w:val="005B6071"/>
    <w:rsid w:val="005C120F"/>
    <w:rsid w:val="005D7A24"/>
    <w:rsid w:val="005E1395"/>
    <w:rsid w:val="005E2389"/>
    <w:rsid w:val="00616EBA"/>
    <w:rsid w:val="00620574"/>
    <w:rsid w:val="00622B47"/>
    <w:rsid w:val="00632C08"/>
    <w:rsid w:val="00654AA6"/>
    <w:rsid w:val="00654C42"/>
    <w:rsid w:val="0067074A"/>
    <w:rsid w:val="00672994"/>
    <w:rsid w:val="006807C9"/>
    <w:rsid w:val="00692EFD"/>
    <w:rsid w:val="00694FDB"/>
    <w:rsid w:val="006C15C5"/>
    <w:rsid w:val="006D3DAD"/>
    <w:rsid w:val="006D4A4B"/>
    <w:rsid w:val="006E1C6A"/>
    <w:rsid w:val="006E476C"/>
    <w:rsid w:val="006F0085"/>
    <w:rsid w:val="006F6096"/>
    <w:rsid w:val="006F7B19"/>
    <w:rsid w:val="00707E21"/>
    <w:rsid w:val="007119A6"/>
    <w:rsid w:val="00716D7B"/>
    <w:rsid w:val="00736A76"/>
    <w:rsid w:val="00752C6B"/>
    <w:rsid w:val="00760CE6"/>
    <w:rsid w:val="00762F09"/>
    <w:rsid w:val="007719C9"/>
    <w:rsid w:val="00772718"/>
    <w:rsid w:val="007932C7"/>
    <w:rsid w:val="007A3610"/>
    <w:rsid w:val="007D1DD8"/>
    <w:rsid w:val="007D30A8"/>
    <w:rsid w:val="007F6391"/>
    <w:rsid w:val="00814FB1"/>
    <w:rsid w:val="00820F20"/>
    <w:rsid w:val="0082528A"/>
    <w:rsid w:val="00825754"/>
    <w:rsid w:val="00833758"/>
    <w:rsid w:val="00835210"/>
    <w:rsid w:val="0084413D"/>
    <w:rsid w:val="00844C2D"/>
    <w:rsid w:val="00845DAA"/>
    <w:rsid w:val="00851FDD"/>
    <w:rsid w:val="0087438E"/>
    <w:rsid w:val="00884668"/>
    <w:rsid w:val="00895EB9"/>
    <w:rsid w:val="00896FBC"/>
    <w:rsid w:val="008B2B46"/>
    <w:rsid w:val="008E05BC"/>
    <w:rsid w:val="008F17B8"/>
    <w:rsid w:val="008F2109"/>
    <w:rsid w:val="008F3CCF"/>
    <w:rsid w:val="00901750"/>
    <w:rsid w:val="00901A61"/>
    <w:rsid w:val="00914C18"/>
    <w:rsid w:val="00921840"/>
    <w:rsid w:val="0092186E"/>
    <w:rsid w:val="00932C87"/>
    <w:rsid w:val="009331B4"/>
    <w:rsid w:val="009345F1"/>
    <w:rsid w:val="00944BBB"/>
    <w:rsid w:val="009547B6"/>
    <w:rsid w:val="00961072"/>
    <w:rsid w:val="0096623C"/>
    <w:rsid w:val="00974080"/>
    <w:rsid w:val="009A2F51"/>
    <w:rsid w:val="009A34F3"/>
    <w:rsid w:val="009A59CC"/>
    <w:rsid w:val="009C6C53"/>
    <w:rsid w:val="009E1A74"/>
    <w:rsid w:val="009E6C03"/>
    <w:rsid w:val="009E750F"/>
    <w:rsid w:val="00A04D96"/>
    <w:rsid w:val="00A0629B"/>
    <w:rsid w:val="00A14495"/>
    <w:rsid w:val="00A16BE1"/>
    <w:rsid w:val="00A24F65"/>
    <w:rsid w:val="00A40865"/>
    <w:rsid w:val="00A453D7"/>
    <w:rsid w:val="00A454BF"/>
    <w:rsid w:val="00A52E3A"/>
    <w:rsid w:val="00A530A8"/>
    <w:rsid w:val="00A814CB"/>
    <w:rsid w:val="00A90D1B"/>
    <w:rsid w:val="00A941A0"/>
    <w:rsid w:val="00AC144D"/>
    <w:rsid w:val="00AD70E2"/>
    <w:rsid w:val="00AF55F8"/>
    <w:rsid w:val="00B10ABA"/>
    <w:rsid w:val="00B303E4"/>
    <w:rsid w:val="00B33CFE"/>
    <w:rsid w:val="00B420D4"/>
    <w:rsid w:val="00B57910"/>
    <w:rsid w:val="00B91B21"/>
    <w:rsid w:val="00B952F6"/>
    <w:rsid w:val="00BA202A"/>
    <w:rsid w:val="00BC093A"/>
    <w:rsid w:val="00BC2B00"/>
    <w:rsid w:val="00BC4ACC"/>
    <w:rsid w:val="00BC4FCC"/>
    <w:rsid w:val="00BD02F8"/>
    <w:rsid w:val="00C04432"/>
    <w:rsid w:val="00C1488E"/>
    <w:rsid w:val="00C217A8"/>
    <w:rsid w:val="00C25C42"/>
    <w:rsid w:val="00C4188F"/>
    <w:rsid w:val="00C67CCB"/>
    <w:rsid w:val="00C819A4"/>
    <w:rsid w:val="00C824AE"/>
    <w:rsid w:val="00C84EA8"/>
    <w:rsid w:val="00C92998"/>
    <w:rsid w:val="00CA720A"/>
    <w:rsid w:val="00CD0003"/>
    <w:rsid w:val="00CD5925"/>
    <w:rsid w:val="00CE557A"/>
    <w:rsid w:val="00D031B2"/>
    <w:rsid w:val="00D1410C"/>
    <w:rsid w:val="00D15A57"/>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153FB"/>
    <w:rsid w:val="00E374DD"/>
    <w:rsid w:val="00E47250"/>
    <w:rsid w:val="00E47ADA"/>
    <w:rsid w:val="00E56943"/>
    <w:rsid w:val="00E61535"/>
    <w:rsid w:val="00E73918"/>
    <w:rsid w:val="00E73F55"/>
    <w:rsid w:val="00E74266"/>
    <w:rsid w:val="00E7480B"/>
    <w:rsid w:val="00E75A4B"/>
    <w:rsid w:val="00E8246B"/>
    <w:rsid w:val="00E84012"/>
    <w:rsid w:val="00E85A56"/>
    <w:rsid w:val="00E9373C"/>
    <w:rsid w:val="00EA0724"/>
    <w:rsid w:val="00EA6251"/>
    <w:rsid w:val="00EB6414"/>
    <w:rsid w:val="00EE3BA6"/>
    <w:rsid w:val="00EE5747"/>
    <w:rsid w:val="00EF3804"/>
    <w:rsid w:val="00EF5E05"/>
    <w:rsid w:val="00F021D8"/>
    <w:rsid w:val="00F073CA"/>
    <w:rsid w:val="00F227AF"/>
    <w:rsid w:val="00F27370"/>
    <w:rsid w:val="00F40B00"/>
    <w:rsid w:val="00F41AAB"/>
    <w:rsid w:val="00F5341C"/>
    <w:rsid w:val="00F56954"/>
    <w:rsid w:val="00F76062"/>
    <w:rsid w:val="00F85F98"/>
    <w:rsid w:val="00F948AF"/>
    <w:rsid w:val="00FA1F45"/>
    <w:rsid w:val="00FA5A7B"/>
    <w:rsid w:val="00FB11B1"/>
    <w:rsid w:val="00FC1C24"/>
    <w:rsid w:val="00FD62BE"/>
    <w:rsid w:val="00FE00E8"/>
    <w:rsid w:val="00FF0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14:docId w14:val="40DBDB13"/>
  <w15:docId w15:val="{EC565FE5-05B3-4949-AC2E-7DB4A38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styleId="FollowedHyperlink">
    <w:name w:val="FollowedHyperlink"/>
    <w:basedOn w:val="DefaultParagraphFont"/>
    <w:uiPriority w:val="99"/>
    <w:semiHidden/>
    <w:unhideWhenUsed/>
    <w:rsid w:val="007A3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information/information-applicants/timing-grant-opportunity-process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communitygrants.gov.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customXml" Target="../../customXml/item4.xml"/><Relationship Id="rId1" Type="http://schemas.openxmlformats.org/officeDocument/2006/relationships/customXml" Target="../../customXml/item3.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10B0D"/>
    <w:rsid w:val="00190F4F"/>
    <w:rsid w:val="00274781"/>
    <w:rsid w:val="00485865"/>
    <w:rsid w:val="004A7D97"/>
    <w:rsid w:val="00605577"/>
    <w:rsid w:val="006424F2"/>
    <w:rsid w:val="006C16DA"/>
    <w:rsid w:val="007F0CB3"/>
    <w:rsid w:val="00803129"/>
    <w:rsid w:val="008B794C"/>
    <w:rsid w:val="008C274C"/>
    <w:rsid w:val="008E17C3"/>
    <w:rsid w:val="009013CA"/>
    <w:rsid w:val="009C55E0"/>
    <w:rsid w:val="00A0186A"/>
    <w:rsid w:val="00A87D60"/>
    <w:rsid w:val="00A965B5"/>
    <w:rsid w:val="00AE216A"/>
    <w:rsid w:val="00DF3C65"/>
    <w:rsid w:val="00E84804"/>
    <w:rsid w:val="00ED3FC8"/>
    <w:rsid w:val="00F25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2016-06-16T00:00:00</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4C7A7-747C-45B5-B44A-E03DADF55F9C}">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15160796-9FB6-43D9-A76A-1F766E1D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20</TotalTime>
  <Pages>3</Pages>
  <Words>874</Words>
  <Characters>5039</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2021 Volunteer Grants</vt:lpstr>
    </vt:vector>
  </TitlesOfParts>
  <Company>Community Grants Hub</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Volunteer Grants</dc:title>
  <dc:subject>Feedback for applicants</dc:subject>
  <dc:creator>LONG, Andrew</dc:creator>
  <cp:keywords>[SEC=OFFICIAL]</cp:keywords>
  <dc:description/>
  <cp:lastModifiedBy>GEE, Pim</cp:lastModifiedBy>
  <cp:revision>2</cp:revision>
  <cp:lastPrinted>2022-04-29T04:45:00Z</cp:lastPrinted>
  <dcterms:created xsi:type="dcterms:W3CDTF">2022-04-29T04:25:00Z</dcterms:created>
  <dcterms:modified xsi:type="dcterms:W3CDTF">2022-04-29T04:49:00Z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2022-04-29T04:49:55Z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50369757D1B24152E1639052E8FC209A</vt:lpwstr>
  </property>
  <property fmtid="{D5CDD505-2E9C-101B-9397-08002B2CF9AE}" pid="20" name="PM_Hash_Salt">
    <vt:lpwstr>D80F0E84D8AED9D59E3DB2410EA4DF70</vt:lpwstr>
  </property>
  <property fmtid="{D5CDD505-2E9C-101B-9397-08002B2CF9AE}" pid="21" name="PM_Hash_SHA1">
    <vt:lpwstr>1ADF8852B09F05195CBD93FA10DE23D592620B15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