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F85F5" w14:textId="77777777" w:rsidR="009807A0" w:rsidRPr="00947688" w:rsidRDefault="009807A0" w:rsidP="009807A0">
      <w:pPr>
        <w:jc w:val="center"/>
        <w:rPr>
          <w:szCs w:val="22"/>
        </w:rPr>
      </w:pPr>
      <w:bookmarkStart w:id="0" w:name="_GoBack"/>
      <w:bookmarkEnd w:id="0"/>
      <w:r w:rsidRPr="00947688">
        <w:rPr>
          <w:noProof/>
          <w:szCs w:val="22"/>
          <w:lang w:eastAsia="en-AU"/>
        </w:rPr>
        <w:drawing>
          <wp:inline distT="0" distB="0" distL="0" distR="0" wp14:anchorId="3B97DBC7" wp14:editId="23B45EC0">
            <wp:extent cx="1825200" cy="954000"/>
            <wp:effectExtent l="0" t="0" r="3810" b="0"/>
            <wp:docPr id="1" name="Picture 1"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5200" cy="954000"/>
                    </a:xfrm>
                    <a:prstGeom prst="rect">
                      <a:avLst/>
                    </a:prstGeom>
                  </pic:spPr>
                </pic:pic>
              </a:graphicData>
            </a:graphic>
          </wp:inline>
        </w:drawing>
      </w:r>
    </w:p>
    <w:p w14:paraId="0732E166" w14:textId="77777777" w:rsidR="009807A0" w:rsidRPr="00947688" w:rsidRDefault="009807A0" w:rsidP="009807A0">
      <w:pPr>
        <w:rPr>
          <w:szCs w:val="22"/>
        </w:rPr>
      </w:pPr>
    </w:p>
    <w:p w14:paraId="45FDADEB" w14:textId="77777777" w:rsidR="009807A0" w:rsidRPr="002E37A3" w:rsidRDefault="009807A0" w:rsidP="009807A0">
      <w:pPr>
        <w:pBdr>
          <w:top w:val="single" w:sz="24" w:space="1" w:color="auto"/>
        </w:pBdr>
        <w:spacing w:before="4080" w:after="200" w:line="276" w:lineRule="auto"/>
        <w:rPr>
          <w:rFonts w:ascii="Arial" w:eastAsia="Calibri" w:hAnsi="Arial" w:cs="Arial"/>
          <w:color w:val="auto"/>
          <w:sz w:val="36"/>
          <w:szCs w:val="36"/>
        </w:rPr>
      </w:pPr>
    </w:p>
    <w:p w14:paraId="3005DC20" w14:textId="77777777" w:rsidR="009807A0" w:rsidRPr="002E37A3" w:rsidRDefault="009807A0" w:rsidP="009807A0">
      <w:pPr>
        <w:spacing w:before="1440" w:after="240" w:line="276" w:lineRule="auto"/>
        <w:contextualSpacing/>
        <w:jc w:val="center"/>
        <w:rPr>
          <w:rFonts w:ascii="Georgia" w:eastAsia="Times New Roman" w:hAnsi="Georgia"/>
          <w:b/>
          <w:bCs/>
          <w:iCs/>
          <w:color w:val="auto"/>
          <w:sz w:val="36"/>
          <w:szCs w:val="36"/>
          <w:lang w:bidi="en-US"/>
        </w:rPr>
      </w:pPr>
      <w:r w:rsidRPr="002E37A3">
        <w:rPr>
          <w:rFonts w:ascii="Georgia" w:eastAsia="Times New Roman" w:hAnsi="Georgia"/>
          <w:b/>
          <w:bCs/>
          <w:iCs/>
          <w:color w:val="auto"/>
          <w:sz w:val="36"/>
          <w:szCs w:val="36"/>
          <w:lang w:bidi="en-US"/>
        </w:rPr>
        <w:t>Community Inclusion and Capacity Development (CICD)</w:t>
      </w:r>
    </w:p>
    <w:p w14:paraId="6BDA839A" w14:textId="77777777" w:rsidR="009807A0" w:rsidRPr="002E37A3" w:rsidRDefault="009807A0" w:rsidP="009807A0">
      <w:pPr>
        <w:pBdr>
          <w:top w:val="single" w:sz="24" w:space="1" w:color="auto"/>
        </w:pBdr>
        <w:spacing w:before="480" w:after="200" w:line="276" w:lineRule="auto"/>
        <w:rPr>
          <w:rFonts w:ascii="Arial" w:eastAsia="Calibri" w:hAnsi="Arial" w:cs="Arial"/>
          <w:color w:val="auto"/>
          <w:sz w:val="36"/>
          <w:szCs w:val="36"/>
        </w:rPr>
      </w:pPr>
    </w:p>
    <w:p w14:paraId="38F78BD4" w14:textId="77777777" w:rsidR="009807A0" w:rsidRDefault="009807A0" w:rsidP="009807A0">
      <w:pPr>
        <w:spacing w:before="480" w:after="200" w:line="276" w:lineRule="auto"/>
        <w:jc w:val="center"/>
        <w:rPr>
          <w:rFonts w:ascii="Georgia" w:eastAsia="Calibri" w:hAnsi="Georgia" w:cs="Arial"/>
          <w:b/>
          <w:bCs/>
          <w:color w:val="auto"/>
          <w:sz w:val="36"/>
          <w:szCs w:val="36"/>
        </w:rPr>
      </w:pPr>
      <w:r w:rsidRPr="002E37A3">
        <w:rPr>
          <w:rFonts w:ascii="Georgia" w:eastAsia="Calibri" w:hAnsi="Georgia" w:cs="Arial"/>
          <w:b/>
          <w:bCs/>
          <w:color w:val="auto"/>
          <w:sz w:val="36"/>
          <w:szCs w:val="36"/>
        </w:rPr>
        <w:t>Implementing Information, Linkages and Capacity Building (ILC)</w:t>
      </w:r>
    </w:p>
    <w:p w14:paraId="0BBC189D" w14:textId="77777777" w:rsidR="003003B1" w:rsidRPr="002E37A3" w:rsidRDefault="003003B1" w:rsidP="00746D93">
      <w:pPr>
        <w:spacing w:after="200" w:line="240" w:lineRule="auto"/>
        <w:jc w:val="center"/>
        <w:rPr>
          <w:rFonts w:ascii="Georgia" w:eastAsia="Calibri" w:hAnsi="Georgia" w:cs="Arial"/>
          <w:b/>
          <w:bCs/>
          <w:color w:val="auto"/>
          <w:sz w:val="36"/>
          <w:szCs w:val="36"/>
        </w:rPr>
      </w:pPr>
      <w:r>
        <w:rPr>
          <w:rFonts w:ascii="Georgia" w:eastAsia="Calibri" w:hAnsi="Georgia" w:cs="Arial"/>
          <w:b/>
          <w:bCs/>
          <w:color w:val="auto"/>
          <w:sz w:val="36"/>
          <w:szCs w:val="36"/>
        </w:rPr>
        <w:t xml:space="preserve">ILC Jurisdictional Based Grants - </w:t>
      </w:r>
    </w:p>
    <w:p w14:paraId="4A08F548" w14:textId="77777777" w:rsidR="009807A0" w:rsidRPr="002E37A3" w:rsidRDefault="009807A0" w:rsidP="00746D93">
      <w:pPr>
        <w:spacing w:after="200" w:line="240" w:lineRule="auto"/>
        <w:jc w:val="center"/>
        <w:rPr>
          <w:rFonts w:ascii="Georgia" w:eastAsia="Calibri" w:hAnsi="Georgia" w:cs="Arial"/>
          <w:b/>
          <w:bCs/>
          <w:color w:val="auto"/>
          <w:sz w:val="36"/>
          <w:szCs w:val="36"/>
        </w:rPr>
      </w:pPr>
      <w:r w:rsidRPr="002E37A3">
        <w:rPr>
          <w:rFonts w:ascii="Georgia" w:eastAsia="Calibri" w:hAnsi="Georgia" w:cs="Arial"/>
          <w:b/>
          <w:bCs/>
          <w:color w:val="auto"/>
          <w:sz w:val="36"/>
          <w:szCs w:val="36"/>
        </w:rPr>
        <w:t>Australian Capital Territory</w:t>
      </w:r>
    </w:p>
    <w:p w14:paraId="54B6B87A" w14:textId="77777777" w:rsidR="009807A0" w:rsidRPr="002E37A3" w:rsidRDefault="009807A0" w:rsidP="009807A0">
      <w:pPr>
        <w:spacing w:before="480" w:after="200" w:line="276" w:lineRule="auto"/>
        <w:jc w:val="center"/>
        <w:rPr>
          <w:rFonts w:ascii="Georgia" w:eastAsia="Calibri" w:hAnsi="Georgia" w:cs="Arial"/>
          <w:b/>
          <w:bCs/>
          <w:color w:val="auto"/>
          <w:sz w:val="36"/>
          <w:szCs w:val="36"/>
        </w:rPr>
      </w:pPr>
      <w:r w:rsidRPr="002E37A3">
        <w:rPr>
          <w:rFonts w:ascii="Georgia" w:eastAsia="Calibri" w:hAnsi="Georgia" w:cs="Arial"/>
          <w:b/>
          <w:bCs/>
          <w:color w:val="auto"/>
          <w:sz w:val="36"/>
          <w:szCs w:val="36"/>
        </w:rPr>
        <w:t xml:space="preserve"> Funding Round Summary</w:t>
      </w:r>
    </w:p>
    <w:p w14:paraId="00CFFAB0" w14:textId="77777777" w:rsidR="009807A0" w:rsidRPr="002E37A3" w:rsidRDefault="009807A0" w:rsidP="009807A0">
      <w:pPr>
        <w:pBdr>
          <w:top w:val="single" w:sz="24" w:space="1" w:color="auto"/>
        </w:pBdr>
        <w:spacing w:line="276" w:lineRule="auto"/>
        <w:jc w:val="center"/>
        <w:rPr>
          <w:rFonts w:ascii="Arial" w:eastAsia="Calibri" w:hAnsi="Arial" w:cs="Arial"/>
          <w:b/>
          <w:bCs/>
          <w:color w:val="auto"/>
          <w:sz w:val="36"/>
          <w:szCs w:val="36"/>
          <w:highlight w:val="yellow"/>
        </w:rPr>
      </w:pPr>
    </w:p>
    <w:p w14:paraId="45D0E7A9" w14:textId="5BEECA94" w:rsidR="009807A0" w:rsidRPr="002E37A3" w:rsidRDefault="00CF3BD7" w:rsidP="009807A0">
      <w:pPr>
        <w:pStyle w:val="Heading3"/>
        <w:spacing w:before="120"/>
        <w:jc w:val="center"/>
        <w:rPr>
          <w:rFonts w:ascii="Georgia" w:eastAsia="Calibri" w:hAnsi="Georgia"/>
          <w:szCs w:val="22"/>
        </w:rPr>
      </w:pPr>
      <w:r>
        <w:rPr>
          <w:rFonts w:ascii="Georgia" w:eastAsia="Calibri" w:hAnsi="Georgia"/>
          <w:szCs w:val="22"/>
        </w:rPr>
        <w:t>March</w:t>
      </w:r>
      <w:r w:rsidR="009807A0" w:rsidRPr="002E37A3">
        <w:rPr>
          <w:rFonts w:ascii="Georgia" w:eastAsia="Calibri" w:hAnsi="Georgia"/>
          <w:szCs w:val="22"/>
        </w:rPr>
        <w:t xml:space="preserve"> 2017</w:t>
      </w:r>
    </w:p>
    <w:p w14:paraId="7A54214C" w14:textId="77777777" w:rsidR="009807A0" w:rsidRPr="00947688" w:rsidRDefault="009807A0" w:rsidP="009807A0">
      <w:pPr>
        <w:spacing w:line="240" w:lineRule="auto"/>
        <w:rPr>
          <w:rFonts w:ascii="Arial" w:eastAsia="Calibri" w:hAnsi="Arial"/>
          <w:color w:val="auto"/>
          <w:szCs w:val="22"/>
        </w:rPr>
      </w:pPr>
      <w:r w:rsidRPr="00947688">
        <w:rPr>
          <w:rFonts w:ascii="Arial" w:eastAsia="Calibri" w:hAnsi="Arial"/>
          <w:color w:val="auto"/>
          <w:szCs w:val="22"/>
        </w:rPr>
        <w:br w:type="page"/>
      </w:r>
    </w:p>
    <w:p w14:paraId="088E634A" w14:textId="77777777" w:rsidR="00A75087" w:rsidRPr="00A75087" w:rsidRDefault="00A75087" w:rsidP="005F0B24">
      <w:pPr>
        <w:pStyle w:val="BodyText"/>
        <w:rPr>
          <w:rFonts w:asciiTheme="majorHAnsi" w:eastAsiaTheme="majorEastAsia" w:hAnsiTheme="majorHAnsi" w:cstheme="majorBidi"/>
          <w:b/>
          <w:bCs/>
          <w:sz w:val="24"/>
          <w:szCs w:val="24"/>
        </w:rPr>
      </w:pPr>
      <w:r w:rsidRPr="00A75087">
        <w:rPr>
          <w:rFonts w:asciiTheme="majorHAnsi" w:eastAsiaTheme="majorEastAsia" w:hAnsiTheme="majorHAnsi" w:cstheme="majorBidi"/>
          <w:b/>
          <w:bCs/>
          <w:sz w:val="24"/>
          <w:szCs w:val="24"/>
        </w:rPr>
        <w:lastRenderedPageBreak/>
        <w:t>Information, Linkages and Capacity Building (ILC)</w:t>
      </w:r>
    </w:p>
    <w:p w14:paraId="5983B8F7" w14:textId="77777777" w:rsidR="005F0B24"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The Community Inclusion and Capacity Development (CICD) Program was established as part of the National Disability Insurance Scheme (NDIS) funding commitment by the Commonwealth in the 2013-14 Portfolio Budget Statement as the Program by which the ILC component of the NDIS was to be funded.</w:t>
      </w:r>
    </w:p>
    <w:p w14:paraId="2D5BC694" w14:textId="77777777" w:rsidR="009D2564" w:rsidRPr="00746D93" w:rsidRDefault="000D3CE7" w:rsidP="009D2564">
      <w:pPr>
        <w:spacing w:after="120" w:line="240" w:lineRule="auto"/>
        <w:jc w:val="both"/>
        <w:rPr>
          <w:rFonts w:eastAsia="Calibri" w:cs="Arial"/>
          <w:color w:val="auto"/>
        </w:rPr>
      </w:pPr>
      <w:r w:rsidRPr="00746D93">
        <w:rPr>
          <w:rFonts w:eastAsia="Calibri" w:cs="Arial"/>
          <w:color w:val="auto"/>
        </w:rPr>
        <w:t xml:space="preserve">The objective of the CICD Program is to build innovative ways to increase the independence, social and community participation of people with a disability. </w:t>
      </w:r>
      <w:r w:rsidR="009D2564">
        <w:rPr>
          <w:rFonts w:eastAsia="Calibri" w:cs="Arial"/>
          <w:color w:val="auto"/>
        </w:rPr>
        <w:t xml:space="preserve">  </w:t>
      </w:r>
      <w:r w:rsidR="009D2564">
        <w:t xml:space="preserve">ILC will deliver on this objective by building individual capacity to live an ordinary life and creating opportunities in the community to do so.  Ultimately, ILC will help to drive the change required across all sections of the community to support the inclusion of people with disability. </w:t>
      </w:r>
    </w:p>
    <w:p w14:paraId="34DDF65B" w14:textId="77777777" w:rsidR="005F0B24" w:rsidRPr="00947688"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During the NDIS trial period, a number of activities were funded through the CICD fund. These projects were designed to promote the economic and/or social participation of people with disability, to raise awareness of disability issues within community or to meet identified needs within the NDIS trial site.</w:t>
      </w:r>
    </w:p>
    <w:p w14:paraId="4240CBB0" w14:textId="77777777" w:rsidR="005F0B24" w:rsidRPr="00947688"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 xml:space="preserve">The scope and purpose of ILC has subsequently been agreed by Governments and described in the ILC Policy. The Information, Linkages and Capacity Building Commissioning Framework, November 2016 (ILC Commissioning Framework) has built on the ILC Policy to articulate the goals and outcomes expected for ILC. The </w:t>
      </w:r>
      <w:hyperlink r:id="rId11" w:history="1">
        <w:r w:rsidRPr="00C74DD7">
          <w:rPr>
            <w:rStyle w:val="Hyperlink"/>
            <w:rFonts w:asciiTheme="majorHAnsi" w:eastAsiaTheme="majorEastAsia" w:hAnsiTheme="majorHAnsi" w:cstheme="majorBidi"/>
            <w:bCs/>
            <w:szCs w:val="22"/>
          </w:rPr>
          <w:t>CICD Program Guidelines</w:t>
        </w:r>
      </w:hyperlink>
      <w:r w:rsidRPr="00947688">
        <w:rPr>
          <w:rFonts w:asciiTheme="majorHAnsi" w:eastAsiaTheme="majorEastAsia" w:hAnsiTheme="majorHAnsi" w:cstheme="majorBidi"/>
          <w:bCs/>
          <w:szCs w:val="22"/>
        </w:rPr>
        <w:t xml:space="preserve"> – Implementing ILC have been updated to reflect the requirements of the ILC Policy and the </w:t>
      </w:r>
      <w:hyperlink r:id="rId12" w:history="1">
        <w:r w:rsidRPr="00C74DD7">
          <w:rPr>
            <w:rStyle w:val="Hyperlink"/>
            <w:rFonts w:asciiTheme="majorHAnsi" w:eastAsiaTheme="majorEastAsia" w:hAnsiTheme="majorHAnsi" w:cstheme="majorBidi"/>
            <w:bCs/>
            <w:szCs w:val="22"/>
          </w:rPr>
          <w:t>ILC Commissioning Framework</w:t>
        </w:r>
      </w:hyperlink>
      <w:r w:rsidRPr="00947688">
        <w:rPr>
          <w:rFonts w:asciiTheme="majorHAnsi" w:eastAsiaTheme="majorEastAsia" w:hAnsiTheme="majorHAnsi" w:cstheme="majorBidi"/>
          <w:bCs/>
          <w:szCs w:val="22"/>
        </w:rPr>
        <w:t xml:space="preserve"> and should be read alongside both of those documents.</w:t>
      </w:r>
      <w:r w:rsidR="00C74DD7">
        <w:rPr>
          <w:rFonts w:asciiTheme="majorHAnsi" w:eastAsiaTheme="majorEastAsia" w:hAnsiTheme="majorHAnsi" w:cstheme="majorBidi"/>
          <w:bCs/>
          <w:szCs w:val="22"/>
        </w:rPr>
        <w:t xml:space="preserve"> </w:t>
      </w:r>
    </w:p>
    <w:p w14:paraId="4AD2F57B" w14:textId="77777777" w:rsidR="005F0B24" w:rsidRPr="00947688"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The CICD Program Guidelines – Implementing ILC are only applicable to the following four Activity Areas described in the ILC Policy and ILC Commissioning Framework:</w:t>
      </w:r>
    </w:p>
    <w:p w14:paraId="1A2041A8" w14:textId="77777777" w:rsidR="005F0B24" w:rsidRPr="00947688"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w:t>
      </w:r>
      <w:r w:rsidRPr="00947688">
        <w:rPr>
          <w:rFonts w:asciiTheme="majorHAnsi" w:eastAsiaTheme="majorEastAsia" w:hAnsiTheme="majorHAnsi" w:cstheme="majorBidi"/>
          <w:bCs/>
          <w:szCs w:val="22"/>
        </w:rPr>
        <w:tab/>
        <w:t>Information, linkages and referrals</w:t>
      </w:r>
    </w:p>
    <w:p w14:paraId="628398EE" w14:textId="77777777" w:rsidR="005F0B24" w:rsidRPr="00947688"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w:t>
      </w:r>
      <w:r w:rsidRPr="00947688">
        <w:rPr>
          <w:rFonts w:asciiTheme="majorHAnsi" w:eastAsiaTheme="majorEastAsia" w:hAnsiTheme="majorHAnsi" w:cstheme="majorBidi"/>
          <w:bCs/>
          <w:szCs w:val="22"/>
        </w:rPr>
        <w:tab/>
        <w:t>Capacity building for mainstream services</w:t>
      </w:r>
    </w:p>
    <w:p w14:paraId="6D8EC690" w14:textId="77777777" w:rsidR="005F0B24" w:rsidRPr="00947688"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w:t>
      </w:r>
      <w:r w:rsidRPr="00947688">
        <w:rPr>
          <w:rFonts w:asciiTheme="majorHAnsi" w:eastAsiaTheme="majorEastAsia" w:hAnsiTheme="majorHAnsi" w:cstheme="majorBidi"/>
          <w:bCs/>
          <w:szCs w:val="22"/>
        </w:rPr>
        <w:tab/>
        <w:t>Community awareness and capacity building</w:t>
      </w:r>
    </w:p>
    <w:p w14:paraId="196475EE" w14:textId="77777777" w:rsidR="005F0B24" w:rsidRPr="00947688" w:rsidRDefault="005F0B24" w:rsidP="005F0B24">
      <w:pPr>
        <w:pStyle w:val="BodyText"/>
        <w:rPr>
          <w:rFonts w:asciiTheme="majorHAnsi" w:eastAsiaTheme="majorEastAsia" w:hAnsiTheme="majorHAnsi" w:cstheme="majorBidi"/>
          <w:bCs/>
          <w:szCs w:val="22"/>
        </w:rPr>
      </w:pPr>
      <w:r w:rsidRPr="00947688">
        <w:rPr>
          <w:rFonts w:asciiTheme="majorHAnsi" w:eastAsiaTheme="majorEastAsia" w:hAnsiTheme="majorHAnsi" w:cstheme="majorBidi"/>
          <w:bCs/>
          <w:szCs w:val="22"/>
        </w:rPr>
        <w:t>•</w:t>
      </w:r>
      <w:r w:rsidRPr="00947688">
        <w:rPr>
          <w:rFonts w:asciiTheme="majorHAnsi" w:eastAsiaTheme="majorEastAsia" w:hAnsiTheme="majorHAnsi" w:cstheme="majorBidi"/>
          <w:bCs/>
          <w:szCs w:val="22"/>
        </w:rPr>
        <w:tab/>
        <w:t>Individual capacity building.</w:t>
      </w:r>
    </w:p>
    <w:p w14:paraId="3E0CE96D" w14:textId="2EB8E34B" w:rsidR="005F0B24" w:rsidRDefault="001F01A1" w:rsidP="005F0B24">
      <w:pPr>
        <w:pStyle w:val="BodyText"/>
        <w:rPr>
          <w:rFonts w:asciiTheme="majorHAnsi" w:eastAsiaTheme="majorEastAsia" w:hAnsiTheme="majorHAnsi" w:cstheme="majorBidi"/>
          <w:bCs/>
          <w:color w:val="auto"/>
          <w:szCs w:val="22"/>
        </w:rPr>
      </w:pPr>
      <w:r>
        <w:rPr>
          <w:rFonts w:asciiTheme="majorHAnsi" w:eastAsiaTheme="majorEastAsia" w:hAnsiTheme="majorHAnsi" w:cstheme="majorBidi"/>
          <w:bCs/>
          <w:szCs w:val="22"/>
        </w:rPr>
        <w:t xml:space="preserve">The NDIA will progressively introduce </w:t>
      </w:r>
      <w:r w:rsidR="005F0B24" w:rsidRPr="00947688">
        <w:rPr>
          <w:rFonts w:asciiTheme="majorHAnsi" w:eastAsiaTheme="majorEastAsia" w:hAnsiTheme="majorHAnsi" w:cstheme="majorBidi"/>
          <w:bCs/>
          <w:szCs w:val="22"/>
        </w:rPr>
        <w:t>ILC in states and territories across Australia</w:t>
      </w:r>
      <w:r w:rsidR="00C044FC">
        <w:rPr>
          <w:rFonts w:asciiTheme="majorHAnsi" w:eastAsiaTheme="majorEastAsia" w:hAnsiTheme="majorHAnsi" w:cstheme="majorBidi"/>
          <w:bCs/>
          <w:szCs w:val="22"/>
        </w:rPr>
        <w:t xml:space="preserve"> (</w:t>
      </w:r>
      <w:r>
        <w:rPr>
          <w:rFonts w:asciiTheme="majorHAnsi" w:eastAsiaTheme="majorEastAsia" w:hAnsiTheme="majorHAnsi" w:cstheme="majorBidi"/>
          <w:bCs/>
          <w:szCs w:val="22"/>
        </w:rPr>
        <w:t>except Western Australia</w:t>
      </w:r>
      <w:r w:rsidR="00C044FC">
        <w:rPr>
          <w:rFonts w:asciiTheme="majorHAnsi" w:eastAsiaTheme="majorEastAsia" w:hAnsiTheme="majorHAnsi" w:cstheme="majorBidi"/>
          <w:bCs/>
          <w:szCs w:val="22"/>
        </w:rPr>
        <w:t>)</w:t>
      </w:r>
      <w:r w:rsidR="005F0B24" w:rsidRPr="00947688">
        <w:rPr>
          <w:rFonts w:asciiTheme="majorHAnsi" w:eastAsiaTheme="majorEastAsia" w:hAnsiTheme="majorHAnsi" w:cstheme="majorBidi"/>
          <w:bCs/>
          <w:szCs w:val="22"/>
        </w:rPr>
        <w:t xml:space="preserve">. Each state and territory will transition into full ILC at a time that aligns to their broader transition to the NDIS. Prioritisation of funding within the CICD Program Guidelines will however change over time and across jurisdictions reflecting negotiations with jurisdictions and locally based need and opportunities as they arise. The NDIA therefore reserves the right to update the ILC Commissioning Framework and the CICD Program Guidelines as required. Any such updates will be made available via the </w:t>
      </w:r>
      <w:r w:rsidR="005F0B24" w:rsidRPr="002C0A64">
        <w:rPr>
          <w:rFonts w:asciiTheme="majorHAnsi" w:eastAsiaTheme="majorEastAsia" w:hAnsiTheme="majorHAnsi" w:cstheme="majorBidi"/>
          <w:bCs/>
          <w:color w:val="auto"/>
          <w:szCs w:val="22"/>
        </w:rPr>
        <w:t xml:space="preserve">NDIA’s website. </w:t>
      </w:r>
    </w:p>
    <w:p w14:paraId="6C82B11F" w14:textId="741FA322" w:rsidR="001F01A1" w:rsidRPr="001F01A1" w:rsidRDefault="001F01A1" w:rsidP="001F01A1">
      <w:pPr>
        <w:spacing w:after="120" w:line="240" w:lineRule="auto"/>
        <w:jc w:val="both"/>
        <w:rPr>
          <w:rFonts w:cs="Arial"/>
        </w:rPr>
      </w:pPr>
      <w:r>
        <w:rPr>
          <w:rFonts w:eastAsia="Calibri" w:cs="Arial"/>
        </w:rPr>
        <w:t xml:space="preserve">The Commonwealth and Western Australian Governments have signed a Bilateral Agreement covering the implementation of the NDIS in Western Australia, which provides for Western Australia to fund ILC in that State.  Organisations that are successful in receiving a grant under the CICD Program will </w:t>
      </w:r>
      <w:r w:rsidR="00C044FC">
        <w:rPr>
          <w:rFonts w:eastAsia="Calibri" w:cs="Arial"/>
        </w:rPr>
        <w:t xml:space="preserve">not </w:t>
      </w:r>
      <w:r>
        <w:rPr>
          <w:rFonts w:eastAsia="Calibri" w:cs="Arial"/>
        </w:rPr>
        <w:t xml:space="preserve">be funded </w:t>
      </w:r>
      <w:r w:rsidR="00C044FC">
        <w:rPr>
          <w:rFonts w:eastAsia="Calibri" w:cs="Arial"/>
        </w:rPr>
        <w:t xml:space="preserve">to deliver </w:t>
      </w:r>
      <w:r>
        <w:rPr>
          <w:rFonts w:eastAsia="Calibri" w:cs="Arial"/>
        </w:rPr>
        <w:t>activities in Western Australia.</w:t>
      </w:r>
    </w:p>
    <w:p w14:paraId="1063DCC2" w14:textId="77777777" w:rsidR="005F0B24" w:rsidRPr="002C0A64" w:rsidRDefault="005F0B24" w:rsidP="005F0B24">
      <w:pPr>
        <w:pStyle w:val="BodyText"/>
        <w:rPr>
          <w:color w:val="auto"/>
          <w:szCs w:val="22"/>
        </w:rPr>
      </w:pPr>
      <w:r w:rsidRPr="002C0A64">
        <w:rPr>
          <w:rFonts w:asciiTheme="majorHAnsi" w:eastAsiaTheme="majorEastAsia" w:hAnsiTheme="majorHAnsi" w:cstheme="majorBidi"/>
          <w:bCs/>
          <w:color w:val="auto"/>
          <w:szCs w:val="22"/>
        </w:rPr>
        <w:t xml:space="preserve">More details of the Community Inclusion and Capacity Development (CICD) Program are available in the Program Guidelines on the </w:t>
      </w:r>
      <w:hyperlink r:id="rId13" w:history="1">
        <w:r w:rsidRPr="002C0A64">
          <w:rPr>
            <w:rStyle w:val="Hyperlink"/>
            <w:rFonts w:asciiTheme="majorHAnsi" w:eastAsiaTheme="majorEastAsia" w:hAnsiTheme="majorHAnsi" w:cstheme="majorBidi"/>
            <w:bCs/>
            <w:color w:val="auto"/>
            <w:szCs w:val="22"/>
          </w:rPr>
          <w:t>NDIS website</w:t>
        </w:r>
      </w:hyperlink>
      <w:r w:rsidRPr="002C0A64">
        <w:rPr>
          <w:rFonts w:asciiTheme="majorHAnsi" w:eastAsiaTheme="majorEastAsia" w:hAnsiTheme="majorHAnsi" w:cstheme="majorBidi"/>
          <w:bCs/>
          <w:color w:val="auto"/>
          <w:szCs w:val="22"/>
        </w:rPr>
        <w:t>.</w:t>
      </w:r>
    </w:p>
    <w:p w14:paraId="6218B001" w14:textId="77777777" w:rsidR="005F0B24" w:rsidRPr="002C0A64" w:rsidRDefault="005F0B24" w:rsidP="005F0B24">
      <w:pPr>
        <w:pStyle w:val="BodyText"/>
        <w:rPr>
          <w:color w:val="auto"/>
          <w:szCs w:val="22"/>
        </w:rPr>
      </w:pPr>
      <w:r w:rsidRPr="002C0A64">
        <w:rPr>
          <w:iCs/>
          <w:color w:val="auto"/>
          <w:szCs w:val="22"/>
        </w:rPr>
        <w:t xml:space="preserve">The Community Grants Hub, on behalf of </w:t>
      </w:r>
      <w:r w:rsidRPr="00AA51A3">
        <w:rPr>
          <w:iCs/>
          <w:color w:val="auto"/>
          <w:szCs w:val="22"/>
        </w:rPr>
        <w:t>the NDIA, is</w:t>
      </w:r>
      <w:r w:rsidRPr="002C0A64">
        <w:rPr>
          <w:iCs/>
          <w:color w:val="auto"/>
          <w:szCs w:val="22"/>
        </w:rPr>
        <w:t xml:space="preserve"> inviting organisations to apply for funding to implement ILC in the Australian Capital Territory (ACT).</w:t>
      </w:r>
    </w:p>
    <w:p w14:paraId="6824F2AC" w14:textId="77777777" w:rsidR="00D247D2" w:rsidRPr="00947688" w:rsidRDefault="00D247D2" w:rsidP="00D247D2">
      <w:pPr>
        <w:pStyle w:val="Heading3"/>
        <w:rPr>
          <w:szCs w:val="22"/>
        </w:rPr>
      </w:pPr>
      <w:r w:rsidRPr="00947688">
        <w:rPr>
          <w:szCs w:val="22"/>
        </w:rPr>
        <w:t>Selection type</w:t>
      </w:r>
    </w:p>
    <w:p w14:paraId="6C7EA84B" w14:textId="77777777" w:rsidR="005F0B24" w:rsidRPr="00947688" w:rsidRDefault="005F0B24" w:rsidP="00655BEE">
      <w:pPr>
        <w:pStyle w:val="BodyText"/>
        <w:rPr>
          <w:smallCaps/>
          <w:szCs w:val="22"/>
        </w:rPr>
      </w:pPr>
      <w:r w:rsidRPr="00947688">
        <w:rPr>
          <w:rStyle w:val="BookTitle"/>
          <w:i w:val="0"/>
          <w:iCs w:val="0"/>
          <w:smallCaps w:val="0"/>
          <w:szCs w:val="22"/>
        </w:rPr>
        <w:t xml:space="preserve">This selection is an </w:t>
      </w:r>
      <w:r w:rsidR="00D5263F">
        <w:rPr>
          <w:rStyle w:val="BookTitle"/>
          <w:i w:val="0"/>
          <w:iCs w:val="0"/>
          <w:smallCaps w:val="0"/>
          <w:szCs w:val="22"/>
        </w:rPr>
        <w:t>o</w:t>
      </w:r>
      <w:r w:rsidRPr="00947688">
        <w:rPr>
          <w:rStyle w:val="BookTitle"/>
          <w:i w:val="0"/>
          <w:iCs w:val="0"/>
          <w:smallCaps w:val="0"/>
          <w:szCs w:val="22"/>
        </w:rPr>
        <w:t xml:space="preserve">pen </w:t>
      </w:r>
      <w:r w:rsidR="00D5263F">
        <w:rPr>
          <w:rStyle w:val="BookTitle"/>
          <w:i w:val="0"/>
          <w:iCs w:val="0"/>
          <w:smallCaps w:val="0"/>
          <w:szCs w:val="22"/>
        </w:rPr>
        <w:t>c</w:t>
      </w:r>
      <w:r w:rsidRPr="00947688">
        <w:rPr>
          <w:rStyle w:val="BookTitle"/>
          <w:i w:val="0"/>
          <w:iCs w:val="0"/>
          <w:smallCaps w:val="0"/>
          <w:szCs w:val="22"/>
        </w:rPr>
        <w:t xml:space="preserve">ompetitive </w:t>
      </w:r>
      <w:r w:rsidRPr="00655BEE">
        <w:rPr>
          <w:rFonts w:asciiTheme="majorHAnsi" w:eastAsiaTheme="majorEastAsia" w:hAnsiTheme="majorHAnsi" w:cstheme="majorBidi"/>
          <w:bCs/>
          <w:color w:val="auto"/>
        </w:rPr>
        <w:t>process</w:t>
      </w:r>
      <w:r w:rsidRPr="00947688">
        <w:rPr>
          <w:szCs w:val="22"/>
        </w:rPr>
        <w:t>.</w:t>
      </w:r>
    </w:p>
    <w:p w14:paraId="520B3018" w14:textId="77777777" w:rsidR="00A75087" w:rsidRPr="00947688" w:rsidRDefault="005F0B24" w:rsidP="005F0B24">
      <w:pPr>
        <w:rPr>
          <w:rStyle w:val="BookTitle"/>
          <w:i w:val="0"/>
          <w:iCs w:val="0"/>
          <w:smallCaps w:val="0"/>
          <w:szCs w:val="22"/>
        </w:rPr>
      </w:pPr>
      <w:r w:rsidRPr="00947688">
        <w:rPr>
          <w:rStyle w:val="BookTitle"/>
          <w:i w:val="0"/>
          <w:iCs w:val="0"/>
          <w:smallCaps w:val="0"/>
          <w:szCs w:val="22"/>
        </w:rPr>
        <w:lastRenderedPageBreak/>
        <w:t>An open competitive selection process is open to all</w:t>
      </w:r>
      <w:r w:rsidR="000A1D86">
        <w:rPr>
          <w:rStyle w:val="BookTitle"/>
          <w:i w:val="0"/>
          <w:iCs w:val="0"/>
          <w:smallCaps w:val="0"/>
          <w:szCs w:val="22"/>
        </w:rPr>
        <w:t xml:space="preserve"> </w:t>
      </w:r>
      <w:r w:rsidR="002B0C71">
        <w:rPr>
          <w:rStyle w:val="BookTitle"/>
          <w:i w:val="0"/>
          <w:iCs w:val="0"/>
          <w:smallCaps w:val="0"/>
          <w:szCs w:val="22"/>
        </w:rPr>
        <w:t>organisations</w:t>
      </w:r>
      <w:r w:rsidRPr="00947688">
        <w:rPr>
          <w:rStyle w:val="BookTitle"/>
          <w:i w:val="0"/>
          <w:iCs w:val="0"/>
          <w:smallCaps w:val="0"/>
          <w:szCs w:val="22"/>
        </w:rPr>
        <w:t xml:space="preserve"> operating in the market place.  Open processes are advertised on </w:t>
      </w:r>
      <w:r w:rsidR="0041326E">
        <w:rPr>
          <w:rFonts w:cs="Arial"/>
        </w:rPr>
        <w:t>the</w:t>
      </w:r>
      <w:r w:rsidR="0041326E" w:rsidRPr="0041326E">
        <w:rPr>
          <w:rFonts w:eastAsia="Arial"/>
          <w:color w:val="000000"/>
          <w:szCs w:val="22"/>
        </w:rPr>
        <w:t xml:space="preserve"> </w:t>
      </w:r>
      <w:hyperlink r:id="rId14" w:history="1">
        <w:r w:rsidR="0041326E" w:rsidRPr="00116FD0">
          <w:rPr>
            <w:rStyle w:val="Hyperlink"/>
            <w:rFonts w:eastAsia="Arial"/>
            <w:szCs w:val="22"/>
          </w:rPr>
          <w:t>Community Grants Hub</w:t>
        </w:r>
        <w:r w:rsidR="0041326E" w:rsidRPr="00116FD0">
          <w:rPr>
            <w:rStyle w:val="Hyperlink"/>
            <w:spacing w:val="5"/>
            <w:szCs w:val="22"/>
          </w:rPr>
          <w:t xml:space="preserve"> </w:t>
        </w:r>
        <w:r w:rsidRPr="00116FD0">
          <w:rPr>
            <w:rStyle w:val="Hyperlink"/>
            <w:spacing w:val="5"/>
            <w:szCs w:val="22"/>
          </w:rPr>
          <w:t>website</w:t>
        </w:r>
      </w:hyperlink>
      <w:r w:rsidRPr="00947688">
        <w:rPr>
          <w:rStyle w:val="BookTitle"/>
          <w:i w:val="0"/>
          <w:iCs w:val="0"/>
          <w:smallCaps w:val="0"/>
          <w:szCs w:val="22"/>
        </w:rPr>
        <w:t xml:space="preserve"> and through other sources such as the media (if required) in order to attract as much interest as possible.  Open rounds have nominated open and close dates</w:t>
      </w:r>
      <w:r w:rsidR="000D5C86" w:rsidRPr="00947688">
        <w:rPr>
          <w:rStyle w:val="BookTitle"/>
          <w:i w:val="0"/>
          <w:iCs w:val="0"/>
          <w:smallCaps w:val="0"/>
          <w:szCs w:val="22"/>
        </w:rPr>
        <w:t xml:space="preserve"> for receiving applications</w:t>
      </w:r>
      <w:r w:rsidRPr="00947688">
        <w:rPr>
          <w:rStyle w:val="BookTitle"/>
          <w:i w:val="0"/>
          <w:iCs w:val="0"/>
          <w:smallCaps w:val="0"/>
          <w:szCs w:val="22"/>
        </w:rPr>
        <w:t xml:space="preserve">, with applications being assessed against the designated </w:t>
      </w:r>
      <w:r w:rsidRPr="00655BEE">
        <w:rPr>
          <w:color w:val="auto"/>
        </w:rPr>
        <w:t>selection</w:t>
      </w:r>
      <w:r w:rsidRPr="00947688">
        <w:rPr>
          <w:rStyle w:val="BookTitle"/>
          <w:i w:val="0"/>
          <w:iCs w:val="0"/>
          <w:smallCaps w:val="0"/>
          <w:szCs w:val="22"/>
        </w:rPr>
        <w:t xml:space="preserve"> criteria.</w:t>
      </w:r>
    </w:p>
    <w:p w14:paraId="1240E376" w14:textId="77777777" w:rsidR="00D5263F" w:rsidRDefault="00D5263F" w:rsidP="00746D93">
      <w:pPr>
        <w:rPr>
          <w:szCs w:val="22"/>
        </w:rPr>
      </w:pPr>
    </w:p>
    <w:p w14:paraId="5E62D811" w14:textId="77777777" w:rsidR="009807A0" w:rsidRPr="00655BEE" w:rsidRDefault="009807A0" w:rsidP="005769DB">
      <w:pPr>
        <w:pStyle w:val="Heading3"/>
        <w:rPr>
          <w:szCs w:val="22"/>
        </w:rPr>
      </w:pPr>
      <w:r w:rsidRPr="00655BEE">
        <w:rPr>
          <w:szCs w:val="22"/>
        </w:rPr>
        <w:t>Applicant eligibility</w:t>
      </w:r>
    </w:p>
    <w:p w14:paraId="1107F8D8" w14:textId="77777777" w:rsidR="009807A0" w:rsidRPr="00947688" w:rsidRDefault="009807A0" w:rsidP="005769DB">
      <w:pPr>
        <w:pStyle w:val="BodyText"/>
        <w:rPr>
          <w:rFonts w:cs="Arial"/>
          <w:iCs/>
          <w:szCs w:val="22"/>
        </w:rPr>
      </w:pPr>
      <w:r w:rsidRPr="00947688">
        <w:rPr>
          <w:rFonts w:cs="Arial"/>
          <w:iCs/>
          <w:szCs w:val="22"/>
        </w:rPr>
        <w:t xml:space="preserve">Applications will be assessed against the criteria to ensure public accountability and </w:t>
      </w:r>
      <w:r w:rsidR="00F10C36">
        <w:rPr>
          <w:rFonts w:cs="Arial"/>
          <w:iCs/>
          <w:szCs w:val="22"/>
        </w:rPr>
        <w:t xml:space="preserve">that they </w:t>
      </w:r>
      <w:r w:rsidRPr="00947688">
        <w:rPr>
          <w:rFonts w:cs="Arial"/>
          <w:iCs/>
          <w:szCs w:val="22"/>
        </w:rPr>
        <w:t xml:space="preserve">meet Program </w:t>
      </w:r>
      <w:r w:rsidRPr="005769DB">
        <w:rPr>
          <w:rStyle w:val="BookTitle"/>
          <w:i w:val="0"/>
          <w:smallCaps w:val="0"/>
        </w:rPr>
        <w:t>outcomes</w:t>
      </w:r>
      <w:r w:rsidRPr="00947688">
        <w:rPr>
          <w:rFonts w:cs="Arial"/>
          <w:iCs/>
          <w:szCs w:val="22"/>
        </w:rPr>
        <w:t xml:space="preserve">. </w:t>
      </w:r>
    </w:p>
    <w:p w14:paraId="79E222D3" w14:textId="77777777" w:rsidR="009807A0" w:rsidRPr="00947688" w:rsidRDefault="009807A0" w:rsidP="009807A0">
      <w:pPr>
        <w:spacing w:line="240" w:lineRule="auto"/>
        <w:rPr>
          <w:rFonts w:cs="Arial"/>
          <w:iCs/>
          <w:szCs w:val="22"/>
        </w:rPr>
      </w:pPr>
      <w:r w:rsidRPr="00947688">
        <w:rPr>
          <w:rFonts w:cs="Arial"/>
          <w:iCs/>
          <w:szCs w:val="22"/>
        </w:rPr>
        <w:t>Organisations must be in one of the following categories to have their application considered:</w:t>
      </w:r>
    </w:p>
    <w:p w14:paraId="735EE6DE" w14:textId="77777777" w:rsidR="009807A0" w:rsidRPr="00947688" w:rsidRDefault="009807A0" w:rsidP="009807A0">
      <w:pPr>
        <w:spacing w:line="240" w:lineRule="auto"/>
        <w:rPr>
          <w:rFonts w:cs="Arial"/>
          <w:iCs/>
          <w:szCs w:val="22"/>
        </w:rPr>
      </w:pPr>
    </w:p>
    <w:p w14:paraId="1ACBDA59"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Incorporated Associations (incorporated under state/territory legislation, commonly have 'Association' or 'Incorporated' or 'Inc.' in their legal name)</w:t>
      </w:r>
    </w:p>
    <w:p w14:paraId="19843A03"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Incorporated Cooperatives (also incorporated under state/territory legislation, commonly have ‘Cooperative' in their legal name)</w:t>
      </w:r>
    </w:p>
    <w:p w14:paraId="00B248FB"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Companies (incorporated under the Corporations Act 2001 – may be a proprietary company (limited by shares) or public companies (limited by shares or by guarantee)</w:t>
      </w:r>
    </w:p>
    <w:p w14:paraId="52A66806"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Aboriginal Corporations (incorporated under the Corporations (Aboriginal and Torres Strait Islander) Act 2006)</w:t>
      </w:r>
    </w:p>
    <w:p w14:paraId="54F199C7"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Organisations established through a specific Commonwealth or state/territory legislation (e.g. public benevolent institutions, churches, universities etc.).</w:t>
      </w:r>
    </w:p>
    <w:p w14:paraId="53A5464D"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Partnerships and consortia (one organisation will have to nominate as the lead entity)</w:t>
      </w:r>
    </w:p>
    <w:p w14:paraId="0686DE1B"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Trustees on behalf of a Trust</w:t>
      </w:r>
    </w:p>
    <w:p w14:paraId="7F035505" w14:textId="77777777" w:rsidR="009807A0" w:rsidRPr="00947688" w:rsidRDefault="009807A0" w:rsidP="009807A0">
      <w:pPr>
        <w:numPr>
          <w:ilvl w:val="0"/>
          <w:numId w:val="13"/>
        </w:numPr>
        <w:spacing w:after="120" w:line="240" w:lineRule="auto"/>
        <w:contextualSpacing/>
        <w:jc w:val="both"/>
        <w:rPr>
          <w:rFonts w:ascii="Arial" w:eastAsia="Calibri" w:hAnsi="Arial" w:cs="Arial"/>
          <w:color w:val="auto"/>
          <w:szCs w:val="22"/>
        </w:rPr>
      </w:pPr>
      <w:r w:rsidRPr="00947688">
        <w:rPr>
          <w:rFonts w:ascii="Arial" w:eastAsia="Calibri" w:hAnsi="Arial" w:cs="Arial"/>
          <w:color w:val="auto"/>
          <w:szCs w:val="22"/>
        </w:rPr>
        <w:t>State and Territory Governments and their agencies</w:t>
      </w:r>
    </w:p>
    <w:p w14:paraId="3DE1AF41" w14:textId="77777777" w:rsidR="009807A0" w:rsidRPr="00947688" w:rsidRDefault="009807A0" w:rsidP="005769DB">
      <w:pPr>
        <w:numPr>
          <w:ilvl w:val="0"/>
          <w:numId w:val="13"/>
        </w:numPr>
        <w:spacing w:after="120" w:line="240" w:lineRule="auto"/>
        <w:ind w:left="714" w:hanging="357"/>
        <w:jc w:val="both"/>
        <w:rPr>
          <w:rFonts w:ascii="Arial" w:eastAsia="Calibri" w:hAnsi="Arial" w:cs="Arial"/>
          <w:color w:val="auto"/>
          <w:szCs w:val="22"/>
        </w:rPr>
      </w:pPr>
      <w:r w:rsidRPr="00947688">
        <w:rPr>
          <w:rFonts w:ascii="Arial" w:eastAsia="Calibri" w:hAnsi="Arial" w:cs="Arial"/>
          <w:color w:val="auto"/>
          <w:szCs w:val="22"/>
        </w:rPr>
        <w:t>Local Governments</w:t>
      </w:r>
    </w:p>
    <w:p w14:paraId="160D35FF" w14:textId="77777777" w:rsidR="009807A0" w:rsidRDefault="009807A0" w:rsidP="005769DB">
      <w:pPr>
        <w:autoSpaceDE w:val="0"/>
        <w:autoSpaceDN w:val="0"/>
        <w:adjustRightInd w:val="0"/>
        <w:spacing w:before="120" w:after="120"/>
        <w:jc w:val="both"/>
        <w:rPr>
          <w:rFonts w:ascii="Arial" w:eastAsia="Calibri" w:hAnsi="Arial"/>
          <w:color w:val="auto"/>
          <w:szCs w:val="22"/>
        </w:rPr>
      </w:pPr>
      <w:r w:rsidRPr="005769DB">
        <w:rPr>
          <w:rFonts w:cs="Arial"/>
          <w:iCs/>
          <w:szCs w:val="22"/>
        </w:rPr>
        <w:t>Organisations</w:t>
      </w:r>
      <w:r w:rsidRPr="00947688">
        <w:rPr>
          <w:rFonts w:ascii="Arial" w:eastAsia="Calibri" w:hAnsi="Arial"/>
          <w:color w:val="auto"/>
          <w:szCs w:val="22"/>
        </w:rPr>
        <w:t xml:space="preserve"> </w:t>
      </w:r>
      <w:r w:rsidR="001C59FD" w:rsidRPr="00947688">
        <w:rPr>
          <w:rFonts w:ascii="Arial" w:eastAsia="Calibri" w:hAnsi="Arial"/>
          <w:color w:val="auto"/>
          <w:szCs w:val="22"/>
        </w:rPr>
        <w:t>may</w:t>
      </w:r>
      <w:r w:rsidR="00947688">
        <w:rPr>
          <w:rFonts w:ascii="Arial" w:eastAsia="Calibri" w:hAnsi="Arial"/>
          <w:color w:val="auto"/>
          <w:szCs w:val="22"/>
        </w:rPr>
        <w:t xml:space="preserve"> be</w:t>
      </w:r>
      <w:r w:rsidR="0011735D" w:rsidRPr="00947688">
        <w:rPr>
          <w:rFonts w:ascii="Arial" w:eastAsia="Calibri" w:hAnsi="Arial"/>
          <w:color w:val="auto"/>
          <w:szCs w:val="22"/>
        </w:rPr>
        <w:t xml:space="preserve">, </w:t>
      </w:r>
      <w:r w:rsidR="004157E2" w:rsidRPr="00947688">
        <w:rPr>
          <w:rFonts w:ascii="Arial" w:eastAsia="Calibri" w:hAnsi="Arial"/>
          <w:color w:val="auto"/>
          <w:szCs w:val="22"/>
        </w:rPr>
        <w:t>but</w:t>
      </w:r>
      <w:r w:rsidR="001C59FD" w:rsidRPr="00947688">
        <w:rPr>
          <w:rFonts w:ascii="Arial" w:eastAsia="Calibri" w:hAnsi="Arial"/>
          <w:color w:val="auto"/>
          <w:szCs w:val="22"/>
        </w:rPr>
        <w:t xml:space="preserve"> </w:t>
      </w:r>
      <w:r w:rsidR="00947688">
        <w:rPr>
          <w:rFonts w:ascii="Arial" w:eastAsia="Calibri" w:hAnsi="Arial"/>
          <w:color w:val="auto"/>
          <w:szCs w:val="22"/>
        </w:rPr>
        <w:t xml:space="preserve">are not required to be, </w:t>
      </w:r>
      <w:r w:rsidRPr="00947688">
        <w:rPr>
          <w:rFonts w:ascii="Arial" w:eastAsia="Calibri" w:hAnsi="Arial"/>
          <w:color w:val="auto"/>
          <w:szCs w:val="22"/>
        </w:rPr>
        <w:t xml:space="preserve">a registered provider of supports with the NDIA to apply for an ILC </w:t>
      </w:r>
      <w:r w:rsidR="003003B1">
        <w:rPr>
          <w:rFonts w:ascii="Arial" w:eastAsia="Calibri" w:hAnsi="Arial"/>
          <w:color w:val="auto"/>
          <w:szCs w:val="22"/>
        </w:rPr>
        <w:t xml:space="preserve">Jurisdictional </w:t>
      </w:r>
      <w:r w:rsidR="003003B1" w:rsidRPr="005769DB">
        <w:rPr>
          <w:szCs w:val="22"/>
        </w:rPr>
        <w:t>Based</w:t>
      </w:r>
      <w:r w:rsidR="003003B1">
        <w:rPr>
          <w:rFonts w:ascii="Arial" w:eastAsia="Calibri" w:hAnsi="Arial"/>
          <w:color w:val="auto"/>
          <w:szCs w:val="22"/>
        </w:rPr>
        <w:t xml:space="preserve"> G</w:t>
      </w:r>
      <w:r w:rsidR="003003B1" w:rsidRPr="00947688">
        <w:rPr>
          <w:rFonts w:ascii="Arial" w:eastAsia="Calibri" w:hAnsi="Arial"/>
          <w:color w:val="auto"/>
          <w:szCs w:val="22"/>
        </w:rPr>
        <w:t>rant</w:t>
      </w:r>
      <w:r w:rsidRPr="00947688">
        <w:rPr>
          <w:rFonts w:ascii="Arial" w:eastAsia="Calibri" w:hAnsi="Arial"/>
          <w:color w:val="auto"/>
          <w:szCs w:val="22"/>
        </w:rPr>
        <w:t>.</w:t>
      </w:r>
    </w:p>
    <w:p w14:paraId="13DD21E6" w14:textId="77777777" w:rsidR="005F0B24" w:rsidRPr="00947688" w:rsidRDefault="005F0B24" w:rsidP="005769DB">
      <w:pPr>
        <w:pStyle w:val="Heading3"/>
        <w:rPr>
          <w:b w:val="0"/>
          <w:bCs w:val="0"/>
          <w:szCs w:val="22"/>
        </w:rPr>
      </w:pPr>
      <w:r w:rsidRPr="00947688">
        <w:rPr>
          <w:szCs w:val="22"/>
        </w:rPr>
        <w:t>Consortia</w:t>
      </w:r>
    </w:p>
    <w:p w14:paraId="256A391E" w14:textId="77777777" w:rsidR="005F0B24" w:rsidRPr="00947688" w:rsidRDefault="005F0B24" w:rsidP="00315D19">
      <w:pPr>
        <w:autoSpaceDE w:val="0"/>
        <w:autoSpaceDN w:val="0"/>
        <w:adjustRightInd w:val="0"/>
        <w:spacing w:before="120" w:after="120"/>
        <w:jc w:val="both"/>
        <w:rPr>
          <w:szCs w:val="22"/>
        </w:rPr>
      </w:pPr>
      <w:r w:rsidRPr="00947688">
        <w:rPr>
          <w:szCs w:val="22"/>
        </w:rPr>
        <w:t xml:space="preserve">The NDIA recognises </w:t>
      </w:r>
      <w:r w:rsidR="00F10C36">
        <w:rPr>
          <w:szCs w:val="22"/>
        </w:rPr>
        <w:t xml:space="preserve">that </w:t>
      </w:r>
      <w:r w:rsidRPr="00947688">
        <w:rPr>
          <w:szCs w:val="22"/>
        </w:rPr>
        <w:t>the proposed scope of ILC is broad and organisations will require a diverse set of skills for successful delivery. Applicants may form a consortium to deliver the project, including different arrangements for each phase. The NDIA will only form an agreement with one party (the applicant), who will ultimately be responsible for delivery of the project.</w:t>
      </w:r>
    </w:p>
    <w:p w14:paraId="771DEF17" w14:textId="77777777" w:rsidR="00EB12C9" w:rsidRPr="00AC6E67" w:rsidRDefault="00EB12C9" w:rsidP="00315D19">
      <w:pPr>
        <w:pStyle w:val="Heading3"/>
        <w:rPr>
          <w:rStyle w:val="BookTitle"/>
          <w:rFonts w:asciiTheme="minorHAnsi" w:eastAsiaTheme="minorHAnsi" w:hAnsiTheme="minorHAnsi" w:cs="Times New Roman"/>
          <w:b w:val="0"/>
          <w:bCs w:val="0"/>
          <w:spacing w:val="0"/>
        </w:rPr>
      </w:pPr>
      <w:r>
        <w:t>Available funding for this Activity</w:t>
      </w:r>
    </w:p>
    <w:p w14:paraId="526A323A" w14:textId="77777777" w:rsidR="00B3336C" w:rsidRDefault="00EB12C9" w:rsidP="00B3336C">
      <w:pPr>
        <w:spacing w:before="120" w:after="120" w:line="240" w:lineRule="atLeast"/>
        <w:rPr>
          <w:rStyle w:val="BookTitle"/>
          <w:i w:val="0"/>
          <w:iCs w:val="0"/>
          <w:smallCaps w:val="0"/>
          <w:spacing w:val="0"/>
        </w:rPr>
      </w:pPr>
      <w:r w:rsidRPr="00AC6E67">
        <w:rPr>
          <w:rStyle w:val="BookTitle"/>
          <w:i w:val="0"/>
          <w:iCs w:val="0"/>
          <w:smallCaps w:val="0"/>
          <w:spacing w:val="0"/>
        </w:rPr>
        <w:t>Up to $</w:t>
      </w:r>
      <w:r w:rsidR="00E5271C">
        <w:rPr>
          <w:rStyle w:val="BookTitle"/>
          <w:i w:val="0"/>
          <w:iCs w:val="0"/>
          <w:smallCaps w:val="0"/>
          <w:spacing w:val="0"/>
        </w:rPr>
        <w:t>3.0</w:t>
      </w:r>
      <w:r w:rsidRPr="00AC6E67">
        <w:rPr>
          <w:rStyle w:val="BookTitle"/>
          <w:i w:val="0"/>
          <w:iCs w:val="0"/>
          <w:smallCaps w:val="0"/>
          <w:spacing w:val="0"/>
        </w:rPr>
        <w:t xml:space="preserve"> million is available </w:t>
      </w:r>
      <w:r>
        <w:rPr>
          <w:rStyle w:val="BookTitle"/>
          <w:i w:val="0"/>
          <w:iCs w:val="0"/>
          <w:smallCaps w:val="0"/>
          <w:spacing w:val="0"/>
        </w:rPr>
        <w:t>in 201</w:t>
      </w:r>
      <w:r w:rsidR="00E5271C">
        <w:rPr>
          <w:rStyle w:val="BookTitle"/>
          <w:i w:val="0"/>
          <w:iCs w:val="0"/>
          <w:smallCaps w:val="0"/>
          <w:spacing w:val="0"/>
        </w:rPr>
        <w:t>7</w:t>
      </w:r>
      <w:r>
        <w:rPr>
          <w:rStyle w:val="BookTitle"/>
          <w:i w:val="0"/>
          <w:iCs w:val="0"/>
          <w:smallCaps w:val="0"/>
          <w:spacing w:val="0"/>
        </w:rPr>
        <w:t>-1</w:t>
      </w:r>
      <w:r w:rsidR="00E5271C">
        <w:rPr>
          <w:rStyle w:val="BookTitle"/>
          <w:i w:val="0"/>
          <w:iCs w:val="0"/>
          <w:smallCaps w:val="0"/>
          <w:spacing w:val="0"/>
        </w:rPr>
        <w:t>8</w:t>
      </w:r>
      <w:r w:rsidRPr="00AC6E67">
        <w:rPr>
          <w:rStyle w:val="BookTitle"/>
          <w:i w:val="0"/>
          <w:iCs w:val="0"/>
          <w:smallCaps w:val="0"/>
          <w:spacing w:val="0"/>
        </w:rPr>
        <w:t xml:space="preserve"> to deliver</w:t>
      </w:r>
      <w:r>
        <w:rPr>
          <w:rStyle w:val="BookTitle"/>
          <w:i w:val="0"/>
          <w:iCs w:val="0"/>
          <w:smallCaps w:val="0"/>
          <w:spacing w:val="0"/>
        </w:rPr>
        <w:t xml:space="preserve"> </w:t>
      </w:r>
      <w:r w:rsidRPr="00AC6E67">
        <w:rPr>
          <w:rStyle w:val="BookTitle"/>
          <w:i w:val="0"/>
          <w:iCs w:val="0"/>
          <w:smallCaps w:val="0"/>
          <w:spacing w:val="0"/>
        </w:rPr>
        <w:t>Information, Linkages and Capacity Building (ILC)</w:t>
      </w:r>
      <w:r>
        <w:rPr>
          <w:rStyle w:val="BookTitle"/>
          <w:i w:val="0"/>
          <w:iCs w:val="0"/>
          <w:smallCaps w:val="0"/>
          <w:spacing w:val="0"/>
        </w:rPr>
        <w:t xml:space="preserve"> in the ACT.</w:t>
      </w:r>
      <w:r w:rsidR="00B3336C">
        <w:rPr>
          <w:rStyle w:val="BookTitle"/>
          <w:i w:val="0"/>
          <w:iCs w:val="0"/>
          <w:smallCaps w:val="0"/>
          <w:spacing w:val="0"/>
        </w:rPr>
        <w:t xml:space="preserve"> </w:t>
      </w:r>
    </w:p>
    <w:p w14:paraId="4F15B210" w14:textId="77777777" w:rsidR="00315D19" w:rsidRDefault="00315D19" w:rsidP="00B3336C">
      <w:pPr>
        <w:spacing w:before="120" w:after="120" w:line="240" w:lineRule="atLeast"/>
        <w:rPr>
          <w:rStyle w:val="BookTitle"/>
          <w:i w:val="0"/>
          <w:iCs w:val="0"/>
          <w:smallCaps w:val="0"/>
          <w:spacing w:val="0"/>
        </w:rPr>
      </w:pPr>
      <w:r>
        <w:rPr>
          <w:rStyle w:val="BookTitle"/>
          <w:i w:val="0"/>
          <w:iCs w:val="0"/>
          <w:smallCaps w:val="0"/>
          <w:spacing w:val="0"/>
        </w:rPr>
        <w:t>There are two levels of grants available; up to $10,000 and over $10,000.</w:t>
      </w:r>
    </w:p>
    <w:p w14:paraId="0E5CE53C" w14:textId="77777777" w:rsidR="00B3336C" w:rsidRPr="00B3336C" w:rsidRDefault="00B3336C" w:rsidP="00B3336C">
      <w:pPr>
        <w:spacing w:before="120" w:after="120" w:line="240" w:lineRule="atLeast"/>
      </w:pPr>
      <w:r w:rsidRPr="0017275F">
        <w:rPr>
          <w:rFonts w:eastAsia="Calibri" w:cstheme="minorHAnsi"/>
        </w:rPr>
        <w:t xml:space="preserve">The funding is not intended to be ongoing.  However, the NDIA may consider extending funding for up to two additional years where </w:t>
      </w:r>
      <w:r w:rsidR="00BB1390">
        <w:rPr>
          <w:rFonts w:eastAsia="Calibri" w:cstheme="minorHAnsi"/>
        </w:rPr>
        <w:t xml:space="preserve">it is </w:t>
      </w:r>
      <w:r w:rsidRPr="0017275F">
        <w:rPr>
          <w:rFonts w:eastAsia="Calibri" w:cstheme="minorHAnsi"/>
        </w:rPr>
        <w:t>consider</w:t>
      </w:r>
      <w:r w:rsidR="00BB1390">
        <w:rPr>
          <w:rFonts w:eastAsia="Calibri" w:cstheme="minorHAnsi"/>
        </w:rPr>
        <w:t>ed</w:t>
      </w:r>
      <w:r w:rsidRPr="0017275F">
        <w:rPr>
          <w:rFonts w:eastAsia="Calibri" w:cstheme="minorHAnsi"/>
        </w:rPr>
        <w:t xml:space="preserve"> the project or community may benefit from an increased period of funding.  This will be at </w:t>
      </w:r>
      <w:r w:rsidR="00BB1390">
        <w:rPr>
          <w:rFonts w:eastAsia="Calibri" w:cstheme="minorHAnsi"/>
        </w:rPr>
        <w:t xml:space="preserve">the </w:t>
      </w:r>
      <w:r w:rsidRPr="0017275F">
        <w:rPr>
          <w:rFonts w:eastAsia="Calibri" w:cstheme="minorHAnsi"/>
        </w:rPr>
        <w:t xml:space="preserve">discretion </w:t>
      </w:r>
      <w:r w:rsidR="00BB1390">
        <w:rPr>
          <w:rFonts w:eastAsia="Calibri" w:cstheme="minorHAnsi"/>
        </w:rPr>
        <w:t xml:space="preserve">of the NDIA </w:t>
      </w:r>
      <w:r w:rsidRPr="0017275F">
        <w:rPr>
          <w:rFonts w:eastAsia="Calibri" w:cstheme="minorHAnsi"/>
        </w:rPr>
        <w:t>and will be based on grant purpose, degree of risk and priorities for funding.</w:t>
      </w:r>
    </w:p>
    <w:p w14:paraId="1CD2E4F9" w14:textId="77777777" w:rsidR="00D247D2" w:rsidRPr="00947688" w:rsidRDefault="00D247D2" w:rsidP="00D247D2">
      <w:pPr>
        <w:pStyle w:val="Heading3"/>
        <w:rPr>
          <w:szCs w:val="22"/>
        </w:rPr>
      </w:pPr>
      <w:r w:rsidRPr="00947688">
        <w:rPr>
          <w:szCs w:val="22"/>
        </w:rPr>
        <w:t>Closing date and time</w:t>
      </w:r>
    </w:p>
    <w:p w14:paraId="61A6E472" w14:textId="77777777" w:rsidR="005F0B24" w:rsidRPr="00947688" w:rsidRDefault="00D247D2" w:rsidP="005F0B24">
      <w:pPr>
        <w:pStyle w:val="BodyText"/>
        <w:rPr>
          <w:szCs w:val="22"/>
        </w:rPr>
      </w:pPr>
      <w:r w:rsidRPr="00947688">
        <w:rPr>
          <w:rStyle w:val="BookTitle"/>
          <w:i w:val="0"/>
          <w:iCs w:val="0"/>
          <w:smallCaps w:val="0"/>
          <w:spacing w:val="0"/>
          <w:szCs w:val="22"/>
        </w:rPr>
        <w:t xml:space="preserve">Applications must be submitted by </w:t>
      </w:r>
      <w:r w:rsidRPr="00036574">
        <w:rPr>
          <w:rStyle w:val="BookTitle"/>
          <w:b/>
          <w:i w:val="0"/>
          <w:iCs w:val="0"/>
          <w:smallCaps w:val="0"/>
          <w:spacing w:val="0"/>
          <w:szCs w:val="22"/>
        </w:rPr>
        <w:t xml:space="preserve">2:00pm </w:t>
      </w:r>
      <w:r w:rsidR="009807A0" w:rsidRPr="00036574">
        <w:rPr>
          <w:rStyle w:val="BookTitle"/>
          <w:b/>
          <w:i w:val="0"/>
          <w:iCs w:val="0"/>
          <w:smallCaps w:val="0"/>
          <w:spacing w:val="0"/>
          <w:szCs w:val="22"/>
        </w:rPr>
        <w:t>AEDT</w:t>
      </w:r>
      <w:r w:rsidRPr="00036574">
        <w:rPr>
          <w:rStyle w:val="BookTitle"/>
          <w:b/>
          <w:i w:val="0"/>
          <w:iCs w:val="0"/>
          <w:smallCaps w:val="0"/>
          <w:spacing w:val="0"/>
          <w:szCs w:val="22"/>
        </w:rPr>
        <w:t xml:space="preserve"> </w:t>
      </w:r>
      <w:r w:rsidR="009807A0" w:rsidRPr="00036574">
        <w:rPr>
          <w:rStyle w:val="BookTitle"/>
          <w:b/>
          <w:i w:val="0"/>
          <w:iCs w:val="0"/>
          <w:smallCaps w:val="0"/>
          <w:spacing w:val="0"/>
          <w:szCs w:val="22"/>
        </w:rPr>
        <w:t xml:space="preserve">on </w:t>
      </w:r>
      <w:r w:rsidR="00036574" w:rsidRPr="00036574">
        <w:rPr>
          <w:rStyle w:val="BookTitle"/>
          <w:b/>
          <w:i w:val="0"/>
          <w:iCs w:val="0"/>
          <w:smallCaps w:val="0"/>
          <w:spacing w:val="0"/>
          <w:szCs w:val="22"/>
        </w:rPr>
        <w:t xml:space="preserve">Wednesday </w:t>
      </w:r>
      <w:r w:rsidR="00EB12C9">
        <w:rPr>
          <w:rStyle w:val="BookTitle"/>
          <w:b/>
          <w:i w:val="0"/>
          <w:iCs w:val="0"/>
          <w:smallCaps w:val="0"/>
          <w:spacing w:val="0"/>
          <w:szCs w:val="22"/>
        </w:rPr>
        <w:t xml:space="preserve">8 </w:t>
      </w:r>
      <w:r w:rsidR="00036574" w:rsidRPr="00036574">
        <w:rPr>
          <w:rStyle w:val="BookTitle"/>
          <w:b/>
          <w:i w:val="0"/>
          <w:iCs w:val="0"/>
          <w:smallCaps w:val="0"/>
          <w:spacing w:val="0"/>
          <w:szCs w:val="22"/>
        </w:rPr>
        <w:t>March 2017</w:t>
      </w:r>
      <w:r w:rsidR="00036574">
        <w:rPr>
          <w:rStyle w:val="BookTitle"/>
          <w:i w:val="0"/>
          <w:iCs w:val="0"/>
          <w:smallCaps w:val="0"/>
          <w:spacing w:val="0"/>
          <w:szCs w:val="22"/>
        </w:rPr>
        <w:t>.</w:t>
      </w:r>
      <w:r w:rsidR="005F0B24" w:rsidRPr="00947688">
        <w:rPr>
          <w:szCs w:val="22"/>
        </w:rPr>
        <w:t xml:space="preserve"> </w:t>
      </w:r>
    </w:p>
    <w:p w14:paraId="5A96C7E6" w14:textId="77777777" w:rsidR="009807A0" w:rsidRPr="00947688" w:rsidRDefault="009807A0" w:rsidP="009807A0">
      <w:pPr>
        <w:pStyle w:val="Heading3"/>
        <w:rPr>
          <w:szCs w:val="22"/>
        </w:rPr>
      </w:pPr>
      <w:r w:rsidRPr="00947688">
        <w:rPr>
          <w:szCs w:val="22"/>
        </w:rPr>
        <w:lastRenderedPageBreak/>
        <w:t>Questions</w:t>
      </w:r>
    </w:p>
    <w:p w14:paraId="657F9E44" w14:textId="77777777" w:rsidR="009807A0" w:rsidRPr="00947688" w:rsidRDefault="009807A0" w:rsidP="005769DB">
      <w:pPr>
        <w:autoSpaceDE w:val="0"/>
        <w:autoSpaceDN w:val="0"/>
        <w:adjustRightInd w:val="0"/>
        <w:spacing w:before="120" w:after="120"/>
        <w:jc w:val="both"/>
        <w:rPr>
          <w:szCs w:val="22"/>
        </w:rPr>
      </w:pPr>
      <w:r w:rsidRPr="00947688">
        <w:rPr>
          <w:szCs w:val="22"/>
        </w:rPr>
        <w:t xml:space="preserve">Questions and answers for this funding round are available on the </w:t>
      </w:r>
      <w:hyperlink r:id="rId15" w:tooltip="Open grants" w:history="1">
        <w:r w:rsidRPr="00116FD0">
          <w:rPr>
            <w:rStyle w:val="Hyperlink"/>
            <w:szCs w:val="22"/>
          </w:rPr>
          <w:t>Community Grants Hub website</w:t>
        </w:r>
      </w:hyperlink>
      <w:r w:rsidRPr="00947688">
        <w:rPr>
          <w:szCs w:val="22"/>
        </w:rPr>
        <w:t>.</w:t>
      </w:r>
    </w:p>
    <w:p w14:paraId="6BE77D21" w14:textId="77777777" w:rsidR="009807A0" w:rsidRPr="00947688" w:rsidRDefault="009807A0" w:rsidP="005769DB">
      <w:pPr>
        <w:autoSpaceDE w:val="0"/>
        <w:autoSpaceDN w:val="0"/>
        <w:adjustRightInd w:val="0"/>
        <w:spacing w:before="120" w:after="120"/>
        <w:jc w:val="both"/>
        <w:rPr>
          <w:szCs w:val="22"/>
        </w:rPr>
      </w:pPr>
      <w:r w:rsidRPr="00947688">
        <w:rPr>
          <w:szCs w:val="22"/>
        </w:rPr>
        <w:t xml:space="preserve">If you cannot find an answer to your question relating to this selection process or the Activity, please send your question to </w:t>
      </w:r>
      <w:hyperlink r:id="rId16" w:history="1">
        <w:r w:rsidRPr="00947688">
          <w:rPr>
            <w:rStyle w:val="Hyperlink"/>
            <w:szCs w:val="22"/>
          </w:rPr>
          <w:t>support@communitygrants.gov.au</w:t>
        </w:r>
      </w:hyperlink>
      <w:r w:rsidRPr="00947688">
        <w:rPr>
          <w:szCs w:val="22"/>
        </w:rPr>
        <w:t>.</w:t>
      </w:r>
    </w:p>
    <w:p w14:paraId="2AB84071" w14:textId="77777777" w:rsidR="009E6FB5" w:rsidRDefault="00974D78" w:rsidP="005769DB">
      <w:pPr>
        <w:autoSpaceDE w:val="0"/>
        <w:autoSpaceDN w:val="0"/>
        <w:adjustRightInd w:val="0"/>
        <w:spacing w:before="120" w:after="120"/>
        <w:jc w:val="both"/>
        <w:rPr>
          <w:rFonts w:eastAsia="Arial"/>
          <w:color w:val="000000"/>
          <w:szCs w:val="22"/>
        </w:rPr>
      </w:pPr>
      <w:r>
        <w:rPr>
          <w:rFonts w:eastAsia="Arial"/>
          <w:color w:val="000000"/>
          <w:szCs w:val="22"/>
        </w:rPr>
        <w:t>Where a question has been answered in the Application Pack, applicants will be referred to the appropriate documentation.  Where a question has not previously been answered, a</w:t>
      </w:r>
      <w:r w:rsidR="000D5C86" w:rsidRPr="00947688">
        <w:rPr>
          <w:rFonts w:eastAsia="Arial"/>
          <w:color w:val="000000"/>
          <w:szCs w:val="22"/>
        </w:rPr>
        <w:t xml:space="preserve">nswers </w:t>
      </w:r>
      <w:r>
        <w:rPr>
          <w:rFonts w:eastAsia="Arial"/>
          <w:color w:val="000000"/>
          <w:szCs w:val="22"/>
        </w:rPr>
        <w:t>will</w:t>
      </w:r>
      <w:r w:rsidR="000D5C86" w:rsidRPr="00947688">
        <w:rPr>
          <w:rFonts w:eastAsia="Arial"/>
          <w:color w:val="000000"/>
          <w:szCs w:val="22"/>
        </w:rPr>
        <w:t xml:space="preserve"> be published on the funding round page within five working days of receipt</w:t>
      </w:r>
      <w:r>
        <w:rPr>
          <w:rFonts w:eastAsia="Arial"/>
          <w:color w:val="000000"/>
          <w:szCs w:val="22"/>
        </w:rPr>
        <w:t xml:space="preserve">. </w:t>
      </w:r>
    </w:p>
    <w:p w14:paraId="798D06CA" w14:textId="77777777" w:rsidR="000D5C86" w:rsidRPr="00947688" w:rsidRDefault="000D5C86" w:rsidP="000D5C86">
      <w:pPr>
        <w:rPr>
          <w:rFonts w:eastAsia="Arial"/>
          <w:color w:val="000000"/>
          <w:szCs w:val="22"/>
        </w:rPr>
      </w:pPr>
      <w:r w:rsidRPr="00947688">
        <w:rPr>
          <w:rFonts w:eastAsia="Arial"/>
          <w:color w:val="000000"/>
          <w:szCs w:val="22"/>
        </w:rPr>
        <w:t>The Community Grants Hub will only answer questions to explain the requirements of the Application Form and Program Guidelines. The Community Grants Hub will not advise how to respond to specific selection criteria.</w:t>
      </w:r>
    </w:p>
    <w:p w14:paraId="272B065B" w14:textId="77777777" w:rsidR="008F713C" w:rsidRDefault="008F713C" w:rsidP="009807A0">
      <w:pPr>
        <w:rPr>
          <w:szCs w:val="22"/>
        </w:rPr>
      </w:pPr>
    </w:p>
    <w:p w14:paraId="6B894719" w14:textId="77777777" w:rsidR="009807A0" w:rsidRPr="00947688" w:rsidRDefault="009807A0" w:rsidP="009807A0">
      <w:pPr>
        <w:rPr>
          <w:szCs w:val="22"/>
        </w:rPr>
      </w:pPr>
      <w:r w:rsidRPr="00947688">
        <w:rPr>
          <w:szCs w:val="22"/>
        </w:rPr>
        <w:t xml:space="preserve">If you would like help or support in using and/or submitting the Application Form, please call 1800 020 283 or TTY 1800 555 677 or email </w:t>
      </w:r>
      <w:hyperlink r:id="rId17" w:history="1">
        <w:r w:rsidRPr="00947688">
          <w:rPr>
            <w:rStyle w:val="Hyperlink"/>
            <w:szCs w:val="22"/>
          </w:rPr>
          <w:t>support@communitygrants.gov.au</w:t>
        </w:r>
      </w:hyperlink>
      <w:r w:rsidRPr="00947688">
        <w:rPr>
          <w:szCs w:val="22"/>
        </w:rPr>
        <w:t>.</w:t>
      </w:r>
    </w:p>
    <w:p w14:paraId="0C79821F" w14:textId="77777777" w:rsidR="00D247D2" w:rsidRDefault="005769DB" w:rsidP="00D247D2">
      <w:pPr>
        <w:pStyle w:val="Heading3"/>
        <w:rPr>
          <w:szCs w:val="22"/>
        </w:rPr>
      </w:pPr>
      <w:r>
        <w:rPr>
          <w:szCs w:val="22"/>
        </w:rPr>
        <w:t>Grant o</w:t>
      </w:r>
      <w:r w:rsidR="00D247D2" w:rsidRPr="00947688">
        <w:rPr>
          <w:szCs w:val="22"/>
        </w:rPr>
        <w:t>bjectives</w:t>
      </w:r>
    </w:p>
    <w:p w14:paraId="2C819270" w14:textId="77777777" w:rsidR="008D16E3" w:rsidRPr="005769DB" w:rsidRDefault="008D16E3" w:rsidP="008D16E3">
      <w:pPr>
        <w:spacing w:after="120" w:line="240" w:lineRule="auto"/>
        <w:jc w:val="both"/>
        <w:rPr>
          <w:rFonts w:eastAsia="Calibri" w:cs="Arial"/>
          <w:color w:val="auto"/>
        </w:rPr>
      </w:pPr>
      <w:r w:rsidRPr="005769DB">
        <w:rPr>
          <w:rFonts w:eastAsia="Calibri" w:cs="Arial"/>
          <w:color w:val="auto"/>
        </w:rPr>
        <w:t xml:space="preserve">The objective of the CICD Program is to build innovative ways to increase the independence, social and community participation of people with a disability. </w:t>
      </w:r>
    </w:p>
    <w:p w14:paraId="01DBAEDA" w14:textId="77777777" w:rsidR="00A71730" w:rsidRDefault="00A71730" w:rsidP="005769DB">
      <w:pPr>
        <w:spacing w:after="120" w:line="240" w:lineRule="auto"/>
        <w:jc w:val="both"/>
        <w:rPr>
          <w:rFonts w:eastAsia="Calibri" w:cstheme="minorHAnsi"/>
          <w:szCs w:val="22"/>
        </w:rPr>
      </w:pPr>
      <w:r w:rsidRPr="00947688">
        <w:rPr>
          <w:rFonts w:ascii="Arial" w:hAnsi="Arial" w:cs="Arial"/>
          <w:szCs w:val="22"/>
        </w:rPr>
        <w:t xml:space="preserve">The objective of the </w:t>
      </w:r>
      <w:r w:rsidRPr="00947688">
        <w:rPr>
          <w:rFonts w:ascii="Arial" w:hAnsi="Arial"/>
          <w:szCs w:val="22"/>
        </w:rPr>
        <w:t xml:space="preserve">ILC </w:t>
      </w:r>
      <w:r w:rsidR="003003B1">
        <w:rPr>
          <w:rFonts w:ascii="Arial" w:hAnsi="Arial"/>
          <w:szCs w:val="22"/>
        </w:rPr>
        <w:t xml:space="preserve">Jurisdictional Based </w:t>
      </w:r>
      <w:r w:rsidRPr="00947688">
        <w:rPr>
          <w:rFonts w:ascii="Arial" w:hAnsi="Arial"/>
          <w:szCs w:val="22"/>
        </w:rPr>
        <w:t>Grants</w:t>
      </w:r>
      <w:r w:rsidRPr="00947688">
        <w:rPr>
          <w:rFonts w:ascii="Arial" w:hAnsi="Arial" w:cs="Arial"/>
          <w:szCs w:val="22"/>
        </w:rPr>
        <w:t xml:space="preserve"> </w:t>
      </w:r>
      <w:r w:rsidR="003003B1">
        <w:rPr>
          <w:rFonts w:ascii="Arial" w:hAnsi="Arial" w:cs="Arial"/>
          <w:szCs w:val="22"/>
        </w:rPr>
        <w:t>– A</w:t>
      </w:r>
      <w:r w:rsidR="003003B1" w:rsidRPr="005769DB">
        <w:rPr>
          <w:rFonts w:ascii="Arial" w:hAnsi="Arial" w:cs="Arial"/>
          <w:color w:val="auto"/>
          <w:szCs w:val="22"/>
        </w:rPr>
        <w:t xml:space="preserve">ustralian </w:t>
      </w:r>
      <w:r w:rsidR="008D16E3" w:rsidRPr="005769DB">
        <w:rPr>
          <w:rFonts w:ascii="Arial" w:hAnsi="Arial" w:cs="Arial"/>
          <w:color w:val="auto"/>
          <w:szCs w:val="22"/>
        </w:rPr>
        <w:t>Capital</w:t>
      </w:r>
      <w:r w:rsidR="003003B1" w:rsidRPr="005769DB">
        <w:rPr>
          <w:rFonts w:ascii="Arial" w:hAnsi="Arial" w:cs="Arial"/>
          <w:color w:val="auto"/>
          <w:szCs w:val="22"/>
        </w:rPr>
        <w:t xml:space="preserve"> Territory </w:t>
      </w:r>
      <w:r w:rsidR="00F10C36" w:rsidRPr="005769DB">
        <w:rPr>
          <w:rFonts w:ascii="Arial" w:hAnsi="Arial" w:cs="Arial"/>
          <w:color w:val="auto"/>
          <w:szCs w:val="22"/>
        </w:rPr>
        <w:t>funding round</w:t>
      </w:r>
      <w:r w:rsidR="00111E61">
        <w:rPr>
          <w:rFonts w:ascii="Arial" w:hAnsi="Arial" w:cs="Arial"/>
          <w:color w:val="auto"/>
          <w:szCs w:val="22"/>
        </w:rPr>
        <w:t xml:space="preserve"> </w:t>
      </w:r>
      <w:r w:rsidRPr="005769DB">
        <w:rPr>
          <w:rFonts w:ascii="Arial" w:hAnsi="Arial" w:cs="Arial"/>
          <w:color w:val="auto"/>
          <w:szCs w:val="22"/>
        </w:rPr>
        <w:t xml:space="preserve">is to </w:t>
      </w:r>
      <w:r w:rsidRPr="005769DB">
        <w:rPr>
          <w:rFonts w:ascii="Arial" w:hAnsi="Arial"/>
          <w:color w:val="auto"/>
          <w:szCs w:val="22"/>
        </w:rPr>
        <w:t xml:space="preserve">facilitate </w:t>
      </w:r>
      <w:r w:rsidR="008D16E3" w:rsidRPr="005769DB">
        <w:rPr>
          <w:rFonts w:ascii="Arial" w:hAnsi="Arial"/>
          <w:color w:val="auto"/>
          <w:szCs w:val="22"/>
        </w:rPr>
        <w:t xml:space="preserve">the </w:t>
      </w:r>
      <w:r w:rsidRPr="005769DB">
        <w:rPr>
          <w:rFonts w:ascii="Arial" w:hAnsi="Arial"/>
          <w:color w:val="auto"/>
          <w:szCs w:val="22"/>
        </w:rPr>
        <w:t xml:space="preserve">roll out of ILC </w:t>
      </w:r>
      <w:r w:rsidR="003003B1" w:rsidRPr="005769DB">
        <w:rPr>
          <w:rFonts w:ascii="Arial" w:hAnsi="Arial"/>
          <w:color w:val="auto"/>
          <w:szCs w:val="22"/>
        </w:rPr>
        <w:t>in the Australian Capital Territory</w:t>
      </w:r>
      <w:r w:rsidR="008D16E3" w:rsidRPr="005769DB">
        <w:rPr>
          <w:rFonts w:ascii="Arial" w:hAnsi="Arial"/>
          <w:color w:val="auto"/>
          <w:szCs w:val="22"/>
        </w:rPr>
        <w:t xml:space="preserve"> and drive change for people with disability and communities</w:t>
      </w:r>
      <w:r w:rsidRPr="005769DB">
        <w:rPr>
          <w:rFonts w:ascii="Arial" w:hAnsi="Arial"/>
          <w:color w:val="auto"/>
          <w:szCs w:val="22"/>
        </w:rPr>
        <w:t xml:space="preserve">. </w:t>
      </w:r>
      <w:r w:rsidR="008D16E3" w:rsidRPr="005769DB">
        <w:rPr>
          <w:rFonts w:cstheme="minorHAnsi"/>
          <w:color w:val="auto"/>
          <w:szCs w:val="22"/>
        </w:rPr>
        <w:t xml:space="preserve">This </w:t>
      </w:r>
      <w:r w:rsidR="008D16E3" w:rsidRPr="00DC5DB5">
        <w:rPr>
          <w:rFonts w:cstheme="minorHAnsi"/>
          <w:szCs w:val="22"/>
        </w:rPr>
        <w:t>objective will be achieved by funding activities</w:t>
      </w:r>
      <w:r w:rsidR="008D16E3" w:rsidRPr="002B0C71">
        <w:rPr>
          <w:rFonts w:cstheme="minorHAnsi"/>
          <w:szCs w:val="22"/>
        </w:rPr>
        <w:t xml:space="preserve"> that </w:t>
      </w:r>
      <w:r w:rsidR="008D16E3" w:rsidRPr="002B0C71">
        <w:rPr>
          <w:rFonts w:eastAsia="Calibri" w:cstheme="minorHAnsi"/>
          <w:szCs w:val="22"/>
        </w:rPr>
        <w:t xml:space="preserve">deliver </w:t>
      </w:r>
      <w:r w:rsidR="00FC2BF3">
        <w:rPr>
          <w:rFonts w:eastAsia="Calibri" w:cstheme="minorHAnsi"/>
          <w:szCs w:val="22"/>
        </w:rPr>
        <w:t>outcomes</w:t>
      </w:r>
      <w:r w:rsidR="008D16E3" w:rsidRPr="002B0C71">
        <w:rPr>
          <w:rFonts w:eastAsia="Calibri" w:cstheme="minorHAnsi"/>
          <w:szCs w:val="22"/>
        </w:rPr>
        <w:t xml:space="preserve"> for people with disability</w:t>
      </w:r>
      <w:r w:rsidR="00FC2BF3">
        <w:rPr>
          <w:rFonts w:eastAsia="Calibri" w:cstheme="minorHAnsi"/>
          <w:szCs w:val="22"/>
        </w:rPr>
        <w:t>,</w:t>
      </w:r>
      <w:r w:rsidR="008D16E3" w:rsidRPr="002B0C71">
        <w:rPr>
          <w:rFonts w:eastAsia="Calibri" w:cstheme="minorHAnsi"/>
          <w:szCs w:val="22"/>
        </w:rPr>
        <w:t xml:space="preserve"> their families and carers</w:t>
      </w:r>
      <w:r w:rsidR="00FD1ED2">
        <w:rPr>
          <w:rFonts w:eastAsia="Calibri" w:cstheme="minorHAnsi"/>
          <w:szCs w:val="22"/>
        </w:rPr>
        <w:t xml:space="preserve"> in each of </w:t>
      </w:r>
      <w:r w:rsidR="008D16E3" w:rsidRPr="002B0C71">
        <w:rPr>
          <w:rFonts w:eastAsia="Calibri" w:cstheme="minorHAnsi"/>
          <w:szCs w:val="22"/>
        </w:rPr>
        <w:t>the four</w:t>
      </w:r>
      <w:r w:rsidR="00A61393">
        <w:rPr>
          <w:rFonts w:eastAsia="Calibri" w:cstheme="minorHAnsi"/>
          <w:szCs w:val="22"/>
        </w:rPr>
        <w:t xml:space="preserve"> Activity Area</w:t>
      </w:r>
      <w:r w:rsidR="000709A8">
        <w:rPr>
          <w:rFonts w:eastAsia="Calibri" w:cstheme="minorHAnsi"/>
          <w:szCs w:val="22"/>
        </w:rPr>
        <w:t>s</w:t>
      </w:r>
      <w:r w:rsidR="00A61393">
        <w:rPr>
          <w:rFonts w:eastAsia="Calibri" w:cstheme="minorHAnsi"/>
          <w:szCs w:val="22"/>
        </w:rPr>
        <w:t xml:space="preserve"> </w:t>
      </w:r>
      <w:r w:rsidR="008D16E3" w:rsidRPr="00DC5DB5">
        <w:rPr>
          <w:rFonts w:eastAsia="Calibri" w:cstheme="minorHAnsi"/>
          <w:szCs w:val="22"/>
        </w:rPr>
        <w:t xml:space="preserve">of the ILC </w:t>
      </w:r>
      <w:r w:rsidR="008D16E3" w:rsidRPr="005769DB">
        <w:rPr>
          <w:rFonts w:eastAsia="Calibri" w:cs="Arial"/>
          <w:color w:val="auto"/>
        </w:rPr>
        <w:t>Policy</w:t>
      </w:r>
      <w:r w:rsidR="00692A3F">
        <w:rPr>
          <w:rFonts w:eastAsia="Calibri" w:cstheme="minorHAnsi"/>
          <w:szCs w:val="22"/>
        </w:rPr>
        <w:t>.</w:t>
      </w:r>
      <w:r w:rsidR="00FD1ED2">
        <w:rPr>
          <w:rFonts w:eastAsia="Calibri" w:cstheme="minorHAnsi"/>
          <w:szCs w:val="22"/>
        </w:rPr>
        <w:t xml:space="preserve">  </w:t>
      </w:r>
    </w:p>
    <w:p w14:paraId="63CFA4B4" w14:textId="58DB4932" w:rsidR="0082569F" w:rsidRPr="00D45CB1" w:rsidRDefault="0082569F" w:rsidP="005769DB">
      <w:pPr>
        <w:spacing w:after="120" w:line="240" w:lineRule="auto"/>
        <w:jc w:val="both"/>
        <w:rPr>
          <w:rFonts w:ascii="Arial" w:hAnsi="Arial" w:cs="Arial"/>
          <w:color w:val="auto"/>
          <w:szCs w:val="22"/>
        </w:rPr>
      </w:pPr>
      <w:r>
        <w:rPr>
          <w:rFonts w:eastAsia="Calibri" w:cstheme="minorHAnsi"/>
          <w:szCs w:val="22"/>
        </w:rPr>
        <w:t xml:space="preserve">The </w:t>
      </w:r>
      <w:r w:rsidR="00315D19">
        <w:rPr>
          <w:rFonts w:eastAsia="Calibri" w:cstheme="minorHAnsi"/>
          <w:szCs w:val="22"/>
        </w:rPr>
        <w:t>National Disability Insurance Agency (</w:t>
      </w:r>
      <w:r>
        <w:rPr>
          <w:rFonts w:eastAsia="Calibri" w:cstheme="minorHAnsi"/>
          <w:szCs w:val="22"/>
        </w:rPr>
        <w:t>NDIA</w:t>
      </w:r>
      <w:r w:rsidR="00315D19">
        <w:rPr>
          <w:rFonts w:eastAsia="Calibri" w:cstheme="minorHAnsi"/>
          <w:szCs w:val="22"/>
        </w:rPr>
        <w:t>)</w:t>
      </w:r>
      <w:r>
        <w:rPr>
          <w:rFonts w:eastAsia="Calibri" w:cstheme="minorHAnsi"/>
          <w:szCs w:val="22"/>
        </w:rPr>
        <w:t xml:space="preserve"> encourages applications</w:t>
      </w:r>
      <w:r w:rsidR="00481C8B">
        <w:rPr>
          <w:rFonts w:eastAsia="Calibri" w:cstheme="minorHAnsi"/>
          <w:szCs w:val="22"/>
        </w:rPr>
        <w:t xml:space="preserve"> for </w:t>
      </w:r>
      <w:r w:rsidR="00481C8B">
        <w:rPr>
          <w:rFonts w:ascii="Arial" w:hAnsi="Arial" w:cs="Arial"/>
          <w:szCs w:val="22"/>
        </w:rPr>
        <w:t>proven and/or innovative models and modes of delivery across all Activity Areas</w:t>
      </w:r>
      <w:r>
        <w:rPr>
          <w:rFonts w:eastAsia="Calibri" w:cstheme="minorHAnsi"/>
          <w:szCs w:val="22"/>
        </w:rPr>
        <w:t xml:space="preserve"> and Focus Areas. The activities will meet identified needs and interests of </w:t>
      </w:r>
      <w:r w:rsidR="00A61393">
        <w:rPr>
          <w:rFonts w:eastAsia="Calibri" w:cstheme="minorHAnsi"/>
          <w:szCs w:val="22"/>
        </w:rPr>
        <w:t>people with disability</w:t>
      </w:r>
      <w:r w:rsidR="00434F66">
        <w:rPr>
          <w:rFonts w:eastAsia="Calibri" w:cstheme="minorHAnsi"/>
          <w:szCs w:val="22"/>
        </w:rPr>
        <w:t xml:space="preserve">, and </w:t>
      </w:r>
      <w:r>
        <w:rPr>
          <w:rFonts w:eastAsia="Calibri" w:cstheme="minorHAnsi"/>
          <w:szCs w:val="22"/>
        </w:rPr>
        <w:t xml:space="preserve">will reflect a contemporary, positive and progressive approach to inclusion. </w:t>
      </w:r>
      <w:r w:rsidR="00F10C36">
        <w:rPr>
          <w:rFonts w:eastAsia="Calibri" w:cstheme="minorHAnsi"/>
          <w:szCs w:val="22"/>
        </w:rPr>
        <w:t xml:space="preserve">Further information regarding the Activity Areas and Focus Areas can be found in the </w:t>
      </w:r>
      <w:hyperlink r:id="rId18" w:history="1">
        <w:r w:rsidR="005769DB" w:rsidRPr="00C74DD7">
          <w:rPr>
            <w:rStyle w:val="Hyperlink"/>
            <w:rFonts w:asciiTheme="majorHAnsi" w:eastAsiaTheme="majorEastAsia" w:hAnsiTheme="majorHAnsi" w:cstheme="majorBidi"/>
            <w:bCs/>
            <w:szCs w:val="22"/>
          </w:rPr>
          <w:t>ILC Commissioning Framework</w:t>
        </w:r>
      </w:hyperlink>
      <w:r w:rsidR="005769DB" w:rsidRPr="00947688">
        <w:rPr>
          <w:rFonts w:asciiTheme="majorHAnsi" w:eastAsiaTheme="majorEastAsia" w:hAnsiTheme="majorHAnsi" w:cstheme="majorBidi"/>
          <w:bCs/>
          <w:szCs w:val="22"/>
        </w:rPr>
        <w:t xml:space="preserve"> </w:t>
      </w:r>
      <w:r w:rsidR="0090081F">
        <w:rPr>
          <w:rFonts w:asciiTheme="majorHAnsi" w:eastAsiaTheme="majorEastAsia" w:hAnsiTheme="majorHAnsi" w:cstheme="majorBidi"/>
          <w:bCs/>
          <w:szCs w:val="22"/>
        </w:rPr>
        <w:t>and the</w:t>
      </w:r>
      <w:r w:rsidR="0090081F" w:rsidRPr="00947688">
        <w:rPr>
          <w:rFonts w:asciiTheme="majorHAnsi" w:eastAsiaTheme="majorEastAsia" w:hAnsiTheme="majorHAnsi" w:cstheme="majorBidi"/>
          <w:bCs/>
          <w:szCs w:val="22"/>
        </w:rPr>
        <w:t xml:space="preserve"> </w:t>
      </w:r>
      <w:hyperlink r:id="rId19" w:history="1">
        <w:r w:rsidR="005769DB" w:rsidRPr="00C74DD7">
          <w:rPr>
            <w:rStyle w:val="Hyperlink"/>
            <w:rFonts w:asciiTheme="majorHAnsi" w:eastAsiaTheme="majorEastAsia" w:hAnsiTheme="majorHAnsi" w:cstheme="majorBidi"/>
            <w:bCs/>
            <w:szCs w:val="22"/>
          </w:rPr>
          <w:t>CICD Program Guidelines</w:t>
        </w:r>
      </w:hyperlink>
      <w:r w:rsidR="005769DB">
        <w:rPr>
          <w:rFonts w:asciiTheme="majorHAnsi" w:eastAsiaTheme="majorEastAsia" w:hAnsiTheme="majorHAnsi" w:cstheme="majorBidi"/>
          <w:bCs/>
          <w:szCs w:val="22"/>
        </w:rPr>
        <w:t xml:space="preserve"> </w:t>
      </w:r>
      <w:r w:rsidR="0090081F" w:rsidRPr="00947688">
        <w:rPr>
          <w:rFonts w:asciiTheme="majorHAnsi" w:eastAsiaTheme="majorEastAsia" w:hAnsiTheme="majorHAnsi" w:cstheme="majorBidi"/>
          <w:bCs/>
          <w:szCs w:val="22"/>
        </w:rPr>
        <w:t xml:space="preserve">– </w:t>
      </w:r>
      <w:r w:rsidR="0090081F" w:rsidRPr="005769DB">
        <w:rPr>
          <w:rFonts w:ascii="Arial" w:hAnsi="Arial" w:cs="Arial"/>
          <w:color w:val="auto"/>
          <w:szCs w:val="22"/>
        </w:rPr>
        <w:t>Implementing</w:t>
      </w:r>
      <w:r w:rsidR="0090081F" w:rsidRPr="00947688">
        <w:rPr>
          <w:rFonts w:asciiTheme="majorHAnsi" w:eastAsiaTheme="majorEastAsia" w:hAnsiTheme="majorHAnsi" w:cstheme="majorBidi"/>
          <w:bCs/>
          <w:szCs w:val="22"/>
        </w:rPr>
        <w:t xml:space="preserve"> ILC</w:t>
      </w:r>
      <w:r w:rsidR="00E155CD">
        <w:rPr>
          <w:rFonts w:asciiTheme="majorHAnsi" w:eastAsiaTheme="majorEastAsia" w:hAnsiTheme="majorHAnsi" w:cstheme="majorBidi"/>
          <w:bCs/>
          <w:szCs w:val="22"/>
        </w:rPr>
        <w:t xml:space="preserve"> which are available on the </w:t>
      </w:r>
      <w:hyperlink r:id="rId20" w:history="1">
        <w:r w:rsidR="00E155CD" w:rsidRPr="00E155CD">
          <w:rPr>
            <w:rStyle w:val="Hyperlink"/>
            <w:rFonts w:asciiTheme="majorHAnsi" w:eastAsiaTheme="majorEastAsia" w:hAnsiTheme="majorHAnsi" w:cstheme="majorBidi"/>
            <w:bCs/>
            <w:szCs w:val="22"/>
          </w:rPr>
          <w:t>NDIS website</w:t>
        </w:r>
      </w:hyperlink>
      <w:r w:rsidR="0090081F">
        <w:rPr>
          <w:rFonts w:asciiTheme="majorHAnsi" w:eastAsiaTheme="majorEastAsia" w:hAnsiTheme="majorHAnsi" w:cstheme="majorBidi"/>
          <w:bCs/>
          <w:szCs w:val="22"/>
        </w:rPr>
        <w:t xml:space="preserve">. </w:t>
      </w:r>
    </w:p>
    <w:p w14:paraId="2FEE807C" w14:textId="77777777" w:rsidR="00A61393" w:rsidRDefault="00A61393" w:rsidP="005769DB">
      <w:pPr>
        <w:spacing w:after="120" w:line="240" w:lineRule="auto"/>
        <w:jc w:val="both"/>
        <w:rPr>
          <w:rFonts w:ascii="Arial" w:hAnsi="Arial" w:cs="Arial"/>
          <w:szCs w:val="22"/>
        </w:rPr>
      </w:pPr>
      <w:r>
        <w:rPr>
          <w:rFonts w:ascii="Arial" w:hAnsi="Arial" w:cs="Arial"/>
          <w:szCs w:val="22"/>
        </w:rPr>
        <w:t xml:space="preserve">As the first jurisdiction to move into ILC, the ACT represents an opportunity to fund activities that meet local needs and help to establish the foundation for activities that may have a broader </w:t>
      </w:r>
      <w:r w:rsidRPr="005769DB">
        <w:rPr>
          <w:rFonts w:ascii="Arial" w:hAnsi="Arial" w:cs="Arial"/>
          <w:color w:val="auto"/>
          <w:szCs w:val="22"/>
        </w:rPr>
        <w:t>geographic</w:t>
      </w:r>
      <w:r>
        <w:rPr>
          <w:rFonts w:ascii="Arial" w:hAnsi="Arial" w:cs="Arial"/>
          <w:szCs w:val="22"/>
        </w:rPr>
        <w:t xml:space="preserve"> reach.</w:t>
      </w:r>
      <w:r w:rsidR="00434F66">
        <w:rPr>
          <w:rFonts w:ascii="Arial" w:hAnsi="Arial" w:cs="Arial"/>
          <w:szCs w:val="22"/>
        </w:rPr>
        <w:t xml:space="preserve">  </w:t>
      </w:r>
    </w:p>
    <w:p w14:paraId="6BC3DF86" w14:textId="77777777" w:rsidR="00434F66" w:rsidRDefault="00434F66" w:rsidP="00A71730">
      <w:pPr>
        <w:pStyle w:val="PlainText"/>
        <w:jc w:val="both"/>
        <w:rPr>
          <w:rFonts w:ascii="Arial" w:hAnsi="Arial" w:cs="Arial"/>
          <w:color w:val="000000" w:themeColor="text1"/>
          <w:szCs w:val="22"/>
        </w:rPr>
      </w:pPr>
      <w:r>
        <w:rPr>
          <w:rFonts w:ascii="Arial" w:hAnsi="Arial" w:cs="Arial"/>
          <w:color w:val="000000" w:themeColor="text1"/>
          <w:szCs w:val="22"/>
        </w:rPr>
        <w:t xml:space="preserve">The priorities for investment </w:t>
      </w:r>
      <w:r w:rsidR="00481C8B">
        <w:rPr>
          <w:rFonts w:ascii="Arial" w:hAnsi="Arial" w:cs="Arial"/>
          <w:color w:val="000000" w:themeColor="text1"/>
          <w:szCs w:val="22"/>
        </w:rPr>
        <w:t>in the ACT Funding Round will be:</w:t>
      </w:r>
    </w:p>
    <w:p w14:paraId="546306A6" w14:textId="77777777" w:rsidR="00481C8B" w:rsidRDefault="00481C8B" w:rsidP="00DC5DB5">
      <w:pPr>
        <w:pStyle w:val="PlainText"/>
        <w:numPr>
          <w:ilvl w:val="0"/>
          <w:numId w:val="20"/>
        </w:numPr>
        <w:jc w:val="both"/>
        <w:rPr>
          <w:rFonts w:ascii="Arial" w:hAnsi="Arial" w:cs="Arial"/>
          <w:color w:val="000000" w:themeColor="text1"/>
          <w:szCs w:val="22"/>
        </w:rPr>
      </w:pPr>
      <w:r>
        <w:rPr>
          <w:rFonts w:ascii="Arial" w:hAnsi="Arial" w:cs="Arial"/>
          <w:color w:val="000000" w:themeColor="text1"/>
          <w:szCs w:val="22"/>
        </w:rPr>
        <w:t>Ensuring that individual capacity building activities target people who do not have an NDIS Plan;</w:t>
      </w:r>
    </w:p>
    <w:p w14:paraId="7602E897" w14:textId="77777777" w:rsidR="00481C8B" w:rsidRDefault="00481C8B" w:rsidP="00DC5DB5">
      <w:pPr>
        <w:pStyle w:val="PlainText"/>
        <w:numPr>
          <w:ilvl w:val="0"/>
          <w:numId w:val="20"/>
        </w:numPr>
        <w:jc w:val="both"/>
        <w:rPr>
          <w:rFonts w:ascii="Arial" w:hAnsi="Arial" w:cs="Arial"/>
          <w:color w:val="000000" w:themeColor="text1"/>
          <w:szCs w:val="22"/>
        </w:rPr>
      </w:pPr>
      <w:r>
        <w:rPr>
          <w:rFonts w:ascii="Arial" w:hAnsi="Arial" w:cs="Arial"/>
          <w:color w:val="000000" w:themeColor="text1"/>
          <w:szCs w:val="22"/>
        </w:rPr>
        <w:t>Ensuring that the diversity of needs of people with disability, as reflected in the ILC Focus Areas, are met through the spread of activities receiving ILC funding;</w:t>
      </w:r>
    </w:p>
    <w:p w14:paraId="68A1E456" w14:textId="77777777" w:rsidR="00442BEC" w:rsidRDefault="00442BEC" w:rsidP="00DC5DB5">
      <w:pPr>
        <w:pStyle w:val="PlainText"/>
        <w:numPr>
          <w:ilvl w:val="0"/>
          <w:numId w:val="20"/>
        </w:numPr>
        <w:jc w:val="both"/>
        <w:rPr>
          <w:rFonts w:ascii="Arial" w:hAnsi="Arial" w:cs="Arial"/>
          <w:color w:val="000000" w:themeColor="text1"/>
          <w:szCs w:val="22"/>
        </w:rPr>
      </w:pPr>
      <w:r>
        <w:rPr>
          <w:rFonts w:ascii="Arial" w:hAnsi="Arial" w:cs="Arial"/>
          <w:color w:val="000000" w:themeColor="text1"/>
          <w:szCs w:val="22"/>
        </w:rPr>
        <w:t>Increasing the delivery of ILC activit</w:t>
      </w:r>
      <w:r w:rsidR="005F0AFC">
        <w:rPr>
          <w:rFonts w:ascii="Arial" w:hAnsi="Arial" w:cs="Arial"/>
          <w:color w:val="000000" w:themeColor="text1"/>
          <w:szCs w:val="22"/>
        </w:rPr>
        <w:t>i</w:t>
      </w:r>
      <w:r>
        <w:rPr>
          <w:rFonts w:ascii="Arial" w:hAnsi="Arial" w:cs="Arial"/>
          <w:color w:val="000000" w:themeColor="text1"/>
          <w:szCs w:val="22"/>
        </w:rPr>
        <w:t>es by people with disability, for people with disability</w:t>
      </w:r>
      <w:r w:rsidR="00A91D81">
        <w:rPr>
          <w:rFonts w:ascii="Arial" w:hAnsi="Arial" w:cs="Arial"/>
          <w:color w:val="000000" w:themeColor="text1"/>
          <w:szCs w:val="22"/>
        </w:rPr>
        <w:t>; and</w:t>
      </w:r>
    </w:p>
    <w:p w14:paraId="25C19E45" w14:textId="77777777" w:rsidR="00A91D81" w:rsidRDefault="00A91D81" w:rsidP="00DC5DB5">
      <w:pPr>
        <w:pStyle w:val="PlainText"/>
        <w:numPr>
          <w:ilvl w:val="0"/>
          <w:numId w:val="20"/>
        </w:numPr>
        <w:jc w:val="both"/>
        <w:rPr>
          <w:rFonts w:ascii="Arial" w:hAnsi="Arial" w:cs="Arial"/>
          <w:color w:val="000000" w:themeColor="text1"/>
          <w:szCs w:val="22"/>
        </w:rPr>
      </w:pPr>
      <w:r>
        <w:rPr>
          <w:rFonts w:ascii="Arial" w:hAnsi="Arial" w:cs="Arial"/>
          <w:color w:val="000000" w:themeColor="text1"/>
          <w:szCs w:val="22"/>
        </w:rPr>
        <w:t xml:space="preserve">To </w:t>
      </w:r>
      <w:r w:rsidRPr="00DC5DB5">
        <w:rPr>
          <w:rFonts w:ascii="Arial" w:hAnsi="Arial" w:cs="Arial"/>
          <w:color w:val="000000" w:themeColor="text1"/>
          <w:szCs w:val="22"/>
        </w:rPr>
        <w:t>build innovative ways to increase the independence, social and community participation of people with a disability</w:t>
      </w:r>
      <w:r>
        <w:rPr>
          <w:rFonts w:ascii="Arial" w:hAnsi="Arial" w:cs="Arial"/>
          <w:color w:val="000000" w:themeColor="text1"/>
          <w:szCs w:val="22"/>
        </w:rPr>
        <w:t>.</w:t>
      </w:r>
    </w:p>
    <w:p w14:paraId="0FE18D8B" w14:textId="77777777" w:rsidR="00D247D2" w:rsidRPr="00947688" w:rsidRDefault="00D247D2" w:rsidP="00D247D2">
      <w:pPr>
        <w:pStyle w:val="Heading3"/>
        <w:rPr>
          <w:szCs w:val="22"/>
        </w:rPr>
      </w:pPr>
      <w:r w:rsidRPr="00947688">
        <w:rPr>
          <w:szCs w:val="22"/>
        </w:rPr>
        <w:t>Statement of Requirement</w:t>
      </w:r>
    </w:p>
    <w:p w14:paraId="08DEC3D0" w14:textId="74897508" w:rsidR="00721263" w:rsidRDefault="000446F5" w:rsidP="0028266D">
      <w:pPr>
        <w:spacing w:after="120" w:line="240" w:lineRule="auto"/>
        <w:jc w:val="both"/>
        <w:rPr>
          <w:rFonts w:asciiTheme="majorHAnsi" w:eastAsiaTheme="majorEastAsia" w:hAnsiTheme="majorHAnsi" w:cstheme="majorBidi"/>
          <w:b/>
          <w:bCs/>
          <w:i/>
          <w:szCs w:val="22"/>
        </w:rPr>
      </w:pPr>
      <w:r w:rsidRPr="00947688">
        <w:rPr>
          <w:szCs w:val="22"/>
        </w:rPr>
        <w:t xml:space="preserve">When completing your Application you </w:t>
      </w:r>
      <w:r w:rsidRPr="00947688">
        <w:rPr>
          <w:b/>
          <w:szCs w:val="22"/>
        </w:rPr>
        <w:t>must</w:t>
      </w:r>
      <w:r w:rsidRPr="00947688">
        <w:rPr>
          <w:szCs w:val="22"/>
        </w:rPr>
        <w:t xml:space="preserve"> provide all information where you are directed to do so. Failure to meet these </w:t>
      </w:r>
      <w:r w:rsidRPr="00FF28B4">
        <w:rPr>
          <w:rFonts w:ascii="Arial" w:hAnsi="Arial" w:cs="Arial"/>
          <w:szCs w:val="22"/>
        </w:rPr>
        <w:t>requirements</w:t>
      </w:r>
      <w:r w:rsidRPr="00947688">
        <w:rPr>
          <w:szCs w:val="22"/>
        </w:rPr>
        <w:t xml:space="preserve"> </w:t>
      </w:r>
      <w:r w:rsidR="00A64EDC" w:rsidRPr="00947688">
        <w:rPr>
          <w:szCs w:val="22"/>
        </w:rPr>
        <w:t xml:space="preserve">may </w:t>
      </w:r>
      <w:r w:rsidRPr="00947688">
        <w:rPr>
          <w:szCs w:val="22"/>
        </w:rPr>
        <w:t>result in your application/s not being considered.</w:t>
      </w:r>
      <w:r w:rsidR="0028266D">
        <w:rPr>
          <w:rFonts w:asciiTheme="majorHAnsi" w:eastAsiaTheme="majorEastAsia" w:hAnsiTheme="majorHAnsi" w:cstheme="majorBidi"/>
          <w:b/>
          <w:bCs/>
          <w:i/>
          <w:szCs w:val="22"/>
        </w:rPr>
        <w:t xml:space="preserve"> </w:t>
      </w:r>
    </w:p>
    <w:p w14:paraId="2FAEB0FB" w14:textId="1A1D51D5" w:rsidR="005F0B24" w:rsidRPr="00FF28B4" w:rsidRDefault="004E5B7D" w:rsidP="008B1C9D">
      <w:pPr>
        <w:spacing w:after="120"/>
        <w:rPr>
          <w:rFonts w:asciiTheme="majorHAnsi" w:eastAsiaTheme="majorEastAsia" w:hAnsiTheme="majorHAnsi" w:cstheme="majorBidi"/>
          <w:b/>
          <w:bCs/>
          <w:i/>
          <w:szCs w:val="22"/>
        </w:rPr>
      </w:pPr>
      <w:r>
        <w:rPr>
          <w:rFonts w:asciiTheme="majorHAnsi" w:eastAsiaTheme="majorEastAsia" w:hAnsiTheme="majorHAnsi" w:cstheme="majorBidi"/>
          <w:b/>
          <w:bCs/>
          <w:i/>
          <w:szCs w:val="22"/>
        </w:rPr>
        <w:br w:type="column"/>
      </w:r>
      <w:r w:rsidR="00FF28B4">
        <w:rPr>
          <w:rFonts w:asciiTheme="majorHAnsi" w:eastAsiaTheme="majorEastAsia" w:hAnsiTheme="majorHAnsi" w:cstheme="majorBidi"/>
          <w:b/>
          <w:bCs/>
          <w:i/>
          <w:szCs w:val="22"/>
        </w:rPr>
        <w:lastRenderedPageBreak/>
        <w:t>Grants u</w:t>
      </w:r>
      <w:r w:rsidR="005F0B24" w:rsidRPr="00FF28B4">
        <w:rPr>
          <w:rFonts w:asciiTheme="majorHAnsi" w:eastAsiaTheme="majorEastAsia" w:hAnsiTheme="majorHAnsi" w:cstheme="majorBidi"/>
          <w:b/>
          <w:bCs/>
          <w:i/>
          <w:szCs w:val="22"/>
        </w:rPr>
        <w:t>nder $10,000</w:t>
      </w:r>
    </w:p>
    <w:p w14:paraId="3F074076" w14:textId="77777777" w:rsidR="001721BA" w:rsidRDefault="00C620C2" w:rsidP="001721BA">
      <w:pPr>
        <w:spacing w:after="120" w:line="240" w:lineRule="auto"/>
        <w:jc w:val="both"/>
        <w:rPr>
          <w:color w:val="auto"/>
          <w:szCs w:val="22"/>
        </w:rPr>
      </w:pPr>
      <w:r w:rsidRPr="00DC5DB5">
        <w:rPr>
          <w:color w:val="auto"/>
          <w:szCs w:val="22"/>
        </w:rPr>
        <w:t xml:space="preserve">ILC </w:t>
      </w:r>
      <w:r w:rsidR="000D14E4" w:rsidRPr="00DC5DB5">
        <w:rPr>
          <w:color w:val="auto"/>
          <w:szCs w:val="22"/>
        </w:rPr>
        <w:t xml:space="preserve">grants </w:t>
      </w:r>
      <w:r w:rsidRPr="00DC5DB5">
        <w:rPr>
          <w:color w:val="auto"/>
          <w:szCs w:val="22"/>
        </w:rPr>
        <w:t xml:space="preserve">for activities </w:t>
      </w:r>
      <w:r w:rsidR="00D30943" w:rsidRPr="00DC5DB5">
        <w:rPr>
          <w:color w:val="auto"/>
          <w:szCs w:val="22"/>
        </w:rPr>
        <w:t xml:space="preserve">under $10,000 will </w:t>
      </w:r>
      <w:r w:rsidRPr="00DC5DB5">
        <w:rPr>
          <w:color w:val="auto"/>
          <w:szCs w:val="22"/>
        </w:rPr>
        <w:t>be for small-scale projects that are potentially one-off</w:t>
      </w:r>
      <w:r w:rsidR="009C7CD5" w:rsidRPr="00DC5DB5">
        <w:rPr>
          <w:color w:val="auto"/>
          <w:szCs w:val="22"/>
        </w:rPr>
        <w:t xml:space="preserve">.  These projects will be based in local communities and will be expected to contribute to </w:t>
      </w:r>
      <w:r w:rsidR="000709A8">
        <w:rPr>
          <w:color w:val="auto"/>
          <w:szCs w:val="22"/>
        </w:rPr>
        <w:t xml:space="preserve">the </w:t>
      </w:r>
      <w:r w:rsidR="009C7CD5" w:rsidRPr="00DC5DB5">
        <w:rPr>
          <w:color w:val="auto"/>
          <w:szCs w:val="22"/>
        </w:rPr>
        <w:t>ILC outcomes</w:t>
      </w:r>
      <w:r w:rsidR="00062226">
        <w:rPr>
          <w:color w:val="auto"/>
          <w:szCs w:val="22"/>
        </w:rPr>
        <w:t xml:space="preserve"> listed in t</w:t>
      </w:r>
      <w:r w:rsidR="001721BA">
        <w:rPr>
          <w:color w:val="auto"/>
          <w:szCs w:val="22"/>
        </w:rPr>
        <w:t>he ILC Commissioning Framework.</w:t>
      </w:r>
    </w:p>
    <w:p w14:paraId="30DD7199" w14:textId="1440B72D" w:rsidR="005F0B24" w:rsidRPr="00FF28B4" w:rsidRDefault="005F0B24" w:rsidP="001721BA">
      <w:pPr>
        <w:spacing w:after="120" w:line="240" w:lineRule="auto"/>
        <w:jc w:val="both"/>
        <w:rPr>
          <w:rFonts w:asciiTheme="majorHAnsi" w:eastAsiaTheme="majorEastAsia" w:hAnsiTheme="majorHAnsi" w:cstheme="majorBidi"/>
          <w:b/>
          <w:bCs/>
          <w:i/>
          <w:szCs w:val="22"/>
        </w:rPr>
      </w:pPr>
      <w:r w:rsidRPr="00FF28B4">
        <w:rPr>
          <w:rFonts w:asciiTheme="majorHAnsi" w:eastAsiaTheme="majorEastAsia" w:hAnsiTheme="majorHAnsi" w:cstheme="majorBidi"/>
          <w:b/>
          <w:bCs/>
          <w:i/>
          <w:szCs w:val="22"/>
        </w:rPr>
        <w:t>Grants over $10,000</w:t>
      </w:r>
    </w:p>
    <w:p w14:paraId="3A5BB70D" w14:textId="77777777" w:rsidR="000D14E4" w:rsidRDefault="009C7CD5" w:rsidP="00700FDD">
      <w:pPr>
        <w:spacing w:after="240" w:line="240" w:lineRule="auto"/>
        <w:jc w:val="both"/>
        <w:rPr>
          <w:rFonts w:ascii="Arial" w:hAnsi="Arial" w:cs="Arial"/>
          <w:szCs w:val="22"/>
        </w:rPr>
      </w:pPr>
      <w:r>
        <w:rPr>
          <w:rFonts w:eastAsia="Calibri" w:cstheme="minorHAnsi"/>
          <w:szCs w:val="22"/>
        </w:rPr>
        <w:t xml:space="preserve">ILC grants for activities over $10,000 will be for projects with </w:t>
      </w:r>
      <w:r w:rsidR="000D14E4">
        <w:rPr>
          <w:rFonts w:ascii="Arial" w:hAnsi="Arial" w:cs="Arial"/>
          <w:szCs w:val="22"/>
        </w:rPr>
        <w:t>proven and/or innovative models and modes of delivery</w:t>
      </w:r>
      <w:r w:rsidR="000709A8">
        <w:rPr>
          <w:rFonts w:ascii="Arial" w:hAnsi="Arial" w:cs="Arial"/>
          <w:szCs w:val="22"/>
        </w:rPr>
        <w:t>, with a mix of activities funded representing</w:t>
      </w:r>
      <w:r w:rsidR="000D14E4">
        <w:rPr>
          <w:rFonts w:ascii="Arial" w:hAnsi="Arial" w:cs="Arial"/>
          <w:szCs w:val="22"/>
        </w:rPr>
        <w:t xml:space="preserve"> all </w:t>
      </w:r>
      <w:r w:rsidR="000709A8">
        <w:rPr>
          <w:rFonts w:ascii="Arial" w:hAnsi="Arial" w:cs="Arial"/>
          <w:szCs w:val="22"/>
        </w:rPr>
        <w:t xml:space="preserve">of the </w:t>
      </w:r>
      <w:r w:rsidR="00D30943">
        <w:rPr>
          <w:rFonts w:ascii="Arial" w:hAnsi="Arial" w:cs="Arial"/>
          <w:szCs w:val="22"/>
        </w:rPr>
        <w:t xml:space="preserve">ILC </w:t>
      </w:r>
      <w:r w:rsidR="000D14E4">
        <w:rPr>
          <w:rFonts w:ascii="Arial" w:hAnsi="Arial" w:cs="Arial"/>
          <w:szCs w:val="22"/>
        </w:rPr>
        <w:t>Activity Areas</w:t>
      </w:r>
      <w:r w:rsidR="000D14E4">
        <w:rPr>
          <w:rFonts w:eastAsia="Calibri" w:cstheme="minorHAnsi"/>
          <w:szCs w:val="22"/>
        </w:rPr>
        <w:t xml:space="preserve"> and Focus Areas. The activities will meet identified needs and interests of people with disability, and will reflect a contemporary, positive and progressive approach to inclusion. </w:t>
      </w:r>
    </w:p>
    <w:p w14:paraId="6B8A379A" w14:textId="77777777" w:rsidR="00296487" w:rsidRDefault="00296487" w:rsidP="00296487">
      <w:pPr>
        <w:spacing w:after="120" w:line="240" w:lineRule="auto"/>
        <w:jc w:val="both"/>
        <w:rPr>
          <w:color w:val="auto"/>
          <w:szCs w:val="22"/>
        </w:rPr>
      </w:pPr>
      <w:r w:rsidRPr="00C4359E">
        <w:rPr>
          <w:b/>
          <w:color w:val="auto"/>
          <w:szCs w:val="22"/>
        </w:rPr>
        <w:t>Number of applications</w:t>
      </w:r>
      <w:r w:rsidRPr="00C4359E">
        <w:rPr>
          <w:color w:val="auto"/>
          <w:szCs w:val="22"/>
        </w:rPr>
        <w:t xml:space="preserve">  </w:t>
      </w:r>
    </w:p>
    <w:p w14:paraId="3083EC88" w14:textId="77777777" w:rsidR="00111E61" w:rsidRDefault="00296487" w:rsidP="00296487">
      <w:pPr>
        <w:spacing w:after="120" w:line="240" w:lineRule="auto"/>
        <w:jc w:val="both"/>
        <w:rPr>
          <w:color w:val="auto"/>
          <w:szCs w:val="22"/>
        </w:rPr>
      </w:pPr>
      <w:r>
        <w:rPr>
          <w:color w:val="auto"/>
          <w:szCs w:val="22"/>
        </w:rPr>
        <w:t>A</w:t>
      </w:r>
      <w:r w:rsidRPr="00C4359E">
        <w:rPr>
          <w:color w:val="auto"/>
          <w:szCs w:val="22"/>
        </w:rPr>
        <w:t>n Applicant may submit up to two different</w:t>
      </w:r>
      <w:r w:rsidR="00111E61">
        <w:rPr>
          <w:color w:val="auto"/>
          <w:szCs w:val="22"/>
        </w:rPr>
        <w:t xml:space="preserve"> applications</w:t>
      </w:r>
      <w:r w:rsidRPr="00C4359E">
        <w:rPr>
          <w:color w:val="auto"/>
          <w:szCs w:val="22"/>
        </w:rPr>
        <w:t xml:space="preserve"> per Activity Area</w:t>
      </w:r>
      <w:r>
        <w:rPr>
          <w:color w:val="auto"/>
          <w:szCs w:val="22"/>
        </w:rPr>
        <w:t xml:space="preserve"> for grants </w:t>
      </w:r>
      <w:r w:rsidRPr="0024540C">
        <w:rPr>
          <w:b/>
          <w:color w:val="auto"/>
          <w:szCs w:val="22"/>
        </w:rPr>
        <w:t>under $10,000</w:t>
      </w:r>
      <w:r w:rsidR="00111E61">
        <w:rPr>
          <w:color w:val="auto"/>
          <w:szCs w:val="22"/>
        </w:rPr>
        <w:t xml:space="preserve">.  </w:t>
      </w:r>
      <w:r>
        <w:rPr>
          <w:color w:val="auto"/>
          <w:szCs w:val="22"/>
        </w:rPr>
        <w:t xml:space="preserve"> </w:t>
      </w:r>
      <w:r w:rsidR="00111E61">
        <w:rPr>
          <w:color w:val="auto"/>
          <w:szCs w:val="22"/>
        </w:rPr>
        <w:t xml:space="preserve">Each </w:t>
      </w:r>
      <w:r w:rsidR="0024540C">
        <w:rPr>
          <w:color w:val="auto"/>
          <w:szCs w:val="22"/>
        </w:rPr>
        <w:t>application must be</w:t>
      </w:r>
      <w:r w:rsidR="00111E61">
        <w:rPr>
          <w:color w:val="auto"/>
          <w:szCs w:val="22"/>
        </w:rPr>
        <w:t xml:space="preserve"> submitted on a new application form. </w:t>
      </w:r>
    </w:p>
    <w:p w14:paraId="5015F24D" w14:textId="553E2982" w:rsidR="00296487" w:rsidRDefault="00111E61" w:rsidP="00296487">
      <w:pPr>
        <w:spacing w:after="120" w:line="240" w:lineRule="auto"/>
        <w:jc w:val="both"/>
        <w:rPr>
          <w:color w:val="auto"/>
          <w:szCs w:val="22"/>
        </w:rPr>
      </w:pPr>
      <w:r>
        <w:rPr>
          <w:color w:val="auto"/>
          <w:szCs w:val="22"/>
        </w:rPr>
        <w:t xml:space="preserve">For grants </w:t>
      </w:r>
      <w:r w:rsidRPr="0024540C">
        <w:rPr>
          <w:b/>
          <w:color w:val="auto"/>
          <w:szCs w:val="22"/>
        </w:rPr>
        <w:t>over $10,000</w:t>
      </w:r>
      <w:r>
        <w:rPr>
          <w:color w:val="auto"/>
          <w:szCs w:val="22"/>
        </w:rPr>
        <w:t xml:space="preserve">, an Applicant may submit one application for each Activity Area.  </w:t>
      </w:r>
      <w:r w:rsidR="00296487">
        <w:rPr>
          <w:color w:val="auto"/>
          <w:szCs w:val="22"/>
        </w:rPr>
        <w:t xml:space="preserve">If an Applicant submits more than </w:t>
      </w:r>
      <w:r>
        <w:rPr>
          <w:color w:val="auto"/>
          <w:szCs w:val="22"/>
        </w:rPr>
        <w:t>one</w:t>
      </w:r>
      <w:r w:rsidR="00296487">
        <w:rPr>
          <w:color w:val="auto"/>
          <w:szCs w:val="22"/>
        </w:rPr>
        <w:t xml:space="preserve"> application for the </w:t>
      </w:r>
      <w:r w:rsidR="007C1E69">
        <w:rPr>
          <w:color w:val="auto"/>
          <w:szCs w:val="22"/>
        </w:rPr>
        <w:t>s</w:t>
      </w:r>
      <w:r w:rsidR="00296487">
        <w:rPr>
          <w:color w:val="auto"/>
          <w:szCs w:val="22"/>
        </w:rPr>
        <w:t>ame Activity Area, only the</w:t>
      </w:r>
      <w:r>
        <w:rPr>
          <w:color w:val="auto"/>
          <w:szCs w:val="22"/>
        </w:rPr>
        <w:t xml:space="preserve"> </w:t>
      </w:r>
      <w:proofErr w:type="gramStart"/>
      <w:r>
        <w:rPr>
          <w:color w:val="auto"/>
          <w:szCs w:val="22"/>
        </w:rPr>
        <w:t xml:space="preserve">second </w:t>
      </w:r>
      <w:r w:rsidR="00296487">
        <w:rPr>
          <w:color w:val="auto"/>
          <w:szCs w:val="22"/>
        </w:rPr>
        <w:t xml:space="preserve"> application</w:t>
      </w:r>
      <w:proofErr w:type="gramEnd"/>
      <w:r w:rsidR="00296487">
        <w:rPr>
          <w:color w:val="auto"/>
          <w:szCs w:val="22"/>
        </w:rPr>
        <w:t xml:space="preserve"> will be assessed. </w:t>
      </w:r>
    </w:p>
    <w:p w14:paraId="74FD4617" w14:textId="6F93DC1A" w:rsidR="00296487" w:rsidRDefault="00296487" w:rsidP="00296487">
      <w:pPr>
        <w:spacing w:after="120" w:line="240" w:lineRule="auto"/>
        <w:jc w:val="both"/>
        <w:rPr>
          <w:color w:val="auto"/>
          <w:szCs w:val="22"/>
        </w:rPr>
      </w:pPr>
      <w:r w:rsidRPr="00C4359E">
        <w:rPr>
          <w:color w:val="auto"/>
          <w:szCs w:val="22"/>
        </w:rPr>
        <w:t xml:space="preserve">An </w:t>
      </w:r>
      <w:r>
        <w:rPr>
          <w:color w:val="auto"/>
          <w:szCs w:val="22"/>
        </w:rPr>
        <w:t>A</w:t>
      </w:r>
      <w:r w:rsidRPr="00C4359E">
        <w:rPr>
          <w:color w:val="auto"/>
          <w:szCs w:val="22"/>
        </w:rPr>
        <w:t xml:space="preserve">pplicant cannot submit the same </w:t>
      </w:r>
      <w:r w:rsidR="0024540C">
        <w:rPr>
          <w:color w:val="auto"/>
          <w:szCs w:val="22"/>
        </w:rPr>
        <w:t>application</w:t>
      </w:r>
      <w:r w:rsidRPr="00C4359E">
        <w:rPr>
          <w:color w:val="auto"/>
          <w:szCs w:val="22"/>
        </w:rPr>
        <w:t xml:space="preserve"> under multiple Activity Areas; an Applicant needs to choose the Activity Area which best </w:t>
      </w:r>
      <w:r w:rsidRPr="00F253A9">
        <w:rPr>
          <w:rFonts w:eastAsia="Calibri" w:cstheme="minorHAnsi"/>
          <w:szCs w:val="22"/>
        </w:rPr>
        <w:t>aligns</w:t>
      </w:r>
      <w:r w:rsidRPr="00C4359E">
        <w:rPr>
          <w:color w:val="auto"/>
          <w:szCs w:val="22"/>
        </w:rPr>
        <w:t xml:space="preserve"> with their </w:t>
      </w:r>
      <w:r>
        <w:rPr>
          <w:color w:val="auto"/>
          <w:szCs w:val="22"/>
        </w:rPr>
        <w:t>proposed activity</w:t>
      </w:r>
      <w:r w:rsidRPr="00C4359E">
        <w:rPr>
          <w:color w:val="auto"/>
          <w:szCs w:val="22"/>
        </w:rPr>
        <w:t>.</w:t>
      </w:r>
      <w:r>
        <w:rPr>
          <w:color w:val="auto"/>
          <w:szCs w:val="22"/>
        </w:rPr>
        <w:t xml:space="preserve">  Where</w:t>
      </w:r>
      <w:r w:rsidR="0024540C">
        <w:rPr>
          <w:color w:val="auto"/>
          <w:szCs w:val="22"/>
        </w:rPr>
        <w:t xml:space="preserve"> an application for</w:t>
      </w:r>
      <w:r>
        <w:rPr>
          <w:color w:val="auto"/>
          <w:szCs w:val="22"/>
        </w:rPr>
        <w:t xml:space="preserve"> the same</w:t>
      </w:r>
      <w:r w:rsidR="001721BA">
        <w:rPr>
          <w:color w:val="auto"/>
          <w:szCs w:val="22"/>
        </w:rPr>
        <w:t xml:space="preserve"> </w:t>
      </w:r>
      <w:r>
        <w:rPr>
          <w:color w:val="auto"/>
          <w:szCs w:val="22"/>
        </w:rPr>
        <w:t>activity is submitted more than once, only the last application received will be assessed.</w:t>
      </w:r>
    </w:p>
    <w:p w14:paraId="3376E38E" w14:textId="77777777" w:rsidR="00A71730" w:rsidRPr="00947688" w:rsidRDefault="002213B1" w:rsidP="00D23252">
      <w:pPr>
        <w:spacing w:after="120"/>
        <w:rPr>
          <w:rFonts w:cs="Arial"/>
        </w:rPr>
      </w:pPr>
      <w:r w:rsidRPr="00C4359E">
        <w:rPr>
          <w:color w:val="auto"/>
          <w:szCs w:val="22"/>
        </w:rPr>
        <w:t xml:space="preserve"> </w:t>
      </w:r>
      <w:r w:rsidR="00A71730" w:rsidRPr="00947688">
        <w:rPr>
          <w:rFonts w:cs="Arial"/>
        </w:rPr>
        <w:t>Eligible activities are those activities that</w:t>
      </w:r>
      <w:r w:rsidR="004C495A">
        <w:rPr>
          <w:rFonts w:cs="Arial"/>
        </w:rPr>
        <w:t xml:space="preserve"> do one or more of the following</w:t>
      </w:r>
      <w:r w:rsidR="00A71730" w:rsidRPr="00947688">
        <w:rPr>
          <w:rFonts w:cs="Arial"/>
        </w:rPr>
        <w:t>:</w:t>
      </w:r>
    </w:p>
    <w:p w14:paraId="73049A85" w14:textId="560754BE" w:rsidR="00A71730" w:rsidRPr="00947688" w:rsidRDefault="00A71730" w:rsidP="00A71730">
      <w:pPr>
        <w:pStyle w:val="ListParagraph"/>
        <w:numPr>
          <w:ilvl w:val="0"/>
          <w:numId w:val="15"/>
        </w:numPr>
        <w:spacing w:after="160" w:line="259" w:lineRule="auto"/>
        <w:jc w:val="both"/>
        <w:rPr>
          <w:rFonts w:cs="Arial"/>
        </w:rPr>
      </w:pPr>
      <w:proofErr w:type="gramStart"/>
      <w:r w:rsidRPr="00947688">
        <w:rPr>
          <w:rFonts w:cs="Arial"/>
        </w:rPr>
        <w:t>meet</w:t>
      </w:r>
      <w:proofErr w:type="gramEnd"/>
      <w:r w:rsidRPr="00947688">
        <w:rPr>
          <w:rFonts w:cs="Arial"/>
        </w:rPr>
        <w:t xml:space="preserve"> the needs of people with disability, including through individual capacity building activities and assist them to move tow</w:t>
      </w:r>
      <w:r w:rsidR="007C1E69">
        <w:rPr>
          <w:rFonts w:cs="Arial"/>
        </w:rPr>
        <w:t>ards greater independence, self-</w:t>
      </w:r>
      <w:r w:rsidRPr="00947688">
        <w:rPr>
          <w:rFonts w:cs="Arial"/>
        </w:rPr>
        <w:t>determination and community inclusion.</w:t>
      </w:r>
    </w:p>
    <w:p w14:paraId="12A8DBA7" w14:textId="77777777" w:rsidR="00A71730" w:rsidRPr="00947688" w:rsidRDefault="00A71730" w:rsidP="00A71730">
      <w:pPr>
        <w:pStyle w:val="ListParagraph"/>
        <w:numPr>
          <w:ilvl w:val="0"/>
          <w:numId w:val="15"/>
        </w:numPr>
        <w:spacing w:after="160" w:line="259" w:lineRule="auto"/>
        <w:jc w:val="both"/>
      </w:pPr>
      <w:proofErr w:type="gramStart"/>
      <w:r w:rsidRPr="00947688">
        <w:rPr>
          <w:rFonts w:cs="Arial"/>
        </w:rPr>
        <w:t>assist</w:t>
      </w:r>
      <w:proofErr w:type="gramEnd"/>
      <w:r w:rsidRPr="00947688">
        <w:rPr>
          <w:rFonts w:cs="Arial"/>
        </w:rPr>
        <w:t xml:space="preserve"> people with disability who do, or do not, have an NDIS plan.</w:t>
      </w:r>
    </w:p>
    <w:p w14:paraId="72FF488B" w14:textId="77777777" w:rsidR="00A71730" w:rsidRPr="00947688" w:rsidRDefault="00A71730" w:rsidP="00A71730">
      <w:pPr>
        <w:pStyle w:val="ListParagraph"/>
        <w:numPr>
          <w:ilvl w:val="0"/>
          <w:numId w:val="15"/>
        </w:numPr>
        <w:spacing w:after="160" w:line="259" w:lineRule="auto"/>
        <w:jc w:val="both"/>
        <w:rPr>
          <w:rFonts w:cs="Arial"/>
        </w:rPr>
      </w:pPr>
      <w:proofErr w:type="gramStart"/>
      <w:r w:rsidRPr="00947688">
        <w:rPr>
          <w:rFonts w:cs="Arial"/>
        </w:rPr>
        <w:t>assist</w:t>
      </w:r>
      <w:proofErr w:type="gramEnd"/>
      <w:r w:rsidRPr="00947688">
        <w:rPr>
          <w:rFonts w:cs="Arial"/>
        </w:rPr>
        <w:t xml:space="preserve"> families and carers provided that they deliver an outcome for the person with disability they support.</w:t>
      </w:r>
    </w:p>
    <w:p w14:paraId="468EE326" w14:textId="77777777" w:rsidR="00A71730" w:rsidRPr="004822F2" w:rsidRDefault="00A71730" w:rsidP="00A71730">
      <w:pPr>
        <w:pStyle w:val="ListParagraph"/>
        <w:numPr>
          <w:ilvl w:val="0"/>
          <w:numId w:val="15"/>
        </w:numPr>
        <w:spacing w:after="160" w:line="259" w:lineRule="auto"/>
        <w:jc w:val="both"/>
        <w:rPr>
          <w:rFonts w:cs="Arial"/>
        </w:rPr>
      </w:pPr>
      <w:proofErr w:type="gramStart"/>
      <w:r w:rsidRPr="004822F2">
        <w:rPr>
          <w:rFonts w:cs="Arial"/>
        </w:rPr>
        <w:t>fit</w:t>
      </w:r>
      <w:proofErr w:type="gramEnd"/>
      <w:r w:rsidRPr="004822F2">
        <w:rPr>
          <w:rFonts w:cs="Arial"/>
        </w:rPr>
        <w:t xml:space="preserve"> one of the four Activity Streams described in the ILC Policy.</w:t>
      </w:r>
    </w:p>
    <w:p w14:paraId="72ACFCF2" w14:textId="77777777" w:rsidR="00A71730" w:rsidRPr="004822F2" w:rsidRDefault="00A71730" w:rsidP="00A71730">
      <w:pPr>
        <w:pStyle w:val="ListParagraph"/>
        <w:numPr>
          <w:ilvl w:val="0"/>
          <w:numId w:val="15"/>
        </w:numPr>
        <w:spacing w:after="160" w:line="259" w:lineRule="auto"/>
        <w:jc w:val="both"/>
        <w:rPr>
          <w:rFonts w:cs="Arial"/>
        </w:rPr>
      </w:pPr>
      <w:proofErr w:type="gramStart"/>
      <w:r w:rsidRPr="004822F2">
        <w:rPr>
          <w:rFonts w:cs="Arial"/>
        </w:rPr>
        <w:t>fit</w:t>
      </w:r>
      <w:proofErr w:type="gramEnd"/>
      <w:r w:rsidRPr="004822F2">
        <w:rPr>
          <w:rFonts w:cs="Arial"/>
        </w:rPr>
        <w:t xml:space="preserve"> one or more of the five Focus Areas in the </w:t>
      </w:r>
      <w:r w:rsidRPr="004822F2">
        <w:rPr>
          <w:rFonts w:cs="Arial"/>
          <w:i/>
        </w:rPr>
        <w:t>ILC Commissioning Framework</w:t>
      </w:r>
      <w:r w:rsidRPr="004822F2">
        <w:rPr>
          <w:rFonts w:cs="Arial"/>
        </w:rPr>
        <w:t>.</w:t>
      </w:r>
    </w:p>
    <w:p w14:paraId="7170CF70" w14:textId="77777777" w:rsidR="00A71730" w:rsidRPr="004822F2" w:rsidRDefault="00A71730" w:rsidP="00A71730">
      <w:pPr>
        <w:pStyle w:val="ListParagraph"/>
        <w:numPr>
          <w:ilvl w:val="0"/>
          <w:numId w:val="15"/>
        </w:numPr>
        <w:spacing w:after="160" w:line="259" w:lineRule="auto"/>
        <w:jc w:val="both"/>
        <w:rPr>
          <w:rFonts w:cs="Arial"/>
        </w:rPr>
      </w:pPr>
      <w:proofErr w:type="gramStart"/>
      <w:r w:rsidRPr="004822F2">
        <w:rPr>
          <w:rFonts w:cs="Arial"/>
        </w:rPr>
        <w:t>deliver</w:t>
      </w:r>
      <w:proofErr w:type="gramEnd"/>
      <w:r w:rsidRPr="004822F2">
        <w:rPr>
          <w:rFonts w:cs="Arial"/>
        </w:rPr>
        <w:t xml:space="preserve"> one or more of the ILC outcomes in the </w:t>
      </w:r>
      <w:r w:rsidRPr="004822F2">
        <w:rPr>
          <w:rFonts w:cs="Arial"/>
          <w:i/>
        </w:rPr>
        <w:t>ILC Commissioning Framework</w:t>
      </w:r>
      <w:r w:rsidRPr="004822F2">
        <w:rPr>
          <w:rFonts w:cs="Arial"/>
        </w:rPr>
        <w:t>.</w:t>
      </w:r>
    </w:p>
    <w:p w14:paraId="0FD301E3" w14:textId="77777777" w:rsidR="00A71730" w:rsidRPr="00947688" w:rsidRDefault="00A71730" w:rsidP="00A71730">
      <w:pPr>
        <w:pStyle w:val="ListParagraph"/>
        <w:numPr>
          <w:ilvl w:val="0"/>
          <w:numId w:val="15"/>
        </w:numPr>
        <w:spacing w:after="160" w:line="259" w:lineRule="auto"/>
        <w:jc w:val="both"/>
        <w:rPr>
          <w:rFonts w:cs="Arial"/>
        </w:rPr>
      </w:pPr>
      <w:proofErr w:type="gramStart"/>
      <w:r w:rsidRPr="00947688">
        <w:rPr>
          <w:rFonts w:cs="Arial"/>
        </w:rPr>
        <w:t>consist</w:t>
      </w:r>
      <w:proofErr w:type="gramEnd"/>
      <w:r w:rsidRPr="00947688">
        <w:rPr>
          <w:rFonts w:cs="Arial"/>
        </w:rPr>
        <w:t xml:space="preserve"> of activities building individual or community readiness in transition to the NDIS.</w:t>
      </w:r>
    </w:p>
    <w:p w14:paraId="2CFC213B" w14:textId="77777777" w:rsidR="00A71730" w:rsidRPr="00947688" w:rsidRDefault="00A71730" w:rsidP="00A71730">
      <w:pPr>
        <w:pStyle w:val="ListParagraph"/>
        <w:numPr>
          <w:ilvl w:val="0"/>
          <w:numId w:val="15"/>
        </w:numPr>
        <w:spacing w:after="160" w:line="259" w:lineRule="auto"/>
        <w:jc w:val="both"/>
        <w:rPr>
          <w:rFonts w:cs="Arial"/>
        </w:rPr>
      </w:pPr>
      <w:proofErr w:type="gramStart"/>
      <w:r w:rsidRPr="00947688">
        <w:rPr>
          <w:rFonts w:cs="Arial"/>
        </w:rPr>
        <w:t>demonstrate</w:t>
      </w:r>
      <w:proofErr w:type="gramEnd"/>
      <w:r w:rsidRPr="00947688">
        <w:rPr>
          <w:rFonts w:cs="Arial"/>
        </w:rPr>
        <w:t>, or provide evidence of, how activities reflect a contemporary, positive and progressive approach to inclusion.</w:t>
      </w:r>
    </w:p>
    <w:p w14:paraId="5F939E03" w14:textId="77777777" w:rsidR="00A71730" w:rsidRPr="00947688" w:rsidRDefault="00A71730" w:rsidP="00A71730">
      <w:pPr>
        <w:pStyle w:val="ListParagraph"/>
        <w:numPr>
          <w:ilvl w:val="0"/>
          <w:numId w:val="15"/>
        </w:numPr>
        <w:spacing w:after="160" w:line="259" w:lineRule="auto"/>
        <w:jc w:val="both"/>
        <w:rPr>
          <w:rFonts w:cs="Arial"/>
        </w:rPr>
      </w:pPr>
      <w:proofErr w:type="gramStart"/>
      <w:r w:rsidRPr="00947688">
        <w:rPr>
          <w:rFonts w:cs="Arial"/>
        </w:rPr>
        <w:t>provide</w:t>
      </w:r>
      <w:proofErr w:type="gramEnd"/>
      <w:r w:rsidRPr="00947688">
        <w:rPr>
          <w:rFonts w:cs="Arial"/>
        </w:rPr>
        <w:t xml:space="preserve"> a new direction or enhancement of an existing activity where clear outcomes or benefits for people with disability and/or the community can be demonstrated.</w:t>
      </w:r>
    </w:p>
    <w:p w14:paraId="3D21C12A" w14:textId="77777777" w:rsidR="00A71730" w:rsidRPr="00947688" w:rsidRDefault="00A71730" w:rsidP="00A71730">
      <w:pPr>
        <w:pStyle w:val="ListParagraph"/>
        <w:numPr>
          <w:ilvl w:val="0"/>
          <w:numId w:val="15"/>
        </w:numPr>
        <w:spacing w:after="160" w:line="259" w:lineRule="auto"/>
        <w:jc w:val="both"/>
        <w:rPr>
          <w:rFonts w:cs="Arial"/>
        </w:rPr>
      </w:pPr>
      <w:proofErr w:type="gramStart"/>
      <w:r w:rsidRPr="00947688">
        <w:rPr>
          <w:rFonts w:cs="Arial"/>
        </w:rPr>
        <w:t>provide</w:t>
      </w:r>
      <w:proofErr w:type="gramEnd"/>
      <w:r w:rsidRPr="00947688">
        <w:rPr>
          <w:rFonts w:cs="Arial"/>
        </w:rPr>
        <w:t xml:space="preserve"> national solutions to support people with disability, which also meet local needs</w:t>
      </w:r>
      <w:r w:rsidR="004C495A">
        <w:rPr>
          <w:rFonts w:cs="Arial"/>
        </w:rPr>
        <w:t xml:space="preserve"> in the ACT</w:t>
      </w:r>
      <w:r w:rsidRPr="00947688">
        <w:rPr>
          <w:rFonts w:cs="Arial"/>
        </w:rPr>
        <w:t>.</w:t>
      </w:r>
    </w:p>
    <w:p w14:paraId="52FC4D8F" w14:textId="77777777" w:rsidR="00A71730" w:rsidRPr="00947688" w:rsidRDefault="00A71730">
      <w:pPr>
        <w:pStyle w:val="ListParagraph"/>
        <w:numPr>
          <w:ilvl w:val="0"/>
          <w:numId w:val="15"/>
        </w:numPr>
        <w:spacing w:after="160" w:line="259" w:lineRule="auto"/>
        <w:jc w:val="both"/>
      </w:pPr>
      <w:proofErr w:type="gramStart"/>
      <w:r w:rsidRPr="00947688">
        <w:rPr>
          <w:rFonts w:cs="Arial"/>
        </w:rPr>
        <w:t>demonstrate</w:t>
      </w:r>
      <w:proofErr w:type="gramEnd"/>
      <w:r w:rsidRPr="00947688">
        <w:rPr>
          <w:rFonts w:cs="Arial"/>
        </w:rPr>
        <w:t>, or provide evidence of, how activities contribute to one or more of the ILC outcomes and have the potential to be introduced in multiple sites.</w:t>
      </w:r>
    </w:p>
    <w:p w14:paraId="343856F8" w14:textId="77777777" w:rsidR="00A71730" w:rsidRPr="00947688" w:rsidRDefault="00A71730" w:rsidP="00D23252">
      <w:pPr>
        <w:spacing w:after="120"/>
        <w:rPr>
          <w:rFonts w:cs="Arial"/>
          <w:szCs w:val="22"/>
        </w:rPr>
      </w:pPr>
      <w:r w:rsidRPr="00947688">
        <w:rPr>
          <w:rFonts w:cs="Arial"/>
          <w:szCs w:val="22"/>
        </w:rPr>
        <w:t xml:space="preserve">Ineligible activities are those </w:t>
      </w:r>
      <w:r w:rsidRPr="00D23252">
        <w:rPr>
          <w:rFonts w:cs="Arial"/>
        </w:rPr>
        <w:t>activities</w:t>
      </w:r>
      <w:r w:rsidRPr="00947688">
        <w:rPr>
          <w:rFonts w:cs="Arial"/>
          <w:szCs w:val="22"/>
        </w:rPr>
        <w:t>:</w:t>
      </w:r>
    </w:p>
    <w:p w14:paraId="706D30C6" w14:textId="77777777" w:rsidR="00A71730" w:rsidRPr="00947688" w:rsidRDefault="00A71730" w:rsidP="00A71730">
      <w:pPr>
        <w:pStyle w:val="ListParagraph"/>
        <w:numPr>
          <w:ilvl w:val="0"/>
          <w:numId w:val="14"/>
        </w:numPr>
        <w:spacing w:after="0" w:line="259" w:lineRule="auto"/>
        <w:ind w:left="714" w:hanging="357"/>
        <w:jc w:val="both"/>
        <w:rPr>
          <w:rFonts w:cs="Arial"/>
        </w:rPr>
      </w:pPr>
      <w:proofErr w:type="gramStart"/>
      <w:r w:rsidRPr="00947688">
        <w:rPr>
          <w:rFonts w:cs="Arial"/>
        </w:rPr>
        <w:t>that</w:t>
      </w:r>
      <w:proofErr w:type="gramEnd"/>
      <w:r w:rsidRPr="00947688">
        <w:rPr>
          <w:rFonts w:cs="Arial"/>
        </w:rPr>
        <w:t xml:space="preserve"> are eligible to be available to an individual through their NDIS plan.</w:t>
      </w:r>
    </w:p>
    <w:p w14:paraId="27F4FD1D" w14:textId="77777777" w:rsidR="00A71730" w:rsidRPr="00947688" w:rsidRDefault="00A71730" w:rsidP="00A71730">
      <w:pPr>
        <w:pStyle w:val="ListParagraph"/>
        <w:numPr>
          <w:ilvl w:val="0"/>
          <w:numId w:val="14"/>
        </w:numPr>
        <w:spacing w:after="160" w:line="259" w:lineRule="auto"/>
        <w:jc w:val="both"/>
        <w:rPr>
          <w:rFonts w:cs="Arial"/>
        </w:rPr>
      </w:pPr>
      <w:proofErr w:type="gramStart"/>
      <w:r w:rsidRPr="00947688">
        <w:rPr>
          <w:rFonts w:cs="Arial"/>
        </w:rPr>
        <w:t>where</w:t>
      </w:r>
      <w:proofErr w:type="gramEnd"/>
      <w:r w:rsidRPr="00947688">
        <w:rPr>
          <w:rFonts w:cs="Arial"/>
        </w:rPr>
        <w:t xml:space="preserve"> funding is more appropriately provided by other mechanisms or support services such as “reasonable adjustment” under the </w:t>
      </w:r>
      <w:r w:rsidRPr="00947688">
        <w:rPr>
          <w:rFonts w:cs="Arial"/>
          <w:i/>
        </w:rPr>
        <w:t>Disability Discrimination Act</w:t>
      </w:r>
      <w:r w:rsidRPr="00947688">
        <w:rPr>
          <w:rFonts w:cs="Arial"/>
        </w:rPr>
        <w:t xml:space="preserve"> </w:t>
      </w:r>
      <w:r w:rsidRPr="00947688">
        <w:rPr>
          <w:rFonts w:cs="Arial"/>
          <w:i/>
        </w:rPr>
        <w:t xml:space="preserve">1992 </w:t>
      </w:r>
      <w:r w:rsidRPr="00947688">
        <w:rPr>
          <w:rFonts w:cs="Arial"/>
        </w:rPr>
        <w:t>(</w:t>
      </w:r>
      <w:proofErr w:type="spellStart"/>
      <w:r w:rsidRPr="00947688">
        <w:rPr>
          <w:rFonts w:cs="Arial"/>
        </w:rPr>
        <w:t>Cth</w:t>
      </w:r>
      <w:proofErr w:type="spellEnd"/>
      <w:r w:rsidRPr="00947688">
        <w:rPr>
          <w:rFonts w:cs="Arial"/>
        </w:rPr>
        <w:t>), including access to premises, access to the activities of clubs and associations, and provision of goods and services.</w:t>
      </w:r>
    </w:p>
    <w:p w14:paraId="7C9F0BA3" w14:textId="77777777" w:rsidR="00A71730" w:rsidRPr="00947688" w:rsidRDefault="00A71730" w:rsidP="00A71730">
      <w:pPr>
        <w:pStyle w:val="ListParagraph"/>
        <w:numPr>
          <w:ilvl w:val="0"/>
          <w:numId w:val="14"/>
        </w:numPr>
        <w:spacing w:after="160" w:line="259" w:lineRule="auto"/>
        <w:jc w:val="both"/>
        <w:rPr>
          <w:rFonts w:cs="Arial"/>
        </w:rPr>
      </w:pPr>
      <w:proofErr w:type="gramStart"/>
      <w:r w:rsidRPr="00947688">
        <w:rPr>
          <w:rFonts w:cs="Arial"/>
        </w:rPr>
        <w:t>that</w:t>
      </w:r>
      <w:proofErr w:type="gramEnd"/>
      <w:r w:rsidRPr="00947688">
        <w:rPr>
          <w:rFonts w:cs="Arial"/>
        </w:rPr>
        <w:t xml:space="preserve"> are considered by the NDIA as being eligible for funding support through a more appropriate source (such as the Sector Development Fund or the National Disability Advocacy Program).</w:t>
      </w:r>
    </w:p>
    <w:p w14:paraId="7C8E5EB4" w14:textId="77777777" w:rsidR="00A71730" w:rsidRPr="00947688" w:rsidRDefault="00A71730" w:rsidP="00A71730">
      <w:pPr>
        <w:pStyle w:val="ListParagraph"/>
        <w:numPr>
          <w:ilvl w:val="0"/>
          <w:numId w:val="14"/>
        </w:numPr>
        <w:spacing w:after="160" w:line="259" w:lineRule="auto"/>
        <w:jc w:val="both"/>
        <w:rPr>
          <w:rFonts w:cs="Arial"/>
        </w:rPr>
      </w:pPr>
      <w:proofErr w:type="gramStart"/>
      <w:r w:rsidRPr="00947688">
        <w:rPr>
          <w:rFonts w:cs="Arial"/>
        </w:rPr>
        <w:lastRenderedPageBreak/>
        <w:t>for</w:t>
      </w:r>
      <w:proofErr w:type="gramEnd"/>
      <w:r w:rsidRPr="00947688">
        <w:rPr>
          <w:rFonts w:cs="Arial"/>
        </w:rPr>
        <w:t xml:space="preserve"> which other Commonwealth, state, territory or local government bodies have responsibility.</w:t>
      </w:r>
    </w:p>
    <w:p w14:paraId="7CD40E35" w14:textId="77777777" w:rsidR="00A71730" w:rsidRPr="00947688" w:rsidRDefault="00A71730" w:rsidP="00A71730">
      <w:pPr>
        <w:pStyle w:val="ListParagraph"/>
        <w:numPr>
          <w:ilvl w:val="0"/>
          <w:numId w:val="14"/>
        </w:numPr>
        <w:spacing w:after="160" w:line="259" w:lineRule="auto"/>
        <w:jc w:val="both"/>
        <w:rPr>
          <w:rFonts w:cs="Arial"/>
        </w:rPr>
      </w:pPr>
      <w:proofErr w:type="gramStart"/>
      <w:r w:rsidRPr="00947688">
        <w:rPr>
          <w:rFonts w:cs="Arial"/>
        </w:rPr>
        <w:t>that</w:t>
      </w:r>
      <w:proofErr w:type="gramEnd"/>
      <w:r w:rsidRPr="00947688">
        <w:rPr>
          <w:rFonts w:cs="Arial"/>
        </w:rPr>
        <w:t xml:space="preserve"> duplicate the role of NDIS Partners in the Community (Local Area Coordination and/or Early Childhood Early Intervention).</w:t>
      </w:r>
    </w:p>
    <w:p w14:paraId="6E31F9F7" w14:textId="77777777" w:rsidR="00A71730" w:rsidRPr="00947688" w:rsidRDefault="00A71730" w:rsidP="00A71730">
      <w:pPr>
        <w:pStyle w:val="ListParagraph"/>
        <w:numPr>
          <w:ilvl w:val="0"/>
          <w:numId w:val="14"/>
        </w:numPr>
        <w:spacing w:after="160" w:line="259" w:lineRule="auto"/>
        <w:jc w:val="both"/>
        <w:rPr>
          <w:rFonts w:cs="Arial"/>
        </w:rPr>
      </w:pPr>
      <w:proofErr w:type="gramStart"/>
      <w:r w:rsidRPr="00947688">
        <w:rPr>
          <w:rFonts w:cs="Arial"/>
        </w:rPr>
        <w:t>that</w:t>
      </w:r>
      <w:proofErr w:type="gramEnd"/>
      <w:r w:rsidRPr="00947688">
        <w:rPr>
          <w:rFonts w:cs="Arial"/>
        </w:rPr>
        <w:t xml:space="preserve"> are peak body activities, such as policy advice, advocacy or operational costs.</w:t>
      </w:r>
    </w:p>
    <w:p w14:paraId="0E4F7C88" w14:textId="77777777" w:rsidR="00A71730" w:rsidRDefault="00A71730" w:rsidP="00A71730">
      <w:pPr>
        <w:pStyle w:val="ListParagraph"/>
        <w:numPr>
          <w:ilvl w:val="0"/>
          <w:numId w:val="14"/>
        </w:numPr>
        <w:spacing w:after="160" w:line="259" w:lineRule="auto"/>
        <w:jc w:val="both"/>
        <w:rPr>
          <w:rFonts w:cs="Arial"/>
        </w:rPr>
      </w:pPr>
      <w:proofErr w:type="gramStart"/>
      <w:r w:rsidRPr="00947688">
        <w:rPr>
          <w:rFonts w:cs="Arial"/>
        </w:rPr>
        <w:t>that</w:t>
      </w:r>
      <w:proofErr w:type="gramEnd"/>
      <w:r w:rsidRPr="00947688">
        <w:rPr>
          <w:rFonts w:cs="Arial"/>
        </w:rPr>
        <w:t xml:space="preserve"> provide individual or systemic advocacy.</w:t>
      </w:r>
    </w:p>
    <w:p w14:paraId="47CBC1B9" w14:textId="76698049" w:rsidR="001F01A1" w:rsidRPr="00947688" w:rsidRDefault="001F01A1" w:rsidP="00A71730">
      <w:pPr>
        <w:pStyle w:val="ListParagraph"/>
        <w:numPr>
          <w:ilvl w:val="0"/>
          <w:numId w:val="14"/>
        </w:numPr>
        <w:spacing w:after="160" w:line="259" w:lineRule="auto"/>
        <w:jc w:val="both"/>
        <w:rPr>
          <w:rFonts w:cs="Arial"/>
        </w:rPr>
      </w:pPr>
      <w:proofErr w:type="gramStart"/>
      <w:r>
        <w:rPr>
          <w:rFonts w:cs="Arial"/>
        </w:rPr>
        <w:t>that</w:t>
      </w:r>
      <w:proofErr w:type="gramEnd"/>
      <w:r>
        <w:rPr>
          <w:rFonts w:cs="Arial"/>
        </w:rPr>
        <w:t xml:space="preserve"> are delivered within Western Australia.</w:t>
      </w:r>
    </w:p>
    <w:p w14:paraId="1A69345E" w14:textId="77777777" w:rsidR="00D247D2" w:rsidRPr="00D23252" w:rsidRDefault="00D247D2" w:rsidP="00853D4E">
      <w:pPr>
        <w:pStyle w:val="Heading3"/>
        <w:rPr>
          <w:szCs w:val="22"/>
        </w:rPr>
      </w:pPr>
      <w:r w:rsidRPr="00D23252">
        <w:rPr>
          <w:szCs w:val="22"/>
        </w:rPr>
        <w:t>Value for Money</w:t>
      </w:r>
    </w:p>
    <w:p w14:paraId="510AAE26" w14:textId="77777777" w:rsidR="00D23252" w:rsidRDefault="00A71730" w:rsidP="00D23252">
      <w:pPr>
        <w:rPr>
          <w:rFonts w:cs="Arial"/>
        </w:rPr>
      </w:pPr>
      <w:r w:rsidRPr="00947688">
        <w:rPr>
          <w:rFonts w:cs="Arial"/>
          <w:szCs w:val="22"/>
        </w:rPr>
        <w:t xml:space="preserve">In assessing the extent to which applications represent value for money, </w:t>
      </w:r>
      <w:r w:rsidR="00C743D9">
        <w:rPr>
          <w:rFonts w:cs="Arial"/>
          <w:szCs w:val="22"/>
        </w:rPr>
        <w:t xml:space="preserve">consideration will be given to </w:t>
      </w:r>
      <w:r w:rsidRPr="00947688">
        <w:rPr>
          <w:rFonts w:cs="Arial"/>
          <w:szCs w:val="22"/>
        </w:rPr>
        <w:t>the information provided at the ‘Achieving value for money’</w:t>
      </w:r>
      <w:r w:rsidR="009B46E2">
        <w:rPr>
          <w:rFonts w:cs="Arial"/>
          <w:szCs w:val="22"/>
        </w:rPr>
        <w:t xml:space="preserve"> section</w:t>
      </w:r>
      <w:r w:rsidRPr="00947688">
        <w:rPr>
          <w:rFonts w:cs="Arial"/>
          <w:szCs w:val="22"/>
        </w:rPr>
        <w:t xml:space="preserve"> of the Program Guidelines available on</w:t>
      </w:r>
      <w:r w:rsidRPr="00947688">
        <w:rPr>
          <w:rFonts w:asciiTheme="majorHAnsi" w:eastAsiaTheme="majorEastAsia" w:hAnsiTheme="majorHAnsi" w:cstheme="majorBidi"/>
          <w:bCs/>
          <w:color w:val="auto"/>
          <w:szCs w:val="22"/>
        </w:rPr>
        <w:t xml:space="preserve"> </w:t>
      </w:r>
      <w:r w:rsidR="00A64EDC" w:rsidRPr="00947688">
        <w:rPr>
          <w:rFonts w:asciiTheme="majorHAnsi" w:eastAsiaTheme="majorEastAsia" w:hAnsiTheme="majorHAnsi" w:cstheme="majorBidi"/>
          <w:bCs/>
          <w:color w:val="auto"/>
          <w:szCs w:val="22"/>
        </w:rPr>
        <w:t xml:space="preserve">the </w:t>
      </w:r>
      <w:hyperlink r:id="rId21" w:history="1">
        <w:r w:rsidR="00FF26F4" w:rsidRPr="00947688">
          <w:rPr>
            <w:rStyle w:val="Hyperlink"/>
            <w:rFonts w:asciiTheme="majorHAnsi" w:eastAsiaTheme="majorEastAsia" w:hAnsiTheme="majorHAnsi" w:cstheme="majorBidi"/>
            <w:bCs/>
            <w:szCs w:val="22"/>
          </w:rPr>
          <w:t>NDIS website</w:t>
        </w:r>
      </w:hyperlink>
      <w:r w:rsidR="00C743D9">
        <w:rPr>
          <w:rStyle w:val="Hyperlink"/>
          <w:rFonts w:asciiTheme="majorHAnsi" w:eastAsiaTheme="majorEastAsia" w:hAnsiTheme="majorHAnsi" w:cstheme="majorBidi"/>
          <w:bCs/>
          <w:szCs w:val="22"/>
        </w:rPr>
        <w:t xml:space="preserve"> </w:t>
      </w:r>
      <w:r w:rsidR="00C743D9" w:rsidRPr="00C743D9">
        <w:rPr>
          <w:rFonts w:cs="Arial"/>
        </w:rPr>
        <w:t>or in the Application Pack</w:t>
      </w:r>
      <w:r w:rsidR="0041326E">
        <w:rPr>
          <w:rFonts w:cs="Arial"/>
        </w:rPr>
        <w:t xml:space="preserve"> available on the</w:t>
      </w:r>
      <w:r w:rsidR="0041326E" w:rsidRPr="0041326E">
        <w:rPr>
          <w:rFonts w:eastAsia="Arial"/>
          <w:color w:val="000000"/>
          <w:szCs w:val="22"/>
        </w:rPr>
        <w:t xml:space="preserve"> </w:t>
      </w:r>
      <w:hyperlink r:id="rId22" w:history="1">
        <w:r w:rsidR="0041326E" w:rsidRPr="00116FD0">
          <w:rPr>
            <w:rStyle w:val="Hyperlink"/>
            <w:rFonts w:eastAsia="Arial"/>
            <w:szCs w:val="22"/>
          </w:rPr>
          <w:t>Community Grants Hub</w:t>
        </w:r>
        <w:r w:rsidR="0041326E" w:rsidRPr="00116FD0">
          <w:rPr>
            <w:rStyle w:val="Hyperlink"/>
            <w:rFonts w:cs="Arial"/>
          </w:rPr>
          <w:t xml:space="preserve"> website</w:t>
        </w:r>
      </w:hyperlink>
      <w:r w:rsidR="00C743D9" w:rsidRPr="00D23252">
        <w:rPr>
          <w:rFonts w:cs="Arial"/>
        </w:rPr>
        <w:t>.</w:t>
      </w:r>
      <w:r w:rsidR="00C74DD7" w:rsidRPr="00D23252">
        <w:rPr>
          <w:rFonts w:cs="Arial"/>
        </w:rPr>
        <w:t xml:space="preserve"> </w:t>
      </w:r>
    </w:p>
    <w:p w14:paraId="21C7C3E5" w14:textId="77777777" w:rsidR="00A71730" w:rsidRDefault="00D23252" w:rsidP="00D23252">
      <w:pPr>
        <w:pStyle w:val="Heading3"/>
        <w:rPr>
          <w:szCs w:val="22"/>
        </w:rPr>
      </w:pPr>
      <w:r>
        <w:rPr>
          <w:szCs w:val="22"/>
        </w:rPr>
        <w:t>S</w:t>
      </w:r>
      <w:r w:rsidR="00A71730" w:rsidRPr="00947688">
        <w:rPr>
          <w:szCs w:val="22"/>
        </w:rPr>
        <w:t>election Criteria</w:t>
      </w:r>
    </w:p>
    <w:p w14:paraId="67512648" w14:textId="77777777" w:rsidR="00D2020E" w:rsidRDefault="00D2020E" w:rsidP="00D2020E">
      <w:pPr>
        <w:spacing w:after="240" w:line="240" w:lineRule="auto"/>
      </w:pPr>
      <w:r w:rsidRPr="00D2020E">
        <w:t>Selection Criteria 2 and 3 as they are described below and replicated in the application form, are shorter than Selection Criteria 2 and 3 in the Program Guidelines for ILC.  Applicants must address Selection Criteria 2 and 3 as they appear in this Funding Round Summary and replicated in the application form.  All applications will be assessed against Selection Criteria 2 and 3 detailed in this Funding Round Summary and replicated in the application form.</w:t>
      </w:r>
    </w:p>
    <w:p w14:paraId="07B2E4BD" w14:textId="77777777" w:rsidR="00A71730" w:rsidRPr="00D23252" w:rsidRDefault="00D23252" w:rsidP="00C63785">
      <w:pPr>
        <w:pStyle w:val="Heading3"/>
        <w:spacing w:before="240"/>
        <w:rPr>
          <w:i/>
          <w:szCs w:val="22"/>
        </w:rPr>
      </w:pPr>
      <w:r>
        <w:rPr>
          <w:i/>
          <w:szCs w:val="22"/>
        </w:rPr>
        <w:t>Grants u</w:t>
      </w:r>
      <w:r w:rsidR="00A71730" w:rsidRPr="00D23252">
        <w:rPr>
          <w:i/>
          <w:szCs w:val="22"/>
        </w:rPr>
        <w:t xml:space="preserve">nder $10,000 </w:t>
      </w:r>
    </w:p>
    <w:p w14:paraId="74FDD124" w14:textId="77777777" w:rsidR="00A71730" w:rsidRPr="00947688" w:rsidRDefault="00A71730" w:rsidP="00A71730">
      <w:pPr>
        <w:rPr>
          <w:szCs w:val="22"/>
        </w:rPr>
      </w:pPr>
      <w:r w:rsidRPr="00947688">
        <w:rPr>
          <w:szCs w:val="22"/>
        </w:rPr>
        <w:t xml:space="preserve">Applicants for grants under $10,000 must respond to </w:t>
      </w:r>
      <w:r w:rsidR="003952F1" w:rsidRPr="00947688">
        <w:rPr>
          <w:szCs w:val="22"/>
        </w:rPr>
        <w:t xml:space="preserve">the below two </w:t>
      </w:r>
      <w:r w:rsidRPr="00947688">
        <w:rPr>
          <w:szCs w:val="22"/>
        </w:rPr>
        <w:t>criteria</w:t>
      </w:r>
      <w:r w:rsidR="0041326E">
        <w:rPr>
          <w:szCs w:val="22"/>
        </w:rPr>
        <w:t>:</w:t>
      </w:r>
      <w:r w:rsidRPr="00947688">
        <w:rPr>
          <w:szCs w:val="22"/>
        </w:rPr>
        <w:t xml:space="preserve"> </w:t>
      </w:r>
      <w:r w:rsidRPr="00947688">
        <w:rPr>
          <w:color w:val="FF0000"/>
          <w:szCs w:val="22"/>
        </w:rPr>
        <w:t xml:space="preserve"> </w:t>
      </w:r>
    </w:p>
    <w:p w14:paraId="484D51E8" w14:textId="77777777" w:rsidR="00FF26F4" w:rsidRDefault="009B46E2" w:rsidP="005132FE">
      <w:pPr>
        <w:spacing w:before="240" w:after="120" w:line="240" w:lineRule="auto"/>
        <w:ind w:left="1418" w:hanging="1418"/>
        <w:rPr>
          <w:b/>
          <w:szCs w:val="22"/>
        </w:rPr>
      </w:pPr>
      <w:r>
        <w:rPr>
          <w:b/>
          <w:szCs w:val="22"/>
        </w:rPr>
        <w:t xml:space="preserve">Criterion 1: </w:t>
      </w:r>
      <w:r w:rsidR="00FF26F4" w:rsidRPr="00947688">
        <w:rPr>
          <w:b/>
          <w:szCs w:val="22"/>
        </w:rPr>
        <w:t>Demonstrated alignment with CICD Activity objectives and evidence of need</w:t>
      </w:r>
    </w:p>
    <w:p w14:paraId="594C06A0" w14:textId="77777777" w:rsidR="00FF26F4" w:rsidRPr="00947688" w:rsidRDefault="00FF26F4" w:rsidP="00FF26F4">
      <w:pPr>
        <w:rPr>
          <w:rFonts w:eastAsia="Arial"/>
          <w:color w:val="000000"/>
          <w:szCs w:val="22"/>
        </w:rPr>
      </w:pPr>
      <w:r w:rsidRPr="00947688">
        <w:rPr>
          <w:rFonts w:eastAsia="Arial"/>
          <w:color w:val="000000"/>
          <w:szCs w:val="22"/>
        </w:rPr>
        <w:t xml:space="preserve">Responses </w:t>
      </w:r>
      <w:r w:rsidRPr="00947688">
        <w:rPr>
          <w:rFonts w:eastAsia="Arial"/>
          <w:b/>
          <w:color w:val="000000"/>
          <w:szCs w:val="22"/>
        </w:rPr>
        <w:t>should</w:t>
      </w:r>
      <w:r w:rsidRPr="00947688">
        <w:rPr>
          <w:rFonts w:eastAsia="Arial"/>
          <w:color w:val="000000"/>
          <w:szCs w:val="22"/>
        </w:rPr>
        <w:t xml:space="preserve"> demonstrate:</w:t>
      </w:r>
    </w:p>
    <w:p w14:paraId="54A6FDB1"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 xml:space="preserve">evidence of need/s; </w:t>
      </w:r>
    </w:p>
    <w:p w14:paraId="255F59C7"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 xml:space="preserve">how the proposed activity will effectively address the need/s; </w:t>
      </w:r>
    </w:p>
    <w:p w14:paraId="5603DF0A"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consistency with one of the four Activity Streams in the ILC Policy;</w:t>
      </w:r>
    </w:p>
    <w:p w14:paraId="6D9061DD"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consistency with one or more of the five Focus Areas described in the ILC Commissioning Framework</w:t>
      </w:r>
      <w:r w:rsidR="000709A8">
        <w:rPr>
          <w:rFonts w:eastAsia="Times New Roman" w:cs="Arial"/>
          <w:lang w:eastAsia="en-AU"/>
        </w:rPr>
        <w:t>; and</w:t>
      </w:r>
    </w:p>
    <w:p w14:paraId="57075651"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proofErr w:type="gramStart"/>
      <w:r w:rsidRPr="00947688">
        <w:rPr>
          <w:rFonts w:eastAsia="Times New Roman" w:cs="Arial"/>
          <w:lang w:eastAsia="en-AU"/>
        </w:rPr>
        <w:t>that</w:t>
      </w:r>
      <w:proofErr w:type="gramEnd"/>
      <w:r w:rsidRPr="00947688">
        <w:rPr>
          <w:rFonts w:eastAsia="Times New Roman" w:cs="Arial"/>
          <w:lang w:eastAsia="en-AU"/>
        </w:rPr>
        <w:t xml:space="preserve"> the implementation of the activity(</w:t>
      </w:r>
      <w:proofErr w:type="spellStart"/>
      <w:r w:rsidRPr="00947688">
        <w:rPr>
          <w:rFonts w:eastAsia="Times New Roman" w:cs="Arial"/>
          <w:lang w:eastAsia="en-AU"/>
        </w:rPr>
        <w:t>ies</w:t>
      </w:r>
      <w:proofErr w:type="spellEnd"/>
      <w:r w:rsidRPr="00947688">
        <w:rPr>
          <w:rFonts w:eastAsia="Times New Roman" w:cs="Arial"/>
          <w:lang w:eastAsia="en-AU"/>
        </w:rPr>
        <w:t>) will contribute to one or more of the five identified outcomes for ILC described in the ILC Commissioning Framework.</w:t>
      </w:r>
    </w:p>
    <w:p w14:paraId="4F874528" w14:textId="77777777" w:rsidR="00FF26F4" w:rsidRPr="00947688" w:rsidRDefault="009B46E2" w:rsidP="005132FE">
      <w:pPr>
        <w:spacing w:before="240" w:after="120" w:line="240" w:lineRule="auto"/>
        <w:ind w:left="1418" w:hanging="1418"/>
        <w:rPr>
          <w:b/>
          <w:szCs w:val="22"/>
        </w:rPr>
      </w:pPr>
      <w:r>
        <w:rPr>
          <w:b/>
          <w:szCs w:val="22"/>
        </w:rPr>
        <w:t xml:space="preserve">Criterion 2: </w:t>
      </w:r>
      <w:r w:rsidR="00FF26F4" w:rsidRPr="00947688">
        <w:rPr>
          <w:b/>
          <w:szCs w:val="22"/>
        </w:rPr>
        <w:t>Demonstrated methodology to achieve outcomes for people with disability to live an ordinary life and/or for community to facilitate opportunities for inclusion</w:t>
      </w:r>
    </w:p>
    <w:p w14:paraId="1374E04F" w14:textId="77777777" w:rsidR="00FF26F4" w:rsidRDefault="00FF26F4" w:rsidP="00FF26F4">
      <w:pPr>
        <w:rPr>
          <w:rFonts w:eastAsia="Arial"/>
          <w:color w:val="000000"/>
          <w:szCs w:val="22"/>
        </w:rPr>
      </w:pPr>
      <w:r w:rsidRPr="00947688">
        <w:rPr>
          <w:rFonts w:eastAsia="Arial"/>
          <w:color w:val="000000"/>
          <w:szCs w:val="22"/>
        </w:rPr>
        <w:t xml:space="preserve">Responses </w:t>
      </w:r>
      <w:r w:rsidRPr="00947688">
        <w:rPr>
          <w:rFonts w:eastAsia="Arial"/>
          <w:b/>
          <w:color w:val="000000"/>
          <w:szCs w:val="22"/>
        </w:rPr>
        <w:t>should</w:t>
      </w:r>
      <w:r w:rsidRPr="00947688">
        <w:rPr>
          <w:rFonts w:eastAsia="Arial"/>
          <w:color w:val="000000"/>
          <w:szCs w:val="22"/>
        </w:rPr>
        <w:t xml:space="preserve"> demonstrate:</w:t>
      </w:r>
    </w:p>
    <w:p w14:paraId="395EF2C6" w14:textId="77777777" w:rsidR="00CE0745" w:rsidRPr="005A182A" w:rsidRDefault="00CE0745" w:rsidP="00CE0745">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implementation of the activity(</w:t>
      </w:r>
      <w:proofErr w:type="spellStart"/>
      <w:r w:rsidRPr="005A182A">
        <w:rPr>
          <w:rFonts w:eastAsia="Times New Roman" w:cs="Arial"/>
          <w:lang w:eastAsia="en-AU"/>
        </w:rPr>
        <w:t>ies</w:t>
      </w:r>
      <w:proofErr w:type="spellEnd"/>
      <w:r w:rsidRPr="005A182A">
        <w:rPr>
          <w:rFonts w:eastAsia="Times New Roman" w:cs="Arial"/>
          <w:lang w:eastAsia="en-AU"/>
        </w:rPr>
        <w:t>) and the methodology will develop capability and independence</w:t>
      </w:r>
      <w:r>
        <w:rPr>
          <w:rFonts w:eastAsia="Times New Roman" w:cs="Arial"/>
          <w:lang w:eastAsia="en-AU"/>
        </w:rPr>
        <w:t xml:space="preserve"> in</w:t>
      </w:r>
      <w:r w:rsidRPr="005A182A">
        <w:rPr>
          <w:rFonts w:eastAsia="Times New Roman" w:cs="Arial"/>
          <w:lang w:eastAsia="en-AU"/>
        </w:rPr>
        <w:t xml:space="preserve"> the target group and reduce the need for formal supports over time;</w:t>
      </w:r>
    </w:p>
    <w:p w14:paraId="0A946369" w14:textId="77777777" w:rsidR="00CE0745" w:rsidRPr="005A182A" w:rsidRDefault="00CE0745" w:rsidP="00CE0745">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implementation of the activity(</w:t>
      </w:r>
      <w:proofErr w:type="spellStart"/>
      <w:r w:rsidRPr="005A182A">
        <w:rPr>
          <w:rFonts w:eastAsia="Times New Roman" w:cs="Arial"/>
          <w:lang w:eastAsia="en-AU"/>
        </w:rPr>
        <w:t>ies</w:t>
      </w:r>
      <w:proofErr w:type="spellEnd"/>
      <w:r w:rsidRPr="005A182A">
        <w:rPr>
          <w:rFonts w:eastAsia="Times New Roman" w:cs="Arial"/>
          <w:lang w:eastAsia="en-AU"/>
        </w:rPr>
        <w:t>) facilitates opportunities for people with disabilities to live an ordinary life;</w:t>
      </w:r>
    </w:p>
    <w:p w14:paraId="79B65F93" w14:textId="77777777" w:rsidR="00CE0745" w:rsidRPr="005A182A" w:rsidRDefault="00CE0745" w:rsidP="00CE0745">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the activity(</w:t>
      </w:r>
      <w:proofErr w:type="spellStart"/>
      <w:r w:rsidRPr="005A182A">
        <w:rPr>
          <w:rFonts w:eastAsia="Times New Roman" w:cs="Arial"/>
          <w:lang w:eastAsia="en-AU"/>
        </w:rPr>
        <w:t>ies</w:t>
      </w:r>
      <w:proofErr w:type="spellEnd"/>
      <w:r w:rsidRPr="005A182A">
        <w:rPr>
          <w:rFonts w:eastAsia="Times New Roman" w:cs="Arial"/>
          <w:lang w:eastAsia="en-AU"/>
        </w:rPr>
        <w:t>) involves people with disability, including roles at a governance, staff or volunteer level;</w:t>
      </w:r>
    </w:p>
    <w:p w14:paraId="647D7F97" w14:textId="77777777" w:rsidR="00CE0745" w:rsidRPr="005A182A" w:rsidRDefault="00CE0745" w:rsidP="00CE0745">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the activity(</w:t>
      </w:r>
      <w:proofErr w:type="spellStart"/>
      <w:r w:rsidRPr="005A182A">
        <w:rPr>
          <w:rFonts w:eastAsia="Times New Roman" w:cs="Arial"/>
          <w:lang w:eastAsia="en-AU"/>
        </w:rPr>
        <w:t>ies</w:t>
      </w:r>
      <w:proofErr w:type="spellEnd"/>
      <w:r w:rsidRPr="005A182A">
        <w:rPr>
          <w:rFonts w:eastAsia="Times New Roman" w:cs="Arial"/>
          <w:lang w:eastAsia="en-AU"/>
        </w:rPr>
        <w:t>) involves relevant stakeholders; and</w:t>
      </w:r>
    </w:p>
    <w:p w14:paraId="3D94A0FE" w14:textId="77777777" w:rsidR="00CE0745" w:rsidRPr="005A182A" w:rsidRDefault="00CE0745" w:rsidP="00CE0745">
      <w:pPr>
        <w:pStyle w:val="ListParagraph"/>
        <w:numPr>
          <w:ilvl w:val="1"/>
          <w:numId w:val="19"/>
        </w:numPr>
        <w:spacing w:before="120" w:after="120" w:line="240" w:lineRule="auto"/>
        <w:ind w:left="652" w:hanging="357"/>
        <w:jc w:val="both"/>
        <w:rPr>
          <w:rFonts w:eastAsia="Times New Roman" w:cs="Arial"/>
          <w:lang w:eastAsia="en-AU"/>
        </w:rPr>
      </w:pPr>
      <w:proofErr w:type="gramStart"/>
      <w:r w:rsidRPr="005A182A">
        <w:rPr>
          <w:rFonts w:eastAsia="Times New Roman" w:cs="Arial"/>
          <w:lang w:eastAsia="en-AU"/>
        </w:rPr>
        <w:t>how</w:t>
      </w:r>
      <w:proofErr w:type="gramEnd"/>
      <w:r w:rsidRPr="005A182A">
        <w:rPr>
          <w:rFonts w:eastAsia="Times New Roman" w:cs="Arial"/>
          <w:lang w:eastAsia="en-AU"/>
        </w:rPr>
        <w:t xml:space="preserve"> the applicant intends to measure progress towards the ILC outcomes.</w:t>
      </w:r>
    </w:p>
    <w:p w14:paraId="55672FD5" w14:textId="77777777" w:rsidR="00A71730" w:rsidRPr="008B1C9D" w:rsidRDefault="00A71730" w:rsidP="00A71730">
      <w:pPr>
        <w:pStyle w:val="Heading3"/>
        <w:rPr>
          <w:i/>
          <w:szCs w:val="22"/>
        </w:rPr>
      </w:pPr>
      <w:r w:rsidRPr="008B1C9D">
        <w:rPr>
          <w:i/>
          <w:szCs w:val="22"/>
        </w:rPr>
        <w:lastRenderedPageBreak/>
        <w:t>Gra</w:t>
      </w:r>
      <w:r w:rsidR="008B1C9D">
        <w:rPr>
          <w:i/>
          <w:szCs w:val="22"/>
        </w:rPr>
        <w:t>nts o</w:t>
      </w:r>
      <w:r w:rsidRPr="008B1C9D">
        <w:rPr>
          <w:i/>
          <w:szCs w:val="22"/>
        </w:rPr>
        <w:t xml:space="preserve">ver $10,000 </w:t>
      </w:r>
    </w:p>
    <w:p w14:paraId="72A2E780" w14:textId="77777777" w:rsidR="00A71730" w:rsidRPr="00947688" w:rsidRDefault="00A71730" w:rsidP="00A71730">
      <w:pPr>
        <w:rPr>
          <w:color w:val="FF0000"/>
          <w:szCs w:val="22"/>
        </w:rPr>
      </w:pPr>
      <w:r w:rsidRPr="00947688">
        <w:rPr>
          <w:szCs w:val="22"/>
        </w:rPr>
        <w:t>Applicants for grants over $10,000 must respond to</w:t>
      </w:r>
      <w:r w:rsidR="00FC59E6" w:rsidRPr="00947688">
        <w:rPr>
          <w:szCs w:val="22"/>
        </w:rPr>
        <w:t xml:space="preserve"> the below four criteria</w:t>
      </w:r>
      <w:r w:rsidR="0041326E">
        <w:rPr>
          <w:szCs w:val="22"/>
        </w:rPr>
        <w:t>:</w:t>
      </w:r>
    </w:p>
    <w:p w14:paraId="5B360AB0" w14:textId="77777777" w:rsidR="00FF26F4" w:rsidRPr="00947688" w:rsidRDefault="009B46E2" w:rsidP="00FF26F4">
      <w:pPr>
        <w:spacing w:before="240" w:after="120" w:line="240" w:lineRule="auto"/>
        <w:ind w:left="1418" w:hanging="1418"/>
        <w:jc w:val="both"/>
        <w:rPr>
          <w:b/>
          <w:szCs w:val="22"/>
        </w:rPr>
      </w:pPr>
      <w:r>
        <w:rPr>
          <w:b/>
          <w:szCs w:val="22"/>
        </w:rPr>
        <w:t>Criterion 1:</w:t>
      </w:r>
      <w:r w:rsidR="00C74DD7">
        <w:rPr>
          <w:b/>
          <w:szCs w:val="22"/>
        </w:rPr>
        <w:t xml:space="preserve"> </w:t>
      </w:r>
      <w:r w:rsidR="00FF26F4" w:rsidRPr="00947688">
        <w:rPr>
          <w:b/>
          <w:szCs w:val="22"/>
        </w:rPr>
        <w:t>Demonstrated alignment with CICD Activity objectives and evidence of need</w:t>
      </w:r>
    </w:p>
    <w:p w14:paraId="4344DDE0" w14:textId="77777777" w:rsidR="00FF26F4" w:rsidRPr="00947688" w:rsidRDefault="00FF26F4" w:rsidP="00FF26F4">
      <w:pPr>
        <w:rPr>
          <w:rFonts w:eastAsia="Arial"/>
          <w:color w:val="000000"/>
          <w:szCs w:val="22"/>
        </w:rPr>
      </w:pPr>
      <w:r w:rsidRPr="00947688">
        <w:rPr>
          <w:rFonts w:eastAsia="Arial"/>
          <w:color w:val="000000"/>
          <w:szCs w:val="22"/>
        </w:rPr>
        <w:t xml:space="preserve">Responses </w:t>
      </w:r>
      <w:r w:rsidRPr="00947688">
        <w:rPr>
          <w:rFonts w:eastAsia="Arial"/>
          <w:b/>
          <w:color w:val="000000"/>
          <w:szCs w:val="22"/>
        </w:rPr>
        <w:t>should</w:t>
      </w:r>
      <w:r w:rsidRPr="00947688">
        <w:rPr>
          <w:rFonts w:eastAsia="Arial"/>
          <w:color w:val="000000"/>
          <w:szCs w:val="22"/>
        </w:rPr>
        <w:t xml:space="preserve"> demonstrate:</w:t>
      </w:r>
    </w:p>
    <w:p w14:paraId="4400AF58"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 xml:space="preserve">evidence of need/s; </w:t>
      </w:r>
    </w:p>
    <w:p w14:paraId="69539C0E"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 xml:space="preserve">how the proposed activity will effectively address the need/s; </w:t>
      </w:r>
    </w:p>
    <w:p w14:paraId="4796C42A"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consistency with one of the four Activity Streams in the ILC Policy;</w:t>
      </w:r>
    </w:p>
    <w:p w14:paraId="7DF05B7E"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r w:rsidRPr="00947688">
        <w:rPr>
          <w:rFonts w:eastAsia="Times New Roman" w:cs="Arial"/>
          <w:lang w:eastAsia="en-AU"/>
        </w:rPr>
        <w:t>consistency with one or more of the five Focus Areas described in the ILC Commissioning Framework</w:t>
      </w:r>
      <w:r w:rsidR="00A64EDC" w:rsidRPr="00947688">
        <w:rPr>
          <w:rFonts w:eastAsia="Times New Roman" w:cs="Arial"/>
          <w:lang w:eastAsia="en-AU"/>
        </w:rPr>
        <w:t>; and</w:t>
      </w:r>
    </w:p>
    <w:p w14:paraId="08F2E19F" w14:textId="77777777" w:rsidR="00FF26F4" w:rsidRPr="00947688" w:rsidRDefault="00FF26F4" w:rsidP="00FF26F4">
      <w:pPr>
        <w:pStyle w:val="ListParagraph"/>
        <w:numPr>
          <w:ilvl w:val="1"/>
          <w:numId w:val="19"/>
        </w:numPr>
        <w:spacing w:before="120" w:after="120" w:line="240" w:lineRule="auto"/>
        <w:ind w:left="652" w:hanging="357"/>
        <w:jc w:val="both"/>
        <w:rPr>
          <w:rFonts w:eastAsia="Times New Roman" w:cs="Arial"/>
          <w:lang w:eastAsia="en-AU"/>
        </w:rPr>
      </w:pPr>
      <w:proofErr w:type="gramStart"/>
      <w:r w:rsidRPr="00947688">
        <w:rPr>
          <w:rFonts w:eastAsia="Times New Roman" w:cs="Arial"/>
          <w:lang w:eastAsia="en-AU"/>
        </w:rPr>
        <w:t>that</w:t>
      </w:r>
      <w:proofErr w:type="gramEnd"/>
      <w:r w:rsidRPr="00947688">
        <w:rPr>
          <w:rFonts w:eastAsia="Times New Roman" w:cs="Arial"/>
          <w:lang w:eastAsia="en-AU"/>
        </w:rPr>
        <w:t xml:space="preserve"> the implementation of the activity(</w:t>
      </w:r>
      <w:proofErr w:type="spellStart"/>
      <w:r w:rsidRPr="00947688">
        <w:rPr>
          <w:rFonts w:eastAsia="Times New Roman" w:cs="Arial"/>
          <w:lang w:eastAsia="en-AU"/>
        </w:rPr>
        <w:t>ies</w:t>
      </w:r>
      <w:proofErr w:type="spellEnd"/>
      <w:r w:rsidRPr="00947688">
        <w:rPr>
          <w:rFonts w:eastAsia="Times New Roman" w:cs="Arial"/>
          <w:lang w:eastAsia="en-AU"/>
        </w:rPr>
        <w:t>) will contribute to one or more of the five identified outcomes for ILC described in the ILC Commissioning Framework.</w:t>
      </w:r>
    </w:p>
    <w:p w14:paraId="68C63327" w14:textId="77777777" w:rsidR="00FF26F4" w:rsidRPr="00947688" w:rsidRDefault="009B46E2" w:rsidP="00FF26F4">
      <w:pPr>
        <w:spacing w:before="240" w:after="120" w:line="240" w:lineRule="auto"/>
        <w:ind w:left="1418" w:hanging="1418"/>
        <w:jc w:val="both"/>
        <w:rPr>
          <w:b/>
          <w:szCs w:val="22"/>
        </w:rPr>
      </w:pPr>
      <w:r>
        <w:rPr>
          <w:b/>
          <w:szCs w:val="22"/>
        </w:rPr>
        <w:t>Criterion</w:t>
      </w:r>
      <w:r w:rsidRPr="00947688">
        <w:rPr>
          <w:b/>
          <w:szCs w:val="22"/>
        </w:rPr>
        <w:t xml:space="preserve"> </w:t>
      </w:r>
      <w:r>
        <w:rPr>
          <w:b/>
          <w:szCs w:val="22"/>
        </w:rPr>
        <w:t xml:space="preserve">2: </w:t>
      </w:r>
      <w:r w:rsidR="00FF26F4" w:rsidRPr="00947688">
        <w:rPr>
          <w:b/>
          <w:szCs w:val="22"/>
        </w:rPr>
        <w:t>Demonstrated methodology to achieve outcomes for people with disability to live an ordinary life and/or for community to facilitate opportunities for inclusion</w:t>
      </w:r>
    </w:p>
    <w:p w14:paraId="16A54752" w14:textId="77777777" w:rsidR="00FF26F4" w:rsidRPr="00947688" w:rsidRDefault="00FF26F4" w:rsidP="00FF26F4">
      <w:pPr>
        <w:rPr>
          <w:rFonts w:eastAsia="Arial"/>
          <w:color w:val="000000"/>
          <w:szCs w:val="22"/>
        </w:rPr>
      </w:pPr>
      <w:r w:rsidRPr="00947688">
        <w:rPr>
          <w:rFonts w:eastAsia="Arial"/>
          <w:color w:val="000000"/>
          <w:szCs w:val="22"/>
        </w:rPr>
        <w:t xml:space="preserve">Responses </w:t>
      </w:r>
      <w:r w:rsidRPr="00947688">
        <w:rPr>
          <w:rFonts w:eastAsia="Arial"/>
          <w:b/>
          <w:color w:val="000000"/>
          <w:szCs w:val="22"/>
        </w:rPr>
        <w:t>should</w:t>
      </w:r>
      <w:r w:rsidRPr="00947688">
        <w:rPr>
          <w:rFonts w:eastAsia="Arial"/>
          <w:color w:val="000000"/>
          <w:szCs w:val="22"/>
        </w:rPr>
        <w:t xml:space="preserve"> demonstrate:</w:t>
      </w:r>
    </w:p>
    <w:p w14:paraId="5DADDAB2" w14:textId="77777777" w:rsidR="005A182A" w:rsidRPr="005A182A" w:rsidRDefault="005A182A" w:rsidP="005A182A">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implementation of the activity(</w:t>
      </w:r>
      <w:proofErr w:type="spellStart"/>
      <w:r w:rsidRPr="005A182A">
        <w:rPr>
          <w:rFonts w:eastAsia="Times New Roman" w:cs="Arial"/>
          <w:lang w:eastAsia="en-AU"/>
        </w:rPr>
        <w:t>ies</w:t>
      </w:r>
      <w:proofErr w:type="spellEnd"/>
      <w:r w:rsidRPr="005A182A">
        <w:rPr>
          <w:rFonts w:eastAsia="Times New Roman" w:cs="Arial"/>
          <w:lang w:eastAsia="en-AU"/>
        </w:rPr>
        <w:t>) and the methodology will develop capability and independence</w:t>
      </w:r>
      <w:r w:rsidR="00BC0879">
        <w:rPr>
          <w:rFonts w:eastAsia="Times New Roman" w:cs="Arial"/>
          <w:lang w:eastAsia="en-AU"/>
        </w:rPr>
        <w:t xml:space="preserve"> in</w:t>
      </w:r>
      <w:r w:rsidRPr="005A182A">
        <w:rPr>
          <w:rFonts w:eastAsia="Times New Roman" w:cs="Arial"/>
          <w:lang w:eastAsia="en-AU"/>
        </w:rPr>
        <w:t xml:space="preserve"> the target group and reduce the need for formal supports over time;</w:t>
      </w:r>
    </w:p>
    <w:p w14:paraId="71ABCA8F" w14:textId="77777777" w:rsidR="005A182A" w:rsidRPr="005A182A" w:rsidRDefault="005A182A" w:rsidP="005A182A">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implementation of the activity(</w:t>
      </w:r>
      <w:proofErr w:type="spellStart"/>
      <w:r w:rsidRPr="005A182A">
        <w:rPr>
          <w:rFonts w:eastAsia="Times New Roman" w:cs="Arial"/>
          <w:lang w:eastAsia="en-AU"/>
        </w:rPr>
        <w:t>ies</w:t>
      </w:r>
      <w:proofErr w:type="spellEnd"/>
      <w:r w:rsidRPr="005A182A">
        <w:rPr>
          <w:rFonts w:eastAsia="Times New Roman" w:cs="Arial"/>
          <w:lang w:eastAsia="en-AU"/>
        </w:rPr>
        <w:t>) facilitates opportunities for people with disabilities to live an ordinary life;</w:t>
      </w:r>
    </w:p>
    <w:p w14:paraId="6686BF5E" w14:textId="77777777" w:rsidR="005A182A" w:rsidRPr="005A182A" w:rsidRDefault="005A182A" w:rsidP="005A182A">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the activity(</w:t>
      </w:r>
      <w:proofErr w:type="spellStart"/>
      <w:r w:rsidRPr="005A182A">
        <w:rPr>
          <w:rFonts w:eastAsia="Times New Roman" w:cs="Arial"/>
          <w:lang w:eastAsia="en-AU"/>
        </w:rPr>
        <w:t>ies</w:t>
      </w:r>
      <w:proofErr w:type="spellEnd"/>
      <w:r w:rsidRPr="005A182A">
        <w:rPr>
          <w:rFonts w:eastAsia="Times New Roman" w:cs="Arial"/>
          <w:lang w:eastAsia="en-AU"/>
        </w:rPr>
        <w:t>) involves people with disability, including roles at a governance, staff or volunteer level;</w:t>
      </w:r>
    </w:p>
    <w:p w14:paraId="5A6856E2" w14:textId="77777777" w:rsidR="005A182A" w:rsidRPr="005A182A" w:rsidRDefault="005A182A" w:rsidP="005A182A">
      <w:pPr>
        <w:pStyle w:val="ListParagraph"/>
        <w:numPr>
          <w:ilvl w:val="1"/>
          <w:numId w:val="19"/>
        </w:numPr>
        <w:spacing w:before="120" w:after="120" w:line="240" w:lineRule="auto"/>
        <w:ind w:left="652" w:hanging="357"/>
        <w:jc w:val="both"/>
        <w:rPr>
          <w:rFonts w:eastAsia="Times New Roman" w:cs="Arial"/>
          <w:lang w:eastAsia="en-AU"/>
        </w:rPr>
      </w:pPr>
      <w:r w:rsidRPr="005A182A">
        <w:rPr>
          <w:rFonts w:eastAsia="Times New Roman" w:cs="Arial"/>
          <w:lang w:eastAsia="en-AU"/>
        </w:rPr>
        <w:t>the activity(</w:t>
      </w:r>
      <w:proofErr w:type="spellStart"/>
      <w:r w:rsidRPr="005A182A">
        <w:rPr>
          <w:rFonts w:eastAsia="Times New Roman" w:cs="Arial"/>
          <w:lang w:eastAsia="en-AU"/>
        </w:rPr>
        <w:t>ies</w:t>
      </w:r>
      <w:proofErr w:type="spellEnd"/>
      <w:r w:rsidRPr="005A182A">
        <w:rPr>
          <w:rFonts w:eastAsia="Times New Roman" w:cs="Arial"/>
          <w:lang w:eastAsia="en-AU"/>
        </w:rPr>
        <w:t>) involves relevant stakeholders; and</w:t>
      </w:r>
    </w:p>
    <w:p w14:paraId="6FD9FEDB" w14:textId="77777777" w:rsidR="005A182A" w:rsidRPr="005A182A" w:rsidRDefault="005A182A" w:rsidP="005A182A">
      <w:pPr>
        <w:pStyle w:val="ListParagraph"/>
        <w:numPr>
          <w:ilvl w:val="1"/>
          <w:numId w:val="19"/>
        </w:numPr>
        <w:spacing w:before="120" w:after="120" w:line="240" w:lineRule="auto"/>
        <w:ind w:left="652" w:hanging="357"/>
        <w:jc w:val="both"/>
        <w:rPr>
          <w:rFonts w:eastAsia="Times New Roman" w:cs="Arial"/>
          <w:lang w:eastAsia="en-AU"/>
        </w:rPr>
      </w:pPr>
      <w:proofErr w:type="gramStart"/>
      <w:r w:rsidRPr="005A182A">
        <w:rPr>
          <w:rFonts w:eastAsia="Times New Roman" w:cs="Arial"/>
          <w:lang w:eastAsia="en-AU"/>
        </w:rPr>
        <w:t>how</w:t>
      </w:r>
      <w:proofErr w:type="gramEnd"/>
      <w:r w:rsidRPr="005A182A">
        <w:rPr>
          <w:rFonts w:eastAsia="Times New Roman" w:cs="Arial"/>
          <w:lang w:eastAsia="en-AU"/>
        </w:rPr>
        <w:t xml:space="preserve"> the applicant intends to measure progress towards the ILC outcomes.</w:t>
      </w:r>
    </w:p>
    <w:p w14:paraId="191300D6" w14:textId="77777777" w:rsidR="00FF26F4" w:rsidRPr="00947688" w:rsidRDefault="009B46E2" w:rsidP="00FF26F4">
      <w:pPr>
        <w:spacing w:before="240" w:after="120" w:line="240" w:lineRule="auto"/>
        <w:ind w:left="1418" w:hanging="1418"/>
        <w:jc w:val="both"/>
        <w:rPr>
          <w:b/>
          <w:szCs w:val="22"/>
        </w:rPr>
      </w:pPr>
      <w:r>
        <w:rPr>
          <w:b/>
          <w:szCs w:val="22"/>
        </w:rPr>
        <w:t>Criterion</w:t>
      </w:r>
      <w:r w:rsidRPr="00947688">
        <w:rPr>
          <w:b/>
          <w:szCs w:val="22"/>
        </w:rPr>
        <w:t xml:space="preserve"> </w:t>
      </w:r>
      <w:r>
        <w:rPr>
          <w:b/>
          <w:szCs w:val="22"/>
        </w:rPr>
        <w:t xml:space="preserve">3: </w:t>
      </w:r>
      <w:r w:rsidR="00FF26F4" w:rsidRPr="00947688">
        <w:rPr>
          <w:b/>
          <w:szCs w:val="22"/>
        </w:rPr>
        <w:t>Demonstrated organisational capacity and capability</w:t>
      </w:r>
    </w:p>
    <w:p w14:paraId="0913CD2A" w14:textId="77777777" w:rsidR="00FF26F4" w:rsidRPr="00947688" w:rsidRDefault="00FF26F4" w:rsidP="00FF26F4">
      <w:pPr>
        <w:rPr>
          <w:rFonts w:eastAsia="Arial"/>
          <w:color w:val="000000"/>
          <w:szCs w:val="22"/>
        </w:rPr>
      </w:pPr>
      <w:r w:rsidRPr="00947688">
        <w:rPr>
          <w:rFonts w:eastAsia="Arial"/>
          <w:color w:val="000000"/>
          <w:szCs w:val="22"/>
        </w:rPr>
        <w:t xml:space="preserve">Responses </w:t>
      </w:r>
      <w:r w:rsidRPr="00947688">
        <w:rPr>
          <w:rFonts w:eastAsia="Arial"/>
          <w:b/>
          <w:color w:val="000000"/>
          <w:szCs w:val="22"/>
        </w:rPr>
        <w:t>should</w:t>
      </w:r>
      <w:r w:rsidRPr="00947688">
        <w:rPr>
          <w:rFonts w:eastAsia="Arial"/>
          <w:color w:val="000000"/>
          <w:szCs w:val="22"/>
        </w:rPr>
        <w:t xml:space="preserve"> demonstrate:</w:t>
      </w:r>
    </w:p>
    <w:p w14:paraId="57B2794E" w14:textId="77777777" w:rsidR="00FF26F4" w:rsidRPr="00947688" w:rsidRDefault="00FF26F4" w:rsidP="00FD78EA">
      <w:pPr>
        <w:pStyle w:val="ListParagraph"/>
        <w:numPr>
          <w:ilvl w:val="1"/>
          <w:numId w:val="19"/>
        </w:numPr>
        <w:spacing w:before="120" w:after="120" w:line="240" w:lineRule="auto"/>
        <w:ind w:left="652" w:hanging="357"/>
        <w:rPr>
          <w:rFonts w:eastAsia="Times New Roman" w:cs="Arial"/>
          <w:lang w:eastAsia="en-AU"/>
        </w:rPr>
      </w:pPr>
      <w:proofErr w:type="gramStart"/>
      <w:r w:rsidRPr="00947688">
        <w:rPr>
          <w:rFonts w:eastAsia="Times New Roman" w:cs="Arial"/>
          <w:lang w:eastAsia="en-AU"/>
        </w:rPr>
        <w:t>an</w:t>
      </w:r>
      <w:proofErr w:type="gramEnd"/>
      <w:r w:rsidR="000A316C" w:rsidRPr="00947688">
        <w:rPr>
          <w:rFonts w:eastAsia="Times New Roman" w:cs="Arial"/>
          <w:lang w:eastAsia="en-AU"/>
        </w:rPr>
        <w:t xml:space="preserve"> </w:t>
      </w:r>
      <w:r w:rsidRPr="00947688">
        <w:rPr>
          <w:rFonts w:eastAsia="Times New Roman" w:cs="Arial"/>
          <w:lang w:eastAsia="en-AU"/>
        </w:rPr>
        <w:t>appropriate project management approach including the development and implementation of effective governance structures, and project, human resource and budget management arrangements. This should include mechanisms for monitoring of activities commensurate with scale</w:t>
      </w:r>
      <w:r w:rsidR="00A64EDC" w:rsidRPr="00947688">
        <w:rPr>
          <w:rFonts w:eastAsia="Times New Roman" w:cs="Arial"/>
          <w:lang w:eastAsia="en-AU"/>
        </w:rPr>
        <w:t>;</w:t>
      </w:r>
    </w:p>
    <w:p w14:paraId="74E49640" w14:textId="77777777" w:rsidR="00FF26F4" w:rsidRPr="00947688" w:rsidRDefault="00FF26F4" w:rsidP="00FD78EA">
      <w:pPr>
        <w:pStyle w:val="ListParagraph"/>
        <w:numPr>
          <w:ilvl w:val="1"/>
          <w:numId w:val="19"/>
        </w:numPr>
        <w:spacing w:after="0" w:line="240" w:lineRule="auto"/>
        <w:ind w:left="652" w:hanging="357"/>
        <w:rPr>
          <w:rFonts w:eastAsia="Times New Roman" w:cs="Arial"/>
          <w:lang w:eastAsia="en-AU"/>
        </w:rPr>
      </w:pPr>
      <w:r w:rsidRPr="00947688">
        <w:rPr>
          <w:rFonts w:eastAsia="Times New Roman" w:cs="Arial"/>
          <w:lang w:eastAsia="en-AU"/>
        </w:rPr>
        <w:t>the experience of key staff in managing activity(</w:t>
      </w:r>
      <w:proofErr w:type="spellStart"/>
      <w:r w:rsidRPr="00947688">
        <w:rPr>
          <w:rFonts w:eastAsia="Times New Roman" w:cs="Arial"/>
          <w:lang w:eastAsia="en-AU"/>
        </w:rPr>
        <w:t>ies</w:t>
      </w:r>
      <w:proofErr w:type="spellEnd"/>
      <w:r w:rsidRPr="00947688">
        <w:rPr>
          <w:rFonts w:eastAsia="Times New Roman" w:cs="Arial"/>
          <w:lang w:eastAsia="en-AU"/>
        </w:rPr>
        <w:t>) that have produced high quality and sustainable outcomes for people with disabilities within budget and on time</w:t>
      </w:r>
      <w:r w:rsidR="007F0E60" w:rsidRPr="00947688">
        <w:rPr>
          <w:rFonts w:eastAsia="Times New Roman" w:cs="Arial"/>
          <w:lang w:eastAsia="en-AU"/>
        </w:rPr>
        <w:t>; and</w:t>
      </w:r>
    </w:p>
    <w:p w14:paraId="00650B31" w14:textId="77777777" w:rsidR="00FF26F4" w:rsidRPr="00947688" w:rsidRDefault="00FF26F4" w:rsidP="00FD78EA">
      <w:pPr>
        <w:pStyle w:val="ListParagraph"/>
        <w:numPr>
          <w:ilvl w:val="1"/>
          <w:numId w:val="19"/>
        </w:numPr>
        <w:spacing w:after="0" w:line="240" w:lineRule="auto"/>
        <w:ind w:left="652" w:hanging="357"/>
        <w:rPr>
          <w:rFonts w:eastAsia="Times New Roman" w:cs="Arial"/>
          <w:lang w:eastAsia="en-AU"/>
        </w:rPr>
      </w:pPr>
      <w:proofErr w:type="gramStart"/>
      <w:r w:rsidRPr="00947688">
        <w:rPr>
          <w:rFonts w:eastAsia="Times New Roman" w:cs="Arial"/>
          <w:lang w:eastAsia="en-AU"/>
        </w:rPr>
        <w:t>the</w:t>
      </w:r>
      <w:proofErr w:type="gramEnd"/>
      <w:r w:rsidRPr="00947688">
        <w:rPr>
          <w:rFonts w:eastAsia="Times New Roman" w:cs="Arial"/>
          <w:lang w:eastAsia="en-AU"/>
        </w:rPr>
        <w:t xml:space="preserve"> organisation’s history of successful delivery of the proposed activity or other relevant experience and expertise.</w:t>
      </w:r>
    </w:p>
    <w:p w14:paraId="3F6B06AE" w14:textId="77777777" w:rsidR="00FF26F4" w:rsidRPr="00947688" w:rsidRDefault="009B46E2" w:rsidP="00FF26F4">
      <w:pPr>
        <w:spacing w:before="240" w:after="120" w:line="240" w:lineRule="auto"/>
        <w:ind w:left="1418" w:hanging="1418"/>
        <w:jc w:val="both"/>
        <w:rPr>
          <w:b/>
          <w:szCs w:val="22"/>
        </w:rPr>
      </w:pPr>
      <w:r>
        <w:rPr>
          <w:b/>
          <w:szCs w:val="22"/>
        </w:rPr>
        <w:t>Criterion</w:t>
      </w:r>
      <w:r w:rsidRPr="00947688">
        <w:rPr>
          <w:b/>
          <w:szCs w:val="22"/>
        </w:rPr>
        <w:t xml:space="preserve"> </w:t>
      </w:r>
      <w:r>
        <w:rPr>
          <w:b/>
          <w:szCs w:val="22"/>
        </w:rPr>
        <w:t xml:space="preserve">4: </w:t>
      </w:r>
      <w:r w:rsidR="00FF26F4" w:rsidRPr="00947688">
        <w:rPr>
          <w:b/>
          <w:szCs w:val="22"/>
        </w:rPr>
        <w:t>Sustainability</w:t>
      </w:r>
    </w:p>
    <w:p w14:paraId="07EC1DAD" w14:textId="77777777" w:rsidR="00FF26F4" w:rsidRPr="00947688" w:rsidRDefault="00FF26F4" w:rsidP="00FF26F4">
      <w:pPr>
        <w:spacing w:before="120" w:after="120" w:line="240" w:lineRule="auto"/>
        <w:jc w:val="both"/>
        <w:rPr>
          <w:rFonts w:eastAsia="Times New Roman" w:cs="Arial"/>
          <w:szCs w:val="22"/>
          <w:lang w:eastAsia="en-AU"/>
        </w:rPr>
      </w:pPr>
      <w:r w:rsidRPr="00947688">
        <w:rPr>
          <w:rFonts w:eastAsia="Times New Roman" w:cs="Arial"/>
          <w:szCs w:val="22"/>
          <w:lang w:eastAsia="en-AU"/>
        </w:rPr>
        <w:t xml:space="preserve">Responses </w:t>
      </w:r>
      <w:r w:rsidRPr="00947688">
        <w:rPr>
          <w:rFonts w:eastAsia="Times New Roman" w:cs="Arial"/>
          <w:b/>
          <w:szCs w:val="22"/>
          <w:lang w:eastAsia="en-AU"/>
        </w:rPr>
        <w:t>should</w:t>
      </w:r>
      <w:r w:rsidRPr="00947688">
        <w:rPr>
          <w:rFonts w:eastAsia="Times New Roman" w:cs="Arial"/>
          <w:szCs w:val="22"/>
          <w:lang w:eastAsia="en-AU"/>
        </w:rPr>
        <w:t xml:space="preserve"> demonstrate:</w:t>
      </w:r>
    </w:p>
    <w:p w14:paraId="083B3D42" w14:textId="77777777" w:rsidR="00FF26F4" w:rsidRPr="00947688" w:rsidRDefault="00FF26F4" w:rsidP="00FD78EA">
      <w:pPr>
        <w:pStyle w:val="ListParagraph"/>
        <w:numPr>
          <w:ilvl w:val="1"/>
          <w:numId w:val="19"/>
        </w:numPr>
        <w:spacing w:before="120" w:after="120" w:line="240" w:lineRule="auto"/>
        <w:ind w:left="652" w:hanging="357"/>
        <w:rPr>
          <w:rFonts w:eastAsia="Times New Roman" w:cs="Arial"/>
          <w:lang w:eastAsia="en-AU"/>
        </w:rPr>
      </w:pPr>
      <w:proofErr w:type="gramStart"/>
      <w:r w:rsidRPr="00947688">
        <w:rPr>
          <w:rFonts w:eastAsia="Times New Roman" w:cs="Arial"/>
          <w:lang w:eastAsia="en-AU"/>
        </w:rPr>
        <w:t>how</w:t>
      </w:r>
      <w:proofErr w:type="gramEnd"/>
      <w:r w:rsidRPr="00947688">
        <w:rPr>
          <w:rFonts w:eastAsia="Times New Roman" w:cs="Arial"/>
          <w:lang w:eastAsia="en-AU"/>
        </w:rPr>
        <w:t xml:space="preserve"> the proposal will ensure impact, knowledge, skills and processes will be embedded at an individual, organisational and/or community level and retained to be utilised over time and how this may reduce demand for formal individualised funded supports over time.</w:t>
      </w:r>
    </w:p>
    <w:p w14:paraId="63A9C46C" w14:textId="77777777" w:rsidR="00FF26F4" w:rsidRPr="00947688" w:rsidRDefault="00FF26F4" w:rsidP="00FD78EA">
      <w:pPr>
        <w:pStyle w:val="ListParagraph"/>
        <w:numPr>
          <w:ilvl w:val="1"/>
          <w:numId w:val="19"/>
        </w:numPr>
        <w:spacing w:before="120" w:after="120" w:line="240" w:lineRule="auto"/>
        <w:ind w:left="652" w:hanging="357"/>
        <w:rPr>
          <w:rFonts w:eastAsia="Times New Roman" w:cs="Arial"/>
          <w:lang w:eastAsia="en-AU"/>
        </w:rPr>
      </w:pPr>
      <w:proofErr w:type="gramStart"/>
      <w:r w:rsidRPr="00947688">
        <w:rPr>
          <w:rFonts w:eastAsia="Times New Roman" w:cs="Arial"/>
          <w:lang w:eastAsia="en-AU"/>
        </w:rPr>
        <w:t>consideration</w:t>
      </w:r>
      <w:proofErr w:type="gramEnd"/>
      <w:r w:rsidRPr="00947688">
        <w:rPr>
          <w:rFonts w:eastAsia="Times New Roman" w:cs="Arial"/>
          <w:lang w:eastAsia="en-AU"/>
        </w:rPr>
        <w:t xml:space="preserve"> of how the Activity will contribute to outcomes for people with disability and/or community beyond the life of the grant.</w:t>
      </w:r>
    </w:p>
    <w:p w14:paraId="02E14CF6" w14:textId="77777777" w:rsidR="00FF26F4" w:rsidRPr="00947688" w:rsidRDefault="00FF26F4" w:rsidP="00FD78EA">
      <w:pPr>
        <w:pStyle w:val="ListParagraph"/>
        <w:numPr>
          <w:ilvl w:val="1"/>
          <w:numId w:val="19"/>
        </w:numPr>
        <w:spacing w:before="120" w:after="120" w:line="240" w:lineRule="auto"/>
        <w:ind w:left="652" w:hanging="357"/>
        <w:rPr>
          <w:rFonts w:eastAsia="Times New Roman" w:cs="Arial"/>
          <w:lang w:eastAsia="en-AU"/>
        </w:rPr>
      </w:pPr>
      <w:proofErr w:type="gramStart"/>
      <w:r w:rsidRPr="00947688">
        <w:rPr>
          <w:rFonts w:eastAsia="Times New Roman" w:cs="Arial"/>
          <w:lang w:eastAsia="en-AU"/>
        </w:rPr>
        <w:t>how</w:t>
      </w:r>
      <w:proofErr w:type="gramEnd"/>
      <w:r w:rsidRPr="00947688">
        <w:rPr>
          <w:rFonts w:eastAsia="Times New Roman" w:cs="Arial"/>
          <w:lang w:eastAsia="en-AU"/>
        </w:rPr>
        <w:t xml:space="preserve"> any risks associated with the proposed Activity will be mitigated.</w:t>
      </w:r>
    </w:p>
    <w:p w14:paraId="579794E4" w14:textId="77777777" w:rsidR="00721263" w:rsidRDefault="00D247D2" w:rsidP="00854BA2">
      <w:pPr>
        <w:pStyle w:val="Heading3"/>
        <w:rPr>
          <w:szCs w:val="22"/>
        </w:rPr>
      </w:pPr>
      <w:r w:rsidRPr="00947688">
        <w:rPr>
          <w:szCs w:val="22"/>
        </w:rPr>
        <w:lastRenderedPageBreak/>
        <w:t xml:space="preserve">Attachments </w:t>
      </w:r>
    </w:p>
    <w:p w14:paraId="2541389E" w14:textId="6D37D5B4" w:rsidR="00EC1517" w:rsidRPr="00721263" w:rsidRDefault="00EC1517" w:rsidP="00854BA2">
      <w:pPr>
        <w:pStyle w:val="Heading3"/>
        <w:rPr>
          <w:szCs w:val="22"/>
        </w:rPr>
      </w:pPr>
      <w:r w:rsidRPr="00947688">
        <w:rPr>
          <w:b w:val="0"/>
          <w:szCs w:val="22"/>
        </w:rPr>
        <w:t>Only attachments specifically requested will be considered.</w:t>
      </w:r>
    </w:p>
    <w:p w14:paraId="5225C6F6" w14:textId="77777777" w:rsidR="00854BA2" w:rsidRPr="00947688" w:rsidRDefault="00EC1517" w:rsidP="007B6EFC">
      <w:pPr>
        <w:pStyle w:val="Heading3"/>
        <w:ind w:left="720"/>
        <w:rPr>
          <w:i/>
          <w:szCs w:val="22"/>
        </w:rPr>
      </w:pPr>
      <w:r w:rsidRPr="00947688">
        <w:rPr>
          <w:i/>
          <w:szCs w:val="22"/>
        </w:rPr>
        <w:t>G</w:t>
      </w:r>
      <w:r w:rsidR="00854BA2" w:rsidRPr="00947688">
        <w:rPr>
          <w:i/>
          <w:szCs w:val="22"/>
        </w:rPr>
        <w:t xml:space="preserve">rants </w:t>
      </w:r>
      <w:r w:rsidRPr="00947688">
        <w:rPr>
          <w:i/>
          <w:szCs w:val="22"/>
        </w:rPr>
        <w:t>u</w:t>
      </w:r>
      <w:r w:rsidR="00854BA2" w:rsidRPr="00947688">
        <w:rPr>
          <w:i/>
          <w:szCs w:val="22"/>
        </w:rPr>
        <w:t xml:space="preserve">nder $10,000 </w:t>
      </w:r>
    </w:p>
    <w:p w14:paraId="0E4EA2BD" w14:textId="77777777" w:rsidR="00854BA2" w:rsidRPr="00947688" w:rsidRDefault="00EC1517" w:rsidP="007B6EFC">
      <w:pPr>
        <w:pStyle w:val="BodyText"/>
        <w:ind w:firstLine="720"/>
        <w:rPr>
          <w:szCs w:val="22"/>
        </w:rPr>
      </w:pPr>
      <w:r w:rsidRPr="00947688">
        <w:rPr>
          <w:szCs w:val="22"/>
        </w:rPr>
        <w:t>N</w:t>
      </w:r>
      <w:r w:rsidR="00854BA2" w:rsidRPr="00947688">
        <w:rPr>
          <w:szCs w:val="22"/>
        </w:rPr>
        <w:t>o attachments are required for</w:t>
      </w:r>
      <w:r w:rsidR="004157E2" w:rsidRPr="00947688">
        <w:rPr>
          <w:szCs w:val="22"/>
        </w:rPr>
        <w:t xml:space="preserve"> grants</w:t>
      </w:r>
      <w:r w:rsidR="00854BA2" w:rsidRPr="00947688">
        <w:rPr>
          <w:szCs w:val="22"/>
        </w:rPr>
        <w:t xml:space="preserve"> under $10,000</w:t>
      </w:r>
      <w:r w:rsidRPr="00947688">
        <w:rPr>
          <w:szCs w:val="22"/>
        </w:rPr>
        <w:t>.</w:t>
      </w:r>
    </w:p>
    <w:p w14:paraId="79C5D831" w14:textId="77777777" w:rsidR="00EC1517" w:rsidRPr="00947688" w:rsidRDefault="00EC1517" w:rsidP="007B6EFC">
      <w:pPr>
        <w:pStyle w:val="Heading3"/>
        <w:ind w:firstLine="720"/>
        <w:rPr>
          <w:i/>
          <w:szCs w:val="22"/>
        </w:rPr>
      </w:pPr>
      <w:r w:rsidRPr="00947688">
        <w:rPr>
          <w:i/>
          <w:szCs w:val="22"/>
        </w:rPr>
        <w:t xml:space="preserve">Grants over $10,000 </w:t>
      </w:r>
    </w:p>
    <w:p w14:paraId="48A086F2" w14:textId="77777777" w:rsidR="00A71730" w:rsidRPr="00947688" w:rsidRDefault="00A71730" w:rsidP="007B6EFC">
      <w:pPr>
        <w:ind w:firstLine="720"/>
        <w:rPr>
          <w:szCs w:val="22"/>
        </w:rPr>
      </w:pPr>
      <w:r w:rsidRPr="00947688">
        <w:rPr>
          <w:szCs w:val="22"/>
        </w:rPr>
        <w:t xml:space="preserve">For </w:t>
      </w:r>
      <w:r w:rsidR="004157E2" w:rsidRPr="00947688">
        <w:rPr>
          <w:szCs w:val="22"/>
        </w:rPr>
        <w:t>grants over $10,000</w:t>
      </w:r>
      <w:r w:rsidRPr="00947688">
        <w:rPr>
          <w:szCs w:val="22"/>
        </w:rPr>
        <w:t xml:space="preserve"> </w:t>
      </w:r>
      <w:r w:rsidR="004A0BE3">
        <w:rPr>
          <w:szCs w:val="22"/>
        </w:rPr>
        <w:t>you must</w:t>
      </w:r>
      <w:r w:rsidR="004A0BE3" w:rsidRPr="00947688">
        <w:rPr>
          <w:szCs w:val="22"/>
        </w:rPr>
        <w:t xml:space="preserve"> </w:t>
      </w:r>
      <w:r w:rsidRPr="00947688">
        <w:rPr>
          <w:szCs w:val="22"/>
        </w:rPr>
        <w:t>attach:</w:t>
      </w:r>
    </w:p>
    <w:p w14:paraId="5165BECA" w14:textId="77777777" w:rsidR="00854BA2" w:rsidRPr="00947688" w:rsidRDefault="00854BA2" w:rsidP="00A71730">
      <w:pPr>
        <w:rPr>
          <w:szCs w:val="22"/>
        </w:rPr>
      </w:pPr>
    </w:p>
    <w:p w14:paraId="47553329" w14:textId="77777777" w:rsidR="002C0A64" w:rsidRDefault="00A71730" w:rsidP="002C0A64">
      <w:pPr>
        <w:pStyle w:val="ListParagraph"/>
        <w:numPr>
          <w:ilvl w:val="0"/>
          <w:numId w:val="17"/>
        </w:numPr>
      </w:pPr>
      <w:proofErr w:type="gramStart"/>
      <w:r w:rsidRPr="00947688">
        <w:t>a</w:t>
      </w:r>
      <w:proofErr w:type="gramEnd"/>
      <w:r w:rsidRPr="00947688">
        <w:t xml:space="preserve"> budget using the template provided.</w:t>
      </w:r>
      <w:r w:rsidR="00296487">
        <w:t xml:space="preserve"> Applications that do not provide their budget on the correct template will be deemed non-compliant and will be excluded from further assessment. </w:t>
      </w:r>
    </w:p>
    <w:p w14:paraId="2A987553" w14:textId="77777777" w:rsidR="00D247D2" w:rsidRPr="00947688" w:rsidRDefault="00D247D2" w:rsidP="00853D4E">
      <w:pPr>
        <w:pStyle w:val="Heading3"/>
        <w:rPr>
          <w:szCs w:val="22"/>
        </w:rPr>
      </w:pPr>
      <w:r w:rsidRPr="00947688">
        <w:rPr>
          <w:szCs w:val="22"/>
        </w:rPr>
        <w:t xml:space="preserve">Feedback for this funding round </w:t>
      </w:r>
    </w:p>
    <w:p w14:paraId="35D9CB4B" w14:textId="77777777" w:rsidR="00D247D2" w:rsidRPr="00947688" w:rsidRDefault="00D247D2" w:rsidP="00D247D2">
      <w:pPr>
        <w:rPr>
          <w:rFonts w:eastAsiaTheme="majorEastAsia" w:cstheme="majorBidi"/>
          <w:bCs/>
          <w:szCs w:val="22"/>
        </w:rPr>
      </w:pPr>
      <w:r w:rsidRPr="00947688">
        <w:rPr>
          <w:szCs w:val="22"/>
        </w:rPr>
        <w:t xml:space="preserve">The Feedback Summary will provide general round-specific information </w:t>
      </w:r>
      <w:r w:rsidRPr="00947688">
        <w:rPr>
          <w:rFonts w:eastAsiaTheme="majorEastAsia" w:cstheme="majorBidi"/>
          <w:bCs/>
          <w:szCs w:val="22"/>
        </w:rPr>
        <w:t>and will include main strengths and areas of improvement for the applications received in this round.</w:t>
      </w:r>
      <w:r w:rsidR="00A71730" w:rsidRPr="00947688">
        <w:rPr>
          <w:rFonts w:eastAsiaTheme="majorEastAsia" w:cstheme="majorBidi"/>
          <w:bCs/>
          <w:szCs w:val="22"/>
        </w:rPr>
        <w:t xml:space="preserve"> </w:t>
      </w:r>
      <w:r w:rsidR="00877607">
        <w:rPr>
          <w:rFonts w:eastAsiaTheme="majorEastAsia" w:cstheme="majorBidi"/>
          <w:bCs/>
          <w:szCs w:val="22"/>
        </w:rPr>
        <w:t>The Feedback Summary will not provide feedback on individual applications.</w:t>
      </w:r>
    </w:p>
    <w:p w14:paraId="7F58C36D" w14:textId="77777777" w:rsidR="00374998" w:rsidRPr="00947688" w:rsidRDefault="00374998" w:rsidP="00D247D2">
      <w:pPr>
        <w:rPr>
          <w:rFonts w:eastAsiaTheme="majorEastAsia" w:cstheme="majorBidi"/>
          <w:bCs/>
          <w:szCs w:val="22"/>
        </w:rPr>
      </w:pPr>
    </w:p>
    <w:p w14:paraId="0B4E1BDF" w14:textId="77777777" w:rsidR="00D247D2" w:rsidRPr="00947688" w:rsidRDefault="00D247D2" w:rsidP="00D247D2">
      <w:pPr>
        <w:rPr>
          <w:rStyle w:val="BookTitle"/>
          <w:i w:val="0"/>
          <w:iCs w:val="0"/>
          <w:smallCaps w:val="0"/>
          <w:szCs w:val="22"/>
        </w:rPr>
      </w:pPr>
      <w:r w:rsidRPr="00947688">
        <w:rPr>
          <w:rFonts w:eastAsiaTheme="majorEastAsia" w:cstheme="majorBidi"/>
          <w:bCs/>
          <w:szCs w:val="22"/>
        </w:rPr>
        <w:t xml:space="preserve">The Feedback Summary will be published on the </w:t>
      </w:r>
      <w:hyperlink r:id="rId23" w:history="1">
        <w:r w:rsidR="00854BA2" w:rsidRPr="00116FD0">
          <w:rPr>
            <w:rStyle w:val="Hyperlink"/>
            <w:rFonts w:eastAsiaTheme="majorEastAsia" w:cstheme="majorBidi"/>
            <w:bCs/>
            <w:szCs w:val="22"/>
          </w:rPr>
          <w:t xml:space="preserve">Community Grants Hub </w:t>
        </w:r>
        <w:r w:rsidRPr="00116FD0">
          <w:rPr>
            <w:rStyle w:val="Hyperlink"/>
            <w:rFonts w:eastAsiaTheme="majorEastAsia" w:cstheme="majorBidi"/>
            <w:bCs/>
            <w:szCs w:val="22"/>
          </w:rPr>
          <w:t>website</w:t>
        </w:r>
      </w:hyperlink>
      <w:r w:rsidRPr="00947688">
        <w:rPr>
          <w:rFonts w:eastAsiaTheme="majorEastAsia" w:cstheme="majorBidi"/>
          <w:bCs/>
          <w:szCs w:val="22"/>
        </w:rPr>
        <w:t xml:space="preserve"> following the finalisation of the funding round.</w:t>
      </w:r>
    </w:p>
    <w:p w14:paraId="4E8FE372" w14:textId="77777777" w:rsidR="00D247D2" w:rsidRPr="00947688" w:rsidRDefault="00D247D2" w:rsidP="00D247D2">
      <w:pPr>
        <w:pStyle w:val="Heading3"/>
        <w:spacing w:line="276" w:lineRule="auto"/>
        <w:rPr>
          <w:szCs w:val="22"/>
        </w:rPr>
      </w:pPr>
      <w:r w:rsidRPr="00947688">
        <w:rPr>
          <w:szCs w:val="22"/>
        </w:rPr>
        <w:t>Multicultural Access and Equity Policy</w:t>
      </w:r>
    </w:p>
    <w:p w14:paraId="0115776A" w14:textId="77777777" w:rsidR="00D247D2" w:rsidRPr="00947688" w:rsidRDefault="00D247D2" w:rsidP="00D247D2">
      <w:pPr>
        <w:rPr>
          <w:rStyle w:val="BookTitle"/>
          <w:rFonts w:cs="Arial"/>
          <w:i w:val="0"/>
          <w:iCs w:val="0"/>
          <w:smallCaps w:val="0"/>
          <w:color w:val="000000"/>
          <w:szCs w:val="22"/>
        </w:rPr>
      </w:pPr>
      <w:r w:rsidRPr="00947688">
        <w:rPr>
          <w:rFonts w:cs="Arial"/>
          <w:color w:val="000000"/>
          <w:szCs w:val="22"/>
        </w:rPr>
        <w:t xml:space="preserve">Australia’s </w:t>
      </w:r>
      <w:r w:rsidRPr="00947688">
        <w:rPr>
          <w:rFonts w:cs="Arial"/>
          <w:i/>
          <w:color w:val="000000"/>
          <w:szCs w:val="22"/>
        </w:rPr>
        <w:t>Multicultural Access and Equity Policy: Respecting diversity. Improving responsiveness</w:t>
      </w:r>
      <w:r w:rsidRPr="00947688">
        <w:rPr>
          <w:rFonts w:cs="Arial"/>
          <w:color w:val="000000"/>
          <w:szCs w:val="22"/>
        </w:rPr>
        <w:t xml:space="preserve"> means that Australian Government agencies make sure that cultural and linguistic diversity is not a barrier for people who need to access government and community services. This means, for example, that appropriate language services should be provided.  Grant applicants should consider whether professional translating or interpreting services may be needed to deliver services, projects, activities or events to non-English speakers.  If your Application Form states that a budget is required, costs for translating and interpreting services should be included in your budget.</w:t>
      </w:r>
    </w:p>
    <w:p w14:paraId="2F92DFAC" w14:textId="77777777" w:rsidR="00D247D2" w:rsidRPr="00947688" w:rsidRDefault="00D247D2" w:rsidP="00D247D2">
      <w:pPr>
        <w:pStyle w:val="Heading3"/>
        <w:rPr>
          <w:szCs w:val="22"/>
        </w:rPr>
      </w:pPr>
      <w:r w:rsidRPr="00947688">
        <w:rPr>
          <w:szCs w:val="22"/>
        </w:rPr>
        <w:t>Assessment</w:t>
      </w:r>
    </w:p>
    <w:p w14:paraId="309B8BE0" w14:textId="77777777" w:rsidR="00D247D2" w:rsidRPr="00947688" w:rsidRDefault="00D247D2" w:rsidP="00D247D2">
      <w:pPr>
        <w:rPr>
          <w:rFonts w:cs="Arial"/>
          <w:color w:val="000000"/>
          <w:szCs w:val="22"/>
        </w:rPr>
      </w:pPr>
      <w:r w:rsidRPr="00947688">
        <w:rPr>
          <w:rFonts w:cs="Arial"/>
          <w:color w:val="000000"/>
          <w:szCs w:val="22"/>
        </w:rPr>
        <w:t>The Assessment Team may comprise of Australian Government officers from each state/territory and national offices. Teams will undertake training so that applications are assessed consistently. The Assessment Team will be bound by the APS Code of Conduct and the departmental Secretary’s Instructions.</w:t>
      </w:r>
    </w:p>
    <w:p w14:paraId="5A51CCCE" w14:textId="77777777" w:rsidR="00D247D2" w:rsidRPr="00947688" w:rsidRDefault="00D247D2" w:rsidP="00D247D2">
      <w:pPr>
        <w:pStyle w:val="Heading3"/>
        <w:rPr>
          <w:szCs w:val="22"/>
        </w:rPr>
      </w:pPr>
      <w:r w:rsidRPr="00947688">
        <w:rPr>
          <w:szCs w:val="22"/>
        </w:rPr>
        <w:t>Probity and fairness</w:t>
      </w:r>
    </w:p>
    <w:p w14:paraId="0F2AD46A" w14:textId="77777777" w:rsidR="00D247D2" w:rsidRPr="00947688" w:rsidRDefault="00D247D2" w:rsidP="00D247D2">
      <w:pPr>
        <w:spacing w:line="240" w:lineRule="auto"/>
        <w:rPr>
          <w:szCs w:val="22"/>
        </w:rPr>
      </w:pPr>
      <w:r w:rsidRPr="00947688">
        <w:rPr>
          <w:szCs w:val="22"/>
        </w:rPr>
        <w:t>The selection of funding recipients must be fair, open and demonstrate the highest level of integrity.</w:t>
      </w:r>
    </w:p>
    <w:p w14:paraId="7923B2EE" w14:textId="77777777" w:rsidR="00853D4E" w:rsidRPr="00947688" w:rsidRDefault="00853D4E" w:rsidP="00D247D2">
      <w:pPr>
        <w:spacing w:line="240" w:lineRule="auto"/>
        <w:rPr>
          <w:szCs w:val="22"/>
        </w:rPr>
      </w:pPr>
    </w:p>
    <w:p w14:paraId="69945F27" w14:textId="77777777" w:rsidR="00D247D2" w:rsidRPr="00947688" w:rsidRDefault="00D247D2" w:rsidP="00D247D2">
      <w:pPr>
        <w:spacing w:after="120" w:line="240" w:lineRule="auto"/>
        <w:rPr>
          <w:i/>
          <w:iCs/>
          <w:smallCaps/>
          <w:szCs w:val="22"/>
        </w:rPr>
      </w:pPr>
      <w:r w:rsidRPr="00947688">
        <w:rPr>
          <w:szCs w:val="22"/>
        </w:rPr>
        <w:t>The following principles will be applied throughout the selection process:</w:t>
      </w:r>
    </w:p>
    <w:p w14:paraId="7C133D65" w14:textId="77777777" w:rsidR="00D247D2" w:rsidRPr="00947688" w:rsidRDefault="00D247D2" w:rsidP="00D247D2">
      <w:pPr>
        <w:pStyle w:val="ListParaabc"/>
        <w:numPr>
          <w:ilvl w:val="0"/>
          <w:numId w:val="8"/>
        </w:numPr>
        <w:rPr>
          <w:i/>
          <w:smallCaps/>
        </w:rPr>
      </w:pPr>
      <w:r w:rsidRPr="00947688">
        <w:t>fairness and impartiality;</w:t>
      </w:r>
    </w:p>
    <w:p w14:paraId="092750EB" w14:textId="77777777" w:rsidR="00D247D2" w:rsidRPr="00947688" w:rsidRDefault="00D247D2" w:rsidP="00D247D2">
      <w:pPr>
        <w:pStyle w:val="ListParaabc"/>
        <w:tabs>
          <w:tab w:val="clear" w:pos="360"/>
        </w:tabs>
        <w:ind w:left="720" w:hanging="360"/>
        <w:rPr>
          <w:i/>
          <w:smallCaps/>
        </w:rPr>
      </w:pPr>
      <w:r w:rsidRPr="00947688">
        <w:t>consistency, accountability and transparency of process;</w:t>
      </w:r>
    </w:p>
    <w:p w14:paraId="4457F959" w14:textId="77777777" w:rsidR="00D247D2" w:rsidRPr="00947688" w:rsidRDefault="00D247D2" w:rsidP="00D247D2">
      <w:pPr>
        <w:pStyle w:val="ListParaabc"/>
        <w:tabs>
          <w:tab w:val="clear" w:pos="360"/>
        </w:tabs>
        <w:ind w:left="720" w:hanging="360"/>
        <w:rPr>
          <w:i/>
          <w:smallCaps/>
        </w:rPr>
      </w:pPr>
      <w:r w:rsidRPr="00947688">
        <w:t>security and confidentiality of information;</w:t>
      </w:r>
    </w:p>
    <w:p w14:paraId="7E05AB16" w14:textId="77777777" w:rsidR="00D247D2" w:rsidRPr="00947688" w:rsidRDefault="00D247D2" w:rsidP="00D247D2">
      <w:pPr>
        <w:pStyle w:val="ListParaabc"/>
        <w:tabs>
          <w:tab w:val="clear" w:pos="360"/>
        </w:tabs>
        <w:ind w:left="720" w:hanging="360"/>
        <w:rPr>
          <w:i/>
          <w:smallCaps/>
        </w:rPr>
      </w:pPr>
      <w:r w:rsidRPr="00947688">
        <w:lastRenderedPageBreak/>
        <w:t>identification and resolution of conflicts of interest; and</w:t>
      </w:r>
    </w:p>
    <w:p w14:paraId="3A817071" w14:textId="77777777" w:rsidR="00D247D2" w:rsidRPr="00947688" w:rsidRDefault="00D247D2" w:rsidP="00D247D2">
      <w:pPr>
        <w:pStyle w:val="ListParaabc"/>
        <w:tabs>
          <w:tab w:val="clear" w:pos="360"/>
        </w:tabs>
        <w:ind w:left="720" w:hanging="360"/>
      </w:pPr>
      <w:proofErr w:type="gramStart"/>
      <w:r w:rsidRPr="00947688">
        <w:t>compliance</w:t>
      </w:r>
      <w:proofErr w:type="gramEnd"/>
      <w:r w:rsidRPr="00947688">
        <w:t xml:space="preserve"> with legislative obligations and government policy.</w:t>
      </w:r>
    </w:p>
    <w:p w14:paraId="12C365DC" w14:textId="77777777" w:rsidR="00D247D2" w:rsidRPr="00947688" w:rsidRDefault="00D247D2" w:rsidP="00D247D2">
      <w:pPr>
        <w:pStyle w:val="ListParaabc"/>
        <w:numPr>
          <w:ilvl w:val="0"/>
          <w:numId w:val="0"/>
        </w:numPr>
        <w:ind w:left="720"/>
      </w:pPr>
    </w:p>
    <w:p w14:paraId="6D277559" w14:textId="77777777" w:rsidR="00225AFE" w:rsidRPr="00947688" w:rsidRDefault="00225AFE" w:rsidP="00225AFE">
      <w:pPr>
        <w:pStyle w:val="BodyText"/>
        <w:rPr>
          <w:szCs w:val="22"/>
        </w:rPr>
      </w:pPr>
      <w:r w:rsidRPr="00947688">
        <w:rPr>
          <w:szCs w:val="22"/>
        </w:rPr>
        <w:t>These principles are intended to achieve an equitable, justifiable and sound process.</w:t>
      </w:r>
    </w:p>
    <w:p w14:paraId="1DCDBBAA" w14:textId="77777777" w:rsidR="00225AFE" w:rsidRPr="00947688" w:rsidRDefault="00225AFE" w:rsidP="00225AFE">
      <w:pPr>
        <w:pStyle w:val="BodyText"/>
        <w:rPr>
          <w:szCs w:val="22"/>
        </w:rPr>
      </w:pPr>
      <w:r w:rsidRPr="00947688">
        <w:rPr>
          <w:szCs w:val="22"/>
        </w:rPr>
        <w:t>The Community Grants Hub may engage a Probity Advisor to help meet its obligations to make selection processes defensible and able to stand up to external and internal scrutiny. Th</w:t>
      </w:r>
      <w:r w:rsidR="00D11A06" w:rsidRPr="00947688">
        <w:rPr>
          <w:szCs w:val="22"/>
        </w:rPr>
        <w:t>e Probity Advisor also advises t</w:t>
      </w:r>
      <w:r w:rsidRPr="00947688">
        <w:rPr>
          <w:szCs w:val="22"/>
        </w:rPr>
        <w:t>he Community Grants Hub on, and monitors, the procedures used in the selection process to make sure they comply with the</w:t>
      </w:r>
      <w:r w:rsidR="008D0C95" w:rsidRPr="00947688">
        <w:rPr>
          <w:szCs w:val="22"/>
        </w:rPr>
        <w:t xml:space="preserve"> relevant</w:t>
      </w:r>
      <w:r w:rsidRPr="00947688">
        <w:rPr>
          <w:szCs w:val="22"/>
        </w:rPr>
        <w:t xml:space="preserve"> published Program Guidelines. The Probity Advisor plays no part in the assessment of applications.</w:t>
      </w:r>
    </w:p>
    <w:p w14:paraId="78A5249F" w14:textId="77777777" w:rsidR="00D247D2" w:rsidRPr="00947688" w:rsidRDefault="00877607" w:rsidP="00853D4E">
      <w:pPr>
        <w:pStyle w:val="Heading3"/>
        <w:rPr>
          <w:szCs w:val="22"/>
          <w:highlight w:val="cyan"/>
        </w:rPr>
      </w:pPr>
      <w:r>
        <w:rPr>
          <w:szCs w:val="22"/>
        </w:rPr>
        <w:t xml:space="preserve">ILC Policy, CICD </w:t>
      </w:r>
      <w:r w:rsidR="001070EF" w:rsidRPr="00947688">
        <w:rPr>
          <w:szCs w:val="22"/>
        </w:rPr>
        <w:t>Program</w:t>
      </w:r>
      <w:r w:rsidR="00D247D2" w:rsidRPr="00947688">
        <w:rPr>
          <w:szCs w:val="22"/>
        </w:rPr>
        <w:t xml:space="preserve"> Guidelines </w:t>
      </w:r>
      <w:r w:rsidR="00A71730" w:rsidRPr="00947688">
        <w:rPr>
          <w:szCs w:val="22"/>
        </w:rPr>
        <w:t xml:space="preserve">and </w:t>
      </w:r>
      <w:r w:rsidR="008D0C95" w:rsidRPr="00947688">
        <w:rPr>
          <w:szCs w:val="22"/>
        </w:rPr>
        <w:t>ILC Commissioning Framework</w:t>
      </w:r>
      <w:r w:rsidR="00D247D2" w:rsidRPr="00947688">
        <w:rPr>
          <w:szCs w:val="22"/>
        </w:rPr>
        <w:t xml:space="preserve"> </w:t>
      </w:r>
    </w:p>
    <w:p w14:paraId="727AECFB" w14:textId="77777777" w:rsidR="00A71730" w:rsidRPr="00947688" w:rsidRDefault="00A71730" w:rsidP="00A71730">
      <w:pPr>
        <w:rPr>
          <w:szCs w:val="22"/>
        </w:rPr>
      </w:pPr>
      <w:r w:rsidRPr="00947688">
        <w:rPr>
          <w:rStyle w:val="BookTitle"/>
          <w:i w:val="0"/>
          <w:iCs w:val="0"/>
          <w:smallCaps w:val="0"/>
          <w:szCs w:val="22"/>
        </w:rPr>
        <w:t xml:space="preserve">The </w:t>
      </w:r>
      <w:hyperlink r:id="rId24" w:history="1">
        <w:r w:rsidR="00877607" w:rsidRPr="00644ACF">
          <w:rPr>
            <w:rStyle w:val="Hyperlink"/>
            <w:spacing w:val="5"/>
            <w:szCs w:val="22"/>
          </w:rPr>
          <w:t>ILC Policy</w:t>
        </w:r>
      </w:hyperlink>
      <w:r w:rsidR="00877607">
        <w:rPr>
          <w:rStyle w:val="BookTitle"/>
          <w:i w:val="0"/>
          <w:iCs w:val="0"/>
          <w:smallCaps w:val="0"/>
          <w:szCs w:val="22"/>
        </w:rPr>
        <w:t xml:space="preserve">, </w:t>
      </w:r>
      <w:hyperlink r:id="rId25" w:history="1">
        <w:r w:rsidR="00877607" w:rsidRPr="00644ACF">
          <w:rPr>
            <w:rStyle w:val="Hyperlink"/>
            <w:spacing w:val="5"/>
            <w:szCs w:val="22"/>
          </w:rPr>
          <w:t xml:space="preserve">CICD </w:t>
        </w:r>
        <w:r w:rsidRPr="00644ACF">
          <w:rPr>
            <w:rStyle w:val="Hyperlink"/>
            <w:spacing w:val="5"/>
            <w:szCs w:val="22"/>
          </w:rPr>
          <w:t>Program Guidelines</w:t>
        </w:r>
      </w:hyperlink>
      <w:r w:rsidRPr="00947688">
        <w:rPr>
          <w:rStyle w:val="BookTitle"/>
          <w:i w:val="0"/>
          <w:iCs w:val="0"/>
          <w:smallCaps w:val="0"/>
          <w:szCs w:val="22"/>
        </w:rPr>
        <w:t xml:space="preserve"> and </w:t>
      </w:r>
      <w:hyperlink r:id="rId26" w:history="1">
        <w:r w:rsidR="00D11A06" w:rsidRPr="00644ACF">
          <w:rPr>
            <w:rStyle w:val="Hyperlink"/>
            <w:spacing w:val="5"/>
            <w:szCs w:val="22"/>
          </w:rPr>
          <w:t>ILC Commissioning Framework</w:t>
        </w:r>
      </w:hyperlink>
      <w:r w:rsidRPr="00947688">
        <w:rPr>
          <w:rStyle w:val="BookTitle"/>
          <w:i w:val="0"/>
          <w:iCs w:val="0"/>
          <w:smallCaps w:val="0"/>
          <w:szCs w:val="22"/>
        </w:rPr>
        <w:t xml:space="preserve"> </w:t>
      </w:r>
      <w:r w:rsidRPr="00947688">
        <w:rPr>
          <w:szCs w:val="22"/>
        </w:rPr>
        <w:t>provide the starting point for parties considering whether to apply for funding and is/are the basis for the business relationship between</w:t>
      </w:r>
      <w:r w:rsidR="00644ACF">
        <w:rPr>
          <w:szCs w:val="22"/>
        </w:rPr>
        <w:t xml:space="preserve"> the NDIA </w:t>
      </w:r>
      <w:r w:rsidRPr="00947688">
        <w:rPr>
          <w:szCs w:val="22"/>
        </w:rPr>
        <w:t xml:space="preserve">and the funding recipient.  Applicants are strongly advised to read the Program Guidelines and </w:t>
      </w:r>
      <w:r w:rsidR="008D0C95" w:rsidRPr="00947688">
        <w:rPr>
          <w:szCs w:val="22"/>
        </w:rPr>
        <w:t>ILC Commissioning Framework</w:t>
      </w:r>
      <w:r w:rsidRPr="00947688">
        <w:rPr>
          <w:szCs w:val="22"/>
        </w:rPr>
        <w:t xml:space="preserve"> before completing an Application Form.</w:t>
      </w:r>
    </w:p>
    <w:p w14:paraId="70E257E2" w14:textId="77777777" w:rsidR="00D247D2" w:rsidRPr="00947688" w:rsidRDefault="00D247D2" w:rsidP="00853D4E">
      <w:pPr>
        <w:pStyle w:val="Heading3"/>
        <w:rPr>
          <w:szCs w:val="22"/>
        </w:rPr>
      </w:pPr>
      <w:r w:rsidRPr="00947688">
        <w:rPr>
          <w:szCs w:val="22"/>
        </w:rPr>
        <w:t>How to apply</w:t>
      </w:r>
    </w:p>
    <w:p w14:paraId="36527F4D" w14:textId="77777777" w:rsidR="00116FD0" w:rsidRDefault="00116FD0" w:rsidP="00D247D2">
      <w:pPr>
        <w:rPr>
          <w:szCs w:val="22"/>
        </w:rPr>
      </w:pPr>
      <w:r>
        <w:rPr>
          <w:szCs w:val="22"/>
        </w:rPr>
        <w:t>There are two sep</w:t>
      </w:r>
      <w:r w:rsidR="00315D19">
        <w:rPr>
          <w:szCs w:val="22"/>
        </w:rPr>
        <w:t>arate online Application Forms, one f</w:t>
      </w:r>
      <w:r>
        <w:rPr>
          <w:szCs w:val="22"/>
        </w:rPr>
        <w:t xml:space="preserve">or grants under $10,000 and </w:t>
      </w:r>
      <w:r w:rsidR="00315D19">
        <w:rPr>
          <w:szCs w:val="22"/>
        </w:rPr>
        <w:t xml:space="preserve">another for </w:t>
      </w:r>
      <w:r>
        <w:rPr>
          <w:szCs w:val="22"/>
        </w:rPr>
        <w:t xml:space="preserve">grants over $10,000.  The online Application Forms are available on the </w:t>
      </w:r>
      <w:hyperlink r:id="rId27" w:history="1">
        <w:r w:rsidR="00353D28" w:rsidRPr="00116FD0">
          <w:rPr>
            <w:rStyle w:val="Hyperlink"/>
            <w:rFonts w:eastAsiaTheme="majorEastAsia" w:cstheme="majorBidi"/>
            <w:bCs/>
            <w:szCs w:val="22"/>
          </w:rPr>
          <w:t>Community Grants Hub website</w:t>
        </w:r>
      </w:hyperlink>
      <w:r w:rsidR="00353D28">
        <w:rPr>
          <w:rFonts w:eastAsiaTheme="majorEastAsia" w:cstheme="majorBidi"/>
          <w:bCs/>
          <w:szCs w:val="22"/>
        </w:rPr>
        <w:t>.</w:t>
      </w:r>
    </w:p>
    <w:p w14:paraId="15EA6CBD" w14:textId="77777777" w:rsidR="00116FD0" w:rsidRDefault="00116FD0" w:rsidP="00D247D2">
      <w:pPr>
        <w:rPr>
          <w:szCs w:val="22"/>
        </w:rPr>
      </w:pPr>
    </w:p>
    <w:p w14:paraId="5D5A583D" w14:textId="77777777" w:rsidR="00D247D2" w:rsidRPr="00947688" w:rsidRDefault="00D247D2" w:rsidP="00D247D2">
      <w:pPr>
        <w:rPr>
          <w:szCs w:val="22"/>
        </w:rPr>
      </w:pPr>
      <w:r w:rsidRPr="00947688">
        <w:rPr>
          <w:szCs w:val="22"/>
        </w:rPr>
        <w:t xml:space="preserve">Once </w:t>
      </w:r>
      <w:r w:rsidR="00353D28">
        <w:rPr>
          <w:szCs w:val="22"/>
        </w:rPr>
        <w:t>you have completed the relevant</w:t>
      </w:r>
      <w:r w:rsidRPr="00947688">
        <w:rPr>
          <w:szCs w:val="22"/>
        </w:rPr>
        <w:t xml:space="preserve">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function is also available on the submission page to allow you to send a receipt email to the address of your choosing.  Please save this email receipt for future reference and use it in all correspondence about this Application.  If you do not receive a confirmation email or you have difficulties submitting the Application Form, please call the Community Grants Hub Grants Hotline on 1800 020 283</w:t>
      </w:r>
      <w:r w:rsidR="00B12BB6">
        <w:rPr>
          <w:szCs w:val="22"/>
        </w:rPr>
        <w:t xml:space="preserve"> </w:t>
      </w:r>
      <w:r w:rsidR="00B12BB6" w:rsidRPr="00947688">
        <w:rPr>
          <w:szCs w:val="22"/>
        </w:rPr>
        <w:t>or TTY 1800 555 677</w:t>
      </w:r>
      <w:r w:rsidRPr="00947688">
        <w:rPr>
          <w:szCs w:val="22"/>
        </w:rPr>
        <w:t>.</w:t>
      </w:r>
    </w:p>
    <w:p w14:paraId="6DF8043C" w14:textId="77777777" w:rsidR="00806C31" w:rsidRPr="00947688" w:rsidRDefault="00E04BF2" w:rsidP="00806C31">
      <w:pPr>
        <w:pStyle w:val="Heading3"/>
        <w:rPr>
          <w:szCs w:val="22"/>
        </w:rPr>
      </w:pPr>
      <w:r w:rsidRPr="00947688">
        <w:rPr>
          <w:szCs w:val="22"/>
        </w:rPr>
        <w:t>Late a</w:t>
      </w:r>
      <w:r w:rsidR="00806C31" w:rsidRPr="00947688">
        <w:rPr>
          <w:szCs w:val="22"/>
        </w:rPr>
        <w:t>pplications</w:t>
      </w:r>
      <w:r w:rsidR="005F0B24" w:rsidRPr="00947688">
        <w:rPr>
          <w:szCs w:val="22"/>
        </w:rPr>
        <w:t xml:space="preserve"> </w:t>
      </w:r>
    </w:p>
    <w:p w14:paraId="5EC75719" w14:textId="77777777" w:rsidR="00806C31" w:rsidRPr="00947688" w:rsidRDefault="00806C31" w:rsidP="00806C31">
      <w:pPr>
        <w:rPr>
          <w:szCs w:val="22"/>
        </w:rPr>
      </w:pPr>
      <w:r w:rsidRPr="00947688">
        <w:rPr>
          <w:szCs w:val="22"/>
        </w:rPr>
        <w:t xml:space="preserve">If an application is late or the </w:t>
      </w:r>
      <w:r w:rsidR="0041326E">
        <w:rPr>
          <w:szCs w:val="22"/>
        </w:rPr>
        <w:t xml:space="preserve">Community Grants Hub </w:t>
      </w:r>
      <w:r w:rsidRPr="00947688">
        <w:rPr>
          <w:szCs w:val="22"/>
        </w:rPr>
        <w:t xml:space="preserve">is requested to approve a lodgement after the closing date, the </w:t>
      </w:r>
      <w:r w:rsidR="0041326E" w:rsidRPr="00947688">
        <w:rPr>
          <w:rFonts w:eastAsia="Arial"/>
          <w:color w:val="000000"/>
          <w:szCs w:val="22"/>
        </w:rPr>
        <w:t>Community Grants Hub</w:t>
      </w:r>
      <w:r w:rsidR="0041326E" w:rsidRPr="00947688">
        <w:rPr>
          <w:szCs w:val="22"/>
        </w:rPr>
        <w:t xml:space="preserve"> </w:t>
      </w:r>
      <w:r w:rsidRPr="00947688">
        <w:rPr>
          <w:szCs w:val="22"/>
        </w:rPr>
        <w:t>may determine that there were exceptional circumstances beyond the applicant’s control resulting in an inability to meet the stipulated deadline.  Examples of exceptional circumstances could include, but may not be limited to*:</w:t>
      </w:r>
    </w:p>
    <w:p w14:paraId="20654A1A" w14:textId="77777777" w:rsidR="00806C31" w:rsidRPr="00947688" w:rsidRDefault="00806C31" w:rsidP="00806C31">
      <w:pPr>
        <w:pStyle w:val="ListParagraph"/>
        <w:numPr>
          <w:ilvl w:val="0"/>
          <w:numId w:val="12"/>
        </w:numPr>
      </w:pPr>
      <w:r w:rsidRPr="00947688">
        <w:t xml:space="preserve">the </w:t>
      </w:r>
      <w:r w:rsidR="0041326E" w:rsidRPr="00947688">
        <w:rPr>
          <w:rFonts w:eastAsia="Arial"/>
          <w:color w:val="000000"/>
        </w:rPr>
        <w:t>Community Grants Hub</w:t>
      </w:r>
      <w:r w:rsidR="0041326E" w:rsidRPr="00947688">
        <w:t xml:space="preserve"> </w:t>
      </w:r>
      <w:r w:rsidRPr="00947688">
        <w:t>infrastructure failures</w:t>
      </w:r>
    </w:p>
    <w:p w14:paraId="68D89020" w14:textId="77777777" w:rsidR="00806C31" w:rsidRPr="00947688" w:rsidRDefault="00806C31" w:rsidP="00806C31">
      <w:pPr>
        <w:pStyle w:val="ListParagraph"/>
        <w:numPr>
          <w:ilvl w:val="0"/>
          <w:numId w:val="12"/>
        </w:numPr>
      </w:pPr>
      <w:r w:rsidRPr="00947688">
        <w:t>natural disasters</w:t>
      </w:r>
    </w:p>
    <w:p w14:paraId="571DFCCE" w14:textId="77777777" w:rsidR="00806C31" w:rsidRPr="00947688" w:rsidRDefault="00806C31" w:rsidP="00806C31">
      <w:pPr>
        <w:pStyle w:val="ListParagraph"/>
        <w:numPr>
          <w:ilvl w:val="0"/>
          <w:numId w:val="12"/>
        </w:numPr>
      </w:pPr>
      <w:r w:rsidRPr="00947688">
        <w:t>power outages affecting the ability of the applicant to submit their application by the stipulated deadline</w:t>
      </w:r>
    </w:p>
    <w:p w14:paraId="34785B3B" w14:textId="77777777" w:rsidR="00806C31" w:rsidRPr="00947688" w:rsidRDefault="00806C31" w:rsidP="00806C31">
      <w:pPr>
        <w:pStyle w:val="ListParagraph"/>
        <w:numPr>
          <w:ilvl w:val="0"/>
          <w:numId w:val="12"/>
        </w:numPr>
      </w:pPr>
      <w:r w:rsidRPr="00947688">
        <w:t>death or disability of key personnel</w:t>
      </w:r>
    </w:p>
    <w:p w14:paraId="0850AB99" w14:textId="77777777" w:rsidR="00806C31" w:rsidRPr="00947688" w:rsidRDefault="00806C31" w:rsidP="00806C31">
      <w:pPr>
        <w:rPr>
          <w:i/>
          <w:szCs w:val="22"/>
        </w:rPr>
      </w:pPr>
      <w:r w:rsidRPr="00947688">
        <w:rPr>
          <w:i/>
          <w:szCs w:val="22"/>
        </w:rPr>
        <w:t xml:space="preserve">*Any other proposed incidents of exceptional circumstances, other than those listed above, will be considered </w:t>
      </w:r>
      <w:r w:rsidRPr="0041326E">
        <w:rPr>
          <w:i/>
          <w:szCs w:val="22"/>
        </w:rPr>
        <w:t xml:space="preserve">by </w:t>
      </w:r>
      <w:r w:rsidR="0041326E" w:rsidRPr="0041326E">
        <w:rPr>
          <w:rFonts w:cs="Arial"/>
          <w:i/>
        </w:rPr>
        <w:t>the</w:t>
      </w:r>
      <w:r w:rsidR="0041326E" w:rsidRPr="0041326E">
        <w:rPr>
          <w:rFonts w:eastAsia="Arial"/>
          <w:i/>
          <w:color w:val="000000"/>
          <w:szCs w:val="22"/>
        </w:rPr>
        <w:t xml:space="preserve"> Community Grants Hub</w:t>
      </w:r>
      <w:r w:rsidR="0041326E" w:rsidRPr="00947688">
        <w:rPr>
          <w:i/>
          <w:szCs w:val="22"/>
        </w:rPr>
        <w:t xml:space="preserve"> </w:t>
      </w:r>
      <w:r w:rsidRPr="00947688">
        <w:rPr>
          <w:i/>
          <w:szCs w:val="22"/>
        </w:rPr>
        <w:t>on a case-by-case basis.</w:t>
      </w:r>
    </w:p>
    <w:p w14:paraId="19D3B2CC" w14:textId="77777777" w:rsidR="00D247D2" w:rsidRPr="00947688" w:rsidRDefault="00D247D2" w:rsidP="00853D4E">
      <w:pPr>
        <w:pStyle w:val="Heading3"/>
        <w:rPr>
          <w:szCs w:val="22"/>
        </w:rPr>
      </w:pPr>
      <w:r w:rsidRPr="00947688">
        <w:rPr>
          <w:szCs w:val="22"/>
        </w:rPr>
        <w:lastRenderedPageBreak/>
        <w:t xml:space="preserve">Grant Agreement information </w:t>
      </w:r>
    </w:p>
    <w:p w14:paraId="697F0802" w14:textId="77777777" w:rsidR="00D247D2" w:rsidRPr="00947688" w:rsidRDefault="00D247D2" w:rsidP="00D247D2">
      <w:pPr>
        <w:rPr>
          <w:szCs w:val="22"/>
        </w:rPr>
      </w:pPr>
      <w:r w:rsidRPr="00947688">
        <w:rPr>
          <w:szCs w:val="22"/>
        </w:rPr>
        <w:t xml:space="preserve">The Grant Agreement is a performance-based, legally enforceable agreement between the Commonwealth (represented by </w:t>
      </w:r>
      <w:r w:rsidR="008D0C95" w:rsidRPr="00947688">
        <w:rPr>
          <w:szCs w:val="22"/>
        </w:rPr>
        <w:t>NDI</w:t>
      </w:r>
      <w:r w:rsidR="007A0AE7">
        <w:rPr>
          <w:szCs w:val="22"/>
        </w:rPr>
        <w:t>A</w:t>
      </w:r>
      <w:r w:rsidRPr="00947688">
        <w:rPr>
          <w:szCs w:val="22"/>
        </w:rPr>
        <w:t>) and the successful applicant that sets out the Terms and Conditions governing the funding to be provided.</w:t>
      </w:r>
    </w:p>
    <w:p w14:paraId="49633501" w14:textId="77777777" w:rsidR="00225AFE" w:rsidRPr="00947688" w:rsidRDefault="00225AFE" w:rsidP="00D247D2">
      <w:pPr>
        <w:rPr>
          <w:i/>
          <w:iCs/>
          <w:smallCaps/>
          <w:szCs w:val="22"/>
        </w:rPr>
      </w:pPr>
    </w:p>
    <w:p w14:paraId="11ED849B" w14:textId="708CAE0C" w:rsidR="00926847" w:rsidRPr="003079ED" w:rsidRDefault="00D247D2" w:rsidP="003079ED">
      <w:pPr>
        <w:rPr>
          <w:i/>
          <w:iCs/>
          <w:smallCaps/>
          <w:szCs w:val="22"/>
        </w:rPr>
      </w:pPr>
      <w:r w:rsidRPr="00947688">
        <w:rPr>
          <w:szCs w:val="22"/>
        </w:rPr>
        <w:t>The type of Grant Agreement entered into will depend on the Activity, the assessed Activity risk level, the length of the Activity and the amount of the grant.</w:t>
      </w:r>
      <w:r w:rsidR="00926847" w:rsidRPr="00D45CB1">
        <w:rPr>
          <w:rFonts w:ascii="Arial" w:eastAsia="Calibri" w:hAnsi="Arial"/>
          <w:b/>
          <w:color w:val="auto"/>
          <w:szCs w:val="22"/>
        </w:rPr>
        <w:t>Other relevant information</w:t>
      </w:r>
    </w:p>
    <w:p w14:paraId="6004DE1C" w14:textId="04BEE92B" w:rsidR="00947688" w:rsidRDefault="00926847">
      <w:pPr>
        <w:spacing w:line="240" w:lineRule="auto"/>
        <w:rPr>
          <w:rFonts w:ascii="Arial" w:eastAsia="Calibri" w:hAnsi="Arial"/>
          <w:color w:val="auto"/>
          <w:szCs w:val="22"/>
        </w:rPr>
      </w:pPr>
      <w:r>
        <w:rPr>
          <w:rFonts w:ascii="Arial" w:eastAsia="Calibri" w:hAnsi="Arial"/>
          <w:color w:val="auto"/>
          <w:szCs w:val="22"/>
        </w:rPr>
        <w:t xml:space="preserve">The NDIA has commissioned the development of an ‘ILC Toolkit’ to assist organisations to prepare for the introduction of ILC.  The Toolkit is available </w:t>
      </w:r>
      <w:hyperlink r:id="rId28" w:history="1">
        <w:r w:rsidRPr="00926847">
          <w:rPr>
            <w:rStyle w:val="Hyperlink"/>
            <w:rFonts w:ascii="Arial" w:eastAsia="Calibri" w:hAnsi="Arial"/>
            <w:szCs w:val="22"/>
          </w:rPr>
          <w:t>here</w:t>
        </w:r>
      </w:hyperlink>
      <w:r>
        <w:rPr>
          <w:rFonts w:ascii="Arial" w:eastAsia="Calibri" w:hAnsi="Arial"/>
          <w:color w:val="auto"/>
          <w:szCs w:val="22"/>
        </w:rPr>
        <w:t>.  Applicants may wish to access the Toolkit before submitting an application.</w:t>
      </w:r>
    </w:p>
    <w:sectPr w:rsidR="00947688" w:rsidSect="00D247D2">
      <w:footerReference w:type="default" r:id="rId29"/>
      <w:pgSz w:w="11906" w:h="16838" w:code="9"/>
      <w:pgMar w:top="1440" w:right="1134" w:bottom="1247" w:left="1134" w:header="113" w:footer="794"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C74CE" w14:textId="77777777" w:rsidR="00C044FC" w:rsidRDefault="00C044FC" w:rsidP="00772718">
      <w:pPr>
        <w:spacing w:line="240" w:lineRule="auto"/>
      </w:pPr>
      <w:r>
        <w:separator/>
      </w:r>
    </w:p>
  </w:endnote>
  <w:endnote w:type="continuationSeparator" w:id="0">
    <w:p w14:paraId="25E2DB73" w14:textId="77777777" w:rsidR="00C044FC" w:rsidRDefault="00C044F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88C2B" w14:textId="17F17830" w:rsidR="00C044FC" w:rsidRDefault="00C044FC">
    <w:pPr>
      <w:pStyle w:val="Footer"/>
    </w:pPr>
    <w:r>
      <w:fldChar w:fldCharType="begin"/>
    </w:r>
    <w:r>
      <w:instrText xml:space="preserve"> PAGE   \* MERGEFORMAT </w:instrText>
    </w:r>
    <w:r>
      <w:fldChar w:fldCharType="separate"/>
    </w:r>
    <w:r w:rsidR="00A53BAC">
      <w:rPr>
        <w:noProof/>
      </w:rPr>
      <w:t>10</w:t>
    </w:r>
    <w:r>
      <w:fldChar w:fldCharType="end"/>
    </w:r>
    <w:r>
      <w:t xml:space="preserve">  </w:t>
    </w:r>
    <w:r w:rsidRPr="00A454BF">
      <w:t>| Community Grants Hub</w:t>
    </w:r>
    <w:r>
      <w:t xml:space="preserve"> – Funding Round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C4DCE" w14:textId="77777777" w:rsidR="00C044FC" w:rsidRDefault="00C044FC" w:rsidP="00772718">
      <w:pPr>
        <w:spacing w:line="240" w:lineRule="auto"/>
      </w:pPr>
      <w:r>
        <w:separator/>
      </w:r>
    </w:p>
  </w:footnote>
  <w:footnote w:type="continuationSeparator" w:id="0">
    <w:p w14:paraId="4CECDCBD" w14:textId="77777777" w:rsidR="00C044FC" w:rsidRDefault="00C044FC" w:rsidP="00772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055F65"/>
    <w:multiLevelType w:val="hybridMultilevel"/>
    <w:tmpl w:val="02C4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FD168E"/>
    <w:multiLevelType w:val="hybridMultilevel"/>
    <w:tmpl w:val="30AEF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57A2061"/>
    <w:multiLevelType w:val="hybridMultilevel"/>
    <w:tmpl w:val="95660FB2"/>
    <w:lvl w:ilvl="0" w:tplc="7CC409E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FBF282E"/>
    <w:multiLevelType w:val="hybridMultilevel"/>
    <w:tmpl w:val="5E5665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31431B6B"/>
    <w:multiLevelType w:val="hybridMultilevel"/>
    <w:tmpl w:val="1518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0">
    <w:nsid w:val="34E564B6"/>
    <w:multiLevelType w:val="hybridMultilevel"/>
    <w:tmpl w:val="F1C6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nsid w:val="3E8D5BA0"/>
    <w:multiLevelType w:val="hybridMultilevel"/>
    <w:tmpl w:val="D976243E"/>
    <w:lvl w:ilvl="0" w:tplc="626888A6">
      <w:start w:val="1"/>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4261399E"/>
    <w:multiLevelType w:val="hybridMultilevel"/>
    <w:tmpl w:val="5F5CA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39620C4"/>
    <w:multiLevelType w:val="hybridMultilevel"/>
    <w:tmpl w:val="5246A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CA6985"/>
    <w:multiLevelType w:val="hybridMultilevel"/>
    <w:tmpl w:val="223CD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6803B42"/>
    <w:multiLevelType w:val="hybridMultilevel"/>
    <w:tmpl w:val="8828FF48"/>
    <w:lvl w:ilvl="0" w:tplc="6C64BB5E">
      <w:start w:val="1"/>
      <w:numFmt w:val="decimal"/>
      <w:lvlText w:val="%1."/>
      <w:lvlJc w:val="left"/>
      <w:pPr>
        <w:ind w:left="720" w:hanging="360"/>
      </w:pPr>
      <w:rPr>
        <w:rFonts w:ascii="Arial" w:eastAsiaTheme="minorHAnsi" w:hAnsi="Arial"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E22A97"/>
    <w:multiLevelType w:val="hybridMultilevel"/>
    <w:tmpl w:val="42065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D652CC"/>
    <w:multiLevelType w:val="hybridMultilevel"/>
    <w:tmpl w:val="E14A8A24"/>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AA17444"/>
    <w:multiLevelType w:val="hybridMultilevel"/>
    <w:tmpl w:val="B92E9EE6"/>
    <w:lvl w:ilvl="0" w:tplc="F52055B0">
      <w:start w:val="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1"/>
  </w:num>
  <w:num w:numId="3">
    <w:abstractNumId w:val="7"/>
  </w:num>
  <w:num w:numId="4">
    <w:abstractNumId w:val="13"/>
  </w:num>
  <w:num w:numId="5">
    <w:abstractNumId w:val="11"/>
  </w:num>
  <w:num w:numId="6">
    <w:abstractNumId w:val="1"/>
  </w:num>
  <w:num w:numId="7">
    <w:abstractNumId w:val="22"/>
  </w:num>
  <w:num w:numId="8">
    <w:abstractNumId w:val="22"/>
    <w:lvlOverride w:ilvl="0">
      <w:startOverride w:val="1"/>
    </w:lvlOverride>
  </w:num>
  <w:num w:numId="9">
    <w:abstractNumId w:val="10"/>
  </w:num>
  <w:num w:numId="10">
    <w:abstractNumId w:val="17"/>
  </w:num>
  <w:num w:numId="11">
    <w:abstractNumId w:val="14"/>
  </w:num>
  <w:num w:numId="12">
    <w:abstractNumId w:val="2"/>
  </w:num>
  <w:num w:numId="13">
    <w:abstractNumId w:val="15"/>
  </w:num>
  <w:num w:numId="14">
    <w:abstractNumId w:val="18"/>
  </w:num>
  <w:num w:numId="15">
    <w:abstractNumId w:val="8"/>
  </w:num>
  <w:num w:numId="16">
    <w:abstractNumId w:val="5"/>
  </w:num>
  <w:num w:numId="17">
    <w:abstractNumId w:val="4"/>
  </w:num>
  <w:num w:numId="18">
    <w:abstractNumId w:val="16"/>
  </w:num>
  <w:num w:numId="19">
    <w:abstractNumId w:val="9"/>
  </w:num>
  <w:num w:numId="20">
    <w:abstractNumId w:val="3"/>
  </w:num>
  <w:num w:numId="21">
    <w:abstractNumId w:val="20"/>
  </w:num>
  <w:num w:numId="22">
    <w:abstractNumId w:val="19"/>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D"/>
    <w:rsid w:val="00000555"/>
    <w:rsid w:val="00000A51"/>
    <w:rsid w:val="00002DBC"/>
    <w:rsid w:val="00004921"/>
    <w:rsid w:val="00004A79"/>
    <w:rsid w:val="00007DE9"/>
    <w:rsid w:val="00015AE4"/>
    <w:rsid w:val="0002085E"/>
    <w:rsid w:val="000247F0"/>
    <w:rsid w:val="0003018E"/>
    <w:rsid w:val="00030577"/>
    <w:rsid w:val="00033BC3"/>
    <w:rsid w:val="00036574"/>
    <w:rsid w:val="0004113F"/>
    <w:rsid w:val="000446F5"/>
    <w:rsid w:val="00044E09"/>
    <w:rsid w:val="0004784D"/>
    <w:rsid w:val="00051097"/>
    <w:rsid w:val="00051934"/>
    <w:rsid w:val="00053A00"/>
    <w:rsid w:val="00061888"/>
    <w:rsid w:val="00062226"/>
    <w:rsid w:val="000709A8"/>
    <w:rsid w:val="000A1D86"/>
    <w:rsid w:val="000A316C"/>
    <w:rsid w:val="000B1312"/>
    <w:rsid w:val="000B6C00"/>
    <w:rsid w:val="000C1F06"/>
    <w:rsid w:val="000C510E"/>
    <w:rsid w:val="000D066B"/>
    <w:rsid w:val="000D14E4"/>
    <w:rsid w:val="000D3CE7"/>
    <w:rsid w:val="000D5C86"/>
    <w:rsid w:val="000F1DD1"/>
    <w:rsid w:val="000F2043"/>
    <w:rsid w:val="000F28B8"/>
    <w:rsid w:val="000F3766"/>
    <w:rsid w:val="0010196E"/>
    <w:rsid w:val="00106FC4"/>
    <w:rsid w:val="001070EF"/>
    <w:rsid w:val="00111E61"/>
    <w:rsid w:val="00111F0C"/>
    <w:rsid w:val="00116FD0"/>
    <w:rsid w:val="0011735D"/>
    <w:rsid w:val="00123BA4"/>
    <w:rsid w:val="00145E2D"/>
    <w:rsid w:val="0016612C"/>
    <w:rsid w:val="001721BA"/>
    <w:rsid w:val="001763D4"/>
    <w:rsid w:val="00181433"/>
    <w:rsid w:val="001834DD"/>
    <w:rsid w:val="00190CAB"/>
    <w:rsid w:val="001B1500"/>
    <w:rsid w:val="001B58ED"/>
    <w:rsid w:val="001C096E"/>
    <w:rsid w:val="001C53CE"/>
    <w:rsid w:val="001C59FD"/>
    <w:rsid w:val="001C5D96"/>
    <w:rsid w:val="001D341B"/>
    <w:rsid w:val="001D7B4A"/>
    <w:rsid w:val="001E1AD4"/>
    <w:rsid w:val="001E3D2B"/>
    <w:rsid w:val="001E66CE"/>
    <w:rsid w:val="001E6A2A"/>
    <w:rsid w:val="001F01A1"/>
    <w:rsid w:val="001F588B"/>
    <w:rsid w:val="00202CD9"/>
    <w:rsid w:val="00216455"/>
    <w:rsid w:val="002213B1"/>
    <w:rsid w:val="00221DC2"/>
    <w:rsid w:val="00225AFE"/>
    <w:rsid w:val="00244B48"/>
    <w:rsid w:val="0024540C"/>
    <w:rsid w:val="0025133F"/>
    <w:rsid w:val="002573D5"/>
    <w:rsid w:val="00264E26"/>
    <w:rsid w:val="00267B2E"/>
    <w:rsid w:val="00273A8A"/>
    <w:rsid w:val="00280E74"/>
    <w:rsid w:val="0028266D"/>
    <w:rsid w:val="00283D6F"/>
    <w:rsid w:val="00296487"/>
    <w:rsid w:val="00296D50"/>
    <w:rsid w:val="002A41E1"/>
    <w:rsid w:val="002B0C71"/>
    <w:rsid w:val="002B25FC"/>
    <w:rsid w:val="002B6574"/>
    <w:rsid w:val="002C0A64"/>
    <w:rsid w:val="002D3E5C"/>
    <w:rsid w:val="002D4D48"/>
    <w:rsid w:val="002E21D2"/>
    <w:rsid w:val="002E37A3"/>
    <w:rsid w:val="002F7D3C"/>
    <w:rsid w:val="003003B1"/>
    <w:rsid w:val="00305720"/>
    <w:rsid w:val="003079ED"/>
    <w:rsid w:val="00312068"/>
    <w:rsid w:val="003131AB"/>
    <w:rsid w:val="00314BBA"/>
    <w:rsid w:val="00315D19"/>
    <w:rsid w:val="00321034"/>
    <w:rsid w:val="003217BE"/>
    <w:rsid w:val="00337C69"/>
    <w:rsid w:val="00353D28"/>
    <w:rsid w:val="00370A1D"/>
    <w:rsid w:val="00371CEE"/>
    <w:rsid w:val="00374998"/>
    <w:rsid w:val="00377E02"/>
    <w:rsid w:val="003952F1"/>
    <w:rsid w:val="003A5453"/>
    <w:rsid w:val="003B2B83"/>
    <w:rsid w:val="003B5C53"/>
    <w:rsid w:val="003B683D"/>
    <w:rsid w:val="003D0647"/>
    <w:rsid w:val="003D1265"/>
    <w:rsid w:val="003D3B1D"/>
    <w:rsid w:val="003D5DBE"/>
    <w:rsid w:val="003E524B"/>
    <w:rsid w:val="00404841"/>
    <w:rsid w:val="00412059"/>
    <w:rsid w:val="0041326E"/>
    <w:rsid w:val="004157E2"/>
    <w:rsid w:val="00425633"/>
    <w:rsid w:val="00434C11"/>
    <w:rsid w:val="00434F66"/>
    <w:rsid w:val="004365DD"/>
    <w:rsid w:val="00441E79"/>
    <w:rsid w:val="00442BEC"/>
    <w:rsid w:val="00450486"/>
    <w:rsid w:val="004701D7"/>
    <w:rsid w:val="004709E9"/>
    <w:rsid w:val="00481C8B"/>
    <w:rsid w:val="004821B3"/>
    <w:rsid w:val="004822F2"/>
    <w:rsid w:val="00483A58"/>
    <w:rsid w:val="004941B6"/>
    <w:rsid w:val="004A0BE3"/>
    <w:rsid w:val="004C495A"/>
    <w:rsid w:val="004D2A46"/>
    <w:rsid w:val="004D700E"/>
    <w:rsid w:val="004D7F17"/>
    <w:rsid w:val="004E0670"/>
    <w:rsid w:val="004E50D2"/>
    <w:rsid w:val="004E5B7D"/>
    <w:rsid w:val="004E7F37"/>
    <w:rsid w:val="004F31BA"/>
    <w:rsid w:val="00501882"/>
    <w:rsid w:val="00505725"/>
    <w:rsid w:val="0050678E"/>
    <w:rsid w:val="0050712A"/>
    <w:rsid w:val="0051299F"/>
    <w:rsid w:val="005132FE"/>
    <w:rsid w:val="00515009"/>
    <w:rsid w:val="005176A3"/>
    <w:rsid w:val="00526B85"/>
    <w:rsid w:val="005306A1"/>
    <w:rsid w:val="00537A9B"/>
    <w:rsid w:val="005769DB"/>
    <w:rsid w:val="0059000C"/>
    <w:rsid w:val="00592BF6"/>
    <w:rsid w:val="00595F5F"/>
    <w:rsid w:val="005A02A1"/>
    <w:rsid w:val="005A182A"/>
    <w:rsid w:val="005C41FD"/>
    <w:rsid w:val="005D77CF"/>
    <w:rsid w:val="005D7A24"/>
    <w:rsid w:val="005E130B"/>
    <w:rsid w:val="005F0AFC"/>
    <w:rsid w:val="005F0B24"/>
    <w:rsid w:val="005F2914"/>
    <w:rsid w:val="00616EBA"/>
    <w:rsid w:val="00632C08"/>
    <w:rsid w:val="006443FB"/>
    <w:rsid w:val="00644ACF"/>
    <w:rsid w:val="00654C42"/>
    <w:rsid w:val="00655BEE"/>
    <w:rsid w:val="00666A88"/>
    <w:rsid w:val="0067074A"/>
    <w:rsid w:val="00672994"/>
    <w:rsid w:val="00685D4F"/>
    <w:rsid w:val="00687CB6"/>
    <w:rsid w:val="00692A3F"/>
    <w:rsid w:val="006C0774"/>
    <w:rsid w:val="006C15C5"/>
    <w:rsid w:val="006D0079"/>
    <w:rsid w:val="006D05A6"/>
    <w:rsid w:val="006D730D"/>
    <w:rsid w:val="00700FDD"/>
    <w:rsid w:val="00704869"/>
    <w:rsid w:val="0071253B"/>
    <w:rsid w:val="00716BDB"/>
    <w:rsid w:val="00721263"/>
    <w:rsid w:val="00733726"/>
    <w:rsid w:val="00736A76"/>
    <w:rsid w:val="0074049A"/>
    <w:rsid w:val="00746D93"/>
    <w:rsid w:val="0075187D"/>
    <w:rsid w:val="00752C6B"/>
    <w:rsid w:val="00760CE6"/>
    <w:rsid w:val="007719C9"/>
    <w:rsid w:val="00772718"/>
    <w:rsid w:val="00776167"/>
    <w:rsid w:val="00780F1A"/>
    <w:rsid w:val="007A0AE7"/>
    <w:rsid w:val="007A3386"/>
    <w:rsid w:val="007A7B92"/>
    <w:rsid w:val="007B6EFC"/>
    <w:rsid w:val="007B7BDE"/>
    <w:rsid w:val="007C1E69"/>
    <w:rsid w:val="007D30A8"/>
    <w:rsid w:val="007E2D04"/>
    <w:rsid w:val="007E612B"/>
    <w:rsid w:val="007F0E60"/>
    <w:rsid w:val="00806C31"/>
    <w:rsid w:val="0081270C"/>
    <w:rsid w:val="00813CB8"/>
    <w:rsid w:val="00814FB1"/>
    <w:rsid w:val="00820F20"/>
    <w:rsid w:val="0082528A"/>
    <w:rsid w:val="0082569F"/>
    <w:rsid w:val="00825754"/>
    <w:rsid w:val="008309C8"/>
    <w:rsid w:val="00835210"/>
    <w:rsid w:val="00836549"/>
    <w:rsid w:val="00844C2D"/>
    <w:rsid w:val="00847238"/>
    <w:rsid w:val="00853D4E"/>
    <w:rsid w:val="00854BA2"/>
    <w:rsid w:val="00866256"/>
    <w:rsid w:val="0087438E"/>
    <w:rsid w:val="00877607"/>
    <w:rsid w:val="00884668"/>
    <w:rsid w:val="008B1C9D"/>
    <w:rsid w:val="008B2B46"/>
    <w:rsid w:val="008D0C95"/>
    <w:rsid w:val="008D16E3"/>
    <w:rsid w:val="008D3D01"/>
    <w:rsid w:val="008E1ABC"/>
    <w:rsid w:val="008F713C"/>
    <w:rsid w:val="0090081F"/>
    <w:rsid w:val="00900F45"/>
    <w:rsid w:val="00921840"/>
    <w:rsid w:val="00925981"/>
    <w:rsid w:val="00926847"/>
    <w:rsid w:val="009331B4"/>
    <w:rsid w:val="009336FF"/>
    <w:rsid w:val="009345F1"/>
    <w:rsid w:val="00944BBB"/>
    <w:rsid w:val="00947688"/>
    <w:rsid w:val="009547B6"/>
    <w:rsid w:val="00961072"/>
    <w:rsid w:val="0096241C"/>
    <w:rsid w:val="00974D78"/>
    <w:rsid w:val="00977E07"/>
    <w:rsid w:val="009807A0"/>
    <w:rsid w:val="00980E6C"/>
    <w:rsid w:val="009845B6"/>
    <w:rsid w:val="009A4262"/>
    <w:rsid w:val="009B46E2"/>
    <w:rsid w:val="009B589B"/>
    <w:rsid w:val="009C4AD8"/>
    <w:rsid w:val="009C7CD5"/>
    <w:rsid w:val="009D2564"/>
    <w:rsid w:val="009E6FB5"/>
    <w:rsid w:val="009E750F"/>
    <w:rsid w:val="009F10EE"/>
    <w:rsid w:val="00A01EF8"/>
    <w:rsid w:val="00A04D96"/>
    <w:rsid w:val="00A0629B"/>
    <w:rsid w:val="00A07F79"/>
    <w:rsid w:val="00A14495"/>
    <w:rsid w:val="00A16BE1"/>
    <w:rsid w:val="00A16D28"/>
    <w:rsid w:val="00A454BF"/>
    <w:rsid w:val="00A457F8"/>
    <w:rsid w:val="00A52E3A"/>
    <w:rsid w:val="00A53BAC"/>
    <w:rsid w:val="00A61393"/>
    <w:rsid w:val="00A64EDC"/>
    <w:rsid w:val="00A71730"/>
    <w:rsid w:val="00A75087"/>
    <w:rsid w:val="00A814CB"/>
    <w:rsid w:val="00A90D1B"/>
    <w:rsid w:val="00A91D81"/>
    <w:rsid w:val="00AA51A3"/>
    <w:rsid w:val="00AF0A31"/>
    <w:rsid w:val="00AF2BF9"/>
    <w:rsid w:val="00AF55F8"/>
    <w:rsid w:val="00B05472"/>
    <w:rsid w:val="00B10ABA"/>
    <w:rsid w:val="00B12BB6"/>
    <w:rsid w:val="00B1515F"/>
    <w:rsid w:val="00B3336C"/>
    <w:rsid w:val="00B420D4"/>
    <w:rsid w:val="00B55161"/>
    <w:rsid w:val="00B566D9"/>
    <w:rsid w:val="00B57910"/>
    <w:rsid w:val="00B6156D"/>
    <w:rsid w:val="00B74DC2"/>
    <w:rsid w:val="00B82D73"/>
    <w:rsid w:val="00BA3663"/>
    <w:rsid w:val="00BB1390"/>
    <w:rsid w:val="00BB6276"/>
    <w:rsid w:val="00BC0879"/>
    <w:rsid w:val="00BC093A"/>
    <w:rsid w:val="00BC4ACC"/>
    <w:rsid w:val="00BC4FCC"/>
    <w:rsid w:val="00BC67FD"/>
    <w:rsid w:val="00BC7BE3"/>
    <w:rsid w:val="00BD02F8"/>
    <w:rsid w:val="00BD1734"/>
    <w:rsid w:val="00C03C54"/>
    <w:rsid w:val="00C044FC"/>
    <w:rsid w:val="00C217A8"/>
    <w:rsid w:val="00C218D7"/>
    <w:rsid w:val="00C31641"/>
    <w:rsid w:val="00C4188F"/>
    <w:rsid w:val="00C4359E"/>
    <w:rsid w:val="00C620C2"/>
    <w:rsid w:val="00C63785"/>
    <w:rsid w:val="00C64794"/>
    <w:rsid w:val="00C743D9"/>
    <w:rsid w:val="00C74DD7"/>
    <w:rsid w:val="00C819A4"/>
    <w:rsid w:val="00C84EA8"/>
    <w:rsid w:val="00C92998"/>
    <w:rsid w:val="00C97460"/>
    <w:rsid w:val="00CA720A"/>
    <w:rsid w:val="00CD5925"/>
    <w:rsid w:val="00CE0745"/>
    <w:rsid w:val="00CE557A"/>
    <w:rsid w:val="00CF3BD7"/>
    <w:rsid w:val="00CF53CD"/>
    <w:rsid w:val="00D031B2"/>
    <w:rsid w:val="00D11A06"/>
    <w:rsid w:val="00D1410C"/>
    <w:rsid w:val="00D14420"/>
    <w:rsid w:val="00D2020E"/>
    <w:rsid w:val="00D22DD4"/>
    <w:rsid w:val="00D23252"/>
    <w:rsid w:val="00D247D2"/>
    <w:rsid w:val="00D30943"/>
    <w:rsid w:val="00D37FE6"/>
    <w:rsid w:val="00D40D16"/>
    <w:rsid w:val="00D42790"/>
    <w:rsid w:val="00D45CB1"/>
    <w:rsid w:val="00D5263F"/>
    <w:rsid w:val="00D548F0"/>
    <w:rsid w:val="00D57F79"/>
    <w:rsid w:val="00D64FAC"/>
    <w:rsid w:val="00D65704"/>
    <w:rsid w:val="00D668F6"/>
    <w:rsid w:val="00D84875"/>
    <w:rsid w:val="00D904F0"/>
    <w:rsid w:val="00D91378"/>
    <w:rsid w:val="00D91B18"/>
    <w:rsid w:val="00DB4AAD"/>
    <w:rsid w:val="00DC0747"/>
    <w:rsid w:val="00DC2647"/>
    <w:rsid w:val="00DC5DB5"/>
    <w:rsid w:val="00DD1408"/>
    <w:rsid w:val="00DD356D"/>
    <w:rsid w:val="00DD6735"/>
    <w:rsid w:val="00DF136A"/>
    <w:rsid w:val="00DF1849"/>
    <w:rsid w:val="00E0448C"/>
    <w:rsid w:val="00E04BF2"/>
    <w:rsid w:val="00E13525"/>
    <w:rsid w:val="00E155CD"/>
    <w:rsid w:val="00E4394C"/>
    <w:rsid w:val="00E47250"/>
    <w:rsid w:val="00E5271C"/>
    <w:rsid w:val="00E61535"/>
    <w:rsid w:val="00E65FA4"/>
    <w:rsid w:val="00E725CB"/>
    <w:rsid w:val="00E75A4C"/>
    <w:rsid w:val="00E84012"/>
    <w:rsid w:val="00E9373C"/>
    <w:rsid w:val="00E94D18"/>
    <w:rsid w:val="00E95BFD"/>
    <w:rsid w:val="00EA0724"/>
    <w:rsid w:val="00EA0EB0"/>
    <w:rsid w:val="00EA6251"/>
    <w:rsid w:val="00EB12C9"/>
    <w:rsid w:val="00EB37AE"/>
    <w:rsid w:val="00EB37F4"/>
    <w:rsid w:val="00EB6414"/>
    <w:rsid w:val="00EC1517"/>
    <w:rsid w:val="00EE5747"/>
    <w:rsid w:val="00EF03FA"/>
    <w:rsid w:val="00EF3804"/>
    <w:rsid w:val="00EF5E05"/>
    <w:rsid w:val="00F10C36"/>
    <w:rsid w:val="00F227AF"/>
    <w:rsid w:val="00F253A9"/>
    <w:rsid w:val="00F27121"/>
    <w:rsid w:val="00F27370"/>
    <w:rsid w:val="00F27D70"/>
    <w:rsid w:val="00F31CB4"/>
    <w:rsid w:val="00F5341C"/>
    <w:rsid w:val="00F54EAD"/>
    <w:rsid w:val="00F56954"/>
    <w:rsid w:val="00F7024B"/>
    <w:rsid w:val="00F91DA0"/>
    <w:rsid w:val="00F948AF"/>
    <w:rsid w:val="00F95451"/>
    <w:rsid w:val="00FA39DD"/>
    <w:rsid w:val="00FA5A7B"/>
    <w:rsid w:val="00FB11B1"/>
    <w:rsid w:val="00FB3328"/>
    <w:rsid w:val="00FB5759"/>
    <w:rsid w:val="00FC2BF3"/>
    <w:rsid w:val="00FC59E6"/>
    <w:rsid w:val="00FD1789"/>
    <w:rsid w:val="00FD1ED2"/>
    <w:rsid w:val="00FD78EA"/>
    <w:rsid w:val="00FE00E8"/>
    <w:rsid w:val="00FF26F4"/>
    <w:rsid w:val="00FF28B4"/>
    <w:rsid w:val="00FF6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C75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PlainText">
    <w:name w:val="Plain Text"/>
    <w:basedOn w:val="Normal"/>
    <w:link w:val="PlainTextChar"/>
    <w:uiPriority w:val="99"/>
    <w:unhideWhenUsed/>
    <w:rsid w:val="00A71730"/>
    <w:pPr>
      <w:spacing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rsid w:val="00A71730"/>
    <w:rPr>
      <w:rFonts w:ascii="Calibri" w:hAnsi="Calibri" w:cstheme="minorBidi"/>
      <w:sz w:val="22"/>
      <w:szCs w:val="21"/>
    </w:rPr>
  </w:style>
  <w:style w:type="paragraph" w:styleId="CommentSubject">
    <w:name w:val="annotation subject"/>
    <w:basedOn w:val="CommentText"/>
    <w:next w:val="CommentText"/>
    <w:link w:val="CommentSubjectChar"/>
    <w:uiPriority w:val="99"/>
    <w:semiHidden/>
    <w:unhideWhenUsed/>
    <w:rsid w:val="00A71730"/>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A71730"/>
    <w:rPr>
      <w:rFonts w:asciiTheme="minorHAnsi" w:hAnsiTheme="minorHAnsi" w:cstheme="minorBidi"/>
      <w:b/>
      <w:bCs/>
      <w:color w:val="000000" w:themeColor="text1"/>
    </w:rPr>
  </w:style>
  <w:style w:type="paragraph" w:styleId="Revision">
    <w:name w:val="Revision"/>
    <w:hidden/>
    <w:uiPriority w:val="99"/>
    <w:semiHidden/>
    <w:rsid w:val="00D11A06"/>
    <w:rPr>
      <w:rFonts w:asciiTheme="minorHAnsi" w:hAnsiTheme="minorHAnsi"/>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36" w:unhideWhenUsed="0" w:qFormat="1"/>
    <w:lsdException w:name="Default Paragraph Font" w:uiPriority="1"/>
    <w:lsdException w:name="Body Text" w:semiHidden="0" w:uiPriority="0" w:qFormat="1"/>
    <w:lsdException w:name="Subtitle" w:uiPriority="37" w:unhideWhenUsed="0" w:qFormat="1"/>
    <w:lsdException w:name="Salutation" w:unhideWhenUsed="0"/>
    <w:lsdException w:name="Date" w:uiPriority="0" w:unhideWhenUsed="0"/>
    <w:lsdException w:name="Body Text First Indent"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TOC Heading" w:uiPriority="0"/>
  </w:latentStyles>
  <w:style w:type="paragraph" w:default="1" w:styleId="Normal">
    <w:name w:val="Normal"/>
    <w:uiPriority w:val="96"/>
    <w:semiHidden/>
    <w:rsid w:val="001C096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005568"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005568"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A33"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A33"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005568"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005568"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005568"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005568"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002A33"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002A33"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style>
  <w:style w:type="character" w:styleId="Strong">
    <w:name w:val="Strong"/>
    <w:basedOn w:val="DefaultParagraphFont"/>
    <w:uiPriority w:val="22"/>
    <w:qFormat/>
    <w:rsid w:val="00030577"/>
    <w:rPr>
      <w:rFonts w:ascii="Arial" w:hAnsi="Arial"/>
      <w:b/>
      <w:bCs/>
      <w:sz w:val="22"/>
    </w:rPr>
  </w:style>
  <w:style w:type="paragraph" w:styleId="ListParagraph">
    <w:name w:val="List Paragraph"/>
    <w:aliases w:val="Bullet point,List Paragraph1,List Paragraph11,Recommendation,#List Paragraph,List Paragraph*"/>
    <w:basedOn w:val="Normal"/>
    <w:link w:val="ListParagraphChar"/>
    <w:uiPriority w:val="34"/>
    <w:qFormat/>
    <w:rsid w:val="00D247D2"/>
    <w:pPr>
      <w:spacing w:after="200" w:line="276" w:lineRule="auto"/>
      <w:ind w:left="720"/>
      <w:contextualSpacing/>
    </w:pPr>
    <w:rPr>
      <w:rFonts w:ascii="Arial" w:hAnsi="Arial" w:cstheme="minorBidi"/>
      <w:color w:val="auto"/>
      <w:szCs w:val="22"/>
    </w:rPr>
  </w:style>
  <w:style w:type="character" w:styleId="BookTitle">
    <w:name w:val="Book Title"/>
    <w:uiPriority w:val="33"/>
    <w:qFormat/>
    <w:rsid w:val="00D247D2"/>
    <w:rPr>
      <w:i/>
      <w:iCs/>
      <w:smallCaps/>
      <w:spacing w:val="5"/>
    </w:rPr>
  </w:style>
  <w:style w:type="paragraph" w:customStyle="1" w:styleId="ListParaabc">
    <w:name w:val="List Para abc"/>
    <w:basedOn w:val="ListParagraph"/>
    <w:qFormat/>
    <w:rsid w:val="00D247D2"/>
    <w:pPr>
      <w:numPr>
        <w:numId w:val="7"/>
      </w:numPr>
      <w:tabs>
        <w:tab w:val="num" w:pos="360"/>
      </w:tabs>
      <w:spacing w:before="120" w:after="0" w:line="240" w:lineRule="auto"/>
      <w:ind w:left="680" w:firstLine="0"/>
    </w:pPr>
    <w:rPr>
      <w:rFonts w:cs="Arial"/>
      <w:iCs/>
    </w:rPr>
  </w:style>
  <w:style w:type="character" w:styleId="CommentReference">
    <w:name w:val="annotation reference"/>
    <w:basedOn w:val="DefaultParagraphFont"/>
    <w:uiPriority w:val="99"/>
    <w:semiHidden/>
    <w:unhideWhenUsed/>
    <w:rsid w:val="00D247D2"/>
    <w:rPr>
      <w:sz w:val="16"/>
      <w:szCs w:val="16"/>
    </w:rPr>
  </w:style>
  <w:style w:type="paragraph" w:styleId="CommentText">
    <w:name w:val="annotation text"/>
    <w:basedOn w:val="Normal"/>
    <w:link w:val="CommentTextChar"/>
    <w:uiPriority w:val="99"/>
    <w:unhideWhenUsed/>
    <w:rsid w:val="00D247D2"/>
    <w:pPr>
      <w:spacing w:after="200" w:line="240" w:lineRule="auto"/>
    </w:pPr>
    <w:rPr>
      <w:rFonts w:ascii="Arial" w:hAnsi="Arial" w:cstheme="minorBidi"/>
      <w:color w:val="auto"/>
      <w:sz w:val="20"/>
    </w:rPr>
  </w:style>
  <w:style w:type="character" w:customStyle="1" w:styleId="CommentTextChar">
    <w:name w:val="Comment Text Char"/>
    <w:basedOn w:val="DefaultParagraphFont"/>
    <w:link w:val="CommentText"/>
    <w:uiPriority w:val="99"/>
    <w:rsid w:val="00D247D2"/>
    <w:rPr>
      <w:rFonts w:ascii="Arial" w:hAnsi="Arial" w:cstheme="minorBidi"/>
    </w:rPr>
  </w:style>
  <w:style w:type="character" w:customStyle="1" w:styleId="ListParagraphChar">
    <w:name w:val="List Paragraph Char"/>
    <w:aliases w:val="Bullet point Char,List Paragraph1 Char,List Paragraph11 Char,Recommendation Char,#List Paragraph Char,List Paragraph* Char"/>
    <w:basedOn w:val="DefaultParagraphFont"/>
    <w:link w:val="ListParagraph"/>
    <w:uiPriority w:val="34"/>
    <w:rsid w:val="00D247D2"/>
    <w:rPr>
      <w:rFonts w:ascii="Arial" w:hAnsi="Arial" w:cstheme="minorBidi"/>
      <w:sz w:val="22"/>
      <w:szCs w:val="22"/>
    </w:rPr>
  </w:style>
  <w:style w:type="character" w:styleId="FollowedHyperlink">
    <w:name w:val="FollowedHyperlink"/>
    <w:basedOn w:val="DefaultParagraphFont"/>
    <w:uiPriority w:val="99"/>
    <w:semiHidden/>
    <w:unhideWhenUsed/>
    <w:rsid w:val="000247F0"/>
    <w:rPr>
      <w:color w:val="800080" w:themeColor="followedHyperlink"/>
      <w:u w:val="single"/>
    </w:rPr>
  </w:style>
  <w:style w:type="paragraph" w:styleId="PlainText">
    <w:name w:val="Plain Text"/>
    <w:basedOn w:val="Normal"/>
    <w:link w:val="PlainTextChar"/>
    <w:uiPriority w:val="99"/>
    <w:unhideWhenUsed/>
    <w:rsid w:val="00A71730"/>
    <w:pPr>
      <w:spacing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rsid w:val="00A71730"/>
    <w:rPr>
      <w:rFonts w:ascii="Calibri" w:hAnsi="Calibri" w:cstheme="minorBidi"/>
      <w:sz w:val="22"/>
      <w:szCs w:val="21"/>
    </w:rPr>
  </w:style>
  <w:style w:type="paragraph" w:styleId="CommentSubject">
    <w:name w:val="annotation subject"/>
    <w:basedOn w:val="CommentText"/>
    <w:next w:val="CommentText"/>
    <w:link w:val="CommentSubjectChar"/>
    <w:uiPriority w:val="99"/>
    <w:semiHidden/>
    <w:unhideWhenUsed/>
    <w:rsid w:val="00A71730"/>
    <w:pPr>
      <w:spacing w:after="0"/>
    </w:pPr>
    <w:rPr>
      <w:rFonts w:asciiTheme="minorHAnsi" w:hAnsiTheme="minorHAnsi" w:cs="Times New Roman"/>
      <w:b/>
      <w:bCs/>
      <w:color w:val="000000" w:themeColor="text1"/>
    </w:rPr>
  </w:style>
  <w:style w:type="character" w:customStyle="1" w:styleId="CommentSubjectChar">
    <w:name w:val="Comment Subject Char"/>
    <w:basedOn w:val="CommentTextChar"/>
    <w:link w:val="CommentSubject"/>
    <w:uiPriority w:val="99"/>
    <w:semiHidden/>
    <w:rsid w:val="00A71730"/>
    <w:rPr>
      <w:rFonts w:asciiTheme="minorHAnsi" w:hAnsiTheme="minorHAnsi" w:cstheme="minorBidi"/>
      <w:b/>
      <w:bCs/>
      <w:color w:val="000000" w:themeColor="text1"/>
    </w:rPr>
  </w:style>
  <w:style w:type="paragraph" w:styleId="Revision">
    <w:name w:val="Revision"/>
    <w:hidden/>
    <w:uiPriority w:val="99"/>
    <w:semiHidden/>
    <w:rsid w:val="00D11A06"/>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482">
      <w:bodyDiv w:val="1"/>
      <w:marLeft w:val="0"/>
      <w:marRight w:val="0"/>
      <w:marTop w:val="0"/>
      <w:marBottom w:val="0"/>
      <w:divBdr>
        <w:top w:val="none" w:sz="0" w:space="0" w:color="auto"/>
        <w:left w:val="none" w:sz="0" w:space="0" w:color="auto"/>
        <w:bottom w:val="none" w:sz="0" w:space="0" w:color="auto"/>
        <w:right w:val="none" w:sz="0" w:space="0" w:color="auto"/>
      </w:divBdr>
    </w:div>
    <w:div w:id="667638753">
      <w:bodyDiv w:val="1"/>
      <w:marLeft w:val="0"/>
      <w:marRight w:val="0"/>
      <w:marTop w:val="0"/>
      <w:marBottom w:val="0"/>
      <w:divBdr>
        <w:top w:val="none" w:sz="0" w:space="0" w:color="auto"/>
        <w:left w:val="none" w:sz="0" w:space="0" w:color="auto"/>
        <w:bottom w:val="none" w:sz="0" w:space="0" w:color="auto"/>
        <w:right w:val="none" w:sz="0" w:space="0" w:color="auto"/>
      </w:divBdr>
    </w:div>
    <w:div w:id="13781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dis.gov.au/communities/ilc-home.html" TargetMode="External"/><Relationship Id="rId18" Type="http://schemas.openxmlformats.org/officeDocument/2006/relationships/hyperlink" Target="https://www.ndis.gov.au/communities/ilc-home.html" TargetMode="External"/><Relationship Id="rId26" Type="http://schemas.openxmlformats.org/officeDocument/2006/relationships/hyperlink" Target="https://www.ndis.gov.au/communities/ilc-home.html" TargetMode="External"/><Relationship Id="rId3" Type="http://schemas.openxmlformats.org/officeDocument/2006/relationships/numbering" Target="numbering.xml"/><Relationship Id="rId21" Type="http://schemas.openxmlformats.org/officeDocument/2006/relationships/hyperlink" Target="https://www.ndis.gov.au/communities/ilc-home.html" TargetMode="External"/><Relationship Id="rId7" Type="http://schemas.openxmlformats.org/officeDocument/2006/relationships/webSettings" Target="webSettings.xml"/><Relationship Id="rId12" Type="http://schemas.openxmlformats.org/officeDocument/2006/relationships/hyperlink" Target="https://www.ndis.gov.au/communities/ilc-home.html" TargetMode="External"/><Relationship Id="rId17" Type="http://schemas.openxmlformats.org/officeDocument/2006/relationships/hyperlink" Target="mailto:support@communitygrants.gov.au" TargetMode="External"/><Relationship Id="rId25" Type="http://schemas.openxmlformats.org/officeDocument/2006/relationships/hyperlink" Target="https://www.ndis.gov.au/communities/ilc-home.html" TargetMode="Externa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yperlink" Target="https://www.ndis.gov.au/communities/ilc-home.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is.gov.au/communities/ilc-home.html" TargetMode="External"/><Relationship Id="rId24" Type="http://schemas.openxmlformats.org/officeDocument/2006/relationships/hyperlink" Target="https://www.ndis.gov.au/communities/ilc-home.html" TargetMode="External"/><Relationship Id="rId5" Type="http://schemas.microsoft.com/office/2007/relationships/stylesWithEffects" Target="stylesWithEffects.xml"/><Relationship Id="rId15" Type="http://schemas.openxmlformats.org/officeDocument/2006/relationships/hyperlink" Target="http://stage.communitygrants.gov.au/grants" TargetMode="External"/><Relationship Id="rId23" Type="http://schemas.openxmlformats.org/officeDocument/2006/relationships/hyperlink" Target="https://www.communitygrants.gov.au/grants" TargetMode="External"/><Relationship Id="rId28" Type="http://schemas.openxmlformats.org/officeDocument/2006/relationships/hyperlink" Target="https://ilctoolkit.ndis.gov.au/" TargetMode="External"/><Relationship Id="rId10" Type="http://schemas.openxmlformats.org/officeDocument/2006/relationships/image" Target="media/image1.jpg"/><Relationship Id="rId19" Type="http://schemas.openxmlformats.org/officeDocument/2006/relationships/hyperlink" Target="https://www.ndis.gov.au/communities/ilc-home.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ommunitygrants.gov.au/grants" TargetMode="External"/><Relationship Id="rId22" Type="http://schemas.openxmlformats.org/officeDocument/2006/relationships/hyperlink" Target="https://www.communitygrants.gov.au/grants" TargetMode="External"/><Relationship Id="rId27" Type="http://schemas.openxmlformats.org/officeDocument/2006/relationships/hyperlink" Target="https://www.communitygrants.gov.au/gra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25B144-5BD1-4389-BD2A-A0371C8A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3470</Words>
  <Characters>19880</Characters>
  <Application>Microsoft Office Word</Application>
  <DocSecurity>4</DocSecurity>
  <Lines>358</Lines>
  <Paragraphs>177</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WAKLEY, Alicia</cp:lastModifiedBy>
  <cp:revision>2</cp:revision>
  <cp:lastPrinted>2017-01-16T21:41:00Z</cp:lastPrinted>
  <dcterms:created xsi:type="dcterms:W3CDTF">2017-03-03T04:23:00Z</dcterms:created>
  <dcterms:modified xsi:type="dcterms:W3CDTF">2017-03-03T04:23:00Z</dcterms:modified>
</cp:coreProperties>
</file>