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79" w:rsidRPr="00496141" w:rsidRDefault="00913179" w:rsidP="00913179">
      <w:pPr>
        <w:pBdr>
          <w:bottom w:val="single" w:sz="4" w:space="1" w:color="auto"/>
        </w:pBdr>
        <w:spacing w:line="240" w:lineRule="auto"/>
        <w:contextualSpacing/>
        <w:jc w:val="center"/>
        <w:rPr>
          <w:rFonts w:ascii="Georgia" w:eastAsia="Times New Roman" w:hAnsi="Georgia" w:cs="Arial"/>
          <w:b/>
          <w:color w:val="auto"/>
          <w:spacing w:val="5"/>
          <w:sz w:val="36"/>
          <w:szCs w:val="36"/>
        </w:rPr>
      </w:pPr>
      <w:r w:rsidRPr="00913179">
        <w:rPr>
          <w:rFonts w:ascii="Georgia" w:eastAsia="Times New Roman" w:hAnsi="Georgia" w:cs="Arial"/>
          <w:b/>
          <w:color w:val="auto"/>
          <w:spacing w:val="5"/>
          <w:sz w:val="36"/>
          <w:szCs w:val="36"/>
        </w:rPr>
        <w:t>Questions and Answers</w:t>
      </w:r>
    </w:p>
    <w:p w:rsidR="00913179" w:rsidRPr="00913179" w:rsidRDefault="001B2D79" w:rsidP="00913179">
      <w:pPr>
        <w:pBdr>
          <w:bottom w:val="single" w:sz="4" w:space="1" w:color="auto"/>
        </w:pBdr>
        <w:spacing w:line="240" w:lineRule="auto"/>
        <w:contextualSpacing/>
        <w:jc w:val="center"/>
        <w:rPr>
          <w:rFonts w:ascii="Georgia" w:eastAsia="Times New Roman" w:hAnsi="Georgia" w:cs="Arial"/>
          <w:b/>
          <w:i/>
          <w:iCs/>
          <w:smallCaps/>
          <w:color w:val="auto"/>
          <w:spacing w:val="5"/>
          <w:sz w:val="36"/>
          <w:szCs w:val="36"/>
        </w:rPr>
      </w:pPr>
      <w:r>
        <w:rPr>
          <w:rFonts w:ascii="Georgia" w:eastAsia="Times New Roman" w:hAnsi="Georgia" w:cs="Arial"/>
          <w:b/>
          <w:color w:val="auto"/>
          <w:spacing w:val="5"/>
          <w:sz w:val="36"/>
          <w:szCs w:val="36"/>
        </w:rPr>
        <w:t>CALD Communities Leading Prevention</w:t>
      </w:r>
    </w:p>
    <w:p w:rsidR="000636C9" w:rsidRPr="003114F8" w:rsidRDefault="000636C9" w:rsidP="00BE2B7C">
      <w:pPr>
        <w:spacing w:before="400"/>
      </w:pPr>
      <w:r w:rsidRPr="003114F8">
        <w:t>The following questions and answers are for this funding round only.  New questions are added to the end of this document as they arise and are numbered chronologically.</w:t>
      </w:r>
    </w:p>
    <w:p w:rsidR="000636C9" w:rsidRDefault="000636C9" w:rsidP="00BE2B7C">
      <w:pPr>
        <w:spacing w:before="120"/>
      </w:pPr>
      <w:r w:rsidRPr="003114F8">
        <w:t xml:space="preserve">Please also read the </w:t>
      </w:r>
      <w:hyperlink r:id="rId10" w:history="1">
        <w:r w:rsidRPr="00E76EBF">
          <w:rPr>
            <w:color w:val="0000FF"/>
            <w:u w:val="single"/>
          </w:rPr>
          <w:t>Frequently Asked Questions page</w:t>
        </w:r>
      </w:hyperlink>
      <w:r w:rsidRPr="003114F8">
        <w:t xml:space="preserve"> on the Community Grants Hub website for general information about applying for grants.</w:t>
      </w:r>
    </w:p>
    <w:p w:rsidR="00F172DD" w:rsidRPr="00660F7F" w:rsidRDefault="00F172DD" w:rsidP="00F2038B">
      <w:pPr>
        <w:pStyle w:val="Heading2"/>
        <w:numPr>
          <w:ilvl w:val="0"/>
          <w:numId w:val="8"/>
        </w:numPr>
        <w:ind w:left="567" w:hanging="567"/>
        <w:rPr>
          <w:rFonts w:eastAsia="Calibri"/>
        </w:rPr>
      </w:pPr>
      <w:r>
        <w:rPr>
          <w:rFonts w:eastAsia="Calibri"/>
        </w:rPr>
        <w:t>What is the closing time and date for applications</w:t>
      </w:r>
      <w:r w:rsidRPr="00660F7F">
        <w:rPr>
          <w:rFonts w:eastAsia="Calibri"/>
        </w:rPr>
        <w:t>?</w:t>
      </w:r>
    </w:p>
    <w:p w:rsidR="00F172DD" w:rsidRPr="00660F7F" w:rsidRDefault="000636C9" w:rsidP="000636C9">
      <w:pPr>
        <w:spacing w:after="120" w:line="240" w:lineRule="auto"/>
        <w:rPr>
          <w:rFonts w:ascii="Arial" w:eastAsia="Calibri" w:hAnsi="Arial" w:cs="Arial"/>
          <w:color w:val="000000"/>
          <w:szCs w:val="22"/>
        </w:rPr>
      </w:pPr>
      <w:r w:rsidRPr="003114F8">
        <w:rPr>
          <w:rFonts w:ascii="Arial" w:eastAsia="Times New Roman" w:hAnsi="Arial" w:cs="Arial"/>
          <w:bCs/>
          <w:color w:val="auto"/>
          <w:szCs w:val="22"/>
          <w:lang w:val="en" w:eastAsia="en-AU"/>
        </w:rPr>
        <w:t xml:space="preserve">The Application Form must be submitted by </w:t>
      </w:r>
      <w:r w:rsidRPr="003114F8">
        <w:rPr>
          <w:rFonts w:ascii="Arial" w:eastAsia="Times New Roman" w:hAnsi="Arial" w:cs="Arial"/>
          <w:b/>
          <w:bCs/>
          <w:color w:val="auto"/>
          <w:szCs w:val="22"/>
          <w:lang w:val="en" w:eastAsia="en-AU"/>
        </w:rPr>
        <w:t xml:space="preserve">2.00pm </w:t>
      </w:r>
      <w:r w:rsidR="00D55FAD">
        <w:rPr>
          <w:rFonts w:ascii="Arial" w:eastAsia="Times New Roman" w:hAnsi="Arial" w:cs="Arial"/>
          <w:b/>
          <w:bCs/>
          <w:color w:val="auto"/>
          <w:szCs w:val="22"/>
          <w:lang w:val="en" w:eastAsia="en-AU"/>
        </w:rPr>
        <w:t>AEST</w:t>
      </w:r>
      <w:r w:rsidRPr="003114F8">
        <w:rPr>
          <w:rFonts w:ascii="Arial" w:eastAsia="Times New Roman" w:hAnsi="Arial" w:cs="Arial"/>
          <w:bCs/>
          <w:color w:val="auto"/>
          <w:szCs w:val="22"/>
          <w:lang w:val="en" w:eastAsia="en-AU"/>
        </w:rPr>
        <w:t xml:space="preserve"> </w:t>
      </w:r>
      <w:r w:rsidRPr="003114F8">
        <w:rPr>
          <w:rFonts w:ascii="Arial" w:eastAsia="Times New Roman" w:hAnsi="Arial" w:cs="Arial"/>
          <w:b/>
          <w:bCs/>
          <w:color w:val="auto"/>
          <w:szCs w:val="22"/>
          <w:lang w:val="en" w:eastAsia="en-AU"/>
        </w:rPr>
        <w:t>on Thursday</w:t>
      </w:r>
      <w:r>
        <w:rPr>
          <w:rFonts w:ascii="Arial" w:eastAsia="Times New Roman" w:hAnsi="Arial" w:cs="Arial"/>
          <w:b/>
          <w:bCs/>
          <w:color w:val="auto"/>
          <w:szCs w:val="22"/>
          <w:lang w:val="en" w:eastAsia="en-AU"/>
        </w:rPr>
        <w:t> </w:t>
      </w:r>
      <w:r w:rsidRPr="003114F8">
        <w:rPr>
          <w:rFonts w:ascii="Arial" w:eastAsia="Times New Roman" w:hAnsi="Arial" w:cs="Arial"/>
          <w:b/>
          <w:bCs/>
          <w:color w:val="auto"/>
          <w:szCs w:val="22"/>
          <w:lang w:val="en" w:eastAsia="en-AU"/>
        </w:rPr>
        <w:t>25 May 2017</w:t>
      </w:r>
      <w:r w:rsidRPr="003114F8">
        <w:rPr>
          <w:rFonts w:ascii="Arial" w:eastAsia="Times New Roman" w:hAnsi="Arial" w:cs="Arial"/>
          <w:bCs/>
          <w:color w:val="auto"/>
          <w:szCs w:val="22"/>
          <w:lang w:val="en" w:eastAsia="en-AU"/>
        </w:rPr>
        <w:t xml:space="preserve">.  It is recommended that you submit your application </w:t>
      </w:r>
      <w:r w:rsidRPr="003114F8">
        <w:rPr>
          <w:rFonts w:ascii="Arial" w:eastAsia="Times New Roman" w:hAnsi="Arial" w:cs="Arial"/>
          <w:b/>
          <w:bCs/>
          <w:color w:val="auto"/>
          <w:szCs w:val="22"/>
          <w:lang w:val="en" w:eastAsia="en-AU"/>
        </w:rPr>
        <w:t>well before the closing time and date</w:t>
      </w:r>
      <w:r w:rsidRPr="003114F8">
        <w:rPr>
          <w:rFonts w:ascii="Arial" w:eastAsia="Times New Roman" w:hAnsi="Arial" w:cs="Arial"/>
          <w:bCs/>
          <w:color w:val="auto"/>
          <w:szCs w:val="22"/>
          <w:lang w:val="en" w:eastAsia="en-AU"/>
        </w:rPr>
        <w:t>.</w:t>
      </w:r>
    </w:p>
    <w:p w:rsidR="00F172DD" w:rsidRPr="00496141" w:rsidRDefault="00F172DD" w:rsidP="00F2038B">
      <w:pPr>
        <w:pStyle w:val="Heading2"/>
        <w:numPr>
          <w:ilvl w:val="0"/>
          <w:numId w:val="8"/>
        </w:numPr>
        <w:ind w:left="567" w:hanging="567"/>
        <w:rPr>
          <w:rFonts w:eastAsia="Calibri"/>
        </w:rPr>
      </w:pPr>
      <w:r w:rsidRPr="00496141">
        <w:rPr>
          <w:rFonts w:eastAsia="Calibri"/>
        </w:rPr>
        <w:t xml:space="preserve">If I am not able to submit my application by the due </w:t>
      </w:r>
      <w:r w:rsidR="001562BB">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rsidR="00F172DD" w:rsidRPr="00496141" w:rsidRDefault="00F172DD" w:rsidP="00BE2B7C">
      <w:pPr>
        <w:pStyle w:val="BodyText"/>
        <w:spacing w:after="0"/>
        <w:rPr>
          <w:color w:val="auto"/>
          <w:lang w:eastAsia="en-AU"/>
        </w:rPr>
      </w:pPr>
      <w:r w:rsidRPr="00496141">
        <w:t>No</w:t>
      </w:r>
      <w:r w:rsidR="00292603">
        <w:rPr>
          <w:color w:val="auto"/>
          <w:lang w:eastAsia="en-AU"/>
        </w:rPr>
        <w:t>, extensions will not be given.</w:t>
      </w:r>
    </w:p>
    <w:p w:rsidR="00F172DD" w:rsidRDefault="00292603" w:rsidP="00F172DD">
      <w:pPr>
        <w:pStyle w:val="BodyText"/>
        <w:rPr>
          <w:color w:val="auto"/>
          <w:lang w:eastAsia="en-AU"/>
        </w:rPr>
      </w:pPr>
      <w:r>
        <w:rPr>
          <w:color w:val="auto"/>
          <w:lang w:eastAsia="en-AU"/>
        </w:rPr>
        <w:t>If an application is late or</w:t>
      </w:r>
      <w:r w:rsidR="00F172DD" w:rsidRPr="00496141">
        <w:rPr>
          <w:color w:val="auto"/>
          <w:lang w:eastAsia="en-AU"/>
        </w:rPr>
        <w:t xml:space="preserve"> the </w:t>
      </w:r>
      <w:r w:rsidR="00F172DD">
        <w:rPr>
          <w:color w:val="auto"/>
          <w:lang w:eastAsia="en-AU"/>
        </w:rPr>
        <w:t>Community Grants Hub</w:t>
      </w:r>
      <w:r>
        <w:rPr>
          <w:color w:val="auto"/>
          <w:lang w:eastAsia="en-AU"/>
        </w:rPr>
        <w:t xml:space="preserve"> is requested to approve a lodgement after the closing date, the</w:t>
      </w:r>
      <w:r w:rsidR="00F172DD" w:rsidRPr="00496141">
        <w:rPr>
          <w:color w:val="auto"/>
          <w:lang w:eastAsia="en-AU"/>
        </w:rPr>
        <w:t xml:space="preserve"> </w:t>
      </w:r>
      <w:hyperlink r:id="rId11" w:tooltip="late application policy" w:history="1">
        <w:r w:rsidR="00F172DD">
          <w:rPr>
            <w:color w:val="0000FF"/>
            <w:u w:val="single"/>
            <w:lang w:eastAsia="en-AU"/>
          </w:rPr>
          <w:t>late application policy</w:t>
        </w:r>
      </w:hyperlink>
      <w:r w:rsidR="00F172DD">
        <w:rPr>
          <w:color w:val="auto"/>
          <w:lang w:eastAsia="en-AU"/>
        </w:rPr>
        <w:t xml:space="preserve"> available on the Community Grants Hub website</w:t>
      </w:r>
      <w:r>
        <w:rPr>
          <w:color w:val="auto"/>
          <w:lang w:eastAsia="en-AU"/>
        </w:rPr>
        <w:t xml:space="preserve"> will apply.</w:t>
      </w:r>
    </w:p>
    <w:p w:rsidR="00496141" w:rsidRPr="00496141" w:rsidRDefault="00496141" w:rsidP="00F2038B">
      <w:pPr>
        <w:pStyle w:val="Heading2"/>
        <w:numPr>
          <w:ilvl w:val="0"/>
          <w:numId w:val="8"/>
        </w:numPr>
        <w:ind w:left="567" w:hanging="567"/>
        <w:rPr>
          <w:rFonts w:eastAsia="Calibri"/>
        </w:rPr>
      </w:pPr>
      <w:r w:rsidRPr="00496141">
        <w:rPr>
          <w:rFonts w:eastAsia="Calibri"/>
        </w:rPr>
        <w:t>Are not for profit organisations eligible to apply?</w:t>
      </w:r>
    </w:p>
    <w:p w:rsidR="00496141" w:rsidRPr="00496141" w:rsidRDefault="00292603" w:rsidP="00496141">
      <w:pPr>
        <w:pStyle w:val="BodyText"/>
      </w:pPr>
      <w:r>
        <w:t>Yes</w:t>
      </w:r>
      <w:r w:rsidR="000636C9">
        <w:t>.</w:t>
      </w:r>
    </w:p>
    <w:p w:rsidR="00496141" w:rsidRPr="00496141" w:rsidRDefault="00496141" w:rsidP="00F2038B">
      <w:pPr>
        <w:pStyle w:val="Heading2"/>
        <w:numPr>
          <w:ilvl w:val="0"/>
          <w:numId w:val="8"/>
        </w:numPr>
        <w:ind w:left="567" w:hanging="567"/>
        <w:rPr>
          <w:rFonts w:eastAsia="Calibri"/>
        </w:rPr>
      </w:pPr>
      <w:r w:rsidRPr="00496141">
        <w:rPr>
          <w:rFonts w:eastAsia="Calibri"/>
        </w:rPr>
        <w:t xml:space="preserve">What attachments do I need to include in my application? </w:t>
      </w:r>
    </w:p>
    <w:p w:rsidR="00292603" w:rsidRPr="003114F8" w:rsidRDefault="00292603" w:rsidP="00BE2B7C">
      <w:pPr>
        <w:pStyle w:val="BodyText"/>
      </w:pPr>
      <w:r w:rsidRPr="006237F3">
        <w:t xml:space="preserve">For this round, no attachments are requested. </w:t>
      </w:r>
      <w:r>
        <w:t xml:space="preserve"> Documents attached to applications will not be assessed. </w:t>
      </w:r>
    </w:p>
    <w:p w:rsidR="00496141" w:rsidRPr="00496141" w:rsidRDefault="00496141" w:rsidP="00F2038B">
      <w:pPr>
        <w:pStyle w:val="Heading2"/>
        <w:numPr>
          <w:ilvl w:val="0"/>
          <w:numId w:val="8"/>
        </w:numPr>
        <w:ind w:left="567" w:hanging="567"/>
        <w:rPr>
          <w:rFonts w:eastAsia="Calibri"/>
        </w:rPr>
      </w:pPr>
      <w:r w:rsidRPr="00496141">
        <w:rPr>
          <w:rFonts w:eastAsia="Calibri"/>
        </w:rPr>
        <w:t xml:space="preserve">How much funding is available for this </w:t>
      </w:r>
      <w:r w:rsidR="00994456">
        <w:rPr>
          <w:rFonts w:eastAsia="Calibri"/>
        </w:rPr>
        <w:t>Program</w:t>
      </w:r>
      <w:r w:rsidRPr="00496141">
        <w:rPr>
          <w:rFonts w:eastAsia="Calibri"/>
        </w:rPr>
        <w:t>?</w:t>
      </w:r>
    </w:p>
    <w:p w:rsidR="00C50FD6" w:rsidRPr="00C50FD6" w:rsidRDefault="00292603" w:rsidP="00C50FD6">
      <w:pPr>
        <w:pStyle w:val="BodyText"/>
      </w:pPr>
      <w:r>
        <w:rPr>
          <w:rStyle w:val="BookTitle"/>
          <w:i w:val="0"/>
          <w:iCs w:val="0"/>
          <w:smallCaps w:val="0"/>
          <w:spacing w:val="0"/>
        </w:rPr>
        <w:t>Total funding of up to</w:t>
      </w:r>
      <w:r w:rsidRPr="00853D4E">
        <w:rPr>
          <w:rStyle w:val="BookTitle"/>
          <w:i w:val="0"/>
          <w:iCs w:val="0"/>
          <w:smallCaps w:val="0"/>
          <w:spacing w:val="0"/>
        </w:rPr>
        <w:t xml:space="preserve"> $</w:t>
      </w:r>
      <w:r>
        <w:rPr>
          <w:rStyle w:val="BookTitle"/>
          <w:i w:val="0"/>
          <w:iCs w:val="0"/>
          <w:smallCaps w:val="0"/>
          <w:spacing w:val="0"/>
        </w:rPr>
        <w:t>1.674</w:t>
      </w:r>
      <w:r w:rsidRPr="00853D4E">
        <w:rPr>
          <w:rStyle w:val="BookTitle"/>
          <w:i w:val="0"/>
          <w:iCs w:val="0"/>
          <w:smallCaps w:val="0"/>
          <w:spacing w:val="0"/>
        </w:rPr>
        <w:t xml:space="preserve"> million is available </w:t>
      </w:r>
      <w:r w:rsidR="00BE2B7C">
        <w:rPr>
          <w:rStyle w:val="BookTitle"/>
          <w:i w:val="0"/>
          <w:iCs w:val="0"/>
          <w:smallCaps w:val="0"/>
          <w:spacing w:val="0"/>
        </w:rPr>
        <w:t>over the</w:t>
      </w:r>
      <w:r w:rsidRPr="00853D4E">
        <w:rPr>
          <w:rStyle w:val="BookTitle"/>
          <w:i w:val="0"/>
          <w:iCs w:val="0"/>
          <w:smallCaps w:val="0"/>
          <w:spacing w:val="0"/>
        </w:rPr>
        <w:t xml:space="preserve"> </w:t>
      </w:r>
      <w:r>
        <w:rPr>
          <w:rStyle w:val="BookTitle"/>
          <w:i w:val="0"/>
          <w:iCs w:val="0"/>
          <w:smallCaps w:val="0"/>
          <w:spacing w:val="0"/>
        </w:rPr>
        <w:t>2017-18 and</w:t>
      </w:r>
      <w:r w:rsidRPr="00853D4E">
        <w:rPr>
          <w:rStyle w:val="BookTitle"/>
          <w:i w:val="0"/>
          <w:iCs w:val="0"/>
          <w:smallCaps w:val="0"/>
          <w:spacing w:val="0"/>
        </w:rPr>
        <w:t xml:space="preserve"> </w:t>
      </w:r>
      <w:r>
        <w:rPr>
          <w:rStyle w:val="BookTitle"/>
          <w:i w:val="0"/>
          <w:iCs w:val="0"/>
          <w:smallCaps w:val="0"/>
          <w:spacing w:val="0"/>
        </w:rPr>
        <w:t>2018-19</w:t>
      </w:r>
      <w:r w:rsidR="00BE2B7C">
        <w:rPr>
          <w:rStyle w:val="BookTitle"/>
          <w:i w:val="0"/>
          <w:iCs w:val="0"/>
          <w:smallCaps w:val="0"/>
          <w:spacing w:val="0"/>
        </w:rPr>
        <w:t xml:space="preserve"> financial years</w:t>
      </w:r>
      <w:r>
        <w:rPr>
          <w:rStyle w:val="BookTitle"/>
          <w:i w:val="0"/>
          <w:iCs w:val="0"/>
          <w:smallCaps w:val="0"/>
          <w:spacing w:val="0"/>
        </w:rPr>
        <w:t>.</w:t>
      </w:r>
      <w:r w:rsidR="00BE2B7C">
        <w:rPr>
          <w:rStyle w:val="BookTitle"/>
          <w:i w:val="0"/>
          <w:iCs w:val="0"/>
          <w:smallCaps w:val="0"/>
          <w:spacing w:val="0"/>
        </w:rPr>
        <w:t xml:space="preserve"> Applications will be considered for </w:t>
      </w:r>
      <w:r w:rsidR="00BE2B7C">
        <w:t>one-off time limited pro</w:t>
      </w:r>
      <w:r w:rsidR="00532BC1">
        <w:t>ject</w:t>
      </w:r>
      <w:r w:rsidR="00BE2B7C">
        <w:t>s of up to $100,000</w:t>
      </w:r>
      <w:r w:rsidR="00D55FAD">
        <w:t xml:space="preserve"> per project</w:t>
      </w:r>
      <w:r w:rsidR="00BE2B7C" w:rsidRPr="00C50FD6">
        <w:t xml:space="preserve"> (GST</w:t>
      </w:r>
      <w:r w:rsidR="00BE2B7C">
        <w:t> e</w:t>
      </w:r>
      <w:r w:rsidR="00BE2B7C" w:rsidRPr="00C50FD6">
        <w:t xml:space="preserve">xclusive) </w:t>
      </w:r>
      <w:r w:rsidR="00BE2B7C">
        <w:t>over this period</w:t>
      </w:r>
      <w:r w:rsidR="00BE2B7C" w:rsidRPr="00C50FD6">
        <w:t xml:space="preserve">. </w:t>
      </w:r>
      <w:r>
        <w:rPr>
          <w:rStyle w:val="BookTitle"/>
          <w:i w:val="0"/>
          <w:iCs w:val="0"/>
          <w:smallCaps w:val="0"/>
          <w:spacing w:val="0"/>
        </w:rPr>
        <w:t xml:space="preserve"> </w:t>
      </w:r>
      <w:r>
        <w:t xml:space="preserve">While no funding is available in 2019-20, projects may run </w:t>
      </w:r>
      <w:r w:rsidRPr="00BE2B7C">
        <w:t>until 30 November 2019</w:t>
      </w:r>
      <w:r w:rsidRPr="00292603">
        <w:t>.</w:t>
      </w:r>
    </w:p>
    <w:p w:rsidR="00496141" w:rsidRPr="00496141" w:rsidRDefault="00496141" w:rsidP="00F2038B">
      <w:pPr>
        <w:pStyle w:val="Heading2"/>
        <w:numPr>
          <w:ilvl w:val="0"/>
          <w:numId w:val="8"/>
        </w:numPr>
        <w:ind w:left="567" w:hanging="567"/>
        <w:rPr>
          <w:rFonts w:eastAsia="Calibri"/>
        </w:rPr>
      </w:pPr>
      <w:r w:rsidRPr="00496141">
        <w:rPr>
          <w:rFonts w:eastAsia="Calibri"/>
        </w:rPr>
        <w:t>Is the funding on-going?</w:t>
      </w:r>
    </w:p>
    <w:p w:rsidR="00496141" w:rsidRDefault="00DE712A" w:rsidP="00496141">
      <w:pPr>
        <w:pStyle w:val="BodyText"/>
      </w:pPr>
      <w:r>
        <w:t>No.</w:t>
      </w:r>
      <w:r w:rsidR="00292603">
        <w:t xml:space="preserve"> </w:t>
      </w:r>
      <w:r w:rsidR="006252DE">
        <w:t xml:space="preserve">Funding is available only over the 2017-18 and 2018-19 financial years and is not intended for ongoing service provision or projects. </w:t>
      </w:r>
      <w:r w:rsidR="00292603">
        <w:t xml:space="preserve">However, projects may run </w:t>
      </w:r>
      <w:r w:rsidR="00292603" w:rsidRPr="00160DC3">
        <w:t>until 30 November 2019</w:t>
      </w:r>
      <w:r w:rsidR="00292603" w:rsidRPr="00292603">
        <w:t>.</w:t>
      </w:r>
      <w:r w:rsidR="00292603">
        <w:t xml:space="preserve"> </w:t>
      </w:r>
    </w:p>
    <w:p w:rsidR="00292603" w:rsidRDefault="00292603" w:rsidP="00496141">
      <w:pPr>
        <w:pStyle w:val="BodyText"/>
      </w:pPr>
      <w:r>
        <w:t>As part of the project, consideration should be given to how the results of the project can be sustained or expanded upon after the conclusion of this funding.</w:t>
      </w:r>
    </w:p>
    <w:p w:rsidR="000636C9" w:rsidRPr="00B640E8" w:rsidRDefault="000636C9" w:rsidP="00F2038B">
      <w:pPr>
        <w:pStyle w:val="Heading2"/>
        <w:numPr>
          <w:ilvl w:val="0"/>
          <w:numId w:val="8"/>
        </w:numPr>
        <w:ind w:left="567" w:hanging="567"/>
        <w:rPr>
          <w:rFonts w:eastAsia="Calibri"/>
        </w:rPr>
      </w:pPr>
      <w:r w:rsidRPr="00B640E8">
        <w:rPr>
          <w:rFonts w:eastAsia="Calibri"/>
        </w:rPr>
        <w:t>Can I apply for all of the available funding?</w:t>
      </w:r>
    </w:p>
    <w:p w:rsidR="000636C9" w:rsidRDefault="000636C9" w:rsidP="000636C9">
      <w:pPr>
        <w:rPr>
          <w:rFonts w:eastAsia="Calibri"/>
        </w:rPr>
      </w:pPr>
      <w:r>
        <w:rPr>
          <w:rFonts w:eastAsia="Calibri"/>
        </w:rPr>
        <w:t>No. Projects can total a maximum of $100,000 (GST exclusive) each.</w:t>
      </w:r>
    </w:p>
    <w:p w:rsidR="00D55FAD" w:rsidRPr="00B640E8" w:rsidRDefault="00D55FAD" w:rsidP="00F2038B">
      <w:pPr>
        <w:pStyle w:val="Heading2"/>
        <w:numPr>
          <w:ilvl w:val="0"/>
          <w:numId w:val="8"/>
        </w:numPr>
        <w:ind w:left="567" w:hanging="567"/>
        <w:rPr>
          <w:rFonts w:eastAsia="Calibri"/>
        </w:rPr>
      </w:pPr>
      <w:r w:rsidRPr="00B640E8">
        <w:rPr>
          <w:rFonts w:eastAsia="Calibri"/>
        </w:rPr>
        <w:lastRenderedPageBreak/>
        <w:t>Can single organisations submit more than one application?</w:t>
      </w:r>
    </w:p>
    <w:p w:rsidR="00D55FAD" w:rsidRDefault="00D55FAD" w:rsidP="00D55FAD">
      <w:pPr>
        <w:spacing w:before="120"/>
      </w:pPr>
      <w:r>
        <w:t>Yes. A</w:t>
      </w:r>
      <w:r w:rsidRPr="00C62309">
        <w:rPr>
          <w:b/>
        </w:rPr>
        <w:t xml:space="preserve"> maximum of t</w:t>
      </w:r>
      <w:r>
        <w:rPr>
          <w:b/>
        </w:rPr>
        <w:t>hree applications can be submitted by any one organisation</w:t>
      </w:r>
      <w:r>
        <w:t>. Specifically, o</w:t>
      </w:r>
      <w:r w:rsidRPr="00BF387A">
        <w:t xml:space="preserve">rganisations </w:t>
      </w:r>
      <w:r>
        <w:t xml:space="preserve">can only </w:t>
      </w:r>
      <w:r w:rsidRPr="00BF387A">
        <w:t xml:space="preserve">submit </w:t>
      </w:r>
      <w:r>
        <w:t xml:space="preserve">three </w:t>
      </w:r>
      <w:r w:rsidRPr="00BF387A">
        <w:t>application</w:t>
      </w:r>
      <w:r>
        <w:t xml:space="preserve">s if the projects are </w:t>
      </w:r>
      <w:r w:rsidRPr="00BF387A">
        <w:t>different or where the</w:t>
      </w:r>
      <w:r>
        <w:t xml:space="preserve"> same project</w:t>
      </w:r>
      <w:r w:rsidRPr="00BF387A">
        <w:t xml:space="preserve"> would be de</w:t>
      </w:r>
      <w:r>
        <w:t>livered in different locations.</w:t>
      </w:r>
      <w:r w:rsidRPr="00BF387A">
        <w:t> Alternatively, organisations may want to consider whether different elements could be combined into a single</w:t>
      </w:r>
      <w:r>
        <w:t xml:space="preserve"> project</w:t>
      </w:r>
      <w:r w:rsidRPr="00BF387A">
        <w:t>.</w:t>
      </w:r>
    </w:p>
    <w:p w:rsidR="00D55FAD" w:rsidRDefault="00D55FAD" w:rsidP="00D55FAD">
      <w:pPr>
        <w:spacing w:before="120"/>
        <w:rPr>
          <w:b/>
          <w:sz w:val="24"/>
          <w:szCs w:val="24"/>
        </w:rPr>
      </w:pPr>
      <w:r>
        <w:t xml:space="preserve">Should an Applicant submit more than three applications, only the three </w:t>
      </w:r>
      <w:r w:rsidRPr="00CC241D">
        <w:rPr>
          <w:b/>
        </w:rPr>
        <w:t>latest</w:t>
      </w:r>
      <w:r>
        <w:t xml:space="preserve"> on time applications received will be progressed. If duplicate applications (i.e. applications that are for the same project and delivered in the same locations) are received, the </w:t>
      </w:r>
      <w:r w:rsidRPr="00B73D24">
        <w:rPr>
          <w:b/>
        </w:rPr>
        <w:t>latest</w:t>
      </w:r>
      <w:r>
        <w:t xml:space="preserve"> of the duplicate applications received will be progressed.</w:t>
      </w:r>
    </w:p>
    <w:p w:rsidR="00D55FAD" w:rsidRPr="00B640E8" w:rsidRDefault="00D55FAD" w:rsidP="00D55FAD">
      <w:pPr>
        <w:spacing w:before="120"/>
        <w:rPr>
          <w:rFonts w:eastAsia="Calibri"/>
        </w:rPr>
      </w:pPr>
      <w:r w:rsidRPr="00B640E8">
        <w:rPr>
          <w:rFonts w:eastAsia="Calibri"/>
        </w:rPr>
        <w:t>If we want to submit separate applications for different communities, can these be the same project in each location?</w:t>
      </w:r>
    </w:p>
    <w:p w:rsidR="00D55FAD" w:rsidRDefault="00D55FAD" w:rsidP="00D55FAD">
      <w:pPr>
        <w:spacing w:before="120"/>
      </w:pPr>
      <w:r w:rsidRPr="004D42A1">
        <w:t>Each application need</w:t>
      </w:r>
      <w:r>
        <w:t>s</w:t>
      </w:r>
      <w:r w:rsidRPr="004D42A1">
        <w:t xml:space="preserve"> to address the selection criteria in </w:t>
      </w:r>
      <w:r>
        <w:t xml:space="preserve">relation to responding to </w:t>
      </w:r>
      <w:r w:rsidRPr="004D42A1">
        <w:t>the</w:t>
      </w:r>
      <w:r>
        <w:t xml:space="preserve"> respective</w:t>
      </w:r>
      <w:r w:rsidRPr="004D42A1">
        <w:t xml:space="preserve"> </w:t>
      </w:r>
      <w:r>
        <w:t>community’s needs. A</w:t>
      </w:r>
      <w:r w:rsidRPr="004D42A1">
        <w:t xml:space="preserve">pplications would need to </w:t>
      </w:r>
      <w:r>
        <w:t>demonstrate</w:t>
      </w:r>
      <w:r w:rsidRPr="004D42A1">
        <w:t xml:space="preserve"> how the project would achieve outcomes in that </w:t>
      </w:r>
      <w:r>
        <w:t>community,</w:t>
      </w:r>
      <w:r w:rsidRPr="004D42A1">
        <w:t xml:space="preserve"> taking into account the </w:t>
      </w:r>
      <w:r>
        <w:t>community’s unique needs.</w:t>
      </w:r>
    </w:p>
    <w:p w:rsidR="00D55FAD" w:rsidRDefault="00D55FAD" w:rsidP="00D55FAD">
      <w:pPr>
        <w:spacing w:before="120"/>
      </w:pPr>
      <w:r>
        <w:t>Each application will be assessed on its own merits and applicants should not assume that identical applications for different locations will both be funded. Each project should be a stand</w:t>
      </w:r>
      <w:r>
        <w:noBreakHyphen/>
        <w:t>alone project and able to be successfully delivered within the requested funding.</w:t>
      </w:r>
    </w:p>
    <w:p w:rsidR="00F2038B" w:rsidRPr="00F2038B" w:rsidRDefault="004F60D5" w:rsidP="00F2038B">
      <w:pPr>
        <w:pStyle w:val="Heading2"/>
        <w:numPr>
          <w:ilvl w:val="0"/>
          <w:numId w:val="8"/>
        </w:numPr>
        <w:ind w:left="567" w:hanging="567"/>
        <w:rPr>
          <w:rFonts w:eastAsia="Calibri"/>
        </w:rPr>
      </w:pPr>
      <w:r w:rsidRPr="00306CDA">
        <w:rPr>
          <w:rFonts w:eastAsia="Calibri"/>
        </w:rPr>
        <w:t>Can I run my project idea by you to get your opinion?</w:t>
      </w:r>
    </w:p>
    <w:p w:rsidR="00F2038B" w:rsidRDefault="004F60D5" w:rsidP="00F2038B">
      <w:pPr>
        <w:pStyle w:val="BodyText"/>
        <w:rPr>
          <w:iCs/>
        </w:rPr>
      </w:pPr>
      <w:r w:rsidRPr="00306CDA">
        <w:rPr>
          <w:iCs/>
        </w:rPr>
        <w:t>Due to probity reasons, it is not possible to comment on the eligibility of an organisation, an applicant, the suitability of a project or provide pre-assessment of an application</w:t>
      </w:r>
      <w:r>
        <w:rPr>
          <w:iCs/>
        </w:rPr>
        <w:t xml:space="preserve"> prior to submission. </w:t>
      </w:r>
      <w:r w:rsidRPr="00306CDA">
        <w:rPr>
          <w:iCs/>
        </w:rPr>
        <w:t>Please refer to the st</w:t>
      </w:r>
      <w:r w:rsidR="00B23EF0">
        <w:rPr>
          <w:iCs/>
        </w:rPr>
        <w:t>atement of requirements in the Funding Round S</w:t>
      </w:r>
      <w:r w:rsidRPr="00306CDA">
        <w:rPr>
          <w:iCs/>
        </w:rPr>
        <w:t>ummary for more information.</w:t>
      </w:r>
    </w:p>
    <w:p w:rsidR="000636C9" w:rsidRPr="00F2038B" w:rsidRDefault="000636C9" w:rsidP="00F2038B">
      <w:pPr>
        <w:pStyle w:val="Heading2"/>
        <w:numPr>
          <w:ilvl w:val="0"/>
          <w:numId w:val="8"/>
        </w:numPr>
        <w:ind w:left="567" w:hanging="567"/>
        <w:rPr>
          <w:rFonts w:eastAsia="Calibri"/>
        </w:rPr>
      </w:pPr>
      <w:r w:rsidRPr="00B640E8">
        <w:rPr>
          <w:rFonts w:eastAsia="Calibri"/>
        </w:rPr>
        <w:t xml:space="preserve">What do you mean by </w:t>
      </w:r>
      <w:r w:rsidR="00B50D97">
        <w:rPr>
          <w:rFonts w:eastAsia="Calibri"/>
        </w:rPr>
        <w:t xml:space="preserve">CALD </w:t>
      </w:r>
      <w:r w:rsidRPr="00B640E8">
        <w:rPr>
          <w:rFonts w:eastAsia="Calibri"/>
        </w:rPr>
        <w:t>community?</w:t>
      </w:r>
    </w:p>
    <w:p w:rsidR="00B50D97" w:rsidRDefault="00B50D97" w:rsidP="000636C9">
      <w:pPr>
        <w:spacing w:before="240" w:after="120" w:line="276" w:lineRule="auto"/>
        <w:rPr>
          <w:iCs/>
        </w:rPr>
      </w:pPr>
      <w:r>
        <w:rPr>
          <w:iCs/>
        </w:rPr>
        <w:t xml:space="preserve">For the purposes of this grant, the term ‘CALD community’ </w:t>
      </w:r>
      <w:r w:rsidR="000636C9">
        <w:rPr>
          <w:iCs/>
        </w:rPr>
        <w:t>refers to either</w:t>
      </w:r>
      <w:r>
        <w:rPr>
          <w:iCs/>
        </w:rPr>
        <w:t>:</w:t>
      </w:r>
    </w:p>
    <w:p w:rsidR="00890AAF" w:rsidRPr="00890AAF" w:rsidRDefault="000636C9" w:rsidP="00B50D97">
      <w:pPr>
        <w:pStyle w:val="ListParagraph"/>
        <w:numPr>
          <w:ilvl w:val="0"/>
          <w:numId w:val="31"/>
        </w:numPr>
        <w:spacing w:before="240" w:after="120" w:line="276" w:lineRule="auto"/>
      </w:pPr>
      <w:r w:rsidRPr="00B50D97">
        <w:rPr>
          <w:iCs/>
        </w:rPr>
        <w:t>a cultur</w:t>
      </w:r>
      <w:r w:rsidR="00890AAF">
        <w:rPr>
          <w:iCs/>
        </w:rPr>
        <w:t>al or religious</w:t>
      </w:r>
      <w:r w:rsidRPr="00B50D97">
        <w:rPr>
          <w:iCs/>
        </w:rPr>
        <w:t xml:space="preserve"> group that doesn’t necessarily live in the same local area, or </w:t>
      </w:r>
    </w:p>
    <w:p w:rsidR="00890AAF" w:rsidRPr="00890AAF" w:rsidRDefault="000636C9" w:rsidP="00B50D97">
      <w:pPr>
        <w:pStyle w:val="ListParagraph"/>
        <w:numPr>
          <w:ilvl w:val="0"/>
          <w:numId w:val="31"/>
        </w:numPr>
        <w:spacing w:before="240" w:after="120" w:line="276" w:lineRule="auto"/>
      </w:pPr>
      <w:r w:rsidRPr="00B50D97">
        <w:rPr>
          <w:iCs/>
        </w:rPr>
        <w:t xml:space="preserve">a </w:t>
      </w:r>
      <w:r w:rsidR="00890AAF">
        <w:rPr>
          <w:iCs/>
        </w:rPr>
        <w:t>geographical location with significant numbers of people born overseas in countries other than the main English speaking countries.</w:t>
      </w:r>
    </w:p>
    <w:p w:rsidR="000636C9" w:rsidRPr="00606FF6" w:rsidRDefault="00B50D97" w:rsidP="00890AAF">
      <w:pPr>
        <w:spacing w:before="240" w:after="120" w:line="276" w:lineRule="auto"/>
        <w:ind w:left="360"/>
      </w:pPr>
      <w:r w:rsidRPr="00890AAF">
        <w:rPr>
          <w:iCs/>
        </w:rPr>
        <w:t>For example,</w:t>
      </w:r>
      <w:r w:rsidR="000636C9" w:rsidRPr="00890AAF">
        <w:rPr>
          <w:iCs/>
        </w:rPr>
        <w:t xml:space="preserve"> Vietnamese migrants spread across Sydney; or a suburb in </w:t>
      </w:r>
      <w:r w:rsidR="00E321FB">
        <w:rPr>
          <w:iCs/>
        </w:rPr>
        <w:t>Melbourne with high numbers of people born overseas in countries other than the main English speaking countries</w:t>
      </w:r>
      <w:r w:rsidR="000636C9" w:rsidRPr="00890AAF">
        <w:rPr>
          <w:iCs/>
        </w:rPr>
        <w:t>.</w:t>
      </w:r>
      <w:r w:rsidRPr="00890AAF">
        <w:rPr>
          <w:iCs/>
        </w:rPr>
        <w:t xml:space="preserve"> </w:t>
      </w:r>
    </w:p>
    <w:p w:rsidR="00496141" w:rsidRPr="00496141" w:rsidRDefault="00496141" w:rsidP="00F2038B">
      <w:pPr>
        <w:pStyle w:val="Heading2"/>
        <w:numPr>
          <w:ilvl w:val="0"/>
          <w:numId w:val="8"/>
        </w:numPr>
        <w:ind w:left="567" w:hanging="567"/>
        <w:rPr>
          <w:rFonts w:eastAsia="Calibri"/>
        </w:rPr>
      </w:pPr>
      <w:r w:rsidRPr="00496141">
        <w:rPr>
          <w:rFonts w:eastAsia="Calibri"/>
        </w:rPr>
        <w:t xml:space="preserve">If my organisation is a part of a group of organisations, can we submit a joint application through a consortium (joint) arrangement? </w:t>
      </w:r>
    </w:p>
    <w:p w:rsidR="00496141" w:rsidRPr="00496141" w:rsidRDefault="00496141" w:rsidP="00496141">
      <w:pPr>
        <w:pStyle w:val="BodyText"/>
      </w:pPr>
      <w:r w:rsidRPr="00496141">
        <w:t xml:space="preserve">A joint application can be submitted. The joint application must include details of each of the organisations under </w:t>
      </w:r>
      <w:r w:rsidRPr="00496141">
        <w:rPr>
          <w:b/>
        </w:rPr>
        <w:t>‘Activity Delivery’</w:t>
      </w:r>
      <w:r w:rsidRPr="00496141">
        <w:t xml:space="preserve"> in the Application Form. DSS may ask for further information regarding the members of the consortium before any agreement being finalised.  If a joint application is successful, DSS will enter into a Grant Agreement with the nominated lead organisation.</w:t>
      </w:r>
    </w:p>
    <w:p w:rsidR="004F60D5" w:rsidRPr="00496141" w:rsidRDefault="004F60D5" w:rsidP="00F2038B">
      <w:pPr>
        <w:pStyle w:val="Heading2"/>
        <w:numPr>
          <w:ilvl w:val="0"/>
          <w:numId w:val="8"/>
        </w:numPr>
        <w:ind w:left="567" w:hanging="567"/>
        <w:rPr>
          <w:rFonts w:eastAsia="Calibri"/>
        </w:rPr>
      </w:pPr>
      <w:r w:rsidRPr="00496141">
        <w:rPr>
          <w:rFonts w:eastAsia="Calibri"/>
        </w:rPr>
        <w:t>What is a lead organisation</w:t>
      </w:r>
      <w:r w:rsidR="003F19CF">
        <w:rPr>
          <w:rFonts w:eastAsia="Calibri"/>
        </w:rPr>
        <w:t>?</w:t>
      </w:r>
    </w:p>
    <w:p w:rsidR="004F60D5" w:rsidRPr="00496141" w:rsidRDefault="004F60D5" w:rsidP="004F60D5">
      <w:r w:rsidRPr="00496141">
        <w:t>A lead organisation must be an incorporated body which is able to enter into the Grant Agreement.</w:t>
      </w:r>
    </w:p>
    <w:p w:rsidR="004F60D5" w:rsidRPr="00496141" w:rsidRDefault="004F60D5" w:rsidP="004F60D5">
      <w:r w:rsidRPr="00496141">
        <w:t xml:space="preserve">If you submit a joint application, you must nominate a lead organisation for the application. The lead organisation for the project will, if your application is successful, sign the Grant Agreement, </w:t>
      </w:r>
      <w:r w:rsidRPr="00496141">
        <w:lastRenderedPageBreak/>
        <w:t>receive the funding and take legal responsibility for performing the activities and meeting the outcomes of the Grant Agreement.</w:t>
      </w:r>
    </w:p>
    <w:p w:rsidR="004F60D5" w:rsidRPr="00496141" w:rsidRDefault="004F60D5" w:rsidP="00F2038B">
      <w:pPr>
        <w:pStyle w:val="Heading2"/>
        <w:numPr>
          <w:ilvl w:val="0"/>
          <w:numId w:val="8"/>
        </w:numPr>
        <w:ind w:left="567" w:hanging="567"/>
        <w:rPr>
          <w:rFonts w:eastAsia="Calibri"/>
        </w:rPr>
      </w:pPr>
      <w:r w:rsidRPr="00496141">
        <w:rPr>
          <w:rFonts w:eastAsia="Calibri"/>
        </w:rPr>
        <w:t>Would the Department prefer a consortium (joint) arrangement?</w:t>
      </w:r>
    </w:p>
    <w:p w:rsidR="004F60D5" w:rsidRPr="00A01C5B" w:rsidRDefault="004F60D5" w:rsidP="004F60D5">
      <w:r>
        <w:t>I</w:t>
      </w:r>
      <w:r w:rsidRPr="00496141">
        <w:t>ndividual and consortia/joint applications</w:t>
      </w:r>
      <w:r>
        <w:t xml:space="preserve"> will be considered</w:t>
      </w:r>
      <w:r w:rsidRPr="00496141">
        <w:t xml:space="preserve"> equally</w:t>
      </w:r>
      <w:r>
        <w:t>.</w:t>
      </w:r>
    </w:p>
    <w:p w:rsidR="004F60D5" w:rsidRPr="00B640E8" w:rsidRDefault="004F60D5" w:rsidP="00F2038B">
      <w:pPr>
        <w:pStyle w:val="Heading2"/>
        <w:numPr>
          <w:ilvl w:val="0"/>
          <w:numId w:val="8"/>
        </w:numPr>
        <w:ind w:left="567" w:hanging="567"/>
        <w:rPr>
          <w:rFonts w:eastAsia="Calibri"/>
        </w:rPr>
      </w:pPr>
      <w:r w:rsidRPr="00B640E8">
        <w:rPr>
          <w:rFonts w:eastAsia="Calibri"/>
        </w:rPr>
        <w:t>Where can I get a copy of the National Plan to Reduce Violence against Women and their Children 2010-2022?</w:t>
      </w:r>
    </w:p>
    <w:p w:rsidR="004F60D5" w:rsidRPr="001D75D7" w:rsidRDefault="004F60D5" w:rsidP="004F60D5">
      <w:pPr>
        <w:tabs>
          <w:tab w:val="num" w:pos="425"/>
        </w:tabs>
        <w:spacing w:before="240" w:after="120" w:line="276" w:lineRule="auto"/>
        <w:rPr>
          <w:iCs/>
        </w:rPr>
      </w:pPr>
      <w:r>
        <w:rPr>
          <w:iCs/>
        </w:rPr>
        <w:t xml:space="preserve">A copy of the </w:t>
      </w:r>
      <w:r w:rsidRPr="00C367DF">
        <w:rPr>
          <w:i/>
          <w:iCs/>
        </w:rPr>
        <w:t>National Plan to Reduce Violence against Women and their Children 2010-2022</w:t>
      </w:r>
      <w:r>
        <w:rPr>
          <w:iCs/>
        </w:rPr>
        <w:t xml:space="preserve"> and the </w:t>
      </w:r>
      <w:r>
        <w:rPr>
          <w:i/>
          <w:iCs/>
        </w:rPr>
        <w:t>Third</w:t>
      </w:r>
      <w:r w:rsidRPr="00C367DF">
        <w:rPr>
          <w:i/>
          <w:iCs/>
        </w:rPr>
        <w:t xml:space="preserve"> Action Plan</w:t>
      </w:r>
      <w:r>
        <w:rPr>
          <w:i/>
          <w:iCs/>
        </w:rPr>
        <w:t xml:space="preserve"> </w:t>
      </w:r>
      <w:r w:rsidRPr="00C367DF">
        <w:rPr>
          <w:i/>
          <w:iCs/>
        </w:rPr>
        <w:t>2016</w:t>
      </w:r>
      <w:r>
        <w:rPr>
          <w:i/>
          <w:iCs/>
        </w:rPr>
        <w:t xml:space="preserve">- 2019 </w:t>
      </w:r>
      <w:r>
        <w:rPr>
          <w:iCs/>
        </w:rPr>
        <w:t xml:space="preserve">can be found on the </w:t>
      </w:r>
      <w:hyperlink r:id="rId12" w:history="1">
        <w:r w:rsidRPr="00C367DF">
          <w:rPr>
            <w:rStyle w:val="Hyperlink"/>
            <w:iCs/>
          </w:rPr>
          <w:t>DSS website</w:t>
        </w:r>
      </w:hyperlink>
      <w:r>
        <w:rPr>
          <w:iCs/>
        </w:rPr>
        <w:t>.</w:t>
      </w:r>
    </w:p>
    <w:p w:rsidR="004F60D5" w:rsidRPr="00B640E8" w:rsidRDefault="004F60D5" w:rsidP="00F2038B">
      <w:pPr>
        <w:pStyle w:val="Heading2"/>
        <w:numPr>
          <w:ilvl w:val="0"/>
          <w:numId w:val="8"/>
        </w:numPr>
        <w:ind w:left="567" w:hanging="567"/>
        <w:rPr>
          <w:rFonts w:eastAsia="Calibri"/>
        </w:rPr>
      </w:pPr>
      <w:r w:rsidRPr="00B640E8">
        <w:rPr>
          <w:rFonts w:eastAsia="Calibri"/>
        </w:rPr>
        <w:t>What is action research?</w:t>
      </w:r>
    </w:p>
    <w:p w:rsidR="000636C9" w:rsidRDefault="000636C9" w:rsidP="000636C9">
      <w:pPr>
        <w:pStyle w:val="BodyText"/>
      </w:pPr>
      <w:r>
        <w:t>Action research refers to a family of research approaches or methodologies that pursue action (or change) and research (or un</w:t>
      </w:r>
      <w:r w:rsidR="00E76EBF">
        <w:t xml:space="preserve">derstanding) at the same time. </w:t>
      </w:r>
      <w:r>
        <w:t>It is distinct from traditional academic research in the sense that:</w:t>
      </w:r>
    </w:p>
    <w:p w:rsidR="000636C9" w:rsidRDefault="000636C9" w:rsidP="00BE2B7C">
      <w:pPr>
        <w:pStyle w:val="ListParagraph"/>
        <w:spacing w:line="240" w:lineRule="auto"/>
        <w:ind w:left="360" w:hanging="360"/>
      </w:pPr>
      <w:r>
        <w:t>•</w:t>
      </w:r>
      <w:r>
        <w:tab/>
        <w:t>The central goal of the research is positive change rather than solely the production of knowledge;</w:t>
      </w:r>
    </w:p>
    <w:p w:rsidR="000636C9" w:rsidRDefault="000636C9" w:rsidP="00BE2B7C">
      <w:pPr>
        <w:pStyle w:val="ListParagraph"/>
        <w:spacing w:line="240" w:lineRule="auto"/>
        <w:ind w:left="360" w:hanging="360"/>
      </w:pPr>
      <w:r>
        <w:t>•</w:t>
      </w:r>
      <w:r>
        <w:tab/>
        <w:t>Those involved in the research participate in ongoing testing and monitoring of improvements in practice settings; and</w:t>
      </w:r>
    </w:p>
    <w:p w:rsidR="000636C9" w:rsidRDefault="000636C9" w:rsidP="00BE2B7C">
      <w:pPr>
        <w:pStyle w:val="ListParagraph"/>
        <w:spacing w:line="240" w:lineRule="auto"/>
        <w:ind w:left="360" w:hanging="360"/>
      </w:pPr>
      <w:r>
        <w:t>•</w:t>
      </w:r>
      <w:r>
        <w:tab/>
        <w:t>Researchers work in a collaborative way to identify issues and develop processes for improvement.</w:t>
      </w:r>
    </w:p>
    <w:p w:rsidR="000636C9" w:rsidRDefault="000636C9" w:rsidP="000636C9">
      <w:pPr>
        <w:pStyle w:val="BodyText"/>
      </w:pPr>
      <w:r>
        <w:t>The cycle for action research is typically described as:</w:t>
      </w:r>
    </w:p>
    <w:p w:rsidR="000636C9" w:rsidRDefault="000636C9" w:rsidP="000636C9">
      <w:pPr>
        <w:pStyle w:val="BodyText"/>
      </w:pPr>
      <w:r>
        <w:t xml:space="preserve">Plan – Act – Collect - Reflect </w:t>
      </w:r>
    </w:p>
    <w:p w:rsidR="000636C9" w:rsidRDefault="000636C9">
      <w:pPr>
        <w:pStyle w:val="BodyText"/>
      </w:pPr>
      <w:r>
        <w:t>Based on the reflection, further planning occurs to help inform the next steps of the project and the actio</w:t>
      </w:r>
      <w:r w:rsidR="00E76EBF">
        <w:t xml:space="preserve">n research cycle begins again. </w:t>
      </w:r>
      <w:r>
        <w:t xml:space="preserve">A useful resource can be found on the DSS </w:t>
      </w:r>
      <w:hyperlink r:id="rId13" w:history="1">
        <w:r w:rsidRPr="00891175">
          <w:rPr>
            <w:rStyle w:val="Hyperlink"/>
          </w:rPr>
          <w:t>website</w:t>
        </w:r>
      </w:hyperlink>
      <w:r>
        <w:t>. Applicants may find this kit, designed to support Reconnect and Newly Arrived Youth Support Service workers to incorporate Action Research in their day to day work, useful.</w:t>
      </w:r>
    </w:p>
    <w:p w:rsidR="004F60D5" w:rsidRDefault="004F60D5" w:rsidP="00F2038B">
      <w:pPr>
        <w:pStyle w:val="Heading2"/>
        <w:numPr>
          <w:ilvl w:val="0"/>
          <w:numId w:val="8"/>
        </w:numPr>
        <w:ind w:left="567" w:hanging="567"/>
      </w:pPr>
      <w:r>
        <w:t>Why include an action research component to the grant objectives?</w:t>
      </w:r>
    </w:p>
    <w:p w:rsidR="004F60D5" w:rsidRDefault="004F60D5" w:rsidP="004F60D5">
      <w:pPr>
        <w:pStyle w:val="BodyText"/>
      </w:pPr>
      <w:r>
        <w:t>There are several reasons why the grant objectives involve an action research component.  Action research provides a model for ongoing reflection on project directions and outcomes, and adaptation of the project where necessary.  It offers a way to encourage open exploration of what is and is not working, and provides a methodological approach to adjusting a project in real time to deal with aspects that are not working or to enhance what is working well.  Importantly, action research supports rigorous reflection processes without requiring extensive theoretical knowledge or training.</w:t>
      </w:r>
    </w:p>
    <w:p w:rsidR="004F60D5" w:rsidRDefault="004F60D5" w:rsidP="004F60D5">
      <w:pPr>
        <w:pStyle w:val="BodyText"/>
      </w:pPr>
      <w:r>
        <w:t>The action research will help grant recipients to effectively capture and document the lessons learned.  It helps support innovation without fear of failure, for example by recognising that identifying what to avoid is as important as identifying what works.  In the case of this grant objective, action research will encourage knowledge and skills transfer and exchange within the funded organisation, between organisations and to others in the community.</w:t>
      </w:r>
    </w:p>
    <w:p w:rsidR="000636C9" w:rsidRDefault="000636C9" w:rsidP="00F2038B">
      <w:pPr>
        <w:pStyle w:val="Heading2"/>
        <w:numPr>
          <w:ilvl w:val="0"/>
          <w:numId w:val="8"/>
        </w:numPr>
        <w:ind w:left="567" w:hanging="567"/>
      </w:pPr>
      <w:r w:rsidRPr="00606FF6">
        <w:lastRenderedPageBreak/>
        <w:t>What assistance is available to help with the action research requirements of the grant</w:t>
      </w:r>
      <w:r>
        <w:t>?</w:t>
      </w:r>
    </w:p>
    <w:p w:rsidR="000636C9" w:rsidRDefault="000636C9" w:rsidP="000636C9">
      <w:pPr>
        <w:pStyle w:val="BodyText"/>
      </w:pPr>
      <w:r>
        <w:t>The Department will engage a specialist research organisation to provide assistance and support to successful applicants.  This support will cover designing the research, undertaking action research and documenting/publishing information about the project and its outcomes. Details of the agreed support are expected to be provided to successful applicants by the time grant agreements executed.</w:t>
      </w:r>
    </w:p>
    <w:p w:rsidR="000636C9" w:rsidRDefault="000636C9" w:rsidP="00BE2B7C">
      <w:pPr>
        <w:pStyle w:val="BodyText"/>
      </w:pPr>
      <w:r w:rsidRPr="00BD714C">
        <w:rPr>
          <w:color w:val="auto"/>
        </w:rPr>
        <w:t>As part of the action research support arrangements</w:t>
      </w:r>
      <w:r>
        <w:rPr>
          <w:color w:val="auto"/>
        </w:rPr>
        <w:t>,</w:t>
      </w:r>
      <w:r w:rsidRPr="00BD714C">
        <w:rPr>
          <w:color w:val="auto"/>
        </w:rPr>
        <w:t xml:space="preserve"> successful organisations </w:t>
      </w:r>
      <w:r>
        <w:rPr>
          <w:color w:val="auto"/>
        </w:rPr>
        <w:t>may</w:t>
      </w:r>
      <w:r w:rsidRPr="00BD714C">
        <w:rPr>
          <w:color w:val="auto"/>
        </w:rPr>
        <w:t xml:space="preserve"> be required to participate in up to three fac</w:t>
      </w:r>
      <w:r>
        <w:rPr>
          <w:color w:val="auto"/>
        </w:rPr>
        <w:t>e-to-</w:t>
      </w:r>
      <w:r w:rsidRPr="00BD714C">
        <w:rPr>
          <w:color w:val="auto"/>
        </w:rPr>
        <w:t>face workshops and would need to meet the cost of attendance of these from their grant funding.</w:t>
      </w:r>
    </w:p>
    <w:p w:rsidR="000636C9" w:rsidRPr="00B640E8" w:rsidRDefault="000636C9" w:rsidP="00F2038B">
      <w:pPr>
        <w:pStyle w:val="Heading2"/>
        <w:numPr>
          <w:ilvl w:val="0"/>
          <w:numId w:val="8"/>
        </w:numPr>
        <w:ind w:left="567" w:hanging="567"/>
        <w:rPr>
          <w:rFonts w:eastAsia="Calibri"/>
        </w:rPr>
      </w:pPr>
      <w:r w:rsidRPr="00B640E8">
        <w:rPr>
          <w:rFonts w:eastAsia="Calibri"/>
        </w:rPr>
        <w:t>Who will organise face-to-face discussions and where and when will they be held?</w:t>
      </w:r>
    </w:p>
    <w:p w:rsidR="000636C9" w:rsidRPr="00DE712A" w:rsidRDefault="000636C9" w:rsidP="000636C9">
      <w:pPr>
        <w:pStyle w:val="BodyText"/>
      </w:pPr>
      <w:r w:rsidRPr="00DE712A">
        <w:t>The research organisations will facilitate these discussions once applicants have been found successful. Further information will be given to successful applicants as soon as viable.</w:t>
      </w:r>
    </w:p>
    <w:p w:rsidR="004F60D5" w:rsidRDefault="004F60D5" w:rsidP="00F2038B">
      <w:pPr>
        <w:pStyle w:val="Heading2"/>
        <w:numPr>
          <w:ilvl w:val="0"/>
          <w:numId w:val="8"/>
        </w:numPr>
        <w:ind w:left="567" w:hanging="567"/>
      </w:pPr>
      <w:r w:rsidRPr="00606FF6">
        <w:t>The requirements also say information has to be published during the project.  What</w:t>
      </w:r>
      <w:r w:rsidRPr="00606FF6">
        <w:rPr>
          <w:b w:val="0"/>
          <w:bCs w:val="0"/>
        </w:rPr>
        <w:t xml:space="preserve"> </w:t>
      </w:r>
      <w:r w:rsidRPr="00606FF6">
        <w:t>does this mean</w:t>
      </w:r>
      <w:r w:rsidRPr="00606FF6">
        <w:rPr>
          <w:b w:val="0"/>
          <w:bCs w:val="0"/>
        </w:rPr>
        <w:t>?</w:t>
      </w:r>
    </w:p>
    <w:p w:rsidR="004F60D5" w:rsidRDefault="004F60D5" w:rsidP="004F60D5">
      <w:pPr>
        <w:pStyle w:val="BodyText"/>
      </w:pPr>
      <w:r>
        <w:t>As part of the grant requirements, funded organisations will be required to make information about their activities available to other organisations and communities.  This includes other</w:t>
      </w:r>
      <w:r w:rsidR="00D36051">
        <w:t xml:space="preserve"> organisations delivering projects funded under this grant round</w:t>
      </w:r>
      <w:r>
        <w:t xml:space="preserve"> as well as other service providers or organisations interested in </w:t>
      </w:r>
      <w:r w:rsidR="00552D5A">
        <w:t>developing and/or implementing locally-led solutions to reduce violence against women and their children</w:t>
      </w:r>
      <w:r>
        <w:t>.</w:t>
      </w:r>
    </w:p>
    <w:p w:rsidR="004F60D5" w:rsidRDefault="004F60D5" w:rsidP="004F60D5">
      <w:pPr>
        <w:pStyle w:val="BodyText"/>
      </w:pPr>
      <w:r>
        <w:t>It is anticipated this could include information about the activities being planned and undertaken, how organisations went about working together, case studies and lessons learnt.  Outcomes from the action research would form a key part of the information to be shared.</w:t>
      </w:r>
    </w:p>
    <w:p w:rsidR="004F60D5" w:rsidRDefault="004F60D5" w:rsidP="004F60D5">
      <w:pPr>
        <w:pStyle w:val="BodyText"/>
      </w:pPr>
      <w:r>
        <w:t>The form</w:t>
      </w:r>
      <w:r w:rsidR="002E43DD">
        <w:t>at in which this</w:t>
      </w:r>
      <w:r>
        <w:t xml:space="preserve"> information is published could also vary.  </w:t>
      </w:r>
      <w:r w:rsidR="00B16E09">
        <w:t>Options</w:t>
      </w:r>
      <w:r>
        <w:t xml:space="preserve"> include written documents, charts, diagrams, videos, or recordings.</w:t>
      </w:r>
    </w:p>
    <w:p w:rsidR="004F60D5" w:rsidRPr="00606FF6" w:rsidRDefault="004F60D5" w:rsidP="004F60D5">
      <w:pPr>
        <w:pStyle w:val="BodyText"/>
      </w:pPr>
      <w:r>
        <w:t xml:space="preserve">The Department is also considering how </w:t>
      </w:r>
      <w:r w:rsidR="00B16E09">
        <w:t>the information</w:t>
      </w:r>
      <w:r>
        <w:t xml:space="preserve"> may also be made available and promoted through other websites, including the </w:t>
      </w:r>
      <w:r w:rsidR="00B16E09">
        <w:t xml:space="preserve">website of the </w:t>
      </w:r>
      <w:r>
        <w:t xml:space="preserve">organisation engaged to </w:t>
      </w:r>
      <w:r w:rsidR="00B16E09">
        <w:t>deliver the action research component</w:t>
      </w:r>
      <w:r>
        <w:t>.</w:t>
      </w:r>
    </w:p>
    <w:p w:rsidR="000636C9" w:rsidRPr="00496141" w:rsidRDefault="000636C9" w:rsidP="00F2038B">
      <w:pPr>
        <w:pStyle w:val="Heading2"/>
        <w:numPr>
          <w:ilvl w:val="0"/>
          <w:numId w:val="8"/>
        </w:numPr>
        <w:ind w:left="567" w:hanging="567"/>
        <w:rPr>
          <w:rFonts w:eastAsia="Calibri"/>
        </w:rPr>
      </w:pPr>
      <w:r w:rsidRPr="00496141">
        <w:rPr>
          <w:rFonts w:eastAsia="Calibri"/>
        </w:rPr>
        <w:t>What are the contract conditions for this grant?</w:t>
      </w:r>
    </w:p>
    <w:p w:rsidR="000636C9" w:rsidRPr="00496141" w:rsidRDefault="000636C9" w:rsidP="000636C9">
      <w:r w:rsidRPr="00496141">
        <w:t xml:space="preserve">A copy of the Terms and Conditions for </w:t>
      </w:r>
      <w:r>
        <w:t>the Grant Agreement</w:t>
      </w:r>
      <w:r w:rsidRPr="00496141">
        <w:t xml:space="preserve"> is included in the Application Pack.</w:t>
      </w:r>
    </w:p>
    <w:p w:rsidR="004F60D5" w:rsidRPr="00496141" w:rsidRDefault="004F60D5" w:rsidP="00F2038B">
      <w:pPr>
        <w:pStyle w:val="Heading2"/>
        <w:numPr>
          <w:ilvl w:val="0"/>
          <w:numId w:val="8"/>
        </w:numPr>
        <w:ind w:left="567" w:hanging="567"/>
        <w:rPr>
          <w:rFonts w:eastAsia="Calibri"/>
        </w:rPr>
      </w:pPr>
      <w:r w:rsidRPr="00496141">
        <w:rPr>
          <w:rFonts w:eastAsia="Calibri"/>
        </w:rPr>
        <w:t>When will I know the outcome of my application?</w:t>
      </w:r>
    </w:p>
    <w:p w:rsidR="00496141" w:rsidRPr="00496141" w:rsidRDefault="004F60D5" w:rsidP="00496141">
      <w:pPr>
        <w:pStyle w:val="BodyText"/>
      </w:pPr>
      <w:r w:rsidRPr="00496141">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r w:rsidR="00496141" w:rsidRPr="00496141">
        <w:t>.</w:t>
      </w:r>
    </w:p>
    <w:p w:rsidR="00496141" w:rsidRPr="00F40238" w:rsidRDefault="00496141" w:rsidP="00F2038B">
      <w:pPr>
        <w:pStyle w:val="Heading2"/>
        <w:numPr>
          <w:ilvl w:val="0"/>
          <w:numId w:val="8"/>
        </w:numPr>
        <w:ind w:left="567" w:hanging="567"/>
        <w:rPr>
          <w:rFonts w:eastAsia="Calibri"/>
        </w:rPr>
      </w:pPr>
      <w:r w:rsidRPr="00F40238">
        <w:rPr>
          <w:rFonts w:eastAsia="Calibri"/>
        </w:rPr>
        <w:t>What Feedback will be available for this funding round</w:t>
      </w:r>
      <w:r w:rsidR="00F5530D">
        <w:rPr>
          <w:rFonts w:eastAsia="Calibri"/>
        </w:rPr>
        <w:t>?</w:t>
      </w:r>
      <w:r w:rsidRPr="00F40238">
        <w:rPr>
          <w:rFonts w:eastAsia="Calibri"/>
        </w:rPr>
        <w:t xml:space="preserve"> </w:t>
      </w:r>
    </w:p>
    <w:p w:rsidR="00D969F3" w:rsidRPr="00496141" w:rsidRDefault="00D969F3" w:rsidP="00D969F3">
      <w:pPr>
        <w:pStyle w:val="BodyText"/>
        <w:rPr>
          <w:rFonts w:eastAsia="Calibri" w:cs="Arial"/>
          <w:spacing w:val="5"/>
        </w:rPr>
      </w:pPr>
      <w:r>
        <w:t>A</w:t>
      </w:r>
      <w:r w:rsidRPr="00496141">
        <w:t xml:space="preserve"> Feedback Summary will be published on the </w:t>
      </w:r>
      <w:r>
        <w:t xml:space="preserve">Community Grants Hub </w:t>
      </w:r>
      <w:r w:rsidRPr="00496141">
        <w:t>website following the finalisation of the funding round.</w:t>
      </w:r>
    </w:p>
    <w:p w:rsidR="00496141" w:rsidRPr="00496141" w:rsidRDefault="00496141" w:rsidP="00496141">
      <w:pPr>
        <w:pStyle w:val="BodyText"/>
      </w:pPr>
      <w:r w:rsidRPr="00F40238">
        <w:rPr>
          <w:rFonts w:eastAsia="Calibri" w:cs="Arial"/>
        </w:rPr>
        <w:t xml:space="preserve">The Feedback Summary will provide general round-specific information </w:t>
      </w:r>
      <w:r w:rsidRPr="00F40238">
        <w:t>and will include main strengths and</w:t>
      </w:r>
      <w:r w:rsidRPr="00496141">
        <w:t xml:space="preserve"> areas of improvement for the applications received in this round.</w:t>
      </w:r>
    </w:p>
    <w:p w:rsidR="004F60D5" w:rsidRPr="00496141" w:rsidRDefault="004F60D5" w:rsidP="00F2038B">
      <w:pPr>
        <w:pStyle w:val="Heading2"/>
        <w:numPr>
          <w:ilvl w:val="0"/>
          <w:numId w:val="8"/>
        </w:numPr>
        <w:ind w:left="567" w:hanging="567"/>
        <w:rPr>
          <w:rFonts w:eastAsia="Calibri"/>
        </w:rPr>
      </w:pPr>
      <w:r w:rsidRPr="00496141">
        <w:rPr>
          <w:rFonts w:eastAsia="Calibri"/>
        </w:rPr>
        <w:lastRenderedPageBreak/>
        <w:t>Where should I go for further information?</w:t>
      </w:r>
    </w:p>
    <w:p w:rsidR="00D43E1A" w:rsidRPr="003A61AE" w:rsidRDefault="00D43E1A" w:rsidP="00D43E1A">
      <w:r w:rsidRPr="003A61AE">
        <w:t xml:space="preserve">If you </w:t>
      </w:r>
      <w:r>
        <w:t>would like help</w:t>
      </w:r>
      <w:r w:rsidRPr="003A61AE">
        <w:t xml:space="preserve"> or support in using and/or submitting the Application Form, please call 1</w:t>
      </w:r>
      <w:r>
        <w:t xml:space="preserve">800 020 283 or TTY 1800 555 677 or email </w:t>
      </w:r>
      <w:hyperlink r:id="rId14" w:history="1">
        <w:r>
          <w:rPr>
            <w:rStyle w:val="Hyperlink"/>
          </w:rPr>
          <w:t>support@communitygrants.gov.au</w:t>
        </w:r>
      </w:hyperlink>
      <w:r w:rsidRPr="00215057">
        <w:t>.</w:t>
      </w:r>
    </w:p>
    <w:p w:rsidR="008F1548" w:rsidRDefault="008F1548" w:rsidP="008F1548">
      <w:pPr>
        <w:pStyle w:val="BodyText"/>
        <w:spacing w:before="400"/>
      </w:pPr>
      <w:r w:rsidRPr="00EE0837">
        <w:rPr>
          <w:rFonts w:eastAsia="Arial"/>
          <w:b/>
          <w:color w:val="000000"/>
          <w:sz w:val="24"/>
          <w:szCs w:val="24"/>
        </w:rPr>
        <w:t>New Question</w:t>
      </w:r>
      <w:r w:rsidR="00260B65">
        <w:rPr>
          <w:rFonts w:eastAsia="Arial"/>
          <w:b/>
          <w:color w:val="000000"/>
          <w:sz w:val="24"/>
          <w:szCs w:val="24"/>
        </w:rPr>
        <w:t xml:space="preserve"> and Answer</w:t>
      </w:r>
      <w:r w:rsidRPr="00EE0837">
        <w:rPr>
          <w:rFonts w:eastAsia="Arial"/>
          <w:b/>
          <w:color w:val="000000"/>
          <w:sz w:val="24"/>
          <w:szCs w:val="24"/>
        </w:rPr>
        <w:t xml:space="preserve"> added </w:t>
      </w:r>
      <w:r>
        <w:rPr>
          <w:rFonts w:eastAsia="Arial"/>
          <w:b/>
          <w:color w:val="000000"/>
          <w:sz w:val="24"/>
          <w:szCs w:val="24"/>
        </w:rPr>
        <w:t>24</w:t>
      </w:r>
      <w:r w:rsidRPr="00552C73">
        <w:rPr>
          <w:rFonts w:eastAsia="Arial"/>
          <w:b/>
          <w:color w:val="000000"/>
          <w:sz w:val="24"/>
          <w:szCs w:val="24"/>
        </w:rPr>
        <w:t xml:space="preserve"> April 2017</w:t>
      </w:r>
      <w:r>
        <w:t xml:space="preserve"> </w:t>
      </w:r>
    </w:p>
    <w:p w:rsidR="008F1548" w:rsidRPr="008F1548" w:rsidRDefault="008F1548" w:rsidP="008F1548">
      <w:pPr>
        <w:pStyle w:val="Heading2"/>
        <w:numPr>
          <w:ilvl w:val="0"/>
          <w:numId w:val="8"/>
        </w:numPr>
        <w:ind w:left="567" w:hanging="567"/>
        <w:rPr>
          <w:rFonts w:eastAsia="Calibri"/>
        </w:rPr>
      </w:pPr>
      <w:r w:rsidRPr="008F1548">
        <w:rPr>
          <w:rFonts w:eastAsia="Calibri"/>
        </w:rPr>
        <w:t>Please would you advise if Aboriginal communities are regarded as CALD communities for the purposes of the CALD Communities Leading Prevention grant?</w:t>
      </w:r>
    </w:p>
    <w:p w:rsidR="008F1548" w:rsidRDefault="008F1548" w:rsidP="00C37478">
      <w:pPr>
        <w:spacing w:before="120"/>
      </w:pPr>
      <w:r>
        <w:t>Question 10 above defines the term ‘CALD community.</w:t>
      </w:r>
    </w:p>
    <w:p w:rsidR="008F1548" w:rsidRDefault="00C37478" w:rsidP="00C37478">
      <w:pPr>
        <w:spacing w:before="120"/>
        <w:jc w:val="both"/>
      </w:pPr>
      <w:r>
        <w:t>Yes, a</w:t>
      </w:r>
      <w:r w:rsidR="008F1548">
        <w:t xml:space="preserve">pplications from Aboriginal and Torres Strait Islander communities will be accepted as part of the </w:t>
      </w:r>
      <w:r w:rsidR="008F1548">
        <w:rPr>
          <w:i/>
          <w:iCs/>
        </w:rPr>
        <w:t>Culturally and Linguistically Diverse (CALD) Communities Leading Prevention</w:t>
      </w:r>
      <w:r w:rsidR="008F1548">
        <w:t xml:space="preserve"> (</w:t>
      </w:r>
      <w:r w:rsidR="008F1548">
        <w:rPr>
          <w:rStyle w:val="Strong"/>
          <w:b w:val="0"/>
          <w:bCs w:val="0"/>
          <w:lang w:val="en"/>
        </w:rPr>
        <w:t>2016-916</w:t>
      </w:r>
      <w:r w:rsidR="008F1548">
        <w:t xml:space="preserve">) open round as DSS acknowledges that diversity can and often does occur within and across communities. </w:t>
      </w:r>
    </w:p>
    <w:p w:rsidR="008F1548" w:rsidRDefault="008F1548" w:rsidP="00C37478">
      <w:pPr>
        <w:spacing w:before="120"/>
        <w:jc w:val="both"/>
      </w:pPr>
      <w:r>
        <w:t>The aim of this open round is to support communities to drive sustainable changes in awareness, attitudes and behaviours that lead to or contribute to violence against women and their children. DSS encourages proposals from community groups which identify the ways diverse groups can be brought together to address violence against women in particular locations.</w:t>
      </w:r>
    </w:p>
    <w:p w:rsidR="008F1548" w:rsidRDefault="008F1548" w:rsidP="00C37478">
      <w:pPr>
        <w:spacing w:before="120"/>
        <w:jc w:val="both"/>
      </w:pPr>
      <w:r>
        <w:t xml:space="preserve">For more information about applicant eligibility, please refer to this section in the Funding Round Summary. </w:t>
      </w:r>
    </w:p>
    <w:p w:rsidR="00C2174D" w:rsidRDefault="00C2174D" w:rsidP="00C2174D">
      <w:pPr>
        <w:pStyle w:val="BodyText"/>
        <w:spacing w:before="400"/>
      </w:pPr>
      <w:r w:rsidRPr="00EE0837">
        <w:rPr>
          <w:rFonts w:eastAsia="Arial"/>
          <w:b/>
          <w:color w:val="000000"/>
          <w:sz w:val="24"/>
          <w:szCs w:val="24"/>
        </w:rPr>
        <w:t>New Question</w:t>
      </w:r>
      <w:r w:rsidR="00412716">
        <w:rPr>
          <w:rFonts w:eastAsia="Arial"/>
          <w:b/>
          <w:color w:val="000000"/>
          <w:sz w:val="24"/>
          <w:szCs w:val="24"/>
        </w:rPr>
        <w:t>s</w:t>
      </w:r>
      <w:r>
        <w:rPr>
          <w:rFonts w:eastAsia="Arial"/>
          <w:b/>
          <w:color w:val="000000"/>
          <w:sz w:val="24"/>
          <w:szCs w:val="24"/>
        </w:rPr>
        <w:t xml:space="preserve"> and Answer</w:t>
      </w:r>
      <w:r w:rsidR="00412716">
        <w:rPr>
          <w:rFonts w:eastAsia="Arial"/>
          <w:b/>
          <w:color w:val="000000"/>
          <w:sz w:val="24"/>
          <w:szCs w:val="24"/>
        </w:rPr>
        <w:t xml:space="preserve">s </w:t>
      </w:r>
      <w:r w:rsidRPr="00EE0837">
        <w:rPr>
          <w:rFonts w:eastAsia="Arial"/>
          <w:b/>
          <w:color w:val="000000"/>
          <w:sz w:val="24"/>
          <w:szCs w:val="24"/>
        </w:rPr>
        <w:t xml:space="preserve">added </w:t>
      </w:r>
      <w:r>
        <w:rPr>
          <w:rFonts w:eastAsia="Arial"/>
          <w:b/>
          <w:color w:val="000000"/>
          <w:sz w:val="24"/>
          <w:szCs w:val="24"/>
        </w:rPr>
        <w:t>18 May</w:t>
      </w:r>
      <w:r w:rsidRPr="00552C73">
        <w:rPr>
          <w:rFonts w:eastAsia="Arial"/>
          <w:b/>
          <w:color w:val="000000"/>
          <w:sz w:val="24"/>
          <w:szCs w:val="24"/>
        </w:rPr>
        <w:t xml:space="preserve"> 2017</w:t>
      </w:r>
      <w:r>
        <w:t xml:space="preserve"> </w:t>
      </w:r>
    </w:p>
    <w:p w:rsidR="00C2174D" w:rsidRPr="00C2174D" w:rsidRDefault="00C2174D" w:rsidP="00C2174D">
      <w:pPr>
        <w:pStyle w:val="Heading2"/>
        <w:numPr>
          <w:ilvl w:val="0"/>
          <w:numId w:val="8"/>
        </w:numPr>
        <w:ind w:left="567" w:hanging="567"/>
        <w:rPr>
          <w:rFonts w:eastAsia="Calibri"/>
        </w:rPr>
      </w:pPr>
      <w:r w:rsidRPr="00C2174D">
        <w:rPr>
          <w:rFonts w:eastAsia="Calibri"/>
        </w:rPr>
        <w:t>Will workshops be held in WA or the Eastern State, hence not sure how to budget for these within the grant funds.</w:t>
      </w:r>
      <w:r>
        <w:rPr>
          <w:rFonts w:eastAsia="Calibri"/>
        </w:rPr>
        <w:t xml:space="preserve"> </w:t>
      </w:r>
      <w:r w:rsidRPr="00C2174D">
        <w:rPr>
          <w:rFonts w:eastAsia="Calibri"/>
        </w:rPr>
        <w:t xml:space="preserve">“When developing the budget the applicant will need to allocate a certain amount towards attendance of the workshops.” </w:t>
      </w:r>
    </w:p>
    <w:p w:rsidR="00C2174D" w:rsidRDefault="00C2174D" w:rsidP="00C2174D"/>
    <w:p w:rsidR="00C2174D" w:rsidRPr="00C2174D" w:rsidRDefault="00C2174D" w:rsidP="00C2174D">
      <w:r w:rsidRPr="00C2174D">
        <w:t>The research organisation will facilitate these discussions once applicants have been found successful, and workshop locations may be influenced by the location of successful projects. It is likely that interstate travel will be required 2-3 times throughout the life of the project. Further information will be given to successful applicants as soon as viable.</w:t>
      </w:r>
    </w:p>
    <w:p w:rsidR="00C2174D" w:rsidRPr="00C2174D" w:rsidRDefault="00C2174D" w:rsidP="00C2174D">
      <w:pPr>
        <w:pStyle w:val="Heading2"/>
        <w:numPr>
          <w:ilvl w:val="0"/>
          <w:numId w:val="8"/>
        </w:numPr>
        <w:ind w:left="567" w:hanging="567"/>
        <w:rPr>
          <w:rFonts w:eastAsia="Calibri"/>
        </w:rPr>
      </w:pPr>
      <w:r w:rsidRPr="00C2174D">
        <w:rPr>
          <w:rFonts w:eastAsia="Calibri"/>
        </w:rPr>
        <w:t xml:space="preserve">What is the approximate cost of attending workshops if in WA? </w:t>
      </w:r>
    </w:p>
    <w:p w:rsidR="00C2174D" w:rsidRDefault="00C2174D" w:rsidP="00C2174D"/>
    <w:p w:rsidR="00C2174D" w:rsidRDefault="00C2174D" w:rsidP="00C2174D">
      <w:r w:rsidRPr="00C2174D">
        <w:t>When budgeting for workshop attendance, applicants should consider that there is no attendance fee. Costs to attend will be travel related only (for example flights, accommodation and meals).</w:t>
      </w:r>
    </w:p>
    <w:p w:rsidR="00AD6026" w:rsidRDefault="00AD6026">
      <w:pPr>
        <w:spacing w:line="240" w:lineRule="auto"/>
        <w:rPr>
          <w:rFonts w:eastAsia="Arial"/>
          <w:b/>
          <w:color w:val="000000"/>
          <w:sz w:val="24"/>
          <w:szCs w:val="24"/>
        </w:rPr>
      </w:pPr>
      <w:r>
        <w:rPr>
          <w:rFonts w:eastAsia="Arial"/>
          <w:b/>
          <w:color w:val="000000"/>
          <w:sz w:val="24"/>
          <w:szCs w:val="24"/>
        </w:rPr>
        <w:br w:type="page"/>
      </w:r>
    </w:p>
    <w:p w:rsidR="00AD6026" w:rsidRDefault="00AD6026" w:rsidP="00AD6026">
      <w:pPr>
        <w:pStyle w:val="BodyText"/>
        <w:spacing w:before="400"/>
      </w:pPr>
      <w:r w:rsidRPr="00EE0837">
        <w:rPr>
          <w:rFonts w:eastAsia="Arial"/>
          <w:b/>
          <w:color w:val="000000"/>
          <w:sz w:val="24"/>
          <w:szCs w:val="24"/>
        </w:rPr>
        <w:lastRenderedPageBreak/>
        <w:t>New Question</w:t>
      </w:r>
      <w:r w:rsidR="008E275E">
        <w:rPr>
          <w:rFonts w:eastAsia="Arial"/>
          <w:b/>
          <w:color w:val="000000"/>
          <w:sz w:val="24"/>
          <w:szCs w:val="24"/>
        </w:rPr>
        <w:t>s</w:t>
      </w:r>
      <w:r>
        <w:rPr>
          <w:rFonts w:eastAsia="Arial"/>
          <w:b/>
          <w:color w:val="000000"/>
          <w:sz w:val="24"/>
          <w:szCs w:val="24"/>
        </w:rPr>
        <w:t xml:space="preserve"> and Answer</w:t>
      </w:r>
      <w:r w:rsidR="008E275E">
        <w:rPr>
          <w:rFonts w:eastAsia="Arial"/>
          <w:b/>
          <w:color w:val="000000"/>
          <w:sz w:val="24"/>
          <w:szCs w:val="24"/>
        </w:rPr>
        <w:t>s</w:t>
      </w:r>
      <w:r>
        <w:rPr>
          <w:rFonts w:eastAsia="Arial"/>
          <w:b/>
          <w:color w:val="000000"/>
          <w:sz w:val="24"/>
          <w:szCs w:val="24"/>
        </w:rPr>
        <w:t xml:space="preserve"> </w:t>
      </w:r>
      <w:r w:rsidRPr="00EE0837">
        <w:rPr>
          <w:rFonts w:eastAsia="Arial"/>
          <w:b/>
          <w:color w:val="000000"/>
          <w:sz w:val="24"/>
          <w:szCs w:val="24"/>
        </w:rPr>
        <w:t xml:space="preserve">added </w:t>
      </w:r>
      <w:r>
        <w:rPr>
          <w:rFonts w:eastAsia="Arial"/>
          <w:b/>
          <w:color w:val="000000"/>
          <w:sz w:val="24"/>
          <w:szCs w:val="24"/>
        </w:rPr>
        <w:t>19 May</w:t>
      </w:r>
      <w:r w:rsidRPr="00552C73">
        <w:rPr>
          <w:rFonts w:eastAsia="Arial"/>
          <w:b/>
          <w:color w:val="000000"/>
          <w:sz w:val="24"/>
          <w:szCs w:val="24"/>
        </w:rPr>
        <w:t xml:space="preserve"> 2017</w:t>
      </w:r>
      <w:r>
        <w:t xml:space="preserve"> </w:t>
      </w:r>
    </w:p>
    <w:p w:rsidR="00AD6026" w:rsidRDefault="00AD6026" w:rsidP="00AD6026">
      <w:pPr>
        <w:pStyle w:val="BodyText"/>
      </w:pPr>
    </w:p>
    <w:p w:rsidR="00AD6026" w:rsidRPr="006A3615" w:rsidRDefault="00AD6026" w:rsidP="00AD6026">
      <w:pPr>
        <w:pStyle w:val="Heading2"/>
        <w:numPr>
          <w:ilvl w:val="0"/>
          <w:numId w:val="8"/>
        </w:numPr>
        <w:ind w:left="567" w:hanging="567"/>
        <w:rPr>
          <w:rFonts w:eastAsia="Calibri"/>
        </w:rPr>
      </w:pPr>
      <w:r w:rsidRPr="006A3615">
        <w:rPr>
          <w:rFonts w:eastAsia="Calibri"/>
        </w:rPr>
        <w:t>People with deafblindness (combined vision and hearing impairment) are a group that are very much a linguistically diverse. Because of the need for 2 interpreters for Deafblind people at any one time because feeling Auslan signs is more intensive than watching Auslan signs, interpreters need to change continuously during any conversation according to OH&amp;S restrictions.  This means that Deafblind people must spend $220 per hour for this support, but due to slower speed it is more likely that 2 hours are needed for any interaction - $440. Deafblind people have been the neglected disability, so have been isolated from the community without this communication. Therefore I am asking that you consider this disability within your linguistically diverse funding to allow inclusion in the community. Deafblindness is known throughout the world as the most isolating of all disabilities, we receive 90% of our information through our eyes and our ears, so a deficit or complete loss in both causes a massive problem.</w:t>
      </w:r>
    </w:p>
    <w:p w:rsidR="00AD6026" w:rsidRDefault="00AD6026" w:rsidP="00AD6026"/>
    <w:p w:rsidR="00AD6026" w:rsidRPr="006A3615" w:rsidRDefault="00AD6026" w:rsidP="00AD6026">
      <w:r w:rsidRPr="006A3615">
        <w:t>As outlined in the Funding Round Summary and Questions and Answers documents on the Community Grants Hub website, for the purposes of this grant, the term ‘CALD community’ refers to either:</w:t>
      </w:r>
    </w:p>
    <w:p w:rsidR="00AD6026" w:rsidRDefault="00AD6026" w:rsidP="00AD6026">
      <w:pPr>
        <w:pStyle w:val="ListParagraph"/>
        <w:numPr>
          <w:ilvl w:val="1"/>
          <w:numId w:val="8"/>
        </w:numPr>
        <w:ind w:left="720"/>
      </w:pPr>
      <w:r w:rsidRPr="006A3615">
        <w:t>a cultural or religious group that doesn’t necessarily live in the same local area, or</w:t>
      </w:r>
    </w:p>
    <w:p w:rsidR="00AD6026" w:rsidRPr="006A3615" w:rsidRDefault="00AD6026" w:rsidP="00AD6026">
      <w:pPr>
        <w:pStyle w:val="ListParagraph"/>
        <w:numPr>
          <w:ilvl w:val="1"/>
          <w:numId w:val="8"/>
        </w:numPr>
        <w:ind w:left="720"/>
      </w:pPr>
      <w:r w:rsidRPr="006A3615">
        <w:t xml:space="preserve">a geographical location with significant numbers of people born overseas in countries other than the main English speaking countries. </w:t>
      </w:r>
    </w:p>
    <w:p w:rsidR="00AD6026" w:rsidRPr="006A3615" w:rsidRDefault="00AD6026" w:rsidP="00AD6026"/>
    <w:p w:rsidR="00AD6026" w:rsidRPr="006A3615" w:rsidRDefault="00AD6026" w:rsidP="00AD6026">
      <w:r w:rsidRPr="006A3615">
        <w:t>Therefore, although the Department recognises the linguistic diversity of people with deafblindness, they do not meet the definition of a CALD community for this grant round.</w:t>
      </w:r>
    </w:p>
    <w:p w:rsidR="00AD6026" w:rsidRPr="006A3615" w:rsidRDefault="00AD6026" w:rsidP="00AD6026"/>
    <w:p w:rsidR="00AD6026" w:rsidRPr="006A3615" w:rsidRDefault="00AD6026" w:rsidP="00AD6026">
      <w:r w:rsidRPr="006A3615">
        <w:t xml:space="preserve">It should also be noted that the grant aims to engage communities in prevention of violence against women – by driving sustainable changes in awareness, attitudes and behaviours that lead to or contribute to violence. It is not focused on services, support, or removing barriers to accessing these. </w:t>
      </w:r>
    </w:p>
    <w:p w:rsidR="00AD6026" w:rsidRPr="006A3615" w:rsidRDefault="00AD6026" w:rsidP="00AD6026"/>
    <w:p w:rsidR="00AD6026" w:rsidRDefault="00AD6026" w:rsidP="00C2174D">
      <w:r w:rsidRPr="006A3615">
        <w:t>Under the Third Action Plan (2016-2019) of the National Plan to Reduce Violence against Women and their Children 2010-2022, there is a particular focus on supporting vulnerable cohorts who may face additional barriers to accessing support, which includes CALD women and women with disability. As such, I would suggest that organisations that support these cohorts continue to monitor the Community Grants Hub Website and the Aus Tender website for advertised future funding opportunities as they become available.</w:t>
      </w:r>
    </w:p>
    <w:p w:rsidR="008E275E" w:rsidRPr="00C2174D" w:rsidRDefault="008E275E" w:rsidP="00C2174D"/>
    <w:p w:rsidR="008E275E" w:rsidRDefault="008E275E" w:rsidP="008E275E">
      <w:pPr>
        <w:pStyle w:val="Heading2"/>
        <w:numPr>
          <w:ilvl w:val="0"/>
          <w:numId w:val="8"/>
        </w:numPr>
        <w:ind w:left="567" w:hanging="567"/>
        <w:rPr>
          <w:rFonts w:eastAsia="Calibri"/>
        </w:rPr>
      </w:pPr>
      <w:r w:rsidRPr="008E275E">
        <w:rPr>
          <w:rFonts w:eastAsia="Calibri"/>
        </w:rPr>
        <w:lastRenderedPageBreak/>
        <w:t xml:space="preserve">The issue of domestic violence and its associated violence like FGM, human trafficking, and forced marriage in these communities can't be addressed by a one off funding. These issues are so complex and need ongoing intervention in these communities. It is not a one solution fits all here, and there must be full time individuals to continue with project activities for a meaningful change. </w:t>
      </w:r>
    </w:p>
    <w:p w:rsidR="008E275E" w:rsidRDefault="008E275E" w:rsidP="008E275E">
      <w:pPr>
        <w:pStyle w:val="Heading2"/>
        <w:ind w:left="567"/>
        <w:rPr>
          <w:rFonts w:eastAsia="Calibri"/>
        </w:rPr>
      </w:pPr>
      <w:r w:rsidRPr="008E275E">
        <w:rPr>
          <w:rFonts w:eastAsia="Calibri"/>
        </w:rPr>
        <w:t>Why is the funding non ongoing? Is it because it is assuming that the issue of domestic violence in these communities can be resolved during the life time of the funding project?</w:t>
      </w:r>
    </w:p>
    <w:p w:rsidR="008E275E" w:rsidRPr="008E275E" w:rsidRDefault="008E275E" w:rsidP="008E275E">
      <w:pPr>
        <w:pStyle w:val="Heading2"/>
        <w:ind w:left="567"/>
        <w:rPr>
          <w:rFonts w:eastAsia="Calibri"/>
        </w:rPr>
      </w:pPr>
      <w:bookmarkStart w:id="0" w:name="_GoBack"/>
      <w:bookmarkEnd w:id="0"/>
      <w:r w:rsidRPr="008E275E">
        <w:rPr>
          <w:rFonts w:eastAsia="Calibri"/>
        </w:rPr>
        <w:t>In relation to intellectual property</w:t>
      </w:r>
      <w:r>
        <w:rPr>
          <w:rFonts w:eastAsia="Calibri"/>
        </w:rPr>
        <w:t>, t</w:t>
      </w:r>
      <w:r w:rsidRPr="008E275E">
        <w:rPr>
          <w:rFonts w:eastAsia="Calibri"/>
        </w:rPr>
        <w:t>he funding recipient grants the Commonwealth a license to materials developed in performing the funding agreements. Is there any limit to this license at the completion of the project?</w:t>
      </w:r>
    </w:p>
    <w:p w:rsidR="008E275E" w:rsidRPr="008E275E" w:rsidRDefault="008E275E" w:rsidP="008E275E"/>
    <w:p w:rsidR="008E275E" w:rsidRPr="008E275E" w:rsidRDefault="008E275E" w:rsidP="008E275E">
      <w:r w:rsidRPr="008E275E">
        <w:t xml:space="preserve">The CALD Communities Leading Prevention grants round takes a locally-led, community-driven approach – in acknowledgement that violence against women and their children in CALD communities is complex and requires culturally specific and appropriate responses rather than a one size fits all approach. </w:t>
      </w:r>
    </w:p>
    <w:p w:rsidR="008E275E" w:rsidRPr="008E275E" w:rsidRDefault="008E275E" w:rsidP="008E275E"/>
    <w:p w:rsidR="008E275E" w:rsidRPr="008E275E" w:rsidRDefault="008E275E" w:rsidP="008E275E">
      <w:r w:rsidRPr="008E275E">
        <w:t xml:space="preserve">The grant aims to engage communities in prevention of violence against women – by driving sustainable changes in awareness, attitudes and behaviours that lead to or contribute to violence. It is not focused on services, support, or removing barriers to accessing these. </w:t>
      </w:r>
    </w:p>
    <w:p w:rsidR="008E275E" w:rsidRPr="008E275E" w:rsidRDefault="008E275E" w:rsidP="008E275E"/>
    <w:p w:rsidR="008E275E" w:rsidRPr="008E275E" w:rsidRDefault="008E275E" w:rsidP="008E275E">
      <w:r w:rsidRPr="008E275E">
        <w:t xml:space="preserve">While the funding for this grants round is non-ongoing, applicants should consider how the results of the project can be sustained or expanded upon after the conclusion of this funding. </w:t>
      </w:r>
    </w:p>
    <w:p w:rsidR="008E275E" w:rsidRPr="008E275E" w:rsidRDefault="008E275E" w:rsidP="008E275E"/>
    <w:p w:rsidR="008E275E" w:rsidRPr="008E275E" w:rsidRDefault="008E275E" w:rsidP="008E275E">
      <w:r w:rsidRPr="008E275E">
        <w:t>Successful applicants will participate in an action research component, which will involve working with a specialist research organisation contracted by DSS to:</w:t>
      </w:r>
    </w:p>
    <w:p w:rsidR="008E275E" w:rsidRPr="008E275E" w:rsidRDefault="008E275E" w:rsidP="008E275E">
      <w:pPr>
        <w:pStyle w:val="ListParagraph"/>
        <w:numPr>
          <w:ilvl w:val="1"/>
          <w:numId w:val="31"/>
        </w:numPr>
      </w:pPr>
      <w:r w:rsidRPr="008E275E">
        <w:t>document the implementation of the project, and reflect on lessons learnt; and</w:t>
      </w:r>
    </w:p>
    <w:p w:rsidR="008E275E" w:rsidRPr="008E275E" w:rsidRDefault="008E275E" w:rsidP="008E275E">
      <w:pPr>
        <w:pStyle w:val="ListParagraph"/>
        <w:numPr>
          <w:ilvl w:val="1"/>
          <w:numId w:val="31"/>
        </w:numPr>
      </w:pPr>
      <w:r w:rsidRPr="008E275E">
        <w:t xml:space="preserve">participate in discussions with other grant recipients to assist in information sharing. </w:t>
      </w:r>
    </w:p>
    <w:p w:rsidR="00513505" w:rsidRDefault="00513505" w:rsidP="008E275E"/>
    <w:p w:rsidR="008E275E" w:rsidRPr="008E275E" w:rsidRDefault="008E275E" w:rsidP="008E275E">
      <w:r w:rsidRPr="008E275E">
        <w:t>These experiences will be complied in a report to provide additional learnings to the sector. Organisations should continue to monitor the Community Grants Hub Website and the Aus Tender website for advertised future funding opportunities as they become available.</w:t>
      </w:r>
    </w:p>
    <w:p w:rsidR="008E275E" w:rsidRPr="008E275E" w:rsidRDefault="008E275E" w:rsidP="008E275E"/>
    <w:p w:rsidR="008E275E" w:rsidRPr="008E275E" w:rsidRDefault="008E275E" w:rsidP="008E275E">
      <w:r w:rsidRPr="008E275E">
        <w:t>Although there is no time limit for the licence that the funding recipient grants the Commonwealth, the licence is limited to use for Commonwealth purposes and excludes secret and sacred materials. Additionally, the funding recipient retains ownership of any material it brings into existence in performing the funding agreement.</w:t>
      </w:r>
    </w:p>
    <w:p w:rsidR="00C2174D" w:rsidRPr="00606FF6" w:rsidRDefault="00C2174D" w:rsidP="00C37478">
      <w:pPr>
        <w:pStyle w:val="BodyText"/>
      </w:pPr>
    </w:p>
    <w:sectPr w:rsidR="00C2174D" w:rsidRPr="00606FF6" w:rsidSect="00F172DD">
      <w:headerReference w:type="even" r:id="rId15"/>
      <w:headerReference w:type="default" r:id="rId16"/>
      <w:footerReference w:type="even" r:id="rId17"/>
      <w:footerReference w:type="default" r:id="rId18"/>
      <w:headerReference w:type="first" r:id="rId19"/>
      <w:footerReference w:type="first" r:id="rId20"/>
      <w:pgSz w:w="11906" w:h="16838" w:code="9"/>
      <w:pgMar w:top="823" w:right="1134" w:bottom="1247" w:left="1134" w:header="283" w:footer="48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79" w:rsidRDefault="00913179" w:rsidP="00772718">
      <w:pPr>
        <w:spacing w:line="240" w:lineRule="auto"/>
      </w:pPr>
      <w:r>
        <w:separator/>
      </w:r>
    </w:p>
  </w:endnote>
  <w:endnote w:type="continuationSeparator" w:id="0">
    <w:p w:rsidR="00913179" w:rsidRDefault="0091317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09" w:rsidRDefault="00B11B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495" w:rsidRDefault="00E13525">
    <w:pPr>
      <w:pStyle w:val="Footer"/>
    </w:pPr>
    <w:r>
      <w:fldChar w:fldCharType="begin"/>
    </w:r>
    <w:r>
      <w:instrText xml:space="preserve"> PAGE   \* MERGEFORMAT </w:instrText>
    </w:r>
    <w:r>
      <w:fldChar w:fldCharType="separate"/>
    </w:r>
    <w:r w:rsidR="00B66B98">
      <w:rPr>
        <w:noProof/>
      </w:rPr>
      <w:t>6</w:t>
    </w:r>
    <w:r>
      <w:fldChar w:fldCharType="end"/>
    </w:r>
    <w:r>
      <w:t xml:space="preserve">  </w:t>
    </w:r>
    <w:r w:rsidRPr="00A454BF">
      <w:t>|  Community Grants Hub</w:t>
    </w:r>
    <w:r w:rsidR="00496141">
      <w:t xml:space="preserve"> – Questions and Answers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D91B18">
    <w:pPr>
      <w:pStyle w:val="Footer"/>
    </w:pPr>
    <w:r>
      <w:fldChar w:fldCharType="begin"/>
    </w:r>
    <w:r>
      <w:instrText xml:space="preserve"> PAGE   \* MERGEFORMAT </w:instrText>
    </w:r>
    <w:r>
      <w:fldChar w:fldCharType="separate"/>
    </w:r>
    <w:r w:rsidR="00B66B98">
      <w:rPr>
        <w:noProof/>
      </w:rPr>
      <w:t>1</w:t>
    </w:r>
    <w:r>
      <w:fldChar w:fldCharType="end"/>
    </w:r>
    <w:r>
      <w:t xml:space="preserve">  </w:t>
    </w:r>
    <w:r w:rsidRPr="00A454BF">
      <w:t xml:space="preserve">|  </w:t>
    </w:r>
    <w:r w:rsidR="00496141">
      <w:t>Questions and Answers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79" w:rsidRDefault="00913179" w:rsidP="00772718">
      <w:pPr>
        <w:spacing w:line="240" w:lineRule="auto"/>
      </w:pPr>
      <w:r>
        <w:separator/>
      </w:r>
    </w:p>
  </w:footnote>
  <w:footnote w:type="continuationSeparator" w:id="0">
    <w:p w:rsidR="00913179" w:rsidRDefault="00913179" w:rsidP="00772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09" w:rsidRDefault="00B11B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09" w:rsidRDefault="00B11B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B18" w:rsidRDefault="00D91B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4937BE"/>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947E19"/>
    <w:multiLevelType w:val="hybridMultilevel"/>
    <w:tmpl w:val="185A98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467D70"/>
    <w:multiLevelType w:val="hybridMultilevel"/>
    <w:tmpl w:val="8C587774"/>
    <w:lvl w:ilvl="0" w:tplc="98C64D46">
      <w:numFmt w:val="bullet"/>
      <w:lvlText w:val=""/>
      <w:lvlJc w:val="left"/>
      <w:pPr>
        <w:ind w:left="720" w:hanging="360"/>
      </w:pPr>
      <w:rPr>
        <w:rFonts w:ascii="Symbol" w:eastAsiaTheme="minorHAnsi" w:hAnsi="Symbol" w:cs="Times New Roman" w:hint="default"/>
      </w:rPr>
    </w:lvl>
    <w:lvl w:ilvl="1" w:tplc="11E838D0">
      <w:numFmt w:val="bullet"/>
      <w:lvlText w:val="•"/>
      <w:lvlJc w:val="left"/>
      <w:pPr>
        <w:ind w:left="1890" w:hanging="81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3969BC"/>
    <w:multiLevelType w:val="hybridMultilevel"/>
    <w:tmpl w:val="8280E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3A4934"/>
    <w:multiLevelType w:val="hybridMultilevel"/>
    <w:tmpl w:val="E1924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E74512"/>
    <w:multiLevelType w:val="hybridMultilevel"/>
    <w:tmpl w:val="98F8F2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3C2BF0"/>
    <w:multiLevelType w:val="hybridMultilevel"/>
    <w:tmpl w:val="B2B2D8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A85387"/>
    <w:multiLevelType w:val="hybridMultilevel"/>
    <w:tmpl w:val="6C3A7E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27D84C6A"/>
    <w:multiLevelType w:val="hybridMultilevel"/>
    <w:tmpl w:val="615805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315647"/>
    <w:multiLevelType w:val="hybridMultilevel"/>
    <w:tmpl w:val="14D69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7105F0"/>
    <w:multiLevelType w:val="hybridMultilevel"/>
    <w:tmpl w:val="0D04C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1B7652"/>
    <w:multiLevelType w:val="hybridMultilevel"/>
    <w:tmpl w:val="50D442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nsid w:val="44AB12BB"/>
    <w:multiLevelType w:val="hybridMultilevel"/>
    <w:tmpl w:val="75781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B0E1627"/>
    <w:multiLevelType w:val="hybridMultilevel"/>
    <w:tmpl w:val="53624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2084180"/>
    <w:multiLevelType w:val="hybridMultilevel"/>
    <w:tmpl w:val="5E7C5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3872B9C"/>
    <w:multiLevelType w:val="hybridMultilevel"/>
    <w:tmpl w:val="52444E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867263E"/>
    <w:multiLevelType w:val="hybridMultilevel"/>
    <w:tmpl w:val="C5303D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B687777"/>
    <w:multiLevelType w:val="hybridMultilevel"/>
    <w:tmpl w:val="34981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FED3FC7"/>
    <w:multiLevelType w:val="hybridMultilevel"/>
    <w:tmpl w:val="88B2A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02248AB"/>
    <w:multiLevelType w:val="hybridMultilevel"/>
    <w:tmpl w:val="115E8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18F6B5D"/>
    <w:multiLevelType w:val="hybridMultilevel"/>
    <w:tmpl w:val="185A98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623132E"/>
    <w:multiLevelType w:val="hybridMultilevel"/>
    <w:tmpl w:val="B054F5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C8166B5"/>
    <w:multiLevelType w:val="hybridMultilevel"/>
    <w:tmpl w:val="222C4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1">
    <w:nsid w:val="6F2F1E1B"/>
    <w:multiLevelType w:val="hybridMultilevel"/>
    <w:tmpl w:val="615805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6B721A0"/>
    <w:multiLevelType w:val="hybridMultilevel"/>
    <w:tmpl w:val="6A547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C300CD1"/>
    <w:multiLevelType w:val="hybridMultilevel"/>
    <w:tmpl w:val="B4CEE4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 w:numId="2">
    <w:abstractNumId w:val="30"/>
  </w:num>
  <w:num w:numId="3">
    <w:abstractNumId w:val="10"/>
  </w:num>
  <w:num w:numId="4">
    <w:abstractNumId w:val="18"/>
  </w:num>
  <w:num w:numId="5">
    <w:abstractNumId w:val="17"/>
  </w:num>
  <w:num w:numId="6">
    <w:abstractNumId w:val="13"/>
  </w:num>
  <w:num w:numId="7">
    <w:abstractNumId w:val="1"/>
  </w:num>
  <w:num w:numId="8">
    <w:abstractNumId w:val="7"/>
  </w:num>
  <w:num w:numId="9">
    <w:abstractNumId w:val="15"/>
  </w:num>
  <w:num w:numId="10">
    <w:abstractNumId w:val="2"/>
  </w:num>
  <w:num w:numId="11">
    <w:abstractNumId w:val="19"/>
  </w:num>
  <w:num w:numId="12">
    <w:abstractNumId w:val="21"/>
  </w:num>
  <w:num w:numId="13">
    <w:abstractNumId w:val="12"/>
  </w:num>
  <w:num w:numId="14">
    <w:abstractNumId w:val="9"/>
  </w:num>
  <w:num w:numId="15">
    <w:abstractNumId w:val="20"/>
  </w:num>
  <w:num w:numId="16">
    <w:abstractNumId w:val="3"/>
  </w:num>
  <w:num w:numId="17">
    <w:abstractNumId w:val="27"/>
  </w:num>
  <w:num w:numId="18">
    <w:abstractNumId w:val="26"/>
  </w:num>
  <w:num w:numId="19">
    <w:abstractNumId w:val="24"/>
  </w:num>
  <w:num w:numId="20">
    <w:abstractNumId w:val="5"/>
  </w:num>
  <w:num w:numId="21">
    <w:abstractNumId w:val="8"/>
  </w:num>
  <w:num w:numId="22">
    <w:abstractNumId w:val="29"/>
  </w:num>
  <w:num w:numId="23">
    <w:abstractNumId w:val="23"/>
  </w:num>
  <w:num w:numId="24">
    <w:abstractNumId w:val="6"/>
  </w:num>
  <w:num w:numId="25">
    <w:abstractNumId w:val="22"/>
  </w:num>
  <w:num w:numId="26">
    <w:abstractNumId w:val="25"/>
  </w:num>
  <w:num w:numId="27">
    <w:abstractNumId w:val="16"/>
  </w:num>
  <w:num w:numId="28">
    <w:abstractNumId w:val="11"/>
  </w:num>
  <w:num w:numId="29">
    <w:abstractNumId w:val="31"/>
  </w:num>
  <w:num w:numId="30">
    <w:abstractNumId w:val="32"/>
  </w:num>
  <w:num w:numId="31">
    <w:abstractNumId w:val="4"/>
  </w:num>
  <w:num w:numId="32">
    <w:abstractNumId w:val="28"/>
  </w:num>
  <w:num w:numId="33">
    <w:abstractNumId w:val="3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79"/>
    <w:rsid w:val="00000555"/>
    <w:rsid w:val="00000A51"/>
    <w:rsid w:val="00004A79"/>
    <w:rsid w:val="00007DE9"/>
    <w:rsid w:val="00015AE4"/>
    <w:rsid w:val="000254BA"/>
    <w:rsid w:val="00027EA3"/>
    <w:rsid w:val="0003018E"/>
    <w:rsid w:val="00033BC3"/>
    <w:rsid w:val="00044E09"/>
    <w:rsid w:val="0004784D"/>
    <w:rsid w:val="00051C37"/>
    <w:rsid w:val="00053A00"/>
    <w:rsid w:val="000636C9"/>
    <w:rsid w:val="000B6C00"/>
    <w:rsid w:val="000C1F06"/>
    <w:rsid w:val="000F1417"/>
    <w:rsid w:val="000F1DD1"/>
    <w:rsid w:val="000F28B8"/>
    <w:rsid w:val="000F3766"/>
    <w:rsid w:val="001069D5"/>
    <w:rsid w:val="00106FC4"/>
    <w:rsid w:val="00111F0C"/>
    <w:rsid w:val="00145E2D"/>
    <w:rsid w:val="001562BB"/>
    <w:rsid w:val="0016612C"/>
    <w:rsid w:val="001763D4"/>
    <w:rsid w:val="00181433"/>
    <w:rsid w:val="001834DD"/>
    <w:rsid w:val="001A6FFF"/>
    <w:rsid w:val="001B2D79"/>
    <w:rsid w:val="001B7040"/>
    <w:rsid w:val="001C53CE"/>
    <w:rsid w:val="001C5D96"/>
    <w:rsid w:val="001D341B"/>
    <w:rsid w:val="001D75D7"/>
    <w:rsid w:val="001E3D2B"/>
    <w:rsid w:val="001E66CE"/>
    <w:rsid w:val="00221DC2"/>
    <w:rsid w:val="0024040F"/>
    <w:rsid w:val="00240C34"/>
    <w:rsid w:val="00244B48"/>
    <w:rsid w:val="002573D5"/>
    <w:rsid w:val="00260B65"/>
    <w:rsid w:val="00264E26"/>
    <w:rsid w:val="00266379"/>
    <w:rsid w:val="00280E74"/>
    <w:rsid w:val="00290A6F"/>
    <w:rsid w:val="00292603"/>
    <w:rsid w:val="002A41E1"/>
    <w:rsid w:val="002B6574"/>
    <w:rsid w:val="002D4D48"/>
    <w:rsid w:val="002E21D2"/>
    <w:rsid w:val="002E43DD"/>
    <w:rsid w:val="002F7D3C"/>
    <w:rsid w:val="00305720"/>
    <w:rsid w:val="003131AB"/>
    <w:rsid w:val="003217BE"/>
    <w:rsid w:val="00364CA0"/>
    <w:rsid w:val="003D0647"/>
    <w:rsid w:val="003D1265"/>
    <w:rsid w:val="003D3B1D"/>
    <w:rsid w:val="003D5DBE"/>
    <w:rsid w:val="003E1E0B"/>
    <w:rsid w:val="003F19CF"/>
    <w:rsid w:val="003F4ECF"/>
    <w:rsid w:val="00404841"/>
    <w:rsid w:val="00412059"/>
    <w:rsid w:val="00412716"/>
    <w:rsid w:val="00425633"/>
    <w:rsid w:val="00441E79"/>
    <w:rsid w:val="00450486"/>
    <w:rsid w:val="004709E9"/>
    <w:rsid w:val="00481BDE"/>
    <w:rsid w:val="00483A58"/>
    <w:rsid w:val="00496141"/>
    <w:rsid w:val="004B5F40"/>
    <w:rsid w:val="004B66DA"/>
    <w:rsid w:val="004C7D16"/>
    <w:rsid w:val="004D700E"/>
    <w:rsid w:val="004D7F17"/>
    <w:rsid w:val="004E0670"/>
    <w:rsid w:val="004E7F37"/>
    <w:rsid w:val="004F31BA"/>
    <w:rsid w:val="004F60D5"/>
    <w:rsid w:val="0051299F"/>
    <w:rsid w:val="00513505"/>
    <w:rsid w:val="00526B85"/>
    <w:rsid w:val="005306A1"/>
    <w:rsid w:val="005328DF"/>
    <w:rsid w:val="00532BC1"/>
    <w:rsid w:val="00552D5A"/>
    <w:rsid w:val="0056598E"/>
    <w:rsid w:val="00571490"/>
    <w:rsid w:val="0059000C"/>
    <w:rsid w:val="005A02A1"/>
    <w:rsid w:val="005C6086"/>
    <w:rsid w:val="005D7A24"/>
    <w:rsid w:val="00606FF6"/>
    <w:rsid w:val="00616EBA"/>
    <w:rsid w:val="006252DE"/>
    <w:rsid w:val="00631AD2"/>
    <w:rsid w:val="00632C08"/>
    <w:rsid w:val="006528CC"/>
    <w:rsid w:val="00654C42"/>
    <w:rsid w:val="0067074A"/>
    <w:rsid w:val="0067131B"/>
    <w:rsid w:val="00672994"/>
    <w:rsid w:val="00672DF4"/>
    <w:rsid w:val="006C15C5"/>
    <w:rsid w:val="006D3DAD"/>
    <w:rsid w:val="006F7B19"/>
    <w:rsid w:val="00721C4F"/>
    <w:rsid w:val="00736A76"/>
    <w:rsid w:val="00752C6B"/>
    <w:rsid w:val="00760CE6"/>
    <w:rsid w:val="007719C9"/>
    <w:rsid w:val="00772718"/>
    <w:rsid w:val="00781C7D"/>
    <w:rsid w:val="007D30A8"/>
    <w:rsid w:val="007E1EE2"/>
    <w:rsid w:val="00814FB1"/>
    <w:rsid w:val="00816AED"/>
    <w:rsid w:val="00820F20"/>
    <w:rsid w:val="0082528A"/>
    <w:rsid w:val="00825754"/>
    <w:rsid w:val="00835210"/>
    <w:rsid w:val="00844C2D"/>
    <w:rsid w:val="0087438E"/>
    <w:rsid w:val="00884668"/>
    <w:rsid w:val="00890AAF"/>
    <w:rsid w:val="008B2B46"/>
    <w:rsid w:val="008E05BC"/>
    <w:rsid w:val="008E275E"/>
    <w:rsid w:val="008F1548"/>
    <w:rsid w:val="008F3CCF"/>
    <w:rsid w:val="00913179"/>
    <w:rsid w:val="00921840"/>
    <w:rsid w:val="00927EC5"/>
    <w:rsid w:val="00932C87"/>
    <w:rsid w:val="009331B4"/>
    <w:rsid w:val="009345F1"/>
    <w:rsid w:val="00940C9A"/>
    <w:rsid w:val="00944BBB"/>
    <w:rsid w:val="009547B6"/>
    <w:rsid w:val="009553D8"/>
    <w:rsid w:val="00961072"/>
    <w:rsid w:val="00982E09"/>
    <w:rsid w:val="00994456"/>
    <w:rsid w:val="009953A5"/>
    <w:rsid w:val="009E750F"/>
    <w:rsid w:val="00A04D96"/>
    <w:rsid w:val="00A0629B"/>
    <w:rsid w:val="00A12689"/>
    <w:rsid w:val="00A14495"/>
    <w:rsid w:val="00A16BE1"/>
    <w:rsid w:val="00A207E7"/>
    <w:rsid w:val="00A454BF"/>
    <w:rsid w:val="00A52E3A"/>
    <w:rsid w:val="00A644EF"/>
    <w:rsid w:val="00A814CB"/>
    <w:rsid w:val="00A81BB8"/>
    <w:rsid w:val="00A90D1B"/>
    <w:rsid w:val="00A95860"/>
    <w:rsid w:val="00AB3713"/>
    <w:rsid w:val="00AD6026"/>
    <w:rsid w:val="00AF55F8"/>
    <w:rsid w:val="00B00AC9"/>
    <w:rsid w:val="00B10ABA"/>
    <w:rsid w:val="00B11B09"/>
    <w:rsid w:val="00B15FDA"/>
    <w:rsid w:val="00B16E09"/>
    <w:rsid w:val="00B23EF0"/>
    <w:rsid w:val="00B420D4"/>
    <w:rsid w:val="00B50D97"/>
    <w:rsid w:val="00B57910"/>
    <w:rsid w:val="00B640E8"/>
    <w:rsid w:val="00B66B98"/>
    <w:rsid w:val="00B72FF4"/>
    <w:rsid w:val="00B920DF"/>
    <w:rsid w:val="00B952F6"/>
    <w:rsid w:val="00BC093A"/>
    <w:rsid w:val="00BC4ACC"/>
    <w:rsid w:val="00BC4FCC"/>
    <w:rsid w:val="00BD02F8"/>
    <w:rsid w:val="00BD2BA7"/>
    <w:rsid w:val="00BE06AB"/>
    <w:rsid w:val="00BE2B7C"/>
    <w:rsid w:val="00BE6D5A"/>
    <w:rsid w:val="00C11013"/>
    <w:rsid w:val="00C15002"/>
    <w:rsid w:val="00C2174D"/>
    <w:rsid w:val="00C217A8"/>
    <w:rsid w:val="00C37478"/>
    <w:rsid w:val="00C4188F"/>
    <w:rsid w:val="00C50FD6"/>
    <w:rsid w:val="00C819A4"/>
    <w:rsid w:val="00C824AE"/>
    <w:rsid w:val="00C84EA8"/>
    <w:rsid w:val="00C90BCE"/>
    <w:rsid w:val="00C92998"/>
    <w:rsid w:val="00CA720A"/>
    <w:rsid w:val="00CD1509"/>
    <w:rsid w:val="00CD5925"/>
    <w:rsid w:val="00CE557A"/>
    <w:rsid w:val="00D031B2"/>
    <w:rsid w:val="00D1410C"/>
    <w:rsid w:val="00D250CA"/>
    <w:rsid w:val="00D36051"/>
    <w:rsid w:val="00D40D16"/>
    <w:rsid w:val="00D43E1A"/>
    <w:rsid w:val="00D548F0"/>
    <w:rsid w:val="00D55FAD"/>
    <w:rsid w:val="00D57F79"/>
    <w:rsid w:val="00D64FAC"/>
    <w:rsid w:val="00D65704"/>
    <w:rsid w:val="00D668F6"/>
    <w:rsid w:val="00D84875"/>
    <w:rsid w:val="00D904F0"/>
    <w:rsid w:val="00D91378"/>
    <w:rsid w:val="00D91B18"/>
    <w:rsid w:val="00D969F3"/>
    <w:rsid w:val="00DC0747"/>
    <w:rsid w:val="00DC2647"/>
    <w:rsid w:val="00DD1408"/>
    <w:rsid w:val="00DD356D"/>
    <w:rsid w:val="00DD6735"/>
    <w:rsid w:val="00DE712A"/>
    <w:rsid w:val="00DF136A"/>
    <w:rsid w:val="00E0448C"/>
    <w:rsid w:val="00E13525"/>
    <w:rsid w:val="00E321FB"/>
    <w:rsid w:val="00E4645B"/>
    <w:rsid w:val="00E47250"/>
    <w:rsid w:val="00E61535"/>
    <w:rsid w:val="00E76EBF"/>
    <w:rsid w:val="00E84012"/>
    <w:rsid w:val="00E9373C"/>
    <w:rsid w:val="00EA0724"/>
    <w:rsid w:val="00EA6251"/>
    <w:rsid w:val="00EB6414"/>
    <w:rsid w:val="00ED5D25"/>
    <w:rsid w:val="00EE5747"/>
    <w:rsid w:val="00EF3804"/>
    <w:rsid w:val="00EF5E05"/>
    <w:rsid w:val="00F172DD"/>
    <w:rsid w:val="00F2038B"/>
    <w:rsid w:val="00F227AF"/>
    <w:rsid w:val="00F27370"/>
    <w:rsid w:val="00F40238"/>
    <w:rsid w:val="00F40B00"/>
    <w:rsid w:val="00F5341C"/>
    <w:rsid w:val="00F5530D"/>
    <w:rsid w:val="00F56954"/>
    <w:rsid w:val="00F948AF"/>
    <w:rsid w:val="00FA5A7B"/>
    <w:rsid w:val="00FB11B1"/>
    <w:rsid w:val="00FB2AC9"/>
    <w:rsid w:val="00FC0241"/>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Normal"/>
    <w:uiPriority w:val="34"/>
    <w:qFormat/>
    <w:rsid w:val="00CD1509"/>
    <w:pPr>
      <w:ind w:left="720"/>
      <w:contextualSpacing/>
    </w:pPr>
  </w:style>
  <w:style w:type="character" w:styleId="BookTitle">
    <w:name w:val="Book Title"/>
    <w:uiPriority w:val="33"/>
    <w:qFormat/>
    <w:rsid w:val="00C11013"/>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0" w:unhideWhenUsed="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98"/>
    <w:lsdException w:name="footer" w:semiHidden="0" w:uiPriority="98"/>
    <w:lsdException w:name="caption" w:uiPriority="0" w:qFormat="1"/>
    <w:lsdException w:name="table of figures" w:uiPriority="0"/>
    <w:lsdException w:name="page number" w:unhideWhenUsed="0"/>
    <w:lsdException w:name="endnote text"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semiHidden="0" w:uiPriority="0" w:qFormat="1"/>
    <w:lsdException w:name="Subtitle" w:uiPriority="0" w:unhideWhenUsed="0" w:qFormat="1"/>
    <w:lsdException w:name="Salutation" w:unhideWhenUsed="0"/>
    <w:lsdException w:name="Date" w:uiPriority="0" w:unhideWhenUsed="0"/>
    <w:lsdException w:name="Body Text First Indent" w:unhideWhenUsed="0"/>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0"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iPriority="33" w:unhideWhenUsed="0" w:qFormat="1"/>
    <w:lsdException w:name="TOC Heading" w:uiPriority="0"/>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Normal"/>
    <w:uiPriority w:val="34"/>
    <w:qFormat/>
    <w:rsid w:val="00CD1509"/>
    <w:pPr>
      <w:ind w:left="720"/>
      <w:contextualSpacing/>
    </w:pPr>
  </w:style>
  <w:style w:type="character" w:styleId="BookTitle">
    <w:name w:val="Book Title"/>
    <w:uiPriority w:val="33"/>
    <w:qFormat/>
    <w:rsid w:val="00C11013"/>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7235">
      <w:bodyDiv w:val="1"/>
      <w:marLeft w:val="0"/>
      <w:marRight w:val="0"/>
      <w:marTop w:val="0"/>
      <w:marBottom w:val="0"/>
      <w:divBdr>
        <w:top w:val="none" w:sz="0" w:space="0" w:color="auto"/>
        <w:left w:val="none" w:sz="0" w:space="0" w:color="auto"/>
        <w:bottom w:val="none" w:sz="0" w:space="0" w:color="auto"/>
        <w:right w:val="none" w:sz="0" w:space="0" w:color="auto"/>
      </w:divBdr>
    </w:div>
    <w:div w:id="1255895369">
      <w:bodyDiv w:val="1"/>
      <w:marLeft w:val="0"/>
      <w:marRight w:val="0"/>
      <w:marTop w:val="0"/>
      <w:marBottom w:val="0"/>
      <w:divBdr>
        <w:top w:val="none" w:sz="0" w:space="0" w:color="auto"/>
        <w:left w:val="none" w:sz="0" w:space="0" w:color="auto"/>
        <w:bottom w:val="none" w:sz="0" w:space="0" w:color="auto"/>
        <w:right w:val="none" w:sz="0" w:space="0" w:color="auto"/>
      </w:divBdr>
    </w:div>
    <w:div w:id="2044281839">
      <w:bodyDiv w:val="1"/>
      <w:marLeft w:val="0"/>
      <w:marRight w:val="0"/>
      <w:marTop w:val="0"/>
      <w:marBottom w:val="0"/>
      <w:divBdr>
        <w:top w:val="none" w:sz="0" w:space="0" w:color="auto"/>
        <w:left w:val="none" w:sz="0" w:space="0" w:color="auto"/>
        <w:bottom w:val="none" w:sz="0" w:space="0" w:color="auto"/>
        <w:right w:val="none" w:sz="0" w:space="0" w:color="auto"/>
      </w:divBdr>
    </w:div>
    <w:div w:id="20642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ss.gov.au/our-responsibilities/housing-support/publications-articles/homelessness-youth/reconnect-action-research-induction-kit"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plan4womenssafety.ds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mmunitygrants.gov.au/information-applicants/late-applications-policy"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s://www.communitygrants.gov.au/open-grants/questions-and-answer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upport@communitygrants.gov.a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213757-C1C0-4ECB-889C-F3BB11D9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7</Pages>
  <Words>2772</Words>
  <Characters>15082</Characters>
  <Application>Microsoft Office Word</Application>
  <DocSecurity>4</DocSecurity>
  <Lines>259</Lines>
  <Paragraphs>102</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LOVEGROVE, Steve</dc:creator>
  <cp:lastModifiedBy>KIVSHAR, Amie Anne-Louise</cp:lastModifiedBy>
  <cp:revision>2</cp:revision>
  <cp:lastPrinted>2017-03-31T06:59:00Z</cp:lastPrinted>
  <dcterms:created xsi:type="dcterms:W3CDTF">2017-05-19T06:50:00Z</dcterms:created>
  <dcterms:modified xsi:type="dcterms:W3CDTF">2017-05-19T06:50:00Z</dcterms:modified>
</cp:coreProperties>
</file>