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D68" w:rsidRDefault="00CF4D68" w:rsidP="0087600D">
      <w:pPr>
        <w:pStyle w:val="Title"/>
        <w:ind w:left="-709"/>
      </w:pPr>
      <w:r>
        <w:t>Disability Employment Services Reform 2018</w:t>
      </w:r>
    </w:p>
    <w:p w:rsidR="00C57001" w:rsidRPr="0087600D" w:rsidRDefault="00CF4D68" w:rsidP="0087600D">
      <w:pPr>
        <w:pStyle w:val="Title"/>
        <w:ind w:left="-709"/>
      </w:pPr>
      <w:r>
        <w:t>Industry Information Paper</w:t>
      </w:r>
    </w:p>
    <w:p w:rsidR="0054713E" w:rsidRPr="00FE4A3A" w:rsidRDefault="00CF4D68" w:rsidP="0054713E">
      <w:pPr>
        <w:pStyle w:val="Subtitle"/>
        <w:ind w:hanging="709"/>
      </w:pPr>
      <w:r>
        <w:t>June 2017</w:t>
      </w:r>
    </w:p>
    <w:p w:rsidR="0094563F" w:rsidRDefault="0094563F" w:rsidP="004F77F4">
      <w:pPr>
        <w:spacing w:before="800"/>
        <w:ind w:left="-709"/>
        <w:rPr>
          <w:i/>
          <w:iCs/>
          <w:smallCaps/>
        </w:rPr>
        <w:sectPr w:rsidR="0094563F"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p>
    <w:p w:rsidR="0050273B" w:rsidRPr="00717729" w:rsidRDefault="0050273B" w:rsidP="00F67AC5">
      <w:pPr>
        <w:spacing w:before="6500" w:after="0"/>
        <w:jc w:val="both"/>
        <w:rPr>
          <w:rFonts w:cs="Arial"/>
          <w:b/>
        </w:rPr>
      </w:pPr>
      <w:r>
        <w:rPr>
          <w:rFonts w:cs="Arial"/>
          <w:b/>
        </w:rPr>
        <w:lastRenderedPageBreak/>
        <w:t>Copyright n</w:t>
      </w:r>
      <w:r w:rsidRPr="00717729">
        <w:rPr>
          <w:rFonts w:cs="Arial"/>
          <w:b/>
        </w:rPr>
        <w:t>otice</w:t>
      </w:r>
    </w:p>
    <w:p w:rsidR="00586246" w:rsidRDefault="00586246" w:rsidP="00E708BB">
      <w:pPr>
        <w:pStyle w:val="NormalWeb"/>
        <w:rPr>
          <w:rFonts w:ascii="Arial" w:hAnsi="Arial" w:cs="Arial"/>
        </w:rPr>
      </w:pPr>
      <w:r>
        <w:rPr>
          <w:rFonts w:ascii="Arial" w:hAnsi="Arial" w:cs="Arial"/>
          <w:noProof/>
        </w:rPr>
        <w:drawing>
          <wp:inline distT="0" distB="0" distL="0" distR="0" wp14:anchorId="4B801B13" wp14:editId="0C9B88D3">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50273B" w:rsidRPr="0050273B" w:rsidRDefault="0050273B" w:rsidP="0050273B">
      <w:pPr>
        <w:rPr>
          <w:rStyle w:val="Hyperlink"/>
          <w:rFonts w:eastAsiaTheme="majorEastAsia" w:cs="Arial"/>
        </w:rPr>
      </w:pPr>
      <w:r w:rsidRPr="00717729">
        <w:t xml:space="preserve">This document </w:t>
      </w:r>
      <w:r w:rsidR="00EF0144" w:rsidRPr="00EF0144">
        <w:rPr>
          <w:i/>
        </w:rPr>
        <w:t>Disability Employment Services Reform 2018 Industry Information Paper</w:t>
      </w:r>
      <w:r w:rsidR="00EF0144">
        <w:t xml:space="preserve"> </w:t>
      </w:r>
      <w:r w:rsidRPr="00717729">
        <w:t xml:space="preserve">is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eastAsiaTheme="majorEastAsia" w:cs="Arial"/>
        </w:rPr>
        <w:t>Creative Commons Attribution 4.0 International Licence</w:t>
      </w:r>
    </w:p>
    <w:p w:rsidR="0050273B" w:rsidRPr="00717729" w:rsidRDefault="0050273B" w:rsidP="0050273B">
      <w:pPr>
        <w:rPr>
          <w:rStyle w:val="Hyperlink"/>
          <w:rFonts w:eastAsiaTheme="majorEastAsia" w:cs="Arial"/>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717729">
        <w:rPr>
          <w:rStyle w:val="Hyperlink"/>
          <w:rFonts w:eastAsiaTheme="majorEastAsia" w:cs="Arial"/>
        </w:rPr>
        <w:t>https://creativecommons.org/licenses/by/4.0/legalcode</w:t>
      </w:r>
    </w:p>
    <w:p w:rsidR="0050273B" w:rsidRPr="00717729" w:rsidRDefault="0050273B" w:rsidP="0050273B">
      <w:r w:rsidRPr="00717729">
        <w:fldChar w:fldCharType="end"/>
      </w:r>
      <w:r w:rsidRPr="00717729">
        <w:t>Please attribut</w:t>
      </w:r>
      <w:r>
        <w:t>e:</w:t>
      </w:r>
      <w:r w:rsidRPr="00717729">
        <w:t xml:space="preserve"> © Commonwealth of Australia (</w:t>
      </w:r>
      <w:hyperlink r:id="rId13" w:history="1">
        <w:r w:rsidRPr="00717729">
          <w:rPr>
            <w:rStyle w:val="Hyperlink"/>
            <w:rFonts w:eastAsiaTheme="majorEastAsia" w:cs="Arial"/>
          </w:rPr>
          <w:t>Department of Social Services</w:t>
        </w:r>
      </w:hyperlink>
      <w:r w:rsidRPr="00717729">
        <w:t>) 2015</w:t>
      </w:r>
    </w:p>
    <w:p w:rsidR="0050273B" w:rsidRPr="0050273B" w:rsidRDefault="0050273B" w:rsidP="0050273B">
      <w:pPr>
        <w:rPr>
          <w:b/>
        </w:rPr>
      </w:pPr>
      <w:r w:rsidRPr="0050273B">
        <w:rPr>
          <w:b/>
        </w:rPr>
        <w:t xml:space="preserve">Notice: </w:t>
      </w:r>
    </w:p>
    <w:p w:rsidR="0050273B" w:rsidRPr="00717729" w:rsidRDefault="0050273B" w:rsidP="0050273B">
      <w:pPr>
        <w:pStyle w:val="ListBullet"/>
        <w:numPr>
          <w:ilvl w:val="0"/>
          <w:numId w:val="5"/>
        </w:numPr>
      </w:pPr>
      <w:r>
        <w:t xml:space="preserve">If you </w:t>
      </w:r>
      <w:r w:rsidRPr="00717729">
        <w:t>create a derivative of this document, the Department of Social Services requests the following notice</w:t>
      </w:r>
      <w:r>
        <w:t xml:space="preserve"> be placed on your derivative: </w:t>
      </w:r>
      <w:r w:rsidRPr="00717729">
        <w:t>Based on Commonwealth of Australia (Department of Social Services) data.</w:t>
      </w:r>
    </w:p>
    <w:p w:rsidR="0050273B" w:rsidRPr="0050273B" w:rsidRDefault="0050273B" w:rsidP="0050273B">
      <w:pPr>
        <w:pStyle w:val="ListBullet"/>
        <w:numPr>
          <w:ilvl w:val="0"/>
          <w:numId w:val="5"/>
        </w:numPr>
      </w:pPr>
      <w:r w:rsidRPr="00717729">
        <w:t>Inquiries regarding this licence or any other use of this document</w:t>
      </w:r>
      <w:r>
        <w:t xml:space="preserve"> are welcome. Please contact: Branch Manager, </w:t>
      </w:r>
      <w:r w:rsidRPr="00717729">
        <w:t>Communication and Media Branch</w:t>
      </w:r>
      <w:r>
        <w:t>, Department of Social Services.</w:t>
      </w:r>
      <w:r w:rsidRPr="00717729">
        <w:t xml:space="preserve"> Phone: 1300 653 227</w:t>
      </w:r>
      <w:r>
        <w:t>.</w:t>
      </w:r>
      <w:r w:rsidRPr="00717729">
        <w:t xml:space="preserve"> Email: </w:t>
      </w:r>
      <w:hyperlink r:id="rId14" w:history="1">
        <w:r w:rsidRPr="00717729">
          <w:rPr>
            <w:rStyle w:val="Hyperlink"/>
            <w:rFonts w:eastAsiaTheme="majorEastAsia" w:cs="Arial"/>
          </w:rPr>
          <w:t>communications@dss.gov.au</w:t>
        </w:r>
      </w:hyperlink>
    </w:p>
    <w:p w:rsidR="0050273B" w:rsidRPr="0050273B" w:rsidRDefault="0050273B" w:rsidP="0050273B">
      <w:pPr>
        <w:rPr>
          <w:b/>
        </w:rPr>
      </w:pPr>
      <w:r w:rsidRPr="0050273B">
        <w:rPr>
          <w:b/>
        </w:rPr>
        <w:t>Notice identifying other material or rights in this publication:</w:t>
      </w:r>
    </w:p>
    <w:p w:rsidR="0050273B" w:rsidRPr="00717729" w:rsidRDefault="0050273B" w:rsidP="0050273B">
      <w:pPr>
        <w:pStyle w:val="ListBullet"/>
        <w:numPr>
          <w:ilvl w:val="0"/>
          <w:numId w:val="6"/>
        </w:numPr>
      </w:pPr>
      <w:r w:rsidRPr="00717729">
        <w:t xml:space="preserve">Australian Commonwealth Coat of Arms </w:t>
      </w:r>
      <w:r>
        <w:t>—</w:t>
      </w:r>
      <w:r w:rsidRPr="00717729">
        <w:t xml:space="preserve"> not Licensed under Creative Commons, see </w:t>
      </w:r>
      <w:hyperlink r:id="rId15" w:history="1">
        <w:r w:rsidRPr="00717729">
          <w:rPr>
            <w:rStyle w:val="Hyperlink"/>
            <w:rFonts w:eastAsiaTheme="majorEastAsia" w:cs="Arial"/>
          </w:rPr>
          <w:t>https://www.itsanhonour.gov.au/coat-arms/index.cfm</w:t>
        </w:r>
      </w:hyperlink>
    </w:p>
    <w:p w:rsidR="0050273B" w:rsidRDefault="0050273B" w:rsidP="0050273B">
      <w:pPr>
        <w:pStyle w:val="ListBullet"/>
        <w:numPr>
          <w:ilvl w:val="0"/>
          <w:numId w:val="6"/>
        </w:numPr>
      </w:pPr>
      <w:r w:rsidRPr="00717729">
        <w:t xml:space="preserve">Certain images and photographs (as marked) </w:t>
      </w:r>
      <w:r>
        <w:t xml:space="preserve">— </w:t>
      </w:r>
      <w:r w:rsidRPr="00717729">
        <w:t>not licensed under Creative Commons</w:t>
      </w:r>
    </w:p>
    <w:p w:rsidR="004F77F4" w:rsidRDefault="002A475B" w:rsidP="002A475B">
      <w:pPr>
        <w:pStyle w:val="Smalltext"/>
        <w:rPr>
          <w:rFonts w:ascii="Georgia" w:eastAsiaTheme="majorEastAsia" w:hAnsi="Georgia" w:cstheme="majorBidi"/>
          <w:bCs/>
          <w:i/>
          <w:iCs/>
          <w:smallCaps/>
          <w:color w:val="24596E"/>
          <w:sz w:val="32"/>
          <w:szCs w:val="28"/>
        </w:rPr>
      </w:pPr>
      <w:r>
        <w:t>DSS</w:t>
      </w:r>
      <w:r>
        <w:rPr>
          <w:color w:val="1F497D"/>
        </w:rPr>
        <w:t xml:space="preserve">2143.05.17. </w:t>
      </w:r>
      <w:r w:rsidR="004F77F4">
        <w:br w:type="page"/>
      </w:r>
    </w:p>
    <w:p w:rsidR="004F77F4" w:rsidRDefault="004F77F4" w:rsidP="00D22A8A"/>
    <w:p w:rsidR="004F77F4" w:rsidRDefault="00EF0144" w:rsidP="00D22A8A">
      <w:pPr>
        <w:pStyle w:val="Titlepage"/>
        <w:tabs>
          <w:tab w:val="left" w:pos="7451"/>
        </w:tabs>
      </w:pPr>
      <w:r>
        <w:t>Disability Employment Services Reform 2018</w:t>
      </w:r>
    </w:p>
    <w:p w:rsidR="00EF0144" w:rsidRDefault="00EF0144" w:rsidP="00D22A8A">
      <w:pPr>
        <w:pStyle w:val="Titlepage"/>
        <w:tabs>
          <w:tab w:val="left" w:pos="7451"/>
        </w:tabs>
      </w:pPr>
    </w:p>
    <w:p w:rsidR="00EF0144" w:rsidRDefault="00EF0144" w:rsidP="00D22A8A">
      <w:pPr>
        <w:pStyle w:val="Titlepage"/>
        <w:tabs>
          <w:tab w:val="left" w:pos="7451"/>
        </w:tabs>
      </w:pPr>
      <w:r>
        <w:t>Industry Information Paper</w:t>
      </w:r>
    </w:p>
    <w:p w:rsidR="00EF0144" w:rsidRDefault="00EF0144" w:rsidP="00D22A8A">
      <w:pPr>
        <w:pStyle w:val="Titlepage"/>
        <w:tabs>
          <w:tab w:val="left" w:pos="7451"/>
        </w:tabs>
      </w:pPr>
    </w:p>
    <w:p w:rsidR="00EF0144" w:rsidRDefault="00EF0144" w:rsidP="00D22A8A">
      <w:pPr>
        <w:pStyle w:val="Titlepage"/>
        <w:tabs>
          <w:tab w:val="left" w:pos="7451"/>
        </w:tabs>
      </w:pPr>
      <w:r>
        <w:t>June 2017</w:t>
      </w:r>
    </w:p>
    <w:p w:rsidR="00586246" w:rsidRPr="00877018" w:rsidRDefault="00877018" w:rsidP="0084227C">
      <w:pPr>
        <w:rPr>
          <w:rFonts w:eastAsiaTheme="majorEastAsia"/>
        </w:rPr>
      </w:pPr>
      <w:r>
        <w:br w:type="page"/>
      </w:r>
    </w:p>
    <w:sdt>
      <w:sdtPr>
        <w:rPr>
          <w:rFonts w:ascii="Arial" w:eastAsia="Times New Roman" w:hAnsi="Arial" w:cs="Times New Roman"/>
          <w:bCs w:val="0"/>
          <w:color w:val="auto"/>
          <w:sz w:val="24"/>
          <w:szCs w:val="24"/>
          <w:lang w:bidi="ar-SA"/>
        </w:rPr>
        <w:id w:val="-126013756"/>
        <w:docPartObj>
          <w:docPartGallery w:val="Table of Contents"/>
          <w:docPartUnique/>
        </w:docPartObj>
      </w:sdtPr>
      <w:sdtEndPr>
        <w:rPr>
          <w:b/>
          <w:noProof/>
        </w:rPr>
      </w:sdtEndPr>
      <w:sdtContent>
        <w:p w:rsidR="00A36AF7" w:rsidRDefault="00A36AF7">
          <w:pPr>
            <w:pStyle w:val="TOCHeading"/>
          </w:pPr>
          <w:r>
            <w:t>Table of Contents</w:t>
          </w:r>
        </w:p>
        <w:p w:rsidR="00420C97" w:rsidRDefault="00A36AF7">
          <w:pPr>
            <w:pStyle w:val="TOC1"/>
            <w:tabs>
              <w:tab w:val="right" w:leader="dot" w:pos="9344"/>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484692288" w:history="1">
            <w:r w:rsidR="00420C97" w:rsidRPr="002D2085">
              <w:rPr>
                <w:rStyle w:val="Hyperlink"/>
                <w:rFonts w:eastAsiaTheme="majorEastAsia"/>
                <w:noProof/>
              </w:rPr>
              <w:t>Overview and rationale for change</w:t>
            </w:r>
            <w:r w:rsidR="00420C97">
              <w:rPr>
                <w:noProof/>
                <w:webHidden/>
              </w:rPr>
              <w:tab/>
            </w:r>
            <w:r w:rsidR="00420C97">
              <w:rPr>
                <w:noProof/>
                <w:webHidden/>
              </w:rPr>
              <w:fldChar w:fldCharType="begin"/>
            </w:r>
            <w:r w:rsidR="00420C97">
              <w:rPr>
                <w:noProof/>
                <w:webHidden/>
              </w:rPr>
              <w:instrText xml:space="preserve"> PAGEREF _Toc484692288 \h </w:instrText>
            </w:r>
            <w:r w:rsidR="00420C97">
              <w:rPr>
                <w:noProof/>
                <w:webHidden/>
              </w:rPr>
            </w:r>
            <w:r w:rsidR="00420C97">
              <w:rPr>
                <w:noProof/>
                <w:webHidden/>
              </w:rPr>
              <w:fldChar w:fldCharType="separate"/>
            </w:r>
            <w:r w:rsidR="00A15A15">
              <w:rPr>
                <w:noProof/>
                <w:webHidden/>
              </w:rPr>
              <w:t>4</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289" w:history="1">
            <w:r w:rsidR="00420C97" w:rsidRPr="002D2085">
              <w:rPr>
                <w:rStyle w:val="Hyperlink"/>
                <w:rFonts w:eastAsiaTheme="majorEastAsia"/>
                <w:noProof/>
              </w:rPr>
              <w:t>Chapter 1 - The current DES program</w:t>
            </w:r>
            <w:r w:rsidR="00420C97">
              <w:rPr>
                <w:noProof/>
                <w:webHidden/>
              </w:rPr>
              <w:tab/>
            </w:r>
            <w:r w:rsidR="00420C97">
              <w:rPr>
                <w:noProof/>
                <w:webHidden/>
              </w:rPr>
              <w:fldChar w:fldCharType="begin"/>
            </w:r>
            <w:r w:rsidR="00420C97">
              <w:rPr>
                <w:noProof/>
                <w:webHidden/>
              </w:rPr>
              <w:instrText xml:space="preserve"> PAGEREF _Toc484692289 \h </w:instrText>
            </w:r>
            <w:r w:rsidR="00420C97">
              <w:rPr>
                <w:noProof/>
                <w:webHidden/>
              </w:rPr>
            </w:r>
            <w:r w:rsidR="00420C97">
              <w:rPr>
                <w:noProof/>
                <w:webHidden/>
              </w:rPr>
              <w:fldChar w:fldCharType="separate"/>
            </w:r>
            <w:r>
              <w:rPr>
                <w:noProof/>
                <w:webHidden/>
              </w:rPr>
              <w:t>6</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0" w:history="1">
            <w:r w:rsidR="00420C97" w:rsidRPr="002D2085">
              <w:rPr>
                <w:rStyle w:val="Hyperlink"/>
                <w:rFonts w:eastAsiaTheme="majorEastAsia"/>
                <w:noProof/>
              </w:rPr>
              <w:t>Participants’ registration for DES</w:t>
            </w:r>
            <w:r w:rsidR="00420C97">
              <w:rPr>
                <w:noProof/>
                <w:webHidden/>
              </w:rPr>
              <w:tab/>
            </w:r>
            <w:r w:rsidR="00420C97">
              <w:rPr>
                <w:noProof/>
                <w:webHidden/>
              </w:rPr>
              <w:fldChar w:fldCharType="begin"/>
            </w:r>
            <w:r w:rsidR="00420C97">
              <w:rPr>
                <w:noProof/>
                <w:webHidden/>
              </w:rPr>
              <w:instrText xml:space="preserve"> PAGEREF _Toc484692290 \h </w:instrText>
            </w:r>
            <w:r w:rsidR="00420C97">
              <w:rPr>
                <w:noProof/>
                <w:webHidden/>
              </w:rPr>
            </w:r>
            <w:r w:rsidR="00420C97">
              <w:rPr>
                <w:noProof/>
                <w:webHidden/>
              </w:rPr>
              <w:fldChar w:fldCharType="separate"/>
            </w:r>
            <w:r>
              <w:rPr>
                <w:noProof/>
                <w:webHidden/>
              </w:rPr>
              <w:t>8</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1" w:history="1">
            <w:r w:rsidR="00420C97" w:rsidRPr="002D2085">
              <w:rPr>
                <w:rStyle w:val="Hyperlink"/>
                <w:rFonts w:eastAsiaTheme="majorEastAsia"/>
                <w:noProof/>
              </w:rPr>
              <w:t>Funding model</w:t>
            </w:r>
            <w:r w:rsidR="00420C97">
              <w:rPr>
                <w:noProof/>
                <w:webHidden/>
              </w:rPr>
              <w:tab/>
            </w:r>
            <w:r w:rsidR="00420C97">
              <w:rPr>
                <w:noProof/>
                <w:webHidden/>
              </w:rPr>
              <w:fldChar w:fldCharType="begin"/>
            </w:r>
            <w:r w:rsidR="00420C97">
              <w:rPr>
                <w:noProof/>
                <w:webHidden/>
              </w:rPr>
              <w:instrText xml:space="preserve"> PAGEREF _Toc484692291 \h </w:instrText>
            </w:r>
            <w:r w:rsidR="00420C97">
              <w:rPr>
                <w:noProof/>
                <w:webHidden/>
              </w:rPr>
            </w:r>
            <w:r w:rsidR="00420C97">
              <w:rPr>
                <w:noProof/>
                <w:webHidden/>
              </w:rPr>
              <w:fldChar w:fldCharType="separate"/>
            </w:r>
            <w:r>
              <w:rPr>
                <w:noProof/>
                <w:webHidden/>
              </w:rPr>
              <w:t>10</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292" w:history="1">
            <w:r w:rsidR="00420C97" w:rsidRPr="002D2085">
              <w:rPr>
                <w:rStyle w:val="Hyperlink"/>
                <w:rFonts w:eastAsiaTheme="majorEastAsia"/>
                <w:noProof/>
              </w:rPr>
              <w:t>Chapter 2 - How is DES changing from 1 July 2018?</w:t>
            </w:r>
            <w:r w:rsidR="00420C97">
              <w:rPr>
                <w:noProof/>
                <w:webHidden/>
              </w:rPr>
              <w:tab/>
            </w:r>
            <w:r w:rsidR="00420C97">
              <w:rPr>
                <w:noProof/>
                <w:webHidden/>
              </w:rPr>
              <w:fldChar w:fldCharType="begin"/>
            </w:r>
            <w:r w:rsidR="00420C97">
              <w:rPr>
                <w:noProof/>
                <w:webHidden/>
              </w:rPr>
              <w:instrText xml:space="preserve"> PAGEREF _Toc484692292 \h </w:instrText>
            </w:r>
            <w:r w:rsidR="00420C97">
              <w:rPr>
                <w:noProof/>
                <w:webHidden/>
              </w:rPr>
            </w:r>
            <w:r w:rsidR="00420C97">
              <w:rPr>
                <w:noProof/>
                <w:webHidden/>
              </w:rPr>
              <w:fldChar w:fldCharType="separate"/>
            </w:r>
            <w:r>
              <w:rPr>
                <w:noProof/>
                <w:webHidden/>
              </w:rPr>
              <w:t>11</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3" w:history="1">
            <w:r w:rsidR="00420C97" w:rsidRPr="002D2085">
              <w:rPr>
                <w:rStyle w:val="Hyperlink"/>
                <w:rFonts w:eastAsiaTheme="majorEastAsia"/>
                <w:noProof/>
              </w:rPr>
              <w:t>Improving choice and control for participants</w:t>
            </w:r>
            <w:r w:rsidR="00420C97">
              <w:rPr>
                <w:noProof/>
                <w:webHidden/>
              </w:rPr>
              <w:tab/>
            </w:r>
            <w:r w:rsidR="00420C97">
              <w:rPr>
                <w:noProof/>
                <w:webHidden/>
              </w:rPr>
              <w:fldChar w:fldCharType="begin"/>
            </w:r>
            <w:r w:rsidR="00420C97">
              <w:rPr>
                <w:noProof/>
                <w:webHidden/>
              </w:rPr>
              <w:instrText xml:space="preserve"> PAGEREF _Toc484692293 \h </w:instrText>
            </w:r>
            <w:r w:rsidR="00420C97">
              <w:rPr>
                <w:noProof/>
                <w:webHidden/>
              </w:rPr>
            </w:r>
            <w:r w:rsidR="00420C97">
              <w:rPr>
                <w:noProof/>
                <w:webHidden/>
              </w:rPr>
              <w:fldChar w:fldCharType="separate"/>
            </w:r>
            <w:r>
              <w:rPr>
                <w:noProof/>
                <w:webHidden/>
              </w:rPr>
              <w:t>11</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4" w:history="1">
            <w:r w:rsidR="00420C97" w:rsidRPr="002D2085">
              <w:rPr>
                <w:rStyle w:val="Hyperlink"/>
                <w:rFonts w:eastAsiaTheme="majorEastAsia"/>
                <w:noProof/>
              </w:rPr>
              <w:t>Improving competition and contestability</w:t>
            </w:r>
            <w:r w:rsidR="00420C97">
              <w:rPr>
                <w:noProof/>
                <w:webHidden/>
              </w:rPr>
              <w:tab/>
            </w:r>
            <w:r w:rsidR="00420C97">
              <w:rPr>
                <w:noProof/>
                <w:webHidden/>
              </w:rPr>
              <w:fldChar w:fldCharType="begin"/>
            </w:r>
            <w:r w:rsidR="00420C97">
              <w:rPr>
                <w:noProof/>
                <w:webHidden/>
              </w:rPr>
              <w:instrText xml:space="preserve"> PAGEREF _Toc484692294 \h </w:instrText>
            </w:r>
            <w:r w:rsidR="00420C97">
              <w:rPr>
                <w:noProof/>
                <w:webHidden/>
              </w:rPr>
            </w:r>
            <w:r w:rsidR="00420C97">
              <w:rPr>
                <w:noProof/>
                <w:webHidden/>
              </w:rPr>
              <w:fldChar w:fldCharType="separate"/>
            </w:r>
            <w:r>
              <w:rPr>
                <w:noProof/>
                <w:webHidden/>
              </w:rPr>
              <w:t>12</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5" w:history="1">
            <w:r w:rsidR="00420C97" w:rsidRPr="002D2085">
              <w:rPr>
                <w:rStyle w:val="Hyperlink"/>
                <w:rFonts w:eastAsiaTheme="majorEastAsia"/>
                <w:noProof/>
              </w:rPr>
              <w:t>Changes to the DES funding model</w:t>
            </w:r>
            <w:r w:rsidR="00420C97">
              <w:rPr>
                <w:noProof/>
                <w:webHidden/>
              </w:rPr>
              <w:tab/>
            </w:r>
            <w:r w:rsidR="00420C97">
              <w:rPr>
                <w:noProof/>
                <w:webHidden/>
              </w:rPr>
              <w:fldChar w:fldCharType="begin"/>
            </w:r>
            <w:r w:rsidR="00420C97">
              <w:rPr>
                <w:noProof/>
                <w:webHidden/>
              </w:rPr>
              <w:instrText xml:space="preserve"> PAGEREF _Toc484692295 \h </w:instrText>
            </w:r>
            <w:r w:rsidR="00420C97">
              <w:rPr>
                <w:noProof/>
                <w:webHidden/>
              </w:rPr>
            </w:r>
            <w:r w:rsidR="00420C97">
              <w:rPr>
                <w:noProof/>
                <w:webHidden/>
              </w:rPr>
              <w:fldChar w:fldCharType="separate"/>
            </w:r>
            <w:r>
              <w:rPr>
                <w:noProof/>
                <w:webHidden/>
              </w:rPr>
              <w:t>12</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6" w:history="1">
            <w:r w:rsidR="00420C97" w:rsidRPr="002D2085">
              <w:rPr>
                <w:rStyle w:val="Hyperlink"/>
                <w:rFonts w:eastAsiaTheme="majorEastAsia"/>
                <w:noProof/>
              </w:rPr>
              <w:t>Supporting people with disability in the workplace</w:t>
            </w:r>
            <w:r w:rsidR="00420C97">
              <w:rPr>
                <w:noProof/>
                <w:webHidden/>
              </w:rPr>
              <w:tab/>
            </w:r>
            <w:r w:rsidR="00420C97">
              <w:rPr>
                <w:noProof/>
                <w:webHidden/>
              </w:rPr>
              <w:fldChar w:fldCharType="begin"/>
            </w:r>
            <w:r w:rsidR="00420C97">
              <w:rPr>
                <w:noProof/>
                <w:webHidden/>
              </w:rPr>
              <w:instrText xml:space="preserve"> PAGEREF _Toc484692296 \h </w:instrText>
            </w:r>
            <w:r w:rsidR="00420C97">
              <w:rPr>
                <w:noProof/>
                <w:webHidden/>
              </w:rPr>
            </w:r>
            <w:r w:rsidR="00420C97">
              <w:rPr>
                <w:noProof/>
                <w:webHidden/>
              </w:rPr>
              <w:fldChar w:fldCharType="separate"/>
            </w:r>
            <w:r>
              <w:rPr>
                <w:noProof/>
                <w:webHidden/>
              </w:rPr>
              <w:t>15</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7" w:history="1">
            <w:r w:rsidR="00420C97" w:rsidRPr="002D2085">
              <w:rPr>
                <w:rStyle w:val="Hyperlink"/>
                <w:rFonts w:eastAsiaTheme="majorEastAsia"/>
                <w:noProof/>
              </w:rPr>
              <w:t>School Leaver trial</w:t>
            </w:r>
            <w:r w:rsidR="00420C97">
              <w:rPr>
                <w:noProof/>
                <w:webHidden/>
              </w:rPr>
              <w:tab/>
            </w:r>
            <w:r w:rsidR="00420C97">
              <w:rPr>
                <w:noProof/>
                <w:webHidden/>
              </w:rPr>
              <w:fldChar w:fldCharType="begin"/>
            </w:r>
            <w:r w:rsidR="00420C97">
              <w:rPr>
                <w:noProof/>
                <w:webHidden/>
              </w:rPr>
              <w:instrText xml:space="preserve"> PAGEREF _Toc484692297 \h </w:instrText>
            </w:r>
            <w:r w:rsidR="00420C97">
              <w:rPr>
                <w:noProof/>
                <w:webHidden/>
              </w:rPr>
            </w:r>
            <w:r w:rsidR="00420C97">
              <w:rPr>
                <w:noProof/>
                <w:webHidden/>
              </w:rPr>
              <w:fldChar w:fldCharType="separate"/>
            </w:r>
            <w:r>
              <w:rPr>
                <w:noProof/>
                <w:webHidden/>
              </w:rPr>
              <w:t>15</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8" w:history="1">
            <w:r w:rsidR="00420C97" w:rsidRPr="002D2085">
              <w:rPr>
                <w:rStyle w:val="Hyperlink"/>
                <w:rFonts w:eastAsiaTheme="majorEastAsia"/>
                <w:noProof/>
              </w:rPr>
              <w:t>Provider Performance under the new DES program</w:t>
            </w:r>
            <w:r w:rsidR="00420C97">
              <w:rPr>
                <w:noProof/>
                <w:webHidden/>
              </w:rPr>
              <w:tab/>
            </w:r>
            <w:r w:rsidR="00420C97">
              <w:rPr>
                <w:noProof/>
                <w:webHidden/>
              </w:rPr>
              <w:fldChar w:fldCharType="begin"/>
            </w:r>
            <w:r w:rsidR="00420C97">
              <w:rPr>
                <w:noProof/>
                <w:webHidden/>
              </w:rPr>
              <w:instrText xml:space="preserve"> PAGEREF _Toc484692298 \h </w:instrText>
            </w:r>
            <w:r w:rsidR="00420C97">
              <w:rPr>
                <w:noProof/>
                <w:webHidden/>
              </w:rPr>
            </w:r>
            <w:r w:rsidR="00420C97">
              <w:rPr>
                <w:noProof/>
                <w:webHidden/>
              </w:rPr>
              <w:fldChar w:fldCharType="separate"/>
            </w:r>
            <w:r>
              <w:rPr>
                <w:noProof/>
                <w:webHidden/>
              </w:rPr>
              <w:t>16</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299" w:history="1">
            <w:r w:rsidR="00420C97" w:rsidRPr="002D2085">
              <w:rPr>
                <w:rStyle w:val="Hyperlink"/>
                <w:rFonts w:eastAsiaTheme="majorEastAsia"/>
                <w:noProof/>
              </w:rPr>
              <w:t>Peripheral Services</w:t>
            </w:r>
            <w:r w:rsidR="00420C97">
              <w:rPr>
                <w:noProof/>
                <w:webHidden/>
              </w:rPr>
              <w:tab/>
            </w:r>
            <w:r w:rsidR="00420C97">
              <w:rPr>
                <w:noProof/>
                <w:webHidden/>
              </w:rPr>
              <w:fldChar w:fldCharType="begin"/>
            </w:r>
            <w:r w:rsidR="00420C97">
              <w:rPr>
                <w:noProof/>
                <w:webHidden/>
              </w:rPr>
              <w:instrText xml:space="preserve"> PAGEREF _Toc484692299 \h </w:instrText>
            </w:r>
            <w:r w:rsidR="00420C97">
              <w:rPr>
                <w:noProof/>
                <w:webHidden/>
              </w:rPr>
            </w:r>
            <w:r w:rsidR="00420C97">
              <w:rPr>
                <w:noProof/>
                <w:webHidden/>
              </w:rPr>
              <w:fldChar w:fldCharType="separate"/>
            </w:r>
            <w:r>
              <w:rPr>
                <w:noProof/>
                <w:webHidden/>
              </w:rPr>
              <w:t>16</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00" w:history="1">
            <w:r w:rsidR="00420C97" w:rsidRPr="002D2085">
              <w:rPr>
                <w:rStyle w:val="Hyperlink"/>
                <w:rFonts w:eastAsiaTheme="majorEastAsia"/>
                <w:noProof/>
              </w:rPr>
              <w:t>Chapter 3 - How to join the Panel of DES Providers</w:t>
            </w:r>
            <w:r w:rsidR="00420C97">
              <w:rPr>
                <w:noProof/>
                <w:webHidden/>
              </w:rPr>
              <w:tab/>
            </w:r>
            <w:r w:rsidR="00420C97">
              <w:rPr>
                <w:noProof/>
                <w:webHidden/>
              </w:rPr>
              <w:fldChar w:fldCharType="begin"/>
            </w:r>
            <w:r w:rsidR="00420C97">
              <w:rPr>
                <w:noProof/>
                <w:webHidden/>
              </w:rPr>
              <w:instrText xml:space="preserve"> PAGEREF _Toc484692300 \h </w:instrText>
            </w:r>
            <w:r w:rsidR="00420C97">
              <w:rPr>
                <w:noProof/>
                <w:webHidden/>
              </w:rPr>
            </w:r>
            <w:r w:rsidR="00420C97">
              <w:rPr>
                <w:noProof/>
                <w:webHidden/>
              </w:rPr>
              <w:fldChar w:fldCharType="separate"/>
            </w:r>
            <w:r>
              <w:rPr>
                <w:noProof/>
                <w:webHidden/>
              </w:rPr>
              <w:t>17</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1" w:history="1">
            <w:r w:rsidR="00420C97" w:rsidRPr="002D2085">
              <w:rPr>
                <w:rStyle w:val="Hyperlink"/>
                <w:rFonts w:eastAsiaTheme="majorEastAsia"/>
                <w:noProof/>
              </w:rPr>
              <w:t>Methodology for selecting the Panel of DES Providers</w:t>
            </w:r>
            <w:r w:rsidR="00420C97">
              <w:rPr>
                <w:noProof/>
                <w:webHidden/>
              </w:rPr>
              <w:tab/>
            </w:r>
            <w:r w:rsidR="00420C97">
              <w:rPr>
                <w:noProof/>
                <w:webHidden/>
              </w:rPr>
              <w:fldChar w:fldCharType="begin"/>
            </w:r>
            <w:r w:rsidR="00420C97">
              <w:rPr>
                <w:noProof/>
                <w:webHidden/>
              </w:rPr>
              <w:instrText xml:space="preserve"> PAGEREF _Toc484692301 \h </w:instrText>
            </w:r>
            <w:r w:rsidR="00420C97">
              <w:rPr>
                <w:noProof/>
                <w:webHidden/>
              </w:rPr>
            </w:r>
            <w:r w:rsidR="00420C97">
              <w:rPr>
                <w:noProof/>
                <w:webHidden/>
              </w:rPr>
              <w:fldChar w:fldCharType="separate"/>
            </w:r>
            <w:r>
              <w:rPr>
                <w:noProof/>
                <w:webHidden/>
              </w:rPr>
              <w:t>17</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2" w:history="1">
            <w:r w:rsidR="00420C97" w:rsidRPr="002D2085">
              <w:rPr>
                <w:rStyle w:val="Hyperlink"/>
                <w:rFonts w:eastAsiaTheme="majorEastAsia"/>
                <w:noProof/>
              </w:rPr>
              <w:t>Stage 1 – Registration of Interest</w:t>
            </w:r>
            <w:r w:rsidR="00420C97">
              <w:rPr>
                <w:noProof/>
                <w:webHidden/>
              </w:rPr>
              <w:tab/>
            </w:r>
            <w:r w:rsidR="00420C97">
              <w:rPr>
                <w:noProof/>
                <w:webHidden/>
              </w:rPr>
              <w:fldChar w:fldCharType="begin"/>
            </w:r>
            <w:r w:rsidR="00420C97">
              <w:rPr>
                <w:noProof/>
                <w:webHidden/>
              </w:rPr>
              <w:instrText xml:space="preserve"> PAGEREF _Toc484692302 \h </w:instrText>
            </w:r>
            <w:r w:rsidR="00420C97">
              <w:rPr>
                <w:noProof/>
                <w:webHidden/>
              </w:rPr>
            </w:r>
            <w:r w:rsidR="00420C97">
              <w:rPr>
                <w:noProof/>
                <w:webHidden/>
              </w:rPr>
              <w:fldChar w:fldCharType="separate"/>
            </w:r>
            <w:r>
              <w:rPr>
                <w:noProof/>
                <w:webHidden/>
              </w:rPr>
              <w:t>18</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3" w:history="1">
            <w:r w:rsidR="00420C97" w:rsidRPr="002D2085">
              <w:rPr>
                <w:rStyle w:val="Hyperlink"/>
                <w:rFonts w:eastAsiaTheme="majorEastAsia"/>
                <w:noProof/>
              </w:rPr>
              <w:t>Stage 2 – Grant Application process</w:t>
            </w:r>
            <w:r w:rsidR="00420C97">
              <w:rPr>
                <w:noProof/>
                <w:webHidden/>
              </w:rPr>
              <w:tab/>
            </w:r>
            <w:r w:rsidR="00420C97">
              <w:rPr>
                <w:noProof/>
                <w:webHidden/>
              </w:rPr>
              <w:fldChar w:fldCharType="begin"/>
            </w:r>
            <w:r w:rsidR="00420C97">
              <w:rPr>
                <w:noProof/>
                <w:webHidden/>
              </w:rPr>
              <w:instrText xml:space="preserve"> PAGEREF _Toc484692303 \h </w:instrText>
            </w:r>
            <w:r w:rsidR="00420C97">
              <w:rPr>
                <w:noProof/>
                <w:webHidden/>
              </w:rPr>
            </w:r>
            <w:r w:rsidR="00420C97">
              <w:rPr>
                <w:noProof/>
                <w:webHidden/>
              </w:rPr>
              <w:fldChar w:fldCharType="separate"/>
            </w:r>
            <w:r>
              <w:rPr>
                <w:noProof/>
                <w:webHidden/>
              </w:rPr>
              <w:t>18</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4" w:history="1">
            <w:r w:rsidR="00420C97" w:rsidRPr="002D2085">
              <w:rPr>
                <w:rStyle w:val="Hyperlink"/>
                <w:rFonts w:eastAsiaTheme="majorEastAsia"/>
                <w:noProof/>
              </w:rPr>
              <w:t>Who is eligible to apply to provide DES?</w:t>
            </w:r>
            <w:r w:rsidR="00420C97">
              <w:rPr>
                <w:noProof/>
                <w:webHidden/>
              </w:rPr>
              <w:tab/>
            </w:r>
            <w:r w:rsidR="00420C97">
              <w:rPr>
                <w:noProof/>
                <w:webHidden/>
              </w:rPr>
              <w:fldChar w:fldCharType="begin"/>
            </w:r>
            <w:r w:rsidR="00420C97">
              <w:rPr>
                <w:noProof/>
                <w:webHidden/>
              </w:rPr>
              <w:instrText xml:space="preserve"> PAGEREF _Toc484692304 \h </w:instrText>
            </w:r>
            <w:r w:rsidR="00420C97">
              <w:rPr>
                <w:noProof/>
                <w:webHidden/>
              </w:rPr>
            </w:r>
            <w:r w:rsidR="00420C97">
              <w:rPr>
                <w:noProof/>
                <w:webHidden/>
              </w:rPr>
              <w:fldChar w:fldCharType="separate"/>
            </w:r>
            <w:r>
              <w:rPr>
                <w:noProof/>
                <w:webHidden/>
              </w:rPr>
              <w:t>20</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5" w:history="1">
            <w:r w:rsidR="00420C97" w:rsidRPr="002D2085">
              <w:rPr>
                <w:rStyle w:val="Hyperlink"/>
                <w:rFonts w:eastAsiaTheme="majorEastAsia"/>
                <w:noProof/>
              </w:rPr>
              <w:t>Assistance for Grant Applicants</w:t>
            </w:r>
            <w:r w:rsidR="00420C97">
              <w:rPr>
                <w:noProof/>
                <w:webHidden/>
              </w:rPr>
              <w:tab/>
            </w:r>
            <w:r w:rsidR="00420C97">
              <w:rPr>
                <w:noProof/>
                <w:webHidden/>
              </w:rPr>
              <w:fldChar w:fldCharType="begin"/>
            </w:r>
            <w:r w:rsidR="00420C97">
              <w:rPr>
                <w:noProof/>
                <w:webHidden/>
              </w:rPr>
              <w:instrText xml:space="preserve"> PAGEREF _Toc484692305 \h </w:instrText>
            </w:r>
            <w:r w:rsidR="00420C97">
              <w:rPr>
                <w:noProof/>
                <w:webHidden/>
              </w:rPr>
            </w:r>
            <w:r w:rsidR="00420C97">
              <w:rPr>
                <w:noProof/>
                <w:webHidden/>
              </w:rPr>
              <w:fldChar w:fldCharType="separate"/>
            </w:r>
            <w:r>
              <w:rPr>
                <w:noProof/>
                <w:webHidden/>
              </w:rPr>
              <w:t>22</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6" w:history="1">
            <w:r w:rsidR="00420C97" w:rsidRPr="002D2085">
              <w:rPr>
                <w:rStyle w:val="Hyperlink"/>
                <w:rFonts w:eastAsiaTheme="majorEastAsia"/>
                <w:noProof/>
              </w:rPr>
              <w:t>Financial viability and other checks</w:t>
            </w:r>
            <w:r w:rsidR="00420C97">
              <w:rPr>
                <w:noProof/>
                <w:webHidden/>
              </w:rPr>
              <w:tab/>
            </w:r>
            <w:r w:rsidR="00420C97">
              <w:rPr>
                <w:noProof/>
                <w:webHidden/>
              </w:rPr>
              <w:fldChar w:fldCharType="begin"/>
            </w:r>
            <w:r w:rsidR="00420C97">
              <w:rPr>
                <w:noProof/>
                <w:webHidden/>
              </w:rPr>
              <w:instrText xml:space="preserve"> PAGEREF _Toc484692306 \h </w:instrText>
            </w:r>
            <w:r w:rsidR="00420C97">
              <w:rPr>
                <w:noProof/>
                <w:webHidden/>
              </w:rPr>
            </w:r>
            <w:r w:rsidR="00420C97">
              <w:rPr>
                <w:noProof/>
                <w:webHidden/>
              </w:rPr>
              <w:fldChar w:fldCharType="separate"/>
            </w:r>
            <w:r>
              <w:rPr>
                <w:noProof/>
                <w:webHidden/>
              </w:rPr>
              <w:t>22</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7" w:history="1">
            <w:r w:rsidR="00420C97" w:rsidRPr="002D2085">
              <w:rPr>
                <w:rStyle w:val="Hyperlink"/>
                <w:rFonts w:eastAsiaTheme="majorEastAsia"/>
                <w:noProof/>
              </w:rPr>
              <w:t>Employment Service Area (ESA) coverage</w:t>
            </w:r>
            <w:r w:rsidR="00420C97">
              <w:rPr>
                <w:noProof/>
                <w:webHidden/>
              </w:rPr>
              <w:tab/>
            </w:r>
            <w:r w:rsidR="00420C97">
              <w:rPr>
                <w:noProof/>
                <w:webHidden/>
              </w:rPr>
              <w:fldChar w:fldCharType="begin"/>
            </w:r>
            <w:r w:rsidR="00420C97">
              <w:rPr>
                <w:noProof/>
                <w:webHidden/>
              </w:rPr>
              <w:instrText xml:space="preserve"> PAGEREF _Toc484692307 \h </w:instrText>
            </w:r>
            <w:r w:rsidR="00420C97">
              <w:rPr>
                <w:noProof/>
                <w:webHidden/>
              </w:rPr>
            </w:r>
            <w:r w:rsidR="00420C97">
              <w:rPr>
                <w:noProof/>
                <w:webHidden/>
              </w:rPr>
              <w:fldChar w:fldCharType="separate"/>
            </w:r>
            <w:r>
              <w:rPr>
                <w:noProof/>
                <w:webHidden/>
              </w:rPr>
              <w:t>22</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8" w:history="1">
            <w:r w:rsidR="00420C97" w:rsidRPr="002D2085">
              <w:rPr>
                <w:rStyle w:val="Hyperlink"/>
                <w:rFonts w:eastAsiaTheme="majorEastAsia"/>
                <w:noProof/>
              </w:rPr>
              <w:t>Specialist Services providers</w:t>
            </w:r>
            <w:r w:rsidR="00420C97">
              <w:rPr>
                <w:noProof/>
                <w:webHidden/>
              </w:rPr>
              <w:tab/>
            </w:r>
            <w:r w:rsidR="00420C97">
              <w:rPr>
                <w:noProof/>
                <w:webHidden/>
              </w:rPr>
              <w:fldChar w:fldCharType="begin"/>
            </w:r>
            <w:r w:rsidR="00420C97">
              <w:rPr>
                <w:noProof/>
                <w:webHidden/>
              </w:rPr>
              <w:instrText xml:space="preserve"> PAGEREF _Toc484692308 \h </w:instrText>
            </w:r>
            <w:r w:rsidR="00420C97">
              <w:rPr>
                <w:noProof/>
                <w:webHidden/>
              </w:rPr>
            </w:r>
            <w:r w:rsidR="00420C97">
              <w:rPr>
                <w:noProof/>
                <w:webHidden/>
              </w:rPr>
              <w:fldChar w:fldCharType="separate"/>
            </w:r>
            <w:r>
              <w:rPr>
                <w:noProof/>
                <w:webHidden/>
              </w:rPr>
              <w:t>22</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09" w:history="1">
            <w:r w:rsidR="00420C97" w:rsidRPr="002D2085">
              <w:rPr>
                <w:rStyle w:val="Hyperlink"/>
                <w:rFonts w:eastAsiaTheme="majorEastAsia"/>
                <w:noProof/>
              </w:rPr>
              <w:t>Certification with the National Standards for Disability Services</w:t>
            </w:r>
            <w:r w:rsidR="00420C97">
              <w:rPr>
                <w:noProof/>
                <w:webHidden/>
              </w:rPr>
              <w:tab/>
            </w:r>
            <w:r w:rsidR="00420C97">
              <w:rPr>
                <w:noProof/>
                <w:webHidden/>
              </w:rPr>
              <w:fldChar w:fldCharType="begin"/>
            </w:r>
            <w:r w:rsidR="00420C97">
              <w:rPr>
                <w:noProof/>
                <w:webHidden/>
              </w:rPr>
              <w:instrText xml:space="preserve"> PAGEREF _Toc484692309 \h </w:instrText>
            </w:r>
            <w:r w:rsidR="00420C97">
              <w:rPr>
                <w:noProof/>
                <w:webHidden/>
              </w:rPr>
            </w:r>
            <w:r w:rsidR="00420C97">
              <w:rPr>
                <w:noProof/>
                <w:webHidden/>
              </w:rPr>
              <w:fldChar w:fldCharType="separate"/>
            </w:r>
            <w:r>
              <w:rPr>
                <w:noProof/>
                <w:webHidden/>
              </w:rPr>
              <w:t>23</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10" w:history="1">
            <w:r w:rsidR="00420C97" w:rsidRPr="002D2085">
              <w:rPr>
                <w:rStyle w:val="Hyperlink"/>
                <w:rFonts w:eastAsiaTheme="majorEastAsia"/>
                <w:noProof/>
              </w:rPr>
              <w:t>Information Technology Certification</w:t>
            </w:r>
            <w:r w:rsidR="00420C97">
              <w:rPr>
                <w:noProof/>
                <w:webHidden/>
              </w:rPr>
              <w:tab/>
            </w:r>
            <w:r w:rsidR="00420C97">
              <w:rPr>
                <w:noProof/>
                <w:webHidden/>
              </w:rPr>
              <w:fldChar w:fldCharType="begin"/>
            </w:r>
            <w:r w:rsidR="00420C97">
              <w:rPr>
                <w:noProof/>
                <w:webHidden/>
              </w:rPr>
              <w:instrText xml:space="preserve"> PAGEREF _Toc484692310 \h </w:instrText>
            </w:r>
            <w:r w:rsidR="00420C97">
              <w:rPr>
                <w:noProof/>
                <w:webHidden/>
              </w:rPr>
            </w:r>
            <w:r w:rsidR="00420C97">
              <w:rPr>
                <w:noProof/>
                <w:webHidden/>
              </w:rPr>
              <w:fldChar w:fldCharType="separate"/>
            </w:r>
            <w:r>
              <w:rPr>
                <w:noProof/>
                <w:webHidden/>
              </w:rPr>
              <w:t>23</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11" w:history="1">
            <w:r w:rsidR="00420C97" w:rsidRPr="002D2085">
              <w:rPr>
                <w:rStyle w:val="Hyperlink"/>
                <w:rFonts w:eastAsiaTheme="majorEastAsia"/>
                <w:noProof/>
              </w:rPr>
              <w:t>Probity</w:t>
            </w:r>
            <w:r w:rsidR="00420C97">
              <w:rPr>
                <w:noProof/>
                <w:webHidden/>
              </w:rPr>
              <w:tab/>
            </w:r>
            <w:r w:rsidR="00420C97">
              <w:rPr>
                <w:noProof/>
                <w:webHidden/>
              </w:rPr>
              <w:fldChar w:fldCharType="begin"/>
            </w:r>
            <w:r w:rsidR="00420C97">
              <w:rPr>
                <w:noProof/>
                <w:webHidden/>
              </w:rPr>
              <w:instrText xml:space="preserve"> PAGEREF _Toc484692311 \h </w:instrText>
            </w:r>
            <w:r w:rsidR="00420C97">
              <w:rPr>
                <w:noProof/>
                <w:webHidden/>
              </w:rPr>
            </w:r>
            <w:r w:rsidR="00420C97">
              <w:rPr>
                <w:noProof/>
                <w:webHidden/>
              </w:rPr>
              <w:fldChar w:fldCharType="separate"/>
            </w:r>
            <w:r>
              <w:rPr>
                <w:noProof/>
                <w:webHidden/>
              </w:rPr>
              <w:t>25</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12" w:history="1">
            <w:r w:rsidR="00420C97" w:rsidRPr="002D2085">
              <w:rPr>
                <w:rStyle w:val="Hyperlink"/>
                <w:rFonts w:eastAsiaTheme="majorEastAsia"/>
                <w:noProof/>
              </w:rPr>
              <w:t>Enquiries and Communication</w:t>
            </w:r>
            <w:r w:rsidR="00420C97">
              <w:rPr>
                <w:noProof/>
                <w:webHidden/>
              </w:rPr>
              <w:tab/>
            </w:r>
            <w:r w:rsidR="00420C97">
              <w:rPr>
                <w:noProof/>
                <w:webHidden/>
              </w:rPr>
              <w:fldChar w:fldCharType="begin"/>
            </w:r>
            <w:r w:rsidR="00420C97">
              <w:rPr>
                <w:noProof/>
                <w:webHidden/>
              </w:rPr>
              <w:instrText xml:space="preserve"> PAGEREF _Toc484692312 \h </w:instrText>
            </w:r>
            <w:r w:rsidR="00420C97">
              <w:rPr>
                <w:noProof/>
                <w:webHidden/>
              </w:rPr>
            </w:r>
            <w:r w:rsidR="00420C97">
              <w:rPr>
                <w:noProof/>
                <w:webHidden/>
              </w:rPr>
              <w:fldChar w:fldCharType="separate"/>
            </w:r>
            <w:r>
              <w:rPr>
                <w:noProof/>
                <w:webHidden/>
              </w:rPr>
              <w:t>27</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13" w:history="1">
            <w:r w:rsidR="00420C97" w:rsidRPr="002D2085">
              <w:rPr>
                <w:rStyle w:val="Hyperlink"/>
                <w:rFonts w:eastAsiaTheme="majorEastAsia"/>
                <w:noProof/>
              </w:rPr>
              <w:t>Contact with Portfolio Ministers</w:t>
            </w:r>
            <w:r w:rsidR="00420C97">
              <w:rPr>
                <w:noProof/>
                <w:webHidden/>
              </w:rPr>
              <w:tab/>
            </w:r>
            <w:r w:rsidR="00420C97">
              <w:rPr>
                <w:noProof/>
                <w:webHidden/>
              </w:rPr>
              <w:fldChar w:fldCharType="begin"/>
            </w:r>
            <w:r w:rsidR="00420C97">
              <w:rPr>
                <w:noProof/>
                <w:webHidden/>
              </w:rPr>
              <w:instrText xml:space="preserve"> PAGEREF _Toc484692313 \h </w:instrText>
            </w:r>
            <w:r w:rsidR="00420C97">
              <w:rPr>
                <w:noProof/>
                <w:webHidden/>
              </w:rPr>
            </w:r>
            <w:r w:rsidR="00420C97">
              <w:rPr>
                <w:noProof/>
                <w:webHidden/>
              </w:rPr>
              <w:fldChar w:fldCharType="separate"/>
            </w:r>
            <w:r>
              <w:rPr>
                <w:noProof/>
                <w:webHidden/>
              </w:rPr>
              <w:t>27</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14" w:history="1">
            <w:r w:rsidR="00420C97" w:rsidRPr="002D2085">
              <w:rPr>
                <w:rStyle w:val="Hyperlink"/>
                <w:rFonts w:eastAsiaTheme="majorEastAsia"/>
                <w:noProof/>
              </w:rPr>
              <w:t>Contact with DSS</w:t>
            </w:r>
            <w:r w:rsidR="00420C97">
              <w:rPr>
                <w:noProof/>
                <w:webHidden/>
              </w:rPr>
              <w:tab/>
            </w:r>
            <w:r w:rsidR="00420C97">
              <w:rPr>
                <w:noProof/>
                <w:webHidden/>
              </w:rPr>
              <w:fldChar w:fldCharType="begin"/>
            </w:r>
            <w:r w:rsidR="00420C97">
              <w:rPr>
                <w:noProof/>
                <w:webHidden/>
              </w:rPr>
              <w:instrText xml:space="preserve"> PAGEREF _Toc484692314 \h </w:instrText>
            </w:r>
            <w:r w:rsidR="00420C97">
              <w:rPr>
                <w:noProof/>
                <w:webHidden/>
              </w:rPr>
            </w:r>
            <w:r w:rsidR="00420C97">
              <w:rPr>
                <w:noProof/>
                <w:webHidden/>
              </w:rPr>
              <w:fldChar w:fldCharType="separate"/>
            </w:r>
            <w:r>
              <w:rPr>
                <w:noProof/>
                <w:webHidden/>
              </w:rPr>
              <w:t>27</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15" w:history="1">
            <w:r w:rsidR="00420C97" w:rsidRPr="002D2085">
              <w:rPr>
                <w:rStyle w:val="Hyperlink"/>
                <w:rFonts w:eastAsiaTheme="majorEastAsia"/>
                <w:noProof/>
              </w:rPr>
              <w:t>Public information and webinar sessions for the industry information paper</w:t>
            </w:r>
            <w:r w:rsidR="00420C97">
              <w:rPr>
                <w:noProof/>
                <w:webHidden/>
              </w:rPr>
              <w:tab/>
            </w:r>
            <w:r w:rsidR="00420C97">
              <w:rPr>
                <w:noProof/>
                <w:webHidden/>
              </w:rPr>
              <w:fldChar w:fldCharType="begin"/>
            </w:r>
            <w:r w:rsidR="00420C97">
              <w:rPr>
                <w:noProof/>
                <w:webHidden/>
              </w:rPr>
              <w:instrText xml:space="preserve"> PAGEREF _Toc484692315 \h </w:instrText>
            </w:r>
            <w:r w:rsidR="00420C97">
              <w:rPr>
                <w:noProof/>
                <w:webHidden/>
              </w:rPr>
            </w:r>
            <w:r w:rsidR="00420C97">
              <w:rPr>
                <w:noProof/>
                <w:webHidden/>
              </w:rPr>
              <w:fldChar w:fldCharType="separate"/>
            </w:r>
            <w:r>
              <w:rPr>
                <w:noProof/>
                <w:webHidden/>
              </w:rPr>
              <w:t>28</w:t>
            </w:r>
            <w:r w:rsidR="00420C97">
              <w:rPr>
                <w:noProof/>
                <w:webHidden/>
              </w:rPr>
              <w:fldChar w:fldCharType="end"/>
            </w:r>
          </w:hyperlink>
        </w:p>
        <w:p w:rsidR="00420C97" w:rsidRDefault="00A15A15">
          <w:pPr>
            <w:pStyle w:val="TOC2"/>
            <w:tabs>
              <w:tab w:val="right" w:leader="dot" w:pos="9344"/>
            </w:tabs>
            <w:rPr>
              <w:rFonts w:asciiTheme="minorHAnsi" w:eastAsiaTheme="minorEastAsia" w:hAnsiTheme="minorHAnsi" w:cstheme="minorBidi"/>
              <w:noProof/>
              <w:spacing w:val="0"/>
              <w:sz w:val="22"/>
              <w:szCs w:val="22"/>
            </w:rPr>
          </w:pPr>
          <w:hyperlink w:anchor="_Toc484692316" w:history="1">
            <w:r w:rsidR="00420C97" w:rsidRPr="002D2085">
              <w:rPr>
                <w:rStyle w:val="Hyperlink"/>
                <w:rFonts w:eastAsiaTheme="majorEastAsia"/>
                <w:noProof/>
              </w:rPr>
              <w:t>Future information sessions and webinars</w:t>
            </w:r>
            <w:r w:rsidR="00420C97">
              <w:rPr>
                <w:noProof/>
                <w:webHidden/>
              </w:rPr>
              <w:tab/>
            </w:r>
            <w:r w:rsidR="00420C97">
              <w:rPr>
                <w:noProof/>
                <w:webHidden/>
              </w:rPr>
              <w:fldChar w:fldCharType="begin"/>
            </w:r>
            <w:r w:rsidR="00420C97">
              <w:rPr>
                <w:noProof/>
                <w:webHidden/>
              </w:rPr>
              <w:instrText xml:space="preserve"> PAGEREF _Toc484692316 \h </w:instrText>
            </w:r>
            <w:r w:rsidR="00420C97">
              <w:rPr>
                <w:noProof/>
                <w:webHidden/>
              </w:rPr>
            </w:r>
            <w:r w:rsidR="00420C97">
              <w:rPr>
                <w:noProof/>
                <w:webHidden/>
              </w:rPr>
              <w:fldChar w:fldCharType="separate"/>
            </w:r>
            <w:r>
              <w:rPr>
                <w:noProof/>
                <w:webHidden/>
              </w:rPr>
              <w:t>28</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17" w:history="1">
            <w:r w:rsidR="00420C97" w:rsidRPr="002D2085">
              <w:rPr>
                <w:rStyle w:val="Hyperlink"/>
                <w:rFonts w:eastAsiaTheme="majorEastAsia"/>
                <w:noProof/>
              </w:rPr>
              <w:t>Useful information</w:t>
            </w:r>
            <w:r w:rsidR="00420C97">
              <w:rPr>
                <w:noProof/>
                <w:webHidden/>
              </w:rPr>
              <w:tab/>
            </w:r>
            <w:r w:rsidR="00420C97">
              <w:rPr>
                <w:noProof/>
                <w:webHidden/>
              </w:rPr>
              <w:fldChar w:fldCharType="begin"/>
            </w:r>
            <w:r w:rsidR="00420C97">
              <w:rPr>
                <w:noProof/>
                <w:webHidden/>
              </w:rPr>
              <w:instrText xml:space="preserve"> PAGEREF _Toc484692317 \h </w:instrText>
            </w:r>
            <w:r w:rsidR="00420C97">
              <w:rPr>
                <w:noProof/>
                <w:webHidden/>
              </w:rPr>
            </w:r>
            <w:r w:rsidR="00420C97">
              <w:rPr>
                <w:noProof/>
                <w:webHidden/>
              </w:rPr>
              <w:fldChar w:fldCharType="separate"/>
            </w:r>
            <w:r>
              <w:rPr>
                <w:noProof/>
                <w:webHidden/>
              </w:rPr>
              <w:t>29</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18" w:history="1">
            <w:r w:rsidR="00420C97" w:rsidRPr="002D2085">
              <w:rPr>
                <w:rStyle w:val="Hyperlink"/>
                <w:rFonts w:eastAsiaTheme="majorEastAsia"/>
                <w:noProof/>
              </w:rPr>
              <w:t>Appendix 1 – Impact of Risk Adjusted Funding Model by ESA</w:t>
            </w:r>
            <w:r w:rsidR="00420C97">
              <w:rPr>
                <w:noProof/>
                <w:webHidden/>
              </w:rPr>
              <w:tab/>
            </w:r>
            <w:r w:rsidR="00420C97">
              <w:rPr>
                <w:noProof/>
                <w:webHidden/>
              </w:rPr>
              <w:fldChar w:fldCharType="begin"/>
            </w:r>
            <w:r w:rsidR="00420C97">
              <w:rPr>
                <w:noProof/>
                <w:webHidden/>
              </w:rPr>
              <w:instrText xml:space="preserve"> PAGEREF _Toc484692318 \h </w:instrText>
            </w:r>
            <w:r w:rsidR="00420C97">
              <w:rPr>
                <w:noProof/>
                <w:webHidden/>
              </w:rPr>
            </w:r>
            <w:r w:rsidR="00420C97">
              <w:rPr>
                <w:noProof/>
                <w:webHidden/>
              </w:rPr>
              <w:fldChar w:fldCharType="separate"/>
            </w:r>
            <w:r>
              <w:rPr>
                <w:noProof/>
                <w:webHidden/>
              </w:rPr>
              <w:t>30</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19" w:history="1">
            <w:r w:rsidR="00420C97" w:rsidRPr="002D2085">
              <w:rPr>
                <w:rStyle w:val="Hyperlink"/>
                <w:rFonts w:eastAsiaTheme="majorEastAsia"/>
                <w:noProof/>
              </w:rPr>
              <w:t>Appendix 2 - Disability Employment Services - Fee Schedule</w:t>
            </w:r>
            <w:r w:rsidR="00420C97">
              <w:rPr>
                <w:noProof/>
                <w:webHidden/>
              </w:rPr>
              <w:tab/>
            </w:r>
            <w:r w:rsidR="00420C97">
              <w:rPr>
                <w:noProof/>
                <w:webHidden/>
              </w:rPr>
              <w:fldChar w:fldCharType="begin"/>
            </w:r>
            <w:r w:rsidR="00420C97">
              <w:rPr>
                <w:noProof/>
                <w:webHidden/>
              </w:rPr>
              <w:instrText xml:space="preserve"> PAGEREF _Toc484692319 \h </w:instrText>
            </w:r>
            <w:r w:rsidR="00420C97">
              <w:rPr>
                <w:noProof/>
                <w:webHidden/>
              </w:rPr>
            </w:r>
            <w:r w:rsidR="00420C97">
              <w:rPr>
                <w:noProof/>
                <w:webHidden/>
              </w:rPr>
              <w:fldChar w:fldCharType="separate"/>
            </w:r>
            <w:r>
              <w:rPr>
                <w:noProof/>
                <w:webHidden/>
              </w:rPr>
              <w:t>38</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20" w:history="1">
            <w:r w:rsidR="00420C97" w:rsidRPr="002D2085">
              <w:rPr>
                <w:rStyle w:val="Hyperlink"/>
                <w:rFonts w:eastAsiaTheme="majorEastAsia"/>
                <w:noProof/>
              </w:rPr>
              <w:t>Appendix 3 - Purchasing Process Diagram</w:t>
            </w:r>
            <w:r w:rsidR="00420C97">
              <w:rPr>
                <w:noProof/>
                <w:webHidden/>
              </w:rPr>
              <w:tab/>
            </w:r>
            <w:r w:rsidR="00420C97">
              <w:rPr>
                <w:noProof/>
                <w:webHidden/>
              </w:rPr>
              <w:fldChar w:fldCharType="begin"/>
            </w:r>
            <w:r w:rsidR="00420C97">
              <w:rPr>
                <w:noProof/>
                <w:webHidden/>
              </w:rPr>
              <w:instrText xml:space="preserve"> PAGEREF _Toc484692320 \h </w:instrText>
            </w:r>
            <w:r w:rsidR="00420C97">
              <w:rPr>
                <w:noProof/>
                <w:webHidden/>
              </w:rPr>
            </w:r>
            <w:r w:rsidR="00420C97">
              <w:rPr>
                <w:noProof/>
                <w:webHidden/>
              </w:rPr>
              <w:fldChar w:fldCharType="separate"/>
            </w:r>
            <w:r>
              <w:rPr>
                <w:noProof/>
                <w:webHidden/>
              </w:rPr>
              <w:t>41</w:t>
            </w:r>
            <w:r w:rsidR="00420C97">
              <w:rPr>
                <w:noProof/>
                <w:webHidden/>
              </w:rPr>
              <w:fldChar w:fldCharType="end"/>
            </w:r>
          </w:hyperlink>
        </w:p>
        <w:p w:rsidR="00420C97" w:rsidRDefault="00A15A15">
          <w:pPr>
            <w:pStyle w:val="TOC1"/>
            <w:tabs>
              <w:tab w:val="right" w:leader="dot" w:pos="9344"/>
            </w:tabs>
            <w:rPr>
              <w:rFonts w:asciiTheme="minorHAnsi" w:eastAsiaTheme="minorEastAsia" w:hAnsiTheme="minorHAnsi" w:cstheme="minorBidi"/>
              <w:noProof/>
              <w:spacing w:val="0"/>
              <w:sz w:val="22"/>
              <w:szCs w:val="22"/>
            </w:rPr>
          </w:pPr>
          <w:hyperlink w:anchor="_Toc484692321" w:history="1">
            <w:r w:rsidR="00420C97" w:rsidRPr="002D2085">
              <w:rPr>
                <w:rStyle w:val="Hyperlink"/>
                <w:rFonts w:eastAsiaTheme="majorEastAsia"/>
                <w:noProof/>
              </w:rPr>
              <w:t>Glossary</w:t>
            </w:r>
            <w:r w:rsidR="00420C97">
              <w:rPr>
                <w:noProof/>
                <w:webHidden/>
              </w:rPr>
              <w:tab/>
            </w:r>
            <w:r w:rsidR="00420C97">
              <w:rPr>
                <w:noProof/>
                <w:webHidden/>
              </w:rPr>
              <w:fldChar w:fldCharType="begin"/>
            </w:r>
            <w:r w:rsidR="00420C97">
              <w:rPr>
                <w:noProof/>
                <w:webHidden/>
              </w:rPr>
              <w:instrText xml:space="preserve"> PAGEREF _Toc484692321 \h </w:instrText>
            </w:r>
            <w:r w:rsidR="00420C97">
              <w:rPr>
                <w:noProof/>
                <w:webHidden/>
              </w:rPr>
            </w:r>
            <w:r w:rsidR="00420C97">
              <w:rPr>
                <w:noProof/>
                <w:webHidden/>
              </w:rPr>
              <w:fldChar w:fldCharType="separate"/>
            </w:r>
            <w:r>
              <w:rPr>
                <w:noProof/>
                <w:webHidden/>
              </w:rPr>
              <w:t>42</w:t>
            </w:r>
            <w:r w:rsidR="00420C97">
              <w:rPr>
                <w:noProof/>
                <w:webHidden/>
              </w:rPr>
              <w:fldChar w:fldCharType="end"/>
            </w:r>
          </w:hyperlink>
        </w:p>
        <w:p w:rsidR="00F85669" w:rsidRPr="007D5F0B" w:rsidRDefault="00A36AF7" w:rsidP="007D5F0B">
          <w:pPr>
            <w:sectPr w:rsidR="00F85669" w:rsidRPr="007D5F0B" w:rsidSect="0087600D">
              <w:headerReference w:type="first" r:id="rId16"/>
              <w:footerReference w:type="first" r:id="rId17"/>
              <w:pgSz w:w="11906" w:h="16838"/>
              <w:pgMar w:top="1134" w:right="1418" w:bottom="1418" w:left="1134" w:header="284" w:footer="459" w:gutter="0"/>
              <w:pgNumType w:fmt="lowerRoman" w:start="1"/>
              <w:cols w:space="708"/>
              <w:titlePg/>
              <w:docGrid w:linePitch="360"/>
            </w:sectPr>
          </w:pPr>
          <w:r>
            <w:rPr>
              <w:b/>
              <w:bCs/>
              <w:noProof/>
            </w:rPr>
            <w:fldChar w:fldCharType="end"/>
          </w:r>
        </w:p>
      </w:sdtContent>
    </w:sdt>
    <w:p w:rsidR="001227A2" w:rsidRPr="00E52F9B" w:rsidRDefault="001227A2" w:rsidP="001227A2">
      <w:pPr>
        <w:pStyle w:val="Heading1"/>
        <w:rPr>
          <w:b/>
          <w:szCs w:val="18"/>
        </w:rPr>
      </w:pPr>
      <w:bookmarkStart w:id="0" w:name="_Toc483921445"/>
      <w:bookmarkStart w:id="1" w:name="_Toc484692288"/>
      <w:r>
        <w:lastRenderedPageBreak/>
        <w:t>Document Change History</w:t>
      </w:r>
    </w:p>
    <w:tbl>
      <w:tblPr>
        <w:tblStyle w:val="DSSDatatablestyle1"/>
        <w:tblpPr w:leftFromText="180" w:rightFromText="180" w:vertAnchor="text" w:horzAnchor="page" w:tblpX="1283" w:tblpY="243"/>
        <w:tblW w:w="8897" w:type="dxa"/>
        <w:tblInd w:w="0" w:type="dxa"/>
        <w:tblLook w:val="04E0" w:firstRow="1" w:lastRow="1" w:firstColumn="1" w:lastColumn="0" w:noHBand="0" w:noVBand="1"/>
        <w:tblCaption w:val="DSS Data table style"/>
      </w:tblPr>
      <w:tblGrid>
        <w:gridCol w:w="1242"/>
        <w:gridCol w:w="1706"/>
        <w:gridCol w:w="5949"/>
      </w:tblGrid>
      <w:tr w:rsidR="001227A2" w:rsidRPr="00E52F9B" w:rsidTr="00097D60">
        <w:trPr>
          <w:cnfStyle w:val="100000000000" w:firstRow="1" w:lastRow="0" w:firstColumn="0" w:lastColumn="0" w:oddVBand="0" w:evenVBand="0" w:oddHBand="0" w:evenHBand="0" w:firstRowFirstColumn="0" w:firstRowLastColumn="0" w:lastRowFirstColumn="0" w:lastRowLastColumn="0"/>
          <w:tblHeader/>
        </w:trPr>
        <w:tc>
          <w:tcPr>
            <w:tcW w:w="1242" w:type="dxa"/>
          </w:tcPr>
          <w:p w:rsidR="001227A2" w:rsidRPr="00E52F9B" w:rsidRDefault="001227A2" w:rsidP="00097D60">
            <w:pPr>
              <w:rPr>
                <w:sz w:val="22"/>
                <w:szCs w:val="22"/>
              </w:rPr>
            </w:pPr>
            <w:r>
              <w:rPr>
                <w:sz w:val="22"/>
                <w:szCs w:val="22"/>
              </w:rPr>
              <w:t>Version</w:t>
            </w:r>
          </w:p>
        </w:tc>
        <w:tc>
          <w:tcPr>
            <w:tcW w:w="1706" w:type="dxa"/>
          </w:tcPr>
          <w:p w:rsidR="001227A2" w:rsidRPr="00E52F9B" w:rsidRDefault="001227A2" w:rsidP="00097D60">
            <w:pPr>
              <w:rPr>
                <w:sz w:val="22"/>
                <w:szCs w:val="22"/>
              </w:rPr>
            </w:pPr>
            <w:r>
              <w:rPr>
                <w:sz w:val="22"/>
                <w:szCs w:val="22"/>
              </w:rPr>
              <w:t>Date</w:t>
            </w:r>
          </w:p>
        </w:tc>
        <w:tc>
          <w:tcPr>
            <w:tcW w:w="5949" w:type="dxa"/>
          </w:tcPr>
          <w:p w:rsidR="001227A2" w:rsidRPr="00E52F9B" w:rsidRDefault="001227A2" w:rsidP="00097D60">
            <w:pPr>
              <w:ind w:left="313"/>
              <w:rPr>
                <w:sz w:val="22"/>
                <w:szCs w:val="22"/>
              </w:rPr>
            </w:pPr>
            <w:r>
              <w:rPr>
                <w:sz w:val="22"/>
                <w:szCs w:val="22"/>
              </w:rPr>
              <w:t>Change</w:t>
            </w:r>
          </w:p>
        </w:tc>
      </w:tr>
      <w:tr w:rsidR="001227A2" w:rsidRPr="00E52F9B" w:rsidTr="00097D60">
        <w:trPr>
          <w:trHeight w:val="454"/>
        </w:trPr>
        <w:tc>
          <w:tcPr>
            <w:tcW w:w="1242" w:type="dxa"/>
          </w:tcPr>
          <w:p w:rsidR="001227A2" w:rsidRPr="00E52F9B" w:rsidRDefault="001227A2" w:rsidP="00097D60">
            <w:pPr>
              <w:rPr>
                <w:sz w:val="22"/>
                <w:szCs w:val="22"/>
              </w:rPr>
            </w:pPr>
          </w:p>
        </w:tc>
        <w:tc>
          <w:tcPr>
            <w:tcW w:w="1706" w:type="dxa"/>
          </w:tcPr>
          <w:p w:rsidR="001227A2" w:rsidRPr="00E52F9B" w:rsidRDefault="001227A2" w:rsidP="00097D60">
            <w:pPr>
              <w:rPr>
                <w:sz w:val="22"/>
                <w:szCs w:val="22"/>
              </w:rPr>
            </w:pPr>
          </w:p>
        </w:tc>
        <w:tc>
          <w:tcPr>
            <w:tcW w:w="5949" w:type="dxa"/>
          </w:tcPr>
          <w:p w:rsidR="001227A2" w:rsidRPr="00E52F9B" w:rsidRDefault="001227A2" w:rsidP="00097D60">
            <w:pPr>
              <w:ind w:left="313"/>
              <w:rPr>
                <w:sz w:val="22"/>
                <w:szCs w:val="22"/>
              </w:rPr>
            </w:pPr>
          </w:p>
        </w:tc>
      </w:tr>
      <w:tr w:rsidR="001227A2" w:rsidRPr="00E52F9B" w:rsidTr="00097D60">
        <w:trPr>
          <w:cnfStyle w:val="000000010000" w:firstRow="0" w:lastRow="0" w:firstColumn="0" w:lastColumn="0" w:oddVBand="0" w:evenVBand="0" w:oddHBand="0" w:evenHBand="1" w:firstRowFirstColumn="0" w:firstRowLastColumn="0" w:lastRowFirstColumn="0" w:lastRowLastColumn="0"/>
          <w:trHeight w:val="454"/>
        </w:trPr>
        <w:tc>
          <w:tcPr>
            <w:tcW w:w="1242" w:type="dxa"/>
          </w:tcPr>
          <w:p w:rsidR="001227A2" w:rsidRPr="00E52F9B" w:rsidRDefault="001227A2" w:rsidP="00097D60">
            <w:pPr>
              <w:rPr>
                <w:sz w:val="22"/>
                <w:szCs w:val="22"/>
              </w:rPr>
            </w:pPr>
            <w:r>
              <w:rPr>
                <w:sz w:val="22"/>
                <w:szCs w:val="22"/>
              </w:rPr>
              <w:t>2.0</w:t>
            </w:r>
          </w:p>
        </w:tc>
        <w:tc>
          <w:tcPr>
            <w:tcW w:w="1706" w:type="dxa"/>
          </w:tcPr>
          <w:p w:rsidR="001227A2" w:rsidRPr="00E52F9B" w:rsidRDefault="001E58A0" w:rsidP="001E58A0">
            <w:pPr>
              <w:rPr>
                <w:sz w:val="22"/>
                <w:szCs w:val="22"/>
              </w:rPr>
            </w:pPr>
            <w:r>
              <w:rPr>
                <w:sz w:val="22"/>
                <w:szCs w:val="22"/>
              </w:rPr>
              <w:t>28</w:t>
            </w:r>
            <w:r w:rsidR="001227A2">
              <w:rPr>
                <w:sz w:val="22"/>
                <w:szCs w:val="22"/>
              </w:rPr>
              <w:t xml:space="preserve"> July 2017</w:t>
            </w:r>
          </w:p>
        </w:tc>
        <w:tc>
          <w:tcPr>
            <w:tcW w:w="5949" w:type="dxa"/>
          </w:tcPr>
          <w:p w:rsidR="002D015F" w:rsidRDefault="002D015F" w:rsidP="003828DF">
            <w:pPr>
              <w:ind w:left="313"/>
              <w:rPr>
                <w:sz w:val="22"/>
                <w:szCs w:val="22"/>
              </w:rPr>
            </w:pPr>
            <w:r>
              <w:rPr>
                <w:sz w:val="22"/>
                <w:szCs w:val="22"/>
              </w:rPr>
              <w:t xml:space="preserve">This updated version of the </w:t>
            </w:r>
            <w:r>
              <w:t xml:space="preserve"> </w:t>
            </w:r>
            <w:r w:rsidRPr="002D015F">
              <w:rPr>
                <w:sz w:val="22"/>
                <w:szCs w:val="22"/>
              </w:rPr>
              <w:t>Disability Employment Services Reform 2018 Industry Information Paper</w:t>
            </w:r>
            <w:r>
              <w:rPr>
                <w:sz w:val="22"/>
                <w:szCs w:val="22"/>
              </w:rPr>
              <w:t xml:space="preserve"> includes the following changes:</w:t>
            </w:r>
          </w:p>
          <w:p w:rsidR="003828DF" w:rsidRDefault="003828DF" w:rsidP="003828DF">
            <w:pPr>
              <w:ind w:left="313"/>
              <w:rPr>
                <w:sz w:val="22"/>
                <w:szCs w:val="22"/>
              </w:rPr>
            </w:pPr>
            <w:r>
              <w:rPr>
                <w:sz w:val="22"/>
                <w:szCs w:val="22"/>
              </w:rPr>
              <w:t>Amend Indicative timeline table (page 26)</w:t>
            </w:r>
          </w:p>
          <w:p w:rsidR="003828DF" w:rsidRDefault="003828DF" w:rsidP="003828DF">
            <w:pPr>
              <w:ind w:left="313"/>
              <w:rPr>
                <w:sz w:val="22"/>
                <w:szCs w:val="22"/>
              </w:rPr>
            </w:pPr>
            <w:r>
              <w:rPr>
                <w:sz w:val="22"/>
                <w:szCs w:val="22"/>
              </w:rPr>
              <w:t>Update links to ESA Maps and remove references to ESA business (page 29)</w:t>
            </w:r>
          </w:p>
          <w:p w:rsidR="001227A2" w:rsidRDefault="001227A2" w:rsidP="00097D60">
            <w:pPr>
              <w:ind w:left="313"/>
              <w:rPr>
                <w:sz w:val="22"/>
                <w:szCs w:val="22"/>
              </w:rPr>
            </w:pPr>
            <w:r>
              <w:rPr>
                <w:sz w:val="22"/>
                <w:szCs w:val="22"/>
              </w:rPr>
              <w:t>Remove ‘active’ from Table 6 title (page 3</w:t>
            </w:r>
            <w:r w:rsidR="003828DF">
              <w:rPr>
                <w:sz w:val="22"/>
                <w:szCs w:val="22"/>
              </w:rPr>
              <w:t>4</w:t>
            </w:r>
            <w:r>
              <w:rPr>
                <w:sz w:val="22"/>
                <w:szCs w:val="22"/>
              </w:rPr>
              <w:t>)</w:t>
            </w:r>
          </w:p>
          <w:p w:rsidR="003828DF" w:rsidRDefault="003828DF" w:rsidP="003828DF">
            <w:pPr>
              <w:ind w:left="313"/>
              <w:rPr>
                <w:sz w:val="22"/>
                <w:szCs w:val="22"/>
              </w:rPr>
            </w:pPr>
            <w:r>
              <w:rPr>
                <w:sz w:val="22"/>
                <w:szCs w:val="22"/>
              </w:rPr>
              <w:t>Amend wording on Moderate Intellectual Disability Loading (page 40)</w:t>
            </w:r>
          </w:p>
          <w:p w:rsidR="003828DF" w:rsidRDefault="003828DF" w:rsidP="003828DF">
            <w:pPr>
              <w:ind w:left="313"/>
              <w:rPr>
                <w:sz w:val="22"/>
                <w:szCs w:val="22"/>
              </w:rPr>
            </w:pPr>
            <w:r>
              <w:rPr>
                <w:sz w:val="22"/>
                <w:szCs w:val="22"/>
              </w:rPr>
              <w:t xml:space="preserve">Amend footnotes to Appendix 2 – DES Fee Schedule (page 40)  </w:t>
            </w:r>
          </w:p>
          <w:p w:rsidR="00811FDF" w:rsidRPr="00B340B0" w:rsidRDefault="00A81E18" w:rsidP="00B340B0">
            <w:pPr>
              <w:spacing w:after="840"/>
              <w:ind w:left="312"/>
              <w:rPr>
                <w:sz w:val="22"/>
                <w:szCs w:val="22"/>
              </w:rPr>
            </w:pPr>
            <w:r w:rsidRPr="006068F7">
              <w:rPr>
                <w:sz w:val="22"/>
                <w:szCs w:val="22"/>
              </w:rPr>
              <w:t xml:space="preserve">Amend Glossary definition of </w:t>
            </w:r>
            <w:r w:rsidRPr="00C66620">
              <w:rPr>
                <w:sz w:val="22"/>
                <w:szCs w:val="22"/>
              </w:rPr>
              <w:t>Eligible Job Seeker</w:t>
            </w:r>
            <w:r w:rsidRPr="006068F7">
              <w:rPr>
                <w:sz w:val="22"/>
                <w:szCs w:val="22"/>
              </w:rPr>
              <w:t xml:space="preserve"> to reflect 1 July 2017 change to Age Pension qualifying age (page 4</w:t>
            </w:r>
            <w:r w:rsidR="003828DF">
              <w:rPr>
                <w:sz w:val="22"/>
                <w:szCs w:val="22"/>
              </w:rPr>
              <w:t>2</w:t>
            </w:r>
            <w:r w:rsidR="001227A2" w:rsidRPr="006068F7">
              <w:rPr>
                <w:sz w:val="22"/>
                <w:szCs w:val="22"/>
              </w:rPr>
              <w:t>)</w:t>
            </w:r>
          </w:p>
          <w:p w:rsidR="00811FDF" w:rsidRPr="00E52F9B" w:rsidRDefault="00811FDF" w:rsidP="00097D60">
            <w:pPr>
              <w:ind w:left="313"/>
              <w:rPr>
                <w:sz w:val="22"/>
                <w:szCs w:val="22"/>
              </w:rPr>
            </w:pPr>
          </w:p>
        </w:tc>
      </w:tr>
      <w:tr w:rsidR="001227A2" w:rsidRPr="00E52F9B" w:rsidTr="00097D60">
        <w:trPr>
          <w:cnfStyle w:val="010000000000" w:firstRow="0" w:lastRow="1" w:firstColumn="0" w:lastColumn="0" w:oddVBand="0" w:evenVBand="0" w:oddHBand="0" w:evenHBand="0" w:firstRowFirstColumn="0" w:firstRowLastColumn="0" w:lastRowFirstColumn="0" w:lastRowLastColumn="0"/>
          <w:trHeight w:val="454"/>
        </w:trPr>
        <w:tc>
          <w:tcPr>
            <w:tcW w:w="1242" w:type="dxa"/>
          </w:tcPr>
          <w:p w:rsidR="001227A2" w:rsidRPr="00E52F9B" w:rsidRDefault="001227A2" w:rsidP="00097D60">
            <w:pPr>
              <w:rPr>
                <w:b w:val="0"/>
                <w:sz w:val="22"/>
                <w:szCs w:val="22"/>
              </w:rPr>
            </w:pPr>
            <w:r>
              <w:rPr>
                <w:b w:val="0"/>
                <w:sz w:val="22"/>
                <w:szCs w:val="22"/>
              </w:rPr>
              <w:t>1.0</w:t>
            </w:r>
          </w:p>
        </w:tc>
        <w:tc>
          <w:tcPr>
            <w:tcW w:w="1706" w:type="dxa"/>
          </w:tcPr>
          <w:p w:rsidR="001227A2" w:rsidRPr="00E52F9B" w:rsidRDefault="001227A2" w:rsidP="00097D60">
            <w:pPr>
              <w:rPr>
                <w:b w:val="0"/>
                <w:sz w:val="22"/>
                <w:szCs w:val="22"/>
              </w:rPr>
            </w:pPr>
            <w:r>
              <w:rPr>
                <w:b w:val="0"/>
                <w:sz w:val="22"/>
                <w:szCs w:val="22"/>
              </w:rPr>
              <w:t>14 June 2017</w:t>
            </w:r>
          </w:p>
        </w:tc>
        <w:tc>
          <w:tcPr>
            <w:tcW w:w="5949" w:type="dxa"/>
          </w:tcPr>
          <w:p w:rsidR="001227A2" w:rsidRPr="00E52F9B" w:rsidRDefault="001227A2" w:rsidP="00097D60">
            <w:pPr>
              <w:ind w:left="313"/>
              <w:rPr>
                <w:b w:val="0"/>
                <w:sz w:val="22"/>
                <w:szCs w:val="22"/>
              </w:rPr>
            </w:pPr>
            <w:r>
              <w:rPr>
                <w:b w:val="0"/>
                <w:sz w:val="22"/>
                <w:szCs w:val="22"/>
              </w:rPr>
              <w:t>Original document published</w:t>
            </w:r>
          </w:p>
        </w:tc>
      </w:tr>
    </w:tbl>
    <w:p w:rsidR="00FA3442" w:rsidRPr="00FA3442" w:rsidRDefault="00FA3442" w:rsidP="00FA3442">
      <w:pPr>
        <w:sectPr w:rsidR="00FA3442" w:rsidRPr="00FA3442" w:rsidSect="00B06C00">
          <w:footerReference w:type="default" r:id="rId18"/>
          <w:pgSz w:w="11906" w:h="16838"/>
          <w:pgMar w:top="1440" w:right="991" w:bottom="1440" w:left="1440" w:header="708" w:footer="708" w:gutter="0"/>
          <w:cols w:space="708"/>
          <w:docGrid w:linePitch="360"/>
        </w:sectPr>
      </w:pPr>
    </w:p>
    <w:p w:rsidR="00D277B9" w:rsidRPr="00D277B9" w:rsidRDefault="00D277B9" w:rsidP="00D277B9">
      <w:pPr>
        <w:pStyle w:val="Heading1"/>
      </w:pPr>
      <w:r w:rsidRPr="00D277B9">
        <w:lastRenderedPageBreak/>
        <w:t>Overview and rationale for change</w:t>
      </w:r>
      <w:bookmarkEnd w:id="0"/>
      <w:bookmarkEnd w:id="1"/>
    </w:p>
    <w:p w:rsidR="00B62F19" w:rsidRDefault="00B62F19" w:rsidP="00B62F19">
      <w:pPr>
        <w:rPr>
          <w:bCs/>
        </w:rPr>
      </w:pPr>
      <w:r>
        <w:rPr>
          <w:bCs/>
        </w:rPr>
        <w:t xml:space="preserve">Disability Employment Services (DES) is the Australian Government’s specialised employment service for people </w:t>
      </w:r>
      <w:r w:rsidR="00095D7D">
        <w:rPr>
          <w:bCs/>
        </w:rPr>
        <w:t xml:space="preserve">whose </w:t>
      </w:r>
      <w:r>
        <w:rPr>
          <w:bCs/>
        </w:rPr>
        <w:t xml:space="preserve">disability </w:t>
      </w:r>
      <w:r w:rsidR="00095D7D">
        <w:rPr>
          <w:bCs/>
        </w:rPr>
        <w:t>is assessed as the main impediment to them gaining employment. I</w:t>
      </w:r>
      <w:r>
        <w:rPr>
          <w:bCs/>
        </w:rPr>
        <w:t xml:space="preserve">t plays an important role in improving the social and economic participation of people with disability. </w:t>
      </w:r>
      <w:r w:rsidR="00095D7D">
        <w:rPr>
          <w:bCs/>
        </w:rPr>
        <w:t>T</w:t>
      </w:r>
      <w:r>
        <w:rPr>
          <w:bCs/>
        </w:rPr>
        <w:t xml:space="preserve">he Government has been working with </w:t>
      </w:r>
      <w:r w:rsidR="00357794">
        <w:rPr>
          <w:bCs/>
        </w:rPr>
        <w:t xml:space="preserve">the </w:t>
      </w:r>
      <w:r>
        <w:rPr>
          <w:bCs/>
        </w:rPr>
        <w:t xml:space="preserve">sector to find ways to improve </w:t>
      </w:r>
      <w:r w:rsidR="00095D7D">
        <w:rPr>
          <w:bCs/>
        </w:rPr>
        <w:t xml:space="preserve">the </w:t>
      </w:r>
      <w:r>
        <w:rPr>
          <w:bCs/>
        </w:rPr>
        <w:t xml:space="preserve">performance </w:t>
      </w:r>
      <w:r w:rsidR="00095D7D">
        <w:rPr>
          <w:bCs/>
        </w:rPr>
        <w:t>of DES so that more</w:t>
      </w:r>
      <w:r>
        <w:rPr>
          <w:bCs/>
        </w:rPr>
        <w:t xml:space="preserve"> people with disability </w:t>
      </w:r>
      <w:r w:rsidR="00095D7D">
        <w:rPr>
          <w:bCs/>
        </w:rPr>
        <w:t>achieve</w:t>
      </w:r>
      <w:r>
        <w:rPr>
          <w:bCs/>
        </w:rPr>
        <w:t xml:space="preserve"> the social, emotional and financial benefits that work brings.</w:t>
      </w:r>
    </w:p>
    <w:p w:rsidR="00B62F19" w:rsidRPr="004A02D6" w:rsidRDefault="00095D7D" w:rsidP="00B62F19">
      <w:pPr>
        <w:rPr>
          <w:bCs/>
        </w:rPr>
      </w:pPr>
      <w:r>
        <w:rPr>
          <w:bCs/>
        </w:rPr>
        <w:t>T</w:t>
      </w:r>
      <w:r w:rsidR="00B62F19" w:rsidRPr="004A02D6">
        <w:rPr>
          <w:bCs/>
        </w:rPr>
        <w:t>he labour force participation rates for people with disability have remained stagnant for the past 20 years</w:t>
      </w:r>
      <w:r w:rsidR="003310C9">
        <w:rPr>
          <w:bCs/>
        </w:rPr>
        <w:t>,</w:t>
      </w:r>
      <w:r w:rsidR="00B62F19" w:rsidRPr="004A02D6">
        <w:rPr>
          <w:bCs/>
        </w:rPr>
        <w:t xml:space="preserve"> at around 53 per cent</w:t>
      </w:r>
      <w:r w:rsidR="003310C9">
        <w:rPr>
          <w:bCs/>
        </w:rPr>
        <w:t>,</w:t>
      </w:r>
      <w:r w:rsidR="00B62F19" w:rsidRPr="004A02D6">
        <w:rPr>
          <w:bCs/>
        </w:rPr>
        <w:t xml:space="preserve"> compared to 83 per cent for people without disability. </w:t>
      </w:r>
      <w:r w:rsidR="00B62F19">
        <w:rPr>
          <w:bCs/>
        </w:rPr>
        <w:t xml:space="preserve">The </w:t>
      </w:r>
      <w:r>
        <w:rPr>
          <w:bCs/>
        </w:rPr>
        <w:t xml:space="preserve">support provided through the </w:t>
      </w:r>
      <w:r w:rsidR="00B62F19">
        <w:rPr>
          <w:bCs/>
        </w:rPr>
        <w:t>National Disability Insurance Scheme (NDIS) should increase the number of people with disability who are able to join the workforce. Australia’s ageing population means that as more people retire from the workforce, there will be more job opportunities for Australians with disability in key areas of national interest. These</w:t>
      </w:r>
      <w:r w:rsidR="00357794">
        <w:rPr>
          <w:bCs/>
        </w:rPr>
        <w:t xml:space="preserve"> factors mean</w:t>
      </w:r>
      <w:r w:rsidR="00B62F19">
        <w:rPr>
          <w:bCs/>
        </w:rPr>
        <w:t xml:space="preserve"> Australia needs an effective specialised employment service to </w:t>
      </w:r>
      <w:r w:rsidR="0024214F">
        <w:rPr>
          <w:bCs/>
        </w:rPr>
        <w:t>support</w:t>
      </w:r>
      <w:r w:rsidR="00B62F19">
        <w:rPr>
          <w:bCs/>
        </w:rPr>
        <w:t xml:space="preserve"> people with disability </w:t>
      </w:r>
      <w:r w:rsidR="00413B14">
        <w:rPr>
          <w:bCs/>
        </w:rPr>
        <w:t>gain</w:t>
      </w:r>
      <w:r w:rsidR="00B62F19">
        <w:rPr>
          <w:bCs/>
        </w:rPr>
        <w:t xml:space="preserve"> the skills and experience they need to effectively participate in a 21</w:t>
      </w:r>
      <w:r w:rsidR="00B62F19" w:rsidRPr="001559C5">
        <w:rPr>
          <w:bCs/>
        </w:rPr>
        <w:t>st</w:t>
      </w:r>
      <w:r w:rsidR="00B62F19">
        <w:rPr>
          <w:bCs/>
        </w:rPr>
        <w:t xml:space="preserve"> Century economy. </w:t>
      </w:r>
    </w:p>
    <w:p w:rsidR="006C276B" w:rsidRDefault="00B62F19" w:rsidP="00B62F19">
      <w:pPr>
        <w:rPr>
          <w:bCs/>
        </w:rPr>
      </w:pPr>
      <w:r w:rsidRPr="004A02D6">
        <w:rPr>
          <w:bCs/>
        </w:rPr>
        <w:t xml:space="preserve">DES provides </w:t>
      </w:r>
      <w:r>
        <w:rPr>
          <w:bCs/>
        </w:rPr>
        <w:t xml:space="preserve">a suite of employment services to people with disability, injury or health condition who are looking for work in the open labour market. </w:t>
      </w:r>
      <w:r w:rsidR="00360AC4">
        <w:rPr>
          <w:bCs/>
        </w:rPr>
        <w:t>The services</w:t>
      </w:r>
      <w:r>
        <w:rPr>
          <w:bCs/>
        </w:rPr>
        <w:t xml:space="preserve"> </w:t>
      </w:r>
      <w:r w:rsidR="0024214F">
        <w:rPr>
          <w:bCs/>
        </w:rPr>
        <w:t xml:space="preserve">provided </w:t>
      </w:r>
      <w:r>
        <w:rPr>
          <w:bCs/>
        </w:rPr>
        <w:t>include: assistance with job search</w:t>
      </w:r>
      <w:r w:rsidR="006C276B">
        <w:rPr>
          <w:bCs/>
        </w:rPr>
        <w:t>;</w:t>
      </w:r>
      <w:r>
        <w:rPr>
          <w:bCs/>
        </w:rPr>
        <w:t xml:space="preserve"> </w:t>
      </w:r>
      <w:r w:rsidR="006C276B">
        <w:rPr>
          <w:bCs/>
        </w:rPr>
        <w:t>résum</w:t>
      </w:r>
      <w:r w:rsidR="006C276B">
        <w:rPr>
          <w:rFonts w:cs="Arial"/>
          <w:bCs/>
        </w:rPr>
        <w:t>é</w:t>
      </w:r>
      <w:r w:rsidR="006C276B">
        <w:rPr>
          <w:bCs/>
        </w:rPr>
        <w:t xml:space="preserve"> preparation;</w:t>
      </w:r>
      <w:r>
        <w:rPr>
          <w:bCs/>
        </w:rPr>
        <w:t xml:space="preserve"> support for education and training, as well as wage subsidies and employer engagement. These supports should be tailored </w:t>
      </w:r>
      <w:r w:rsidR="0024214F">
        <w:rPr>
          <w:bCs/>
        </w:rPr>
        <w:t xml:space="preserve">to </w:t>
      </w:r>
      <w:r>
        <w:rPr>
          <w:bCs/>
        </w:rPr>
        <w:t>each individual and are aimed at helping them into long</w:t>
      </w:r>
      <w:r w:rsidR="003310C9">
        <w:rPr>
          <w:bCs/>
        </w:rPr>
        <w:t>-</w:t>
      </w:r>
      <w:r>
        <w:rPr>
          <w:bCs/>
        </w:rPr>
        <w:t>term</w:t>
      </w:r>
      <w:r w:rsidR="0024214F">
        <w:rPr>
          <w:bCs/>
        </w:rPr>
        <w:t>,</w:t>
      </w:r>
      <w:r>
        <w:rPr>
          <w:bCs/>
        </w:rPr>
        <w:t xml:space="preserve"> sustainable work. </w:t>
      </w:r>
      <w:r w:rsidR="006C276B">
        <w:rPr>
          <w:bCs/>
        </w:rPr>
        <w:t xml:space="preserve"> </w:t>
      </w:r>
      <w:r w:rsidR="003133F1">
        <w:rPr>
          <w:bCs/>
        </w:rPr>
        <w:t xml:space="preserve">Participating in </w:t>
      </w:r>
      <w:r w:rsidR="006C276B" w:rsidRPr="00DA6E6B">
        <w:rPr>
          <w:bCs/>
        </w:rPr>
        <w:t xml:space="preserve">DES also satisfies mutual obligation requirements for people on some types of income support </w:t>
      </w:r>
      <w:r w:rsidR="00DA6E6B" w:rsidRPr="00DA6E6B">
        <w:rPr>
          <w:bCs/>
        </w:rPr>
        <w:t>who</w:t>
      </w:r>
      <w:r w:rsidR="003133F1" w:rsidRPr="00DA6E6B">
        <w:rPr>
          <w:bCs/>
        </w:rPr>
        <w:t xml:space="preserve"> </w:t>
      </w:r>
      <w:r w:rsidR="006C276B" w:rsidRPr="00DA6E6B">
        <w:rPr>
          <w:bCs/>
        </w:rPr>
        <w:t>are required to actively look for work</w:t>
      </w:r>
      <w:r w:rsidR="003133F1" w:rsidRPr="00DA6E6B">
        <w:rPr>
          <w:bCs/>
        </w:rPr>
        <w:t xml:space="preserve"> in order to receive their payments.</w:t>
      </w:r>
    </w:p>
    <w:p w:rsidR="00B62F19" w:rsidRDefault="00B62F19" w:rsidP="00B62F19">
      <w:pPr>
        <w:rPr>
          <w:bCs/>
        </w:rPr>
      </w:pPr>
      <w:r>
        <w:rPr>
          <w:bCs/>
        </w:rPr>
        <w:t xml:space="preserve">Following extensive community consultation </w:t>
      </w:r>
      <w:r w:rsidRPr="004A02D6">
        <w:rPr>
          <w:bCs/>
        </w:rPr>
        <w:t>involving people with disability, disability peak organisations, disability service providers and employers</w:t>
      </w:r>
      <w:r>
        <w:rPr>
          <w:bCs/>
        </w:rPr>
        <w:t xml:space="preserve">, the following key changes </w:t>
      </w:r>
      <w:r w:rsidR="003310C9">
        <w:rPr>
          <w:bCs/>
        </w:rPr>
        <w:t>will be implemented</w:t>
      </w:r>
      <w:r>
        <w:rPr>
          <w:bCs/>
        </w:rPr>
        <w:t xml:space="preserve"> to improve DES performance</w:t>
      </w:r>
      <w:r w:rsidR="0024214F">
        <w:rPr>
          <w:bCs/>
        </w:rPr>
        <w:t>,</w:t>
      </w:r>
      <w:r>
        <w:rPr>
          <w:bCs/>
        </w:rPr>
        <w:t xml:space="preserve"> </w:t>
      </w:r>
      <w:r w:rsidR="0024214F">
        <w:rPr>
          <w:bCs/>
        </w:rPr>
        <w:t xml:space="preserve">commencing </w:t>
      </w:r>
      <w:r>
        <w:rPr>
          <w:bCs/>
        </w:rPr>
        <w:t>from 1</w:t>
      </w:r>
      <w:r w:rsidR="00413B14">
        <w:rPr>
          <w:bCs/>
        </w:rPr>
        <w:t> </w:t>
      </w:r>
      <w:r>
        <w:rPr>
          <w:bCs/>
        </w:rPr>
        <w:t>July</w:t>
      </w:r>
      <w:r w:rsidR="00413B14">
        <w:rPr>
          <w:bCs/>
        </w:rPr>
        <w:t> </w:t>
      </w:r>
      <w:r>
        <w:rPr>
          <w:bCs/>
        </w:rPr>
        <w:t>2018:</w:t>
      </w:r>
    </w:p>
    <w:p w:rsidR="00B62F19" w:rsidRPr="004A02D6" w:rsidRDefault="00B62F19" w:rsidP="00B62F19">
      <w:pPr>
        <w:numPr>
          <w:ilvl w:val="0"/>
          <w:numId w:val="7"/>
        </w:numPr>
      </w:pPr>
      <w:r>
        <w:rPr>
          <w:bCs/>
        </w:rPr>
        <w:t>improving</w:t>
      </w:r>
      <w:r w:rsidRPr="004A02D6">
        <w:t xml:space="preserve"> choice and control</w:t>
      </w:r>
      <w:r>
        <w:t xml:space="preserve"> for participants</w:t>
      </w:r>
    </w:p>
    <w:p w:rsidR="00B62F19" w:rsidRPr="004A02D6" w:rsidRDefault="00B62F19" w:rsidP="00B62F19">
      <w:pPr>
        <w:numPr>
          <w:ilvl w:val="0"/>
          <w:numId w:val="7"/>
        </w:numPr>
      </w:pPr>
      <w:r>
        <w:t>generating greater</w:t>
      </w:r>
      <w:r w:rsidRPr="004A02D6">
        <w:t xml:space="preserve"> competition and contestability between providers</w:t>
      </w:r>
    </w:p>
    <w:p w:rsidR="00B62F19" w:rsidRPr="00DA6E6B" w:rsidRDefault="00B62F19" w:rsidP="00B62F19">
      <w:pPr>
        <w:numPr>
          <w:ilvl w:val="0"/>
          <w:numId w:val="7"/>
        </w:numPr>
      </w:pPr>
      <w:r w:rsidRPr="00DA6E6B">
        <w:t>improv</w:t>
      </w:r>
      <w:r w:rsidR="003310C9" w:rsidRPr="00DA6E6B">
        <w:t>ing</w:t>
      </w:r>
      <w:r w:rsidRPr="00DA6E6B">
        <w:t xml:space="preserve"> financial incentives for providers through a new risk-adjusted funding model</w:t>
      </w:r>
      <w:r w:rsidR="003310C9" w:rsidRPr="00DA6E6B">
        <w:t xml:space="preserve"> designed to</w:t>
      </w:r>
      <w:r w:rsidR="006622B2" w:rsidRPr="00DA6E6B">
        <w:t xml:space="preserve"> reward providers commensurate to the difficulty in placing the participant into sustainable employment</w:t>
      </w:r>
    </w:p>
    <w:p w:rsidR="00B62F19" w:rsidRPr="004A02D6" w:rsidRDefault="00B62F19" w:rsidP="00B62F19">
      <w:pPr>
        <w:numPr>
          <w:ilvl w:val="0"/>
          <w:numId w:val="7"/>
        </w:numPr>
      </w:pPr>
      <w:r w:rsidRPr="004A02D6">
        <w:t>index</w:t>
      </w:r>
      <w:r>
        <w:t>ing</w:t>
      </w:r>
      <w:r w:rsidRPr="004A02D6">
        <w:t xml:space="preserve"> </w:t>
      </w:r>
      <w:r>
        <w:t xml:space="preserve">DES </w:t>
      </w:r>
      <w:r w:rsidR="0024214F">
        <w:t>payments to maintain their</w:t>
      </w:r>
      <w:r>
        <w:t xml:space="preserve"> real value</w:t>
      </w:r>
      <w:r w:rsidR="00210717">
        <w:t>.</w:t>
      </w:r>
    </w:p>
    <w:p w:rsidR="00B62F19" w:rsidRDefault="00B62F19" w:rsidP="00B62F19">
      <w:pPr>
        <w:rPr>
          <w:bCs/>
        </w:rPr>
      </w:pPr>
      <w:r w:rsidRPr="004A02D6">
        <w:rPr>
          <w:bCs/>
        </w:rPr>
        <w:t xml:space="preserve">The Department of Social Services (DSS) has released this </w:t>
      </w:r>
      <w:r w:rsidR="006622B2">
        <w:rPr>
          <w:bCs/>
        </w:rPr>
        <w:t>i</w:t>
      </w:r>
      <w:r w:rsidRPr="004A02D6">
        <w:rPr>
          <w:bCs/>
        </w:rPr>
        <w:t xml:space="preserve">ndustry </w:t>
      </w:r>
      <w:r w:rsidR="006622B2">
        <w:rPr>
          <w:bCs/>
        </w:rPr>
        <w:t>i</w:t>
      </w:r>
      <w:r w:rsidRPr="004A02D6">
        <w:rPr>
          <w:bCs/>
        </w:rPr>
        <w:t xml:space="preserve">nformation </w:t>
      </w:r>
      <w:r w:rsidR="006622B2">
        <w:rPr>
          <w:bCs/>
        </w:rPr>
        <w:t>p</w:t>
      </w:r>
      <w:r w:rsidRPr="004A02D6">
        <w:rPr>
          <w:bCs/>
        </w:rPr>
        <w:t xml:space="preserve">aper to provide information about </w:t>
      </w:r>
      <w:r w:rsidR="0024214F">
        <w:rPr>
          <w:bCs/>
        </w:rPr>
        <w:t xml:space="preserve">future arrangements for the </w:t>
      </w:r>
      <w:r w:rsidRPr="004A02D6">
        <w:rPr>
          <w:bCs/>
        </w:rPr>
        <w:t>DES program</w:t>
      </w:r>
      <w:r>
        <w:rPr>
          <w:bCs/>
        </w:rPr>
        <w:t xml:space="preserve">, including </w:t>
      </w:r>
      <w:r w:rsidR="0024214F">
        <w:rPr>
          <w:bCs/>
        </w:rPr>
        <w:t xml:space="preserve">establishment of a </w:t>
      </w:r>
      <w:r w:rsidR="00DC514B">
        <w:rPr>
          <w:bCs/>
        </w:rPr>
        <w:t>new Panel of DES P</w:t>
      </w:r>
      <w:r>
        <w:rPr>
          <w:bCs/>
        </w:rPr>
        <w:t xml:space="preserve">roviders </w:t>
      </w:r>
      <w:r w:rsidR="0024214F">
        <w:rPr>
          <w:bCs/>
        </w:rPr>
        <w:t>to</w:t>
      </w:r>
      <w:r>
        <w:rPr>
          <w:bCs/>
        </w:rPr>
        <w:t xml:space="preserve"> commence on 1</w:t>
      </w:r>
      <w:r w:rsidR="00442812">
        <w:rPr>
          <w:bCs/>
        </w:rPr>
        <w:t> </w:t>
      </w:r>
      <w:r>
        <w:rPr>
          <w:bCs/>
        </w:rPr>
        <w:t>July</w:t>
      </w:r>
      <w:r w:rsidR="00442812">
        <w:rPr>
          <w:bCs/>
        </w:rPr>
        <w:t> </w:t>
      </w:r>
      <w:r>
        <w:rPr>
          <w:bCs/>
        </w:rPr>
        <w:t>2018. Existing supports provided through DES, including the National Panel of Assessors (NPA), the Supported Wage System (SWS), Wage Subsidies and the National Disability Recruitment Coordinator (NDRC) will continue under the new program.</w:t>
      </w:r>
    </w:p>
    <w:p w:rsidR="004A02D6" w:rsidRPr="004A02D6" w:rsidRDefault="006622B2" w:rsidP="004A02D6">
      <w:pPr>
        <w:rPr>
          <w:bCs/>
        </w:rPr>
      </w:pPr>
      <w:r w:rsidRPr="00DA6E6B">
        <w:lastRenderedPageBreak/>
        <w:t>T</w:t>
      </w:r>
      <w:r w:rsidR="00924D57" w:rsidRPr="00DA6E6B">
        <w:t xml:space="preserve">his </w:t>
      </w:r>
      <w:r w:rsidRPr="00DA6E6B">
        <w:t>i</w:t>
      </w:r>
      <w:r w:rsidR="00924D57" w:rsidRPr="00DA6E6B">
        <w:t xml:space="preserve">ndustry </w:t>
      </w:r>
      <w:r w:rsidRPr="00DA6E6B">
        <w:t>i</w:t>
      </w:r>
      <w:r w:rsidR="00924D57" w:rsidRPr="00DA6E6B">
        <w:t xml:space="preserve">nformation </w:t>
      </w:r>
      <w:r w:rsidRPr="00DA6E6B">
        <w:t>p</w:t>
      </w:r>
      <w:r w:rsidR="00924D57" w:rsidRPr="00DA6E6B">
        <w:t>ape</w:t>
      </w:r>
      <w:r w:rsidRPr="00DA6E6B">
        <w:t xml:space="preserve">r contains </w:t>
      </w:r>
      <w:r w:rsidR="00924D57" w:rsidRPr="00DA6E6B">
        <w:t>a number of</w:t>
      </w:r>
      <w:r w:rsidRPr="00DA6E6B">
        <w:t xml:space="preserve"> technical terms that are specific to the </w:t>
      </w:r>
      <w:r w:rsidR="00924D57" w:rsidRPr="00DA6E6B">
        <w:t>DES program. For this reason</w:t>
      </w:r>
      <w:r w:rsidR="00DA6E6B" w:rsidRPr="00DA6E6B">
        <w:t>,</w:t>
      </w:r>
      <w:r w:rsidR="00924D57" w:rsidRPr="00DA6E6B">
        <w:t xml:space="preserve"> a </w:t>
      </w:r>
      <w:r w:rsidR="00924D57" w:rsidRPr="002630C9">
        <w:rPr>
          <w:i/>
        </w:rPr>
        <w:t>Glossary</w:t>
      </w:r>
      <w:r w:rsidR="00924D57" w:rsidRPr="00DA6E6B">
        <w:t xml:space="preserve"> has been provided at page </w:t>
      </w:r>
      <w:r w:rsidR="00F810A8" w:rsidRPr="00DA6E6B">
        <w:t>4</w:t>
      </w:r>
      <w:r w:rsidR="00191BA2">
        <w:t>2</w:t>
      </w:r>
      <w:r w:rsidR="00924D57" w:rsidRPr="00DA6E6B">
        <w:t>.</w:t>
      </w:r>
    </w:p>
    <w:p w:rsidR="0084227C" w:rsidRDefault="0084227C" w:rsidP="00D277B9">
      <w:pPr>
        <w:pStyle w:val="Heading1"/>
      </w:pPr>
      <w:bookmarkStart w:id="2" w:name="_Toc483921446"/>
      <w:bookmarkStart w:id="3" w:name="_Toc484692289"/>
      <w:r>
        <w:t>Chapter 1</w:t>
      </w:r>
      <w:r w:rsidR="00D277B9">
        <w:t xml:space="preserve"> - </w:t>
      </w:r>
      <w:r w:rsidR="00D277B9" w:rsidRPr="00D277B9">
        <w:t>The current DES program</w:t>
      </w:r>
      <w:bookmarkEnd w:id="2"/>
      <w:bookmarkEnd w:id="3"/>
    </w:p>
    <w:p w:rsidR="00D277B9" w:rsidRPr="00D277B9" w:rsidRDefault="00C63C64" w:rsidP="00D277B9">
      <w:r>
        <w:t xml:space="preserve">Through </w:t>
      </w:r>
      <w:r w:rsidR="00D277B9" w:rsidRPr="00D277B9">
        <w:t xml:space="preserve">DES </w:t>
      </w:r>
      <w:r>
        <w:t>providers, the program helps</w:t>
      </w:r>
      <w:r w:rsidR="00D277B9" w:rsidRPr="00D277B9">
        <w:t xml:space="preserve"> job seekers with disability, injury or health condition who need assistance to find and retain open employment. </w:t>
      </w:r>
    </w:p>
    <w:p w:rsidR="00D65798" w:rsidRPr="00D277B9" w:rsidRDefault="00D65798" w:rsidP="00D65798">
      <w:r w:rsidRPr="00D277B9">
        <w:t>DES has two uncapped demand-driven programs, DES-Disability Management Service (DES-DMS) and DES-Employment Support Service (DES-ESS).</w:t>
      </w:r>
    </w:p>
    <w:p w:rsidR="00D65798" w:rsidRPr="00357794" w:rsidRDefault="00D65798" w:rsidP="00357794">
      <w:pPr>
        <w:spacing w:after="0"/>
        <w:rPr>
          <w:iCs/>
        </w:rPr>
      </w:pPr>
      <w:r w:rsidRPr="00357794">
        <w:rPr>
          <w:iCs/>
        </w:rPr>
        <w:t xml:space="preserve">DES-DMS - provides services to </w:t>
      </w:r>
      <w:r w:rsidR="001D19D9">
        <w:rPr>
          <w:iCs/>
        </w:rPr>
        <w:t>e</w:t>
      </w:r>
      <w:r w:rsidRPr="00357794">
        <w:rPr>
          <w:iCs/>
        </w:rPr>
        <w:t>ligible job seekers with disability, injury or health condition who need assistance to find a job and occasional support in the workplace to keep a job</w:t>
      </w:r>
      <w:r w:rsidR="00357794">
        <w:rPr>
          <w:iCs/>
        </w:rPr>
        <w:t>.</w:t>
      </w:r>
      <w:r w:rsidRPr="00357794">
        <w:rPr>
          <w:iCs/>
        </w:rPr>
        <w:t xml:space="preserve"> </w:t>
      </w:r>
    </w:p>
    <w:p w:rsidR="00D65798" w:rsidRDefault="00D65798" w:rsidP="00357794">
      <w:pPr>
        <w:spacing w:after="0"/>
        <w:rPr>
          <w:iCs/>
        </w:rPr>
      </w:pPr>
      <w:r w:rsidRPr="00357794">
        <w:rPr>
          <w:iCs/>
        </w:rPr>
        <w:t xml:space="preserve">DES-ESS - provides assistance to </w:t>
      </w:r>
      <w:r w:rsidR="001D19D9">
        <w:rPr>
          <w:iCs/>
        </w:rPr>
        <w:t>e</w:t>
      </w:r>
      <w:r w:rsidRPr="00357794">
        <w:rPr>
          <w:iCs/>
        </w:rPr>
        <w:t>ligible job seekers with permanent disability to find a job and who need regular, ongoing support in the workplace to keep a job.</w:t>
      </w:r>
    </w:p>
    <w:p w:rsidR="00347C0D" w:rsidRPr="00357794" w:rsidRDefault="00347C0D" w:rsidP="00347C0D">
      <w:pPr>
        <w:spacing w:after="0"/>
        <w:rPr>
          <w:iCs/>
        </w:rPr>
      </w:pPr>
      <w:r w:rsidRPr="00D277B9">
        <w:rPr>
          <w:iCs/>
        </w:rPr>
        <w:t xml:space="preserve">DSS </w:t>
      </w:r>
      <w:r>
        <w:rPr>
          <w:iCs/>
        </w:rPr>
        <w:t>c</w:t>
      </w:r>
      <w:r w:rsidRPr="00D277B9">
        <w:rPr>
          <w:iCs/>
        </w:rPr>
        <w:t xml:space="preserve">urrently </w:t>
      </w:r>
      <w:r>
        <w:rPr>
          <w:iCs/>
        </w:rPr>
        <w:t>c</w:t>
      </w:r>
      <w:r w:rsidRPr="00D277B9">
        <w:rPr>
          <w:iCs/>
        </w:rPr>
        <w:t>ontracts DES providers in over 2,000 sites, across 110 non</w:t>
      </w:r>
      <w:r w:rsidR="003310C9">
        <w:rPr>
          <w:iCs/>
        </w:rPr>
        <w:noBreakHyphen/>
      </w:r>
      <w:r w:rsidRPr="00D277B9">
        <w:rPr>
          <w:iCs/>
        </w:rPr>
        <w:t xml:space="preserve">remote Employment Services Areas (ESA) around Australia. ESAs </w:t>
      </w:r>
      <w:r w:rsidRPr="00D277B9">
        <w:t xml:space="preserve">are </w:t>
      </w:r>
      <w:r>
        <w:t>defined</w:t>
      </w:r>
      <w:r w:rsidRPr="00D277B9">
        <w:t xml:space="preserve"> geographical area</w:t>
      </w:r>
      <w:r>
        <w:t>s</w:t>
      </w:r>
      <w:r w:rsidRPr="00D277B9">
        <w:rPr>
          <w:iCs/>
        </w:rPr>
        <w:t xml:space="preserve"> and there </w:t>
      </w:r>
      <w:r>
        <w:rPr>
          <w:iCs/>
        </w:rPr>
        <w:t>is</w:t>
      </w:r>
      <w:r w:rsidRPr="00D277B9">
        <w:rPr>
          <w:iCs/>
        </w:rPr>
        <w:t xml:space="preserve"> an </w:t>
      </w:r>
      <w:r w:rsidRPr="00DD3534">
        <w:rPr>
          <w:iCs/>
        </w:rPr>
        <w:t xml:space="preserve">expectation that DES providers </w:t>
      </w:r>
      <w:r w:rsidR="001D19D9" w:rsidRPr="00DD3534">
        <w:rPr>
          <w:iCs/>
        </w:rPr>
        <w:t xml:space="preserve">will </w:t>
      </w:r>
      <w:r w:rsidRPr="00DD3534">
        <w:rPr>
          <w:iCs/>
        </w:rPr>
        <w:t xml:space="preserve">provide full coverage </w:t>
      </w:r>
      <w:r w:rsidR="00413B14">
        <w:rPr>
          <w:iCs/>
        </w:rPr>
        <w:t xml:space="preserve">in each </w:t>
      </w:r>
      <w:r w:rsidRPr="00DD3534">
        <w:rPr>
          <w:iCs/>
        </w:rPr>
        <w:t>of</w:t>
      </w:r>
      <w:r w:rsidRPr="00D277B9">
        <w:rPr>
          <w:iCs/>
        </w:rPr>
        <w:t xml:space="preserve"> </w:t>
      </w:r>
      <w:r w:rsidR="00413B14">
        <w:rPr>
          <w:iCs/>
        </w:rPr>
        <w:t xml:space="preserve">the </w:t>
      </w:r>
      <w:r w:rsidRPr="00D277B9">
        <w:rPr>
          <w:iCs/>
        </w:rPr>
        <w:t xml:space="preserve">ESAs </w:t>
      </w:r>
      <w:r w:rsidR="003310C9">
        <w:rPr>
          <w:iCs/>
        </w:rPr>
        <w:t xml:space="preserve">in which </w:t>
      </w:r>
      <w:r w:rsidRPr="00D277B9">
        <w:rPr>
          <w:iCs/>
        </w:rPr>
        <w:t>they are contracted to deliver business.</w:t>
      </w:r>
    </w:p>
    <w:p w:rsidR="00347C0D" w:rsidRDefault="00347C0D" w:rsidP="00347C0D">
      <w:pPr>
        <w:rPr>
          <w:iCs/>
        </w:rPr>
      </w:pPr>
      <w:r w:rsidRPr="00D277B9">
        <w:rPr>
          <w:iCs/>
        </w:rPr>
        <w:t>The 1</w:t>
      </w:r>
      <w:r>
        <w:rPr>
          <w:iCs/>
        </w:rPr>
        <w:t>19</w:t>
      </w:r>
      <w:r w:rsidRPr="00D277B9">
        <w:rPr>
          <w:iCs/>
        </w:rPr>
        <w:t xml:space="preserve"> current DES providers are a mix of large, medium and small, for-profit and not-for-profit organisations. </w:t>
      </w:r>
    </w:p>
    <w:p w:rsidR="00D65798" w:rsidRPr="00D277B9" w:rsidRDefault="00D65798" w:rsidP="00D65798">
      <w:pPr>
        <w:keepNext/>
        <w:rPr>
          <w:iCs/>
        </w:rPr>
      </w:pPr>
      <w:r w:rsidRPr="00D277B9">
        <w:rPr>
          <w:iCs/>
        </w:rPr>
        <w:t>DES providers must be able to:</w:t>
      </w:r>
    </w:p>
    <w:p w:rsidR="00D65798" w:rsidRPr="00E31A7A" w:rsidRDefault="00D65798" w:rsidP="00D65798">
      <w:pPr>
        <w:pStyle w:val="ListParagraph"/>
        <w:numPr>
          <w:ilvl w:val="0"/>
          <w:numId w:val="25"/>
        </w:numPr>
        <w:spacing w:after="0"/>
        <w:rPr>
          <w:iCs/>
        </w:rPr>
      </w:pPr>
      <w:r w:rsidRPr="00E31A7A">
        <w:rPr>
          <w:iCs/>
        </w:rPr>
        <w:t xml:space="preserve">help all eligible job seekers, regardless of their level of disadvantage, by informing them about their rights and obligations, and providing individually tailored assistance to </w:t>
      </w:r>
      <w:r w:rsidR="001D19D9">
        <w:rPr>
          <w:iCs/>
        </w:rPr>
        <w:t>support them</w:t>
      </w:r>
      <w:r w:rsidRPr="00E31A7A">
        <w:rPr>
          <w:iCs/>
        </w:rPr>
        <w:t xml:space="preserve"> into sustainable employment</w:t>
      </w:r>
    </w:p>
    <w:p w:rsidR="00D65798" w:rsidRDefault="00D65798" w:rsidP="00D65798">
      <w:pPr>
        <w:pStyle w:val="ListParagraph"/>
        <w:numPr>
          <w:ilvl w:val="0"/>
          <w:numId w:val="25"/>
        </w:numPr>
        <w:spacing w:after="0"/>
        <w:rPr>
          <w:iCs/>
        </w:rPr>
      </w:pPr>
      <w:r w:rsidRPr="00E31A7A">
        <w:rPr>
          <w:iCs/>
        </w:rPr>
        <w:t>build linkages and relationships with employers to understand and meet their skills and labour needs</w:t>
      </w:r>
      <w:r w:rsidR="001D19D9">
        <w:rPr>
          <w:iCs/>
        </w:rPr>
        <w:t>;</w:t>
      </w:r>
      <w:r w:rsidRPr="00E31A7A">
        <w:rPr>
          <w:iCs/>
        </w:rPr>
        <w:t xml:space="preserve"> and work with them to identify job vacancies and match suitable participants to those vacancies</w:t>
      </w:r>
    </w:p>
    <w:p w:rsidR="00D65798" w:rsidRPr="00E31A7A" w:rsidRDefault="00D65798" w:rsidP="00D65798">
      <w:pPr>
        <w:pStyle w:val="ListParagraph"/>
        <w:numPr>
          <w:ilvl w:val="0"/>
          <w:numId w:val="25"/>
        </w:numPr>
        <w:spacing w:after="0"/>
        <w:rPr>
          <w:iCs/>
        </w:rPr>
      </w:pPr>
      <w:r>
        <w:rPr>
          <w:iCs/>
        </w:rPr>
        <w:t xml:space="preserve">assist </w:t>
      </w:r>
      <w:r w:rsidRPr="00E31A7A">
        <w:rPr>
          <w:iCs/>
        </w:rPr>
        <w:t>employers by streamlining access to financial support and incentives that enable workplace adjustments</w:t>
      </w:r>
      <w:r w:rsidR="00357794">
        <w:rPr>
          <w:iCs/>
        </w:rPr>
        <w:t>,</w:t>
      </w:r>
      <w:r w:rsidRPr="00E31A7A">
        <w:rPr>
          <w:iCs/>
        </w:rPr>
        <w:t xml:space="preserve"> disability awareness training</w:t>
      </w:r>
      <w:r w:rsidR="00357794">
        <w:rPr>
          <w:iCs/>
        </w:rPr>
        <w:t>,</w:t>
      </w:r>
      <w:r w:rsidRPr="00E31A7A">
        <w:rPr>
          <w:iCs/>
        </w:rPr>
        <w:t xml:space="preserve"> development of workplace policies and practices that help break down barriers to employment</w:t>
      </w:r>
      <w:r w:rsidR="00357794">
        <w:rPr>
          <w:iCs/>
        </w:rPr>
        <w:t>,</w:t>
      </w:r>
      <w:r w:rsidRPr="00E31A7A">
        <w:rPr>
          <w:iCs/>
        </w:rPr>
        <w:t xml:space="preserve"> </w:t>
      </w:r>
      <w:r w:rsidR="00F03DD7">
        <w:rPr>
          <w:iCs/>
        </w:rPr>
        <w:t xml:space="preserve">and </w:t>
      </w:r>
      <w:r w:rsidRPr="00E31A7A">
        <w:rPr>
          <w:iCs/>
        </w:rPr>
        <w:t>on-the-job or off-site support to ensure new employees with disabi</w:t>
      </w:r>
      <w:r>
        <w:rPr>
          <w:iCs/>
        </w:rPr>
        <w:t>lity settle into their job</w:t>
      </w:r>
    </w:p>
    <w:p w:rsidR="00D65798" w:rsidRPr="00E31A7A" w:rsidRDefault="00D65798" w:rsidP="00D65798">
      <w:pPr>
        <w:pStyle w:val="ListParagraph"/>
        <w:numPr>
          <w:ilvl w:val="0"/>
          <w:numId w:val="25"/>
        </w:numPr>
        <w:spacing w:after="0"/>
        <w:rPr>
          <w:iCs/>
        </w:rPr>
      </w:pPr>
      <w:r w:rsidRPr="00E31A7A">
        <w:rPr>
          <w:iCs/>
        </w:rPr>
        <w:t>connect participants to appropriate skill development opportu</w:t>
      </w:r>
      <w:r>
        <w:rPr>
          <w:iCs/>
        </w:rPr>
        <w:t>nities, including education</w:t>
      </w:r>
      <w:r w:rsidR="001D19D9">
        <w:rPr>
          <w:iCs/>
        </w:rPr>
        <w:t xml:space="preserve"> and training</w:t>
      </w:r>
      <w:r>
        <w:rPr>
          <w:iCs/>
        </w:rPr>
        <w:t xml:space="preserve"> </w:t>
      </w:r>
    </w:p>
    <w:p w:rsidR="00D65798" w:rsidRDefault="00D65798" w:rsidP="00D65798">
      <w:pPr>
        <w:pStyle w:val="ListParagraph"/>
        <w:numPr>
          <w:ilvl w:val="0"/>
          <w:numId w:val="25"/>
        </w:numPr>
        <w:spacing w:after="0"/>
        <w:rPr>
          <w:iCs/>
        </w:rPr>
      </w:pPr>
      <w:r w:rsidRPr="00390787">
        <w:rPr>
          <w:iCs/>
        </w:rPr>
        <w:t>build linkages and work cooperatively with other stakeholders, such as local community and health services, Registered Training Organisations, state, territory and local government</w:t>
      </w:r>
      <w:r w:rsidR="007801A1">
        <w:rPr>
          <w:iCs/>
        </w:rPr>
        <w:t>s</w:t>
      </w:r>
      <w:r w:rsidRPr="00390787">
        <w:rPr>
          <w:iCs/>
        </w:rPr>
        <w:t>, and other service providers</w:t>
      </w:r>
    </w:p>
    <w:p w:rsidR="00D65798" w:rsidRPr="00E31A7A" w:rsidRDefault="00D65798" w:rsidP="00D65798">
      <w:pPr>
        <w:pStyle w:val="ListParagraph"/>
        <w:numPr>
          <w:ilvl w:val="0"/>
          <w:numId w:val="25"/>
        </w:numPr>
        <w:spacing w:after="0"/>
        <w:rPr>
          <w:iCs/>
        </w:rPr>
      </w:pPr>
      <w:r>
        <w:rPr>
          <w:iCs/>
        </w:rPr>
        <w:t xml:space="preserve">provide </w:t>
      </w:r>
      <w:r w:rsidRPr="00E31A7A">
        <w:rPr>
          <w:iCs/>
        </w:rPr>
        <w:t>ongoing support</w:t>
      </w:r>
      <w:r w:rsidR="007801A1">
        <w:rPr>
          <w:iCs/>
        </w:rPr>
        <w:t>,</w:t>
      </w:r>
      <w:r w:rsidRPr="00E31A7A">
        <w:rPr>
          <w:iCs/>
        </w:rPr>
        <w:t xml:space="preserve"> for as long as it is required, for employees with disability and their employers, </w:t>
      </w:r>
      <w:r w:rsidR="001D19D9">
        <w:rPr>
          <w:iCs/>
        </w:rPr>
        <w:t>where</w:t>
      </w:r>
      <w:r w:rsidRPr="00E31A7A">
        <w:rPr>
          <w:iCs/>
        </w:rPr>
        <w:t xml:space="preserve"> needed</w:t>
      </w:r>
    </w:p>
    <w:p w:rsidR="00417C6C" w:rsidRDefault="00D65798" w:rsidP="00417C6C">
      <w:pPr>
        <w:pStyle w:val="ListParagraph"/>
        <w:numPr>
          <w:ilvl w:val="0"/>
          <w:numId w:val="25"/>
        </w:numPr>
        <w:spacing w:after="0"/>
        <w:rPr>
          <w:iCs/>
        </w:rPr>
      </w:pPr>
      <w:r>
        <w:rPr>
          <w:iCs/>
        </w:rPr>
        <w:t>help</w:t>
      </w:r>
      <w:r w:rsidRPr="00E31A7A">
        <w:rPr>
          <w:iCs/>
        </w:rPr>
        <w:t xml:space="preserve"> participants meet their mutual obligation and participation requirements to keep receiving income support payments. </w:t>
      </w:r>
      <w:r w:rsidRPr="00390787">
        <w:rPr>
          <w:iCs/>
        </w:rPr>
        <w:t>Mutual obligation requirements under DES include attending provider appointments</w:t>
      </w:r>
      <w:r w:rsidR="007801A1">
        <w:rPr>
          <w:iCs/>
        </w:rPr>
        <w:t>;</w:t>
      </w:r>
      <w:r w:rsidRPr="00390787">
        <w:rPr>
          <w:iCs/>
        </w:rPr>
        <w:t xml:space="preserve"> undertaking job searches</w:t>
      </w:r>
      <w:r w:rsidR="007801A1">
        <w:rPr>
          <w:iCs/>
        </w:rPr>
        <w:t>;</w:t>
      </w:r>
      <w:r w:rsidRPr="00390787">
        <w:rPr>
          <w:iCs/>
        </w:rPr>
        <w:t xml:space="preserve"> acting on referrals to jobs</w:t>
      </w:r>
      <w:r w:rsidR="007801A1">
        <w:rPr>
          <w:iCs/>
        </w:rPr>
        <w:t>;</w:t>
      </w:r>
      <w:r w:rsidRPr="00390787">
        <w:rPr>
          <w:iCs/>
        </w:rPr>
        <w:t xml:space="preserve"> and</w:t>
      </w:r>
      <w:r w:rsidRPr="00417C6C">
        <w:rPr>
          <w:iCs/>
        </w:rPr>
        <w:t xml:space="preserve"> participating in any other activity that is relevant to their personal circumstances and will help the participant improve </w:t>
      </w:r>
      <w:r w:rsidR="00357794">
        <w:rPr>
          <w:iCs/>
        </w:rPr>
        <w:t xml:space="preserve">their </w:t>
      </w:r>
      <w:r w:rsidR="00357794">
        <w:rPr>
          <w:iCs/>
        </w:rPr>
        <w:lastRenderedPageBreak/>
        <w:t xml:space="preserve">employment prospects. </w:t>
      </w:r>
      <w:r w:rsidR="00F03DD7">
        <w:rPr>
          <w:iCs/>
        </w:rPr>
        <w:t>For m</w:t>
      </w:r>
      <w:r w:rsidRPr="00417C6C">
        <w:rPr>
          <w:iCs/>
        </w:rPr>
        <w:t xml:space="preserve">ore information, refer to </w:t>
      </w:r>
      <w:r w:rsidR="00F03DD7">
        <w:rPr>
          <w:iCs/>
        </w:rPr>
        <w:t xml:space="preserve">the </w:t>
      </w:r>
      <w:r w:rsidRPr="00357794">
        <w:rPr>
          <w:i/>
          <w:iCs/>
        </w:rPr>
        <w:t>Useful Information</w:t>
      </w:r>
      <w:r w:rsidRPr="00390787">
        <w:rPr>
          <w:iCs/>
        </w:rPr>
        <w:t xml:space="preserve"> section </w:t>
      </w:r>
      <w:r w:rsidR="007801A1">
        <w:rPr>
          <w:iCs/>
        </w:rPr>
        <w:t xml:space="preserve">on page </w:t>
      </w:r>
      <w:r w:rsidR="00BF55F6">
        <w:rPr>
          <w:iCs/>
        </w:rPr>
        <w:t>2</w:t>
      </w:r>
      <w:r w:rsidR="00200C68">
        <w:rPr>
          <w:iCs/>
        </w:rPr>
        <w:t>9</w:t>
      </w:r>
      <w:r w:rsidRPr="00390787">
        <w:rPr>
          <w:iCs/>
        </w:rPr>
        <w:t xml:space="preserve"> of this document. </w:t>
      </w:r>
    </w:p>
    <w:p w:rsidR="00D277B9" w:rsidRPr="00D277B9" w:rsidRDefault="00D277B9" w:rsidP="00D277B9">
      <w:r w:rsidRPr="00D277B9">
        <w:t xml:space="preserve">Currently, there are three phases in the lifecycle of a </w:t>
      </w:r>
      <w:r w:rsidR="007801A1">
        <w:t xml:space="preserve">DES </w:t>
      </w:r>
      <w:r w:rsidRPr="00D277B9">
        <w:t xml:space="preserve">participant: </w:t>
      </w:r>
    </w:p>
    <w:p w:rsidR="00D277B9" w:rsidRPr="00E31A7A" w:rsidRDefault="00D277B9" w:rsidP="00D277B9">
      <w:pPr>
        <w:numPr>
          <w:ilvl w:val="0"/>
          <w:numId w:val="9"/>
        </w:numPr>
        <w:rPr>
          <w:iCs/>
        </w:rPr>
      </w:pPr>
      <w:r w:rsidRPr="00D277B9">
        <w:rPr>
          <w:b/>
          <w:bCs/>
        </w:rPr>
        <w:t>Employment Assistance</w:t>
      </w:r>
      <w:r w:rsidR="00357794">
        <w:rPr>
          <w:b/>
          <w:bCs/>
        </w:rPr>
        <w:t xml:space="preserve"> </w:t>
      </w:r>
      <w:r w:rsidR="00357794" w:rsidRPr="00357794">
        <w:rPr>
          <w:bCs/>
        </w:rPr>
        <w:t xml:space="preserve">- </w:t>
      </w:r>
      <w:r w:rsidRPr="00357794">
        <w:rPr>
          <w:iCs/>
        </w:rPr>
        <w:t>f</w:t>
      </w:r>
      <w:r w:rsidRPr="00E31A7A">
        <w:rPr>
          <w:iCs/>
        </w:rPr>
        <w:t xml:space="preserve">or participants </w:t>
      </w:r>
      <w:r w:rsidR="00F32E82" w:rsidRPr="00E31A7A">
        <w:rPr>
          <w:iCs/>
        </w:rPr>
        <w:t xml:space="preserve">who are </w:t>
      </w:r>
      <w:r w:rsidR="0066212E">
        <w:rPr>
          <w:iCs/>
        </w:rPr>
        <w:t xml:space="preserve">not </w:t>
      </w:r>
      <w:r w:rsidR="00F32E82" w:rsidRPr="00E31A7A">
        <w:rPr>
          <w:iCs/>
        </w:rPr>
        <w:t xml:space="preserve">currently </w:t>
      </w:r>
      <w:r w:rsidR="00417C6C">
        <w:rPr>
          <w:iCs/>
        </w:rPr>
        <w:t>working their Employment Benchmark</w:t>
      </w:r>
      <w:r w:rsidR="00417C6C" w:rsidRPr="00E31A7A">
        <w:rPr>
          <w:iCs/>
        </w:rPr>
        <w:t xml:space="preserve"> </w:t>
      </w:r>
      <w:r w:rsidR="0066212E">
        <w:rPr>
          <w:iCs/>
        </w:rPr>
        <w:t xml:space="preserve">hours </w:t>
      </w:r>
      <w:r w:rsidR="00417C6C">
        <w:rPr>
          <w:iCs/>
        </w:rPr>
        <w:t>or</w:t>
      </w:r>
      <w:r w:rsidR="00417C6C" w:rsidRPr="00E31A7A">
        <w:rPr>
          <w:iCs/>
        </w:rPr>
        <w:t xml:space="preserve"> </w:t>
      </w:r>
      <w:r w:rsidR="00F32E82" w:rsidRPr="00E31A7A">
        <w:rPr>
          <w:iCs/>
        </w:rPr>
        <w:t xml:space="preserve">not undertaking </w:t>
      </w:r>
      <w:r w:rsidRPr="00E31A7A">
        <w:rPr>
          <w:iCs/>
        </w:rPr>
        <w:t>education. During this phase, DES providers should focus on assisting a participant to find sustainable employment by addressing vocational barriers and non</w:t>
      </w:r>
      <w:r w:rsidR="007801A1">
        <w:rPr>
          <w:iCs/>
        </w:rPr>
        <w:noBreakHyphen/>
      </w:r>
      <w:r w:rsidRPr="00E31A7A">
        <w:rPr>
          <w:iCs/>
        </w:rPr>
        <w:t xml:space="preserve">vocational barriers and building a participant’s capacity to work. If a participant has not found a job or </w:t>
      </w:r>
      <w:r w:rsidR="001D19D9">
        <w:rPr>
          <w:iCs/>
        </w:rPr>
        <w:t xml:space="preserve">is not </w:t>
      </w:r>
      <w:r w:rsidRPr="00E31A7A">
        <w:rPr>
          <w:iCs/>
        </w:rPr>
        <w:t>in education after 18 months in Employment Assistance, a new assessment will determine appropriate next steps for the participant, which may include an additional six months of assistance, referred to as Extended Employment Assistance</w:t>
      </w:r>
      <w:r w:rsidR="005A3F63">
        <w:rPr>
          <w:iCs/>
        </w:rPr>
        <w:t>.</w:t>
      </w:r>
      <w:r w:rsidRPr="00E31A7A">
        <w:rPr>
          <w:iCs/>
        </w:rPr>
        <w:t xml:space="preserve">  </w:t>
      </w:r>
    </w:p>
    <w:p w:rsidR="00D277B9" w:rsidRPr="00D277B9" w:rsidRDefault="00D277B9" w:rsidP="00D277B9">
      <w:pPr>
        <w:numPr>
          <w:ilvl w:val="0"/>
          <w:numId w:val="9"/>
        </w:numPr>
      </w:pPr>
      <w:r w:rsidRPr="00D277B9">
        <w:rPr>
          <w:b/>
          <w:bCs/>
        </w:rPr>
        <w:t xml:space="preserve">Post-Placement Support </w:t>
      </w:r>
      <w:r w:rsidR="00357794" w:rsidRPr="00357794">
        <w:rPr>
          <w:bCs/>
        </w:rPr>
        <w:t xml:space="preserve">- </w:t>
      </w:r>
      <w:r w:rsidR="005022DD" w:rsidRPr="005022DD">
        <w:t>for participants in employment or education, and likely to achieve an Outcome. During this phase, DES providers should provide support, as appropriate, to assist the participant to maintai</w:t>
      </w:r>
      <w:r w:rsidR="005022DD">
        <w:t>n their employment or education</w:t>
      </w:r>
      <w:r w:rsidR="005A3F63">
        <w:t>.</w:t>
      </w:r>
      <w:r w:rsidRPr="00D277B9">
        <w:t xml:space="preserve"> </w:t>
      </w:r>
    </w:p>
    <w:p w:rsidR="00D277B9" w:rsidRPr="00D277B9" w:rsidRDefault="00357794" w:rsidP="00D277B9">
      <w:pPr>
        <w:numPr>
          <w:ilvl w:val="0"/>
          <w:numId w:val="9"/>
        </w:numPr>
        <w:rPr>
          <w:b/>
          <w:bCs/>
        </w:rPr>
      </w:pPr>
      <w:r>
        <w:rPr>
          <w:b/>
          <w:bCs/>
        </w:rPr>
        <w:t>Ongoing Support</w:t>
      </w:r>
      <w:r w:rsidRPr="00357794">
        <w:rPr>
          <w:bCs/>
        </w:rPr>
        <w:t xml:space="preserve"> -</w:t>
      </w:r>
      <w:r>
        <w:rPr>
          <w:b/>
          <w:bCs/>
        </w:rPr>
        <w:t xml:space="preserve"> </w:t>
      </w:r>
      <w:r w:rsidR="00D277B9" w:rsidRPr="00D277B9">
        <w:t>for participants who continue to require support to retain their employment after the Post-Placement Support phase. Flexible Ongoing Support is available to DES-DMS participants and</w:t>
      </w:r>
      <w:r w:rsidR="00EF3219">
        <w:t xml:space="preserve"> Flexible,</w:t>
      </w:r>
      <w:r w:rsidR="00D277B9" w:rsidRPr="00D277B9">
        <w:t xml:space="preserve"> Moderate or High Ongoing Support </w:t>
      </w:r>
      <w:r w:rsidR="007801A1">
        <w:t>is</w:t>
      </w:r>
      <w:r w:rsidR="007801A1" w:rsidRPr="00D277B9">
        <w:t xml:space="preserve"> </w:t>
      </w:r>
      <w:r w:rsidR="00D277B9" w:rsidRPr="00D277B9">
        <w:t xml:space="preserve">available to DES-ESS participants. </w:t>
      </w:r>
    </w:p>
    <w:p w:rsidR="00D277B9" w:rsidRDefault="00D277B9" w:rsidP="00D277B9">
      <w:r w:rsidRPr="00D277B9">
        <w:t>DES providers can also support participants and employers to navigate and apply for complementary services that help people with disability to find and keep a job. This includes</w:t>
      </w:r>
      <w:r w:rsidR="00670D41">
        <w:t xml:space="preserve"> </w:t>
      </w:r>
      <w:r w:rsidRPr="00D277B9">
        <w:t>accessing Wage Subsidies</w:t>
      </w:r>
      <w:r w:rsidR="00670D41">
        <w:t xml:space="preserve">, </w:t>
      </w:r>
      <w:r w:rsidRPr="00D277B9">
        <w:t>the Supported Wage System</w:t>
      </w:r>
      <w:r w:rsidR="00670D41">
        <w:t>,</w:t>
      </w:r>
      <w:r w:rsidRPr="00D277B9">
        <w:t xml:space="preserve"> and financial assistance for workplace modifications through the Employment Assistance Fund. This provider support streamlines the application process by ensuring that an applicant is supported and informed.</w:t>
      </w:r>
    </w:p>
    <w:p w:rsidR="00417C6C" w:rsidRPr="00D277B9" w:rsidRDefault="00417C6C" w:rsidP="00417C6C">
      <w:pPr>
        <w:rPr>
          <w:iCs/>
        </w:rPr>
      </w:pPr>
      <w:r w:rsidRPr="00D277B9">
        <w:rPr>
          <w:iCs/>
        </w:rPr>
        <w:t xml:space="preserve">Current arrangements are set out in the Disability Employment Services Deed </w:t>
      </w:r>
      <w:r w:rsidR="00F8348D">
        <w:rPr>
          <w:iCs/>
        </w:rPr>
        <w:t xml:space="preserve">(DES Deed) </w:t>
      </w:r>
      <w:r w:rsidRPr="00D277B9">
        <w:rPr>
          <w:iCs/>
        </w:rPr>
        <w:t>and associated guidelines. The</w:t>
      </w:r>
      <w:r w:rsidR="00A65A75">
        <w:rPr>
          <w:iCs/>
        </w:rPr>
        <w:t xml:space="preserve"> arrangements for the</w:t>
      </w:r>
      <w:r w:rsidRPr="00D277B9">
        <w:rPr>
          <w:iCs/>
        </w:rPr>
        <w:t xml:space="preserve"> new DES program will </w:t>
      </w:r>
      <w:r w:rsidR="00A65A75">
        <w:rPr>
          <w:iCs/>
        </w:rPr>
        <w:t>be set out in the form of</w:t>
      </w:r>
      <w:r w:rsidR="00A65A75" w:rsidRPr="00D277B9">
        <w:rPr>
          <w:iCs/>
        </w:rPr>
        <w:t xml:space="preserve"> </w:t>
      </w:r>
      <w:r w:rsidRPr="00D277B9">
        <w:rPr>
          <w:iCs/>
        </w:rPr>
        <w:t xml:space="preserve">a </w:t>
      </w:r>
      <w:r w:rsidR="001666CE">
        <w:rPr>
          <w:iCs/>
        </w:rPr>
        <w:t xml:space="preserve">DES </w:t>
      </w:r>
      <w:r w:rsidRPr="00D277B9">
        <w:rPr>
          <w:iCs/>
        </w:rPr>
        <w:t xml:space="preserve">Grant </w:t>
      </w:r>
      <w:r w:rsidR="00A65A75">
        <w:rPr>
          <w:iCs/>
        </w:rPr>
        <w:t>A</w:t>
      </w:r>
      <w:r w:rsidRPr="00D277B9">
        <w:rPr>
          <w:iCs/>
        </w:rPr>
        <w:t xml:space="preserve">greement and associated guidelines. The new DES Grant Agreement will be similar to the current DES Deed, but will reflect </w:t>
      </w:r>
      <w:r w:rsidR="007801A1">
        <w:rPr>
          <w:iCs/>
        </w:rPr>
        <w:t xml:space="preserve">the new </w:t>
      </w:r>
      <w:r w:rsidRPr="00D277B9">
        <w:rPr>
          <w:iCs/>
        </w:rPr>
        <w:t xml:space="preserve">Grant arrangements and the changes </w:t>
      </w:r>
      <w:r w:rsidR="00A65A75">
        <w:rPr>
          <w:iCs/>
        </w:rPr>
        <w:t>required</w:t>
      </w:r>
      <w:r w:rsidRPr="00D277B9">
        <w:rPr>
          <w:iCs/>
        </w:rPr>
        <w:t xml:space="preserve"> under the DES reforms. </w:t>
      </w:r>
      <w:r>
        <w:rPr>
          <w:iCs/>
        </w:rPr>
        <w:t>DES provide</w:t>
      </w:r>
      <w:r w:rsidR="00FE260B">
        <w:rPr>
          <w:iCs/>
        </w:rPr>
        <w:t>r</w:t>
      </w:r>
      <w:r>
        <w:rPr>
          <w:iCs/>
        </w:rPr>
        <w:t xml:space="preserve">s will be required to accept the terms of the DES Grant Agreement in its entirety. </w:t>
      </w:r>
    </w:p>
    <w:p w:rsidR="00417C6C" w:rsidRDefault="00417C6C" w:rsidP="00417C6C">
      <w:pPr>
        <w:rPr>
          <w:iCs/>
        </w:rPr>
      </w:pPr>
      <w:r w:rsidRPr="00D277B9">
        <w:rPr>
          <w:iCs/>
        </w:rPr>
        <w:t xml:space="preserve">A link to the current DES Deed and guidelines used to administer the current program are provided in the </w:t>
      </w:r>
      <w:r w:rsidRPr="00D277B9">
        <w:rPr>
          <w:i/>
          <w:iCs/>
        </w:rPr>
        <w:t>Useful Information</w:t>
      </w:r>
      <w:r w:rsidRPr="00D277B9">
        <w:rPr>
          <w:iCs/>
        </w:rPr>
        <w:t xml:space="preserve"> section </w:t>
      </w:r>
      <w:r w:rsidR="007801A1">
        <w:rPr>
          <w:iCs/>
        </w:rPr>
        <w:t xml:space="preserve">on page </w:t>
      </w:r>
      <w:r w:rsidR="00200C68">
        <w:rPr>
          <w:iCs/>
        </w:rPr>
        <w:t xml:space="preserve">29 </w:t>
      </w:r>
      <w:r w:rsidRPr="00D277B9">
        <w:rPr>
          <w:iCs/>
        </w:rPr>
        <w:t xml:space="preserve">of this </w:t>
      </w:r>
      <w:r>
        <w:rPr>
          <w:iCs/>
        </w:rPr>
        <w:t>document</w:t>
      </w:r>
      <w:r w:rsidRPr="00D277B9">
        <w:rPr>
          <w:iCs/>
        </w:rPr>
        <w:t xml:space="preserve">. </w:t>
      </w:r>
    </w:p>
    <w:p w:rsidR="00417C6C" w:rsidRPr="00D277B9" w:rsidRDefault="00417C6C" w:rsidP="00417C6C">
      <w:pPr>
        <w:rPr>
          <w:iCs/>
        </w:rPr>
      </w:pPr>
      <w:r w:rsidRPr="00D277B9">
        <w:rPr>
          <w:iCs/>
        </w:rPr>
        <w:t xml:space="preserve">While the </w:t>
      </w:r>
      <w:r w:rsidR="007801A1">
        <w:rPr>
          <w:iCs/>
        </w:rPr>
        <w:t xml:space="preserve">current </w:t>
      </w:r>
      <w:r w:rsidR="00F8348D">
        <w:rPr>
          <w:iCs/>
        </w:rPr>
        <w:t xml:space="preserve">DES </w:t>
      </w:r>
      <w:r w:rsidRPr="00D277B9">
        <w:rPr>
          <w:iCs/>
        </w:rPr>
        <w:t xml:space="preserve">Deed and guidelines will </w:t>
      </w:r>
      <w:r w:rsidR="00F66007">
        <w:rPr>
          <w:iCs/>
        </w:rPr>
        <w:t>not</w:t>
      </w:r>
      <w:r w:rsidRPr="00D277B9">
        <w:rPr>
          <w:iCs/>
        </w:rPr>
        <w:t xml:space="preserve"> reflect the changes to </w:t>
      </w:r>
      <w:r w:rsidR="00F66007">
        <w:rPr>
          <w:iCs/>
        </w:rPr>
        <w:t xml:space="preserve">be made under the new </w:t>
      </w:r>
      <w:r w:rsidRPr="00D277B9">
        <w:rPr>
          <w:iCs/>
        </w:rPr>
        <w:t>DES</w:t>
      </w:r>
      <w:r w:rsidR="00F66007">
        <w:rPr>
          <w:iCs/>
        </w:rPr>
        <w:t xml:space="preserve"> program</w:t>
      </w:r>
      <w:r w:rsidRPr="00D277B9">
        <w:rPr>
          <w:iCs/>
        </w:rPr>
        <w:t>, they will provide a more detailed description of the current program for organisations that are less familiar with DES.</w:t>
      </w:r>
    </w:p>
    <w:p w:rsidR="005B2FFD" w:rsidRDefault="00417C6C" w:rsidP="00CA6E1E">
      <w:pPr>
        <w:rPr>
          <w:iCs/>
        </w:rPr>
      </w:pPr>
      <w:r w:rsidRPr="00D277B9">
        <w:rPr>
          <w:iCs/>
        </w:rPr>
        <w:t xml:space="preserve">DES providers </w:t>
      </w:r>
      <w:r>
        <w:rPr>
          <w:iCs/>
        </w:rPr>
        <w:t>are</w:t>
      </w:r>
      <w:r w:rsidRPr="00D277B9">
        <w:rPr>
          <w:iCs/>
        </w:rPr>
        <w:t xml:space="preserve"> </w:t>
      </w:r>
      <w:r>
        <w:rPr>
          <w:iCs/>
        </w:rPr>
        <w:t xml:space="preserve">also </w:t>
      </w:r>
      <w:r w:rsidRPr="00D277B9">
        <w:rPr>
          <w:iCs/>
        </w:rPr>
        <w:t xml:space="preserve">required to comply with the </w:t>
      </w:r>
      <w:r w:rsidRPr="00D277B9">
        <w:rPr>
          <w:i/>
          <w:iCs/>
        </w:rPr>
        <w:t xml:space="preserve">Disability Services Act 1986 </w:t>
      </w:r>
      <w:r w:rsidRPr="00A04716">
        <w:rPr>
          <w:iCs/>
        </w:rPr>
        <w:t>(Cth)</w:t>
      </w:r>
      <w:r w:rsidRPr="00D277B9">
        <w:rPr>
          <w:iCs/>
        </w:rPr>
        <w:t xml:space="preserve">, which broadly </w:t>
      </w:r>
      <w:r>
        <w:rPr>
          <w:iCs/>
        </w:rPr>
        <w:t>sets out</w:t>
      </w:r>
      <w:r w:rsidRPr="00D277B9">
        <w:rPr>
          <w:iCs/>
        </w:rPr>
        <w:t xml:space="preserve"> the </w:t>
      </w:r>
      <w:r>
        <w:rPr>
          <w:iCs/>
        </w:rPr>
        <w:t xml:space="preserve">legal </w:t>
      </w:r>
      <w:r w:rsidRPr="00D277B9">
        <w:rPr>
          <w:iCs/>
        </w:rPr>
        <w:t>framework for employment services to support job seekers and workers with disability.</w:t>
      </w:r>
    </w:p>
    <w:p w:rsidR="00B7378C" w:rsidRDefault="00B7378C" w:rsidP="00CA6E1E">
      <w:pPr>
        <w:rPr>
          <w:iCs/>
        </w:rPr>
      </w:pPr>
    </w:p>
    <w:p w:rsidR="00B7378C" w:rsidRPr="00CA6E1E" w:rsidRDefault="00B7378C" w:rsidP="00CA6E1E">
      <w:pPr>
        <w:rPr>
          <w:iCs/>
        </w:rPr>
      </w:pPr>
    </w:p>
    <w:p w:rsidR="00D277B9" w:rsidRPr="00287BCE" w:rsidRDefault="00D277B9" w:rsidP="00287BCE">
      <w:pPr>
        <w:pStyle w:val="Heading2"/>
      </w:pPr>
      <w:bookmarkStart w:id="4" w:name="_Toc483921447"/>
      <w:bookmarkStart w:id="5" w:name="_Toc484692290"/>
      <w:r w:rsidRPr="00287BCE">
        <w:lastRenderedPageBreak/>
        <w:t>Participants’ registration for DES</w:t>
      </w:r>
      <w:bookmarkEnd w:id="4"/>
      <w:bookmarkEnd w:id="5"/>
    </w:p>
    <w:p w:rsidR="00D74E21" w:rsidRDefault="00D277B9" w:rsidP="00D277B9">
      <w:pPr>
        <w:rPr>
          <w:bCs/>
          <w:iCs/>
        </w:rPr>
      </w:pPr>
      <w:r w:rsidRPr="00D277B9">
        <w:rPr>
          <w:bCs/>
          <w:iCs/>
        </w:rPr>
        <w:t xml:space="preserve">There are currently </w:t>
      </w:r>
      <w:r w:rsidR="00F66007">
        <w:rPr>
          <w:bCs/>
          <w:iCs/>
        </w:rPr>
        <w:t>around</w:t>
      </w:r>
      <w:r w:rsidRPr="00D277B9">
        <w:rPr>
          <w:bCs/>
          <w:iCs/>
        </w:rPr>
        <w:t xml:space="preserve"> 186,000 participants in DES. </w:t>
      </w:r>
      <w:r w:rsidR="00F66007">
        <w:rPr>
          <w:bCs/>
          <w:iCs/>
        </w:rPr>
        <w:t>See Table</w:t>
      </w:r>
      <w:r w:rsidR="00413B14">
        <w:rPr>
          <w:bCs/>
          <w:iCs/>
        </w:rPr>
        <w:t>s</w:t>
      </w:r>
      <w:r w:rsidR="00F66007">
        <w:rPr>
          <w:bCs/>
          <w:iCs/>
        </w:rPr>
        <w:t xml:space="preserve"> 1 </w:t>
      </w:r>
      <w:r w:rsidR="00413B14">
        <w:rPr>
          <w:bCs/>
          <w:iCs/>
        </w:rPr>
        <w:t xml:space="preserve">and 2 </w:t>
      </w:r>
      <w:r w:rsidR="00CA6E1E">
        <w:rPr>
          <w:bCs/>
          <w:iCs/>
        </w:rPr>
        <w:t>on page</w:t>
      </w:r>
      <w:r w:rsidR="00413B14">
        <w:rPr>
          <w:bCs/>
          <w:iCs/>
        </w:rPr>
        <w:t> </w:t>
      </w:r>
      <w:r w:rsidR="00BF55F6">
        <w:rPr>
          <w:bCs/>
          <w:iCs/>
        </w:rPr>
        <w:t>8</w:t>
      </w:r>
      <w:r w:rsidR="00F66007">
        <w:rPr>
          <w:bCs/>
          <w:iCs/>
        </w:rPr>
        <w:t xml:space="preserve">. </w:t>
      </w:r>
    </w:p>
    <w:p w:rsidR="00D74E21" w:rsidRDefault="00D277B9" w:rsidP="00D277B9">
      <w:pPr>
        <w:rPr>
          <w:iCs/>
        </w:rPr>
      </w:pPr>
      <w:r w:rsidRPr="00D277B9">
        <w:rPr>
          <w:iCs/>
        </w:rPr>
        <w:t xml:space="preserve">Job seekers are </w:t>
      </w:r>
      <w:r w:rsidR="00FD0F3A" w:rsidRPr="00D277B9">
        <w:rPr>
          <w:iCs/>
        </w:rPr>
        <w:t>predomin</w:t>
      </w:r>
      <w:r w:rsidR="00FD0F3A">
        <w:rPr>
          <w:iCs/>
        </w:rPr>
        <w:t>antly</w:t>
      </w:r>
      <w:r w:rsidRPr="00D277B9">
        <w:rPr>
          <w:iCs/>
        </w:rPr>
        <w:t xml:space="preserve"> referred to DES </w:t>
      </w:r>
      <w:r w:rsidR="001666CE">
        <w:rPr>
          <w:iCs/>
        </w:rPr>
        <w:t xml:space="preserve">providers </w:t>
      </w:r>
      <w:r w:rsidRPr="00D277B9">
        <w:rPr>
          <w:iCs/>
        </w:rPr>
        <w:t xml:space="preserve">by Centrelink after undertaking an </w:t>
      </w:r>
      <w:r w:rsidR="00F32E82" w:rsidRPr="00F32E82">
        <w:rPr>
          <w:rStyle w:val="BookTitle"/>
          <w:rFonts w:asciiTheme="minorHAnsi" w:eastAsiaTheme="majorEastAsia" w:hAnsiTheme="minorHAnsi"/>
          <w:i w:val="0"/>
          <w:smallCaps w:val="0"/>
        </w:rPr>
        <w:t>Employment Services Assessment</w:t>
      </w:r>
      <w:r w:rsidR="00F32E82">
        <w:rPr>
          <w:rStyle w:val="BookTitle"/>
          <w:rFonts w:asciiTheme="minorHAnsi" w:eastAsiaTheme="majorEastAsia" w:hAnsiTheme="minorHAnsi"/>
        </w:rPr>
        <w:t xml:space="preserve"> </w:t>
      </w:r>
      <w:r w:rsidR="00E66F6F">
        <w:rPr>
          <w:rStyle w:val="BookTitle"/>
          <w:rFonts w:asciiTheme="minorHAnsi" w:eastAsiaTheme="majorEastAsia" w:hAnsiTheme="minorHAnsi"/>
          <w:i w:val="0"/>
        </w:rPr>
        <w:t>(</w:t>
      </w:r>
      <w:r w:rsidRPr="00D277B9">
        <w:rPr>
          <w:iCs/>
        </w:rPr>
        <w:t>ESAt</w:t>
      </w:r>
      <w:r w:rsidR="00E66F6F">
        <w:rPr>
          <w:iCs/>
        </w:rPr>
        <w:t>)</w:t>
      </w:r>
      <w:r w:rsidRPr="00D277B9">
        <w:rPr>
          <w:iCs/>
        </w:rPr>
        <w:t xml:space="preserve"> or Job Capacity Assessment (JCA) to determine the most appropriate service for a job seeker. </w:t>
      </w:r>
    </w:p>
    <w:p w:rsidR="00D74E21" w:rsidRDefault="00D277B9" w:rsidP="00D277B9">
      <w:pPr>
        <w:rPr>
          <w:iCs/>
        </w:rPr>
      </w:pPr>
      <w:r w:rsidRPr="00D277B9">
        <w:rPr>
          <w:iCs/>
        </w:rPr>
        <w:t xml:space="preserve">An ESAt provides a comprehensive work capacity assessment for people with disability and/or other potentially serious barriers to work. </w:t>
      </w:r>
    </w:p>
    <w:p w:rsidR="00D74E21" w:rsidRDefault="00D277B9" w:rsidP="00D277B9">
      <w:pPr>
        <w:rPr>
          <w:iCs/>
        </w:rPr>
      </w:pPr>
      <w:r w:rsidRPr="00D277B9">
        <w:rPr>
          <w:iCs/>
        </w:rPr>
        <w:t xml:space="preserve">ESAts recommend the most appropriate employment service assistance and support interventions based on an assessment of the job seeker’s barriers to finding and maintaining employment, and work capacity in hour bandwidths. </w:t>
      </w:r>
    </w:p>
    <w:p w:rsidR="00D277B9" w:rsidRPr="00D277B9" w:rsidRDefault="00D277B9" w:rsidP="00D277B9">
      <w:pPr>
        <w:rPr>
          <w:bCs/>
        </w:rPr>
      </w:pPr>
      <w:r w:rsidRPr="00D277B9">
        <w:rPr>
          <w:iCs/>
        </w:rPr>
        <w:t xml:space="preserve">JCAs provide a similar level of assessment for employment programs, but are primarily used to inform </w:t>
      </w:r>
      <w:r w:rsidR="00FD0F3A">
        <w:rPr>
          <w:iCs/>
        </w:rPr>
        <w:t xml:space="preserve">decisions about access to the </w:t>
      </w:r>
      <w:r w:rsidR="00E66F6F" w:rsidRPr="00E66F6F">
        <w:rPr>
          <w:rStyle w:val="BookTitle"/>
          <w:rFonts w:asciiTheme="minorHAnsi" w:eastAsiaTheme="majorEastAsia" w:hAnsiTheme="minorHAnsi"/>
          <w:i w:val="0"/>
          <w:smallCaps w:val="0"/>
        </w:rPr>
        <w:t>Disability Support Pension (DSP)</w:t>
      </w:r>
      <w:r w:rsidRPr="00D277B9">
        <w:rPr>
          <w:iCs/>
        </w:rPr>
        <w:t xml:space="preserve">. </w:t>
      </w:r>
    </w:p>
    <w:p w:rsidR="00417C6C" w:rsidRDefault="00417C6C" w:rsidP="00417C6C">
      <w:r>
        <w:t xml:space="preserve">Participants will have an Employment Benchmark of </w:t>
      </w:r>
      <w:r w:rsidR="00FD0F3A">
        <w:t>eight</w:t>
      </w:r>
      <w:r>
        <w:t xml:space="preserve">, 15, 23 or 30 hours per week. The Employment Benchmark is generally based on a </w:t>
      </w:r>
      <w:r w:rsidR="00FE260B">
        <w:t>p</w:t>
      </w:r>
      <w:r>
        <w:t xml:space="preserve">articipant’s capacity for work within two years with intervention </w:t>
      </w:r>
      <w:r w:rsidR="00FD0F3A">
        <w:t xml:space="preserve">assistance, </w:t>
      </w:r>
      <w:r>
        <w:t>as assessed through an ESAt or JCA</w:t>
      </w:r>
      <w:r w:rsidR="00FD0F3A">
        <w:t>. T</w:t>
      </w:r>
      <w:r>
        <w:t>his is also known as a participant’s future work capacity.</w:t>
      </w:r>
    </w:p>
    <w:p w:rsidR="005B2FFD" w:rsidRDefault="00B7053B" w:rsidP="00B7053B">
      <w:pPr>
        <w:rPr>
          <w:iCs/>
        </w:rPr>
      </w:pPr>
      <w:r w:rsidRPr="00D277B9">
        <w:rPr>
          <w:iCs/>
        </w:rPr>
        <w:t xml:space="preserve">While most job seekers are referred to DES by Centrelink, job seekers may also register </w:t>
      </w:r>
      <w:r w:rsidR="00FD0F3A" w:rsidRPr="00D277B9">
        <w:rPr>
          <w:iCs/>
        </w:rPr>
        <w:t xml:space="preserve">directly </w:t>
      </w:r>
      <w:r w:rsidRPr="00D277B9">
        <w:rPr>
          <w:iCs/>
        </w:rPr>
        <w:t xml:space="preserve">with a DES provider. Direct registration enables providers to </w:t>
      </w:r>
      <w:r>
        <w:rPr>
          <w:iCs/>
        </w:rPr>
        <w:t>work with other disability and employment services</w:t>
      </w:r>
      <w:r w:rsidRPr="00D277B9">
        <w:rPr>
          <w:iCs/>
        </w:rPr>
        <w:t xml:space="preserve"> such as health facilities, training providers and schools </w:t>
      </w:r>
      <w:r>
        <w:rPr>
          <w:iCs/>
        </w:rPr>
        <w:t xml:space="preserve">to directly engage with </w:t>
      </w:r>
      <w:r w:rsidRPr="00D277B9">
        <w:rPr>
          <w:iCs/>
        </w:rPr>
        <w:t xml:space="preserve">people with disability </w:t>
      </w:r>
      <w:r>
        <w:rPr>
          <w:iCs/>
        </w:rPr>
        <w:t>(</w:t>
      </w:r>
      <w:r w:rsidRPr="00D277B9">
        <w:rPr>
          <w:iCs/>
        </w:rPr>
        <w:t xml:space="preserve">who </w:t>
      </w:r>
      <w:r>
        <w:rPr>
          <w:iCs/>
        </w:rPr>
        <w:t xml:space="preserve">choose to </w:t>
      </w:r>
      <w:r w:rsidRPr="00D277B9">
        <w:rPr>
          <w:iCs/>
        </w:rPr>
        <w:t>participate in DES</w:t>
      </w:r>
      <w:r>
        <w:rPr>
          <w:iCs/>
        </w:rPr>
        <w:t>) without needing a referral from Centrelink</w:t>
      </w:r>
      <w:r w:rsidRPr="00D277B9">
        <w:rPr>
          <w:iCs/>
        </w:rPr>
        <w:t>.</w:t>
      </w:r>
      <w:r>
        <w:rPr>
          <w:iCs/>
        </w:rPr>
        <w:t xml:space="preserve"> </w:t>
      </w:r>
      <w:r w:rsidRPr="002A704B">
        <w:rPr>
          <w:iCs/>
        </w:rPr>
        <w:t xml:space="preserve">In most cases, the </w:t>
      </w:r>
      <w:r>
        <w:rPr>
          <w:iCs/>
        </w:rPr>
        <w:t>p</w:t>
      </w:r>
      <w:r w:rsidRPr="002A704B">
        <w:rPr>
          <w:iCs/>
        </w:rPr>
        <w:t xml:space="preserve">rovider needs to refer a </w:t>
      </w:r>
      <w:r>
        <w:rPr>
          <w:iCs/>
        </w:rPr>
        <w:t>d</w:t>
      </w:r>
      <w:r w:rsidRPr="002A704B">
        <w:rPr>
          <w:iCs/>
        </w:rPr>
        <w:t xml:space="preserve">irectly </w:t>
      </w:r>
      <w:r>
        <w:rPr>
          <w:iCs/>
        </w:rPr>
        <w:t>r</w:t>
      </w:r>
      <w:r w:rsidRPr="002A704B">
        <w:rPr>
          <w:iCs/>
        </w:rPr>
        <w:t>egistered job seeker for an ESAt to determine their eligibility for DES</w:t>
      </w:r>
      <w:r>
        <w:rPr>
          <w:iCs/>
        </w:rPr>
        <w:t>.</w:t>
      </w:r>
      <w:r w:rsidR="005B2FFD">
        <w:rPr>
          <w:iCs/>
        </w:rPr>
        <w:t xml:space="preserve"> A diagram of the process for assistance is provided </w:t>
      </w:r>
      <w:r w:rsidR="00FD0F3A">
        <w:rPr>
          <w:iCs/>
        </w:rPr>
        <w:t xml:space="preserve">on page </w:t>
      </w:r>
      <w:r w:rsidR="00BF55F6">
        <w:rPr>
          <w:iCs/>
        </w:rPr>
        <w:t>8</w:t>
      </w:r>
      <w:r w:rsidR="005B2FFD">
        <w:rPr>
          <w:iCs/>
        </w:rPr>
        <w:t xml:space="preserve">. </w:t>
      </w:r>
    </w:p>
    <w:p w:rsidR="00CA6E1E" w:rsidRDefault="00CA6E1E">
      <w:pPr>
        <w:spacing w:before="0" w:after="200" w:line="276" w:lineRule="auto"/>
        <w:rPr>
          <w:iCs/>
        </w:rPr>
      </w:pPr>
      <w:r>
        <w:rPr>
          <w:iCs/>
        </w:rPr>
        <w:br w:type="page"/>
      </w:r>
    </w:p>
    <w:p w:rsidR="00F66007" w:rsidRPr="00F73866" w:rsidRDefault="00F66007" w:rsidP="00F73866">
      <w:pPr>
        <w:pStyle w:val="Caption"/>
        <w:keepNext/>
      </w:pPr>
      <w:r w:rsidRPr="00F73866">
        <w:lastRenderedPageBreak/>
        <w:t xml:space="preserve">Table </w:t>
      </w:r>
      <w:r w:rsidR="00EA1427">
        <w:t>1</w:t>
      </w:r>
      <w:r w:rsidRPr="00F73866">
        <w:t xml:space="preserve"> – DES caseload by placement type and status</w:t>
      </w:r>
      <w:r w:rsidR="00E61B21" w:rsidRPr="00F73866">
        <w:t xml:space="preserve"> as at 30 April </w:t>
      </w:r>
      <w:r w:rsidR="006018A9" w:rsidRPr="00F73866">
        <w:t>2017</w:t>
      </w:r>
    </w:p>
    <w:tbl>
      <w:tblPr>
        <w:tblStyle w:val="DSSTableStyleB"/>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firstRow="1" w:lastRow="1" w:firstColumn="1" w:lastColumn="0" w:noHBand="1" w:noVBand="1"/>
        <w:tblCaption w:val="DSS Numeric table style"/>
      </w:tblPr>
      <w:tblGrid>
        <w:gridCol w:w="3114"/>
        <w:gridCol w:w="1843"/>
        <w:gridCol w:w="2126"/>
        <w:gridCol w:w="1984"/>
      </w:tblGrid>
      <w:tr w:rsidR="006D35B0" w:rsidRPr="006D35B0" w:rsidTr="006D35B0">
        <w:trPr>
          <w:cnfStyle w:val="100000000000" w:firstRow="1" w:lastRow="0" w:firstColumn="0" w:lastColumn="0" w:oddVBand="0" w:evenVBand="0" w:oddHBand="0" w:evenHBand="0" w:firstRowFirstColumn="0" w:firstRowLastColumn="0" w:lastRowFirstColumn="0" w:lastRowLastColumn="0"/>
          <w:trHeight w:hRule="exact" w:val="397"/>
          <w:tblHeader/>
        </w:trPr>
        <w:tc>
          <w:tcPr>
            <w:tcW w:w="3114" w:type="dxa"/>
            <w:shd w:val="clear" w:color="auto" w:fill="005A70" w:themeFill="accent4"/>
          </w:tcPr>
          <w:p w:rsidR="00C12759" w:rsidRPr="006D35B0" w:rsidRDefault="00C12759" w:rsidP="00C12759">
            <w:pPr>
              <w:rPr>
                <w:color w:val="FFFFFF" w:themeColor="background1"/>
                <w:sz w:val="22"/>
                <w:szCs w:val="22"/>
              </w:rPr>
            </w:pPr>
            <w:r w:rsidRPr="006D35B0">
              <w:rPr>
                <w:color w:val="FFFFFF" w:themeColor="background1"/>
                <w:sz w:val="22"/>
                <w:szCs w:val="22"/>
              </w:rPr>
              <w:t>Placement Type</w:t>
            </w:r>
          </w:p>
        </w:tc>
        <w:tc>
          <w:tcPr>
            <w:tcW w:w="1843" w:type="dxa"/>
            <w:shd w:val="clear" w:color="auto" w:fill="005A70" w:themeFill="accent4"/>
          </w:tcPr>
          <w:p w:rsidR="00C12759" w:rsidRPr="006D35B0" w:rsidRDefault="00C12759" w:rsidP="00C12759">
            <w:pPr>
              <w:jc w:val="right"/>
              <w:rPr>
                <w:color w:val="FFFFFF" w:themeColor="background1"/>
                <w:sz w:val="22"/>
                <w:szCs w:val="22"/>
              </w:rPr>
            </w:pPr>
            <w:r w:rsidRPr="006D35B0">
              <w:rPr>
                <w:color w:val="FFFFFF" w:themeColor="background1"/>
                <w:sz w:val="22"/>
                <w:szCs w:val="22"/>
              </w:rPr>
              <w:t>Suspended</w:t>
            </w:r>
          </w:p>
        </w:tc>
        <w:tc>
          <w:tcPr>
            <w:tcW w:w="2126" w:type="dxa"/>
            <w:shd w:val="clear" w:color="auto" w:fill="005A70" w:themeFill="accent4"/>
          </w:tcPr>
          <w:p w:rsidR="00C12759" w:rsidRPr="006D35B0" w:rsidRDefault="00C12759" w:rsidP="00C12759">
            <w:pPr>
              <w:jc w:val="right"/>
              <w:rPr>
                <w:color w:val="FFFFFF" w:themeColor="background1"/>
                <w:sz w:val="22"/>
                <w:szCs w:val="22"/>
              </w:rPr>
            </w:pPr>
            <w:r w:rsidRPr="006D35B0">
              <w:rPr>
                <w:color w:val="FFFFFF" w:themeColor="background1"/>
                <w:sz w:val="22"/>
                <w:szCs w:val="22"/>
              </w:rPr>
              <w:t>Not Suspended*</w:t>
            </w:r>
          </w:p>
        </w:tc>
        <w:tc>
          <w:tcPr>
            <w:tcW w:w="1984" w:type="dxa"/>
            <w:shd w:val="clear" w:color="auto" w:fill="005A70" w:themeFill="accent4"/>
          </w:tcPr>
          <w:p w:rsidR="00C12759" w:rsidRPr="006D35B0" w:rsidRDefault="00C12759" w:rsidP="00C12759">
            <w:pPr>
              <w:jc w:val="right"/>
              <w:rPr>
                <w:color w:val="FFFFFF" w:themeColor="background1"/>
                <w:sz w:val="22"/>
                <w:szCs w:val="22"/>
              </w:rPr>
            </w:pPr>
            <w:r w:rsidRPr="006D35B0">
              <w:rPr>
                <w:color w:val="FFFFFF" w:themeColor="background1"/>
                <w:sz w:val="22"/>
                <w:szCs w:val="22"/>
              </w:rPr>
              <w:t>Total</w:t>
            </w:r>
          </w:p>
        </w:tc>
      </w:tr>
      <w:tr w:rsidR="00C12759" w:rsidRPr="003F5A52" w:rsidTr="003F5A52">
        <w:trPr>
          <w:trHeight w:hRule="exact" w:val="397"/>
        </w:trPr>
        <w:tc>
          <w:tcPr>
            <w:tcW w:w="3114" w:type="dxa"/>
          </w:tcPr>
          <w:p w:rsidR="00C12759" w:rsidRPr="003F5A52" w:rsidRDefault="00C12759" w:rsidP="00C12759">
            <w:pPr>
              <w:rPr>
                <w:sz w:val="22"/>
                <w:szCs w:val="22"/>
              </w:rPr>
            </w:pPr>
            <w:r w:rsidRPr="003F5A52">
              <w:rPr>
                <w:sz w:val="22"/>
                <w:szCs w:val="22"/>
              </w:rPr>
              <w:t>Eligibility Not Determined</w:t>
            </w:r>
          </w:p>
        </w:tc>
        <w:tc>
          <w:tcPr>
            <w:tcW w:w="1843" w:type="dxa"/>
          </w:tcPr>
          <w:p w:rsidR="00C12759" w:rsidRPr="003F5A52" w:rsidRDefault="00C12759" w:rsidP="00C12759">
            <w:pPr>
              <w:jc w:val="right"/>
              <w:rPr>
                <w:sz w:val="22"/>
                <w:szCs w:val="22"/>
              </w:rPr>
            </w:pPr>
            <w:r w:rsidRPr="003F5A52">
              <w:rPr>
                <w:sz w:val="22"/>
                <w:szCs w:val="22"/>
              </w:rPr>
              <w:t>40</w:t>
            </w:r>
          </w:p>
        </w:tc>
        <w:tc>
          <w:tcPr>
            <w:tcW w:w="2126" w:type="dxa"/>
          </w:tcPr>
          <w:p w:rsidR="00C12759" w:rsidRPr="003F5A52" w:rsidRDefault="00C12759" w:rsidP="00C12759">
            <w:pPr>
              <w:jc w:val="right"/>
              <w:rPr>
                <w:sz w:val="22"/>
                <w:szCs w:val="22"/>
              </w:rPr>
            </w:pPr>
            <w:r w:rsidRPr="003F5A52">
              <w:rPr>
                <w:sz w:val="22"/>
                <w:szCs w:val="22"/>
              </w:rPr>
              <w:t>848</w:t>
            </w:r>
          </w:p>
        </w:tc>
        <w:tc>
          <w:tcPr>
            <w:tcW w:w="1984" w:type="dxa"/>
          </w:tcPr>
          <w:p w:rsidR="00C12759" w:rsidRPr="003F5A52" w:rsidRDefault="00C12759" w:rsidP="00C12759">
            <w:pPr>
              <w:jc w:val="right"/>
              <w:rPr>
                <w:sz w:val="22"/>
                <w:szCs w:val="22"/>
              </w:rPr>
            </w:pPr>
            <w:r w:rsidRPr="003F5A52">
              <w:rPr>
                <w:sz w:val="22"/>
                <w:szCs w:val="22"/>
              </w:rPr>
              <w:t>888</w:t>
            </w:r>
          </w:p>
        </w:tc>
      </w:tr>
      <w:tr w:rsidR="00C12759" w:rsidRPr="003F5A52" w:rsidTr="003F5A52">
        <w:trPr>
          <w:trHeight w:hRule="exact" w:val="397"/>
        </w:trPr>
        <w:tc>
          <w:tcPr>
            <w:tcW w:w="3114" w:type="dxa"/>
          </w:tcPr>
          <w:p w:rsidR="00C12759" w:rsidRPr="003F5A52" w:rsidRDefault="00C12759" w:rsidP="00C12759">
            <w:pPr>
              <w:rPr>
                <w:sz w:val="22"/>
                <w:szCs w:val="22"/>
              </w:rPr>
            </w:pPr>
            <w:r w:rsidRPr="003F5A52">
              <w:rPr>
                <w:sz w:val="22"/>
                <w:szCs w:val="22"/>
              </w:rPr>
              <w:t>Employment Assistance</w:t>
            </w:r>
          </w:p>
        </w:tc>
        <w:tc>
          <w:tcPr>
            <w:tcW w:w="1843" w:type="dxa"/>
          </w:tcPr>
          <w:p w:rsidR="00C12759" w:rsidRPr="003F5A52" w:rsidRDefault="00C12759" w:rsidP="00C12759">
            <w:pPr>
              <w:jc w:val="right"/>
              <w:rPr>
                <w:sz w:val="22"/>
                <w:szCs w:val="22"/>
              </w:rPr>
            </w:pPr>
            <w:r w:rsidRPr="003F5A52">
              <w:rPr>
                <w:sz w:val="22"/>
                <w:szCs w:val="22"/>
              </w:rPr>
              <w:t>48,492</w:t>
            </w:r>
          </w:p>
        </w:tc>
        <w:tc>
          <w:tcPr>
            <w:tcW w:w="2126" w:type="dxa"/>
          </w:tcPr>
          <w:p w:rsidR="00C12759" w:rsidRPr="003F5A52" w:rsidRDefault="00C12759" w:rsidP="00C12759">
            <w:pPr>
              <w:jc w:val="right"/>
              <w:rPr>
                <w:sz w:val="22"/>
                <w:szCs w:val="22"/>
              </w:rPr>
            </w:pPr>
            <w:r w:rsidRPr="003F5A52">
              <w:rPr>
                <w:sz w:val="22"/>
                <w:szCs w:val="22"/>
              </w:rPr>
              <w:t>91,060</w:t>
            </w:r>
          </w:p>
        </w:tc>
        <w:tc>
          <w:tcPr>
            <w:tcW w:w="1984" w:type="dxa"/>
          </w:tcPr>
          <w:p w:rsidR="00C12759" w:rsidRPr="003F5A52" w:rsidRDefault="00C12759" w:rsidP="00C12759">
            <w:pPr>
              <w:jc w:val="right"/>
              <w:rPr>
                <w:sz w:val="22"/>
                <w:szCs w:val="22"/>
              </w:rPr>
            </w:pPr>
            <w:r w:rsidRPr="003F5A52">
              <w:rPr>
                <w:sz w:val="22"/>
                <w:szCs w:val="22"/>
              </w:rPr>
              <w:t>139,552</w:t>
            </w:r>
          </w:p>
        </w:tc>
      </w:tr>
      <w:tr w:rsidR="00C12759" w:rsidRPr="003F5A52" w:rsidTr="003F5A52">
        <w:trPr>
          <w:trHeight w:hRule="exact" w:val="397"/>
        </w:trPr>
        <w:tc>
          <w:tcPr>
            <w:tcW w:w="3114" w:type="dxa"/>
          </w:tcPr>
          <w:p w:rsidR="00C12759" w:rsidRPr="003F5A52" w:rsidRDefault="00C12759" w:rsidP="00C12759">
            <w:pPr>
              <w:rPr>
                <w:sz w:val="22"/>
                <w:szCs w:val="22"/>
              </w:rPr>
            </w:pPr>
            <w:r w:rsidRPr="003F5A52">
              <w:rPr>
                <w:sz w:val="22"/>
                <w:szCs w:val="22"/>
              </w:rPr>
              <w:t>Ongoing Support</w:t>
            </w:r>
          </w:p>
        </w:tc>
        <w:tc>
          <w:tcPr>
            <w:tcW w:w="1843" w:type="dxa"/>
          </w:tcPr>
          <w:p w:rsidR="00C12759" w:rsidRPr="003F5A52" w:rsidRDefault="00C12759" w:rsidP="00C12759">
            <w:pPr>
              <w:jc w:val="right"/>
              <w:rPr>
                <w:sz w:val="22"/>
                <w:szCs w:val="22"/>
              </w:rPr>
            </w:pPr>
            <w:r w:rsidRPr="003F5A52">
              <w:rPr>
                <w:sz w:val="22"/>
                <w:szCs w:val="22"/>
              </w:rPr>
              <w:t>248</w:t>
            </w:r>
          </w:p>
        </w:tc>
        <w:tc>
          <w:tcPr>
            <w:tcW w:w="2126" w:type="dxa"/>
          </w:tcPr>
          <w:p w:rsidR="00C12759" w:rsidRPr="003F5A52" w:rsidRDefault="00C12759" w:rsidP="00C12759">
            <w:pPr>
              <w:jc w:val="right"/>
              <w:rPr>
                <w:sz w:val="22"/>
                <w:szCs w:val="22"/>
              </w:rPr>
            </w:pPr>
            <w:r w:rsidRPr="003F5A52">
              <w:rPr>
                <w:sz w:val="22"/>
                <w:szCs w:val="22"/>
              </w:rPr>
              <w:t>13,736</w:t>
            </w:r>
          </w:p>
        </w:tc>
        <w:tc>
          <w:tcPr>
            <w:tcW w:w="1984" w:type="dxa"/>
          </w:tcPr>
          <w:p w:rsidR="00C12759" w:rsidRPr="003F5A52" w:rsidRDefault="00C12759" w:rsidP="00C12759">
            <w:pPr>
              <w:jc w:val="right"/>
              <w:rPr>
                <w:sz w:val="22"/>
                <w:szCs w:val="22"/>
              </w:rPr>
            </w:pPr>
            <w:r w:rsidRPr="003F5A52">
              <w:rPr>
                <w:sz w:val="22"/>
                <w:szCs w:val="22"/>
              </w:rPr>
              <w:t>13,984</w:t>
            </w:r>
          </w:p>
        </w:tc>
      </w:tr>
      <w:tr w:rsidR="00C12759" w:rsidRPr="003F5A52" w:rsidTr="003F5A52">
        <w:trPr>
          <w:trHeight w:hRule="exact" w:val="397"/>
        </w:trPr>
        <w:tc>
          <w:tcPr>
            <w:tcW w:w="3114" w:type="dxa"/>
          </w:tcPr>
          <w:p w:rsidR="00C12759" w:rsidRPr="003F5A52" w:rsidRDefault="00C12759" w:rsidP="00C12759">
            <w:pPr>
              <w:rPr>
                <w:sz w:val="22"/>
                <w:szCs w:val="22"/>
              </w:rPr>
            </w:pPr>
            <w:r w:rsidRPr="003F5A52">
              <w:rPr>
                <w:sz w:val="22"/>
                <w:szCs w:val="22"/>
              </w:rPr>
              <w:t>Post-Placement Support</w:t>
            </w:r>
          </w:p>
        </w:tc>
        <w:tc>
          <w:tcPr>
            <w:tcW w:w="1843" w:type="dxa"/>
          </w:tcPr>
          <w:p w:rsidR="00C12759" w:rsidRPr="003F5A52" w:rsidRDefault="00C12759" w:rsidP="00C12759">
            <w:pPr>
              <w:jc w:val="right"/>
              <w:rPr>
                <w:sz w:val="22"/>
                <w:szCs w:val="22"/>
              </w:rPr>
            </w:pPr>
            <w:r w:rsidRPr="003F5A52">
              <w:rPr>
                <w:sz w:val="22"/>
                <w:szCs w:val="22"/>
              </w:rPr>
              <w:t>N/A</w:t>
            </w:r>
          </w:p>
        </w:tc>
        <w:tc>
          <w:tcPr>
            <w:tcW w:w="2126" w:type="dxa"/>
          </w:tcPr>
          <w:p w:rsidR="00C12759" w:rsidRPr="003F5A52" w:rsidRDefault="00C12759" w:rsidP="00C12759">
            <w:pPr>
              <w:jc w:val="right"/>
              <w:rPr>
                <w:sz w:val="22"/>
                <w:szCs w:val="22"/>
              </w:rPr>
            </w:pPr>
            <w:r w:rsidRPr="003F5A52">
              <w:rPr>
                <w:sz w:val="22"/>
                <w:szCs w:val="22"/>
              </w:rPr>
              <w:t>31,569</w:t>
            </w:r>
          </w:p>
        </w:tc>
        <w:tc>
          <w:tcPr>
            <w:tcW w:w="1984" w:type="dxa"/>
          </w:tcPr>
          <w:p w:rsidR="00C12759" w:rsidRPr="003F5A52" w:rsidRDefault="00C12759" w:rsidP="00C12759">
            <w:pPr>
              <w:jc w:val="right"/>
              <w:rPr>
                <w:sz w:val="22"/>
                <w:szCs w:val="22"/>
              </w:rPr>
            </w:pPr>
            <w:r w:rsidRPr="003F5A52">
              <w:rPr>
                <w:sz w:val="22"/>
                <w:szCs w:val="22"/>
              </w:rPr>
              <w:t>31,569</w:t>
            </w:r>
          </w:p>
        </w:tc>
      </w:tr>
      <w:tr w:rsidR="00C12759" w:rsidRPr="003F5A52" w:rsidTr="003F5A52">
        <w:trPr>
          <w:cnfStyle w:val="010000000000" w:firstRow="0" w:lastRow="1" w:firstColumn="0" w:lastColumn="0" w:oddVBand="0" w:evenVBand="0" w:oddHBand="0" w:evenHBand="0" w:firstRowFirstColumn="0" w:firstRowLastColumn="0" w:lastRowFirstColumn="0" w:lastRowLastColumn="0"/>
          <w:trHeight w:hRule="exact" w:val="397"/>
        </w:trPr>
        <w:tc>
          <w:tcPr>
            <w:tcW w:w="3114" w:type="dxa"/>
            <w:tcBorders>
              <w:top w:val="none" w:sz="0" w:space="0" w:color="auto"/>
              <w:bottom w:val="none" w:sz="0" w:space="0" w:color="auto"/>
            </w:tcBorders>
          </w:tcPr>
          <w:p w:rsidR="00C12759" w:rsidRPr="003F5A52" w:rsidRDefault="00C12759" w:rsidP="00C12759">
            <w:pPr>
              <w:rPr>
                <w:sz w:val="22"/>
                <w:szCs w:val="22"/>
              </w:rPr>
            </w:pPr>
            <w:r w:rsidRPr="003F5A52">
              <w:rPr>
                <w:sz w:val="22"/>
                <w:szCs w:val="22"/>
              </w:rPr>
              <w:t>Total</w:t>
            </w:r>
          </w:p>
        </w:tc>
        <w:tc>
          <w:tcPr>
            <w:tcW w:w="1843" w:type="dxa"/>
            <w:tcBorders>
              <w:top w:val="none" w:sz="0" w:space="0" w:color="auto"/>
              <w:bottom w:val="none" w:sz="0" w:space="0" w:color="auto"/>
            </w:tcBorders>
          </w:tcPr>
          <w:p w:rsidR="00C12759" w:rsidRPr="003F5A52" w:rsidRDefault="00C12759" w:rsidP="00C12759">
            <w:pPr>
              <w:jc w:val="right"/>
              <w:rPr>
                <w:sz w:val="22"/>
                <w:szCs w:val="22"/>
              </w:rPr>
            </w:pPr>
            <w:r w:rsidRPr="003F5A52">
              <w:rPr>
                <w:sz w:val="22"/>
                <w:szCs w:val="22"/>
              </w:rPr>
              <w:t>48,780</w:t>
            </w:r>
          </w:p>
        </w:tc>
        <w:tc>
          <w:tcPr>
            <w:tcW w:w="2126" w:type="dxa"/>
            <w:tcBorders>
              <w:top w:val="none" w:sz="0" w:space="0" w:color="auto"/>
              <w:bottom w:val="none" w:sz="0" w:space="0" w:color="auto"/>
            </w:tcBorders>
          </w:tcPr>
          <w:p w:rsidR="00C12759" w:rsidRPr="003F5A52" w:rsidRDefault="0083359D" w:rsidP="00C12759">
            <w:pPr>
              <w:jc w:val="right"/>
              <w:rPr>
                <w:sz w:val="22"/>
                <w:szCs w:val="22"/>
              </w:rPr>
            </w:pPr>
            <w:r w:rsidRPr="003F5A52">
              <w:rPr>
                <w:sz w:val="22"/>
                <w:szCs w:val="22"/>
              </w:rPr>
              <w:t>137,</w:t>
            </w:r>
            <w:r w:rsidR="00C12759" w:rsidRPr="003F5A52">
              <w:rPr>
                <w:sz w:val="22"/>
                <w:szCs w:val="22"/>
              </w:rPr>
              <w:t>213</w:t>
            </w:r>
          </w:p>
        </w:tc>
        <w:tc>
          <w:tcPr>
            <w:tcW w:w="1984" w:type="dxa"/>
            <w:tcBorders>
              <w:top w:val="none" w:sz="0" w:space="0" w:color="auto"/>
              <w:bottom w:val="none" w:sz="0" w:space="0" w:color="auto"/>
            </w:tcBorders>
          </w:tcPr>
          <w:p w:rsidR="00C12759" w:rsidRPr="003F5A52" w:rsidRDefault="00C12759" w:rsidP="00C12759">
            <w:pPr>
              <w:jc w:val="right"/>
              <w:rPr>
                <w:sz w:val="22"/>
                <w:szCs w:val="22"/>
              </w:rPr>
            </w:pPr>
            <w:r w:rsidRPr="003F5A52">
              <w:rPr>
                <w:sz w:val="22"/>
                <w:szCs w:val="22"/>
              </w:rPr>
              <w:t>185,993</w:t>
            </w:r>
          </w:p>
        </w:tc>
      </w:tr>
    </w:tbl>
    <w:p w:rsidR="00C12759" w:rsidRDefault="00C12759" w:rsidP="00C12759">
      <w:pPr>
        <w:rPr>
          <w:iCs/>
          <w:sz w:val="16"/>
          <w:szCs w:val="16"/>
        </w:rPr>
      </w:pPr>
      <w:r w:rsidRPr="00C12759">
        <w:rPr>
          <w:iCs/>
          <w:sz w:val="16"/>
          <w:szCs w:val="16"/>
        </w:rPr>
        <w:t xml:space="preserve">* </w:t>
      </w:r>
      <w:r w:rsidR="001666CE" w:rsidRPr="00C12759">
        <w:rPr>
          <w:iCs/>
          <w:sz w:val="16"/>
          <w:szCs w:val="16"/>
        </w:rPr>
        <w:t>Includes pending job seekers</w:t>
      </w:r>
      <w:r w:rsidR="001666CE">
        <w:rPr>
          <w:iCs/>
          <w:sz w:val="16"/>
          <w:szCs w:val="16"/>
        </w:rPr>
        <w:t xml:space="preserve">; </w:t>
      </w:r>
      <w:r w:rsidR="001666CE" w:rsidRPr="006D35B0">
        <w:rPr>
          <w:b/>
          <w:iCs/>
          <w:sz w:val="16"/>
          <w:szCs w:val="16"/>
        </w:rPr>
        <w:t>Note:</w:t>
      </w:r>
      <w:r w:rsidR="001666CE" w:rsidRPr="006D35B0">
        <w:rPr>
          <w:iCs/>
          <w:sz w:val="16"/>
          <w:szCs w:val="16"/>
        </w:rPr>
        <w:t xml:space="preserve"> Not suspended means participants with a status of commenced (i.e. active in the program) or pending (i.e. referred to a DES provider but not yet commenced).</w:t>
      </w:r>
      <w:r w:rsidR="001666CE">
        <w:rPr>
          <w:iCs/>
          <w:sz w:val="16"/>
          <w:szCs w:val="16"/>
        </w:rPr>
        <w:t xml:space="preserve"> </w:t>
      </w:r>
    </w:p>
    <w:p w:rsidR="006018A9" w:rsidRPr="00F73866" w:rsidRDefault="006018A9" w:rsidP="00F73866">
      <w:pPr>
        <w:pStyle w:val="Caption"/>
        <w:keepNext/>
      </w:pPr>
      <w:r w:rsidRPr="00F73866">
        <w:t xml:space="preserve">Table </w:t>
      </w:r>
      <w:r w:rsidR="00EA1427">
        <w:t>2</w:t>
      </w:r>
      <w:r w:rsidRPr="00F73866">
        <w:t xml:space="preserve"> – DES caseload by Service Type, placement type and status as at 30 April 2017</w:t>
      </w:r>
    </w:p>
    <w:tbl>
      <w:tblPr>
        <w:tblStyle w:val="DSSTableStyleB"/>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firstRow="1" w:lastRow="1" w:firstColumn="1" w:lastColumn="0" w:noHBand="1" w:noVBand="1"/>
        <w:tblCaption w:val="DSS Numeric table style"/>
      </w:tblPr>
      <w:tblGrid>
        <w:gridCol w:w="2122"/>
        <w:gridCol w:w="1134"/>
        <w:gridCol w:w="1134"/>
        <w:gridCol w:w="708"/>
        <w:gridCol w:w="1276"/>
        <w:gridCol w:w="1134"/>
        <w:gridCol w:w="851"/>
        <w:gridCol w:w="992"/>
      </w:tblGrid>
      <w:tr w:rsidR="006D35B0" w:rsidRPr="006D35B0" w:rsidTr="001666CE">
        <w:trPr>
          <w:cnfStyle w:val="100000000000" w:firstRow="1" w:lastRow="0" w:firstColumn="0" w:lastColumn="0" w:oddVBand="0" w:evenVBand="0" w:oddHBand="0" w:evenHBand="0" w:firstRowFirstColumn="0" w:firstRowLastColumn="0" w:lastRowFirstColumn="0" w:lastRowLastColumn="0"/>
          <w:trHeight w:hRule="exact" w:val="385"/>
          <w:tblHeader/>
        </w:trPr>
        <w:tc>
          <w:tcPr>
            <w:tcW w:w="2122" w:type="dxa"/>
            <w:tcBorders>
              <w:right w:val="nil"/>
            </w:tcBorders>
            <w:shd w:val="clear" w:color="auto" w:fill="005A70" w:themeFill="accent4"/>
          </w:tcPr>
          <w:p w:rsidR="00341320" w:rsidRPr="006D35B0" w:rsidRDefault="00341320" w:rsidP="001666CE">
            <w:pPr>
              <w:jc w:val="center"/>
              <w:rPr>
                <w:color w:val="FFFFFF" w:themeColor="background1"/>
                <w:sz w:val="15"/>
                <w:szCs w:val="15"/>
              </w:rPr>
            </w:pPr>
          </w:p>
        </w:tc>
        <w:tc>
          <w:tcPr>
            <w:tcW w:w="2976" w:type="dxa"/>
            <w:gridSpan w:val="3"/>
            <w:tcBorders>
              <w:left w:val="nil"/>
            </w:tcBorders>
            <w:shd w:val="clear" w:color="auto" w:fill="005A70" w:themeFill="accent4"/>
          </w:tcPr>
          <w:p w:rsidR="00341320" w:rsidRPr="006D35B0" w:rsidRDefault="00341320" w:rsidP="001666CE">
            <w:pPr>
              <w:rPr>
                <w:color w:val="FFFFFF" w:themeColor="background1"/>
                <w:sz w:val="15"/>
                <w:szCs w:val="15"/>
              </w:rPr>
            </w:pPr>
            <w:r w:rsidRPr="006D35B0">
              <w:rPr>
                <w:color w:val="FFFFFF" w:themeColor="background1"/>
                <w:sz w:val="15"/>
                <w:szCs w:val="15"/>
              </w:rPr>
              <w:t>DES-DMS</w:t>
            </w:r>
          </w:p>
        </w:tc>
        <w:tc>
          <w:tcPr>
            <w:tcW w:w="3261" w:type="dxa"/>
            <w:gridSpan w:val="3"/>
            <w:tcBorders>
              <w:right w:val="nil"/>
            </w:tcBorders>
            <w:shd w:val="clear" w:color="auto" w:fill="005A70" w:themeFill="accent4"/>
          </w:tcPr>
          <w:p w:rsidR="00341320" w:rsidRPr="006D35B0" w:rsidRDefault="00341320" w:rsidP="001666CE">
            <w:pPr>
              <w:jc w:val="center"/>
              <w:rPr>
                <w:color w:val="FFFFFF" w:themeColor="background1"/>
                <w:sz w:val="15"/>
                <w:szCs w:val="15"/>
              </w:rPr>
            </w:pPr>
            <w:r w:rsidRPr="006D35B0">
              <w:rPr>
                <w:color w:val="FFFFFF" w:themeColor="background1"/>
                <w:sz w:val="15"/>
                <w:szCs w:val="15"/>
              </w:rPr>
              <w:t>DES-ESS</w:t>
            </w:r>
          </w:p>
        </w:tc>
        <w:tc>
          <w:tcPr>
            <w:tcW w:w="992" w:type="dxa"/>
            <w:tcBorders>
              <w:left w:val="nil"/>
            </w:tcBorders>
            <w:shd w:val="clear" w:color="auto" w:fill="005A70" w:themeFill="accent4"/>
          </w:tcPr>
          <w:p w:rsidR="00341320" w:rsidRPr="006D35B0" w:rsidRDefault="00341320" w:rsidP="001666CE">
            <w:pPr>
              <w:jc w:val="center"/>
              <w:rPr>
                <w:color w:val="FFFFFF" w:themeColor="background1"/>
                <w:sz w:val="15"/>
                <w:szCs w:val="15"/>
              </w:rPr>
            </w:pPr>
          </w:p>
        </w:tc>
      </w:tr>
      <w:tr w:rsidR="006D35B0" w:rsidRPr="006D35B0" w:rsidTr="006D35B0">
        <w:trPr>
          <w:trHeight w:hRule="exact" w:val="704"/>
        </w:trPr>
        <w:tc>
          <w:tcPr>
            <w:tcW w:w="2122"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Placement Type</w:t>
            </w:r>
          </w:p>
        </w:tc>
        <w:tc>
          <w:tcPr>
            <w:tcW w:w="1134"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Suspended</w:t>
            </w:r>
          </w:p>
        </w:tc>
        <w:tc>
          <w:tcPr>
            <w:tcW w:w="1134"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Not Suspended</w:t>
            </w:r>
            <w:r w:rsidR="00B06C00" w:rsidRPr="006D35B0">
              <w:rPr>
                <w:b/>
                <w:color w:val="FFFFFF" w:themeColor="background1"/>
                <w:sz w:val="15"/>
                <w:szCs w:val="15"/>
              </w:rPr>
              <w:t>*</w:t>
            </w:r>
          </w:p>
        </w:tc>
        <w:tc>
          <w:tcPr>
            <w:tcW w:w="708"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Total</w:t>
            </w:r>
          </w:p>
        </w:tc>
        <w:tc>
          <w:tcPr>
            <w:tcW w:w="1276"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Suspended</w:t>
            </w:r>
          </w:p>
        </w:tc>
        <w:tc>
          <w:tcPr>
            <w:tcW w:w="1134"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Not Suspended</w:t>
            </w:r>
            <w:r w:rsidR="00B06C00" w:rsidRPr="006D35B0">
              <w:rPr>
                <w:b/>
                <w:color w:val="FFFFFF" w:themeColor="background1"/>
                <w:sz w:val="15"/>
                <w:szCs w:val="15"/>
              </w:rPr>
              <w:t>*</w:t>
            </w:r>
          </w:p>
        </w:tc>
        <w:tc>
          <w:tcPr>
            <w:tcW w:w="851"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Total</w:t>
            </w:r>
          </w:p>
        </w:tc>
        <w:tc>
          <w:tcPr>
            <w:tcW w:w="992" w:type="dxa"/>
            <w:shd w:val="clear" w:color="auto" w:fill="005A70" w:themeFill="accent4"/>
          </w:tcPr>
          <w:p w:rsidR="00341320" w:rsidRPr="006D35B0" w:rsidRDefault="00341320" w:rsidP="00B06C00">
            <w:pPr>
              <w:jc w:val="center"/>
              <w:rPr>
                <w:b/>
                <w:color w:val="FFFFFF" w:themeColor="background1"/>
                <w:sz w:val="15"/>
                <w:szCs w:val="15"/>
              </w:rPr>
            </w:pPr>
            <w:r w:rsidRPr="006D35B0">
              <w:rPr>
                <w:b/>
                <w:color w:val="FFFFFF" w:themeColor="background1"/>
                <w:sz w:val="15"/>
                <w:szCs w:val="15"/>
              </w:rPr>
              <w:t>DES Total</w:t>
            </w:r>
          </w:p>
        </w:tc>
      </w:tr>
      <w:tr w:rsidR="00341320" w:rsidRPr="00FD1C09" w:rsidTr="00B06C00">
        <w:trPr>
          <w:trHeight w:hRule="exact" w:val="430"/>
        </w:trPr>
        <w:tc>
          <w:tcPr>
            <w:tcW w:w="2122" w:type="dxa"/>
            <w:vAlign w:val="center"/>
          </w:tcPr>
          <w:p w:rsidR="0083359D" w:rsidRPr="00FD1C09" w:rsidRDefault="00484EED" w:rsidP="00FD1C09">
            <w:pPr>
              <w:rPr>
                <w:sz w:val="15"/>
                <w:szCs w:val="15"/>
              </w:rPr>
            </w:pPr>
            <w:r w:rsidRPr="00FD1C09">
              <w:rPr>
                <w:sz w:val="15"/>
                <w:szCs w:val="15"/>
              </w:rPr>
              <w:t>Eligibility Not Determined</w:t>
            </w:r>
          </w:p>
        </w:tc>
        <w:tc>
          <w:tcPr>
            <w:tcW w:w="1134" w:type="dxa"/>
            <w:vAlign w:val="center"/>
          </w:tcPr>
          <w:p w:rsidR="0083359D" w:rsidRPr="00FD1C09" w:rsidRDefault="00484EED" w:rsidP="00341320">
            <w:pPr>
              <w:jc w:val="right"/>
              <w:rPr>
                <w:sz w:val="15"/>
                <w:szCs w:val="15"/>
              </w:rPr>
            </w:pPr>
            <w:r w:rsidRPr="00FD1C09">
              <w:rPr>
                <w:sz w:val="15"/>
                <w:szCs w:val="15"/>
              </w:rPr>
              <w:t>7</w:t>
            </w:r>
          </w:p>
        </w:tc>
        <w:tc>
          <w:tcPr>
            <w:tcW w:w="1134" w:type="dxa"/>
            <w:vAlign w:val="center"/>
          </w:tcPr>
          <w:p w:rsidR="0083359D" w:rsidRPr="00FD1C09" w:rsidRDefault="00484EED" w:rsidP="00341320">
            <w:pPr>
              <w:jc w:val="right"/>
              <w:rPr>
                <w:sz w:val="15"/>
                <w:szCs w:val="15"/>
              </w:rPr>
            </w:pPr>
            <w:r w:rsidRPr="00FD1C09">
              <w:rPr>
                <w:sz w:val="15"/>
                <w:szCs w:val="15"/>
              </w:rPr>
              <w:t>147</w:t>
            </w:r>
          </w:p>
        </w:tc>
        <w:tc>
          <w:tcPr>
            <w:tcW w:w="708" w:type="dxa"/>
            <w:vAlign w:val="center"/>
          </w:tcPr>
          <w:p w:rsidR="0083359D" w:rsidRPr="00FD1C09" w:rsidRDefault="00484EED" w:rsidP="00341320">
            <w:pPr>
              <w:jc w:val="right"/>
              <w:rPr>
                <w:sz w:val="15"/>
                <w:szCs w:val="15"/>
              </w:rPr>
            </w:pPr>
            <w:r w:rsidRPr="00FD1C09">
              <w:rPr>
                <w:sz w:val="15"/>
                <w:szCs w:val="15"/>
              </w:rPr>
              <w:t>154</w:t>
            </w:r>
          </w:p>
        </w:tc>
        <w:tc>
          <w:tcPr>
            <w:tcW w:w="1276" w:type="dxa"/>
            <w:vAlign w:val="center"/>
          </w:tcPr>
          <w:p w:rsidR="0083359D" w:rsidRPr="00FD1C09" w:rsidRDefault="00484EED" w:rsidP="00341320">
            <w:pPr>
              <w:jc w:val="right"/>
              <w:rPr>
                <w:sz w:val="15"/>
                <w:szCs w:val="15"/>
              </w:rPr>
            </w:pPr>
            <w:r w:rsidRPr="00FD1C09">
              <w:rPr>
                <w:sz w:val="15"/>
                <w:szCs w:val="15"/>
              </w:rPr>
              <w:t>33</w:t>
            </w:r>
          </w:p>
        </w:tc>
        <w:tc>
          <w:tcPr>
            <w:tcW w:w="1134" w:type="dxa"/>
            <w:vAlign w:val="center"/>
          </w:tcPr>
          <w:p w:rsidR="0083359D" w:rsidRPr="00FD1C09" w:rsidRDefault="00484EED" w:rsidP="00341320">
            <w:pPr>
              <w:jc w:val="right"/>
              <w:rPr>
                <w:sz w:val="15"/>
                <w:szCs w:val="15"/>
              </w:rPr>
            </w:pPr>
            <w:r w:rsidRPr="00FD1C09">
              <w:rPr>
                <w:sz w:val="15"/>
                <w:szCs w:val="15"/>
              </w:rPr>
              <w:t>701</w:t>
            </w:r>
          </w:p>
        </w:tc>
        <w:tc>
          <w:tcPr>
            <w:tcW w:w="851" w:type="dxa"/>
            <w:vAlign w:val="center"/>
          </w:tcPr>
          <w:p w:rsidR="0083359D" w:rsidRPr="00FD1C09" w:rsidRDefault="00484EED" w:rsidP="00341320">
            <w:pPr>
              <w:jc w:val="right"/>
              <w:rPr>
                <w:sz w:val="15"/>
                <w:szCs w:val="15"/>
              </w:rPr>
            </w:pPr>
            <w:r w:rsidRPr="00FD1C09">
              <w:rPr>
                <w:sz w:val="15"/>
                <w:szCs w:val="15"/>
              </w:rPr>
              <w:t>734</w:t>
            </w:r>
          </w:p>
        </w:tc>
        <w:tc>
          <w:tcPr>
            <w:tcW w:w="992" w:type="dxa"/>
            <w:vAlign w:val="center"/>
          </w:tcPr>
          <w:p w:rsidR="0083359D" w:rsidRPr="00FD1C09" w:rsidRDefault="00484EED" w:rsidP="00341320">
            <w:pPr>
              <w:jc w:val="right"/>
              <w:rPr>
                <w:sz w:val="15"/>
                <w:szCs w:val="15"/>
              </w:rPr>
            </w:pPr>
            <w:r w:rsidRPr="00FD1C09">
              <w:rPr>
                <w:sz w:val="15"/>
                <w:szCs w:val="15"/>
              </w:rPr>
              <w:t>888</w:t>
            </w:r>
          </w:p>
        </w:tc>
      </w:tr>
      <w:tr w:rsidR="00484EED" w:rsidRPr="00FD1C09" w:rsidTr="00B06C00">
        <w:trPr>
          <w:trHeight w:hRule="exact" w:val="424"/>
        </w:trPr>
        <w:tc>
          <w:tcPr>
            <w:tcW w:w="2122" w:type="dxa"/>
            <w:vAlign w:val="center"/>
          </w:tcPr>
          <w:p w:rsidR="00484EED" w:rsidRPr="00FD1C09" w:rsidRDefault="00FD1C09" w:rsidP="00FD1C09">
            <w:pPr>
              <w:rPr>
                <w:sz w:val="15"/>
                <w:szCs w:val="15"/>
              </w:rPr>
            </w:pPr>
            <w:r w:rsidRPr="00FD1C09">
              <w:rPr>
                <w:sz w:val="15"/>
                <w:szCs w:val="15"/>
              </w:rPr>
              <w:t>Employment Assistance</w:t>
            </w:r>
          </w:p>
        </w:tc>
        <w:tc>
          <w:tcPr>
            <w:tcW w:w="1134" w:type="dxa"/>
            <w:vAlign w:val="center"/>
          </w:tcPr>
          <w:p w:rsidR="00484EED" w:rsidRPr="00FD1C09" w:rsidRDefault="00FD1C09" w:rsidP="00341320">
            <w:pPr>
              <w:jc w:val="right"/>
              <w:rPr>
                <w:sz w:val="15"/>
                <w:szCs w:val="15"/>
              </w:rPr>
            </w:pPr>
            <w:r w:rsidRPr="00FD1C09">
              <w:rPr>
                <w:sz w:val="15"/>
                <w:szCs w:val="15"/>
              </w:rPr>
              <w:t>25,297</w:t>
            </w:r>
          </w:p>
        </w:tc>
        <w:tc>
          <w:tcPr>
            <w:tcW w:w="1134" w:type="dxa"/>
            <w:vAlign w:val="center"/>
          </w:tcPr>
          <w:p w:rsidR="00484EED" w:rsidRPr="00FD1C09" w:rsidRDefault="00FD1C09" w:rsidP="00341320">
            <w:pPr>
              <w:jc w:val="right"/>
              <w:rPr>
                <w:sz w:val="15"/>
                <w:szCs w:val="15"/>
              </w:rPr>
            </w:pPr>
            <w:r w:rsidRPr="00FD1C09">
              <w:rPr>
                <w:sz w:val="15"/>
                <w:szCs w:val="15"/>
              </w:rPr>
              <w:t>41,449</w:t>
            </w:r>
          </w:p>
        </w:tc>
        <w:tc>
          <w:tcPr>
            <w:tcW w:w="708" w:type="dxa"/>
            <w:vAlign w:val="center"/>
          </w:tcPr>
          <w:p w:rsidR="00484EED" w:rsidRPr="00FD1C09" w:rsidRDefault="00FD1C09" w:rsidP="00341320">
            <w:pPr>
              <w:jc w:val="right"/>
              <w:rPr>
                <w:sz w:val="15"/>
                <w:szCs w:val="15"/>
              </w:rPr>
            </w:pPr>
            <w:r w:rsidRPr="00FD1C09">
              <w:rPr>
                <w:sz w:val="15"/>
                <w:szCs w:val="15"/>
              </w:rPr>
              <w:t>66,746</w:t>
            </w:r>
          </w:p>
        </w:tc>
        <w:tc>
          <w:tcPr>
            <w:tcW w:w="1276" w:type="dxa"/>
            <w:vAlign w:val="center"/>
          </w:tcPr>
          <w:p w:rsidR="00484EED" w:rsidRPr="00FD1C09" w:rsidRDefault="00FD1C09" w:rsidP="00341320">
            <w:pPr>
              <w:jc w:val="right"/>
              <w:rPr>
                <w:sz w:val="15"/>
                <w:szCs w:val="15"/>
              </w:rPr>
            </w:pPr>
            <w:r w:rsidRPr="00FD1C09">
              <w:rPr>
                <w:sz w:val="15"/>
                <w:szCs w:val="15"/>
              </w:rPr>
              <w:t>23,195</w:t>
            </w:r>
          </w:p>
        </w:tc>
        <w:tc>
          <w:tcPr>
            <w:tcW w:w="1134" w:type="dxa"/>
            <w:vAlign w:val="center"/>
          </w:tcPr>
          <w:p w:rsidR="00484EED" w:rsidRPr="00FD1C09" w:rsidRDefault="00FD1C09" w:rsidP="00341320">
            <w:pPr>
              <w:jc w:val="right"/>
              <w:rPr>
                <w:sz w:val="15"/>
                <w:szCs w:val="15"/>
              </w:rPr>
            </w:pPr>
            <w:r w:rsidRPr="00FD1C09">
              <w:rPr>
                <w:sz w:val="15"/>
                <w:szCs w:val="15"/>
              </w:rPr>
              <w:t>49,611</w:t>
            </w:r>
          </w:p>
        </w:tc>
        <w:tc>
          <w:tcPr>
            <w:tcW w:w="851" w:type="dxa"/>
            <w:vAlign w:val="center"/>
          </w:tcPr>
          <w:p w:rsidR="00484EED" w:rsidRPr="00FD1C09" w:rsidRDefault="00FD1C09" w:rsidP="00341320">
            <w:pPr>
              <w:jc w:val="right"/>
              <w:rPr>
                <w:sz w:val="15"/>
                <w:szCs w:val="15"/>
              </w:rPr>
            </w:pPr>
            <w:r w:rsidRPr="00FD1C09">
              <w:rPr>
                <w:sz w:val="15"/>
                <w:szCs w:val="15"/>
              </w:rPr>
              <w:t>72,806</w:t>
            </w:r>
          </w:p>
        </w:tc>
        <w:tc>
          <w:tcPr>
            <w:tcW w:w="992" w:type="dxa"/>
            <w:vAlign w:val="center"/>
          </w:tcPr>
          <w:p w:rsidR="00484EED" w:rsidRPr="00FD1C09" w:rsidRDefault="00FD1C09" w:rsidP="00341320">
            <w:pPr>
              <w:jc w:val="right"/>
              <w:rPr>
                <w:sz w:val="15"/>
                <w:szCs w:val="15"/>
              </w:rPr>
            </w:pPr>
            <w:r w:rsidRPr="00FD1C09">
              <w:rPr>
                <w:sz w:val="15"/>
                <w:szCs w:val="15"/>
              </w:rPr>
              <w:t>139,552</w:t>
            </w:r>
          </w:p>
        </w:tc>
      </w:tr>
      <w:tr w:rsidR="00484EED" w:rsidRPr="00FD1C09" w:rsidTr="00B06C00">
        <w:trPr>
          <w:trHeight w:hRule="exact" w:val="418"/>
        </w:trPr>
        <w:tc>
          <w:tcPr>
            <w:tcW w:w="2122" w:type="dxa"/>
            <w:vAlign w:val="center"/>
          </w:tcPr>
          <w:p w:rsidR="00484EED" w:rsidRPr="00FD1C09" w:rsidRDefault="00FD1C09" w:rsidP="00FD1C09">
            <w:pPr>
              <w:rPr>
                <w:sz w:val="15"/>
                <w:szCs w:val="15"/>
              </w:rPr>
            </w:pPr>
            <w:r>
              <w:rPr>
                <w:sz w:val="15"/>
                <w:szCs w:val="15"/>
              </w:rPr>
              <w:t>Ongoing Support</w:t>
            </w:r>
          </w:p>
        </w:tc>
        <w:tc>
          <w:tcPr>
            <w:tcW w:w="1134" w:type="dxa"/>
            <w:vAlign w:val="center"/>
          </w:tcPr>
          <w:p w:rsidR="00484EED" w:rsidRPr="00FD1C09" w:rsidRDefault="00FD1C09" w:rsidP="00341320">
            <w:pPr>
              <w:jc w:val="right"/>
              <w:rPr>
                <w:sz w:val="15"/>
                <w:szCs w:val="15"/>
              </w:rPr>
            </w:pPr>
            <w:r>
              <w:rPr>
                <w:sz w:val="15"/>
                <w:szCs w:val="15"/>
              </w:rPr>
              <w:t>14</w:t>
            </w:r>
          </w:p>
        </w:tc>
        <w:tc>
          <w:tcPr>
            <w:tcW w:w="1134" w:type="dxa"/>
            <w:vAlign w:val="center"/>
          </w:tcPr>
          <w:p w:rsidR="00484EED" w:rsidRPr="00FD1C09" w:rsidRDefault="00FD1C09" w:rsidP="00341320">
            <w:pPr>
              <w:jc w:val="right"/>
              <w:rPr>
                <w:sz w:val="15"/>
                <w:szCs w:val="15"/>
              </w:rPr>
            </w:pPr>
            <w:r>
              <w:rPr>
                <w:sz w:val="15"/>
                <w:szCs w:val="15"/>
              </w:rPr>
              <w:t>1,600</w:t>
            </w:r>
          </w:p>
        </w:tc>
        <w:tc>
          <w:tcPr>
            <w:tcW w:w="708" w:type="dxa"/>
            <w:vAlign w:val="center"/>
          </w:tcPr>
          <w:p w:rsidR="00484EED" w:rsidRPr="00FD1C09" w:rsidRDefault="00FD1C09" w:rsidP="00341320">
            <w:pPr>
              <w:jc w:val="right"/>
              <w:rPr>
                <w:sz w:val="15"/>
                <w:szCs w:val="15"/>
              </w:rPr>
            </w:pPr>
            <w:r>
              <w:rPr>
                <w:sz w:val="15"/>
                <w:szCs w:val="15"/>
              </w:rPr>
              <w:t>1,614</w:t>
            </w:r>
          </w:p>
        </w:tc>
        <w:tc>
          <w:tcPr>
            <w:tcW w:w="1276" w:type="dxa"/>
            <w:vAlign w:val="center"/>
          </w:tcPr>
          <w:p w:rsidR="00484EED" w:rsidRPr="00FD1C09" w:rsidRDefault="00FD1C09" w:rsidP="00341320">
            <w:pPr>
              <w:jc w:val="right"/>
              <w:rPr>
                <w:sz w:val="15"/>
                <w:szCs w:val="15"/>
              </w:rPr>
            </w:pPr>
            <w:r>
              <w:rPr>
                <w:sz w:val="15"/>
                <w:szCs w:val="15"/>
              </w:rPr>
              <w:t>234</w:t>
            </w:r>
          </w:p>
        </w:tc>
        <w:tc>
          <w:tcPr>
            <w:tcW w:w="1134" w:type="dxa"/>
            <w:vAlign w:val="center"/>
          </w:tcPr>
          <w:p w:rsidR="00484EED" w:rsidRPr="00FD1C09" w:rsidRDefault="00FD1C09" w:rsidP="00341320">
            <w:pPr>
              <w:jc w:val="right"/>
              <w:rPr>
                <w:sz w:val="15"/>
                <w:szCs w:val="15"/>
              </w:rPr>
            </w:pPr>
            <w:r>
              <w:rPr>
                <w:sz w:val="15"/>
                <w:szCs w:val="15"/>
              </w:rPr>
              <w:t>12,136</w:t>
            </w:r>
          </w:p>
        </w:tc>
        <w:tc>
          <w:tcPr>
            <w:tcW w:w="851" w:type="dxa"/>
            <w:vAlign w:val="center"/>
          </w:tcPr>
          <w:p w:rsidR="00484EED" w:rsidRPr="00FD1C09" w:rsidRDefault="00FD1C09" w:rsidP="00341320">
            <w:pPr>
              <w:jc w:val="right"/>
              <w:rPr>
                <w:sz w:val="15"/>
                <w:szCs w:val="15"/>
              </w:rPr>
            </w:pPr>
            <w:r>
              <w:rPr>
                <w:sz w:val="15"/>
                <w:szCs w:val="15"/>
              </w:rPr>
              <w:t>12,370</w:t>
            </w:r>
          </w:p>
        </w:tc>
        <w:tc>
          <w:tcPr>
            <w:tcW w:w="992" w:type="dxa"/>
            <w:vAlign w:val="center"/>
          </w:tcPr>
          <w:p w:rsidR="00484EED" w:rsidRPr="00FD1C09" w:rsidRDefault="00FD1C09" w:rsidP="00341320">
            <w:pPr>
              <w:jc w:val="right"/>
              <w:rPr>
                <w:sz w:val="15"/>
                <w:szCs w:val="15"/>
              </w:rPr>
            </w:pPr>
            <w:r>
              <w:rPr>
                <w:sz w:val="15"/>
                <w:szCs w:val="15"/>
              </w:rPr>
              <w:t>13,984</w:t>
            </w:r>
          </w:p>
        </w:tc>
      </w:tr>
      <w:tr w:rsidR="00484EED" w:rsidRPr="00FD1C09" w:rsidTr="00B06C00">
        <w:trPr>
          <w:trHeight w:hRule="exact" w:val="426"/>
        </w:trPr>
        <w:tc>
          <w:tcPr>
            <w:tcW w:w="2122" w:type="dxa"/>
            <w:vAlign w:val="center"/>
          </w:tcPr>
          <w:p w:rsidR="00484EED" w:rsidRPr="00FD1C09" w:rsidRDefault="00FD1C09" w:rsidP="00FD1C09">
            <w:pPr>
              <w:rPr>
                <w:sz w:val="15"/>
                <w:szCs w:val="15"/>
              </w:rPr>
            </w:pPr>
            <w:r>
              <w:rPr>
                <w:sz w:val="15"/>
                <w:szCs w:val="15"/>
              </w:rPr>
              <w:t>Post-Placement Support</w:t>
            </w:r>
          </w:p>
        </w:tc>
        <w:tc>
          <w:tcPr>
            <w:tcW w:w="1134" w:type="dxa"/>
            <w:vAlign w:val="center"/>
          </w:tcPr>
          <w:p w:rsidR="00484EED" w:rsidRPr="00FD1C09" w:rsidRDefault="00FD1C09" w:rsidP="00341320">
            <w:pPr>
              <w:jc w:val="right"/>
              <w:rPr>
                <w:sz w:val="15"/>
                <w:szCs w:val="15"/>
              </w:rPr>
            </w:pPr>
            <w:r>
              <w:rPr>
                <w:sz w:val="15"/>
                <w:szCs w:val="15"/>
              </w:rPr>
              <w:t>n/a</w:t>
            </w:r>
          </w:p>
        </w:tc>
        <w:tc>
          <w:tcPr>
            <w:tcW w:w="1134" w:type="dxa"/>
            <w:vAlign w:val="center"/>
          </w:tcPr>
          <w:p w:rsidR="00484EED" w:rsidRPr="00FD1C09" w:rsidRDefault="00FD1C09" w:rsidP="00341320">
            <w:pPr>
              <w:jc w:val="right"/>
              <w:rPr>
                <w:sz w:val="15"/>
                <w:szCs w:val="15"/>
              </w:rPr>
            </w:pPr>
            <w:r>
              <w:rPr>
                <w:sz w:val="15"/>
                <w:szCs w:val="15"/>
              </w:rPr>
              <w:t>15,184</w:t>
            </w:r>
          </w:p>
        </w:tc>
        <w:tc>
          <w:tcPr>
            <w:tcW w:w="708" w:type="dxa"/>
            <w:vAlign w:val="center"/>
          </w:tcPr>
          <w:p w:rsidR="00484EED" w:rsidRPr="00FD1C09" w:rsidRDefault="00FD1C09" w:rsidP="00341320">
            <w:pPr>
              <w:jc w:val="right"/>
              <w:rPr>
                <w:sz w:val="15"/>
                <w:szCs w:val="15"/>
              </w:rPr>
            </w:pPr>
            <w:r>
              <w:rPr>
                <w:sz w:val="15"/>
                <w:szCs w:val="15"/>
              </w:rPr>
              <w:t>15,184</w:t>
            </w:r>
          </w:p>
        </w:tc>
        <w:tc>
          <w:tcPr>
            <w:tcW w:w="1276" w:type="dxa"/>
            <w:vAlign w:val="center"/>
          </w:tcPr>
          <w:p w:rsidR="00484EED" w:rsidRPr="00FD1C09" w:rsidRDefault="00FD1C09" w:rsidP="00341320">
            <w:pPr>
              <w:jc w:val="right"/>
              <w:rPr>
                <w:sz w:val="15"/>
                <w:szCs w:val="15"/>
              </w:rPr>
            </w:pPr>
            <w:r>
              <w:rPr>
                <w:sz w:val="15"/>
                <w:szCs w:val="15"/>
              </w:rPr>
              <w:t>n/a</w:t>
            </w:r>
          </w:p>
        </w:tc>
        <w:tc>
          <w:tcPr>
            <w:tcW w:w="1134" w:type="dxa"/>
            <w:vAlign w:val="center"/>
          </w:tcPr>
          <w:p w:rsidR="00484EED" w:rsidRPr="00FD1C09" w:rsidRDefault="00FD1C09" w:rsidP="00341320">
            <w:pPr>
              <w:jc w:val="right"/>
              <w:rPr>
                <w:sz w:val="15"/>
                <w:szCs w:val="15"/>
              </w:rPr>
            </w:pPr>
            <w:r>
              <w:rPr>
                <w:sz w:val="15"/>
                <w:szCs w:val="15"/>
              </w:rPr>
              <w:t>16,385</w:t>
            </w:r>
          </w:p>
        </w:tc>
        <w:tc>
          <w:tcPr>
            <w:tcW w:w="851" w:type="dxa"/>
            <w:vAlign w:val="center"/>
          </w:tcPr>
          <w:p w:rsidR="00484EED" w:rsidRPr="00FD1C09" w:rsidRDefault="00FD1C09" w:rsidP="00341320">
            <w:pPr>
              <w:jc w:val="right"/>
              <w:rPr>
                <w:sz w:val="15"/>
                <w:szCs w:val="15"/>
              </w:rPr>
            </w:pPr>
            <w:r>
              <w:rPr>
                <w:sz w:val="15"/>
                <w:szCs w:val="15"/>
              </w:rPr>
              <w:t>16,385</w:t>
            </w:r>
          </w:p>
        </w:tc>
        <w:tc>
          <w:tcPr>
            <w:tcW w:w="992" w:type="dxa"/>
            <w:vAlign w:val="center"/>
          </w:tcPr>
          <w:p w:rsidR="00484EED" w:rsidRPr="00FD1C09" w:rsidRDefault="00FD1C09" w:rsidP="00341320">
            <w:pPr>
              <w:jc w:val="right"/>
              <w:rPr>
                <w:sz w:val="15"/>
                <w:szCs w:val="15"/>
              </w:rPr>
            </w:pPr>
            <w:r>
              <w:rPr>
                <w:sz w:val="15"/>
                <w:szCs w:val="15"/>
              </w:rPr>
              <w:t>31,569</w:t>
            </w:r>
          </w:p>
        </w:tc>
      </w:tr>
      <w:tr w:rsidR="00FD1C09" w:rsidRPr="00FD1C09" w:rsidTr="00B06C00">
        <w:trPr>
          <w:cnfStyle w:val="010000000000" w:firstRow="0" w:lastRow="1" w:firstColumn="0" w:lastColumn="0" w:oddVBand="0" w:evenVBand="0" w:oddHBand="0" w:evenHBand="0" w:firstRowFirstColumn="0" w:firstRowLastColumn="0" w:lastRowFirstColumn="0" w:lastRowLastColumn="0"/>
          <w:trHeight w:hRule="exact" w:val="427"/>
        </w:trPr>
        <w:tc>
          <w:tcPr>
            <w:tcW w:w="2122" w:type="dxa"/>
            <w:tcBorders>
              <w:top w:val="none" w:sz="0" w:space="0" w:color="auto"/>
              <w:bottom w:val="none" w:sz="0" w:space="0" w:color="auto"/>
            </w:tcBorders>
            <w:vAlign w:val="center"/>
          </w:tcPr>
          <w:p w:rsidR="0083359D" w:rsidRPr="00FD1C09" w:rsidRDefault="00FD1C09" w:rsidP="00FD1C09">
            <w:pPr>
              <w:rPr>
                <w:sz w:val="15"/>
                <w:szCs w:val="15"/>
              </w:rPr>
            </w:pPr>
            <w:r>
              <w:rPr>
                <w:sz w:val="15"/>
                <w:szCs w:val="15"/>
              </w:rPr>
              <w:t>Total</w:t>
            </w:r>
          </w:p>
        </w:tc>
        <w:tc>
          <w:tcPr>
            <w:tcW w:w="1134" w:type="dxa"/>
            <w:tcBorders>
              <w:top w:val="none" w:sz="0" w:space="0" w:color="auto"/>
              <w:bottom w:val="none" w:sz="0" w:space="0" w:color="auto"/>
            </w:tcBorders>
            <w:vAlign w:val="center"/>
          </w:tcPr>
          <w:p w:rsidR="0083359D" w:rsidRPr="00FD1C09" w:rsidRDefault="00FD1C09" w:rsidP="00341320">
            <w:pPr>
              <w:jc w:val="right"/>
              <w:rPr>
                <w:sz w:val="15"/>
                <w:szCs w:val="15"/>
              </w:rPr>
            </w:pPr>
            <w:r>
              <w:rPr>
                <w:sz w:val="15"/>
                <w:szCs w:val="15"/>
              </w:rPr>
              <w:t>25,318</w:t>
            </w:r>
          </w:p>
        </w:tc>
        <w:tc>
          <w:tcPr>
            <w:tcW w:w="1134" w:type="dxa"/>
            <w:tcBorders>
              <w:top w:val="none" w:sz="0" w:space="0" w:color="auto"/>
              <w:bottom w:val="none" w:sz="0" w:space="0" w:color="auto"/>
            </w:tcBorders>
            <w:vAlign w:val="center"/>
          </w:tcPr>
          <w:p w:rsidR="0083359D" w:rsidRPr="00FD1C09" w:rsidRDefault="00FD1C09" w:rsidP="00341320">
            <w:pPr>
              <w:jc w:val="right"/>
              <w:rPr>
                <w:sz w:val="15"/>
                <w:szCs w:val="15"/>
              </w:rPr>
            </w:pPr>
            <w:r>
              <w:rPr>
                <w:sz w:val="15"/>
                <w:szCs w:val="15"/>
              </w:rPr>
              <w:t>58,380</w:t>
            </w:r>
          </w:p>
        </w:tc>
        <w:tc>
          <w:tcPr>
            <w:tcW w:w="708" w:type="dxa"/>
            <w:tcBorders>
              <w:top w:val="none" w:sz="0" w:space="0" w:color="auto"/>
              <w:bottom w:val="none" w:sz="0" w:space="0" w:color="auto"/>
            </w:tcBorders>
            <w:vAlign w:val="center"/>
          </w:tcPr>
          <w:p w:rsidR="0083359D" w:rsidRPr="00FD1C09" w:rsidRDefault="00FD1C09" w:rsidP="00341320">
            <w:pPr>
              <w:jc w:val="right"/>
              <w:rPr>
                <w:sz w:val="15"/>
                <w:szCs w:val="15"/>
              </w:rPr>
            </w:pPr>
            <w:r>
              <w:rPr>
                <w:sz w:val="15"/>
                <w:szCs w:val="15"/>
              </w:rPr>
              <w:t>83,698</w:t>
            </w:r>
          </w:p>
        </w:tc>
        <w:tc>
          <w:tcPr>
            <w:tcW w:w="1276" w:type="dxa"/>
            <w:tcBorders>
              <w:top w:val="none" w:sz="0" w:space="0" w:color="auto"/>
              <w:bottom w:val="none" w:sz="0" w:space="0" w:color="auto"/>
            </w:tcBorders>
            <w:vAlign w:val="center"/>
          </w:tcPr>
          <w:p w:rsidR="0083359D" w:rsidRPr="00FD1C09" w:rsidRDefault="00FD1C09" w:rsidP="00341320">
            <w:pPr>
              <w:jc w:val="right"/>
              <w:rPr>
                <w:sz w:val="15"/>
                <w:szCs w:val="15"/>
              </w:rPr>
            </w:pPr>
            <w:r>
              <w:rPr>
                <w:sz w:val="15"/>
                <w:szCs w:val="15"/>
              </w:rPr>
              <w:t>23,462</w:t>
            </w:r>
          </w:p>
        </w:tc>
        <w:tc>
          <w:tcPr>
            <w:tcW w:w="1134" w:type="dxa"/>
            <w:tcBorders>
              <w:top w:val="none" w:sz="0" w:space="0" w:color="auto"/>
              <w:bottom w:val="none" w:sz="0" w:space="0" w:color="auto"/>
            </w:tcBorders>
            <w:vAlign w:val="center"/>
          </w:tcPr>
          <w:p w:rsidR="0083359D" w:rsidRPr="00FD1C09" w:rsidRDefault="00FD1C09" w:rsidP="00341320">
            <w:pPr>
              <w:jc w:val="right"/>
              <w:rPr>
                <w:sz w:val="15"/>
                <w:szCs w:val="15"/>
              </w:rPr>
            </w:pPr>
            <w:r>
              <w:rPr>
                <w:sz w:val="15"/>
                <w:szCs w:val="15"/>
              </w:rPr>
              <w:t>78,833</w:t>
            </w:r>
          </w:p>
        </w:tc>
        <w:tc>
          <w:tcPr>
            <w:tcW w:w="851" w:type="dxa"/>
            <w:tcBorders>
              <w:top w:val="none" w:sz="0" w:space="0" w:color="auto"/>
              <w:bottom w:val="none" w:sz="0" w:space="0" w:color="auto"/>
            </w:tcBorders>
            <w:vAlign w:val="center"/>
          </w:tcPr>
          <w:p w:rsidR="0083359D" w:rsidRPr="00FD1C09" w:rsidRDefault="00FD1C09" w:rsidP="00341320">
            <w:pPr>
              <w:jc w:val="right"/>
              <w:rPr>
                <w:sz w:val="15"/>
                <w:szCs w:val="15"/>
              </w:rPr>
            </w:pPr>
            <w:r>
              <w:rPr>
                <w:sz w:val="15"/>
                <w:szCs w:val="15"/>
              </w:rPr>
              <w:t>102,295</w:t>
            </w:r>
          </w:p>
        </w:tc>
        <w:tc>
          <w:tcPr>
            <w:tcW w:w="992" w:type="dxa"/>
            <w:tcBorders>
              <w:top w:val="none" w:sz="0" w:space="0" w:color="auto"/>
              <w:bottom w:val="none" w:sz="0" w:space="0" w:color="auto"/>
            </w:tcBorders>
            <w:vAlign w:val="center"/>
          </w:tcPr>
          <w:p w:rsidR="0083359D" w:rsidRPr="00FD1C09" w:rsidRDefault="00FD1C09" w:rsidP="00341320">
            <w:pPr>
              <w:jc w:val="right"/>
              <w:rPr>
                <w:sz w:val="15"/>
                <w:szCs w:val="15"/>
              </w:rPr>
            </w:pPr>
            <w:r>
              <w:rPr>
                <w:sz w:val="15"/>
                <w:szCs w:val="15"/>
              </w:rPr>
              <w:t>185,993</w:t>
            </w:r>
          </w:p>
        </w:tc>
      </w:tr>
    </w:tbl>
    <w:p w:rsidR="00B06C00" w:rsidRPr="006D35B0" w:rsidRDefault="00B06C00" w:rsidP="00B06C00">
      <w:pPr>
        <w:spacing w:before="0" w:after="0"/>
        <w:rPr>
          <w:iCs/>
          <w:sz w:val="16"/>
          <w:szCs w:val="16"/>
        </w:rPr>
      </w:pPr>
      <w:r w:rsidRPr="006D35B0">
        <w:rPr>
          <w:iCs/>
          <w:sz w:val="16"/>
          <w:szCs w:val="16"/>
        </w:rPr>
        <w:t>*</w:t>
      </w:r>
      <w:r w:rsidR="001666CE">
        <w:rPr>
          <w:iCs/>
          <w:sz w:val="16"/>
          <w:szCs w:val="16"/>
        </w:rPr>
        <w:t xml:space="preserve"> </w:t>
      </w:r>
      <w:r w:rsidR="001666CE" w:rsidRPr="00C12759">
        <w:rPr>
          <w:iCs/>
          <w:sz w:val="16"/>
          <w:szCs w:val="16"/>
        </w:rPr>
        <w:t>Includes pending job seekers</w:t>
      </w:r>
      <w:r w:rsidR="001666CE">
        <w:rPr>
          <w:iCs/>
          <w:sz w:val="16"/>
          <w:szCs w:val="16"/>
        </w:rPr>
        <w:t xml:space="preserve">; </w:t>
      </w:r>
      <w:r w:rsidRPr="006D35B0">
        <w:rPr>
          <w:b/>
          <w:iCs/>
          <w:sz w:val="16"/>
          <w:szCs w:val="16"/>
        </w:rPr>
        <w:t>Note:</w:t>
      </w:r>
      <w:r w:rsidRPr="006D35B0">
        <w:rPr>
          <w:iCs/>
          <w:sz w:val="16"/>
          <w:szCs w:val="16"/>
        </w:rPr>
        <w:t xml:space="preserve"> Not suspended means participants with a status of commenced (i.e. active in the program) or pending (i.e. referred to a DES provider but not yet commenced).</w:t>
      </w:r>
    </w:p>
    <w:p w:rsidR="00B7053B" w:rsidRDefault="00E61B21" w:rsidP="00F73866">
      <w:pPr>
        <w:pStyle w:val="Caption"/>
        <w:keepNext/>
        <w:rPr>
          <w:iCs/>
        </w:rPr>
      </w:pPr>
      <w:r w:rsidRPr="00F73866">
        <w:t>Diagram 1 –</w:t>
      </w:r>
      <w:r w:rsidR="001666CE">
        <w:t xml:space="preserve"> Process for assistance</w:t>
      </w:r>
      <w:r w:rsidR="005B2FFD">
        <w:rPr>
          <w:iCs/>
        </w:rPr>
        <w:t xml:space="preserve">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600" w:firstRow="0" w:lastRow="0" w:firstColumn="0" w:lastColumn="0" w:noHBand="1" w:noVBand="1"/>
      </w:tblPr>
      <w:tblGrid>
        <w:gridCol w:w="4999"/>
        <w:gridCol w:w="2253"/>
        <w:gridCol w:w="2253"/>
      </w:tblGrid>
      <w:tr w:rsidR="005B2FFD" w:rsidRPr="00EE3D07" w:rsidTr="001666CE">
        <w:trPr>
          <w:trHeight w:val="512"/>
        </w:trPr>
        <w:tc>
          <w:tcPr>
            <w:tcW w:w="0" w:type="auto"/>
            <w:gridSpan w:val="3"/>
            <w:tcBorders>
              <w:top w:val="single" w:sz="4" w:space="0" w:color="auto"/>
              <w:bottom w:val="single" w:sz="4" w:space="0" w:color="auto"/>
            </w:tcBorders>
            <w:shd w:val="clear" w:color="auto" w:fill="FFFFFF" w:themeFill="background1"/>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text1"/>
                <w:kern w:val="24"/>
              </w:rPr>
              <w:t>Centrelink / Direct Registration</w:t>
            </w:r>
          </w:p>
        </w:tc>
      </w:tr>
      <w:tr w:rsidR="005B2FFD" w:rsidRPr="00EE3D07" w:rsidTr="001666CE">
        <w:trPr>
          <w:trHeight w:val="391"/>
        </w:trPr>
        <w:tc>
          <w:tcPr>
            <w:tcW w:w="0" w:type="auto"/>
            <w:gridSpan w:val="3"/>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5A3F63">
            <w:pPr>
              <w:spacing w:after="0" w:line="240" w:lineRule="auto"/>
              <w:jc w:val="center"/>
              <w:textAlignment w:val="center"/>
              <w:rPr>
                <w:rFonts w:cs="Arial"/>
              </w:rPr>
            </w:pPr>
            <w:r w:rsidRPr="00EE3D07">
              <w:rPr>
                <w:rFonts w:cs="Arial"/>
                <w:b/>
                <w:bCs/>
                <w:color w:val="000000" w:themeColor="text1"/>
                <w:kern w:val="24"/>
              </w:rPr>
              <w:t>Assessment (JCA / ESAt)</w:t>
            </w:r>
          </w:p>
        </w:tc>
      </w:tr>
      <w:tr w:rsidR="003472DD" w:rsidRPr="00EE3D07" w:rsidTr="00484EED">
        <w:trPr>
          <w:trHeight w:val="438"/>
        </w:trPr>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Disability Management Service</w:t>
            </w:r>
          </w:p>
        </w:tc>
        <w:tc>
          <w:tcPr>
            <w:tcW w:w="0" w:type="auto"/>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Employment Support Service</w:t>
            </w:r>
          </w:p>
        </w:tc>
      </w:tr>
      <w:tr w:rsidR="003472DD" w:rsidRPr="006D35B0" w:rsidTr="001666CE">
        <w:trPr>
          <w:trHeight w:val="943"/>
        </w:trPr>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6D35B0" w:rsidRDefault="005B2FFD" w:rsidP="006D35B0">
            <w:pPr>
              <w:spacing w:line="240" w:lineRule="auto"/>
              <w:jc w:val="center"/>
              <w:textAlignment w:val="center"/>
              <w:rPr>
                <w:rFonts w:cs="Arial"/>
                <w:sz w:val="22"/>
                <w:szCs w:val="22"/>
              </w:rPr>
            </w:pPr>
            <w:r w:rsidRPr="006D35B0">
              <w:rPr>
                <w:rFonts w:cs="Arial"/>
                <w:i/>
                <w:iCs/>
                <w:color w:val="000000" w:themeColor="dark1"/>
                <w:kern w:val="24"/>
                <w:sz w:val="22"/>
                <w:szCs w:val="22"/>
              </w:rPr>
              <w:t>For job</w:t>
            </w:r>
            <w:r w:rsidR="005A3F63" w:rsidRPr="006D35B0">
              <w:rPr>
                <w:rFonts w:cs="Arial"/>
                <w:i/>
                <w:iCs/>
                <w:color w:val="000000" w:themeColor="dark1"/>
                <w:kern w:val="24"/>
                <w:sz w:val="22"/>
                <w:szCs w:val="22"/>
              </w:rPr>
              <w:t xml:space="preserve"> </w:t>
            </w:r>
            <w:r w:rsidRPr="006D35B0">
              <w:rPr>
                <w:rFonts w:cs="Arial"/>
                <w:i/>
                <w:iCs/>
                <w:color w:val="000000" w:themeColor="dark1"/>
                <w:kern w:val="24"/>
                <w:sz w:val="22"/>
                <w:szCs w:val="22"/>
              </w:rPr>
              <w:t>seekers with disability, injury of health condition</w:t>
            </w:r>
            <w:r w:rsidR="00477C74" w:rsidRPr="006D35B0">
              <w:rPr>
                <w:rFonts w:cs="Arial"/>
                <w:i/>
                <w:iCs/>
                <w:color w:val="000000" w:themeColor="dark1"/>
                <w:kern w:val="24"/>
                <w:sz w:val="22"/>
                <w:szCs w:val="22"/>
              </w:rPr>
              <w:t xml:space="preserve"> who </w:t>
            </w:r>
            <w:r w:rsidR="003472DD" w:rsidRPr="006D35B0">
              <w:rPr>
                <w:rFonts w:cs="Arial"/>
                <w:i/>
                <w:iCs/>
                <w:color w:val="000000" w:themeColor="dark1"/>
                <w:kern w:val="24"/>
                <w:sz w:val="22"/>
                <w:szCs w:val="22"/>
              </w:rPr>
              <w:t xml:space="preserve">may require </w:t>
            </w:r>
            <w:r w:rsidR="009E0535" w:rsidRPr="006D35B0">
              <w:rPr>
                <w:rFonts w:cs="Arial"/>
                <w:i/>
                <w:iCs/>
                <w:color w:val="000000" w:themeColor="dark1"/>
                <w:kern w:val="24"/>
                <w:sz w:val="22"/>
                <w:szCs w:val="22"/>
              </w:rPr>
              <w:t>occasional</w:t>
            </w:r>
            <w:r w:rsidR="003472DD" w:rsidRPr="006D35B0">
              <w:rPr>
                <w:rFonts w:cs="Arial"/>
                <w:i/>
                <w:iCs/>
                <w:color w:val="000000" w:themeColor="dark1"/>
                <w:kern w:val="24"/>
                <w:sz w:val="22"/>
                <w:szCs w:val="22"/>
              </w:rPr>
              <w:t xml:space="preserve"> support in the workplace </w:t>
            </w:r>
          </w:p>
        </w:tc>
        <w:tc>
          <w:tcPr>
            <w:tcW w:w="0" w:type="auto"/>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6D35B0" w:rsidRDefault="005B2FFD" w:rsidP="006D35B0">
            <w:pPr>
              <w:spacing w:line="240" w:lineRule="auto"/>
              <w:jc w:val="center"/>
              <w:textAlignment w:val="center"/>
              <w:rPr>
                <w:rFonts w:cs="Arial"/>
                <w:sz w:val="22"/>
                <w:szCs w:val="22"/>
              </w:rPr>
            </w:pPr>
            <w:r w:rsidRPr="006D35B0">
              <w:rPr>
                <w:rFonts w:cs="Arial"/>
                <w:i/>
                <w:iCs/>
                <w:color w:val="000000" w:themeColor="dark1"/>
                <w:kern w:val="24"/>
                <w:sz w:val="22"/>
                <w:szCs w:val="22"/>
              </w:rPr>
              <w:t>For job</w:t>
            </w:r>
            <w:r w:rsidR="005A3F63" w:rsidRPr="006D35B0">
              <w:rPr>
                <w:rFonts w:cs="Arial"/>
                <w:i/>
                <w:iCs/>
                <w:color w:val="000000" w:themeColor="dark1"/>
                <w:kern w:val="24"/>
                <w:sz w:val="22"/>
                <w:szCs w:val="22"/>
              </w:rPr>
              <w:t xml:space="preserve"> </w:t>
            </w:r>
            <w:r w:rsidRPr="006D35B0">
              <w:rPr>
                <w:rFonts w:cs="Arial"/>
                <w:i/>
                <w:iCs/>
                <w:color w:val="000000" w:themeColor="dark1"/>
                <w:kern w:val="24"/>
                <w:sz w:val="22"/>
                <w:szCs w:val="22"/>
              </w:rPr>
              <w:t>seekers with permanent disability and long term</w:t>
            </w:r>
            <w:r w:rsidR="003472DD" w:rsidRPr="006D35B0">
              <w:rPr>
                <w:rFonts w:cs="Arial"/>
                <w:i/>
                <w:iCs/>
                <w:color w:val="000000" w:themeColor="dark1"/>
                <w:kern w:val="24"/>
                <w:sz w:val="22"/>
                <w:szCs w:val="22"/>
              </w:rPr>
              <w:t>-</w:t>
            </w:r>
            <w:r w:rsidRPr="006D35B0">
              <w:rPr>
                <w:rFonts w:cs="Arial"/>
                <w:i/>
                <w:iCs/>
                <w:color w:val="000000" w:themeColor="dark1"/>
                <w:kern w:val="24"/>
                <w:sz w:val="22"/>
                <w:szCs w:val="22"/>
              </w:rPr>
              <w:t>support needs</w:t>
            </w:r>
            <w:r w:rsidR="003472DD" w:rsidRPr="006D35B0">
              <w:rPr>
                <w:rFonts w:cs="Arial"/>
                <w:i/>
                <w:iCs/>
                <w:color w:val="000000" w:themeColor="dark1"/>
                <w:kern w:val="24"/>
                <w:sz w:val="22"/>
                <w:szCs w:val="22"/>
              </w:rPr>
              <w:t xml:space="preserve"> in the workplace</w:t>
            </w:r>
          </w:p>
        </w:tc>
      </w:tr>
      <w:tr w:rsidR="003472DD" w:rsidRPr="00EE3D07" w:rsidTr="001666CE">
        <w:trPr>
          <w:trHeight w:val="420"/>
        </w:trPr>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Single Funding Level</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Funding Level 1</w:t>
            </w:r>
          </w:p>
        </w:tc>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Funding Level 2</w:t>
            </w:r>
          </w:p>
        </w:tc>
      </w:tr>
      <w:tr w:rsidR="003472DD" w:rsidRPr="00EE3D07" w:rsidTr="00484EED">
        <w:trPr>
          <w:trHeight w:val="405"/>
        </w:trPr>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Job Plan</w:t>
            </w:r>
          </w:p>
        </w:tc>
        <w:tc>
          <w:tcPr>
            <w:tcW w:w="0" w:type="auto"/>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Job Plan</w:t>
            </w:r>
          </w:p>
        </w:tc>
      </w:tr>
      <w:tr w:rsidR="003472DD" w:rsidRPr="00EE3D07" w:rsidTr="00484EED">
        <w:trPr>
          <w:trHeight w:val="397"/>
        </w:trPr>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Employment Assistance</w:t>
            </w:r>
          </w:p>
        </w:tc>
        <w:tc>
          <w:tcPr>
            <w:tcW w:w="0" w:type="auto"/>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Employment Assistance</w:t>
            </w:r>
          </w:p>
        </w:tc>
      </w:tr>
      <w:tr w:rsidR="003472DD" w:rsidRPr="00EE3D07" w:rsidTr="00484EED">
        <w:trPr>
          <w:trHeight w:val="274"/>
        </w:trPr>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Post Placement Support</w:t>
            </w:r>
          </w:p>
        </w:tc>
        <w:tc>
          <w:tcPr>
            <w:tcW w:w="0" w:type="auto"/>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Post Placement Support</w:t>
            </w:r>
          </w:p>
        </w:tc>
      </w:tr>
      <w:tr w:rsidR="003472DD" w:rsidRPr="00EE3D07" w:rsidTr="00484EED">
        <w:trPr>
          <w:trHeight w:val="436"/>
        </w:trPr>
        <w:tc>
          <w:tcPr>
            <w:tcW w:w="0" w:type="auto"/>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Flexible Ongoing Support</w:t>
            </w:r>
          </w:p>
        </w:tc>
        <w:tc>
          <w:tcPr>
            <w:tcW w:w="0" w:type="auto"/>
            <w:gridSpan w:val="2"/>
            <w:tcBorders>
              <w:top w:val="single" w:sz="4" w:space="0" w:color="auto"/>
              <w:bottom w:val="single" w:sz="4" w:space="0" w:color="auto"/>
            </w:tcBorders>
            <w:shd w:val="clear" w:color="auto" w:fill="auto"/>
            <w:tcMar>
              <w:top w:w="15" w:type="dxa"/>
              <w:left w:w="15" w:type="dxa"/>
              <w:bottom w:w="0" w:type="dxa"/>
              <w:right w:w="15" w:type="dxa"/>
            </w:tcMar>
            <w:vAlign w:val="center"/>
            <w:hideMark/>
          </w:tcPr>
          <w:p w:rsidR="00357794" w:rsidRPr="00EE3D07" w:rsidRDefault="005B2FFD" w:rsidP="00357794">
            <w:pPr>
              <w:spacing w:after="0" w:line="240" w:lineRule="auto"/>
              <w:jc w:val="center"/>
              <w:textAlignment w:val="center"/>
              <w:rPr>
                <w:rFonts w:cs="Arial"/>
              </w:rPr>
            </w:pPr>
            <w:r w:rsidRPr="00EE3D07">
              <w:rPr>
                <w:rFonts w:cs="Arial"/>
                <w:b/>
                <w:bCs/>
                <w:color w:val="000000" w:themeColor="dark1"/>
                <w:kern w:val="24"/>
              </w:rPr>
              <w:t>Flexible / Moderate / High Ongoing Support</w:t>
            </w:r>
          </w:p>
        </w:tc>
      </w:tr>
    </w:tbl>
    <w:p w:rsidR="00D74E21" w:rsidRDefault="00D277B9" w:rsidP="00D277B9">
      <w:pPr>
        <w:rPr>
          <w:iCs/>
        </w:rPr>
      </w:pPr>
      <w:r w:rsidRPr="00D277B9">
        <w:rPr>
          <w:iCs/>
        </w:rPr>
        <w:lastRenderedPageBreak/>
        <w:t xml:space="preserve">DES-DMS predominantly </w:t>
      </w:r>
      <w:r w:rsidR="00D74E21" w:rsidRPr="00D277B9">
        <w:rPr>
          <w:iCs/>
        </w:rPr>
        <w:t>comprise</w:t>
      </w:r>
      <w:r w:rsidR="00D74E21">
        <w:rPr>
          <w:iCs/>
        </w:rPr>
        <w:t>s</w:t>
      </w:r>
      <w:r w:rsidR="00D74E21" w:rsidRPr="00D277B9">
        <w:rPr>
          <w:iCs/>
        </w:rPr>
        <w:t xml:space="preserve"> </w:t>
      </w:r>
      <w:r w:rsidRPr="00D277B9">
        <w:rPr>
          <w:iCs/>
        </w:rPr>
        <w:t xml:space="preserve">Youth/Newstart Allowance </w:t>
      </w:r>
      <w:r w:rsidR="009F4B6D">
        <w:rPr>
          <w:iCs/>
        </w:rPr>
        <w:t xml:space="preserve">income support </w:t>
      </w:r>
      <w:r w:rsidRPr="00D277B9">
        <w:rPr>
          <w:iCs/>
        </w:rPr>
        <w:t xml:space="preserve">recipients (90 per cent), with very few Disability Support Pension (DSP) recipients (two per cent). </w:t>
      </w:r>
    </w:p>
    <w:p w:rsidR="00D74E21" w:rsidRDefault="00D277B9" w:rsidP="00D277B9">
      <w:pPr>
        <w:rPr>
          <w:iCs/>
        </w:rPr>
      </w:pPr>
      <w:r w:rsidRPr="00D277B9">
        <w:rPr>
          <w:iCs/>
        </w:rPr>
        <w:t>By comparison, DES</w:t>
      </w:r>
      <w:r w:rsidR="00266F3A">
        <w:rPr>
          <w:iCs/>
        </w:rPr>
        <w:t>-</w:t>
      </w:r>
      <w:r w:rsidRPr="00D277B9">
        <w:rPr>
          <w:iCs/>
        </w:rPr>
        <w:t>ESS contains fewer Youth/Newstart Allowance recipients (67</w:t>
      </w:r>
      <w:r w:rsidR="006D35B0">
        <w:rPr>
          <w:iCs/>
        </w:rPr>
        <w:t> </w:t>
      </w:r>
      <w:r w:rsidRPr="00D277B9">
        <w:rPr>
          <w:iCs/>
        </w:rPr>
        <w:t xml:space="preserve">per cent) and relatively higher numbers on DSP (20 per cent) or not on any type of Centrelink </w:t>
      </w:r>
      <w:r w:rsidR="004430D5">
        <w:rPr>
          <w:iCs/>
        </w:rPr>
        <w:t>payment</w:t>
      </w:r>
      <w:r w:rsidR="004430D5" w:rsidRPr="00D277B9">
        <w:rPr>
          <w:iCs/>
        </w:rPr>
        <w:t xml:space="preserve"> </w:t>
      </w:r>
      <w:r w:rsidRPr="00D277B9">
        <w:rPr>
          <w:iCs/>
        </w:rPr>
        <w:t xml:space="preserve">(11 per cent). </w:t>
      </w:r>
    </w:p>
    <w:p w:rsidR="00D277B9" w:rsidRPr="00D277B9" w:rsidRDefault="00D277B9" w:rsidP="00D277B9">
      <w:pPr>
        <w:rPr>
          <w:iCs/>
        </w:rPr>
      </w:pPr>
      <w:r w:rsidRPr="00D277B9">
        <w:rPr>
          <w:iCs/>
        </w:rPr>
        <w:t>Around 90 per cent of the DES-DMS caseload has primary disability types of Physical (58 per cent) or Psychiatric (35 per cent). In DES-ESS</w:t>
      </w:r>
      <w:r w:rsidR="00477C74">
        <w:rPr>
          <w:iCs/>
        </w:rPr>
        <w:t>,</w:t>
      </w:r>
      <w:r w:rsidRPr="00D277B9">
        <w:rPr>
          <w:iCs/>
        </w:rPr>
        <w:t xml:space="preserve"> around 70 per cent of the caseload has primary disability types of Psychiatric (38 per cent) or Physical (33 per cent).</w:t>
      </w:r>
    </w:p>
    <w:p w:rsidR="0070452E" w:rsidRPr="00D277B9" w:rsidRDefault="00FE260B" w:rsidP="00D277B9">
      <w:pPr>
        <w:rPr>
          <w:bCs/>
        </w:rPr>
      </w:pPr>
      <w:r w:rsidRPr="00FE260B">
        <w:rPr>
          <w:bCs/>
        </w:rPr>
        <w:t xml:space="preserve">Applicants </w:t>
      </w:r>
      <w:r w:rsidR="00927605">
        <w:rPr>
          <w:bCs/>
        </w:rPr>
        <w:t>should be aware that the</w:t>
      </w:r>
      <w:r w:rsidR="00D277B9" w:rsidRPr="00D277B9">
        <w:rPr>
          <w:bCs/>
        </w:rPr>
        <w:t xml:space="preserve"> number of DES participants </w:t>
      </w:r>
      <w:r w:rsidR="00B07F06">
        <w:rPr>
          <w:bCs/>
        </w:rPr>
        <w:t xml:space="preserve">on income support </w:t>
      </w:r>
      <w:r w:rsidR="00413B14">
        <w:rPr>
          <w:bCs/>
        </w:rPr>
        <w:t xml:space="preserve">payments </w:t>
      </w:r>
      <w:r w:rsidR="00D277B9" w:rsidRPr="00D277B9">
        <w:rPr>
          <w:bCs/>
        </w:rPr>
        <w:t xml:space="preserve">can be </w:t>
      </w:r>
      <w:r w:rsidR="00B07F06">
        <w:rPr>
          <w:bCs/>
        </w:rPr>
        <w:t>affected</w:t>
      </w:r>
      <w:r w:rsidR="00B07F06" w:rsidRPr="00D277B9">
        <w:rPr>
          <w:bCs/>
        </w:rPr>
        <w:t xml:space="preserve"> </w:t>
      </w:r>
      <w:r w:rsidR="00D277B9" w:rsidRPr="00D277B9">
        <w:rPr>
          <w:bCs/>
        </w:rPr>
        <w:t xml:space="preserve">by Government policy </w:t>
      </w:r>
      <w:r w:rsidR="00927605">
        <w:rPr>
          <w:bCs/>
        </w:rPr>
        <w:t xml:space="preserve">changes </w:t>
      </w:r>
      <w:r w:rsidR="00D277B9" w:rsidRPr="00D277B9">
        <w:rPr>
          <w:bCs/>
        </w:rPr>
        <w:t xml:space="preserve">with respect to </w:t>
      </w:r>
      <w:r w:rsidR="00477C74">
        <w:rPr>
          <w:bCs/>
        </w:rPr>
        <w:t xml:space="preserve">their </w:t>
      </w:r>
      <w:r w:rsidR="00D277B9" w:rsidRPr="00D277B9">
        <w:rPr>
          <w:bCs/>
        </w:rPr>
        <w:t xml:space="preserve">mutual obligation requirements. </w:t>
      </w:r>
    </w:p>
    <w:p w:rsidR="00D277B9" w:rsidRPr="00D277B9" w:rsidRDefault="00D277B9" w:rsidP="00D277B9">
      <w:pPr>
        <w:rPr>
          <w:bCs/>
        </w:rPr>
      </w:pPr>
      <w:r w:rsidRPr="00D277B9">
        <w:rPr>
          <w:bCs/>
        </w:rPr>
        <w:t xml:space="preserve">Further information on DES participant characteristics can be found at the Labour Market Information Portal – a link to this information can be found under the </w:t>
      </w:r>
      <w:r w:rsidRPr="00D277B9">
        <w:rPr>
          <w:bCs/>
          <w:i/>
        </w:rPr>
        <w:t>Useful Information</w:t>
      </w:r>
      <w:r w:rsidRPr="00D277B9">
        <w:rPr>
          <w:bCs/>
        </w:rPr>
        <w:t xml:space="preserve"> section</w:t>
      </w:r>
      <w:r w:rsidR="00AA34C6">
        <w:rPr>
          <w:bCs/>
        </w:rPr>
        <w:t xml:space="preserve"> </w:t>
      </w:r>
      <w:r w:rsidR="00477C74">
        <w:rPr>
          <w:bCs/>
        </w:rPr>
        <w:t xml:space="preserve">on page </w:t>
      </w:r>
      <w:r w:rsidR="005442EC">
        <w:rPr>
          <w:bCs/>
        </w:rPr>
        <w:t>2</w:t>
      </w:r>
      <w:r w:rsidR="00200C68">
        <w:rPr>
          <w:bCs/>
        </w:rPr>
        <w:t>9</w:t>
      </w:r>
      <w:r w:rsidR="00AA34C6">
        <w:rPr>
          <w:bCs/>
        </w:rPr>
        <w:t xml:space="preserve"> of this document</w:t>
      </w:r>
      <w:r w:rsidRPr="00D277B9">
        <w:rPr>
          <w:bCs/>
        </w:rPr>
        <w:t xml:space="preserve">. </w:t>
      </w:r>
    </w:p>
    <w:p w:rsidR="00D277B9" w:rsidRDefault="00D277B9" w:rsidP="00D277B9">
      <w:pPr>
        <w:rPr>
          <w:iCs/>
        </w:rPr>
      </w:pPr>
      <w:r w:rsidRPr="00D277B9">
        <w:rPr>
          <w:iCs/>
        </w:rPr>
        <w:t>At times</w:t>
      </w:r>
      <w:r w:rsidR="00477C74">
        <w:rPr>
          <w:iCs/>
        </w:rPr>
        <w:t>,</w:t>
      </w:r>
      <w:r w:rsidRPr="00D277B9">
        <w:rPr>
          <w:iCs/>
        </w:rPr>
        <w:t xml:space="preserve"> people with disability who are already employed need assistance in the workplace due to the impact of their disability, health condition or injury. ‘Work Assist’ (previously called Job-in-Jeopardy) provides support to people who are at risk of losing their job due to their disability, illness or injury, by stabilising their employment so they can stay at work. DES providers will work with employers and participants to provide individual, flexible support to help participants to continue to perform well in their job.</w:t>
      </w:r>
    </w:p>
    <w:p w:rsidR="00D277B9" w:rsidRPr="00287BCE" w:rsidRDefault="00D277B9" w:rsidP="00287BCE">
      <w:pPr>
        <w:pStyle w:val="Heading2"/>
      </w:pPr>
      <w:bookmarkStart w:id="6" w:name="_Toc483921448"/>
      <w:bookmarkStart w:id="7" w:name="_Toc484692291"/>
      <w:r w:rsidRPr="00287BCE">
        <w:t>Funding model</w:t>
      </w:r>
      <w:bookmarkEnd w:id="6"/>
      <w:bookmarkEnd w:id="7"/>
      <w:r w:rsidRPr="00287BCE">
        <w:t xml:space="preserve"> </w:t>
      </w:r>
    </w:p>
    <w:p w:rsidR="00D277B9" w:rsidRPr="00D277B9" w:rsidRDefault="00D277B9" w:rsidP="00D277B9">
      <w:r w:rsidRPr="00D277B9">
        <w:t xml:space="preserve">The three primary </w:t>
      </w:r>
      <w:r w:rsidR="00B07F06">
        <w:t xml:space="preserve">types of </w:t>
      </w:r>
      <w:r w:rsidRPr="00D277B9">
        <w:t>DES provider payments are:</w:t>
      </w:r>
    </w:p>
    <w:p w:rsidR="00D277B9" w:rsidRPr="00D277B9" w:rsidRDefault="004430D5" w:rsidP="00BA02BA">
      <w:pPr>
        <w:ind w:left="742"/>
      </w:pPr>
      <w:r>
        <w:t xml:space="preserve">1. </w:t>
      </w:r>
      <w:r w:rsidR="00D277B9" w:rsidRPr="00D277B9">
        <w:t xml:space="preserve">Service fees - which are paid to DES providers to deliver assistance to participants to find and secure employment or move into education </w:t>
      </w:r>
    </w:p>
    <w:p w:rsidR="00D277B9" w:rsidRPr="00D277B9" w:rsidRDefault="004430D5" w:rsidP="00BA02BA">
      <w:pPr>
        <w:ind w:left="742"/>
      </w:pPr>
      <w:r>
        <w:t xml:space="preserve">2. </w:t>
      </w:r>
      <w:r w:rsidR="00D277B9" w:rsidRPr="00D277B9">
        <w:t>Outcome fees - which are paid to DES providers when a participant has maintained sustainable employment or education for a particular period of time</w:t>
      </w:r>
    </w:p>
    <w:p w:rsidR="00D277B9" w:rsidRPr="00D277B9" w:rsidRDefault="004430D5" w:rsidP="00BA02BA">
      <w:pPr>
        <w:ind w:left="742"/>
      </w:pPr>
      <w:r>
        <w:t xml:space="preserve">3. </w:t>
      </w:r>
      <w:r w:rsidR="00D277B9" w:rsidRPr="00D277B9">
        <w:t xml:space="preserve">Ongoing Support fees - which are paid to DES providers </w:t>
      </w:r>
      <w:r w:rsidR="00FE260B">
        <w:t xml:space="preserve">to </w:t>
      </w:r>
      <w:r w:rsidR="00927605">
        <w:t xml:space="preserve">continue </w:t>
      </w:r>
      <w:r w:rsidR="00D277B9" w:rsidRPr="00D277B9">
        <w:t xml:space="preserve">to deliver support </w:t>
      </w:r>
      <w:r w:rsidR="00927605" w:rsidRPr="00927605">
        <w:t xml:space="preserve">to help a participant maintain employment </w:t>
      </w:r>
      <w:r w:rsidR="00D277B9" w:rsidRPr="00D277B9">
        <w:t>after a 26</w:t>
      </w:r>
      <w:r w:rsidR="00477C74">
        <w:t>-</w:t>
      </w:r>
      <w:r w:rsidR="00D277B9" w:rsidRPr="00D277B9">
        <w:t xml:space="preserve">week employment outcome has been achieved. </w:t>
      </w:r>
    </w:p>
    <w:p w:rsidR="00D277B9" w:rsidRPr="00D277B9" w:rsidRDefault="00D277B9" w:rsidP="00D277B9">
      <w:r w:rsidRPr="00D277B9">
        <w:t xml:space="preserve">There are two main types of Outcome </w:t>
      </w:r>
      <w:r w:rsidR="004430D5">
        <w:t>f</w:t>
      </w:r>
      <w:r w:rsidRPr="00D277B9">
        <w:t xml:space="preserve">ees: </w:t>
      </w:r>
    </w:p>
    <w:p w:rsidR="00D277B9" w:rsidRPr="00D277B9" w:rsidRDefault="004430D5" w:rsidP="00BA02BA">
      <w:pPr>
        <w:ind w:left="720"/>
      </w:pPr>
      <w:r>
        <w:t xml:space="preserve">1. </w:t>
      </w:r>
      <w:r w:rsidR="00D277B9" w:rsidRPr="00D277B9">
        <w:t>Full Outcome Payments – are paid in recognition of a participant achieving sustainable employment for a specific period (</w:t>
      </w:r>
      <w:r w:rsidR="00B7053B">
        <w:t xml:space="preserve">currently </w:t>
      </w:r>
      <w:r w:rsidR="00D277B9" w:rsidRPr="00D277B9">
        <w:t>13 and/or 26 consecutive weeks) at their Employment Benchmark or which causes their income support to cease</w:t>
      </w:r>
      <w:r w:rsidR="00477C74">
        <w:t>;</w:t>
      </w:r>
      <w:r w:rsidR="00D277B9" w:rsidRPr="00D277B9">
        <w:t xml:space="preserve"> or for undertaking an education activity (eligible participants only)  </w:t>
      </w:r>
    </w:p>
    <w:p w:rsidR="00D277B9" w:rsidRPr="00D277B9" w:rsidRDefault="004430D5" w:rsidP="00BA02BA">
      <w:pPr>
        <w:ind w:left="720"/>
      </w:pPr>
      <w:r>
        <w:t xml:space="preserve">2. </w:t>
      </w:r>
      <w:r w:rsidR="00670D41">
        <w:t>Pathway Outcome</w:t>
      </w:r>
      <w:r w:rsidR="00D277B9" w:rsidRPr="00D277B9">
        <w:t xml:space="preserve"> Payments – are paid in recognition of a participant’s progress towards the achievement of sustainable employment such as through </w:t>
      </w:r>
      <w:r w:rsidR="00D277B9" w:rsidRPr="00D277B9">
        <w:lastRenderedPageBreak/>
        <w:t>education or part-time work</w:t>
      </w:r>
      <w:r w:rsidR="00071CD7">
        <w:t xml:space="preserve"> at two</w:t>
      </w:r>
      <w:r w:rsidR="00477C74">
        <w:t>-</w:t>
      </w:r>
      <w:r w:rsidR="00071CD7">
        <w:t>thir</w:t>
      </w:r>
      <w:r w:rsidR="00100710">
        <w:t>ds or more of their Employment Benchmark</w:t>
      </w:r>
      <w:r w:rsidR="00D277B9" w:rsidRPr="00D277B9">
        <w:t xml:space="preserve">. </w:t>
      </w:r>
    </w:p>
    <w:p w:rsidR="004430D5" w:rsidRDefault="00D277B9" w:rsidP="00D277B9">
      <w:pPr>
        <w:rPr>
          <w:iCs/>
        </w:rPr>
      </w:pPr>
      <w:r w:rsidRPr="00D277B9">
        <w:rPr>
          <w:iCs/>
        </w:rPr>
        <w:t>Definitions of current Service Fee</w:t>
      </w:r>
      <w:r w:rsidR="00670D41">
        <w:rPr>
          <w:iCs/>
        </w:rPr>
        <w:t>s</w:t>
      </w:r>
      <w:r w:rsidRPr="00D277B9">
        <w:rPr>
          <w:iCs/>
        </w:rPr>
        <w:t xml:space="preserve"> and Outcome Fees can be found in the </w:t>
      </w:r>
      <w:r w:rsidRPr="002630C9">
        <w:rPr>
          <w:i/>
          <w:iCs/>
        </w:rPr>
        <w:t>Glossary</w:t>
      </w:r>
      <w:r w:rsidRPr="00D277B9">
        <w:rPr>
          <w:iCs/>
        </w:rPr>
        <w:t xml:space="preserve"> at </w:t>
      </w:r>
      <w:r w:rsidR="00F810A8">
        <w:rPr>
          <w:iCs/>
        </w:rPr>
        <w:t>page 4</w:t>
      </w:r>
      <w:r w:rsidR="00E064FF">
        <w:rPr>
          <w:iCs/>
        </w:rPr>
        <w:t xml:space="preserve">2 in </w:t>
      </w:r>
      <w:r w:rsidRPr="00D277B9">
        <w:rPr>
          <w:iCs/>
        </w:rPr>
        <w:t xml:space="preserve">this document, and in the current DES Deed and guidelines. </w:t>
      </w:r>
    </w:p>
    <w:p w:rsidR="00D277B9" w:rsidRPr="00D277B9" w:rsidRDefault="00B324DE" w:rsidP="00D277B9">
      <w:pPr>
        <w:rPr>
          <w:iCs/>
        </w:rPr>
      </w:pPr>
      <w:r>
        <w:rPr>
          <w:iCs/>
        </w:rPr>
        <w:t>There</w:t>
      </w:r>
      <w:r w:rsidR="00D277B9" w:rsidRPr="00D277B9">
        <w:rPr>
          <w:iCs/>
        </w:rPr>
        <w:t xml:space="preserve"> will be changes to what qualifies for Full and Pathway Outcome Payments. Further details on the changes are provided in the next section, ‘How is DES </w:t>
      </w:r>
      <w:r w:rsidR="00670D41">
        <w:rPr>
          <w:iCs/>
        </w:rPr>
        <w:t>c</w:t>
      </w:r>
      <w:r w:rsidR="00D277B9" w:rsidRPr="00D277B9">
        <w:rPr>
          <w:iCs/>
        </w:rPr>
        <w:t>hanging</w:t>
      </w:r>
      <w:r>
        <w:rPr>
          <w:iCs/>
        </w:rPr>
        <w:t xml:space="preserve"> from 1 July 2018</w:t>
      </w:r>
      <w:r w:rsidR="007A4C8D">
        <w:rPr>
          <w:iCs/>
        </w:rPr>
        <w:t>?</w:t>
      </w:r>
      <w:r w:rsidR="00D277B9" w:rsidRPr="00D277B9">
        <w:rPr>
          <w:iCs/>
        </w:rPr>
        <w:t>’</w:t>
      </w:r>
    </w:p>
    <w:p w:rsidR="003B5471" w:rsidRDefault="00D277B9" w:rsidP="00D277B9">
      <w:pPr>
        <w:rPr>
          <w:iCs/>
        </w:rPr>
      </w:pPr>
      <w:r w:rsidRPr="00D277B9">
        <w:rPr>
          <w:iCs/>
        </w:rPr>
        <w:t>There is a comprehensive set of mechanisms to govern and monitor the performance of DES providers. These include a well-established DES performance framework</w:t>
      </w:r>
      <w:r w:rsidR="00753A7F">
        <w:rPr>
          <w:iCs/>
        </w:rPr>
        <w:t>,</w:t>
      </w:r>
      <w:r w:rsidRPr="00D277B9">
        <w:rPr>
          <w:iCs/>
        </w:rPr>
        <w:t xml:space="preserve"> and a compliance and Contract monitoring framework. </w:t>
      </w:r>
    </w:p>
    <w:p w:rsidR="003B5471" w:rsidRDefault="00D277B9" w:rsidP="00D277B9">
      <w:pPr>
        <w:rPr>
          <w:iCs/>
        </w:rPr>
      </w:pPr>
      <w:r w:rsidRPr="00D277B9">
        <w:rPr>
          <w:iCs/>
        </w:rPr>
        <w:t xml:space="preserve">DES providers are also required to be certified </w:t>
      </w:r>
      <w:r w:rsidR="00100710">
        <w:rPr>
          <w:iCs/>
        </w:rPr>
        <w:t xml:space="preserve">or progressing to achieve certification </w:t>
      </w:r>
      <w:r w:rsidRPr="00D277B9">
        <w:rPr>
          <w:iCs/>
        </w:rPr>
        <w:t xml:space="preserve">under the </w:t>
      </w:r>
      <w:hyperlink r:id="rId19" w:history="1">
        <w:r w:rsidRPr="00753A7F">
          <w:rPr>
            <w:rStyle w:val="Hyperlink"/>
            <w:iCs/>
            <w:sz w:val="24"/>
          </w:rPr>
          <w:t>National Standards for Disability Services</w:t>
        </w:r>
      </w:hyperlink>
      <w:r w:rsidRPr="00D277B9">
        <w:rPr>
          <w:iCs/>
        </w:rPr>
        <w:t xml:space="preserve"> in order to deliver DES. </w:t>
      </w:r>
    </w:p>
    <w:p w:rsidR="00D277B9" w:rsidRPr="00D277B9" w:rsidRDefault="00D277B9" w:rsidP="00D277B9">
      <w:pPr>
        <w:rPr>
          <w:iCs/>
        </w:rPr>
      </w:pPr>
      <w:r w:rsidRPr="00D277B9">
        <w:rPr>
          <w:iCs/>
        </w:rPr>
        <w:t xml:space="preserve">The DES performance rating system provides </w:t>
      </w:r>
      <w:r w:rsidR="00100710">
        <w:rPr>
          <w:iCs/>
        </w:rPr>
        <w:t xml:space="preserve">information on the relative performance </w:t>
      </w:r>
      <w:r w:rsidR="00753A7F">
        <w:rPr>
          <w:iCs/>
        </w:rPr>
        <w:t>of</w:t>
      </w:r>
      <w:r w:rsidR="00100710">
        <w:rPr>
          <w:iCs/>
        </w:rPr>
        <w:t xml:space="preserve"> </w:t>
      </w:r>
      <w:r w:rsidRPr="00D277B9">
        <w:rPr>
          <w:iCs/>
        </w:rPr>
        <w:t xml:space="preserve">providers </w:t>
      </w:r>
      <w:r w:rsidR="00100710">
        <w:rPr>
          <w:iCs/>
        </w:rPr>
        <w:t>in</w:t>
      </w:r>
      <w:r w:rsidRPr="00D277B9">
        <w:rPr>
          <w:iCs/>
        </w:rPr>
        <w:t xml:space="preserve"> achiev</w:t>
      </w:r>
      <w:r w:rsidR="00100710">
        <w:rPr>
          <w:iCs/>
        </w:rPr>
        <w:t>ing</w:t>
      </w:r>
      <w:r w:rsidRPr="00D277B9">
        <w:rPr>
          <w:iCs/>
        </w:rPr>
        <w:t xml:space="preserve"> employment outcomes for their participants.</w:t>
      </w:r>
    </w:p>
    <w:p w:rsidR="008D197F" w:rsidRDefault="008D197F" w:rsidP="008D197F">
      <w:pPr>
        <w:pStyle w:val="Heading1"/>
      </w:pPr>
      <w:bookmarkStart w:id="8" w:name="_Toc483921449"/>
      <w:bookmarkStart w:id="9" w:name="_Toc484692292"/>
      <w:r>
        <w:t xml:space="preserve">Chapter 2 - </w:t>
      </w:r>
      <w:r w:rsidRPr="008D197F">
        <w:t>How is DES changing from 1 July 2018?</w:t>
      </w:r>
      <w:bookmarkEnd w:id="8"/>
      <w:bookmarkEnd w:id="9"/>
    </w:p>
    <w:p w:rsidR="008D197F" w:rsidRPr="008D197F" w:rsidRDefault="008D197F" w:rsidP="008D197F">
      <w:pPr>
        <w:rPr>
          <w:iCs/>
        </w:rPr>
      </w:pPr>
      <w:r w:rsidRPr="008D197F">
        <w:rPr>
          <w:iCs/>
        </w:rPr>
        <w:t>Th</w:t>
      </w:r>
      <w:r>
        <w:rPr>
          <w:iCs/>
        </w:rPr>
        <w:t xml:space="preserve">is chapter </w:t>
      </w:r>
      <w:r w:rsidRPr="008D197F">
        <w:rPr>
          <w:iCs/>
        </w:rPr>
        <w:t xml:space="preserve">outlines how DES will </w:t>
      </w:r>
      <w:r w:rsidR="00FE260B">
        <w:rPr>
          <w:iCs/>
        </w:rPr>
        <w:t>differ</w:t>
      </w:r>
      <w:r w:rsidRPr="008D197F">
        <w:rPr>
          <w:iCs/>
        </w:rPr>
        <w:t xml:space="preserve"> from </w:t>
      </w:r>
      <w:r w:rsidR="00753A7F">
        <w:rPr>
          <w:iCs/>
        </w:rPr>
        <w:t xml:space="preserve">the </w:t>
      </w:r>
      <w:r w:rsidRPr="008D197F">
        <w:rPr>
          <w:iCs/>
        </w:rPr>
        <w:t>current arrangements, from 1</w:t>
      </w:r>
      <w:r w:rsidR="00442812">
        <w:rPr>
          <w:iCs/>
        </w:rPr>
        <w:t> </w:t>
      </w:r>
      <w:r w:rsidRPr="008D197F">
        <w:rPr>
          <w:iCs/>
        </w:rPr>
        <w:t>July</w:t>
      </w:r>
      <w:r w:rsidR="00442812">
        <w:rPr>
          <w:iCs/>
        </w:rPr>
        <w:t> </w:t>
      </w:r>
      <w:r w:rsidRPr="008D197F">
        <w:rPr>
          <w:iCs/>
        </w:rPr>
        <w:t xml:space="preserve">2018.  </w:t>
      </w:r>
    </w:p>
    <w:p w:rsidR="008D197F" w:rsidRPr="00287BCE" w:rsidRDefault="008D197F" w:rsidP="00287BCE">
      <w:pPr>
        <w:pStyle w:val="Heading2"/>
      </w:pPr>
      <w:bookmarkStart w:id="10" w:name="_Toc483921450"/>
      <w:bookmarkStart w:id="11" w:name="_Toc484692293"/>
      <w:r w:rsidRPr="00287BCE">
        <w:t>Improving choice and control for participants</w:t>
      </w:r>
      <w:bookmarkEnd w:id="10"/>
      <w:bookmarkEnd w:id="11"/>
    </w:p>
    <w:p w:rsidR="003B5471" w:rsidRDefault="008D197F" w:rsidP="008D197F">
      <w:r w:rsidRPr="008D197F">
        <w:t xml:space="preserve">Under the new DES program, DES participants will have greater choice about the services they receive and how they receive them. </w:t>
      </w:r>
    </w:p>
    <w:p w:rsidR="008D197F" w:rsidRPr="008D197F" w:rsidRDefault="008D197F" w:rsidP="008D197F">
      <w:r w:rsidRPr="008D197F">
        <w:t>Changes include:</w:t>
      </w:r>
    </w:p>
    <w:p w:rsidR="008D197F" w:rsidRPr="00DA6E6B" w:rsidRDefault="008D197F" w:rsidP="00A12D6C">
      <w:pPr>
        <w:pStyle w:val="ListParagraph"/>
        <w:numPr>
          <w:ilvl w:val="0"/>
          <w:numId w:val="25"/>
        </w:numPr>
        <w:spacing w:after="0"/>
        <w:rPr>
          <w:iCs/>
        </w:rPr>
      </w:pPr>
      <w:r w:rsidRPr="00A12D6C">
        <w:rPr>
          <w:iCs/>
        </w:rPr>
        <w:t>more flexible servicing arrangements,</w:t>
      </w:r>
      <w:r w:rsidR="001666CE">
        <w:rPr>
          <w:iCs/>
        </w:rPr>
        <w:t xml:space="preserve"> </w:t>
      </w:r>
      <w:r w:rsidRPr="00A12D6C">
        <w:rPr>
          <w:iCs/>
        </w:rPr>
        <w:t xml:space="preserve">so participant and provider appointments are not </w:t>
      </w:r>
      <w:r w:rsidR="0083778E">
        <w:rPr>
          <w:iCs/>
        </w:rPr>
        <w:t>restricted</w:t>
      </w:r>
      <w:r w:rsidRPr="00A12D6C">
        <w:rPr>
          <w:iCs/>
        </w:rPr>
        <w:t xml:space="preserve"> to face-to-face contacts after an initial </w:t>
      </w:r>
      <w:r w:rsidR="00753A7F">
        <w:rPr>
          <w:iCs/>
        </w:rPr>
        <w:t>face-</w:t>
      </w:r>
      <w:r w:rsidR="00753A7F" w:rsidRPr="00DA6E6B">
        <w:rPr>
          <w:iCs/>
        </w:rPr>
        <w:t>to-face meeting</w:t>
      </w:r>
      <w:r w:rsidRPr="00DA6E6B">
        <w:rPr>
          <w:iCs/>
        </w:rPr>
        <w:t xml:space="preserve">, if the participant </w:t>
      </w:r>
      <w:r w:rsidR="00100710" w:rsidRPr="00DA6E6B">
        <w:rPr>
          <w:iCs/>
        </w:rPr>
        <w:t>and provider agree</w:t>
      </w:r>
    </w:p>
    <w:p w:rsidR="008D197F" w:rsidRPr="00DA6E6B" w:rsidRDefault="007A4C8D" w:rsidP="00A12D6C">
      <w:pPr>
        <w:pStyle w:val="ListParagraph"/>
        <w:numPr>
          <w:ilvl w:val="0"/>
          <w:numId w:val="25"/>
        </w:numPr>
        <w:spacing w:after="0"/>
        <w:rPr>
          <w:iCs/>
        </w:rPr>
      </w:pPr>
      <w:r w:rsidRPr="00DA6E6B">
        <w:rPr>
          <w:iCs/>
        </w:rPr>
        <w:t>removing</w:t>
      </w:r>
      <w:r w:rsidR="008D197F" w:rsidRPr="00DA6E6B">
        <w:rPr>
          <w:iCs/>
        </w:rPr>
        <w:t xml:space="preserve"> the current market share arrangements</w:t>
      </w:r>
      <w:r w:rsidR="009F4B6D" w:rsidRPr="00DA6E6B">
        <w:rPr>
          <w:iCs/>
        </w:rPr>
        <w:t>,</w:t>
      </w:r>
      <w:r w:rsidR="008D197F" w:rsidRPr="00DA6E6B">
        <w:rPr>
          <w:iCs/>
        </w:rPr>
        <w:t xml:space="preserve"> </w:t>
      </w:r>
      <w:r w:rsidR="009F4B6D" w:rsidRPr="00DA6E6B">
        <w:t>where providers bid for, and are awarded, a portion of participant referrals from Centrelink.</w:t>
      </w:r>
      <w:r w:rsidR="009F4B6D" w:rsidRPr="00DA6E6B">
        <w:rPr>
          <w:iCs/>
        </w:rPr>
        <w:t xml:space="preserve"> These arrangements </w:t>
      </w:r>
      <w:r w:rsidR="008D197F" w:rsidRPr="00DA6E6B">
        <w:rPr>
          <w:iCs/>
        </w:rPr>
        <w:t>restrict participant choice of provider</w:t>
      </w:r>
      <w:r w:rsidR="00100710" w:rsidRPr="00DA6E6B">
        <w:rPr>
          <w:iCs/>
        </w:rPr>
        <w:t xml:space="preserve"> and constrain competition between providers to attract and retain participants</w:t>
      </w:r>
    </w:p>
    <w:p w:rsidR="008D197F" w:rsidRPr="00A12D6C" w:rsidRDefault="008D197F" w:rsidP="00A12D6C">
      <w:pPr>
        <w:pStyle w:val="ListParagraph"/>
        <w:numPr>
          <w:ilvl w:val="0"/>
          <w:numId w:val="25"/>
        </w:numPr>
        <w:spacing w:after="0"/>
        <w:rPr>
          <w:iCs/>
        </w:rPr>
      </w:pPr>
      <w:r w:rsidRPr="00DA6E6B">
        <w:rPr>
          <w:iCs/>
        </w:rPr>
        <w:t>relax</w:t>
      </w:r>
      <w:r w:rsidR="007A4C8D" w:rsidRPr="00DA6E6B">
        <w:rPr>
          <w:iCs/>
        </w:rPr>
        <w:t>ing of</w:t>
      </w:r>
      <w:r w:rsidRPr="00DA6E6B">
        <w:rPr>
          <w:iCs/>
        </w:rPr>
        <w:t xml:space="preserve"> </w:t>
      </w:r>
      <w:r w:rsidR="00A43620">
        <w:rPr>
          <w:iCs/>
        </w:rPr>
        <w:t>ESA</w:t>
      </w:r>
      <w:r w:rsidRPr="00DA6E6B">
        <w:rPr>
          <w:iCs/>
        </w:rPr>
        <w:t xml:space="preserve"> restrictions for participants</w:t>
      </w:r>
      <w:r w:rsidRPr="00A12D6C">
        <w:rPr>
          <w:iCs/>
        </w:rPr>
        <w:t xml:space="preserve"> so they can choose a provider outside their local area</w:t>
      </w:r>
    </w:p>
    <w:p w:rsidR="008D197F" w:rsidRPr="00A12D6C" w:rsidRDefault="008D197F" w:rsidP="00A12D6C">
      <w:pPr>
        <w:pStyle w:val="ListParagraph"/>
        <w:numPr>
          <w:ilvl w:val="0"/>
          <w:numId w:val="25"/>
        </w:numPr>
        <w:spacing w:after="0"/>
        <w:rPr>
          <w:iCs/>
        </w:rPr>
      </w:pPr>
      <w:r w:rsidRPr="00A12D6C">
        <w:rPr>
          <w:iCs/>
        </w:rPr>
        <w:t>making it easier for participants to change providers if they are unhappy with the services they are receiving</w:t>
      </w:r>
    </w:p>
    <w:p w:rsidR="008D197F" w:rsidRPr="00A12D6C" w:rsidRDefault="008D197F" w:rsidP="00A12D6C">
      <w:pPr>
        <w:pStyle w:val="ListParagraph"/>
        <w:numPr>
          <w:ilvl w:val="0"/>
          <w:numId w:val="25"/>
        </w:numPr>
        <w:spacing w:after="0"/>
        <w:rPr>
          <w:iCs/>
        </w:rPr>
      </w:pPr>
      <w:r w:rsidRPr="00A12D6C">
        <w:rPr>
          <w:iCs/>
        </w:rPr>
        <w:t>improv</w:t>
      </w:r>
      <w:r w:rsidR="007A4C8D">
        <w:rPr>
          <w:iCs/>
        </w:rPr>
        <w:t>ing</w:t>
      </w:r>
      <w:r w:rsidRPr="00A12D6C">
        <w:rPr>
          <w:iCs/>
        </w:rPr>
        <w:t xml:space="preserve"> </w:t>
      </w:r>
      <w:r w:rsidR="00753A7F">
        <w:rPr>
          <w:iCs/>
        </w:rPr>
        <w:t xml:space="preserve">the availability of </w:t>
      </w:r>
      <w:r w:rsidRPr="00A12D6C">
        <w:rPr>
          <w:iCs/>
        </w:rPr>
        <w:t>information</w:t>
      </w:r>
      <w:r w:rsidR="00753A7F">
        <w:rPr>
          <w:iCs/>
        </w:rPr>
        <w:t xml:space="preserve"> for participants,</w:t>
      </w:r>
      <w:r w:rsidR="004F594C" w:rsidRPr="00A12D6C">
        <w:rPr>
          <w:iCs/>
        </w:rPr>
        <w:t xml:space="preserve"> via websites and a mobile application,</w:t>
      </w:r>
      <w:r w:rsidRPr="00A12D6C">
        <w:rPr>
          <w:iCs/>
        </w:rPr>
        <w:t xml:space="preserve"> about DES providers and </w:t>
      </w:r>
      <w:r w:rsidR="004F594C" w:rsidRPr="00A12D6C">
        <w:rPr>
          <w:iCs/>
        </w:rPr>
        <w:t xml:space="preserve">the </w:t>
      </w:r>
      <w:r w:rsidRPr="00A12D6C">
        <w:rPr>
          <w:iCs/>
        </w:rPr>
        <w:t>services they offer</w:t>
      </w:r>
      <w:r w:rsidR="00A12D6C">
        <w:rPr>
          <w:iCs/>
        </w:rPr>
        <w:t>.</w:t>
      </w:r>
      <w:r w:rsidRPr="00A12D6C">
        <w:rPr>
          <w:iCs/>
        </w:rPr>
        <w:t xml:space="preserve"> </w:t>
      </w:r>
    </w:p>
    <w:p w:rsidR="008D197F" w:rsidRDefault="008D197F" w:rsidP="008D197F">
      <w:pPr>
        <w:rPr>
          <w:iCs/>
        </w:rPr>
      </w:pPr>
      <w:r w:rsidRPr="008D197F">
        <w:rPr>
          <w:iCs/>
        </w:rPr>
        <w:t xml:space="preserve">DES providers </w:t>
      </w:r>
      <w:r w:rsidR="00B324DE">
        <w:rPr>
          <w:iCs/>
        </w:rPr>
        <w:t>will be</w:t>
      </w:r>
      <w:r w:rsidR="00B324DE" w:rsidRPr="008D197F">
        <w:rPr>
          <w:iCs/>
        </w:rPr>
        <w:t xml:space="preserve"> </w:t>
      </w:r>
      <w:r w:rsidRPr="008D197F">
        <w:rPr>
          <w:iCs/>
        </w:rPr>
        <w:t xml:space="preserve">required to service all job seekers </w:t>
      </w:r>
      <w:r w:rsidR="00417C6C">
        <w:rPr>
          <w:iCs/>
        </w:rPr>
        <w:t>who select them as their provider</w:t>
      </w:r>
      <w:r w:rsidRPr="008D197F">
        <w:rPr>
          <w:iCs/>
        </w:rPr>
        <w:t xml:space="preserve">. The only exceptions </w:t>
      </w:r>
      <w:r w:rsidR="00B324DE">
        <w:rPr>
          <w:iCs/>
        </w:rPr>
        <w:t>will be</w:t>
      </w:r>
      <w:r w:rsidR="00B324DE" w:rsidRPr="008D197F">
        <w:rPr>
          <w:iCs/>
        </w:rPr>
        <w:t xml:space="preserve"> </w:t>
      </w:r>
      <w:r w:rsidRPr="008D197F">
        <w:rPr>
          <w:iCs/>
        </w:rPr>
        <w:t xml:space="preserve">where the job seeker does not fit the DES provider’s specialisation or the DES provider has exceeded their </w:t>
      </w:r>
      <w:r w:rsidR="00EC29E1">
        <w:rPr>
          <w:iCs/>
        </w:rPr>
        <w:t>nominated capacity</w:t>
      </w:r>
      <w:r w:rsidRPr="008D197F">
        <w:rPr>
          <w:iCs/>
        </w:rPr>
        <w:t>.</w:t>
      </w:r>
    </w:p>
    <w:p w:rsidR="0090726A" w:rsidRPr="008D197F" w:rsidRDefault="0090726A" w:rsidP="008D197F">
      <w:pPr>
        <w:rPr>
          <w:iCs/>
        </w:rPr>
      </w:pPr>
    </w:p>
    <w:p w:rsidR="008D197F" w:rsidRPr="00287BCE" w:rsidRDefault="008D197F" w:rsidP="00287BCE">
      <w:pPr>
        <w:pStyle w:val="Heading2"/>
      </w:pPr>
      <w:bookmarkStart w:id="12" w:name="_Toc483921451"/>
      <w:bookmarkStart w:id="13" w:name="_Toc484692294"/>
      <w:r w:rsidRPr="00287BCE">
        <w:lastRenderedPageBreak/>
        <w:t>Improving competition and contestability</w:t>
      </w:r>
      <w:bookmarkEnd w:id="12"/>
      <w:bookmarkEnd w:id="13"/>
      <w:r w:rsidRPr="00287BCE">
        <w:t xml:space="preserve"> </w:t>
      </w:r>
    </w:p>
    <w:p w:rsidR="008D197F" w:rsidRPr="008D197F" w:rsidRDefault="008D197F" w:rsidP="008D197F">
      <w:pPr>
        <w:rPr>
          <w:u w:val="single"/>
        </w:rPr>
      </w:pPr>
      <w:r w:rsidRPr="008D197F">
        <w:rPr>
          <w:bCs/>
        </w:rPr>
        <w:t xml:space="preserve">Under the new DES program, market share arrangements will be removed. This means DES providers will need to attract job seekers to their organisation, rather than relying on a percentage of </w:t>
      </w:r>
      <w:r w:rsidR="00100710">
        <w:rPr>
          <w:bCs/>
        </w:rPr>
        <w:t>e</w:t>
      </w:r>
      <w:r w:rsidRPr="008D197F">
        <w:rPr>
          <w:bCs/>
        </w:rPr>
        <w:t>ligible job seekers being referred</w:t>
      </w:r>
      <w:r w:rsidR="008E1805">
        <w:rPr>
          <w:bCs/>
        </w:rPr>
        <w:t xml:space="preserve"> to</w:t>
      </w:r>
      <w:r w:rsidR="00100710">
        <w:rPr>
          <w:bCs/>
        </w:rPr>
        <w:t xml:space="preserve"> them</w:t>
      </w:r>
      <w:r w:rsidRPr="008D197F">
        <w:rPr>
          <w:bCs/>
        </w:rPr>
        <w:t xml:space="preserve"> by Centrelink. </w:t>
      </w:r>
    </w:p>
    <w:p w:rsidR="008D197F" w:rsidRPr="008D197F" w:rsidRDefault="008D197F" w:rsidP="008D197F">
      <w:r w:rsidRPr="008D197F">
        <w:t>Providers will need to attract business by developing a desirable and reputable service</w:t>
      </w:r>
      <w:r w:rsidR="00753A7F">
        <w:t>,</w:t>
      </w:r>
      <w:r w:rsidRPr="008D197F">
        <w:t xml:space="preserve"> and establishing a proven record for effective service delivery within their ESA(s). </w:t>
      </w:r>
    </w:p>
    <w:p w:rsidR="003B5471" w:rsidRDefault="008D197F" w:rsidP="008D197F">
      <w:r w:rsidRPr="008D197F">
        <w:t xml:space="preserve">A Panel of DES Providers will be established for an initial five-year period. </w:t>
      </w:r>
    </w:p>
    <w:p w:rsidR="003B5471" w:rsidRDefault="008D197F" w:rsidP="008D197F">
      <w:r w:rsidRPr="008D197F">
        <w:t xml:space="preserve">Following this initial intake, subsequent </w:t>
      </w:r>
      <w:r w:rsidR="00937018">
        <w:t>g</w:t>
      </w:r>
      <w:r w:rsidRPr="008D197F">
        <w:t xml:space="preserve">rant </w:t>
      </w:r>
      <w:r w:rsidR="008E1805">
        <w:t>a</w:t>
      </w:r>
      <w:r w:rsidRPr="008D197F">
        <w:t xml:space="preserve">pplication processes will be undertaken for DES on a regular basis, up to once a year, to allow new providers to enter the market </w:t>
      </w:r>
      <w:r w:rsidR="00753A7F">
        <w:t>and/</w:t>
      </w:r>
      <w:r w:rsidRPr="008D197F">
        <w:t>or existing providers to increase their business in other regions</w:t>
      </w:r>
      <w:r w:rsidR="00753A7F">
        <w:t>;</w:t>
      </w:r>
      <w:r w:rsidRPr="008D197F">
        <w:t xml:space="preserve"> and poor</w:t>
      </w:r>
      <w:r w:rsidR="00753A7F">
        <w:t>-</w:t>
      </w:r>
      <w:r w:rsidRPr="008D197F">
        <w:t xml:space="preserve">performing providers to </w:t>
      </w:r>
      <w:r w:rsidR="00753A7F">
        <w:t>be removed from</w:t>
      </w:r>
      <w:r w:rsidR="00753A7F" w:rsidRPr="008D197F">
        <w:t xml:space="preserve"> </w:t>
      </w:r>
      <w:r w:rsidRPr="008D197F">
        <w:t>the Panel</w:t>
      </w:r>
      <w:r w:rsidR="008E1805">
        <w:t xml:space="preserve"> of DES Providers</w:t>
      </w:r>
      <w:r w:rsidRPr="008D197F">
        <w:t xml:space="preserve">. </w:t>
      </w:r>
    </w:p>
    <w:p w:rsidR="008D197F" w:rsidRPr="008D197F" w:rsidRDefault="00937018" w:rsidP="008D197F">
      <w:r>
        <w:t>Grant Agreements will include multiple options to extend</w:t>
      </w:r>
      <w:r w:rsidR="008D197F" w:rsidRPr="008D197F">
        <w:t xml:space="preserve"> beyond </w:t>
      </w:r>
      <w:r w:rsidR="009475F5">
        <w:t xml:space="preserve">June </w:t>
      </w:r>
      <w:r w:rsidR="008D197F" w:rsidRPr="008D197F">
        <w:t xml:space="preserve">2023, </w:t>
      </w:r>
      <w:r w:rsidR="008F12D7">
        <w:t>fo</w:t>
      </w:r>
      <w:r w:rsidR="00220A00">
        <w:t xml:space="preserve">r </w:t>
      </w:r>
      <w:r w:rsidR="008D197F" w:rsidRPr="008D197F">
        <w:t>up to a maximum additional 10 years</w:t>
      </w:r>
      <w:r w:rsidR="00220A00">
        <w:t xml:space="preserve"> (</w:t>
      </w:r>
      <w:r w:rsidR="00753A7F">
        <w:t>i.e.</w:t>
      </w:r>
      <w:r w:rsidR="00220A00">
        <w:t xml:space="preserve"> up to</w:t>
      </w:r>
      <w:r w:rsidR="00753A7F">
        <w:t>,</w:t>
      </w:r>
      <w:r w:rsidR="00220A00">
        <w:t xml:space="preserve"> but not beyond June 2033)</w:t>
      </w:r>
      <w:r w:rsidR="008D197F" w:rsidRPr="008D197F">
        <w:t>.</w:t>
      </w:r>
    </w:p>
    <w:p w:rsidR="008D197F" w:rsidRPr="008D197F" w:rsidRDefault="008D197F" w:rsidP="008D197F">
      <w:r w:rsidRPr="008D197F">
        <w:t xml:space="preserve">The </w:t>
      </w:r>
      <w:r w:rsidR="003B5471">
        <w:t xml:space="preserve">Panel of </w:t>
      </w:r>
      <w:r w:rsidRPr="008D197F">
        <w:t>DES Provider</w:t>
      </w:r>
      <w:r w:rsidR="003B5471">
        <w:t xml:space="preserve">s </w:t>
      </w:r>
      <w:r w:rsidRPr="008D197F">
        <w:t xml:space="preserve">will include organisations </w:t>
      </w:r>
      <w:r w:rsidR="00753A7F">
        <w:t>that</w:t>
      </w:r>
      <w:r w:rsidR="00753A7F" w:rsidRPr="008D197F">
        <w:t xml:space="preserve"> </w:t>
      </w:r>
      <w:r w:rsidRPr="008D197F">
        <w:t xml:space="preserve">have demonstrated their past performance in the disability sector and/or the employment services sector. </w:t>
      </w:r>
    </w:p>
    <w:p w:rsidR="008D197F" w:rsidRPr="00287BCE" w:rsidRDefault="008D197F" w:rsidP="00287BCE">
      <w:pPr>
        <w:pStyle w:val="Heading2"/>
      </w:pPr>
      <w:bookmarkStart w:id="14" w:name="_Toc483921452"/>
      <w:bookmarkStart w:id="15" w:name="_Toc484692295"/>
      <w:r w:rsidRPr="00287BCE">
        <w:t>Changes to the DES funding model</w:t>
      </w:r>
      <w:bookmarkEnd w:id="14"/>
      <w:bookmarkEnd w:id="15"/>
      <w:r w:rsidRPr="00287BCE">
        <w:t xml:space="preserve"> </w:t>
      </w:r>
    </w:p>
    <w:p w:rsidR="008D197F" w:rsidRPr="008D197F" w:rsidRDefault="008D197F" w:rsidP="008D197F">
      <w:pPr>
        <w:rPr>
          <w:i/>
        </w:rPr>
      </w:pPr>
      <w:r w:rsidRPr="008D197F">
        <w:rPr>
          <w:i/>
        </w:rPr>
        <w:t xml:space="preserve">Rebalancing the </w:t>
      </w:r>
      <w:r w:rsidR="00670D41">
        <w:rPr>
          <w:i/>
        </w:rPr>
        <w:t>s</w:t>
      </w:r>
      <w:r w:rsidRPr="008D197F">
        <w:rPr>
          <w:i/>
        </w:rPr>
        <w:t>p</w:t>
      </w:r>
      <w:r w:rsidR="008E1805">
        <w:rPr>
          <w:i/>
        </w:rPr>
        <w:t>li</w:t>
      </w:r>
      <w:r w:rsidRPr="008D197F">
        <w:rPr>
          <w:i/>
        </w:rPr>
        <w:t>t between Service Fees and Outcome Fees</w:t>
      </w:r>
    </w:p>
    <w:p w:rsidR="008D197F" w:rsidRPr="008D197F" w:rsidRDefault="008D197F" w:rsidP="008D197F">
      <w:r w:rsidRPr="008D197F">
        <w:t xml:space="preserve">The payment model will be adjusted to rebalance </w:t>
      </w:r>
      <w:r w:rsidR="009475F5">
        <w:t xml:space="preserve">Government </w:t>
      </w:r>
      <w:r w:rsidRPr="008D197F">
        <w:t>expenditure from the current split of 60 per cent Service fees and 40 per cent Outcome Fees to a new 50:50 split of Service Fees to Outcome Fees (at current levels of program performance)</w:t>
      </w:r>
      <w:r w:rsidR="00753A7F">
        <w:t>. This will</w:t>
      </w:r>
      <w:r w:rsidRPr="008D197F">
        <w:t xml:space="preserve"> provide stronger incentives for providers to support participants towards employment</w:t>
      </w:r>
      <w:r w:rsidR="00B30867">
        <w:t xml:space="preserve"> and to help them stay in employment</w:t>
      </w:r>
      <w:r w:rsidRPr="008D197F">
        <w:t>.</w:t>
      </w:r>
      <w:r w:rsidR="009475F5">
        <w:t xml:space="preserve"> As a result, service fees will be lower under the new model and outcome fees will be higher under the new DES model.</w:t>
      </w:r>
    </w:p>
    <w:p w:rsidR="008D197F" w:rsidRPr="008D197F" w:rsidRDefault="008D197F" w:rsidP="008D197F">
      <w:pPr>
        <w:rPr>
          <w:bCs/>
          <w:i/>
        </w:rPr>
      </w:pPr>
      <w:r w:rsidRPr="008D197F">
        <w:rPr>
          <w:bCs/>
          <w:i/>
        </w:rPr>
        <w:t>Pro-rated Service Fees</w:t>
      </w:r>
    </w:p>
    <w:p w:rsidR="00EA7A54" w:rsidRDefault="008D197F" w:rsidP="008D197F">
      <w:r w:rsidRPr="008D197F">
        <w:rPr>
          <w:bCs/>
        </w:rPr>
        <w:t xml:space="preserve">Pro-rating of </w:t>
      </w:r>
      <w:r w:rsidR="00220A00">
        <w:rPr>
          <w:bCs/>
        </w:rPr>
        <w:t xml:space="preserve">quarterly </w:t>
      </w:r>
      <w:r w:rsidRPr="008D197F">
        <w:rPr>
          <w:bCs/>
        </w:rPr>
        <w:t xml:space="preserve">Service Fees will be introduced, so funding follows the participant when they change providers. </w:t>
      </w:r>
      <w:r w:rsidRPr="008D197F">
        <w:t>To accommodate a potential increase in participant transfers under the new DES program, pro</w:t>
      </w:r>
      <w:r w:rsidRPr="008D197F">
        <w:noBreakHyphen/>
        <w:t>rated Service Fees with a recovery mechanism will be introduced.</w:t>
      </w:r>
    </w:p>
    <w:p w:rsidR="008D197F" w:rsidRDefault="008D197F" w:rsidP="008D197F">
      <w:r w:rsidRPr="008D197F">
        <w:t xml:space="preserve">Providers will continue to be paid upfront quarterly Service Fees, and if a participant changes provider, the receiving provider will receive a pro-rated payment. The relinquishing provider will have a proportion of the participant’s Service Fees deducted from future payments based on the amount of time left in the Service Fee period </w:t>
      </w:r>
      <w:r w:rsidR="00220A00">
        <w:t>after</w:t>
      </w:r>
      <w:r w:rsidR="00220A00" w:rsidRPr="008D197F">
        <w:t xml:space="preserve"> </w:t>
      </w:r>
      <w:r w:rsidRPr="008D197F">
        <w:t>their transfer to another provider.</w:t>
      </w:r>
    </w:p>
    <w:p w:rsidR="009F4B6D" w:rsidRDefault="009F4B6D" w:rsidP="008D197F">
      <w:r w:rsidRPr="00973151">
        <w:t xml:space="preserve">For example, a provider would be paid the 13-week Service Fee up-front. After seven weeks, the participant changes provider, and the gaining provider receives the remaining six weeks of the 13-week Service Fee. The equivalent of six weeks </w:t>
      </w:r>
      <w:r w:rsidR="00497C81" w:rsidRPr="00973151">
        <w:t>service fee will be deducted from the losing provider</w:t>
      </w:r>
      <w:r w:rsidR="00DA6E6B" w:rsidRPr="00973151">
        <w:t>’</w:t>
      </w:r>
      <w:r w:rsidR="00497C81" w:rsidRPr="00973151">
        <w:t>s next payment from DSS.</w:t>
      </w:r>
    </w:p>
    <w:p w:rsidR="00F67AC5" w:rsidRDefault="00F67AC5">
      <w:pPr>
        <w:spacing w:before="0" w:after="200" w:line="276" w:lineRule="auto"/>
        <w:rPr>
          <w:i/>
        </w:rPr>
      </w:pPr>
      <w:r>
        <w:rPr>
          <w:i/>
        </w:rPr>
        <w:br w:type="page"/>
      </w:r>
    </w:p>
    <w:p w:rsidR="008D197F" w:rsidRPr="008D197F" w:rsidRDefault="008D197F" w:rsidP="008D197F">
      <w:pPr>
        <w:rPr>
          <w:i/>
        </w:rPr>
      </w:pPr>
      <w:r w:rsidRPr="008D197F">
        <w:rPr>
          <w:i/>
        </w:rPr>
        <w:lastRenderedPageBreak/>
        <w:t xml:space="preserve">Risk-adjusted funding model </w:t>
      </w:r>
    </w:p>
    <w:p w:rsidR="008D197F" w:rsidRPr="008D197F" w:rsidRDefault="008D197F" w:rsidP="008D197F">
      <w:r w:rsidRPr="008D197F">
        <w:t>The new DES program will introduce a new way of calculating Outcome Fees</w:t>
      </w:r>
      <w:r w:rsidR="00B30867">
        <w:t xml:space="preserve">, which </w:t>
      </w:r>
      <w:r w:rsidRPr="008D197F">
        <w:t xml:space="preserve">will be risk-adjusted. The ‘risk adjusted funding model’ acknowledges some participants will require more support to place in work than others. </w:t>
      </w:r>
    </w:p>
    <w:p w:rsidR="00EA7A54" w:rsidRDefault="008D197F" w:rsidP="008D197F">
      <w:r w:rsidRPr="008D197F">
        <w:t>Outcome fees will be calculated based on the probability of a participant achieving an Employment Outcome. A participant’s funding level will be determined by a number of factors, including labour market data, demographic characteristics, disability type and other relevant statistical data</w:t>
      </w:r>
      <w:r w:rsidR="00220A00">
        <w:t xml:space="preserve"> using an actuarial model developed by </w:t>
      </w:r>
      <w:r w:rsidR="005F0C48">
        <w:t>T</w:t>
      </w:r>
      <w:r w:rsidR="00220A00">
        <w:t xml:space="preserve">aylor </w:t>
      </w:r>
      <w:r w:rsidR="005F0C48">
        <w:t>Fry</w:t>
      </w:r>
      <w:r w:rsidR="00220A00">
        <w:t xml:space="preserve"> for DSS</w:t>
      </w:r>
      <w:r w:rsidRPr="008D197F">
        <w:t xml:space="preserve">. Those less likely to secure long-term employment will be assigned to higher funding levels, while those with higher probabilities will be assigned to lower funding levels. </w:t>
      </w:r>
    </w:p>
    <w:p w:rsidR="00490842" w:rsidRDefault="008D197F" w:rsidP="00FD2FBC">
      <w:r w:rsidRPr="008D197F">
        <w:t>The DES-DMS and DES-ESS services will both have five funding levels under the new funding model</w:t>
      </w:r>
      <w:r w:rsidR="00670D41">
        <w:t>,</w:t>
      </w:r>
      <w:r w:rsidRPr="008D197F">
        <w:t xml:space="preserve"> with level one being the lowest funding level and level five the highest. </w:t>
      </w:r>
      <w:r w:rsidR="00220A00">
        <w:t>T</w:t>
      </w:r>
      <w:r w:rsidR="00FD2FBC">
        <w:t xml:space="preserve">he </w:t>
      </w:r>
      <w:r w:rsidR="00FD2FBC" w:rsidRPr="00A5268D">
        <w:t xml:space="preserve">tables </w:t>
      </w:r>
      <w:r w:rsidR="00FD2FBC">
        <w:t xml:space="preserve">at </w:t>
      </w:r>
      <w:r w:rsidR="00FD2FBC" w:rsidRPr="00670D41">
        <w:rPr>
          <w:u w:val="single"/>
        </w:rPr>
        <w:t xml:space="preserve">Appendix </w:t>
      </w:r>
      <w:r w:rsidR="008D45D9" w:rsidRPr="00670D41">
        <w:rPr>
          <w:u w:val="single"/>
        </w:rPr>
        <w:t>1</w:t>
      </w:r>
      <w:r w:rsidR="00FD2FBC" w:rsidRPr="00A5268D">
        <w:t xml:space="preserve"> are intended to provide an indication of </w:t>
      </w:r>
      <w:r w:rsidR="00220A00">
        <w:t>distribution across payment levels fo</w:t>
      </w:r>
      <w:r w:rsidR="005F0C48">
        <w:t>r</w:t>
      </w:r>
      <w:r w:rsidR="00220A00">
        <w:t xml:space="preserve"> the current caseload for each ESA. </w:t>
      </w:r>
      <w:r w:rsidR="00FD2FBC" w:rsidRPr="00A5268D">
        <w:t xml:space="preserve"> </w:t>
      </w:r>
    </w:p>
    <w:p w:rsidR="00FD2FBC" w:rsidRPr="00A5268D" w:rsidRDefault="00FD2FBC" w:rsidP="00FD2FBC">
      <w:r w:rsidRPr="00A5268D">
        <w:t>The data represents the new bands to which actual participants would have been allocated based on their individual characteristics</w:t>
      </w:r>
      <w:r w:rsidR="00B30867">
        <w:t>,</w:t>
      </w:r>
      <w:r w:rsidRPr="00A5268D">
        <w:t xml:space="preserve"> as well as local employment market conditions covering the year to March 2017. </w:t>
      </w:r>
    </w:p>
    <w:p w:rsidR="008D197F" w:rsidRPr="008D197F" w:rsidRDefault="008D197F" w:rsidP="008D197F">
      <w:r w:rsidRPr="008D197F">
        <w:t>The funding model is designed to ensure that providers have the right incentives to assist every DES participant towards an employment outcome</w:t>
      </w:r>
      <w:r w:rsidR="005E5A1B">
        <w:t xml:space="preserve"> including those</w:t>
      </w:r>
      <w:r w:rsidR="00220A00">
        <w:t xml:space="preserve"> for whom greate</w:t>
      </w:r>
      <w:r w:rsidR="00B30867">
        <w:t>r</w:t>
      </w:r>
      <w:r w:rsidR="00220A00">
        <w:t xml:space="preserve"> support is required to achieve an outcome</w:t>
      </w:r>
      <w:r w:rsidRPr="008D197F">
        <w:t>. The model will be recalibrated from time to time using the most recent available data to reflect changes in outcome rates by participant characteristics and local labour markets.</w:t>
      </w:r>
    </w:p>
    <w:p w:rsidR="008D197F" w:rsidRPr="008D197F" w:rsidRDefault="008D197F" w:rsidP="008D197F">
      <w:pPr>
        <w:rPr>
          <w:i/>
        </w:rPr>
      </w:pPr>
      <w:r w:rsidRPr="008D197F">
        <w:rPr>
          <w:i/>
        </w:rPr>
        <w:t xml:space="preserve">Employment Outcomes  </w:t>
      </w:r>
    </w:p>
    <w:p w:rsidR="008D197F" w:rsidRPr="008D197F" w:rsidRDefault="008D197F" w:rsidP="008D197F">
      <w:r w:rsidRPr="008D197F">
        <w:t xml:space="preserve">The new funding model places greater emphasis on job matching and supporting participants towards achieving sustainable Employment Outcomes by providing a four and </w:t>
      </w:r>
      <w:r w:rsidR="00927605">
        <w:t xml:space="preserve">a </w:t>
      </w:r>
      <w:r w:rsidRPr="008D197F">
        <w:t>52-week Outcome Fee, in addition to the existing 13 and 26</w:t>
      </w:r>
      <w:r w:rsidR="00B30867">
        <w:t>-</w:t>
      </w:r>
      <w:r w:rsidRPr="008D197F">
        <w:t xml:space="preserve">Week Outcome Fees. </w:t>
      </w:r>
    </w:p>
    <w:p w:rsidR="00EA7A54" w:rsidRDefault="008D197F" w:rsidP="008D197F">
      <w:r w:rsidRPr="008D197F">
        <w:t>The four-week Outcome Fee will replace the current job placement fee which is paid when the participant is first place</w:t>
      </w:r>
      <w:r w:rsidR="00EA7A54">
        <w:t>d</w:t>
      </w:r>
      <w:r w:rsidRPr="008D197F">
        <w:t xml:space="preserve"> in a job. It will be payable </w:t>
      </w:r>
      <w:r w:rsidR="00E66F6F">
        <w:t>when</w:t>
      </w:r>
      <w:r w:rsidR="00E66F6F" w:rsidRPr="008D197F">
        <w:t xml:space="preserve"> </w:t>
      </w:r>
      <w:r w:rsidRPr="008D197F">
        <w:t xml:space="preserve">a </w:t>
      </w:r>
      <w:r w:rsidRPr="00973151">
        <w:t xml:space="preserve">participant </w:t>
      </w:r>
      <w:r w:rsidR="00B30867" w:rsidRPr="00973151">
        <w:t xml:space="preserve">has worked </w:t>
      </w:r>
      <w:r w:rsidR="00F8348D" w:rsidRPr="00973151">
        <w:t xml:space="preserve">at or more than </w:t>
      </w:r>
      <w:r w:rsidRPr="00973151">
        <w:t>their Employment Benchmark hours for at least three weeks over a fo</w:t>
      </w:r>
      <w:r w:rsidRPr="00241810">
        <w:t>ur</w:t>
      </w:r>
      <w:r w:rsidR="00EA7A54" w:rsidRPr="00241810">
        <w:t>-</w:t>
      </w:r>
      <w:r w:rsidRPr="00241810">
        <w:t xml:space="preserve">week period. </w:t>
      </w:r>
      <w:r w:rsidR="009E0535" w:rsidRPr="00973151">
        <w:t>In recognition that participants may need multiple attempts to secure sustainable employment, providers will be eligible to claim up to four four</w:t>
      </w:r>
      <w:r w:rsidR="00083D4C">
        <w:noBreakHyphen/>
      </w:r>
      <w:r w:rsidR="009E0535" w:rsidRPr="00973151">
        <w:t>week Outcome Fee payments for a single participant.</w:t>
      </w:r>
    </w:p>
    <w:p w:rsidR="00EA7A54" w:rsidRDefault="008D197F" w:rsidP="008D197F">
      <w:r w:rsidRPr="008D197F">
        <w:t xml:space="preserve">The 52 week Outcome Fee is payable when a participant </w:t>
      </w:r>
      <w:r w:rsidR="00B30867">
        <w:t>has worked</w:t>
      </w:r>
      <w:r w:rsidR="00B30867" w:rsidRPr="008D197F">
        <w:t xml:space="preserve"> </w:t>
      </w:r>
      <w:r w:rsidR="00F8348D">
        <w:t xml:space="preserve">at or more than </w:t>
      </w:r>
      <w:r w:rsidRPr="008D197F">
        <w:t>their Employment Benchmark hours for 52 weeks since they started their employment</w:t>
      </w:r>
      <w:r w:rsidR="00304D42">
        <w:t xml:space="preserve"> (taking into account allowable breaks)</w:t>
      </w:r>
      <w:r w:rsidRPr="008D197F">
        <w:t xml:space="preserve">. </w:t>
      </w:r>
    </w:p>
    <w:p w:rsidR="008D197F" w:rsidRDefault="00497C81" w:rsidP="008D197F">
      <w:r w:rsidRPr="00973151">
        <w:t>Pathway Outcomes will be payable if a participant works</w:t>
      </w:r>
      <w:r w:rsidR="00973151" w:rsidRPr="00973151">
        <w:t>,</w:t>
      </w:r>
      <w:r w:rsidRPr="00973151">
        <w:t xml:space="preserve"> on average, two-thirds of their employment benchmark hours, for each week for 13, 26 or 52 consecutive weeks. Pathway Outcomes will not be available for </w:t>
      </w:r>
      <w:r w:rsidR="002630C9">
        <w:t>f</w:t>
      </w:r>
      <w:r w:rsidRPr="00973151">
        <w:t>our-Week Outcomes. For example, if a participant with a 30</w:t>
      </w:r>
      <w:r w:rsidR="00973151" w:rsidRPr="00973151">
        <w:t>-</w:t>
      </w:r>
      <w:r w:rsidRPr="00973151">
        <w:t>hour employment benchmark works at least 20 hours but less than 30 hours a week, on average, for each week for 13, 26 or 52 consecutive weeks, then a Pathway Outcome will be payable.</w:t>
      </w:r>
      <w:r>
        <w:t xml:space="preserve"> </w:t>
      </w:r>
    </w:p>
    <w:p w:rsidR="00640FD3" w:rsidRDefault="00640FD3" w:rsidP="00640FD3">
      <w:r w:rsidRPr="00684791">
        <w:lastRenderedPageBreak/>
        <w:t>The DES program has in-built flexibility which will accommodate the increasing casualisation of the workforce. For example, DES allows participants to take break</w:t>
      </w:r>
      <w:r>
        <w:t>s during Post-Placement Support</w:t>
      </w:r>
      <w:r w:rsidRPr="00684791">
        <w:t xml:space="preserve">, which recognises that extra time may be needed to successfully find alternative employment for participants with disability when they lose </w:t>
      </w:r>
      <w:r>
        <w:t xml:space="preserve">or change </w:t>
      </w:r>
      <w:r w:rsidRPr="00684791">
        <w:t>their employment. This allows participants to move jobs in instances where employment ceases, or if the employment position does not offer enough hours. Additionally, permissible breaks recognise that some situations may arise that are beyond the control of the participant that interfere with their capacity to continue in employment without a break. This will allow the participant to meet their mutual obligation requirements in instances where their employment does not offer paid leave, as is the case for many</w:t>
      </w:r>
      <w:r>
        <w:t xml:space="preserve"> casual or part-time positions.</w:t>
      </w:r>
    </w:p>
    <w:p w:rsidR="008D197F" w:rsidRPr="008D197F" w:rsidRDefault="008D197F" w:rsidP="008D197F">
      <w:pPr>
        <w:rPr>
          <w:i/>
        </w:rPr>
      </w:pPr>
      <w:r w:rsidRPr="008D197F">
        <w:rPr>
          <w:i/>
        </w:rPr>
        <w:t xml:space="preserve">Education Outcomes </w:t>
      </w:r>
    </w:p>
    <w:p w:rsidR="00EA7A54" w:rsidRDefault="008D197F" w:rsidP="008D197F">
      <w:r w:rsidRPr="008D197F">
        <w:t xml:space="preserve">The criteria for achieving Education Outcomes will be strengthened to ensure that when a DES participant is in education, it is improving their </w:t>
      </w:r>
      <w:r w:rsidR="00220A00">
        <w:t>chances of achieving employment.</w:t>
      </w:r>
      <w:r w:rsidRPr="008D197F">
        <w:t xml:space="preserve"> </w:t>
      </w:r>
    </w:p>
    <w:p w:rsidR="008D197F" w:rsidRPr="008D197F" w:rsidRDefault="008D197F" w:rsidP="008D197F">
      <w:r w:rsidRPr="008D197F">
        <w:rPr>
          <w:bCs/>
        </w:rPr>
        <w:t xml:space="preserve">More robust Education Outcome requirements will help ensure that education for participants is more likely to lead to a job. The changes include: </w:t>
      </w:r>
    </w:p>
    <w:p w:rsidR="001F4579" w:rsidRPr="001F4579" w:rsidRDefault="001F4579" w:rsidP="00A86E3C">
      <w:pPr>
        <w:pStyle w:val="ListParagraph"/>
        <w:numPr>
          <w:ilvl w:val="0"/>
          <w:numId w:val="25"/>
        </w:numPr>
        <w:rPr>
          <w:iCs/>
        </w:rPr>
      </w:pPr>
      <w:r w:rsidRPr="001F4579">
        <w:rPr>
          <w:iCs/>
        </w:rPr>
        <w:t xml:space="preserve">a Certificate 3 minimum is now a requirement to attract Full Outcome payments </w:t>
      </w:r>
    </w:p>
    <w:p w:rsidR="001F4579" w:rsidRPr="001F4579" w:rsidRDefault="001F4579" w:rsidP="00A86E3C">
      <w:pPr>
        <w:pStyle w:val="ListParagraph"/>
        <w:numPr>
          <w:ilvl w:val="0"/>
          <w:numId w:val="25"/>
        </w:numPr>
        <w:rPr>
          <w:iCs/>
        </w:rPr>
      </w:pPr>
      <w:r w:rsidRPr="001F4579">
        <w:rPr>
          <w:iCs/>
        </w:rPr>
        <w:t>Participants eligible to attract Full Outcome payments will be widened to those without a year</w:t>
      </w:r>
      <w:r w:rsidR="00B30867">
        <w:rPr>
          <w:iCs/>
        </w:rPr>
        <w:t>-</w:t>
      </w:r>
      <w:r w:rsidRPr="001F4579">
        <w:rPr>
          <w:iCs/>
        </w:rPr>
        <w:t>12 equivalent qualification and Disability Support Pension recipients with mutual obligation requirements</w:t>
      </w:r>
    </w:p>
    <w:p w:rsidR="001F4579" w:rsidRPr="00973151" w:rsidRDefault="00B30867" w:rsidP="001F4579">
      <w:pPr>
        <w:pStyle w:val="ListParagraph"/>
        <w:numPr>
          <w:ilvl w:val="0"/>
          <w:numId w:val="25"/>
        </w:numPr>
        <w:rPr>
          <w:iCs/>
        </w:rPr>
      </w:pPr>
      <w:r w:rsidRPr="00973151">
        <w:rPr>
          <w:iCs/>
        </w:rPr>
        <w:t>Y</w:t>
      </w:r>
      <w:r w:rsidR="001F4579" w:rsidRPr="00973151">
        <w:rPr>
          <w:iCs/>
        </w:rPr>
        <w:t>ear</w:t>
      </w:r>
      <w:r w:rsidRPr="00973151">
        <w:rPr>
          <w:iCs/>
        </w:rPr>
        <w:t>-</w:t>
      </w:r>
      <w:r w:rsidR="001F4579" w:rsidRPr="00973151">
        <w:rPr>
          <w:iCs/>
        </w:rPr>
        <w:t>12 equivalency will be redefined from a Certificate 2 to a Certificate 3</w:t>
      </w:r>
    </w:p>
    <w:p w:rsidR="001F4579" w:rsidRPr="00973151" w:rsidRDefault="001F4579" w:rsidP="00A86E3C">
      <w:pPr>
        <w:pStyle w:val="ListParagraph"/>
        <w:numPr>
          <w:ilvl w:val="0"/>
          <w:numId w:val="25"/>
        </w:numPr>
        <w:rPr>
          <w:iCs/>
        </w:rPr>
      </w:pPr>
      <w:r w:rsidRPr="00973151">
        <w:rPr>
          <w:iCs/>
        </w:rPr>
        <w:t xml:space="preserve">13-week Pathway Employment Outcomes are now available for providers </w:t>
      </w:r>
      <w:r w:rsidR="00B30867" w:rsidRPr="00973151">
        <w:rPr>
          <w:iCs/>
        </w:rPr>
        <w:t>who</w:t>
      </w:r>
      <w:r w:rsidRPr="00973151">
        <w:rPr>
          <w:iCs/>
        </w:rPr>
        <w:t xml:space="preserve"> have already claimed a 13-week Pathway Education Outcome for that Participant </w:t>
      </w:r>
    </w:p>
    <w:p w:rsidR="001F4579" w:rsidRPr="00973151" w:rsidRDefault="001F4579" w:rsidP="00A86E3C">
      <w:pPr>
        <w:pStyle w:val="ListParagraph"/>
        <w:numPr>
          <w:ilvl w:val="0"/>
          <w:numId w:val="25"/>
        </w:numPr>
        <w:rPr>
          <w:iCs/>
        </w:rPr>
      </w:pPr>
      <w:r w:rsidRPr="00973151">
        <w:rPr>
          <w:iCs/>
        </w:rPr>
        <w:t>Providers claiming Education Outcomes will now need to submit evidence that a participant is fulfilling the course requirements</w:t>
      </w:r>
      <w:r w:rsidR="00A86E3C" w:rsidRPr="00973151">
        <w:rPr>
          <w:iCs/>
        </w:rPr>
        <w:t>.</w:t>
      </w:r>
    </w:p>
    <w:p w:rsidR="00977411" w:rsidRDefault="008D197F" w:rsidP="008D197F">
      <w:r w:rsidRPr="008D197F">
        <w:t>As part of th</w:t>
      </w:r>
      <w:r w:rsidR="00A86E3C">
        <w:t xml:space="preserve">e Youth Jobs Prepare-Trial-Hire </w:t>
      </w:r>
      <w:r w:rsidRPr="008D197F">
        <w:t>(PaTH) initiative managed by the Department of Employment (</w:t>
      </w:r>
      <w:r w:rsidR="00ED09E5">
        <w:t>Employment</w:t>
      </w:r>
      <w:r w:rsidRPr="008D197F">
        <w:t xml:space="preserve">), </w:t>
      </w:r>
      <w:r w:rsidR="0021703D">
        <w:t xml:space="preserve">a new outcome payment will be payable to DES providers </w:t>
      </w:r>
      <w:r w:rsidR="00220A00">
        <w:t xml:space="preserve">from 1 July 2018 </w:t>
      </w:r>
      <w:r w:rsidR="0021703D">
        <w:t xml:space="preserve">when </w:t>
      </w:r>
      <w:r w:rsidRPr="008D197F">
        <w:t>DES participants</w:t>
      </w:r>
      <w:r w:rsidR="00977411">
        <w:t>:</w:t>
      </w:r>
    </w:p>
    <w:p w:rsidR="00977411" w:rsidRPr="00A12D6C" w:rsidRDefault="00977411" w:rsidP="00A12D6C">
      <w:pPr>
        <w:pStyle w:val="ListParagraph"/>
        <w:numPr>
          <w:ilvl w:val="0"/>
          <w:numId w:val="25"/>
        </w:numPr>
        <w:spacing w:after="0"/>
        <w:rPr>
          <w:iCs/>
        </w:rPr>
      </w:pPr>
      <w:r w:rsidRPr="00A12D6C">
        <w:rPr>
          <w:iCs/>
        </w:rPr>
        <w:t xml:space="preserve">are </w:t>
      </w:r>
      <w:r w:rsidR="008D197F" w:rsidRPr="00A12D6C">
        <w:rPr>
          <w:iCs/>
        </w:rPr>
        <w:t xml:space="preserve">aged 17 to 24 </w:t>
      </w:r>
      <w:r w:rsidRPr="00A12D6C">
        <w:rPr>
          <w:iCs/>
        </w:rPr>
        <w:t>years inclusive; and</w:t>
      </w:r>
    </w:p>
    <w:p w:rsidR="00977411" w:rsidRPr="00A12D6C" w:rsidRDefault="00977411" w:rsidP="00A12D6C">
      <w:pPr>
        <w:pStyle w:val="ListParagraph"/>
        <w:numPr>
          <w:ilvl w:val="0"/>
          <w:numId w:val="25"/>
        </w:numPr>
        <w:spacing w:after="0"/>
        <w:rPr>
          <w:iCs/>
        </w:rPr>
      </w:pPr>
      <w:r w:rsidRPr="00A12D6C">
        <w:rPr>
          <w:iCs/>
        </w:rPr>
        <w:t>receive</w:t>
      </w:r>
      <w:r w:rsidR="00F07B57" w:rsidRPr="00A12D6C">
        <w:rPr>
          <w:iCs/>
        </w:rPr>
        <w:t xml:space="preserve"> income support</w:t>
      </w:r>
      <w:r w:rsidRPr="00A12D6C">
        <w:rPr>
          <w:iCs/>
        </w:rPr>
        <w:t>;</w:t>
      </w:r>
      <w:r w:rsidR="00F07B57" w:rsidRPr="00A12D6C">
        <w:rPr>
          <w:iCs/>
        </w:rPr>
        <w:t xml:space="preserve"> and</w:t>
      </w:r>
    </w:p>
    <w:p w:rsidR="00977411" w:rsidRPr="00A12D6C" w:rsidRDefault="008D197F" w:rsidP="00A12D6C">
      <w:pPr>
        <w:pStyle w:val="ListParagraph"/>
        <w:numPr>
          <w:ilvl w:val="0"/>
          <w:numId w:val="25"/>
        </w:numPr>
        <w:spacing w:after="0"/>
        <w:rPr>
          <w:iCs/>
        </w:rPr>
      </w:pPr>
      <w:r w:rsidRPr="00A12D6C">
        <w:rPr>
          <w:iCs/>
        </w:rPr>
        <w:t>have</w:t>
      </w:r>
      <w:r w:rsidR="00F07B57" w:rsidRPr="00A12D6C">
        <w:rPr>
          <w:iCs/>
        </w:rPr>
        <w:t xml:space="preserve"> mutual obligation requirements</w:t>
      </w:r>
      <w:r w:rsidR="00977411" w:rsidRPr="00A12D6C">
        <w:rPr>
          <w:iCs/>
        </w:rPr>
        <w:t xml:space="preserve">; </w:t>
      </w:r>
      <w:r w:rsidR="00F07B57" w:rsidRPr="00A12D6C">
        <w:rPr>
          <w:iCs/>
        </w:rPr>
        <w:t xml:space="preserve">and </w:t>
      </w:r>
    </w:p>
    <w:p w:rsidR="000017EE" w:rsidRPr="00A12D6C" w:rsidRDefault="00977411" w:rsidP="00A12D6C">
      <w:pPr>
        <w:pStyle w:val="ListParagraph"/>
        <w:numPr>
          <w:ilvl w:val="0"/>
          <w:numId w:val="25"/>
        </w:numPr>
        <w:spacing w:after="0"/>
        <w:rPr>
          <w:iCs/>
        </w:rPr>
      </w:pPr>
      <w:r w:rsidRPr="00A12D6C">
        <w:rPr>
          <w:iCs/>
        </w:rPr>
        <w:t xml:space="preserve">have </w:t>
      </w:r>
      <w:r w:rsidR="00F07B57" w:rsidRPr="00A12D6C">
        <w:rPr>
          <w:iCs/>
        </w:rPr>
        <w:t>received</w:t>
      </w:r>
      <w:r w:rsidR="008D197F" w:rsidRPr="00A12D6C">
        <w:rPr>
          <w:iCs/>
        </w:rPr>
        <w:t xml:space="preserve"> </w:t>
      </w:r>
      <w:r w:rsidR="00F07B57" w:rsidRPr="00A12D6C">
        <w:rPr>
          <w:iCs/>
        </w:rPr>
        <w:t xml:space="preserve">DES assistance for </w:t>
      </w:r>
      <w:r w:rsidR="008D197F" w:rsidRPr="00A12D6C">
        <w:rPr>
          <w:iCs/>
        </w:rPr>
        <w:t>at least six months</w:t>
      </w:r>
      <w:r w:rsidR="00304D42">
        <w:rPr>
          <w:iCs/>
        </w:rPr>
        <w:t xml:space="preserve">; </w:t>
      </w:r>
      <w:r w:rsidR="00B30867">
        <w:rPr>
          <w:iCs/>
        </w:rPr>
        <w:t>and</w:t>
      </w:r>
    </w:p>
    <w:p w:rsidR="00977411" w:rsidRPr="00A12D6C" w:rsidRDefault="008D197F" w:rsidP="00A12D6C">
      <w:pPr>
        <w:pStyle w:val="ListParagraph"/>
        <w:numPr>
          <w:ilvl w:val="0"/>
          <w:numId w:val="25"/>
        </w:numPr>
        <w:spacing w:after="0"/>
        <w:rPr>
          <w:iCs/>
        </w:rPr>
      </w:pPr>
      <w:r w:rsidRPr="00A12D6C">
        <w:rPr>
          <w:iCs/>
        </w:rPr>
        <w:t xml:space="preserve">undertake an internship </w:t>
      </w:r>
      <w:r w:rsidR="00977411" w:rsidRPr="00A12D6C">
        <w:rPr>
          <w:iCs/>
        </w:rPr>
        <w:t xml:space="preserve">for an average of 15 to 25 hours </w:t>
      </w:r>
      <w:r w:rsidRPr="00A12D6C">
        <w:rPr>
          <w:iCs/>
        </w:rPr>
        <w:t xml:space="preserve">for at least four weeks. </w:t>
      </w:r>
    </w:p>
    <w:p w:rsidR="008D197F" w:rsidRPr="00977411" w:rsidRDefault="008D197F" w:rsidP="00977411">
      <w:pPr>
        <w:rPr>
          <w:bCs/>
        </w:rPr>
      </w:pPr>
      <w:r w:rsidRPr="00977411">
        <w:rPr>
          <w:bCs/>
        </w:rPr>
        <w:t>This is in addition to the existing incentives for internships that commenced from 1</w:t>
      </w:r>
      <w:r w:rsidR="00083D4C">
        <w:rPr>
          <w:bCs/>
        </w:rPr>
        <w:t> </w:t>
      </w:r>
      <w:r w:rsidRPr="00977411">
        <w:rPr>
          <w:bCs/>
        </w:rPr>
        <w:t xml:space="preserve">April 2017, such as the payment to employers for hosting an internship and the fortnightly payment to </w:t>
      </w:r>
      <w:r w:rsidR="00F8348D" w:rsidRPr="00F8348D">
        <w:rPr>
          <w:bCs/>
        </w:rPr>
        <w:t>participants</w:t>
      </w:r>
      <w:r w:rsidRPr="00977411">
        <w:rPr>
          <w:bCs/>
        </w:rPr>
        <w:t>.</w:t>
      </w:r>
    </w:p>
    <w:p w:rsidR="008D197F" w:rsidRPr="008D197F" w:rsidRDefault="008D197F" w:rsidP="008D197F">
      <w:pPr>
        <w:rPr>
          <w:i/>
        </w:rPr>
      </w:pPr>
      <w:r w:rsidRPr="008D197F">
        <w:rPr>
          <w:i/>
        </w:rPr>
        <w:t xml:space="preserve">Indexation </w:t>
      </w:r>
      <w:r w:rsidR="001467FD">
        <w:rPr>
          <w:i/>
        </w:rPr>
        <w:t>and recalibration</w:t>
      </w:r>
    </w:p>
    <w:p w:rsidR="002D249D" w:rsidRDefault="008D197F" w:rsidP="008D197F">
      <w:r w:rsidRPr="008D197F">
        <w:t xml:space="preserve">The DES funding envelope will be indexed annually on 1 July, with the first indexation point on 1 July 2019. </w:t>
      </w:r>
    </w:p>
    <w:p w:rsidR="001467FD" w:rsidRPr="00973151" w:rsidRDefault="001467FD" w:rsidP="001467FD">
      <w:r w:rsidRPr="00973151">
        <w:lastRenderedPageBreak/>
        <w:t>Additionally, the DES funding envelope will be recalibrated annually to ensure that the funding model always reflects the most up-to-date and available data.</w:t>
      </w:r>
    </w:p>
    <w:p w:rsidR="001467FD" w:rsidRPr="00973151" w:rsidRDefault="001467FD" w:rsidP="001467FD">
      <w:r w:rsidRPr="00973151">
        <w:t>The combination of indexation and recalibration means that Service Fees</w:t>
      </w:r>
      <w:r w:rsidR="00740048">
        <w:t xml:space="preserve"> or Outcome Fees could increase or</w:t>
      </w:r>
      <w:r w:rsidRPr="00973151">
        <w:t xml:space="preserve"> decrease </w:t>
      </w:r>
      <w:r w:rsidR="00A86E3C" w:rsidRPr="00973151">
        <w:t>but</w:t>
      </w:r>
      <w:r w:rsidRPr="00973151">
        <w:t xml:space="preserve"> </w:t>
      </w:r>
      <w:r w:rsidR="00A86E3C" w:rsidRPr="00973151">
        <w:t xml:space="preserve">will </w:t>
      </w:r>
      <w:r w:rsidRPr="00973151">
        <w:t>maintain their value from year to year</w:t>
      </w:r>
      <w:r w:rsidR="00A86E3C" w:rsidRPr="00973151">
        <w:t xml:space="preserve"> and provide the right incentives to support all participants into employment</w:t>
      </w:r>
      <w:r w:rsidRPr="00973151">
        <w:t>.</w:t>
      </w:r>
    </w:p>
    <w:p w:rsidR="001467FD" w:rsidRPr="00241810" w:rsidRDefault="001467FD" w:rsidP="001467FD">
      <w:r w:rsidRPr="00241810">
        <w:t xml:space="preserve">As a result, a new fee schedule will be released each financial year incorporating the indexed and recalibrated DES funding envelope. The fee schedule at </w:t>
      </w:r>
      <w:r w:rsidRPr="00241810">
        <w:rPr>
          <w:u w:val="single"/>
        </w:rPr>
        <w:t>Appendix 2</w:t>
      </w:r>
      <w:r w:rsidRPr="00241810">
        <w:t xml:space="preserve"> reflects the payment structure for DES for the 2018-19 financial year</w:t>
      </w:r>
      <w:r w:rsidR="00D0527B" w:rsidRPr="00241810">
        <w:t xml:space="preserve"> and a visual representation of when payments become available to providers</w:t>
      </w:r>
      <w:r w:rsidRPr="00241810">
        <w:t>.</w:t>
      </w:r>
    </w:p>
    <w:p w:rsidR="008D197F" w:rsidRPr="00973151" w:rsidRDefault="001467FD" w:rsidP="008D197F">
      <w:pPr>
        <w:rPr>
          <w:bCs/>
        </w:rPr>
      </w:pPr>
      <w:r w:rsidRPr="00241810">
        <w:t xml:space="preserve">Providers will be given adequate notice before any change </w:t>
      </w:r>
      <w:r w:rsidR="00B30867" w:rsidRPr="00241810">
        <w:t xml:space="preserve">to </w:t>
      </w:r>
      <w:r w:rsidRPr="00973151">
        <w:t>the fee schedule.</w:t>
      </w:r>
    </w:p>
    <w:p w:rsidR="008D197F" w:rsidRPr="00973151" w:rsidRDefault="008D197F" w:rsidP="00287BCE">
      <w:pPr>
        <w:pStyle w:val="Heading2"/>
      </w:pPr>
      <w:bookmarkStart w:id="16" w:name="_Toc483921453"/>
      <w:bookmarkStart w:id="17" w:name="_Toc484692296"/>
      <w:r w:rsidRPr="00973151">
        <w:t>Supporting people with disability in the workplace</w:t>
      </w:r>
      <w:bookmarkEnd w:id="16"/>
      <w:bookmarkEnd w:id="17"/>
    </w:p>
    <w:p w:rsidR="008D197F" w:rsidRPr="00973151" w:rsidRDefault="008D197F" w:rsidP="008D197F">
      <w:pPr>
        <w:rPr>
          <w:bCs/>
        </w:rPr>
      </w:pPr>
      <w:r w:rsidRPr="00973151">
        <w:rPr>
          <w:bCs/>
        </w:rPr>
        <w:t>The weekly minimum work hours for a DES participant to maintain eligibility for Ongoing Support in the workplace will be eight hours a week. This change ensures that the eligibility criteria for DES are applied consistently across the whole program.</w:t>
      </w:r>
    </w:p>
    <w:p w:rsidR="008D197F" w:rsidRPr="00973151" w:rsidRDefault="008D197F" w:rsidP="008D197F">
      <w:pPr>
        <w:rPr>
          <w:bCs/>
        </w:rPr>
      </w:pPr>
      <w:r w:rsidRPr="00973151">
        <w:rPr>
          <w:bCs/>
        </w:rPr>
        <w:t xml:space="preserve">‘Work Assist’ replaces the current Job-In-Jeopardy program. Work Assist will provide assistance for people with disability already in work who need support to remain in their job. </w:t>
      </w:r>
    </w:p>
    <w:p w:rsidR="008D197F" w:rsidRPr="00973151" w:rsidRDefault="008D197F" w:rsidP="00287BCE">
      <w:pPr>
        <w:pStyle w:val="Heading2"/>
      </w:pPr>
      <w:bookmarkStart w:id="18" w:name="_Toc483921454"/>
      <w:bookmarkStart w:id="19" w:name="_Toc484692297"/>
      <w:r w:rsidRPr="00973151">
        <w:t>School Leaver trial</w:t>
      </w:r>
      <w:bookmarkEnd w:id="18"/>
      <w:bookmarkEnd w:id="19"/>
    </w:p>
    <w:p w:rsidR="00ED2990" w:rsidRPr="00973151" w:rsidRDefault="00ED2990" w:rsidP="00ED2990">
      <w:pPr>
        <w:spacing w:before="60" w:after="60"/>
      </w:pPr>
      <w:r w:rsidRPr="00973151">
        <w:t xml:space="preserve">Over two years from 1 July 2018, the school leaver trial will evaluate the efficacy of employment support and outcomes from expanding eligibility for DES to students with disability who are in their final year of school but are not currently eligible for DES. The trial will prototype key policy settings to inform the establishment of the characteristics that might be used as the basis for broader eligibility, and whether results for those participating in the trial are better than for a similar group not supported by DES. </w:t>
      </w:r>
    </w:p>
    <w:p w:rsidR="00ED2990" w:rsidRPr="00973151" w:rsidRDefault="00ED2990" w:rsidP="00ED2990">
      <w:pPr>
        <w:autoSpaceDE w:val="0"/>
        <w:autoSpaceDN w:val="0"/>
      </w:pPr>
      <w:r w:rsidRPr="00973151">
        <w:t xml:space="preserve">The DES program currently assists about 3,600 secondary school students known as Eligible School Leavers (ESL). The current cohort of ESL within the DES, are typically in their final year of school and are eligible for DES on the basis of the person having </w:t>
      </w:r>
      <w:r w:rsidRPr="00973151">
        <w:rPr>
          <w:i/>
          <w:iCs/>
        </w:rPr>
        <w:t>significant disability,</w:t>
      </w:r>
      <w:r w:rsidRPr="00973151">
        <w:t xml:space="preserve"> such that they attract individual education assistance from their school and/or are in receipt of the Disability Support Pension.</w:t>
      </w:r>
    </w:p>
    <w:p w:rsidR="00ED2990" w:rsidRPr="00973151" w:rsidRDefault="00ED2990" w:rsidP="00ED2990">
      <w:pPr>
        <w:spacing w:after="60"/>
      </w:pPr>
      <w:r w:rsidRPr="00973151">
        <w:t>Secondary students with disability with less significant support needs</w:t>
      </w:r>
      <w:r w:rsidR="00F075DC" w:rsidRPr="00973151">
        <w:t>,</w:t>
      </w:r>
      <w:r w:rsidRPr="00973151">
        <w:t xml:space="preserve"> and who do not attract specific education assistance from their school, are currently not eligible for DES. The trial will specifically test delivering DES to 1,000 secondary school students who fit this profile and do not currently meet the DES eligibility criteria</w:t>
      </w:r>
      <w:r w:rsidR="00973151">
        <w:t>,</w:t>
      </w:r>
      <w:r w:rsidRPr="00973151">
        <w:t xml:space="preserve"> although may benefit from the support that DES provides.</w:t>
      </w:r>
    </w:p>
    <w:p w:rsidR="001D402E" w:rsidRDefault="00ED2990" w:rsidP="008D197F">
      <w:pPr>
        <w:rPr>
          <w:bCs/>
        </w:rPr>
      </w:pPr>
      <w:r w:rsidRPr="00973151">
        <w:t>The ultimate aim of the proposal is to determine if a form of support offered through DES increases the number of students with disability successfully transitioning from school to work, without any adverse effects, including on their educational attainment, and to gather valuable data to inform consideration of whether, and how to extend DES to this group across the program in future.</w:t>
      </w:r>
      <w:r w:rsidR="001D402E">
        <w:rPr>
          <w:bCs/>
        </w:rPr>
        <w:t xml:space="preserve"> </w:t>
      </w:r>
    </w:p>
    <w:p w:rsidR="00DD3534" w:rsidRPr="008D197F" w:rsidRDefault="00DD3534" w:rsidP="008D197F">
      <w:pPr>
        <w:rPr>
          <w:bCs/>
        </w:rPr>
      </w:pPr>
    </w:p>
    <w:p w:rsidR="008D197F" w:rsidRPr="00287BCE" w:rsidRDefault="008D197F" w:rsidP="00287BCE">
      <w:pPr>
        <w:pStyle w:val="Heading2"/>
      </w:pPr>
      <w:bookmarkStart w:id="20" w:name="_Toc483921455"/>
      <w:bookmarkStart w:id="21" w:name="_Toc484692298"/>
      <w:r w:rsidRPr="00287BCE">
        <w:lastRenderedPageBreak/>
        <w:t>Provider Performance under the new DES program</w:t>
      </w:r>
      <w:bookmarkEnd w:id="20"/>
      <w:bookmarkEnd w:id="21"/>
    </w:p>
    <w:p w:rsidR="008D197F" w:rsidRPr="00670D41" w:rsidRDefault="008D197F" w:rsidP="008D197F">
      <w:pPr>
        <w:rPr>
          <w:b/>
        </w:rPr>
      </w:pPr>
      <w:r w:rsidRPr="00670D41">
        <w:rPr>
          <w:b/>
        </w:rPr>
        <w:t>Star Ratings</w:t>
      </w:r>
    </w:p>
    <w:p w:rsidR="002D249D" w:rsidRDefault="008D197F" w:rsidP="008D197F">
      <w:r w:rsidRPr="008D197F">
        <w:t xml:space="preserve">The </w:t>
      </w:r>
      <w:r w:rsidR="00DD17F5">
        <w:t xml:space="preserve">DES </w:t>
      </w:r>
      <w:r w:rsidRPr="008D197F">
        <w:t xml:space="preserve">Star Ratings system, which is used to measure provider performance, will be reviewed in late 2017 to accommodate </w:t>
      </w:r>
      <w:r w:rsidR="00DD17F5">
        <w:t xml:space="preserve">changes made under </w:t>
      </w:r>
      <w:r w:rsidRPr="008D197F">
        <w:t xml:space="preserve">the new DES program. </w:t>
      </w:r>
      <w:r w:rsidR="000465D0" w:rsidRPr="008D197F">
        <w:t>D</w:t>
      </w:r>
      <w:r w:rsidR="000465D0">
        <w:t>SS</w:t>
      </w:r>
      <w:r w:rsidR="000465D0" w:rsidRPr="008D197F">
        <w:t xml:space="preserve"> </w:t>
      </w:r>
      <w:r w:rsidRPr="008D197F">
        <w:t xml:space="preserve">will seek input from the disability employment sector during the review. </w:t>
      </w:r>
    </w:p>
    <w:p w:rsidR="002D249D" w:rsidRDefault="008D197F" w:rsidP="008D197F">
      <w:r w:rsidRPr="008D197F">
        <w:t xml:space="preserve">The </w:t>
      </w:r>
      <w:r w:rsidR="00DD17F5">
        <w:t xml:space="preserve">new </w:t>
      </w:r>
      <w:r w:rsidRPr="008D197F">
        <w:t>2018 DES Star Ratings system w</w:t>
      </w:r>
      <w:r w:rsidR="00670D41">
        <w:t xml:space="preserve">ill </w:t>
      </w:r>
      <w:r w:rsidRPr="008D197F">
        <w:t xml:space="preserve">take effect from 1 July 2018, the same time the new DES program begins operation. </w:t>
      </w:r>
      <w:r w:rsidR="00220A00">
        <w:t>Until then</w:t>
      </w:r>
      <w:r w:rsidR="00DD17F5">
        <w:t>,</w:t>
      </w:r>
      <w:r w:rsidR="00220A00">
        <w:t xml:space="preserve"> the current ratings method will continue.</w:t>
      </w:r>
    </w:p>
    <w:p w:rsidR="008D197F" w:rsidRPr="008D197F" w:rsidRDefault="008D197F" w:rsidP="008D197F">
      <w:r w:rsidRPr="008D197F">
        <w:t>For further information about the current DES Star Ratings system</w:t>
      </w:r>
      <w:r w:rsidR="00FA11D2">
        <w:t>,</w:t>
      </w:r>
      <w:r w:rsidRPr="008D197F">
        <w:t xml:space="preserve"> please refer to the ‘DES Star Ratings Methodology Advice’ document available via the links under the </w:t>
      </w:r>
      <w:r w:rsidRPr="008D197F">
        <w:rPr>
          <w:i/>
        </w:rPr>
        <w:t>Useful Information</w:t>
      </w:r>
      <w:r w:rsidRPr="008D197F">
        <w:t xml:space="preserve"> section </w:t>
      </w:r>
      <w:r w:rsidR="00FA11D2">
        <w:t xml:space="preserve">on page </w:t>
      </w:r>
      <w:r w:rsidR="00BF55F6">
        <w:t>2</w:t>
      </w:r>
      <w:r w:rsidR="00200C68">
        <w:t>9</w:t>
      </w:r>
      <w:r w:rsidRPr="008D197F">
        <w:t xml:space="preserve"> of this paper.</w:t>
      </w:r>
    </w:p>
    <w:p w:rsidR="008D197F" w:rsidRPr="00670D41" w:rsidRDefault="008D197F" w:rsidP="008D197F">
      <w:pPr>
        <w:rPr>
          <w:b/>
        </w:rPr>
      </w:pPr>
      <w:r w:rsidRPr="00670D41">
        <w:rPr>
          <w:b/>
        </w:rPr>
        <w:t>Consistent underperformance</w:t>
      </w:r>
    </w:p>
    <w:p w:rsidR="002D249D" w:rsidRDefault="008D197F" w:rsidP="008D197F">
      <w:r w:rsidRPr="008D197F">
        <w:t xml:space="preserve">Identified underperformance </w:t>
      </w:r>
      <w:r w:rsidR="00FA11D2">
        <w:t xml:space="preserve">by DES providers </w:t>
      </w:r>
      <w:r w:rsidRPr="008D197F">
        <w:t xml:space="preserve">was previously addressed through a periodic </w:t>
      </w:r>
      <w:r w:rsidR="00411049">
        <w:t>b</w:t>
      </w:r>
      <w:r w:rsidRPr="008D197F">
        <w:t xml:space="preserve">usiness </w:t>
      </w:r>
      <w:r w:rsidR="00411049">
        <w:t>r</w:t>
      </w:r>
      <w:r w:rsidRPr="008D197F">
        <w:t>eallocation process, whereby business was removed from under</w:t>
      </w:r>
      <w:r w:rsidR="00FA11D2">
        <w:t>-</w:t>
      </w:r>
      <w:r w:rsidRPr="008D197F">
        <w:t>performing providers and reallocated to higher</w:t>
      </w:r>
      <w:r w:rsidR="00FA11D2">
        <w:t>-</w:t>
      </w:r>
      <w:r w:rsidRPr="008D197F">
        <w:t xml:space="preserve">performing providers within an ESA. </w:t>
      </w:r>
    </w:p>
    <w:p w:rsidR="008D197F" w:rsidRDefault="008D197F" w:rsidP="008D197F">
      <w:r w:rsidRPr="008D197F">
        <w:t>Under the new DES program, poor</w:t>
      </w:r>
      <w:r w:rsidR="00FA11D2">
        <w:t>-</w:t>
      </w:r>
      <w:r w:rsidRPr="008D197F">
        <w:t xml:space="preserve">performing providers may have their Contracts revoked if they have a low Contract/ESA Star Rating over at least four consecutive quarterly performance periods. Providers </w:t>
      </w:r>
      <w:r w:rsidR="00FA11D2">
        <w:t>who</w:t>
      </w:r>
      <w:r w:rsidR="00FA11D2" w:rsidRPr="008D197F">
        <w:t xml:space="preserve"> </w:t>
      </w:r>
      <w:r w:rsidRPr="008D197F">
        <w:t xml:space="preserve">no longer have any Contracts after this performance review will be exited from the </w:t>
      </w:r>
      <w:r w:rsidR="007C3B0B">
        <w:t>Panel of DES Providers</w:t>
      </w:r>
      <w:r w:rsidRPr="008D197F">
        <w:t xml:space="preserve"> entirely. </w:t>
      </w:r>
      <w:r w:rsidR="00220A00">
        <w:t>Providers at risk of having a Contract</w:t>
      </w:r>
      <w:r w:rsidR="00FA11D2">
        <w:t>,</w:t>
      </w:r>
      <w:r w:rsidR="00220A00">
        <w:t xml:space="preserve"> or Contracts</w:t>
      </w:r>
      <w:r w:rsidR="00FA11D2">
        <w:t>,</w:t>
      </w:r>
      <w:r w:rsidR="00220A00">
        <w:t xml:space="preserve"> revoked</w:t>
      </w:r>
      <w:r w:rsidR="00FA11D2">
        <w:t>,</w:t>
      </w:r>
      <w:r w:rsidR="00220A00">
        <w:t xml:space="preserve"> will have the opportunity to present information on extenuating circumstances </w:t>
      </w:r>
      <w:r w:rsidR="00A560C2">
        <w:t xml:space="preserve">prior to a decision </w:t>
      </w:r>
      <w:r w:rsidR="00FA11D2">
        <w:t xml:space="preserve">being made </w:t>
      </w:r>
      <w:r w:rsidR="00A560C2">
        <w:t>to revoke or not.</w:t>
      </w:r>
    </w:p>
    <w:p w:rsidR="00207173" w:rsidRPr="00207173" w:rsidRDefault="00207173" w:rsidP="00207173">
      <w:pPr>
        <w:pStyle w:val="Heading2"/>
      </w:pPr>
      <w:bookmarkStart w:id="22" w:name="_Toc483921456"/>
      <w:bookmarkStart w:id="23" w:name="_Toc484692299"/>
      <w:r w:rsidRPr="00207173">
        <w:t>Peripheral Services</w:t>
      </w:r>
      <w:bookmarkEnd w:id="22"/>
      <w:bookmarkEnd w:id="23"/>
    </w:p>
    <w:p w:rsidR="00207173" w:rsidRPr="00207173" w:rsidRDefault="00207173" w:rsidP="00207173">
      <w:pPr>
        <w:rPr>
          <w:b/>
          <w:bCs/>
        </w:rPr>
      </w:pPr>
      <w:r w:rsidRPr="00207173">
        <w:rPr>
          <w:b/>
          <w:bCs/>
        </w:rPr>
        <w:t>The National Panel of Assessors</w:t>
      </w:r>
    </w:p>
    <w:p w:rsidR="00207173" w:rsidRPr="004A02D6" w:rsidRDefault="00207173" w:rsidP="00207173">
      <w:pPr>
        <w:rPr>
          <w:bCs/>
        </w:rPr>
      </w:pPr>
      <w:r w:rsidRPr="004A02D6">
        <w:rPr>
          <w:bCs/>
        </w:rPr>
        <w:t xml:space="preserve">A refresh of the National Panel of Assessors (NPA) will </w:t>
      </w:r>
      <w:r w:rsidR="00FA11D2">
        <w:rPr>
          <w:bCs/>
        </w:rPr>
        <w:t>occur</w:t>
      </w:r>
      <w:r w:rsidRPr="004A02D6">
        <w:rPr>
          <w:bCs/>
        </w:rPr>
        <w:t xml:space="preserve"> at the same time as the new DES program</w:t>
      </w:r>
      <w:r w:rsidR="00FA11D2">
        <w:rPr>
          <w:bCs/>
        </w:rPr>
        <w:t xml:space="preserve"> takes effect from 1 July 2018</w:t>
      </w:r>
      <w:r w:rsidRPr="004A02D6">
        <w:rPr>
          <w:bCs/>
        </w:rPr>
        <w:t xml:space="preserve">. Members of the NPA support DES by providing independent assessments for the Ongoing Support element of DES, the Supported Wage System and workplace modification assessments for the Employment Assistance Fund (EAF). The service will remain </w:t>
      </w:r>
      <w:r w:rsidR="00640FD3">
        <w:rPr>
          <w:bCs/>
        </w:rPr>
        <w:t xml:space="preserve">largely </w:t>
      </w:r>
      <w:r w:rsidRPr="004A02D6">
        <w:rPr>
          <w:bCs/>
        </w:rPr>
        <w:t>unchanged</w:t>
      </w:r>
      <w:r w:rsidR="00FA11D2">
        <w:rPr>
          <w:bCs/>
        </w:rPr>
        <w:t>.</w:t>
      </w:r>
      <w:r w:rsidRPr="004A02D6">
        <w:rPr>
          <w:bCs/>
        </w:rPr>
        <w:t xml:space="preserve"> </w:t>
      </w:r>
      <w:r w:rsidR="00FA11D2">
        <w:rPr>
          <w:bCs/>
        </w:rPr>
        <w:t>T</w:t>
      </w:r>
      <w:r w:rsidRPr="004A02D6">
        <w:rPr>
          <w:bCs/>
        </w:rPr>
        <w:t xml:space="preserve">he engagement of providers for the NPA </w:t>
      </w:r>
      <w:r w:rsidR="00640FD3">
        <w:rPr>
          <w:bCs/>
        </w:rPr>
        <w:t xml:space="preserve">contract </w:t>
      </w:r>
      <w:r w:rsidRPr="004A02D6">
        <w:rPr>
          <w:bCs/>
        </w:rPr>
        <w:t xml:space="preserve">is </w:t>
      </w:r>
      <w:r w:rsidR="00640FD3">
        <w:rPr>
          <w:bCs/>
        </w:rPr>
        <w:t>expected</w:t>
      </w:r>
      <w:r w:rsidRPr="004A02D6">
        <w:rPr>
          <w:bCs/>
        </w:rPr>
        <w:t xml:space="preserve"> to be conducted concurrently with the approach to market for </w:t>
      </w:r>
      <w:r w:rsidR="00FA11D2">
        <w:rPr>
          <w:bCs/>
        </w:rPr>
        <w:t xml:space="preserve">the new </w:t>
      </w:r>
      <w:r w:rsidRPr="004A02D6">
        <w:rPr>
          <w:bCs/>
        </w:rPr>
        <w:t>DES</w:t>
      </w:r>
      <w:r w:rsidR="00FA11D2">
        <w:rPr>
          <w:bCs/>
        </w:rPr>
        <w:t xml:space="preserve"> program</w:t>
      </w:r>
      <w:r w:rsidRPr="004A02D6">
        <w:rPr>
          <w:bCs/>
        </w:rPr>
        <w:t xml:space="preserve">. </w:t>
      </w:r>
    </w:p>
    <w:p w:rsidR="00207173" w:rsidRPr="00207173" w:rsidRDefault="00207173" w:rsidP="008D197F">
      <w:pPr>
        <w:rPr>
          <w:b/>
        </w:rPr>
      </w:pPr>
      <w:r w:rsidRPr="00207173">
        <w:rPr>
          <w:rStyle w:val="BookTitle"/>
          <w:rFonts w:asciiTheme="minorHAnsi" w:eastAsiaTheme="majorEastAsia" w:hAnsiTheme="minorHAnsi"/>
          <w:b/>
          <w:i w:val="0"/>
          <w:smallCaps w:val="0"/>
        </w:rPr>
        <w:t>Employment Services Assessment</w:t>
      </w:r>
      <w:r w:rsidR="00A560C2">
        <w:rPr>
          <w:rStyle w:val="BookTitle"/>
          <w:rFonts w:asciiTheme="minorHAnsi" w:eastAsiaTheme="majorEastAsia" w:hAnsiTheme="minorHAnsi"/>
          <w:b/>
          <w:i w:val="0"/>
          <w:smallCaps w:val="0"/>
        </w:rPr>
        <w:t xml:space="preserve"> (ESAt)</w:t>
      </w:r>
      <w:r w:rsidRPr="00207173">
        <w:rPr>
          <w:rStyle w:val="BookTitle"/>
          <w:rFonts w:asciiTheme="minorHAnsi" w:eastAsiaTheme="majorEastAsia" w:hAnsiTheme="minorHAnsi"/>
          <w:b/>
        </w:rPr>
        <w:t xml:space="preserve"> </w:t>
      </w:r>
      <w:r w:rsidRPr="00207173">
        <w:rPr>
          <w:b/>
        </w:rPr>
        <w:t>Review</w:t>
      </w:r>
    </w:p>
    <w:p w:rsidR="00210717" w:rsidRPr="00210717" w:rsidRDefault="00210717" w:rsidP="00210717">
      <w:r w:rsidRPr="00210717">
        <w:t>The Government has made a commitment to explore opportunities to improve ESAts by undertaking a review</w:t>
      </w:r>
      <w:r w:rsidR="00FA11D2">
        <w:t xml:space="preserve"> of the current assessment process to look at its ongoing </w:t>
      </w:r>
      <w:r w:rsidRPr="00210717">
        <w:t xml:space="preserve">validity, reliability and utility. This </w:t>
      </w:r>
      <w:r w:rsidR="00FA11D2">
        <w:t>responds to</w:t>
      </w:r>
      <w:r w:rsidR="00FA11D2" w:rsidRPr="00210717">
        <w:t xml:space="preserve"> </w:t>
      </w:r>
      <w:r w:rsidRPr="00210717">
        <w:t xml:space="preserve">concerns raised by the sector </w:t>
      </w:r>
      <w:r w:rsidR="00FA11D2" w:rsidRPr="00210717">
        <w:t>during consultations for reforms to DES in 2015 and 2016</w:t>
      </w:r>
      <w:r w:rsidR="00FA11D2">
        <w:t xml:space="preserve"> </w:t>
      </w:r>
      <w:r w:rsidRPr="00210717">
        <w:t xml:space="preserve">about the quality </w:t>
      </w:r>
      <w:r w:rsidR="00A560C2">
        <w:t xml:space="preserve">and consistency </w:t>
      </w:r>
      <w:r w:rsidRPr="00210717">
        <w:t>of assessment</w:t>
      </w:r>
      <w:r w:rsidR="00A560C2">
        <w:t>s</w:t>
      </w:r>
      <w:r w:rsidRPr="00210717">
        <w:t>.</w:t>
      </w:r>
    </w:p>
    <w:p w:rsidR="00207173" w:rsidRPr="008D197F" w:rsidRDefault="00210717" w:rsidP="008D197F">
      <w:r w:rsidRPr="00210717">
        <w:t>To support the review, D</w:t>
      </w:r>
      <w:r w:rsidR="00670D41">
        <w:t xml:space="preserve">SS </w:t>
      </w:r>
      <w:r w:rsidRPr="00210717">
        <w:t xml:space="preserve">has formed a working level project reference group comprising peak bodies representing people with disability and employment service providers. An expert consultant will be procured to undertake the detailed review. </w:t>
      </w:r>
      <w:r w:rsidRPr="00210717">
        <w:lastRenderedPageBreak/>
        <w:t xml:space="preserve">Once the review has been completed, </w:t>
      </w:r>
      <w:r w:rsidR="00670D41">
        <w:t>DSS</w:t>
      </w:r>
      <w:r w:rsidRPr="00210717">
        <w:t xml:space="preserve"> will continue to consult with the sector on the proposed way forward</w:t>
      </w:r>
      <w:r w:rsidR="00FA11D2">
        <w:t>,</w:t>
      </w:r>
      <w:r w:rsidRPr="00210717">
        <w:t xml:space="preserve"> with a view to introducing changes incrementally from 2019 as the new DES program becomes </w:t>
      </w:r>
      <w:r w:rsidR="00FA11D2">
        <w:t xml:space="preserve">more </w:t>
      </w:r>
      <w:r w:rsidRPr="00210717">
        <w:t>established.</w:t>
      </w:r>
    </w:p>
    <w:p w:rsidR="008D197F" w:rsidRDefault="008D197F" w:rsidP="008D197F">
      <w:pPr>
        <w:pStyle w:val="Heading1"/>
      </w:pPr>
      <w:bookmarkStart w:id="24" w:name="_Toc483921457"/>
      <w:bookmarkStart w:id="25" w:name="_Toc484692300"/>
      <w:r>
        <w:t xml:space="preserve">Chapter 3 - </w:t>
      </w:r>
      <w:r w:rsidR="00C45FEB">
        <w:t xml:space="preserve">How to join the </w:t>
      </w:r>
      <w:r w:rsidR="007C3B0B">
        <w:t>Panel of DES Providers</w:t>
      </w:r>
      <w:bookmarkEnd w:id="24"/>
      <w:bookmarkEnd w:id="25"/>
    </w:p>
    <w:p w:rsidR="00C45FEB" w:rsidRPr="00C45FEB" w:rsidRDefault="002D249D" w:rsidP="00287BCE">
      <w:pPr>
        <w:pStyle w:val="Heading2"/>
      </w:pPr>
      <w:bookmarkStart w:id="26" w:name="_Toc483921458"/>
      <w:bookmarkStart w:id="27" w:name="_Toc484692301"/>
      <w:r>
        <w:t xml:space="preserve">Methodology for selecting the Panel of </w:t>
      </w:r>
      <w:r w:rsidR="00C45FEB" w:rsidRPr="00287BCE">
        <w:t>DES Provider</w:t>
      </w:r>
      <w:r>
        <w:t>s</w:t>
      </w:r>
      <w:bookmarkEnd w:id="26"/>
      <w:bookmarkEnd w:id="27"/>
      <w:r w:rsidR="00C45FEB" w:rsidRPr="00287BCE">
        <w:t xml:space="preserve"> </w:t>
      </w:r>
    </w:p>
    <w:p w:rsidR="002D249D" w:rsidRDefault="002D249D" w:rsidP="00C45FEB">
      <w:r>
        <w:t>A</w:t>
      </w:r>
      <w:r w:rsidR="00295007">
        <w:t xml:space="preserve"> </w:t>
      </w:r>
      <w:r>
        <w:t xml:space="preserve">Panel of </w:t>
      </w:r>
      <w:r w:rsidR="00C45FEB" w:rsidRPr="00C45FEB">
        <w:t>DES Provider</w:t>
      </w:r>
      <w:r>
        <w:t>s</w:t>
      </w:r>
      <w:r w:rsidR="00C45FEB" w:rsidRPr="00C45FEB">
        <w:t xml:space="preserve"> will be established by DSS. </w:t>
      </w:r>
    </w:p>
    <w:p w:rsidR="002D249D" w:rsidRDefault="00C45FEB" w:rsidP="00C45FEB">
      <w:r w:rsidRPr="00C45FEB">
        <w:t xml:space="preserve">DSS will conduct a DES Grant </w:t>
      </w:r>
      <w:r w:rsidR="00420C97">
        <w:t>a</w:t>
      </w:r>
      <w:r w:rsidRPr="00C45FEB">
        <w:t xml:space="preserve">pplication process consistent with its obligations under the </w:t>
      </w:r>
      <w:r w:rsidR="000017EE" w:rsidRPr="008C3E66">
        <w:rPr>
          <w:rFonts w:asciiTheme="minorHAnsi" w:eastAsiaTheme="minorHAnsi" w:hAnsiTheme="minorHAnsi" w:cstheme="minorHAnsi"/>
          <w:i/>
        </w:rPr>
        <w:t>Public Governance, Performance and Accountability Act 2013</w:t>
      </w:r>
      <w:r w:rsidR="000017EE" w:rsidRPr="00334EF7">
        <w:rPr>
          <w:rFonts w:asciiTheme="minorHAnsi" w:eastAsiaTheme="minorHAnsi" w:hAnsiTheme="minorHAnsi" w:cstheme="minorHAnsi"/>
        </w:rPr>
        <w:t xml:space="preserve"> (PGPA Act)</w:t>
      </w:r>
      <w:r w:rsidR="000017EE">
        <w:t xml:space="preserve"> </w:t>
      </w:r>
      <w:r w:rsidRPr="00C45FEB">
        <w:t xml:space="preserve">and its associated legislative framework, including the </w:t>
      </w:r>
      <w:r w:rsidRPr="00C45FEB">
        <w:rPr>
          <w:i/>
        </w:rPr>
        <w:t xml:space="preserve">Commonwealth Grants Rules and Guidelines </w:t>
      </w:r>
      <w:r w:rsidRPr="00740048">
        <w:t xml:space="preserve">(CGRGs). </w:t>
      </w:r>
    </w:p>
    <w:p w:rsidR="00C45FEB" w:rsidRPr="00C45FEB" w:rsidRDefault="00C45FEB" w:rsidP="00C45FEB">
      <w:r w:rsidRPr="00C45FEB">
        <w:t>In particular, DSS will ensure that the expenditure of Commonwealth funding for DES is a proper use of resources and delivers the best value for money outcomes to the Commonwealth.</w:t>
      </w:r>
    </w:p>
    <w:p w:rsidR="00C45FEB" w:rsidRDefault="004D6FA8" w:rsidP="00C45FEB">
      <w:r w:rsidRPr="00D277B9">
        <w:rPr>
          <w:iCs/>
        </w:rPr>
        <w:t>Providers seeking to deliver DES-DMS and</w:t>
      </w:r>
      <w:r>
        <w:rPr>
          <w:iCs/>
        </w:rPr>
        <w:t>/or</w:t>
      </w:r>
      <w:r w:rsidRPr="00D277B9">
        <w:rPr>
          <w:iCs/>
        </w:rPr>
        <w:t xml:space="preserve"> DES-ESS will be selected through a single grant process</w:t>
      </w:r>
      <w:r w:rsidR="00FA11D2">
        <w:rPr>
          <w:iCs/>
        </w:rPr>
        <w:t xml:space="preserve">, </w:t>
      </w:r>
      <w:r w:rsidRPr="00D277B9">
        <w:rPr>
          <w:iCs/>
        </w:rPr>
        <w:t xml:space="preserve">in line with requirements set out for </w:t>
      </w:r>
      <w:r>
        <w:rPr>
          <w:iCs/>
        </w:rPr>
        <w:t>providing</w:t>
      </w:r>
      <w:r w:rsidRPr="00D277B9">
        <w:rPr>
          <w:iCs/>
        </w:rPr>
        <w:t xml:space="preserve"> these services in the </w:t>
      </w:r>
      <w:r w:rsidRPr="00D277B9">
        <w:rPr>
          <w:i/>
          <w:iCs/>
        </w:rPr>
        <w:t>Disability Services Act 1986</w:t>
      </w:r>
      <w:r w:rsidR="00C11F5A">
        <w:rPr>
          <w:iCs/>
        </w:rPr>
        <w:t xml:space="preserve"> </w:t>
      </w:r>
      <w:r w:rsidR="00C11F5A" w:rsidRPr="00A04716">
        <w:rPr>
          <w:iCs/>
        </w:rPr>
        <w:t>(Cth)</w:t>
      </w:r>
      <w:r w:rsidRPr="00D277B9">
        <w:rPr>
          <w:iCs/>
        </w:rPr>
        <w:t xml:space="preserve">. </w:t>
      </w:r>
      <w:r>
        <w:rPr>
          <w:iCs/>
        </w:rPr>
        <w:t>More</w:t>
      </w:r>
      <w:r w:rsidRPr="00D277B9">
        <w:rPr>
          <w:iCs/>
        </w:rPr>
        <w:t xml:space="preserve"> information </w:t>
      </w:r>
      <w:r>
        <w:rPr>
          <w:iCs/>
        </w:rPr>
        <w:t>about</w:t>
      </w:r>
      <w:r w:rsidRPr="00D277B9">
        <w:rPr>
          <w:iCs/>
        </w:rPr>
        <w:t xml:space="preserve"> this process is provided </w:t>
      </w:r>
      <w:r w:rsidR="008925E8">
        <w:rPr>
          <w:iCs/>
        </w:rPr>
        <w:t>at Appendix 3</w:t>
      </w:r>
      <w:r w:rsidRPr="00D277B9">
        <w:rPr>
          <w:iCs/>
        </w:rPr>
        <w:t>.</w:t>
      </w:r>
    </w:p>
    <w:p w:rsidR="002D249D" w:rsidRDefault="00C45FEB" w:rsidP="00C45FEB">
      <w:r w:rsidRPr="00C45FEB">
        <w:t xml:space="preserve">The Grant </w:t>
      </w:r>
      <w:r w:rsidR="00420C97">
        <w:t>a</w:t>
      </w:r>
      <w:r w:rsidRPr="00C45FEB">
        <w:t xml:space="preserve">pplication process will be undertaken through </w:t>
      </w:r>
      <w:r w:rsidR="00281A8F" w:rsidRPr="00C45FEB">
        <w:t>two stages</w:t>
      </w:r>
      <w:r w:rsidR="00E95760">
        <w:t>:</w:t>
      </w:r>
      <w:r w:rsidRPr="00C45FEB">
        <w:t xml:space="preserve"> </w:t>
      </w:r>
    </w:p>
    <w:p w:rsidR="002D249D" w:rsidRPr="00973151" w:rsidRDefault="00E95760" w:rsidP="00F075DC">
      <w:pPr>
        <w:pStyle w:val="ListParagraph"/>
        <w:numPr>
          <w:ilvl w:val="0"/>
          <w:numId w:val="33"/>
        </w:numPr>
      </w:pPr>
      <w:r w:rsidRPr="00973151">
        <w:t xml:space="preserve">Stage 1 - </w:t>
      </w:r>
      <w:r w:rsidR="00C45FEB" w:rsidRPr="00973151">
        <w:rPr>
          <w:b/>
        </w:rPr>
        <w:t>all</w:t>
      </w:r>
      <w:r w:rsidR="00C45FEB" w:rsidRPr="00973151">
        <w:t xml:space="preserve"> interested organisations will be required to register their interest through an unrestricted </w:t>
      </w:r>
      <w:r w:rsidR="00C45FEB" w:rsidRPr="00973151">
        <w:rPr>
          <w:i/>
        </w:rPr>
        <w:t>Registration of Interest process</w:t>
      </w:r>
      <w:r w:rsidR="00C45FEB" w:rsidRPr="00973151">
        <w:t>. This process will be open for four weeks</w:t>
      </w:r>
      <w:r w:rsidR="00776326" w:rsidRPr="00973151">
        <w:t xml:space="preserve">, expected to </w:t>
      </w:r>
      <w:r w:rsidR="00937018" w:rsidRPr="00973151">
        <w:t>commenc</w:t>
      </w:r>
      <w:r w:rsidR="00937018">
        <w:t>e</w:t>
      </w:r>
      <w:r w:rsidR="00937018" w:rsidRPr="00973151">
        <w:t xml:space="preserve"> </w:t>
      </w:r>
      <w:r w:rsidR="00776326" w:rsidRPr="00973151">
        <w:t>in July/August 2017</w:t>
      </w:r>
      <w:r w:rsidR="00C45FEB" w:rsidRPr="00973151">
        <w:t xml:space="preserve">. </w:t>
      </w:r>
    </w:p>
    <w:p w:rsidR="00E95760" w:rsidRPr="00973151" w:rsidRDefault="00E95760" w:rsidP="00F075DC">
      <w:pPr>
        <w:pStyle w:val="ListParagraph"/>
        <w:numPr>
          <w:ilvl w:val="0"/>
          <w:numId w:val="33"/>
        </w:numPr>
      </w:pPr>
      <w:r w:rsidRPr="00973151">
        <w:t xml:space="preserve">Stage 2 - </w:t>
      </w:r>
      <w:r w:rsidR="003A60FD" w:rsidRPr="00973151">
        <w:t>only</w:t>
      </w:r>
      <w:r w:rsidRPr="00973151">
        <w:t xml:space="preserve"> organisations that registered their interest </w:t>
      </w:r>
      <w:r w:rsidR="003A60FD" w:rsidRPr="00973151">
        <w:t xml:space="preserve">in Stage 1 </w:t>
      </w:r>
      <w:r w:rsidRPr="00973151">
        <w:t>will b</w:t>
      </w:r>
      <w:r w:rsidR="00740048">
        <w:t>e invited to apply to join the P</w:t>
      </w:r>
      <w:r w:rsidRPr="00973151">
        <w:t xml:space="preserve">anel of DES </w:t>
      </w:r>
      <w:r w:rsidR="00740048">
        <w:t>P</w:t>
      </w:r>
      <w:r w:rsidRPr="00973151">
        <w:t xml:space="preserve">roviders through a restricted </w:t>
      </w:r>
      <w:r w:rsidRPr="00973151">
        <w:rPr>
          <w:i/>
        </w:rPr>
        <w:t xml:space="preserve">Grant </w:t>
      </w:r>
      <w:r w:rsidR="00265BAB">
        <w:rPr>
          <w:i/>
        </w:rPr>
        <w:t>a</w:t>
      </w:r>
      <w:r w:rsidRPr="00973151">
        <w:rPr>
          <w:i/>
        </w:rPr>
        <w:t>pplication</w:t>
      </w:r>
      <w:r w:rsidRPr="00973151">
        <w:t xml:space="preserve"> process that will be open for six weeks, expected to commence in August/September 2017. </w:t>
      </w:r>
    </w:p>
    <w:p w:rsidR="00F075DC" w:rsidRPr="00973151" w:rsidRDefault="00831ABB" w:rsidP="00831ABB">
      <w:r w:rsidRPr="00973151">
        <w:t xml:space="preserve">An Invitation to Treat </w:t>
      </w:r>
      <w:r w:rsidR="00E95760" w:rsidRPr="00973151">
        <w:t xml:space="preserve">(ITT) </w:t>
      </w:r>
      <w:r w:rsidRPr="00973151">
        <w:t>process will run concurrent to the</w:t>
      </w:r>
      <w:r w:rsidR="00C45FEB" w:rsidRPr="00973151">
        <w:t xml:space="preserve"> restricted </w:t>
      </w:r>
      <w:r w:rsidR="00690D76" w:rsidRPr="00973151">
        <w:t xml:space="preserve">Grant </w:t>
      </w:r>
      <w:r w:rsidR="00265BAB">
        <w:t>a</w:t>
      </w:r>
      <w:r w:rsidR="00690D76" w:rsidRPr="00973151">
        <w:t>pplication process</w:t>
      </w:r>
      <w:r w:rsidR="00973151" w:rsidRPr="00973151">
        <w:t xml:space="preserve"> for those existing DES providers who registered their interest in Stage 1</w:t>
      </w:r>
      <w:r w:rsidR="00690D76" w:rsidRPr="00973151">
        <w:t xml:space="preserve">. </w:t>
      </w:r>
      <w:r w:rsidR="001666CE">
        <w:t xml:space="preserve">Current </w:t>
      </w:r>
      <w:r w:rsidRPr="00973151">
        <w:t>DES Providers</w:t>
      </w:r>
      <w:r w:rsidR="00690D76" w:rsidRPr="00973151">
        <w:t xml:space="preserve"> will be invited to continue delivering the service, under the new Grant Agreement from 1 July 2018</w:t>
      </w:r>
      <w:r w:rsidR="00690D76" w:rsidRPr="00973151">
        <w:rPr>
          <w:color w:val="1F497D"/>
        </w:rPr>
        <w:t xml:space="preserve">, in </w:t>
      </w:r>
      <w:r w:rsidR="00690D76" w:rsidRPr="00973151">
        <w:t>ESAs where the DES provider is</w:t>
      </w:r>
      <w:r w:rsidRPr="00973151">
        <w:t xml:space="preserve"> identified as</w:t>
      </w:r>
      <w:r w:rsidR="00F075DC" w:rsidRPr="00973151">
        <w:t>:</w:t>
      </w:r>
    </w:p>
    <w:p w:rsidR="00F075DC" w:rsidRPr="00973151" w:rsidRDefault="00690D76" w:rsidP="00F075DC">
      <w:pPr>
        <w:pStyle w:val="ListParagraph"/>
        <w:numPr>
          <w:ilvl w:val="0"/>
          <w:numId w:val="35"/>
        </w:numPr>
        <w:rPr>
          <w:color w:val="1F497D"/>
        </w:rPr>
      </w:pPr>
      <w:r w:rsidRPr="00973151">
        <w:t>performing</w:t>
      </w:r>
      <w:r w:rsidR="00831ABB" w:rsidRPr="00973151">
        <w:t xml:space="preserve"> </w:t>
      </w:r>
      <w:r w:rsidR="00BA4FDE" w:rsidRPr="00973151">
        <w:t>3-S</w:t>
      </w:r>
      <w:r w:rsidR="00CF6A16" w:rsidRPr="00973151">
        <w:t>tars or above</w:t>
      </w:r>
      <w:r w:rsidR="00831ABB" w:rsidRPr="00973151">
        <w:t xml:space="preserve"> </w:t>
      </w:r>
      <w:r w:rsidRPr="00973151">
        <w:t xml:space="preserve">for the </w:t>
      </w:r>
      <w:r w:rsidR="00831ABB" w:rsidRPr="00973151">
        <w:t>contract</w:t>
      </w:r>
      <w:r w:rsidRPr="00973151">
        <w:t xml:space="preserve"> under</w:t>
      </w:r>
      <w:r w:rsidR="00F075DC" w:rsidRPr="00973151">
        <w:t xml:space="preserve"> the June 2017 Star Ratings</w:t>
      </w:r>
    </w:p>
    <w:p w:rsidR="00F075DC" w:rsidRPr="00973151" w:rsidRDefault="00F075DC" w:rsidP="00F075DC">
      <w:pPr>
        <w:pStyle w:val="ListParagraph"/>
        <w:numPr>
          <w:ilvl w:val="0"/>
          <w:numId w:val="35"/>
        </w:numPr>
        <w:rPr>
          <w:color w:val="1F497D"/>
        </w:rPr>
      </w:pPr>
      <w:r w:rsidRPr="00973151">
        <w:t xml:space="preserve">receiving </w:t>
      </w:r>
      <w:r w:rsidR="00690D76" w:rsidRPr="00973151">
        <w:t xml:space="preserve">new or additional </w:t>
      </w:r>
      <w:r w:rsidR="00831ABB" w:rsidRPr="00973151">
        <w:t>business thro</w:t>
      </w:r>
      <w:r w:rsidRPr="00973151">
        <w:t>ugh the 2016-</w:t>
      </w:r>
      <w:r w:rsidR="00831ABB" w:rsidRPr="00973151">
        <w:t>17 DES Business Reallocation process</w:t>
      </w:r>
      <w:r w:rsidRPr="00973151">
        <w:t>, or</w:t>
      </w:r>
    </w:p>
    <w:p w:rsidR="00831ABB" w:rsidRPr="00973151" w:rsidRDefault="00690D76" w:rsidP="00F075DC">
      <w:pPr>
        <w:pStyle w:val="ListParagraph"/>
        <w:numPr>
          <w:ilvl w:val="0"/>
          <w:numId w:val="35"/>
        </w:numPr>
        <w:rPr>
          <w:color w:val="1F497D"/>
        </w:rPr>
      </w:pPr>
      <w:r w:rsidRPr="00973151">
        <w:t xml:space="preserve">receiving new or additional business </w:t>
      </w:r>
      <w:r w:rsidR="00831ABB" w:rsidRPr="00973151">
        <w:t>as a result of a gap-filling arrangement in 2017</w:t>
      </w:r>
      <w:r w:rsidRPr="00973151">
        <w:t>.</w:t>
      </w:r>
    </w:p>
    <w:p w:rsidR="00C45FEB" w:rsidRPr="00C45FEB" w:rsidRDefault="00C45FEB" w:rsidP="00C45FEB">
      <w:r w:rsidRPr="008E6180">
        <w:t>Based on March 2017 Star Ratings data, one or more current DES providers delivering DES-ESS business</w:t>
      </w:r>
      <w:r w:rsidR="00BA4FDE" w:rsidRPr="008E6180">
        <w:t>,</w:t>
      </w:r>
      <w:r w:rsidRPr="008E6180">
        <w:t xml:space="preserve"> </w:t>
      </w:r>
      <w:r w:rsidR="00BA4FDE" w:rsidRPr="008E6180">
        <w:t xml:space="preserve">at 3-Stars or above, </w:t>
      </w:r>
      <w:r w:rsidRPr="008E6180">
        <w:t xml:space="preserve">would continue in </w:t>
      </w:r>
      <w:r w:rsidR="000E79F1" w:rsidRPr="008E6180">
        <w:t xml:space="preserve">107 </w:t>
      </w:r>
      <w:r w:rsidRPr="008E6180">
        <w:t>(of 110) ESAs, while current DES providers delivering DES-DMS business</w:t>
      </w:r>
      <w:r w:rsidR="00BA4FDE" w:rsidRPr="008E6180">
        <w:t>, at 3-Stars or above,</w:t>
      </w:r>
      <w:r w:rsidRPr="008E6180">
        <w:t xml:space="preserve"> would continue in </w:t>
      </w:r>
      <w:r w:rsidR="000E79F1" w:rsidRPr="008E6180">
        <w:t xml:space="preserve">104 </w:t>
      </w:r>
      <w:r w:rsidRPr="008E6180">
        <w:t>ESAs. Overall, 10</w:t>
      </w:r>
      <w:r w:rsidR="000E79F1" w:rsidRPr="008E6180">
        <w:t>9</w:t>
      </w:r>
      <w:r w:rsidRPr="008E6180">
        <w:t xml:space="preserve"> ESAs w</w:t>
      </w:r>
      <w:r w:rsidR="00670D41" w:rsidRPr="008E6180">
        <w:t>ill</w:t>
      </w:r>
      <w:r w:rsidRPr="008E6180">
        <w:t xml:space="preserve"> have </w:t>
      </w:r>
      <w:r w:rsidR="00BA4FDE" w:rsidRPr="008E6180">
        <w:t xml:space="preserve">a DES provider, performing at 3-Stars or above, </w:t>
      </w:r>
      <w:r w:rsidRPr="008E6180">
        <w:t xml:space="preserve">continuing to deliver DES services. </w:t>
      </w:r>
      <w:r w:rsidRPr="008E6180">
        <w:rPr>
          <w:u w:val="single"/>
        </w:rPr>
        <w:t>Note</w:t>
      </w:r>
      <w:r w:rsidRPr="008E6180">
        <w:t xml:space="preserve">: These </w:t>
      </w:r>
      <w:r w:rsidRPr="008E6180">
        <w:lastRenderedPageBreak/>
        <w:t xml:space="preserve">figures are point in time and are likely to change </w:t>
      </w:r>
      <w:r w:rsidR="00CA06B2" w:rsidRPr="008E6180">
        <w:t xml:space="preserve">after </w:t>
      </w:r>
      <w:r w:rsidRPr="008E6180">
        <w:t>the June 2017 Star Ratings</w:t>
      </w:r>
      <w:r w:rsidR="00CA06B2" w:rsidRPr="008E6180">
        <w:t xml:space="preserve"> have been released</w:t>
      </w:r>
      <w:r w:rsidRPr="008E6180">
        <w:t>.</w:t>
      </w:r>
      <w:r w:rsidRPr="00C45FEB">
        <w:t xml:space="preserve"> </w:t>
      </w:r>
    </w:p>
    <w:p w:rsidR="00C45FEB" w:rsidRPr="00C45FEB" w:rsidRDefault="00C45FEB" w:rsidP="00C45FEB">
      <w:r w:rsidRPr="00C45FEB">
        <w:t xml:space="preserve">A diagram of the purchasing process is at </w:t>
      </w:r>
      <w:r w:rsidR="00E95327">
        <w:rPr>
          <w:u w:val="single"/>
        </w:rPr>
        <w:t xml:space="preserve">Appendix </w:t>
      </w:r>
      <w:r w:rsidR="00670D41">
        <w:rPr>
          <w:u w:val="single"/>
        </w:rPr>
        <w:t>3</w:t>
      </w:r>
      <w:r w:rsidRPr="00C45FEB">
        <w:t>.</w:t>
      </w:r>
    </w:p>
    <w:p w:rsidR="00C45FEB" w:rsidRPr="00287BCE" w:rsidRDefault="00C45FEB" w:rsidP="00287BCE">
      <w:pPr>
        <w:pStyle w:val="Heading2"/>
      </w:pPr>
      <w:bookmarkStart w:id="28" w:name="_Toc483921459"/>
      <w:bookmarkStart w:id="29" w:name="_Toc484692302"/>
      <w:r w:rsidRPr="00287BCE">
        <w:t>Stage 1 – Registration of Interest</w:t>
      </w:r>
      <w:bookmarkEnd w:id="28"/>
      <w:bookmarkEnd w:id="29"/>
    </w:p>
    <w:p w:rsidR="00C45FEB" w:rsidRPr="00C45FEB" w:rsidRDefault="00C45FEB" w:rsidP="00C45FEB">
      <w:r w:rsidRPr="00C45FEB">
        <w:t xml:space="preserve">Stage one will include an unrestricted </w:t>
      </w:r>
      <w:r w:rsidRPr="00C45FEB">
        <w:rPr>
          <w:i/>
        </w:rPr>
        <w:t>Registration of Interest</w:t>
      </w:r>
      <w:r w:rsidRPr="00C45FEB">
        <w:t xml:space="preserve"> for </w:t>
      </w:r>
      <w:r w:rsidRPr="00C45FEB">
        <w:rPr>
          <w:b/>
        </w:rPr>
        <w:t>ALL</w:t>
      </w:r>
      <w:r w:rsidRPr="00C45FEB">
        <w:t xml:space="preserve"> organisations wishing to provide DES services </w:t>
      </w:r>
      <w:r w:rsidR="00A560C2">
        <w:t>from</w:t>
      </w:r>
      <w:r w:rsidR="00A560C2" w:rsidRPr="00C45FEB">
        <w:t xml:space="preserve"> </w:t>
      </w:r>
      <w:r w:rsidRPr="00C45FEB">
        <w:t xml:space="preserve">1 July 2018. </w:t>
      </w:r>
      <w:r w:rsidR="004B2A28">
        <w:t xml:space="preserve">This includes organisations </w:t>
      </w:r>
      <w:r w:rsidR="00513DDF">
        <w:t>that</w:t>
      </w:r>
      <w:r w:rsidR="004B2A28">
        <w:t xml:space="preserve"> are likely to be offered an ITT</w:t>
      </w:r>
      <w:r w:rsidR="00411049">
        <w:t xml:space="preserve"> in Stage 2</w:t>
      </w:r>
      <w:r w:rsidR="004B2A28">
        <w:t xml:space="preserve">. </w:t>
      </w:r>
    </w:p>
    <w:p w:rsidR="00C45FEB" w:rsidRPr="00C45FEB" w:rsidRDefault="00C45FEB" w:rsidP="00C45FEB">
      <w:pPr>
        <w:rPr>
          <w:iCs/>
        </w:rPr>
      </w:pPr>
      <w:r w:rsidRPr="00C45FEB">
        <w:rPr>
          <w:iCs/>
        </w:rPr>
        <w:t xml:space="preserve">This unrestricted stage will collect the organisational details of all interested parties. </w:t>
      </w:r>
      <w:r w:rsidR="00337F2A">
        <w:rPr>
          <w:iCs/>
        </w:rPr>
        <w:t>O</w:t>
      </w:r>
      <w:r w:rsidRPr="00C45FEB">
        <w:rPr>
          <w:iCs/>
        </w:rPr>
        <w:t xml:space="preserve">rganisations will still need to nominate their preferences and submit their registration of interest form by the relevant authorised officer of that organisation. </w:t>
      </w:r>
    </w:p>
    <w:p w:rsidR="00C45FEB" w:rsidRPr="00A12D6C" w:rsidRDefault="00C45FEB" w:rsidP="00670D41">
      <w:pPr>
        <w:spacing w:after="0"/>
        <w:rPr>
          <w:iCs/>
        </w:rPr>
      </w:pPr>
      <w:r w:rsidRPr="00C45FEB">
        <w:t xml:space="preserve">As part of the </w:t>
      </w:r>
      <w:r w:rsidRPr="00C45FEB">
        <w:rPr>
          <w:i/>
        </w:rPr>
        <w:t>Registration of Interest</w:t>
      </w:r>
      <w:r w:rsidRPr="00C45FEB">
        <w:t xml:space="preserve"> process, all registrants will be required to</w:t>
      </w:r>
      <w:r w:rsidR="00670D41">
        <w:t xml:space="preserve"> </w:t>
      </w:r>
      <w:r w:rsidRPr="00A12D6C">
        <w:rPr>
          <w:iCs/>
        </w:rPr>
        <w:t>indicate the ESA(s) they intend to apply for</w:t>
      </w:r>
      <w:r w:rsidR="003A60FD">
        <w:rPr>
          <w:iCs/>
        </w:rPr>
        <w:t>,</w:t>
      </w:r>
      <w:r w:rsidR="00670D41">
        <w:rPr>
          <w:iCs/>
        </w:rPr>
        <w:t xml:space="preserve"> and </w:t>
      </w:r>
      <w:r w:rsidRPr="00A12D6C">
        <w:rPr>
          <w:iCs/>
        </w:rPr>
        <w:t>for each ESA</w:t>
      </w:r>
      <w:r w:rsidR="003A60FD">
        <w:rPr>
          <w:iCs/>
        </w:rPr>
        <w:t xml:space="preserve"> they must</w:t>
      </w:r>
      <w:r w:rsidRPr="00A12D6C">
        <w:rPr>
          <w:iCs/>
        </w:rPr>
        <w:t>:</w:t>
      </w:r>
    </w:p>
    <w:p w:rsidR="00C45FEB" w:rsidRPr="00C45FEB" w:rsidRDefault="00C45FEB" w:rsidP="00FB25F2">
      <w:pPr>
        <w:pStyle w:val="ListParagraph"/>
        <w:numPr>
          <w:ilvl w:val="0"/>
          <w:numId w:val="35"/>
        </w:numPr>
      </w:pPr>
      <w:r w:rsidRPr="00C45FEB">
        <w:t>indicate the DES services (DES-DMS and/or DES-ESS) they wish to deliver</w:t>
      </w:r>
      <w:r w:rsidR="003A60FD">
        <w:t>/</w:t>
      </w:r>
      <w:r w:rsidRPr="00C45FEB">
        <w:t xml:space="preserve">continue delivering </w:t>
      </w:r>
    </w:p>
    <w:p w:rsidR="00C45FEB" w:rsidRPr="00C45FEB" w:rsidRDefault="00C45FEB" w:rsidP="00FB25F2">
      <w:pPr>
        <w:pStyle w:val="ListParagraph"/>
        <w:numPr>
          <w:ilvl w:val="0"/>
          <w:numId w:val="35"/>
        </w:numPr>
      </w:pPr>
      <w:r w:rsidRPr="00C45FEB">
        <w:t xml:space="preserve">identify if it will be a specialist </w:t>
      </w:r>
      <w:r w:rsidR="00E95327">
        <w:t>and/</w:t>
      </w:r>
      <w:r w:rsidRPr="00C45FEB">
        <w:t xml:space="preserve">or </w:t>
      </w:r>
      <w:r w:rsidR="00D55354">
        <w:t>G</w:t>
      </w:r>
      <w:r w:rsidRPr="00C45FEB">
        <w:t xml:space="preserve">eneralist </w:t>
      </w:r>
      <w:r w:rsidR="00D55354">
        <w:t>S</w:t>
      </w:r>
      <w:r w:rsidRPr="00C45FEB">
        <w:t xml:space="preserve">ervice. </w:t>
      </w:r>
    </w:p>
    <w:p w:rsidR="00860201" w:rsidRPr="003E6AF0" w:rsidRDefault="00860201" w:rsidP="00C45FEB">
      <w:r w:rsidRPr="003E6AF0">
        <w:t xml:space="preserve">The </w:t>
      </w:r>
      <w:r w:rsidR="004F7681">
        <w:t xml:space="preserve">DSS </w:t>
      </w:r>
      <w:hyperlink r:id="rId20" w:history="1">
        <w:r w:rsidRPr="004F7681">
          <w:rPr>
            <w:rStyle w:val="Hyperlink"/>
            <w:sz w:val="24"/>
          </w:rPr>
          <w:t>Community Grants Hub website</w:t>
        </w:r>
      </w:hyperlink>
      <w:r w:rsidRPr="003E6AF0">
        <w:t xml:space="preserve"> offers information about grant opportunities for community services from DSS. The Registration of </w:t>
      </w:r>
      <w:r w:rsidR="00960836">
        <w:t>Interest</w:t>
      </w:r>
      <w:r w:rsidRPr="003E6AF0">
        <w:t xml:space="preserve"> (ROI) will be advertised on the Community Grants Hub website and organisations are encouraged to subscribe to receive Hub updates and other grant alerts.</w:t>
      </w:r>
      <w:r>
        <w:t xml:space="preserve"> A link to the Community Grants Hub website is</w:t>
      </w:r>
      <w:r w:rsidRPr="00C45FEB">
        <w:t xml:space="preserve"> available under the </w:t>
      </w:r>
      <w:r w:rsidRPr="00C45FEB">
        <w:rPr>
          <w:i/>
        </w:rPr>
        <w:t>Useful Information</w:t>
      </w:r>
      <w:r w:rsidRPr="00C45FEB">
        <w:t xml:space="preserve"> section </w:t>
      </w:r>
      <w:r w:rsidR="00F810A8">
        <w:t xml:space="preserve">on page </w:t>
      </w:r>
      <w:r w:rsidR="00BF55F6">
        <w:t>2</w:t>
      </w:r>
      <w:r w:rsidR="00200C68">
        <w:t>9</w:t>
      </w:r>
      <w:r w:rsidR="00BF55F6">
        <w:t xml:space="preserve"> </w:t>
      </w:r>
      <w:r w:rsidRPr="00C45FEB">
        <w:t>of this document.</w:t>
      </w:r>
    </w:p>
    <w:p w:rsidR="00C45FEB" w:rsidRPr="00C45FEB" w:rsidRDefault="00C45FEB" w:rsidP="00C45FEB">
      <w:r w:rsidRPr="00670D41">
        <w:rPr>
          <w:u w:val="single"/>
        </w:rPr>
        <w:t>Note</w:t>
      </w:r>
      <w:r w:rsidR="00670D41" w:rsidRPr="00670D41">
        <w:t xml:space="preserve">: </w:t>
      </w:r>
      <w:r w:rsidRPr="00C45FEB">
        <w:t>Stage 1 is a registration of interest only and will not be assessed.</w:t>
      </w:r>
    </w:p>
    <w:p w:rsidR="00C45FEB" w:rsidRPr="00287BCE" w:rsidRDefault="00265BAB" w:rsidP="00287BCE">
      <w:pPr>
        <w:pStyle w:val="Heading2"/>
      </w:pPr>
      <w:bookmarkStart w:id="30" w:name="_Toc483921460"/>
      <w:bookmarkStart w:id="31" w:name="_Toc484692303"/>
      <w:r>
        <w:t>Stage 2 – Grant a</w:t>
      </w:r>
      <w:r w:rsidR="00C45FEB" w:rsidRPr="00287BCE">
        <w:t>pplication process</w:t>
      </w:r>
      <w:bookmarkEnd w:id="30"/>
      <w:bookmarkEnd w:id="31"/>
    </w:p>
    <w:p w:rsidR="00C45FEB" w:rsidRPr="00C45FEB" w:rsidRDefault="00C45FEB" w:rsidP="00C45FEB">
      <w:r w:rsidRPr="00C45FEB">
        <w:t xml:space="preserve">Stage 2 will be a restricted </w:t>
      </w:r>
      <w:r w:rsidRPr="00C45FEB">
        <w:rPr>
          <w:i/>
        </w:rPr>
        <w:t xml:space="preserve">Grant </w:t>
      </w:r>
      <w:r w:rsidR="00265BAB">
        <w:rPr>
          <w:i/>
        </w:rPr>
        <w:t>a</w:t>
      </w:r>
      <w:r w:rsidRPr="00C45FEB">
        <w:rPr>
          <w:i/>
        </w:rPr>
        <w:t>pplication process</w:t>
      </w:r>
      <w:r w:rsidRPr="00C45FEB">
        <w:t xml:space="preserve"> that will invite organisations that have registered their interest in Stage 1 to either:</w:t>
      </w:r>
    </w:p>
    <w:p w:rsidR="004F7681" w:rsidRDefault="00C45FEB" w:rsidP="00C45FEB">
      <w:pPr>
        <w:numPr>
          <w:ilvl w:val="0"/>
          <w:numId w:val="15"/>
        </w:numPr>
      </w:pPr>
      <w:r w:rsidRPr="00C45FEB">
        <w:t>submit an application – this would apply to organisations</w:t>
      </w:r>
      <w:r w:rsidR="004F7681">
        <w:t>:</w:t>
      </w:r>
    </w:p>
    <w:p w:rsidR="004F7681" w:rsidRPr="00973151" w:rsidRDefault="00F075DC" w:rsidP="004F7681">
      <w:pPr>
        <w:numPr>
          <w:ilvl w:val="1"/>
          <w:numId w:val="34"/>
        </w:numPr>
      </w:pPr>
      <w:r w:rsidRPr="00973151">
        <w:t xml:space="preserve">not currently delivering DES </w:t>
      </w:r>
    </w:p>
    <w:p w:rsidR="004F7681" w:rsidRPr="00973151" w:rsidRDefault="00C45FEB" w:rsidP="004F7681">
      <w:pPr>
        <w:numPr>
          <w:ilvl w:val="1"/>
          <w:numId w:val="34"/>
        </w:numPr>
      </w:pPr>
      <w:r w:rsidRPr="00973151">
        <w:t>current</w:t>
      </w:r>
      <w:r w:rsidR="00F075DC" w:rsidRPr="00973151">
        <w:t>ly delivering</w:t>
      </w:r>
      <w:r w:rsidRPr="00973151">
        <w:t xml:space="preserve"> DES </w:t>
      </w:r>
      <w:r w:rsidR="00F075DC" w:rsidRPr="00973151">
        <w:t>but</w:t>
      </w:r>
      <w:r w:rsidRPr="00973151">
        <w:t xml:space="preserve"> who</w:t>
      </w:r>
      <w:r w:rsidR="004F7681" w:rsidRPr="00973151">
        <w:t>m</w:t>
      </w:r>
      <w:r w:rsidRPr="00973151">
        <w:t xml:space="preserve"> DSS has identified as </w:t>
      </w:r>
      <w:r w:rsidR="00BA4FDE" w:rsidRPr="00973151">
        <w:t>performing below 3-Stars</w:t>
      </w:r>
      <w:r w:rsidRPr="00973151">
        <w:t xml:space="preserve">, and </w:t>
      </w:r>
    </w:p>
    <w:p w:rsidR="00C45FEB" w:rsidRPr="00973151" w:rsidRDefault="00C45FEB" w:rsidP="00690D76">
      <w:pPr>
        <w:numPr>
          <w:ilvl w:val="1"/>
          <w:numId w:val="34"/>
        </w:numPr>
      </w:pPr>
      <w:r w:rsidRPr="00973151">
        <w:t>current</w:t>
      </w:r>
      <w:r w:rsidR="00690D76" w:rsidRPr="00973151">
        <w:t>ly delivering</w:t>
      </w:r>
      <w:r w:rsidRPr="00973151">
        <w:t xml:space="preserve"> DES </w:t>
      </w:r>
      <w:r w:rsidR="00690D76" w:rsidRPr="00973151">
        <w:t xml:space="preserve">and </w:t>
      </w:r>
      <w:r w:rsidR="002E2C45" w:rsidRPr="00973151">
        <w:t>offered an ITT</w:t>
      </w:r>
      <w:r w:rsidRPr="00973151">
        <w:t xml:space="preserve"> </w:t>
      </w:r>
      <w:r w:rsidR="00690D76" w:rsidRPr="00973151">
        <w:t xml:space="preserve">but </w:t>
      </w:r>
      <w:r w:rsidRPr="00973151">
        <w:t>wish</w:t>
      </w:r>
      <w:r w:rsidR="00690D76" w:rsidRPr="00973151">
        <w:t>es</w:t>
      </w:r>
      <w:r w:rsidRPr="00973151">
        <w:t xml:space="preserve"> to expand their service type or ESA coverage</w:t>
      </w:r>
      <w:r w:rsidR="00A560C2" w:rsidRPr="00973151">
        <w:t xml:space="preserve"> beyond those for which they have been </w:t>
      </w:r>
      <w:r w:rsidR="00690D76" w:rsidRPr="00973151">
        <w:t xml:space="preserve">offered an </w:t>
      </w:r>
      <w:r w:rsidR="007D5F0B" w:rsidRPr="00973151">
        <w:t>ITT</w:t>
      </w:r>
      <w:r w:rsidRPr="00973151">
        <w:t xml:space="preserve">; and/or </w:t>
      </w:r>
    </w:p>
    <w:p w:rsidR="00C45FEB" w:rsidRPr="00C45FEB" w:rsidRDefault="00C45FEB" w:rsidP="00C45FEB">
      <w:pPr>
        <w:numPr>
          <w:ilvl w:val="0"/>
          <w:numId w:val="15"/>
        </w:numPr>
      </w:pPr>
      <w:r w:rsidRPr="00C45FEB">
        <w:t>accept or decline an ITT – this would apply to providers who</w:t>
      </w:r>
      <w:r w:rsidR="004F7681">
        <w:t>m</w:t>
      </w:r>
      <w:r w:rsidRPr="00C45FEB">
        <w:t xml:space="preserve"> DSS has </w:t>
      </w:r>
      <w:r w:rsidR="00CA5AB2">
        <w:t xml:space="preserve">offered an ITT </w:t>
      </w:r>
      <w:r w:rsidR="00A560C2">
        <w:t xml:space="preserve">for </w:t>
      </w:r>
      <w:r w:rsidRPr="00C45FEB">
        <w:t>services they current</w:t>
      </w:r>
      <w:r w:rsidR="001B7BE8">
        <w:t>ly</w:t>
      </w:r>
      <w:r w:rsidRPr="00C45FEB">
        <w:t xml:space="preserve"> deliver and the ESA(s) in which they deliver them. The ITT will be run as a separate process alongside the </w:t>
      </w:r>
      <w:r w:rsidRPr="00C45FEB">
        <w:rPr>
          <w:i/>
        </w:rPr>
        <w:t xml:space="preserve">Grant </w:t>
      </w:r>
      <w:r w:rsidR="00265BAB">
        <w:rPr>
          <w:i/>
        </w:rPr>
        <w:t>a</w:t>
      </w:r>
      <w:r w:rsidRPr="00C45FEB">
        <w:rPr>
          <w:i/>
        </w:rPr>
        <w:t>pplication</w:t>
      </w:r>
      <w:r w:rsidRPr="00C45FEB">
        <w:t xml:space="preserve"> process.</w:t>
      </w:r>
    </w:p>
    <w:p w:rsidR="0039057A" w:rsidRDefault="00C45FEB" w:rsidP="00C45FEB">
      <w:r w:rsidRPr="00C45FEB">
        <w:t xml:space="preserve">Stage 2 instructions will include directions on how to access the DES 2018 Grant Funding Round Application Pack, and the steps for accepting an ITT. </w:t>
      </w:r>
    </w:p>
    <w:p w:rsidR="0039057A" w:rsidRDefault="00C45FEB" w:rsidP="00E23EE0">
      <w:pPr>
        <w:spacing w:before="0" w:after="0"/>
        <w:rPr>
          <w:iCs/>
        </w:rPr>
      </w:pPr>
      <w:r w:rsidRPr="00C45FEB">
        <w:rPr>
          <w:iCs/>
        </w:rPr>
        <w:lastRenderedPageBreak/>
        <w:t>The Application Pack will include</w:t>
      </w:r>
      <w:r w:rsidR="0039057A">
        <w:rPr>
          <w:iCs/>
        </w:rPr>
        <w:t>:</w:t>
      </w:r>
      <w:r w:rsidRPr="00C45FEB">
        <w:rPr>
          <w:iCs/>
        </w:rPr>
        <w:t xml:space="preserve"> </w:t>
      </w:r>
    </w:p>
    <w:p w:rsidR="0039057A" w:rsidRDefault="00C45FEB" w:rsidP="00E23EE0">
      <w:pPr>
        <w:pStyle w:val="ListParagraph"/>
        <w:numPr>
          <w:ilvl w:val="0"/>
          <w:numId w:val="25"/>
        </w:numPr>
        <w:spacing w:after="0"/>
        <w:rPr>
          <w:iCs/>
        </w:rPr>
      </w:pPr>
      <w:r w:rsidRPr="0039057A">
        <w:rPr>
          <w:iCs/>
        </w:rPr>
        <w:t xml:space="preserve">an Application Form </w:t>
      </w:r>
    </w:p>
    <w:p w:rsidR="0039057A" w:rsidRDefault="00C45FEB" w:rsidP="00E23EE0">
      <w:pPr>
        <w:pStyle w:val="ListParagraph"/>
        <w:numPr>
          <w:ilvl w:val="0"/>
          <w:numId w:val="25"/>
        </w:numPr>
        <w:spacing w:after="0"/>
        <w:rPr>
          <w:iCs/>
        </w:rPr>
      </w:pPr>
      <w:r w:rsidRPr="0039057A">
        <w:rPr>
          <w:iCs/>
        </w:rPr>
        <w:t xml:space="preserve">the DES Grant Opportunity Guidelines (GoG) </w:t>
      </w:r>
    </w:p>
    <w:p w:rsidR="0039057A" w:rsidRDefault="00C45FEB" w:rsidP="009C0880">
      <w:pPr>
        <w:pStyle w:val="ListParagraph"/>
        <w:numPr>
          <w:ilvl w:val="0"/>
          <w:numId w:val="25"/>
        </w:numPr>
        <w:rPr>
          <w:iCs/>
        </w:rPr>
      </w:pPr>
      <w:r w:rsidRPr="0039057A">
        <w:rPr>
          <w:iCs/>
        </w:rPr>
        <w:t xml:space="preserve">a </w:t>
      </w:r>
      <w:r w:rsidR="005A3F63">
        <w:rPr>
          <w:iCs/>
        </w:rPr>
        <w:t>d</w:t>
      </w:r>
      <w:r w:rsidRPr="0039057A">
        <w:rPr>
          <w:iCs/>
        </w:rPr>
        <w:t>raft Grant Agreement</w:t>
      </w:r>
    </w:p>
    <w:p w:rsidR="0039057A" w:rsidRDefault="00A12D6C" w:rsidP="009C0880">
      <w:pPr>
        <w:pStyle w:val="ListParagraph"/>
        <w:numPr>
          <w:ilvl w:val="0"/>
          <w:numId w:val="25"/>
        </w:numPr>
        <w:rPr>
          <w:iCs/>
        </w:rPr>
      </w:pPr>
      <w:r>
        <w:rPr>
          <w:iCs/>
        </w:rPr>
        <w:t>Questions and Answers.</w:t>
      </w:r>
      <w:r w:rsidR="00C45FEB" w:rsidRPr="0039057A">
        <w:rPr>
          <w:iCs/>
        </w:rPr>
        <w:t xml:space="preserve"> </w:t>
      </w:r>
    </w:p>
    <w:p w:rsidR="0039057A" w:rsidRDefault="00C45FEB" w:rsidP="0039057A">
      <w:pPr>
        <w:rPr>
          <w:iCs/>
        </w:rPr>
      </w:pPr>
      <w:r w:rsidRPr="0039057A">
        <w:rPr>
          <w:iCs/>
        </w:rPr>
        <w:t xml:space="preserve">The Application Pack will detail what information is to be provided by an organisation. </w:t>
      </w:r>
    </w:p>
    <w:p w:rsidR="00C45FEB" w:rsidRPr="0090726A" w:rsidRDefault="00C45FEB" w:rsidP="0039057A">
      <w:pPr>
        <w:rPr>
          <w:b/>
          <w:bCs/>
          <w:szCs w:val="18"/>
        </w:rPr>
      </w:pPr>
      <w:r w:rsidRPr="0090726A">
        <w:rPr>
          <w:b/>
          <w:bCs/>
          <w:szCs w:val="18"/>
        </w:rPr>
        <w:t>Table</w:t>
      </w:r>
      <w:r w:rsidR="006018A9" w:rsidRPr="0090726A">
        <w:rPr>
          <w:b/>
          <w:bCs/>
          <w:szCs w:val="18"/>
        </w:rPr>
        <w:t xml:space="preserve"> 3 -</w:t>
      </w:r>
      <w:r w:rsidRPr="0090726A">
        <w:rPr>
          <w:b/>
          <w:bCs/>
          <w:szCs w:val="18"/>
        </w:rPr>
        <w:t xml:space="preserve"> </w:t>
      </w:r>
      <w:r w:rsidR="006018A9" w:rsidRPr="0090726A">
        <w:rPr>
          <w:b/>
          <w:bCs/>
          <w:szCs w:val="18"/>
        </w:rPr>
        <w:t>H</w:t>
      </w:r>
      <w:r w:rsidRPr="0090726A">
        <w:rPr>
          <w:b/>
          <w:bCs/>
          <w:szCs w:val="18"/>
        </w:rPr>
        <w:t>igh</w:t>
      </w:r>
      <w:r w:rsidR="004F7681" w:rsidRPr="0090726A">
        <w:rPr>
          <w:b/>
          <w:bCs/>
          <w:szCs w:val="18"/>
        </w:rPr>
        <w:t>-</w:t>
      </w:r>
      <w:r w:rsidRPr="0090726A">
        <w:rPr>
          <w:b/>
          <w:bCs/>
          <w:szCs w:val="18"/>
        </w:rPr>
        <w:t xml:space="preserve">level summary of </w:t>
      </w:r>
      <w:r w:rsidR="006018A9" w:rsidRPr="0090726A">
        <w:rPr>
          <w:b/>
          <w:bCs/>
          <w:szCs w:val="18"/>
        </w:rPr>
        <w:t xml:space="preserve">Grant Agreement process </w:t>
      </w:r>
      <w:r w:rsidRPr="0090726A">
        <w:rPr>
          <w:b/>
          <w:bCs/>
          <w:szCs w:val="18"/>
        </w:rPr>
        <w:t>requirements</w:t>
      </w:r>
      <w:r w:rsidR="006018A9" w:rsidRPr="0090726A">
        <w:rPr>
          <w:b/>
          <w:bCs/>
          <w:szCs w:val="18"/>
        </w:rPr>
        <w:t xml:space="preserve"> for existing DES providers and new applicants</w:t>
      </w:r>
      <w:r w:rsidRPr="0090726A">
        <w:rPr>
          <w:b/>
          <w:bCs/>
          <w:szCs w:val="18"/>
        </w:rPr>
        <w:t xml:space="preserve">. </w:t>
      </w:r>
    </w:p>
    <w:tbl>
      <w:tblPr>
        <w:tblStyle w:val="TableGrid"/>
        <w:tblW w:w="0" w:type="auto"/>
        <w:tblLook w:val="04A0" w:firstRow="1" w:lastRow="0" w:firstColumn="1" w:lastColumn="0" w:noHBand="0" w:noVBand="1"/>
        <w:tblCaption w:val="High level summary of selection process requirements"/>
        <w:tblDescription w:val="The table is a description of the different stages of the selection process that apply to different types of organisations including DES providers, other employment services providers and new organisations."/>
      </w:tblPr>
      <w:tblGrid>
        <w:gridCol w:w="1809"/>
        <w:gridCol w:w="2127"/>
        <w:gridCol w:w="2552"/>
        <w:gridCol w:w="2976"/>
      </w:tblGrid>
      <w:tr w:rsidR="006D35B0" w:rsidRPr="006D35B0" w:rsidTr="006D35B0">
        <w:trPr>
          <w:trHeight w:val="1148"/>
          <w:tblHeader/>
        </w:trPr>
        <w:tc>
          <w:tcPr>
            <w:tcW w:w="1809" w:type="dxa"/>
            <w:shd w:val="clear" w:color="auto" w:fill="005A70" w:themeFill="accent4"/>
          </w:tcPr>
          <w:p w:rsidR="00C45FEB" w:rsidRPr="006D35B0" w:rsidRDefault="00C45FEB" w:rsidP="006463F4">
            <w:pPr>
              <w:jc w:val="center"/>
              <w:rPr>
                <w:b/>
                <w:iCs/>
                <w:color w:val="FFFFFF" w:themeColor="background1"/>
              </w:rPr>
            </w:pPr>
            <w:r w:rsidRPr="006D35B0">
              <w:rPr>
                <w:b/>
                <w:iCs/>
                <w:color w:val="FFFFFF" w:themeColor="background1"/>
              </w:rPr>
              <w:t>Organisation</w:t>
            </w:r>
          </w:p>
        </w:tc>
        <w:tc>
          <w:tcPr>
            <w:tcW w:w="2127" w:type="dxa"/>
            <w:shd w:val="clear" w:color="auto" w:fill="005A70" w:themeFill="accent4"/>
          </w:tcPr>
          <w:p w:rsidR="00C45FEB" w:rsidRPr="006D35B0" w:rsidRDefault="00C45FEB" w:rsidP="006463F4">
            <w:pPr>
              <w:jc w:val="center"/>
              <w:rPr>
                <w:b/>
                <w:iCs/>
                <w:color w:val="FFFFFF" w:themeColor="background1"/>
              </w:rPr>
            </w:pPr>
            <w:r w:rsidRPr="006D35B0">
              <w:rPr>
                <w:b/>
                <w:iCs/>
                <w:color w:val="FFFFFF" w:themeColor="background1"/>
              </w:rPr>
              <w:t>Business*</w:t>
            </w:r>
          </w:p>
        </w:tc>
        <w:tc>
          <w:tcPr>
            <w:tcW w:w="2552" w:type="dxa"/>
            <w:shd w:val="clear" w:color="auto" w:fill="005A70" w:themeFill="accent4"/>
          </w:tcPr>
          <w:p w:rsidR="00C45FEB" w:rsidRPr="006D35B0" w:rsidRDefault="0039057A" w:rsidP="006463F4">
            <w:pPr>
              <w:jc w:val="center"/>
              <w:rPr>
                <w:b/>
                <w:iCs/>
                <w:color w:val="FFFFFF" w:themeColor="background1"/>
              </w:rPr>
            </w:pPr>
            <w:r w:rsidRPr="006D35B0">
              <w:rPr>
                <w:b/>
                <w:iCs/>
                <w:color w:val="FFFFFF" w:themeColor="background1"/>
              </w:rPr>
              <w:t xml:space="preserve">Stage 1: </w:t>
            </w:r>
            <w:r w:rsidR="00C45FEB" w:rsidRPr="006D35B0">
              <w:rPr>
                <w:b/>
                <w:iCs/>
                <w:color w:val="FFFFFF" w:themeColor="background1"/>
              </w:rPr>
              <w:t>Registration of Interest (unrestricted)</w:t>
            </w:r>
          </w:p>
        </w:tc>
        <w:tc>
          <w:tcPr>
            <w:tcW w:w="2976" w:type="dxa"/>
            <w:shd w:val="clear" w:color="auto" w:fill="005A70" w:themeFill="accent4"/>
          </w:tcPr>
          <w:p w:rsidR="00C45FEB" w:rsidRPr="006D35B0" w:rsidRDefault="0039057A" w:rsidP="006463F4">
            <w:pPr>
              <w:jc w:val="center"/>
              <w:rPr>
                <w:b/>
                <w:iCs/>
                <w:color w:val="FFFFFF" w:themeColor="background1"/>
              </w:rPr>
            </w:pPr>
            <w:r w:rsidRPr="006D35B0">
              <w:rPr>
                <w:b/>
                <w:iCs/>
                <w:color w:val="FFFFFF" w:themeColor="background1"/>
              </w:rPr>
              <w:t xml:space="preserve">State 2: </w:t>
            </w:r>
            <w:r w:rsidR="00265BAB">
              <w:rPr>
                <w:b/>
                <w:iCs/>
                <w:color w:val="FFFFFF" w:themeColor="background1"/>
              </w:rPr>
              <w:t>Grant a</w:t>
            </w:r>
            <w:r w:rsidR="00C45FEB" w:rsidRPr="006D35B0">
              <w:rPr>
                <w:b/>
                <w:iCs/>
                <w:color w:val="FFFFFF" w:themeColor="background1"/>
              </w:rPr>
              <w:t>pplication (restricted)</w:t>
            </w:r>
          </w:p>
        </w:tc>
      </w:tr>
      <w:tr w:rsidR="00C45FEB" w:rsidRPr="00C45FEB" w:rsidTr="003F5A52">
        <w:tc>
          <w:tcPr>
            <w:tcW w:w="1809" w:type="dxa"/>
            <w:vMerge w:val="restart"/>
            <w:vAlign w:val="center"/>
          </w:tcPr>
          <w:p w:rsidR="00C45FEB" w:rsidRPr="00C45FEB" w:rsidRDefault="00C45FEB" w:rsidP="00C45FEB">
            <w:pPr>
              <w:rPr>
                <w:iCs/>
              </w:rPr>
            </w:pPr>
            <w:r w:rsidRPr="00C45FEB">
              <w:rPr>
                <w:iCs/>
              </w:rPr>
              <w:t>Existing DES provider</w:t>
            </w:r>
          </w:p>
        </w:tc>
        <w:tc>
          <w:tcPr>
            <w:tcW w:w="2127" w:type="dxa"/>
            <w:shd w:val="clear" w:color="auto" w:fill="D9D9D9" w:themeFill="background1" w:themeFillShade="D9"/>
            <w:vAlign w:val="center"/>
          </w:tcPr>
          <w:p w:rsidR="00C45FEB" w:rsidRPr="00C45FEB" w:rsidRDefault="0088659A" w:rsidP="00C45FEB">
            <w:pPr>
              <w:rPr>
                <w:iCs/>
              </w:rPr>
            </w:pPr>
            <w:r>
              <w:rPr>
                <w:iCs/>
              </w:rPr>
              <w:t>DSS ITT offers</w:t>
            </w:r>
            <w:r w:rsidR="00C45FEB" w:rsidRPr="00C45FEB">
              <w:rPr>
                <w:iCs/>
              </w:rPr>
              <w:t>**</w:t>
            </w:r>
          </w:p>
        </w:tc>
        <w:tc>
          <w:tcPr>
            <w:tcW w:w="2552" w:type="dxa"/>
            <w:vMerge w:val="restart"/>
            <w:vAlign w:val="center"/>
          </w:tcPr>
          <w:p w:rsidR="00C45FEB" w:rsidRPr="00C45FEB" w:rsidRDefault="00C45FEB" w:rsidP="00C45FEB">
            <w:pPr>
              <w:rPr>
                <w:iCs/>
              </w:rPr>
            </w:pPr>
            <w:r w:rsidRPr="00C45FEB">
              <w:rPr>
                <w:iCs/>
              </w:rPr>
              <w:t>Register interest for all business.</w:t>
            </w:r>
          </w:p>
          <w:p w:rsidR="00C45FEB" w:rsidRPr="00C45FEB" w:rsidRDefault="00C45FEB" w:rsidP="00C45FEB">
            <w:pPr>
              <w:rPr>
                <w:iCs/>
              </w:rPr>
            </w:pPr>
            <w:r w:rsidRPr="00C45FEB">
              <w:rPr>
                <w:iCs/>
              </w:rPr>
              <w:t>Provide organisation details (existing DES provider details will pre-populate)</w:t>
            </w:r>
          </w:p>
        </w:tc>
        <w:tc>
          <w:tcPr>
            <w:tcW w:w="2976" w:type="dxa"/>
            <w:shd w:val="clear" w:color="auto" w:fill="D9D9D9" w:themeFill="background1" w:themeFillShade="D9"/>
            <w:vAlign w:val="center"/>
          </w:tcPr>
          <w:p w:rsidR="00C45FEB" w:rsidRPr="00C45FEB" w:rsidRDefault="00C45FEB" w:rsidP="00D25D1A">
            <w:pPr>
              <w:rPr>
                <w:iCs/>
              </w:rPr>
            </w:pPr>
            <w:r w:rsidRPr="00C45FEB">
              <w:rPr>
                <w:iCs/>
              </w:rPr>
              <w:t xml:space="preserve">Accept or decline DSS </w:t>
            </w:r>
            <w:r w:rsidR="0088659A">
              <w:rPr>
                <w:iCs/>
              </w:rPr>
              <w:t>ITT</w:t>
            </w:r>
            <w:r w:rsidR="00265BAB">
              <w:rPr>
                <w:iCs/>
              </w:rPr>
              <w:t xml:space="preserve"> (concurrent with Grant a</w:t>
            </w:r>
            <w:r w:rsidR="00D25D1A">
              <w:rPr>
                <w:iCs/>
              </w:rPr>
              <w:t>pplication process)</w:t>
            </w:r>
          </w:p>
        </w:tc>
      </w:tr>
      <w:tr w:rsidR="00C45FEB" w:rsidRPr="00C45FEB" w:rsidTr="003F5A52">
        <w:tc>
          <w:tcPr>
            <w:tcW w:w="1809" w:type="dxa"/>
            <w:vMerge/>
            <w:vAlign w:val="center"/>
          </w:tcPr>
          <w:p w:rsidR="00C45FEB" w:rsidRPr="00C45FEB" w:rsidRDefault="00C45FEB" w:rsidP="00C45FEB">
            <w:pPr>
              <w:rPr>
                <w:iCs/>
              </w:rPr>
            </w:pPr>
          </w:p>
        </w:tc>
        <w:tc>
          <w:tcPr>
            <w:tcW w:w="2127" w:type="dxa"/>
            <w:shd w:val="clear" w:color="auto" w:fill="F2F2F2" w:themeFill="background1" w:themeFillShade="F2"/>
            <w:vAlign w:val="center"/>
          </w:tcPr>
          <w:p w:rsidR="00C45FEB" w:rsidRPr="00C45FEB" w:rsidRDefault="00C45FEB" w:rsidP="00BA4FDE">
            <w:pPr>
              <w:rPr>
                <w:iCs/>
              </w:rPr>
            </w:pPr>
            <w:r w:rsidRPr="00C45FEB">
              <w:rPr>
                <w:iCs/>
              </w:rPr>
              <w:t xml:space="preserve">Below </w:t>
            </w:r>
            <w:r w:rsidR="00BA4FDE">
              <w:rPr>
                <w:iCs/>
              </w:rPr>
              <w:t>3-Stars</w:t>
            </w:r>
            <w:r w:rsidRPr="00C45FEB">
              <w:rPr>
                <w:iCs/>
              </w:rPr>
              <w:t xml:space="preserve"> performing business </w:t>
            </w:r>
          </w:p>
        </w:tc>
        <w:tc>
          <w:tcPr>
            <w:tcW w:w="2552" w:type="dxa"/>
            <w:vMerge/>
            <w:shd w:val="clear" w:color="auto" w:fill="F2F2F2" w:themeFill="background1" w:themeFillShade="F2"/>
            <w:vAlign w:val="center"/>
          </w:tcPr>
          <w:p w:rsidR="00C45FEB" w:rsidRPr="00C45FEB" w:rsidRDefault="00C45FEB" w:rsidP="00C45FEB">
            <w:pPr>
              <w:rPr>
                <w:iCs/>
              </w:rPr>
            </w:pPr>
          </w:p>
        </w:tc>
        <w:tc>
          <w:tcPr>
            <w:tcW w:w="2976" w:type="dxa"/>
            <w:shd w:val="clear" w:color="auto" w:fill="F2F2F2" w:themeFill="background1" w:themeFillShade="F2"/>
            <w:vAlign w:val="center"/>
          </w:tcPr>
          <w:p w:rsidR="00C45FEB" w:rsidRPr="00C45FEB" w:rsidRDefault="00C45FEB" w:rsidP="00265BAB">
            <w:pPr>
              <w:rPr>
                <w:iCs/>
              </w:rPr>
            </w:pPr>
            <w:r w:rsidRPr="00C45FEB">
              <w:rPr>
                <w:iCs/>
              </w:rPr>
              <w:t xml:space="preserve">Apply for business through Grant </w:t>
            </w:r>
            <w:r w:rsidR="00265BAB">
              <w:rPr>
                <w:iCs/>
              </w:rPr>
              <w:t>a</w:t>
            </w:r>
            <w:r w:rsidRPr="00C45FEB">
              <w:rPr>
                <w:iCs/>
              </w:rPr>
              <w:t>pplication process</w:t>
            </w:r>
          </w:p>
        </w:tc>
      </w:tr>
      <w:tr w:rsidR="00C45FEB" w:rsidRPr="00C45FEB" w:rsidTr="003F5A52">
        <w:tc>
          <w:tcPr>
            <w:tcW w:w="1809" w:type="dxa"/>
            <w:vMerge/>
            <w:vAlign w:val="center"/>
          </w:tcPr>
          <w:p w:rsidR="00C45FEB" w:rsidRPr="00C45FEB" w:rsidRDefault="00C45FEB" w:rsidP="00C45FEB">
            <w:pPr>
              <w:rPr>
                <w:iCs/>
              </w:rPr>
            </w:pPr>
          </w:p>
        </w:tc>
        <w:tc>
          <w:tcPr>
            <w:tcW w:w="2127" w:type="dxa"/>
            <w:shd w:val="clear" w:color="auto" w:fill="D9D9D9" w:themeFill="background1" w:themeFillShade="D9"/>
            <w:vAlign w:val="center"/>
          </w:tcPr>
          <w:p w:rsidR="00C45FEB" w:rsidRPr="00C45FEB" w:rsidRDefault="00C45FEB" w:rsidP="00C45FEB">
            <w:pPr>
              <w:rPr>
                <w:iCs/>
              </w:rPr>
            </w:pPr>
            <w:r w:rsidRPr="00C45FEB">
              <w:rPr>
                <w:iCs/>
              </w:rPr>
              <w:t>New business</w:t>
            </w:r>
          </w:p>
        </w:tc>
        <w:tc>
          <w:tcPr>
            <w:tcW w:w="2552" w:type="dxa"/>
            <w:vMerge/>
            <w:vAlign w:val="center"/>
          </w:tcPr>
          <w:p w:rsidR="00C45FEB" w:rsidRPr="00C45FEB" w:rsidRDefault="00C45FEB" w:rsidP="00C45FEB">
            <w:pPr>
              <w:rPr>
                <w:iCs/>
              </w:rPr>
            </w:pPr>
          </w:p>
        </w:tc>
        <w:tc>
          <w:tcPr>
            <w:tcW w:w="2976" w:type="dxa"/>
            <w:shd w:val="clear" w:color="auto" w:fill="D9D9D9" w:themeFill="background1" w:themeFillShade="D9"/>
            <w:vAlign w:val="center"/>
          </w:tcPr>
          <w:p w:rsidR="00C45FEB" w:rsidRPr="00C45FEB" w:rsidRDefault="00C45FEB" w:rsidP="00265BAB">
            <w:pPr>
              <w:rPr>
                <w:b/>
                <w:iCs/>
              </w:rPr>
            </w:pPr>
            <w:r w:rsidRPr="00C45FEB">
              <w:rPr>
                <w:iCs/>
              </w:rPr>
              <w:t xml:space="preserve">Apply for business through Grant </w:t>
            </w:r>
            <w:r w:rsidR="00265BAB">
              <w:rPr>
                <w:iCs/>
              </w:rPr>
              <w:t>a</w:t>
            </w:r>
            <w:r w:rsidRPr="00C45FEB">
              <w:rPr>
                <w:iCs/>
              </w:rPr>
              <w:t>pplication process</w:t>
            </w:r>
          </w:p>
        </w:tc>
      </w:tr>
      <w:tr w:rsidR="00C45FEB" w:rsidRPr="00C45FEB" w:rsidTr="003F5A52">
        <w:tc>
          <w:tcPr>
            <w:tcW w:w="1809" w:type="dxa"/>
            <w:vAlign w:val="center"/>
          </w:tcPr>
          <w:p w:rsidR="00C45FEB" w:rsidRPr="00C45FEB" w:rsidRDefault="00C45FEB" w:rsidP="00C45FEB">
            <w:pPr>
              <w:rPr>
                <w:iCs/>
              </w:rPr>
            </w:pPr>
            <w:r w:rsidRPr="00C45FEB">
              <w:rPr>
                <w:iCs/>
              </w:rPr>
              <w:t>New Applicant</w:t>
            </w:r>
          </w:p>
        </w:tc>
        <w:tc>
          <w:tcPr>
            <w:tcW w:w="2127" w:type="dxa"/>
            <w:shd w:val="clear" w:color="auto" w:fill="F2F2F2" w:themeFill="background1" w:themeFillShade="F2"/>
            <w:vAlign w:val="center"/>
          </w:tcPr>
          <w:p w:rsidR="00C45FEB" w:rsidRPr="00C45FEB" w:rsidRDefault="00C45FEB" w:rsidP="00C45FEB">
            <w:pPr>
              <w:rPr>
                <w:iCs/>
              </w:rPr>
            </w:pPr>
            <w:r w:rsidRPr="00C45FEB">
              <w:rPr>
                <w:iCs/>
              </w:rPr>
              <w:t>New business</w:t>
            </w:r>
          </w:p>
        </w:tc>
        <w:tc>
          <w:tcPr>
            <w:tcW w:w="2552" w:type="dxa"/>
            <w:vMerge/>
            <w:shd w:val="clear" w:color="auto" w:fill="F2F2F2" w:themeFill="background1" w:themeFillShade="F2"/>
            <w:vAlign w:val="center"/>
          </w:tcPr>
          <w:p w:rsidR="00C45FEB" w:rsidRPr="00C45FEB" w:rsidRDefault="00C45FEB" w:rsidP="00C45FEB">
            <w:pPr>
              <w:rPr>
                <w:iCs/>
              </w:rPr>
            </w:pPr>
          </w:p>
        </w:tc>
        <w:tc>
          <w:tcPr>
            <w:tcW w:w="2976" w:type="dxa"/>
            <w:shd w:val="clear" w:color="auto" w:fill="F2F2F2" w:themeFill="background1" w:themeFillShade="F2"/>
            <w:vAlign w:val="center"/>
          </w:tcPr>
          <w:p w:rsidR="00C45FEB" w:rsidRPr="00C45FEB" w:rsidRDefault="00C45FEB" w:rsidP="00265BAB">
            <w:pPr>
              <w:rPr>
                <w:b/>
                <w:iCs/>
              </w:rPr>
            </w:pPr>
            <w:r w:rsidRPr="00C45FEB">
              <w:rPr>
                <w:iCs/>
              </w:rPr>
              <w:t xml:space="preserve">Apply for business through </w:t>
            </w:r>
            <w:r w:rsidR="002E2C45">
              <w:rPr>
                <w:iCs/>
              </w:rPr>
              <w:t xml:space="preserve">Grant </w:t>
            </w:r>
            <w:r w:rsidR="00265BAB">
              <w:rPr>
                <w:iCs/>
              </w:rPr>
              <w:t>a</w:t>
            </w:r>
            <w:r w:rsidRPr="00C45FEB">
              <w:rPr>
                <w:iCs/>
              </w:rPr>
              <w:t>pplication process</w:t>
            </w:r>
          </w:p>
        </w:tc>
      </w:tr>
    </w:tbl>
    <w:p w:rsidR="00C45FEB" w:rsidRPr="003F5A52" w:rsidRDefault="00C45FEB" w:rsidP="003F5A52">
      <w:pPr>
        <w:spacing w:before="0" w:after="0"/>
        <w:rPr>
          <w:i/>
          <w:iCs/>
          <w:sz w:val="18"/>
          <w:szCs w:val="18"/>
        </w:rPr>
      </w:pPr>
      <w:r w:rsidRPr="003F5A52">
        <w:rPr>
          <w:i/>
          <w:iCs/>
          <w:sz w:val="18"/>
          <w:szCs w:val="18"/>
        </w:rPr>
        <w:t>*</w:t>
      </w:r>
      <w:r w:rsidR="0088659A" w:rsidRPr="003F5A52">
        <w:rPr>
          <w:i/>
          <w:iCs/>
          <w:sz w:val="18"/>
          <w:szCs w:val="18"/>
        </w:rPr>
        <w:t xml:space="preserve"> Business refers to existing business levels within a particular ESA</w:t>
      </w:r>
      <w:r w:rsidRPr="003F5A52">
        <w:rPr>
          <w:i/>
          <w:iCs/>
          <w:sz w:val="18"/>
          <w:szCs w:val="18"/>
        </w:rPr>
        <w:t>.</w:t>
      </w:r>
    </w:p>
    <w:p w:rsidR="00C45FEB" w:rsidRDefault="00C45FEB" w:rsidP="003F5A52">
      <w:pPr>
        <w:spacing w:before="0" w:after="0"/>
        <w:rPr>
          <w:i/>
          <w:iCs/>
          <w:sz w:val="18"/>
          <w:szCs w:val="18"/>
        </w:rPr>
      </w:pPr>
      <w:r w:rsidRPr="003F5A52">
        <w:rPr>
          <w:i/>
          <w:iCs/>
          <w:sz w:val="18"/>
          <w:szCs w:val="18"/>
        </w:rPr>
        <w:t>**Includes business that was allocated through the 2016 Business Reallocation process or any new business since reallocation as a result of novation that does not have a star rating.</w:t>
      </w:r>
    </w:p>
    <w:p w:rsidR="006821EB" w:rsidRDefault="006821EB" w:rsidP="003F5A52">
      <w:pPr>
        <w:spacing w:before="0" w:after="0"/>
        <w:rPr>
          <w:i/>
          <w:iCs/>
          <w:sz w:val="18"/>
          <w:szCs w:val="18"/>
        </w:rPr>
      </w:pPr>
    </w:p>
    <w:p w:rsidR="006463F4" w:rsidDel="006821EB" w:rsidRDefault="006463F4" w:rsidP="006463F4">
      <w:pPr>
        <w:keepNext/>
        <w:ind w:left="720"/>
        <w:rPr>
          <w:i/>
        </w:rPr>
      </w:pPr>
      <w:r w:rsidDel="006821EB">
        <w:rPr>
          <w:i/>
        </w:rPr>
        <w:t>Case Study Example:</w:t>
      </w:r>
    </w:p>
    <w:p w:rsidR="00C45FEB" w:rsidRPr="00C45FEB" w:rsidDel="006821EB" w:rsidRDefault="006463F4" w:rsidP="00A12D6C">
      <w:pPr>
        <w:ind w:left="720"/>
        <w:rPr>
          <w:i/>
        </w:rPr>
      </w:pPr>
      <w:r w:rsidDel="006821EB">
        <w:rPr>
          <w:i/>
        </w:rPr>
        <w:t>I</w:t>
      </w:r>
      <w:r w:rsidR="00C45FEB" w:rsidRPr="00C45FEB" w:rsidDel="006821EB">
        <w:rPr>
          <w:i/>
        </w:rPr>
        <w:t xml:space="preserve">n June 2017, Alice’s Disability Service received a 4-Star rating for their Generalist DES-DMS contract in the ACT/Queanbeyan ESA and a 2-Star Rating for a specialist service in the same ESA. Alice’s Disability Service wants to continue providing DES services in the ACT/Queanbeyan ESA. </w:t>
      </w:r>
      <w:r w:rsidR="00D54D12" w:rsidDel="006821EB">
        <w:rPr>
          <w:i/>
        </w:rPr>
        <w:t>Alice</w:t>
      </w:r>
      <w:r w:rsidR="00D54D12" w:rsidRPr="00C45FEB" w:rsidDel="006821EB">
        <w:rPr>
          <w:i/>
        </w:rPr>
        <w:t xml:space="preserve"> </w:t>
      </w:r>
      <w:r w:rsidR="00C45FEB" w:rsidRPr="00C45FEB" w:rsidDel="006821EB">
        <w:rPr>
          <w:i/>
        </w:rPr>
        <w:t>want</w:t>
      </w:r>
      <w:r w:rsidR="00D54D12" w:rsidDel="006821EB">
        <w:rPr>
          <w:i/>
        </w:rPr>
        <w:t>s</w:t>
      </w:r>
      <w:r w:rsidR="00C45FEB" w:rsidRPr="00C45FEB" w:rsidDel="006821EB">
        <w:rPr>
          <w:i/>
        </w:rPr>
        <w:t xml:space="preserve"> to continue to deliver DES-DMS, their specialist services and would like to expand to deliver DES-ESS in the same ESA. </w:t>
      </w:r>
    </w:p>
    <w:p w:rsidR="00C45FEB" w:rsidRPr="00C45FEB" w:rsidDel="006821EB" w:rsidRDefault="00C45FEB" w:rsidP="00A12D6C">
      <w:pPr>
        <w:ind w:left="720"/>
        <w:rPr>
          <w:i/>
        </w:rPr>
      </w:pPr>
      <w:r w:rsidRPr="00C45FEB" w:rsidDel="006821EB">
        <w:rPr>
          <w:b/>
          <w:i/>
        </w:rPr>
        <w:t>At Stage 1</w:t>
      </w:r>
      <w:r w:rsidRPr="00C45FEB" w:rsidDel="006821EB">
        <w:rPr>
          <w:i/>
        </w:rPr>
        <w:t xml:space="preserve"> – Alice’s Disability Service will submit a Registration of Interest for the ACT/Queanbeyan ESA and will nominate to deliver DES-DMS, DES-ESS and a specialist service.</w:t>
      </w:r>
    </w:p>
    <w:p w:rsidR="00C45FEB" w:rsidRPr="00C45FEB" w:rsidDel="006821EB" w:rsidRDefault="00C45FEB" w:rsidP="00A12D6C">
      <w:pPr>
        <w:ind w:left="720"/>
        <w:rPr>
          <w:i/>
        </w:rPr>
      </w:pPr>
      <w:r w:rsidRPr="00C45FEB" w:rsidDel="006821EB">
        <w:rPr>
          <w:b/>
          <w:i/>
        </w:rPr>
        <w:lastRenderedPageBreak/>
        <w:t xml:space="preserve">At </w:t>
      </w:r>
      <w:r w:rsidRPr="00973151" w:rsidDel="006821EB">
        <w:rPr>
          <w:b/>
          <w:i/>
        </w:rPr>
        <w:t xml:space="preserve">Stage 2 </w:t>
      </w:r>
      <w:r w:rsidRPr="00973151" w:rsidDel="006821EB">
        <w:rPr>
          <w:i/>
        </w:rPr>
        <w:t xml:space="preserve">– Alice’s Disability Service receive </w:t>
      </w:r>
      <w:r w:rsidR="00D54D12" w:rsidRPr="00973151" w:rsidDel="006821EB">
        <w:rPr>
          <w:i/>
        </w:rPr>
        <w:t xml:space="preserve">a letter with </w:t>
      </w:r>
      <w:r w:rsidRPr="00973151" w:rsidDel="006821EB">
        <w:rPr>
          <w:i/>
        </w:rPr>
        <w:t xml:space="preserve">an Application Pack. This organisation will </w:t>
      </w:r>
      <w:r w:rsidR="00D54D12" w:rsidRPr="00973151" w:rsidDel="006821EB">
        <w:rPr>
          <w:i/>
        </w:rPr>
        <w:t xml:space="preserve">receive a second letter and </w:t>
      </w:r>
      <w:r w:rsidRPr="00973151" w:rsidDel="006821EB">
        <w:rPr>
          <w:i/>
        </w:rPr>
        <w:t>be offered an ITT for the DES-DMS business in the ACT/Queanbeyan ESA only</w:t>
      </w:r>
      <w:r w:rsidR="004F7681" w:rsidRPr="00973151" w:rsidDel="006821EB">
        <w:rPr>
          <w:i/>
        </w:rPr>
        <w:t xml:space="preserve">, as this was the only business that met the </w:t>
      </w:r>
      <w:r w:rsidR="00BA4FDE" w:rsidRPr="00973151" w:rsidDel="006821EB">
        <w:rPr>
          <w:i/>
        </w:rPr>
        <w:t>3-Star or above</w:t>
      </w:r>
      <w:r w:rsidR="004F7681" w:rsidRPr="00973151" w:rsidDel="006821EB">
        <w:rPr>
          <w:i/>
        </w:rPr>
        <w:t xml:space="preserve"> rating</w:t>
      </w:r>
      <w:r w:rsidR="00D54D12" w:rsidRPr="00973151" w:rsidDel="006821EB">
        <w:rPr>
          <w:i/>
        </w:rPr>
        <w:t xml:space="preserve"> in the June 2017 Star Ratings</w:t>
      </w:r>
      <w:r w:rsidRPr="00973151" w:rsidDel="006821EB">
        <w:rPr>
          <w:i/>
        </w:rPr>
        <w:t xml:space="preserve">. If Alice’s Disability Service </w:t>
      </w:r>
      <w:r w:rsidR="00D54D12" w:rsidRPr="00973151" w:rsidDel="006821EB">
        <w:rPr>
          <w:i/>
        </w:rPr>
        <w:t xml:space="preserve">still </w:t>
      </w:r>
      <w:r w:rsidR="00281A8F" w:rsidRPr="00973151" w:rsidDel="006821EB">
        <w:rPr>
          <w:i/>
        </w:rPr>
        <w:t>wishes</w:t>
      </w:r>
      <w:r w:rsidRPr="00973151" w:rsidDel="006821EB">
        <w:rPr>
          <w:i/>
        </w:rPr>
        <w:t xml:space="preserve"> to either apply for DES</w:t>
      </w:r>
      <w:r w:rsidR="00D54D12" w:rsidRPr="00973151" w:rsidDel="006821EB">
        <w:rPr>
          <w:i/>
        </w:rPr>
        <w:noBreakHyphen/>
      </w:r>
      <w:r w:rsidRPr="00973151" w:rsidDel="006821EB">
        <w:rPr>
          <w:i/>
        </w:rPr>
        <w:t xml:space="preserve">ESS business or continue to provide the specialist services, they will need to apply through the Grant </w:t>
      </w:r>
      <w:r w:rsidR="00265BAB">
        <w:rPr>
          <w:i/>
        </w:rPr>
        <w:t>a</w:t>
      </w:r>
      <w:r w:rsidRPr="00973151" w:rsidDel="006821EB">
        <w:rPr>
          <w:i/>
        </w:rPr>
        <w:t xml:space="preserve">pplication </w:t>
      </w:r>
      <w:r w:rsidR="00D54D12" w:rsidRPr="00973151" w:rsidDel="006821EB">
        <w:rPr>
          <w:i/>
        </w:rPr>
        <w:t xml:space="preserve">process. Alice will need to </w:t>
      </w:r>
      <w:r w:rsidRPr="00973151" w:rsidDel="006821EB">
        <w:rPr>
          <w:i/>
        </w:rPr>
        <w:t>nominat</w:t>
      </w:r>
      <w:r w:rsidR="00D54D12" w:rsidRPr="00973151" w:rsidDel="006821EB">
        <w:rPr>
          <w:i/>
        </w:rPr>
        <w:t>e</w:t>
      </w:r>
      <w:r w:rsidRPr="00973151" w:rsidDel="006821EB">
        <w:rPr>
          <w:i/>
        </w:rPr>
        <w:t xml:space="preserve"> the ESA and the service types</w:t>
      </w:r>
      <w:r w:rsidR="00D54D12" w:rsidRPr="00973151" w:rsidDel="006821EB">
        <w:rPr>
          <w:i/>
        </w:rPr>
        <w:t>,</w:t>
      </w:r>
      <w:r w:rsidRPr="00973151" w:rsidDel="006821EB">
        <w:rPr>
          <w:i/>
        </w:rPr>
        <w:t xml:space="preserve"> and respond to a reduced number of selection criteria for this application.</w:t>
      </w:r>
      <w:r w:rsidRPr="00C45FEB" w:rsidDel="006821EB">
        <w:rPr>
          <w:i/>
        </w:rPr>
        <w:t xml:space="preserve"> </w:t>
      </w:r>
    </w:p>
    <w:p w:rsidR="00575402" w:rsidRDefault="00C45FEB" w:rsidP="00C45FEB">
      <w:pPr>
        <w:rPr>
          <w:iCs/>
        </w:rPr>
      </w:pPr>
      <w:r w:rsidRPr="00C45FEB">
        <w:t>Registered</w:t>
      </w:r>
      <w:r w:rsidRPr="00C45FEB">
        <w:rPr>
          <w:iCs/>
        </w:rPr>
        <w:t xml:space="preserve"> organisations that elect to apply through the Grant </w:t>
      </w:r>
      <w:r w:rsidR="00575402">
        <w:rPr>
          <w:iCs/>
        </w:rPr>
        <w:t>a</w:t>
      </w:r>
      <w:r w:rsidRPr="00C45FEB">
        <w:rPr>
          <w:iCs/>
        </w:rPr>
        <w:t xml:space="preserve">pplication process will be subject to an assessment conducted by the </w:t>
      </w:r>
      <w:r w:rsidR="001666CE">
        <w:rPr>
          <w:iCs/>
        </w:rPr>
        <w:t xml:space="preserve">DSS </w:t>
      </w:r>
      <w:r w:rsidR="0039057A">
        <w:rPr>
          <w:rFonts w:asciiTheme="minorHAnsi" w:hAnsiTheme="minorHAnsi" w:cstheme="minorHAnsi"/>
          <w:iCs/>
        </w:rPr>
        <w:t xml:space="preserve">Community </w:t>
      </w:r>
      <w:r w:rsidR="0039057A" w:rsidRPr="0081448A">
        <w:rPr>
          <w:rFonts w:asciiTheme="minorHAnsi" w:hAnsiTheme="minorHAnsi" w:cstheme="minorHAnsi"/>
          <w:iCs/>
        </w:rPr>
        <w:t>Grants Hub</w:t>
      </w:r>
      <w:r w:rsidRPr="00C45FEB">
        <w:rPr>
          <w:iCs/>
        </w:rPr>
        <w:t xml:space="preserve">. </w:t>
      </w:r>
    </w:p>
    <w:p w:rsidR="00C45FEB" w:rsidRPr="00C45FEB" w:rsidRDefault="00C45FEB" w:rsidP="00C45FEB">
      <w:pPr>
        <w:rPr>
          <w:iCs/>
        </w:rPr>
      </w:pPr>
      <w:r w:rsidRPr="00C45FEB">
        <w:rPr>
          <w:iCs/>
        </w:rPr>
        <w:t xml:space="preserve">Applicants will be asked to provide organisational level details on their governance and strategies </w:t>
      </w:r>
      <w:r w:rsidR="00D54D12">
        <w:rPr>
          <w:iCs/>
        </w:rPr>
        <w:t>on how they are going to deliver the services</w:t>
      </w:r>
      <w:r w:rsidR="00785599">
        <w:rPr>
          <w:iCs/>
        </w:rPr>
        <w:t>,</w:t>
      </w:r>
      <w:r w:rsidR="00D54D12">
        <w:rPr>
          <w:iCs/>
        </w:rPr>
        <w:t xml:space="preserve"> </w:t>
      </w:r>
      <w:r w:rsidRPr="00C45FEB">
        <w:rPr>
          <w:iCs/>
        </w:rPr>
        <w:t xml:space="preserve">and proposed specialisations. </w:t>
      </w:r>
      <w:r w:rsidR="001666CE">
        <w:rPr>
          <w:iCs/>
        </w:rPr>
        <w:t xml:space="preserve">The </w:t>
      </w:r>
      <w:r w:rsidR="00B40EE8">
        <w:rPr>
          <w:iCs/>
        </w:rPr>
        <w:t xml:space="preserve">DSS </w:t>
      </w:r>
      <w:r w:rsidR="001666CE">
        <w:rPr>
          <w:iCs/>
        </w:rPr>
        <w:t xml:space="preserve">Community Grants Hub </w:t>
      </w:r>
      <w:r w:rsidR="00B40EE8">
        <w:rPr>
          <w:iCs/>
        </w:rPr>
        <w:t xml:space="preserve">will only consider </w:t>
      </w:r>
      <w:r w:rsidR="00937018">
        <w:rPr>
          <w:iCs/>
        </w:rPr>
        <w:t>appointing</w:t>
      </w:r>
      <w:r w:rsidR="00B40EE8">
        <w:rPr>
          <w:iCs/>
        </w:rPr>
        <w:t xml:space="preserve"> </w:t>
      </w:r>
      <w:r w:rsidR="00640FD3">
        <w:rPr>
          <w:iCs/>
        </w:rPr>
        <w:t>organisations</w:t>
      </w:r>
      <w:r w:rsidR="00B40EE8">
        <w:rPr>
          <w:iCs/>
        </w:rPr>
        <w:t xml:space="preserve"> with </w:t>
      </w:r>
      <w:r w:rsidR="00937018">
        <w:rPr>
          <w:iCs/>
        </w:rPr>
        <w:t xml:space="preserve">demonstrated </w:t>
      </w:r>
      <w:r w:rsidR="00B40EE8">
        <w:rPr>
          <w:iCs/>
        </w:rPr>
        <w:t>experience in di</w:t>
      </w:r>
      <w:r w:rsidR="00F75813">
        <w:rPr>
          <w:iCs/>
        </w:rPr>
        <w:t>s</w:t>
      </w:r>
      <w:r w:rsidR="00B40EE8">
        <w:rPr>
          <w:iCs/>
        </w:rPr>
        <w:t xml:space="preserve">ability and/or employment </w:t>
      </w:r>
      <w:r w:rsidR="00640FD3">
        <w:rPr>
          <w:iCs/>
        </w:rPr>
        <w:t xml:space="preserve">or related </w:t>
      </w:r>
      <w:r w:rsidR="00B40EE8">
        <w:rPr>
          <w:iCs/>
        </w:rPr>
        <w:t xml:space="preserve">services to the </w:t>
      </w:r>
      <w:r w:rsidR="001B7BE8">
        <w:rPr>
          <w:iCs/>
        </w:rPr>
        <w:t xml:space="preserve">Panel of </w:t>
      </w:r>
      <w:r w:rsidR="00B40EE8">
        <w:rPr>
          <w:iCs/>
        </w:rPr>
        <w:t>DES Provider</w:t>
      </w:r>
      <w:r w:rsidR="001B7BE8">
        <w:rPr>
          <w:iCs/>
        </w:rPr>
        <w:t>s</w:t>
      </w:r>
      <w:r w:rsidR="00B40EE8">
        <w:rPr>
          <w:iCs/>
        </w:rPr>
        <w:t xml:space="preserve">. Applicants will have to demonstrate their ability to provide </w:t>
      </w:r>
      <w:r w:rsidRPr="00C45FEB">
        <w:rPr>
          <w:iCs/>
        </w:rPr>
        <w:t>full coverage at the ESA level.</w:t>
      </w:r>
    </w:p>
    <w:p w:rsidR="00C45FEB" w:rsidRPr="00C45FEB" w:rsidRDefault="00C45FEB" w:rsidP="00C45FEB">
      <w:r w:rsidRPr="00C45FEB">
        <w:t xml:space="preserve">To ensure transparency in the DES purchasing process, Star Ratings (at the Contract/ESA level) will be made publicly available on the </w:t>
      </w:r>
      <w:r w:rsidR="00ED09E5">
        <w:t>Employment</w:t>
      </w:r>
      <w:r w:rsidR="00ED09E5" w:rsidRPr="00C45FEB">
        <w:t xml:space="preserve"> </w:t>
      </w:r>
      <w:r w:rsidRPr="00C45FEB">
        <w:t xml:space="preserve">website </w:t>
      </w:r>
      <w:hyperlink r:id="rId21" w:history="1">
        <w:r w:rsidRPr="00C45FEB">
          <w:rPr>
            <w:rStyle w:val="Hyperlink"/>
            <w:sz w:val="24"/>
          </w:rPr>
          <w:t>DES Star Ratings page</w:t>
        </w:r>
      </w:hyperlink>
      <w:r w:rsidRPr="00C45FEB">
        <w:t xml:space="preserve"> and on the </w:t>
      </w:r>
      <w:hyperlink r:id="rId22" w:history="1">
        <w:r w:rsidRPr="00C45FEB">
          <w:rPr>
            <w:rStyle w:val="Hyperlink"/>
            <w:sz w:val="24"/>
          </w:rPr>
          <w:t>Labour Market Information Portal</w:t>
        </w:r>
      </w:hyperlink>
      <w:r w:rsidRPr="00C45FEB">
        <w:t xml:space="preserve"> in August 2017. Links to these pages are available under the </w:t>
      </w:r>
      <w:r w:rsidRPr="00C45FEB">
        <w:rPr>
          <w:i/>
        </w:rPr>
        <w:t>Useful Information</w:t>
      </w:r>
      <w:r w:rsidRPr="00C45FEB">
        <w:t xml:space="preserve"> section </w:t>
      </w:r>
      <w:r w:rsidR="00785599">
        <w:t xml:space="preserve">on </w:t>
      </w:r>
      <w:r w:rsidR="00785599" w:rsidRPr="00F810A8">
        <w:t xml:space="preserve">page </w:t>
      </w:r>
      <w:r w:rsidR="005442EC">
        <w:t>2</w:t>
      </w:r>
      <w:r w:rsidR="00200C68">
        <w:t>9</w:t>
      </w:r>
      <w:r w:rsidRPr="00C45FEB">
        <w:t xml:space="preserve"> of this document. </w:t>
      </w:r>
    </w:p>
    <w:p w:rsidR="00C45FEB" w:rsidRPr="00C45FEB" w:rsidRDefault="00C45FEB" w:rsidP="00C45FEB">
      <w:r w:rsidRPr="00C45FEB">
        <w:t xml:space="preserve">During the </w:t>
      </w:r>
      <w:r w:rsidR="00575402">
        <w:t>a</w:t>
      </w:r>
      <w:r w:rsidRPr="00C45FEB">
        <w:t xml:space="preserve">ssessment process, DSS will undertake an assessment of each Grant </w:t>
      </w:r>
      <w:r w:rsidR="00575402">
        <w:t>a</w:t>
      </w:r>
      <w:r w:rsidRPr="00C45FEB">
        <w:t xml:space="preserve">pplication taking into account providers who are </w:t>
      </w:r>
      <w:r w:rsidR="0088659A">
        <w:t>being offered an ITT</w:t>
      </w:r>
      <w:r w:rsidR="00785599">
        <w:t>;</w:t>
      </w:r>
      <w:r w:rsidRPr="00C45FEB">
        <w:t xml:space="preserve"> the characteristics of the ESA</w:t>
      </w:r>
      <w:r w:rsidR="00785599">
        <w:t>;</w:t>
      </w:r>
      <w:r w:rsidRPr="00C45FEB">
        <w:t xml:space="preserve"> coverage</w:t>
      </w:r>
      <w:r w:rsidR="00785599">
        <w:t>;</w:t>
      </w:r>
      <w:r w:rsidRPr="00C45FEB">
        <w:t xml:space="preserve"> diversity</w:t>
      </w:r>
      <w:r w:rsidR="00785599">
        <w:t>;</w:t>
      </w:r>
      <w:r w:rsidRPr="00C45FEB">
        <w:t xml:space="preserve"> meeting the needs of specific client groups and job seekers in general</w:t>
      </w:r>
      <w:r w:rsidR="00785599">
        <w:t>;</w:t>
      </w:r>
      <w:r w:rsidRPr="00C45FEB">
        <w:t xml:space="preserve"> and any risk exposure for the Australian Government.</w:t>
      </w:r>
    </w:p>
    <w:p w:rsidR="00C45FEB" w:rsidRPr="00C45FEB" w:rsidRDefault="00C45FEB" w:rsidP="00C45FEB">
      <w:r w:rsidRPr="00C45FEB">
        <w:t xml:space="preserve">Should the Grant </w:t>
      </w:r>
      <w:r w:rsidR="00575402">
        <w:t>a</w:t>
      </w:r>
      <w:r w:rsidRPr="00C45FEB">
        <w:t xml:space="preserve">pplication process </w:t>
      </w:r>
      <w:r w:rsidR="00581123">
        <w:t>not identify</w:t>
      </w:r>
      <w:r w:rsidRPr="00C45FEB">
        <w:t xml:space="preserve"> suitable or sufficient providers in a particular ESA,</w:t>
      </w:r>
      <w:r w:rsidR="00937018" w:rsidRPr="00C45FEB" w:rsidDel="00937018">
        <w:t xml:space="preserve"> </w:t>
      </w:r>
      <w:r w:rsidRPr="00C45FEB">
        <w:t>DSS</w:t>
      </w:r>
      <w:r w:rsidR="00A560C2">
        <w:t xml:space="preserve"> reserves the</w:t>
      </w:r>
      <w:r w:rsidRPr="00C45FEB">
        <w:t xml:space="preserve"> </w:t>
      </w:r>
      <w:r w:rsidR="00A560C2">
        <w:t xml:space="preserve">right to pursue a range </w:t>
      </w:r>
      <w:r w:rsidRPr="00C45FEB">
        <w:t>of options to ensure service coverage, including gap</w:t>
      </w:r>
      <w:r w:rsidR="00785599">
        <w:t>-</w:t>
      </w:r>
      <w:r w:rsidRPr="00C45FEB">
        <w:t>filling arrangements</w:t>
      </w:r>
      <w:r w:rsidR="001D402E">
        <w:t>; placing conditions on contract for other ESAs; restricting provider numbers in an ESA</w:t>
      </w:r>
      <w:r w:rsidR="00785599">
        <w:t>;</w:t>
      </w:r>
      <w:r w:rsidR="001D402E">
        <w:t xml:space="preserve"> and/or re-instating managed market share arrangements</w:t>
      </w:r>
      <w:r w:rsidRPr="00C45FEB">
        <w:t xml:space="preserve">. </w:t>
      </w:r>
    </w:p>
    <w:p w:rsidR="00C45FEB" w:rsidRPr="009C0880" w:rsidRDefault="00C45FEB" w:rsidP="00C45FEB">
      <w:pPr>
        <w:rPr>
          <w:b/>
        </w:rPr>
      </w:pPr>
      <w:r w:rsidRPr="009C0880">
        <w:rPr>
          <w:b/>
        </w:rPr>
        <w:t>Gap filling arrangements</w:t>
      </w:r>
    </w:p>
    <w:p w:rsidR="00C45FEB" w:rsidRDefault="00C45FEB" w:rsidP="00C45FEB">
      <w:r w:rsidRPr="00C45FEB">
        <w:t>DSS will use gap</w:t>
      </w:r>
      <w:r w:rsidR="00785599">
        <w:t>-</w:t>
      </w:r>
      <w:r w:rsidRPr="00C45FEB">
        <w:t xml:space="preserve">filling arrangements to ensure sufficient service coverage across Australia. This will allow DSS to undertake a direct approach to market outside the </w:t>
      </w:r>
      <w:r w:rsidR="001B7BE8">
        <w:t xml:space="preserve">Panel of DES Providers </w:t>
      </w:r>
      <w:r w:rsidRPr="00C45FEB">
        <w:t xml:space="preserve">to achieve sufficient national service coverage. </w:t>
      </w:r>
    </w:p>
    <w:p w:rsidR="00C45FEB" w:rsidRPr="00C45FEB" w:rsidRDefault="00C45FEB" w:rsidP="00287BCE">
      <w:pPr>
        <w:pStyle w:val="Heading2"/>
        <w:rPr>
          <w:b/>
        </w:rPr>
      </w:pPr>
      <w:bookmarkStart w:id="32" w:name="_Toc483921461"/>
      <w:bookmarkStart w:id="33" w:name="_Toc484692304"/>
      <w:r w:rsidRPr="00287BCE">
        <w:t>Who is eligible to apply to provide DES?</w:t>
      </w:r>
      <w:bookmarkEnd w:id="32"/>
      <w:bookmarkEnd w:id="33"/>
      <w:r w:rsidRPr="00C45FEB">
        <w:rPr>
          <w:b/>
        </w:rPr>
        <w:t xml:space="preserve"> </w:t>
      </w:r>
    </w:p>
    <w:p w:rsidR="00C45FEB" w:rsidRPr="00C45FEB" w:rsidRDefault="00C45FEB" w:rsidP="00C45FEB">
      <w:r w:rsidRPr="00C45FEB">
        <w:t xml:space="preserve">Those wishing to submit a Grant </w:t>
      </w:r>
      <w:r w:rsidR="00575402">
        <w:t>a</w:t>
      </w:r>
      <w:r w:rsidRPr="00C45FEB">
        <w:t xml:space="preserve">pplication may wish to consider entering into business arrangements that will give them the best opportunity to achieve full coverage across an ESA and be awarded DES business. This may either be through the submission of an application as an individual entity or as part of a group </w:t>
      </w:r>
      <w:r w:rsidR="00420C97">
        <w:t>application</w:t>
      </w:r>
      <w:r w:rsidRPr="00C45FEB">
        <w:t>.</w:t>
      </w:r>
    </w:p>
    <w:p w:rsidR="00C45FEB" w:rsidRPr="00C45FEB" w:rsidRDefault="00C45FEB" w:rsidP="00C45FEB">
      <w:r w:rsidRPr="00C45FEB">
        <w:lastRenderedPageBreak/>
        <w:t xml:space="preserve">DSS will only accept entities that have legal capacity to contract to provide DES. Individuals operating as sole traders are considered to have legal </w:t>
      </w:r>
      <w:r w:rsidR="00937018">
        <w:t>capacity</w:t>
      </w:r>
      <w:r w:rsidR="00785599">
        <w:t>,</w:t>
      </w:r>
      <w:r w:rsidRPr="00C45FEB">
        <w:t xml:space="preserve"> while an unincorporated organisation is not a legal person and will not be accepted by DSS to join the </w:t>
      </w:r>
      <w:r w:rsidR="007C3B0B">
        <w:t>Panel of DES Providers</w:t>
      </w:r>
      <w:r w:rsidRPr="00C45FEB">
        <w:t>.</w:t>
      </w:r>
    </w:p>
    <w:p w:rsidR="001845C7" w:rsidRDefault="00C45FEB" w:rsidP="00C45FEB">
      <w:r w:rsidRPr="00C45FEB">
        <w:t>A group of legal entities (Group</w:t>
      </w:r>
      <w:r w:rsidR="00420C97">
        <w:t xml:space="preserve"> Application</w:t>
      </w:r>
      <w:r w:rsidRPr="00C45FEB">
        <w:t>) can apply as a consortium, joint venture, partnership or some other form of alliance in order to deliver DES services. It will be necessary to specify in its application the business model it proposes</w:t>
      </w:r>
      <w:r w:rsidR="00420C97">
        <w:t xml:space="preserve"> </w:t>
      </w:r>
      <w:r w:rsidR="00420C97" w:rsidRPr="00C45FEB">
        <w:t>(</w:t>
      </w:r>
      <w:r w:rsidR="00420C97">
        <w:t>e.g. </w:t>
      </w:r>
      <w:r w:rsidR="00420C97" w:rsidRPr="00C45FEB">
        <w:t>consortium, or joint venture)</w:t>
      </w:r>
      <w:r w:rsidRPr="00C45FEB">
        <w:t xml:space="preserve">. Each </w:t>
      </w:r>
      <w:r w:rsidR="00420C97">
        <w:t>Group Application</w:t>
      </w:r>
      <w:r w:rsidRPr="00C45FEB">
        <w:t xml:space="preserve"> must be a group of individual leg</w:t>
      </w:r>
      <w:r w:rsidR="00265BAB">
        <w:t>al entities that lodge a Grant a</w:t>
      </w:r>
      <w:r w:rsidRPr="00C45FEB">
        <w:t xml:space="preserve">pplication collectively. </w:t>
      </w:r>
      <w:r w:rsidR="00562069">
        <w:t>DSS will only enter into a Grant Agreement with a single legal entity.</w:t>
      </w:r>
    </w:p>
    <w:p w:rsidR="00C45FEB" w:rsidRPr="00C45FEB" w:rsidRDefault="00C45FEB" w:rsidP="00E23EE0">
      <w:pPr>
        <w:keepNext/>
      </w:pPr>
      <w:r w:rsidRPr="00C45FEB">
        <w:t xml:space="preserve">Descriptions of various group entities that are eligible to apply </w:t>
      </w:r>
      <w:r w:rsidR="00562069">
        <w:t>include:</w:t>
      </w:r>
    </w:p>
    <w:p w:rsidR="00C45FEB" w:rsidRPr="00EA1427" w:rsidRDefault="00C45FEB" w:rsidP="001B7BE8">
      <w:pPr>
        <w:keepNext/>
        <w:rPr>
          <w:bCs/>
          <w:i/>
          <w:lang w:val="en-GB"/>
        </w:rPr>
      </w:pPr>
      <w:r w:rsidRPr="00EA1427">
        <w:rPr>
          <w:bCs/>
          <w:i/>
          <w:lang w:val="en-GB"/>
        </w:rPr>
        <w:t>Consortium</w:t>
      </w:r>
    </w:p>
    <w:p w:rsidR="00C45FEB" w:rsidRPr="00C45FEB" w:rsidRDefault="00C45FEB" w:rsidP="001B7BE8">
      <w:r w:rsidRPr="00C45FEB">
        <w:t>A consortium is a group of individual legal entities that lodge an application collectively. A partnership does not constitute a consortium. If a group of entities incorporates, it would apply as the incorporated entity, not as a consortium.</w:t>
      </w:r>
    </w:p>
    <w:p w:rsidR="00C45FEB" w:rsidRPr="00C45FEB" w:rsidRDefault="00C45FEB" w:rsidP="001B7BE8">
      <w:r w:rsidRPr="00C45FEB">
        <w:t>The consortium must appoint a lead member entity to act as agent for the other member entities. The lead member entity must be authorised to negotiate, act on behalf of</w:t>
      </w:r>
      <w:r w:rsidR="00785599">
        <w:t>,</w:t>
      </w:r>
      <w:r w:rsidRPr="00C45FEB">
        <w:t xml:space="preserve"> and contractually bind each member of the Consortium. Each member of the Consortium must confirm the authority of the lead member entity in writing as required by DSS at the time of Application.</w:t>
      </w:r>
    </w:p>
    <w:p w:rsidR="00C45FEB" w:rsidRPr="00EA1427" w:rsidRDefault="00C45FEB" w:rsidP="001B7BE8">
      <w:pPr>
        <w:rPr>
          <w:bCs/>
          <w:i/>
          <w:lang w:val="en-GB"/>
        </w:rPr>
      </w:pPr>
      <w:r w:rsidRPr="00EA1427">
        <w:rPr>
          <w:bCs/>
          <w:i/>
          <w:lang w:val="en-GB"/>
        </w:rPr>
        <w:t>Joint Venture</w:t>
      </w:r>
    </w:p>
    <w:p w:rsidR="00C45FEB" w:rsidRPr="00C45FEB" w:rsidRDefault="00C45FEB" w:rsidP="001B7BE8">
      <w:r w:rsidRPr="00C45FEB">
        <w:t>A joint venture is a business enterprise in which two or more legal entities enter into a temporary partnership through the use of a joint venture agreement for the purpose of delivering the services.</w:t>
      </w:r>
    </w:p>
    <w:p w:rsidR="00C45FEB" w:rsidRPr="00EA1427" w:rsidRDefault="00C45FEB" w:rsidP="001B7BE8">
      <w:pPr>
        <w:rPr>
          <w:bCs/>
          <w:i/>
          <w:lang w:val="en-GB"/>
        </w:rPr>
      </w:pPr>
      <w:r w:rsidRPr="00EA1427">
        <w:rPr>
          <w:bCs/>
          <w:i/>
          <w:lang w:val="en-GB"/>
        </w:rPr>
        <w:t>Partnership</w:t>
      </w:r>
    </w:p>
    <w:p w:rsidR="00C45FEB" w:rsidRPr="00C45FEB" w:rsidRDefault="00C45FEB" w:rsidP="001B7BE8">
      <w:r w:rsidRPr="00C45FEB">
        <w:t>A partnership is an agreement entered into by two or more legal entities in which each agrees to provide a part of the capital and or labour for a business enterprise, and by which each shares a defined proportion of profits and losses.</w:t>
      </w:r>
    </w:p>
    <w:p w:rsidR="00C45FEB" w:rsidRPr="00EA1427" w:rsidRDefault="00C45FEB" w:rsidP="001B7BE8">
      <w:pPr>
        <w:rPr>
          <w:bCs/>
          <w:i/>
          <w:lang w:val="en-GB"/>
        </w:rPr>
      </w:pPr>
      <w:r w:rsidRPr="00EA1427">
        <w:rPr>
          <w:bCs/>
          <w:i/>
          <w:lang w:val="en-GB"/>
        </w:rPr>
        <w:t>Other Alliances</w:t>
      </w:r>
    </w:p>
    <w:p w:rsidR="00C45FEB" w:rsidRPr="00C45FEB" w:rsidRDefault="00C45FEB" w:rsidP="001B7BE8">
      <w:r w:rsidRPr="00C45FEB">
        <w:t>There may be other alliance arrangements between corporate entities that have not been contemplated by DSS. Provided the arrangements meet the group application requirements, DSS will be open to the delivery of services through those arrangements.</w:t>
      </w:r>
    </w:p>
    <w:p w:rsidR="00C45FEB" w:rsidRPr="00C45FEB" w:rsidRDefault="00C45FEB" w:rsidP="001B7BE8">
      <w:r w:rsidRPr="00C45FEB">
        <w:t xml:space="preserve">Some </w:t>
      </w:r>
      <w:r w:rsidR="00562069">
        <w:t>a</w:t>
      </w:r>
      <w:r w:rsidRPr="00C45FEB">
        <w:t>pplicants may want to deliver DES services through subcontractors. DES providers can only subcontract services with the written permission of DSS and will remain responsible for the provision and quality of services they subcontract</w:t>
      </w:r>
      <w:r w:rsidR="00785599">
        <w:t>,</w:t>
      </w:r>
      <w:r w:rsidRPr="00C45FEB">
        <w:t xml:space="preserve"> as set out in the Grant Agreement with DSS</w:t>
      </w:r>
      <w:r w:rsidR="00785599">
        <w:t>,</w:t>
      </w:r>
      <w:r w:rsidR="00A560C2">
        <w:t xml:space="preserve"> and for the validity of claims for payment made by the subcontractor</w:t>
      </w:r>
      <w:r w:rsidRPr="00C45FEB">
        <w:t xml:space="preserve">. </w:t>
      </w:r>
    </w:p>
    <w:p w:rsidR="00C45FEB" w:rsidRPr="00C45FEB" w:rsidRDefault="00C45FEB" w:rsidP="001B7BE8">
      <w:r w:rsidRPr="00C45FEB">
        <w:rPr>
          <w:u w:val="single"/>
        </w:rPr>
        <w:t>Note</w:t>
      </w:r>
      <w:r w:rsidRPr="00C45FEB">
        <w:t xml:space="preserve">: Employees and agents of DSS, </w:t>
      </w:r>
      <w:r w:rsidR="00ED09E5">
        <w:t>Employment</w:t>
      </w:r>
      <w:r w:rsidR="00ED09E5" w:rsidRPr="00C45FEB">
        <w:t xml:space="preserve"> </w:t>
      </w:r>
      <w:r w:rsidRPr="00C45FEB">
        <w:t>and the Department of Human Services (DHS) are precluded from applying or assisting an entity with applying</w:t>
      </w:r>
      <w:r w:rsidR="00785599">
        <w:t>. A</w:t>
      </w:r>
      <w:r w:rsidRPr="00C45FEB">
        <w:t xml:space="preserve">n </w:t>
      </w:r>
      <w:r w:rsidRPr="00C45FEB">
        <w:lastRenderedPageBreak/>
        <w:t xml:space="preserve">entity that is owned in whole or in part, or controlled by such individuals, is also precluded from applying. </w:t>
      </w:r>
    </w:p>
    <w:p w:rsidR="00C45FEB" w:rsidRPr="00C45FEB" w:rsidRDefault="00C45FEB" w:rsidP="00C45FEB">
      <w:pPr>
        <w:rPr>
          <w:i/>
          <w:iCs/>
        </w:rPr>
      </w:pPr>
      <w:r w:rsidRPr="00C45FEB">
        <w:t xml:space="preserve">DSS will only accept an application from a foreign company if it is registered under Part 5B.2 of the </w:t>
      </w:r>
      <w:r w:rsidRPr="00C45FEB">
        <w:rPr>
          <w:i/>
          <w:iCs/>
        </w:rPr>
        <w:t xml:space="preserve">Corporations Act 2001 </w:t>
      </w:r>
      <w:r w:rsidRPr="00A04716">
        <w:rPr>
          <w:iCs/>
        </w:rPr>
        <w:t>(Cth)</w:t>
      </w:r>
      <w:r w:rsidRPr="00633A38">
        <w:rPr>
          <w:iCs/>
        </w:rPr>
        <w:t>.</w:t>
      </w:r>
      <w:r w:rsidRPr="00C45FEB">
        <w:rPr>
          <w:i/>
          <w:iCs/>
        </w:rPr>
        <w:t xml:space="preserve"> </w:t>
      </w:r>
    </w:p>
    <w:p w:rsidR="001B7BE8" w:rsidRDefault="001B7BE8" w:rsidP="00C45FEB">
      <w:r w:rsidRPr="001B7BE8">
        <w:rPr>
          <w:u w:val="single"/>
        </w:rPr>
        <w:t>N</w:t>
      </w:r>
      <w:r w:rsidR="00C45FEB" w:rsidRPr="001B7BE8">
        <w:rPr>
          <w:u w:val="single"/>
        </w:rPr>
        <w:t>ote</w:t>
      </w:r>
      <w:r w:rsidR="001845C7">
        <w:t>:</w:t>
      </w:r>
      <w:r w:rsidR="00C45FEB" w:rsidRPr="00C45FEB">
        <w:t xml:space="preserve"> </w:t>
      </w:r>
      <w:r w:rsidR="00562069">
        <w:t xml:space="preserve">entities </w:t>
      </w:r>
      <w:r w:rsidR="00C45FEB" w:rsidRPr="00C45FEB">
        <w:t xml:space="preserve">wishing to submit a Grant </w:t>
      </w:r>
      <w:r w:rsidR="00E95327">
        <w:t>a</w:t>
      </w:r>
      <w:r w:rsidR="00C45FEB" w:rsidRPr="00C45FEB">
        <w:t>pplication must make their own independent assessments and investigations</w:t>
      </w:r>
      <w:r w:rsidR="00785599">
        <w:t>,</w:t>
      </w:r>
      <w:r w:rsidR="00C45FEB" w:rsidRPr="00C45FEB">
        <w:t xml:space="preserve"> and obtain their own legal, business and other professional advice</w:t>
      </w:r>
      <w:r w:rsidR="00785599">
        <w:t>,</w:t>
      </w:r>
      <w:r w:rsidR="00C45FEB" w:rsidRPr="00C45FEB">
        <w:t xml:space="preserve"> when deciding whether to apply for DES business.</w:t>
      </w:r>
    </w:p>
    <w:p w:rsidR="00C45FEB" w:rsidRPr="00287BCE" w:rsidRDefault="00C45FEB" w:rsidP="00287BCE">
      <w:pPr>
        <w:pStyle w:val="Heading2"/>
      </w:pPr>
      <w:bookmarkStart w:id="34" w:name="_Toc483921462"/>
      <w:bookmarkStart w:id="35" w:name="_Toc484692305"/>
      <w:r w:rsidRPr="00287BCE">
        <w:t>Assistance for Grant Applicants</w:t>
      </w:r>
      <w:bookmarkEnd w:id="34"/>
      <w:bookmarkEnd w:id="35"/>
      <w:r w:rsidRPr="00287BCE">
        <w:t xml:space="preserve"> </w:t>
      </w:r>
    </w:p>
    <w:p w:rsidR="00420C97" w:rsidRDefault="00C45FEB" w:rsidP="00C45FEB">
      <w:pPr>
        <w:rPr>
          <w:bCs/>
        </w:rPr>
      </w:pPr>
      <w:r w:rsidRPr="00C45FEB">
        <w:t xml:space="preserve">Once Stage 1 has opened, questions and answers for this Grant </w:t>
      </w:r>
      <w:r w:rsidR="00E95327">
        <w:t>a</w:t>
      </w:r>
      <w:r w:rsidRPr="00C45FEB">
        <w:t xml:space="preserve">pplication process will be made available on the </w:t>
      </w:r>
      <w:r w:rsidR="00420C97">
        <w:t xml:space="preserve">DSS </w:t>
      </w:r>
      <w:r w:rsidRPr="00420C97">
        <w:t>Community Grants Hub</w:t>
      </w:r>
      <w:r w:rsidRPr="00C45FEB">
        <w:t xml:space="preserve"> website</w:t>
      </w:r>
      <w:r w:rsidR="003A0344">
        <w:t xml:space="preserve">. </w:t>
      </w:r>
      <w:r w:rsidR="00420C97">
        <w:rPr>
          <w:bCs/>
        </w:rPr>
        <w:t>A</w:t>
      </w:r>
      <w:r w:rsidR="00420C97" w:rsidRPr="00D277B9">
        <w:rPr>
          <w:bCs/>
        </w:rPr>
        <w:t xml:space="preserve"> link to this </w:t>
      </w:r>
      <w:r w:rsidR="00420C97">
        <w:rPr>
          <w:bCs/>
        </w:rPr>
        <w:t>website</w:t>
      </w:r>
      <w:r w:rsidR="00420C97" w:rsidRPr="00D277B9">
        <w:rPr>
          <w:bCs/>
        </w:rPr>
        <w:t xml:space="preserve"> can be found under the </w:t>
      </w:r>
      <w:r w:rsidR="00420C97" w:rsidRPr="00D277B9">
        <w:rPr>
          <w:bCs/>
          <w:i/>
        </w:rPr>
        <w:t>Useful Information</w:t>
      </w:r>
      <w:r w:rsidR="00420C97" w:rsidRPr="00D277B9">
        <w:rPr>
          <w:bCs/>
        </w:rPr>
        <w:t xml:space="preserve"> section</w:t>
      </w:r>
      <w:r w:rsidR="00420C97">
        <w:rPr>
          <w:bCs/>
        </w:rPr>
        <w:t xml:space="preserve"> on page 2</w:t>
      </w:r>
      <w:r w:rsidR="00200C68">
        <w:rPr>
          <w:bCs/>
        </w:rPr>
        <w:t>9</w:t>
      </w:r>
      <w:r w:rsidR="00420C97">
        <w:rPr>
          <w:bCs/>
        </w:rPr>
        <w:t xml:space="preserve"> of this document</w:t>
      </w:r>
      <w:r w:rsidR="00420C97" w:rsidRPr="00D277B9">
        <w:rPr>
          <w:bCs/>
        </w:rPr>
        <w:t xml:space="preserve">. </w:t>
      </w:r>
    </w:p>
    <w:p w:rsidR="00C45FEB" w:rsidRPr="00C45FEB" w:rsidRDefault="003A0344" w:rsidP="00C45FEB">
      <w:pPr>
        <w:rPr>
          <w:b/>
        </w:rPr>
      </w:pPr>
      <w:r>
        <w:t>A</w:t>
      </w:r>
      <w:r w:rsidR="00C45FEB" w:rsidRPr="00C45FEB">
        <w:t xml:space="preserve"> dedicated email address will be establis</w:t>
      </w:r>
      <w:r w:rsidR="00F075DC">
        <w:t>hed and provided at that time.</w:t>
      </w:r>
    </w:p>
    <w:p w:rsidR="00C45FEB" w:rsidRPr="00287BCE" w:rsidRDefault="00C45FEB" w:rsidP="00287BCE">
      <w:pPr>
        <w:pStyle w:val="Heading2"/>
      </w:pPr>
      <w:bookmarkStart w:id="36" w:name="_Toc483921463"/>
      <w:bookmarkStart w:id="37" w:name="_Toc484692306"/>
      <w:r w:rsidRPr="00287BCE">
        <w:t xml:space="preserve">Financial </w:t>
      </w:r>
      <w:r w:rsidR="001845C7">
        <w:t>v</w:t>
      </w:r>
      <w:r w:rsidR="001845C7" w:rsidRPr="00287BCE">
        <w:t xml:space="preserve">iability </w:t>
      </w:r>
      <w:r w:rsidRPr="00287BCE">
        <w:t>and other checks</w:t>
      </w:r>
      <w:bookmarkEnd w:id="36"/>
      <w:bookmarkEnd w:id="37"/>
      <w:r w:rsidRPr="00287BCE">
        <w:t xml:space="preserve"> </w:t>
      </w:r>
    </w:p>
    <w:p w:rsidR="00C45FEB" w:rsidRPr="00C45FEB" w:rsidRDefault="00EB0380" w:rsidP="00C45FEB">
      <w:r>
        <w:t xml:space="preserve">As part of Stage 2, </w:t>
      </w:r>
      <w:r w:rsidR="00C45FEB" w:rsidRPr="00C45FEB">
        <w:t xml:space="preserve">DSS will perform a range of financial viability checks throughout the Grant assessment process </w:t>
      </w:r>
      <w:r w:rsidR="000A0DC4">
        <w:t xml:space="preserve">- </w:t>
      </w:r>
      <w:r w:rsidR="00C45FEB" w:rsidRPr="00C45FEB">
        <w:t xml:space="preserve">including security, probity and financial investigations and procedures </w:t>
      </w:r>
      <w:r w:rsidR="000A0DC4">
        <w:t xml:space="preserve">- </w:t>
      </w:r>
      <w:r w:rsidR="00C45FEB" w:rsidRPr="00C45FEB">
        <w:t>as it determines necessary in relation to any applicant, its employees, officers, partners, associates, subcontractors or related entities. An application may be excluded from further consideration if the applicant does not provide all reasonable assistance to DSS in this regard.</w:t>
      </w:r>
    </w:p>
    <w:p w:rsidR="00C45FEB" w:rsidRPr="00C45FEB" w:rsidRDefault="00C45FEB" w:rsidP="00C45FEB">
      <w:r w:rsidRPr="00C45FEB">
        <w:t xml:space="preserve">For those </w:t>
      </w:r>
      <w:r w:rsidR="00562069">
        <w:t xml:space="preserve">applicants </w:t>
      </w:r>
      <w:r w:rsidRPr="00C45FEB">
        <w:t>who do not currently deliver DES services</w:t>
      </w:r>
      <w:r w:rsidR="003A0344">
        <w:t>,</w:t>
      </w:r>
      <w:r w:rsidRPr="00C45FEB">
        <w:t xml:space="preserve"> a completed financial and credentials information form with the most </w:t>
      </w:r>
      <w:r w:rsidR="00AA34C6">
        <w:t>recent/relevant</w:t>
      </w:r>
      <w:r w:rsidRPr="00C45FEB">
        <w:t xml:space="preserve"> information will be required to prove financial viability. This information will </w:t>
      </w:r>
      <w:r w:rsidR="003A0344">
        <w:t>need</w:t>
      </w:r>
      <w:r w:rsidR="00265BAB">
        <w:t xml:space="preserve"> to be attached to the Grant a</w:t>
      </w:r>
      <w:r w:rsidRPr="00C45FEB">
        <w:t xml:space="preserve">pplication in Stage 2. </w:t>
      </w:r>
    </w:p>
    <w:p w:rsidR="00C45FEB" w:rsidRPr="00287BCE" w:rsidRDefault="00C45FEB" w:rsidP="00287BCE">
      <w:pPr>
        <w:pStyle w:val="Heading2"/>
      </w:pPr>
      <w:bookmarkStart w:id="38" w:name="_Toc483921464"/>
      <w:bookmarkStart w:id="39" w:name="_Toc484692307"/>
      <w:r w:rsidRPr="00287BCE">
        <w:t>Employment Service Area</w:t>
      </w:r>
      <w:r w:rsidR="00A4051D">
        <w:t xml:space="preserve"> (ESA)</w:t>
      </w:r>
      <w:r w:rsidRPr="00287BCE">
        <w:t xml:space="preserve"> coverage</w:t>
      </w:r>
      <w:bookmarkEnd w:id="38"/>
      <w:bookmarkEnd w:id="39"/>
    </w:p>
    <w:p w:rsidR="00C45FEB" w:rsidRPr="00C45FEB" w:rsidRDefault="00C45FEB" w:rsidP="00C45FEB">
      <w:r w:rsidRPr="00C45FEB">
        <w:t xml:space="preserve">DES operates throughout non-remote areas nationally. Applicants will apply for business at the ESA level. Applicants will be required to nominate locations </w:t>
      </w:r>
      <w:r w:rsidR="003A0344">
        <w:t xml:space="preserve">from </w:t>
      </w:r>
      <w:r w:rsidRPr="00C45FEB">
        <w:t xml:space="preserve">where services will be delivered and details of how the </w:t>
      </w:r>
      <w:r w:rsidRPr="00DD3534">
        <w:t>entire</w:t>
      </w:r>
      <w:r w:rsidRPr="00C45FEB">
        <w:t xml:space="preserve"> ESA will be serviced through a combination of full time, part time and outreach service locations. </w:t>
      </w:r>
    </w:p>
    <w:p w:rsidR="00C45FEB" w:rsidRPr="00324F70" w:rsidRDefault="00C45FEB" w:rsidP="00324F70">
      <w:pPr>
        <w:pStyle w:val="Heading2"/>
      </w:pPr>
      <w:bookmarkStart w:id="40" w:name="_Toc483921465"/>
      <w:bookmarkStart w:id="41" w:name="_Toc484692308"/>
      <w:r w:rsidRPr="00324F70">
        <w:t>Specialist</w:t>
      </w:r>
      <w:r w:rsidR="00A4051D">
        <w:t xml:space="preserve"> Services</w:t>
      </w:r>
      <w:r w:rsidRPr="00324F70">
        <w:t xml:space="preserve"> </w:t>
      </w:r>
      <w:r w:rsidR="00A4051D">
        <w:t>p</w:t>
      </w:r>
      <w:r w:rsidRPr="00324F70">
        <w:t>roviders</w:t>
      </w:r>
      <w:bookmarkEnd w:id="40"/>
      <w:bookmarkEnd w:id="41"/>
    </w:p>
    <w:p w:rsidR="00C45FEB" w:rsidRPr="00C45FEB" w:rsidRDefault="00C45FEB" w:rsidP="00C45FEB">
      <w:r w:rsidRPr="00C45FEB">
        <w:t>Applicants may nominate to deliver services to one or more specialist client groups within an ESA. The provision of DES for one or more specialist client groups is referred to as Specialist Services. The application should also detail past performance, expertise and strategies to address the specific needs of each specialist group.</w:t>
      </w:r>
    </w:p>
    <w:p w:rsidR="00C45FEB" w:rsidRPr="00E23EE0" w:rsidRDefault="00C45FEB" w:rsidP="006463F4">
      <w:pPr>
        <w:rPr>
          <w:rFonts w:asciiTheme="minorHAnsi" w:eastAsiaTheme="minorHAnsi" w:hAnsiTheme="minorHAnsi" w:cstheme="minorHAnsi"/>
        </w:rPr>
      </w:pPr>
      <w:r w:rsidRPr="00C45FEB">
        <w:t>The specialisation can target a broad client group, for example job seekers with physical disability</w:t>
      </w:r>
      <w:r w:rsidR="003A0344">
        <w:t>;</w:t>
      </w:r>
      <w:r w:rsidRPr="00C45FEB">
        <w:t xml:space="preserve"> or a more defined client group, for example job seekers with spinal cord injury. Specialist client groups can be defined by job seeker characteristics </w:t>
      </w:r>
      <w:r w:rsidRPr="00C45FEB">
        <w:lastRenderedPageBreak/>
        <w:t>and/or disability type, for example:</w:t>
      </w:r>
      <w:r w:rsidR="006463F4">
        <w:t xml:space="preserve"> </w:t>
      </w:r>
      <w:r w:rsidRPr="00E23EE0">
        <w:rPr>
          <w:rFonts w:asciiTheme="minorHAnsi" w:eastAsiaTheme="minorHAnsi" w:hAnsiTheme="minorHAnsi" w:cstheme="minorHAnsi"/>
        </w:rPr>
        <w:t>physical</w:t>
      </w:r>
      <w:r w:rsidR="001B7BE8">
        <w:rPr>
          <w:rFonts w:asciiTheme="minorHAnsi" w:eastAsiaTheme="minorHAnsi" w:hAnsiTheme="minorHAnsi" w:cstheme="minorHAnsi"/>
        </w:rPr>
        <w:t>,</w:t>
      </w:r>
      <w:r w:rsidR="006463F4">
        <w:rPr>
          <w:rFonts w:asciiTheme="minorHAnsi" w:eastAsiaTheme="minorHAnsi" w:hAnsiTheme="minorHAnsi" w:cstheme="minorHAnsi"/>
        </w:rPr>
        <w:t xml:space="preserve"> </w:t>
      </w:r>
      <w:r w:rsidRPr="00E23EE0">
        <w:rPr>
          <w:rFonts w:asciiTheme="minorHAnsi" w:eastAsiaTheme="minorHAnsi" w:hAnsiTheme="minorHAnsi" w:cstheme="minorHAnsi"/>
        </w:rPr>
        <w:t>mental health</w:t>
      </w:r>
      <w:r w:rsidR="001B7BE8">
        <w:rPr>
          <w:rFonts w:asciiTheme="minorHAnsi" w:eastAsiaTheme="minorHAnsi" w:hAnsiTheme="minorHAnsi" w:cstheme="minorHAnsi"/>
        </w:rPr>
        <w:t xml:space="preserve">, hearing impairment, </w:t>
      </w:r>
      <w:r w:rsidR="00A4051D" w:rsidRPr="00E23EE0">
        <w:rPr>
          <w:rFonts w:asciiTheme="minorHAnsi" w:eastAsiaTheme="minorHAnsi" w:hAnsiTheme="minorHAnsi" w:cstheme="minorHAnsi"/>
        </w:rPr>
        <w:t>Aboriginal and Torres Strait Islander</w:t>
      </w:r>
      <w:r w:rsidR="001B7BE8">
        <w:rPr>
          <w:rFonts w:asciiTheme="minorHAnsi" w:eastAsiaTheme="minorHAnsi" w:hAnsiTheme="minorHAnsi" w:cstheme="minorHAnsi"/>
        </w:rPr>
        <w:t>,</w:t>
      </w:r>
      <w:r w:rsidRPr="00E23EE0">
        <w:rPr>
          <w:rFonts w:asciiTheme="minorHAnsi" w:eastAsiaTheme="minorHAnsi" w:hAnsiTheme="minorHAnsi" w:cstheme="minorHAnsi"/>
        </w:rPr>
        <w:t xml:space="preserve"> or </w:t>
      </w:r>
      <w:r w:rsidR="006463F4">
        <w:rPr>
          <w:rFonts w:asciiTheme="minorHAnsi" w:eastAsiaTheme="minorHAnsi" w:hAnsiTheme="minorHAnsi" w:cstheme="minorHAnsi"/>
        </w:rPr>
        <w:t>y</w:t>
      </w:r>
      <w:r w:rsidRPr="00E23EE0">
        <w:rPr>
          <w:rFonts w:asciiTheme="minorHAnsi" w:eastAsiaTheme="minorHAnsi" w:hAnsiTheme="minorHAnsi" w:cstheme="minorHAnsi"/>
        </w:rPr>
        <w:t>outh at risk.</w:t>
      </w:r>
    </w:p>
    <w:p w:rsidR="00C45FEB" w:rsidRPr="00C45FEB" w:rsidRDefault="00C45FEB" w:rsidP="00C45FEB">
      <w:r w:rsidRPr="00C45FEB">
        <w:t>Specialist Service</w:t>
      </w:r>
      <w:r w:rsidR="00A4051D">
        <w:t>s</w:t>
      </w:r>
      <w:r w:rsidRPr="00C45FEB">
        <w:t xml:space="preserve"> providers must only accept and help job seekers </w:t>
      </w:r>
      <w:r w:rsidR="001B7BE8">
        <w:t xml:space="preserve">who </w:t>
      </w:r>
      <w:r w:rsidRPr="00C45FEB">
        <w:t>choose them as a DES Provider who are within their specific speciality group.</w:t>
      </w:r>
    </w:p>
    <w:p w:rsidR="00C45FEB" w:rsidRPr="00324F70" w:rsidRDefault="00C45FEB" w:rsidP="00324F70">
      <w:pPr>
        <w:pStyle w:val="Heading2"/>
      </w:pPr>
      <w:bookmarkStart w:id="42" w:name="_Toc483921466"/>
      <w:bookmarkStart w:id="43" w:name="_Toc484692309"/>
      <w:r w:rsidRPr="00324F70">
        <w:t>Certification with the National Standards for Disability Services</w:t>
      </w:r>
      <w:bookmarkEnd w:id="42"/>
      <w:bookmarkEnd w:id="43"/>
      <w:r w:rsidRPr="00324F70">
        <w:t xml:space="preserve"> </w:t>
      </w:r>
    </w:p>
    <w:p w:rsidR="00B278EE" w:rsidRDefault="00C45FEB" w:rsidP="00C45FEB">
      <w:pPr>
        <w:rPr>
          <w:iCs/>
        </w:rPr>
      </w:pPr>
      <w:r w:rsidRPr="00C45FEB">
        <w:rPr>
          <w:iCs/>
        </w:rPr>
        <w:t xml:space="preserve">Both DES-ESS and DES-DMS are provided for under the </w:t>
      </w:r>
      <w:r w:rsidRPr="00C45FEB">
        <w:rPr>
          <w:i/>
          <w:iCs/>
        </w:rPr>
        <w:t xml:space="preserve">Disability Services Act 1986 </w:t>
      </w:r>
      <w:r w:rsidRPr="00A04716">
        <w:rPr>
          <w:iCs/>
        </w:rPr>
        <w:t>(Cth)</w:t>
      </w:r>
      <w:r w:rsidRPr="00A4051D">
        <w:rPr>
          <w:iCs/>
        </w:rPr>
        <w:t>.</w:t>
      </w:r>
      <w:r w:rsidRPr="00C45FEB">
        <w:rPr>
          <w:iCs/>
        </w:rPr>
        <w:t xml:space="preserve"> It is a requirement under the </w:t>
      </w:r>
      <w:r w:rsidRPr="00C45FEB">
        <w:rPr>
          <w:i/>
          <w:iCs/>
        </w:rPr>
        <w:t xml:space="preserve">Disability Services Act 1986 </w:t>
      </w:r>
      <w:r w:rsidRPr="00A04716">
        <w:rPr>
          <w:iCs/>
        </w:rPr>
        <w:t>(Cth)</w:t>
      </w:r>
      <w:r w:rsidRPr="00C45FEB">
        <w:rPr>
          <w:iCs/>
        </w:rPr>
        <w:t xml:space="preserve"> that any organisation providing DES-ESS and/or DES-DMS Services </w:t>
      </w:r>
      <w:r w:rsidR="003A0344">
        <w:rPr>
          <w:iCs/>
        </w:rPr>
        <w:t>be</w:t>
      </w:r>
      <w:r w:rsidR="003A0344" w:rsidRPr="00C45FEB">
        <w:rPr>
          <w:iCs/>
        </w:rPr>
        <w:t xml:space="preserve"> </w:t>
      </w:r>
      <w:r w:rsidRPr="00C45FEB">
        <w:rPr>
          <w:iCs/>
        </w:rPr>
        <w:t xml:space="preserve">certified as compliant with the National Standards for Disability Services.  </w:t>
      </w:r>
    </w:p>
    <w:p w:rsidR="00C45FEB" w:rsidRPr="00C45FEB" w:rsidRDefault="00B0323B" w:rsidP="00C45FEB">
      <w:pPr>
        <w:rPr>
          <w:iCs/>
        </w:rPr>
      </w:pPr>
      <w:r w:rsidRPr="00B0323B">
        <w:rPr>
          <w:iCs/>
        </w:rPr>
        <w:t>A</w:t>
      </w:r>
      <w:r w:rsidR="00C45FEB" w:rsidRPr="00B0323B">
        <w:rPr>
          <w:iCs/>
        </w:rPr>
        <w:t>pplicants</w:t>
      </w:r>
      <w:r w:rsidR="00C45FEB" w:rsidRPr="00C45FEB">
        <w:rPr>
          <w:iCs/>
        </w:rPr>
        <w:t xml:space="preserve"> </w:t>
      </w:r>
      <w:r w:rsidR="003A0344">
        <w:rPr>
          <w:iCs/>
        </w:rPr>
        <w:t>who</w:t>
      </w:r>
      <w:r w:rsidR="003A0344" w:rsidRPr="00C45FEB">
        <w:rPr>
          <w:iCs/>
        </w:rPr>
        <w:t xml:space="preserve"> </w:t>
      </w:r>
      <w:r w:rsidR="00C45FEB" w:rsidRPr="00C45FEB">
        <w:rPr>
          <w:iCs/>
        </w:rPr>
        <w:t xml:space="preserve">do not currently hold certification against the National Standards for </w:t>
      </w:r>
      <w:r w:rsidR="00C45FEB" w:rsidRPr="00973151">
        <w:rPr>
          <w:iCs/>
        </w:rPr>
        <w:t>Disability Services will be required to obtain such certification within 12 months of comm</w:t>
      </w:r>
      <w:r w:rsidR="00CA47D1" w:rsidRPr="00973151">
        <w:rPr>
          <w:iCs/>
        </w:rPr>
        <w:t xml:space="preserve">encement of the Grant Agreement. </w:t>
      </w:r>
      <w:r w:rsidR="00B35F4A" w:rsidRPr="00973151">
        <w:rPr>
          <w:iCs/>
        </w:rPr>
        <w:t>The</w:t>
      </w:r>
      <w:r w:rsidR="005D41C5" w:rsidRPr="00973151">
        <w:rPr>
          <w:iCs/>
        </w:rPr>
        <w:t xml:space="preserve"> </w:t>
      </w:r>
      <w:r w:rsidR="00B35F4A" w:rsidRPr="00973151">
        <w:rPr>
          <w:iCs/>
        </w:rPr>
        <w:t xml:space="preserve">successful applicant </w:t>
      </w:r>
      <w:r w:rsidR="005D41C5" w:rsidRPr="00973151">
        <w:rPr>
          <w:iCs/>
        </w:rPr>
        <w:t>must comply and operate within the National Standards for Disability Services</w:t>
      </w:r>
      <w:r w:rsidR="00B35F4A" w:rsidRPr="00973151">
        <w:rPr>
          <w:iCs/>
        </w:rPr>
        <w:t xml:space="preserve"> when delivering services under the Grant Agreement prior to obtaining a certificate of compliance.</w:t>
      </w:r>
    </w:p>
    <w:p w:rsidR="00C45FEB" w:rsidRPr="00324F70" w:rsidRDefault="00C45FEB" w:rsidP="00324F70">
      <w:pPr>
        <w:pStyle w:val="Heading2"/>
      </w:pPr>
      <w:bookmarkStart w:id="44" w:name="_Toc483921467"/>
      <w:bookmarkStart w:id="45" w:name="_Toc484692310"/>
      <w:r w:rsidRPr="00324F70">
        <w:t>Information Technology Certification</w:t>
      </w:r>
      <w:bookmarkEnd w:id="44"/>
      <w:bookmarkEnd w:id="45"/>
      <w:r w:rsidRPr="00324F70">
        <w:t xml:space="preserve"> </w:t>
      </w:r>
    </w:p>
    <w:p w:rsidR="00C45FEB" w:rsidRPr="001B7BE8" w:rsidRDefault="00C45FEB" w:rsidP="00C45FEB">
      <w:pPr>
        <w:rPr>
          <w:b/>
        </w:rPr>
      </w:pPr>
      <w:r w:rsidRPr="001B7BE8">
        <w:rPr>
          <w:b/>
        </w:rPr>
        <w:t xml:space="preserve">Pathway to </w:t>
      </w:r>
      <w:r w:rsidR="00420C97">
        <w:rPr>
          <w:b/>
        </w:rPr>
        <w:t>A</w:t>
      </w:r>
      <w:r w:rsidRPr="001B7BE8">
        <w:rPr>
          <w:b/>
        </w:rPr>
        <w:t>ccreditation</w:t>
      </w:r>
      <w:r w:rsidR="00ED09E5" w:rsidRPr="001B7BE8">
        <w:rPr>
          <w:b/>
        </w:rPr>
        <w:t xml:space="preserve"> Programme</w:t>
      </w:r>
    </w:p>
    <w:p w:rsidR="00C45FEB" w:rsidRPr="00C45FEB" w:rsidRDefault="00C45FEB" w:rsidP="00C45FEB">
      <w:r w:rsidRPr="00C45FEB">
        <w:t xml:space="preserve">The DES program uses </w:t>
      </w:r>
      <w:r w:rsidR="00ED09E5">
        <w:t>Employment’s</w:t>
      </w:r>
      <w:r w:rsidR="00ED09E5" w:rsidRPr="00C45FEB">
        <w:t xml:space="preserve"> </w:t>
      </w:r>
      <w:r w:rsidRPr="00C45FEB">
        <w:t>ESSweb system. ESSweb manages access for DES providers to participants</w:t>
      </w:r>
      <w:r w:rsidR="00F81CBE">
        <w:t>’</w:t>
      </w:r>
      <w:r w:rsidRPr="00C45FEB">
        <w:t xml:space="preserve"> information and handles the recording of all payments, referrals, commencements, financial and performance reporting, assurance and audit support for the </w:t>
      </w:r>
      <w:r w:rsidR="003A0344">
        <w:t>many</w:t>
      </w:r>
      <w:r w:rsidRPr="00C45FEB">
        <w:t xml:space="preserve"> individual transactions each year. </w:t>
      </w:r>
    </w:p>
    <w:p w:rsidR="00C45FEB" w:rsidRPr="00C45FEB" w:rsidRDefault="00ED09E5" w:rsidP="00C45FEB">
      <w:pPr>
        <w:rPr>
          <w:b/>
        </w:rPr>
      </w:pPr>
      <w:r w:rsidRPr="008D7A52">
        <w:rPr>
          <w:rFonts w:asciiTheme="minorHAnsi" w:eastAsiaTheme="minorHAnsi" w:hAnsiTheme="minorHAnsi" w:cstheme="minorHAnsi"/>
        </w:rPr>
        <w:t>Commonwealth Government agencies</w:t>
      </w:r>
      <w:r>
        <w:rPr>
          <w:rFonts w:asciiTheme="minorHAnsi" w:eastAsiaTheme="minorHAnsi" w:hAnsiTheme="minorHAnsi" w:cstheme="minorHAnsi"/>
        </w:rPr>
        <w:t xml:space="preserve"> are</w:t>
      </w:r>
      <w:r w:rsidRPr="00C45FEB" w:rsidDel="00ED09E5">
        <w:t xml:space="preserve"> </w:t>
      </w:r>
      <w:r w:rsidR="00C45FEB" w:rsidRPr="00C45FEB">
        <w:t xml:space="preserve">required to comply with the </w:t>
      </w:r>
      <w:r w:rsidR="00C45FEB" w:rsidRPr="00C45FEB">
        <w:rPr>
          <w:i/>
        </w:rPr>
        <w:t>Privacy Act 1988</w:t>
      </w:r>
      <w:r w:rsidR="00C45FEB" w:rsidRPr="00C45FEB">
        <w:t>, the Protective Security Policy Framework (PSPF), and the Australian Government Information Security Manual (ISM)</w:t>
      </w:r>
      <w:r>
        <w:t xml:space="preserve"> </w:t>
      </w:r>
      <w:r>
        <w:rPr>
          <w:rFonts w:asciiTheme="minorHAnsi" w:eastAsiaTheme="minorHAnsi" w:hAnsiTheme="minorHAnsi" w:cstheme="minorHAnsi"/>
        </w:rPr>
        <w:t xml:space="preserve">to </w:t>
      </w:r>
      <w:r w:rsidRPr="008D7A52">
        <w:rPr>
          <w:rFonts w:asciiTheme="minorHAnsi" w:eastAsiaTheme="minorHAnsi" w:hAnsiTheme="minorHAnsi" w:cstheme="minorHAnsi"/>
        </w:rPr>
        <w:t>protect personal and sensitive data</w:t>
      </w:r>
      <w:r>
        <w:rPr>
          <w:rFonts w:asciiTheme="minorHAnsi" w:eastAsiaTheme="minorHAnsi" w:hAnsiTheme="minorHAnsi" w:cstheme="minorHAnsi"/>
        </w:rPr>
        <w:t xml:space="preserve"> belonging to job seekers</w:t>
      </w:r>
      <w:r w:rsidRPr="003141BD">
        <w:rPr>
          <w:rFonts w:asciiTheme="minorHAnsi" w:eastAsiaTheme="minorHAnsi" w:hAnsiTheme="minorHAnsi" w:cstheme="minorHAnsi"/>
        </w:rPr>
        <w:t>.</w:t>
      </w:r>
      <w:r>
        <w:rPr>
          <w:rFonts w:asciiTheme="minorHAnsi" w:eastAsiaTheme="minorHAnsi" w:hAnsiTheme="minorHAnsi" w:cstheme="minorHAnsi"/>
        </w:rPr>
        <w:t xml:space="preserve"> This is also consistent with </w:t>
      </w:r>
      <w:r w:rsidR="003A0344">
        <w:rPr>
          <w:rFonts w:asciiTheme="minorHAnsi" w:eastAsiaTheme="minorHAnsi" w:hAnsiTheme="minorHAnsi" w:cstheme="minorHAnsi"/>
        </w:rPr>
        <w:t xml:space="preserve">the </w:t>
      </w:r>
      <w:r>
        <w:rPr>
          <w:rFonts w:asciiTheme="minorHAnsi" w:eastAsiaTheme="minorHAnsi" w:hAnsiTheme="minorHAnsi" w:cstheme="minorHAnsi"/>
        </w:rPr>
        <w:t xml:space="preserve">Australian Government’s obligations under </w:t>
      </w:r>
      <w:r w:rsidRPr="00334EF7">
        <w:rPr>
          <w:rFonts w:asciiTheme="minorHAnsi" w:eastAsiaTheme="minorHAnsi" w:hAnsiTheme="minorHAnsi" w:cstheme="minorHAnsi"/>
        </w:rPr>
        <w:t xml:space="preserve">the </w:t>
      </w:r>
      <w:r w:rsidR="00E23EE0">
        <w:rPr>
          <w:rFonts w:asciiTheme="minorHAnsi" w:eastAsiaTheme="minorHAnsi" w:hAnsiTheme="minorHAnsi" w:cstheme="minorHAnsi"/>
        </w:rPr>
        <w:t>PGPA Act</w:t>
      </w:r>
      <w:r w:rsidR="00C45FEB" w:rsidRPr="00C45FEB">
        <w:t>.</w:t>
      </w:r>
    </w:p>
    <w:p w:rsidR="00ED09E5" w:rsidRPr="00AA34C6" w:rsidRDefault="00ED09E5" w:rsidP="00AA34C6">
      <w:r w:rsidRPr="00AA34C6">
        <w:t xml:space="preserve">When applied, the PSPF and ISM policies, protocols and guidelines demonstrate to Government that providers are effectively managing the risks associated with the </w:t>
      </w:r>
      <w:r w:rsidR="00562069">
        <w:t xml:space="preserve">security, </w:t>
      </w:r>
      <w:r w:rsidRPr="00AA34C6">
        <w:t>confidentiality, integrity, availability and aggregation of personal and sensitive information pertaining to job seekers. The application of the principles of these policies and associated protocols also supports business and operational continuity.</w:t>
      </w:r>
    </w:p>
    <w:p w:rsidR="00ED09E5" w:rsidRPr="00AA34C6" w:rsidRDefault="00ED09E5" w:rsidP="00AA34C6">
      <w:r w:rsidRPr="00AA34C6">
        <w:t>There are mandatory requirements within the PSPF that directly relate to the handling of Australian Government information. In particular:</w:t>
      </w:r>
    </w:p>
    <w:p w:rsidR="00ED09E5" w:rsidRPr="008C3E66" w:rsidRDefault="00ED09E5" w:rsidP="00ED09E5">
      <w:pPr>
        <w:pStyle w:val="ListParagraph"/>
        <w:numPr>
          <w:ilvl w:val="0"/>
          <w:numId w:val="27"/>
        </w:numPr>
        <w:spacing w:before="0" w:after="0" w:line="240" w:lineRule="auto"/>
        <w:rPr>
          <w:rFonts w:asciiTheme="minorHAnsi" w:eastAsiaTheme="minorHAnsi" w:hAnsiTheme="minorHAnsi" w:cstheme="minorHAnsi"/>
        </w:rPr>
      </w:pPr>
      <w:r w:rsidRPr="008C3E66">
        <w:rPr>
          <w:rFonts w:asciiTheme="minorHAnsi" w:eastAsiaTheme="minorHAnsi" w:hAnsiTheme="minorHAnsi" w:cstheme="minorHAnsi"/>
        </w:rPr>
        <w:t xml:space="preserve">agencies </w:t>
      </w:r>
      <w:r>
        <w:rPr>
          <w:rFonts w:asciiTheme="minorHAnsi" w:eastAsiaTheme="minorHAnsi" w:hAnsiTheme="minorHAnsi" w:cstheme="minorHAnsi"/>
        </w:rPr>
        <w:t xml:space="preserve">are </w:t>
      </w:r>
      <w:r w:rsidRPr="008C3E66">
        <w:rPr>
          <w:rFonts w:asciiTheme="minorHAnsi" w:eastAsiaTheme="minorHAnsi" w:hAnsiTheme="minorHAnsi" w:cstheme="minorHAnsi"/>
        </w:rPr>
        <w:t>to adopt a risk management approach to cover all areas of protective security, including p</w:t>
      </w:r>
      <w:r w:rsidR="001B7BE8">
        <w:rPr>
          <w:rFonts w:asciiTheme="minorHAnsi" w:eastAsiaTheme="minorHAnsi" w:hAnsiTheme="minorHAnsi" w:cstheme="minorHAnsi"/>
        </w:rPr>
        <w:t>rocurement and management of ICT.</w:t>
      </w:r>
    </w:p>
    <w:p w:rsidR="00ED09E5" w:rsidRPr="008C3E66" w:rsidRDefault="00ED09E5" w:rsidP="00ED09E5">
      <w:pPr>
        <w:pStyle w:val="ListParagraph"/>
        <w:numPr>
          <w:ilvl w:val="0"/>
          <w:numId w:val="27"/>
        </w:numPr>
        <w:spacing w:before="0" w:after="0" w:line="240" w:lineRule="auto"/>
        <w:rPr>
          <w:rFonts w:asciiTheme="minorHAnsi" w:eastAsiaTheme="minorHAnsi" w:hAnsiTheme="minorHAnsi" w:cstheme="minorHAnsi"/>
        </w:rPr>
      </w:pPr>
      <w:r w:rsidRPr="008C3E66">
        <w:rPr>
          <w:rFonts w:asciiTheme="minorHAnsi" w:eastAsiaTheme="minorHAnsi" w:hAnsiTheme="minorHAnsi" w:cstheme="minorHAnsi"/>
        </w:rPr>
        <w:t xml:space="preserve">agencies </w:t>
      </w:r>
      <w:r>
        <w:rPr>
          <w:rFonts w:asciiTheme="minorHAnsi" w:eastAsiaTheme="minorHAnsi" w:hAnsiTheme="minorHAnsi" w:cstheme="minorHAnsi"/>
        </w:rPr>
        <w:t xml:space="preserve">are </w:t>
      </w:r>
      <w:r w:rsidRPr="008C3E66">
        <w:rPr>
          <w:rFonts w:asciiTheme="minorHAnsi" w:eastAsiaTheme="minorHAnsi" w:hAnsiTheme="minorHAnsi" w:cstheme="minorHAnsi"/>
        </w:rPr>
        <w:t>to ensure that where contracted service providers are engaged, they comply with the policies and protocols of the PSPF</w:t>
      </w:r>
      <w:r w:rsidR="001B7BE8">
        <w:rPr>
          <w:rFonts w:asciiTheme="minorHAnsi" w:eastAsiaTheme="minorHAnsi" w:hAnsiTheme="minorHAnsi" w:cstheme="minorHAnsi"/>
        </w:rPr>
        <w:t>.</w:t>
      </w:r>
      <w:r w:rsidRPr="008C3E66">
        <w:rPr>
          <w:rFonts w:asciiTheme="minorHAnsi" w:eastAsiaTheme="minorHAnsi" w:hAnsiTheme="minorHAnsi" w:cstheme="minorHAnsi"/>
        </w:rPr>
        <w:t xml:space="preserve"> </w:t>
      </w:r>
    </w:p>
    <w:p w:rsidR="00ED09E5" w:rsidRPr="00AA34C6" w:rsidRDefault="00ED09E5" w:rsidP="00AA34C6">
      <w:r w:rsidRPr="00AA34C6">
        <w:t>In accordance with these underlying principals, any changes to the PSPF and ISM may correspondingly change the compliance requirements of DES providers and their Third Party IT Providers (TPITPs).</w:t>
      </w:r>
    </w:p>
    <w:p w:rsidR="00ED09E5" w:rsidRPr="00AA34C6" w:rsidRDefault="00ED09E5" w:rsidP="00AA34C6">
      <w:r w:rsidRPr="00AA34C6">
        <w:lastRenderedPageBreak/>
        <w:t>To satisfy these requirements, the Pathway to Accreditation Programme is the means by which Employment, in partnership with and on behalf of, DSS, determines the required compliance and accreditation process for DES providers and their TPITPs.</w:t>
      </w:r>
    </w:p>
    <w:p w:rsidR="00ED09E5" w:rsidRPr="00AA34C6" w:rsidRDefault="00ED09E5" w:rsidP="00AA34C6">
      <w:r w:rsidRPr="00AA34C6">
        <w:t xml:space="preserve">DES Providers must obtain accreditation within 36 months from commencement of the </w:t>
      </w:r>
      <w:r w:rsidR="00420C97">
        <w:t xml:space="preserve">DES </w:t>
      </w:r>
      <w:r w:rsidRPr="00AA34C6">
        <w:t xml:space="preserve">Grant Agreement. The security assessment </w:t>
      </w:r>
      <w:r w:rsidR="00562069">
        <w:t>will be</w:t>
      </w:r>
      <w:r w:rsidR="00562069" w:rsidRPr="00AA34C6">
        <w:t xml:space="preserve"> </w:t>
      </w:r>
      <w:r w:rsidRPr="00AA34C6">
        <w:t>independently conducted by an Information Registered Assessor Program (IRAP) assessor. Accreditation, once granted, is valid for three years from the time of accreditation</w:t>
      </w:r>
      <w:r w:rsidR="003A0344">
        <w:t>.</w:t>
      </w:r>
      <w:r w:rsidRPr="00AA34C6">
        <w:t xml:space="preserve"> </w:t>
      </w:r>
      <w:r w:rsidR="003A0344">
        <w:t>H</w:t>
      </w:r>
      <w:r w:rsidRPr="00AA34C6">
        <w:t>owever</w:t>
      </w:r>
      <w:r w:rsidR="003A0344">
        <w:t>,</w:t>
      </w:r>
      <w:r w:rsidRPr="00AA34C6">
        <w:t xml:space="preserve"> if there is a variation to the organisations that affects the risk profile of their IT Systems during this time</w:t>
      </w:r>
      <w:r w:rsidR="003A0344">
        <w:t>,</w:t>
      </w:r>
      <w:r w:rsidRPr="00AA34C6">
        <w:t xml:space="preserve"> DES providers must seek re-accreditation for these changes.</w:t>
      </w:r>
    </w:p>
    <w:p w:rsidR="00ED09E5" w:rsidRPr="00AA34C6" w:rsidRDefault="00ED09E5" w:rsidP="00AA34C6">
      <w:r w:rsidRPr="00AA34C6">
        <w:t>There is a prioritised list of controls (termed a ‘Statement of Applicability’ (SoA)) to govern compliance for all employment services organisations. The SoA will be implemented in a phased approach to minimise operational disruption to employment services organisations while undertaking the Pathway to Accreditation programme.</w:t>
      </w:r>
    </w:p>
    <w:p w:rsidR="00ED09E5" w:rsidRPr="00AA34C6" w:rsidRDefault="00ED09E5" w:rsidP="00AA34C6">
      <w:r w:rsidRPr="00AA34C6">
        <w:t xml:space="preserve">The SoA is divided into three phases. This phased approach is designed to assist providers achieve accreditation by allowing sufficient time for employment services organisations to consider and address the changes required in their organisation. </w:t>
      </w:r>
    </w:p>
    <w:p w:rsidR="00ED09E5" w:rsidRPr="003141BD" w:rsidRDefault="00ED09E5" w:rsidP="00ED09E5">
      <w:pPr>
        <w:numPr>
          <w:ilvl w:val="0"/>
          <w:numId w:val="13"/>
        </w:numPr>
        <w:spacing w:before="0" w:after="0" w:line="240" w:lineRule="auto"/>
        <w:ind w:left="791"/>
        <w:contextualSpacing/>
        <w:rPr>
          <w:rFonts w:asciiTheme="minorHAnsi" w:eastAsiaTheme="minorHAnsi" w:hAnsiTheme="minorHAnsi" w:cstheme="minorHAnsi"/>
        </w:rPr>
      </w:pPr>
      <w:r w:rsidRPr="003141BD">
        <w:rPr>
          <w:rFonts w:asciiTheme="minorHAnsi" w:eastAsiaTheme="minorHAnsi" w:hAnsiTheme="minorHAnsi" w:cstheme="minorHAnsi"/>
        </w:rPr>
        <w:t>SoA Phase 1 – Self Assessment</w:t>
      </w:r>
      <w:r>
        <w:rPr>
          <w:rFonts w:asciiTheme="minorHAnsi" w:eastAsiaTheme="minorHAnsi" w:hAnsiTheme="minorHAnsi" w:cstheme="minorHAnsi"/>
        </w:rPr>
        <w:t xml:space="preserve"> of Scope</w:t>
      </w:r>
    </w:p>
    <w:p w:rsidR="00ED09E5" w:rsidRPr="003141BD" w:rsidRDefault="00ED09E5" w:rsidP="00ED09E5">
      <w:pPr>
        <w:numPr>
          <w:ilvl w:val="0"/>
          <w:numId w:val="13"/>
        </w:numPr>
        <w:spacing w:before="0" w:after="0" w:line="240" w:lineRule="auto"/>
        <w:ind w:left="791"/>
        <w:contextualSpacing/>
        <w:rPr>
          <w:rFonts w:asciiTheme="minorHAnsi" w:eastAsiaTheme="minorHAnsi" w:hAnsiTheme="minorHAnsi" w:cstheme="minorHAnsi"/>
        </w:rPr>
      </w:pPr>
      <w:r w:rsidRPr="003141BD">
        <w:rPr>
          <w:rFonts w:asciiTheme="minorHAnsi" w:eastAsiaTheme="minorHAnsi" w:hAnsiTheme="minorHAnsi" w:cstheme="minorHAnsi"/>
        </w:rPr>
        <w:t xml:space="preserve">SoA Phase 2 – </w:t>
      </w:r>
      <w:r>
        <w:rPr>
          <w:rFonts w:asciiTheme="minorHAnsi" w:eastAsiaTheme="minorHAnsi" w:hAnsiTheme="minorHAnsi" w:cstheme="minorHAnsi"/>
        </w:rPr>
        <w:t>Initial audit against a sub-set of controls</w:t>
      </w:r>
      <w:r w:rsidRPr="003141BD">
        <w:rPr>
          <w:rFonts w:asciiTheme="minorHAnsi" w:eastAsiaTheme="minorHAnsi" w:hAnsiTheme="minorHAnsi" w:cstheme="minorHAnsi"/>
        </w:rPr>
        <w:t xml:space="preserve"> </w:t>
      </w:r>
    </w:p>
    <w:p w:rsidR="00ED09E5" w:rsidRPr="003141BD" w:rsidRDefault="00ED09E5" w:rsidP="00ED09E5">
      <w:pPr>
        <w:numPr>
          <w:ilvl w:val="0"/>
          <w:numId w:val="13"/>
        </w:numPr>
        <w:spacing w:before="0" w:after="0" w:line="240" w:lineRule="auto"/>
        <w:ind w:left="791"/>
        <w:contextualSpacing/>
        <w:rPr>
          <w:rFonts w:asciiTheme="minorHAnsi" w:eastAsiaTheme="minorHAnsi" w:hAnsiTheme="minorHAnsi" w:cstheme="minorHAnsi"/>
        </w:rPr>
      </w:pPr>
      <w:r w:rsidRPr="003141BD">
        <w:rPr>
          <w:rFonts w:asciiTheme="minorHAnsi" w:eastAsiaTheme="minorHAnsi" w:hAnsiTheme="minorHAnsi" w:cstheme="minorHAnsi"/>
        </w:rPr>
        <w:t xml:space="preserve">SoA Phase 3 – </w:t>
      </w:r>
      <w:r>
        <w:rPr>
          <w:rFonts w:asciiTheme="minorHAnsi" w:eastAsiaTheme="minorHAnsi" w:hAnsiTheme="minorHAnsi" w:cstheme="minorHAnsi"/>
        </w:rPr>
        <w:t xml:space="preserve">Final audit based on all relevant controls  </w:t>
      </w:r>
    </w:p>
    <w:p w:rsidR="00ED09E5" w:rsidRPr="00AA34C6" w:rsidRDefault="00ED09E5" w:rsidP="00AA34C6">
      <w:r w:rsidRPr="00AA34C6">
        <w:t>The Accreditation process is the same for all providers. Providers delivering the following services are currently required to meet these same Security Accreditation requirements:</w:t>
      </w:r>
    </w:p>
    <w:p w:rsidR="00ED09E5" w:rsidRPr="00E23EE0" w:rsidRDefault="00E23EE0" w:rsidP="00E23EE0">
      <w:pPr>
        <w:numPr>
          <w:ilvl w:val="0"/>
          <w:numId w:val="13"/>
        </w:numPr>
        <w:spacing w:before="0" w:after="0" w:line="240" w:lineRule="auto"/>
        <w:ind w:left="791"/>
        <w:contextualSpacing/>
        <w:rPr>
          <w:rFonts w:asciiTheme="minorHAnsi" w:eastAsiaTheme="minorHAnsi" w:hAnsiTheme="minorHAnsi" w:cstheme="minorHAnsi"/>
        </w:rPr>
      </w:pPr>
      <w:r>
        <w:rPr>
          <w:rFonts w:asciiTheme="minorHAnsi" w:eastAsiaTheme="minorHAnsi" w:hAnsiTheme="minorHAnsi" w:cstheme="minorHAnsi"/>
          <w:i/>
        </w:rPr>
        <w:t>j</w:t>
      </w:r>
      <w:r w:rsidR="00ED09E5" w:rsidRPr="00E23EE0">
        <w:rPr>
          <w:rFonts w:asciiTheme="minorHAnsi" w:eastAsiaTheme="minorHAnsi" w:hAnsiTheme="minorHAnsi" w:cstheme="minorHAnsi"/>
          <w:i/>
        </w:rPr>
        <w:t>obactive</w:t>
      </w:r>
    </w:p>
    <w:p w:rsidR="00ED09E5" w:rsidRPr="003141BD" w:rsidRDefault="00ED09E5" w:rsidP="00E23EE0">
      <w:pPr>
        <w:numPr>
          <w:ilvl w:val="0"/>
          <w:numId w:val="13"/>
        </w:numPr>
        <w:spacing w:before="0" w:after="0" w:line="240" w:lineRule="auto"/>
        <w:ind w:left="791"/>
        <w:contextualSpacing/>
        <w:rPr>
          <w:rFonts w:asciiTheme="minorHAnsi" w:eastAsiaTheme="minorHAnsi" w:hAnsiTheme="minorHAnsi" w:cstheme="minorHAnsi"/>
        </w:rPr>
      </w:pPr>
      <w:r w:rsidRPr="003141BD">
        <w:rPr>
          <w:rFonts w:asciiTheme="minorHAnsi" w:eastAsiaTheme="minorHAnsi" w:hAnsiTheme="minorHAnsi" w:cstheme="minorHAnsi"/>
        </w:rPr>
        <w:t>Harvest Labour Services</w:t>
      </w:r>
    </w:p>
    <w:p w:rsidR="00ED09E5" w:rsidRPr="003141BD" w:rsidRDefault="00ED09E5" w:rsidP="00E23EE0">
      <w:pPr>
        <w:numPr>
          <w:ilvl w:val="0"/>
          <w:numId w:val="13"/>
        </w:numPr>
        <w:spacing w:before="0" w:after="0" w:line="240" w:lineRule="auto"/>
        <w:ind w:left="791"/>
        <w:contextualSpacing/>
        <w:rPr>
          <w:rFonts w:asciiTheme="minorHAnsi" w:eastAsiaTheme="minorHAnsi" w:hAnsiTheme="minorHAnsi" w:cstheme="minorHAnsi"/>
        </w:rPr>
      </w:pPr>
      <w:r w:rsidRPr="003141BD">
        <w:rPr>
          <w:rFonts w:asciiTheme="minorHAnsi" w:eastAsiaTheme="minorHAnsi" w:hAnsiTheme="minorHAnsi" w:cstheme="minorHAnsi"/>
        </w:rPr>
        <w:t>New Enterprise Incentive Scheme</w:t>
      </w:r>
    </w:p>
    <w:p w:rsidR="00ED09E5" w:rsidRPr="003141BD" w:rsidRDefault="00ED09E5" w:rsidP="00E23EE0">
      <w:pPr>
        <w:numPr>
          <w:ilvl w:val="0"/>
          <w:numId w:val="13"/>
        </w:numPr>
        <w:spacing w:before="0" w:after="0" w:line="240" w:lineRule="auto"/>
        <w:ind w:left="791"/>
        <w:contextualSpacing/>
        <w:rPr>
          <w:rFonts w:asciiTheme="minorHAnsi" w:eastAsiaTheme="minorHAnsi" w:hAnsiTheme="minorHAnsi" w:cstheme="minorHAnsi"/>
        </w:rPr>
      </w:pPr>
      <w:r w:rsidRPr="003141BD">
        <w:rPr>
          <w:rFonts w:asciiTheme="minorHAnsi" w:eastAsiaTheme="minorHAnsi" w:hAnsiTheme="minorHAnsi" w:cstheme="minorHAnsi"/>
        </w:rPr>
        <w:t>Transition to Work</w:t>
      </w:r>
    </w:p>
    <w:p w:rsidR="00ED09E5" w:rsidRDefault="00ED09E5" w:rsidP="00E23EE0">
      <w:pPr>
        <w:numPr>
          <w:ilvl w:val="0"/>
          <w:numId w:val="13"/>
        </w:numPr>
        <w:spacing w:before="0" w:after="0" w:line="240" w:lineRule="auto"/>
        <w:ind w:left="791"/>
        <w:contextualSpacing/>
        <w:rPr>
          <w:rFonts w:asciiTheme="minorHAnsi" w:eastAsiaTheme="minorHAnsi" w:hAnsiTheme="minorHAnsi" w:cstheme="minorHAnsi"/>
        </w:rPr>
      </w:pPr>
      <w:r w:rsidRPr="003141BD">
        <w:rPr>
          <w:rFonts w:asciiTheme="minorHAnsi" w:eastAsiaTheme="minorHAnsi" w:hAnsiTheme="minorHAnsi" w:cstheme="minorHAnsi"/>
        </w:rPr>
        <w:t>ParentsNext</w:t>
      </w:r>
    </w:p>
    <w:p w:rsidR="00ED09E5" w:rsidRPr="003141BD" w:rsidRDefault="00ED09E5" w:rsidP="00E23EE0">
      <w:pPr>
        <w:numPr>
          <w:ilvl w:val="0"/>
          <w:numId w:val="13"/>
        </w:numPr>
        <w:spacing w:before="0" w:after="0" w:line="240" w:lineRule="auto"/>
        <w:ind w:left="791"/>
        <w:contextualSpacing/>
        <w:rPr>
          <w:rFonts w:asciiTheme="minorHAnsi" w:eastAsiaTheme="minorHAnsi" w:hAnsiTheme="minorHAnsi" w:cstheme="minorHAnsi"/>
        </w:rPr>
      </w:pPr>
      <w:r>
        <w:rPr>
          <w:rFonts w:asciiTheme="minorHAnsi" w:eastAsiaTheme="minorHAnsi" w:hAnsiTheme="minorHAnsi" w:cstheme="minorHAnsi"/>
        </w:rPr>
        <w:t>Employability Skills and Training (EST).</w:t>
      </w:r>
    </w:p>
    <w:p w:rsidR="00ED09E5" w:rsidRPr="003141BD" w:rsidRDefault="00ED09E5" w:rsidP="00ED09E5">
      <w:pPr>
        <w:ind w:left="791"/>
        <w:contextualSpacing/>
        <w:rPr>
          <w:rFonts w:asciiTheme="minorHAnsi" w:eastAsiaTheme="minorHAnsi" w:hAnsiTheme="minorHAnsi" w:cstheme="minorHAnsi"/>
        </w:rPr>
      </w:pPr>
    </w:p>
    <w:p w:rsidR="00ED09E5" w:rsidRPr="00AA34C6" w:rsidRDefault="00ED09E5" w:rsidP="00AA34C6">
      <w:r w:rsidRPr="00AA34C6">
        <w:t>If a DES provider is currently delivering the above contracts, the Provider will still need to submit the SoA Phase 1 self-assessment of scope</w:t>
      </w:r>
      <w:r w:rsidR="003A0344">
        <w:t>. T</w:t>
      </w:r>
      <w:r w:rsidRPr="00AA34C6">
        <w:t>he Accrediting Authority may then determine that the Provider:</w:t>
      </w:r>
    </w:p>
    <w:p w:rsidR="00ED09E5" w:rsidRPr="008C3E66" w:rsidRDefault="00ED09E5" w:rsidP="00ED09E5">
      <w:pPr>
        <w:pStyle w:val="ListParagraph"/>
        <w:numPr>
          <w:ilvl w:val="0"/>
          <w:numId w:val="28"/>
        </w:numPr>
        <w:spacing w:before="0" w:after="0" w:line="240" w:lineRule="auto"/>
        <w:rPr>
          <w:rFonts w:asciiTheme="minorHAnsi" w:eastAsiaTheme="minorHAnsi" w:hAnsiTheme="minorHAnsi" w:cstheme="minorHAnsi"/>
        </w:rPr>
      </w:pPr>
      <w:r w:rsidRPr="008C3E66">
        <w:rPr>
          <w:rFonts w:asciiTheme="minorHAnsi" w:eastAsiaTheme="minorHAnsi" w:hAnsiTheme="minorHAnsi" w:cstheme="minorHAnsi"/>
        </w:rPr>
        <w:t>must continue with Phase 2 and 3 of the accreditation process for DES; or</w:t>
      </w:r>
    </w:p>
    <w:p w:rsidR="00ED09E5" w:rsidRPr="008C3E66" w:rsidRDefault="00ED09E5" w:rsidP="00ED09E5">
      <w:pPr>
        <w:pStyle w:val="ListParagraph"/>
        <w:numPr>
          <w:ilvl w:val="0"/>
          <w:numId w:val="28"/>
        </w:numPr>
        <w:spacing w:before="0" w:after="0" w:line="240" w:lineRule="auto"/>
        <w:rPr>
          <w:rFonts w:asciiTheme="minorHAnsi" w:eastAsiaTheme="minorHAnsi" w:hAnsiTheme="minorHAnsi" w:cstheme="minorHAnsi"/>
        </w:rPr>
      </w:pPr>
      <w:r w:rsidRPr="008C3E66">
        <w:rPr>
          <w:rFonts w:asciiTheme="minorHAnsi" w:eastAsiaTheme="minorHAnsi" w:hAnsiTheme="minorHAnsi" w:cstheme="minorHAnsi"/>
        </w:rPr>
        <w:t>would not be required to achieve independent accreditation</w:t>
      </w:r>
      <w:r>
        <w:rPr>
          <w:rFonts w:asciiTheme="minorHAnsi" w:eastAsiaTheme="minorHAnsi" w:hAnsiTheme="minorHAnsi" w:cstheme="minorHAnsi"/>
        </w:rPr>
        <w:t xml:space="preserve"> for DES </w:t>
      </w:r>
      <w:r w:rsidRPr="003141BD">
        <w:rPr>
          <w:rFonts w:asciiTheme="minorHAnsi" w:eastAsiaTheme="minorHAnsi" w:hAnsiTheme="minorHAnsi" w:cstheme="minorHAnsi"/>
        </w:rPr>
        <w:t>under the same IT environment</w:t>
      </w:r>
      <w:r>
        <w:rPr>
          <w:rFonts w:asciiTheme="minorHAnsi" w:eastAsiaTheme="minorHAnsi" w:hAnsiTheme="minorHAnsi" w:cstheme="minorHAnsi"/>
        </w:rPr>
        <w:t>.</w:t>
      </w:r>
      <w:r w:rsidRPr="008C3E66">
        <w:rPr>
          <w:rFonts w:asciiTheme="minorHAnsi" w:eastAsiaTheme="minorHAnsi" w:hAnsiTheme="minorHAnsi" w:cstheme="minorHAnsi"/>
        </w:rPr>
        <w:t xml:space="preserve"> </w:t>
      </w:r>
    </w:p>
    <w:p w:rsidR="00C45FEB" w:rsidRPr="00C45FEB" w:rsidRDefault="00ED09E5" w:rsidP="00C45FEB">
      <w:r w:rsidRPr="00AA34C6">
        <w:t>The accreditation process for TPITPs continues to be separate and independent to the Pathway to Accreditation programme conducted for Employment Services organisations.</w:t>
      </w:r>
    </w:p>
    <w:p w:rsidR="008D197F" w:rsidRDefault="00C45FEB" w:rsidP="00C45FEB">
      <w:r w:rsidRPr="00C45FEB">
        <w:t>For more information on the IRAP, ISM or PSPF</w:t>
      </w:r>
      <w:r w:rsidR="003A0344">
        <w:t>,</w:t>
      </w:r>
      <w:r w:rsidRPr="00C45FEB">
        <w:t xml:space="preserve"> please refer to the </w:t>
      </w:r>
      <w:r w:rsidRPr="00C45FEB">
        <w:rPr>
          <w:i/>
        </w:rPr>
        <w:t>Useful Information</w:t>
      </w:r>
      <w:r w:rsidRPr="00C45FEB">
        <w:t xml:space="preserve"> section </w:t>
      </w:r>
      <w:r w:rsidR="003A0344">
        <w:t xml:space="preserve">on </w:t>
      </w:r>
      <w:r w:rsidR="003A0344" w:rsidRPr="008925E8">
        <w:t xml:space="preserve">page </w:t>
      </w:r>
      <w:r w:rsidR="00092652">
        <w:t>29</w:t>
      </w:r>
      <w:r w:rsidRPr="00C45FEB">
        <w:t xml:space="preserve"> of this document.</w:t>
      </w:r>
    </w:p>
    <w:p w:rsidR="00EA1427" w:rsidRDefault="00EA1427" w:rsidP="00C45FEB"/>
    <w:p w:rsidR="008D197F" w:rsidRDefault="00C45FEB" w:rsidP="00F93639">
      <w:pPr>
        <w:rPr>
          <w:rFonts w:ascii="Georgia" w:eastAsiaTheme="majorEastAsia" w:hAnsi="Georgia" w:cstheme="majorBidi"/>
          <w:bCs/>
          <w:color w:val="24596E"/>
          <w:sz w:val="36"/>
          <w:szCs w:val="28"/>
        </w:rPr>
      </w:pPr>
      <w:bookmarkStart w:id="46" w:name="_Toc483320768"/>
      <w:r w:rsidRPr="00C45FEB">
        <w:rPr>
          <w:rFonts w:ascii="Georgia" w:eastAsiaTheme="majorEastAsia" w:hAnsi="Georgia" w:cstheme="majorBidi"/>
          <w:bCs/>
          <w:color w:val="24596E"/>
          <w:sz w:val="36"/>
          <w:szCs w:val="28"/>
        </w:rPr>
        <w:lastRenderedPageBreak/>
        <w:t>Transition arrangements</w:t>
      </w:r>
      <w:bookmarkEnd w:id="46"/>
    </w:p>
    <w:p w:rsidR="00C45FEB" w:rsidRPr="00C45FEB" w:rsidRDefault="00C45FEB" w:rsidP="00C45FEB">
      <w:r w:rsidRPr="00C45FEB">
        <w:t xml:space="preserve">The Transition Period, set by DSS, will involve a set of arrangements designed to support the continuous and effective delivery of the DES program </w:t>
      </w:r>
      <w:r w:rsidR="003A0344">
        <w:t>while the</w:t>
      </w:r>
      <w:r w:rsidRPr="00C45FEB">
        <w:t xml:space="preserve"> current arrangements</w:t>
      </w:r>
      <w:r w:rsidR="003A0344">
        <w:t xml:space="preserve"> end and the new arrangements come into effect</w:t>
      </w:r>
      <w:r w:rsidRPr="00C45FEB">
        <w:t xml:space="preserve">. </w:t>
      </w:r>
    </w:p>
    <w:p w:rsidR="00B278EE" w:rsidRDefault="00C45FEB" w:rsidP="00C45FEB">
      <w:r w:rsidRPr="00C45FEB">
        <w:t xml:space="preserve">The objective of the Transition Period is to facilitate a smooth transfer to the new DES program which has minimal disruption to participants, employers and providers. </w:t>
      </w:r>
    </w:p>
    <w:p w:rsidR="00C45FEB" w:rsidRPr="00C45FEB" w:rsidRDefault="00C45FEB" w:rsidP="00C45FEB">
      <w:r w:rsidRPr="00C45FEB">
        <w:t>DSS will make decisions relating to the Transition Period based on the following principles:</w:t>
      </w:r>
    </w:p>
    <w:p w:rsidR="00C45FEB" w:rsidRPr="00C45FEB" w:rsidRDefault="00C45FEB" w:rsidP="00E23EE0">
      <w:pPr>
        <w:numPr>
          <w:ilvl w:val="0"/>
          <w:numId w:val="16"/>
        </w:numPr>
        <w:spacing w:after="0"/>
      </w:pPr>
      <w:r w:rsidRPr="00C45FEB">
        <w:t>minimal disruption and continuity of service delivery for participants and employers</w:t>
      </w:r>
    </w:p>
    <w:p w:rsidR="00C45FEB" w:rsidRPr="00C45FEB" w:rsidRDefault="00C45FEB" w:rsidP="00E23EE0">
      <w:pPr>
        <w:numPr>
          <w:ilvl w:val="0"/>
          <w:numId w:val="16"/>
        </w:numPr>
        <w:spacing w:after="0"/>
      </w:pPr>
      <w:r w:rsidRPr="00C45FEB">
        <w:t>honour existing contractual arrangements with DES providers</w:t>
      </w:r>
    </w:p>
    <w:p w:rsidR="00C45FEB" w:rsidRPr="00C45FEB" w:rsidRDefault="00C45FEB" w:rsidP="00E23EE0">
      <w:pPr>
        <w:numPr>
          <w:ilvl w:val="0"/>
          <w:numId w:val="16"/>
        </w:numPr>
        <w:spacing w:after="0"/>
      </w:pPr>
      <w:r w:rsidRPr="00C45FEB">
        <w:t>limit market disruption</w:t>
      </w:r>
    </w:p>
    <w:p w:rsidR="00C45FEB" w:rsidRPr="00C45FEB" w:rsidRDefault="00C45FEB" w:rsidP="00E23EE0">
      <w:pPr>
        <w:numPr>
          <w:ilvl w:val="0"/>
          <w:numId w:val="16"/>
        </w:numPr>
        <w:spacing w:after="0"/>
      </w:pPr>
      <w:r w:rsidRPr="00C45FEB">
        <w:t xml:space="preserve">transition activities must support the commencement of the new program on time on 1 July 2018. </w:t>
      </w:r>
    </w:p>
    <w:p w:rsidR="00C45FEB" w:rsidRPr="00C45FEB" w:rsidRDefault="00C45FEB" w:rsidP="00C45FEB">
      <w:r w:rsidRPr="00C45FEB">
        <w:t xml:space="preserve">A core activity of the Transition Period will be implementing </w:t>
      </w:r>
      <w:r w:rsidR="003A0344">
        <w:t xml:space="preserve">seamless </w:t>
      </w:r>
      <w:r w:rsidRPr="00C45FEB">
        <w:t>arrangements for the transfer of participants from DES providers</w:t>
      </w:r>
      <w:r w:rsidR="003A0344">
        <w:t>,</w:t>
      </w:r>
      <w:r w:rsidRPr="00C45FEB">
        <w:t xml:space="preserve"> who will cease to deliver DES services from 1 July 2018</w:t>
      </w:r>
      <w:r w:rsidR="003A0344">
        <w:t>,</w:t>
      </w:r>
      <w:r w:rsidRPr="00C45FEB">
        <w:t xml:space="preserve"> to DES providers who are on the new </w:t>
      </w:r>
      <w:r w:rsidR="007C3B0B">
        <w:t xml:space="preserve">Panel of </w:t>
      </w:r>
      <w:r w:rsidRPr="00C45FEB">
        <w:t>DES Provider</w:t>
      </w:r>
      <w:r w:rsidR="007C3B0B">
        <w:t>s</w:t>
      </w:r>
      <w:r w:rsidRPr="00C45FEB">
        <w:t xml:space="preserve">.  </w:t>
      </w:r>
    </w:p>
    <w:p w:rsidR="00C45FEB" w:rsidRPr="00C45FEB" w:rsidRDefault="00C45FEB" w:rsidP="00C45FEB">
      <w:r w:rsidRPr="00C45FEB">
        <w:t xml:space="preserve">DSS will manage the Transition Period in consultation with the disability employment sector. A DES Transition Working Group comprised of representatives of DES providers, people with disability and employers will be established to ensure the Transition Period is managed as sensitively and efficiently as possible. </w:t>
      </w:r>
      <w:r w:rsidR="006E4E19">
        <w:t xml:space="preserve">Membership details will be published on the </w:t>
      </w:r>
      <w:r w:rsidR="00347C0D">
        <w:t xml:space="preserve">DSS </w:t>
      </w:r>
      <w:r w:rsidR="006E4E19">
        <w:t xml:space="preserve">website once it has been established. </w:t>
      </w:r>
    </w:p>
    <w:p w:rsidR="00C45FEB" w:rsidRDefault="00C45FEB" w:rsidP="00C45FEB">
      <w:r w:rsidRPr="00C45FEB">
        <w:t xml:space="preserve">There will be a post-transition period that continues post 1 July 2018 to support the commencement of the new DES program. </w:t>
      </w:r>
    </w:p>
    <w:p w:rsidR="00C45FEB" w:rsidRPr="00586246" w:rsidRDefault="00C45FEB" w:rsidP="00C45FEB">
      <w:pPr>
        <w:pStyle w:val="Heading1"/>
      </w:pPr>
      <w:bookmarkStart w:id="47" w:name="_Toc483320769"/>
      <w:bookmarkStart w:id="48" w:name="_Toc483921468"/>
      <w:bookmarkStart w:id="49" w:name="_Toc484692311"/>
      <w:r w:rsidRPr="00C45FEB">
        <w:t>Probity</w:t>
      </w:r>
      <w:bookmarkEnd w:id="47"/>
      <w:bookmarkEnd w:id="48"/>
      <w:bookmarkEnd w:id="49"/>
    </w:p>
    <w:p w:rsidR="00C45FEB" w:rsidRPr="00C45FEB" w:rsidRDefault="00C45FEB" w:rsidP="00C45FEB">
      <w:r w:rsidRPr="00C45FEB">
        <w:t xml:space="preserve">DSS is committed to ensuring the DES Grant </w:t>
      </w:r>
      <w:r w:rsidR="00C33857">
        <w:t>a</w:t>
      </w:r>
      <w:r w:rsidRPr="00C45FEB">
        <w:t xml:space="preserve">pplication process to establish the </w:t>
      </w:r>
      <w:r w:rsidR="007C3B0B">
        <w:t>Panel of DES Providers</w:t>
      </w:r>
      <w:r w:rsidRPr="00C45FEB">
        <w:t xml:space="preserve"> is fair, transparent</w:t>
      </w:r>
      <w:r w:rsidR="00C33857">
        <w:t xml:space="preserve"> and</w:t>
      </w:r>
      <w:r w:rsidRPr="00C45FEB">
        <w:t xml:space="preserve"> subject to appropriate scrutiny.</w:t>
      </w:r>
    </w:p>
    <w:p w:rsidR="00EA1427" w:rsidRDefault="00C45FEB" w:rsidP="00674A9F">
      <w:r w:rsidRPr="00C45FEB">
        <w:t xml:space="preserve">DSS </w:t>
      </w:r>
      <w:r w:rsidR="008F2452">
        <w:t>will</w:t>
      </w:r>
      <w:r w:rsidR="008F2452" w:rsidRPr="00C45FEB">
        <w:t xml:space="preserve"> </w:t>
      </w:r>
      <w:r w:rsidRPr="00C45FEB">
        <w:t>appoint an external probity adviser who would advise the Delegate (Deputy Secretary</w:t>
      </w:r>
      <w:r w:rsidR="00F77A7E">
        <w:t xml:space="preserve"> of Disability and Carers</w:t>
      </w:r>
      <w:r w:rsidRPr="00C45FEB">
        <w:t xml:space="preserve">, DSS) on the probity and integrity of the DES Grant </w:t>
      </w:r>
      <w:r w:rsidR="00C33857">
        <w:t>a</w:t>
      </w:r>
      <w:r w:rsidRPr="00C45FEB">
        <w:t>pplication process. The probity adviser will observe, monitor and advise on, but will play no role in, the evaluation process.</w:t>
      </w:r>
      <w:bookmarkStart w:id="50" w:name="_Toc483320770"/>
      <w:r w:rsidR="003C3B5E">
        <w:t xml:space="preserve"> </w:t>
      </w:r>
    </w:p>
    <w:p w:rsidR="00EA1427" w:rsidRDefault="00EA1427" w:rsidP="00EA1427">
      <w:r>
        <w:br w:type="page"/>
      </w:r>
    </w:p>
    <w:p w:rsidR="00C45FEB" w:rsidRDefault="00C45FEB" w:rsidP="00F93639">
      <w:pPr>
        <w:rPr>
          <w:rFonts w:ascii="Georgia" w:eastAsiaTheme="majorEastAsia" w:hAnsi="Georgia" w:cstheme="majorBidi"/>
          <w:bCs/>
          <w:color w:val="24596E"/>
          <w:sz w:val="36"/>
          <w:szCs w:val="28"/>
        </w:rPr>
      </w:pPr>
      <w:r w:rsidRPr="00C45FEB">
        <w:rPr>
          <w:rFonts w:ascii="Georgia" w:eastAsiaTheme="majorEastAsia" w:hAnsi="Georgia" w:cstheme="majorBidi"/>
          <w:bCs/>
          <w:color w:val="24596E"/>
          <w:sz w:val="36"/>
          <w:szCs w:val="28"/>
        </w:rPr>
        <w:lastRenderedPageBreak/>
        <w:t xml:space="preserve">Indicative timeline for the Grant </w:t>
      </w:r>
      <w:r w:rsidR="00265BAB">
        <w:rPr>
          <w:rFonts w:ascii="Georgia" w:eastAsiaTheme="majorEastAsia" w:hAnsi="Georgia" w:cstheme="majorBidi"/>
          <w:bCs/>
          <w:color w:val="24596E"/>
          <w:sz w:val="36"/>
          <w:szCs w:val="28"/>
        </w:rPr>
        <w:t>application p</w:t>
      </w:r>
      <w:r w:rsidRPr="00C45FEB">
        <w:rPr>
          <w:rFonts w:ascii="Georgia" w:eastAsiaTheme="majorEastAsia" w:hAnsi="Georgia" w:cstheme="majorBidi"/>
          <w:bCs/>
          <w:color w:val="24596E"/>
          <w:sz w:val="36"/>
          <w:szCs w:val="28"/>
        </w:rPr>
        <w:t>rocess</w:t>
      </w:r>
      <w:bookmarkEnd w:id="50"/>
    </w:p>
    <w:p w:rsidR="008F2452" w:rsidRDefault="008F2452" w:rsidP="008F2452">
      <w:r w:rsidRPr="00973151">
        <w:t xml:space="preserve">Listed </w:t>
      </w:r>
      <w:r w:rsidR="00EA1427">
        <w:t xml:space="preserve">in Table 4 </w:t>
      </w:r>
      <w:r w:rsidRPr="00973151">
        <w:t xml:space="preserve">below are the indicative timelines for the Grant </w:t>
      </w:r>
      <w:r w:rsidR="00265BAB">
        <w:t>a</w:t>
      </w:r>
      <w:r w:rsidRPr="00973151">
        <w:t xml:space="preserve">pplication process. DSS is conscious that the DES 2018 Grant </w:t>
      </w:r>
      <w:r w:rsidR="00265BAB">
        <w:t>a</w:t>
      </w:r>
      <w:r w:rsidRPr="00973151">
        <w:t>pplication process is significantly different from previous DES purchasing processes. For this reason</w:t>
      </w:r>
      <w:r w:rsidR="00973151">
        <w:t>,</w:t>
      </w:r>
      <w:r w:rsidRPr="00973151">
        <w:t xml:space="preserve"> DSS will actively communicate and engage with the sector during each stage. Prospective applicants can choose to attend information sessions, listen to a public </w:t>
      </w:r>
      <w:r w:rsidRPr="00FB25F2">
        <w:t>webinar</w:t>
      </w:r>
      <w:r w:rsidRPr="00973151">
        <w:t xml:space="preserve"> or submit questions to DSS.</w:t>
      </w:r>
      <w:r w:rsidRPr="008F2452">
        <w:t xml:space="preserve"> </w:t>
      </w:r>
    </w:p>
    <w:p w:rsidR="00EA1427" w:rsidRPr="008F2452" w:rsidRDefault="00EA1427" w:rsidP="00EA1427">
      <w:pPr>
        <w:pStyle w:val="Caption"/>
        <w:keepNext/>
      </w:pPr>
      <w:r>
        <w:t xml:space="preserve">Table 4 – Indicative timeline for the Grant </w:t>
      </w:r>
      <w:r w:rsidR="00265BAB">
        <w:t>a</w:t>
      </w:r>
      <w:r>
        <w:t>pplication process</w:t>
      </w:r>
    </w:p>
    <w:tbl>
      <w:tblPr>
        <w:tblStyle w:val="TableGrid"/>
        <w:tblW w:w="0" w:type="auto"/>
        <w:tblInd w:w="168" w:type="dxa"/>
        <w:tblLook w:val="04A0" w:firstRow="1" w:lastRow="0" w:firstColumn="1" w:lastColumn="0" w:noHBand="0" w:noVBand="1"/>
        <w:tblCaption w:val="Indicative timeline for the Grant Application Process"/>
        <w:tblDescription w:val="The table sets out the indicative timeline for the stages of the Grant Application Process starting with the release of this industry information paper in June 2017."/>
      </w:tblPr>
      <w:tblGrid>
        <w:gridCol w:w="2693"/>
        <w:gridCol w:w="6060"/>
      </w:tblGrid>
      <w:tr w:rsidR="006D35B0" w:rsidRPr="006D35B0" w:rsidTr="006D35B0">
        <w:trPr>
          <w:tblHeader/>
        </w:trPr>
        <w:tc>
          <w:tcPr>
            <w:tcW w:w="2693" w:type="dxa"/>
            <w:shd w:val="clear" w:color="auto" w:fill="005A70" w:themeFill="accent4"/>
          </w:tcPr>
          <w:p w:rsidR="00C45FEB" w:rsidRPr="006D35B0" w:rsidRDefault="00C45FEB" w:rsidP="006D35B0">
            <w:pPr>
              <w:jc w:val="center"/>
              <w:rPr>
                <w:b/>
                <w:color w:val="FFFFFF" w:themeColor="background1"/>
              </w:rPr>
            </w:pPr>
            <w:r w:rsidRPr="006D35B0">
              <w:rPr>
                <w:b/>
                <w:color w:val="FFFFFF" w:themeColor="background1"/>
              </w:rPr>
              <w:t>Indicative Date</w:t>
            </w:r>
            <w:r w:rsidR="00B35F4A" w:rsidRPr="006D35B0">
              <w:rPr>
                <w:b/>
                <w:color w:val="FFFFFF" w:themeColor="background1"/>
              </w:rPr>
              <w:t>*</w:t>
            </w:r>
          </w:p>
        </w:tc>
        <w:tc>
          <w:tcPr>
            <w:tcW w:w="6060" w:type="dxa"/>
            <w:shd w:val="clear" w:color="auto" w:fill="005A70" w:themeFill="accent4"/>
          </w:tcPr>
          <w:p w:rsidR="00C45FEB" w:rsidRPr="006D35B0" w:rsidRDefault="00C45FEB" w:rsidP="006D35B0">
            <w:pPr>
              <w:jc w:val="center"/>
              <w:rPr>
                <w:b/>
                <w:color w:val="FFFFFF" w:themeColor="background1"/>
              </w:rPr>
            </w:pPr>
            <w:r w:rsidRPr="006D35B0">
              <w:rPr>
                <w:b/>
                <w:color w:val="FFFFFF" w:themeColor="background1"/>
              </w:rPr>
              <w:t>Milestone</w:t>
            </w:r>
          </w:p>
        </w:tc>
      </w:tr>
      <w:tr w:rsidR="00C45FEB" w:rsidRPr="00C45FEB" w:rsidTr="00C45FEB">
        <w:tc>
          <w:tcPr>
            <w:tcW w:w="2693" w:type="dxa"/>
          </w:tcPr>
          <w:p w:rsidR="00C45FEB" w:rsidRPr="00C45FEB" w:rsidRDefault="00C45FEB" w:rsidP="00C45FEB">
            <w:r w:rsidRPr="00C45FEB">
              <w:t>June 2017</w:t>
            </w:r>
          </w:p>
        </w:tc>
        <w:tc>
          <w:tcPr>
            <w:tcW w:w="6060" w:type="dxa"/>
          </w:tcPr>
          <w:p w:rsidR="00C45FEB" w:rsidRPr="00C45FEB" w:rsidRDefault="00C45FEB" w:rsidP="00C45FEB">
            <w:r w:rsidRPr="00C45FEB">
              <w:t xml:space="preserve">Release of </w:t>
            </w:r>
            <w:r w:rsidR="007C3B0B">
              <w:t>i</w:t>
            </w:r>
            <w:r w:rsidRPr="00C45FEB">
              <w:t xml:space="preserve">ndustry </w:t>
            </w:r>
            <w:r w:rsidR="007C3B0B">
              <w:t>i</w:t>
            </w:r>
            <w:r w:rsidRPr="00C45FEB">
              <w:t xml:space="preserve">nformation </w:t>
            </w:r>
            <w:r w:rsidR="007C3B0B">
              <w:t>p</w:t>
            </w:r>
            <w:r w:rsidRPr="00C45FEB">
              <w:t>aper</w:t>
            </w:r>
          </w:p>
        </w:tc>
      </w:tr>
      <w:tr w:rsidR="00C45FEB" w:rsidRPr="00C45FEB" w:rsidTr="00C45FEB">
        <w:tc>
          <w:tcPr>
            <w:tcW w:w="2693" w:type="dxa"/>
          </w:tcPr>
          <w:p w:rsidR="00C45FEB" w:rsidRPr="00C45FEB" w:rsidRDefault="00C45FEB" w:rsidP="00C45FEB">
            <w:r w:rsidRPr="00C45FEB">
              <w:t>June 2017</w:t>
            </w:r>
          </w:p>
        </w:tc>
        <w:tc>
          <w:tcPr>
            <w:tcW w:w="6060" w:type="dxa"/>
          </w:tcPr>
          <w:p w:rsidR="00C45FEB" w:rsidRPr="00C45FEB" w:rsidRDefault="00B62F19" w:rsidP="00B62F19">
            <w:r>
              <w:t>I</w:t>
            </w:r>
            <w:r w:rsidRPr="00C45FEB">
              <w:t xml:space="preserve">nformation </w:t>
            </w:r>
            <w:r>
              <w:t>s</w:t>
            </w:r>
            <w:r w:rsidRPr="00C45FEB">
              <w:t>essions</w:t>
            </w:r>
            <w:r>
              <w:t xml:space="preserve"> and</w:t>
            </w:r>
            <w:r w:rsidRPr="00C45FEB">
              <w:t xml:space="preserve"> </w:t>
            </w:r>
            <w:r>
              <w:t xml:space="preserve">a </w:t>
            </w:r>
            <w:r w:rsidRPr="00FB25F2">
              <w:t>p</w:t>
            </w:r>
            <w:r w:rsidR="00C45FEB" w:rsidRPr="00FB25F2">
              <w:t>ublic webinar</w:t>
            </w:r>
            <w:r w:rsidR="00C45FEB" w:rsidRPr="00C45FEB">
              <w:t xml:space="preserve"> </w:t>
            </w:r>
            <w:r w:rsidR="009631D2">
              <w:t>about the</w:t>
            </w:r>
            <w:r w:rsidR="009631D2" w:rsidRPr="00C45FEB">
              <w:t xml:space="preserve"> </w:t>
            </w:r>
            <w:r w:rsidR="007C3B0B">
              <w:t>i</w:t>
            </w:r>
            <w:r w:rsidR="00C45FEB" w:rsidRPr="00C45FEB">
              <w:t xml:space="preserve">ndustry </w:t>
            </w:r>
            <w:r w:rsidR="007C3B0B">
              <w:t>i</w:t>
            </w:r>
            <w:r w:rsidR="00C45FEB" w:rsidRPr="00C45FEB">
              <w:t xml:space="preserve">nformation </w:t>
            </w:r>
            <w:r w:rsidR="007C3B0B">
              <w:t>p</w:t>
            </w:r>
            <w:r w:rsidR="00C45FEB" w:rsidRPr="00C45FEB">
              <w:t>aper</w:t>
            </w:r>
            <w:r>
              <w:t xml:space="preserve"> and </w:t>
            </w:r>
            <w:r w:rsidRPr="00EB0380">
              <w:rPr>
                <w:i/>
              </w:rPr>
              <w:t xml:space="preserve">Registration of </w:t>
            </w:r>
            <w:r>
              <w:rPr>
                <w:i/>
              </w:rPr>
              <w:t>i</w:t>
            </w:r>
            <w:r w:rsidRPr="00EB0380">
              <w:rPr>
                <w:i/>
              </w:rPr>
              <w:t>nterest</w:t>
            </w:r>
            <w:r w:rsidRPr="00C45FEB">
              <w:t xml:space="preserve"> </w:t>
            </w:r>
            <w:r>
              <w:t>process.</w:t>
            </w:r>
          </w:p>
        </w:tc>
      </w:tr>
      <w:tr w:rsidR="00C45FEB" w:rsidRPr="00C45FEB" w:rsidTr="00C45FEB">
        <w:tc>
          <w:tcPr>
            <w:tcW w:w="2693" w:type="dxa"/>
          </w:tcPr>
          <w:p w:rsidR="00C45FEB" w:rsidRPr="00C45FEB" w:rsidRDefault="00C45FEB" w:rsidP="00C45FEB">
            <w:r w:rsidRPr="00C45FEB">
              <w:t>August 2017</w:t>
            </w:r>
          </w:p>
        </w:tc>
        <w:tc>
          <w:tcPr>
            <w:tcW w:w="6060" w:type="dxa"/>
          </w:tcPr>
          <w:p w:rsidR="00C45FEB" w:rsidRPr="00C45FEB" w:rsidRDefault="00C45FEB" w:rsidP="00C45FEB">
            <w:r w:rsidRPr="00C45FEB">
              <w:t xml:space="preserve">Letter to existing DES </w:t>
            </w:r>
            <w:r w:rsidR="007C3B0B">
              <w:t>p</w:t>
            </w:r>
            <w:r w:rsidRPr="00C45FEB">
              <w:t xml:space="preserve">roviders </w:t>
            </w:r>
            <w:r w:rsidR="00F77A7E">
              <w:t>advising their June 2017</w:t>
            </w:r>
            <w:r w:rsidRPr="00C45FEB">
              <w:t xml:space="preserve"> Star Rating; and</w:t>
            </w:r>
          </w:p>
          <w:p w:rsidR="00C45FEB" w:rsidRPr="00C45FEB" w:rsidRDefault="00C45FEB" w:rsidP="00C45FEB">
            <w:r w:rsidRPr="00C45FEB">
              <w:t>Public release of Star Ratings</w:t>
            </w:r>
          </w:p>
        </w:tc>
      </w:tr>
      <w:tr w:rsidR="00C45FEB" w:rsidRPr="00C45FEB" w:rsidTr="00C45FEB">
        <w:tc>
          <w:tcPr>
            <w:tcW w:w="2693" w:type="dxa"/>
          </w:tcPr>
          <w:p w:rsidR="00C45FEB" w:rsidRPr="00C45FEB" w:rsidRDefault="00504147" w:rsidP="00C45FEB">
            <w:r>
              <w:t xml:space="preserve">2 </w:t>
            </w:r>
            <w:r w:rsidR="00C45FEB" w:rsidRPr="00C45FEB">
              <w:t>August 2017</w:t>
            </w:r>
          </w:p>
        </w:tc>
        <w:tc>
          <w:tcPr>
            <w:tcW w:w="6060" w:type="dxa"/>
          </w:tcPr>
          <w:p w:rsidR="00C45FEB" w:rsidRPr="00C45FEB" w:rsidRDefault="00C45FEB" w:rsidP="00C45FEB">
            <w:r w:rsidRPr="00EB0380">
              <w:rPr>
                <w:i/>
              </w:rPr>
              <w:t xml:space="preserve">Stage 1 - Registration of </w:t>
            </w:r>
            <w:r w:rsidR="007C3B0B">
              <w:rPr>
                <w:i/>
              </w:rPr>
              <w:t>i</w:t>
            </w:r>
            <w:r w:rsidRPr="00EB0380">
              <w:rPr>
                <w:i/>
              </w:rPr>
              <w:t>nterest</w:t>
            </w:r>
            <w:r w:rsidRPr="00C45FEB">
              <w:t xml:space="preserve"> opens (4 weeks)</w:t>
            </w:r>
          </w:p>
        </w:tc>
      </w:tr>
      <w:tr w:rsidR="00C45FEB" w:rsidRPr="00C45FEB" w:rsidTr="00C45FEB">
        <w:tc>
          <w:tcPr>
            <w:tcW w:w="2693" w:type="dxa"/>
          </w:tcPr>
          <w:p w:rsidR="00C45FEB" w:rsidRPr="00C45FEB" w:rsidRDefault="00504147" w:rsidP="00C45FEB">
            <w:r>
              <w:t xml:space="preserve">11 </w:t>
            </w:r>
            <w:r w:rsidR="00C45FEB" w:rsidRPr="00C45FEB">
              <w:t>September 2017</w:t>
            </w:r>
          </w:p>
        </w:tc>
        <w:tc>
          <w:tcPr>
            <w:tcW w:w="6060" w:type="dxa"/>
          </w:tcPr>
          <w:p w:rsidR="00C45FEB" w:rsidRPr="00C45FEB" w:rsidRDefault="00C45FEB" w:rsidP="00BA4FDE">
            <w:r w:rsidRPr="00EB0380">
              <w:rPr>
                <w:i/>
              </w:rPr>
              <w:t xml:space="preserve">Stage 2 - Grant </w:t>
            </w:r>
            <w:r w:rsidR="007C3B0B">
              <w:rPr>
                <w:i/>
              </w:rPr>
              <w:t>a</w:t>
            </w:r>
            <w:r w:rsidRPr="00EB0380">
              <w:rPr>
                <w:i/>
              </w:rPr>
              <w:t>pplication</w:t>
            </w:r>
            <w:r w:rsidRPr="00C45FEB">
              <w:t xml:space="preserve"> opens (6 weeks) Organisation</w:t>
            </w:r>
            <w:r w:rsidR="00F77A7E">
              <w:t>s</w:t>
            </w:r>
            <w:r w:rsidRPr="00C45FEB">
              <w:t xml:space="preserve"> who completed the </w:t>
            </w:r>
            <w:r w:rsidRPr="00EB0380">
              <w:rPr>
                <w:i/>
              </w:rPr>
              <w:t xml:space="preserve">Registration of </w:t>
            </w:r>
            <w:r w:rsidR="007C3B0B">
              <w:rPr>
                <w:i/>
              </w:rPr>
              <w:t>i</w:t>
            </w:r>
            <w:r w:rsidRPr="00EB0380">
              <w:rPr>
                <w:i/>
              </w:rPr>
              <w:t>nterest</w:t>
            </w:r>
            <w:r w:rsidRPr="00C45FEB">
              <w:t xml:space="preserve"> process will be inv</w:t>
            </w:r>
            <w:r w:rsidR="00265BAB">
              <w:t>ited to submit a Grant a</w:t>
            </w:r>
            <w:r w:rsidRPr="00C45FEB">
              <w:t xml:space="preserve">pplication. Current DES providers </w:t>
            </w:r>
            <w:r w:rsidR="00BA4FDE">
              <w:t xml:space="preserve">with business performing at 3-Stars or above </w:t>
            </w:r>
            <w:r w:rsidRPr="00C45FEB">
              <w:t>will be offered business for the same services in the same locations where they currently operate</w:t>
            </w:r>
            <w:r w:rsidR="00BA4FDE">
              <w:t xml:space="preserve"> at that level</w:t>
            </w:r>
            <w:r w:rsidRPr="00C45FEB">
              <w:t>.</w:t>
            </w:r>
          </w:p>
        </w:tc>
      </w:tr>
      <w:tr w:rsidR="00C45FEB" w:rsidRPr="00C45FEB" w:rsidTr="00C45FEB">
        <w:tc>
          <w:tcPr>
            <w:tcW w:w="2693" w:type="dxa"/>
          </w:tcPr>
          <w:p w:rsidR="00C45FEB" w:rsidRPr="00C45FEB" w:rsidRDefault="006E4E19" w:rsidP="00C45FEB">
            <w:r>
              <w:t>August/</w:t>
            </w:r>
            <w:r w:rsidR="00C45FEB" w:rsidRPr="00C45FEB">
              <w:t xml:space="preserve">September 2017 </w:t>
            </w:r>
          </w:p>
        </w:tc>
        <w:tc>
          <w:tcPr>
            <w:tcW w:w="6060" w:type="dxa"/>
          </w:tcPr>
          <w:p w:rsidR="00C45FEB" w:rsidRPr="00C45FEB" w:rsidRDefault="00B62F19" w:rsidP="009631D2">
            <w:r>
              <w:t>Webinars</w:t>
            </w:r>
            <w:r w:rsidR="00C45FEB" w:rsidRPr="00C45FEB">
              <w:t xml:space="preserve"> for registered organisations </w:t>
            </w:r>
            <w:r w:rsidR="009631D2">
              <w:t>about</w:t>
            </w:r>
            <w:r w:rsidR="009631D2" w:rsidRPr="00C45FEB">
              <w:t xml:space="preserve"> </w:t>
            </w:r>
            <w:r w:rsidR="00C45FEB" w:rsidRPr="00C45FEB">
              <w:t xml:space="preserve">the </w:t>
            </w:r>
            <w:r w:rsidR="007C3B0B" w:rsidRPr="00EB0380">
              <w:rPr>
                <w:i/>
              </w:rPr>
              <w:t xml:space="preserve">Grant </w:t>
            </w:r>
            <w:r w:rsidR="007C3B0B">
              <w:rPr>
                <w:i/>
              </w:rPr>
              <w:t>a</w:t>
            </w:r>
            <w:r w:rsidR="00C45FEB" w:rsidRPr="00EB0380">
              <w:rPr>
                <w:i/>
              </w:rPr>
              <w:t>pplication</w:t>
            </w:r>
            <w:r w:rsidR="00C45FEB" w:rsidRPr="00C45FEB">
              <w:t xml:space="preserve"> </w:t>
            </w:r>
            <w:r w:rsidR="007C3B0B">
              <w:t>p</w:t>
            </w:r>
            <w:r w:rsidR="00C45FEB" w:rsidRPr="00C45FEB">
              <w:t>rocess</w:t>
            </w:r>
          </w:p>
        </w:tc>
      </w:tr>
      <w:tr w:rsidR="00C45FEB" w:rsidRPr="00C45FEB" w:rsidTr="00C45FEB">
        <w:tc>
          <w:tcPr>
            <w:tcW w:w="2693" w:type="dxa"/>
          </w:tcPr>
          <w:p w:rsidR="00C45FEB" w:rsidRPr="00C45FEB" w:rsidRDefault="00C45FEB" w:rsidP="00C45FEB">
            <w:r w:rsidRPr="00C45FEB">
              <w:t>February 2018</w:t>
            </w:r>
          </w:p>
        </w:tc>
        <w:tc>
          <w:tcPr>
            <w:tcW w:w="6060" w:type="dxa"/>
          </w:tcPr>
          <w:p w:rsidR="00C45FEB" w:rsidRPr="00C45FEB" w:rsidRDefault="00C45FEB" w:rsidP="00C45FEB">
            <w:r w:rsidRPr="00C45FEB">
              <w:t xml:space="preserve">Announcement of successful Grant </w:t>
            </w:r>
            <w:r w:rsidR="007C3B0B">
              <w:t>a</w:t>
            </w:r>
            <w:r w:rsidRPr="00C45FEB">
              <w:t>pplicants</w:t>
            </w:r>
          </w:p>
        </w:tc>
      </w:tr>
      <w:tr w:rsidR="00C45FEB" w:rsidRPr="00C45FEB" w:rsidTr="00C45FEB">
        <w:tc>
          <w:tcPr>
            <w:tcW w:w="2693" w:type="dxa"/>
          </w:tcPr>
          <w:p w:rsidR="00C45FEB" w:rsidRPr="00C45FEB" w:rsidRDefault="00C45FEB" w:rsidP="00C45FEB">
            <w:r w:rsidRPr="00C45FEB">
              <w:t>March 2018</w:t>
            </w:r>
          </w:p>
        </w:tc>
        <w:tc>
          <w:tcPr>
            <w:tcW w:w="6060" w:type="dxa"/>
          </w:tcPr>
          <w:p w:rsidR="00C45FEB" w:rsidRPr="00C45FEB" w:rsidRDefault="00C45FEB" w:rsidP="00C45FEB">
            <w:r w:rsidRPr="00C45FEB">
              <w:t xml:space="preserve">Grant </w:t>
            </w:r>
            <w:r w:rsidR="007C3B0B">
              <w:t>a</w:t>
            </w:r>
            <w:r w:rsidRPr="00C45FEB">
              <w:t>greements executed</w:t>
            </w:r>
          </w:p>
        </w:tc>
      </w:tr>
      <w:tr w:rsidR="00F77A7E" w:rsidRPr="00C45FEB" w:rsidTr="00C45FEB">
        <w:tc>
          <w:tcPr>
            <w:tcW w:w="2693" w:type="dxa"/>
          </w:tcPr>
          <w:p w:rsidR="00F77A7E" w:rsidRPr="00C45FEB" w:rsidRDefault="00F77A7E" w:rsidP="00C45FEB">
            <w:r>
              <w:t>March 2018 to July 2018</w:t>
            </w:r>
          </w:p>
        </w:tc>
        <w:tc>
          <w:tcPr>
            <w:tcW w:w="6060" w:type="dxa"/>
          </w:tcPr>
          <w:p w:rsidR="00F77A7E" w:rsidRPr="00C45FEB" w:rsidRDefault="00F77A7E" w:rsidP="00C45FEB">
            <w:r>
              <w:t>Transition management activities</w:t>
            </w:r>
          </w:p>
        </w:tc>
      </w:tr>
      <w:tr w:rsidR="00C45FEB" w:rsidRPr="00C45FEB" w:rsidTr="00C45FEB">
        <w:tc>
          <w:tcPr>
            <w:tcW w:w="2693" w:type="dxa"/>
          </w:tcPr>
          <w:p w:rsidR="00C45FEB" w:rsidRPr="00C45FEB" w:rsidRDefault="00C45FEB" w:rsidP="00C45FEB">
            <w:r w:rsidRPr="00C45FEB">
              <w:t>1 July 2018</w:t>
            </w:r>
          </w:p>
        </w:tc>
        <w:tc>
          <w:tcPr>
            <w:tcW w:w="6060" w:type="dxa"/>
          </w:tcPr>
          <w:p w:rsidR="00C45FEB" w:rsidRPr="00C45FEB" w:rsidRDefault="00C45FEB" w:rsidP="00C45FEB">
            <w:r w:rsidRPr="00C45FEB">
              <w:t>DES Grant Agreement Commencement Date</w:t>
            </w:r>
          </w:p>
        </w:tc>
      </w:tr>
    </w:tbl>
    <w:p w:rsidR="00C45FEB" w:rsidRDefault="00B35F4A" w:rsidP="00F93639">
      <w:r w:rsidRPr="00CF3EA9">
        <w:rPr>
          <w:sz w:val="18"/>
          <w:szCs w:val="18"/>
        </w:rPr>
        <w:t xml:space="preserve"> </w:t>
      </w:r>
      <w:r w:rsidR="00EA1427">
        <w:rPr>
          <w:sz w:val="18"/>
          <w:szCs w:val="18"/>
        </w:rPr>
        <w:t xml:space="preserve"> </w:t>
      </w:r>
      <w:r w:rsidR="00F1543A">
        <w:br w:type="page"/>
      </w:r>
    </w:p>
    <w:p w:rsidR="00C45FEB" w:rsidRPr="00586246" w:rsidRDefault="00C45FEB" w:rsidP="00C45FEB">
      <w:pPr>
        <w:pStyle w:val="Heading1"/>
      </w:pPr>
      <w:bookmarkStart w:id="51" w:name="_Toc483320771"/>
      <w:bookmarkStart w:id="52" w:name="_Toc483921469"/>
      <w:bookmarkStart w:id="53" w:name="_Toc484692312"/>
      <w:r w:rsidRPr="00C45FEB">
        <w:lastRenderedPageBreak/>
        <w:t>Enquiries and Communication</w:t>
      </w:r>
      <w:bookmarkEnd w:id="51"/>
      <w:bookmarkEnd w:id="52"/>
      <w:bookmarkEnd w:id="53"/>
    </w:p>
    <w:p w:rsidR="00C45FEB" w:rsidRPr="00324F70" w:rsidRDefault="00C45FEB" w:rsidP="00324F70">
      <w:pPr>
        <w:pStyle w:val="Heading2"/>
      </w:pPr>
      <w:bookmarkStart w:id="54" w:name="_Toc388865756"/>
      <w:bookmarkStart w:id="55" w:name="_Toc483921470"/>
      <w:bookmarkStart w:id="56" w:name="_Toc484692313"/>
      <w:r w:rsidRPr="00324F70">
        <w:t>Contact with Portfolio Ministers</w:t>
      </w:r>
      <w:bookmarkEnd w:id="54"/>
      <w:bookmarkEnd w:id="55"/>
      <w:bookmarkEnd w:id="56"/>
    </w:p>
    <w:p w:rsidR="00C45FEB" w:rsidRPr="00C45FEB" w:rsidRDefault="00C45FEB" w:rsidP="00C45FEB">
      <w:r w:rsidRPr="00C45FEB">
        <w:t xml:space="preserve">In the lead up to, and during the Grant </w:t>
      </w:r>
      <w:r w:rsidR="00C33857">
        <w:t>a</w:t>
      </w:r>
      <w:r w:rsidRPr="00C45FEB">
        <w:t>pplication process, Portfolio Ministers will continue to interact with relevant stakeholders for business-as-usual, meetings, conferences and social activities.</w:t>
      </w:r>
    </w:p>
    <w:p w:rsidR="00C45FEB" w:rsidRPr="00C45FEB" w:rsidRDefault="00C45FEB" w:rsidP="00C45FEB">
      <w:r w:rsidRPr="00C45FEB">
        <w:t xml:space="preserve">However, during these interactions, the only information, if any, that can be provided about the Grant </w:t>
      </w:r>
      <w:r w:rsidR="00F55E4F">
        <w:t>a</w:t>
      </w:r>
      <w:r w:rsidRPr="00C45FEB">
        <w:t xml:space="preserve">pplication process will be limited to information that is already available in the public arena. Applicants and potential applicants must not seek to elicit or obtain from Portfolio Ministers, or their staff, any information concerning the Grant </w:t>
      </w:r>
      <w:r w:rsidR="00F55E4F">
        <w:t>a</w:t>
      </w:r>
      <w:r w:rsidRPr="00C45FEB">
        <w:t>pplication process that is not already available in the public arena.</w:t>
      </w:r>
    </w:p>
    <w:p w:rsidR="00C45FEB" w:rsidRPr="00324F70" w:rsidRDefault="00C45FEB" w:rsidP="00324F70">
      <w:pPr>
        <w:pStyle w:val="Heading2"/>
      </w:pPr>
      <w:bookmarkStart w:id="57" w:name="_Toc483921471"/>
      <w:bookmarkStart w:id="58" w:name="_Toc484692314"/>
      <w:bookmarkStart w:id="59" w:name="_Toc388865757"/>
      <w:r w:rsidRPr="00324F70">
        <w:t>Contact with DSS</w:t>
      </w:r>
      <w:bookmarkEnd w:id="57"/>
      <w:bookmarkEnd w:id="58"/>
      <w:r w:rsidRPr="00324F70">
        <w:t xml:space="preserve"> </w:t>
      </w:r>
      <w:bookmarkEnd w:id="59"/>
    </w:p>
    <w:p w:rsidR="00C45FEB" w:rsidRPr="00C45FEB" w:rsidRDefault="00C45FEB" w:rsidP="00C45FEB">
      <w:r w:rsidRPr="00C45FEB">
        <w:t xml:space="preserve">During the Grant </w:t>
      </w:r>
      <w:r w:rsidR="0091327C">
        <w:t>a</w:t>
      </w:r>
      <w:r w:rsidRPr="00C45FEB">
        <w:t>pplication process, DSS will continue to interact with relevant stakeholders as a part of its ongoing business (on a business-as-usual basis), including continuing any regular discussions with a range of interest groups and industry representative bodies.</w:t>
      </w:r>
    </w:p>
    <w:p w:rsidR="00C45FEB" w:rsidRPr="00C45FEB" w:rsidRDefault="00CF3EA9" w:rsidP="00C45FEB">
      <w:r>
        <w:t>However, during</w:t>
      </w:r>
      <w:r w:rsidRPr="00C45FEB">
        <w:t xml:space="preserve"> </w:t>
      </w:r>
      <w:r w:rsidR="00C45FEB" w:rsidRPr="00C45FEB">
        <w:t xml:space="preserve">these business-as-usual interactions, any discussions relating to the Grant </w:t>
      </w:r>
      <w:r w:rsidR="0091327C">
        <w:t>a</w:t>
      </w:r>
      <w:r w:rsidR="00C45FEB" w:rsidRPr="00C45FEB">
        <w:t xml:space="preserve">pplication process will not be permitted. </w:t>
      </w:r>
    </w:p>
    <w:p w:rsidR="00C45FEB" w:rsidRPr="00C45FEB" w:rsidRDefault="00C45FEB" w:rsidP="00C45FEB">
      <w:r w:rsidRPr="00C45FEB">
        <w:t xml:space="preserve">The following principles will apply to the upcoming Grant </w:t>
      </w:r>
      <w:r w:rsidR="0091327C">
        <w:t>a</w:t>
      </w:r>
      <w:r w:rsidRPr="00C45FEB">
        <w:t>pplication process, which commences at Stage 1:</w:t>
      </w:r>
    </w:p>
    <w:p w:rsidR="00C45FEB" w:rsidRPr="00E23EE0" w:rsidRDefault="005A3F63" w:rsidP="00E23EE0">
      <w:pPr>
        <w:numPr>
          <w:ilvl w:val="0"/>
          <w:numId w:val="13"/>
        </w:numPr>
        <w:spacing w:before="0" w:after="0" w:line="240" w:lineRule="auto"/>
        <w:ind w:left="791"/>
        <w:contextualSpacing/>
        <w:rPr>
          <w:rFonts w:asciiTheme="minorHAnsi" w:eastAsiaTheme="minorHAnsi" w:hAnsiTheme="minorHAnsi" w:cstheme="minorHAnsi"/>
        </w:rPr>
      </w:pPr>
      <w:r>
        <w:rPr>
          <w:rFonts w:asciiTheme="minorHAnsi" w:eastAsiaTheme="minorHAnsi" w:hAnsiTheme="minorHAnsi" w:cstheme="minorHAnsi"/>
        </w:rPr>
        <w:t>a</w:t>
      </w:r>
      <w:r w:rsidR="009631D2" w:rsidRPr="00E23EE0">
        <w:rPr>
          <w:rFonts w:asciiTheme="minorHAnsi" w:eastAsiaTheme="minorHAnsi" w:hAnsiTheme="minorHAnsi" w:cstheme="minorHAnsi"/>
        </w:rPr>
        <w:t xml:space="preserve">ll </w:t>
      </w:r>
      <w:r w:rsidR="00C45FEB" w:rsidRPr="00E23EE0">
        <w:rPr>
          <w:rFonts w:asciiTheme="minorHAnsi" w:eastAsiaTheme="minorHAnsi" w:hAnsiTheme="minorHAnsi" w:cstheme="minorHAnsi"/>
        </w:rPr>
        <w:t xml:space="preserve">applicants will only use </w:t>
      </w:r>
      <w:r w:rsidR="00CF3EA9">
        <w:rPr>
          <w:rFonts w:asciiTheme="minorHAnsi" w:eastAsiaTheme="minorHAnsi" w:hAnsiTheme="minorHAnsi" w:cstheme="minorHAnsi"/>
        </w:rPr>
        <w:t xml:space="preserve">either </w:t>
      </w:r>
      <w:r w:rsidR="00C45FEB" w:rsidRPr="00E23EE0">
        <w:rPr>
          <w:rFonts w:asciiTheme="minorHAnsi" w:eastAsiaTheme="minorHAnsi" w:hAnsiTheme="minorHAnsi" w:cstheme="minorHAnsi"/>
        </w:rPr>
        <w:t xml:space="preserve">a DSS Community Grants Hub support inbox </w:t>
      </w:r>
      <w:r w:rsidR="00CF3EA9">
        <w:rPr>
          <w:rFonts w:asciiTheme="minorHAnsi" w:eastAsiaTheme="minorHAnsi" w:hAnsiTheme="minorHAnsi" w:cstheme="minorHAnsi"/>
        </w:rPr>
        <w:t xml:space="preserve">or hotline number </w:t>
      </w:r>
      <w:r w:rsidR="00C45FEB" w:rsidRPr="00E23EE0">
        <w:rPr>
          <w:rFonts w:asciiTheme="minorHAnsi" w:eastAsiaTheme="minorHAnsi" w:hAnsiTheme="minorHAnsi" w:cstheme="minorHAnsi"/>
        </w:rPr>
        <w:t xml:space="preserve">(that will be provided at the time) to contact </w:t>
      </w:r>
      <w:r w:rsidR="009631D2" w:rsidRPr="00E23EE0">
        <w:rPr>
          <w:rFonts w:asciiTheme="minorHAnsi" w:eastAsiaTheme="minorHAnsi" w:hAnsiTheme="minorHAnsi" w:cstheme="minorHAnsi"/>
        </w:rPr>
        <w:t xml:space="preserve">DSS </w:t>
      </w:r>
      <w:r w:rsidR="00C45FEB" w:rsidRPr="00E23EE0">
        <w:rPr>
          <w:rFonts w:asciiTheme="minorHAnsi" w:eastAsiaTheme="minorHAnsi" w:hAnsiTheme="minorHAnsi" w:cstheme="minorHAnsi"/>
        </w:rPr>
        <w:t xml:space="preserve">for the purpose of querying or clarifying any aspect of the Grant </w:t>
      </w:r>
      <w:r w:rsidR="0091327C" w:rsidRPr="00E23EE0">
        <w:rPr>
          <w:rFonts w:asciiTheme="minorHAnsi" w:eastAsiaTheme="minorHAnsi" w:hAnsiTheme="minorHAnsi" w:cstheme="minorHAnsi"/>
        </w:rPr>
        <w:t>a</w:t>
      </w:r>
      <w:r w:rsidR="00C45FEB" w:rsidRPr="00E23EE0">
        <w:rPr>
          <w:rFonts w:asciiTheme="minorHAnsi" w:eastAsiaTheme="minorHAnsi" w:hAnsiTheme="minorHAnsi" w:cstheme="minorHAnsi"/>
        </w:rPr>
        <w:t>pplication process</w:t>
      </w:r>
    </w:p>
    <w:p w:rsidR="00C45FEB" w:rsidRPr="00E23EE0" w:rsidRDefault="00C45FEB" w:rsidP="00E23EE0">
      <w:pPr>
        <w:numPr>
          <w:ilvl w:val="0"/>
          <w:numId w:val="13"/>
        </w:numPr>
        <w:spacing w:before="0" w:after="0" w:line="240" w:lineRule="auto"/>
        <w:ind w:left="791"/>
        <w:contextualSpacing/>
        <w:rPr>
          <w:rFonts w:asciiTheme="minorHAnsi" w:eastAsiaTheme="minorHAnsi" w:hAnsiTheme="minorHAnsi" w:cstheme="minorHAnsi"/>
        </w:rPr>
      </w:pPr>
      <w:r w:rsidRPr="00E23EE0">
        <w:rPr>
          <w:rFonts w:asciiTheme="minorHAnsi" w:eastAsiaTheme="minorHAnsi" w:hAnsiTheme="minorHAnsi" w:cstheme="minorHAnsi"/>
        </w:rPr>
        <w:t xml:space="preserve">DSS will not consider unsolicited references or submissions on behalf of providers or applicants outside those provided for in the Grant </w:t>
      </w:r>
      <w:r w:rsidR="0091327C" w:rsidRPr="00E23EE0">
        <w:rPr>
          <w:rFonts w:asciiTheme="minorHAnsi" w:eastAsiaTheme="minorHAnsi" w:hAnsiTheme="minorHAnsi" w:cstheme="minorHAnsi"/>
        </w:rPr>
        <w:t>a</w:t>
      </w:r>
      <w:r w:rsidRPr="00E23EE0">
        <w:rPr>
          <w:rFonts w:asciiTheme="minorHAnsi" w:eastAsiaTheme="minorHAnsi" w:hAnsiTheme="minorHAnsi" w:cstheme="minorHAnsi"/>
        </w:rPr>
        <w:t>pplication process</w:t>
      </w:r>
    </w:p>
    <w:p w:rsidR="0083162E" w:rsidRDefault="005A3F63" w:rsidP="00E23EE0">
      <w:pPr>
        <w:numPr>
          <w:ilvl w:val="0"/>
          <w:numId w:val="13"/>
        </w:numPr>
        <w:spacing w:before="0" w:after="0" w:line="240" w:lineRule="auto"/>
        <w:ind w:left="791"/>
        <w:contextualSpacing/>
        <w:rPr>
          <w:rFonts w:asciiTheme="minorHAnsi" w:eastAsiaTheme="minorHAnsi" w:hAnsiTheme="minorHAnsi" w:cstheme="minorHAnsi"/>
        </w:rPr>
      </w:pPr>
      <w:r>
        <w:rPr>
          <w:rFonts w:asciiTheme="minorHAnsi" w:eastAsiaTheme="minorHAnsi" w:hAnsiTheme="minorHAnsi" w:cstheme="minorHAnsi"/>
        </w:rPr>
        <w:t>a</w:t>
      </w:r>
      <w:r w:rsidR="00C45FEB" w:rsidRPr="00E23EE0">
        <w:rPr>
          <w:rFonts w:asciiTheme="minorHAnsi" w:eastAsiaTheme="minorHAnsi" w:hAnsiTheme="minorHAnsi" w:cstheme="minorHAnsi"/>
        </w:rPr>
        <w:t xml:space="preserve">pplicants or other persons with an interest in the Grant </w:t>
      </w:r>
      <w:r w:rsidR="0091327C" w:rsidRPr="00E23EE0">
        <w:rPr>
          <w:rFonts w:asciiTheme="minorHAnsi" w:eastAsiaTheme="minorHAnsi" w:hAnsiTheme="minorHAnsi" w:cstheme="minorHAnsi"/>
        </w:rPr>
        <w:t>a</w:t>
      </w:r>
      <w:r w:rsidR="00C45FEB" w:rsidRPr="00E23EE0">
        <w:rPr>
          <w:rFonts w:asciiTheme="minorHAnsi" w:eastAsiaTheme="minorHAnsi" w:hAnsiTheme="minorHAnsi" w:cstheme="minorHAnsi"/>
        </w:rPr>
        <w:t>pplication process must not enter into discussions with</w:t>
      </w:r>
      <w:r w:rsidR="00CF3EA9">
        <w:rPr>
          <w:rFonts w:asciiTheme="minorHAnsi" w:eastAsiaTheme="minorHAnsi" w:hAnsiTheme="minorHAnsi" w:cstheme="minorHAnsi"/>
        </w:rPr>
        <w:t>,</w:t>
      </w:r>
      <w:r w:rsidR="00C45FEB" w:rsidRPr="00E23EE0">
        <w:rPr>
          <w:rFonts w:asciiTheme="minorHAnsi" w:eastAsiaTheme="minorHAnsi" w:hAnsiTheme="minorHAnsi" w:cstheme="minorHAnsi"/>
        </w:rPr>
        <w:t xml:space="preserve"> or otherwise engage in</w:t>
      </w:r>
      <w:r w:rsidR="00CF3EA9">
        <w:rPr>
          <w:rFonts w:asciiTheme="minorHAnsi" w:eastAsiaTheme="minorHAnsi" w:hAnsiTheme="minorHAnsi" w:cstheme="minorHAnsi"/>
        </w:rPr>
        <w:t>,</w:t>
      </w:r>
      <w:r w:rsidR="00C45FEB" w:rsidRPr="00E23EE0">
        <w:rPr>
          <w:rFonts w:asciiTheme="minorHAnsi" w:eastAsiaTheme="minorHAnsi" w:hAnsiTheme="minorHAnsi" w:cstheme="minorHAnsi"/>
        </w:rPr>
        <w:t xml:space="preserve"> any activity with</w:t>
      </w:r>
      <w:r w:rsidR="0083162E">
        <w:rPr>
          <w:rFonts w:asciiTheme="minorHAnsi" w:eastAsiaTheme="minorHAnsi" w:hAnsiTheme="minorHAnsi" w:cstheme="minorHAnsi"/>
        </w:rPr>
        <w:t>:</w:t>
      </w:r>
    </w:p>
    <w:p w:rsidR="0083162E" w:rsidRDefault="0083162E" w:rsidP="00FB25F2">
      <w:pPr>
        <w:numPr>
          <w:ilvl w:val="1"/>
          <w:numId w:val="13"/>
        </w:numPr>
        <w:spacing w:before="0" w:after="0" w:line="240" w:lineRule="auto"/>
        <w:ind w:left="1418"/>
        <w:contextualSpacing/>
        <w:rPr>
          <w:rFonts w:asciiTheme="minorHAnsi" w:eastAsiaTheme="minorHAnsi" w:hAnsiTheme="minorHAnsi" w:cstheme="minorHAnsi"/>
        </w:rPr>
      </w:pPr>
      <w:r>
        <w:rPr>
          <w:rFonts w:asciiTheme="minorHAnsi" w:eastAsiaTheme="minorHAnsi" w:hAnsiTheme="minorHAnsi" w:cstheme="minorHAnsi"/>
        </w:rPr>
        <w:t>DSS</w:t>
      </w:r>
      <w:r w:rsidR="00C45FEB" w:rsidRPr="00E23EE0">
        <w:rPr>
          <w:rFonts w:asciiTheme="minorHAnsi" w:eastAsiaTheme="minorHAnsi" w:hAnsiTheme="minorHAnsi" w:cstheme="minorHAnsi"/>
        </w:rPr>
        <w:t xml:space="preserve"> </w:t>
      </w:r>
    </w:p>
    <w:p w:rsidR="0083162E" w:rsidRDefault="00C45FEB" w:rsidP="00FB25F2">
      <w:pPr>
        <w:numPr>
          <w:ilvl w:val="1"/>
          <w:numId w:val="13"/>
        </w:numPr>
        <w:spacing w:before="0" w:after="0" w:line="240" w:lineRule="auto"/>
        <w:ind w:left="1418"/>
        <w:contextualSpacing/>
        <w:rPr>
          <w:rFonts w:asciiTheme="minorHAnsi" w:eastAsiaTheme="minorHAnsi" w:hAnsiTheme="minorHAnsi" w:cstheme="minorHAnsi"/>
        </w:rPr>
      </w:pPr>
      <w:r w:rsidRPr="00E23EE0">
        <w:rPr>
          <w:rFonts w:asciiTheme="minorHAnsi" w:eastAsiaTheme="minorHAnsi" w:hAnsiTheme="minorHAnsi" w:cstheme="minorHAnsi"/>
        </w:rPr>
        <w:t xml:space="preserve">persons directly or indirectly involved in the Grant </w:t>
      </w:r>
      <w:r w:rsidR="0091327C" w:rsidRPr="00E23EE0">
        <w:rPr>
          <w:rFonts w:asciiTheme="minorHAnsi" w:eastAsiaTheme="minorHAnsi" w:hAnsiTheme="minorHAnsi" w:cstheme="minorHAnsi"/>
        </w:rPr>
        <w:t>a</w:t>
      </w:r>
      <w:r w:rsidRPr="00E23EE0">
        <w:rPr>
          <w:rFonts w:asciiTheme="minorHAnsi" w:eastAsiaTheme="minorHAnsi" w:hAnsiTheme="minorHAnsi" w:cstheme="minorHAnsi"/>
        </w:rPr>
        <w:t xml:space="preserve">pplication process, and </w:t>
      </w:r>
    </w:p>
    <w:p w:rsidR="0083162E" w:rsidRPr="00B070B3" w:rsidRDefault="00C45FEB" w:rsidP="00FB25F2">
      <w:pPr>
        <w:numPr>
          <w:ilvl w:val="1"/>
          <w:numId w:val="13"/>
        </w:numPr>
        <w:spacing w:before="0" w:after="0" w:line="240" w:lineRule="auto"/>
        <w:ind w:left="1418"/>
        <w:contextualSpacing/>
        <w:rPr>
          <w:rFonts w:asciiTheme="minorHAnsi" w:eastAsiaTheme="minorHAnsi" w:hAnsiTheme="minorHAnsi" w:cstheme="minorHAnsi"/>
        </w:rPr>
      </w:pPr>
      <w:r w:rsidRPr="00B070B3">
        <w:rPr>
          <w:rFonts w:asciiTheme="minorHAnsi" w:eastAsiaTheme="minorHAnsi" w:hAnsiTheme="minorHAnsi" w:cstheme="minorHAnsi"/>
        </w:rPr>
        <w:t xml:space="preserve">other persons who have been identified as being in positions of potential influence over the operation of the Grant </w:t>
      </w:r>
      <w:r w:rsidR="0091327C" w:rsidRPr="00B070B3">
        <w:rPr>
          <w:rFonts w:asciiTheme="minorHAnsi" w:eastAsiaTheme="minorHAnsi" w:hAnsiTheme="minorHAnsi" w:cstheme="minorHAnsi"/>
        </w:rPr>
        <w:t>a</w:t>
      </w:r>
      <w:r w:rsidRPr="00B070B3">
        <w:rPr>
          <w:rFonts w:asciiTheme="minorHAnsi" w:eastAsiaTheme="minorHAnsi" w:hAnsiTheme="minorHAnsi" w:cstheme="minorHAnsi"/>
        </w:rPr>
        <w:t xml:space="preserve">pplication process. Further, DSS will not enter into discussions or otherwise engage in any activity with applicants, or such other persons with an interest in the </w:t>
      </w:r>
      <w:r w:rsidR="00F75813" w:rsidRPr="00B070B3">
        <w:rPr>
          <w:rFonts w:asciiTheme="minorHAnsi" w:eastAsiaTheme="minorHAnsi" w:hAnsiTheme="minorHAnsi" w:cstheme="minorHAnsi"/>
        </w:rPr>
        <w:t>Grant application</w:t>
      </w:r>
      <w:r w:rsidRPr="00B070B3">
        <w:rPr>
          <w:rFonts w:asciiTheme="minorHAnsi" w:eastAsiaTheme="minorHAnsi" w:hAnsiTheme="minorHAnsi" w:cstheme="minorHAnsi"/>
        </w:rPr>
        <w:t xml:space="preserve"> process </w:t>
      </w:r>
    </w:p>
    <w:p w:rsidR="00C45FEB" w:rsidRPr="00E23EE0" w:rsidRDefault="00C45FEB" w:rsidP="00E01548">
      <w:pPr>
        <w:spacing w:before="0" w:after="0" w:line="240" w:lineRule="auto"/>
        <w:ind w:left="851"/>
        <w:contextualSpacing/>
        <w:rPr>
          <w:rFonts w:asciiTheme="minorHAnsi" w:eastAsiaTheme="minorHAnsi" w:hAnsiTheme="minorHAnsi" w:cstheme="minorHAnsi"/>
        </w:rPr>
      </w:pPr>
      <w:r w:rsidRPr="00E23EE0">
        <w:rPr>
          <w:rFonts w:asciiTheme="minorHAnsi" w:eastAsiaTheme="minorHAnsi" w:hAnsiTheme="minorHAnsi" w:cstheme="minorHAnsi"/>
        </w:rPr>
        <w:t xml:space="preserve">where this could be perceived as influencing the operation of the Grant </w:t>
      </w:r>
      <w:r w:rsidR="0091327C" w:rsidRPr="00E23EE0">
        <w:rPr>
          <w:rFonts w:asciiTheme="minorHAnsi" w:eastAsiaTheme="minorHAnsi" w:hAnsiTheme="minorHAnsi" w:cstheme="minorHAnsi"/>
        </w:rPr>
        <w:t>a</w:t>
      </w:r>
      <w:r w:rsidRPr="00E23EE0">
        <w:rPr>
          <w:rFonts w:asciiTheme="minorHAnsi" w:eastAsiaTheme="minorHAnsi" w:hAnsiTheme="minorHAnsi" w:cstheme="minorHAnsi"/>
        </w:rPr>
        <w:t>pplication process</w:t>
      </w:r>
    </w:p>
    <w:p w:rsidR="00C45FEB" w:rsidRPr="00E23EE0" w:rsidRDefault="005A3F63" w:rsidP="00E23EE0">
      <w:pPr>
        <w:numPr>
          <w:ilvl w:val="0"/>
          <w:numId w:val="13"/>
        </w:numPr>
        <w:spacing w:before="0" w:after="0" w:line="240" w:lineRule="auto"/>
        <w:ind w:left="791"/>
        <w:contextualSpacing/>
        <w:rPr>
          <w:rFonts w:asciiTheme="minorHAnsi" w:eastAsiaTheme="minorHAnsi" w:hAnsiTheme="minorHAnsi" w:cstheme="minorHAnsi"/>
        </w:rPr>
      </w:pPr>
      <w:r>
        <w:rPr>
          <w:rFonts w:asciiTheme="minorHAnsi" w:eastAsiaTheme="minorHAnsi" w:hAnsiTheme="minorHAnsi" w:cstheme="minorHAnsi"/>
        </w:rPr>
        <w:t>v</w:t>
      </w:r>
      <w:r w:rsidR="00C45FEB" w:rsidRPr="00E23EE0">
        <w:rPr>
          <w:rFonts w:asciiTheme="minorHAnsi" w:eastAsiaTheme="minorHAnsi" w:hAnsiTheme="minorHAnsi" w:cstheme="minorHAnsi"/>
        </w:rPr>
        <w:t xml:space="preserve">iews on an individual applicant or applicants must not be expressed to DSS in a way that could be perceived as an attempt to influence the departments to </w:t>
      </w:r>
      <w:r w:rsidR="00562069">
        <w:rPr>
          <w:rFonts w:asciiTheme="minorHAnsi" w:eastAsiaTheme="minorHAnsi" w:hAnsiTheme="minorHAnsi" w:cstheme="minorHAnsi"/>
        </w:rPr>
        <w:t>advantage, or disadvantage,</w:t>
      </w:r>
      <w:r w:rsidR="00C45FEB" w:rsidRPr="00E23EE0">
        <w:rPr>
          <w:rFonts w:asciiTheme="minorHAnsi" w:eastAsiaTheme="minorHAnsi" w:hAnsiTheme="minorHAnsi" w:cstheme="minorHAnsi"/>
        </w:rPr>
        <w:t xml:space="preserve"> any applicant</w:t>
      </w:r>
    </w:p>
    <w:p w:rsidR="00C45FEB" w:rsidRPr="00E23EE0" w:rsidRDefault="005A3F63" w:rsidP="00E23EE0">
      <w:pPr>
        <w:numPr>
          <w:ilvl w:val="0"/>
          <w:numId w:val="13"/>
        </w:numPr>
        <w:spacing w:before="0" w:after="0" w:line="240" w:lineRule="auto"/>
        <w:ind w:left="791"/>
        <w:contextualSpacing/>
        <w:rPr>
          <w:rFonts w:asciiTheme="minorHAnsi" w:eastAsiaTheme="minorHAnsi" w:hAnsiTheme="minorHAnsi" w:cstheme="minorHAnsi"/>
        </w:rPr>
      </w:pPr>
      <w:r>
        <w:rPr>
          <w:rFonts w:asciiTheme="minorHAnsi" w:eastAsiaTheme="minorHAnsi" w:hAnsiTheme="minorHAnsi" w:cstheme="minorHAnsi"/>
        </w:rPr>
        <w:t>d</w:t>
      </w:r>
      <w:r w:rsidR="00C45FEB" w:rsidRPr="00E23EE0">
        <w:rPr>
          <w:rFonts w:asciiTheme="minorHAnsi" w:eastAsiaTheme="minorHAnsi" w:hAnsiTheme="minorHAnsi" w:cstheme="minorHAnsi"/>
        </w:rPr>
        <w:t>etails of any approaches by or on behalf of an individual applicant or applicants will be fully documented</w:t>
      </w:r>
    </w:p>
    <w:p w:rsidR="00C45FEB" w:rsidRPr="00E23EE0" w:rsidRDefault="005A3F63" w:rsidP="00E23EE0">
      <w:pPr>
        <w:numPr>
          <w:ilvl w:val="0"/>
          <w:numId w:val="13"/>
        </w:numPr>
        <w:spacing w:before="0" w:after="0" w:line="240" w:lineRule="auto"/>
        <w:ind w:left="791"/>
        <w:contextualSpacing/>
        <w:rPr>
          <w:rFonts w:asciiTheme="minorHAnsi" w:eastAsiaTheme="minorHAnsi" w:hAnsiTheme="minorHAnsi" w:cstheme="minorHAnsi"/>
        </w:rPr>
      </w:pPr>
      <w:r>
        <w:rPr>
          <w:rFonts w:asciiTheme="minorHAnsi" w:eastAsiaTheme="minorHAnsi" w:hAnsiTheme="minorHAnsi" w:cstheme="minorHAnsi"/>
        </w:rPr>
        <w:lastRenderedPageBreak/>
        <w:t>c</w:t>
      </w:r>
      <w:r w:rsidR="00C45FEB" w:rsidRPr="00E23EE0">
        <w:rPr>
          <w:rFonts w:asciiTheme="minorHAnsi" w:eastAsiaTheme="minorHAnsi" w:hAnsiTheme="minorHAnsi" w:cstheme="minorHAnsi"/>
        </w:rPr>
        <w:t xml:space="preserve">ommunications or conduct suspected of involving a breach of this communication protocol or of the Grant </w:t>
      </w:r>
      <w:r w:rsidR="0091327C" w:rsidRPr="00E23EE0">
        <w:rPr>
          <w:rFonts w:asciiTheme="minorHAnsi" w:eastAsiaTheme="minorHAnsi" w:hAnsiTheme="minorHAnsi" w:cstheme="minorHAnsi"/>
        </w:rPr>
        <w:t>a</w:t>
      </w:r>
      <w:r w:rsidR="00C45FEB" w:rsidRPr="00E23EE0">
        <w:rPr>
          <w:rFonts w:asciiTheme="minorHAnsi" w:eastAsiaTheme="minorHAnsi" w:hAnsiTheme="minorHAnsi" w:cstheme="minorHAnsi"/>
        </w:rPr>
        <w:t>pplication process, including any suspected illegality</w:t>
      </w:r>
      <w:r w:rsidR="00CF3EA9">
        <w:rPr>
          <w:rFonts w:asciiTheme="minorHAnsi" w:eastAsiaTheme="minorHAnsi" w:hAnsiTheme="minorHAnsi" w:cstheme="minorHAnsi"/>
        </w:rPr>
        <w:t>,</w:t>
      </w:r>
      <w:r w:rsidR="00C45FEB" w:rsidRPr="00E23EE0">
        <w:rPr>
          <w:rFonts w:asciiTheme="minorHAnsi" w:eastAsiaTheme="minorHAnsi" w:hAnsiTheme="minorHAnsi" w:cstheme="minorHAnsi"/>
        </w:rPr>
        <w:t xml:space="preserve"> will be investigated and may be taken into account during the Grant </w:t>
      </w:r>
      <w:r w:rsidR="0091327C" w:rsidRPr="00E23EE0">
        <w:rPr>
          <w:rFonts w:asciiTheme="minorHAnsi" w:eastAsiaTheme="minorHAnsi" w:hAnsiTheme="minorHAnsi" w:cstheme="minorHAnsi"/>
        </w:rPr>
        <w:t>a</w:t>
      </w:r>
      <w:r w:rsidR="00C45FEB" w:rsidRPr="00E23EE0">
        <w:rPr>
          <w:rFonts w:asciiTheme="minorHAnsi" w:eastAsiaTheme="minorHAnsi" w:hAnsiTheme="minorHAnsi" w:cstheme="minorHAnsi"/>
        </w:rPr>
        <w:t>pplication evaluation process.</w:t>
      </w:r>
    </w:p>
    <w:p w:rsidR="00C45FEB" w:rsidRPr="00324F70" w:rsidRDefault="00C45FEB" w:rsidP="00324F70">
      <w:pPr>
        <w:pStyle w:val="Heading2"/>
      </w:pPr>
      <w:bookmarkStart w:id="60" w:name="_Toc483921472"/>
      <w:bookmarkStart w:id="61" w:name="_Toc484692315"/>
      <w:r w:rsidRPr="00324F70">
        <w:t xml:space="preserve">Public </w:t>
      </w:r>
      <w:r w:rsidR="009631D2">
        <w:t>i</w:t>
      </w:r>
      <w:r w:rsidRPr="00324F70">
        <w:t xml:space="preserve">nformation and webinar sessions for the </w:t>
      </w:r>
      <w:r w:rsidR="009631D2">
        <w:t>i</w:t>
      </w:r>
      <w:r w:rsidRPr="00324F70">
        <w:t xml:space="preserve">ndustry </w:t>
      </w:r>
      <w:r w:rsidR="009631D2">
        <w:t>i</w:t>
      </w:r>
      <w:r w:rsidRPr="00324F70">
        <w:t xml:space="preserve">nformation </w:t>
      </w:r>
      <w:r w:rsidR="009631D2">
        <w:t>p</w:t>
      </w:r>
      <w:r w:rsidRPr="00324F70">
        <w:t>aper</w:t>
      </w:r>
      <w:bookmarkEnd w:id="60"/>
      <w:bookmarkEnd w:id="61"/>
    </w:p>
    <w:p w:rsidR="00C45FEB" w:rsidRPr="00C45FEB" w:rsidRDefault="00C45FEB" w:rsidP="00C45FEB">
      <w:r w:rsidRPr="00C45FEB">
        <w:t>Public information sessions on th</w:t>
      </w:r>
      <w:r w:rsidR="00F81CBE">
        <w:t>is</w:t>
      </w:r>
      <w:r w:rsidRPr="00C45FEB">
        <w:t xml:space="preserve"> </w:t>
      </w:r>
      <w:r w:rsidR="009631D2">
        <w:t>i</w:t>
      </w:r>
      <w:r w:rsidRPr="00C45FEB">
        <w:t xml:space="preserve">ndustry </w:t>
      </w:r>
      <w:r w:rsidR="009631D2">
        <w:t>i</w:t>
      </w:r>
      <w:r w:rsidRPr="00C45FEB">
        <w:t xml:space="preserve">nformation </w:t>
      </w:r>
      <w:r w:rsidR="009631D2">
        <w:t>p</w:t>
      </w:r>
      <w:r w:rsidRPr="00C45FEB">
        <w:t>aper will be held in capital cities and selected regional areas. The purpose of the information sessions will be to ensure stakeholders are clear about what is in th</w:t>
      </w:r>
      <w:r w:rsidR="00F81CBE">
        <w:t>is</w:t>
      </w:r>
      <w:r w:rsidRPr="00C45FEB">
        <w:t xml:space="preserve"> paper and to ask questions. </w:t>
      </w:r>
    </w:p>
    <w:p w:rsidR="009631D2" w:rsidRDefault="00C45FEB" w:rsidP="00C45FEB">
      <w:r w:rsidRPr="00C45FEB">
        <w:t xml:space="preserve">There will also be </w:t>
      </w:r>
      <w:r w:rsidR="00B62F19">
        <w:t>a</w:t>
      </w:r>
      <w:r w:rsidRPr="00C45FEB">
        <w:t xml:space="preserve"> </w:t>
      </w:r>
      <w:r w:rsidRPr="00FB25F2">
        <w:t>webinar conferencing session</w:t>
      </w:r>
      <w:r w:rsidR="00B62F19">
        <w:t xml:space="preserve"> that will be recorded and accessible online via the </w:t>
      </w:r>
      <w:r w:rsidR="00B62F19" w:rsidRPr="00C45FEB">
        <w:t>DSS Engage website</w:t>
      </w:r>
      <w:r w:rsidRPr="00C45FEB">
        <w:t xml:space="preserve">. </w:t>
      </w:r>
    </w:p>
    <w:p w:rsidR="009631D2" w:rsidRDefault="00C45FEB" w:rsidP="00C45FEB">
      <w:r w:rsidRPr="00C45FEB">
        <w:t>Advertisements noting the arrangements, locations and timing of the</w:t>
      </w:r>
      <w:r w:rsidR="00BA3F89">
        <w:t xml:space="preserve"> i</w:t>
      </w:r>
      <w:r w:rsidRPr="00C45FEB">
        <w:t xml:space="preserve">nformation sessions will be placed in major national and regional newspapers as well as the DSS Engage website </w:t>
      </w:r>
      <w:hyperlink r:id="rId23" w:history="1">
        <w:r w:rsidR="009631D2" w:rsidRPr="00C428C1">
          <w:rPr>
            <w:rStyle w:val="Hyperlink"/>
            <w:sz w:val="24"/>
          </w:rPr>
          <w:t>engage.dss.gov.au</w:t>
        </w:r>
      </w:hyperlink>
      <w:r w:rsidR="009631D2">
        <w:t>.</w:t>
      </w:r>
    </w:p>
    <w:p w:rsidR="00C45FEB" w:rsidRPr="00C45FEB" w:rsidRDefault="00C45FEB" w:rsidP="00C45FEB">
      <w:r w:rsidRPr="00C45FEB">
        <w:t xml:space="preserve">Stakeholders can either ask questions at the sessions or </w:t>
      </w:r>
      <w:r w:rsidR="000A0DC4">
        <w:t>email</w:t>
      </w:r>
      <w:r w:rsidR="000A0DC4" w:rsidRPr="00C45FEB">
        <w:t xml:space="preserve"> </w:t>
      </w:r>
      <w:r w:rsidRPr="00C45FEB">
        <w:t xml:space="preserve">DSS </w:t>
      </w:r>
      <w:r w:rsidR="000A0DC4">
        <w:t xml:space="preserve">at </w:t>
      </w:r>
      <w:hyperlink r:id="rId24" w:history="1">
        <w:r w:rsidR="009631D2" w:rsidRPr="00C428C1">
          <w:rPr>
            <w:rStyle w:val="Hyperlink"/>
            <w:sz w:val="24"/>
          </w:rPr>
          <w:t>despurchasing@dss.gov.au</w:t>
        </w:r>
      </w:hyperlink>
      <w:r w:rsidRPr="00C45FEB">
        <w:t>. Questions will be noted and considered by DSS</w:t>
      </w:r>
      <w:r w:rsidR="000A0DC4">
        <w:t>,</w:t>
      </w:r>
      <w:r w:rsidRPr="00C45FEB">
        <w:t xml:space="preserve"> and answers will be published on the DSS Engage website.</w:t>
      </w:r>
    </w:p>
    <w:p w:rsidR="00C45FEB" w:rsidRPr="00C45FEB" w:rsidRDefault="00C45FEB" w:rsidP="00324F70">
      <w:pPr>
        <w:pStyle w:val="Heading2"/>
        <w:rPr>
          <w:b/>
        </w:rPr>
      </w:pPr>
      <w:bookmarkStart w:id="62" w:name="_Toc483921473"/>
      <w:bookmarkStart w:id="63" w:name="_Toc484692316"/>
      <w:r w:rsidRPr="00324F70">
        <w:t xml:space="preserve">Future </w:t>
      </w:r>
      <w:r w:rsidR="00BA3F89">
        <w:t>i</w:t>
      </w:r>
      <w:r w:rsidRPr="00324F70">
        <w:t>nformation sessions and webinars</w:t>
      </w:r>
      <w:bookmarkEnd w:id="62"/>
      <w:bookmarkEnd w:id="63"/>
      <w:r w:rsidRPr="00C45FEB">
        <w:rPr>
          <w:b/>
        </w:rPr>
        <w:t xml:space="preserve"> </w:t>
      </w:r>
    </w:p>
    <w:p w:rsidR="00C45FEB" w:rsidRDefault="00C45FEB" w:rsidP="00C45FEB">
      <w:r w:rsidRPr="00C45FEB">
        <w:t xml:space="preserve">Webinars for the </w:t>
      </w:r>
      <w:r w:rsidRPr="00C45FEB">
        <w:rPr>
          <w:i/>
        </w:rPr>
        <w:t>Restricted Application Process</w:t>
      </w:r>
      <w:r w:rsidRPr="00C45FEB">
        <w:t xml:space="preserve"> will be held in late September/early October 2017</w:t>
      </w:r>
      <w:r w:rsidR="000A0DC4">
        <w:t>.</w:t>
      </w:r>
      <w:r w:rsidR="00DD3534">
        <w:t xml:space="preserve"> </w:t>
      </w:r>
      <w:r w:rsidR="000A0DC4">
        <w:t>D</w:t>
      </w:r>
      <w:r w:rsidRPr="00C45FEB">
        <w:t xml:space="preserve">ates and times for the information sessions will be made available to organisations who have registered through the </w:t>
      </w:r>
      <w:r w:rsidRPr="00C45FEB">
        <w:rPr>
          <w:i/>
        </w:rPr>
        <w:t>Registration of Interest</w:t>
      </w:r>
      <w:r w:rsidRPr="00C45FEB">
        <w:t xml:space="preserve"> process.</w:t>
      </w:r>
    </w:p>
    <w:p w:rsidR="0051386D" w:rsidRDefault="0051386D">
      <w:pPr>
        <w:spacing w:before="0" w:after="200" w:line="276" w:lineRule="auto"/>
        <w:rPr>
          <w:rFonts w:ascii="Georgia" w:eastAsiaTheme="majorEastAsia" w:hAnsi="Georgia" w:cstheme="majorBidi"/>
          <w:bCs/>
          <w:color w:val="24596E"/>
          <w:sz w:val="36"/>
          <w:szCs w:val="28"/>
        </w:rPr>
      </w:pPr>
      <w:bookmarkStart w:id="64" w:name="_Toc483320772"/>
      <w:r>
        <w:br w:type="page"/>
      </w:r>
    </w:p>
    <w:p w:rsidR="00C45FEB" w:rsidRPr="00586246" w:rsidRDefault="00C45FEB" w:rsidP="00C45FEB">
      <w:pPr>
        <w:pStyle w:val="Heading1"/>
      </w:pPr>
      <w:bookmarkStart w:id="65" w:name="_Toc483921474"/>
      <w:bookmarkStart w:id="66" w:name="_Toc484692317"/>
      <w:r w:rsidRPr="00C45FEB">
        <w:lastRenderedPageBreak/>
        <w:t>Useful information</w:t>
      </w:r>
      <w:bookmarkEnd w:id="64"/>
      <w:bookmarkEnd w:id="65"/>
      <w:bookmarkEnd w:id="66"/>
    </w:p>
    <w:p w:rsidR="00C45FEB" w:rsidRPr="00C45FEB" w:rsidRDefault="00C45FEB" w:rsidP="00C45FEB">
      <w:r w:rsidRPr="00C45FEB">
        <w:t>Links to:</w:t>
      </w:r>
    </w:p>
    <w:p w:rsidR="00C45FEB" w:rsidRPr="00C45FEB" w:rsidRDefault="00A15A15" w:rsidP="00C45FEB">
      <w:pPr>
        <w:numPr>
          <w:ilvl w:val="0"/>
          <w:numId w:val="17"/>
        </w:numPr>
      </w:pPr>
      <w:hyperlink r:id="rId25" w:history="1">
        <w:r w:rsidR="00C45FEB" w:rsidRPr="00C45FEB">
          <w:rPr>
            <w:rStyle w:val="Hyperlink"/>
            <w:sz w:val="24"/>
          </w:rPr>
          <w:t>Disability Employment Services</w:t>
        </w:r>
      </w:hyperlink>
    </w:p>
    <w:p w:rsidR="00C45FEB" w:rsidRPr="00C45FEB" w:rsidRDefault="00A15A15" w:rsidP="00C45FEB">
      <w:pPr>
        <w:numPr>
          <w:ilvl w:val="0"/>
          <w:numId w:val="17"/>
        </w:numPr>
      </w:pPr>
      <w:hyperlink r:id="rId26" w:history="1">
        <w:r w:rsidR="00C45FEB" w:rsidRPr="00C45FEB">
          <w:rPr>
            <w:rStyle w:val="Hyperlink"/>
            <w:sz w:val="24"/>
          </w:rPr>
          <w:t>DES Deed</w:t>
        </w:r>
      </w:hyperlink>
    </w:p>
    <w:p w:rsidR="00C45FEB" w:rsidRPr="00C45FEB" w:rsidRDefault="00A15A15" w:rsidP="00C45FEB">
      <w:pPr>
        <w:numPr>
          <w:ilvl w:val="0"/>
          <w:numId w:val="17"/>
        </w:numPr>
      </w:pPr>
      <w:hyperlink r:id="rId27" w:history="1">
        <w:r w:rsidR="00C45FEB" w:rsidRPr="00C45FEB">
          <w:rPr>
            <w:rStyle w:val="Hyperlink"/>
            <w:sz w:val="24"/>
          </w:rPr>
          <w:t>ESA Maps</w:t>
        </w:r>
      </w:hyperlink>
    </w:p>
    <w:p w:rsidR="00C45FEB" w:rsidRPr="00C45FEB" w:rsidRDefault="00A15A15" w:rsidP="00C45FEB">
      <w:pPr>
        <w:numPr>
          <w:ilvl w:val="0"/>
          <w:numId w:val="17"/>
        </w:numPr>
      </w:pPr>
      <w:hyperlink r:id="rId28" w:history="1">
        <w:r w:rsidR="00C45FEB" w:rsidRPr="00C45FEB">
          <w:rPr>
            <w:rStyle w:val="Hyperlink"/>
            <w:sz w:val="24"/>
          </w:rPr>
          <w:t>Labour Market Information Portal</w:t>
        </w:r>
      </w:hyperlink>
    </w:p>
    <w:p w:rsidR="00C45FEB" w:rsidRPr="00C45FEB" w:rsidRDefault="00A15A15" w:rsidP="00C45FEB">
      <w:pPr>
        <w:numPr>
          <w:ilvl w:val="0"/>
          <w:numId w:val="17"/>
        </w:numPr>
      </w:pPr>
      <w:hyperlink r:id="rId29" w:history="1">
        <w:r w:rsidR="00C45FEB" w:rsidRPr="00C45FEB">
          <w:rPr>
            <w:rStyle w:val="Hyperlink"/>
            <w:sz w:val="24"/>
          </w:rPr>
          <w:t>DES data</w:t>
        </w:r>
      </w:hyperlink>
      <w:r w:rsidR="00C45FEB" w:rsidRPr="00C45FEB">
        <w:t xml:space="preserve"> including the population of current caseloads in each ESA by new funding model categories.</w:t>
      </w:r>
    </w:p>
    <w:p w:rsidR="00C45FEB" w:rsidRPr="00C45FEB" w:rsidRDefault="00A15A15" w:rsidP="00C45FEB">
      <w:pPr>
        <w:numPr>
          <w:ilvl w:val="0"/>
          <w:numId w:val="17"/>
        </w:numPr>
      </w:pPr>
      <w:hyperlink r:id="rId30" w:history="1">
        <w:r w:rsidR="00C45FEB" w:rsidRPr="00C45FEB">
          <w:rPr>
            <w:rStyle w:val="Hyperlink"/>
            <w:sz w:val="24"/>
          </w:rPr>
          <w:t>DES Program Guidelines</w:t>
        </w:r>
      </w:hyperlink>
    </w:p>
    <w:p w:rsidR="00C45FEB" w:rsidRPr="00C45FEB" w:rsidRDefault="00A15A15" w:rsidP="00C45FEB">
      <w:pPr>
        <w:numPr>
          <w:ilvl w:val="0"/>
          <w:numId w:val="17"/>
        </w:numPr>
      </w:pPr>
      <w:hyperlink r:id="rId31" w:history="1">
        <w:r w:rsidR="00C45FEB" w:rsidRPr="00C45FEB">
          <w:rPr>
            <w:rStyle w:val="Hyperlink"/>
            <w:sz w:val="24"/>
          </w:rPr>
          <w:t>Discussion Paper</w:t>
        </w:r>
      </w:hyperlink>
    </w:p>
    <w:p w:rsidR="00C45FEB" w:rsidRDefault="00A15A15" w:rsidP="00C45FEB">
      <w:pPr>
        <w:pStyle w:val="ListParagraph"/>
        <w:numPr>
          <w:ilvl w:val="0"/>
          <w:numId w:val="17"/>
        </w:numPr>
      </w:pPr>
      <w:hyperlink r:id="rId32" w:history="1">
        <w:r w:rsidR="00C45FEB" w:rsidRPr="00C45FEB">
          <w:rPr>
            <w:rStyle w:val="Hyperlink"/>
            <w:sz w:val="24"/>
          </w:rPr>
          <w:t>DES Star Ratings</w:t>
        </w:r>
      </w:hyperlink>
      <w:r w:rsidR="00C45FEB" w:rsidRPr="00C45FEB">
        <w:t xml:space="preserve"> </w:t>
      </w:r>
    </w:p>
    <w:p w:rsidR="00E23EE0" w:rsidRPr="00C45FEB" w:rsidRDefault="00A15A15" w:rsidP="00EB0380">
      <w:pPr>
        <w:numPr>
          <w:ilvl w:val="0"/>
          <w:numId w:val="17"/>
        </w:numPr>
      </w:pPr>
      <w:hyperlink r:id="rId33" w:history="1">
        <w:r w:rsidR="00E23EE0" w:rsidRPr="00E23EE0">
          <w:rPr>
            <w:rStyle w:val="Hyperlink"/>
            <w:sz w:val="24"/>
          </w:rPr>
          <w:t>Compulsory participation requirements</w:t>
        </w:r>
      </w:hyperlink>
      <w:r w:rsidR="00E23EE0">
        <w:t xml:space="preserve"> for participants</w:t>
      </w:r>
    </w:p>
    <w:p w:rsidR="00C45FEB" w:rsidRPr="00315D55" w:rsidRDefault="00A15A15" w:rsidP="00186DDE">
      <w:pPr>
        <w:pStyle w:val="ListParagraph"/>
        <w:numPr>
          <w:ilvl w:val="0"/>
          <w:numId w:val="17"/>
        </w:numPr>
      </w:pPr>
      <w:hyperlink r:id="rId34" w:history="1">
        <w:r w:rsidR="00C45FEB" w:rsidRPr="00315D55">
          <w:rPr>
            <w:rStyle w:val="Hyperlink"/>
            <w:sz w:val="24"/>
          </w:rPr>
          <w:t>Independent Registered Assessor Program (IRAP)</w:t>
        </w:r>
      </w:hyperlink>
      <w:r w:rsidR="00315D55">
        <w:t xml:space="preserve"> for </w:t>
      </w:r>
      <w:r w:rsidR="00315D55" w:rsidRPr="00C45FEB">
        <w:t>an overview of the IRAP process or to obtain assistance/guidance from an IRAP assessor</w:t>
      </w:r>
    </w:p>
    <w:p w:rsidR="00C45FEB" w:rsidRDefault="00A15A15" w:rsidP="00186DDE">
      <w:pPr>
        <w:numPr>
          <w:ilvl w:val="0"/>
          <w:numId w:val="17"/>
        </w:numPr>
      </w:pPr>
      <w:hyperlink r:id="rId35" w:history="1">
        <w:r w:rsidR="00C45FEB" w:rsidRPr="00186DDE">
          <w:rPr>
            <w:rStyle w:val="Hyperlink"/>
            <w:sz w:val="24"/>
          </w:rPr>
          <w:t>Information Security Manual</w:t>
        </w:r>
        <w:r w:rsidR="00315D55" w:rsidRPr="00186DDE">
          <w:rPr>
            <w:rStyle w:val="Hyperlink"/>
            <w:sz w:val="24"/>
          </w:rPr>
          <w:t xml:space="preserve"> </w:t>
        </w:r>
        <w:r w:rsidR="00C45FEB" w:rsidRPr="00186DDE">
          <w:rPr>
            <w:rStyle w:val="Hyperlink"/>
            <w:sz w:val="24"/>
          </w:rPr>
          <w:t>(ISM)</w:t>
        </w:r>
      </w:hyperlink>
    </w:p>
    <w:p w:rsidR="00315D55" w:rsidRPr="00186DDE" w:rsidRDefault="00A15A15" w:rsidP="00315D55">
      <w:pPr>
        <w:pStyle w:val="ListParagraph"/>
        <w:numPr>
          <w:ilvl w:val="0"/>
          <w:numId w:val="17"/>
        </w:numPr>
      </w:pPr>
      <w:hyperlink r:id="rId36" w:history="1">
        <w:r w:rsidR="00315D55" w:rsidRPr="00186DDE">
          <w:rPr>
            <w:rStyle w:val="Hyperlink"/>
            <w:sz w:val="24"/>
          </w:rPr>
          <w:t>Protective Security Policy Framework (PSPF)</w:t>
        </w:r>
      </w:hyperlink>
    </w:p>
    <w:p w:rsidR="00860201" w:rsidRDefault="00A15A15" w:rsidP="00860201">
      <w:pPr>
        <w:numPr>
          <w:ilvl w:val="0"/>
          <w:numId w:val="17"/>
        </w:numPr>
      </w:pPr>
      <w:hyperlink r:id="rId37" w:history="1">
        <w:r w:rsidR="00315D55" w:rsidRPr="00186DDE">
          <w:rPr>
            <w:rStyle w:val="Hyperlink"/>
            <w:sz w:val="24"/>
          </w:rPr>
          <w:t>Certification with the National Standards for Disability Services</w:t>
        </w:r>
      </w:hyperlink>
      <w:r w:rsidR="00860201" w:rsidRPr="00860201">
        <w:t xml:space="preserve"> </w:t>
      </w:r>
    </w:p>
    <w:p w:rsidR="00315D55" w:rsidRDefault="00A15A15" w:rsidP="00186DDE">
      <w:pPr>
        <w:numPr>
          <w:ilvl w:val="0"/>
          <w:numId w:val="17"/>
        </w:numPr>
      </w:pPr>
      <w:hyperlink r:id="rId38" w:history="1">
        <w:r w:rsidR="00860201" w:rsidRPr="00860201">
          <w:rPr>
            <w:rStyle w:val="Hyperlink"/>
            <w:sz w:val="24"/>
          </w:rPr>
          <w:t>Community Grants Hub website</w:t>
        </w:r>
      </w:hyperlink>
      <w:r w:rsidR="00860201">
        <w:t xml:space="preserve"> and </w:t>
      </w:r>
      <w:hyperlink r:id="rId39" w:history="1">
        <w:r w:rsidR="00860201" w:rsidRPr="00860201">
          <w:rPr>
            <w:rStyle w:val="Hyperlink"/>
            <w:sz w:val="24"/>
          </w:rPr>
          <w:t>subscription</w:t>
        </w:r>
      </w:hyperlink>
      <w:r w:rsidR="00860201">
        <w:t xml:space="preserve"> </w:t>
      </w:r>
    </w:p>
    <w:p w:rsidR="00860201" w:rsidRDefault="00860201" w:rsidP="00860201">
      <w:pPr>
        <w:numPr>
          <w:ilvl w:val="0"/>
          <w:numId w:val="17"/>
        </w:numPr>
      </w:pPr>
      <w:r w:rsidRPr="00C45FEB">
        <w:t>Questions &amp; Answers</w:t>
      </w:r>
      <w:r w:rsidR="00941E52">
        <w:t xml:space="preserve"> are available on the </w:t>
      </w:r>
      <w:hyperlink r:id="rId40" w:history="1">
        <w:r w:rsidR="00941E52" w:rsidRPr="00941E52">
          <w:rPr>
            <w:rStyle w:val="Hyperlink"/>
            <w:sz w:val="24"/>
          </w:rPr>
          <w:t>Engage</w:t>
        </w:r>
      </w:hyperlink>
      <w:r w:rsidR="00941E52">
        <w:t xml:space="preserve"> website.</w:t>
      </w:r>
    </w:p>
    <w:p w:rsidR="00860201" w:rsidRPr="00186DDE" w:rsidRDefault="00860201" w:rsidP="007D5F0B">
      <w:pPr>
        <w:ind w:left="1440"/>
      </w:pPr>
    </w:p>
    <w:p w:rsidR="00214789" w:rsidRDefault="00214789" w:rsidP="00B7053B">
      <w:pPr>
        <w:rPr>
          <w:rFonts w:ascii="Georgia" w:eastAsiaTheme="majorEastAsia" w:hAnsi="Georgia" w:cstheme="majorBidi"/>
          <w:bCs/>
          <w:color w:val="24596E"/>
          <w:sz w:val="36"/>
          <w:szCs w:val="28"/>
        </w:rPr>
      </w:pPr>
      <w:r>
        <w:br w:type="page"/>
      </w:r>
    </w:p>
    <w:p w:rsidR="00490842" w:rsidRDefault="00490842" w:rsidP="00490842">
      <w:pPr>
        <w:pStyle w:val="Heading1"/>
      </w:pPr>
      <w:bookmarkStart w:id="67" w:name="_Toc483921475"/>
      <w:bookmarkStart w:id="68" w:name="_Toc484692318"/>
      <w:r>
        <w:lastRenderedPageBreak/>
        <w:t>Appendix 1 – Impact of Risk Adjusted Funding Model by ESA</w:t>
      </w:r>
      <w:bookmarkEnd w:id="67"/>
      <w:bookmarkEnd w:id="68"/>
    </w:p>
    <w:p w:rsidR="00490842" w:rsidRDefault="00490842" w:rsidP="00490842">
      <w:pPr>
        <w:pStyle w:val="Default"/>
        <w:rPr>
          <w:sz w:val="28"/>
          <w:szCs w:val="28"/>
        </w:rPr>
      </w:pPr>
    </w:p>
    <w:p w:rsidR="00490842" w:rsidRPr="00A5268D" w:rsidRDefault="00490842" w:rsidP="00490842">
      <w:pPr>
        <w:pStyle w:val="Default"/>
        <w:rPr>
          <w:b/>
          <w:sz w:val="25"/>
          <w:szCs w:val="25"/>
        </w:rPr>
      </w:pPr>
      <w:r>
        <w:rPr>
          <w:b/>
          <w:sz w:val="25"/>
          <w:szCs w:val="25"/>
        </w:rPr>
        <w:t xml:space="preserve">Table </w:t>
      </w:r>
      <w:r w:rsidR="00EA1427">
        <w:rPr>
          <w:b/>
          <w:sz w:val="25"/>
          <w:szCs w:val="25"/>
        </w:rPr>
        <w:t>5</w:t>
      </w:r>
      <w:r w:rsidR="00EB3E76">
        <w:rPr>
          <w:b/>
          <w:sz w:val="25"/>
          <w:szCs w:val="25"/>
        </w:rPr>
        <w:t xml:space="preserve"> - </w:t>
      </w:r>
      <w:r w:rsidRPr="00A5268D">
        <w:rPr>
          <w:b/>
          <w:sz w:val="25"/>
          <w:szCs w:val="25"/>
        </w:rPr>
        <w:t>Numb</w:t>
      </w:r>
      <w:r w:rsidR="00821C4A">
        <w:rPr>
          <w:b/>
          <w:sz w:val="25"/>
          <w:szCs w:val="25"/>
        </w:rPr>
        <w:t>er of employment assistance</w:t>
      </w:r>
      <w:r w:rsidRPr="00A5268D">
        <w:rPr>
          <w:b/>
          <w:sz w:val="25"/>
          <w:szCs w:val="25"/>
        </w:rPr>
        <w:t xml:space="preserve"> commencements in the year to March 2017 by ESA, by funding bands.</w:t>
      </w:r>
    </w:p>
    <w:p w:rsidR="00490842" w:rsidRDefault="00490842" w:rsidP="00490842">
      <w:pPr>
        <w:pStyle w:val="Default"/>
        <w:rPr>
          <w:sz w:val="28"/>
          <w:szCs w:val="28"/>
        </w:rPr>
      </w:pPr>
    </w:p>
    <w:tbl>
      <w:tblPr>
        <w:tblW w:w="9763" w:type="dxa"/>
        <w:tblInd w:w="93" w:type="dxa"/>
        <w:tblLook w:val="04A0" w:firstRow="1" w:lastRow="0" w:firstColumn="1" w:lastColumn="0" w:noHBand="0" w:noVBand="1"/>
      </w:tblPr>
      <w:tblGrid>
        <w:gridCol w:w="2243"/>
        <w:gridCol w:w="580"/>
        <w:gridCol w:w="860"/>
        <w:gridCol w:w="860"/>
        <w:gridCol w:w="860"/>
        <w:gridCol w:w="860"/>
        <w:gridCol w:w="660"/>
        <w:gridCol w:w="660"/>
        <w:gridCol w:w="660"/>
        <w:gridCol w:w="660"/>
        <w:gridCol w:w="80"/>
        <w:gridCol w:w="780"/>
      </w:tblGrid>
      <w:tr w:rsidR="00490842"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ESA Name</w:t>
            </w:r>
          </w:p>
        </w:tc>
        <w:tc>
          <w:tcPr>
            <w:tcW w:w="4020" w:type="dxa"/>
            <w:gridSpan w:val="5"/>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DMS</w:t>
            </w:r>
          </w:p>
        </w:tc>
        <w:tc>
          <w:tcPr>
            <w:tcW w:w="3500" w:type="dxa"/>
            <w:gridSpan w:val="6"/>
            <w:tcBorders>
              <w:top w:val="single" w:sz="4" w:space="0" w:color="FFFFFF"/>
              <w:left w:val="nil"/>
              <w:bottom w:val="nil"/>
              <w:right w:val="single" w:sz="4" w:space="0" w:color="FFFFFF"/>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ESS</w:t>
            </w:r>
          </w:p>
        </w:tc>
      </w:tr>
      <w:tr w:rsidR="00E01548"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 </w:t>
            </w:r>
          </w:p>
        </w:tc>
        <w:tc>
          <w:tcPr>
            <w:tcW w:w="580" w:type="dxa"/>
            <w:tcBorders>
              <w:top w:val="nil"/>
              <w:left w:val="single" w:sz="4" w:space="0" w:color="FFFFFF"/>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860" w:type="dxa"/>
            <w:tcBorders>
              <w:top w:val="nil"/>
              <w:left w:val="nil"/>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860" w:type="dxa"/>
            <w:tcBorders>
              <w:top w:val="nil"/>
              <w:left w:val="nil"/>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860" w:type="dxa"/>
            <w:tcBorders>
              <w:top w:val="nil"/>
              <w:left w:val="nil"/>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860" w:type="dxa"/>
            <w:tcBorders>
              <w:top w:val="nil"/>
              <w:left w:val="nil"/>
              <w:bottom w:val="single" w:sz="4" w:space="0" w:color="FFFFFF"/>
              <w:right w:val="single" w:sz="4" w:space="0" w:color="FFFFFF"/>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5</w:t>
            </w:r>
          </w:p>
        </w:tc>
        <w:tc>
          <w:tcPr>
            <w:tcW w:w="660" w:type="dxa"/>
            <w:tcBorders>
              <w:top w:val="nil"/>
              <w:left w:val="nil"/>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660" w:type="dxa"/>
            <w:tcBorders>
              <w:top w:val="nil"/>
              <w:left w:val="nil"/>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660" w:type="dxa"/>
            <w:tcBorders>
              <w:top w:val="nil"/>
              <w:left w:val="nil"/>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740" w:type="dxa"/>
            <w:gridSpan w:val="2"/>
            <w:tcBorders>
              <w:top w:val="nil"/>
              <w:left w:val="nil"/>
              <w:bottom w:val="single" w:sz="4" w:space="0" w:color="FFFFFF"/>
              <w:right w:val="nil"/>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780" w:type="dxa"/>
            <w:tcBorders>
              <w:top w:val="nil"/>
              <w:left w:val="nil"/>
              <w:bottom w:val="single" w:sz="4" w:space="0" w:color="FFFFFF"/>
              <w:right w:val="single" w:sz="4" w:space="0" w:color="FFFFFF"/>
            </w:tcBorders>
            <w:shd w:val="clear" w:color="auto" w:fill="005A70" w:themeFill="accent4"/>
            <w:noWrap/>
            <w:vAlign w:val="bottom"/>
            <w:hideMark/>
          </w:tcPr>
          <w:p w:rsidR="00490842" w:rsidRPr="00A5268D" w:rsidRDefault="00490842" w:rsidP="006D512F">
            <w:pPr>
              <w:spacing w:after="0" w:line="240" w:lineRule="auto"/>
              <w:jc w:val="center"/>
              <w:rPr>
                <w:rFonts w:ascii="Calibri" w:hAnsi="Calibri" w:cs="Calibri"/>
                <w:b/>
                <w:bCs/>
                <w:color w:val="FFFFFF"/>
              </w:rPr>
            </w:pPr>
            <w:r w:rsidRPr="00A5268D">
              <w:rPr>
                <w:rFonts w:ascii="Calibri" w:hAnsi="Calibri" w:cs="Calibri"/>
                <w:b/>
                <w:bCs/>
                <w:color w:val="FFFFFF"/>
              </w:rPr>
              <w:t>5</w:t>
            </w:r>
          </w:p>
        </w:tc>
      </w:tr>
      <w:tr w:rsidR="00E01548" w:rsidRPr="00A5268D" w:rsidTr="00517981">
        <w:trPr>
          <w:trHeight w:val="300"/>
        </w:trPr>
        <w:tc>
          <w:tcPr>
            <w:tcW w:w="2243" w:type="dxa"/>
            <w:tcBorders>
              <w:top w:val="single" w:sz="4" w:space="0" w:color="FFFFFF"/>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ACT/Queanbeyan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292</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264</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180</w:t>
            </w:r>
          </w:p>
        </w:tc>
      </w:tr>
      <w:tr w:rsidR="00E01548"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Adelaide Hills SA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66</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83</w:t>
            </w:r>
          </w:p>
        </w:tc>
      </w:tr>
      <w:tr w:rsidR="00E01548"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Alice Springs NT</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w:t>
            </w:r>
          </w:p>
        </w:tc>
      </w:tr>
      <w:tr w:rsidR="00E01548"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Bayside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877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1248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1175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1172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686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906</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837</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914</w:t>
            </w:r>
          </w:p>
        </w:tc>
      </w:tr>
      <w:tr w:rsidR="00E01548"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Bendigo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195</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153</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103</w:t>
            </w:r>
          </w:p>
        </w:tc>
      </w:tr>
      <w:tr w:rsidR="00E01548"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Bundaberg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162</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230</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266</w:t>
            </w:r>
          </w:p>
        </w:tc>
      </w:tr>
      <w:tr w:rsidR="00E01548"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Canterbury/Bankstown</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342</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452</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634</w:t>
            </w:r>
          </w:p>
        </w:tc>
      </w:tr>
      <w:tr w:rsidR="00E01548"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Cairns</w:t>
            </w:r>
            <w:r>
              <w:rPr>
                <w:rFonts w:ascii="Calibri" w:hAnsi="Calibri" w:cs="Calibri"/>
                <w:b/>
                <w:bCs/>
                <w:color w:val="000000"/>
                <w:sz w:val="20"/>
                <w:szCs w:val="20"/>
              </w:rPr>
              <w:t xml:space="preserve"> </w:t>
            </w:r>
            <w:r w:rsidRPr="00A5268D">
              <w:rPr>
                <w:rFonts w:ascii="Calibri" w:hAnsi="Calibri" w:cs="Calibri"/>
                <w:b/>
                <w:bCs/>
                <w:color w:val="000000"/>
                <w:sz w:val="20"/>
                <w:szCs w:val="20"/>
              </w:rPr>
              <w:t>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374</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362</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360</w:t>
            </w:r>
          </w:p>
        </w:tc>
      </w:tr>
      <w:tr w:rsidR="00E01548"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Calder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796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653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676</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603</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699</w:t>
            </w:r>
          </w:p>
        </w:tc>
      </w:tr>
      <w:tr w:rsidR="00E01548"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Capricornia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307</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430</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404</w:t>
            </w:r>
          </w:p>
        </w:tc>
      </w:tr>
      <w:tr w:rsidR="00E01548"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Central Coast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555</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327</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190</w:t>
            </w:r>
          </w:p>
        </w:tc>
      </w:tr>
      <w:tr w:rsidR="00E01548"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Chifley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w:t>
            </w:r>
          </w:p>
        </w:tc>
      </w:tr>
      <w:tr w:rsidR="00E01548"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Clarence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187</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163</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118</w:t>
            </w:r>
          </w:p>
        </w:tc>
      </w:tr>
      <w:tr w:rsidR="00E01548"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Coffs Harbour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569</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449</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221</w:t>
            </w:r>
          </w:p>
        </w:tc>
      </w:tr>
      <w:tr w:rsidR="00E01548"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Central/West Metro</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437</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391</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377</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Central West Sydney</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586</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551</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Dale WA</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79</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68</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79</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Darwin NT</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85</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Eastern Adelaide SA</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182</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285</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336</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East Gippsland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153</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East Metro WA</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239</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257</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236</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Eastern Suburbs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161</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146</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Eurobodalla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71</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Eureka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205</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Fairfield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732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953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205</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304</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498</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Far West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Fleurieu/Kangaroo Is</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Fraser Coast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228</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246</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284</w:t>
            </w:r>
          </w:p>
        </w:tc>
      </w:tr>
      <w:tr w:rsidR="00517981"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lastRenderedPageBreak/>
              <w:t>ESA Name</w:t>
            </w:r>
          </w:p>
        </w:tc>
        <w:tc>
          <w:tcPr>
            <w:tcW w:w="4020" w:type="dxa"/>
            <w:gridSpan w:val="5"/>
            <w:tcBorders>
              <w:top w:val="single" w:sz="4" w:space="0" w:color="FFFFFF"/>
              <w:left w:val="single" w:sz="4" w:space="0" w:color="FFFFFF"/>
              <w:bottom w:val="nil"/>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DMS</w:t>
            </w:r>
          </w:p>
        </w:tc>
        <w:tc>
          <w:tcPr>
            <w:tcW w:w="3500" w:type="dxa"/>
            <w:gridSpan w:val="6"/>
            <w:tcBorders>
              <w:top w:val="single" w:sz="4" w:space="0" w:color="FFFFFF"/>
              <w:left w:val="nil"/>
              <w:bottom w:val="nil"/>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ESS</w:t>
            </w:r>
          </w:p>
        </w:tc>
      </w:tr>
      <w:tr w:rsidR="00517981"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 </w:t>
            </w:r>
          </w:p>
        </w:tc>
        <w:tc>
          <w:tcPr>
            <w:tcW w:w="580" w:type="dxa"/>
            <w:tcBorders>
              <w:top w:val="nil"/>
              <w:left w:val="single" w:sz="4" w:space="0" w:color="FFFFFF"/>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860" w:type="dxa"/>
            <w:tcBorders>
              <w:top w:val="nil"/>
              <w:left w:val="nil"/>
              <w:bottom w:val="single" w:sz="4" w:space="0" w:color="FFFFFF"/>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5</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860" w:type="dxa"/>
            <w:gridSpan w:val="2"/>
            <w:tcBorders>
              <w:top w:val="nil"/>
              <w:left w:val="nil"/>
              <w:bottom w:val="single" w:sz="4" w:space="0" w:color="FFFFFF"/>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Gawler SA</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165</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166</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Geelong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370</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360</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268</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Gladstone QLD</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168</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244</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279</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Gold Coast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718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618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650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646</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574</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Goldfields/Esperance</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Goulburn Valley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184</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152</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151</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Grampians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89</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81</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Gwydir Namoi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101</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Gympie QLD</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185</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228</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215</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Hampden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145</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172</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137</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Hastings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170</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122</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71</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Hobart TAS</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270</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321</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397</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Hunter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240</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290</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238</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Inner Sydney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277</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247</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214</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Inner Western Sydney</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157</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140</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167</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Ipswich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525</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480</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394</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Kadina/Clare SA</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121</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Keepit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116</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Kiewa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172</w:t>
            </w:r>
          </w:p>
        </w:tc>
        <w:tc>
          <w:tcPr>
            <w:tcW w:w="74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117</w:t>
            </w:r>
          </w:p>
        </w:tc>
        <w:tc>
          <w:tcPr>
            <w:tcW w:w="7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Kimberley WA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w:t>
            </w:r>
          </w:p>
        </w:tc>
        <w:tc>
          <w:tcPr>
            <w:tcW w:w="74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7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Lachlan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Launceston TAS</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170</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146</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Latrobe Valley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225</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148</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Liverpool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370</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436</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Logan QLD</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760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755</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507</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Lower Hunter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650</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523</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Lower South Coast</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Macarthur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322</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229</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Mackay QLD</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182</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220</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Macleay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81</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Manning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155</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95</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Maroondah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555</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Mid Murray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59</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Midlands/Wheatbelt</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65</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r>
      <w:tr w:rsidR="00517981"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lastRenderedPageBreak/>
              <w:t>ESA Name</w:t>
            </w:r>
          </w:p>
        </w:tc>
        <w:tc>
          <w:tcPr>
            <w:tcW w:w="4020" w:type="dxa"/>
            <w:gridSpan w:val="5"/>
            <w:tcBorders>
              <w:top w:val="single" w:sz="4" w:space="0" w:color="FFFFFF"/>
              <w:left w:val="single" w:sz="4" w:space="0" w:color="FFFFFF"/>
              <w:bottom w:val="nil"/>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DMS</w:t>
            </w:r>
          </w:p>
        </w:tc>
        <w:tc>
          <w:tcPr>
            <w:tcW w:w="3500" w:type="dxa"/>
            <w:gridSpan w:val="6"/>
            <w:tcBorders>
              <w:top w:val="single" w:sz="4" w:space="0" w:color="FFFFFF"/>
              <w:left w:val="nil"/>
              <w:bottom w:val="nil"/>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ESS</w:t>
            </w:r>
          </w:p>
        </w:tc>
      </w:tr>
      <w:tr w:rsidR="00517981"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 </w:t>
            </w:r>
          </w:p>
        </w:tc>
        <w:tc>
          <w:tcPr>
            <w:tcW w:w="580" w:type="dxa"/>
            <w:tcBorders>
              <w:top w:val="nil"/>
              <w:left w:val="single" w:sz="4" w:space="0" w:color="FFFFFF"/>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860" w:type="dxa"/>
            <w:tcBorders>
              <w:top w:val="nil"/>
              <w:left w:val="nil"/>
              <w:bottom w:val="single" w:sz="4" w:space="0" w:color="FFFFFF"/>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5</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860" w:type="dxa"/>
            <w:gridSpan w:val="2"/>
            <w:tcBorders>
              <w:top w:val="nil"/>
              <w:left w:val="nil"/>
              <w:bottom w:val="single" w:sz="4" w:space="0" w:color="FFFFFF"/>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Monash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545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541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550</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430</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Mt Isa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Murray Darling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Murraylands SA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Mid West/Gascoyne</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North Country SA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103</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New England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129</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124</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Nepean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670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597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415</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Northern Adelaide SA</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515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867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910</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1151</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North Brisbane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893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816</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527</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North Coast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110</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60</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North Metro WA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522</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446</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Northern Sydney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274</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214</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Outer North Brisbane</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690</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466</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Orana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104</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87</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Ovens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91</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Outer Western Sydney</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461</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381</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Patterson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148</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Peninsula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313</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201</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Port Lincoln/Ceduna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Plenty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487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514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595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526</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553</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Port Pirie SA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78</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Richmond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186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166</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91</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Riverland SA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88</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90</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South East SA</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93</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82</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St George-Sutherland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254</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217</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Shoalhaven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109</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78</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Southern Adelaide SA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565</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567</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South Brisbane QLD</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787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444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848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987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942</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762</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South Eastern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123</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170</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113</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Southern Ranges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178</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134</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86</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Southern WA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170</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103</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Sturt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99</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78</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88</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Sunshine Coast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390</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615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384</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202</w:t>
            </w:r>
          </w:p>
        </w:tc>
      </w:tr>
      <w:tr w:rsidR="00517981"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lastRenderedPageBreak/>
              <w:t>ESA Name</w:t>
            </w:r>
          </w:p>
        </w:tc>
        <w:tc>
          <w:tcPr>
            <w:tcW w:w="4020" w:type="dxa"/>
            <w:gridSpan w:val="5"/>
            <w:tcBorders>
              <w:top w:val="single" w:sz="4" w:space="0" w:color="FFFFFF"/>
              <w:left w:val="single" w:sz="4" w:space="0" w:color="FFFFFF"/>
              <w:bottom w:val="nil"/>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DMS</w:t>
            </w:r>
          </w:p>
        </w:tc>
        <w:tc>
          <w:tcPr>
            <w:tcW w:w="3500" w:type="dxa"/>
            <w:gridSpan w:val="6"/>
            <w:tcBorders>
              <w:top w:val="single" w:sz="4" w:space="0" w:color="FFFFFF"/>
              <w:left w:val="nil"/>
              <w:bottom w:val="nil"/>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ESS</w:t>
            </w:r>
          </w:p>
        </w:tc>
      </w:tr>
      <w:tr w:rsidR="00517981" w:rsidRPr="00A5268D" w:rsidTr="00635E88">
        <w:trPr>
          <w:trHeight w:val="330"/>
        </w:trPr>
        <w:tc>
          <w:tcPr>
            <w:tcW w:w="2243" w:type="dxa"/>
            <w:tcBorders>
              <w:top w:val="nil"/>
              <w:left w:val="nil"/>
              <w:bottom w:val="nil"/>
              <w:right w:val="nil"/>
            </w:tcBorders>
            <w:shd w:val="clear" w:color="auto" w:fill="005A70" w:themeFill="accent4"/>
            <w:noWrap/>
            <w:vAlign w:val="center"/>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 </w:t>
            </w:r>
          </w:p>
        </w:tc>
        <w:tc>
          <w:tcPr>
            <w:tcW w:w="580" w:type="dxa"/>
            <w:tcBorders>
              <w:top w:val="nil"/>
              <w:left w:val="single" w:sz="4" w:space="0" w:color="FFFFFF"/>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8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860" w:type="dxa"/>
            <w:tcBorders>
              <w:top w:val="nil"/>
              <w:left w:val="nil"/>
              <w:bottom w:val="single" w:sz="4" w:space="0" w:color="FFFFFF"/>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5</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1</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2</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3</w:t>
            </w:r>
          </w:p>
        </w:tc>
        <w:tc>
          <w:tcPr>
            <w:tcW w:w="660" w:type="dxa"/>
            <w:tcBorders>
              <w:top w:val="nil"/>
              <w:left w:val="nil"/>
              <w:bottom w:val="single" w:sz="4" w:space="0" w:color="FFFFFF"/>
              <w:right w:val="nil"/>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4</w:t>
            </w:r>
          </w:p>
        </w:tc>
        <w:tc>
          <w:tcPr>
            <w:tcW w:w="860" w:type="dxa"/>
            <w:gridSpan w:val="2"/>
            <w:tcBorders>
              <w:top w:val="nil"/>
              <w:left w:val="nil"/>
              <w:bottom w:val="single" w:sz="4" w:space="0" w:color="FFFFFF"/>
              <w:right w:val="single" w:sz="4" w:space="0" w:color="FFFFFF"/>
            </w:tcBorders>
            <w:shd w:val="clear" w:color="auto" w:fill="005A70" w:themeFill="accent4"/>
            <w:noWrap/>
            <w:vAlign w:val="bottom"/>
            <w:hideMark/>
          </w:tcPr>
          <w:p w:rsidR="00517981" w:rsidRPr="00A5268D" w:rsidRDefault="00517981" w:rsidP="00CF6A16">
            <w:pPr>
              <w:spacing w:after="0" w:line="240" w:lineRule="auto"/>
              <w:jc w:val="center"/>
              <w:rPr>
                <w:rFonts w:ascii="Calibri" w:hAnsi="Calibri" w:cs="Calibri"/>
                <w:b/>
                <w:bCs/>
                <w:color w:val="FFFFFF"/>
              </w:rPr>
            </w:pPr>
            <w:r w:rsidRPr="00A5268D">
              <w:rPr>
                <w:rFonts w:ascii="Calibri" w:hAnsi="Calibri" w:cs="Calibri"/>
                <w:b/>
                <w:bCs/>
                <w:color w:val="FFFFFF"/>
              </w:rPr>
              <w:t>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proofErr w:type="spellStart"/>
            <w:r w:rsidRPr="00A5268D">
              <w:rPr>
                <w:rFonts w:ascii="Calibri" w:hAnsi="Calibri" w:cs="Calibri"/>
                <w:b/>
                <w:bCs/>
                <w:color w:val="000000"/>
                <w:sz w:val="20"/>
                <w:szCs w:val="20"/>
              </w:rPr>
              <w:t>Sunraysia</w:t>
            </w:r>
            <w:proofErr w:type="spellEnd"/>
            <w:r w:rsidRPr="00A5268D">
              <w:rPr>
                <w:rFonts w:ascii="Calibri" w:hAnsi="Calibri" w:cs="Calibri"/>
                <w:b/>
                <w:bCs/>
                <w:color w:val="000000"/>
                <w:sz w:val="20"/>
                <w:szCs w:val="20"/>
              </w:rPr>
              <w:t xml:space="preserve">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120</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68</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Toowoomba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262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321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307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279</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156</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Townsville QLD</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394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505</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418</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Tweed NSW</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94</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71</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Upper Hunter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74</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91</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90</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Warwick QLD</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78</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150</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103</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Western Downs QLD</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103</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136</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66</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Western Adelaide SA</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244</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151</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248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368</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504</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Western District VIC</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92</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73</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Westgate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255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1052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1301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1227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1127</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194</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608</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770</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878</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985</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proofErr w:type="spellStart"/>
            <w:r w:rsidRPr="00A5268D">
              <w:rPr>
                <w:rFonts w:ascii="Calibri" w:hAnsi="Calibri" w:cs="Calibri"/>
                <w:b/>
                <w:bCs/>
                <w:color w:val="000000"/>
                <w:sz w:val="20"/>
                <w:szCs w:val="20"/>
              </w:rPr>
              <w:t>Windamere</w:t>
            </w:r>
            <w:proofErr w:type="spellEnd"/>
            <w:r w:rsidRPr="00A5268D">
              <w:rPr>
                <w:rFonts w:ascii="Calibri" w:hAnsi="Calibri" w:cs="Calibri"/>
                <w:b/>
                <w:bCs/>
                <w:color w:val="000000"/>
                <w:sz w:val="20"/>
                <w:szCs w:val="20"/>
              </w:rPr>
              <w:t xml:space="preserve">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36</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51</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65</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68</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71</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76</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64</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West and North West</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209</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206</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125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174</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94</w:t>
            </w:r>
          </w:p>
        </w:tc>
      </w:tr>
      <w:tr w:rsidR="00490842" w:rsidRPr="00A5268D" w:rsidTr="00517981">
        <w:trPr>
          <w:trHeight w:val="300"/>
        </w:trPr>
        <w:tc>
          <w:tcPr>
            <w:tcW w:w="224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Wollongong NSW</w:t>
            </w:r>
          </w:p>
        </w:tc>
        <w:tc>
          <w:tcPr>
            <w:tcW w:w="58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84</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299</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233</w:t>
            </w:r>
          </w:p>
        </w:tc>
        <w:tc>
          <w:tcPr>
            <w:tcW w:w="8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105</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162</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317</w:t>
            </w:r>
          </w:p>
        </w:tc>
        <w:tc>
          <w:tcPr>
            <w:tcW w:w="660" w:type="dxa"/>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234</w:t>
            </w:r>
          </w:p>
        </w:tc>
        <w:tc>
          <w:tcPr>
            <w:tcW w:w="860" w:type="dxa"/>
            <w:gridSpan w:val="2"/>
            <w:tcBorders>
              <w:top w:val="nil"/>
              <w:left w:val="nil"/>
              <w:bottom w:val="single" w:sz="4" w:space="0" w:color="FFFFFF"/>
              <w:right w:val="single" w:sz="4" w:space="0" w:color="FFFFFF"/>
            </w:tcBorders>
            <w:shd w:val="clear" w:color="000000" w:fill="F2F2F2"/>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147</w:t>
            </w:r>
          </w:p>
        </w:tc>
      </w:tr>
      <w:tr w:rsidR="00490842" w:rsidRPr="00A5268D" w:rsidTr="00635E88">
        <w:trPr>
          <w:trHeight w:val="300"/>
        </w:trPr>
        <w:tc>
          <w:tcPr>
            <w:tcW w:w="224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rPr>
                <w:rFonts w:ascii="Calibri" w:hAnsi="Calibri" w:cs="Calibri"/>
                <w:b/>
                <w:bCs/>
                <w:color w:val="000000"/>
                <w:sz w:val="20"/>
                <w:szCs w:val="20"/>
              </w:rPr>
            </w:pPr>
            <w:r w:rsidRPr="00A5268D">
              <w:rPr>
                <w:rFonts w:ascii="Calibri" w:hAnsi="Calibri" w:cs="Calibri"/>
                <w:b/>
                <w:bCs/>
                <w:color w:val="000000"/>
                <w:sz w:val="20"/>
                <w:szCs w:val="20"/>
              </w:rPr>
              <w:t>Yarra VIC</w:t>
            </w:r>
          </w:p>
        </w:tc>
        <w:tc>
          <w:tcPr>
            <w:tcW w:w="58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51</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237</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272</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215</w:t>
            </w:r>
          </w:p>
        </w:tc>
        <w:tc>
          <w:tcPr>
            <w:tcW w:w="8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153</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106</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295</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402</w:t>
            </w:r>
          </w:p>
        </w:tc>
        <w:tc>
          <w:tcPr>
            <w:tcW w:w="660" w:type="dxa"/>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351</w:t>
            </w:r>
          </w:p>
        </w:tc>
        <w:tc>
          <w:tcPr>
            <w:tcW w:w="860"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A5268D" w:rsidRDefault="00490842" w:rsidP="006D512F">
            <w:pPr>
              <w:spacing w:after="0" w:line="240" w:lineRule="auto"/>
              <w:jc w:val="right"/>
              <w:rPr>
                <w:rFonts w:ascii="Calibri" w:hAnsi="Calibri" w:cs="Calibri"/>
                <w:color w:val="000000"/>
                <w:sz w:val="20"/>
                <w:szCs w:val="20"/>
              </w:rPr>
            </w:pPr>
            <w:r w:rsidRPr="00A5268D">
              <w:rPr>
                <w:rFonts w:ascii="Calibri" w:hAnsi="Calibri" w:cs="Calibri"/>
                <w:color w:val="000000"/>
                <w:sz w:val="20"/>
                <w:szCs w:val="20"/>
              </w:rPr>
              <w:t>381</w:t>
            </w:r>
          </w:p>
        </w:tc>
      </w:tr>
    </w:tbl>
    <w:p w:rsidR="00CC68AF" w:rsidRDefault="00CC68AF" w:rsidP="00490842">
      <w:pPr>
        <w:pStyle w:val="Default"/>
        <w:rPr>
          <w:sz w:val="28"/>
          <w:szCs w:val="28"/>
        </w:rPr>
      </w:pPr>
    </w:p>
    <w:p w:rsidR="00CC68AF" w:rsidRDefault="00CC68AF" w:rsidP="00490842">
      <w:pPr>
        <w:pStyle w:val="Default"/>
        <w:rPr>
          <w:sz w:val="28"/>
          <w:szCs w:val="28"/>
        </w:rPr>
      </w:pPr>
    </w:p>
    <w:p w:rsidR="00490842" w:rsidRDefault="00490842" w:rsidP="00490842">
      <w:pPr>
        <w:pStyle w:val="Default"/>
        <w:rPr>
          <w:sz w:val="22"/>
          <w:szCs w:val="22"/>
        </w:rPr>
        <w:sectPr w:rsidR="00490842" w:rsidSect="00B06C00">
          <w:pgSz w:w="11906" w:h="16838"/>
          <w:pgMar w:top="1440" w:right="991" w:bottom="1440" w:left="1440" w:header="708" w:footer="708" w:gutter="0"/>
          <w:cols w:space="708"/>
          <w:docGrid w:linePitch="360"/>
        </w:sectPr>
      </w:pPr>
    </w:p>
    <w:p w:rsidR="00490842" w:rsidRDefault="00490842" w:rsidP="00490842">
      <w:pPr>
        <w:pStyle w:val="Default"/>
        <w:rPr>
          <w:b/>
          <w:sz w:val="25"/>
          <w:szCs w:val="25"/>
        </w:rPr>
      </w:pPr>
      <w:r w:rsidRPr="00C03D57">
        <w:rPr>
          <w:b/>
          <w:sz w:val="25"/>
          <w:szCs w:val="25"/>
        </w:rPr>
        <w:lastRenderedPageBreak/>
        <w:t xml:space="preserve">Table </w:t>
      </w:r>
      <w:r w:rsidR="00EA1427">
        <w:rPr>
          <w:b/>
          <w:sz w:val="25"/>
          <w:szCs w:val="25"/>
        </w:rPr>
        <w:t>6</w:t>
      </w:r>
      <w:r w:rsidR="00EB3E76">
        <w:rPr>
          <w:b/>
          <w:sz w:val="25"/>
          <w:szCs w:val="25"/>
        </w:rPr>
        <w:t xml:space="preserve"> - </w:t>
      </w:r>
      <w:r w:rsidR="00821C4A">
        <w:rPr>
          <w:b/>
          <w:sz w:val="25"/>
          <w:szCs w:val="25"/>
        </w:rPr>
        <w:t>Nu</w:t>
      </w:r>
      <w:r w:rsidRPr="00C03D57">
        <w:rPr>
          <w:b/>
          <w:sz w:val="25"/>
          <w:szCs w:val="25"/>
        </w:rPr>
        <w:t>mber of Employment Assistance participants at 31</w:t>
      </w:r>
      <w:r>
        <w:rPr>
          <w:b/>
          <w:sz w:val="25"/>
          <w:szCs w:val="25"/>
        </w:rPr>
        <w:t> </w:t>
      </w:r>
      <w:r w:rsidR="00821C4A">
        <w:rPr>
          <w:b/>
          <w:sz w:val="25"/>
          <w:szCs w:val="25"/>
        </w:rPr>
        <w:t xml:space="preserve">March 2017 by ESA, by </w:t>
      </w:r>
      <w:r w:rsidRPr="00C03D57">
        <w:rPr>
          <w:b/>
          <w:sz w:val="25"/>
          <w:szCs w:val="25"/>
        </w:rPr>
        <w:t>funding band.</w:t>
      </w:r>
    </w:p>
    <w:p w:rsidR="00490842" w:rsidRDefault="00490842" w:rsidP="00490842">
      <w:pPr>
        <w:pStyle w:val="Default"/>
        <w:rPr>
          <w:b/>
          <w:sz w:val="25"/>
          <w:szCs w:val="25"/>
        </w:rPr>
      </w:pPr>
    </w:p>
    <w:tbl>
      <w:tblPr>
        <w:tblW w:w="9803" w:type="dxa"/>
        <w:tblInd w:w="93" w:type="dxa"/>
        <w:tblLook w:val="04A0" w:firstRow="1" w:lastRow="0" w:firstColumn="1" w:lastColumn="0" w:noHBand="0" w:noVBand="1"/>
      </w:tblPr>
      <w:tblGrid>
        <w:gridCol w:w="2163"/>
        <w:gridCol w:w="80"/>
        <w:gridCol w:w="483"/>
        <w:gridCol w:w="80"/>
        <w:gridCol w:w="483"/>
        <w:gridCol w:w="80"/>
        <w:gridCol w:w="483"/>
        <w:gridCol w:w="80"/>
        <w:gridCol w:w="483"/>
        <w:gridCol w:w="80"/>
        <w:gridCol w:w="653"/>
        <w:gridCol w:w="80"/>
        <w:gridCol w:w="483"/>
        <w:gridCol w:w="80"/>
        <w:gridCol w:w="483"/>
        <w:gridCol w:w="80"/>
        <w:gridCol w:w="483"/>
        <w:gridCol w:w="80"/>
        <w:gridCol w:w="483"/>
        <w:gridCol w:w="80"/>
        <w:gridCol w:w="483"/>
        <w:gridCol w:w="80"/>
        <w:gridCol w:w="893"/>
        <w:gridCol w:w="80"/>
        <w:gridCol w:w="638"/>
        <w:gridCol w:w="69"/>
        <w:gridCol w:w="80"/>
      </w:tblGrid>
      <w:tr w:rsidR="00490842" w:rsidRPr="00C03D57" w:rsidTr="00635E88">
        <w:trPr>
          <w:trHeight w:val="930"/>
        </w:trPr>
        <w:tc>
          <w:tcPr>
            <w:tcW w:w="2243" w:type="dxa"/>
            <w:gridSpan w:val="2"/>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c>
          <w:tcPr>
            <w:tcW w:w="5800" w:type="dxa"/>
            <w:gridSpan w:val="2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Number of participants by band</w:t>
            </w:r>
          </w:p>
        </w:tc>
        <w:tc>
          <w:tcPr>
            <w:tcW w:w="1760" w:type="dxa"/>
            <w:gridSpan w:val="5"/>
            <w:tcBorders>
              <w:top w:val="single" w:sz="4" w:space="0" w:color="FFFFFF"/>
              <w:left w:val="nil"/>
              <w:bottom w:val="single" w:sz="4" w:space="0" w:color="FFFFFF"/>
              <w:right w:val="nil"/>
            </w:tcBorders>
            <w:shd w:val="clear" w:color="auto" w:fill="005A70" w:themeFill="accent4"/>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Average frequency of 26 week outcomes</w:t>
            </w:r>
          </w:p>
        </w:tc>
      </w:tr>
      <w:tr w:rsidR="00490842" w:rsidRPr="00C03D57" w:rsidTr="00635E88">
        <w:trPr>
          <w:trHeight w:val="300"/>
        </w:trPr>
        <w:tc>
          <w:tcPr>
            <w:tcW w:w="2243" w:type="dxa"/>
            <w:gridSpan w:val="2"/>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ESA Name</w:t>
            </w:r>
          </w:p>
        </w:tc>
        <w:tc>
          <w:tcPr>
            <w:tcW w:w="2985" w:type="dxa"/>
            <w:gridSpan w:val="1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2815" w:type="dxa"/>
            <w:gridSpan w:val="10"/>
            <w:tcBorders>
              <w:top w:val="single" w:sz="4" w:space="0" w:color="FFFFFF"/>
              <w:left w:val="nil"/>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c>
          <w:tcPr>
            <w:tcW w:w="1760" w:type="dxa"/>
            <w:gridSpan w:val="5"/>
            <w:tcBorders>
              <w:top w:val="single" w:sz="4" w:space="0" w:color="FFFFFF"/>
              <w:left w:val="nil"/>
              <w:bottom w:val="nil"/>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r>
      <w:tr w:rsidR="00490842" w:rsidRPr="00C03D57" w:rsidTr="00821C4A">
        <w:trPr>
          <w:trHeight w:val="300"/>
        </w:trPr>
        <w:tc>
          <w:tcPr>
            <w:tcW w:w="2243" w:type="dxa"/>
            <w:gridSpan w:val="2"/>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c>
          <w:tcPr>
            <w:tcW w:w="563" w:type="dxa"/>
            <w:gridSpan w:val="2"/>
            <w:tcBorders>
              <w:top w:val="nil"/>
              <w:left w:val="single" w:sz="4" w:space="0" w:color="FFFFFF"/>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73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56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97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787" w:type="dxa"/>
            <w:gridSpan w:val="3"/>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r>
      <w:tr w:rsidR="00490842" w:rsidRPr="00C03D57" w:rsidTr="00821C4A">
        <w:trPr>
          <w:trHeight w:val="300"/>
        </w:trPr>
        <w:tc>
          <w:tcPr>
            <w:tcW w:w="2243" w:type="dxa"/>
            <w:gridSpan w:val="2"/>
            <w:tcBorders>
              <w:top w:val="single" w:sz="4" w:space="0" w:color="FFFFFF"/>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ACT/Queanbeyan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28%</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Adelaide Hills SA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73</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Alice Springs NT</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16%</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Bayside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757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822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896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623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822</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Bendigo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28%</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Bundaberg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196</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Canterbury/Bankstown</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326</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473</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Cairns</w:t>
            </w:r>
            <w:r w:rsidR="00281A8F">
              <w:rPr>
                <w:rFonts w:ascii="Calibri" w:hAnsi="Calibri" w:cs="Calibri"/>
                <w:b/>
                <w:bCs/>
                <w:color w:val="000000"/>
                <w:sz w:val="20"/>
                <w:szCs w:val="20"/>
              </w:rPr>
              <w:t xml:space="preserve"> </w:t>
            </w:r>
            <w:r w:rsidRPr="00C03D57">
              <w:rPr>
                <w:rFonts w:ascii="Calibri" w:hAnsi="Calibri" w:cs="Calibri"/>
                <w:b/>
                <w:bCs/>
                <w:color w:val="000000"/>
                <w:sz w:val="20"/>
                <w:szCs w:val="20"/>
              </w:rPr>
              <w:t>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318</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238</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Calder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665</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Capricornia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Central Coast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29%</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Chifley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Clarence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Coffs Harbour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86</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Central/West Metro</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217</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Central West Sydney</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439</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430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Dale WA</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Darwin NT</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64</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Eastern Adelaide SA</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279</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East Gippsland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31%</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33%</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East Metro WA</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172</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195</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Eastern Suburbs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101</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132</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Eurobodalla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50</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Eureka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140</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72</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28%</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29%</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Fairfield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429</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411</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18%</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17%</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Far West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proofErr w:type="spellStart"/>
            <w:r w:rsidRPr="00C03D57">
              <w:rPr>
                <w:rFonts w:ascii="Calibri" w:hAnsi="Calibri" w:cs="Calibri"/>
                <w:b/>
                <w:bCs/>
                <w:color w:val="000000"/>
                <w:sz w:val="20"/>
                <w:szCs w:val="20"/>
              </w:rPr>
              <w:t>Fleurieu</w:t>
            </w:r>
            <w:proofErr w:type="spellEnd"/>
            <w:r w:rsidRPr="00C03D57">
              <w:rPr>
                <w:rFonts w:ascii="Calibri" w:hAnsi="Calibri" w:cs="Calibri"/>
                <w:b/>
                <w:bCs/>
                <w:color w:val="000000"/>
                <w:sz w:val="20"/>
                <w:szCs w:val="20"/>
              </w:rPr>
              <w:t>/Kangaroo Is</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821C4A">
        <w:trPr>
          <w:trHeight w:val="300"/>
        </w:trPr>
        <w:tc>
          <w:tcPr>
            <w:tcW w:w="2243" w:type="dxa"/>
            <w:gridSpan w:val="2"/>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Fraser Coast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35E88">
        <w:trPr>
          <w:gridAfter w:val="1"/>
          <w:wAfter w:w="80" w:type="dxa"/>
          <w:trHeight w:val="93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lastRenderedPageBreak/>
              <w:t> </w:t>
            </w:r>
          </w:p>
        </w:tc>
        <w:tc>
          <w:tcPr>
            <w:tcW w:w="5800" w:type="dxa"/>
            <w:gridSpan w:val="2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Number of participants by band</w:t>
            </w:r>
          </w:p>
        </w:tc>
        <w:tc>
          <w:tcPr>
            <w:tcW w:w="1760" w:type="dxa"/>
            <w:gridSpan w:val="5"/>
            <w:tcBorders>
              <w:top w:val="single" w:sz="4" w:space="0" w:color="FFFFFF"/>
              <w:left w:val="nil"/>
              <w:bottom w:val="single" w:sz="4" w:space="0" w:color="FFFFFF"/>
              <w:right w:val="nil"/>
            </w:tcBorders>
            <w:shd w:val="clear" w:color="auto" w:fill="005A70" w:themeFill="accent4"/>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Average frequency of 26 week outcomes</w:t>
            </w:r>
          </w:p>
        </w:tc>
      </w:tr>
      <w:tr w:rsidR="00490842" w:rsidRPr="00C03D57" w:rsidTr="00635E88">
        <w:trPr>
          <w:gridAfter w:val="1"/>
          <w:wAfter w:w="80" w:type="dxa"/>
          <w:trHeight w:val="30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ESA Name</w:t>
            </w:r>
          </w:p>
        </w:tc>
        <w:tc>
          <w:tcPr>
            <w:tcW w:w="2985" w:type="dxa"/>
            <w:gridSpan w:val="1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2815" w:type="dxa"/>
            <w:gridSpan w:val="10"/>
            <w:tcBorders>
              <w:top w:val="single" w:sz="4" w:space="0" w:color="FFFFFF"/>
              <w:left w:val="nil"/>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c>
          <w:tcPr>
            <w:tcW w:w="1760" w:type="dxa"/>
            <w:gridSpan w:val="5"/>
            <w:tcBorders>
              <w:top w:val="single" w:sz="4" w:space="0" w:color="FFFFFF"/>
              <w:left w:val="nil"/>
              <w:bottom w:val="nil"/>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r>
      <w:tr w:rsidR="00490842" w:rsidRPr="00C03D57" w:rsidTr="00635E88">
        <w:trPr>
          <w:gridAfter w:val="1"/>
          <w:wAfter w:w="80" w:type="dxa"/>
          <w:trHeight w:val="30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c>
          <w:tcPr>
            <w:tcW w:w="563" w:type="dxa"/>
            <w:gridSpan w:val="2"/>
            <w:tcBorders>
              <w:top w:val="nil"/>
              <w:left w:val="single" w:sz="4" w:space="0" w:color="FFFFFF"/>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73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56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97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787" w:type="dxa"/>
            <w:gridSpan w:val="3"/>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r>
      <w:tr w:rsidR="00490842" w:rsidRPr="00C03D57" w:rsidTr="00F1543A">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Gawler SA</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109</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18"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20%</w:t>
            </w:r>
          </w:p>
        </w:tc>
      </w:tr>
      <w:tr w:rsidR="00490842" w:rsidRPr="00C03D57" w:rsidTr="00635E88">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Geelong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c>
          <w:tcPr>
            <w:tcW w:w="718"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F1543A">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Gladstone QLD</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122</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18"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19%</w:t>
            </w:r>
          </w:p>
        </w:tc>
      </w:tr>
      <w:tr w:rsidR="00490842" w:rsidRPr="00C03D57" w:rsidTr="00635E88">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Gold Coast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438</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293</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c>
          <w:tcPr>
            <w:tcW w:w="718"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28%</w:t>
            </w:r>
          </w:p>
        </w:tc>
      </w:tr>
      <w:tr w:rsidR="00490842" w:rsidRPr="00C03D57" w:rsidTr="00F1543A">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Goldfields/Esperance</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30%</w:t>
            </w:r>
          </w:p>
        </w:tc>
        <w:tc>
          <w:tcPr>
            <w:tcW w:w="718"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37%</w:t>
            </w:r>
          </w:p>
        </w:tc>
      </w:tr>
      <w:tr w:rsidR="00490842" w:rsidRPr="00C03D57" w:rsidTr="00635E88">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Goulburn Valley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161</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165</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18"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F1543A">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Grampians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18"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635E88">
        <w:trPr>
          <w:gridAfter w:val="2"/>
          <w:wAfter w:w="149"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Gwydir Namoi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78</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17%</w:t>
            </w:r>
          </w:p>
        </w:tc>
        <w:tc>
          <w:tcPr>
            <w:tcW w:w="718"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F1543A">
            <w:pPr>
              <w:spacing w:after="0" w:line="240" w:lineRule="auto"/>
              <w:ind w:right="-108"/>
              <w:jc w:val="center"/>
              <w:rPr>
                <w:rFonts w:ascii="Calibri" w:hAnsi="Calibri" w:cs="Calibri"/>
                <w:color w:val="000000"/>
                <w:sz w:val="20"/>
                <w:szCs w:val="20"/>
              </w:rPr>
            </w:pPr>
            <w:r w:rsidRPr="00C03D57">
              <w:rPr>
                <w:rFonts w:ascii="Calibri" w:hAnsi="Calibri" w:cs="Calibri"/>
                <w:color w:val="000000"/>
                <w:sz w:val="20"/>
                <w:szCs w:val="20"/>
              </w:rPr>
              <w:t>16%</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Gympie QLD</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126</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180</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Hampden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79</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112</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Hastings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75</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63</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29%</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Hobart TAS</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285</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Hunter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128</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Inner Sydney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Inner Western Sydney</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109</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129</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Ipswich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343</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Kadina/Clare SA</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75</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17%</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proofErr w:type="spellStart"/>
            <w:r w:rsidRPr="00C03D57">
              <w:rPr>
                <w:rFonts w:ascii="Calibri" w:hAnsi="Calibri" w:cs="Calibri"/>
                <w:b/>
                <w:bCs/>
                <w:color w:val="000000"/>
                <w:sz w:val="20"/>
                <w:szCs w:val="20"/>
              </w:rPr>
              <w:t>Keepit</w:t>
            </w:r>
            <w:proofErr w:type="spellEnd"/>
            <w:r w:rsidRPr="00C03D57">
              <w:rPr>
                <w:rFonts w:ascii="Calibri" w:hAnsi="Calibri" w:cs="Calibri"/>
                <w:b/>
                <w:bCs/>
                <w:color w:val="000000"/>
                <w:sz w:val="20"/>
                <w:szCs w:val="20"/>
              </w:rPr>
              <w:t xml:space="preserve">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136</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Kiewa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86</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29%</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30%</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Kimberley WA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36%</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Lachlan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Launceston TAS</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208</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162</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Latrobe Valley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110</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31%</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33%</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Liverpool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356</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Logan QLD</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346</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348</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Lower Hunter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Lower South Coast</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Macarthur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193</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Mackay QLD</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123</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195</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Macleay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Manning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110</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93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lastRenderedPageBreak/>
              <w:t> </w:t>
            </w:r>
          </w:p>
        </w:tc>
        <w:tc>
          <w:tcPr>
            <w:tcW w:w="5800" w:type="dxa"/>
            <w:gridSpan w:val="2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Number of participants by band</w:t>
            </w:r>
          </w:p>
        </w:tc>
        <w:tc>
          <w:tcPr>
            <w:tcW w:w="1760" w:type="dxa"/>
            <w:gridSpan w:val="5"/>
            <w:tcBorders>
              <w:top w:val="single" w:sz="4" w:space="0" w:color="FFFFFF"/>
              <w:left w:val="nil"/>
              <w:bottom w:val="single" w:sz="4" w:space="0" w:color="FFFFFF"/>
              <w:right w:val="nil"/>
            </w:tcBorders>
            <w:shd w:val="clear" w:color="auto" w:fill="005A70" w:themeFill="accent4"/>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Average frequency of 26 week outcomes</w:t>
            </w:r>
          </w:p>
        </w:tc>
      </w:tr>
      <w:tr w:rsidR="00490842" w:rsidRPr="00C03D57" w:rsidTr="00635E88">
        <w:trPr>
          <w:gridAfter w:val="1"/>
          <w:wAfter w:w="80" w:type="dxa"/>
          <w:trHeight w:val="30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ESA Name</w:t>
            </w:r>
          </w:p>
        </w:tc>
        <w:tc>
          <w:tcPr>
            <w:tcW w:w="2985" w:type="dxa"/>
            <w:gridSpan w:val="1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2815" w:type="dxa"/>
            <w:gridSpan w:val="10"/>
            <w:tcBorders>
              <w:top w:val="single" w:sz="4" w:space="0" w:color="FFFFFF"/>
              <w:left w:val="nil"/>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c>
          <w:tcPr>
            <w:tcW w:w="1760" w:type="dxa"/>
            <w:gridSpan w:val="5"/>
            <w:tcBorders>
              <w:top w:val="single" w:sz="4" w:space="0" w:color="FFFFFF"/>
              <w:left w:val="nil"/>
              <w:bottom w:val="nil"/>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r>
      <w:tr w:rsidR="00490842" w:rsidRPr="00C03D57" w:rsidTr="00635E88">
        <w:trPr>
          <w:gridAfter w:val="1"/>
          <w:wAfter w:w="80" w:type="dxa"/>
          <w:trHeight w:val="30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c>
          <w:tcPr>
            <w:tcW w:w="563" w:type="dxa"/>
            <w:gridSpan w:val="2"/>
            <w:tcBorders>
              <w:top w:val="nil"/>
              <w:left w:val="single" w:sz="4" w:space="0" w:color="FFFFFF"/>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73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56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97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787" w:type="dxa"/>
            <w:gridSpan w:val="3"/>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Maroondah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264</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324</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Mid Murray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Midlands/</w:t>
            </w:r>
            <w:proofErr w:type="spellStart"/>
            <w:r w:rsidRPr="00C03D57">
              <w:rPr>
                <w:rFonts w:ascii="Calibri" w:hAnsi="Calibri" w:cs="Calibri"/>
                <w:b/>
                <w:bCs/>
                <w:color w:val="000000"/>
                <w:sz w:val="20"/>
                <w:szCs w:val="20"/>
              </w:rPr>
              <w:t>Wheatbelt</w:t>
            </w:r>
            <w:proofErr w:type="spellEnd"/>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Monash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359</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Mt Isa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17%</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Murray Darling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proofErr w:type="spellStart"/>
            <w:r w:rsidRPr="00C03D57">
              <w:rPr>
                <w:rFonts w:ascii="Calibri" w:hAnsi="Calibri" w:cs="Calibri"/>
                <w:b/>
                <w:bCs/>
                <w:color w:val="000000"/>
                <w:sz w:val="20"/>
                <w:szCs w:val="20"/>
              </w:rPr>
              <w:t>Murraylands</w:t>
            </w:r>
            <w:proofErr w:type="spellEnd"/>
            <w:r w:rsidRPr="00C03D57">
              <w:rPr>
                <w:rFonts w:ascii="Calibri" w:hAnsi="Calibri" w:cs="Calibri"/>
                <w:b/>
                <w:bCs/>
                <w:color w:val="000000"/>
                <w:sz w:val="20"/>
                <w:szCs w:val="20"/>
              </w:rPr>
              <w:t xml:space="preserve"> SA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Mid West/Gascoyne</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37%</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31%</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North Country SA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96</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New England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Nepean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Northern Adelaide SA</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576</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828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954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North Brisbane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551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North Coast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73</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28%</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North Metro WA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310</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Northern Sydney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158</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Outer North Brisbane</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368</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Orana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52</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Ovens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74</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33%</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Outer Western Sydney</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257</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366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Patterson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66</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95</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Peninsula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447</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155</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Port Lincoln/Ceduna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17%</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Plenty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389</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Port Pirie SA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50</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59</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18%</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Richmond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91</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Riverland SA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69</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South East SA</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St George-Sutherland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30%</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Shoalhaven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135</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Southern Adelaide SA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503</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20%</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93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lastRenderedPageBreak/>
              <w:t> </w:t>
            </w:r>
          </w:p>
        </w:tc>
        <w:tc>
          <w:tcPr>
            <w:tcW w:w="5800" w:type="dxa"/>
            <w:gridSpan w:val="2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Number of participants by band</w:t>
            </w:r>
          </w:p>
        </w:tc>
        <w:tc>
          <w:tcPr>
            <w:tcW w:w="1760" w:type="dxa"/>
            <w:gridSpan w:val="5"/>
            <w:tcBorders>
              <w:top w:val="single" w:sz="4" w:space="0" w:color="FFFFFF"/>
              <w:left w:val="nil"/>
              <w:bottom w:val="single" w:sz="4" w:space="0" w:color="FFFFFF"/>
              <w:right w:val="nil"/>
            </w:tcBorders>
            <w:shd w:val="clear" w:color="auto" w:fill="005A70" w:themeFill="accent4"/>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Average frequency of 26 week outcomes</w:t>
            </w:r>
          </w:p>
        </w:tc>
      </w:tr>
      <w:tr w:rsidR="00490842" w:rsidRPr="00C03D57" w:rsidTr="00635E88">
        <w:trPr>
          <w:gridAfter w:val="1"/>
          <w:wAfter w:w="80" w:type="dxa"/>
          <w:trHeight w:val="30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ESA Name</w:t>
            </w:r>
          </w:p>
        </w:tc>
        <w:tc>
          <w:tcPr>
            <w:tcW w:w="2985" w:type="dxa"/>
            <w:gridSpan w:val="10"/>
            <w:tcBorders>
              <w:top w:val="single" w:sz="4" w:space="0" w:color="FFFFFF"/>
              <w:left w:val="single" w:sz="4" w:space="0" w:color="FFFFFF"/>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2815" w:type="dxa"/>
            <w:gridSpan w:val="10"/>
            <w:tcBorders>
              <w:top w:val="single" w:sz="4" w:space="0" w:color="FFFFFF"/>
              <w:left w:val="nil"/>
              <w:bottom w:val="nil"/>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c>
          <w:tcPr>
            <w:tcW w:w="1760" w:type="dxa"/>
            <w:gridSpan w:val="5"/>
            <w:tcBorders>
              <w:top w:val="single" w:sz="4" w:space="0" w:color="FFFFFF"/>
              <w:left w:val="nil"/>
              <w:bottom w:val="nil"/>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r>
      <w:tr w:rsidR="00490842" w:rsidRPr="00C03D57" w:rsidTr="00635E88">
        <w:trPr>
          <w:gridAfter w:val="1"/>
          <w:wAfter w:w="80" w:type="dxa"/>
          <w:trHeight w:val="300"/>
        </w:trPr>
        <w:tc>
          <w:tcPr>
            <w:tcW w:w="2163" w:type="dxa"/>
            <w:tcBorders>
              <w:top w:val="nil"/>
              <w:left w:val="nil"/>
              <w:bottom w:val="nil"/>
              <w:right w:val="nil"/>
            </w:tcBorders>
            <w:shd w:val="clear" w:color="auto" w:fill="005A70" w:themeFill="accent4"/>
            <w:noWrap/>
            <w:vAlign w:val="center"/>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 </w:t>
            </w:r>
          </w:p>
        </w:tc>
        <w:tc>
          <w:tcPr>
            <w:tcW w:w="563" w:type="dxa"/>
            <w:gridSpan w:val="2"/>
            <w:tcBorders>
              <w:top w:val="nil"/>
              <w:left w:val="single" w:sz="4" w:space="0" w:color="FFFFFF"/>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73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1</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2</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3</w:t>
            </w:r>
          </w:p>
        </w:tc>
        <w:tc>
          <w:tcPr>
            <w:tcW w:w="56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4</w:t>
            </w:r>
          </w:p>
        </w:tc>
        <w:tc>
          <w:tcPr>
            <w:tcW w:w="563" w:type="dxa"/>
            <w:gridSpan w:val="2"/>
            <w:tcBorders>
              <w:top w:val="nil"/>
              <w:left w:val="nil"/>
              <w:bottom w:val="single" w:sz="4" w:space="0" w:color="FFFFFF"/>
              <w:right w:val="single" w:sz="4" w:space="0" w:color="FFFFFF"/>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5</w:t>
            </w:r>
          </w:p>
        </w:tc>
        <w:tc>
          <w:tcPr>
            <w:tcW w:w="973" w:type="dxa"/>
            <w:gridSpan w:val="2"/>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DMS</w:t>
            </w:r>
          </w:p>
        </w:tc>
        <w:tc>
          <w:tcPr>
            <w:tcW w:w="787" w:type="dxa"/>
            <w:gridSpan w:val="3"/>
            <w:tcBorders>
              <w:top w:val="nil"/>
              <w:left w:val="nil"/>
              <w:bottom w:val="single" w:sz="4" w:space="0" w:color="FFFFFF"/>
              <w:right w:val="nil"/>
            </w:tcBorders>
            <w:shd w:val="clear" w:color="auto" w:fill="005A70" w:themeFill="accent4"/>
            <w:noWrap/>
            <w:vAlign w:val="bottom"/>
            <w:hideMark/>
          </w:tcPr>
          <w:p w:rsidR="00490842" w:rsidRPr="00C03D57" w:rsidRDefault="00490842" w:rsidP="006D512F">
            <w:pPr>
              <w:spacing w:after="0" w:line="240" w:lineRule="auto"/>
              <w:jc w:val="center"/>
              <w:rPr>
                <w:rFonts w:ascii="Calibri" w:hAnsi="Calibri" w:cs="Calibri"/>
                <w:b/>
                <w:bCs/>
                <w:color w:val="FFFFFF"/>
              </w:rPr>
            </w:pPr>
            <w:r w:rsidRPr="00C03D57">
              <w:rPr>
                <w:rFonts w:ascii="Calibri" w:hAnsi="Calibri" w:cs="Calibri"/>
                <w:b/>
                <w:bCs/>
                <w:color w:val="FFFFFF"/>
              </w:rPr>
              <w:t>ESS</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South Brisbane QLD</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510</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527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527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601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583</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South Eastern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120</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Southern Ranges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89</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Southern WA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29%</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32%</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Sturt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Sunshine Coast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395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343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156</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32%</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proofErr w:type="spellStart"/>
            <w:r w:rsidRPr="00C03D57">
              <w:rPr>
                <w:rFonts w:ascii="Calibri" w:hAnsi="Calibri" w:cs="Calibri"/>
                <w:b/>
                <w:bCs/>
                <w:color w:val="000000"/>
                <w:sz w:val="20"/>
                <w:szCs w:val="20"/>
              </w:rPr>
              <w:t>Sunraysia</w:t>
            </w:r>
            <w:proofErr w:type="spellEnd"/>
            <w:r w:rsidRPr="00C03D57">
              <w:rPr>
                <w:rFonts w:ascii="Calibri" w:hAnsi="Calibri" w:cs="Calibri"/>
                <w:b/>
                <w:bCs/>
                <w:color w:val="000000"/>
                <w:sz w:val="20"/>
                <w:szCs w:val="20"/>
              </w:rPr>
              <w:t xml:space="preserve">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51</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Toowoomba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209</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101</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28%</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Townsville QLD</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293</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Tweed NSW</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27%</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28%</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Upper Hunter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42</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56</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18%</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Warwick QLD</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Western Downs QLD</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45</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Western Adelaide SA</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216</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329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273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520</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18%</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19%</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Western District VIC</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55</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30</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37</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21%</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Westgate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846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944</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1094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338</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501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670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929</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23%</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proofErr w:type="spellStart"/>
            <w:r w:rsidRPr="00C03D57">
              <w:rPr>
                <w:rFonts w:ascii="Calibri" w:hAnsi="Calibri" w:cs="Calibri"/>
                <w:b/>
                <w:bCs/>
                <w:color w:val="000000"/>
                <w:sz w:val="20"/>
                <w:szCs w:val="20"/>
              </w:rPr>
              <w:t>Windamere</w:t>
            </w:r>
            <w:proofErr w:type="spellEnd"/>
            <w:r w:rsidRPr="00C03D57">
              <w:rPr>
                <w:rFonts w:ascii="Calibri" w:hAnsi="Calibri" w:cs="Calibri"/>
                <w:b/>
                <w:bCs/>
                <w:color w:val="000000"/>
                <w:sz w:val="20"/>
                <w:szCs w:val="20"/>
              </w:rPr>
              <w:t xml:space="preserve">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25</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28</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31</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33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44</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22%</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West and North West</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106</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164</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175</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65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97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77</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r>
      <w:tr w:rsidR="00490842" w:rsidRPr="00C03D57" w:rsidTr="006D512F">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Wollongong NSW</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186</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183</w:t>
            </w:r>
          </w:p>
        </w:tc>
        <w:tc>
          <w:tcPr>
            <w:tcW w:w="73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114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73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223</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224</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199</w:t>
            </w:r>
          </w:p>
        </w:tc>
        <w:tc>
          <w:tcPr>
            <w:tcW w:w="56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137</w:t>
            </w:r>
          </w:p>
        </w:tc>
        <w:tc>
          <w:tcPr>
            <w:tcW w:w="973" w:type="dxa"/>
            <w:gridSpan w:val="2"/>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26%</w:t>
            </w:r>
          </w:p>
        </w:tc>
        <w:tc>
          <w:tcPr>
            <w:tcW w:w="787" w:type="dxa"/>
            <w:gridSpan w:val="3"/>
            <w:tcBorders>
              <w:top w:val="nil"/>
              <w:left w:val="nil"/>
              <w:bottom w:val="single" w:sz="4" w:space="0" w:color="FFFFFF"/>
              <w:right w:val="single" w:sz="4" w:space="0" w:color="FFFFFF"/>
            </w:tcBorders>
            <w:shd w:val="clear" w:color="000000" w:fill="F2F2F2"/>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30%</w:t>
            </w:r>
          </w:p>
        </w:tc>
      </w:tr>
      <w:tr w:rsidR="00490842" w:rsidRPr="00C03D57" w:rsidTr="00635E88">
        <w:trPr>
          <w:gridAfter w:val="1"/>
          <w:wAfter w:w="80" w:type="dxa"/>
          <w:trHeight w:val="300"/>
        </w:trPr>
        <w:tc>
          <w:tcPr>
            <w:tcW w:w="2163" w:type="dxa"/>
            <w:tcBorders>
              <w:top w:val="nil"/>
              <w:left w:val="single" w:sz="4" w:space="0" w:color="FFFFFF"/>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rPr>
                <w:rFonts w:ascii="Calibri" w:hAnsi="Calibri" w:cs="Calibri"/>
                <w:b/>
                <w:bCs/>
                <w:color w:val="000000"/>
                <w:sz w:val="20"/>
                <w:szCs w:val="20"/>
              </w:rPr>
            </w:pPr>
            <w:r w:rsidRPr="00C03D57">
              <w:rPr>
                <w:rFonts w:ascii="Calibri" w:hAnsi="Calibri" w:cs="Calibri"/>
                <w:b/>
                <w:bCs/>
                <w:color w:val="000000"/>
                <w:sz w:val="20"/>
                <w:szCs w:val="20"/>
              </w:rPr>
              <w:t>Yarra VIC</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109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163</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152</w:t>
            </w:r>
          </w:p>
        </w:tc>
        <w:tc>
          <w:tcPr>
            <w:tcW w:w="73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139</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47</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142</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201</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190</w:t>
            </w:r>
          </w:p>
        </w:tc>
        <w:tc>
          <w:tcPr>
            <w:tcW w:w="56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right"/>
              <w:rPr>
                <w:rFonts w:ascii="Calibri" w:hAnsi="Calibri" w:cs="Calibri"/>
                <w:color w:val="000000"/>
                <w:sz w:val="20"/>
                <w:szCs w:val="20"/>
              </w:rPr>
            </w:pPr>
            <w:r w:rsidRPr="00C03D57">
              <w:rPr>
                <w:rFonts w:ascii="Calibri" w:hAnsi="Calibri" w:cs="Calibri"/>
                <w:color w:val="000000"/>
                <w:sz w:val="20"/>
                <w:szCs w:val="20"/>
              </w:rPr>
              <w:t>228</w:t>
            </w:r>
          </w:p>
        </w:tc>
        <w:tc>
          <w:tcPr>
            <w:tcW w:w="973" w:type="dxa"/>
            <w:gridSpan w:val="2"/>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24%</w:t>
            </w:r>
          </w:p>
        </w:tc>
        <w:tc>
          <w:tcPr>
            <w:tcW w:w="787" w:type="dxa"/>
            <w:gridSpan w:val="3"/>
            <w:tcBorders>
              <w:top w:val="nil"/>
              <w:left w:val="nil"/>
              <w:bottom w:val="single" w:sz="4" w:space="0" w:color="FFFFFF"/>
              <w:right w:val="single" w:sz="4" w:space="0" w:color="FFFFFF"/>
            </w:tcBorders>
            <w:shd w:val="clear" w:color="auto" w:fill="FFFFFF" w:themeFill="background1"/>
            <w:noWrap/>
            <w:vAlign w:val="bottom"/>
            <w:hideMark/>
          </w:tcPr>
          <w:p w:rsidR="00490842" w:rsidRPr="00C03D57" w:rsidRDefault="00490842" w:rsidP="006D512F">
            <w:pPr>
              <w:spacing w:after="0" w:line="240" w:lineRule="auto"/>
              <w:jc w:val="center"/>
              <w:rPr>
                <w:rFonts w:ascii="Calibri" w:hAnsi="Calibri" w:cs="Calibri"/>
                <w:color w:val="000000"/>
                <w:sz w:val="20"/>
                <w:szCs w:val="20"/>
              </w:rPr>
            </w:pPr>
            <w:r w:rsidRPr="00C03D57">
              <w:rPr>
                <w:rFonts w:ascii="Calibri" w:hAnsi="Calibri" w:cs="Calibri"/>
                <w:color w:val="000000"/>
                <w:sz w:val="20"/>
                <w:szCs w:val="20"/>
              </w:rPr>
              <w:t>25%</w:t>
            </w:r>
          </w:p>
        </w:tc>
      </w:tr>
    </w:tbl>
    <w:p w:rsidR="00490842" w:rsidRPr="00C03D57" w:rsidRDefault="00490842" w:rsidP="00490842">
      <w:pPr>
        <w:pStyle w:val="Default"/>
        <w:rPr>
          <w:b/>
          <w:sz w:val="25"/>
          <w:szCs w:val="25"/>
        </w:rPr>
      </w:pPr>
    </w:p>
    <w:p w:rsidR="00490842" w:rsidRPr="009C0880" w:rsidRDefault="00490842" w:rsidP="00490842"/>
    <w:p w:rsidR="00490842" w:rsidRDefault="00490842">
      <w:pPr>
        <w:spacing w:before="0" w:after="200" w:line="276" w:lineRule="auto"/>
        <w:rPr>
          <w:rFonts w:ascii="Georgia" w:eastAsiaTheme="majorEastAsia" w:hAnsi="Georgia" w:cstheme="majorBidi"/>
          <w:bCs/>
          <w:color w:val="24596E"/>
          <w:sz w:val="36"/>
          <w:szCs w:val="28"/>
        </w:rPr>
      </w:pPr>
      <w:r>
        <w:br w:type="page"/>
      </w:r>
    </w:p>
    <w:p w:rsidR="00C45FEB" w:rsidRPr="00586246" w:rsidRDefault="00C45FEB" w:rsidP="00C45FEB">
      <w:pPr>
        <w:pStyle w:val="Heading1"/>
      </w:pPr>
      <w:bookmarkStart w:id="69" w:name="_Toc483921476"/>
      <w:bookmarkStart w:id="70" w:name="_Toc484692319"/>
      <w:r>
        <w:lastRenderedPageBreak/>
        <w:t>Appendix</w:t>
      </w:r>
      <w:r w:rsidR="00214789">
        <w:t xml:space="preserve"> </w:t>
      </w:r>
      <w:r w:rsidR="00490842">
        <w:t>2</w:t>
      </w:r>
      <w:r w:rsidR="00214789">
        <w:t xml:space="preserve"> </w:t>
      </w:r>
      <w:r w:rsidR="006D35B0">
        <w:t xml:space="preserve">- </w:t>
      </w:r>
      <w:r w:rsidR="00214789" w:rsidRPr="00214789">
        <w:t>Disability Employment Services - Fee Schedule</w:t>
      </w:r>
      <w:bookmarkEnd w:id="69"/>
      <w:bookmarkEnd w:id="70"/>
      <w:r w:rsidR="00214789">
        <w:t xml:space="preserve"> </w:t>
      </w:r>
    </w:p>
    <w:tbl>
      <w:tblPr>
        <w:tblW w:w="552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78"/>
        <w:gridCol w:w="890"/>
        <w:gridCol w:w="822"/>
        <w:gridCol w:w="822"/>
        <w:gridCol w:w="822"/>
        <w:gridCol w:w="822"/>
        <w:gridCol w:w="911"/>
        <w:gridCol w:w="911"/>
        <w:gridCol w:w="911"/>
        <w:gridCol w:w="911"/>
        <w:gridCol w:w="903"/>
      </w:tblGrid>
      <w:tr w:rsidR="00214789" w:rsidRPr="0034502E" w:rsidTr="00F60946">
        <w:trPr>
          <w:trHeight w:val="460"/>
          <w:tblHeader/>
        </w:trPr>
        <w:tc>
          <w:tcPr>
            <w:tcW w:w="835" w:type="pct"/>
            <w:vMerge w:val="restart"/>
            <w:tcBorders>
              <w:top w:val="nil"/>
              <w:left w:val="nil"/>
            </w:tcBorders>
            <w:shd w:val="clear" w:color="auto" w:fill="auto"/>
            <w:vAlign w:val="center"/>
            <w:hideMark/>
          </w:tcPr>
          <w:p w:rsidR="00214789" w:rsidRPr="0034502E" w:rsidRDefault="00214789" w:rsidP="00A36AF7">
            <w:pPr>
              <w:jc w:val="center"/>
              <w:rPr>
                <w:rFonts w:ascii="Calibri" w:hAnsi="Calibri" w:cs="Calibri"/>
                <w:b/>
                <w:bCs/>
                <w:color w:val="000000"/>
                <w:sz w:val="20"/>
                <w:szCs w:val="20"/>
              </w:rPr>
            </w:pPr>
            <w:r w:rsidRPr="0034502E">
              <w:rPr>
                <w:rFonts w:ascii="Calibri" w:hAnsi="Calibri" w:cs="Calibri"/>
                <w:b/>
                <w:bCs/>
                <w:color w:val="000000"/>
                <w:sz w:val="20"/>
                <w:szCs w:val="20"/>
              </w:rPr>
              <w:t> </w:t>
            </w:r>
          </w:p>
        </w:tc>
        <w:tc>
          <w:tcPr>
            <w:tcW w:w="2012" w:type="pct"/>
            <w:gridSpan w:val="6"/>
            <w:vMerge w:val="restart"/>
            <w:tcBorders>
              <w:right w:val="single" w:sz="12" w:space="0" w:color="auto"/>
            </w:tcBorders>
            <w:shd w:val="clear" w:color="auto" w:fill="005A70" w:themeFill="accent4"/>
            <w:vAlign w:val="center"/>
            <w:hideMark/>
          </w:tcPr>
          <w:p w:rsidR="00214789" w:rsidRPr="00EF7346" w:rsidRDefault="00214789" w:rsidP="00A36AF7">
            <w:pPr>
              <w:jc w:val="center"/>
              <w:rPr>
                <w:rFonts w:ascii="Calibri" w:hAnsi="Calibri" w:cs="Calibri"/>
                <w:b/>
                <w:bCs/>
                <w:color w:val="FFFFFF" w:themeColor="background1"/>
                <w:sz w:val="20"/>
                <w:szCs w:val="20"/>
              </w:rPr>
            </w:pPr>
            <w:r w:rsidRPr="00EF7346">
              <w:rPr>
                <w:rFonts w:ascii="Calibri" w:hAnsi="Calibri" w:cs="Calibri"/>
                <w:b/>
                <w:bCs/>
                <w:color w:val="FFFFFF" w:themeColor="background1"/>
                <w:sz w:val="20"/>
                <w:szCs w:val="20"/>
              </w:rPr>
              <w:t>DMS 2018</w:t>
            </w:r>
          </w:p>
        </w:tc>
        <w:tc>
          <w:tcPr>
            <w:tcW w:w="2152" w:type="pct"/>
            <w:gridSpan w:val="5"/>
            <w:vMerge w:val="restart"/>
            <w:tcBorders>
              <w:left w:val="single" w:sz="12" w:space="0" w:color="auto"/>
            </w:tcBorders>
            <w:shd w:val="clear" w:color="auto" w:fill="005A70" w:themeFill="accent4"/>
            <w:vAlign w:val="center"/>
            <w:hideMark/>
          </w:tcPr>
          <w:p w:rsidR="00214789" w:rsidRPr="00EF7346" w:rsidRDefault="00214789" w:rsidP="00A36AF7">
            <w:pPr>
              <w:jc w:val="center"/>
              <w:rPr>
                <w:rFonts w:ascii="Calibri" w:hAnsi="Calibri" w:cs="Calibri"/>
                <w:b/>
                <w:bCs/>
                <w:color w:val="FFFFFF" w:themeColor="background1"/>
                <w:sz w:val="20"/>
                <w:szCs w:val="20"/>
              </w:rPr>
            </w:pPr>
            <w:r w:rsidRPr="00EF7346">
              <w:rPr>
                <w:rFonts w:ascii="Calibri" w:hAnsi="Calibri" w:cs="Calibri"/>
                <w:b/>
                <w:bCs/>
                <w:color w:val="FFFFFF" w:themeColor="background1"/>
                <w:sz w:val="20"/>
                <w:szCs w:val="20"/>
              </w:rPr>
              <w:t>ESS 2018</w:t>
            </w:r>
          </w:p>
        </w:tc>
      </w:tr>
      <w:tr w:rsidR="00214789" w:rsidRPr="0034502E" w:rsidTr="00F60946">
        <w:trPr>
          <w:trHeight w:val="580"/>
          <w:tblHeader/>
        </w:trPr>
        <w:tc>
          <w:tcPr>
            <w:tcW w:w="835" w:type="pct"/>
            <w:vMerge/>
            <w:tcBorders>
              <w:left w:val="nil"/>
            </w:tcBorders>
            <w:shd w:val="clear" w:color="auto" w:fill="auto"/>
            <w:vAlign w:val="center"/>
            <w:hideMark/>
          </w:tcPr>
          <w:p w:rsidR="00214789" w:rsidRPr="0034502E" w:rsidRDefault="00214789" w:rsidP="00A36AF7">
            <w:pPr>
              <w:rPr>
                <w:rFonts w:ascii="Calibri" w:hAnsi="Calibri" w:cs="Calibri"/>
                <w:b/>
                <w:bCs/>
                <w:color w:val="000000"/>
                <w:sz w:val="20"/>
                <w:szCs w:val="20"/>
              </w:rPr>
            </w:pPr>
          </w:p>
        </w:tc>
        <w:tc>
          <w:tcPr>
            <w:tcW w:w="2012" w:type="pct"/>
            <w:gridSpan w:val="6"/>
            <w:vMerge/>
            <w:tcBorders>
              <w:right w:val="single" w:sz="12" w:space="0" w:color="auto"/>
            </w:tcBorders>
            <w:shd w:val="clear" w:color="auto" w:fill="005A70" w:themeFill="accent4"/>
            <w:vAlign w:val="center"/>
            <w:hideMark/>
          </w:tcPr>
          <w:p w:rsidR="00214789" w:rsidRPr="00EF7346" w:rsidRDefault="00214789" w:rsidP="00A36AF7">
            <w:pPr>
              <w:rPr>
                <w:rFonts w:ascii="Calibri" w:hAnsi="Calibri" w:cs="Calibri"/>
                <w:b/>
                <w:bCs/>
                <w:color w:val="FFFFFF" w:themeColor="background1"/>
                <w:sz w:val="20"/>
                <w:szCs w:val="20"/>
              </w:rPr>
            </w:pPr>
          </w:p>
        </w:tc>
        <w:tc>
          <w:tcPr>
            <w:tcW w:w="2152" w:type="pct"/>
            <w:gridSpan w:val="5"/>
            <w:vMerge/>
            <w:tcBorders>
              <w:left w:val="single" w:sz="12" w:space="0" w:color="auto"/>
            </w:tcBorders>
            <w:shd w:val="clear" w:color="auto" w:fill="005A70" w:themeFill="accent4"/>
            <w:vAlign w:val="center"/>
            <w:hideMark/>
          </w:tcPr>
          <w:p w:rsidR="00214789" w:rsidRPr="00EF7346" w:rsidRDefault="00214789" w:rsidP="00A36AF7">
            <w:pPr>
              <w:rPr>
                <w:rFonts w:ascii="Calibri" w:hAnsi="Calibri" w:cs="Calibri"/>
                <w:b/>
                <w:bCs/>
                <w:color w:val="FFFFFF" w:themeColor="background1"/>
                <w:sz w:val="20"/>
                <w:szCs w:val="20"/>
              </w:rPr>
            </w:pPr>
          </w:p>
        </w:tc>
      </w:tr>
      <w:tr w:rsidR="00214789" w:rsidRPr="0034502E" w:rsidTr="00F60946">
        <w:trPr>
          <w:trHeight w:val="580"/>
          <w:tblHeader/>
        </w:trPr>
        <w:tc>
          <w:tcPr>
            <w:tcW w:w="835" w:type="pct"/>
            <w:vMerge/>
            <w:tcBorders>
              <w:left w:val="nil"/>
              <w:bottom w:val="nil"/>
            </w:tcBorders>
            <w:shd w:val="clear" w:color="auto" w:fill="auto"/>
            <w:vAlign w:val="center"/>
            <w:hideMark/>
          </w:tcPr>
          <w:p w:rsidR="00214789" w:rsidRPr="0034502E" w:rsidRDefault="00214789" w:rsidP="00A36AF7">
            <w:pPr>
              <w:rPr>
                <w:rFonts w:ascii="Calibri" w:hAnsi="Calibri" w:cs="Calibri"/>
                <w:b/>
                <w:bCs/>
                <w:color w:val="000000"/>
                <w:sz w:val="20"/>
                <w:szCs w:val="20"/>
              </w:rPr>
            </w:pPr>
          </w:p>
        </w:tc>
        <w:tc>
          <w:tcPr>
            <w:tcW w:w="457" w:type="pct"/>
            <w:gridSpan w:val="2"/>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DMS 1</w:t>
            </w:r>
          </w:p>
        </w:tc>
        <w:tc>
          <w:tcPr>
            <w:tcW w:w="389" w:type="pct"/>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DMS 2</w:t>
            </w:r>
          </w:p>
        </w:tc>
        <w:tc>
          <w:tcPr>
            <w:tcW w:w="389" w:type="pct"/>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DMS 3</w:t>
            </w:r>
          </w:p>
        </w:tc>
        <w:tc>
          <w:tcPr>
            <w:tcW w:w="389" w:type="pct"/>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DMS 4</w:t>
            </w:r>
          </w:p>
        </w:tc>
        <w:tc>
          <w:tcPr>
            <w:tcW w:w="389" w:type="pct"/>
            <w:vMerge w:val="restart"/>
            <w:tcBorders>
              <w:right w:val="single" w:sz="12" w:space="0" w:color="auto"/>
            </w:tcBorders>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DMS 5</w:t>
            </w:r>
          </w:p>
        </w:tc>
        <w:tc>
          <w:tcPr>
            <w:tcW w:w="431" w:type="pct"/>
            <w:vMerge w:val="restart"/>
            <w:tcBorders>
              <w:left w:val="single" w:sz="12" w:space="0" w:color="auto"/>
            </w:tcBorders>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ESS 1</w:t>
            </w:r>
          </w:p>
        </w:tc>
        <w:tc>
          <w:tcPr>
            <w:tcW w:w="431" w:type="pct"/>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ESS 2</w:t>
            </w:r>
          </w:p>
        </w:tc>
        <w:tc>
          <w:tcPr>
            <w:tcW w:w="431" w:type="pct"/>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ESS 3</w:t>
            </w:r>
          </w:p>
        </w:tc>
        <w:tc>
          <w:tcPr>
            <w:tcW w:w="431" w:type="pct"/>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ESS 4</w:t>
            </w:r>
          </w:p>
        </w:tc>
        <w:tc>
          <w:tcPr>
            <w:tcW w:w="428" w:type="pct"/>
            <w:vMerge w:val="restart"/>
            <w:shd w:val="clear" w:color="auto" w:fill="005A70" w:themeFill="accent4"/>
            <w:vAlign w:val="center"/>
            <w:hideMark/>
          </w:tcPr>
          <w:p w:rsidR="00214789" w:rsidRPr="00EF7346" w:rsidRDefault="00214789" w:rsidP="00A36AF7">
            <w:pPr>
              <w:jc w:val="center"/>
              <w:rPr>
                <w:rFonts w:ascii="Calibri" w:hAnsi="Calibri" w:cs="Calibri"/>
                <w:b/>
                <w:bCs/>
                <w:i/>
                <w:iCs/>
                <w:color w:val="FFFFFF" w:themeColor="background1"/>
                <w:sz w:val="20"/>
                <w:szCs w:val="20"/>
              </w:rPr>
            </w:pPr>
            <w:r w:rsidRPr="00EF7346">
              <w:rPr>
                <w:rFonts w:ascii="Calibri" w:hAnsi="Calibri" w:cs="Calibri"/>
                <w:b/>
                <w:bCs/>
                <w:i/>
                <w:iCs/>
                <w:color w:val="FFFFFF" w:themeColor="background1"/>
                <w:sz w:val="20"/>
                <w:szCs w:val="20"/>
              </w:rPr>
              <w:t>ESS 5</w:t>
            </w:r>
          </w:p>
        </w:tc>
      </w:tr>
      <w:tr w:rsidR="00214789" w:rsidRPr="0034502E" w:rsidTr="00F60946">
        <w:trPr>
          <w:trHeight w:val="116"/>
          <w:tblHeader/>
        </w:trPr>
        <w:tc>
          <w:tcPr>
            <w:tcW w:w="835" w:type="pct"/>
            <w:tcBorders>
              <w:top w:val="nil"/>
              <w:left w:val="nil"/>
            </w:tcBorders>
            <w:shd w:val="clear" w:color="auto" w:fill="auto"/>
            <w:vAlign w:val="center"/>
            <w:hideMark/>
          </w:tcPr>
          <w:p w:rsidR="00214789" w:rsidRPr="0034502E" w:rsidRDefault="00214789" w:rsidP="00A36AF7">
            <w:pPr>
              <w:jc w:val="center"/>
              <w:rPr>
                <w:rFonts w:ascii="Calibri" w:hAnsi="Calibri" w:cs="Calibri"/>
                <w:b/>
                <w:bCs/>
                <w:color w:val="000000"/>
                <w:sz w:val="20"/>
                <w:szCs w:val="20"/>
              </w:rPr>
            </w:pPr>
          </w:p>
        </w:tc>
        <w:tc>
          <w:tcPr>
            <w:tcW w:w="457" w:type="pct"/>
            <w:gridSpan w:val="2"/>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389" w:type="pct"/>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389" w:type="pct"/>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389" w:type="pct"/>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389" w:type="pct"/>
            <w:vMerge/>
            <w:tcBorders>
              <w:bottom w:val="single" w:sz="4" w:space="0" w:color="auto"/>
              <w:right w:val="single" w:sz="12"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431" w:type="pct"/>
            <w:vMerge/>
            <w:tcBorders>
              <w:left w:val="single" w:sz="12" w:space="0" w:color="auto"/>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431" w:type="pct"/>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431" w:type="pct"/>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431" w:type="pct"/>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c>
          <w:tcPr>
            <w:tcW w:w="428" w:type="pct"/>
            <w:vMerge/>
            <w:tcBorders>
              <w:bottom w:val="single" w:sz="4" w:space="0" w:color="auto"/>
            </w:tcBorders>
            <w:shd w:val="clear" w:color="auto" w:fill="005A70" w:themeFill="accent4"/>
            <w:vAlign w:val="center"/>
            <w:hideMark/>
          </w:tcPr>
          <w:p w:rsidR="00214789" w:rsidRPr="0034502E" w:rsidRDefault="00214789" w:rsidP="00A36AF7">
            <w:pPr>
              <w:jc w:val="center"/>
              <w:rPr>
                <w:rFonts w:ascii="Calibri" w:hAnsi="Calibri" w:cs="Calibri"/>
                <w:i/>
                <w:iCs/>
                <w:color w:val="000000"/>
                <w:sz w:val="20"/>
                <w:szCs w:val="20"/>
              </w:rPr>
            </w:pPr>
          </w:p>
        </w:tc>
      </w:tr>
      <w:tr w:rsidR="00EF7346" w:rsidRPr="00EF7346" w:rsidTr="00EF7346">
        <w:trPr>
          <w:trHeight w:val="116"/>
        </w:trPr>
        <w:tc>
          <w:tcPr>
            <w:tcW w:w="5000" w:type="pct"/>
            <w:gridSpan w:val="12"/>
            <w:shd w:val="clear" w:color="auto" w:fill="B1E4E3" w:themeFill="accent6"/>
            <w:vAlign w:val="center"/>
          </w:tcPr>
          <w:p w:rsidR="00214789" w:rsidRPr="00EF7346" w:rsidRDefault="00214789" w:rsidP="00A36AF7">
            <w:pPr>
              <w:jc w:val="center"/>
              <w:rPr>
                <w:rFonts w:ascii="Calibri" w:hAnsi="Calibri" w:cs="Calibri"/>
                <w:i/>
                <w:iCs/>
                <w:sz w:val="20"/>
                <w:szCs w:val="20"/>
              </w:rPr>
            </w:pPr>
            <w:r w:rsidRPr="00EF7346">
              <w:rPr>
                <w:rFonts w:ascii="Calibri" w:hAnsi="Calibri" w:cs="Calibri"/>
                <w:b/>
                <w:bCs/>
                <w:sz w:val="20"/>
                <w:szCs w:val="20"/>
              </w:rPr>
              <w:t>SERVICE FEES</w:t>
            </w:r>
          </w:p>
        </w:tc>
      </w:tr>
      <w:tr w:rsidR="00214789" w:rsidRPr="0034502E" w:rsidTr="00F60946">
        <w:trPr>
          <w:trHeight w:val="345"/>
        </w:trPr>
        <w:tc>
          <w:tcPr>
            <w:tcW w:w="835" w:type="pct"/>
            <w:shd w:val="clear" w:color="auto" w:fill="B1E4E3" w:themeFill="accent6"/>
            <w:vAlign w:val="center"/>
            <w:hideMark/>
          </w:tcPr>
          <w:p w:rsidR="00214789" w:rsidRPr="0034502E" w:rsidRDefault="00214789" w:rsidP="00A36AF7">
            <w:pPr>
              <w:rPr>
                <w:rFonts w:ascii="Calibri" w:hAnsi="Calibri" w:cs="Calibri"/>
                <w:i/>
                <w:iCs/>
                <w:color w:val="000000"/>
                <w:sz w:val="20"/>
                <w:szCs w:val="20"/>
              </w:rPr>
            </w:pPr>
            <w:r w:rsidRPr="0034502E">
              <w:rPr>
                <w:rFonts w:ascii="Calibri" w:hAnsi="Calibri" w:cs="Calibri"/>
                <w:i/>
                <w:iCs/>
                <w:color w:val="000000"/>
                <w:sz w:val="20"/>
                <w:szCs w:val="20"/>
              </w:rPr>
              <w:t>1</w:t>
            </w:r>
            <w:r w:rsidRPr="0034502E">
              <w:rPr>
                <w:rFonts w:ascii="Calibri" w:hAnsi="Calibri" w:cs="Calibri"/>
                <w:i/>
                <w:iCs/>
                <w:color w:val="000000"/>
                <w:sz w:val="20"/>
                <w:szCs w:val="20"/>
                <w:vertAlign w:val="superscript"/>
              </w:rPr>
              <w:t>st</w:t>
            </w:r>
            <w:r w:rsidRPr="0034502E">
              <w:rPr>
                <w:rFonts w:ascii="Calibri" w:hAnsi="Calibri" w:cs="Calibri"/>
                <w:i/>
                <w:iCs/>
                <w:color w:val="000000"/>
                <w:sz w:val="20"/>
                <w:szCs w:val="20"/>
              </w:rPr>
              <w:t xml:space="preserve"> &amp; 2</w:t>
            </w:r>
            <w:r w:rsidRPr="0034502E">
              <w:rPr>
                <w:rFonts w:ascii="Calibri" w:hAnsi="Calibri" w:cs="Calibri"/>
                <w:i/>
                <w:iCs/>
                <w:color w:val="000000"/>
                <w:sz w:val="20"/>
                <w:szCs w:val="20"/>
                <w:vertAlign w:val="superscript"/>
              </w:rPr>
              <w:t>nd</w:t>
            </w:r>
            <w:r w:rsidRPr="0034502E">
              <w:rPr>
                <w:rFonts w:ascii="Calibri" w:hAnsi="Calibri" w:cs="Calibri"/>
                <w:i/>
                <w:iCs/>
                <w:color w:val="000000"/>
                <w:sz w:val="20"/>
                <w:szCs w:val="20"/>
              </w:rPr>
              <w:t xml:space="preserve"> Quarterly Service Fees</w:t>
            </w:r>
          </w:p>
        </w:tc>
        <w:tc>
          <w:tcPr>
            <w:tcW w:w="457" w:type="pct"/>
            <w:gridSpan w:val="2"/>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$1,141</w:t>
            </w:r>
          </w:p>
        </w:tc>
        <w:tc>
          <w:tcPr>
            <w:tcW w:w="389"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$1,141</w:t>
            </w:r>
          </w:p>
        </w:tc>
        <w:tc>
          <w:tcPr>
            <w:tcW w:w="389"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$1,141</w:t>
            </w:r>
          </w:p>
        </w:tc>
        <w:tc>
          <w:tcPr>
            <w:tcW w:w="389"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w:t>
            </w:r>
            <w:r>
              <w:rPr>
                <w:rFonts w:ascii="Calibri" w:hAnsi="Calibri" w:cs="Calibri"/>
                <w:color w:val="000000"/>
                <w:sz w:val="20"/>
                <w:szCs w:val="20"/>
              </w:rPr>
              <w:t>1,141</w:t>
            </w:r>
          </w:p>
        </w:tc>
        <w:tc>
          <w:tcPr>
            <w:tcW w:w="389" w:type="pct"/>
            <w:tcBorders>
              <w:right w:val="single" w:sz="12"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$1,141</w:t>
            </w:r>
          </w:p>
        </w:tc>
        <w:tc>
          <w:tcPr>
            <w:tcW w:w="431" w:type="pct"/>
            <w:tcBorders>
              <w:left w:val="single" w:sz="12"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w:t>
            </w:r>
          </w:p>
        </w:tc>
        <w:tc>
          <w:tcPr>
            <w:tcW w:w="431"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w:t>
            </w:r>
          </w:p>
        </w:tc>
        <w:tc>
          <w:tcPr>
            <w:tcW w:w="431"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w:t>
            </w:r>
            <w:r>
              <w:rPr>
                <w:rFonts w:ascii="Calibri" w:hAnsi="Calibri" w:cs="Calibri"/>
                <w:color w:val="000000"/>
                <w:sz w:val="20"/>
                <w:szCs w:val="20"/>
              </w:rPr>
              <w:t>662</w:t>
            </w:r>
          </w:p>
        </w:tc>
        <w:tc>
          <w:tcPr>
            <w:tcW w:w="431"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$1,389</w:t>
            </w:r>
          </w:p>
        </w:tc>
        <w:tc>
          <w:tcPr>
            <w:tcW w:w="428"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1,389</w:t>
            </w:r>
          </w:p>
        </w:tc>
      </w:tr>
      <w:tr w:rsidR="00214789" w:rsidRPr="0034502E" w:rsidTr="00F60946">
        <w:trPr>
          <w:trHeight w:val="345"/>
        </w:trPr>
        <w:tc>
          <w:tcPr>
            <w:tcW w:w="835" w:type="pct"/>
            <w:tcBorders>
              <w:bottom w:val="single" w:sz="4" w:space="0" w:color="auto"/>
            </w:tcBorders>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3</w:t>
            </w:r>
            <w:r w:rsidRPr="0034502E">
              <w:rPr>
                <w:rFonts w:ascii="Calibri" w:hAnsi="Calibri" w:cs="Calibri"/>
                <w:color w:val="000000"/>
                <w:sz w:val="20"/>
                <w:szCs w:val="20"/>
                <w:vertAlign w:val="superscript"/>
              </w:rPr>
              <w:t xml:space="preserve">rd, </w:t>
            </w:r>
            <w:r w:rsidRPr="0034502E">
              <w:rPr>
                <w:rFonts w:ascii="Calibri" w:hAnsi="Calibri" w:cs="Calibri"/>
                <w:color w:val="000000"/>
                <w:sz w:val="20"/>
                <w:szCs w:val="20"/>
              </w:rPr>
              <w:t xml:space="preserve"> 4</w:t>
            </w:r>
            <w:r w:rsidRPr="0034502E">
              <w:rPr>
                <w:rFonts w:ascii="Calibri" w:hAnsi="Calibri" w:cs="Calibri"/>
                <w:color w:val="000000"/>
                <w:sz w:val="20"/>
                <w:szCs w:val="20"/>
                <w:vertAlign w:val="superscript"/>
              </w:rPr>
              <w:t xml:space="preserve">th, </w:t>
            </w:r>
            <w:r w:rsidRPr="0034502E">
              <w:rPr>
                <w:rFonts w:ascii="Calibri" w:hAnsi="Calibri" w:cs="Calibri"/>
                <w:color w:val="000000"/>
                <w:sz w:val="20"/>
                <w:szCs w:val="20"/>
              </w:rPr>
              <w:t xml:space="preserve"> 5</w:t>
            </w:r>
            <w:r w:rsidRPr="0034502E">
              <w:rPr>
                <w:rFonts w:ascii="Calibri" w:hAnsi="Calibri" w:cs="Calibri"/>
                <w:color w:val="000000"/>
                <w:sz w:val="20"/>
                <w:szCs w:val="20"/>
                <w:vertAlign w:val="superscript"/>
              </w:rPr>
              <w:t xml:space="preserve">th, </w:t>
            </w:r>
            <w:r w:rsidRPr="0034502E">
              <w:rPr>
                <w:rFonts w:ascii="Calibri" w:hAnsi="Calibri" w:cs="Calibri"/>
                <w:color w:val="000000"/>
                <w:sz w:val="20"/>
                <w:szCs w:val="20"/>
              </w:rPr>
              <w:t xml:space="preserve"> 6</w:t>
            </w:r>
            <w:r w:rsidRPr="0034502E">
              <w:rPr>
                <w:rFonts w:ascii="Calibri" w:hAnsi="Calibri" w:cs="Calibri"/>
                <w:color w:val="000000"/>
                <w:sz w:val="20"/>
                <w:szCs w:val="20"/>
                <w:vertAlign w:val="superscript"/>
              </w:rPr>
              <w:t xml:space="preserve">th, </w:t>
            </w:r>
            <w:r w:rsidRPr="0034502E">
              <w:rPr>
                <w:rFonts w:ascii="Calibri" w:hAnsi="Calibri" w:cs="Calibri"/>
                <w:color w:val="000000"/>
                <w:sz w:val="20"/>
                <w:szCs w:val="20"/>
              </w:rPr>
              <w:t xml:space="preserve"> 7</w:t>
            </w:r>
            <w:r w:rsidRPr="0034502E">
              <w:rPr>
                <w:rFonts w:ascii="Calibri" w:hAnsi="Calibri" w:cs="Calibri"/>
                <w:color w:val="000000"/>
                <w:sz w:val="20"/>
                <w:szCs w:val="20"/>
                <w:vertAlign w:val="superscript"/>
              </w:rPr>
              <w:t>th</w:t>
            </w:r>
            <w:r w:rsidRPr="0034502E">
              <w:rPr>
                <w:rFonts w:ascii="Calibri" w:hAnsi="Calibri" w:cs="Calibri"/>
                <w:color w:val="000000"/>
                <w:sz w:val="20"/>
                <w:szCs w:val="20"/>
              </w:rPr>
              <w:t xml:space="preserve"> &amp; 8</w:t>
            </w:r>
            <w:r w:rsidRPr="0034502E">
              <w:rPr>
                <w:rFonts w:ascii="Calibri" w:hAnsi="Calibri" w:cs="Calibri"/>
                <w:color w:val="000000"/>
                <w:sz w:val="20"/>
                <w:szCs w:val="20"/>
                <w:vertAlign w:val="superscript"/>
              </w:rPr>
              <w:t>th</w:t>
            </w:r>
            <w:r w:rsidRPr="0034502E">
              <w:rPr>
                <w:rFonts w:ascii="Calibri" w:hAnsi="Calibri" w:cs="Calibri"/>
                <w:color w:val="000000"/>
                <w:sz w:val="20"/>
                <w:szCs w:val="20"/>
              </w:rPr>
              <w:t xml:space="preserve"> Quarterly Service Fee</w:t>
            </w:r>
          </w:p>
        </w:tc>
        <w:tc>
          <w:tcPr>
            <w:tcW w:w="457" w:type="pct"/>
            <w:gridSpan w:val="2"/>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$571</w:t>
            </w:r>
          </w:p>
        </w:tc>
        <w:tc>
          <w:tcPr>
            <w:tcW w:w="389"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571</w:t>
            </w:r>
          </w:p>
        </w:tc>
        <w:tc>
          <w:tcPr>
            <w:tcW w:w="389"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$571</w:t>
            </w:r>
          </w:p>
        </w:tc>
        <w:tc>
          <w:tcPr>
            <w:tcW w:w="389"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$571</w:t>
            </w:r>
          </w:p>
        </w:tc>
        <w:tc>
          <w:tcPr>
            <w:tcW w:w="389" w:type="pct"/>
            <w:tcBorders>
              <w:bottom w:val="single" w:sz="4" w:space="0" w:color="auto"/>
              <w:right w:val="single" w:sz="12"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571</w:t>
            </w:r>
          </w:p>
        </w:tc>
        <w:tc>
          <w:tcPr>
            <w:tcW w:w="431" w:type="pct"/>
            <w:tcBorders>
              <w:left w:val="single" w:sz="12" w:space="0" w:color="auto"/>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w:t>
            </w:r>
          </w:p>
        </w:tc>
        <w:tc>
          <w:tcPr>
            <w:tcW w:w="431"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w:t>
            </w:r>
          </w:p>
        </w:tc>
        <w:tc>
          <w:tcPr>
            <w:tcW w:w="431"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w:t>
            </w:r>
          </w:p>
        </w:tc>
        <w:tc>
          <w:tcPr>
            <w:tcW w:w="431"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$1,389</w:t>
            </w:r>
          </w:p>
        </w:tc>
        <w:tc>
          <w:tcPr>
            <w:tcW w:w="428"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$1</w:t>
            </w:r>
            <w:r w:rsidRPr="0034502E">
              <w:rPr>
                <w:rFonts w:ascii="Calibri" w:hAnsi="Calibri" w:cs="Calibri"/>
                <w:color w:val="000000"/>
                <w:sz w:val="20"/>
                <w:szCs w:val="20"/>
              </w:rPr>
              <w:t>,389</w:t>
            </w:r>
          </w:p>
        </w:tc>
      </w:tr>
      <w:tr w:rsidR="00214789" w:rsidRPr="0034502E" w:rsidTr="00EF7346">
        <w:trPr>
          <w:trHeight w:val="300"/>
        </w:trPr>
        <w:tc>
          <w:tcPr>
            <w:tcW w:w="5000" w:type="pct"/>
            <w:gridSpan w:val="12"/>
            <w:shd w:val="clear" w:color="auto" w:fill="B1E4E3" w:themeFill="accent6"/>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b/>
                <w:bCs/>
                <w:color w:val="000000"/>
                <w:sz w:val="20"/>
                <w:szCs w:val="20"/>
              </w:rPr>
              <w:t>OUTCOME FEES (4 WEEKS)</w:t>
            </w:r>
          </w:p>
        </w:tc>
      </w:tr>
      <w:tr w:rsidR="00214789" w:rsidRPr="0034502E" w:rsidTr="00F60946">
        <w:trPr>
          <w:trHeight w:val="300"/>
        </w:trPr>
        <w:tc>
          <w:tcPr>
            <w:tcW w:w="835" w:type="pct"/>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Full Outcome – 4</w:t>
            </w:r>
            <w:r>
              <w:rPr>
                <w:rFonts w:ascii="Calibri" w:hAnsi="Calibri" w:cs="Calibri"/>
                <w:color w:val="000000"/>
                <w:sz w:val="20"/>
                <w:szCs w:val="20"/>
              </w:rPr>
              <w:t> </w:t>
            </w:r>
            <w:r w:rsidRPr="0034502E">
              <w:rPr>
                <w:rFonts w:ascii="Calibri" w:hAnsi="Calibri" w:cs="Calibri"/>
                <w:color w:val="000000"/>
                <w:sz w:val="20"/>
                <w:szCs w:val="20"/>
              </w:rPr>
              <w:t>Weeks</w:t>
            </w:r>
          </w:p>
        </w:tc>
        <w:tc>
          <w:tcPr>
            <w:tcW w:w="457" w:type="pct"/>
            <w:gridSpan w:val="2"/>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$658</w:t>
            </w:r>
          </w:p>
        </w:tc>
        <w:tc>
          <w:tcPr>
            <w:tcW w:w="389"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$865</w:t>
            </w:r>
          </w:p>
        </w:tc>
        <w:tc>
          <w:tcPr>
            <w:tcW w:w="389"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$1,048</w:t>
            </w:r>
          </w:p>
        </w:tc>
        <w:tc>
          <w:tcPr>
            <w:tcW w:w="389"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$1,246</w:t>
            </w:r>
          </w:p>
        </w:tc>
        <w:tc>
          <w:tcPr>
            <w:tcW w:w="389" w:type="pct"/>
            <w:tcBorders>
              <w:right w:val="single" w:sz="12"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w:t>
            </w:r>
            <w:r>
              <w:rPr>
                <w:rFonts w:ascii="Calibri" w:hAnsi="Calibri" w:cs="Calibri"/>
                <w:color w:val="000000"/>
                <w:sz w:val="20"/>
                <w:szCs w:val="20"/>
              </w:rPr>
              <w:t>1</w:t>
            </w:r>
            <w:r w:rsidRPr="0034502E">
              <w:rPr>
                <w:rFonts w:ascii="Calibri" w:hAnsi="Calibri" w:cs="Calibri"/>
                <w:color w:val="000000"/>
                <w:sz w:val="20"/>
                <w:szCs w:val="20"/>
              </w:rPr>
              <w:t>,628</w:t>
            </w:r>
          </w:p>
        </w:tc>
        <w:tc>
          <w:tcPr>
            <w:tcW w:w="431" w:type="pct"/>
            <w:tcBorders>
              <w:left w:val="single" w:sz="12"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$704</w:t>
            </w:r>
          </w:p>
        </w:tc>
        <w:tc>
          <w:tcPr>
            <w:tcW w:w="431"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$976</w:t>
            </w:r>
          </w:p>
        </w:tc>
        <w:tc>
          <w:tcPr>
            <w:tcW w:w="431"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$1,191</w:t>
            </w:r>
          </w:p>
        </w:tc>
        <w:tc>
          <w:tcPr>
            <w:tcW w:w="431"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$1,414</w:t>
            </w:r>
          </w:p>
        </w:tc>
        <w:tc>
          <w:tcPr>
            <w:tcW w:w="428" w:type="pct"/>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$1,897</w:t>
            </w:r>
          </w:p>
        </w:tc>
      </w:tr>
      <w:tr w:rsidR="00214789" w:rsidRPr="0034502E" w:rsidTr="00F60946">
        <w:trPr>
          <w:trHeight w:val="300"/>
        </w:trPr>
        <w:tc>
          <w:tcPr>
            <w:tcW w:w="835" w:type="pct"/>
            <w:tcBorders>
              <w:bottom w:val="single" w:sz="4" w:space="0" w:color="auto"/>
            </w:tcBorders>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Moder</w:t>
            </w:r>
            <w:r>
              <w:rPr>
                <w:rFonts w:ascii="Calibri" w:hAnsi="Calibri" w:cs="Calibri"/>
                <w:color w:val="000000"/>
                <w:sz w:val="20"/>
                <w:szCs w:val="20"/>
              </w:rPr>
              <w:t xml:space="preserve">ate Intellectual Disability </w:t>
            </w:r>
            <w:r w:rsidR="00071CD7">
              <w:rPr>
                <w:rFonts w:ascii="Calibri" w:hAnsi="Calibri" w:cs="Calibri"/>
                <w:color w:val="000000"/>
                <w:sz w:val="20"/>
                <w:szCs w:val="20"/>
              </w:rPr>
              <w:t>Loading</w:t>
            </w:r>
            <w:r>
              <w:rPr>
                <w:rFonts w:ascii="Calibri" w:hAnsi="Calibri" w:cs="Calibri"/>
                <w:color w:val="000000"/>
                <w:sz w:val="20"/>
                <w:szCs w:val="20"/>
              </w:rPr>
              <w:t>– 4 </w:t>
            </w:r>
            <w:r w:rsidRPr="0034502E">
              <w:rPr>
                <w:rFonts w:ascii="Calibri" w:hAnsi="Calibri" w:cs="Calibri"/>
                <w:color w:val="000000"/>
                <w:sz w:val="20"/>
                <w:szCs w:val="20"/>
              </w:rPr>
              <w:t>Weeks</w:t>
            </w:r>
          </w:p>
        </w:tc>
        <w:tc>
          <w:tcPr>
            <w:tcW w:w="457" w:type="pct"/>
            <w:gridSpan w:val="2"/>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431" w:type="pct"/>
            <w:tcBorders>
              <w:left w:val="single" w:sz="12" w:space="0" w:color="auto"/>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$2,110</w:t>
            </w:r>
          </w:p>
        </w:tc>
        <w:tc>
          <w:tcPr>
            <w:tcW w:w="431"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$2,110</w:t>
            </w:r>
          </w:p>
        </w:tc>
        <w:tc>
          <w:tcPr>
            <w:tcW w:w="431"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$2,110</w:t>
            </w:r>
          </w:p>
        </w:tc>
        <w:tc>
          <w:tcPr>
            <w:tcW w:w="431"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$2,110</w:t>
            </w:r>
          </w:p>
        </w:tc>
        <w:tc>
          <w:tcPr>
            <w:tcW w:w="428" w:type="pct"/>
            <w:tcBorders>
              <w:bottom w:val="single" w:sz="4" w:space="0" w:color="auto"/>
            </w:tcBorders>
            <w:shd w:val="clear" w:color="auto" w:fill="auto"/>
            <w:noWrap/>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$2,110</w:t>
            </w:r>
          </w:p>
        </w:tc>
      </w:tr>
      <w:tr w:rsidR="00214789" w:rsidRPr="0034502E" w:rsidTr="00EF7346">
        <w:trPr>
          <w:trHeight w:val="300"/>
        </w:trPr>
        <w:tc>
          <w:tcPr>
            <w:tcW w:w="5000" w:type="pct"/>
            <w:gridSpan w:val="12"/>
            <w:shd w:val="clear" w:color="auto" w:fill="B1E4E3" w:themeFill="accent6"/>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b/>
                <w:bCs/>
                <w:color w:val="000000"/>
                <w:sz w:val="20"/>
                <w:szCs w:val="20"/>
              </w:rPr>
              <w:t>OUTCOME FEES (13 WEEKS)</w:t>
            </w:r>
          </w:p>
        </w:tc>
      </w:tr>
      <w:tr w:rsidR="00214789" w:rsidRPr="0034502E" w:rsidTr="00F60946">
        <w:trPr>
          <w:trHeight w:val="300"/>
        </w:trPr>
        <w:tc>
          <w:tcPr>
            <w:tcW w:w="835" w:type="pct"/>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Full Outcome – 13</w:t>
            </w:r>
            <w:r>
              <w:rPr>
                <w:rFonts w:ascii="Calibri" w:hAnsi="Calibri" w:cs="Calibri"/>
                <w:color w:val="000000"/>
                <w:sz w:val="20"/>
                <w:szCs w:val="20"/>
              </w:rPr>
              <w:t> </w:t>
            </w:r>
            <w:r w:rsidRPr="0034502E">
              <w:rPr>
                <w:rFonts w:ascii="Calibri" w:hAnsi="Calibri" w:cs="Calibri"/>
                <w:color w:val="000000"/>
                <w:sz w:val="20"/>
                <w:szCs w:val="20"/>
              </w:rPr>
              <w:t>Weeks</w:t>
            </w:r>
          </w:p>
        </w:tc>
        <w:tc>
          <w:tcPr>
            <w:tcW w:w="457" w:type="pct"/>
            <w:gridSpan w:val="2"/>
            <w:shd w:val="clear" w:color="auto" w:fill="auto"/>
            <w:vAlign w:val="center"/>
            <w:hideMark/>
          </w:tcPr>
          <w:p w:rsidR="00214789" w:rsidRPr="0034502E" w:rsidRDefault="00214789" w:rsidP="001F7437">
            <w:pPr>
              <w:jc w:val="center"/>
              <w:rPr>
                <w:rFonts w:ascii="Calibri" w:hAnsi="Calibri" w:cs="Calibri"/>
                <w:color w:val="000000"/>
                <w:sz w:val="20"/>
                <w:szCs w:val="20"/>
              </w:rPr>
            </w:pPr>
            <w:r w:rsidRPr="0034502E">
              <w:rPr>
                <w:rFonts w:ascii="Calibri" w:hAnsi="Calibri" w:cs="Calibri"/>
                <w:color w:val="000000"/>
                <w:sz w:val="20"/>
                <w:szCs w:val="20"/>
              </w:rPr>
              <w:t>$ 1,048</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1,816</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2,663</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3,767</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6,426</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1,246</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2,395</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3,567</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5,032</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9,060</w:t>
            </w:r>
          </w:p>
        </w:tc>
      </w:tr>
      <w:tr w:rsidR="00214789" w:rsidRPr="0034502E" w:rsidTr="00F60946">
        <w:trPr>
          <w:trHeight w:val="300"/>
        </w:trPr>
        <w:tc>
          <w:tcPr>
            <w:tcW w:w="835" w:type="pct"/>
            <w:shd w:val="clear" w:color="auto" w:fill="B1E4E3" w:themeFill="accent6"/>
            <w:vAlign w:val="center"/>
            <w:hideMark/>
          </w:tcPr>
          <w:p w:rsidR="00214789" w:rsidRPr="0034502E" w:rsidRDefault="00214789" w:rsidP="00A36AF7">
            <w:pPr>
              <w:rPr>
                <w:rFonts w:ascii="Calibri" w:hAnsi="Calibri" w:cs="Calibri"/>
                <w:color w:val="000000"/>
                <w:sz w:val="20"/>
                <w:szCs w:val="20"/>
              </w:rPr>
            </w:pPr>
            <w:r>
              <w:rPr>
                <w:rFonts w:ascii="Calibri" w:hAnsi="Calibri" w:cs="Calibri"/>
                <w:color w:val="000000"/>
                <w:sz w:val="20"/>
                <w:szCs w:val="20"/>
              </w:rPr>
              <w:t>Pathway Outcome – 13 </w:t>
            </w:r>
            <w:r w:rsidRPr="0034502E">
              <w:rPr>
                <w:rFonts w:ascii="Calibri" w:hAnsi="Calibri" w:cs="Calibri"/>
                <w:color w:val="000000"/>
                <w:sz w:val="20"/>
                <w:szCs w:val="20"/>
              </w:rPr>
              <w:t>Weeks</w:t>
            </w:r>
          </w:p>
        </w:tc>
        <w:tc>
          <w:tcPr>
            <w:tcW w:w="457" w:type="pct"/>
            <w:gridSpan w:val="2"/>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$346</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599</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879</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1,243</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2,121</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411</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790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1,177</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1,661</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2,990</w:t>
            </w:r>
          </w:p>
        </w:tc>
      </w:tr>
      <w:tr w:rsidR="00214789" w:rsidRPr="0034502E" w:rsidTr="00821C4A">
        <w:trPr>
          <w:trHeight w:val="300"/>
        </w:trPr>
        <w:tc>
          <w:tcPr>
            <w:tcW w:w="835" w:type="pct"/>
            <w:tcBorders>
              <w:bottom w:val="single" w:sz="4" w:space="0" w:color="auto"/>
            </w:tcBorders>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 xml:space="preserve">Moderate </w:t>
            </w:r>
            <w:r>
              <w:rPr>
                <w:rFonts w:ascii="Calibri" w:hAnsi="Calibri" w:cs="Calibri"/>
                <w:color w:val="000000"/>
                <w:sz w:val="20"/>
                <w:szCs w:val="20"/>
              </w:rPr>
              <w:t>Intellectual Disability</w:t>
            </w:r>
            <w:r w:rsidR="00071CD7">
              <w:rPr>
                <w:rFonts w:ascii="Calibri" w:hAnsi="Calibri" w:cs="Calibri"/>
                <w:color w:val="000000"/>
                <w:sz w:val="20"/>
                <w:szCs w:val="20"/>
              </w:rPr>
              <w:t xml:space="preserve"> Loading</w:t>
            </w:r>
            <w:r>
              <w:rPr>
                <w:rFonts w:ascii="Calibri" w:hAnsi="Calibri" w:cs="Calibri"/>
                <w:color w:val="000000"/>
                <w:sz w:val="20"/>
                <w:szCs w:val="20"/>
              </w:rPr>
              <w:t xml:space="preserve"> – 13 </w:t>
            </w:r>
            <w:r w:rsidRPr="0034502E">
              <w:rPr>
                <w:rFonts w:ascii="Calibri" w:hAnsi="Calibri" w:cs="Calibri"/>
                <w:color w:val="000000"/>
                <w:sz w:val="20"/>
                <w:szCs w:val="20"/>
              </w:rPr>
              <w:t>Weeks</w:t>
            </w:r>
          </w:p>
        </w:tc>
        <w:tc>
          <w:tcPr>
            <w:tcW w:w="457" w:type="pct"/>
            <w:gridSpan w:val="2"/>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431" w:type="pct"/>
            <w:tcBorders>
              <w:left w:val="single" w:sz="12" w:space="0" w:color="auto"/>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$6,622</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$6,622</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$6,622</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$6,622</w:t>
            </w:r>
          </w:p>
        </w:tc>
        <w:tc>
          <w:tcPr>
            <w:tcW w:w="428"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$6,622</w:t>
            </w:r>
          </w:p>
        </w:tc>
      </w:tr>
      <w:tr w:rsidR="00214789" w:rsidRPr="0034502E" w:rsidTr="00821C4A">
        <w:trPr>
          <w:trHeight w:val="300"/>
        </w:trPr>
        <w:tc>
          <w:tcPr>
            <w:tcW w:w="5000" w:type="pct"/>
            <w:gridSpan w:val="12"/>
            <w:tcBorders>
              <w:left w:val="nil"/>
              <w:bottom w:val="nil"/>
              <w:right w:val="nil"/>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p>
        </w:tc>
      </w:tr>
      <w:tr w:rsidR="00F60946" w:rsidRPr="0034502E" w:rsidTr="00821C4A">
        <w:trPr>
          <w:trHeight w:val="300"/>
        </w:trPr>
        <w:tc>
          <w:tcPr>
            <w:tcW w:w="5000" w:type="pct"/>
            <w:gridSpan w:val="12"/>
            <w:tcBorders>
              <w:top w:val="nil"/>
            </w:tcBorders>
            <w:shd w:val="clear" w:color="auto" w:fill="B1E4E3" w:themeFill="accent6"/>
            <w:vAlign w:val="center"/>
          </w:tcPr>
          <w:p w:rsidR="00F60946" w:rsidRDefault="00F60946" w:rsidP="00A36AF7">
            <w:pPr>
              <w:jc w:val="center"/>
              <w:rPr>
                <w:rFonts w:ascii="Calibri" w:hAnsi="Calibri" w:cs="Calibri"/>
                <w:color w:val="000000"/>
                <w:sz w:val="20"/>
                <w:szCs w:val="20"/>
              </w:rPr>
            </w:pPr>
            <w:r>
              <w:rPr>
                <w:rFonts w:ascii="Calibri" w:hAnsi="Calibri" w:cs="Calibri"/>
                <w:b/>
                <w:bCs/>
                <w:color w:val="000000"/>
                <w:sz w:val="20"/>
                <w:szCs w:val="20"/>
              </w:rPr>
              <w:t>O</w:t>
            </w:r>
            <w:r w:rsidRPr="0034502E">
              <w:rPr>
                <w:rFonts w:ascii="Calibri" w:hAnsi="Calibri" w:cs="Calibri"/>
                <w:b/>
                <w:bCs/>
                <w:color w:val="000000"/>
                <w:sz w:val="20"/>
                <w:szCs w:val="20"/>
              </w:rPr>
              <w:t>UTCOME FEES (26 WEEKS)</w:t>
            </w:r>
          </w:p>
        </w:tc>
      </w:tr>
      <w:tr w:rsidR="00214789" w:rsidRPr="0034502E" w:rsidTr="00F60946">
        <w:trPr>
          <w:trHeight w:val="300"/>
        </w:trPr>
        <w:tc>
          <w:tcPr>
            <w:tcW w:w="872" w:type="pct"/>
            <w:gridSpan w:val="2"/>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lastRenderedPageBreak/>
              <w:t xml:space="preserve">Full Outcome – 26 </w:t>
            </w:r>
            <w:r>
              <w:rPr>
                <w:rFonts w:ascii="Calibri" w:hAnsi="Calibri" w:cs="Calibri"/>
                <w:color w:val="000000"/>
                <w:sz w:val="20"/>
                <w:szCs w:val="20"/>
              </w:rPr>
              <w:t> </w:t>
            </w:r>
            <w:r w:rsidRPr="0034502E">
              <w:rPr>
                <w:rFonts w:ascii="Calibri" w:hAnsi="Calibri" w:cs="Calibri"/>
                <w:color w:val="000000"/>
                <w:sz w:val="20"/>
                <w:szCs w:val="20"/>
              </w:rPr>
              <w:t>Weeks</w:t>
            </w:r>
          </w:p>
        </w:tc>
        <w:tc>
          <w:tcPr>
            <w:tcW w:w="42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  1,623</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2,811</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4,124</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5,833</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9,951</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1,929</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3,705</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5,518</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7,786</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14,017</w:t>
            </w:r>
          </w:p>
        </w:tc>
      </w:tr>
      <w:tr w:rsidR="00214789" w:rsidRPr="0034502E" w:rsidTr="00F60946">
        <w:trPr>
          <w:trHeight w:val="300"/>
        </w:trPr>
        <w:tc>
          <w:tcPr>
            <w:tcW w:w="872" w:type="pct"/>
            <w:gridSpan w:val="2"/>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Pathway Outcome – 26</w:t>
            </w:r>
            <w:r>
              <w:rPr>
                <w:rFonts w:ascii="Calibri" w:hAnsi="Calibri" w:cs="Calibri"/>
                <w:color w:val="000000"/>
                <w:sz w:val="20"/>
                <w:szCs w:val="20"/>
              </w:rPr>
              <w:t> </w:t>
            </w:r>
            <w:r w:rsidRPr="0034502E">
              <w:rPr>
                <w:rFonts w:ascii="Calibri" w:hAnsi="Calibri" w:cs="Calibri"/>
                <w:color w:val="000000"/>
                <w:sz w:val="20"/>
                <w:szCs w:val="20"/>
              </w:rPr>
              <w:t>Weeks</w:t>
            </w:r>
          </w:p>
        </w:tc>
        <w:tc>
          <w:tcPr>
            <w:tcW w:w="42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$536</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$928</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w:t>
            </w:r>
            <w:r>
              <w:rPr>
                <w:rFonts w:ascii="Calibri" w:hAnsi="Calibri" w:cs="Calibri"/>
                <w:color w:val="000000"/>
                <w:sz w:val="20"/>
                <w:szCs w:val="20"/>
              </w:rPr>
              <w:t>1</w:t>
            </w:r>
            <w:r w:rsidRPr="0034502E">
              <w:rPr>
                <w:rFonts w:ascii="Calibri" w:hAnsi="Calibri" w:cs="Calibri"/>
                <w:color w:val="000000"/>
                <w:sz w:val="20"/>
                <w:szCs w:val="20"/>
              </w:rPr>
              <w:t>,361</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$1,925</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$3,284</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$636</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$1,223</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1,821</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2,569</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4,626</w:t>
            </w:r>
          </w:p>
        </w:tc>
      </w:tr>
      <w:tr w:rsidR="00214789" w:rsidRPr="0034502E" w:rsidTr="00F60946">
        <w:trPr>
          <w:trHeight w:val="1191"/>
        </w:trPr>
        <w:tc>
          <w:tcPr>
            <w:tcW w:w="872" w:type="pct"/>
            <w:gridSpan w:val="2"/>
            <w:tcBorders>
              <w:bottom w:val="single" w:sz="4" w:space="0" w:color="auto"/>
            </w:tcBorders>
            <w:shd w:val="clear" w:color="auto" w:fill="B1E4E3" w:themeFill="accent6"/>
            <w:vAlign w:val="center"/>
            <w:hideMark/>
          </w:tcPr>
          <w:p w:rsidR="00214789" w:rsidRPr="0034502E" w:rsidRDefault="00214789" w:rsidP="00071CD7">
            <w:pPr>
              <w:rPr>
                <w:rFonts w:ascii="Calibri" w:hAnsi="Calibri" w:cs="Calibri"/>
                <w:color w:val="000000"/>
                <w:sz w:val="20"/>
                <w:szCs w:val="20"/>
              </w:rPr>
            </w:pPr>
            <w:r w:rsidRPr="0034502E">
              <w:rPr>
                <w:rFonts w:ascii="Calibri" w:hAnsi="Calibri" w:cs="Calibri"/>
                <w:color w:val="000000"/>
                <w:sz w:val="20"/>
                <w:szCs w:val="20"/>
              </w:rPr>
              <w:t>Moderate Intellectual Disability</w:t>
            </w:r>
            <w:r w:rsidR="00071CD7">
              <w:rPr>
                <w:rFonts w:ascii="Calibri" w:hAnsi="Calibri" w:cs="Calibri"/>
                <w:color w:val="000000"/>
                <w:sz w:val="20"/>
                <w:szCs w:val="20"/>
              </w:rPr>
              <w:t xml:space="preserve"> Loading</w:t>
            </w:r>
            <w:r w:rsidRPr="0034502E">
              <w:rPr>
                <w:rFonts w:ascii="Calibri" w:hAnsi="Calibri" w:cs="Calibri"/>
                <w:color w:val="000000"/>
                <w:sz w:val="20"/>
                <w:szCs w:val="20"/>
              </w:rPr>
              <w:t xml:space="preserve"> </w:t>
            </w:r>
            <w:r>
              <w:rPr>
                <w:rFonts w:ascii="Calibri" w:hAnsi="Calibri" w:cs="Calibri"/>
                <w:color w:val="000000"/>
                <w:sz w:val="20"/>
                <w:szCs w:val="20"/>
              </w:rPr>
              <w:t>–</w:t>
            </w:r>
            <w:r w:rsidRPr="0034502E">
              <w:rPr>
                <w:rFonts w:ascii="Calibri" w:hAnsi="Calibri" w:cs="Calibri"/>
                <w:color w:val="000000"/>
                <w:sz w:val="20"/>
                <w:szCs w:val="20"/>
              </w:rPr>
              <w:t xml:space="preserve"> 26</w:t>
            </w:r>
            <w:r>
              <w:rPr>
                <w:rFonts w:ascii="Calibri" w:hAnsi="Calibri" w:cs="Calibri"/>
                <w:color w:val="000000"/>
                <w:sz w:val="20"/>
                <w:szCs w:val="20"/>
              </w:rPr>
              <w:t> </w:t>
            </w:r>
            <w:r w:rsidRPr="0034502E">
              <w:rPr>
                <w:rFonts w:ascii="Calibri" w:hAnsi="Calibri" w:cs="Calibri"/>
                <w:color w:val="000000"/>
                <w:sz w:val="20"/>
                <w:szCs w:val="20"/>
              </w:rPr>
              <w:t>Weeks</w:t>
            </w:r>
          </w:p>
        </w:tc>
        <w:tc>
          <w:tcPr>
            <w:tcW w:w="42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431" w:type="pct"/>
            <w:tcBorders>
              <w:left w:val="single" w:sz="12" w:space="0" w:color="auto"/>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$13,441</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13,441</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13,441</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13,441</w:t>
            </w:r>
          </w:p>
        </w:tc>
        <w:tc>
          <w:tcPr>
            <w:tcW w:w="428"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13,441</w:t>
            </w:r>
          </w:p>
        </w:tc>
      </w:tr>
      <w:tr w:rsidR="00214789" w:rsidRPr="0034502E" w:rsidTr="00EF7346">
        <w:trPr>
          <w:trHeight w:val="300"/>
        </w:trPr>
        <w:tc>
          <w:tcPr>
            <w:tcW w:w="5000" w:type="pct"/>
            <w:gridSpan w:val="12"/>
            <w:shd w:val="clear" w:color="auto" w:fill="B1E4E3" w:themeFill="accent6"/>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b/>
                <w:bCs/>
                <w:color w:val="000000"/>
                <w:sz w:val="20"/>
                <w:szCs w:val="20"/>
              </w:rPr>
              <w:t>OUTCOME FEES (52 WEEKS)</w:t>
            </w:r>
          </w:p>
        </w:tc>
      </w:tr>
      <w:tr w:rsidR="00214789" w:rsidRPr="0034502E" w:rsidTr="00F60946">
        <w:trPr>
          <w:trHeight w:val="300"/>
        </w:trPr>
        <w:tc>
          <w:tcPr>
            <w:tcW w:w="835" w:type="pct"/>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Full Outcome – 52</w:t>
            </w:r>
            <w:r>
              <w:rPr>
                <w:rFonts w:ascii="Calibri" w:hAnsi="Calibri" w:cs="Calibri"/>
                <w:color w:val="000000"/>
                <w:sz w:val="20"/>
                <w:szCs w:val="20"/>
              </w:rPr>
              <w:t> </w:t>
            </w:r>
            <w:r w:rsidRPr="0034502E">
              <w:rPr>
                <w:rFonts w:ascii="Calibri" w:hAnsi="Calibri" w:cs="Calibri"/>
                <w:color w:val="000000"/>
                <w:sz w:val="20"/>
                <w:szCs w:val="20"/>
              </w:rPr>
              <w:t>Weeks</w:t>
            </w:r>
          </w:p>
        </w:tc>
        <w:tc>
          <w:tcPr>
            <w:tcW w:w="457" w:type="pct"/>
            <w:gridSpan w:val="2"/>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$361</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625</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$917</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$1,296</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2,211</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429</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823</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1,226</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1,730</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3,115</w:t>
            </w:r>
          </w:p>
        </w:tc>
      </w:tr>
      <w:tr w:rsidR="00214789" w:rsidRPr="0034502E" w:rsidTr="00F60946">
        <w:trPr>
          <w:trHeight w:val="300"/>
        </w:trPr>
        <w:tc>
          <w:tcPr>
            <w:tcW w:w="835" w:type="pct"/>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Pathway Outcome – 52</w:t>
            </w:r>
            <w:r>
              <w:rPr>
                <w:rFonts w:ascii="Calibri" w:hAnsi="Calibri" w:cs="Calibri"/>
                <w:color w:val="000000"/>
                <w:sz w:val="20"/>
                <w:szCs w:val="20"/>
              </w:rPr>
              <w:t> </w:t>
            </w:r>
            <w:r w:rsidRPr="0034502E">
              <w:rPr>
                <w:rFonts w:ascii="Calibri" w:hAnsi="Calibri" w:cs="Calibri"/>
                <w:color w:val="000000"/>
                <w:sz w:val="20"/>
                <w:szCs w:val="20"/>
              </w:rPr>
              <w:t>Weeks</w:t>
            </w:r>
          </w:p>
        </w:tc>
        <w:tc>
          <w:tcPr>
            <w:tcW w:w="457" w:type="pct"/>
            <w:gridSpan w:val="2"/>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$119</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$206</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$302</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$428</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$730</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141</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$272</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405</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$571</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$1,028</w:t>
            </w:r>
          </w:p>
        </w:tc>
      </w:tr>
      <w:tr w:rsidR="00214789" w:rsidRPr="0034502E" w:rsidTr="00F60946">
        <w:trPr>
          <w:trHeight w:val="300"/>
        </w:trPr>
        <w:tc>
          <w:tcPr>
            <w:tcW w:w="835" w:type="pct"/>
            <w:tcBorders>
              <w:bottom w:val="nil"/>
            </w:tcBorders>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 xml:space="preserve">Moderate Intellectual Disability </w:t>
            </w:r>
            <w:r w:rsidR="00071CD7">
              <w:rPr>
                <w:rFonts w:ascii="Calibri" w:hAnsi="Calibri" w:cs="Calibri"/>
                <w:color w:val="000000"/>
                <w:sz w:val="20"/>
                <w:szCs w:val="20"/>
              </w:rPr>
              <w:t xml:space="preserve">Loading </w:t>
            </w:r>
            <w:r>
              <w:rPr>
                <w:rFonts w:ascii="Calibri" w:hAnsi="Calibri" w:cs="Calibri"/>
                <w:color w:val="000000"/>
                <w:sz w:val="20"/>
                <w:szCs w:val="20"/>
              </w:rPr>
              <w:t>–</w:t>
            </w:r>
            <w:r w:rsidRPr="0034502E">
              <w:rPr>
                <w:rFonts w:ascii="Calibri" w:hAnsi="Calibri" w:cs="Calibri"/>
                <w:color w:val="000000"/>
                <w:sz w:val="20"/>
                <w:szCs w:val="20"/>
              </w:rPr>
              <w:t xml:space="preserve"> 52</w:t>
            </w:r>
            <w:r>
              <w:rPr>
                <w:rFonts w:ascii="Calibri" w:hAnsi="Calibri" w:cs="Calibri"/>
                <w:color w:val="000000"/>
                <w:sz w:val="20"/>
                <w:szCs w:val="20"/>
              </w:rPr>
              <w:t> </w:t>
            </w:r>
            <w:r w:rsidRPr="0034502E">
              <w:rPr>
                <w:rFonts w:ascii="Calibri" w:hAnsi="Calibri" w:cs="Calibri"/>
                <w:color w:val="000000"/>
                <w:sz w:val="20"/>
                <w:szCs w:val="20"/>
              </w:rPr>
              <w:t>Weeks</w:t>
            </w:r>
          </w:p>
        </w:tc>
        <w:tc>
          <w:tcPr>
            <w:tcW w:w="457" w:type="pct"/>
            <w:gridSpan w:val="2"/>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431" w:type="pct"/>
            <w:tcBorders>
              <w:left w:val="single" w:sz="12" w:space="0" w:color="auto"/>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$2,444</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$2,444</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$2,444</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$2,444</w:t>
            </w:r>
          </w:p>
        </w:tc>
        <w:tc>
          <w:tcPr>
            <w:tcW w:w="428"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$2,444</w:t>
            </w:r>
          </w:p>
        </w:tc>
      </w:tr>
      <w:tr w:rsidR="00214789" w:rsidRPr="0034502E" w:rsidTr="00EF7346">
        <w:trPr>
          <w:trHeight w:val="300"/>
        </w:trPr>
        <w:tc>
          <w:tcPr>
            <w:tcW w:w="5000" w:type="pct"/>
            <w:gridSpan w:val="12"/>
            <w:tcBorders>
              <w:top w:val="single" w:sz="4" w:space="0" w:color="auto"/>
            </w:tcBorders>
            <w:shd w:val="clear" w:color="auto" w:fill="B1E4E3" w:themeFill="accent6"/>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b/>
                <w:bCs/>
                <w:color w:val="000000"/>
                <w:sz w:val="20"/>
                <w:szCs w:val="20"/>
              </w:rPr>
              <w:t>ONGOING SUPPORT FEES</w:t>
            </w:r>
          </w:p>
        </w:tc>
      </w:tr>
      <w:tr w:rsidR="00214789" w:rsidRPr="0034502E" w:rsidTr="00F60946">
        <w:trPr>
          <w:trHeight w:val="300"/>
        </w:trPr>
        <w:tc>
          <w:tcPr>
            <w:tcW w:w="835" w:type="pct"/>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Flexible Ongoing Support (per instance)</w:t>
            </w:r>
          </w:p>
        </w:tc>
        <w:tc>
          <w:tcPr>
            <w:tcW w:w="457" w:type="pct"/>
            <w:gridSpan w:val="2"/>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$400</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400</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400</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400</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$400</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$400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$400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400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$400</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$400</w:t>
            </w:r>
          </w:p>
        </w:tc>
      </w:tr>
      <w:tr w:rsidR="00214789" w:rsidRPr="0034502E" w:rsidTr="00F60946">
        <w:trPr>
          <w:trHeight w:val="300"/>
        </w:trPr>
        <w:tc>
          <w:tcPr>
            <w:tcW w:w="835" w:type="pct"/>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Moderate Ongoing Support (Quarterly)</w:t>
            </w:r>
          </w:p>
        </w:tc>
        <w:tc>
          <w:tcPr>
            <w:tcW w:w="457" w:type="pct"/>
            <w:gridSpan w:val="2"/>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$1,200</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$1,200</w:t>
            </w:r>
          </w:p>
        </w:tc>
      </w:tr>
      <w:tr w:rsidR="00214789" w:rsidRPr="0034502E" w:rsidTr="00F60946">
        <w:trPr>
          <w:trHeight w:val="300"/>
        </w:trPr>
        <w:tc>
          <w:tcPr>
            <w:tcW w:w="835" w:type="pct"/>
            <w:tcBorders>
              <w:bottom w:val="single" w:sz="4" w:space="0" w:color="auto"/>
            </w:tcBorders>
            <w:shd w:val="clear" w:color="auto" w:fill="B1E4E3" w:themeFill="accent6"/>
            <w:vAlign w:val="center"/>
            <w:hideMark/>
          </w:tcPr>
          <w:p w:rsidR="00214789" w:rsidRPr="0034502E" w:rsidRDefault="00214789" w:rsidP="00A36AF7">
            <w:pPr>
              <w:rPr>
                <w:rFonts w:ascii="Calibri" w:hAnsi="Calibri" w:cs="Calibri"/>
                <w:color w:val="000000"/>
                <w:sz w:val="20"/>
                <w:szCs w:val="20"/>
              </w:rPr>
            </w:pPr>
            <w:r w:rsidRPr="0034502E">
              <w:rPr>
                <w:rFonts w:ascii="Calibri" w:hAnsi="Calibri" w:cs="Calibri"/>
                <w:color w:val="000000"/>
                <w:sz w:val="20"/>
                <w:szCs w:val="20"/>
              </w:rPr>
              <w:t>High Ongoing Support (Quarterly)</w:t>
            </w:r>
          </w:p>
        </w:tc>
        <w:tc>
          <w:tcPr>
            <w:tcW w:w="457" w:type="pct"/>
            <w:gridSpan w:val="2"/>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389" w:type="pct"/>
            <w:tcBorders>
              <w:bottom w:val="single" w:sz="4" w:space="0" w:color="auto"/>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N/A</w:t>
            </w:r>
          </w:p>
        </w:tc>
        <w:tc>
          <w:tcPr>
            <w:tcW w:w="431" w:type="pct"/>
            <w:tcBorders>
              <w:left w:val="single" w:sz="12" w:space="0" w:color="auto"/>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$3,000</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3,000</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$3,000</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$3,000</w:t>
            </w:r>
          </w:p>
        </w:tc>
        <w:tc>
          <w:tcPr>
            <w:tcW w:w="428"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sidRPr="0034502E">
              <w:rPr>
                <w:rFonts w:ascii="Calibri" w:hAnsi="Calibri" w:cs="Calibri"/>
                <w:color w:val="000000"/>
                <w:sz w:val="20"/>
                <w:szCs w:val="20"/>
              </w:rPr>
              <w:t>$3,000</w:t>
            </w:r>
          </w:p>
        </w:tc>
      </w:tr>
      <w:tr w:rsidR="00214789" w:rsidRPr="0034502E" w:rsidTr="00EF7346">
        <w:trPr>
          <w:trHeight w:val="300"/>
        </w:trPr>
        <w:tc>
          <w:tcPr>
            <w:tcW w:w="5000" w:type="pct"/>
            <w:gridSpan w:val="12"/>
            <w:tcBorders>
              <w:top w:val="single" w:sz="4" w:space="0" w:color="auto"/>
            </w:tcBorders>
            <w:shd w:val="clear" w:color="auto" w:fill="B1E4E3" w:themeFill="accent6"/>
            <w:vAlign w:val="center"/>
            <w:hideMark/>
          </w:tcPr>
          <w:p w:rsidR="00214789" w:rsidRPr="0034502E" w:rsidRDefault="00BF3F3A" w:rsidP="00A36AF7">
            <w:pPr>
              <w:jc w:val="center"/>
              <w:rPr>
                <w:rFonts w:ascii="Calibri" w:hAnsi="Calibri" w:cs="Calibri"/>
                <w:color w:val="000000"/>
                <w:sz w:val="20"/>
                <w:szCs w:val="20"/>
              </w:rPr>
            </w:pPr>
            <w:r>
              <w:rPr>
                <w:rFonts w:ascii="Calibri" w:hAnsi="Calibri" w:cs="Calibri"/>
                <w:b/>
                <w:bCs/>
                <w:color w:val="000000"/>
                <w:sz w:val="20"/>
                <w:szCs w:val="20"/>
              </w:rPr>
              <w:t>WORK ASSIST</w:t>
            </w:r>
            <w:r w:rsidR="00214789" w:rsidRPr="0034502E">
              <w:rPr>
                <w:rFonts w:ascii="Calibri" w:hAnsi="Calibri" w:cs="Calibri"/>
                <w:b/>
                <w:bCs/>
                <w:color w:val="000000"/>
                <w:sz w:val="20"/>
                <w:szCs w:val="20"/>
              </w:rPr>
              <w:t xml:space="preserve"> FEES</w:t>
            </w:r>
          </w:p>
        </w:tc>
      </w:tr>
      <w:tr w:rsidR="00214789" w:rsidRPr="0034502E" w:rsidTr="00F60946">
        <w:trPr>
          <w:trHeight w:val="300"/>
        </w:trPr>
        <w:tc>
          <w:tcPr>
            <w:tcW w:w="835" w:type="pct"/>
            <w:shd w:val="clear" w:color="auto" w:fill="B1E4E3" w:themeFill="accent6"/>
            <w:vAlign w:val="center"/>
            <w:hideMark/>
          </w:tcPr>
          <w:p w:rsidR="00214789" w:rsidRPr="0034502E" w:rsidRDefault="00BF3F3A" w:rsidP="00A36AF7">
            <w:pPr>
              <w:rPr>
                <w:rFonts w:ascii="Calibri" w:hAnsi="Calibri" w:cs="Calibri"/>
                <w:color w:val="000000"/>
                <w:sz w:val="20"/>
                <w:szCs w:val="20"/>
              </w:rPr>
            </w:pPr>
            <w:r>
              <w:rPr>
                <w:rFonts w:ascii="Calibri" w:hAnsi="Calibri" w:cs="Calibri"/>
                <w:color w:val="000000"/>
                <w:sz w:val="20"/>
                <w:szCs w:val="20"/>
              </w:rPr>
              <w:t>Work Assist</w:t>
            </w:r>
            <w:r w:rsidR="00214789" w:rsidRPr="0034502E">
              <w:rPr>
                <w:rFonts w:ascii="Calibri" w:hAnsi="Calibri" w:cs="Calibri"/>
                <w:color w:val="000000"/>
                <w:sz w:val="20"/>
                <w:szCs w:val="20"/>
              </w:rPr>
              <w:t xml:space="preserve"> </w:t>
            </w:r>
            <w:r w:rsidR="00214789" w:rsidRPr="0034502E">
              <w:rPr>
                <w:rFonts w:ascii="Calibri" w:hAnsi="Calibri" w:cs="Calibri"/>
                <w:color w:val="000000"/>
                <w:sz w:val="20"/>
                <w:szCs w:val="20"/>
              </w:rPr>
              <w:lastRenderedPageBreak/>
              <w:t>Service Fee (Quarterly)</w:t>
            </w:r>
          </w:p>
        </w:tc>
        <w:tc>
          <w:tcPr>
            <w:tcW w:w="457" w:type="pct"/>
            <w:gridSpan w:val="2"/>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lastRenderedPageBreak/>
              <w:t>$</w:t>
            </w:r>
            <w:r w:rsidRPr="0034502E">
              <w:rPr>
                <w:rFonts w:ascii="Calibri" w:hAnsi="Calibri" w:cs="Calibri"/>
                <w:color w:val="000000"/>
                <w:sz w:val="20"/>
                <w:szCs w:val="20"/>
              </w:rPr>
              <w:t>1,200</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389"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389" w:type="pct"/>
            <w:tcBorders>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431" w:type="pct"/>
            <w:tcBorders>
              <w:lef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431"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c>
          <w:tcPr>
            <w:tcW w:w="428" w:type="pct"/>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1,200</w:t>
            </w:r>
          </w:p>
        </w:tc>
      </w:tr>
      <w:tr w:rsidR="00214789" w:rsidRPr="0034502E" w:rsidTr="00F60946">
        <w:trPr>
          <w:trHeight w:val="315"/>
        </w:trPr>
        <w:tc>
          <w:tcPr>
            <w:tcW w:w="835" w:type="pct"/>
            <w:tcBorders>
              <w:bottom w:val="single" w:sz="4" w:space="0" w:color="auto"/>
            </w:tcBorders>
            <w:shd w:val="clear" w:color="auto" w:fill="B1E4E3" w:themeFill="accent6"/>
            <w:vAlign w:val="center"/>
            <w:hideMark/>
          </w:tcPr>
          <w:p w:rsidR="00214789" w:rsidRPr="0034502E" w:rsidRDefault="00BF3F3A" w:rsidP="00A36AF7">
            <w:pPr>
              <w:rPr>
                <w:rFonts w:ascii="Calibri" w:hAnsi="Calibri" w:cs="Calibri"/>
                <w:color w:val="000000"/>
                <w:sz w:val="20"/>
                <w:szCs w:val="20"/>
              </w:rPr>
            </w:pPr>
            <w:r>
              <w:rPr>
                <w:rFonts w:ascii="Calibri" w:hAnsi="Calibri" w:cs="Calibri"/>
                <w:color w:val="000000"/>
                <w:sz w:val="20"/>
                <w:szCs w:val="20"/>
              </w:rPr>
              <w:lastRenderedPageBreak/>
              <w:t>Work Assist</w:t>
            </w:r>
            <w:r w:rsidR="00214789" w:rsidRPr="0034502E">
              <w:rPr>
                <w:rFonts w:ascii="Calibri" w:hAnsi="Calibri" w:cs="Calibri"/>
                <w:color w:val="000000"/>
                <w:sz w:val="20"/>
                <w:szCs w:val="20"/>
              </w:rPr>
              <w:t xml:space="preserve"> Outcome Fee</w:t>
            </w:r>
          </w:p>
        </w:tc>
        <w:tc>
          <w:tcPr>
            <w:tcW w:w="457" w:type="pct"/>
            <w:gridSpan w:val="2"/>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389"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389" w:type="pct"/>
            <w:tcBorders>
              <w:bottom w:val="single" w:sz="4" w:space="0" w:color="auto"/>
              <w:right w:val="single" w:sz="12"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431" w:type="pct"/>
            <w:tcBorders>
              <w:left w:val="single" w:sz="12" w:space="0" w:color="auto"/>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431"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c>
          <w:tcPr>
            <w:tcW w:w="428" w:type="pct"/>
            <w:tcBorders>
              <w:bottom w:val="single" w:sz="4" w:space="0" w:color="auto"/>
            </w:tcBorders>
            <w:shd w:val="clear" w:color="auto" w:fill="auto"/>
            <w:vAlign w:val="center"/>
            <w:hideMark/>
          </w:tcPr>
          <w:p w:rsidR="00214789" w:rsidRPr="0034502E" w:rsidRDefault="00214789" w:rsidP="00A36AF7">
            <w:pPr>
              <w:jc w:val="center"/>
              <w:rPr>
                <w:rFonts w:ascii="Calibri" w:hAnsi="Calibri" w:cs="Calibri"/>
                <w:color w:val="000000"/>
                <w:sz w:val="20"/>
                <w:szCs w:val="20"/>
              </w:rPr>
            </w:pPr>
            <w:r>
              <w:rPr>
                <w:rFonts w:ascii="Calibri" w:hAnsi="Calibri" w:cs="Calibri"/>
                <w:color w:val="000000"/>
                <w:sz w:val="20"/>
                <w:szCs w:val="20"/>
              </w:rPr>
              <w:t>$</w:t>
            </w:r>
            <w:r w:rsidRPr="0034502E">
              <w:rPr>
                <w:rFonts w:ascii="Calibri" w:hAnsi="Calibri" w:cs="Calibri"/>
                <w:color w:val="000000"/>
                <w:sz w:val="20"/>
                <w:szCs w:val="20"/>
              </w:rPr>
              <w:t>2,600</w:t>
            </w:r>
          </w:p>
        </w:tc>
      </w:tr>
      <w:tr w:rsidR="00214789" w:rsidRPr="0034502E" w:rsidTr="00A36AF7">
        <w:trPr>
          <w:trHeight w:val="315"/>
        </w:trPr>
        <w:tc>
          <w:tcPr>
            <w:tcW w:w="5000" w:type="pct"/>
            <w:gridSpan w:val="12"/>
            <w:tcBorders>
              <w:left w:val="nil"/>
              <w:bottom w:val="nil"/>
              <w:right w:val="nil"/>
            </w:tcBorders>
            <w:shd w:val="clear" w:color="auto" w:fill="auto"/>
            <w:vAlign w:val="center"/>
          </w:tcPr>
          <w:p w:rsidR="00214789" w:rsidRPr="00650BE6" w:rsidRDefault="00214789" w:rsidP="00A36AF7">
            <w:pPr>
              <w:rPr>
                <w:rFonts w:ascii="Calibri" w:hAnsi="Calibri" w:cs="Calibri"/>
                <w:color w:val="000000"/>
                <w:sz w:val="20"/>
                <w:szCs w:val="20"/>
              </w:rPr>
            </w:pPr>
            <w:r w:rsidRPr="00650BE6">
              <w:rPr>
                <w:rFonts w:ascii="Calibri" w:hAnsi="Calibri" w:cs="Calibri"/>
                <w:color w:val="000000"/>
                <w:sz w:val="20"/>
                <w:szCs w:val="20"/>
              </w:rPr>
              <w:t>Notes:</w:t>
            </w:r>
          </w:p>
          <w:p w:rsidR="00214789" w:rsidRPr="00650BE6" w:rsidRDefault="00214789" w:rsidP="00214789">
            <w:pPr>
              <w:pStyle w:val="ListParagraph"/>
              <w:numPr>
                <w:ilvl w:val="0"/>
                <w:numId w:val="19"/>
              </w:numPr>
              <w:spacing w:before="0" w:after="0" w:line="240" w:lineRule="auto"/>
              <w:rPr>
                <w:rFonts w:ascii="Calibri" w:hAnsi="Calibri" w:cs="Calibri"/>
                <w:color w:val="000000"/>
                <w:sz w:val="20"/>
                <w:szCs w:val="20"/>
              </w:rPr>
            </w:pPr>
            <w:r w:rsidRPr="00650BE6">
              <w:rPr>
                <w:rFonts w:ascii="Calibri" w:hAnsi="Calibri" w:cs="Calibri"/>
                <w:color w:val="000000"/>
                <w:sz w:val="20"/>
                <w:szCs w:val="20"/>
              </w:rPr>
              <w:t>Moderate Intellectual Disability Loading only applies to full outcomes not pathway outcomes</w:t>
            </w:r>
            <w:r w:rsidR="00071CD7">
              <w:rPr>
                <w:rFonts w:ascii="Calibri" w:hAnsi="Calibri" w:cs="Calibri"/>
                <w:color w:val="000000"/>
                <w:sz w:val="20"/>
                <w:szCs w:val="20"/>
              </w:rPr>
              <w:t xml:space="preserve"> and applies in addition to the relevant full outcome payment</w:t>
            </w:r>
            <w:r w:rsidR="002D015F">
              <w:rPr>
                <w:rFonts w:ascii="Calibri" w:hAnsi="Calibri" w:cs="Calibri"/>
                <w:color w:val="000000"/>
                <w:sz w:val="20"/>
                <w:szCs w:val="20"/>
              </w:rPr>
              <w:t xml:space="preserve">, </w:t>
            </w:r>
            <w:r w:rsidR="00071CD7">
              <w:rPr>
                <w:rFonts w:ascii="Calibri" w:hAnsi="Calibri" w:cs="Calibri"/>
                <w:color w:val="000000"/>
                <w:sz w:val="20"/>
                <w:szCs w:val="20"/>
              </w:rPr>
              <w:t xml:space="preserve">where </w:t>
            </w:r>
            <w:r w:rsidR="002D015F">
              <w:rPr>
                <w:rFonts w:ascii="Calibri" w:hAnsi="Calibri" w:cs="Calibri"/>
                <w:color w:val="000000"/>
                <w:sz w:val="20"/>
                <w:szCs w:val="20"/>
              </w:rPr>
              <w:t>these fees apply to a job of at least 15 hours per week. I</w:t>
            </w:r>
            <w:r w:rsidR="008B565D">
              <w:rPr>
                <w:rFonts w:ascii="Calibri" w:hAnsi="Calibri" w:cs="Calibri"/>
                <w:color w:val="000000"/>
                <w:sz w:val="20"/>
                <w:szCs w:val="20"/>
              </w:rPr>
              <w:t>t is not available for full outcomes relating to Education Outcomes.</w:t>
            </w:r>
            <w:r w:rsidR="00B340B0">
              <w:rPr>
                <w:rFonts w:ascii="Calibri" w:hAnsi="Calibri" w:cs="Calibri"/>
                <w:color w:val="000000"/>
                <w:sz w:val="20"/>
                <w:szCs w:val="20"/>
              </w:rPr>
              <w:t xml:space="preserve"> </w:t>
            </w:r>
            <w:bookmarkStart w:id="71" w:name="_GoBack"/>
            <w:bookmarkEnd w:id="71"/>
          </w:p>
          <w:p w:rsidR="00214789" w:rsidRDefault="00214789" w:rsidP="00214789">
            <w:pPr>
              <w:pStyle w:val="ListParagraph"/>
              <w:numPr>
                <w:ilvl w:val="0"/>
                <w:numId w:val="19"/>
              </w:numPr>
              <w:spacing w:before="0" w:after="0" w:line="240" w:lineRule="auto"/>
              <w:rPr>
                <w:rFonts w:ascii="Calibri" w:hAnsi="Calibri" w:cs="Calibri"/>
                <w:color w:val="000000"/>
                <w:sz w:val="20"/>
                <w:szCs w:val="20"/>
              </w:rPr>
            </w:pPr>
            <w:r w:rsidRPr="00650BE6">
              <w:rPr>
                <w:rFonts w:ascii="Calibri" w:hAnsi="Calibri" w:cs="Calibri"/>
                <w:color w:val="000000"/>
                <w:sz w:val="20"/>
                <w:szCs w:val="20"/>
              </w:rPr>
              <w:t>All fees are GST-exclusive</w:t>
            </w:r>
            <w:r>
              <w:rPr>
                <w:rFonts w:ascii="Calibri" w:hAnsi="Calibri" w:cs="Calibri"/>
                <w:color w:val="000000"/>
                <w:sz w:val="20"/>
                <w:szCs w:val="20"/>
              </w:rPr>
              <w:t>.</w:t>
            </w:r>
          </w:p>
          <w:p w:rsidR="00214789" w:rsidRDefault="00214789" w:rsidP="00811FDF">
            <w:pPr>
              <w:pStyle w:val="ListParagraph"/>
              <w:numPr>
                <w:ilvl w:val="0"/>
                <w:numId w:val="19"/>
              </w:numPr>
              <w:spacing w:before="0" w:after="0" w:line="240" w:lineRule="auto"/>
              <w:rPr>
                <w:rFonts w:ascii="Calibri" w:hAnsi="Calibri" w:cs="Calibri"/>
                <w:color w:val="000000"/>
                <w:sz w:val="20"/>
                <w:szCs w:val="20"/>
              </w:rPr>
            </w:pPr>
            <w:r>
              <w:rPr>
                <w:rFonts w:ascii="Calibri" w:hAnsi="Calibri" w:cs="Calibri"/>
                <w:color w:val="000000"/>
                <w:sz w:val="20"/>
                <w:szCs w:val="20"/>
              </w:rPr>
              <w:t xml:space="preserve">A 20 per cent bonus is available for </w:t>
            </w:r>
            <w:r w:rsidR="00811FDF" w:rsidRPr="00811FDF">
              <w:rPr>
                <w:rFonts w:ascii="Calibri" w:hAnsi="Calibri" w:cs="Calibri"/>
                <w:color w:val="000000"/>
                <w:sz w:val="20"/>
                <w:szCs w:val="20"/>
              </w:rPr>
              <w:t xml:space="preserve">13 and 26 Week </w:t>
            </w:r>
            <w:r>
              <w:rPr>
                <w:rFonts w:ascii="Calibri" w:hAnsi="Calibri" w:cs="Calibri"/>
                <w:color w:val="000000"/>
                <w:sz w:val="20"/>
                <w:szCs w:val="20"/>
              </w:rPr>
              <w:t>Outcome Fees where a participant is placed into a traineeship or apprenticeship; or achieve</w:t>
            </w:r>
            <w:r w:rsidR="00BA3F89">
              <w:rPr>
                <w:rFonts w:ascii="Calibri" w:hAnsi="Calibri" w:cs="Calibri"/>
                <w:color w:val="000000"/>
                <w:sz w:val="20"/>
                <w:szCs w:val="20"/>
              </w:rPr>
              <w:t>s</w:t>
            </w:r>
            <w:r>
              <w:rPr>
                <w:rFonts w:ascii="Calibri" w:hAnsi="Calibri" w:cs="Calibri"/>
                <w:color w:val="000000"/>
                <w:sz w:val="20"/>
                <w:szCs w:val="20"/>
              </w:rPr>
              <w:t xml:space="preserve"> an employment outcome related to a Qualifying Training Course.</w:t>
            </w:r>
          </w:p>
          <w:p w:rsidR="00214789" w:rsidRDefault="00811FDF" w:rsidP="00C66620">
            <w:pPr>
              <w:pStyle w:val="ListParagraph"/>
              <w:numPr>
                <w:ilvl w:val="0"/>
                <w:numId w:val="19"/>
              </w:numPr>
              <w:spacing w:before="0" w:after="0" w:line="240" w:lineRule="auto"/>
              <w:rPr>
                <w:rFonts w:ascii="Calibri" w:hAnsi="Calibri" w:cs="Calibri"/>
                <w:color w:val="000000"/>
                <w:sz w:val="20"/>
                <w:szCs w:val="20"/>
              </w:rPr>
            </w:pPr>
            <w:r>
              <w:rPr>
                <w:rFonts w:ascii="Calibri" w:hAnsi="Calibri" w:cs="Calibri"/>
                <w:color w:val="000000"/>
                <w:sz w:val="20"/>
                <w:szCs w:val="20"/>
              </w:rPr>
              <w:t>D</w:t>
            </w:r>
            <w:r w:rsidRPr="00811FDF">
              <w:rPr>
                <w:rFonts w:ascii="Calibri" w:hAnsi="Calibri" w:cs="Calibri"/>
                <w:color w:val="000000"/>
                <w:sz w:val="20"/>
                <w:szCs w:val="20"/>
              </w:rPr>
              <w:t xml:space="preserve">ES-DMS Level 5 and DES-ESS Level 5 Participants will be paid at the respective DMS/ESS Level 4 rate for Full and Pathway </w:t>
            </w:r>
            <w:r w:rsidRPr="00B4094F">
              <w:rPr>
                <w:rFonts w:ascii="Calibri" w:hAnsi="Calibri" w:cs="Calibri"/>
                <w:b/>
                <w:color w:val="000000"/>
                <w:sz w:val="20"/>
                <w:szCs w:val="20"/>
              </w:rPr>
              <w:t>Education</w:t>
            </w:r>
            <w:r w:rsidRPr="00811FDF">
              <w:rPr>
                <w:rFonts w:ascii="Calibri" w:hAnsi="Calibri" w:cs="Calibri"/>
                <w:color w:val="000000"/>
                <w:sz w:val="20"/>
                <w:szCs w:val="20"/>
              </w:rPr>
              <w:t xml:space="preserve"> Outcomes.</w:t>
            </w:r>
          </w:p>
        </w:tc>
      </w:tr>
    </w:tbl>
    <w:p w:rsidR="00C20440" w:rsidRDefault="00C20440" w:rsidP="00F93639">
      <w:pPr>
        <w:rPr>
          <w:b/>
        </w:rPr>
      </w:pPr>
    </w:p>
    <w:p w:rsidR="009D2541" w:rsidRPr="00C20440" w:rsidRDefault="009D2541" w:rsidP="00F93639">
      <w:pPr>
        <w:rPr>
          <w:b/>
        </w:rPr>
      </w:pPr>
      <w:r w:rsidRPr="00C20440">
        <w:rPr>
          <w:b/>
        </w:rPr>
        <w:t xml:space="preserve">Visual representation of DES </w:t>
      </w:r>
      <w:r w:rsidR="00017008" w:rsidRPr="00C20440">
        <w:rPr>
          <w:b/>
        </w:rPr>
        <w:t>Participant Pathway and Payment Structure</w:t>
      </w:r>
    </w:p>
    <w:p w:rsidR="00881C4E" w:rsidRDefault="00740048" w:rsidP="00F93639">
      <w:r>
        <w:rPr>
          <w:noProof/>
        </w:rPr>
        <w:drawing>
          <wp:inline distT="0" distB="0" distL="0" distR="0" wp14:anchorId="5342882E" wp14:editId="3A6F3520">
            <wp:extent cx="5939790" cy="3053758"/>
            <wp:effectExtent l="0" t="0" r="3810" b="0"/>
            <wp:docPr id="2" name="Picture 2" descr="This diagram is a visual representation of a participant's pathway through the DES program from the assessment process to exit, including the payments DES providers are able to claim at each stage." title="Visual representation of DES Participants pathway and payment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0051\Desktop\Captur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39790" cy="3053758"/>
                    </a:xfrm>
                    <a:prstGeom prst="rect">
                      <a:avLst/>
                    </a:prstGeom>
                    <a:noFill/>
                    <a:ln>
                      <a:noFill/>
                    </a:ln>
                  </pic:spPr>
                </pic:pic>
              </a:graphicData>
            </a:graphic>
          </wp:inline>
        </w:drawing>
      </w:r>
    </w:p>
    <w:p w:rsidR="00214789" w:rsidRDefault="00214789">
      <w:pPr>
        <w:spacing w:before="0" w:after="200" w:line="276" w:lineRule="auto"/>
      </w:pPr>
      <w:r>
        <w:br w:type="page"/>
      </w:r>
    </w:p>
    <w:p w:rsidR="00F93639" w:rsidRPr="001C3BC4" w:rsidRDefault="00214789" w:rsidP="006D512F">
      <w:pPr>
        <w:pStyle w:val="Heading1"/>
      </w:pPr>
      <w:bookmarkStart w:id="72" w:name="_Toc483921477"/>
      <w:bookmarkStart w:id="73" w:name="_Toc484692320"/>
      <w:r w:rsidRPr="006D512F">
        <w:lastRenderedPageBreak/>
        <w:t xml:space="preserve">Appendix </w:t>
      </w:r>
      <w:r w:rsidR="00490842" w:rsidRPr="001274CB">
        <w:t>3</w:t>
      </w:r>
      <w:r w:rsidRPr="006D512F">
        <w:t xml:space="preserve"> -</w:t>
      </w:r>
      <w:r w:rsidR="00287BCE" w:rsidRPr="006D512F">
        <w:t xml:space="preserve"> Purchasing Process Diagram</w:t>
      </w:r>
      <w:bookmarkEnd w:id="72"/>
      <w:bookmarkEnd w:id="73"/>
    </w:p>
    <w:bookmarkStart w:id="74" w:name="_Toc483844237"/>
    <w:bookmarkEnd w:id="74"/>
    <w:p w:rsidR="00CC68AF" w:rsidRPr="00CC68AF" w:rsidRDefault="00C20440" w:rsidP="00CC68AF">
      <w:r w:rsidRPr="0090478A">
        <w:object w:dxaOrig="10501" w:dyaOrig="1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s a flow chart representing the DES selection process as outlined in Chapter 3, How to join the Panel of DES Providers, of this Industry paper. &#10;&#10;The diagram shows the indicative timeline for the Grant Application Process table on page 26 of this Industry paper.&#10;&#10;The primary milestones are:&#10;- Industry consultation in April 2015 to February 2017&#10;- DES reform Budget announcement in May 2017&#10;- Industry Information paper release June 2017&#10;- DES selection process from July 2017 to February 2018&#10;- Transition from March to June 2018&#10;" style="width:450.75pt;height:631.5pt;mso-position-vertical:absolute" o:ole="">
            <v:imagedata r:id="rId42" o:title=""/>
          </v:shape>
          <o:OLEObject Type="Embed" ProgID="Visio.Drawing.15" ShapeID="_x0000_i1025" DrawAspect="Content" ObjectID="_1563105681" r:id="rId43"/>
        </w:object>
      </w:r>
    </w:p>
    <w:p w:rsidR="00BA3F89" w:rsidRDefault="00BA3F89" w:rsidP="00CC68AF">
      <w:r>
        <w:rPr>
          <w:bCs/>
        </w:rPr>
        <w:br w:type="page"/>
      </w:r>
    </w:p>
    <w:p w:rsidR="00F93639" w:rsidRPr="00586246" w:rsidRDefault="00F93639" w:rsidP="00F93639">
      <w:pPr>
        <w:pStyle w:val="Heading1"/>
      </w:pPr>
      <w:bookmarkStart w:id="75" w:name="_Toc483921478"/>
      <w:bookmarkStart w:id="76" w:name="_Toc484692321"/>
      <w:r>
        <w:lastRenderedPageBreak/>
        <w:t>Glossary</w:t>
      </w:r>
      <w:bookmarkEnd w:id="75"/>
      <w:bookmarkEnd w:id="76"/>
    </w:p>
    <w:p w:rsidR="00214789" w:rsidRPr="00214789" w:rsidRDefault="00214789" w:rsidP="00214789">
      <w:pPr>
        <w:spacing w:before="0" w:after="200" w:line="276" w:lineRule="auto"/>
      </w:pPr>
      <w:r w:rsidRPr="00214789">
        <w:t>The DES Grant Agr</w:t>
      </w:r>
      <w:r w:rsidR="002630C9">
        <w:t xml:space="preserve">eement will include a detailed </w:t>
      </w:r>
      <w:r w:rsidR="002630C9" w:rsidRPr="002630C9">
        <w:rPr>
          <w:i/>
        </w:rPr>
        <w:t>G</w:t>
      </w:r>
      <w:r w:rsidRPr="002630C9">
        <w:rPr>
          <w:i/>
        </w:rPr>
        <w:t>lossary</w:t>
      </w:r>
      <w:r w:rsidRPr="00214789">
        <w:t xml:space="preserve"> of DES program terms. The definitions for the terms most frequently used in this Industry Information Paper are set out below. This is an abbreviated list for explanatory purposes only and the DES Grant Agreement will set out the definitive terms.</w:t>
      </w:r>
    </w:p>
    <w:p w:rsidR="00214789" w:rsidRPr="00214789" w:rsidRDefault="00214789" w:rsidP="00214789">
      <w:pPr>
        <w:spacing w:before="0" w:after="200" w:line="276" w:lineRule="auto"/>
      </w:pPr>
      <w:r w:rsidRPr="00214789">
        <w:rPr>
          <w:b/>
          <w:i/>
        </w:rPr>
        <w:t>4</w:t>
      </w:r>
      <w:r w:rsidR="000A0DC4">
        <w:rPr>
          <w:b/>
          <w:i/>
        </w:rPr>
        <w:t>-</w:t>
      </w:r>
      <w:r w:rsidRPr="00214789">
        <w:rPr>
          <w:b/>
          <w:i/>
        </w:rPr>
        <w:t xml:space="preserve">Week Outcome </w:t>
      </w:r>
      <w:r w:rsidRPr="00214789">
        <w:t xml:space="preserve">means the fee that is payable to a DES provider for a participant </w:t>
      </w:r>
      <w:r w:rsidR="000A0DC4">
        <w:t>who</w:t>
      </w:r>
      <w:r w:rsidR="000A0DC4" w:rsidRPr="00214789">
        <w:t xml:space="preserve"> </w:t>
      </w:r>
      <w:r w:rsidRPr="00214789">
        <w:t xml:space="preserve">has been placed into employment and has worked at least their Employment Benchmark </w:t>
      </w:r>
      <w:r w:rsidR="00665014">
        <w:t>hours for at least three weeks over a four-week period</w:t>
      </w:r>
      <w:r w:rsidRPr="00214789">
        <w:t>.</w:t>
      </w:r>
    </w:p>
    <w:p w:rsidR="00214789" w:rsidRPr="00214789" w:rsidRDefault="00214789" w:rsidP="00214789">
      <w:pPr>
        <w:spacing w:before="0" w:after="200" w:line="276" w:lineRule="auto"/>
      </w:pPr>
      <w:r w:rsidRPr="00214789">
        <w:rPr>
          <w:b/>
          <w:i/>
        </w:rPr>
        <w:t>13</w:t>
      </w:r>
      <w:r w:rsidR="000A0DC4">
        <w:rPr>
          <w:b/>
          <w:i/>
        </w:rPr>
        <w:t>-</w:t>
      </w:r>
      <w:r w:rsidRPr="00214789">
        <w:rPr>
          <w:b/>
          <w:i/>
        </w:rPr>
        <w:t>Week Outcome</w:t>
      </w:r>
      <w:r w:rsidRPr="00214789">
        <w:rPr>
          <w:b/>
        </w:rPr>
        <w:t xml:space="preserve"> </w:t>
      </w:r>
      <w:r w:rsidRPr="00214789">
        <w:t xml:space="preserve">means that a participant has satisfied the conditions of a Full Outcome or Pathway Outcome for 13 consecutive weeks of </w:t>
      </w:r>
      <w:r w:rsidRPr="001C3BC4">
        <w:rPr>
          <w:b/>
          <w:i/>
        </w:rPr>
        <w:t>employment</w:t>
      </w:r>
      <w:r w:rsidRPr="00214789">
        <w:t xml:space="preserve"> or one semester of a Qualifying Education Course.</w:t>
      </w:r>
    </w:p>
    <w:p w:rsidR="00214789" w:rsidRPr="00214789" w:rsidRDefault="00214789" w:rsidP="00214789">
      <w:pPr>
        <w:spacing w:before="0" w:after="200" w:line="276" w:lineRule="auto"/>
      </w:pPr>
      <w:r w:rsidRPr="00214789">
        <w:rPr>
          <w:b/>
          <w:i/>
        </w:rPr>
        <w:t>26</w:t>
      </w:r>
      <w:r w:rsidR="000A0DC4">
        <w:rPr>
          <w:b/>
          <w:i/>
        </w:rPr>
        <w:t>-</w:t>
      </w:r>
      <w:r w:rsidRPr="00214789">
        <w:rPr>
          <w:b/>
          <w:i/>
        </w:rPr>
        <w:t>Week Outcome</w:t>
      </w:r>
      <w:r w:rsidRPr="00214789">
        <w:rPr>
          <w:b/>
        </w:rPr>
        <w:t xml:space="preserve"> </w:t>
      </w:r>
      <w:r w:rsidRPr="00214789">
        <w:t>means that a participant has satisfied the conditions of a Full Outcome or Pathway Outcome for 26 consecutive weeks of employment or two semesters of a Qualifying Education Course.</w:t>
      </w:r>
    </w:p>
    <w:p w:rsidR="00214789" w:rsidRPr="00214789" w:rsidRDefault="00214789" w:rsidP="00214789">
      <w:pPr>
        <w:spacing w:before="0" w:after="200" w:line="276" w:lineRule="auto"/>
      </w:pPr>
      <w:r w:rsidRPr="00214789">
        <w:rPr>
          <w:b/>
          <w:i/>
        </w:rPr>
        <w:t>52</w:t>
      </w:r>
      <w:r w:rsidR="000A0DC4">
        <w:rPr>
          <w:b/>
          <w:i/>
        </w:rPr>
        <w:t>-</w:t>
      </w:r>
      <w:r w:rsidRPr="00214789">
        <w:rPr>
          <w:b/>
          <w:i/>
        </w:rPr>
        <w:t>Week Outcome</w:t>
      </w:r>
      <w:r w:rsidRPr="00214789">
        <w:t xml:space="preserve"> means </w:t>
      </w:r>
      <w:r w:rsidR="00C24B5F">
        <w:t xml:space="preserve">the fee payable when </w:t>
      </w:r>
      <w:r w:rsidRPr="00214789">
        <w:t>a participant has worked their Employment Benchmark hours for 52 weeks since they started their employment.</w:t>
      </w:r>
    </w:p>
    <w:p w:rsidR="00D55354" w:rsidRDefault="00214789" w:rsidP="00214789">
      <w:pPr>
        <w:spacing w:before="0" w:after="200" w:line="276" w:lineRule="auto"/>
      </w:pPr>
      <w:r w:rsidRPr="00214789">
        <w:rPr>
          <w:b/>
          <w:i/>
        </w:rPr>
        <w:t xml:space="preserve">Contract </w:t>
      </w:r>
      <w:r w:rsidRPr="00214789">
        <w:t>means the unique combination of program (i.e. DES-DMS or DES-ESS), organisation, ESA and specialisation.</w:t>
      </w:r>
    </w:p>
    <w:p w:rsidR="00D55354" w:rsidRPr="00A2254D" w:rsidRDefault="00D55354" w:rsidP="00D55354">
      <w:pPr>
        <w:spacing w:before="0" w:after="200" w:line="276" w:lineRule="auto"/>
      </w:pPr>
      <w:r>
        <w:rPr>
          <w:b/>
          <w:i/>
        </w:rPr>
        <w:t>DES Deed</w:t>
      </w:r>
      <w:r>
        <w:rPr>
          <w:i/>
        </w:rPr>
        <w:t xml:space="preserve"> </w:t>
      </w:r>
      <w:r>
        <w:t>means the deed which sets out the current arrangement for the provision of DES services.</w:t>
      </w:r>
      <w:r w:rsidR="000E463B">
        <w:t xml:space="preserve"> A link to the DES Deed is provided in the </w:t>
      </w:r>
      <w:r w:rsidR="000E463B">
        <w:rPr>
          <w:i/>
        </w:rPr>
        <w:t>Useful Information</w:t>
      </w:r>
      <w:r w:rsidR="00B56780">
        <w:t xml:space="preserve"> section on page 2</w:t>
      </w:r>
      <w:r w:rsidR="00200C68">
        <w:t>9</w:t>
      </w:r>
      <w:r w:rsidR="000E463B">
        <w:t>.</w:t>
      </w:r>
    </w:p>
    <w:p w:rsidR="00214789" w:rsidRPr="00214789" w:rsidRDefault="00214789" w:rsidP="00214789">
      <w:pPr>
        <w:spacing w:before="0" w:after="200" w:line="276" w:lineRule="auto"/>
      </w:pPr>
      <w:r w:rsidRPr="00214789">
        <w:rPr>
          <w:b/>
          <w:i/>
        </w:rPr>
        <w:t>Disability Management Service or DES-DMS</w:t>
      </w:r>
      <w:r w:rsidRPr="00214789">
        <w:rPr>
          <w:b/>
        </w:rPr>
        <w:t xml:space="preserve"> </w:t>
      </w:r>
      <w:r w:rsidRPr="00214789">
        <w:t xml:space="preserve">is a DES service for participants that are assessed as having a disability, injury or health condition but who are not expected to require long term support to maintain their employment. </w:t>
      </w:r>
    </w:p>
    <w:p w:rsidR="00740F7C" w:rsidRPr="008906CA" w:rsidRDefault="00740F7C" w:rsidP="00740F7C">
      <w:pPr>
        <w:widowControl w:val="0"/>
        <w:suppressAutoHyphens/>
        <w:autoSpaceDE w:val="0"/>
        <w:autoSpaceDN w:val="0"/>
        <w:adjustRightInd w:val="0"/>
        <w:textAlignment w:val="center"/>
        <w:rPr>
          <w:rFonts w:asciiTheme="minorHAnsi" w:hAnsiTheme="minorHAnsi" w:cstheme="minorHAnsi"/>
        </w:rPr>
      </w:pPr>
      <w:r w:rsidRPr="00740F7C">
        <w:rPr>
          <w:rFonts w:asciiTheme="minorHAnsi" w:hAnsiTheme="minorHAnsi" w:cstheme="minorHAnsi"/>
          <w:b/>
          <w:i/>
        </w:rPr>
        <w:t>Eligible School Leaver</w:t>
      </w:r>
      <w:r w:rsidRPr="008906CA">
        <w:rPr>
          <w:rFonts w:asciiTheme="minorHAnsi" w:hAnsiTheme="minorHAnsi" w:cstheme="minorHAnsi"/>
        </w:rPr>
        <w:t xml:space="preserve"> means a Par</w:t>
      </w:r>
      <w:r>
        <w:rPr>
          <w:rFonts w:asciiTheme="minorHAnsi" w:hAnsiTheme="minorHAnsi" w:cstheme="minorHAnsi"/>
        </w:rPr>
        <w:t>ticipant who d</w:t>
      </w:r>
      <w:r w:rsidRPr="00767CDA">
        <w:rPr>
          <w:rFonts w:asciiTheme="minorHAnsi" w:hAnsiTheme="minorHAnsi" w:cstheme="minorHAnsi"/>
        </w:rPr>
        <w:t xml:space="preserve">irectly </w:t>
      </w:r>
      <w:r>
        <w:rPr>
          <w:rFonts w:asciiTheme="minorHAnsi" w:hAnsiTheme="minorHAnsi" w:cstheme="minorHAnsi"/>
        </w:rPr>
        <w:t>r</w:t>
      </w:r>
      <w:r w:rsidRPr="00767CDA">
        <w:rPr>
          <w:rFonts w:asciiTheme="minorHAnsi" w:hAnsiTheme="minorHAnsi" w:cstheme="minorHAnsi"/>
        </w:rPr>
        <w:t xml:space="preserve">egisters </w:t>
      </w:r>
      <w:r w:rsidRPr="008906CA">
        <w:rPr>
          <w:rFonts w:asciiTheme="minorHAnsi" w:hAnsiTheme="minorHAnsi" w:cstheme="minorHAnsi"/>
        </w:rPr>
        <w:t xml:space="preserve">with the </w:t>
      </w:r>
      <w:r>
        <w:rPr>
          <w:rFonts w:asciiTheme="minorHAnsi" w:hAnsiTheme="minorHAnsi" w:cstheme="minorHAnsi"/>
        </w:rPr>
        <w:t>p</w:t>
      </w:r>
      <w:r w:rsidRPr="008906CA">
        <w:rPr>
          <w:rFonts w:asciiTheme="minorHAnsi" w:hAnsiTheme="minorHAnsi" w:cstheme="minorHAnsi"/>
        </w:rPr>
        <w:t xml:space="preserve">rovider and who is seeking to transition from: </w:t>
      </w:r>
    </w:p>
    <w:p w:rsidR="00740F7C" w:rsidRPr="008906CA" w:rsidRDefault="00740F7C" w:rsidP="00740F7C">
      <w:pPr>
        <w:pStyle w:val="Definitiontext"/>
        <w:numPr>
          <w:ilvl w:val="0"/>
          <w:numId w:val="30"/>
        </w:numPr>
        <w:rPr>
          <w:rFonts w:asciiTheme="minorHAnsi" w:hAnsiTheme="minorHAnsi" w:cstheme="minorHAnsi"/>
          <w:sz w:val="24"/>
          <w:szCs w:val="24"/>
          <w:lang w:eastAsia="en-AU"/>
        </w:rPr>
      </w:pPr>
      <w:r w:rsidRPr="008906CA">
        <w:rPr>
          <w:rFonts w:asciiTheme="minorHAnsi" w:hAnsiTheme="minorHAnsi" w:cstheme="minorHAnsi"/>
          <w:sz w:val="24"/>
          <w:szCs w:val="24"/>
          <w:lang w:eastAsia="en-AU"/>
        </w:rPr>
        <w:t>secondary school to post school employment</w:t>
      </w:r>
      <w:r w:rsidR="003C0C34">
        <w:rPr>
          <w:rFonts w:asciiTheme="minorHAnsi" w:hAnsiTheme="minorHAnsi" w:cstheme="minorHAnsi"/>
          <w:sz w:val="24"/>
          <w:szCs w:val="24"/>
          <w:lang w:eastAsia="en-AU"/>
        </w:rPr>
        <w:t>,</w:t>
      </w:r>
      <w:r w:rsidRPr="008906CA">
        <w:rPr>
          <w:rFonts w:asciiTheme="minorHAnsi" w:hAnsiTheme="minorHAnsi" w:cstheme="minorHAnsi"/>
          <w:sz w:val="24"/>
          <w:szCs w:val="24"/>
          <w:lang w:eastAsia="en-AU"/>
        </w:rPr>
        <w:t xml:space="preserve"> or</w:t>
      </w:r>
    </w:p>
    <w:p w:rsidR="00740F7C" w:rsidRPr="008906CA" w:rsidRDefault="00740F7C" w:rsidP="00740F7C">
      <w:pPr>
        <w:pStyle w:val="Definitiontext"/>
        <w:numPr>
          <w:ilvl w:val="0"/>
          <w:numId w:val="30"/>
        </w:numPr>
        <w:rPr>
          <w:rFonts w:asciiTheme="minorHAnsi" w:hAnsiTheme="minorHAnsi" w:cstheme="minorHAnsi"/>
          <w:sz w:val="24"/>
          <w:szCs w:val="24"/>
          <w:lang w:eastAsia="en-AU"/>
        </w:rPr>
      </w:pPr>
      <w:r w:rsidRPr="008906CA">
        <w:rPr>
          <w:rFonts w:asciiTheme="minorHAnsi" w:hAnsiTheme="minorHAnsi" w:cstheme="minorHAnsi"/>
          <w:sz w:val="24"/>
          <w:szCs w:val="24"/>
          <w:lang w:eastAsia="en-AU"/>
        </w:rPr>
        <w:t xml:space="preserve">an Australian state or territory government disability transition </w:t>
      </w:r>
      <w:r w:rsidR="003C0C34">
        <w:rPr>
          <w:rFonts w:asciiTheme="minorHAnsi" w:hAnsiTheme="minorHAnsi" w:cstheme="minorHAnsi"/>
          <w:sz w:val="24"/>
          <w:szCs w:val="24"/>
          <w:lang w:eastAsia="en-AU"/>
        </w:rPr>
        <w:t>to work programme to employment</w:t>
      </w:r>
    </w:p>
    <w:p w:rsidR="00740F7C" w:rsidRPr="008906CA" w:rsidRDefault="00517981" w:rsidP="00740F7C">
      <w:pPr>
        <w:pStyle w:val="Definitiontext"/>
        <w:ind w:firstLine="720"/>
        <w:rPr>
          <w:rFonts w:asciiTheme="minorHAnsi" w:hAnsiTheme="minorHAnsi" w:cstheme="minorHAnsi"/>
          <w:sz w:val="24"/>
          <w:szCs w:val="24"/>
          <w:lang w:eastAsia="en-AU"/>
        </w:rPr>
      </w:pPr>
      <w:r>
        <w:rPr>
          <w:rFonts w:asciiTheme="minorHAnsi" w:hAnsiTheme="minorHAnsi" w:cstheme="minorHAnsi"/>
          <w:sz w:val="24"/>
          <w:szCs w:val="24"/>
          <w:lang w:eastAsia="en-AU"/>
        </w:rPr>
        <w:t>and has evidence that they:</w:t>
      </w:r>
    </w:p>
    <w:p w:rsidR="00740F7C" w:rsidRPr="008906CA" w:rsidRDefault="00740F7C" w:rsidP="00740F7C">
      <w:pPr>
        <w:pStyle w:val="Definitiontext"/>
        <w:numPr>
          <w:ilvl w:val="0"/>
          <w:numId w:val="30"/>
        </w:numPr>
        <w:rPr>
          <w:rFonts w:asciiTheme="minorHAnsi" w:hAnsiTheme="minorHAnsi" w:cstheme="minorHAnsi"/>
          <w:sz w:val="24"/>
          <w:szCs w:val="24"/>
          <w:lang w:eastAsia="en-AU"/>
        </w:rPr>
      </w:pPr>
      <w:r w:rsidRPr="008906CA">
        <w:rPr>
          <w:rFonts w:asciiTheme="minorHAnsi" w:hAnsiTheme="minorHAnsi" w:cstheme="minorHAnsi"/>
          <w:sz w:val="24"/>
          <w:szCs w:val="24"/>
          <w:lang w:eastAsia="en-AU"/>
        </w:rPr>
        <w:t>attract additional educational funding due to their disability</w:t>
      </w:r>
      <w:r w:rsidR="003C0C34">
        <w:rPr>
          <w:rFonts w:asciiTheme="minorHAnsi" w:hAnsiTheme="minorHAnsi" w:cstheme="minorHAnsi"/>
          <w:sz w:val="24"/>
          <w:szCs w:val="24"/>
          <w:lang w:eastAsia="en-AU"/>
        </w:rPr>
        <w:t xml:space="preserve">, </w:t>
      </w:r>
      <w:r w:rsidRPr="008906CA">
        <w:rPr>
          <w:rFonts w:asciiTheme="minorHAnsi" w:hAnsiTheme="minorHAnsi" w:cstheme="minorHAnsi"/>
          <w:sz w:val="24"/>
          <w:szCs w:val="24"/>
          <w:lang w:eastAsia="en-AU"/>
        </w:rPr>
        <w:t>or</w:t>
      </w:r>
    </w:p>
    <w:p w:rsidR="00740F7C" w:rsidRPr="008906CA" w:rsidRDefault="00740F7C" w:rsidP="00740F7C">
      <w:pPr>
        <w:pStyle w:val="Definitiontext"/>
        <w:numPr>
          <w:ilvl w:val="0"/>
          <w:numId w:val="30"/>
        </w:numPr>
        <w:rPr>
          <w:rFonts w:asciiTheme="minorHAnsi" w:hAnsiTheme="minorHAnsi" w:cstheme="minorHAnsi"/>
          <w:sz w:val="24"/>
          <w:szCs w:val="24"/>
          <w:lang w:eastAsia="en-AU"/>
        </w:rPr>
      </w:pPr>
      <w:r w:rsidRPr="008906CA">
        <w:rPr>
          <w:rFonts w:asciiTheme="minorHAnsi" w:hAnsiTheme="minorHAnsi" w:cstheme="minorHAnsi"/>
          <w:sz w:val="24"/>
          <w:szCs w:val="24"/>
          <w:lang w:eastAsia="en-AU"/>
        </w:rPr>
        <w:t>are receiving Disability Support Pension</w:t>
      </w:r>
      <w:r w:rsidR="003C0C34">
        <w:rPr>
          <w:rFonts w:asciiTheme="minorHAnsi" w:hAnsiTheme="minorHAnsi" w:cstheme="minorHAnsi"/>
          <w:sz w:val="24"/>
          <w:szCs w:val="24"/>
          <w:lang w:eastAsia="en-AU"/>
        </w:rPr>
        <w:t xml:space="preserve"> </w:t>
      </w:r>
    </w:p>
    <w:p w:rsidR="00740F7C" w:rsidRPr="008906CA" w:rsidRDefault="00740F7C" w:rsidP="00740F7C">
      <w:pPr>
        <w:pStyle w:val="Definitiontext"/>
        <w:ind w:firstLine="720"/>
        <w:rPr>
          <w:rFonts w:asciiTheme="minorHAnsi" w:hAnsiTheme="minorHAnsi" w:cstheme="minorHAnsi"/>
          <w:sz w:val="24"/>
          <w:szCs w:val="24"/>
          <w:lang w:eastAsia="en-AU"/>
        </w:rPr>
      </w:pPr>
      <w:r w:rsidRPr="008906CA">
        <w:rPr>
          <w:rFonts w:asciiTheme="minorHAnsi" w:hAnsiTheme="minorHAnsi" w:cstheme="minorHAnsi"/>
          <w:sz w:val="24"/>
          <w:szCs w:val="24"/>
          <w:lang w:eastAsia="en-AU"/>
        </w:rPr>
        <w:t xml:space="preserve">in accordance with any Guidelines. </w:t>
      </w:r>
    </w:p>
    <w:p w:rsidR="00214789" w:rsidRPr="00214789" w:rsidRDefault="00214789" w:rsidP="00214789">
      <w:pPr>
        <w:spacing w:before="0" w:after="200" w:line="276" w:lineRule="auto"/>
      </w:pPr>
      <w:r w:rsidRPr="00214789">
        <w:rPr>
          <w:b/>
          <w:i/>
        </w:rPr>
        <w:t>Education Outcomes</w:t>
      </w:r>
      <w:r w:rsidRPr="00214789">
        <w:rPr>
          <w:b/>
        </w:rPr>
        <w:t xml:space="preserve"> </w:t>
      </w:r>
      <w:r w:rsidRPr="00214789">
        <w:t>are payable where a participant (other than a Work Assist participant) completes a semester of a Qualifying Education Course.</w:t>
      </w:r>
    </w:p>
    <w:p w:rsidR="00214789" w:rsidRPr="00214789" w:rsidRDefault="00214789" w:rsidP="00214789">
      <w:pPr>
        <w:spacing w:before="0" w:after="200" w:line="276" w:lineRule="auto"/>
      </w:pPr>
      <w:r w:rsidRPr="00214789">
        <w:rPr>
          <w:b/>
          <w:i/>
        </w:rPr>
        <w:t xml:space="preserve">Eligible job seeker </w:t>
      </w:r>
      <w:r w:rsidRPr="00214789">
        <w:t>is eligible for DES if they:</w:t>
      </w:r>
    </w:p>
    <w:p w:rsidR="00214789" w:rsidRPr="00214789" w:rsidRDefault="00214789" w:rsidP="00214789">
      <w:pPr>
        <w:numPr>
          <w:ilvl w:val="0"/>
          <w:numId w:val="18"/>
        </w:numPr>
        <w:spacing w:before="0" w:after="200" w:line="276" w:lineRule="auto"/>
      </w:pPr>
      <w:r w:rsidRPr="00214789">
        <w:lastRenderedPageBreak/>
        <w:t>have a disability, injury or health condition</w:t>
      </w:r>
      <w:r w:rsidR="003C0C34">
        <w:t>.</w:t>
      </w:r>
      <w:r w:rsidRPr="00214789">
        <w:t xml:space="preserve"> </w:t>
      </w:r>
    </w:p>
    <w:p w:rsidR="00214789" w:rsidRPr="00214789" w:rsidRDefault="00214789" w:rsidP="00214789">
      <w:pPr>
        <w:numPr>
          <w:ilvl w:val="0"/>
          <w:numId w:val="18"/>
        </w:numPr>
        <w:spacing w:before="0" w:after="200" w:line="276" w:lineRule="auto"/>
      </w:pPr>
      <w:proofErr w:type="gramStart"/>
      <w:r w:rsidRPr="00214789">
        <w:t>are</w:t>
      </w:r>
      <w:proofErr w:type="gramEnd"/>
      <w:r w:rsidRPr="00214789">
        <w:t xml:space="preserve"> aged at least 14 but have not yet attained </w:t>
      </w:r>
      <w:r w:rsidR="00900201">
        <w:t xml:space="preserve">the Age Pension qualifying </w:t>
      </w:r>
      <w:r w:rsidRPr="00214789">
        <w:t xml:space="preserve"> age</w:t>
      </w:r>
      <w:r w:rsidR="003C0C34">
        <w:t>.</w:t>
      </w:r>
      <w:r w:rsidRPr="00214789">
        <w:t xml:space="preserve"> </w:t>
      </w:r>
    </w:p>
    <w:p w:rsidR="00214789" w:rsidRPr="00214789" w:rsidRDefault="00214789" w:rsidP="00214789">
      <w:pPr>
        <w:numPr>
          <w:ilvl w:val="0"/>
          <w:numId w:val="18"/>
        </w:numPr>
        <w:spacing w:before="0" w:after="200" w:line="276" w:lineRule="auto"/>
      </w:pPr>
      <w:r w:rsidRPr="00214789">
        <w:t>are at or above the minimum legal working age in their state or territory</w:t>
      </w:r>
      <w:r w:rsidR="003C0C34">
        <w:t>.</w:t>
      </w:r>
      <w:r w:rsidRPr="00214789">
        <w:t xml:space="preserve"> </w:t>
      </w:r>
    </w:p>
    <w:p w:rsidR="00214789" w:rsidRPr="00214789" w:rsidRDefault="00214789" w:rsidP="00214789">
      <w:pPr>
        <w:numPr>
          <w:ilvl w:val="0"/>
          <w:numId w:val="18"/>
        </w:numPr>
        <w:spacing w:before="0" w:after="200" w:line="276" w:lineRule="auto"/>
      </w:pPr>
      <w:r w:rsidRPr="00214789">
        <w:t>have a future work capacity with intervention of at least eight hours per week</w:t>
      </w:r>
      <w:r w:rsidR="003C0C34">
        <w:t>.</w:t>
      </w:r>
      <w:r w:rsidRPr="00214789">
        <w:t xml:space="preserve"> </w:t>
      </w:r>
    </w:p>
    <w:p w:rsidR="00214789" w:rsidRPr="00214789" w:rsidRDefault="00214789" w:rsidP="00214789">
      <w:pPr>
        <w:numPr>
          <w:ilvl w:val="0"/>
          <w:numId w:val="18"/>
        </w:numPr>
        <w:spacing w:before="0" w:after="200" w:line="276" w:lineRule="auto"/>
      </w:pPr>
      <w:r w:rsidRPr="00214789">
        <w:t>are an Australian resident (except where a job seeker is either a Temporary Protection Visa (TPV) holder or a Safe Haven Enterprise Visa (SHEV) holder</w:t>
      </w:r>
      <w:r w:rsidR="003C0C34">
        <w:t>.</w:t>
      </w:r>
    </w:p>
    <w:p w:rsidR="00214789" w:rsidRPr="00214789" w:rsidRDefault="00214789" w:rsidP="00214789">
      <w:pPr>
        <w:numPr>
          <w:ilvl w:val="0"/>
          <w:numId w:val="18"/>
        </w:numPr>
        <w:spacing w:before="0" w:after="200" w:line="276" w:lineRule="auto"/>
      </w:pPr>
      <w:r w:rsidRPr="00214789">
        <w:t>are not studying full time (unless the job seeker is an Eligible School Leaver)</w:t>
      </w:r>
      <w:r w:rsidR="003C0C34">
        <w:t xml:space="preserve">. </w:t>
      </w:r>
    </w:p>
    <w:p w:rsidR="00214789" w:rsidRPr="00214789" w:rsidRDefault="00214789" w:rsidP="00214789">
      <w:pPr>
        <w:numPr>
          <w:ilvl w:val="0"/>
          <w:numId w:val="18"/>
        </w:numPr>
        <w:spacing w:before="0" w:after="200" w:line="276" w:lineRule="auto"/>
      </w:pPr>
      <w:r w:rsidRPr="00214789">
        <w:t>are not working at or above their Employment Benchmark hours (not applicable for Work Assist Participants and Australian Disability Enterprise (ADE) participants).</w:t>
      </w:r>
    </w:p>
    <w:p w:rsidR="00214789" w:rsidRPr="00214789" w:rsidRDefault="00214789" w:rsidP="00214789">
      <w:pPr>
        <w:spacing w:before="0" w:after="200" w:line="276" w:lineRule="auto"/>
      </w:pPr>
      <w:r w:rsidRPr="00214789">
        <w:rPr>
          <w:b/>
          <w:i/>
        </w:rPr>
        <w:t>Employment Assistance</w:t>
      </w:r>
      <w:r w:rsidRPr="00214789">
        <w:t xml:space="preserve"> means the program services a participant (other than a Work Assist participant) receives from commencement into the program until Program Review, Ongoing Support or exit from the program. It does not include any Post Placement Support program services that a participant receives.</w:t>
      </w:r>
    </w:p>
    <w:p w:rsidR="00465F7E" w:rsidRPr="004051CF" w:rsidRDefault="00465F7E" w:rsidP="00214789">
      <w:pPr>
        <w:spacing w:before="0" w:after="200" w:line="276" w:lineRule="auto"/>
      </w:pPr>
      <w:r w:rsidRPr="004051CF">
        <w:rPr>
          <w:b/>
          <w:bCs/>
          <w:i/>
        </w:rPr>
        <w:t>Employment Assistance Fund</w:t>
      </w:r>
      <w:r w:rsidRPr="00465F7E">
        <w:t xml:space="preserve"> or </w:t>
      </w:r>
      <w:r w:rsidRPr="004051CF">
        <w:rPr>
          <w:b/>
          <w:bCs/>
          <w:i/>
        </w:rPr>
        <w:t>EAF</w:t>
      </w:r>
      <w:r w:rsidRPr="004051CF">
        <w:t xml:space="preserve"> means the Australian Government’s initiative which provides financial assistance for the costs of work related modifications and the work equipment for people with disability. </w:t>
      </w:r>
    </w:p>
    <w:p w:rsidR="00640FD3" w:rsidRDefault="00214789" w:rsidP="00640FD3">
      <w:r w:rsidRPr="00214789">
        <w:rPr>
          <w:b/>
          <w:i/>
        </w:rPr>
        <w:t xml:space="preserve">Employment Benchmark </w:t>
      </w:r>
      <w:r w:rsidRPr="00214789">
        <w:t>means the number of hours, on average, that a Participant (other than a Work Assist participant) must work each week to achieve a Full Outcome, as identified on the Department’s IT system.</w:t>
      </w:r>
      <w:r w:rsidR="00640FD3">
        <w:t xml:space="preserve"> Participants will have an Employment Benchmark of either 8, 15, 23 or 30 hours per week. The Employment Benchmark is generally based on a Participant’s capacity for work within two years with intervention as assessed through an Employment Services Assessment or Job Capacity Assessment, this is also known as a participant’s future work capacity.</w:t>
      </w:r>
    </w:p>
    <w:p w:rsidR="00214789" w:rsidRPr="00214789" w:rsidRDefault="00214789" w:rsidP="00214789">
      <w:pPr>
        <w:spacing w:before="0" w:after="200" w:line="276" w:lineRule="auto"/>
      </w:pPr>
      <w:r w:rsidRPr="00214789">
        <w:rPr>
          <w:b/>
          <w:i/>
        </w:rPr>
        <w:t>Employment Outcomes</w:t>
      </w:r>
      <w:r w:rsidRPr="00214789">
        <w:rPr>
          <w:b/>
        </w:rPr>
        <w:t xml:space="preserve"> </w:t>
      </w:r>
      <w:r w:rsidRPr="00214789">
        <w:t xml:space="preserve">are payable where a participant (other than a Work Assist participant) works 13 consecutive weeks or 26 consecutive weeks </w:t>
      </w:r>
      <w:r w:rsidR="004051CF">
        <w:rPr>
          <w:rFonts w:cs="Arial"/>
        </w:rPr>
        <w:t>or 52 consecutive weeks</w:t>
      </w:r>
      <w:r w:rsidR="004051CF" w:rsidRPr="00214789">
        <w:t xml:space="preserve"> </w:t>
      </w:r>
      <w:r w:rsidRPr="00214789">
        <w:t>and meets the requirements of a Full Outcome or a Pathway Outcome.</w:t>
      </w:r>
    </w:p>
    <w:p w:rsidR="00214789" w:rsidRPr="00214789" w:rsidRDefault="00214789" w:rsidP="00214789">
      <w:pPr>
        <w:spacing w:before="0" w:after="200" w:line="276" w:lineRule="auto"/>
      </w:pPr>
      <w:r w:rsidRPr="00214789">
        <w:rPr>
          <w:b/>
          <w:i/>
        </w:rPr>
        <w:t>Employment Service Area or ESA</w:t>
      </w:r>
      <w:r w:rsidRPr="00214789">
        <w:t xml:space="preserve"> means a geographical area, identified and displayed in the ‘Link to maps of the ESAs under the </w:t>
      </w:r>
      <w:r w:rsidRPr="00214789">
        <w:rPr>
          <w:i/>
        </w:rPr>
        <w:t>Useful Information</w:t>
      </w:r>
      <w:r w:rsidRPr="00214789">
        <w:t xml:space="preserve"> section</w:t>
      </w:r>
      <w:r w:rsidR="008925E8">
        <w:t xml:space="preserve"> on page </w:t>
      </w:r>
      <w:r w:rsidR="00BF55F6">
        <w:t>2</w:t>
      </w:r>
      <w:r w:rsidR="00200C68">
        <w:t>9</w:t>
      </w:r>
      <w:r w:rsidRPr="00214789">
        <w:t xml:space="preserve">. Applicant’s will be asked to apply for business at the ESA geographical level and DES providers will be </w:t>
      </w:r>
      <w:r w:rsidRPr="005C4419">
        <w:t>expected to provide full coverage</w:t>
      </w:r>
      <w:r w:rsidRPr="00214789">
        <w:t xml:space="preserve"> of an ESA. </w:t>
      </w:r>
    </w:p>
    <w:p w:rsidR="00214789" w:rsidRPr="00214789" w:rsidRDefault="00214789" w:rsidP="00214789">
      <w:pPr>
        <w:spacing w:before="0" w:after="200" w:line="276" w:lineRule="auto"/>
      </w:pPr>
      <w:r w:rsidRPr="00214789">
        <w:rPr>
          <w:b/>
          <w:i/>
        </w:rPr>
        <w:t>Employment Services Assessment or ESAt</w:t>
      </w:r>
      <w:r w:rsidRPr="00214789">
        <w:rPr>
          <w:b/>
        </w:rPr>
        <w:t xml:space="preserve"> </w:t>
      </w:r>
      <w:r w:rsidRPr="00214789">
        <w:t>means an independent assessment of a participant’s barriers to employment and work capacity.</w:t>
      </w:r>
    </w:p>
    <w:p w:rsidR="00214789" w:rsidRPr="00214789" w:rsidRDefault="00214789" w:rsidP="00214789">
      <w:pPr>
        <w:spacing w:before="0" w:after="200" w:line="276" w:lineRule="auto"/>
      </w:pPr>
      <w:r w:rsidRPr="00214789">
        <w:rPr>
          <w:b/>
          <w:i/>
        </w:rPr>
        <w:t>Employment Support Service or DES-ESS</w:t>
      </w:r>
      <w:r w:rsidRPr="00214789">
        <w:rPr>
          <w:b/>
        </w:rPr>
        <w:t xml:space="preserve"> </w:t>
      </w:r>
      <w:r w:rsidRPr="00214789">
        <w:t>is a DES service for participants that are assessed as having a disability, injury or health condition and who are expected to require long term support to maintain their employment.</w:t>
      </w:r>
    </w:p>
    <w:p w:rsidR="00E30036" w:rsidRPr="00C76661" w:rsidRDefault="00E30036" w:rsidP="00214789">
      <w:pPr>
        <w:spacing w:before="0" w:after="200" w:line="276" w:lineRule="auto"/>
      </w:pPr>
      <w:r w:rsidRPr="00C76661">
        <w:rPr>
          <w:b/>
          <w:bCs/>
          <w:i/>
        </w:rPr>
        <w:lastRenderedPageBreak/>
        <w:t>Extended Employment Assistance</w:t>
      </w:r>
      <w:r w:rsidRPr="00E30036">
        <w:t xml:space="preserve"> means the Program</w:t>
      </w:r>
      <w:r w:rsidRPr="00C76661">
        <w:t xml:space="preserve"> Services a </w:t>
      </w:r>
      <w:r w:rsidR="003C0C34">
        <w:t>p</w:t>
      </w:r>
      <w:r w:rsidRPr="00C76661">
        <w:t xml:space="preserve">articipant (other than a </w:t>
      </w:r>
      <w:r>
        <w:t>Work Assist</w:t>
      </w:r>
      <w:r w:rsidRPr="00C76661">
        <w:t xml:space="preserve"> Participant) may receive for a period of up to 26 weeks after Employment Assistance, which period ends when the Participant starts Ongoing Support, or Exits, whichever occurs first. </w:t>
      </w:r>
    </w:p>
    <w:p w:rsidR="00214789" w:rsidRPr="00214789" w:rsidRDefault="00214789" w:rsidP="00214789">
      <w:pPr>
        <w:spacing w:before="0" w:after="200" w:line="276" w:lineRule="auto"/>
      </w:pPr>
      <w:r w:rsidRPr="00214789">
        <w:rPr>
          <w:b/>
          <w:i/>
        </w:rPr>
        <w:t>Flexible Ongoing Support</w:t>
      </w:r>
      <w:r w:rsidRPr="00214789">
        <w:t xml:space="preserve"> is a level of Ongoing Support that is available to a DES-DMS or DES-ESS participant who needs continuing support to maintain their employment, unsubsidised self-employment, apprenticeship or traineeship, in accordance with any guidelines.</w:t>
      </w:r>
    </w:p>
    <w:p w:rsidR="00214789" w:rsidRPr="00214789" w:rsidRDefault="00214789" w:rsidP="00214789">
      <w:pPr>
        <w:spacing w:before="0" w:after="200" w:line="276" w:lineRule="auto"/>
      </w:pPr>
      <w:r w:rsidRPr="00214789">
        <w:rPr>
          <w:b/>
          <w:i/>
        </w:rPr>
        <w:t>Full Outcomes</w:t>
      </w:r>
      <w:r w:rsidRPr="00214789">
        <w:rPr>
          <w:b/>
        </w:rPr>
        <w:t xml:space="preserve"> </w:t>
      </w:r>
      <w:r w:rsidRPr="00214789">
        <w:t xml:space="preserve">are payable where a participant (other than a Work Assist participant) </w:t>
      </w:r>
    </w:p>
    <w:p w:rsidR="00214789" w:rsidRPr="00214789" w:rsidRDefault="00214789" w:rsidP="00214789">
      <w:pPr>
        <w:numPr>
          <w:ilvl w:val="0"/>
          <w:numId w:val="18"/>
        </w:numPr>
        <w:spacing w:before="0" w:after="200" w:line="276" w:lineRule="auto"/>
      </w:pPr>
      <w:r w:rsidRPr="00214789">
        <w:t xml:space="preserve">works 13 consecutive weeks or 26 consecutive weeks </w:t>
      </w:r>
      <w:r w:rsidR="004051CF">
        <w:rPr>
          <w:rFonts w:cs="Arial"/>
        </w:rPr>
        <w:t>or 52 consecutive weeks</w:t>
      </w:r>
      <w:r w:rsidR="004051CF" w:rsidRPr="00214789">
        <w:t xml:space="preserve"> </w:t>
      </w:r>
      <w:r w:rsidRPr="00214789">
        <w:t>in employment, unsubsidised self-employment, apprenticeship or traineeship and during that time</w:t>
      </w:r>
    </w:p>
    <w:p w:rsidR="00214789" w:rsidRPr="00214789" w:rsidRDefault="00214789" w:rsidP="00214789">
      <w:pPr>
        <w:numPr>
          <w:ilvl w:val="1"/>
          <w:numId w:val="18"/>
        </w:numPr>
        <w:spacing w:before="0" w:after="200" w:line="276" w:lineRule="auto"/>
      </w:pPr>
      <w:r w:rsidRPr="00214789">
        <w:t>works an average of their Employment Benchmark hours or more each week, or</w:t>
      </w:r>
    </w:p>
    <w:p w:rsidR="00214789" w:rsidRPr="00214789" w:rsidRDefault="00214789" w:rsidP="00214789">
      <w:pPr>
        <w:numPr>
          <w:ilvl w:val="1"/>
          <w:numId w:val="18"/>
        </w:numPr>
        <w:spacing w:before="0" w:after="200" w:line="276" w:lineRule="auto"/>
      </w:pPr>
      <w:r w:rsidRPr="00214789">
        <w:t>earns sufficient income to cause their basic rate of any income support payment to cease, or</w:t>
      </w:r>
    </w:p>
    <w:p w:rsidR="00214789" w:rsidRPr="00214789" w:rsidRDefault="00214789" w:rsidP="00214789">
      <w:pPr>
        <w:numPr>
          <w:ilvl w:val="0"/>
          <w:numId w:val="18"/>
        </w:numPr>
        <w:spacing w:before="0" w:after="200" w:line="276" w:lineRule="auto"/>
      </w:pPr>
      <w:r w:rsidRPr="00214789">
        <w:t>meets the requirements of an Education Outcome and is</w:t>
      </w:r>
    </w:p>
    <w:p w:rsidR="00214789" w:rsidRPr="00214789" w:rsidRDefault="00214789" w:rsidP="00214789">
      <w:pPr>
        <w:numPr>
          <w:ilvl w:val="1"/>
          <w:numId w:val="18"/>
        </w:numPr>
        <w:spacing w:before="0" w:after="200" w:line="276" w:lineRule="auto"/>
      </w:pPr>
      <w:r w:rsidRPr="00214789">
        <w:t>15 to 21 years of age or in an Aboriginal or Torres Strait Islander person, and has not completed Year 12 or equivalent, or</w:t>
      </w:r>
    </w:p>
    <w:p w:rsidR="00214789" w:rsidRPr="00214789" w:rsidRDefault="00214789" w:rsidP="00214789">
      <w:pPr>
        <w:numPr>
          <w:ilvl w:val="1"/>
          <w:numId w:val="18"/>
        </w:numPr>
        <w:spacing w:before="0" w:after="200" w:line="276" w:lineRule="auto"/>
      </w:pPr>
      <w:r w:rsidRPr="00214789">
        <w:t>a Principal Carer with part-time participation requirements, and is receiving Parenting Payment, Newstart Allowance, Youth Allow</w:t>
      </w:r>
      <w:r w:rsidR="003C0C34">
        <w:t>ance (other) or Special Benefit.</w:t>
      </w:r>
    </w:p>
    <w:p w:rsidR="00214789" w:rsidRPr="00214789" w:rsidRDefault="00214789" w:rsidP="00214789">
      <w:pPr>
        <w:spacing w:before="0" w:after="200" w:line="276" w:lineRule="auto"/>
      </w:pPr>
      <w:r w:rsidRPr="00214789">
        <w:rPr>
          <w:b/>
          <w:i/>
        </w:rPr>
        <w:t>Generalist Services</w:t>
      </w:r>
      <w:r w:rsidRPr="00214789">
        <w:rPr>
          <w:b/>
        </w:rPr>
        <w:t xml:space="preserve"> </w:t>
      </w:r>
      <w:r w:rsidRPr="00214789">
        <w:t>means services delivered for all DES participants regardless of the nature of their disability, injury or health condition.</w:t>
      </w:r>
    </w:p>
    <w:p w:rsidR="00214789" w:rsidRPr="00214789" w:rsidRDefault="00214789" w:rsidP="00214789">
      <w:pPr>
        <w:spacing w:before="0" w:after="200" w:line="276" w:lineRule="auto"/>
        <w:rPr>
          <w:iCs/>
        </w:rPr>
      </w:pPr>
      <w:r w:rsidRPr="00214789">
        <w:rPr>
          <w:b/>
          <w:i/>
        </w:rPr>
        <w:t xml:space="preserve">Grant Agreement </w:t>
      </w:r>
      <w:r w:rsidRPr="00214789">
        <w:t xml:space="preserve">means </w:t>
      </w:r>
      <w:r w:rsidRPr="00214789">
        <w:rPr>
          <w:iCs/>
        </w:rPr>
        <w:t>the contract set</w:t>
      </w:r>
      <w:r w:rsidR="00D55354">
        <w:rPr>
          <w:iCs/>
        </w:rPr>
        <w:t>ting</w:t>
      </w:r>
      <w:r w:rsidRPr="00214789">
        <w:rPr>
          <w:iCs/>
        </w:rPr>
        <w:t xml:space="preserve"> out the mutual obligations relating to the provision of the grant</w:t>
      </w:r>
      <w:r w:rsidR="00D55354">
        <w:rPr>
          <w:iCs/>
        </w:rPr>
        <w:t xml:space="preserve"> for DES services, based on the existing DES Deed</w:t>
      </w:r>
      <w:r w:rsidRPr="00214789">
        <w:rPr>
          <w:iCs/>
        </w:rPr>
        <w:t xml:space="preserve">. </w:t>
      </w:r>
      <w:r w:rsidR="00D55354">
        <w:rPr>
          <w:iCs/>
        </w:rPr>
        <w:t>Applicants appointed to the Panel of DES Providers will be required to sign a Grant Agreement</w:t>
      </w:r>
      <w:r w:rsidRPr="00214789">
        <w:rPr>
          <w:iCs/>
        </w:rPr>
        <w:t>.</w:t>
      </w:r>
    </w:p>
    <w:p w:rsidR="00465F7E" w:rsidRPr="006E4E19" w:rsidRDefault="00465F7E" w:rsidP="00214789">
      <w:pPr>
        <w:spacing w:before="0" w:after="200" w:line="276" w:lineRule="auto"/>
      </w:pPr>
      <w:r w:rsidRPr="006E4E19">
        <w:rPr>
          <w:b/>
          <w:bCs/>
          <w:i/>
        </w:rPr>
        <w:t>High Ongoing Support</w:t>
      </w:r>
      <w:r w:rsidRPr="00465F7E">
        <w:t xml:space="preserve"> </w:t>
      </w:r>
      <w:r>
        <w:t xml:space="preserve">means </w:t>
      </w:r>
      <w:r w:rsidR="005C5A25" w:rsidRPr="005C5A25">
        <w:t xml:space="preserve">a </w:t>
      </w:r>
      <w:r w:rsidR="005C5A25">
        <w:t>l</w:t>
      </w:r>
      <w:r w:rsidRPr="006E4E19">
        <w:t xml:space="preserve">evel of Ongoing Support </w:t>
      </w:r>
      <w:r w:rsidR="001C5414">
        <w:t xml:space="preserve">that is available to </w:t>
      </w:r>
      <w:r w:rsidRPr="006E4E19">
        <w:t xml:space="preserve">a </w:t>
      </w:r>
      <w:r>
        <w:t>DES-ESS</w:t>
      </w:r>
      <w:r w:rsidRPr="006E4E19">
        <w:t xml:space="preserve"> </w:t>
      </w:r>
      <w:r w:rsidR="003C0C34">
        <w:t>p</w:t>
      </w:r>
      <w:r w:rsidRPr="006E4E19">
        <w:t xml:space="preserve">articipant </w:t>
      </w:r>
      <w:r w:rsidR="00055EF2">
        <w:t>who needs continuing support to maintain their employment,</w:t>
      </w:r>
      <w:r w:rsidR="001C5414" w:rsidRPr="001C5414">
        <w:t xml:space="preserve"> </w:t>
      </w:r>
      <w:r w:rsidR="001C5414">
        <w:t>u</w:t>
      </w:r>
      <w:r w:rsidR="001C5414" w:rsidRPr="001C5414">
        <w:t xml:space="preserve">nsubsidised </w:t>
      </w:r>
      <w:r w:rsidR="001C5414">
        <w:t>s</w:t>
      </w:r>
      <w:r w:rsidR="001C5414" w:rsidRPr="001C5414">
        <w:t>elf-</w:t>
      </w:r>
      <w:r w:rsidR="001C5414">
        <w:t>e</w:t>
      </w:r>
      <w:r w:rsidR="001C5414" w:rsidRPr="001C5414">
        <w:t xml:space="preserve">mployment, </w:t>
      </w:r>
      <w:r w:rsidR="001C5414">
        <w:t>a</w:t>
      </w:r>
      <w:r w:rsidR="001C5414" w:rsidRPr="001C5414">
        <w:t xml:space="preserve">pprenticeship or </w:t>
      </w:r>
      <w:r w:rsidR="001C5414">
        <w:t>t</w:t>
      </w:r>
      <w:r w:rsidRPr="006E4E19">
        <w:t>rain</w:t>
      </w:r>
      <w:r w:rsidR="005C5A25" w:rsidRPr="005C5A25">
        <w:t xml:space="preserve">eeship, in accordance with any </w:t>
      </w:r>
      <w:r w:rsidR="005C5A25">
        <w:t>g</w:t>
      </w:r>
      <w:r w:rsidRPr="006E4E19">
        <w:t xml:space="preserve">uidelines. </w:t>
      </w:r>
    </w:p>
    <w:p w:rsidR="00214789" w:rsidRPr="00214789" w:rsidRDefault="00214789" w:rsidP="00214789">
      <w:pPr>
        <w:spacing w:before="0" w:after="200" w:line="276" w:lineRule="auto"/>
      </w:pPr>
      <w:r w:rsidRPr="00214789">
        <w:rPr>
          <w:b/>
          <w:i/>
        </w:rPr>
        <w:t>Insufficient Data</w:t>
      </w:r>
      <w:r w:rsidRPr="00214789">
        <w:t xml:space="preserve"> means a DES Star Rating result where the contract or outlet does not meet the minimum data requirements for a Star Rating to be calculated. The minimum data requirements are:</w:t>
      </w:r>
    </w:p>
    <w:p w:rsidR="00214789" w:rsidRPr="00214789" w:rsidRDefault="00214789" w:rsidP="00214789">
      <w:pPr>
        <w:numPr>
          <w:ilvl w:val="0"/>
          <w:numId w:val="18"/>
        </w:numPr>
        <w:spacing w:before="0" w:after="200" w:line="276" w:lineRule="auto"/>
      </w:pPr>
      <w:r w:rsidRPr="00214789">
        <w:lastRenderedPageBreak/>
        <w:t>Disability Management Service: A minimum of 20 Participants in the denominator for the 13 Week Full Outcomes measure;</w:t>
      </w:r>
    </w:p>
    <w:p w:rsidR="00214789" w:rsidRPr="00214789" w:rsidRDefault="00214789" w:rsidP="00684791">
      <w:pPr>
        <w:numPr>
          <w:ilvl w:val="0"/>
          <w:numId w:val="18"/>
        </w:numPr>
        <w:spacing w:before="0" w:after="0" w:line="276" w:lineRule="auto"/>
      </w:pPr>
      <w:r w:rsidRPr="00214789">
        <w:t xml:space="preserve">Employment Support Service A minimum of 20 Participants (combined) in the denominators for the measures: </w:t>
      </w:r>
    </w:p>
    <w:p w:rsidR="00214789" w:rsidRPr="00214789" w:rsidRDefault="00214789" w:rsidP="00684791">
      <w:pPr>
        <w:numPr>
          <w:ilvl w:val="1"/>
          <w:numId w:val="18"/>
        </w:numPr>
        <w:spacing w:after="200" w:line="240" w:lineRule="auto"/>
      </w:pPr>
      <w:r w:rsidRPr="00214789">
        <w:t>13 Week Full Outcomes (minimum of 5 Participants)</w:t>
      </w:r>
      <w:r w:rsidR="003C0C34">
        <w:t>.</w:t>
      </w:r>
      <w:r w:rsidRPr="00214789">
        <w:t xml:space="preserve">  </w:t>
      </w:r>
    </w:p>
    <w:p w:rsidR="00214789" w:rsidRPr="00214789" w:rsidRDefault="00214789" w:rsidP="00684791">
      <w:pPr>
        <w:numPr>
          <w:ilvl w:val="1"/>
          <w:numId w:val="18"/>
        </w:numPr>
        <w:spacing w:after="200" w:line="240" w:lineRule="auto"/>
      </w:pPr>
      <w:r w:rsidRPr="00214789">
        <w:t>Ongoing support</w:t>
      </w:r>
      <w:r w:rsidR="003C0C34">
        <w:t>.</w:t>
      </w:r>
    </w:p>
    <w:p w:rsidR="00214789" w:rsidRPr="00214789" w:rsidRDefault="00214789" w:rsidP="00214789">
      <w:pPr>
        <w:spacing w:before="0" w:after="200" w:line="276" w:lineRule="auto"/>
      </w:pPr>
      <w:r w:rsidRPr="00214789">
        <w:rPr>
          <w:b/>
          <w:i/>
        </w:rPr>
        <w:t xml:space="preserve">Invitation to Treat </w:t>
      </w:r>
      <w:r w:rsidR="004051CF" w:rsidRPr="004051CF">
        <w:rPr>
          <w:i/>
        </w:rPr>
        <w:t>or</w:t>
      </w:r>
      <w:r w:rsidR="004051CF">
        <w:rPr>
          <w:b/>
          <w:i/>
        </w:rPr>
        <w:t xml:space="preserve"> ITT </w:t>
      </w:r>
      <w:r w:rsidR="008D7F42" w:rsidRPr="001B7169">
        <w:t xml:space="preserve">means </w:t>
      </w:r>
      <w:r w:rsidR="000E463B">
        <w:t xml:space="preserve">the process by which existing </w:t>
      </w:r>
      <w:r w:rsidR="008D7F42" w:rsidRPr="001B7169">
        <w:t xml:space="preserve">DES Providers that are either identified by DSS using the June 2017 Star Ratings as managing </w:t>
      </w:r>
      <w:r w:rsidR="00BA4FDE">
        <w:t>3-S</w:t>
      </w:r>
      <w:r w:rsidR="00CF6A16">
        <w:t>tars or above</w:t>
      </w:r>
      <w:r w:rsidR="008D7F42" w:rsidRPr="001B7169">
        <w:t xml:space="preserve"> performing contracts; or where business has been awarded through the 2016/17 DES Business Reallocation process or as a result of a gap-filling arrangement in 2017, will be offered an </w:t>
      </w:r>
      <w:r w:rsidR="000E463B">
        <w:t>opportunity</w:t>
      </w:r>
      <w:r w:rsidR="008D7F42" w:rsidRPr="001B7169">
        <w:t xml:space="preserve"> to continue delivering the identified services under a new Grant Agreement from 1 July 2018.</w:t>
      </w:r>
    </w:p>
    <w:p w:rsidR="00214789" w:rsidRPr="00214789" w:rsidRDefault="00214789" w:rsidP="00214789">
      <w:pPr>
        <w:spacing w:before="0" w:after="200" w:line="276" w:lineRule="auto"/>
      </w:pPr>
      <w:r w:rsidRPr="00214789">
        <w:rPr>
          <w:b/>
          <w:i/>
        </w:rPr>
        <w:t xml:space="preserve">jobactive </w:t>
      </w:r>
      <w:r w:rsidRPr="00214789">
        <w:t xml:space="preserve">is the Australian Government’s mainstream employment services system that supports job seekers and employers. </w:t>
      </w:r>
    </w:p>
    <w:p w:rsidR="00214789" w:rsidRPr="00214789" w:rsidRDefault="00214789" w:rsidP="00214789">
      <w:pPr>
        <w:spacing w:before="0" w:after="200" w:line="276" w:lineRule="auto"/>
        <w:rPr>
          <w:b/>
          <w:i/>
        </w:rPr>
      </w:pPr>
      <w:r w:rsidRPr="00214789">
        <w:rPr>
          <w:b/>
          <w:i/>
        </w:rPr>
        <w:t>Job Capacity Assessment</w:t>
      </w:r>
      <w:r w:rsidRPr="00214789">
        <w:rPr>
          <w:b/>
        </w:rPr>
        <w:t xml:space="preserve"> </w:t>
      </w:r>
      <w:r w:rsidRPr="00214789">
        <w:t>means an independent assessment conducted to determine eligibility for the Disability Support Pension and includes assessment of barriers to employment and work capacity.</w:t>
      </w:r>
      <w:r w:rsidRPr="00214789">
        <w:rPr>
          <w:b/>
          <w:i/>
        </w:rPr>
        <w:t xml:space="preserve"> </w:t>
      </w:r>
    </w:p>
    <w:p w:rsidR="00214789" w:rsidRPr="00214789" w:rsidRDefault="00214789" w:rsidP="00214789">
      <w:pPr>
        <w:spacing w:before="0" w:after="200" w:line="276" w:lineRule="auto"/>
      </w:pPr>
      <w:r w:rsidRPr="00214789">
        <w:rPr>
          <w:b/>
          <w:i/>
        </w:rPr>
        <w:t>Job Plan</w:t>
      </w:r>
      <w:r w:rsidRPr="00214789">
        <w:rPr>
          <w:b/>
        </w:rPr>
        <w:t xml:space="preserve"> </w:t>
      </w:r>
      <w:r w:rsidRPr="00214789">
        <w:t xml:space="preserve">means a plan required under the </w:t>
      </w:r>
      <w:r w:rsidRPr="00214789">
        <w:rPr>
          <w:i/>
        </w:rPr>
        <w:t xml:space="preserve">Social Security Act 1991 </w:t>
      </w:r>
      <w:r w:rsidRPr="00A04716">
        <w:t>(Cth)</w:t>
      </w:r>
      <w:r w:rsidRPr="00214789">
        <w:t xml:space="preserve"> that is negotiated by the DES provider and the participant and which sets out an individualised pathway to sustainable employment for the participant.</w:t>
      </w:r>
    </w:p>
    <w:p w:rsidR="005C5A25" w:rsidRPr="00C0175C" w:rsidRDefault="005C5A25" w:rsidP="00214789">
      <w:pPr>
        <w:spacing w:before="0" w:after="200" w:line="276" w:lineRule="auto"/>
      </w:pPr>
      <w:r w:rsidRPr="006E4E19">
        <w:rPr>
          <w:b/>
          <w:bCs/>
          <w:i/>
        </w:rPr>
        <w:t>Moderate Ongoing Support</w:t>
      </w:r>
      <w:r w:rsidRPr="005C5A25">
        <w:t xml:space="preserve"> </w:t>
      </w:r>
      <w:r>
        <w:t xml:space="preserve">means </w:t>
      </w:r>
      <w:r w:rsidRPr="005C5A25">
        <w:t xml:space="preserve">a </w:t>
      </w:r>
      <w:r>
        <w:t>l</w:t>
      </w:r>
      <w:r w:rsidRPr="006E4E19">
        <w:t xml:space="preserve">evel of Ongoing Support </w:t>
      </w:r>
      <w:r w:rsidR="001C5414">
        <w:t xml:space="preserve">that is available to </w:t>
      </w:r>
      <w:r w:rsidRPr="006E4E19">
        <w:t xml:space="preserve">a </w:t>
      </w:r>
      <w:r>
        <w:t>DES-ESS</w:t>
      </w:r>
      <w:r w:rsidRPr="006E4E19">
        <w:t xml:space="preserve"> </w:t>
      </w:r>
      <w:r w:rsidR="003C0C34">
        <w:t>p</w:t>
      </w:r>
      <w:r w:rsidRPr="006E4E19">
        <w:t xml:space="preserve">articipant </w:t>
      </w:r>
      <w:r w:rsidR="00055EF2">
        <w:t>who needs continuing</w:t>
      </w:r>
      <w:r w:rsidR="001C5414">
        <w:t xml:space="preserve"> support </w:t>
      </w:r>
      <w:r w:rsidRPr="006E4E19">
        <w:t>to maintain th</w:t>
      </w:r>
      <w:r w:rsidR="001C5414">
        <w:t>eir employment,</w:t>
      </w:r>
      <w:r w:rsidR="001C5414" w:rsidRPr="001C5414">
        <w:t xml:space="preserve"> </w:t>
      </w:r>
      <w:r w:rsidR="001C5414">
        <w:t>u</w:t>
      </w:r>
      <w:r w:rsidRPr="006E4E19">
        <w:t xml:space="preserve">nsubsidised </w:t>
      </w:r>
      <w:r w:rsidR="001C5414">
        <w:t>s</w:t>
      </w:r>
      <w:r w:rsidRPr="006E4E19">
        <w:t>elf-</w:t>
      </w:r>
      <w:r w:rsidR="001C5414">
        <w:t>e</w:t>
      </w:r>
      <w:r w:rsidRPr="006E4E19">
        <w:t xml:space="preserve">mployment, </w:t>
      </w:r>
      <w:r w:rsidR="001C5414">
        <w:t>a</w:t>
      </w:r>
      <w:r w:rsidRPr="00C0175C">
        <w:t xml:space="preserve">pprenticeship or </w:t>
      </w:r>
      <w:r w:rsidR="001C5414">
        <w:t>t</w:t>
      </w:r>
      <w:r w:rsidRPr="00C0175C">
        <w:t>rain</w:t>
      </w:r>
      <w:r w:rsidRPr="005C5A25">
        <w:t xml:space="preserve">eeship, in accordance with any </w:t>
      </w:r>
      <w:r>
        <w:t>g</w:t>
      </w:r>
      <w:r w:rsidRPr="00C0175C">
        <w:t xml:space="preserve">uidelines. </w:t>
      </w:r>
    </w:p>
    <w:p w:rsidR="00214789" w:rsidRPr="00214789" w:rsidRDefault="00214789" w:rsidP="00214789">
      <w:pPr>
        <w:spacing w:before="0" w:after="200" w:line="276" w:lineRule="auto"/>
      </w:pPr>
      <w:r w:rsidRPr="00214789">
        <w:rPr>
          <w:b/>
          <w:i/>
        </w:rPr>
        <w:t>National Standards for Disability Services</w:t>
      </w:r>
      <w:r w:rsidRPr="00214789">
        <w:rPr>
          <w:b/>
        </w:rPr>
        <w:t xml:space="preserve"> </w:t>
      </w:r>
      <w:r w:rsidRPr="00214789">
        <w:t xml:space="preserve">means a series of standards </w:t>
      </w:r>
      <w:r w:rsidR="00740F7C">
        <w:t xml:space="preserve">from the </w:t>
      </w:r>
      <w:r w:rsidR="00740F7C" w:rsidRPr="00740F7C">
        <w:rPr>
          <w:i/>
        </w:rPr>
        <w:t>Disability Services Act 1986 (</w:t>
      </w:r>
      <w:r w:rsidR="00740F7C" w:rsidRPr="00A04716">
        <w:t xml:space="preserve">Cth) </w:t>
      </w:r>
      <w:r w:rsidRPr="00214789">
        <w:t xml:space="preserve">for </w:t>
      </w:r>
      <w:r w:rsidR="00740F7C">
        <w:t xml:space="preserve">the </w:t>
      </w:r>
      <w:r w:rsidRPr="00214789">
        <w:t xml:space="preserve">delivery of disability service and against which all DES providers must be certified within 12 months of the </w:t>
      </w:r>
      <w:r w:rsidR="00740F7C">
        <w:t>Grant Agreement</w:t>
      </w:r>
      <w:r w:rsidRPr="00214789">
        <w:t xml:space="preserve"> commencing.</w:t>
      </w:r>
    </w:p>
    <w:p w:rsidR="00214789" w:rsidRPr="00214789" w:rsidRDefault="00214789" w:rsidP="00214789">
      <w:pPr>
        <w:spacing w:before="0" w:after="200" w:line="276" w:lineRule="auto"/>
      </w:pPr>
      <w:r w:rsidRPr="00214789">
        <w:rPr>
          <w:b/>
          <w:i/>
        </w:rPr>
        <w:t xml:space="preserve">New Applicant </w:t>
      </w:r>
      <w:r w:rsidRPr="00214789">
        <w:t xml:space="preserve">means </w:t>
      </w:r>
      <w:r w:rsidR="000E463B">
        <w:t xml:space="preserve">an </w:t>
      </w:r>
      <w:r w:rsidRPr="00214789">
        <w:t>organisation</w:t>
      </w:r>
      <w:r w:rsidR="000E463B">
        <w:t xml:space="preserve"> which is</w:t>
      </w:r>
      <w:r w:rsidRPr="00214789">
        <w:t xml:space="preserve"> currently not delivering DES </w:t>
      </w:r>
      <w:r w:rsidR="000E463B">
        <w:t>services under a DES Deed</w:t>
      </w:r>
      <w:r w:rsidRPr="00214789">
        <w:t>.</w:t>
      </w:r>
    </w:p>
    <w:p w:rsidR="00214789" w:rsidRPr="00214789" w:rsidRDefault="00214789" w:rsidP="00214789">
      <w:pPr>
        <w:spacing w:before="0" w:after="200" w:line="276" w:lineRule="auto"/>
      </w:pPr>
      <w:r w:rsidRPr="00214789">
        <w:rPr>
          <w:b/>
          <w:i/>
        </w:rPr>
        <w:t>Ongoing Support</w:t>
      </w:r>
      <w:r w:rsidRPr="00214789">
        <w:rPr>
          <w:b/>
        </w:rPr>
        <w:t xml:space="preserve"> </w:t>
      </w:r>
      <w:r w:rsidRPr="00214789">
        <w:t>means the program services a participant may receive while they are in employment, unsubsidised self-employment, apprenticeship or traineeship, after a 26 Week Employment Outcome or Work Assist Outcome and until they exit DES.</w:t>
      </w:r>
    </w:p>
    <w:p w:rsidR="00214789" w:rsidRPr="00214789" w:rsidRDefault="00214789" w:rsidP="00214789">
      <w:pPr>
        <w:spacing w:before="0" w:after="200" w:line="276" w:lineRule="auto"/>
      </w:pPr>
      <w:r w:rsidRPr="00214789">
        <w:rPr>
          <w:b/>
          <w:i/>
        </w:rPr>
        <w:t>Ongoing Support Assessment</w:t>
      </w:r>
      <w:r w:rsidRPr="00214789">
        <w:rPr>
          <w:b/>
        </w:rPr>
        <w:t xml:space="preserve"> </w:t>
      </w:r>
      <w:r w:rsidRPr="00214789">
        <w:t xml:space="preserve">means an assessment by a contracted Ongoing Support Assessor as to a </w:t>
      </w:r>
      <w:r w:rsidR="003C0C34">
        <w:t>p</w:t>
      </w:r>
      <w:r w:rsidRPr="00214789">
        <w:t>articipant’s need for Ongoing Support.</w:t>
      </w:r>
    </w:p>
    <w:p w:rsidR="00214789" w:rsidRPr="00214789" w:rsidRDefault="00214789" w:rsidP="00214789">
      <w:pPr>
        <w:spacing w:before="0" w:after="200" w:line="276" w:lineRule="auto"/>
      </w:pPr>
      <w:r w:rsidRPr="00214789">
        <w:rPr>
          <w:b/>
          <w:i/>
        </w:rPr>
        <w:lastRenderedPageBreak/>
        <w:t xml:space="preserve">Outcome Fees </w:t>
      </w:r>
      <w:r w:rsidRPr="00214789">
        <w:t>are fees paid to the DES provider for each participant that completes a 4, 13, 26 or 52 Week Outcome.</w:t>
      </w:r>
    </w:p>
    <w:p w:rsidR="00214789" w:rsidRPr="00214789" w:rsidRDefault="00214789" w:rsidP="00214789">
      <w:pPr>
        <w:spacing w:before="0" w:after="200" w:line="276" w:lineRule="auto"/>
        <w:rPr>
          <w:b/>
          <w:i/>
        </w:rPr>
      </w:pPr>
      <w:r w:rsidRPr="00214789">
        <w:rPr>
          <w:b/>
          <w:i/>
        </w:rPr>
        <w:t xml:space="preserve">Panel of DES Providers </w:t>
      </w:r>
      <w:r w:rsidRPr="00214789">
        <w:t xml:space="preserve">means </w:t>
      </w:r>
      <w:r w:rsidR="00314AC6">
        <w:t xml:space="preserve">a </w:t>
      </w:r>
      <w:r w:rsidRPr="00214789">
        <w:t xml:space="preserve">panel of organisations that will be established </w:t>
      </w:r>
      <w:r w:rsidR="000E463B">
        <w:t>as a result of the Grant application process described in Chapter Three of this Industry Information Paper</w:t>
      </w:r>
      <w:r w:rsidRPr="00214789">
        <w:t>.</w:t>
      </w:r>
    </w:p>
    <w:p w:rsidR="00214789" w:rsidRPr="00214789" w:rsidRDefault="00214789" w:rsidP="00214789">
      <w:pPr>
        <w:spacing w:before="0" w:after="200" w:line="276" w:lineRule="auto"/>
      </w:pPr>
      <w:r w:rsidRPr="00214789">
        <w:rPr>
          <w:b/>
          <w:i/>
        </w:rPr>
        <w:t>Pathway Outcomes</w:t>
      </w:r>
      <w:r w:rsidRPr="00214789">
        <w:rPr>
          <w:i/>
        </w:rPr>
        <w:t xml:space="preserve"> - </w:t>
      </w:r>
      <w:r w:rsidRPr="00214789">
        <w:t>are payable where a participant (other than a Work Assist participant)</w:t>
      </w:r>
      <w:r w:rsidR="001B7169">
        <w:t>:</w:t>
      </w:r>
      <w:r w:rsidRPr="00214789">
        <w:t xml:space="preserve"> </w:t>
      </w:r>
    </w:p>
    <w:p w:rsidR="00214789" w:rsidRPr="00214789" w:rsidRDefault="00214789" w:rsidP="00BF3F3A">
      <w:pPr>
        <w:numPr>
          <w:ilvl w:val="0"/>
          <w:numId w:val="18"/>
        </w:numPr>
        <w:spacing w:before="0" w:after="200" w:line="276" w:lineRule="auto"/>
      </w:pPr>
      <w:r w:rsidRPr="00214789">
        <w:t>works 13 consecutive weeks or 26 consecutive weeks</w:t>
      </w:r>
      <w:r w:rsidR="006335D3">
        <w:t xml:space="preserve"> or</w:t>
      </w:r>
      <w:r w:rsidRPr="00214789">
        <w:t xml:space="preserve"> </w:t>
      </w:r>
      <w:r w:rsidR="006335D3">
        <w:rPr>
          <w:rFonts w:cs="Arial"/>
        </w:rPr>
        <w:t>52 consecutive weeks</w:t>
      </w:r>
      <w:r w:rsidR="006335D3" w:rsidRPr="007E6756">
        <w:rPr>
          <w:rFonts w:cs="Arial"/>
        </w:rPr>
        <w:t xml:space="preserve"> </w:t>
      </w:r>
      <w:r w:rsidRPr="00214789">
        <w:t>in employment, unsubsidised self-employment, apprenticeship or traineeship and during that time</w:t>
      </w:r>
    </w:p>
    <w:p w:rsidR="00214789" w:rsidRDefault="00214789" w:rsidP="00BF3F3A">
      <w:pPr>
        <w:numPr>
          <w:ilvl w:val="1"/>
          <w:numId w:val="18"/>
        </w:numPr>
        <w:spacing w:before="0" w:after="200" w:line="276" w:lineRule="auto"/>
      </w:pPr>
      <w:r w:rsidRPr="00214789">
        <w:t>works an average of at least 10 hours but less than 15 hours per week if their Employment Benchmark is 15, or</w:t>
      </w:r>
    </w:p>
    <w:p w:rsidR="006335D3" w:rsidRPr="00214789" w:rsidRDefault="006335D3" w:rsidP="00BF3F3A">
      <w:pPr>
        <w:numPr>
          <w:ilvl w:val="1"/>
          <w:numId w:val="18"/>
        </w:numPr>
        <w:spacing w:before="0" w:after="200" w:line="276" w:lineRule="auto"/>
      </w:pPr>
      <w:r>
        <w:rPr>
          <w:rFonts w:cs="Arial"/>
        </w:rPr>
        <w:t>works an average of at least 15 hours but less than 23 hours per week if their Employment Benchmark is 23, or</w:t>
      </w:r>
    </w:p>
    <w:p w:rsidR="00214789" w:rsidRPr="00214789" w:rsidRDefault="00214789" w:rsidP="00BF3F3A">
      <w:pPr>
        <w:numPr>
          <w:ilvl w:val="1"/>
          <w:numId w:val="18"/>
        </w:numPr>
        <w:spacing w:before="0" w:after="200" w:line="276" w:lineRule="auto"/>
      </w:pPr>
      <w:r w:rsidRPr="00214789">
        <w:t>works an average of at least 20 hours but less than 30 hours per week if their Employment Benchmark is 30, or</w:t>
      </w:r>
    </w:p>
    <w:p w:rsidR="00214789" w:rsidRPr="00214789" w:rsidRDefault="00214789" w:rsidP="00BF3F3A">
      <w:pPr>
        <w:numPr>
          <w:ilvl w:val="0"/>
          <w:numId w:val="18"/>
        </w:numPr>
        <w:spacing w:before="0" w:after="200" w:line="276" w:lineRule="auto"/>
      </w:pPr>
      <w:r w:rsidRPr="00214789">
        <w:t>meets the requirements of an Education Outcome and is not eligible for a Full Outcome.</w:t>
      </w:r>
    </w:p>
    <w:p w:rsidR="00A326D2" w:rsidRPr="00C0175C" w:rsidRDefault="00775E9B" w:rsidP="00214789">
      <w:pPr>
        <w:spacing w:before="0" w:after="200" w:line="276" w:lineRule="auto"/>
      </w:pPr>
      <w:r w:rsidRPr="001B7169">
        <w:rPr>
          <w:b/>
          <w:i/>
        </w:rPr>
        <w:t>Post-</w:t>
      </w:r>
      <w:r w:rsidR="00A326D2" w:rsidRPr="001B7169">
        <w:rPr>
          <w:b/>
          <w:i/>
        </w:rPr>
        <w:t>Placement Support</w:t>
      </w:r>
      <w:r w:rsidR="00A326D2" w:rsidRPr="001B7169">
        <w:rPr>
          <w:i/>
        </w:rPr>
        <w:t xml:space="preserve"> </w:t>
      </w:r>
      <w:r w:rsidR="00A326D2" w:rsidRPr="001B7169">
        <w:t>means</w:t>
      </w:r>
      <w:r w:rsidR="009569EF">
        <w:t xml:space="preserve"> the Program Services a </w:t>
      </w:r>
      <w:r w:rsidR="003C0C34">
        <w:t>p</w:t>
      </w:r>
      <w:r w:rsidR="009569EF">
        <w:t xml:space="preserve">articipant (other than a Work Assist </w:t>
      </w:r>
      <w:r w:rsidR="003C0C34">
        <w:t>p</w:t>
      </w:r>
      <w:r w:rsidR="009569EF">
        <w:t xml:space="preserve">articipant) receives, in relation to an Outcome for the period from the Anchor Date and while the </w:t>
      </w:r>
      <w:r w:rsidR="003C0C34">
        <w:t>p</w:t>
      </w:r>
      <w:r w:rsidR="009569EF">
        <w:t>articipant is working towards an Outcome.</w:t>
      </w:r>
    </w:p>
    <w:p w:rsidR="00214789" w:rsidRPr="00214789" w:rsidRDefault="00214789" w:rsidP="00214789">
      <w:pPr>
        <w:spacing w:before="0" w:after="200" w:line="276" w:lineRule="auto"/>
      </w:pPr>
      <w:r w:rsidRPr="00214789">
        <w:rPr>
          <w:b/>
          <w:i/>
        </w:rPr>
        <w:t>Qualifying Education Course</w:t>
      </w:r>
      <w:r w:rsidRPr="00214789">
        <w:rPr>
          <w:b/>
        </w:rPr>
        <w:t xml:space="preserve"> </w:t>
      </w:r>
      <w:r w:rsidRPr="00214789">
        <w:t>means a single qualification course of two or more semesters of full time study that is approved for Austudy, Abstudy or Youth Allowance (Student) purposes.</w:t>
      </w:r>
    </w:p>
    <w:p w:rsidR="00214789" w:rsidRPr="00214789" w:rsidRDefault="00214789" w:rsidP="00214789">
      <w:pPr>
        <w:spacing w:before="0" w:after="200" w:line="276" w:lineRule="auto"/>
      </w:pPr>
      <w:r w:rsidRPr="00214789">
        <w:rPr>
          <w:b/>
          <w:i/>
        </w:rPr>
        <w:t xml:space="preserve">Service Fees </w:t>
      </w:r>
      <w:r w:rsidRPr="00214789">
        <w:t>are fees paid to the DES provider for each participant while they remain in Employment Assistance.</w:t>
      </w:r>
    </w:p>
    <w:p w:rsidR="00214789" w:rsidRPr="00214789" w:rsidRDefault="00214789" w:rsidP="00214789">
      <w:pPr>
        <w:spacing w:before="0" w:after="200" w:line="276" w:lineRule="auto"/>
      </w:pPr>
      <w:r w:rsidRPr="00214789">
        <w:rPr>
          <w:b/>
          <w:i/>
        </w:rPr>
        <w:t>Specialist Services</w:t>
      </w:r>
      <w:r w:rsidRPr="00214789">
        <w:rPr>
          <w:b/>
        </w:rPr>
        <w:t xml:space="preserve"> </w:t>
      </w:r>
      <w:r w:rsidRPr="00214789">
        <w:t>means services delivered for a group of participants with specialist needs under a separate contract catering to that group of participants.</w:t>
      </w:r>
    </w:p>
    <w:p w:rsidR="00214789" w:rsidRPr="00214789" w:rsidRDefault="00214789" w:rsidP="00214789">
      <w:pPr>
        <w:spacing w:before="0" w:after="200" w:line="276" w:lineRule="auto"/>
      </w:pPr>
      <w:r w:rsidRPr="00214789">
        <w:rPr>
          <w:b/>
          <w:i/>
        </w:rPr>
        <w:t xml:space="preserve">Star Rating </w:t>
      </w:r>
      <w:r w:rsidRPr="00214789">
        <w:t>means the rating system which is used to measure provider performance. Stars range from 1</w:t>
      </w:r>
      <w:r w:rsidR="003C0C34">
        <w:t>- S</w:t>
      </w:r>
      <w:r w:rsidRPr="00214789">
        <w:t>tar to 5-Stars.</w:t>
      </w:r>
      <w:r w:rsidRPr="00214789">
        <w:rPr>
          <w:b/>
          <w:i/>
        </w:rPr>
        <w:t xml:space="preserve"> </w:t>
      </w:r>
    </w:p>
    <w:p w:rsidR="00105217" w:rsidRPr="00C0175C" w:rsidRDefault="00105217" w:rsidP="00214789">
      <w:pPr>
        <w:spacing w:before="0" w:after="200" w:line="276" w:lineRule="auto"/>
      </w:pPr>
      <w:r w:rsidRPr="00C0175C">
        <w:rPr>
          <w:b/>
          <w:bCs/>
          <w:i/>
        </w:rPr>
        <w:t>Supported Wage System</w:t>
      </w:r>
      <w:r w:rsidRPr="00105217">
        <w:t xml:space="preserve"> or </w:t>
      </w:r>
      <w:r w:rsidRPr="00C0175C">
        <w:rPr>
          <w:b/>
          <w:bCs/>
          <w:i/>
        </w:rPr>
        <w:t>SWS</w:t>
      </w:r>
      <w:r w:rsidRPr="00C0175C">
        <w:t xml:space="preserve"> means the</w:t>
      </w:r>
      <w:r w:rsidRPr="0091282C">
        <w:t xml:space="preserve"> Australian Government program</w:t>
      </w:r>
      <w:r w:rsidRPr="00C0175C">
        <w:t xml:space="preserve"> that makes provision for eligible people with disability to access a productivity based wage assessment. </w:t>
      </w:r>
    </w:p>
    <w:p w:rsidR="00214789" w:rsidRPr="00214789" w:rsidRDefault="00214789" w:rsidP="00214789">
      <w:pPr>
        <w:spacing w:before="0" w:after="200" w:line="276" w:lineRule="auto"/>
      </w:pPr>
      <w:r w:rsidRPr="00214789">
        <w:rPr>
          <w:b/>
          <w:i/>
        </w:rPr>
        <w:t>Transition Period</w:t>
      </w:r>
      <w:r w:rsidRPr="00214789">
        <w:rPr>
          <w:b/>
        </w:rPr>
        <w:t xml:space="preserve"> </w:t>
      </w:r>
      <w:r w:rsidRPr="00214789">
        <w:t xml:space="preserve">means the period in which the transition of affected participants to new providers will be arranged and effected. It starts following the announcement </w:t>
      </w:r>
      <w:r w:rsidRPr="00214789">
        <w:lastRenderedPageBreak/>
        <w:t xml:space="preserve">of </w:t>
      </w:r>
      <w:r w:rsidR="00F75813">
        <w:t>Grant application</w:t>
      </w:r>
      <w:r w:rsidRPr="00214789">
        <w:t xml:space="preserve"> results and continues until the commencement of the new deed period.</w:t>
      </w:r>
    </w:p>
    <w:p w:rsidR="005C5A25" w:rsidRPr="00C0175C" w:rsidRDefault="005C5A25" w:rsidP="005C5A25">
      <w:pPr>
        <w:autoSpaceDE w:val="0"/>
        <w:autoSpaceDN w:val="0"/>
        <w:adjustRightInd w:val="0"/>
        <w:spacing w:before="0" w:after="0" w:line="240" w:lineRule="auto"/>
        <w:rPr>
          <w:rFonts w:asciiTheme="minorHAnsi" w:eastAsiaTheme="minorHAnsi" w:hAnsiTheme="minorHAnsi" w:cstheme="minorHAnsi"/>
          <w:color w:val="000000"/>
          <w:spacing w:val="0"/>
          <w:lang w:eastAsia="en-US"/>
        </w:rPr>
      </w:pPr>
      <w:r w:rsidRPr="00C0175C">
        <w:rPr>
          <w:rFonts w:asciiTheme="minorHAnsi" w:eastAsiaTheme="minorHAnsi" w:hAnsiTheme="minorHAnsi" w:cstheme="minorHAnsi"/>
          <w:b/>
          <w:bCs/>
          <w:i/>
          <w:color w:val="000000"/>
          <w:spacing w:val="0"/>
          <w:lang w:eastAsia="en-US"/>
        </w:rPr>
        <w:t>Wage Subsidy</w:t>
      </w:r>
      <w:r w:rsidRPr="00C0175C">
        <w:rPr>
          <w:rFonts w:asciiTheme="minorHAnsi" w:eastAsiaTheme="minorHAnsi" w:hAnsiTheme="minorHAnsi" w:cstheme="minorHAnsi"/>
          <w:color w:val="000000"/>
          <w:spacing w:val="0"/>
          <w:lang w:eastAsia="en-US"/>
        </w:rPr>
        <w:t xml:space="preserve"> means a wage subsidy: </w:t>
      </w:r>
    </w:p>
    <w:p w:rsidR="005C5A25" w:rsidRPr="00C0175C" w:rsidRDefault="005C5A25" w:rsidP="00C0175C">
      <w:pPr>
        <w:autoSpaceDE w:val="0"/>
        <w:autoSpaceDN w:val="0"/>
        <w:adjustRightInd w:val="0"/>
        <w:spacing w:before="0" w:after="78" w:line="240" w:lineRule="auto"/>
        <w:ind w:left="720"/>
        <w:rPr>
          <w:rFonts w:asciiTheme="minorHAnsi" w:eastAsiaTheme="minorHAnsi" w:hAnsiTheme="minorHAnsi" w:cstheme="minorHAnsi"/>
          <w:color w:val="000000"/>
          <w:spacing w:val="0"/>
          <w:lang w:eastAsia="en-US"/>
        </w:rPr>
      </w:pPr>
      <w:r w:rsidRPr="00C0175C">
        <w:rPr>
          <w:rFonts w:asciiTheme="minorHAnsi" w:eastAsiaTheme="minorHAnsi" w:hAnsiTheme="minorHAnsi" w:cstheme="minorHAnsi"/>
          <w:color w:val="000000"/>
          <w:spacing w:val="0"/>
          <w:lang w:eastAsia="en-US"/>
        </w:rPr>
        <w:t xml:space="preserve">(a) paid under the Wage Subsidy Scheme; or </w:t>
      </w:r>
    </w:p>
    <w:p w:rsidR="006335D3" w:rsidRDefault="005C5A25" w:rsidP="00C0175C">
      <w:pPr>
        <w:spacing w:before="0" w:after="200" w:line="276" w:lineRule="auto"/>
        <w:ind w:left="720"/>
        <w:rPr>
          <w:rFonts w:asciiTheme="minorHAnsi" w:eastAsiaTheme="minorHAnsi" w:hAnsiTheme="minorHAnsi" w:cstheme="minorHAnsi"/>
          <w:color w:val="000000"/>
          <w:spacing w:val="0"/>
          <w:lang w:eastAsia="en-US"/>
        </w:rPr>
      </w:pPr>
      <w:r w:rsidRPr="00C0175C">
        <w:rPr>
          <w:rFonts w:asciiTheme="minorHAnsi" w:eastAsiaTheme="minorHAnsi" w:hAnsiTheme="minorHAnsi" w:cstheme="minorHAnsi"/>
          <w:color w:val="000000"/>
          <w:spacing w:val="0"/>
          <w:lang w:eastAsia="en-US"/>
        </w:rPr>
        <w:t xml:space="preserve">(b) </w:t>
      </w:r>
      <w:proofErr w:type="gramStart"/>
      <w:r w:rsidRPr="00C0175C">
        <w:rPr>
          <w:rFonts w:asciiTheme="minorHAnsi" w:eastAsiaTheme="minorHAnsi" w:hAnsiTheme="minorHAnsi" w:cstheme="minorHAnsi"/>
          <w:color w:val="000000"/>
          <w:spacing w:val="0"/>
          <w:lang w:eastAsia="en-US"/>
        </w:rPr>
        <w:t>paid</w:t>
      </w:r>
      <w:proofErr w:type="gramEnd"/>
      <w:r w:rsidRPr="00C0175C">
        <w:rPr>
          <w:rFonts w:asciiTheme="minorHAnsi" w:eastAsiaTheme="minorHAnsi" w:hAnsiTheme="minorHAnsi" w:cstheme="minorHAnsi"/>
          <w:color w:val="000000"/>
          <w:spacing w:val="0"/>
          <w:lang w:eastAsia="en-US"/>
        </w:rPr>
        <w:t xml:space="preserve"> under a scheme that offers Commonwealth financial assistance through wage subsidies to employers who employ eligible workers with disability, </w:t>
      </w:r>
    </w:p>
    <w:p w:rsidR="005C5A25" w:rsidRPr="00C0175C" w:rsidRDefault="005C5A25" w:rsidP="006335D3">
      <w:pPr>
        <w:spacing w:before="0" w:after="200" w:line="276" w:lineRule="auto"/>
      </w:pPr>
      <w:proofErr w:type="gramStart"/>
      <w:r w:rsidRPr="00105217">
        <w:rPr>
          <w:rFonts w:asciiTheme="minorHAnsi" w:eastAsiaTheme="minorHAnsi" w:hAnsiTheme="minorHAnsi" w:cstheme="minorHAnsi"/>
          <w:color w:val="000000"/>
          <w:spacing w:val="0"/>
          <w:lang w:eastAsia="en-US"/>
        </w:rPr>
        <w:t>and</w:t>
      </w:r>
      <w:proofErr w:type="gramEnd"/>
      <w:r w:rsidRPr="00105217">
        <w:rPr>
          <w:rFonts w:asciiTheme="minorHAnsi" w:eastAsiaTheme="minorHAnsi" w:hAnsiTheme="minorHAnsi" w:cstheme="minorHAnsi"/>
          <w:color w:val="000000"/>
          <w:spacing w:val="0"/>
          <w:lang w:eastAsia="en-US"/>
        </w:rPr>
        <w:t xml:space="preserve"> </w:t>
      </w:r>
      <w:r w:rsidRPr="00C0175C">
        <w:rPr>
          <w:rFonts w:asciiTheme="minorHAnsi" w:eastAsiaTheme="minorHAnsi" w:hAnsiTheme="minorHAnsi" w:cstheme="minorHAnsi"/>
          <w:b/>
          <w:bCs/>
          <w:i/>
          <w:color w:val="000000"/>
          <w:spacing w:val="0"/>
          <w:lang w:eastAsia="en-US"/>
        </w:rPr>
        <w:t>Wage Subsidies</w:t>
      </w:r>
      <w:r w:rsidRPr="00C0175C">
        <w:rPr>
          <w:rFonts w:asciiTheme="minorHAnsi" w:eastAsiaTheme="minorHAnsi" w:hAnsiTheme="minorHAnsi" w:cstheme="minorHAnsi"/>
          <w:color w:val="000000"/>
          <w:spacing w:val="0"/>
          <w:lang w:eastAsia="en-US"/>
        </w:rPr>
        <w:t xml:space="preserve"> has an equivalent meaning, where reference is to more than one Wage Subsidy.</w:t>
      </w:r>
      <w:r w:rsidRPr="005C5A25">
        <w:rPr>
          <w:rFonts w:ascii="Calibri" w:eastAsiaTheme="minorHAnsi" w:hAnsi="Calibri" w:cs="Calibri"/>
          <w:color w:val="000000"/>
          <w:spacing w:val="0"/>
          <w:sz w:val="22"/>
          <w:szCs w:val="22"/>
          <w:lang w:eastAsia="en-US"/>
        </w:rPr>
        <w:t xml:space="preserve"> </w:t>
      </w:r>
    </w:p>
    <w:p w:rsidR="00214789" w:rsidRPr="00214789" w:rsidRDefault="00214789" w:rsidP="005C5A25">
      <w:pPr>
        <w:spacing w:before="0" w:after="200" w:line="276" w:lineRule="auto"/>
      </w:pPr>
      <w:r w:rsidRPr="00214789">
        <w:rPr>
          <w:b/>
          <w:i/>
        </w:rPr>
        <w:t xml:space="preserve">Work Assist </w:t>
      </w:r>
      <w:r w:rsidRPr="00214789">
        <w:t>means the program services a Work Assist participant receives from commencement into the program until the participant exits the program or achieves a Work Assist Outcome.</w:t>
      </w:r>
    </w:p>
    <w:p w:rsidR="00214789" w:rsidRPr="00214789" w:rsidRDefault="00214789" w:rsidP="00214789">
      <w:pPr>
        <w:spacing w:before="0" w:after="200" w:line="276" w:lineRule="auto"/>
      </w:pPr>
      <w:r w:rsidRPr="00214789">
        <w:rPr>
          <w:b/>
          <w:i/>
        </w:rPr>
        <w:t xml:space="preserve">Work Assist Outcomes </w:t>
      </w:r>
      <w:r w:rsidRPr="00214789">
        <w:t>are payable where a Work Assist participant remains in active employment for 26 consecutive weeks.</w:t>
      </w:r>
    </w:p>
    <w:p w:rsidR="00214789" w:rsidRPr="00214789" w:rsidRDefault="00214789" w:rsidP="00214789">
      <w:pPr>
        <w:spacing w:before="0" w:after="200" w:line="276" w:lineRule="auto"/>
      </w:pPr>
    </w:p>
    <w:sectPr w:rsidR="00214789" w:rsidRPr="00214789" w:rsidSect="00CC68AF">
      <w:headerReference w:type="default" r:id="rId44"/>
      <w:footerReference w:type="first" r:id="rId45"/>
      <w:pgSz w:w="11906" w:h="16838"/>
      <w:pgMar w:top="1134" w:right="1418" w:bottom="1418" w:left="1134" w:header="284"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FF" w:rsidRDefault="00E064FF" w:rsidP="008F3023">
      <w:pPr>
        <w:spacing w:before="0" w:after="0" w:line="240" w:lineRule="auto"/>
      </w:pPr>
      <w:r>
        <w:separator/>
      </w:r>
    </w:p>
  </w:endnote>
  <w:endnote w:type="continuationSeparator" w:id="0">
    <w:p w:rsidR="00E064FF" w:rsidRDefault="00E064FF" w:rsidP="008F3023">
      <w:pPr>
        <w:spacing w:before="0" w:after="0" w:line="240" w:lineRule="auto"/>
      </w:pPr>
      <w:r>
        <w:continuationSeparator/>
      </w:r>
    </w:p>
  </w:endnote>
  <w:endnote w:type="continuationNotice" w:id="1">
    <w:p w:rsidR="00E064FF" w:rsidRDefault="00E064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rsidR="00E064FF" w:rsidRDefault="00E064FF" w:rsidP="003258D7">
        <w:pPr>
          <w:pStyle w:val="Footer"/>
          <w:jc w:val="center"/>
        </w:pPr>
        <w:r>
          <w:fldChar w:fldCharType="begin"/>
        </w:r>
        <w:r>
          <w:instrText xml:space="preserve"> PAGE   \* MERGEFORMAT </w:instrText>
        </w:r>
        <w:r>
          <w:fldChar w:fldCharType="separate"/>
        </w:r>
        <w:r w:rsidR="00A15A15">
          <w:rPr>
            <w:noProof/>
          </w:rPr>
          <w:t>iii</w:t>
        </w:r>
        <w:r>
          <w:rPr>
            <w:noProof/>
          </w:rPr>
          <w:fldChar w:fldCharType="end"/>
        </w:r>
      </w:p>
    </w:sdtContent>
  </w:sdt>
  <w:p w:rsidR="00E064FF" w:rsidRDefault="00E06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FF" w:rsidRDefault="00E064FF" w:rsidP="00B10EB1">
    <w:pPr>
      <w:pStyle w:val="Footer"/>
      <w:ind w:left="-1417"/>
    </w:pPr>
    <w:r>
      <w:rPr>
        <w:noProof/>
      </w:rPr>
      <w:drawing>
        <wp:inline distT="0" distB="0" distL="0" distR="0" wp14:anchorId="34FD3785" wp14:editId="7147A6D4">
          <wp:extent cx="7519595" cy="6264813"/>
          <wp:effectExtent l="0" t="0" r="5715" b="3175"/>
          <wp:docPr id="1" name="Picture 1"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5" cy="626481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FF" w:rsidRDefault="00E064FF" w:rsidP="00281D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248442"/>
      <w:docPartObj>
        <w:docPartGallery w:val="Page Numbers (Bottom of Page)"/>
        <w:docPartUnique/>
      </w:docPartObj>
    </w:sdtPr>
    <w:sdtEndPr>
      <w:rPr>
        <w:color w:val="808080" w:themeColor="background1" w:themeShade="80"/>
        <w:spacing w:val="60"/>
      </w:rPr>
    </w:sdtEndPr>
    <w:sdtContent>
      <w:p w:rsidR="00E064FF" w:rsidRDefault="00E064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5A15">
          <w:rPr>
            <w:noProof/>
          </w:rPr>
          <w:t>47</w:t>
        </w:r>
        <w:r>
          <w:rPr>
            <w:noProof/>
          </w:rPr>
          <w:fldChar w:fldCharType="end"/>
        </w:r>
        <w:r>
          <w:t xml:space="preserve"> | </w:t>
        </w:r>
        <w:r>
          <w:rPr>
            <w:color w:val="808080" w:themeColor="background1" w:themeShade="80"/>
            <w:spacing w:val="60"/>
          </w:rPr>
          <w:t>Page</w:t>
        </w:r>
      </w:p>
    </w:sdtContent>
  </w:sdt>
  <w:p w:rsidR="00E064FF" w:rsidRDefault="00E064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3039"/>
      <w:docPartObj>
        <w:docPartGallery w:val="Page Numbers (Bottom of Page)"/>
        <w:docPartUnique/>
      </w:docPartObj>
    </w:sdtPr>
    <w:sdtEndPr>
      <w:rPr>
        <w:noProof/>
      </w:rPr>
    </w:sdtEndPr>
    <w:sdtContent>
      <w:p w:rsidR="00E064FF" w:rsidRDefault="00E064FF" w:rsidP="00CC68AF">
        <w:pPr>
          <w:pStyle w:val="Footer"/>
          <w:jc w:val="right"/>
          <w:rPr>
            <w:noProof/>
          </w:rPr>
        </w:pPr>
        <w:r>
          <w:rPr>
            <w:noProof/>
          </w:rPr>
          <w:fldChar w:fldCharType="begin"/>
        </w:r>
        <w:r>
          <w:rPr>
            <w:noProof/>
          </w:rPr>
          <w:instrText xml:space="preserve"> PAGE   \* MERGEFORMAT </w:instrText>
        </w:r>
        <w:r>
          <w:rPr>
            <w:noProof/>
          </w:rPr>
          <w:fldChar w:fldCharType="separate"/>
        </w:r>
        <w:r w:rsidR="00A15A15">
          <w:rPr>
            <w:noProof/>
          </w:rPr>
          <w:t>34</w:t>
        </w:r>
        <w:r>
          <w:rPr>
            <w:noProof/>
          </w:rPr>
          <w:fldChar w:fldCharType="end"/>
        </w:r>
        <w:r>
          <w:t xml:space="preserve">| </w:t>
        </w:r>
        <w:r>
          <w:rPr>
            <w:color w:val="808080" w:themeColor="background1" w:themeShade="80"/>
            <w:spacing w:val="60"/>
          </w:rPr>
          <w:t>Page</w:t>
        </w:r>
      </w:p>
    </w:sdtContent>
  </w:sdt>
  <w:p w:rsidR="00E064FF" w:rsidRDefault="00E064FF"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FF" w:rsidRDefault="00E064FF" w:rsidP="008F3023">
      <w:pPr>
        <w:spacing w:before="0" w:after="0" w:line="240" w:lineRule="auto"/>
      </w:pPr>
      <w:r>
        <w:separator/>
      </w:r>
    </w:p>
  </w:footnote>
  <w:footnote w:type="continuationSeparator" w:id="0">
    <w:p w:rsidR="00E064FF" w:rsidRDefault="00E064FF" w:rsidP="008F3023">
      <w:pPr>
        <w:spacing w:before="0" w:after="0" w:line="240" w:lineRule="auto"/>
      </w:pPr>
      <w:r>
        <w:continuationSeparator/>
      </w:r>
    </w:p>
  </w:footnote>
  <w:footnote w:type="continuationNotice" w:id="1">
    <w:p w:rsidR="00E064FF" w:rsidRDefault="00E064FF">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FF" w:rsidRDefault="00E064FF" w:rsidP="00F30908">
    <w:pPr>
      <w:ind w:left="-964"/>
    </w:pPr>
    <w:r>
      <w:rPr>
        <w:noProof/>
      </w:rPr>
      <w:drawing>
        <wp:inline distT="0" distB="0" distL="0" distR="0" wp14:anchorId="509289FE" wp14:editId="20C4B269">
          <wp:extent cx="3236400" cy="936000"/>
          <wp:effectExtent l="0" t="0" r="2540" b="0"/>
          <wp:docPr id="6" name="Picture 6"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FF" w:rsidRDefault="00E064FF" w:rsidP="00F30908">
    <w:pPr>
      <w:ind w:left="-9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4FF" w:rsidRPr="0084227C" w:rsidRDefault="00E064FF" w:rsidP="008422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C9D"/>
    <w:multiLevelType w:val="hybridMultilevel"/>
    <w:tmpl w:val="5BAA0722"/>
    <w:lvl w:ilvl="0" w:tplc="99828BE6">
      <w:start w:val="4"/>
      <w:numFmt w:val="bullet"/>
      <w:lvlText w:val="•"/>
      <w:lvlJc w:val="left"/>
      <w:pPr>
        <w:ind w:left="1447" w:hanging="705"/>
      </w:pPr>
      <w:rPr>
        <w:rFonts w:ascii="Calibri" w:eastAsia="Times New Roman" w:hAnsi="Calibri" w:cs="Times New Roman" w:hint="default"/>
      </w:rPr>
    </w:lvl>
    <w:lvl w:ilvl="1" w:tplc="0C090003" w:tentative="1">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1">
    <w:nsid w:val="05623B61"/>
    <w:multiLevelType w:val="hybridMultilevel"/>
    <w:tmpl w:val="5F8A9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067616"/>
    <w:multiLevelType w:val="hybridMultilevel"/>
    <w:tmpl w:val="0E7C1B5E"/>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3">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9C0CE1"/>
    <w:multiLevelType w:val="hybridMultilevel"/>
    <w:tmpl w:val="A866D324"/>
    <w:lvl w:ilvl="0" w:tplc="22825D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374F55"/>
    <w:multiLevelType w:val="hybridMultilevel"/>
    <w:tmpl w:val="9124A75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7">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lvl>
    <w:lvl w:ilvl="5">
      <w:start w:val="1"/>
      <w:numFmt w:val="none"/>
      <w:lvlText w:val=""/>
      <w:lvlJc w:val="left"/>
      <w:pPr>
        <w:tabs>
          <w:tab w:val="num" w:pos="1701"/>
        </w:tabs>
        <w:ind w:left="1701" w:hanging="281"/>
      </w:pPr>
    </w:lvl>
    <w:lvl w:ilvl="6">
      <w:start w:val="1"/>
      <w:numFmt w:val="none"/>
      <w:lvlText w:val=""/>
      <w:lvlJc w:val="left"/>
      <w:pPr>
        <w:tabs>
          <w:tab w:val="num" w:pos="1985"/>
        </w:tabs>
        <w:ind w:left="1985" w:hanging="281"/>
      </w:pPr>
    </w:lvl>
    <w:lvl w:ilvl="7">
      <w:start w:val="1"/>
      <w:numFmt w:val="none"/>
      <w:lvlText w:val=""/>
      <w:lvlJc w:val="left"/>
      <w:pPr>
        <w:tabs>
          <w:tab w:val="num" w:pos="2268"/>
        </w:tabs>
        <w:ind w:left="2268" w:hanging="280"/>
      </w:pPr>
    </w:lvl>
    <w:lvl w:ilvl="8">
      <w:start w:val="1"/>
      <w:numFmt w:val="none"/>
      <w:lvlRestart w:val="0"/>
      <w:lvlText w:val=""/>
      <w:lvlJc w:val="left"/>
      <w:pPr>
        <w:tabs>
          <w:tab w:val="num" w:pos="2552"/>
        </w:tabs>
        <w:ind w:left="2552" w:hanging="280"/>
      </w:pPr>
    </w:lvl>
  </w:abstractNum>
  <w:abstractNum w:abstractNumId="8">
    <w:nsid w:val="1C871E90"/>
    <w:multiLevelType w:val="hybridMultilevel"/>
    <w:tmpl w:val="5ADADE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E915FB3"/>
    <w:multiLevelType w:val="hybridMultilevel"/>
    <w:tmpl w:val="5A46A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F0007AF"/>
    <w:multiLevelType w:val="hybridMultilevel"/>
    <w:tmpl w:val="012EC258"/>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1">
    <w:nsid w:val="21F2750F"/>
    <w:multiLevelType w:val="hybridMultilevel"/>
    <w:tmpl w:val="3EE2CB14"/>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2">
    <w:nsid w:val="259909E0"/>
    <w:multiLevelType w:val="hybridMultilevel"/>
    <w:tmpl w:val="14208450"/>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13">
    <w:nsid w:val="267F7DBF"/>
    <w:multiLevelType w:val="hybridMultilevel"/>
    <w:tmpl w:val="B400D06A"/>
    <w:lvl w:ilvl="0" w:tplc="16FC0BA2">
      <w:start w:val="1"/>
      <w:numFmt w:val="bullet"/>
      <w:lvlText w:val="•"/>
      <w:lvlJc w:val="left"/>
      <w:pPr>
        <w:tabs>
          <w:tab w:val="num" w:pos="720"/>
        </w:tabs>
        <w:ind w:left="720" w:hanging="360"/>
      </w:pPr>
      <w:rPr>
        <w:rFonts w:ascii="Arial" w:hAnsi="Arial" w:hint="default"/>
      </w:rPr>
    </w:lvl>
    <w:lvl w:ilvl="1" w:tplc="897CED26" w:tentative="1">
      <w:start w:val="1"/>
      <w:numFmt w:val="bullet"/>
      <w:lvlText w:val="•"/>
      <w:lvlJc w:val="left"/>
      <w:pPr>
        <w:tabs>
          <w:tab w:val="num" w:pos="1440"/>
        </w:tabs>
        <w:ind w:left="1440" w:hanging="360"/>
      </w:pPr>
      <w:rPr>
        <w:rFonts w:ascii="Arial" w:hAnsi="Arial" w:hint="default"/>
      </w:rPr>
    </w:lvl>
    <w:lvl w:ilvl="2" w:tplc="84FE9214" w:tentative="1">
      <w:start w:val="1"/>
      <w:numFmt w:val="bullet"/>
      <w:lvlText w:val="•"/>
      <w:lvlJc w:val="left"/>
      <w:pPr>
        <w:tabs>
          <w:tab w:val="num" w:pos="2160"/>
        </w:tabs>
        <w:ind w:left="2160" w:hanging="360"/>
      </w:pPr>
      <w:rPr>
        <w:rFonts w:ascii="Arial" w:hAnsi="Arial" w:hint="default"/>
      </w:rPr>
    </w:lvl>
    <w:lvl w:ilvl="3" w:tplc="6E52C524" w:tentative="1">
      <w:start w:val="1"/>
      <w:numFmt w:val="bullet"/>
      <w:lvlText w:val="•"/>
      <w:lvlJc w:val="left"/>
      <w:pPr>
        <w:tabs>
          <w:tab w:val="num" w:pos="2880"/>
        </w:tabs>
        <w:ind w:left="2880" w:hanging="360"/>
      </w:pPr>
      <w:rPr>
        <w:rFonts w:ascii="Arial" w:hAnsi="Arial" w:hint="default"/>
      </w:rPr>
    </w:lvl>
    <w:lvl w:ilvl="4" w:tplc="B05EA716" w:tentative="1">
      <w:start w:val="1"/>
      <w:numFmt w:val="bullet"/>
      <w:lvlText w:val="•"/>
      <w:lvlJc w:val="left"/>
      <w:pPr>
        <w:tabs>
          <w:tab w:val="num" w:pos="3600"/>
        </w:tabs>
        <w:ind w:left="3600" w:hanging="360"/>
      </w:pPr>
      <w:rPr>
        <w:rFonts w:ascii="Arial" w:hAnsi="Arial" w:hint="default"/>
      </w:rPr>
    </w:lvl>
    <w:lvl w:ilvl="5" w:tplc="8C80B230" w:tentative="1">
      <w:start w:val="1"/>
      <w:numFmt w:val="bullet"/>
      <w:lvlText w:val="•"/>
      <w:lvlJc w:val="left"/>
      <w:pPr>
        <w:tabs>
          <w:tab w:val="num" w:pos="4320"/>
        </w:tabs>
        <w:ind w:left="4320" w:hanging="360"/>
      </w:pPr>
      <w:rPr>
        <w:rFonts w:ascii="Arial" w:hAnsi="Arial" w:hint="default"/>
      </w:rPr>
    </w:lvl>
    <w:lvl w:ilvl="6" w:tplc="510CA442" w:tentative="1">
      <w:start w:val="1"/>
      <w:numFmt w:val="bullet"/>
      <w:lvlText w:val="•"/>
      <w:lvlJc w:val="left"/>
      <w:pPr>
        <w:tabs>
          <w:tab w:val="num" w:pos="5040"/>
        </w:tabs>
        <w:ind w:left="5040" w:hanging="360"/>
      </w:pPr>
      <w:rPr>
        <w:rFonts w:ascii="Arial" w:hAnsi="Arial" w:hint="default"/>
      </w:rPr>
    </w:lvl>
    <w:lvl w:ilvl="7" w:tplc="08ECB8A8" w:tentative="1">
      <w:start w:val="1"/>
      <w:numFmt w:val="bullet"/>
      <w:lvlText w:val="•"/>
      <w:lvlJc w:val="left"/>
      <w:pPr>
        <w:tabs>
          <w:tab w:val="num" w:pos="5760"/>
        </w:tabs>
        <w:ind w:left="5760" w:hanging="360"/>
      </w:pPr>
      <w:rPr>
        <w:rFonts w:ascii="Arial" w:hAnsi="Arial" w:hint="default"/>
      </w:rPr>
    </w:lvl>
    <w:lvl w:ilvl="8" w:tplc="ADE6F2A2" w:tentative="1">
      <w:start w:val="1"/>
      <w:numFmt w:val="bullet"/>
      <w:lvlText w:val="•"/>
      <w:lvlJc w:val="left"/>
      <w:pPr>
        <w:tabs>
          <w:tab w:val="num" w:pos="6480"/>
        </w:tabs>
        <w:ind w:left="6480" w:hanging="360"/>
      </w:pPr>
      <w:rPr>
        <w:rFonts w:ascii="Arial" w:hAnsi="Arial" w:hint="default"/>
      </w:rPr>
    </w:lvl>
  </w:abstractNum>
  <w:abstractNum w:abstractNumId="14">
    <w:nsid w:val="27E00628"/>
    <w:multiLevelType w:val="hybridMultilevel"/>
    <w:tmpl w:val="94AE5F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85B770E"/>
    <w:multiLevelType w:val="hybridMultilevel"/>
    <w:tmpl w:val="4344E3BE"/>
    <w:lvl w:ilvl="0" w:tplc="B19A0D56">
      <w:start w:val="1"/>
      <w:numFmt w:val="bullet"/>
      <w:lvlText w:val="•"/>
      <w:lvlJc w:val="left"/>
      <w:pPr>
        <w:tabs>
          <w:tab w:val="num" w:pos="720"/>
        </w:tabs>
        <w:ind w:left="720" w:hanging="360"/>
      </w:pPr>
      <w:rPr>
        <w:rFonts w:ascii="Arial" w:hAnsi="Arial" w:hint="default"/>
      </w:rPr>
    </w:lvl>
    <w:lvl w:ilvl="1" w:tplc="160A03E4" w:tentative="1">
      <w:start w:val="1"/>
      <w:numFmt w:val="bullet"/>
      <w:lvlText w:val="•"/>
      <w:lvlJc w:val="left"/>
      <w:pPr>
        <w:tabs>
          <w:tab w:val="num" w:pos="1440"/>
        </w:tabs>
        <w:ind w:left="1440" w:hanging="360"/>
      </w:pPr>
      <w:rPr>
        <w:rFonts w:ascii="Arial" w:hAnsi="Arial" w:hint="default"/>
      </w:rPr>
    </w:lvl>
    <w:lvl w:ilvl="2" w:tplc="BFACC250" w:tentative="1">
      <w:start w:val="1"/>
      <w:numFmt w:val="bullet"/>
      <w:lvlText w:val="•"/>
      <w:lvlJc w:val="left"/>
      <w:pPr>
        <w:tabs>
          <w:tab w:val="num" w:pos="2160"/>
        </w:tabs>
        <w:ind w:left="2160" w:hanging="360"/>
      </w:pPr>
      <w:rPr>
        <w:rFonts w:ascii="Arial" w:hAnsi="Arial" w:hint="default"/>
      </w:rPr>
    </w:lvl>
    <w:lvl w:ilvl="3" w:tplc="095EDC18" w:tentative="1">
      <w:start w:val="1"/>
      <w:numFmt w:val="bullet"/>
      <w:lvlText w:val="•"/>
      <w:lvlJc w:val="left"/>
      <w:pPr>
        <w:tabs>
          <w:tab w:val="num" w:pos="2880"/>
        </w:tabs>
        <w:ind w:left="2880" w:hanging="360"/>
      </w:pPr>
      <w:rPr>
        <w:rFonts w:ascii="Arial" w:hAnsi="Arial" w:hint="default"/>
      </w:rPr>
    </w:lvl>
    <w:lvl w:ilvl="4" w:tplc="3FB80902" w:tentative="1">
      <w:start w:val="1"/>
      <w:numFmt w:val="bullet"/>
      <w:lvlText w:val="•"/>
      <w:lvlJc w:val="left"/>
      <w:pPr>
        <w:tabs>
          <w:tab w:val="num" w:pos="3600"/>
        </w:tabs>
        <w:ind w:left="3600" w:hanging="360"/>
      </w:pPr>
      <w:rPr>
        <w:rFonts w:ascii="Arial" w:hAnsi="Arial" w:hint="default"/>
      </w:rPr>
    </w:lvl>
    <w:lvl w:ilvl="5" w:tplc="E3B2B444" w:tentative="1">
      <w:start w:val="1"/>
      <w:numFmt w:val="bullet"/>
      <w:lvlText w:val="•"/>
      <w:lvlJc w:val="left"/>
      <w:pPr>
        <w:tabs>
          <w:tab w:val="num" w:pos="4320"/>
        </w:tabs>
        <w:ind w:left="4320" w:hanging="360"/>
      </w:pPr>
      <w:rPr>
        <w:rFonts w:ascii="Arial" w:hAnsi="Arial" w:hint="default"/>
      </w:rPr>
    </w:lvl>
    <w:lvl w:ilvl="6" w:tplc="0A3A9CDC" w:tentative="1">
      <w:start w:val="1"/>
      <w:numFmt w:val="bullet"/>
      <w:lvlText w:val="•"/>
      <w:lvlJc w:val="left"/>
      <w:pPr>
        <w:tabs>
          <w:tab w:val="num" w:pos="5040"/>
        </w:tabs>
        <w:ind w:left="5040" w:hanging="360"/>
      </w:pPr>
      <w:rPr>
        <w:rFonts w:ascii="Arial" w:hAnsi="Arial" w:hint="default"/>
      </w:rPr>
    </w:lvl>
    <w:lvl w:ilvl="7" w:tplc="29CE1B4E" w:tentative="1">
      <w:start w:val="1"/>
      <w:numFmt w:val="bullet"/>
      <w:lvlText w:val="•"/>
      <w:lvlJc w:val="left"/>
      <w:pPr>
        <w:tabs>
          <w:tab w:val="num" w:pos="5760"/>
        </w:tabs>
        <w:ind w:left="5760" w:hanging="360"/>
      </w:pPr>
      <w:rPr>
        <w:rFonts w:ascii="Arial" w:hAnsi="Arial" w:hint="default"/>
      </w:rPr>
    </w:lvl>
    <w:lvl w:ilvl="8" w:tplc="C876F34A" w:tentative="1">
      <w:start w:val="1"/>
      <w:numFmt w:val="bullet"/>
      <w:lvlText w:val="•"/>
      <w:lvlJc w:val="left"/>
      <w:pPr>
        <w:tabs>
          <w:tab w:val="num" w:pos="6480"/>
        </w:tabs>
        <w:ind w:left="6480" w:hanging="360"/>
      </w:pPr>
      <w:rPr>
        <w:rFonts w:ascii="Arial" w:hAnsi="Arial" w:hint="default"/>
      </w:rPr>
    </w:lvl>
  </w:abstractNum>
  <w:abstractNum w:abstractNumId="16">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C2467F"/>
    <w:multiLevelType w:val="hybridMultilevel"/>
    <w:tmpl w:val="6EA89F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4F0CC7"/>
    <w:multiLevelType w:val="hybridMultilevel"/>
    <w:tmpl w:val="678499C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9">
    <w:nsid w:val="3A6E5417"/>
    <w:multiLevelType w:val="hybridMultilevel"/>
    <w:tmpl w:val="89EEE062"/>
    <w:lvl w:ilvl="0" w:tplc="8348D392">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3C7E5FE6"/>
    <w:multiLevelType w:val="hybridMultilevel"/>
    <w:tmpl w:val="66E833C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E5506FA"/>
    <w:multiLevelType w:val="hybridMultilevel"/>
    <w:tmpl w:val="BEE877EA"/>
    <w:lvl w:ilvl="0" w:tplc="0C090001">
      <w:start w:val="1"/>
      <w:numFmt w:val="bullet"/>
      <w:lvlText w:val=""/>
      <w:lvlJc w:val="left"/>
      <w:pPr>
        <w:ind w:left="742" w:hanging="360"/>
      </w:pPr>
      <w:rPr>
        <w:rFonts w:ascii="Symbol" w:hAnsi="Symbol" w:hint="default"/>
      </w:rPr>
    </w:lvl>
    <w:lvl w:ilvl="1" w:tplc="0C090003">
      <w:start w:val="1"/>
      <w:numFmt w:val="bullet"/>
      <w:lvlText w:val="o"/>
      <w:lvlJc w:val="left"/>
      <w:pPr>
        <w:ind w:left="1462" w:hanging="360"/>
      </w:pPr>
      <w:rPr>
        <w:rFonts w:ascii="Courier New" w:hAnsi="Courier New" w:cs="Times New Roman" w:hint="default"/>
      </w:rPr>
    </w:lvl>
    <w:lvl w:ilvl="2" w:tplc="0C090005">
      <w:start w:val="1"/>
      <w:numFmt w:val="bullet"/>
      <w:lvlText w:val=""/>
      <w:lvlJc w:val="left"/>
      <w:pPr>
        <w:ind w:left="2182" w:hanging="360"/>
      </w:pPr>
      <w:rPr>
        <w:rFonts w:ascii="Wingdings" w:hAnsi="Wingdings" w:hint="default"/>
      </w:rPr>
    </w:lvl>
    <w:lvl w:ilvl="3" w:tplc="0C090001">
      <w:start w:val="1"/>
      <w:numFmt w:val="bullet"/>
      <w:lvlText w:val=""/>
      <w:lvlJc w:val="left"/>
      <w:pPr>
        <w:ind w:left="2902" w:hanging="360"/>
      </w:pPr>
      <w:rPr>
        <w:rFonts w:ascii="Symbol" w:hAnsi="Symbol" w:hint="default"/>
      </w:rPr>
    </w:lvl>
    <w:lvl w:ilvl="4" w:tplc="0C090003">
      <w:start w:val="1"/>
      <w:numFmt w:val="bullet"/>
      <w:lvlText w:val="o"/>
      <w:lvlJc w:val="left"/>
      <w:pPr>
        <w:ind w:left="3622" w:hanging="360"/>
      </w:pPr>
      <w:rPr>
        <w:rFonts w:ascii="Courier New" w:hAnsi="Courier New" w:cs="Times New Roman" w:hint="default"/>
      </w:rPr>
    </w:lvl>
    <w:lvl w:ilvl="5" w:tplc="0C090005">
      <w:start w:val="1"/>
      <w:numFmt w:val="bullet"/>
      <w:lvlText w:val=""/>
      <w:lvlJc w:val="left"/>
      <w:pPr>
        <w:ind w:left="4342" w:hanging="360"/>
      </w:pPr>
      <w:rPr>
        <w:rFonts w:ascii="Wingdings" w:hAnsi="Wingdings" w:hint="default"/>
      </w:rPr>
    </w:lvl>
    <w:lvl w:ilvl="6" w:tplc="0C090001">
      <w:start w:val="1"/>
      <w:numFmt w:val="bullet"/>
      <w:lvlText w:val=""/>
      <w:lvlJc w:val="left"/>
      <w:pPr>
        <w:ind w:left="5062" w:hanging="360"/>
      </w:pPr>
      <w:rPr>
        <w:rFonts w:ascii="Symbol" w:hAnsi="Symbol" w:hint="default"/>
      </w:rPr>
    </w:lvl>
    <w:lvl w:ilvl="7" w:tplc="0C090003">
      <w:start w:val="1"/>
      <w:numFmt w:val="bullet"/>
      <w:lvlText w:val="o"/>
      <w:lvlJc w:val="left"/>
      <w:pPr>
        <w:ind w:left="5782" w:hanging="360"/>
      </w:pPr>
      <w:rPr>
        <w:rFonts w:ascii="Courier New" w:hAnsi="Courier New" w:cs="Times New Roman" w:hint="default"/>
      </w:rPr>
    </w:lvl>
    <w:lvl w:ilvl="8" w:tplc="0C090005">
      <w:start w:val="1"/>
      <w:numFmt w:val="bullet"/>
      <w:lvlText w:val=""/>
      <w:lvlJc w:val="left"/>
      <w:pPr>
        <w:ind w:left="6502" w:hanging="360"/>
      </w:pPr>
      <w:rPr>
        <w:rFonts w:ascii="Wingdings" w:hAnsi="Wingdings" w:hint="default"/>
      </w:rPr>
    </w:lvl>
  </w:abstractNum>
  <w:abstractNum w:abstractNumId="22">
    <w:nsid w:val="449A7D9D"/>
    <w:multiLevelType w:val="hybridMultilevel"/>
    <w:tmpl w:val="6A5A8DF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3">
    <w:nsid w:val="45E80666"/>
    <w:multiLevelType w:val="hybridMultilevel"/>
    <w:tmpl w:val="6276C71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nsid w:val="4A903EA5"/>
    <w:multiLevelType w:val="hybridMultilevel"/>
    <w:tmpl w:val="0FDCEC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C1640A"/>
    <w:multiLevelType w:val="hybridMultilevel"/>
    <w:tmpl w:val="5EF661F4"/>
    <w:lvl w:ilvl="0" w:tplc="0C090001">
      <w:start w:val="1"/>
      <w:numFmt w:val="bullet"/>
      <w:lvlText w:val=""/>
      <w:lvlJc w:val="left"/>
      <w:pPr>
        <w:ind w:left="813" w:hanging="360"/>
      </w:pPr>
      <w:rPr>
        <w:rFonts w:ascii="Symbol" w:hAnsi="Symbol" w:hint="default"/>
      </w:rPr>
    </w:lvl>
    <w:lvl w:ilvl="1" w:tplc="0C090003" w:tentative="1">
      <w:start w:val="1"/>
      <w:numFmt w:val="bullet"/>
      <w:lvlText w:val="o"/>
      <w:lvlJc w:val="left"/>
      <w:pPr>
        <w:ind w:left="1533" w:hanging="360"/>
      </w:pPr>
      <w:rPr>
        <w:rFonts w:ascii="Courier New" w:hAnsi="Courier New" w:cs="Courier New" w:hint="default"/>
      </w:rPr>
    </w:lvl>
    <w:lvl w:ilvl="2" w:tplc="0C090005" w:tentative="1">
      <w:start w:val="1"/>
      <w:numFmt w:val="bullet"/>
      <w:lvlText w:val=""/>
      <w:lvlJc w:val="left"/>
      <w:pPr>
        <w:ind w:left="2253" w:hanging="360"/>
      </w:pPr>
      <w:rPr>
        <w:rFonts w:ascii="Wingdings" w:hAnsi="Wingdings" w:hint="default"/>
      </w:rPr>
    </w:lvl>
    <w:lvl w:ilvl="3" w:tplc="0C090001" w:tentative="1">
      <w:start w:val="1"/>
      <w:numFmt w:val="bullet"/>
      <w:lvlText w:val=""/>
      <w:lvlJc w:val="left"/>
      <w:pPr>
        <w:ind w:left="2973" w:hanging="360"/>
      </w:pPr>
      <w:rPr>
        <w:rFonts w:ascii="Symbol" w:hAnsi="Symbol" w:hint="default"/>
      </w:rPr>
    </w:lvl>
    <w:lvl w:ilvl="4" w:tplc="0C090003" w:tentative="1">
      <w:start w:val="1"/>
      <w:numFmt w:val="bullet"/>
      <w:lvlText w:val="o"/>
      <w:lvlJc w:val="left"/>
      <w:pPr>
        <w:ind w:left="3693" w:hanging="360"/>
      </w:pPr>
      <w:rPr>
        <w:rFonts w:ascii="Courier New" w:hAnsi="Courier New" w:cs="Courier New" w:hint="default"/>
      </w:rPr>
    </w:lvl>
    <w:lvl w:ilvl="5" w:tplc="0C090005" w:tentative="1">
      <w:start w:val="1"/>
      <w:numFmt w:val="bullet"/>
      <w:lvlText w:val=""/>
      <w:lvlJc w:val="left"/>
      <w:pPr>
        <w:ind w:left="4413" w:hanging="360"/>
      </w:pPr>
      <w:rPr>
        <w:rFonts w:ascii="Wingdings" w:hAnsi="Wingdings" w:hint="default"/>
      </w:rPr>
    </w:lvl>
    <w:lvl w:ilvl="6" w:tplc="0C090001" w:tentative="1">
      <w:start w:val="1"/>
      <w:numFmt w:val="bullet"/>
      <w:lvlText w:val=""/>
      <w:lvlJc w:val="left"/>
      <w:pPr>
        <w:ind w:left="5133" w:hanging="360"/>
      </w:pPr>
      <w:rPr>
        <w:rFonts w:ascii="Symbol" w:hAnsi="Symbol" w:hint="default"/>
      </w:rPr>
    </w:lvl>
    <w:lvl w:ilvl="7" w:tplc="0C090003" w:tentative="1">
      <w:start w:val="1"/>
      <w:numFmt w:val="bullet"/>
      <w:lvlText w:val="o"/>
      <w:lvlJc w:val="left"/>
      <w:pPr>
        <w:ind w:left="5853" w:hanging="360"/>
      </w:pPr>
      <w:rPr>
        <w:rFonts w:ascii="Courier New" w:hAnsi="Courier New" w:cs="Courier New" w:hint="default"/>
      </w:rPr>
    </w:lvl>
    <w:lvl w:ilvl="8" w:tplc="0C090005" w:tentative="1">
      <w:start w:val="1"/>
      <w:numFmt w:val="bullet"/>
      <w:lvlText w:val=""/>
      <w:lvlJc w:val="left"/>
      <w:pPr>
        <w:ind w:left="6573" w:hanging="360"/>
      </w:pPr>
      <w:rPr>
        <w:rFonts w:ascii="Wingdings" w:hAnsi="Wingdings" w:hint="default"/>
      </w:rPr>
    </w:lvl>
  </w:abstractNum>
  <w:abstractNum w:abstractNumId="27">
    <w:nsid w:val="50A87DE2"/>
    <w:multiLevelType w:val="hybridMultilevel"/>
    <w:tmpl w:val="387EB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782BB3"/>
    <w:multiLevelType w:val="hybridMultilevel"/>
    <w:tmpl w:val="4F7A8288"/>
    <w:lvl w:ilvl="0" w:tplc="BD9A34D2">
      <w:start w:val="1"/>
      <w:numFmt w:val="lowerLetter"/>
      <w:lvlText w:val="(%1)"/>
      <w:lvlJc w:val="left"/>
      <w:pPr>
        <w:ind w:left="1631" w:hanging="360"/>
      </w:pPr>
      <w:rPr>
        <w:rFonts w:ascii="Calibri" w:eastAsia="Times New Roman" w:hAnsi="Calibri" w:cs="Calibri" w:hint="default"/>
        <w:sz w:val="22"/>
        <w:szCs w:val="22"/>
      </w:rPr>
    </w:lvl>
    <w:lvl w:ilvl="1" w:tplc="8190D916">
      <w:start w:val="1"/>
      <w:numFmt w:val="lowerRoman"/>
      <w:lvlText w:val="(%2)"/>
      <w:lvlJc w:val="right"/>
      <w:pPr>
        <w:tabs>
          <w:tab w:val="num" w:pos="1781"/>
        </w:tabs>
        <w:ind w:left="1725" w:firstLine="56"/>
      </w:pPr>
      <w:rPr>
        <w:rFonts w:ascii="Calibri" w:hAnsi="Calibri" w:hint="default"/>
        <w:sz w:val="22"/>
      </w:rPr>
    </w:lvl>
    <w:lvl w:ilvl="2" w:tplc="0C09001B">
      <w:start w:val="1"/>
      <w:numFmt w:val="lowerRoman"/>
      <w:lvlText w:val="%3."/>
      <w:lvlJc w:val="right"/>
      <w:pPr>
        <w:ind w:left="3071" w:hanging="180"/>
      </w:pPr>
    </w:lvl>
    <w:lvl w:ilvl="3" w:tplc="0C09000F">
      <w:start w:val="1"/>
      <w:numFmt w:val="decimal"/>
      <w:lvlText w:val="%4."/>
      <w:lvlJc w:val="left"/>
      <w:pPr>
        <w:ind w:left="3791" w:hanging="360"/>
      </w:pPr>
    </w:lvl>
    <w:lvl w:ilvl="4" w:tplc="0C090019">
      <w:start w:val="1"/>
      <w:numFmt w:val="lowerLetter"/>
      <w:lvlText w:val="%5."/>
      <w:lvlJc w:val="left"/>
      <w:pPr>
        <w:ind w:left="4511" w:hanging="360"/>
      </w:pPr>
    </w:lvl>
    <w:lvl w:ilvl="5" w:tplc="0C09001B">
      <w:start w:val="1"/>
      <w:numFmt w:val="lowerRoman"/>
      <w:lvlText w:val="%6."/>
      <w:lvlJc w:val="right"/>
      <w:pPr>
        <w:ind w:left="5231" w:hanging="180"/>
      </w:pPr>
    </w:lvl>
    <w:lvl w:ilvl="6" w:tplc="0C09000F">
      <w:start w:val="1"/>
      <w:numFmt w:val="decimal"/>
      <w:lvlText w:val="%7."/>
      <w:lvlJc w:val="left"/>
      <w:pPr>
        <w:ind w:left="5951" w:hanging="360"/>
      </w:pPr>
    </w:lvl>
    <w:lvl w:ilvl="7" w:tplc="0C090019">
      <w:start w:val="1"/>
      <w:numFmt w:val="lowerLetter"/>
      <w:lvlText w:val="%8."/>
      <w:lvlJc w:val="left"/>
      <w:pPr>
        <w:ind w:left="6671" w:hanging="360"/>
      </w:pPr>
    </w:lvl>
    <w:lvl w:ilvl="8" w:tplc="0C09001B">
      <w:start w:val="1"/>
      <w:numFmt w:val="lowerRoman"/>
      <w:lvlText w:val="%9."/>
      <w:lvlJc w:val="right"/>
      <w:pPr>
        <w:ind w:left="7391" w:hanging="180"/>
      </w:pPr>
    </w:lvl>
  </w:abstractNum>
  <w:abstractNum w:abstractNumId="29">
    <w:nsid w:val="53971D68"/>
    <w:multiLevelType w:val="hybridMultilevel"/>
    <w:tmpl w:val="B39CF7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5F31887"/>
    <w:multiLevelType w:val="hybridMultilevel"/>
    <w:tmpl w:val="3440C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91F35A7"/>
    <w:multiLevelType w:val="hybridMultilevel"/>
    <w:tmpl w:val="29946CEA"/>
    <w:lvl w:ilvl="0" w:tplc="BC2EB094">
      <w:start w:val="1"/>
      <w:numFmt w:val="bullet"/>
      <w:lvlText w:val="•"/>
      <w:lvlJc w:val="left"/>
      <w:pPr>
        <w:tabs>
          <w:tab w:val="num" w:pos="720"/>
        </w:tabs>
        <w:ind w:left="720" w:hanging="360"/>
      </w:pPr>
      <w:rPr>
        <w:rFonts w:ascii="Arial" w:hAnsi="Arial" w:hint="default"/>
      </w:rPr>
    </w:lvl>
    <w:lvl w:ilvl="1" w:tplc="A50078CC" w:tentative="1">
      <w:start w:val="1"/>
      <w:numFmt w:val="bullet"/>
      <w:lvlText w:val="•"/>
      <w:lvlJc w:val="left"/>
      <w:pPr>
        <w:tabs>
          <w:tab w:val="num" w:pos="1440"/>
        </w:tabs>
        <w:ind w:left="1440" w:hanging="360"/>
      </w:pPr>
      <w:rPr>
        <w:rFonts w:ascii="Arial" w:hAnsi="Arial" w:hint="default"/>
      </w:rPr>
    </w:lvl>
    <w:lvl w:ilvl="2" w:tplc="8B74533C" w:tentative="1">
      <w:start w:val="1"/>
      <w:numFmt w:val="bullet"/>
      <w:lvlText w:val="•"/>
      <w:lvlJc w:val="left"/>
      <w:pPr>
        <w:tabs>
          <w:tab w:val="num" w:pos="2160"/>
        </w:tabs>
        <w:ind w:left="2160" w:hanging="360"/>
      </w:pPr>
      <w:rPr>
        <w:rFonts w:ascii="Arial" w:hAnsi="Arial" w:hint="default"/>
      </w:rPr>
    </w:lvl>
    <w:lvl w:ilvl="3" w:tplc="9E5809A4" w:tentative="1">
      <w:start w:val="1"/>
      <w:numFmt w:val="bullet"/>
      <w:lvlText w:val="•"/>
      <w:lvlJc w:val="left"/>
      <w:pPr>
        <w:tabs>
          <w:tab w:val="num" w:pos="2880"/>
        </w:tabs>
        <w:ind w:left="2880" w:hanging="360"/>
      </w:pPr>
      <w:rPr>
        <w:rFonts w:ascii="Arial" w:hAnsi="Arial" w:hint="default"/>
      </w:rPr>
    </w:lvl>
    <w:lvl w:ilvl="4" w:tplc="31FCF68E" w:tentative="1">
      <w:start w:val="1"/>
      <w:numFmt w:val="bullet"/>
      <w:lvlText w:val="•"/>
      <w:lvlJc w:val="left"/>
      <w:pPr>
        <w:tabs>
          <w:tab w:val="num" w:pos="3600"/>
        </w:tabs>
        <w:ind w:left="3600" w:hanging="360"/>
      </w:pPr>
      <w:rPr>
        <w:rFonts w:ascii="Arial" w:hAnsi="Arial" w:hint="default"/>
      </w:rPr>
    </w:lvl>
    <w:lvl w:ilvl="5" w:tplc="3C8650CA" w:tentative="1">
      <w:start w:val="1"/>
      <w:numFmt w:val="bullet"/>
      <w:lvlText w:val="•"/>
      <w:lvlJc w:val="left"/>
      <w:pPr>
        <w:tabs>
          <w:tab w:val="num" w:pos="4320"/>
        </w:tabs>
        <w:ind w:left="4320" w:hanging="360"/>
      </w:pPr>
      <w:rPr>
        <w:rFonts w:ascii="Arial" w:hAnsi="Arial" w:hint="default"/>
      </w:rPr>
    </w:lvl>
    <w:lvl w:ilvl="6" w:tplc="CC660596" w:tentative="1">
      <w:start w:val="1"/>
      <w:numFmt w:val="bullet"/>
      <w:lvlText w:val="•"/>
      <w:lvlJc w:val="left"/>
      <w:pPr>
        <w:tabs>
          <w:tab w:val="num" w:pos="5040"/>
        </w:tabs>
        <w:ind w:left="5040" w:hanging="360"/>
      </w:pPr>
      <w:rPr>
        <w:rFonts w:ascii="Arial" w:hAnsi="Arial" w:hint="default"/>
      </w:rPr>
    </w:lvl>
    <w:lvl w:ilvl="7" w:tplc="987EB878" w:tentative="1">
      <w:start w:val="1"/>
      <w:numFmt w:val="bullet"/>
      <w:lvlText w:val="•"/>
      <w:lvlJc w:val="left"/>
      <w:pPr>
        <w:tabs>
          <w:tab w:val="num" w:pos="5760"/>
        </w:tabs>
        <w:ind w:left="5760" w:hanging="360"/>
      </w:pPr>
      <w:rPr>
        <w:rFonts w:ascii="Arial" w:hAnsi="Arial" w:hint="default"/>
      </w:rPr>
    </w:lvl>
    <w:lvl w:ilvl="8" w:tplc="7C3446A4" w:tentative="1">
      <w:start w:val="1"/>
      <w:numFmt w:val="bullet"/>
      <w:lvlText w:val="•"/>
      <w:lvlJc w:val="left"/>
      <w:pPr>
        <w:tabs>
          <w:tab w:val="num" w:pos="6480"/>
        </w:tabs>
        <w:ind w:left="6480" w:hanging="360"/>
      </w:pPr>
      <w:rPr>
        <w:rFonts w:ascii="Arial" w:hAnsi="Arial" w:hint="default"/>
      </w:rPr>
    </w:lvl>
  </w:abstractNum>
  <w:abstractNum w:abstractNumId="32">
    <w:nsid w:val="5ACF7752"/>
    <w:multiLevelType w:val="hybridMultilevel"/>
    <w:tmpl w:val="04E06890"/>
    <w:lvl w:ilvl="0" w:tplc="8348D39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2477657"/>
    <w:multiLevelType w:val="hybridMultilevel"/>
    <w:tmpl w:val="504C04A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nsid w:val="69DB52F8"/>
    <w:multiLevelType w:val="hybridMultilevel"/>
    <w:tmpl w:val="87541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DF2614"/>
    <w:multiLevelType w:val="hybridMultilevel"/>
    <w:tmpl w:val="81261D7C"/>
    <w:lvl w:ilvl="0" w:tplc="AA12F27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3FC5062"/>
    <w:multiLevelType w:val="hybridMultilevel"/>
    <w:tmpl w:val="036EF1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7"/>
  </w:num>
  <w:num w:numId="4">
    <w:abstractNumId w:val="29"/>
  </w:num>
  <w:num w:numId="5">
    <w:abstractNumId w:val="16"/>
  </w:num>
  <w:num w:numId="6">
    <w:abstractNumId w:val="3"/>
  </w:num>
  <w:num w:numId="7">
    <w:abstractNumId w:val="21"/>
  </w:num>
  <w:num w:numId="8">
    <w:abstractNumId w:val="36"/>
  </w:num>
  <w:num w:numId="9">
    <w:abstractNumId w:val="9"/>
  </w:num>
  <w:num w:numId="10">
    <w:abstractNumId w:val="12"/>
  </w:num>
  <w:num w:numId="11">
    <w:abstractNumId w:val="18"/>
  </w:num>
  <w:num w:numId="12">
    <w:abstractNumId w:val="8"/>
  </w:num>
  <w:num w:numId="13">
    <w:abstractNumId w:val="23"/>
  </w:num>
  <w:num w:numId="14">
    <w:abstractNumId w:val="22"/>
  </w:num>
  <w:num w:numId="15">
    <w:abstractNumId w:val="32"/>
  </w:num>
  <w:num w:numId="16">
    <w:abstractNumId w:val="35"/>
  </w:num>
  <w:num w:numId="17">
    <w:abstractNumId w:val="14"/>
  </w:num>
  <w:num w:numId="18">
    <w:abstractNumId w:val="24"/>
  </w:num>
  <w:num w:numId="19">
    <w:abstractNumId w:val="4"/>
  </w:num>
  <w:num w:numId="20">
    <w:abstractNumId w:val="26"/>
  </w:num>
  <w:num w:numId="21">
    <w:abstractNumId w:val="6"/>
  </w:num>
  <w:num w:numId="22">
    <w:abstractNumId w:val="7"/>
  </w:num>
  <w:num w:numId="23">
    <w:abstractNumId w:val="0"/>
  </w:num>
  <w:num w:numId="24">
    <w:abstractNumId w:val="33"/>
  </w:num>
  <w:num w:numId="25">
    <w:abstractNumId w:val="1"/>
  </w:num>
  <w:num w:numId="26">
    <w:abstractNumId w:val="10"/>
  </w:num>
  <w:num w:numId="27">
    <w:abstractNumId w:val="11"/>
  </w:num>
  <w:num w:numId="28">
    <w:abstractNumId w:val="2"/>
  </w:num>
  <w:num w:numId="29">
    <w:abstractNumId w:val="20"/>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
  </w:num>
  <w:num w:numId="33">
    <w:abstractNumId w:val="30"/>
  </w:num>
  <w:num w:numId="34">
    <w:abstractNumId w:val="19"/>
  </w:num>
  <w:num w:numId="35">
    <w:abstractNumId w:val="34"/>
  </w:num>
  <w:num w:numId="36">
    <w:abstractNumId w:val="31"/>
  </w:num>
  <w:num w:numId="37">
    <w:abstractNumId w:val="1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68"/>
    <w:rsid w:val="000017EE"/>
    <w:rsid w:val="000104A8"/>
    <w:rsid w:val="000140B8"/>
    <w:rsid w:val="00017008"/>
    <w:rsid w:val="0002773E"/>
    <w:rsid w:val="00043527"/>
    <w:rsid w:val="000465D0"/>
    <w:rsid w:val="00055EF2"/>
    <w:rsid w:val="000651D6"/>
    <w:rsid w:val="00066D6C"/>
    <w:rsid w:val="00071CD7"/>
    <w:rsid w:val="00081610"/>
    <w:rsid w:val="00083D4C"/>
    <w:rsid w:val="00092652"/>
    <w:rsid w:val="00094526"/>
    <w:rsid w:val="00095D7D"/>
    <w:rsid w:val="00097D60"/>
    <w:rsid w:val="000A0DC4"/>
    <w:rsid w:val="000A4598"/>
    <w:rsid w:val="000C3C6A"/>
    <w:rsid w:val="000D196D"/>
    <w:rsid w:val="000E24DF"/>
    <w:rsid w:val="000E463B"/>
    <w:rsid w:val="000E79F1"/>
    <w:rsid w:val="000F401D"/>
    <w:rsid w:val="00100710"/>
    <w:rsid w:val="00105217"/>
    <w:rsid w:val="001227A2"/>
    <w:rsid w:val="001274CB"/>
    <w:rsid w:val="001360E3"/>
    <w:rsid w:val="001467FD"/>
    <w:rsid w:val="001510D7"/>
    <w:rsid w:val="0016562B"/>
    <w:rsid w:val="001666CE"/>
    <w:rsid w:val="001845C7"/>
    <w:rsid w:val="00186DDE"/>
    <w:rsid w:val="00191BA2"/>
    <w:rsid w:val="001A0722"/>
    <w:rsid w:val="001A7461"/>
    <w:rsid w:val="001A756D"/>
    <w:rsid w:val="001B7169"/>
    <w:rsid w:val="001B7BE8"/>
    <w:rsid w:val="001C3BC4"/>
    <w:rsid w:val="001C5414"/>
    <w:rsid w:val="001D19D9"/>
    <w:rsid w:val="001D1B98"/>
    <w:rsid w:val="001D402E"/>
    <w:rsid w:val="001E58A0"/>
    <w:rsid w:val="001E630D"/>
    <w:rsid w:val="001F4579"/>
    <w:rsid w:val="001F512D"/>
    <w:rsid w:val="001F6E3D"/>
    <w:rsid w:val="001F7437"/>
    <w:rsid w:val="00200C68"/>
    <w:rsid w:val="00204EAA"/>
    <w:rsid w:val="00207173"/>
    <w:rsid w:val="00210717"/>
    <w:rsid w:val="00213E42"/>
    <w:rsid w:val="00214789"/>
    <w:rsid w:val="0021703D"/>
    <w:rsid w:val="00220A00"/>
    <w:rsid w:val="00233E65"/>
    <w:rsid w:val="00241810"/>
    <w:rsid w:val="0024214F"/>
    <w:rsid w:val="00244D7D"/>
    <w:rsid w:val="00254146"/>
    <w:rsid w:val="002560DA"/>
    <w:rsid w:val="002630C9"/>
    <w:rsid w:val="00265BAB"/>
    <w:rsid w:val="00266F3A"/>
    <w:rsid w:val="0027375C"/>
    <w:rsid w:val="00276AEE"/>
    <w:rsid w:val="00281A8F"/>
    <w:rsid w:val="00281DFB"/>
    <w:rsid w:val="00287BCE"/>
    <w:rsid w:val="00295007"/>
    <w:rsid w:val="002A475B"/>
    <w:rsid w:val="002B3CC6"/>
    <w:rsid w:val="002C1AF3"/>
    <w:rsid w:val="002C1F64"/>
    <w:rsid w:val="002C477C"/>
    <w:rsid w:val="002C5B48"/>
    <w:rsid w:val="002D015F"/>
    <w:rsid w:val="002D249D"/>
    <w:rsid w:val="002E28E7"/>
    <w:rsid w:val="002E2C45"/>
    <w:rsid w:val="002F5B16"/>
    <w:rsid w:val="002F7735"/>
    <w:rsid w:val="00301E61"/>
    <w:rsid w:val="00304D42"/>
    <w:rsid w:val="00311FC7"/>
    <w:rsid w:val="00312CDC"/>
    <w:rsid w:val="003133F1"/>
    <w:rsid w:val="00314AC6"/>
    <w:rsid w:val="00315D55"/>
    <w:rsid w:val="00324F70"/>
    <w:rsid w:val="003258D7"/>
    <w:rsid w:val="00330216"/>
    <w:rsid w:val="003310C9"/>
    <w:rsid w:val="00337C55"/>
    <w:rsid w:val="00337F2A"/>
    <w:rsid w:val="00341320"/>
    <w:rsid w:val="003472DD"/>
    <w:rsid w:val="00347C0D"/>
    <w:rsid w:val="003500BF"/>
    <w:rsid w:val="00357794"/>
    <w:rsid w:val="00360AC4"/>
    <w:rsid w:val="0036427F"/>
    <w:rsid w:val="0038044C"/>
    <w:rsid w:val="003828DF"/>
    <w:rsid w:val="00384B04"/>
    <w:rsid w:val="0039057A"/>
    <w:rsid w:val="00390C5D"/>
    <w:rsid w:val="00395D81"/>
    <w:rsid w:val="003A0344"/>
    <w:rsid w:val="003A0E64"/>
    <w:rsid w:val="003A60FD"/>
    <w:rsid w:val="003B2BB8"/>
    <w:rsid w:val="003B5471"/>
    <w:rsid w:val="003C0C34"/>
    <w:rsid w:val="003C3B5E"/>
    <w:rsid w:val="003D04DE"/>
    <w:rsid w:val="003D34FF"/>
    <w:rsid w:val="003E2B62"/>
    <w:rsid w:val="003E6AF0"/>
    <w:rsid w:val="003F5A52"/>
    <w:rsid w:val="004051CF"/>
    <w:rsid w:val="00411049"/>
    <w:rsid w:val="00413B14"/>
    <w:rsid w:val="00417C6C"/>
    <w:rsid w:val="00420C97"/>
    <w:rsid w:val="004223D7"/>
    <w:rsid w:val="00440CB8"/>
    <w:rsid w:val="00442812"/>
    <w:rsid w:val="004430D5"/>
    <w:rsid w:val="00457D4B"/>
    <w:rsid w:val="00465F7E"/>
    <w:rsid w:val="00477C74"/>
    <w:rsid w:val="00484EED"/>
    <w:rsid w:val="00490842"/>
    <w:rsid w:val="00494F50"/>
    <w:rsid w:val="00497C81"/>
    <w:rsid w:val="004A02D6"/>
    <w:rsid w:val="004B2A28"/>
    <w:rsid w:val="004B54CA"/>
    <w:rsid w:val="004D6FA8"/>
    <w:rsid w:val="004E5CBF"/>
    <w:rsid w:val="004F594C"/>
    <w:rsid w:val="004F7681"/>
    <w:rsid w:val="004F77F4"/>
    <w:rsid w:val="005009C3"/>
    <w:rsid w:val="005022DD"/>
    <w:rsid w:val="0050273B"/>
    <w:rsid w:val="00504147"/>
    <w:rsid w:val="0051386D"/>
    <w:rsid w:val="00513DDF"/>
    <w:rsid w:val="00513EC6"/>
    <w:rsid w:val="00517981"/>
    <w:rsid w:val="00517AE4"/>
    <w:rsid w:val="005442EC"/>
    <w:rsid w:val="00545CA1"/>
    <w:rsid w:val="0054713E"/>
    <w:rsid w:val="00554581"/>
    <w:rsid w:val="00562069"/>
    <w:rsid w:val="005667A1"/>
    <w:rsid w:val="00567053"/>
    <w:rsid w:val="00575402"/>
    <w:rsid w:val="00577EBC"/>
    <w:rsid w:val="00581123"/>
    <w:rsid w:val="00584E0B"/>
    <w:rsid w:val="00584FC1"/>
    <w:rsid w:val="00585B96"/>
    <w:rsid w:val="00586246"/>
    <w:rsid w:val="005877DC"/>
    <w:rsid w:val="00595AF4"/>
    <w:rsid w:val="005A1F8E"/>
    <w:rsid w:val="005A3F63"/>
    <w:rsid w:val="005B2FFD"/>
    <w:rsid w:val="005C2CEB"/>
    <w:rsid w:val="005C3AA9"/>
    <w:rsid w:val="005C4419"/>
    <w:rsid w:val="005C5A25"/>
    <w:rsid w:val="005C5C9A"/>
    <w:rsid w:val="005D2B1A"/>
    <w:rsid w:val="005D41C5"/>
    <w:rsid w:val="005D57FF"/>
    <w:rsid w:val="005D78A8"/>
    <w:rsid w:val="005E057B"/>
    <w:rsid w:val="005E5A1B"/>
    <w:rsid w:val="005F0C48"/>
    <w:rsid w:val="006018A9"/>
    <w:rsid w:val="006056A9"/>
    <w:rsid w:val="006068F7"/>
    <w:rsid w:val="006209A6"/>
    <w:rsid w:val="00632E1D"/>
    <w:rsid w:val="006335D3"/>
    <w:rsid w:val="00633A38"/>
    <w:rsid w:val="00635A3C"/>
    <w:rsid w:val="00635E88"/>
    <w:rsid w:val="00640FD3"/>
    <w:rsid w:val="006463F4"/>
    <w:rsid w:val="0066212E"/>
    <w:rsid w:val="006622B2"/>
    <w:rsid w:val="00665014"/>
    <w:rsid w:val="00670D41"/>
    <w:rsid w:val="00674A9F"/>
    <w:rsid w:val="006821EB"/>
    <w:rsid w:val="00684791"/>
    <w:rsid w:val="00690D76"/>
    <w:rsid w:val="006A4CE7"/>
    <w:rsid w:val="006C276B"/>
    <w:rsid w:val="006C5040"/>
    <w:rsid w:val="006D35B0"/>
    <w:rsid w:val="006D512F"/>
    <w:rsid w:val="006E2D71"/>
    <w:rsid w:val="006E4324"/>
    <w:rsid w:val="006E4E19"/>
    <w:rsid w:val="0070452E"/>
    <w:rsid w:val="007065F3"/>
    <w:rsid w:val="007127FA"/>
    <w:rsid w:val="007268EA"/>
    <w:rsid w:val="0073320E"/>
    <w:rsid w:val="00736242"/>
    <w:rsid w:val="00740048"/>
    <w:rsid w:val="00740F7C"/>
    <w:rsid w:val="00747054"/>
    <w:rsid w:val="007511A3"/>
    <w:rsid w:val="00753A7F"/>
    <w:rsid w:val="0075538C"/>
    <w:rsid w:val="00765CB6"/>
    <w:rsid w:val="00765D09"/>
    <w:rsid w:val="00775E9B"/>
    <w:rsid w:val="00775E9D"/>
    <w:rsid w:val="00776326"/>
    <w:rsid w:val="007801A1"/>
    <w:rsid w:val="00781ECA"/>
    <w:rsid w:val="00781EEF"/>
    <w:rsid w:val="00785261"/>
    <w:rsid w:val="00785599"/>
    <w:rsid w:val="0079385D"/>
    <w:rsid w:val="007A4C8D"/>
    <w:rsid w:val="007B0256"/>
    <w:rsid w:val="007B59A3"/>
    <w:rsid w:val="007C3B0B"/>
    <w:rsid w:val="007D5F0B"/>
    <w:rsid w:val="007F10BA"/>
    <w:rsid w:val="0080431C"/>
    <w:rsid w:val="008045EA"/>
    <w:rsid w:val="00811FDF"/>
    <w:rsid w:val="00821C4A"/>
    <w:rsid w:val="008258C1"/>
    <w:rsid w:val="0083162E"/>
    <w:rsid w:val="00831ABB"/>
    <w:rsid w:val="0083359D"/>
    <w:rsid w:val="0083778E"/>
    <w:rsid w:val="0084227C"/>
    <w:rsid w:val="008432F8"/>
    <w:rsid w:val="008565DF"/>
    <w:rsid w:val="0085710F"/>
    <w:rsid w:val="00860201"/>
    <w:rsid w:val="008619D1"/>
    <w:rsid w:val="0087600D"/>
    <w:rsid w:val="00876CA6"/>
    <w:rsid w:val="00877018"/>
    <w:rsid w:val="00881C4E"/>
    <w:rsid w:val="00883C91"/>
    <w:rsid w:val="008841F9"/>
    <w:rsid w:val="0088659A"/>
    <w:rsid w:val="008925E8"/>
    <w:rsid w:val="008A7567"/>
    <w:rsid w:val="008B565D"/>
    <w:rsid w:val="008D197F"/>
    <w:rsid w:val="008D2E97"/>
    <w:rsid w:val="008D45D9"/>
    <w:rsid w:val="008D7F42"/>
    <w:rsid w:val="008E1805"/>
    <w:rsid w:val="008E32D4"/>
    <w:rsid w:val="008E6180"/>
    <w:rsid w:val="008F12D7"/>
    <w:rsid w:val="008F2452"/>
    <w:rsid w:val="008F3023"/>
    <w:rsid w:val="00900201"/>
    <w:rsid w:val="0090478A"/>
    <w:rsid w:val="0090726A"/>
    <w:rsid w:val="0091079C"/>
    <w:rsid w:val="0091282C"/>
    <w:rsid w:val="0091327C"/>
    <w:rsid w:val="009225F0"/>
    <w:rsid w:val="00924D57"/>
    <w:rsid w:val="00927605"/>
    <w:rsid w:val="00937018"/>
    <w:rsid w:val="00941E52"/>
    <w:rsid w:val="0094563F"/>
    <w:rsid w:val="009475F5"/>
    <w:rsid w:val="009569EF"/>
    <w:rsid w:val="00960836"/>
    <w:rsid w:val="009631D2"/>
    <w:rsid w:val="009713A1"/>
    <w:rsid w:val="00971E12"/>
    <w:rsid w:val="00973151"/>
    <w:rsid w:val="00977411"/>
    <w:rsid w:val="0099073D"/>
    <w:rsid w:val="009B43AF"/>
    <w:rsid w:val="009B66B3"/>
    <w:rsid w:val="009C0880"/>
    <w:rsid w:val="009D2541"/>
    <w:rsid w:val="009D3CCB"/>
    <w:rsid w:val="009E0535"/>
    <w:rsid w:val="009F499E"/>
    <w:rsid w:val="009F4B6D"/>
    <w:rsid w:val="009F4C47"/>
    <w:rsid w:val="009F578C"/>
    <w:rsid w:val="00A02AFF"/>
    <w:rsid w:val="00A04716"/>
    <w:rsid w:val="00A06AEB"/>
    <w:rsid w:val="00A12D6C"/>
    <w:rsid w:val="00A1314B"/>
    <w:rsid w:val="00A13549"/>
    <w:rsid w:val="00A15A15"/>
    <w:rsid w:val="00A2254D"/>
    <w:rsid w:val="00A326D2"/>
    <w:rsid w:val="00A36827"/>
    <w:rsid w:val="00A36AF7"/>
    <w:rsid w:val="00A374ED"/>
    <w:rsid w:val="00A4051D"/>
    <w:rsid w:val="00A43620"/>
    <w:rsid w:val="00A43E66"/>
    <w:rsid w:val="00A4462B"/>
    <w:rsid w:val="00A511FE"/>
    <w:rsid w:val="00A52F16"/>
    <w:rsid w:val="00A560C2"/>
    <w:rsid w:val="00A65A75"/>
    <w:rsid w:val="00A74769"/>
    <w:rsid w:val="00A7505B"/>
    <w:rsid w:val="00A77201"/>
    <w:rsid w:val="00A81E18"/>
    <w:rsid w:val="00A86E3C"/>
    <w:rsid w:val="00AA34C6"/>
    <w:rsid w:val="00AD772D"/>
    <w:rsid w:val="00AF21E2"/>
    <w:rsid w:val="00B02E04"/>
    <w:rsid w:val="00B0323B"/>
    <w:rsid w:val="00B06C00"/>
    <w:rsid w:val="00B070B3"/>
    <w:rsid w:val="00B07CFD"/>
    <w:rsid w:val="00B07F06"/>
    <w:rsid w:val="00B10EB1"/>
    <w:rsid w:val="00B25125"/>
    <w:rsid w:val="00B278EE"/>
    <w:rsid w:val="00B30867"/>
    <w:rsid w:val="00B324DE"/>
    <w:rsid w:val="00B340B0"/>
    <w:rsid w:val="00B35F4A"/>
    <w:rsid w:val="00B4094F"/>
    <w:rsid w:val="00B40EE8"/>
    <w:rsid w:val="00B56780"/>
    <w:rsid w:val="00B57204"/>
    <w:rsid w:val="00B62F19"/>
    <w:rsid w:val="00B651CC"/>
    <w:rsid w:val="00B7053B"/>
    <w:rsid w:val="00B7378C"/>
    <w:rsid w:val="00B81115"/>
    <w:rsid w:val="00BA02BA"/>
    <w:rsid w:val="00BA2DB9"/>
    <w:rsid w:val="00BA3F89"/>
    <w:rsid w:val="00BA4FDE"/>
    <w:rsid w:val="00BB525C"/>
    <w:rsid w:val="00BC7FDE"/>
    <w:rsid w:val="00BD444B"/>
    <w:rsid w:val="00BE4CEF"/>
    <w:rsid w:val="00BE7148"/>
    <w:rsid w:val="00BF3F3A"/>
    <w:rsid w:val="00BF55F6"/>
    <w:rsid w:val="00C0175C"/>
    <w:rsid w:val="00C027B8"/>
    <w:rsid w:val="00C11F5A"/>
    <w:rsid w:val="00C12759"/>
    <w:rsid w:val="00C20440"/>
    <w:rsid w:val="00C24B5F"/>
    <w:rsid w:val="00C33857"/>
    <w:rsid w:val="00C45FEB"/>
    <w:rsid w:val="00C57001"/>
    <w:rsid w:val="00C63C64"/>
    <w:rsid w:val="00C66620"/>
    <w:rsid w:val="00C74F5F"/>
    <w:rsid w:val="00C76661"/>
    <w:rsid w:val="00CA06B2"/>
    <w:rsid w:val="00CA47D1"/>
    <w:rsid w:val="00CA5AB2"/>
    <w:rsid w:val="00CA6E1E"/>
    <w:rsid w:val="00CB2A14"/>
    <w:rsid w:val="00CB429D"/>
    <w:rsid w:val="00CC68AF"/>
    <w:rsid w:val="00CD3B02"/>
    <w:rsid w:val="00CE1CB4"/>
    <w:rsid w:val="00CF3EA9"/>
    <w:rsid w:val="00CF4D68"/>
    <w:rsid w:val="00CF6A16"/>
    <w:rsid w:val="00D0527B"/>
    <w:rsid w:val="00D22A8A"/>
    <w:rsid w:val="00D25D1A"/>
    <w:rsid w:val="00D26691"/>
    <w:rsid w:val="00D277B9"/>
    <w:rsid w:val="00D27820"/>
    <w:rsid w:val="00D419D6"/>
    <w:rsid w:val="00D54D12"/>
    <w:rsid w:val="00D55354"/>
    <w:rsid w:val="00D60747"/>
    <w:rsid w:val="00D65798"/>
    <w:rsid w:val="00D74E21"/>
    <w:rsid w:val="00D81243"/>
    <w:rsid w:val="00D90D3C"/>
    <w:rsid w:val="00D97145"/>
    <w:rsid w:val="00DA51A0"/>
    <w:rsid w:val="00DA6E6B"/>
    <w:rsid w:val="00DA79A8"/>
    <w:rsid w:val="00DB1412"/>
    <w:rsid w:val="00DC2C49"/>
    <w:rsid w:val="00DC514B"/>
    <w:rsid w:val="00DD17F5"/>
    <w:rsid w:val="00DD3534"/>
    <w:rsid w:val="00E01548"/>
    <w:rsid w:val="00E04D11"/>
    <w:rsid w:val="00E064FF"/>
    <w:rsid w:val="00E1647F"/>
    <w:rsid w:val="00E23EE0"/>
    <w:rsid w:val="00E30036"/>
    <w:rsid w:val="00E31A7A"/>
    <w:rsid w:val="00E429C8"/>
    <w:rsid w:val="00E465E0"/>
    <w:rsid w:val="00E52F9B"/>
    <w:rsid w:val="00E579F8"/>
    <w:rsid w:val="00E61B21"/>
    <w:rsid w:val="00E66F6F"/>
    <w:rsid w:val="00E708BB"/>
    <w:rsid w:val="00E77FB4"/>
    <w:rsid w:val="00E95327"/>
    <w:rsid w:val="00E95760"/>
    <w:rsid w:val="00EA1427"/>
    <w:rsid w:val="00EA6456"/>
    <w:rsid w:val="00EA7A54"/>
    <w:rsid w:val="00EB0380"/>
    <w:rsid w:val="00EB36F5"/>
    <w:rsid w:val="00EB3E76"/>
    <w:rsid w:val="00EC1232"/>
    <w:rsid w:val="00EC29E1"/>
    <w:rsid w:val="00ED09E5"/>
    <w:rsid w:val="00ED2990"/>
    <w:rsid w:val="00EE3834"/>
    <w:rsid w:val="00EF0144"/>
    <w:rsid w:val="00EF3219"/>
    <w:rsid w:val="00EF7346"/>
    <w:rsid w:val="00F03DD7"/>
    <w:rsid w:val="00F075DC"/>
    <w:rsid w:val="00F07B57"/>
    <w:rsid w:val="00F1543A"/>
    <w:rsid w:val="00F23FEC"/>
    <w:rsid w:val="00F30908"/>
    <w:rsid w:val="00F32E82"/>
    <w:rsid w:val="00F40D73"/>
    <w:rsid w:val="00F55E4F"/>
    <w:rsid w:val="00F574E1"/>
    <w:rsid w:val="00F60946"/>
    <w:rsid w:val="00F66007"/>
    <w:rsid w:val="00F67AC5"/>
    <w:rsid w:val="00F73866"/>
    <w:rsid w:val="00F73F71"/>
    <w:rsid w:val="00F75813"/>
    <w:rsid w:val="00F77A7E"/>
    <w:rsid w:val="00F810A8"/>
    <w:rsid w:val="00F81CBE"/>
    <w:rsid w:val="00F8348D"/>
    <w:rsid w:val="00F85669"/>
    <w:rsid w:val="00F93639"/>
    <w:rsid w:val="00FA11D2"/>
    <w:rsid w:val="00FA3442"/>
    <w:rsid w:val="00FB156F"/>
    <w:rsid w:val="00FB25F2"/>
    <w:rsid w:val="00FC143A"/>
    <w:rsid w:val="00FD0F3A"/>
    <w:rsid w:val="00FD1C09"/>
    <w:rsid w:val="00FD2FBC"/>
    <w:rsid w:val="00FD63F1"/>
    <w:rsid w:val="00FE2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7F"/>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1F512D"/>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12D"/>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11"/>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11"/>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1,List Paragraph11,L,Recommendation,List Paragraph111,F5 List Paragraph,Dot pt,CV text,Table text,Medium Grid 1 - Accent 21,Numbered Paragraph,List Paragraph2,Bulit List -  Paragraph,Main numbered paragraph,FooterText,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customStyle="1" w:styleId="ListParagraphChar">
    <w:name w:val="List Paragraph Char"/>
    <w:aliases w:val="List Paragraph1 Char,List Paragraph11 Char,L Char,Recommendation Char,List Paragraph111 Char,F5 List Paragraph Char,Dot pt Char,CV text Char,Table text Char,Medium Grid 1 - Accent 21 Char,Numbered Paragraph Char,List Paragraph2 Char"/>
    <w:link w:val="ListParagraph"/>
    <w:uiPriority w:val="34"/>
    <w:locked/>
    <w:rsid w:val="00214789"/>
    <w:rPr>
      <w:rFonts w:ascii="Arial" w:eastAsia="Times New Roman" w:hAnsi="Arial" w:cs="Times New Roman"/>
      <w:spacing w:val="4"/>
      <w:sz w:val="24"/>
      <w:szCs w:val="24"/>
      <w:lang w:eastAsia="en-AU"/>
    </w:rPr>
  </w:style>
  <w:style w:type="character" w:styleId="BookTitle">
    <w:name w:val="Book Title"/>
    <w:uiPriority w:val="33"/>
    <w:qFormat/>
    <w:rsid w:val="004A02D6"/>
    <w:rPr>
      <w:i/>
      <w:iCs/>
      <w:smallCaps/>
      <w:spacing w:val="5"/>
    </w:rPr>
  </w:style>
  <w:style w:type="character" w:styleId="CommentReference">
    <w:name w:val="annotation reference"/>
    <w:basedOn w:val="DefaultParagraphFont"/>
    <w:rsid w:val="009F578C"/>
    <w:rPr>
      <w:sz w:val="16"/>
      <w:szCs w:val="16"/>
    </w:rPr>
  </w:style>
  <w:style w:type="paragraph" w:styleId="CommentText">
    <w:name w:val="annotation text"/>
    <w:basedOn w:val="Normal"/>
    <w:link w:val="CommentTextChar"/>
    <w:rsid w:val="009F578C"/>
    <w:pPr>
      <w:spacing w:before="0" w:after="0" w:line="240" w:lineRule="auto"/>
    </w:pPr>
    <w:rPr>
      <w:rFonts w:ascii="Times New Roman" w:hAnsi="Times New Roman"/>
      <w:spacing w:val="0"/>
      <w:sz w:val="20"/>
      <w:szCs w:val="20"/>
    </w:rPr>
  </w:style>
  <w:style w:type="character" w:customStyle="1" w:styleId="CommentTextChar">
    <w:name w:val="Comment Text Char"/>
    <w:basedOn w:val="DefaultParagraphFont"/>
    <w:link w:val="CommentText"/>
    <w:rsid w:val="009F578C"/>
    <w:rPr>
      <w:rFonts w:ascii="Times New Roman" w:eastAsia="Times New Roman" w:hAnsi="Times New Roman" w:cs="Times New Roman"/>
      <w:sz w:val="20"/>
      <w:szCs w:val="20"/>
      <w:lang w:eastAsia="en-AU"/>
    </w:rPr>
  </w:style>
  <w:style w:type="paragraph" w:customStyle="1" w:styleId="Bullet">
    <w:name w:val="Bullet"/>
    <w:aliases w:val="b"/>
    <w:basedOn w:val="Normal"/>
    <w:qFormat/>
    <w:rsid w:val="00C63C64"/>
    <w:pPr>
      <w:numPr>
        <w:numId w:val="22"/>
      </w:numPr>
      <w:spacing w:before="240" w:after="120" w:line="240" w:lineRule="auto"/>
      <w:jc w:val="both"/>
    </w:pPr>
    <w:rPr>
      <w:rFonts w:eastAsia="Calibri" w:cs="Arial"/>
      <w:spacing w:val="0"/>
      <w:sz w:val="22"/>
      <w:szCs w:val="22"/>
      <w:lang w:eastAsia="en-US"/>
    </w:rPr>
  </w:style>
  <w:style w:type="paragraph" w:customStyle="1" w:styleId="Bullet2">
    <w:name w:val="Bullet 2"/>
    <w:basedOn w:val="Normal"/>
    <w:qFormat/>
    <w:rsid w:val="00C63C64"/>
    <w:pPr>
      <w:numPr>
        <w:ilvl w:val="1"/>
        <w:numId w:val="22"/>
      </w:numPr>
      <w:spacing w:before="240" w:after="120" w:line="240" w:lineRule="auto"/>
      <w:jc w:val="both"/>
    </w:pPr>
    <w:rPr>
      <w:rFonts w:eastAsia="Calibri" w:cs="Arial"/>
      <w:spacing w:val="0"/>
      <w:sz w:val="22"/>
      <w:szCs w:val="22"/>
      <w:lang w:eastAsia="en-US"/>
    </w:rPr>
  </w:style>
  <w:style w:type="paragraph" w:customStyle="1" w:styleId="Bullet3">
    <w:name w:val="Bullet 3"/>
    <w:basedOn w:val="Normal"/>
    <w:qFormat/>
    <w:rsid w:val="00C63C64"/>
    <w:pPr>
      <w:numPr>
        <w:ilvl w:val="2"/>
        <w:numId w:val="22"/>
      </w:numPr>
      <w:spacing w:before="240" w:after="120" w:line="240" w:lineRule="auto"/>
      <w:jc w:val="both"/>
    </w:pPr>
    <w:rPr>
      <w:rFonts w:eastAsia="Calibri" w:cs="Arial"/>
      <w:spacing w:val="0"/>
      <w:sz w:val="22"/>
      <w:szCs w:val="22"/>
      <w:lang w:eastAsia="en-US"/>
    </w:rPr>
  </w:style>
  <w:style w:type="numbering" w:customStyle="1" w:styleId="Bulletlist">
    <w:name w:val="Bullet list"/>
    <w:uiPriority w:val="99"/>
    <w:rsid w:val="00C63C64"/>
    <w:pPr>
      <w:numPr>
        <w:numId w:val="22"/>
      </w:numPr>
    </w:pPr>
  </w:style>
  <w:style w:type="paragraph" w:styleId="CommentSubject">
    <w:name w:val="annotation subject"/>
    <w:basedOn w:val="CommentText"/>
    <w:next w:val="CommentText"/>
    <w:link w:val="CommentSubjectChar"/>
    <w:uiPriority w:val="99"/>
    <w:semiHidden/>
    <w:unhideWhenUsed/>
    <w:rsid w:val="003B5471"/>
    <w:pPr>
      <w:spacing w:before="120" w:after="180"/>
    </w:pPr>
    <w:rPr>
      <w:rFonts w:ascii="Arial" w:hAnsi="Arial"/>
      <w:b/>
      <w:bCs/>
      <w:spacing w:val="4"/>
    </w:rPr>
  </w:style>
  <w:style w:type="character" w:customStyle="1" w:styleId="CommentSubjectChar">
    <w:name w:val="Comment Subject Char"/>
    <w:basedOn w:val="CommentTextChar"/>
    <w:link w:val="CommentSubject"/>
    <w:uiPriority w:val="99"/>
    <w:semiHidden/>
    <w:rsid w:val="003B5471"/>
    <w:rPr>
      <w:rFonts w:ascii="Arial" w:eastAsia="Times New Roman" w:hAnsi="Arial" w:cs="Times New Roman"/>
      <w:b/>
      <w:bCs/>
      <w:spacing w:val="4"/>
      <w:sz w:val="20"/>
      <w:szCs w:val="20"/>
      <w:lang w:eastAsia="en-AU"/>
    </w:rPr>
  </w:style>
  <w:style w:type="paragraph" w:styleId="Quote">
    <w:name w:val="Quote"/>
    <w:basedOn w:val="Normal"/>
    <w:next w:val="Normal"/>
    <w:link w:val="QuoteChar"/>
    <w:uiPriority w:val="29"/>
    <w:qFormat/>
    <w:rsid w:val="00BA3F89"/>
    <w:pPr>
      <w:spacing w:before="200" w:after="0" w:line="276" w:lineRule="auto"/>
      <w:ind w:left="360" w:right="360"/>
    </w:pPr>
    <w:rPr>
      <w:rFonts w:eastAsiaTheme="minorHAnsi" w:cstheme="minorBidi"/>
      <w:i/>
      <w:iCs/>
      <w:spacing w:val="0"/>
      <w:sz w:val="22"/>
      <w:szCs w:val="22"/>
      <w:lang w:eastAsia="en-US"/>
    </w:rPr>
  </w:style>
  <w:style w:type="character" w:customStyle="1" w:styleId="QuoteChar">
    <w:name w:val="Quote Char"/>
    <w:basedOn w:val="DefaultParagraphFont"/>
    <w:link w:val="Quote"/>
    <w:uiPriority w:val="29"/>
    <w:rsid w:val="00BA3F89"/>
    <w:rPr>
      <w:rFonts w:ascii="Arial" w:hAnsi="Arial"/>
      <w:i/>
      <w:iCs/>
    </w:rPr>
  </w:style>
  <w:style w:type="paragraph" w:styleId="IntenseQuote">
    <w:name w:val="Intense Quote"/>
    <w:basedOn w:val="Normal"/>
    <w:next w:val="Normal"/>
    <w:link w:val="IntenseQuoteChar"/>
    <w:uiPriority w:val="30"/>
    <w:qFormat/>
    <w:rsid w:val="00BA3F89"/>
    <w:pPr>
      <w:pBdr>
        <w:bottom w:val="single" w:sz="4" w:space="1" w:color="auto"/>
      </w:pBdr>
      <w:spacing w:before="200" w:after="280" w:line="276" w:lineRule="auto"/>
      <w:ind w:left="1008" w:right="1152"/>
      <w:jc w:val="both"/>
    </w:pPr>
    <w:rPr>
      <w:rFonts w:eastAsiaTheme="minorHAnsi" w:cstheme="minorBidi"/>
      <w:b/>
      <w:bCs/>
      <w:i/>
      <w:iCs/>
      <w:spacing w:val="0"/>
      <w:sz w:val="22"/>
      <w:szCs w:val="22"/>
      <w:lang w:eastAsia="en-US"/>
    </w:rPr>
  </w:style>
  <w:style w:type="character" w:customStyle="1" w:styleId="IntenseQuoteChar">
    <w:name w:val="Intense Quote Char"/>
    <w:basedOn w:val="DefaultParagraphFont"/>
    <w:link w:val="IntenseQuote"/>
    <w:uiPriority w:val="30"/>
    <w:rsid w:val="00BA3F89"/>
    <w:rPr>
      <w:rFonts w:ascii="Arial" w:hAnsi="Arial"/>
      <w:b/>
      <w:bCs/>
      <w:i/>
      <w:iCs/>
    </w:rPr>
  </w:style>
  <w:style w:type="character" w:styleId="SubtleReference">
    <w:name w:val="Subtle Reference"/>
    <w:uiPriority w:val="31"/>
    <w:qFormat/>
    <w:rsid w:val="00BA3F89"/>
    <w:rPr>
      <w:smallCaps/>
    </w:rPr>
  </w:style>
  <w:style w:type="character" w:styleId="IntenseReference">
    <w:name w:val="Intense Reference"/>
    <w:uiPriority w:val="32"/>
    <w:qFormat/>
    <w:rsid w:val="00BA3F89"/>
    <w:rPr>
      <w:smallCaps/>
      <w:spacing w:val="5"/>
      <w:u w:val="single"/>
    </w:rPr>
  </w:style>
  <w:style w:type="paragraph" w:customStyle="1" w:styleId="Default">
    <w:name w:val="Default"/>
    <w:rsid w:val="00BA3F89"/>
    <w:pPr>
      <w:autoSpaceDE w:val="0"/>
      <w:autoSpaceDN w:val="0"/>
      <w:adjustRightInd w:val="0"/>
      <w:spacing w:after="0" w:line="240" w:lineRule="auto"/>
    </w:pPr>
    <w:rPr>
      <w:rFonts w:ascii="Calibri" w:hAnsi="Calibri" w:cs="Calibri"/>
      <w:color w:val="000000"/>
      <w:sz w:val="24"/>
      <w:szCs w:val="24"/>
    </w:rPr>
  </w:style>
  <w:style w:type="paragraph" w:customStyle="1" w:styleId="xl63">
    <w:name w:val="xl63"/>
    <w:basedOn w:val="Normal"/>
    <w:rsid w:val="00BA3F89"/>
    <w:pPr>
      <w:shd w:val="clear" w:color="000000" w:fill="auto"/>
      <w:spacing w:before="100" w:beforeAutospacing="1" w:after="100" w:afterAutospacing="1" w:line="240" w:lineRule="auto"/>
    </w:pPr>
    <w:rPr>
      <w:rFonts w:ascii="Times New Roman" w:hAnsi="Times New Roman"/>
      <w:spacing w:val="0"/>
    </w:rPr>
  </w:style>
  <w:style w:type="paragraph" w:customStyle="1" w:styleId="xl64">
    <w:name w:val="xl64"/>
    <w:basedOn w:val="Normal"/>
    <w:rsid w:val="00BA3F89"/>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40" w:lineRule="auto"/>
    </w:pPr>
    <w:rPr>
      <w:rFonts w:ascii="Times New Roman" w:hAnsi="Times New Roman"/>
      <w:b/>
      <w:bCs/>
      <w:color w:val="000000"/>
      <w:spacing w:val="0"/>
      <w:sz w:val="20"/>
      <w:szCs w:val="20"/>
    </w:rPr>
  </w:style>
  <w:style w:type="paragraph" w:customStyle="1" w:styleId="xl65">
    <w:name w:val="xl65"/>
    <w:basedOn w:val="Normal"/>
    <w:rsid w:val="00BA3F89"/>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40" w:lineRule="auto"/>
      <w:jc w:val="right"/>
    </w:pPr>
    <w:rPr>
      <w:rFonts w:ascii="Times New Roman" w:hAnsi="Times New Roman"/>
      <w:color w:val="000000"/>
      <w:spacing w:val="0"/>
      <w:sz w:val="20"/>
      <w:szCs w:val="20"/>
    </w:rPr>
  </w:style>
  <w:style w:type="paragraph" w:customStyle="1" w:styleId="xl66">
    <w:name w:val="xl66"/>
    <w:basedOn w:val="Normal"/>
    <w:rsid w:val="00BA3F89"/>
    <w:pPr>
      <w:pBdr>
        <w:left w:val="single" w:sz="4" w:space="0" w:color="FFFFFF"/>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67">
    <w:name w:val="xl67"/>
    <w:basedOn w:val="Normal"/>
    <w:rsid w:val="00BA3F89"/>
    <w:pPr>
      <w:pBdr>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68">
    <w:name w:val="xl68"/>
    <w:basedOn w:val="Normal"/>
    <w:rsid w:val="00BA3F89"/>
    <w:pPr>
      <w:pBdr>
        <w:bottom w:val="single" w:sz="4" w:space="0" w:color="FFFFFF"/>
        <w:righ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69">
    <w:name w:val="xl69"/>
    <w:basedOn w:val="Normal"/>
    <w:rsid w:val="00BA3F89"/>
    <w:pPr>
      <w:shd w:val="clear" w:color="000000" w:fill="336699"/>
      <w:spacing w:before="100" w:beforeAutospacing="1" w:after="100" w:afterAutospacing="1" w:line="240" w:lineRule="auto"/>
      <w:jc w:val="center"/>
      <w:textAlignment w:val="center"/>
    </w:pPr>
    <w:rPr>
      <w:rFonts w:ascii="Times New Roman" w:hAnsi="Times New Roman"/>
      <w:b/>
      <w:bCs/>
      <w:color w:val="FFFFFF"/>
      <w:spacing w:val="0"/>
    </w:rPr>
  </w:style>
  <w:style w:type="paragraph" w:customStyle="1" w:styleId="xl70">
    <w:name w:val="xl70"/>
    <w:basedOn w:val="Normal"/>
    <w:rsid w:val="00BA3F89"/>
    <w:pPr>
      <w:pBdr>
        <w:top w:val="single" w:sz="4" w:space="0" w:color="FFFFFF"/>
        <w:lef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1">
    <w:name w:val="xl71"/>
    <w:basedOn w:val="Normal"/>
    <w:rsid w:val="00BA3F89"/>
    <w:pPr>
      <w:pBdr>
        <w:top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2">
    <w:name w:val="xl72"/>
    <w:basedOn w:val="Normal"/>
    <w:rsid w:val="00BA3F89"/>
    <w:pPr>
      <w:pBdr>
        <w:top w:val="single" w:sz="4" w:space="0" w:color="FFFFFF"/>
        <w:righ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3">
    <w:name w:val="xl73"/>
    <w:basedOn w:val="Normal"/>
    <w:rsid w:val="00BA3F89"/>
    <w:pPr>
      <w:pBdr>
        <w:top w:val="single" w:sz="4" w:space="0" w:color="FFFFFF"/>
        <w:lef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4">
    <w:name w:val="xl74"/>
    <w:basedOn w:val="Normal"/>
    <w:rsid w:val="00BA3F89"/>
    <w:pPr>
      <w:pBdr>
        <w:top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5">
    <w:name w:val="xl75"/>
    <w:basedOn w:val="Normal"/>
    <w:rsid w:val="00BA3F89"/>
    <w:pPr>
      <w:pBdr>
        <w:top w:val="single" w:sz="4" w:space="0" w:color="FFFFFF"/>
        <w:righ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6">
    <w:name w:val="xl76"/>
    <w:basedOn w:val="Normal"/>
    <w:rsid w:val="00BA3F89"/>
    <w:pPr>
      <w:pBdr>
        <w:top w:val="single" w:sz="4" w:space="0" w:color="FFFFFF"/>
        <w:left w:val="single" w:sz="4" w:space="0" w:color="FFFFFF"/>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7">
    <w:name w:val="xl77"/>
    <w:basedOn w:val="Normal"/>
    <w:rsid w:val="00BA3F89"/>
    <w:pPr>
      <w:pBdr>
        <w:top w:val="single" w:sz="4" w:space="0" w:color="FFFFFF"/>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styleId="Revision">
    <w:name w:val="Revision"/>
    <w:hidden/>
    <w:uiPriority w:val="99"/>
    <w:semiHidden/>
    <w:rsid w:val="0091282C"/>
    <w:pPr>
      <w:spacing w:after="0" w:line="240" w:lineRule="auto"/>
    </w:pPr>
    <w:rPr>
      <w:rFonts w:ascii="Arial" w:eastAsia="Times New Roman" w:hAnsi="Arial" w:cs="Times New Roman"/>
      <w:spacing w:val="4"/>
      <w:sz w:val="24"/>
      <w:szCs w:val="24"/>
      <w:lang w:eastAsia="en-AU"/>
    </w:rPr>
  </w:style>
  <w:style w:type="character" w:customStyle="1" w:styleId="DefinitiontextChar">
    <w:name w:val="Definition 'text' Char"/>
    <w:link w:val="Definitiontext"/>
    <w:locked/>
    <w:rsid w:val="00740F7C"/>
    <w:rPr>
      <w:rFonts w:ascii="Calibri" w:hAnsi="Calibri"/>
    </w:rPr>
  </w:style>
  <w:style w:type="paragraph" w:customStyle="1" w:styleId="Definitiontext">
    <w:name w:val="Definition 'text'"/>
    <w:basedOn w:val="Normal"/>
    <w:link w:val="DefinitiontextChar"/>
    <w:qFormat/>
    <w:rsid w:val="00740F7C"/>
    <w:pPr>
      <w:spacing w:before="60" w:after="120" w:line="240" w:lineRule="auto"/>
    </w:pPr>
    <w:rPr>
      <w:rFonts w:ascii="Calibri" w:eastAsiaTheme="minorHAnsi" w:hAnsi="Calibri" w:cstheme="minorBidi"/>
      <w:spacing w:val="0"/>
      <w:sz w:val="22"/>
      <w:szCs w:val="22"/>
      <w:lang w:eastAsia="en-US"/>
    </w:rPr>
  </w:style>
  <w:style w:type="table" w:customStyle="1" w:styleId="DSSDatatablestyle1">
    <w:name w:val="DSS Data table style1"/>
    <w:basedOn w:val="TableNormal"/>
    <w:uiPriority w:val="99"/>
    <w:rsid w:val="00E52F9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7F"/>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
    <w:qFormat/>
    <w:rsid w:val="001F512D"/>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9"/>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12D"/>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11"/>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11"/>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List Paragraph1,List Paragraph11,L,Recommendation,List Paragraph111,F5 List Paragraph,Dot pt,CV text,Table text,Medium Grid 1 - Accent 21,Numbered Paragraph,List Paragraph2,Bulit List -  Paragraph,Main numbered paragraph,FooterText,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50273B"/>
    <w:pPr>
      <w:numPr>
        <w:numId w:val="1"/>
      </w:numPr>
      <w:tabs>
        <w:tab w:val="clear" w:pos="360"/>
        <w:tab w:val="left" w:pos="170"/>
      </w:tabs>
      <w:spacing w:before="60" w:after="120"/>
      <w:ind w:left="170" w:hanging="17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customStyle="1" w:styleId="ListParagraphChar">
    <w:name w:val="List Paragraph Char"/>
    <w:aliases w:val="List Paragraph1 Char,List Paragraph11 Char,L Char,Recommendation Char,List Paragraph111 Char,F5 List Paragraph Char,Dot pt Char,CV text Char,Table text Char,Medium Grid 1 - Accent 21 Char,Numbered Paragraph Char,List Paragraph2 Char"/>
    <w:link w:val="ListParagraph"/>
    <w:uiPriority w:val="34"/>
    <w:locked/>
    <w:rsid w:val="00214789"/>
    <w:rPr>
      <w:rFonts w:ascii="Arial" w:eastAsia="Times New Roman" w:hAnsi="Arial" w:cs="Times New Roman"/>
      <w:spacing w:val="4"/>
      <w:sz w:val="24"/>
      <w:szCs w:val="24"/>
      <w:lang w:eastAsia="en-AU"/>
    </w:rPr>
  </w:style>
  <w:style w:type="character" w:styleId="BookTitle">
    <w:name w:val="Book Title"/>
    <w:uiPriority w:val="33"/>
    <w:qFormat/>
    <w:rsid w:val="004A02D6"/>
    <w:rPr>
      <w:i/>
      <w:iCs/>
      <w:smallCaps/>
      <w:spacing w:val="5"/>
    </w:rPr>
  </w:style>
  <w:style w:type="character" w:styleId="CommentReference">
    <w:name w:val="annotation reference"/>
    <w:basedOn w:val="DefaultParagraphFont"/>
    <w:rsid w:val="009F578C"/>
    <w:rPr>
      <w:sz w:val="16"/>
      <w:szCs w:val="16"/>
    </w:rPr>
  </w:style>
  <w:style w:type="paragraph" w:styleId="CommentText">
    <w:name w:val="annotation text"/>
    <w:basedOn w:val="Normal"/>
    <w:link w:val="CommentTextChar"/>
    <w:rsid w:val="009F578C"/>
    <w:pPr>
      <w:spacing w:before="0" w:after="0" w:line="240" w:lineRule="auto"/>
    </w:pPr>
    <w:rPr>
      <w:rFonts w:ascii="Times New Roman" w:hAnsi="Times New Roman"/>
      <w:spacing w:val="0"/>
      <w:sz w:val="20"/>
      <w:szCs w:val="20"/>
    </w:rPr>
  </w:style>
  <w:style w:type="character" w:customStyle="1" w:styleId="CommentTextChar">
    <w:name w:val="Comment Text Char"/>
    <w:basedOn w:val="DefaultParagraphFont"/>
    <w:link w:val="CommentText"/>
    <w:rsid w:val="009F578C"/>
    <w:rPr>
      <w:rFonts w:ascii="Times New Roman" w:eastAsia="Times New Roman" w:hAnsi="Times New Roman" w:cs="Times New Roman"/>
      <w:sz w:val="20"/>
      <w:szCs w:val="20"/>
      <w:lang w:eastAsia="en-AU"/>
    </w:rPr>
  </w:style>
  <w:style w:type="paragraph" w:customStyle="1" w:styleId="Bullet">
    <w:name w:val="Bullet"/>
    <w:aliases w:val="b"/>
    <w:basedOn w:val="Normal"/>
    <w:qFormat/>
    <w:rsid w:val="00C63C64"/>
    <w:pPr>
      <w:numPr>
        <w:numId w:val="22"/>
      </w:numPr>
      <w:spacing w:before="240" w:after="120" w:line="240" w:lineRule="auto"/>
      <w:jc w:val="both"/>
    </w:pPr>
    <w:rPr>
      <w:rFonts w:eastAsia="Calibri" w:cs="Arial"/>
      <w:spacing w:val="0"/>
      <w:sz w:val="22"/>
      <w:szCs w:val="22"/>
      <w:lang w:eastAsia="en-US"/>
    </w:rPr>
  </w:style>
  <w:style w:type="paragraph" w:customStyle="1" w:styleId="Bullet2">
    <w:name w:val="Bullet 2"/>
    <w:basedOn w:val="Normal"/>
    <w:qFormat/>
    <w:rsid w:val="00C63C64"/>
    <w:pPr>
      <w:numPr>
        <w:ilvl w:val="1"/>
        <w:numId w:val="22"/>
      </w:numPr>
      <w:spacing w:before="240" w:after="120" w:line="240" w:lineRule="auto"/>
      <w:jc w:val="both"/>
    </w:pPr>
    <w:rPr>
      <w:rFonts w:eastAsia="Calibri" w:cs="Arial"/>
      <w:spacing w:val="0"/>
      <w:sz w:val="22"/>
      <w:szCs w:val="22"/>
      <w:lang w:eastAsia="en-US"/>
    </w:rPr>
  </w:style>
  <w:style w:type="paragraph" w:customStyle="1" w:styleId="Bullet3">
    <w:name w:val="Bullet 3"/>
    <w:basedOn w:val="Normal"/>
    <w:qFormat/>
    <w:rsid w:val="00C63C64"/>
    <w:pPr>
      <w:numPr>
        <w:ilvl w:val="2"/>
        <w:numId w:val="22"/>
      </w:numPr>
      <w:spacing w:before="240" w:after="120" w:line="240" w:lineRule="auto"/>
      <w:jc w:val="both"/>
    </w:pPr>
    <w:rPr>
      <w:rFonts w:eastAsia="Calibri" w:cs="Arial"/>
      <w:spacing w:val="0"/>
      <w:sz w:val="22"/>
      <w:szCs w:val="22"/>
      <w:lang w:eastAsia="en-US"/>
    </w:rPr>
  </w:style>
  <w:style w:type="numbering" w:customStyle="1" w:styleId="Bulletlist">
    <w:name w:val="Bullet list"/>
    <w:uiPriority w:val="99"/>
    <w:rsid w:val="00C63C64"/>
    <w:pPr>
      <w:numPr>
        <w:numId w:val="22"/>
      </w:numPr>
    </w:pPr>
  </w:style>
  <w:style w:type="paragraph" w:styleId="CommentSubject">
    <w:name w:val="annotation subject"/>
    <w:basedOn w:val="CommentText"/>
    <w:next w:val="CommentText"/>
    <w:link w:val="CommentSubjectChar"/>
    <w:uiPriority w:val="99"/>
    <w:semiHidden/>
    <w:unhideWhenUsed/>
    <w:rsid w:val="003B5471"/>
    <w:pPr>
      <w:spacing w:before="120" w:after="180"/>
    </w:pPr>
    <w:rPr>
      <w:rFonts w:ascii="Arial" w:hAnsi="Arial"/>
      <w:b/>
      <w:bCs/>
      <w:spacing w:val="4"/>
    </w:rPr>
  </w:style>
  <w:style w:type="character" w:customStyle="1" w:styleId="CommentSubjectChar">
    <w:name w:val="Comment Subject Char"/>
    <w:basedOn w:val="CommentTextChar"/>
    <w:link w:val="CommentSubject"/>
    <w:uiPriority w:val="99"/>
    <w:semiHidden/>
    <w:rsid w:val="003B5471"/>
    <w:rPr>
      <w:rFonts w:ascii="Arial" w:eastAsia="Times New Roman" w:hAnsi="Arial" w:cs="Times New Roman"/>
      <w:b/>
      <w:bCs/>
      <w:spacing w:val="4"/>
      <w:sz w:val="20"/>
      <w:szCs w:val="20"/>
      <w:lang w:eastAsia="en-AU"/>
    </w:rPr>
  </w:style>
  <w:style w:type="paragraph" w:styleId="Quote">
    <w:name w:val="Quote"/>
    <w:basedOn w:val="Normal"/>
    <w:next w:val="Normal"/>
    <w:link w:val="QuoteChar"/>
    <w:uiPriority w:val="29"/>
    <w:qFormat/>
    <w:rsid w:val="00BA3F89"/>
    <w:pPr>
      <w:spacing w:before="200" w:after="0" w:line="276" w:lineRule="auto"/>
      <w:ind w:left="360" w:right="360"/>
    </w:pPr>
    <w:rPr>
      <w:rFonts w:eastAsiaTheme="minorHAnsi" w:cstheme="minorBidi"/>
      <w:i/>
      <w:iCs/>
      <w:spacing w:val="0"/>
      <w:sz w:val="22"/>
      <w:szCs w:val="22"/>
      <w:lang w:eastAsia="en-US"/>
    </w:rPr>
  </w:style>
  <w:style w:type="character" w:customStyle="1" w:styleId="QuoteChar">
    <w:name w:val="Quote Char"/>
    <w:basedOn w:val="DefaultParagraphFont"/>
    <w:link w:val="Quote"/>
    <w:uiPriority w:val="29"/>
    <w:rsid w:val="00BA3F89"/>
    <w:rPr>
      <w:rFonts w:ascii="Arial" w:hAnsi="Arial"/>
      <w:i/>
      <w:iCs/>
    </w:rPr>
  </w:style>
  <w:style w:type="paragraph" w:styleId="IntenseQuote">
    <w:name w:val="Intense Quote"/>
    <w:basedOn w:val="Normal"/>
    <w:next w:val="Normal"/>
    <w:link w:val="IntenseQuoteChar"/>
    <w:uiPriority w:val="30"/>
    <w:qFormat/>
    <w:rsid w:val="00BA3F89"/>
    <w:pPr>
      <w:pBdr>
        <w:bottom w:val="single" w:sz="4" w:space="1" w:color="auto"/>
      </w:pBdr>
      <w:spacing w:before="200" w:after="280" w:line="276" w:lineRule="auto"/>
      <w:ind w:left="1008" w:right="1152"/>
      <w:jc w:val="both"/>
    </w:pPr>
    <w:rPr>
      <w:rFonts w:eastAsiaTheme="minorHAnsi" w:cstheme="minorBidi"/>
      <w:b/>
      <w:bCs/>
      <w:i/>
      <w:iCs/>
      <w:spacing w:val="0"/>
      <w:sz w:val="22"/>
      <w:szCs w:val="22"/>
      <w:lang w:eastAsia="en-US"/>
    </w:rPr>
  </w:style>
  <w:style w:type="character" w:customStyle="1" w:styleId="IntenseQuoteChar">
    <w:name w:val="Intense Quote Char"/>
    <w:basedOn w:val="DefaultParagraphFont"/>
    <w:link w:val="IntenseQuote"/>
    <w:uiPriority w:val="30"/>
    <w:rsid w:val="00BA3F89"/>
    <w:rPr>
      <w:rFonts w:ascii="Arial" w:hAnsi="Arial"/>
      <w:b/>
      <w:bCs/>
      <w:i/>
      <w:iCs/>
    </w:rPr>
  </w:style>
  <w:style w:type="character" w:styleId="SubtleReference">
    <w:name w:val="Subtle Reference"/>
    <w:uiPriority w:val="31"/>
    <w:qFormat/>
    <w:rsid w:val="00BA3F89"/>
    <w:rPr>
      <w:smallCaps/>
    </w:rPr>
  </w:style>
  <w:style w:type="character" w:styleId="IntenseReference">
    <w:name w:val="Intense Reference"/>
    <w:uiPriority w:val="32"/>
    <w:qFormat/>
    <w:rsid w:val="00BA3F89"/>
    <w:rPr>
      <w:smallCaps/>
      <w:spacing w:val="5"/>
      <w:u w:val="single"/>
    </w:rPr>
  </w:style>
  <w:style w:type="paragraph" w:customStyle="1" w:styleId="Default">
    <w:name w:val="Default"/>
    <w:rsid w:val="00BA3F89"/>
    <w:pPr>
      <w:autoSpaceDE w:val="0"/>
      <w:autoSpaceDN w:val="0"/>
      <w:adjustRightInd w:val="0"/>
      <w:spacing w:after="0" w:line="240" w:lineRule="auto"/>
    </w:pPr>
    <w:rPr>
      <w:rFonts w:ascii="Calibri" w:hAnsi="Calibri" w:cs="Calibri"/>
      <w:color w:val="000000"/>
      <w:sz w:val="24"/>
      <w:szCs w:val="24"/>
    </w:rPr>
  </w:style>
  <w:style w:type="paragraph" w:customStyle="1" w:styleId="xl63">
    <w:name w:val="xl63"/>
    <w:basedOn w:val="Normal"/>
    <w:rsid w:val="00BA3F89"/>
    <w:pPr>
      <w:shd w:val="clear" w:color="000000" w:fill="auto"/>
      <w:spacing w:before="100" w:beforeAutospacing="1" w:after="100" w:afterAutospacing="1" w:line="240" w:lineRule="auto"/>
    </w:pPr>
    <w:rPr>
      <w:rFonts w:ascii="Times New Roman" w:hAnsi="Times New Roman"/>
      <w:spacing w:val="0"/>
    </w:rPr>
  </w:style>
  <w:style w:type="paragraph" w:customStyle="1" w:styleId="xl64">
    <w:name w:val="xl64"/>
    <w:basedOn w:val="Normal"/>
    <w:rsid w:val="00BA3F89"/>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40" w:lineRule="auto"/>
    </w:pPr>
    <w:rPr>
      <w:rFonts w:ascii="Times New Roman" w:hAnsi="Times New Roman"/>
      <w:b/>
      <w:bCs/>
      <w:color w:val="000000"/>
      <w:spacing w:val="0"/>
      <w:sz w:val="20"/>
      <w:szCs w:val="20"/>
    </w:rPr>
  </w:style>
  <w:style w:type="paragraph" w:customStyle="1" w:styleId="xl65">
    <w:name w:val="xl65"/>
    <w:basedOn w:val="Normal"/>
    <w:rsid w:val="00BA3F89"/>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40" w:lineRule="auto"/>
      <w:jc w:val="right"/>
    </w:pPr>
    <w:rPr>
      <w:rFonts w:ascii="Times New Roman" w:hAnsi="Times New Roman"/>
      <w:color w:val="000000"/>
      <w:spacing w:val="0"/>
      <w:sz w:val="20"/>
      <w:szCs w:val="20"/>
    </w:rPr>
  </w:style>
  <w:style w:type="paragraph" w:customStyle="1" w:styleId="xl66">
    <w:name w:val="xl66"/>
    <w:basedOn w:val="Normal"/>
    <w:rsid w:val="00BA3F89"/>
    <w:pPr>
      <w:pBdr>
        <w:left w:val="single" w:sz="4" w:space="0" w:color="FFFFFF"/>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67">
    <w:name w:val="xl67"/>
    <w:basedOn w:val="Normal"/>
    <w:rsid w:val="00BA3F89"/>
    <w:pPr>
      <w:pBdr>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68">
    <w:name w:val="xl68"/>
    <w:basedOn w:val="Normal"/>
    <w:rsid w:val="00BA3F89"/>
    <w:pPr>
      <w:pBdr>
        <w:bottom w:val="single" w:sz="4" w:space="0" w:color="FFFFFF"/>
        <w:righ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69">
    <w:name w:val="xl69"/>
    <w:basedOn w:val="Normal"/>
    <w:rsid w:val="00BA3F89"/>
    <w:pPr>
      <w:shd w:val="clear" w:color="000000" w:fill="336699"/>
      <w:spacing w:before="100" w:beforeAutospacing="1" w:after="100" w:afterAutospacing="1" w:line="240" w:lineRule="auto"/>
      <w:jc w:val="center"/>
      <w:textAlignment w:val="center"/>
    </w:pPr>
    <w:rPr>
      <w:rFonts w:ascii="Times New Roman" w:hAnsi="Times New Roman"/>
      <w:b/>
      <w:bCs/>
      <w:color w:val="FFFFFF"/>
      <w:spacing w:val="0"/>
    </w:rPr>
  </w:style>
  <w:style w:type="paragraph" w:customStyle="1" w:styleId="xl70">
    <w:name w:val="xl70"/>
    <w:basedOn w:val="Normal"/>
    <w:rsid w:val="00BA3F89"/>
    <w:pPr>
      <w:pBdr>
        <w:top w:val="single" w:sz="4" w:space="0" w:color="FFFFFF"/>
        <w:lef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1">
    <w:name w:val="xl71"/>
    <w:basedOn w:val="Normal"/>
    <w:rsid w:val="00BA3F89"/>
    <w:pPr>
      <w:pBdr>
        <w:top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2">
    <w:name w:val="xl72"/>
    <w:basedOn w:val="Normal"/>
    <w:rsid w:val="00BA3F89"/>
    <w:pPr>
      <w:pBdr>
        <w:top w:val="single" w:sz="4" w:space="0" w:color="FFFFFF"/>
        <w:righ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3">
    <w:name w:val="xl73"/>
    <w:basedOn w:val="Normal"/>
    <w:rsid w:val="00BA3F89"/>
    <w:pPr>
      <w:pBdr>
        <w:top w:val="single" w:sz="4" w:space="0" w:color="FFFFFF"/>
        <w:lef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4">
    <w:name w:val="xl74"/>
    <w:basedOn w:val="Normal"/>
    <w:rsid w:val="00BA3F89"/>
    <w:pPr>
      <w:pBdr>
        <w:top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5">
    <w:name w:val="xl75"/>
    <w:basedOn w:val="Normal"/>
    <w:rsid w:val="00BA3F89"/>
    <w:pPr>
      <w:pBdr>
        <w:top w:val="single" w:sz="4" w:space="0" w:color="FFFFFF"/>
        <w:right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6">
    <w:name w:val="xl76"/>
    <w:basedOn w:val="Normal"/>
    <w:rsid w:val="00BA3F89"/>
    <w:pPr>
      <w:pBdr>
        <w:top w:val="single" w:sz="4" w:space="0" w:color="FFFFFF"/>
        <w:left w:val="single" w:sz="4" w:space="0" w:color="FFFFFF"/>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customStyle="1" w:styleId="xl77">
    <w:name w:val="xl77"/>
    <w:basedOn w:val="Normal"/>
    <w:rsid w:val="00BA3F89"/>
    <w:pPr>
      <w:pBdr>
        <w:top w:val="single" w:sz="4" w:space="0" w:color="FFFFFF"/>
        <w:bottom w:val="single" w:sz="4" w:space="0" w:color="FFFFFF"/>
      </w:pBdr>
      <w:shd w:val="clear" w:color="000000" w:fill="336699"/>
      <w:spacing w:before="100" w:beforeAutospacing="1" w:after="100" w:afterAutospacing="1" w:line="240" w:lineRule="auto"/>
      <w:jc w:val="center"/>
    </w:pPr>
    <w:rPr>
      <w:rFonts w:ascii="Times New Roman" w:hAnsi="Times New Roman"/>
      <w:b/>
      <w:bCs/>
      <w:color w:val="FFFFFF"/>
      <w:spacing w:val="0"/>
    </w:rPr>
  </w:style>
  <w:style w:type="paragraph" w:styleId="Revision">
    <w:name w:val="Revision"/>
    <w:hidden/>
    <w:uiPriority w:val="99"/>
    <w:semiHidden/>
    <w:rsid w:val="0091282C"/>
    <w:pPr>
      <w:spacing w:after="0" w:line="240" w:lineRule="auto"/>
    </w:pPr>
    <w:rPr>
      <w:rFonts w:ascii="Arial" w:eastAsia="Times New Roman" w:hAnsi="Arial" w:cs="Times New Roman"/>
      <w:spacing w:val="4"/>
      <w:sz w:val="24"/>
      <w:szCs w:val="24"/>
      <w:lang w:eastAsia="en-AU"/>
    </w:rPr>
  </w:style>
  <w:style w:type="character" w:customStyle="1" w:styleId="DefinitiontextChar">
    <w:name w:val="Definition 'text' Char"/>
    <w:link w:val="Definitiontext"/>
    <w:locked/>
    <w:rsid w:val="00740F7C"/>
    <w:rPr>
      <w:rFonts w:ascii="Calibri" w:hAnsi="Calibri"/>
    </w:rPr>
  </w:style>
  <w:style w:type="paragraph" w:customStyle="1" w:styleId="Definitiontext">
    <w:name w:val="Definition 'text'"/>
    <w:basedOn w:val="Normal"/>
    <w:link w:val="DefinitiontextChar"/>
    <w:qFormat/>
    <w:rsid w:val="00740F7C"/>
    <w:pPr>
      <w:spacing w:before="60" w:after="120" w:line="240" w:lineRule="auto"/>
    </w:pPr>
    <w:rPr>
      <w:rFonts w:ascii="Calibri" w:eastAsiaTheme="minorHAnsi" w:hAnsi="Calibri" w:cstheme="minorBidi"/>
      <w:spacing w:val="0"/>
      <w:sz w:val="22"/>
      <w:szCs w:val="22"/>
      <w:lang w:eastAsia="en-US"/>
    </w:rPr>
  </w:style>
  <w:style w:type="table" w:customStyle="1" w:styleId="DSSDatatablestyle1">
    <w:name w:val="DSS Data table style1"/>
    <w:basedOn w:val="TableNormal"/>
    <w:uiPriority w:val="99"/>
    <w:rsid w:val="00E52F9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09252">
      <w:bodyDiv w:val="1"/>
      <w:marLeft w:val="0"/>
      <w:marRight w:val="0"/>
      <w:marTop w:val="0"/>
      <w:marBottom w:val="0"/>
      <w:divBdr>
        <w:top w:val="none" w:sz="0" w:space="0" w:color="auto"/>
        <w:left w:val="none" w:sz="0" w:space="0" w:color="auto"/>
        <w:bottom w:val="none" w:sz="0" w:space="0" w:color="auto"/>
        <w:right w:val="none" w:sz="0" w:space="0" w:color="auto"/>
      </w:divBdr>
    </w:div>
    <w:div w:id="466778108">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76077643">
      <w:bodyDiv w:val="1"/>
      <w:marLeft w:val="0"/>
      <w:marRight w:val="0"/>
      <w:marTop w:val="0"/>
      <w:marBottom w:val="0"/>
      <w:divBdr>
        <w:top w:val="none" w:sz="0" w:space="0" w:color="auto"/>
        <w:left w:val="none" w:sz="0" w:space="0" w:color="auto"/>
        <w:bottom w:val="none" w:sz="0" w:space="0" w:color="auto"/>
        <w:right w:val="none" w:sz="0" w:space="0" w:color="auto"/>
      </w:divBdr>
    </w:div>
    <w:div w:id="734165577">
      <w:bodyDiv w:val="1"/>
      <w:marLeft w:val="0"/>
      <w:marRight w:val="0"/>
      <w:marTop w:val="0"/>
      <w:marBottom w:val="0"/>
      <w:divBdr>
        <w:top w:val="none" w:sz="0" w:space="0" w:color="auto"/>
        <w:left w:val="none" w:sz="0" w:space="0" w:color="auto"/>
        <w:bottom w:val="none" w:sz="0" w:space="0" w:color="auto"/>
        <w:right w:val="none" w:sz="0" w:space="0" w:color="auto"/>
      </w:divBdr>
    </w:div>
    <w:div w:id="1005085993">
      <w:bodyDiv w:val="1"/>
      <w:marLeft w:val="0"/>
      <w:marRight w:val="0"/>
      <w:marTop w:val="0"/>
      <w:marBottom w:val="0"/>
      <w:divBdr>
        <w:top w:val="none" w:sz="0" w:space="0" w:color="auto"/>
        <w:left w:val="none" w:sz="0" w:space="0" w:color="auto"/>
        <w:bottom w:val="none" w:sz="0" w:space="0" w:color="auto"/>
        <w:right w:val="none" w:sz="0" w:space="0" w:color="auto"/>
      </w:divBdr>
    </w:div>
    <w:div w:id="1058896008">
      <w:bodyDiv w:val="1"/>
      <w:marLeft w:val="0"/>
      <w:marRight w:val="0"/>
      <w:marTop w:val="0"/>
      <w:marBottom w:val="0"/>
      <w:divBdr>
        <w:top w:val="none" w:sz="0" w:space="0" w:color="auto"/>
        <w:left w:val="none" w:sz="0" w:space="0" w:color="auto"/>
        <w:bottom w:val="none" w:sz="0" w:space="0" w:color="auto"/>
        <w:right w:val="none" w:sz="0" w:space="0" w:color="auto"/>
      </w:divBdr>
    </w:div>
    <w:div w:id="1281306604">
      <w:bodyDiv w:val="1"/>
      <w:marLeft w:val="0"/>
      <w:marRight w:val="0"/>
      <w:marTop w:val="0"/>
      <w:marBottom w:val="0"/>
      <w:divBdr>
        <w:top w:val="none" w:sz="0" w:space="0" w:color="auto"/>
        <w:left w:val="none" w:sz="0" w:space="0" w:color="auto"/>
        <w:bottom w:val="none" w:sz="0" w:space="0" w:color="auto"/>
        <w:right w:val="none" w:sz="0" w:space="0" w:color="auto"/>
      </w:divBdr>
    </w:div>
    <w:div w:id="1366516262">
      <w:bodyDiv w:val="1"/>
      <w:marLeft w:val="0"/>
      <w:marRight w:val="0"/>
      <w:marTop w:val="0"/>
      <w:marBottom w:val="0"/>
      <w:divBdr>
        <w:top w:val="none" w:sz="0" w:space="0" w:color="auto"/>
        <w:left w:val="none" w:sz="0" w:space="0" w:color="auto"/>
        <w:bottom w:val="none" w:sz="0" w:space="0" w:color="auto"/>
        <w:right w:val="none" w:sz="0" w:space="0" w:color="auto"/>
      </w:divBdr>
    </w:div>
    <w:div w:id="1440645117">
      <w:bodyDiv w:val="1"/>
      <w:marLeft w:val="0"/>
      <w:marRight w:val="0"/>
      <w:marTop w:val="0"/>
      <w:marBottom w:val="0"/>
      <w:divBdr>
        <w:top w:val="none" w:sz="0" w:space="0" w:color="auto"/>
        <w:left w:val="none" w:sz="0" w:space="0" w:color="auto"/>
        <w:bottom w:val="none" w:sz="0" w:space="0" w:color="auto"/>
        <w:right w:val="none" w:sz="0" w:space="0" w:color="auto"/>
      </w:divBdr>
    </w:div>
    <w:div w:id="1516572603">
      <w:bodyDiv w:val="1"/>
      <w:marLeft w:val="0"/>
      <w:marRight w:val="0"/>
      <w:marTop w:val="0"/>
      <w:marBottom w:val="0"/>
      <w:divBdr>
        <w:top w:val="none" w:sz="0" w:space="0" w:color="auto"/>
        <w:left w:val="none" w:sz="0" w:space="0" w:color="auto"/>
        <w:bottom w:val="none" w:sz="0" w:space="0" w:color="auto"/>
        <w:right w:val="none" w:sz="0" w:space="0" w:color="auto"/>
      </w:divBdr>
    </w:div>
    <w:div w:id="1666132285">
      <w:bodyDiv w:val="1"/>
      <w:marLeft w:val="0"/>
      <w:marRight w:val="0"/>
      <w:marTop w:val="0"/>
      <w:marBottom w:val="0"/>
      <w:divBdr>
        <w:top w:val="none" w:sz="0" w:space="0" w:color="auto"/>
        <w:left w:val="none" w:sz="0" w:space="0" w:color="auto"/>
        <w:bottom w:val="none" w:sz="0" w:space="0" w:color="auto"/>
        <w:right w:val="none" w:sz="0" w:space="0" w:color="auto"/>
      </w:divBdr>
    </w:div>
    <w:div w:id="1704480050">
      <w:bodyDiv w:val="1"/>
      <w:marLeft w:val="0"/>
      <w:marRight w:val="0"/>
      <w:marTop w:val="0"/>
      <w:marBottom w:val="0"/>
      <w:divBdr>
        <w:top w:val="none" w:sz="0" w:space="0" w:color="auto"/>
        <w:left w:val="none" w:sz="0" w:space="0" w:color="auto"/>
        <w:bottom w:val="none" w:sz="0" w:space="0" w:color="auto"/>
        <w:right w:val="none" w:sz="0" w:space="0" w:color="auto"/>
      </w:divBdr>
    </w:div>
    <w:div w:id="196950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 TargetMode="External"/><Relationship Id="rId18" Type="http://schemas.openxmlformats.org/officeDocument/2006/relationships/footer" Target="footer4.xml"/><Relationship Id="rId26" Type="http://schemas.openxmlformats.org/officeDocument/2006/relationships/hyperlink" Target="https://www.dss.gov.au/about-the-department/freedom-of-information/operational-information/disability-employment-and-carers-group/disability-employment-services-deed" TargetMode="External"/><Relationship Id="rId39" Type="http://schemas.openxmlformats.org/officeDocument/2006/relationships/hyperlink" Target="http://dss.us8.list-manage.com/subscribe/post?u=5a834fc7e9ea18683d489f459&amp;amp;id=90d1879e12" TargetMode="External"/><Relationship Id="rId3" Type="http://schemas.openxmlformats.org/officeDocument/2006/relationships/styles" Target="styles.xml"/><Relationship Id="rId21" Type="http://schemas.openxmlformats.org/officeDocument/2006/relationships/hyperlink" Target="https://www.employment.gov.au/disability-employment-services-star-ratings" TargetMode="External"/><Relationship Id="rId34" Type="http://schemas.openxmlformats.org/officeDocument/2006/relationships/hyperlink" Target="https://www.asd.gov.au/infosec/irap/index.htm" TargetMode="External"/><Relationship Id="rId42" Type="http://schemas.openxmlformats.org/officeDocument/2006/relationships/image" Target="media/image5.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dss.gov.au/our-responsibilities/disability-and-carers/programmes-services/disability-employment-services" TargetMode="External"/><Relationship Id="rId33" Type="http://schemas.openxmlformats.org/officeDocument/2006/relationships/hyperlink" Target="http://guides.dss.gov.au/guide-social-security-law" TargetMode="External"/><Relationship Id="rId38" Type="http://schemas.openxmlformats.org/officeDocument/2006/relationships/hyperlink" Target="https://www.communitygrants.gov.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communitygrants.gov.au/" TargetMode="External"/><Relationship Id="rId29" Type="http://schemas.openxmlformats.org/officeDocument/2006/relationships/hyperlink" Target="http://lmip.gov.au/default.aspx?LMIP/Downloads/DisabilityEmploymentServicesData"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despurchasing@dss.gov.au" TargetMode="External"/><Relationship Id="rId32" Type="http://schemas.openxmlformats.org/officeDocument/2006/relationships/hyperlink" Target="https://www.employment.gov.au/disability-employment-services-star-ratings" TargetMode="External"/><Relationship Id="rId37" Type="http://schemas.openxmlformats.org/officeDocument/2006/relationships/hyperlink" Target="http://www.dss.gov.au/our-responsibilities/disability-and-carers/standards-and-quality-assurance/national-standards-for-disability-services" TargetMode="External"/><Relationship Id="rId40" Type="http://schemas.openxmlformats.org/officeDocument/2006/relationships/hyperlink" Target="https://engage.dss.gov.au/disability-employment-services-reform-2018-industry-information-paper/disability-employment-services-reform-2018-frequently-asked-questions/" TargetMode="External"/><Relationship Id="rId45"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s://www.itsanhonour.gov.au/coat-arms/index.cfm" TargetMode="External"/><Relationship Id="rId23" Type="http://schemas.openxmlformats.org/officeDocument/2006/relationships/hyperlink" Target="http://www.engage.dss.gov.au" TargetMode="External"/><Relationship Id="rId28" Type="http://schemas.openxmlformats.org/officeDocument/2006/relationships/hyperlink" Target="http://www.lmip.gov.au" TargetMode="External"/><Relationship Id="rId36" Type="http://schemas.openxmlformats.org/officeDocument/2006/relationships/hyperlink" Target="https://www.protectivesecurity.gov.au/Pages/default.aspx" TargetMode="External"/><Relationship Id="rId10" Type="http://schemas.openxmlformats.org/officeDocument/2006/relationships/header" Target="header1.xml"/><Relationship Id="rId19" Type="http://schemas.openxmlformats.org/officeDocument/2006/relationships/hyperlink" Target="https://www.dss.gov.au/our-responsibilities/disability-and-carers/standards-and-quality-assurance/national-standards-for-disability-services" TargetMode="External"/><Relationship Id="rId31" Type="http://schemas.openxmlformats.org/officeDocument/2006/relationships/hyperlink" Target="http://www.engage.dss.gov.au/disability-employment-services-reform/disability-employment-services-reform-discussion-paper/"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ommunications@dss.gov.au" TargetMode="External"/><Relationship Id="rId22" Type="http://schemas.openxmlformats.org/officeDocument/2006/relationships/hyperlink" Target="http://lmip.gov.au/" TargetMode="External"/><Relationship Id="rId27" Type="http://schemas.openxmlformats.org/officeDocument/2006/relationships/hyperlink" Target="https://www.dss.gov.au/our-responsibilities/disability-and-carers/program-services/employment-service-area-maps" TargetMode="External"/><Relationship Id="rId30" Type="http://schemas.openxmlformats.org/officeDocument/2006/relationships/hyperlink" Target="http://www.dss.gov.au/about-the-department/freedom-of-information/operational-information/disability-employment-and-carers-group" TargetMode="External"/><Relationship Id="rId35" Type="http://schemas.openxmlformats.org/officeDocument/2006/relationships/hyperlink" Target="https://www.asd.gov.au/infosec/ism/index.htm" TargetMode="External"/><Relationship Id="rId43" Type="http://schemas.openxmlformats.org/officeDocument/2006/relationships/package" Target="embeddings/Microsoft_Visio_Drawing1111111111111111111111111111111111.vsdx"/></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Long%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582C-AB1C-4ED6-AA75-BCBAFF62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Long Report Template Blue</Template>
  <TotalTime>1</TotalTime>
  <Pages>48</Pages>
  <Words>16011</Words>
  <Characters>80057</Characters>
  <Application>Microsoft Office Word</Application>
  <DocSecurity>0</DocSecurity>
  <Lines>4709</Lines>
  <Paragraphs>4366</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91702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BLACK, Louise</dc:creator>
  <cp:lastModifiedBy>PENNOCK, Lisa</cp:lastModifiedBy>
  <cp:revision>3</cp:revision>
  <cp:lastPrinted>2017-08-01T05:15:00Z</cp:lastPrinted>
  <dcterms:created xsi:type="dcterms:W3CDTF">2017-08-01T05:14:00Z</dcterms:created>
  <dcterms:modified xsi:type="dcterms:W3CDTF">2017-08-01T05:15:00Z</dcterms:modified>
</cp:coreProperties>
</file>