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73" w:rsidRPr="00173FA3" w:rsidRDefault="00A6587B" w:rsidP="00C836BC">
      <w:pPr>
        <w:pStyle w:val="Title"/>
        <w:spacing w:before="3000"/>
        <w:rPr>
          <w:color w:val="AD8800" w:themeColor="accent3" w:themeShade="BF"/>
        </w:rPr>
      </w:pPr>
      <w:r w:rsidRPr="00A6587B">
        <w:rPr>
          <w:color w:val="auto"/>
        </w:rPr>
        <w:t>Disability Employment Services Program</w:t>
      </w:r>
    </w:p>
    <w:p w:rsidR="00794773" w:rsidRPr="00B2391C" w:rsidRDefault="00B2391C" w:rsidP="00C836BC">
      <w:pPr>
        <w:pStyle w:val="Title"/>
        <w:rPr>
          <w:color w:val="auto"/>
        </w:rPr>
      </w:pPr>
      <w:r w:rsidRPr="00B2391C">
        <w:rPr>
          <w:color w:val="auto"/>
        </w:rPr>
        <w:t>National Panel of Assessors</w:t>
      </w:r>
    </w:p>
    <w:p w:rsidR="00794773" w:rsidRPr="00C836BC" w:rsidRDefault="00794773" w:rsidP="00C836BC">
      <w:pPr>
        <w:pStyle w:val="Title"/>
      </w:pPr>
      <w:r w:rsidRPr="00C836BC">
        <w:t>Guidelines</w:t>
      </w:r>
      <w:r w:rsidR="00CC6861">
        <w:t xml:space="preserve"> </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ening details for the Grant Opportunity"/>
        <w:tblDescription w:val="Opening details for the National Panel of Assessors Grant Opportunity Guidelines"/>
      </w:tblPr>
      <w:tblGrid>
        <w:gridCol w:w="2977"/>
        <w:gridCol w:w="6404"/>
      </w:tblGrid>
      <w:tr w:rsidR="00794773" w:rsidRPr="007040EB" w:rsidTr="00A32064">
        <w:trPr>
          <w:tblHeader/>
        </w:trPr>
        <w:tc>
          <w:tcPr>
            <w:tcW w:w="2977" w:type="dxa"/>
          </w:tcPr>
          <w:p w:rsidR="00794773" w:rsidRPr="007040EB" w:rsidRDefault="00794773" w:rsidP="00694DF9">
            <w:pPr>
              <w:spacing w:line="240" w:lineRule="auto"/>
              <w:jc w:val="both"/>
            </w:pPr>
            <w:r w:rsidRPr="007040EB">
              <w:t>Opening date</w:t>
            </w:r>
            <w:r>
              <w:t>:</w:t>
            </w:r>
          </w:p>
        </w:tc>
        <w:tc>
          <w:tcPr>
            <w:tcW w:w="6404" w:type="dxa"/>
            <w:shd w:val="clear" w:color="auto" w:fill="auto"/>
          </w:tcPr>
          <w:p w:rsidR="00794773" w:rsidRPr="00B2391C" w:rsidRDefault="00B2391C" w:rsidP="002C7BB1">
            <w:pPr>
              <w:pStyle w:val="inputcomment"/>
              <w:rPr>
                <w:b w:val="0"/>
              </w:rPr>
            </w:pPr>
            <w:r w:rsidRPr="006C76D8">
              <w:rPr>
                <w:b w:val="0"/>
                <w:color w:val="auto"/>
              </w:rPr>
              <w:t>11</w:t>
            </w:r>
            <w:r w:rsidRPr="00B2391C">
              <w:rPr>
                <w:b w:val="0"/>
                <w:color w:val="auto"/>
              </w:rPr>
              <w:t xml:space="preserve"> September 2017</w:t>
            </w:r>
          </w:p>
        </w:tc>
      </w:tr>
      <w:tr w:rsidR="00794773" w:rsidRPr="007040EB" w:rsidTr="002C7BB1">
        <w:tc>
          <w:tcPr>
            <w:tcW w:w="2977" w:type="dxa"/>
          </w:tcPr>
          <w:p w:rsidR="00794773" w:rsidRPr="007040EB" w:rsidRDefault="00794773" w:rsidP="00694DF9">
            <w:pPr>
              <w:spacing w:line="240" w:lineRule="auto"/>
              <w:jc w:val="both"/>
            </w:pPr>
            <w:r w:rsidRPr="007040EB">
              <w:t>Closing date and time</w:t>
            </w:r>
            <w:r>
              <w:t>:</w:t>
            </w:r>
          </w:p>
        </w:tc>
        <w:tc>
          <w:tcPr>
            <w:tcW w:w="6404" w:type="dxa"/>
            <w:shd w:val="clear" w:color="auto" w:fill="auto"/>
          </w:tcPr>
          <w:p w:rsidR="00794773" w:rsidRPr="00B2391C" w:rsidRDefault="00B2391C" w:rsidP="006C76D8">
            <w:pPr>
              <w:pStyle w:val="inputcomment"/>
              <w:rPr>
                <w:b w:val="0"/>
              </w:rPr>
            </w:pPr>
            <w:r w:rsidRPr="00B2391C">
              <w:rPr>
                <w:b w:val="0"/>
                <w:color w:val="auto"/>
              </w:rPr>
              <w:t>2:00pm AEDT on 24 October 2017</w:t>
            </w:r>
          </w:p>
        </w:tc>
      </w:tr>
      <w:tr w:rsidR="00794773" w:rsidRPr="007040EB" w:rsidTr="002C7BB1">
        <w:tc>
          <w:tcPr>
            <w:tcW w:w="2977" w:type="dxa"/>
          </w:tcPr>
          <w:p w:rsidR="00794773" w:rsidRPr="007040EB" w:rsidRDefault="00794773" w:rsidP="00694DF9">
            <w:pPr>
              <w:spacing w:line="240" w:lineRule="auto"/>
            </w:pPr>
            <w:r w:rsidRPr="007040EB">
              <w:t>Commonwealth policy entity</w:t>
            </w:r>
            <w:r>
              <w:t>:</w:t>
            </w:r>
          </w:p>
        </w:tc>
        <w:tc>
          <w:tcPr>
            <w:tcW w:w="6404" w:type="dxa"/>
            <w:shd w:val="clear" w:color="auto" w:fill="auto"/>
          </w:tcPr>
          <w:p w:rsidR="00794773" w:rsidRPr="00B2391C" w:rsidRDefault="00B2391C" w:rsidP="00694DF9">
            <w:pPr>
              <w:spacing w:line="240" w:lineRule="auto"/>
            </w:pPr>
            <w:r>
              <w:t>Department of Social Services</w:t>
            </w:r>
          </w:p>
        </w:tc>
      </w:tr>
      <w:tr w:rsidR="00794773" w:rsidRPr="007040EB" w:rsidTr="002C7BB1">
        <w:tc>
          <w:tcPr>
            <w:tcW w:w="2977" w:type="dxa"/>
          </w:tcPr>
          <w:p w:rsidR="00794773" w:rsidRPr="007040EB" w:rsidRDefault="00794773" w:rsidP="00694DF9">
            <w:pPr>
              <w:spacing w:line="240" w:lineRule="auto"/>
              <w:jc w:val="both"/>
            </w:pPr>
            <w:r w:rsidRPr="007040EB">
              <w:t>Co-Sponsoring Entities</w:t>
            </w:r>
          </w:p>
        </w:tc>
        <w:tc>
          <w:tcPr>
            <w:tcW w:w="6404" w:type="dxa"/>
            <w:shd w:val="clear" w:color="auto" w:fill="auto"/>
          </w:tcPr>
          <w:p w:rsidR="00794773" w:rsidRPr="00F96916" w:rsidRDefault="00F96916" w:rsidP="00A97C9C">
            <w:pPr>
              <w:spacing w:line="240" w:lineRule="auto"/>
            </w:pPr>
            <w:r>
              <w:t>N/A</w:t>
            </w:r>
          </w:p>
        </w:tc>
      </w:tr>
      <w:tr w:rsidR="00794773" w:rsidRPr="007040EB" w:rsidTr="002C7BB1">
        <w:tc>
          <w:tcPr>
            <w:tcW w:w="2977" w:type="dxa"/>
          </w:tcPr>
          <w:p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rsidR="00793C44" w:rsidRDefault="00077A33" w:rsidP="00F96916">
            <w:pPr>
              <w:spacing w:line="240" w:lineRule="auto"/>
            </w:pPr>
            <w:r w:rsidRPr="002C7BB1">
              <w:t xml:space="preserve">If you have any questions, please contact </w:t>
            </w:r>
            <w:r w:rsidRPr="00F96916">
              <w:t>Community Grants Hub</w:t>
            </w:r>
            <w:r>
              <w:t xml:space="preserve">, </w:t>
            </w:r>
            <w:proofErr w:type="spellStart"/>
            <w:r>
              <w:t>ph</w:t>
            </w:r>
            <w:proofErr w:type="spellEnd"/>
            <w:r>
              <w:t xml:space="preserve">: 1800 020 283 or email: </w:t>
            </w:r>
            <w:hyperlink r:id="rId9" w:history="1">
              <w:r w:rsidRPr="00A71265">
                <w:rPr>
                  <w:rStyle w:val="Hyperlink"/>
                  <w:rFonts w:cstheme="minorBidi"/>
                </w:rPr>
                <w:t>support@communitygrants.gov.au</w:t>
              </w:r>
            </w:hyperlink>
          </w:p>
          <w:p w:rsidR="00794773" w:rsidRPr="002C7BB1" w:rsidRDefault="00794773" w:rsidP="006C76D8">
            <w:pPr>
              <w:spacing w:line="240" w:lineRule="auto"/>
            </w:pPr>
            <w:r w:rsidRPr="00F96916">
              <w:br/>
            </w:r>
            <w:r w:rsidRPr="002C7BB1">
              <w:t>Questions should be sent no later than</w:t>
            </w:r>
            <w:r w:rsidRPr="00276BAF">
              <w:t xml:space="preserve"> </w:t>
            </w:r>
            <w:r w:rsidR="00522D45">
              <w:t>17</w:t>
            </w:r>
            <w:r w:rsidR="00522D45" w:rsidRPr="00276BAF">
              <w:t xml:space="preserve"> </w:t>
            </w:r>
            <w:r w:rsidR="00276BAF" w:rsidRPr="00276BAF">
              <w:t>October 2017</w:t>
            </w:r>
          </w:p>
        </w:tc>
      </w:tr>
      <w:tr w:rsidR="00794773" w:rsidRPr="007040EB" w:rsidTr="002C7BB1">
        <w:tc>
          <w:tcPr>
            <w:tcW w:w="2977" w:type="dxa"/>
          </w:tcPr>
          <w:p w:rsidR="00794773" w:rsidRPr="007040EB" w:rsidRDefault="00794773" w:rsidP="00694DF9">
            <w:pPr>
              <w:spacing w:line="240" w:lineRule="auto"/>
              <w:jc w:val="both"/>
            </w:pPr>
            <w:r w:rsidRPr="007040EB">
              <w:t>Date guidelines released</w:t>
            </w:r>
            <w:r>
              <w:t>:</w:t>
            </w:r>
          </w:p>
        </w:tc>
        <w:tc>
          <w:tcPr>
            <w:tcW w:w="6404" w:type="dxa"/>
            <w:shd w:val="clear" w:color="auto" w:fill="auto"/>
          </w:tcPr>
          <w:p w:rsidR="00794773" w:rsidRPr="000C1239" w:rsidRDefault="000C1239" w:rsidP="00694DF9">
            <w:pPr>
              <w:spacing w:line="240" w:lineRule="auto"/>
            </w:pPr>
            <w:r w:rsidRPr="000C1239">
              <w:t>11 September 2017</w:t>
            </w:r>
          </w:p>
        </w:tc>
      </w:tr>
      <w:tr w:rsidR="00794773" w:rsidTr="002C7BB1">
        <w:tc>
          <w:tcPr>
            <w:tcW w:w="2977" w:type="dxa"/>
          </w:tcPr>
          <w:p w:rsidR="00794773" w:rsidRPr="007040EB" w:rsidRDefault="00794773" w:rsidP="00694DF9">
            <w:pPr>
              <w:spacing w:line="240" w:lineRule="auto"/>
              <w:jc w:val="both"/>
            </w:pPr>
            <w:r w:rsidRPr="007040EB">
              <w:t>Type of grant opportunity</w:t>
            </w:r>
            <w:r>
              <w:t>:</w:t>
            </w:r>
          </w:p>
        </w:tc>
        <w:tc>
          <w:tcPr>
            <w:tcW w:w="6404" w:type="dxa"/>
            <w:shd w:val="clear" w:color="auto" w:fill="auto"/>
          </w:tcPr>
          <w:p w:rsidR="00794773" w:rsidRPr="00276BAF" w:rsidRDefault="00794773" w:rsidP="00276BAF">
            <w:pPr>
              <w:spacing w:line="240" w:lineRule="auto"/>
            </w:pPr>
            <w:r w:rsidRPr="00276BAF">
              <w:t>Open non-competitive</w:t>
            </w:r>
          </w:p>
        </w:tc>
      </w:tr>
    </w:tbl>
    <w:p w:rsidR="003142DD" w:rsidRDefault="003142DD" w:rsidP="005E0682">
      <w:r>
        <w:br w:type="page"/>
      </w:r>
    </w:p>
    <w:p w:rsidR="0020122A" w:rsidRDefault="0020122A" w:rsidP="0020122A">
      <w:pPr>
        <w:pStyle w:val="TOCHeading"/>
      </w:pPr>
      <w:r>
        <w:lastRenderedPageBreak/>
        <w:t>Contents</w:t>
      </w:r>
    </w:p>
    <w:p w:rsidR="000C1239"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2882528" w:history="1">
        <w:r w:rsidR="000C1239" w:rsidRPr="00390AB4">
          <w:rPr>
            <w:rStyle w:val="Hyperlink"/>
            <w:noProof/>
          </w:rPr>
          <w:t>1.</w:t>
        </w:r>
        <w:r w:rsidR="000C1239">
          <w:rPr>
            <w:rFonts w:eastAsiaTheme="minorEastAsia"/>
            <w:b w:val="0"/>
            <w:noProof/>
            <w:sz w:val="22"/>
            <w:lang w:eastAsia="en-AU"/>
          </w:rPr>
          <w:tab/>
        </w:r>
        <w:r w:rsidR="000C1239" w:rsidRPr="00390AB4">
          <w:rPr>
            <w:rStyle w:val="Hyperlink"/>
            <w:noProof/>
          </w:rPr>
          <w:t>Disability Employment Services: National Panel of Assessors Grant Opportunity Processes</w:t>
        </w:r>
        <w:r w:rsidR="000C1239">
          <w:rPr>
            <w:noProof/>
            <w:webHidden/>
          </w:rPr>
          <w:tab/>
        </w:r>
        <w:r w:rsidR="000C1239">
          <w:rPr>
            <w:noProof/>
            <w:webHidden/>
          </w:rPr>
          <w:fldChar w:fldCharType="begin"/>
        </w:r>
        <w:r w:rsidR="000C1239">
          <w:rPr>
            <w:noProof/>
            <w:webHidden/>
          </w:rPr>
          <w:instrText xml:space="preserve"> PAGEREF _Toc492882528 \h </w:instrText>
        </w:r>
        <w:r w:rsidR="000C1239">
          <w:rPr>
            <w:noProof/>
            <w:webHidden/>
          </w:rPr>
        </w:r>
        <w:r w:rsidR="000C1239">
          <w:rPr>
            <w:noProof/>
            <w:webHidden/>
          </w:rPr>
          <w:fldChar w:fldCharType="separate"/>
        </w:r>
        <w:r w:rsidR="00406939">
          <w:rPr>
            <w:noProof/>
            <w:webHidden/>
          </w:rPr>
          <w:t>4</w:t>
        </w:r>
        <w:r w:rsidR="000C1239">
          <w:rPr>
            <w:noProof/>
            <w:webHidden/>
          </w:rPr>
          <w:fldChar w:fldCharType="end"/>
        </w:r>
      </w:hyperlink>
    </w:p>
    <w:p w:rsidR="000C1239" w:rsidRDefault="002E090C">
      <w:pPr>
        <w:pStyle w:val="TOC2"/>
        <w:rPr>
          <w:rFonts w:eastAsiaTheme="minorEastAsia"/>
          <w:noProof/>
          <w:lang w:eastAsia="en-AU"/>
        </w:rPr>
      </w:pPr>
      <w:hyperlink w:anchor="_Toc492882529" w:history="1">
        <w:r w:rsidR="000C1239" w:rsidRPr="00390AB4">
          <w:rPr>
            <w:rStyle w:val="Hyperlink"/>
            <w:noProof/>
          </w:rPr>
          <w:t>1.1</w:t>
        </w:r>
        <w:r w:rsidR="000C1239">
          <w:rPr>
            <w:rFonts w:eastAsiaTheme="minorEastAsia"/>
            <w:noProof/>
            <w:lang w:eastAsia="en-AU"/>
          </w:rPr>
          <w:tab/>
        </w:r>
        <w:r w:rsidR="000C1239" w:rsidRPr="00390AB4">
          <w:rPr>
            <w:rStyle w:val="Hyperlink"/>
            <w:noProof/>
          </w:rPr>
          <w:t>Role of the Community Grants Hub</w:t>
        </w:r>
        <w:r w:rsidR="000C1239">
          <w:rPr>
            <w:noProof/>
            <w:webHidden/>
          </w:rPr>
          <w:tab/>
        </w:r>
        <w:r w:rsidR="000C1239">
          <w:rPr>
            <w:noProof/>
            <w:webHidden/>
          </w:rPr>
          <w:fldChar w:fldCharType="begin"/>
        </w:r>
        <w:r w:rsidR="000C1239">
          <w:rPr>
            <w:noProof/>
            <w:webHidden/>
          </w:rPr>
          <w:instrText xml:space="preserve"> PAGEREF _Toc492882529 \h </w:instrText>
        </w:r>
        <w:r w:rsidR="000C1239">
          <w:rPr>
            <w:noProof/>
            <w:webHidden/>
          </w:rPr>
        </w:r>
        <w:r w:rsidR="000C1239">
          <w:rPr>
            <w:noProof/>
            <w:webHidden/>
          </w:rPr>
          <w:fldChar w:fldCharType="separate"/>
        </w:r>
        <w:r w:rsidR="00406939">
          <w:rPr>
            <w:noProof/>
            <w:webHidden/>
          </w:rPr>
          <w:t>5</w:t>
        </w:r>
        <w:r w:rsidR="000C1239">
          <w:rPr>
            <w:noProof/>
            <w:webHidden/>
          </w:rPr>
          <w:fldChar w:fldCharType="end"/>
        </w:r>
      </w:hyperlink>
    </w:p>
    <w:p w:rsidR="000C1239" w:rsidRDefault="002E090C">
      <w:pPr>
        <w:pStyle w:val="TOC2"/>
        <w:rPr>
          <w:rFonts w:eastAsiaTheme="minorEastAsia"/>
          <w:noProof/>
          <w:lang w:eastAsia="en-AU"/>
        </w:rPr>
      </w:pPr>
      <w:hyperlink w:anchor="_Toc492882530" w:history="1">
        <w:r w:rsidR="000C1239" w:rsidRPr="00390AB4">
          <w:rPr>
            <w:rStyle w:val="Hyperlink"/>
            <w:noProof/>
          </w:rPr>
          <w:t>1.2</w:t>
        </w:r>
        <w:r w:rsidR="000C1239">
          <w:rPr>
            <w:rFonts w:eastAsiaTheme="minorEastAsia"/>
            <w:noProof/>
            <w:lang w:eastAsia="en-AU"/>
          </w:rPr>
          <w:tab/>
        </w:r>
        <w:r w:rsidR="000C1239" w:rsidRPr="00390AB4">
          <w:rPr>
            <w:rStyle w:val="Hyperlink"/>
            <w:noProof/>
          </w:rPr>
          <w:t>About the grant program</w:t>
        </w:r>
        <w:r w:rsidR="000C1239">
          <w:rPr>
            <w:noProof/>
            <w:webHidden/>
          </w:rPr>
          <w:tab/>
        </w:r>
        <w:r w:rsidR="000C1239">
          <w:rPr>
            <w:noProof/>
            <w:webHidden/>
          </w:rPr>
          <w:fldChar w:fldCharType="begin"/>
        </w:r>
        <w:r w:rsidR="000C1239">
          <w:rPr>
            <w:noProof/>
            <w:webHidden/>
          </w:rPr>
          <w:instrText xml:space="preserve"> PAGEREF _Toc492882530 \h </w:instrText>
        </w:r>
        <w:r w:rsidR="000C1239">
          <w:rPr>
            <w:noProof/>
            <w:webHidden/>
          </w:rPr>
        </w:r>
        <w:r w:rsidR="000C1239">
          <w:rPr>
            <w:noProof/>
            <w:webHidden/>
          </w:rPr>
          <w:fldChar w:fldCharType="separate"/>
        </w:r>
        <w:r w:rsidR="00406939">
          <w:rPr>
            <w:noProof/>
            <w:webHidden/>
          </w:rPr>
          <w:t>5</w:t>
        </w:r>
        <w:r w:rsidR="000C1239">
          <w:rPr>
            <w:noProof/>
            <w:webHidden/>
          </w:rPr>
          <w:fldChar w:fldCharType="end"/>
        </w:r>
      </w:hyperlink>
    </w:p>
    <w:p w:rsidR="000C1239" w:rsidRDefault="002E090C">
      <w:pPr>
        <w:pStyle w:val="TOC2"/>
        <w:rPr>
          <w:rFonts w:eastAsiaTheme="minorEastAsia"/>
          <w:noProof/>
          <w:lang w:eastAsia="en-AU"/>
        </w:rPr>
      </w:pPr>
      <w:hyperlink w:anchor="_Toc492882531" w:history="1">
        <w:r w:rsidR="000C1239" w:rsidRPr="00390AB4">
          <w:rPr>
            <w:rStyle w:val="Hyperlink"/>
            <w:noProof/>
          </w:rPr>
          <w:t>1.3</w:t>
        </w:r>
        <w:r w:rsidR="000C1239">
          <w:rPr>
            <w:rFonts w:eastAsiaTheme="minorEastAsia"/>
            <w:noProof/>
            <w:lang w:eastAsia="en-AU"/>
          </w:rPr>
          <w:tab/>
        </w:r>
        <w:r w:rsidR="000C1239" w:rsidRPr="00390AB4">
          <w:rPr>
            <w:rStyle w:val="Hyperlink"/>
            <w:noProof/>
          </w:rPr>
          <w:t>About the Grant Opportunity</w:t>
        </w:r>
        <w:r w:rsidR="000C1239">
          <w:rPr>
            <w:noProof/>
            <w:webHidden/>
          </w:rPr>
          <w:tab/>
        </w:r>
        <w:r w:rsidR="000C1239">
          <w:rPr>
            <w:noProof/>
            <w:webHidden/>
          </w:rPr>
          <w:fldChar w:fldCharType="begin"/>
        </w:r>
        <w:r w:rsidR="000C1239">
          <w:rPr>
            <w:noProof/>
            <w:webHidden/>
          </w:rPr>
          <w:instrText xml:space="preserve"> PAGEREF _Toc492882531 \h </w:instrText>
        </w:r>
        <w:r w:rsidR="000C1239">
          <w:rPr>
            <w:noProof/>
            <w:webHidden/>
          </w:rPr>
        </w:r>
        <w:r w:rsidR="000C1239">
          <w:rPr>
            <w:noProof/>
            <w:webHidden/>
          </w:rPr>
          <w:fldChar w:fldCharType="separate"/>
        </w:r>
        <w:r w:rsidR="00406939">
          <w:rPr>
            <w:noProof/>
            <w:webHidden/>
          </w:rPr>
          <w:t>6</w:t>
        </w:r>
        <w:r w:rsidR="000C1239">
          <w:rPr>
            <w:noProof/>
            <w:webHidden/>
          </w:rPr>
          <w:fldChar w:fldCharType="end"/>
        </w:r>
      </w:hyperlink>
    </w:p>
    <w:p w:rsidR="000C1239" w:rsidRDefault="002E090C">
      <w:pPr>
        <w:pStyle w:val="TOC2"/>
        <w:rPr>
          <w:rFonts w:eastAsiaTheme="minorEastAsia"/>
          <w:noProof/>
          <w:lang w:eastAsia="en-AU"/>
        </w:rPr>
      </w:pPr>
      <w:hyperlink w:anchor="_Toc492882532" w:history="1">
        <w:r w:rsidR="000C1239" w:rsidRPr="00390AB4">
          <w:rPr>
            <w:rStyle w:val="Hyperlink"/>
            <w:noProof/>
          </w:rPr>
          <w:t>1.4</w:t>
        </w:r>
        <w:r w:rsidR="000C1239">
          <w:rPr>
            <w:rFonts w:eastAsiaTheme="minorEastAsia"/>
            <w:noProof/>
            <w:lang w:eastAsia="en-AU"/>
          </w:rPr>
          <w:tab/>
        </w:r>
        <w:r w:rsidR="000C1239" w:rsidRPr="00390AB4">
          <w:rPr>
            <w:rStyle w:val="Hyperlink"/>
            <w:noProof/>
          </w:rPr>
          <w:t>National Panel of Assessors</w:t>
        </w:r>
        <w:r w:rsidR="000C1239">
          <w:rPr>
            <w:noProof/>
            <w:webHidden/>
          </w:rPr>
          <w:tab/>
        </w:r>
        <w:r w:rsidR="000C1239">
          <w:rPr>
            <w:noProof/>
            <w:webHidden/>
          </w:rPr>
          <w:fldChar w:fldCharType="begin"/>
        </w:r>
        <w:r w:rsidR="000C1239">
          <w:rPr>
            <w:noProof/>
            <w:webHidden/>
          </w:rPr>
          <w:instrText xml:space="preserve"> PAGEREF _Toc492882532 \h </w:instrText>
        </w:r>
        <w:r w:rsidR="000C1239">
          <w:rPr>
            <w:noProof/>
            <w:webHidden/>
          </w:rPr>
        </w:r>
        <w:r w:rsidR="000C1239">
          <w:rPr>
            <w:noProof/>
            <w:webHidden/>
          </w:rPr>
          <w:fldChar w:fldCharType="separate"/>
        </w:r>
        <w:r w:rsidR="00406939">
          <w:rPr>
            <w:noProof/>
            <w:webHidden/>
          </w:rPr>
          <w:t>6</w:t>
        </w:r>
        <w:r w:rsidR="000C1239">
          <w:rPr>
            <w:noProof/>
            <w:webHidden/>
          </w:rPr>
          <w:fldChar w:fldCharType="end"/>
        </w:r>
      </w:hyperlink>
    </w:p>
    <w:p w:rsidR="000C1239" w:rsidRDefault="002E090C">
      <w:pPr>
        <w:pStyle w:val="TOC2"/>
        <w:rPr>
          <w:rFonts w:eastAsiaTheme="minorEastAsia"/>
          <w:noProof/>
          <w:lang w:eastAsia="en-AU"/>
        </w:rPr>
      </w:pPr>
      <w:hyperlink w:anchor="_Toc492882533" w:history="1">
        <w:r w:rsidR="000C1239" w:rsidRPr="00390AB4">
          <w:rPr>
            <w:rStyle w:val="Hyperlink"/>
            <w:rFonts w:ascii="Arial" w:hAnsi="Arial" w:cs="Arial"/>
            <w:noProof/>
          </w:rPr>
          <w:t>1.5</w:t>
        </w:r>
        <w:r w:rsidR="000C1239">
          <w:rPr>
            <w:rFonts w:eastAsiaTheme="minorEastAsia"/>
            <w:noProof/>
            <w:lang w:eastAsia="en-AU"/>
          </w:rPr>
          <w:tab/>
        </w:r>
        <w:r w:rsidR="000C1239" w:rsidRPr="00390AB4">
          <w:rPr>
            <w:rStyle w:val="Hyperlink"/>
            <w:rFonts w:ascii="Arial" w:hAnsi="Arial" w:cs="Arial"/>
            <w:noProof/>
          </w:rPr>
          <w:t>Allocation of Assessment Services</w:t>
        </w:r>
        <w:r w:rsidR="000C1239">
          <w:rPr>
            <w:noProof/>
            <w:webHidden/>
          </w:rPr>
          <w:tab/>
        </w:r>
        <w:r w:rsidR="000C1239">
          <w:rPr>
            <w:noProof/>
            <w:webHidden/>
          </w:rPr>
          <w:fldChar w:fldCharType="begin"/>
        </w:r>
        <w:r w:rsidR="000C1239">
          <w:rPr>
            <w:noProof/>
            <w:webHidden/>
          </w:rPr>
          <w:instrText xml:space="preserve"> PAGEREF _Toc492882533 \h </w:instrText>
        </w:r>
        <w:r w:rsidR="000C1239">
          <w:rPr>
            <w:noProof/>
            <w:webHidden/>
          </w:rPr>
        </w:r>
        <w:r w:rsidR="000C1239">
          <w:rPr>
            <w:noProof/>
            <w:webHidden/>
          </w:rPr>
          <w:fldChar w:fldCharType="separate"/>
        </w:r>
        <w:r w:rsidR="00406939">
          <w:rPr>
            <w:noProof/>
            <w:webHidden/>
          </w:rPr>
          <w:t>8</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34" w:history="1">
        <w:r w:rsidR="000C1239" w:rsidRPr="00390AB4">
          <w:rPr>
            <w:rStyle w:val="Hyperlink"/>
            <w:noProof/>
          </w:rPr>
          <w:t>2.</w:t>
        </w:r>
        <w:r w:rsidR="000C1239">
          <w:rPr>
            <w:rFonts w:eastAsiaTheme="minorEastAsia"/>
            <w:b w:val="0"/>
            <w:noProof/>
            <w:sz w:val="22"/>
            <w:lang w:eastAsia="en-AU"/>
          </w:rPr>
          <w:tab/>
        </w:r>
        <w:r w:rsidR="000C1239" w:rsidRPr="00390AB4">
          <w:rPr>
            <w:rStyle w:val="Hyperlink"/>
            <w:noProof/>
          </w:rPr>
          <w:t>Grant amount</w:t>
        </w:r>
        <w:r w:rsidR="000C1239">
          <w:rPr>
            <w:noProof/>
            <w:webHidden/>
          </w:rPr>
          <w:tab/>
        </w:r>
        <w:r w:rsidR="000C1239">
          <w:rPr>
            <w:noProof/>
            <w:webHidden/>
          </w:rPr>
          <w:fldChar w:fldCharType="begin"/>
        </w:r>
        <w:r w:rsidR="000C1239">
          <w:rPr>
            <w:noProof/>
            <w:webHidden/>
          </w:rPr>
          <w:instrText xml:space="preserve"> PAGEREF _Toc492882534 \h </w:instrText>
        </w:r>
        <w:r w:rsidR="000C1239">
          <w:rPr>
            <w:noProof/>
            <w:webHidden/>
          </w:rPr>
        </w:r>
        <w:r w:rsidR="000C1239">
          <w:rPr>
            <w:noProof/>
            <w:webHidden/>
          </w:rPr>
          <w:fldChar w:fldCharType="separate"/>
        </w:r>
        <w:r w:rsidR="00406939">
          <w:rPr>
            <w:noProof/>
            <w:webHidden/>
          </w:rPr>
          <w:t>8</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35" w:history="1">
        <w:r w:rsidR="000C1239" w:rsidRPr="00390AB4">
          <w:rPr>
            <w:rStyle w:val="Hyperlink"/>
            <w:noProof/>
          </w:rPr>
          <w:t>3.</w:t>
        </w:r>
        <w:r w:rsidR="000C1239">
          <w:rPr>
            <w:rFonts w:eastAsiaTheme="minorEastAsia"/>
            <w:b w:val="0"/>
            <w:noProof/>
            <w:sz w:val="22"/>
            <w:lang w:eastAsia="en-AU"/>
          </w:rPr>
          <w:tab/>
        </w:r>
        <w:r w:rsidR="000C1239" w:rsidRPr="00390AB4">
          <w:rPr>
            <w:rStyle w:val="Hyperlink"/>
            <w:noProof/>
          </w:rPr>
          <w:t>Grant eligibility criteria</w:t>
        </w:r>
        <w:r w:rsidR="000C1239">
          <w:rPr>
            <w:noProof/>
            <w:webHidden/>
          </w:rPr>
          <w:tab/>
        </w:r>
        <w:r w:rsidR="000C1239">
          <w:rPr>
            <w:noProof/>
            <w:webHidden/>
          </w:rPr>
          <w:fldChar w:fldCharType="begin"/>
        </w:r>
        <w:r w:rsidR="000C1239">
          <w:rPr>
            <w:noProof/>
            <w:webHidden/>
          </w:rPr>
          <w:instrText xml:space="preserve"> PAGEREF _Toc492882535 \h </w:instrText>
        </w:r>
        <w:r w:rsidR="000C1239">
          <w:rPr>
            <w:noProof/>
            <w:webHidden/>
          </w:rPr>
        </w:r>
        <w:r w:rsidR="000C1239">
          <w:rPr>
            <w:noProof/>
            <w:webHidden/>
          </w:rPr>
          <w:fldChar w:fldCharType="separate"/>
        </w:r>
        <w:r w:rsidR="00406939">
          <w:rPr>
            <w:noProof/>
            <w:webHidden/>
          </w:rPr>
          <w:t>11</w:t>
        </w:r>
        <w:r w:rsidR="000C1239">
          <w:rPr>
            <w:noProof/>
            <w:webHidden/>
          </w:rPr>
          <w:fldChar w:fldCharType="end"/>
        </w:r>
      </w:hyperlink>
    </w:p>
    <w:p w:rsidR="000C1239" w:rsidRDefault="002E090C">
      <w:pPr>
        <w:pStyle w:val="TOC2"/>
        <w:rPr>
          <w:rFonts w:eastAsiaTheme="minorEastAsia"/>
          <w:noProof/>
          <w:lang w:eastAsia="en-AU"/>
        </w:rPr>
      </w:pPr>
      <w:hyperlink w:anchor="_Toc492882536" w:history="1">
        <w:r w:rsidR="000C1239" w:rsidRPr="00390AB4">
          <w:rPr>
            <w:rStyle w:val="Hyperlink"/>
            <w:noProof/>
          </w:rPr>
          <w:t>3.1</w:t>
        </w:r>
        <w:r w:rsidR="000C1239">
          <w:rPr>
            <w:rFonts w:eastAsiaTheme="minorEastAsia"/>
            <w:noProof/>
            <w:lang w:eastAsia="en-AU"/>
          </w:rPr>
          <w:tab/>
        </w:r>
        <w:r w:rsidR="000C1239" w:rsidRPr="00390AB4">
          <w:rPr>
            <w:rStyle w:val="Hyperlink"/>
            <w:noProof/>
          </w:rPr>
          <w:t>Who is eligible to apply?</w:t>
        </w:r>
        <w:r w:rsidR="000C1239">
          <w:rPr>
            <w:noProof/>
            <w:webHidden/>
          </w:rPr>
          <w:tab/>
        </w:r>
        <w:r w:rsidR="000C1239">
          <w:rPr>
            <w:noProof/>
            <w:webHidden/>
          </w:rPr>
          <w:fldChar w:fldCharType="begin"/>
        </w:r>
        <w:r w:rsidR="000C1239">
          <w:rPr>
            <w:noProof/>
            <w:webHidden/>
          </w:rPr>
          <w:instrText xml:space="preserve"> PAGEREF _Toc492882536 \h </w:instrText>
        </w:r>
        <w:r w:rsidR="000C1239">
          <w:rPr>
            <w:noProof/>
            <w:webHidden/>
          </w:rPr>
        </w:r>
        <w:r w:rsidR="000C1239">
          <w:rPr>
            <w:noProof/>
            <w:webHidden/>
          </w:rPr>
          <w:fldChar w:fldCharType="separate"/>
        </w:r>
        <w:r w:rsidR="00406939">
          <w:rPr>
            <w:noProof/>
            <w:webHidden/>
          </w:rPr>
          <w:t>11</w:t>
        </w:r>
        <w:r w:rsidR="000C1239">
          <w:rPr>
            <w:noProof/>
            <w:webHidden/>
          </w:rPr>
          <w:fldChar w:fldCharType="end"/>
        </w:r>
      </w:hyperlink>
    </w:p>
    <w:p w:rsidR="000C1239" w:rsidRDefault="002E090C">
      <w:pPr>
        <w:pStyle w:val="TOC2"/>
        <w:rPr>
          <w:rFonts w:eastAsiaTheme="minorEastAsia"/>
          <w:noProof/>
          <w:lang w:eastAsia="en-AU"/>
        </w:rPr>
      </w:pPr>
      <w:hyperlink w:anchor="_Toc492882537" w:history="1">
        <w:r w:rsidR="000C1239" w:rsidRPr="00390AB4">
          <w:rPr>
            <w:rStyle w:val="Hyperlink"/>
            <w:noProof/>
          </w:rPr>
          <w:t>3.2</w:t>
        </w:r>
        <w:r w:rsidR="000C1239">
          <w:rPr>
            <w:rFonts w:eastAsiaTheme="minorEastAsia"/>
            <w:noProof/>
            <w:lang w:eastAsia="en-AU"/>
          </w:rPr>
          <w:tab/>
        </w:r>
        <w:r w:rsidR="000C1239" w:rsidRPr="00390AB4">
          <w:rPr>
            <w:rStyle w:val="Hyperlink"/>
            <w:noProof/>
          </w:rPr>
          <w:t>What qualifications or skills are required?</w:t>
        </w:r>
        <w:r w:rsidR="000C1239">
          <w:rPr>
            <w:noProof/>
            <w:webHidden/>
          </w:rPr>
          <w:tab/>
        </w:r>
        <w:r w:rsidR="000C1239">
          <w:rPr>
            <w:noProof/>
            <w:webHidden/>
          </w:rPr>
          <w:fldChar w:fldCharType="begin"/>
        </w:r>
        <w:r w:rsidR="000C1239">
          <w:rPr>
            <w:noProof/>
            <w:webHidden/>
          </w:rPr>
          <w:instrText xml:space="preserve"> PAGEREF _Toc492882537 \h </w:instrText>
        </w:r>
        <w:r w:rsidR="000C1239">
          <w:rPr>
            <w:noProof/>
            <w:webHidden/>
          </w:rPr>
        </w:r>
        <w:r w:rsidR="000C1239">
          <w:rPr>
            <w:noProof/>
            <w:webHidden/>
          </w:rPr>
          <w:fldChar w:fldCharType="separate"/>
        </w:r>
        <w:r w:rsidR="00406939">
          <w:rPr>
            <w:noProof/>
            <w:webHidden/>
          </w:rPr>
          <w:t>12</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38" w:history="1">
        <w:r w:rsidR="000C1239" w:rsidRPr="00390AB4">
          <w:rPr>
            <w:rStyle w:val="Hyperlink"/>
            <w:noProof/>
          </w:rPr>
          <w:t>4.</w:t>
        </w:r>
        <w:r w:rsidR="000C1239">
          <w:rPr>
            <w:rFonts w:eastAsiaTheme="minorEastAsia"/>
            <w:b w:val="0"/>
            <w:noProof/>
            <w:sz w:val="22"/>
            <w:lang w:eastAsia="en-AU"/>
          </w:rPr>
          <w:tab/>
        </w:r>
        <w:r w:rsidR="000C1239" w:rsidRPr="00390AB4">
          <w:rPr>
            <w:rStyle w:val="Hyperlink"/>
            <w:noProof/>
          </w:rPr>
          <w:t>Eligible grant activities</w:t>
        </w:r>
        <w:r w:rsidR="000C1239">
          <w:rPr>
            <w:noProof/>
            <w:webHidden/>
          </w:rPr>
          <w:tab/>
        </w:r>
        <w:r w:rsidR="000C1239">
          <w:rPr>
            <w:noProof/>
            <w:webHidden/>
          </w:rPr>
          <w:fldChar w:fldCharType="begin"/>
        </w:r>
        <w:r w:rsidR="000C1239">
          <w:rPr>
            <w:noProof/>
            <w:webHidden/>
          </w:rPr>
          <w:instrText xml:space="preserve"> PAGEREF _Toc492882538 \h </w:instrText>
        </w:r>
        <w:r w:rsidR="000C1239">
          <w:rPr>
            <w:noProof/>
            <w:webHidden/>
          </w:rPr>
        </w:r>
        <w:r w:rsidR="000C1239">
          <w:rPr>
            <w:noProof/>
            <w:webHidden/>
          </w:rPr>
          <w:fldChar w:fldCharType="separate"/>
        </w:r>
        <w:r w:rsidR="00406939">
          <w:rPr>
            <w:noProof/>
            <w:webHidden/>
          </w:rPr>
          <w:t>14</w:t>
        </w:r>
        <w:r w:rsidR="000C1239">
          <w:rPr>
            <w:noProof/>
            <w:webHidden/>
          </w:rPr>
          <w:fldChar w:fldCharType="end"/>
        </w:r>
      </w:hyperlink>
    </w:p>
    <w:p w:rsidR="000C1239" w:rsidRDefault="002E090C">
      <w:pPr>
        <w:pStyle w:val="TOC2"/>
        <w:rPr>
          <w:rFonts w:eastAsiaTheme="minorEastAsia"/>
          <w:noProof/>
          <w:lang w:eastAsia="en-AU"/>
        </w:rPr>
      </w:pPr>
      <w:hyperlink w:anchor="_Toc492882539" w:history="1">
        <w:r w:rsidR="000C1239" w:rsidRPr="00390AB4">
          <w:rPr>
            <w:rStyle w:val="Hyperlink"/>
            <w:noProof/>
          </w:rPr>
          <w:t>4.1</w:t>
        </w:r>
        <w:r w:rsidR="000C1239">
          <w:rPr>
            <w:rFonts w:eastAsiaTheme="minorEastAsia"/>
            <w:noProof/>
            <w:lang w:eastAsia="en-AU"/>
          </w:rPr>
          <w:tab/>
        </w:r>
        <w:r w:rsidR="000C1239" w:rsidRPr="00390AB4">
          <w:rPr>
            <w:rStyle w:val="Hyperlink"/>
            <w:noProof/>
          </w:rPr>
          <w:t>What can the grant money be used for?</w:t>
        </w:r>
        <w:r w:rsidR="000C1239">
          <w:rPr>
            <w:noProof/>
            <w:webHidden/>
          </w:rPr>
          <w:tab/>
        </w:r>
        <w:r w:rsidR="000C1239">
          <w:rPr>
            <w:noProof/>
            <w:webHidden/>
          </w:rPr>
          <w:fldChar w:fldCharType="begin"/>
        </w:r>
        <w:r w:rsidR="000C1239">
          <w:rPr>
            <w:noProof/>
            <w:webHidden/>
          </w:rPr>
          <w:instrText xml:space="preserve"> PAGEREF _Toc492882539 \h </w:instrText>
        </w:r>
        <w:r w:rsidR="000C1239">
          <w:rPr>
            <w:noProof/>
            <w:webHidden/>
          </w:rPr>
        </w:r>
        <w:r w:rsidR="000C1239">
          <w:rPr>
            <w:noProof/>
            <w:webHidden/>
          </w:rPr>
          <w:fldChar w:fldCharType="separate"/>
        </w:r>
        <w:r w:rsidR="00406939">
          <w:rPr>
            <w:noProof/>
            <w:webHidden/>
          </w:rPr>
          <w:t>14</w:t>
        </w:r>
        <w:r w:rsidR="000C1239">
          <w:rPr>
            <w:noProof/>
            <w:webHidden/>
          </w:rPr>
          <w:fldChar w:fldCharType="end"/>
        </w:r>
      </w:hyperlink>
    </w:p>
    <w:p w:rsidR="000C1239" w:rsidRDefault="002E090C">
      <w:pPr>
        <w:pStyle w:val="TOC3"/>
        <w:rPr>
          <w:rFonts w:eastAsiaTheme="minorEastAsia"/>
          <w:noProof/>
          <w:lang w:eastAsia="en-AU"/>
        </w:rPr>
      </w:pPr>
      <w:hyperlink w:anchor="_Toc492882540" w:history="1">
        <w:r w:rsidR="000C1239" w:rsidRPr="00390AB4">
          <w:rPr>
            <w:rStyle w:val="Hyperlink"/>
            <w:noProof/>
          </w:rPr>
          <w:t>4.1.1</w:t>
        </w:r>
        <w:r w:rsidR="000C1239">
          <w:rPr>
            <w:rFonts w:eastAsiaTheme="minorEastAsia"/>
            <w:noProof/>
            <w:lang w:eastAsia="en-AU"/>
          </w:rPr>
          <w:tab/>
        </w:r>
        <w:r w:rsidR="000C1239" w:rsidRPr="00390AB4">
          <w:rPr>
            <w:rStyle w:val="Hyperlink"/>
            <w:noProof/>
          </w:rPr>
          <w:t>Supported Wage System Assessments</w:t>
        </w:r>
        <w:r w:rsidR="000C1239">
          <w:rPr>
            <w:noProof/>
            <w:webHidden/>
          </w:rPr>
          <w:tab/>
        </w:r>
        <w:r w:rsidR="000C1239">
          <w:rPr>
            <w:noProof/>
            <w:webHidden/>
          </w:rPr>
          <w:fldChar w:fldCharType="begin"/>
        </w:r>
        <w:r w:rsidR="000C1239">
          <w:rPr>
            <w:noProof/>
            <w:webHidden/>
          </w:rPr>
          <w:instrText xml:space="preserve"> PAGEREF _Toc492882540 \h </w:instrText>
        </w:r>
        <w:r w:rsidR="000C1239">
          <w:rPr>
            <w:noProof/>
            <w:webHidden/>
          </w:rPr>
        </w:r>
        <w:r w:rsidR="000C1239">
          <w:rPr>
            <w:noProof/>
            <w:webHidden/>
          </w:rPr>
          <w:fldChar w:fldCharType="separate"/>
        </w:r>
        <w:r w:rsidR="00406939">
          <w:rPr>
            <w:noProof/>
            <w:webHidden/>
          </w:rPr>
          <w:t>14</w:t>
        </w:r>
        <w:r w:rsidR="000C1239">
          <w:rPr>
            <w:noProof/>
            <w:webHidden/>
          </w:rPr>
          <w:fldChar w:fldCharType="end"/>
        </w:r>
      </w:hyperlink>
    </w:p>
    <w:p w:rsidR="000C1239" w:rsidRDefault="002E090C">
      <w:pPr>
        <w:pStyle w:val="TOC3"/>
        <w:rPr>
          <w:rFonts w:eastAsiaTheme="minorEastAsia"/>
          <w:noProof/>
          <w:lang w:eastAsia="en-AU"/>
        </w:rPr>
      </w:pPr>
      <w:hyperlink w:anchor="_Toc492882541" w:history="1">
        <w:r w:rsidR="000C1239" w:rsidRPr="00390AB4">
          <w:rPr>
            <w:rStyle w:val="Hyperlink"/>
            <w:noProof/>
          </w:rPr>
          <w:t>4.1.2</w:t>
        </w:r>
        <w:r w:rsidR="000C1239">
          <w:rPr>
            <w:rFonts w:eastAsiaTheme="minorEastAsia"/>
            <w:noProof/>
            <w:lang w:eastAsia="en-AU"/>
          </w:rPr>
          <w:tab/>
        </w:r>
        <w:r w:rsidR="000C1239" w:rsidRPr="00390AB4">
          <w:rPr>
            <w:rStyle w:val="Hyperlink"/>
            <w:noProof/>
          </w:rPr>
          <w:t>Ongoing Support Assessments</w:t>
        </w:r>
        <w:r w:rsidR="000C1239">
          <w:rPr>
            <w:noProof/>
            <w:webHidden/>
          </w:rPr>
          <w:tab/>
        </w:r>
        <w:r w:rsidR="000C1239">
          <w:rPr>
            <w:noProof/>
            <w:webHidden/>
          </w:rPr>
          <w:fldChar w:fldCharType="begin"/>
        </w:r>
        <w:r w:rsidR="000C1239">
          <w:rPr>
            <w:noProof/>
            <w:webHidden/>
          </w:rPr>
          <w:instrText xml:space="preserve"> PAGEREF _Toc492882541 \h </w:instrText>
        </w:r>
        <w:r w:rsidR="000C1239">
          <w:rPr>
            <w:noProof/>
            <w:webHidden/>
          </w:rPr>
        </w:r>
        <w:r w:rsidR="000C1239">
          <w:rPr>
            <w:noProof/>
            <w:webHidden/>
          </w:rPr>
          <w:fldChar w:fldCharType="separate"/>
        </w:r>
        <w:r w:rsidR="00406939">
          <w:rPr>
            <w:noProof/>
            <w:webHidden/>
          </w:rPr>
          <w:t>15</w:t>
        </w:r>
        <w:r w:rsidR="000C1239">
          <w:rPr>
            <w:noProof/>
            <w:webHidden/>
          </w:rPr>
          <w:fldChar w:fldCharType="end"/>
        </w:r>
      </w:hyperlink>
    </w:p>
    <w:p w:rsidR="000C1239" w:rsidRDefault="002E090C">
      <w:pPr>
        <w:pStyle w:val="TOC3"/>
        <w:rPr>
          <w:rFonts w:eastAsiaTheme="minorEastAsia"/>
          <w:noProof/>
          <w:lang w:eastAsia="en-AU"/>
        </w:rPr>
      </w:pPr>
      <w:hyperlink w:anchor="_Toc492882542" w:history="1">
        <w:r w:rsidR="000C1239" w:rsidRPr="00390AB4">
          <w:rPr>
            <w:rStyle w:val="Hyperlink"/>
            <w:noProof/>
          </w:rPr>
          <w:t>4.1.3</w:t>
        </w:r>
        <w:r w:rsidR="000C1239">
          <w:rPr>
            <w:rFonts w:eastAsiaTheme="minorEastAsia"/>
            <w:noProof/>
            <w:lang w:eastAsia="en-AU"/>
          </w:rPr>
          <w:tab/>
        </w:r>
        <w:r w:rsidR="000C1239" w:rsidRPr="00390AB4">
          <w:rPr>
            <w:rStyle w:val="Hyperlink"/>
            <w:noProof/>
          </w:rPr>
          <w:t>Workplace Modifications Assessments</w:t>
        </w:r>
        <w:r w:rsidR="000C1239">
          <w:rPr>
            <w:noProof/>
            <w:webHidden/>
          </w:rPr>
          <w:tab/>
        </w:r>
        <w:r w:rsidR="000C1239">
          <w:rPr>
            <w:noProof/>
            <w:webHidden/>
          </w:rPr>
          <w:fldChar w:fldCharType="begin"/>
        </w:r>
        <w:r w:rsidR="000C1239">
          <w:rPr>
            <w:noProof/>
            <w:webHidden/>
          </w:rPr>
          <w:instrText xml:space="preserve"> PAGEREF _Toc492882542 \h </w:instrText>
        </w:r>
        <w:r w:rsidR="000C1239">
          <w:rPr>
            <w:noProof/>
            <w:webHidden/>
          </w:rPr>
        </w:r>
        <w:r w:rsidR="000C1239">
          <w:rPr>
            <w:noProof/>
            <w:webHidden/>
          </w:rPr>
          <w:fldChar w:fldCharType="separate"/>
        </w:r>
        <w:r w:rsidR="00406939">
          <w:rPr>
            <w:noProof/>
            <w:webHidden/>
          </w:rPr>
          <w:t>16</w:t>
        </w:r>
        <w:r w:rsidR="000C1239">
          <w:rPr>
            <w:noProof/>
            <w:webHidden/>
          </w:rPr>
          <w:fldChar w:fldCharType="end"/>
        </w:r>
      </w:hyperlink>
    </w:p>
    <w:p w:rsidR="000C1239" w:rsidRDefault="002E090C">
      <w:pPr>
        <w:pStyle w:val="TOC2"/>
        <w:rPr>
          <w:rFonts w:eastAsiaTheme="minorEastAsia"/>
          <w:noProof/>
          <w:lang w:eastAsia="en-AU"/>
        </w:rPr>
      </w:pPr>
      <w:hyperlink w:anchor="_Toc492882543" w:history="1">
        <w:r w:rsidR="000C1239" w:rsidRPr="00390AB4">
          <w:rPr>
            <w:rStyle w:val="Hyperlink"/>
            <w:noProof/>
          </w:rPr>
          <w:t>4.2</w:t>
        </w:r>
        <w:r w:rsidR="000C1239">
          <w:rPr>
            <w:rFonts w:eastAsiaTheme="minorEastAsia"/>
            <w:noProof/>
            <w:lang w:eastAsia="en-AU"/>
          </w:rPr>
          <w:tab/>
        </w:r>
        <w:r w:rsidR="000C1239" w:rsidRPr="00390AB4">
          <w:rPr>
            <w:rStyle w:val="Hyperlink"/>
            <w:noProof/>
          </w:rPr>
          <w:t>What the grant money cannot be used for?</w:t>
        </w:r>
        <w:r w:rsidR="000C1239">
          <w:rPr>
            <w:noProof/>
            <w:webHidden/>
          </w:rPr>
          <w:tab/>
        </w:r>
        <w:r w:rsidR="000C1239">
          <w:rPr>
            <w:noProof/>
            <w:webHidden/>
          </w:rPr>
          <w:fldChar w:fldCharType="begin"/>
        </w:r>
        <w:r w:rsidR="000C1239">
          <w:rPr>
            <w:noProof/>
            <w:webHidden/>
          </w:rPr>
          <w:instrText xml:space="preserve"> PAGEREF _Toc492882543 \h </w:instrText>
        </w:r>
        <w:r w:rsidR="000C1239">
          <w:rPr>
            <w:noProof/>
            <w:webHidden/>
          </w:rPr>
        </w:r>
        <w:r w:rsidR="000C1239">
          <w:rPr>
            <w:noProof/>
            <w:webHidden/>
          </w:rPr>
          <w:fldChar w:fldCharType="separate"/>
        </w:r>
        <w:r w:rsidR="00406939">
          <w:rPr>
            <w:noProof/>
            <w:webHidden/>
          </w:rPr>
          <w:t>16</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44" w:history="1">
        <w:r w:rsidR="000C1239" w:rsidRPr="00390AB4">
          <w:rPr>
            <w:rStyle w:val="Hyperlink"/>
            <w:noProof/>
          </w:rPr>
          <w:t>5.</w:t>
        </w:r>
        <w:r w:rsidR="000C1239">
          <w:rPr>
            <w:rFonts w:eastAsiaTheme="minorEastAsia"/>
            <w:b w:val="0"/>
            <w:noProof/>
            <w:sz w:val="22"/>
            <w:lang w:eastAsia="en-AU"/>
          </w:rPr>
          <w:tab/>
        </w:r>
        <w:r w:rsidR="000C1239" w:rsidRPr="00390AB4">
          <w:rPr>
            <w:rStyle w:val="Hyperlink"/>
            <w:noProof/>
          </w:rPr>
          <w:t>The grant selection process</w:t>
        </w:r>
        <w:r w:rsidR="000C1239">
          <w:rPr>
            <w:noProof/>
            <w:webHidden/>
          </w:rPr>
          <w:tab/>
        </w:r>
        <w:r w:rsidR="000C1239">
          <w:rPr>
            <w:noProof/>
            <w:webHidden/>
          </w:rPr>
          <w:fldChar w:fldCharType="begin"/>
        </w:r>
        <w:r w:rsidR="000C1239">
          <w:rPr>
            <w:noProof/>
            <w:webHidden/>
          </w:rPr>
          <w:instrText xml:space="preserve"> PAGEREF _Toc492882544 \h </w:instrText>
        </w:r>
        <w:r w:rsidR="000C1239">
          <w:rPr>
            <w:noProof/>
            <w:webHidden/>
          </w:rPr>
        </w:r>
        <w:r w:rsidR="000C1239">
          <w:rPr>
            <w:noProof/>
            <w:webHidden/>
          </w:rPr>
          <w:fldChar w:fldCharType="separate"/>
        </w:r>
        <w:r w:rsidR="00406939">
          <w:rPr>
            <w:noProof/>
            <w:webHidden/>
          </w:rPr>
          <w:t>17</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45" w:history="1">
        <w:r w:rsidR="000C1239" w:rsidRPr="00390AB4">
          <w:rPr>
            <w:rStyle w:val="Hyperlink"/>
            <w:noProof/>
          </w:rPr>
          <w:t>6.</w:t>
        </w:r>
        <w:r w:rsidR="000C1239">
          <w:rPr>
            <w:rFonts w:eastAsiaTheme="minorEastAsia"/>
            <w:b w:val="0"/>
            <w:noProof/>
            <w:sz w:val="22"/>
            <w:lang w:eastAsia="en-AU"/>
          </w:rPr>
          <w:tab/>
        </w:r>
        <w:r w:rsidR="000C1239" w:rsidRPr="00390AB4">
          <w:rPr>
            <w:rStyle w:val="Hyperlink"/>
            <w:noProof/>
          </w:rPr>
          <w:t>The assessment criteria</w:t>
        </w:r>
        <w:r w:rsidR="000C1239">
          <w:rPr>
            <w:noProof/>
            <w:webHidden/>
          </w:rPr>
          <w:tab/>
        </w:r>
        <w:r w:rsidR="000C1239">
          <w:rPr>
            <w:noProof/>
            <w:webHidden/>
          </w:rPr>
          <w:fldChar w:fldCharType="begin"/>
        </w:r>
        <w:r w:rsidR="000C1239">
          <w:rPr>
            <w:noProof/>
            <w:webHidden/>
          </w:rPr>
          <w:instrText xml:space="preserve"> PAGEREF _Toc492882545 \h </w:instrText>
        </w:r>
        <w:r w:rsidR="000C1239">
          <w:rPr>
            <w:noProof/>
            <w:webHidden/>
          </w:rPr>
        </w:r>
        <w:r w:rsidR="000C1239">
          <w:rPr>
            <w:noProof/>
            <w:webHidden/>
          </w:rPr>
          <w:fldChar w:fldCharType="separate"/>
        </w:r>
        <w:r w:rsidR="00406939">
          <w:rPr>
            <w:noProof/>
            <w:webHidden/>
          </w:rPr>
          <w:t>17</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46" w:history="1">
        <w:r w:rsidR="000C1239" w:rsidRPr="00390AB4">
          <w:rPr>
            <w:rStyle w:val="Hyperlink"/>
            <w:noProof/>
          </w:rPr>
          <w:t>7.</w:t>
        </w:r>
        <w:r w:rsidR="000C1239">
          <w:rPr>
            <w:rFonts w:eastAsiaTheme="minorEastAsia"/>
            <w:b w:val="0"/>
            <w:noProof/>
            <w:sz w:val="22"/>
            <w:lang w:eastAsia="en-AU"/>
          </w:rPr>
          <w:tab/>
        </w:r>
        <w:r w:rsidR="000C1239" w:rsidRPr="00390AB4">
          <w:rPr>
            <w:rStyle w:val="Hyperlink"/>
            <w:noProof/>
          </w:rPr>
          <w:t>The grant application process</w:t>
        </w:r>
        <w:r w:rsidR="000C1239">
          <w:rPr>
            <w:noProof/>
            <w:webHidden/>
          </w:rPr>
          <w:tab/>
        </w:r>
        <w:r w:rsidR="000C1239">
          <w:rPr>
            <w:noProof/>
            <w:webHidden/>
          </w:rPr>
          <w:fldChar w:fldCharType="begin"/>
        </w:r>
        <w:r w:rsidR="000C1239">
          <w:rPr>
            <w:noProof/>
            <w:webHidden/>
          </w:rPr>
          <w:instrText xml:space="preserve"> PAGEREF _Toc492882546 \h </w:instrText>
        </w:r>
        <w:r w:rsidR="000C1239">
          <w:rPr>
            <w:noProof/>
            <w:webHidden/>
          </w:rPr>
        </w:r>
        <w:r w:rsidR="000C1239">
          <w:rPr>
            <w:noProof/>
            <w:webHidden/>
          </w:rPr>
          <w:fldChar w:fldCharType="separate"/>
        </w:r>
        <w:r w:rsidR="00406939">
          <w:rPr>
            <w:noProof/>
            <w:webHidden/>
          </w:rPr>
          <w:t>20</w:t>
        </w:r>
        <w:r w:rsidR="000C1239">
          <w:rPr>
            <w:noProof/>
            <w:webHidden/>
          </w:rPr>
          <w:fldChar w:fldCharType="end"/>
        </w:r>
      </w:hyperlink>
    </w:p>
    <w:p w:rsidR="000C1239" w:rsidRDefault="002E090C">
      <w:pPr>
        <w:pStyle w:val="TOC2"/>
        <w:rPr>
          <w:rFonts w:eastAsiaTheme="minorEastAsia"/>
          <w:noProof/>
          <w:lang w:eastAsia="en-AU"/>
        </w:rPr>
      </w:pPr>
      <w:hyperlink w:anchor="_Toc492882547" w:history="1">
        <w:r w:rsidR="000C1239" w:rsidRPr="00390AB4">
          <w:rPr>
            <w:rStyle w:val="Hyperlink"/>
            <w:noProof/>
          </w:rPr>
          <w:t>7.1</w:t>
        </w:r>
        <w:r w:rsidR="000C1239">
          <w:rPr>
            <w:rFonts w:eastAsiaTheme="minorEastAsia"/>
            <w:noProof/>
            <w:lang w:eastAsia="en-AU"/>
          </w:rPr>
          <w:tab/>
        </w:r>
        <w:r w:rsidR="000C1239" w:rsidRPr="00390AB4">
          <w:rPr>
            <w:rStyle w:val="Hyperlink"/>
            <w:noProof/>
          </w:rPr>
          <w:t>Overview of application process</w:t>
        </w:r>
        <w:r w:rsidR="000C1239">
          <w:rPr>
            <w:noProof/>
            <w:webHidden/>
          </w:rPr>
          <w:tab/>
        </w:r>
        <w:r w:rsidR="000C1239">
          <w:rPr>
            <w:noProof/>
            <w:webHidden/>
          </w:rPr>
          <w:fldChar w:fldCharType="begin"/>
        </w:r>
        <w:r w:rsidR="000C1239">
          <w:rPr>
            <w:noProof/>
            <w:webHidden/>
          </w:rPr>
          <w:instrText xml:space="preserve"> PAGEREF _Toc492882547 \h </w:instrText>
        </w:r>
        <w:r w:rsidR="000C1239">
          <w:rPr>
            <w:noProof/>
            <w:webHidden/>
          </w:rPr>
        </w:r>
        <w:r w:rsidR="000C1239">
          <w:rPr>
            <w:noProof/>
            <w:webHidden/>
          </w:rPr>
          <w:fldChar w:fldCharType="separate"/>
        </w:r>
        <w:r w:rsidR="00406939">
          <w:rPr>
            <w:noProof/>
            <w:webHidden/>
          </w:rPr>
          <w:t>20</w:t>
        </w:r>
        <w:r w:rsidR="000C1239">
          <w:rPr>
            <w:noProof/>
            <w:webHidden/>
          </w:rPr>
          <w:fldChar w:fldCharType="end"/>
        </w:r>
      </w:hyperlink>
    </w:p>
    <w:p w:rsidR="000C1239" w:rsidRDefault="002E090C">
      <w:pPr>
        <w:pStyle w:val="TOC2"/>
        <w:rPr>
          <w:rFonts w:eastAsiaTheme="minorEastAsia"/>
          <w:noProof/>
          <w:lang w:eastAsia="en-AU"/>
        </w:rPr>
      </w:pPr>
      <w:hyperlink w:anchor="_Toc492882548" w:history="1">
        <w:r w:rsidR="000C1239" w:rsidRPr="00390AB4">
          <w:rPr>
            <w:rStyle w:val="Hyperlink"/>
            <w:noProof/>
          </w:rPr>
          <w:t>7.2</w:t>
        </w:r>
        <w:r w:rsidR="000C1239">
          <w:rPr>
            <w:rFonts w:eastAsiaTheme="minorEastAsia"/>
            <w:noProof/>
            <w:lang w:eastAsia="en-AU"/>
          </w:rPr>
          <w:tab/>
        </w:r>
        <w:r w:rsidR="000C1239" w:rsidRPr="00390AB4">
          <w:rPr>
            <w:rStyle w:val="Hyperlink"/>
            <w:noProof/>
          </w:rPr>
          <w:t>Application process timing</w:t>
        </w:r>
        <w:r w:rsidR="000C1239">
          <w:rPr>
            <w:noProof/>
            <w:webHidden/>
          </w:rPr>
          <w:tab/>
        </w:r>
        <w:r w:rsidR="000C1239">
          <w:rPr>
            <w:noProof/>
            <w:webHidden/>
          </w:rPr>
          <w:fldChar w:fldCharType="begin"/>
        </w:r>
        <w:r w:rsidR="000C1239">
          <w:rPr>
            <w:noProof/>
            <w:webHidden/>
          </w:rPr>
          <w:instrText xml:space="preserve"> PAGEREF _Toc492882548 \h </w:instrText>
        </w:r>
        <w:r w:rsidR="000C1239">
          <w:rPr>
            <w:noProof/>
            <w:webHidden/>
          </w:rPr>
        </w:r>
        <w:r w:rsidR="000C1239">
          <w:rPr>
            <w:noProof/>
            <w:webHidden/>
          </w:rPr>
          <w:fldChar w:fldCharType="separate"/>
        </w:r>
        <w:r w:rsidR="00406939">
          <w:rPr>
            <w:noProof/>
            <w:webHidden/>
          </w:rPr>
          <w:t>20</w:t>
        </w:r>
        <w:r w:rsidR="000C1239">
          <w:rPr>
            <w:noProof/>
            <w:webHidden/>
          </w:rPr>
          <w:fldChar w:fldCharType="end"/>
        </w:r>
      </w:hyperlink>
    </w:p>
    <w:p w:rsidR="000C1239" w:rsidRDefault="002E090C">
      <w:pPr>
        <w:pStyle w:val="TOC2"/>
        <w:rPr>
          <w:rFonts w:eastAsiaTheme="minorEastAsia"/>
          <w:noProof/>
          <w:lang w:eastAsia="en-AU"/>
        </w:rPr>
      </w:pPr>
      <w:hyperlink w:anchor="_Toc492882549" w:history="1">
        <w:r w:rsidR="000C1239" w:rsidRPr="00390AB4">
          <w:rPr>
            <w:rStyle w:val="Hyperlink"/>
            <w:noProof/>
          </w:rPr>
          <w:t>7.3</w:t>
        </w:r>
        <w:r w:rsidR="000C1239">
          <w:rPr>
            <w:rFonts w:eastAsiaTheme="minorEastAsia"/>
            <w:noProof/>
            <w:lang w:eastAsia="en-AU"/>
          </w:rPr>
          <w:tab/>
        </w:r>
        <w:r w:rsidR="000C1239" w:rsidRPr="00390AB4">
          <w:rPr>
            <w:rStyle w:val="Hyperlink"/>
            <w:noProof/>
          </w:rPr>
          <w:t>Completing the grant application</w:t>
        </w:r>
        <w:r w:rsidR="000C1239">
          <w:rPr>
            <w:noProof/>
            <w:webHidden/>
          </w:rPr>
          <w:tab/>
        </w:r>
        <w:r w:rsidR="000C1239">
          <w:rPr>
            <w:noProof/>
            <w:webHidden/>
          </w:rPr>
          <w:fldChar w:fldCharType="begin"/>
        </w:r>
        <w:r w:rsidR="000C1239">
          <w:rPr>
            <w:noProof/>
            <w:webHidden/>
          </w:rPr>
          <w:instrText xml:space="preserve"> PAGEREF _Toc492882549 \h </w:instrText>
        </w:r>
        <w:r w:rsidR="000C1239">
          <w:rPr>
            <w:noProof/>
            <w:webHidden/>
          </w:rPr>
        </w:r>
        <w:r w:rsidR="000C1239">
          <w:rPr>
            <w:noProof/>
            <w:webHidden/>
          </w:rPr>
          <w:fldChar w:fldCharType="separate"/>
        </w:r>
        <w:r w:rsidR="00406939">
          <w:rPr>
            <w:noProof/>
            <w:webHidden/>
          </w:rPr>
          <w:t>21</w:t>
        </w:r>
        <w:r w:rsidR="000C1239">
          <w:rPr>
            <w:noProof/>
            <w:webHidden/>
          </w:rPr>
          <w:fldChar w:fldCharType="end"/>
        </w:r>
      </w:hyperlink>
    </w:p>
    <w:p w:rsidR="000C1239" w:rsidRDefault="002E090C">
      <w:pPr>
        <w:pStyle w:val="TOC2"/>
        <w:rPr>
          <w:rFonts w:eastAsiaTheme="minorEastAsia"/>
          <w:noProof/>
          <w:lang w:eastAsia="en-AU"/>
        </w:rPr>
      </w:pPr>
      <w:hyperlink w:anchor="_Toc492882550" w:history="1">
        <w:r w:rsidR="000C1239" w:rsidRPr="00390AB4">
          <w:rPr>
            <w:rStyle w:val="Hyperlink"/>
            <w:noProof/>
          </w:rPr>
          <w:t>7.4</w:t>
        </w:r>
        <w:r w:rsidR="000C1239">
          <w:rPr>
            <w:rFonts w:eastAsiaTheme="minorEastAsia"/>
            <w:noProof/>
            <w:lang w:eastAsia="en-AU"/>
          </w:rPr>
          <w:tab/>
        </w:r>
        <w:r w:rsidR="000C1239" w:rsidRPr="00390AB4">
          <w:rPr>
            <w:rStyle w:val="Hyperlink"/>
            <w:noProof/>
          </w:rPr>
          <w:t>Applications from consortia</w:t>
        </w:r>
        <w:r w:rsidR="000C1239">
          <w:rPr>
            <w:noProof/>
            <w:webHidden/>
          </w:rPr>
          <w:tab/>
        </w:r>
        <w:r w:rsidR="000C1239">
          <w:rPr>
            <w:noProof/>
            <w:webHidden/>
          </w:rPr>
          <w:fldChar w:fldCharType="begin"/>
        </w:r>
        <w:r w:rsidR="000C1239">
          <w:rPr>
            <w:noProof/>
            <w:webHidden/>
          </w:rPr>
          <w:instrText xml:space="preserve"> PAGEREF _Toc492882550 \h </w:instrText>
        </w:r>
        <w:r w:rsidR="000C1239">
          <w:rPr>
            <w:noProof/>
            <w:webHidden/>
          </w:rPr>
        </w:r>
        <w:r w:rsidR="000C1239">
          <w:rPr>
            <w:noProof/>
            <w:webHidden/>
          </w:rPr>
          <w:fldChar w:fldCharType="separate"/>
        </w:r>
        <w:r w:rsidR="00406939">
          <w:rPr>
            <w:noProof/>
            <w:webHidden/>
          </w:rPr>
          <w:t>22</w:t>
        </w:r>
        <w:r w:rsidR="000C1239">
          <w:rPr>
            <w:noProof/>
            <w:webHidden/>
          </w:rPr>
          <w:fldChar w:fldCharType="end"/>
        </w:r>
      </w:hyperlink>
    </w:p>
    <w:p w:rsidR="000C1239" w:rsidRDefault="002E090C">
      <w:pPr>
        <w:pStyle w:val="TOC2"/>
        <w:rPr>
          <w:rFonts w:eastAsiaTheme="minorEastAsia"/>
          <w:noProof/>
          <w:lang w:eastAsia="en-AU"/>
        </w:rPr>
      </w:pPr>
      <w:hyperlink w:anchor="_Toc492882551" w:history="1">
        <w:r w:rsidR="000C1239" w:rsidRPr="00390AB4">
          <w:rPr>
            <w:rStyle w:val="Hyperlink"/>
            <w:noProof/>
          </w:rPr>
          <w:t>7.5</w:t>
        </w:r>
        <w:r w:rsidR="000C1239">
          <w:rPr>
            <w:rFonts w:eastAsiaTheme="minorEastAsia"/>
            <w:noProof/>
            <w:lang w:eastAsia="en-AU"/>
          </w:rPr>
          <w:tab/>
        </w:r>
        <w:r w:rsidR="000C1239" w:rsidRPr="00390AB4">
          <w:rPr>
            <w:rStyle w:val="Hyperlink"/>
            <w:noProof/>
          </w:rPr>
          <w:t>Questions during the application process</w:t>
        </w:r>
        <w:r w:rsidR="000C1239">
          <w:rPr>
            <w:noProof/>
            <w:webHidden/>
          </w:rPr>
          <w:tab/>
        </w:r>
        <w:r w:rsidR="000C1239">
          <w:rPr>
            <w:noProof/>
            <w:webHidden/>
          </w:rPr>
          <w:fldChar w:fldCharType="begin"/>
        </w:r>
        <w:r w:rsidR="000C1239">
          <w:rPr>
            <w:noProof/>
            <w:webHidden/>
          </w:rPr>
          <w:instrText xml:space="preserve"> PAGEREF _Toc492882551 \h </w:instrText>
        </w:r>
        <w:r w:rsidR="000C1239">
          <w:rPr>
            <w:noProof/>
            <w:webHidden/>
          </w:rPr>
        </w:r>
        <w:r w:rsidR="000C1239">
          <w:rPr>
            <w:noProof/>
            <w:webHidden/>
          </w:rPr>
          <w:fldChar w:fldCharType="separate"/>
        </w:r>
        <w:r w:rsidR="00406939">
          <w:rPr>
            <w:noProof/>
            <w:webHidden/>
          </w:rPr>
          <w:t>23</w:t>
        </w:r>
        <w:r w:rsidR="000C1239">
          <w:rPr>
            <w:noProof/>
            <w:webHidden/>
          </w:rPr>
          <w:fldChar w:fldCharType="end"/>
        </w:r>
      </w:hyperlink>
    </w:p>
    <w:p w:rsidR="000C1239" w:rsidRDefault="002E090C">
      <w:pPr>
        <w:pStyle w:val="TOC2"/>
        <w:rPr>
          <w:rFonts w:eastAsiaTheme="minorEastAsia"/>
          <w:noProof/>
          <w:lang w:eastAsia="en-AU"/>
        </w:rPr>
      </w:pPr>
      <w:hyperlink w:anchor="_Toc492882552" w:history="1">
        <w:r w:rsidR="000C1239" w:rsidRPr="00390AB4">
          <w:rPr>
            <w:rStyle w:val="Hyperlink"/>
            <w:noProof/>
          </w:rPr>
          <w:t>7.6</w:t>
        </w:r>
        <w:r w:rsidR="000C1239">
          <w:rPr>
            <w:rFonts w:eastAsiaTheme="minorEastAsia"/>
            <w:noProof/>
            <w:lang w:eastAsia="en-AU"/>
          </w:rPr>
          <w:tab/>
        </w:r>
        <w:r w:rsidR="000C1239" w:rsidRPr="00390AB4">
          <w:rPr>
            <w:rStyle w:val="Hyperlink"/>
            <w:noProof/>
          </w:rPr>
          <w:t>Further grant opportunities</w:t>
        </w:r>
        <w:r w:rsidR="000C1239">
          <w:rPr>
            <w:noProof/>
            <w:webHidden/>
          </w:rPr>
          <w:tab/>
        </w:r>
        <w:r w:rsidR="000C1239">
          <w:rPr>
            <w:noProof/>
            <w:webHidden/>
          </w:rPr>
          <w:fldChar w:fldCharType="begin"/>
        </w:r>
        <w:r w:rsidR="000C1239">
          <w:rPr>
            <w:noProof/>
            <w:webHidden/>
          </w:rPr>
          <w:instrText xml:space="preserve"> PAGEREF _Toc492882552 \h </w:instrText>
        </w:r>
        <w:r w:rsidR="000C1239">
          <w:rPr>
            <w:noProof/>
            <w:webHidden/>
          </w:rPr>
        </w:r>
        <w:r w:rsidR="000C1239">
          <w:rPr>
            <w:noProof/>
            <w:webHidden/>
          </w:rPr>
          <w:fldChar w:fldCharType="separate"/>
        </w:r>
        <w:r w:rsidR="00406939">
          <w:rPr>
            <w:noProof/>
            <w:webHidden/>
          </w:rPr>
          <w:t>23</w:t>
        </w:r>
        <w:r w:rsidR="000C1239">
          <w:rPr>
            <w:noProof/>
            <w:webHidden/>
          </w:rPr>
          <w:fldChar w:fldCharType="end"/>
        </w:r>
      </w:hyperlink>
    </w:p>
    <w:p w:rsidR="000C1239" w:rsidRDefault="002E090C">
      <w:pPr>
        <w:pStyle w:val="TOC2"/>
        <w:rPr>
          <w:rFonts w:eastAsiaTheme="minorEastAsia"/>
          <w:noProof/>
          <w:lang w:eastAsia="en-AU"/>
        </w:rPr>
      </w:pPr>
      <w:hyperlink w:anchor="_Toc492882553" w:history="1">
        <w:r w:rsidR="000C1239" w:rsidRPr="00390AB4">
          <w:rPr>
            <w:rStyle w:val="Hyperlink"/>
            <w:noProof/>
          </w:rPr>
          <w:t>7.7</w:t>
        </w:r>
        <w:r w:rsidR="000C1239">
          <w:rPr>
            <w:rFonts w:eastAsiaTheme="minorEastAsia"/>
            <w:noProof/>
            <w:lang w:eastAsia="en-AU"/>
          </w:rPr>
          <w:tab/>
        </w:r>
        <w:r w:rsidR="000C1239" w:rsidRPr="00390AB4">
          <w:rPr>
            <w:rStyle w:val="Hyperlink"/>
            <w:noProof/>
          </w:rPr>
          <w:t>Who will assess applications?</w:t>
        </w:r>
        <w:r w:rsidR="000C1239">
          <w:rPr>
            <w:noProof/>
            <w:webHidden/>
          </w:rPr>
          <w:tab/>
        </w:r>
        <w:r w:rsidR="000C1239">
          <w:rPr>
            <w:noProof/>
            <w:webHidden/>
          </w:rPr>
          <w:fldChar w:fldCharType="begin"/>
        </w:r>
        <w:r w:rsidR="000C1239">
          <w:rPr>
            <w:noProof/>
            <w:webHidden/>
          </w:rPr>
          <w:instrText xml:space="preserve"> PAGEREF _Toc492882553 \h </w:instrText>
        </w:r>
        <w:r w:rsidR="000C1239">
          <w:rPr>
            <w:noProof/>
            <w:webHidden/>
          </w:rPr>
        </w:r>
        <w:r w:rsidR="000C1239">
          <w:rPr>
            <w:noProof/>
            <w:webHidden/>
          </w:rPr>
          <w:fldChar w:fldCharType="separate"/>
        </w:r>
        <w:r w:rsidR="00406939">
          <w:rPr>
            <w:noProof/>
            <w:webHidden/>
          </w:rPr>
          <w:t>23</w:t>
        </w:r>
        <w:r w:rsidR="000C1239">
          <w:rPr>
            <w:noProof/>
            <w:webHidden/>
          </w:rPr>
          <w:fldChar w:fldCharType="end"/>
        </w:r>
      </w:hyperlink>
    </w:p>
    <w:p w:rsidR="000C1239" w:rsidRDefault="002E090C">
      <w:pPr>
        <w:pStyle w:val="TOC2"/>
        <w:rPr>
          <w:rFonts w:eastAsiaTheme="minorEastAsia"/>
          <w:noProof/>
          <w:lang w:eastAsia="en-AU"/>
        </w:rPr>
      </w:pPr>
      <w:hyperlink w:anchor="_Toc492882554" w:history="1">
        <w:r w:rsidR="000C1239" w:rsidRPr="00390AB4">
          <w:rPr>
            <w:rStyle w:val="Hyperlink"/>
            <w:noProof/>
          </w:rPr>
          <w:t>7.8</w:t>
        </w:r>
        <w:r w:rsidR="000C1239">
          <w:rPr>
            <w:rFonts w:eastAsiaTheme="minorEastAsia"/>
            <w:noProof/>
            <w:lang w:eastAsia="en-AU"/>
          </w:rPr>
          <w:tab/>
        </w:r>
        <w:r w:rsidR="000C1239" w:rsidRPr="00390AB4">
          <w:rPr>
            <w:rStyle w:val="Hyperlink"/>
            <w:noProof/>
          </w:rPr>
          <w:t>Who will approve grants?</w:t>
        </w:r>
        <w:r w:rsidR="000C1239">
          <w:rPr>
            <w:noProof/>
            <w:webHidden/>
          </w:rPr>
          <w:tab/>
        </w:r>
        <w:r w:rsidR="000C1239">
          <w:rPr>
            <w:noProof/>
            <w:webHidden/>
          </w:rPr>
          <w:fldChar w:fldCharType="begin"/>
        </w:r>
        <w:r w:rsidR="000C1239">
          <w:rPr>
            <w:noProof/>
            <w:webHidden/>
          </w:rPr>
          <w:instrText xml:space="preserve"> PAGEREF _Toc492882554 \h </w:instrText>
        </w:r>
        <w:r w:rsidR="000C1239">
          <w:rPr>
            <w:noProof/>
            <w:webHidden/>
          </w:rPr>
        </w:r>
        <w:r w:rsidR="000C1239">
          <w:rPr>
            <w:noProof/>
            <w:webHidden/>
          </w:rPr>
          <w:fldChar w:fldCharType="separate"/>
        </w:r>
        <w:r w:rsidR="00406939">
          <w:rPr>
            <w:noProof/>
            <w:webHidden/>
          </w:rPr>
          <w:t>24</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55" w:history="1">
        <w:r w:rsidR="000C1239" w:rsidRPr="00390AB4">
          <w:rPr>
            <w:rStyle w:val="Hyperlink"/>
            <w:noProof/>
          </w:rPr>
          <w:t>8.</w:t>
        </w:r>
        <w:r w:rsidR="000C1239">
          <w:rPr>
            <w:rFonts w:eastAsiaTheme="minorEastAsia"/>
            <w:b w:val="0"/>
            <w:noProof/>
            <w:sz w:val="22"/>
            <w:lang w:eastAsia="en-AU"/>
          </w:rPr>
          <w:tab/>
        </w:r>
        <w:r w:rsidR="000C1239" w:rsidRPr="00390AB4">
          <w:rPr>
            <w:rStyle w:val="Hyperlink"/>
            <w:noProof/>
          </w:rPr>
          <w:t>Notification of application outcomes</w:t>
        </w:r>
        <w:r w:rsidR="000C1239">
          <w:rPr>
            <w:noProof/>
            <w:webHidden/>
          </w:rPr>
          <w:tab/>
        </w:r>
        <w:r w:rsidR="000C1239">
          <w:rPr>
            <w:noProof/>
            <w:webHidden/>
          </w:rPr>
          <w:fldChar w:fldCharType="begin"/>
        </w:r>
        <w:r w:rsidR="000C1239">
          <w:rPr>
            <w:noProof/>
            <w:webHidden/>
          </w:rPr>
          <w:instrText xml:space="preserve"> PAGEREF _Toc492882555 \h </w:instrText>
        </w:r>
        <w:r w:rsidR="000C1239">
          <w:rPr>
            <w:noProof/>
            <w:webHidden/>
          </w:rPr>
        </w:r>
        <w:r w:rsidR="000C1239">
          <w:rPr>
            <w:noProof/>
            <w:webHidden/>
          </w:rPr>
          <w:fldChar w:fldCharType="separate"/>
        </w:r>
        <w:r w:rsidR="00406939">
          <w:rPr>
            <w:noProof/>
            <w:webHidden/>
          </w:rPr>
          <w:t>24</w:t>
        </w:r>
        <w:r w:rsidR="000C1239">
          <w:rPr>
            <w:noProof/>
            <w:webHidden/>
          </w:rPr>
          <w:fldChar w:fldCharType="end"/>
        </w:r>
      </w:hyperlink>
    </w:p>
    <w:p w:rsidR="000C1239" w:rsidRDefault="002E090C">
      <w:pPr>
        <w:pStyle w:val="TOC2"/>
        <w:rPr>
          <w:rFonts w:eastAsiaTheme="minorEastAsia"/>
          <w:noProof/>
          <w:lang w:eastAsia="en-AU"/>
        </w:rPr>
      </w:pPr>
      <w:hyperlink w:anchor="_Toc492882556" w:history="1">
        <w:r w:rsidR="000C1239" w:rsidRPr="00390AB4">
          <w:rPr>
            <w:rStyle w:val="Hyperlink"/>
            <w:noProof/>
          </w:rPr>
          <w:t>8.1</w:t>
        </w:r>
        <w:r w:rsidR="000C1239">
          <w:rPr>
            <w:rFonts w:eastAsiaTheme="minorEastAsia"/>
            <w:noProof/>
            <w:lang w:eastAsia="en-AU"/>
          </w:rPr>
          <w:tab/>
        </w:r>
        <w:r w:rsidR="000C1239" w:rsidRPr="00390AB4">
          <w:rPr>
            <w:rStyle w:val="Hyperlink"/>
            <w:noProof/>
          </w:rPr>
          <w:t>Feedback on your application</w:t>
        </w:r>
        <w:r w:rsidR="000C1239">
          <w:rPr>
            <w:noProof/>
            <w:webHidden/>
          </w:rPr>
          <w:tab/>
        </w:r>
        <w:r w:rsidR="000C1239">
          <w:rPr>
            <w:noProof/>
            <w:webHidden/>
          </w:rPr>
          <w:fldChar w:fldCharType="begin"/>
        </w:r>
        <w:r w:rsidR="000C1239">
          <w:rPr>
            <w:noProof/>
            <w:webHidden/>
          </w:rPr>
          <w:instrText xml:space="preserve"> PAGEREF _Toc492882556 \h </w:instrText>
        </w:r>
        <w:r w:rsidR="000C1239">
          <w:rPr>
            <w:noProof/>
            <w:webHidden/>
          </w:rPr>
        </w:r>
        <w:r w:rsidR="000C1239">
          <w:rPr>
            <w:noProof/>
            <w:webHidden/>
          </w:rPr>
          <w:fldChar w:fldCharType="separate"/>
        </w:r>
        <w:r w:rsidR="00406939">
          <w:rPr>
            <w:noProof/>
            <w:webHidden/>
          </w:rPr>
          <w:t>24</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57" w:history="1">
        <w:r w:rsidR="000C1239" w:rsidRPr="00390AB4">
          <w:rPr>
            <w:rStyle w:val="Hyperlink"/>
            <w:noProof/>
          </w:rPr>
          <w:t>9.</w:t>
        </w:r>
        <w:r w:rsidR="000C1239">
          <w:rPr>
            <w:rFonts w:eastAsiaTheme="minorEastAsia"/>
            <w:b w:val="0"/>
            <w:noProof/>
            <w:sz w:val="22"/>
            <w:lang w:eastAsia="en-AU"/>
          </w:rPr>
          <w:tab/>
        </w:r>
        <w:r w:rsidR="000C1239" w:rsidRPr="00390AB4">
          <w:rPr>
            <w:rStyle w:val="Hyperlink"/>
            <w:noProof/>
          </w:rPr>
          <w:t>Successful grant applications</w:t>
        </w:r>
        <w:r w:rsidR="000C1239">
          <w:rPr>
            <w:noProof/>
            <w:webHidden/>
          </w:rPr>
          <w:tab/>
        </w:r>
        <w:r w:rsidR="000C1239">
          <w:rPr>
            <w:noProof/>
            <w:webHidden/>
          </w:rPr>
          <w:fldChar w:fldCharType="begin"/>
        </w:r>
        <w:r w:rsidR="000C1239">
          <w:rPr>
            <w:noProof/>
            <w:webHidden/>
          </w:rPr>
          <w:instrText xml:space="preserve"> PAGEREF _Toc492882557 \h </w:instrText>
        </w:r>
        <w:r w:rsidR="000C1239">
          <w:rPr>
            <w:noProof/>
            <w:webHidden/>
          </w:rPr>
        </w:r>
        <w:r w:rsidR="000C1239">
          <w:rPr>
            <w:noProof/>
            <w:webHidden/>
          </w:rPr>
          <w:fldChar w:fldCharType="separate"/>
        </w:r>
        <w:r w:rsidR="00406939">
          <w:rPr>
            <w:noProof/>
            <w:webHidden/>
          </w:rPr>
          <w:t>25</w:t>
        </w:r>
        <w:r w:rsidR="000C1239">
          <w:rPr>
            <w:noProof/>
            <w:webHidden/>
          </w:rPr>
          <w:fldChar w:fldCharType="end"/>
        </w:r>
      </w:hyperlink>
    </w:p>
    <w:p w:rsidR="000C1239" w:rsidRDefault="002E090C">
      <w:pPr>
        <w:pStyle w:val="TOC2"/>
        <w:rPr>
          <w:rFonts w:eastAsiaTheme="minorEastAsia"/>
          <w:noProof/>
          <w:lang w:eastAsia="en-AU"/>
        </w:rPr>
      </w:pPr>
      <w:hyperlink w:anchor="_Toc492882558" w:history="1">
        <w:r w:rsidR="000C1239" w:rsidRPr="00390AB4">
          <w:rPr>
            <w:rStyle w:val="Hyperlink"/>
            <w:noProof/>
          </w:rPr>
          <w:t>9.1</w:t>
        </w:r>
        <w:r w:rsidR="000C1239">
          <w:rPr>
            <w:rFonts w:eastAsiaTheme="minorEastAsia"/>
            <w:noProof/>
            <w:lang w:eastAsia="en-AU"/>
          </w:rPr>
          <w:tab/>
        </w:r>
        <w:r w:rsidR="000C1239" w:rsidRPr="00390AB4">
          <w:rPr>
            <w:rStyle w:val="Hyperlink"/>
            <w:noProof/>
          </w:rPr>
          <w:t>The grant agreement</w:t>
        </w:r>
        <w:r w:rsidR="000C1239">
          <w:rPr>
            <w:noProof/>
            <w:webHidden/>
          </w:rPr>
          <w:tab/>
        </w:r>
        <w:r w:rsidR="000C1239">
          <w:rPr>
            <w:noProof/>
            <w:webHidden/>
          </w:rPr>
          <w:fldChar w:fldCharType="begin"/>
        </w:r>
        <w:r w:rsidR="000C1239">
          <w:rPr>
            <w:noProof/>
            <w:webHidden/>
          </w:rPr>
          <w:instrText xml:space="preserve"> PAGEREF _Toc492882558 \h </w:instrText>
        </w:r>
        <w:r w:rsidR="000C1239">
          <w:rPr>
            <w:noProof/>
            <w:webHidden/>
          </w:rPr>
        </w:r>
        <w:r w:rsidR="000C1239">
          <w:rPr>
            <w:noProof/>
            <w:webHidden/>
          </w:rPr>
          <w:fldChar w:fldCharType="separate"/>
        </w:r>
        <w:r w:rsidR="00406939">
          <w:rPr>
            <w:noProof/>
            <w:webHidden/>
          </w:rPr>
          <w:t>25</w:t>
        </w:r>
        <w:r w:rsidR="000C1239">
          <w:rPr>
            <w:noProof/>
            <w:webHidden/>
          </w:rPr>
          <w:fldChar w:fldCharType="end"/>
        </w:r>
      </w:hyperlink>
    </w:p>
    <w:p w:rsidR="000C1239" w:rsidRDefault="002E090C">
      <w:pPr>
        <w:pStyle w:val="TOC2"/>
        <w:rPr>
          <w:rFonts w:eastAsiaTheme="minorEastAsia"/>
          <w:noProof/>
          <w:lang w:eastAsia="en-AU"/>
        </w:rPr>
      </w:pPr>
      <w:hyperlink w:anchor="_Toc492882559" w:history="1">
        <w:r w:rsidR="000C1239" w:rsidRPr="00390AB4">
          <w:rPr>
            <w:rStyle w:val="Hyperlink"/>
            <w:noProof/>
          </w:rPr>
          <w:t>9.2</w:t>
        </w:r>
        <w:r w:rsidR="000C1239">
          <w:rPr>
            <w:rFonts w:eastAsiaTheme="minorEastAsia"/>
            <w:noProof/>
            <w:lang w:eastAsia="en-AU"/>
          </w:rPr>
          <w:tab/>
        </w:r>
        <w:r w:rsidR="000C1239" w:rsidRPr="00390AB4">
          <w:rPr>
            <w:rStyle w:val="Hyperlink"/>
            <w:noProof/>
          </w:rPr>
          <w:t>How the grant will be paid</w:t>
        </w:r>
        <w:r w:rsidR="000C1239">
          <w:rPr>
            <w:noProof/>
            <w:webHidden/>
          </w:rPr>
          <w:tab/>
        </w:r>
        <w:r w:rsidR="000C1239">
          <w:rPr>
            <w:noProof/>
            <w:webHidden/>
          </w:rPr>
          <w:fldChar w:fldCharType="begin"/>
        </w:r>
        <w:r w:rsidR="000C1239">
          <w:rPr>
            <w:noProof/>
            <w:webHidden/>
          </w:rPr>
          <w:instrText xml:space="preserve"> PAGEREF _Toc492882559 \h </w:instrText>
        </w:r>
        <w:r w:rsidR="000C1239">
          <w:rPr>
            <w:noProof/>
            <w:webHidden/>
          </w:rPr>
        </w:r>
        <w:r w:rsidR="000C1239">
          <w:rPr>
            <w:noProof/>
            <w:webHidden/>
          </w:rPr>
          <w:fldChar w:fldCharType="separate"/>
        </w:r>
        <w:r w:rsidR="00406939">
          <w:rPr>
            <w:noProof/>
            <w:webHidden/>
          </w:rPr>
          <w:t>25</w:t>
        </w:r>
        <w:r w:rsidR="000C1239">
          <w:rPr>
            <w:noProof/>
            <w:webHidden/>
          </w:rPr>
          <w:fldChar w:fldCharType="end"/>
        </w:r>
      </w:hyperlink>
    </w:p>
    <w:p w:rsidR="000C1239" w:rsidRDefault="002E090C">
      <w:pPr>
        <w:pStyle w:val="TOC2"/>
        <w:rPr>
          <w:rFonts w:eastAsiaTheme="minorEastAsia"/>
          <w:noProof/>
          <w:lang w:eastAsia="en-AU"/>
        </w:rPr>
      </w:pPr>
      <w:hyperlink w:anchor="_Toc492882560" w:history="1">
        <w:r w:rsidR="000C1239" w:rsidRPr="00390AB4">
          <w:rPr>
            <w:rStyle w:val="Hyperlink"/>
            <w:noProof/>
          </w:rPr>
          <w:t>9.3</w:t>
        </w:r>
        <w:r w:rsidR="000C1239">
          <w:rPr>
            <w:rFonts w:eastAsiaTheme="minorEastAsia"/>
            <w:noProof/>
            <w:lang w:eastAsia="en-AU"/>
          </w:rPr>
          <w:tab/>
        </w:r>
        <w:r w:rsidR="000C1239" w:rsidRPr="00390AB4">
          <w:rPr>
            <w:rStyle w:val="Hyperlink"/>
            <w:noProof/>
          </w:rPr>
          <w:t>Grant agreement variations</w:t>
        </w:r>
        <w:r w:rsidR="000C1239">
          <w:rPr>
            <w:noProof/>
            <w:webHidden/>
          </w:rPr>
          <w:tab/>
        </w:r>
        <w:r w:rsidR="000C1239">
          <w:rPr>
            <w:noProof/>
            <w:webHidden/>
          </w:rPr>
          <w:fldChar w:fldCharType="begin"/>
        </w:r>
        <w:r w:rsidR="000C1239">
          <w:rPr>
            <w:noProof/>
            <w:webHidden/>
          </w:rPr>
          <w:instrText xml:space="preserve"> PAGEREF _Toc492882560 \h </w:instrText>
        </w:r>
        <w:r w:rsidR="000C1239">
          <w:rPr>
            <w:noProof/>
            <w:webHidden/>
          </w:rPr>
        </w:r>
        <w:r w:rsidR="000C1239">
          <w:rPr>
            <w:noProof/>
            <w:webHidden/>
          </w:rPr>
          <w:fldChar w:fldCharType="separate"/>
        </w:r>
        <w:r w:rsidR="00406939">
          <w:rPr>
            <w:noProof/>
            <w:webHidden/>
          </w:rPr>
          <w:t>25</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61" w:history="1">
        <w:r w:rsidR="000C1239" w:rsidRPr="00390AB4">
          <w:rPr>
            <w:rStyle w:val="Hyperlink"/>
            <w:noProof/>
          </w:rPr>
          <w:t>10.</w:t>
        </w:r>
        <w:r w:rsidR="000C1239">
          <w:rPr>
            <w:rFonts w:eastAsiaTheme="minorEastAsia"/>
            <w:b w:val="0"/>
            <w:noProof/>
            <w:sz w:val="22"/>
            <w:lang w:eastAsia="en-AU"/>
          </w:rPr>
          <w:tab/>
        </w:r>
        <w:r w:rsidR="000C1239" w:rsidRPr="00390AB4">
          <w:rPr>
            <w:rStyle w:val="Hyperlink"/>
            <w:noProof/>
          </w:rPr>
          <w:t>Announcement of grants</w:t>
        </w:r>
        <w:r w:rsidR="000C1239">
          <w:rPr>
            <w:noProof/>
            <w:webHidden/>
          </w:rPr>
          <w:tab/>
        </w:r>
        <w:r w:rsidR="000C1239">
          <w:rPr>
            <w:noProof/>
            <w:webHidden/>
          </w:rPr>
          <w:fldChar w:fldCharType="begin"/>
        </w:r>
        <w:r w:rsidR="000C1239">
          <w:rPr>
            <w:noProof/>
            <w:webHidden/>
          </w:rPr>
          <w:instrText xml:space="preserve"> PAGEREF _Toc492882561 \h </w:instrText>
        </w:r>
        <w:r w:rsidR="000C1239">
          <w:rPr>
            <w:noProof/>
            <w:webHidden/>
          </w:rPr>
        </w:r>
        <w:r w:rsidR="000C1239">
          <w:rPr>
            <w:noProof/>
            <w:webHidden/>
          </w:rPr>
          <w:fldChar w:fldCharType="separate"/>
        </w:r>
        <w:r w:rsidR="00406939">
          <w:rPr>
            <w:noProof/>
            <w:webHidden/>
          </w:rPr>
          <w:t>26</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62" w:history="1">
        <w:r w:rsidR="000C1239" w:rsidRPr="00390AB4">
          <w:rPr>
            <w:rStyle w:val="Hyperlink"/>
            <w:noProof/>
          </w:rPr>
          <w:t>11.</w:t>
        </w:r>
        <w:r w:rsidR="000C1239">
          <w:rPr>
            <w:rFonts w:eastAsiaTheme="minorEastAsia"/>
            <w:b w:val="0"/>
            <w:noProof/>
            <w:sz w:val="22"/>
            <w:lang w:eastAsia="en-AU"/>
          </w:rPr>
          <w:tab/>
        </w:r>
        <w:r w:rsidR="000C1239" w:rsidRPr="00390AB4">
          <w:rPr>
            <w:rStyle w:val="Hyperlink"/>
            <w:noProof/>
          </w:rPr>
          <w:t>Delivery of grant activities</w:t>
        </w:r>
        <w:r w:rsidR="000C1239">
          <w:rPr>
            <w:noProof/>
            <w:webHidden/>
          </w:rPr>
          <w:tab/>
        </w:r>
        <w:r w:rsidR="000C1239">
          <w:rPr>
            <w:noProof/>
            <w:webHidden/>
          </w:rPr>
          <w:fldChar w:fldCharType="begin"/>
        </w:r>
        <w:r w:rsidR="000C1239">
          <w:rPr>
            <w:noProof/>
            <w:webHidden/>
          </w:rPr>
          <w:instrText xml:space="preserve"> PAGEREF _Toc492882562 \h </w:instrText>
        </w:r>
        <w:r w:rsidR="000C1239">
          <w:rPr>
            <w:noProof/>
            <w:webHidden/>
          </w:rPr>
        </w:r>
        <w:r w:rsidR="000C1239">
          <w:rPr>
            <w:noProof/>
            <w:webHidden/>
          </w:rPr>
          <w:fldChar w:fldCharType="separate"/>
        </w:r>
        <w:r w:rsidR="00406939">
          <w:rPr>
            <w:noProof/>
            <w:webHidden/>
          </w:rPr>
          <w:t>26</w:t>
        </w:r>
        <w:r w:rsidR="000C1239">
          <w:rPr>
            <w:noProof/>
            <w:webHidden/>
          </w:rPr>
          <w:fldChar w:fldCharType="end"/>
        </w:r>
      </w:hyperlink>
    </w:p>
    <w:p w:rsidR="000C1239" w:rsidRDefault="002E090C">
      <w:pPr>
        <w:pStyle w:val="TOC2"/>
        <w:rPr>
          <w:rFonts w:eastAsiaTheme="minorEastAsia"/>
          <w:noProof/>
          <w:lang w:eastAsia="en-AU"/>
        </w:rPr>
      </w:pPr>
      <w:hyperlink w:anchor="_Toc492882563" w:history="1">
        <w:r w:rsidR="000C1239" w:rsidRPr="00390AB4">
          <w:rPr>
            <w:rStyle w:val="Hyperlink"/>
            <w:noProof/>
          </w:rPr>
          <w:t>11.1</w:t>
        </w:r>
        <w:r w:rsidR="000C1239">
          <w:rPr>
            <w:rFonts w:eastAsiaTheme="minorEastAsia"/>
            <w:noProof/>
            <w:lang w:eastAsia="en-AU"/>
          </w:rPr>
          <w:tab/>
        </w:r>
        <w:r w:rsidR="000C1239" w:rsidRPr="00390AB4">
          <w:rPr>
            <w:rStyle w:val="Hyperlink"/>
            <w:noProof/>
          </w:rPr>
          <w:t>Your responsibilities</w:t>
        </w:r>
        <w:r w:rsidR="000C1239">
          <w:rPr>
            <w:noProof/>
            <w:webHidden/>
          </w:rPr>
          <w:tab/>
        </w:r>
        <w:r w:rsidR="000C1239">
          <w:rPr>
            <w:noProof/>
            <w:webHidden/>
          </w:rPr>
          <w:fldChar w:fldCharType="begin"/>
        </w:r>
        <w:r w:rsidR="000C1239">
          <w:rPr>
            <w:noProof/>
            <w:webHidden/>
          </w:rPr>
          <w:instrText xml:space="preserve"> PAGEREF _Toc492882563 \h </w:instrText>
        </w:r>
        <w:r w:rsidR="000C1239">
          <w:rPr>
            <w:noProof/>
            <w:webHidden/>
          </w:rPr>
        </w:r>
        <w:r w:rsidR="000C1239">
          <w:rPr>
            <w:noProof/>
            <w:webHidden/>
          </w:rPr>
          <w:fldChar w:fldCharType="separate"/>
        </w:r>
        <w:r w:rsidR="00406939">
          <w:rPr>
            <w:noProof/>
            <w:webHidden/>
          </w:rPr>
          <w:t>26</w:t>
        </w:r>
        <w:r w:rsidR="000C1239">
          <w:rPr>
            <w:noProof/>
            <w:webHidden/>
          </w:rPr>
          <w:fldChar w:fldCharType="end"/>
        </w:r>
      </w:hyperlink>
    </w:p>
    <w:p w:rsidR="000C1239" w:rsidRDefault="002E090C">
      <w:pPr>
        <w:pStyle w:val="TOC2"/>
        <w:rPr>
          <w:rFonts w:eastAsiaTheme="minorEastAsia"/>
          <w:noProof/>
          <w:lang w:eastAsia="en-AU"/>
        </w:rPr>
      </w:pPr>
      <w:hyperlink w:anchor="_Toc492882564" w:history="1">
        <w:r w:rsidR="000C1239" w:rsidRPr="00390AB4">
          <w:rPr>
            <w:rStyle w:val="Hyperlink"/>
            <w:noProof/>
          </w:rPr>
          <w:t>11.2</w:t>
        </w:r>
        <w:r w:rsidR="000C1239">
          <w:rPr>
            <w:rFonts w:eastAsiaTheme="minorEastAsia"/>
            <w:noProof/>
            <w:lang w:eastAsia="en-AU"/>
          </w:rPr>
          <w:tab/>
        </w:r>
        <w:r w:rsidR="000C1239" w:rsidRPr="00390AB4">
          <w:rPr>
            <w:rStyle w:val="Hyperlink"/>
            <w:noProof/>
          </w:rPr>
          <w:t>Department of Social Services’ responsibilities</w:t>
        </w:r>
        <w:r w:rsidR="000C1239">
          <w:rPr>
            <w:noProof/>
            <w:webHidden/>
          </w:rPr>
          <w:tab/>
        </w:r>
        <w:r w:rsidR="000C1239">
          <w:rPr>
            <w:noProof/>
            <w:webHidden/>
          </w:rPr>
          <w:fldChar w:fldCharType="begin"/>
        </w:r>
        <w:r w:rsidR="000C1239">
          <w:rPr>
            <w:noProof/>
            <w:webHidden/>
          </w:rPr>
          <w:instrText xml:space="preserve"> PAGEREF _Toc492882564 \h </w:instrText>
        </w:r>
        <w:r w:rsidR="000C1239">
          <w:rPr>
            <w:noProof/>
            <w:webHidden/>
          </w:rPr>
        </w:r>
        <w:r w:rsidR="000C1239">
          <w:rPr>
            <w:noProof/>
            <w:webHidden/>
          </w:rPr>
          <w:fldChar w:fldCharType="separate"/>
        </w:r>
        <w:r w:rsidR="00406939">
          <w:rPr>
            <w:noProof/>
            <w:webHidden/>
          </w:rPr>
          <w:t>26</w:t>
        </w:r>
        <w:r w:rsidR="000C1239">
          <w:rPr>
            <w:noProof/>
            <w:webHidden/>
          </w:rPr>
          <w:fldChar w:fldCharType="end"/>
        </w:r>
      </w:hyperlink>
    </w:p>
    <w:p w:rsidR="000C1239" w:rsidRDefault="002E090C">
      <w:pPr>
        <w:pStyle w:val="TOC2"/>
        <w:rPr>
          <w:rFonts w:eastAsiaTheme="minorEastAsia"/>
          <w:noProof/>
          <w:lang w:eastAsia="en-AU"/>
        </w:rPr>
      </w:pPr>
      <w:hyperlink w:anchor="_Toc492882565" w:history="1">
        <w:r w:rsidR="000C1239" w:rsidRPr="00390AB4">
          <w:rPr>
            <w:rStyle w:val="Hyperlink"/>
            <w:noProof/>
          </w:rPr>
          <w:t>11.3</w:t>
        </w:r>
        <w:r w:rsidR="000C1239">
          <w:rPr>
            <w:rFonts w:eastAsiaTheme="minorEastAsia"/>
            <w:noProof/>
            <w:lang w:eastAsia="en-AU"/>
          </w:rPr>
          <w:tab/>
        </w:r>
        <w:r w:rsidR="000C1239" w:rsidRPr="00390AB4">
          <w:rPr>
            <w:rStyle w:val="Hyperlink"/>
            <w:noProof/>
          </w:rPr>
          <w:t>Grant payments and GST</w:t>
        </w:r>
        <w:r w:rsidR="000C1239">
          <w:rPr>
            <w:noProof/>
            <w:webHidden/>
          </w:rPr>
          <w:tab/>
        </w:r>
        <w:r w:rsidR="000C1239">
          <w:rPr>
            <w:noProof/>
            <w:webHidden/>
          </w:rPr>
          <w:fldChar w:fldCharType="begin"/>
        </w:r>
        <w:r w:rsidR="000C1239">
          <w:rPr>
            <w:noProof/>
            <w:webHidden/>
          </w:rPr>
          <w:instrText xml:space="preserve"> PAGEREF _Toc492882565 \h </w:instrText>
        </w:r>
        <w:r w:rsidR="000C1239">
          <w:rPr>
            <w:noProof/>
            <w:webHidden/>
          </w:rPr>
        </w:r>
        <w:r w:rsidR="000C1239">
          <w:rPr>
            <w:noProof/>
            <w:webHidden/>
          </w:rPr>
          <w:fldChar w:fldCharType="separate"/>
        </w:r>
        <w:r w:rsidR="00406939">
          <w:rPr>
            <w:noProof/>
            <w:webHidden/>
          </w:rPr>
          <w:t>27</w:t>
        </w:r>
        <w:r w:rsidR="000C1239">
          <w:rPr>
            <w:noProof/>
            <w:webHidden/>
          </w:rPr>
          <w:fldChar w:fldCharType="end"/>
        </w:r>
      </w:hyperlink>
    </w:p>
    <w:p w:rsidR="000C1239" w:rsidRDefault="002E090C">
      <w:pPr>
        <w:pStyle w:val="TOC2"/>
        <w:rPr>
          <w:rFonts w:eastAsiaTheme="minorEastAsia"/>
          <w:noProof/>
          <w:lang w:eastAsia="en-AU"/>
        </w:rPr>
      </w:pPr>
      <w:hyperlink w:anchor="_Toc492882566" w:history="1">
        <w:r w:rsidR="000C1239" w:rsidRPr="00390AB4">
          <w:rPr>
            <w:rStyle w:val="Hyperlink"/>
            <w:noProof/>
          </w:rPr>
          <w:t>11.4</w:t>
        </w:r>
        <w:r w:rsidR="000C1239">
          <w:rPr>
            <w:rFonts w:eastAsiaTheme="minorEastAsia"/>
            <w:noProof/>
            <w:lang w:eastAsia="en-AU"/>
          </w:rPr>
          <w:tab/>
        </w:r>
        <w:r w:rsidR="000C1239" w:rsidRPr="00390AB4">
          <w:rPr>
            <w:rStyle w:val="Hyperlink"/>
            <w:noProof/>
          </w:rPr>
          <w:t>Evaluation</w:t>
        </w:r>
        <w:r w:rsidR="000C1239">
          <w:rPr>
            <w:noProof/>
            <w:webHidden/>
          </w:rPr>
          <w:tab/>
        </w:r>
        <w:r w:rsidR="000C1239">
          <w:rPr>
            <w:noProof/>
            <w:webHidden/>
          </w:rPr>
          <w:fldChar w:fldCharType="begin"/>
        </w:r>
        <w:r w:rsidR="000C1239">
          <w:rPr>
            <w:noProof/>
            <w:webHidden/>
          </w:rPr>
          <w:instrText xml:space="preserve"> PAGEREF _Toc492882566 \h </w:instrText>
        </w:r>
        <w:r w:rsidR="000C1239">
          <w:rPr>
            <w:noProof/>
            <w:webHidden/>
          </w:rPr>
        </w:r>
        <w:r w:rsidR="000C1239">
          <w:rPr>
            <w:noProof/>
            <w:webHidden/>
          </w:rPr>
          <w:fldChar w:fldCharType="separate"/>
        </w:r>
        <w:r w:rsidR="00406939">
          <w:rPr>
            <w:noProof/>
            <w:webHidden/>
          </w:rPr>
          <w:t>27</w:t>
        </w:r>
        <w:r w:rsidR="000C1239">
          <w:rPr>
            <w:noProof/>
            <w:webHidden/>
          </w:rPr>
          <w:fldChar w:fldCharType="end"/>
        </w:r>
      </w:hyperlink>
    </w:p>
    <w:p w:rsidR="000C1239" w:rsidRDefault="002E090C">
      <w:pPr>
        <w:pStyle w:val="TOC2"/>
        <w:rPr>
          <w:rFonts w:eastAsiaTheme="minorEastAsia"/>
          <w:noProof/>
          <w:lang w:eastAsia="en-AU"/>
        </w:rPr>
      </w:pPr>
      <w:hyperlink w:anchor="_Toc492882567" w:history="1">
        <w:r w:rsidR="000C1239" w:rsidRPr="00390AB4">
          <w:rPr>
            <w:rStyle w:val="Hyperlink"/>
            <w:noProof/>
          </w:rPr>
          <w:t>11.5</w:t>
        </w:r>
        <w:r w:rsidR="000C1239">
          <w:rPr>
            <w:rFonts w:eastAsiaTheme="minorEastAsia"/>
            <w:noProof/>
            <w:lang w:eastAsia="en-AU"/>
          </w:rPr>
          <w:tab/>
        </w:r>
        <w:r w:rsidR="000C1239" w:rsidRPr="00390AB4">
          <w:rPr>
            <w:rStyle w:val="Hyperlink"/>
            <w:noProof/>
          </w:rPr>
          <w:t>Acknowledgement</w:t>
        </w:r>
        <w:r w:rsidR="000C1239">
          <w:rPr>
            <w:noProof/>
            <w:webHidden/>
          </w:rPr>
          <w:tab/>
        </w:r>
        <w:r w:rsidR="000C1239">
          <w:rPr>
            <w:noProof/>
            <w:webHidden/>
          </w:rPr>
          <w:fldChar w:fldCharType="begin"/>
        </w:r>
        <w:r w:rsidR="000C1239">
          <w:rPr>
            <w:noProof/>
            <w:webHidden/>
          </w:rPr>
          <w:instrText xml:space="preserve"> PAGEREF _Toc492882567 \h </w:instrText>
        </w:r>
        <w:r w:rsidR="000C1239">
          <w:rPr>
            <w:noProof/>
            <w:webHidden/>
          </w:rPr>
        </w:r>
        <w:r w:rsidR="000C1239">
          <w:rPr>
            <w:noProof/>
            <w:webHidden/>
          </w:rPr>
          <w:fldChar w:fldCharType="separate"/>
        </w:r>
        <w:r w:rsidR="00406939">
          <w:rPr>
            <w:noProof/>
            <w:webHidden/>
          </w:rPr>
          <w:t>27</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68" w:history="1">
        <w:r w:rsidR="000C1239" w:rsidRPr="00390AB4">
          <w:rPr>
            <w:rStyle w:val="Hyperlink"/>
            <w:noProof/>
          </w:rPr>
          <w:t>12.</w:t>
        </w:r>
        <w:r w:rsidR="000C1239">
          <w:rPr>
            <w:rFonts w:eastAsiaTheme="minorEastAsia"/>
            <w:b w:val="0"/>
            <w:noProof/>
            <w:sz w:val="22"/>
            <w:lang w:eastAsia="en-AU"/>
          </w:rPr>
          <w:tab/>
        </w:r>
        <w:r w:rsidR="000C1239" w:rsidRPr="00390AB4">
          <w:rPr>
            <w:rStyle w:val="Hyperlink"/>
            <w:noProof/>
          </w:rPr>
          <w:t>Probity</w:t>
        </w:r>
        <w:r w:rsidR="000C1239">
          <w:rPr>
            <w:noProof/>
            <w:webHidden/>
          </w:rPr>
          <w:tab/>
        </w:r>
        <w:r w:rsidR="000C1239">
          <w:rPr>
            <w:noProof/>
            <w:webHidden/>
          </w:rPr>
          <w:fldChar w:fldCharType="begin"/>
        </w:r>
        <w:r w:rsidR="000C1239">
          <w:rPr>
            <w:noProof/>
            <w:webHidden/>
          </w:rPr>
          <w:instrText xml:space="preserve"> PAGEREF _Toc492882568 \h </w:instrText>
        </w:r>
        <w:r w:rsidR="000C1239">
          <w:rPr>
            <w:noProof/>
            <w:webHidden/>
          </w:rPr>
        </w:r>
        <w:r w:rsidR="000C1239">
          <w:rPr>
            <w:noProof/>
            <w:webHidden/>
          </w:rPr>
          <w:fldChar w:fldCharType="separate"/>
        </w:r>
        <w:r w:rsidR="00406939">
          <w:rPr>
            <w:noProof/>
            <w:webHidden/>
          </w:rPr>
          <w:t>28</w:t>
        </w:r>
        <w:r w:rsidR="000C1239">
          <w:rPr>
            <w:noProof/>
            <w:webHidden/>
          </w:rPr>
          <w:fldChar w:fldCharType="end"/>
        </w:r>
      </w:hyperlink>
    </w:p>
    <w:p w:rsidR="000C1239" w:rsidRDefault="002E090C">
      <w:pPr>
        <w:pStyle w:val="TOC2"/>
        <w:rPr>
          <w:rFonts w:eastAsiaTheme="minorEastAsia"/>
          <w:noProof/>
          <w:lang w:eastAsia="en-AU"/>
        </w:rPr>
      </w:pPr>
      <w:hyperlink w:anchor="_Toc492882569" w:history="1">
        <w:r w:rsidR="000C1239" w:rsidRPr="00390AB4">
          <w:rPr>
            <w:rStyle w:val="Hyperlink"/>
            <w:noProof/>
          </w:rPr>
          <w:t>12.1</w:t>
        </w:r>
        <w:r w:rsidR="000C1239">
          <w:rPr>
            <w:rFonts w:eastAsiaTheme="minorEastAsia"/>
            <w:noProof/>
            <w:lang w:eastAsia="en-AU"/>
          </w:rPr>
          <w:tab/>
        </w:r>
        <w:r w:rsidR="000C1239" w:rsidRPr="00390AB4">
          <w:rPr>
            <w:rStyle w:val="Hyperlink"/>
            <w:noProof/>
          </w:rPr>
          <w:t>Complaints process</w:t>
        </w:r>
        <w:r w:rsidR="000C1239">
          <w:rPr>
            <w:noProof/>
            <w:webHidden/>
          </w:rPr>
          <w:tab/>
        </w:r>
        <w:r w:rsidR="000C1239">
          <w:rPr>
            <w:noProof/>
            <w:webHidden/>
          </w:rPr>
          <w:fldChar w:fldCharType="begin"/>
        </w:r>
        <w:r w:rsidR="000C1239">
          <w:rPr>
            <w:noProof/>
            <w:webHidden/>
          </w:rPr>
          <w:instrText xml:space="preserve"> PAGEREF _Toc492882569 \h </w:instrText>
        </w:r>
        <w:r w:rsidR="000C1239">
          <w:rPr>
            <w:noProof/>
            <w:webHidden/>
          </w:rPr>
        </w:r>
        <w:r w:rsidR="000C1239">
          <w:rPr>
            <w:noProof/>
            <w:webHidden/>
          </w:rPr>
          <w:fldChar w:fldCharType="separate"/>
        </w:r>
        <w:r w:rsidR="00406939">
          <w:rPr>
            <w:noProof/>
            <w:webHidden/>
          </w:rPr>
          <w:t>28</w:t>
        </w:r>
        <w:r w:rsidR="000C1239">
          <w:rPr>
            <w:noProof/>
            <w:webHidden/>
          </w:rPr>
          <w:fldChar w:fldCharType="end"/>
        </w:r>
      </w:hyperlink>
    </w:p>
    <w:p w:rsidR="000C1239" w:rsidRDefault="002E090C">
      <w:pPr>
        <w:pStyle w:val="TOC2"/>
        <w:rPr>
          <w:rFonts w:eastAsiaTheme="minorEastAsia"/>
          <w:noProof/>
          <w:lang w:eastAsia="en-AU"/>
        </w:rPr>
      </w:pPr>
      <w:hyperlink w:anchor="_Toc492882570" w:history="1">
        <w:r w:rsidR="000C1239" w:rsidRPr="00390AB4">
          <w:rPr>
            <w:rStyle w:val="Hyperlink"/>
            <w:noProof/>
          </w:rPr>
          <w:t>12.2</w:t>
        </w:r>
        <w:r w:rsidR="000C1239">
          <w:rPr>
            <w:rFonts w:eastAsiaTheme="minorEastAsia"/>
            <w:noProof/>
            <w:lang w:eastAsia="en-AU"/>
          </w:rPr>
          <w:tab/>
        </w:r>
        <w:r w:rsidR="000C1239" w:rsidRPr="00390AB4">
          <w:rPr>
            <w:rStyle w:val="Hyperlink"/>
            <w:noProof/>
          </w:rPr>
          <w:t>Conflict of interest</w:t>
        </w:r>
        <w:r w:rsidR="000C1239">
          <w:rPr>
            <w:noProof/>
            <w:webHidden/>
          </w:rPr>
          <w:tab/>
        </w:r>
        <w:r w:rsidR="000C1239">
          <w:rPr>
            <w:noProof/>
            <w:webHidden/>
          </w:rPr>
          <w:fldChar w:fldCharType="begin"/>
        </w:r>
        <w:r w:rsidR="000C1239">
          <w:rPr>
            <w:noProof/>
            <w:webHidden/>
          </w:rPr>
          <w:instrText xml:space="preserve"> PAGEREF _Toc492882570 \h </w:instrText>
        </w:r>
        <w:r w:rsidR="000C1239">
          <w:rPr>
            <w:noProof/>
            <w:webHidden/>
          </w:rPr>
        </w:r>
        <w:r w:rsidR="000C1239">
          <w:rPr>
            <w:noProof/>
            <w:webHidden/>
          </w:rPr>
          <w:fldChar w:fldCharType="separate"/>
        </w:r>
        <w:r w:rsidR="00406939">
          <w:rPr>
            <w:noProof/>
            <w:webHidden/>
          </w:rPr>
          <w:t>29</w:t>
        </w:r>
        <w:r w:rsidR="000C1239">
          <w:rPr>
            <w:noProof/>
            <w:webHidden/>
          </w:rPr>
          <w:fldChar w:fldCharType="end"/>
        </w:r>
      </w:hyperlink>
    </w:p>
    <w:p w:rsidR="000C1239" w:rsidRDefault="002E090C">
      <w:pPr>
        <w:pStyle w:val="TOC2"/>
        <w:rPr>
          <w:rFonts w:eastAsiaTheme="minorEastAsia"/>
          <w:noProof/>
          <w:lang w:eastAsia="en-AU"/>
        </w:rPr>
      </w:pPr>
      <w:hyperlink w:anchor="_Toc492882571" w:history="1">
        <w:r w:rsidR="000C1239" w:rsidRPr="00390AB4">
          <w:rPr>
            <w:rStyle w:val="Hyperlink"/>
            <w:noProof/>
          </w:rPr>
          <w:t>12.3</w:t>
        </w:r>
        <w:r w:rsidR="000C1239">
          <w:rPr>
            <w:rFonts w:eastAsiaTheme="minorEastAsia"/>
            <w:noProof/>
            <w:lang w:eastAsia="en-AU"/>
          </w:rPr>
          <w:tab/>
        </w:r>
        <w:r w:rsidR="000C1239" w:rsidRPr="00390AB4">
          <w:rPr>
            <w:rStyle w:val="Hyperlink"/>
            <w:noProof/>
          </w:rPr>
          <w:t>Privacy: confidentiality and protection of personal information</w:t>
        </w:r>
        <w:r w:rsidR="000C1239">
          <w:rPr>
            <w:noProof/>
            <w:webHidden/>
          </w:rPr>
          <w:tab/>
        </w:r>
        <w:r w:rsidR="000C1239">
          <w:rPr>
            <w:noProof/>
            <w:webHidden/>
          </w:rPr>
          <w:fldChar w:fldCharType="begin"/>
        </w:r>
        <w:r w:rsidR="000C1239">
          <w:rPr>
            <w:noProof/>
            <w:webHidden/>
          </w:rPr>
          <w:instrText xml:space="preserve"> PAGEREF _Toc492882571 \h </w:instrText>
        </w:r>
        <w:r w:rsidR="000C1239">
          <w:rPr>
            <w:noProof/>
            <w:webHidden/>
          </w:rPr>
        </w:r>
        <w:r w:rsidR="000C1239">
          <w:rPr>
            <w:noProof/>
            <w:webHidden/>
          </w:rPr>
          <w:fldChar w:fldCharType="separate"/>
        </w:r>
        <w:r w:rsidR="00406939">
          <w:rPr>
            <w:noProof/>
            <w:webHidden/>
          </w:rPr>
          <w:t>29</w:t>
        </w:r>
        <w:r w:rsidR="000C1239">
          <w:rPr>
            <w:noProof/>
            <w:webHidden/>
          </w:rPr>
          <w:fldChar w:fldCharType="end"/>
        </w:r>
      </w:hyperlink>
    </w:p>
    <w:p w:rsidR="000C1239" w:rsidRDefault="002E090C">
      <w:pPr>
        <w:pStyle w:val="TOC2"/>
        <w:rPr>
          <w:rFonts w:eastAsiaTheme="minorEastAsia"/>
          <w:noProof/>
          <w:lang w:eastAsia="en-AU"/>
        </w:rPr>
      </w:pPr>
      <w:hyperlink w:anchor="_Toc492882572" w:history="1">
        <w:r w:rsidR="000C1239" w:rsidRPr="00390AB4">
          <w:rPr>
            <w:rStyle w:val="Hyperlink"/>
            <w:noProof/>
          </w:rPr>
          <w:t>12.4</w:t>
        </w:r>
        <w:r w:rsidR="000C1239">
          <w:rPr>
            <w:rFonts w:eastAsiaTheme="minorEastAsia"/>
            <w:noProof/>
            <w:lang w:eastAsia="en-AU"/>
          </w:rPr>
          <w:tab/>
        </w:r>
        <w:r w:rsidR="000C1239" w:rsidRPr="00390AB4">
          <w:rPr>
            <w:rStyle w:val="Hyperlink"/>
            <w:noProof/>
          </w:rPr>
          <w:t>Freedom of information</w:t>
        </w:r>
        <w:r w:rsidR="000C1239">
          <w:rPr>
            <w:noProof/>
            <w:webHidden/>
          </w:rPr>
          <w:tab/>
        </w:r>
        <w:r w:rsidR="000C1239">
          <w:rPr>
            <w:noProof/>
            <w:webHidden/>
          </w:rPr>
          <w:fldChar w:fldCharType="begin"/>
        </w:r>
        <w:r w:rsidR="000C1239">
          <w:rPr>
            <w:noProof/>
            <w:webHidden/>
          </w:rPr>
          <w:instrText xml:space="preserve"> PAGEREF _Toc492882572 \h </w:instrText>
        </w:r>
        <w:r w:rsidR="000C1239">
          <w:rPr>
            <w:noProof/>
            <w:webHidden/>
          </w:rPr>
        </w:r>
        <w:r w:rsidR="000C1239">
          <w:rPr>
            <w:noProof/>
            <w:webHidden/>
          </w:rPr>
          <w:fldChar w:fldCharType="separate"/>
        </w:r>
        <w:r w:rsidR="00406939">
          <w:rPr>
            <w:noProof/>
            <w:webHidden/>
          </w:rPr>
          <w:t>31</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73" w:history="1">
        <w:r w:rsidR="000C1239" w:rsidRPr="00390AB4">
          <w:rPr>
            <w:rStyle w:val="Hyperlink"/>
            <w:noProof/>
          </w:rPr>
          <w:t>13.</w:t>
        </w:r>
        <w:r w:rsidR="000C1239">
          <w:rPr>
            <w:rFonts w:eastAsiaTheme="minorEastAsia"/>
            <w:b w:val="0"/>
            <w:noProof/>
            <w:sz w:val="22"/>
            <w:lang w:eastAsia="en-AU"/>
          </w:rPr>
          <w:tab/>
        </w:r>
        <w:r w:rsidR="000C1239" w:rsidRPr="00390AB4">
          <w:rPr>
            <w:rStyle w:val="Hyperlink"/>
            <w:noProof/>
          </w:rPr>
          <w:t>Consultation</w:t>
        </w:r>
        <w:r w:rsidR="000C1239">
          <w:rPr>
            <w:noProof/>
            <w:webHidden/>
          </w:rPr>
          <w:tab/>
        </w:r>
        <w:r w:rsidR="000C1239">
          <w:rPr>
            <w:noProof/>
            <w:webHidden/>
          </w:rPr>
          <w:fldChar w:fldCharType="begin"/>
        </w:r>
        <w:r w:rsidR="000C1239">
          <w:rPr>
            <w:noProof/>
            <w:webHidden/>
          </w:rPr>
          <w:instrText xml:space="preserve"> PAGEREF _Toc492882573 \h </w:instrText>
        </w:r>
        <w:r w:rsidR="000C1239">
          <w:rPr>
            <w:noProof/>
            <w:webHidden/>
          </w:rPr>
        </w:r>
        <w:r w:rsidR="000C1239">
          <w:rPr>
            <w:noProof/>
            <w:webHidden/>
          </w:rPr>
          <w:fldChar w:fldCharType="separate"/>
        </w:r>
        <w:r w:rsidR="00406939">
          <w:rPr>
            <w:noProof/>
            <w:webHidden/>
          </w:rPr>
          <w:t>31</w:t>
        </w:r>
        <w:r w:rsidR="000C1239">
          <w:rPr>
            <w:noProof/>
            <w:webHidden/>
          </w:rPr>
          <w:fldChar w:fldCharType="end"/>
        </w:r>
      </w:hyperlink>
    </w:p>
    <w:p w:rsidR="000C1239" w:rsidRDefault="002E090C">
      <w:pPr>
        <w:pStyle w:val="TOC1"/>
        <w:rPr>
          <w:rFonts w:eastAsiaTheme="minorEastAsia"/>
          <w:b w:val="0"/>
          <w:noProof/>
          <w:sz w:val="22"/>
          <w:lang w:eastAsia="en-AU"/>
        </w:rPr>
      </w:pPr>
      <w:hyperlink w:anchor="_Toc492882574" w:history="1">
        <w:r w:rsidR="000C1239" w:rsidRPr="00390AB4">
          <w:rPr>
            <w:rStyle w:val="Hyperlink"/>
            <w:noProof/>
          </w:rPr>
          <w:t>14.</w:t>
        </w:r>
        <w:r w:rsidR="000C1239">
          <w:rPr>
            <w:rFonts w:eastAsiaTheme="minorEastAsia"/>
            <w:b w:val="0"/>
            <w:noProof/>
            <w:sz w:val="22"/>
            <w:lang w:eastAsia="en-AU"/>
          </w:rPr>
          <w:tab/>
        </w:r>
        <w:r w:rsidR="000C1239" w:rsidRPr="00390AB4">
          <w:rPr>
            <w:rStyle w:val="Hyperlink"/>
            <w:noProof/>
          </w:rPr>
          <w:t>Glossary</w:t>
        </w:r>
        <w:r w:rsidR="000C1239">
          <w:rPr>
            <w:noProof/>
            <w:webHidden/>
          </w:rPr>
          <w:tab/>
        </w:r>
        <w:r w:rsidR="000C1239">
          <w:rPr>
            <w:noProof/>
            <w:webHidden/>
          </w:rPr>
          <w:fldChar w:fldCharType="begin"/>
        </w:r>
        <w:r w:rsidR="000C1239">
          <w:rPr>
            <w:noProof/>
            <w:webHidden/>
          </w:rPr>
          <w:instrText xml:space="preserve"> PAGEREF _Toc492882574 \h </w:instrText>
        </w:r>
        <w:r w:rsidR="000C1239">
          <w:rPr>
            <w:noProof/>
            <w:webHidden/>
          </w:rPr>
        </w:r>
        <w:r w:rsidR="000C1239">
          <w:rPr>
            <w:noProof/>
            <w:webHidden/>
          </w:rPr>
          <w:fldChar w:fldCharType="separate"/>
        </w:r>
        <w:r w:rsidR="00406939">
          <w:rPr>
            <w:noProof/>
            <w:webHidden/>
          </w:rPr>
          <w:t>32</w:t>
        </w:r>
        <w:r w:rsidR="000C1239">
          <w:rPr>
            <w:noProof/>
            <w:webHidden/>
          </w:rPr>
          <w:fldChar w:fldCharType="end"/>
        </w:r>
      </w:hyperlink>
    </w:p>
    <w:p w:rsidR="007A25F0" w:rsidRDefault="0020122A" w:rsidP="00432EC5">
      <w:r>
        <w:fldChar w:fldCharType="end"/>
      </w:r>
    </w:p>
    <w:p w:rsidR="00BE0F17" w:rsidRDefault="00BE0F17">
      <w:pPr>
        <w:suppressAutoHyphens w:val="0"/>
        <w:spacing w:before="0" w:after="120" w:line="440" w:lineRule="atLeast"/>
      </w:pPr>
      <w:r>
        <w:br w:type="page"/>
      </w:r>
    </w:p>
    <w:p w:rsidR="00EE2B1C" w:rsidRPr="00F40BDA" w:rsidRDefault="00F2331B" w:rsidP="00EE2B1C">
      <w:pPr>
        <w:pStyle w:val="Heading1Numbered"/>
      </w:pPr>
      <w:bookmarkStart w:id="0" w:name="_Toc458420391"/>
      <w:bookmarkStart w:id="1" w:name="_Toc467773950"/>
      <w:bookmarkStart w:id="2" w:name="_Toc492882528"/>
      <w:r w:rsidRPr="00F2331B">
        <w:rPr>
          <w:color w:val="auto"/>
        </w:rPr>
        <w:lastRenderedPageBreak/>
        <w:t>Disability Employment Services: National Panel of Assessors</w:t>
      </w:r>
      <w:r>
        <w:rPr>
          <w:color w:val="745B00" w:themeColor="accent3" w:themeShade="80"/>
        </w:rPr>
        <w:t xml:space="preserve"> </w:t>
      </w:r>
      <w:r w:rsidR="003079BC" w:rsidRPr="00432EC5">
        <w:rPr>
          <w:color w:val="auto"/>
        </w:rPr>
        <w:t xml:space="preserve">Grant Opportunity </w:t>
      </w:r>
      <w:r w:rsidR="00EE2B1C" w:rsidRPr="00F40BDA">
        <w:t>Process</w:t>
      </w:r>
      <w:r w:rsidR="00EE2B1C">
        <w:t>es</w:t>
      </w:r>
      <w:bookmarkEnd w:id="0"/>
      <w:bookmarkEnd w:id="1"/>
      <w:bookmarkEnd w:id="2"/>
    </w:p>
    <w:p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rsidR="00EE2B1C" w:rsidRDefault="00EE2B1C" w:rsidP="00EE2B1C">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above </w:t>
      </w:r>
      <w:r w:rsidR="003079BC">
        <w:t xml:space="preserve">Disability Employment Services </w:t>
      </w:r>
      <w:r>
        <w:t xml:space="preserve">which contributes to </w:t>
      </w:r>
      <w:r w:rsidR="00F2331B">
        <w:t>the Department of Social Services’</w:t>
      </w:r>
      <w:r>
        <w:t xml:space="preserve"> Outcome </w:t>
      </w:r>
      <w:r w:rsidR="00F2331B">
        <w:t>3 Disability and Carers</w:t>
      </w:r>
      <w:r w:rsidR="003079BC">
        <w:t xml:space="preserve"> Program</w:t>
      </w:r>
      <w:r>
        <w:t xml:space="preserve">. </w:t>
      </w:r>
      <w:r w:rsidRPr="00F40BDA">
        <w:t>The</w:t>
      </w:r>
      <w:r w:rsidR="00F2331B">
        <w:t xml:space="preserve"> Department of Social Services</w:t>
      </w:r>
      <w:r w:rsidRPr="00F40BDA">
        <w:t xml:space="preserve"> works with stakeholders to plan and design the </w:t>
      </w:r>
      <w:r w:rsidRPr="003079BC">
        <w:t>grant program</w:t>
      </w:r>
      <w:r>
        <w:t xml:space="preserve"> according to</w:t>
      </w:r>
      <w:r w:rsidRPr="00F40BDA">
        <w:t xml:space="preserve"> the </w:t>
      </w:r>
      <w:r w:rsidRPr="00F40BDA">
        <w:rPr>
          <w:i/>
        </w:rPr>
        <w:t>Commonwealth Grants Rules and Guidelines</w:t>
      </w:r>
      <w:r w:rsidRPr="00F40BDA">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opportunity opens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and advertise on GrantConnect</w:t>
      </w:r>
      <w:r w:rsidR="00575D24">
        <w:t xml:space="preserve"> and Community Grants Hub website</w:t>
      </w:r>
      <w:r w:rsidR="003079BC">
        <w:t>s</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234E86"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w:t>
      </w:r>
      <w:r w:rsidR="00575D24">
        <w:rPr>
          <w:b/>
        </w:rPr>
        <w:t>n</w:t>
      </w:r>
      <w:r w:rsidRPr="00947729">
        <w:rPr>
          <w:b/>
        </w:rPr>
        <w:t xml:space="preserve"> application</w:t>
      </w:r>
    </w:p>
    <w:p w:rsidR="00EE2B1C" w:rsidRDefault="00234E86" w:rsidP="00EE2B1C">
      <w:pPr>
        <w:pBdr>
          <w:top w:val="single" w:sz="2" w:space="1" w:color="auto"/>
          <w:left w:val="single" w:sz="2" w:space="4" w:color="auto"/>
          <w:bottom w:val="single" w:sz="2" w:space="1" w:color="auto"/>
          <w:right w:val="single" w:sz="2" w:space="4" w:color="auto"/>
        </w:pBdr>
        <w:spacing w:after="0"/>
        <w:jc w:val="center"/>
        <w:rPr>
          <w:b/>
        </w:rPr>
      </w:pPr>
      <w:r w:rsidRPr="004B61BC">
        <w:t xml:space="preserve">You must read these grant guidelines before you submit your </w:t>
      </w:r>
      <w:r>
        <w:t>application</w:t>
      </w:r>
      <w:r w:rsidRPr="004B61BC">
        <w:t xml:space="preserve">. These guidelines can be found on </w:t>
      </w:r>
      <w:hyperlink r:id="rId10"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on any changes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application</w:t>
      </w:r>
      <w:r>
        <w:rPr>
          <w:b/>
        </w:rPr>
        <w:t>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notify you if you are not eligible.  We then assess your application against the assessment criteria including an overall consideration of value for money</w:t>
      </w:r>
      <w:r w:rsidR="00575D24">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recommendations</w:t>
      </w:r>
    </w:p>
    <w:p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D</w:t>
      </w:r>
      <w:r w:rsidRPr="00DB0315">
        <w:rPr>
          <w:b/>
        </w:rPr>
        <w:t>ecision</w:t>
      </w:r>
      <w:r>
        <w:rPr>
          <w:b/>
        </w:rPr>
        <w:t>s are made</w:t>
      </w:r>
    </w:p>
    <w:p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 xml:space="preserve">which </w:t>
      </w:r>
      <w:r w:rsidR="008A3717">
        <w:t xml:space="preserve">grant </w:t>
      </w:r>
      <w:r w:rsidRPr="00123D11">
        <w:t>applications are successful.</w:t>
      </w:r>
    </w:p>
    <w:p w:rsidR="00460C58" w:rsidRDefault="00460C58">
      <w:pPr>
        <w:suppressAutoHyphens w:val="0"/>
        <w:spacing w:before="0" w:after="120" w:line="440" w:lineRule="atLeast"/>
        <w:rPr>
          <w:rFonts w:ascii="Wingdings" w:hAnsi="Wingdings"/>
          <w:sz w:val="20"/>
          <w:szCs w:val="20"/>
        </w:rPr>
      </w:pPr>
    </w:p>
    <w:p w:rsidR="00B67590" w:rsidRDefault="00B67590">
      <w:pPr>
        <w:suppressAutoHyphens w:val="0"/>
        <w:spacing w:before="0" w:after="120" w:line="440" w:lineRule="atLeast"/>
        <w:rPr>
          <w:rFonts w:ascii="Wingdings" w:hAnsi="Wingdings"/>
          <w:sz w:val="20"/>
          <w:szCs w:val="20"/>
        </w:rPr>
      </w:pP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6C0820">
        <w:rPr>
          <w:rStyle w:val="highlightedtextChar"/>
          <w:color w:val="auto"/>
        </w:rPr>
        <w:t>We enter into a grant agreement</w:t>
      </w:r>
      <w:r w:rsidRPr="00045933">
        <w:rPr>
          <w:rStyle w:val="highlightedtextChar"/>
        </w:rPr>
        <w:t xml:space="preserve">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or letter of agreement with successful applicants.  </w:t>
      </w:r>
      <w:r w:rsidRPr="00F40BDA">
        <w:t xml:space="preserve">The type of grant agreement is based on the nature of the grant and </w:t>
      </w:r>
      <w:r w:rsidR="00D04935">
        <w:t xml:space="preserve">is </w:t>
      </w:r>
      <w:r w:rsidRPr="00F40BDA">
        <w:t>proportional to the risks involved.</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 xml:space="preserve">Delivery of </w:t>
      </w:r>
      <w:r w:rsidR="00380433">
        <w:rPr>
          <w:b/>
          <w:bCs/>
        </w:rPr>
        <w:t>A</w:t>
      </w:r>
      <w:r w:rsidR="008A3717">
        <w:rPr>
          <w:b/>
        </w:rPr>
        <w:t xml:space="preserve">ssessment </w:t>
      </w:r>
      <w:r w:rsidR="00380433">
        <w:rPr>
          <w:b/>
        </w:rPr>
        <w:t>S</w:t>
      </w:r>
      <w:r w:rsidR="008A3717">
        <w:rPr>
          <w:b/>
        </w:rPr>
        <w:t>ervices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 xml:space="preserve">the </w:t>
      </w:r>
      <w:r w:rsidR="00380433">
        <w:rPr>
          <w:bCs/>
        </w:rPr>
        <w:t>A</w:t>
      </w:r>
      <w:r w:rsidR="008A3717">
        <w:rPr>
          <w:bCs/>
        </w:rPr>
        <w:t xml:space="preserve">ssessment </w:t>
      </w:r>
      <w:r w:rsidR="00380433">
        <w:rPr>
          <w:bCs/>
        </w:rPr>
        <w:t>S</w:t>
      </w:r>
      <w:r w:rsidR="008A3717">
        <w:rPr>
          <w:bCs/>
        </w:rPr>
        <w:t xml:space="preserve">ervices </w:t>
      </w:r>
      <w:r>
        <w:rPr>
          <w:bCs/>
        </w:rPr>
        <w:t xml:space="preserve">as set out in your </w:t>
      </w:r>
      <w:r w:rsidRPr="00C71A93">
        <w:rPr>
          <w:rStyle w:val="highlightedtextChar"/>
          <w:b w:val="0"/>
          <w:color w:val="auto"/>
        </w:rPr>
        <w:t>grant agreement</w:t>
      </w:r>
      <w:r w:rsidRPr="00F40BDA">
        <w:rPr>
          <w:bCs/>
        </w:rPr>
        <w:t xml:space="preserve">. </w:t>
      </w:r>
      <w:r w:rsidR="00077A33">
        <w:rPr>
          <w:bCs/>
        </w:rPr>
        <w:t>We manage</w:t>
      </w:r>
      <w:r w:rsidRPr="00F40BDA">
        <w:rPr>
          <w:bCs/>
        </w:rPr>
        <w:t xml:space="preserve"> the grant</w:t>
      </w:r>
      <w:r>
        <w:rPr>
          <w:bCs/>
        </w:rPr>
        <w:t xml:space="preserve"> by working with you, monitoring your progress and </w:t>
      </w:r>
      <w:r w:rsidRPr="00F40BDA">
        <w:rPr>
          <w:bCs/>
        </w:rPr>
        <w:t>making payments.</w:t>
      </w:r>
    </w:p>
    <w:p w:rsidR="001A0777" w:rsidRPr="00367A67" w:rsidRDefault="001A0777" w:rsidP="00056305">
      <w:pPr>
        <w:pStyle w:val="Heading2Numbered"/>
      </w:pPr>
      <w:bookmarkStart w:id="3" w:name="_Toc484677032"/>
      <w:bookmarkStart w:id="4" w:name="_Toc492882529"/>
      <w:bookmarkStart w:id="5" w:name="_Toc467773951"/>
      <w:r w:rsidRPr="00367A67">
        <w:t>Role of the Community Grants Hub</w:t>
      </w:r>
      <w:bookmarkEnd w:id="3"/>
      <w:bookmarkEnd w:id="4"/>
    </w:p>
    <w:p w:rsidR="001A0777" w:rsidRPr="00367A67" w:rsidRDefault="00D268E6" w:rsidP="001A0777">
      <w:r w:rsidRPr="00367A67">
        <w:t xml:space="preserve">This grant opportunity will be administered by the Community Grants Hub on behalf of the </w:t>
      </w:r>
      <w:r w:rsidR="00C801F2" w:rsidRPr="00C801F2">
        <w:t>Department of Social Services</w:t>
      </w:r>
      <w:r w:rsidR="00186E42" w:rsidRPr="00381CA9">
        <w:rPr>
          <w:b/>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a Whole of Australian Government initiative to streamline grant processes across agencies.</w:t>
      </w:r>
    </w:p>
    <w:p w:rsidR="00045933" w:rsidRPr="00B72EE8" w:rsidRDefault="001A0777" w:rsidP="001A0777">
      <w:pPr>
        <w:pStyle w:val="Heading2Numbered"/>
        <w:numPr>
          <w:ilvl w:val="0"/>
          <w:numId w:val="0"/>
        </w:numPr>
        <w:ind w:left="567" w:hanging="567"/>
      </w:pPr>
      <w:bookmarkStart w:id="6" w:name="_Toc492882530"/>
      <w:r w:rsidRPr="00367A67">
        <w:t>1.2</w:t>
      </w:r>
      <w:r w:rsidRPr="00367A67">
        <w:tab/>
      </w:r>
      <w:r w:rsidR="00045933" w:rsidRPr="00367A67">
        <w:t>About the grant program</w:t>
      </w:r>
      <w:bookmarkEnd w:id="5"/>
      <w:bookmarkEnd w:id="6"/>
    </w:p>
    <w:p w:rsidR="00C801F2" w:rsidRDefault="00C801F2" w:rsidP="00C801F2">
      <w:r>
        <w:t>This</w:t>
      </w:r>
      <w:r w:rsidRPr="009B3540">
        <w:t xml:space="preserve"> grant </w:t>
      </w:r>
      <w:r>
        <w:t xml:space="preserve">opportunity </w:t>
      </w:r>
      <w:r w:rsidRPr="009B3540">
        <w:t xml:space="preserve">is for membership </w:t>
      </w:r>
      <w:r w:rsidR="007D0F4B">
        <w:t>to</w:t>
      </w:r>
      <w:r w:rsidR="007D0F4B" w:rsidRPr="009B3540">
        <w:t xml:space="preserve"> </w:t>
      </w:r>
      <w:r w:rsidRPr="009B3540">
        <w:t>the</w:t>
      </w:r>
      <w:r>
        <w:t xml:space="preserve"> Disability Employment Services (DES)</w:t>
      </w:r>
      <w:r w:rsidRPr="009B3540">
        <w:t xml:space="preserve"> National Panel of Assessors</w:t>
      </w:r>
      <w:r>
        <w:t xml:space="preserve"> (NPA)</w:t>
      </w:r>
      <w:r w:rsidR="003F7767">
        <w:t xml:space="preserve">. The </w:t>
      </w:r>
      <w:r w:rsidR="00F3692A">
        <w:t>Department</w:t>
      </w:r>
      <w:r w:rsidR="003079BC">
        <w:t xml:space="preserve"> of Social Services</w:t>
      </w:r>
      <w:r w:rsidR="003F7767">
        <w:t xml:space="preserve"> will establish</w:t>
      </w:r>
      <w:r>
        <w:t xml:space="preserve"> the Government’s panel of independent Assessment Service providers to </w:t>
      </w:r>
      <w:r w:rsidRPr="00D15547">
        <w:t>assist with the needs of people with disability in the workplace</w:t>
      </w:r>
      <w:r w:rsidR="003F7767">
        <w:t xml:space="preserve"> under the Disability Employment Services program</w:t>
      </w:r>
      <w:r w:rsidRPr="00D15547">
        <w:t>.</w:t>
      </w:r>
      <w:r>
        <w:t xml:space="preserve"> </w:t>
      </w:r>
      <w:r w:rsidR="00622F92">
        <w:t xml:space="preserve">The DES-NPA is an ancillary program of the DES program, </w:t>
      </w:r>
      <w:r>
        <w:t xml:space="preserve">announced as part of </w:t>
      </w:r>
      <w:r w:rsidR="003079BC">
        <w:t xml:space="preserve">the Department of </w:t>
      </w:r>
      <w:r w:rsidR="00F721CC">
        <w:t xml:space="preserve">Social Services Portfolio </w:t>
      </w:r>
      <w:r>
        <w:t>Outcome 3: Disability and Carers.</w:t>
      </w:r>
    </w:p>
    <w:p w:rsidR="00D07F0D" w:rsidRPr="00F93E56" w:rsidRDefault="00D07F0D" w:rsidP="00D07F0D">
      <w:r>
        <w:t>DES</w:t>
      </w:r>
      <w:r w:rsidRPr="00F93E56">
        <w:t xml:space="preserve"> is an essential part of the</w:t>
      </w:r>
      <w:r w:rsidR="00B67590">
        <w:t xml:space="preserve"> Australian </w:t>
      </w:r>
      <w:r w:rsidRPr="00F93E56">
        <w:t xml:space="preserve">Government’s commitment to improving the social and economic participation of people with disability. DES is the </w:t>
      </w:r>
      <w:r w:rsidR="00B67590">
        <w:t xml:space="preserve">Australian </w:t>
      </w:r>
      <w:r w:rsidRPr="00F93E56">
        <w:t>Government’s specialised employment service for people whose disability</w:t>
      </w:r>
      <w:r>
        <w:t>, injury or health condition</w:t>
      </w:r>
      <w:r w:rsidRPr="00F93E56">
        <w:t xml:space="preserve"> is assessed as the main impediment to them gaining employment. The program is complemented by the </w:t>
      </w:r>
      <w:r w:rsidR="00B67590">
        <w:t xml:space="preserve">Australian </w:t>
      </w:r>
      <w:r w:rsidRPr="00F93E56">
        <w:t xml:space="preserve">Government’s broader disability reforms, including the National Disability Insurance Scheme (NDIS). </w:t>
      </w:r>
    </w:p>
    <w:p w:rsidR="00F721CC" w:rsidRDefault="00F721CC" w:rsidP="00F721CC">
      <w:pPr>
        <w:spacing w:after="120"/>
        <w:rPr>
          <w:color w:val="0070C0"/>
        </w:rPr>
      </w:pPr>
      <w:r w:rsidRPr="00045933">
        <w:t>Th</w:t>
      </w:r>
      <w:r>
        <w:t>is</w:t>
      </w:r>
      <w:r w:rsidRPr="00045933">
        <w:t xml:space="preserve"> </w:t>
      </w:r>
      <w:r>
        <w:t xml:space="preserve">Grant </w:t>
      </w:r>
      <w:r w:rsidRPr="00045933">
        <w:t xml:space="preserve">Program will be undertaken according to the </w:t>
      </w:r>
      <w:hyperlink r:id="rId11" w:history="1">
        <w:r w:rsidRPr="00C73641">
          <w:rPr>
            <w:rStyle w:val="Hyperlink"/>
            <w:rFonts w:cstheme="minorBidi"/>
            <w:i/>
          </w:rPr>
          <w:t>Commonwealth Grants Rules and Guidelines</w:t>
        </w:r>
      </w:hyperlink>
      <w:r w:rsidRPr="00045933">
        <w:rPr>
          <w:i/>
        </w:rPr>
        <w:t xml:space="preserve"> (CGRGs)</w:t>
      </w:r>
      <w:r w:rsidR="00C73641">
        <w:t xml:space="preserve"> 2017</w:t>
      </w:r>
      <w:r w:rsidR="00C73641">
        <w:rPr>
          <w:i/>
        </w:rPr>
        <w:t>.</w:t>
      </w:r>
    </w:p>
    <w:p w:rsidR="00045933" w:rsidRPr="00DF4FFA" w:rsidRDefault="00045933" w:rsidP="00D268E6">
      <w:pPr>
        <w:pStyle w:val="Heading2Numbered"/>
        <w:numPr>
          <w:ilvl w:val="1"/>
          <w:numId w:val="17"/>
        </w:numPr>
        <w:ind w:left="567"/>
      </w:pPr>
      <w:bookmarkStart w:id="7" w:name="_Toc491870773"/>
      <w:bookmarkStart w:id="8" w:name="_Toc491871035"/>
      <w:bookmarkStart w:id="9" w:name="_Toc491871096"/>
      <w:bookmarkStart w:id="10" w:name="_Toc491871157"/>
      <w:bookmarkStart w:id="11" w:name="_Toc491871216"/>
      <w:bookmarkStart w:id="12" w:name="_Toc467773952"/>
      <w:bookmarkStart w:id="13" w:name="_Toc492882531"/>
      <w:bookmarkEnd w:id="7"/>
      <w:bookmarkEnd w:id="8"/>
      <w:bookmarkEnd w:id="9"/>
      <w:bookmarkEnd w:id="10"/>
      <w:bookmarkEnd w:id="11"/>
      <w:r w:rsidRPr="00141248">
        <w:lastRenderedPageBreak/>
        <w:t xml:space="preserve">About the </w:t>
      </w:r>
      <w:r w:rsidRPr="00045933">
        <w:t>Grant Opportunity</w:t>
      </w:r>
      <w:bookmarkEnd w:id="12"/>
      <w:bookmarkEnd w:id="13"/>
    </w:p>
    <w:p w:rsidR="00045933" w:rsidRDefault="00C71A93" w:rsidP="00045933">
      <w:bookmarkStart w:id="14" w:name="_Ref421783365"/>
      <w:r w:rsidRPr="00B72EE8">
        <w:t xml:space="preserve">These guidelines </w:t>
      </w:r>
      <w:r>
        <w:t>contain information for the</w:t>
      </w:r>
      <w:r w:rsidRPr="00C71A93">
        <w:t xml:space="preserve"> </w:t>
      </w:r>
      <w:r w:rsidR="00B70E23">
        <w:t>NPA</w:t>
      </w:r>
      <w:r>
        <w:t xml:space="preserve"> grants.</w:t>
      </w:r>
      <w:r w:rsidR="00E82340">
        <w:t xml:space="preserve">  This grant opportunity was announced as part of the DES program.</w:t>
      </w:r>
      <w:r w:rsidR="005557EC">
        <w:t xml:space="preserve"> </w:t>
      </w:r>
      <w:r w:rsidR="005557EC" w:rsidRPr="00012416">
        <w:t xml:space="preserve">The process for establishing the NPA for the initial period from 2018 to 2023 has changed from the previous DES-NPA 2010-2012 </w:t>
      </w:r>
      <w:r w:rsidR="00670987" w:rsidRPr="00DC26ED">
        <w:t xml:space="preserve">Request for Tender </w:t>
      </w:r>
      <w:r w:rsidR="005557EC" w:rsidRPr="00012416">
        <w:t>round.</w:t>
      </w:r>
      <w:r w:rsidR="005557EC" w:rsidRPr="001B025A">
        <w:t xml:space="preserve"> Payments to </w:t>
      </w:r>
      <w:r w:rsidR="00670987" w:rsidRPr="00DC26ED">
        <w:t xml:space="preserve">NPA </w:t>
      </w:r>
      <w:r w:rsidR="00B812D0" w:rsidRPr="00DC26ED">
        <w:t>P</w:t>
      </w:r>
      <w:r w:rsidR="00670987" w:rsidRPr="00DC26ED">
        <w:t>roviders</w:t>
      </w:r>
      <w:r w:rsidR="008D7BB1" w:rsidRPr="00012416">
        <w:t xml:space="preserve"> </w:t>
      </w:r>
      <w:r w:rsidR="005557EC" w:rsidRPr="00012416">
        <w:t xml:space="preserve">will be </w:t>
      </w:r>
      <w:r w:rsidR="000C1844" w:rsidRPr="001B025A">
        <w:t>paid as funding under a Commonwealth G</w:t>
      </w:r>
      <w:r w:rsidR="000C1844" w:rsidRPr="00012416">
        <w:t>rant Program</w:t>
      </w:r>
      <w:r w:rsidR="00670987" w:rsidRPr="00DC26ED">
        <w:t xml:space="preserve"> on a per-assessment basis</w:t>
      </w:r>
      <w:r w:rsidR="000C1844" w:rsidRPr="00012416">
        <w:t xml:space="preserve">. </w:t>
      </w:r>
      <w:r w:rsidR="00670987" w:rsidRPr="00012416">
        <w:t xml:space="preserve">Grant applicants may nominate the type of Assessment Services they are interested in providing as set out in section </w:t>
      </w:r>
      <w:r w:rsidR="00670987" w:rsidRPr="00012416">
        <w:fldChar w:fldCharType="begin"/>
      </w:r>
      <w:r w:rsidR="00670987" w:rsidRPr="00012416">
        <w:instrText xml:space="preserve"> REF _Ref491263833 \r \h </w:instrText>
      </w:r>
      <w:r w:rsidR="00670987" w:rsidRPr="00DC26ED">
        <w:instrText xml:space="preserve"> \* MERGEFORMAT </w:instrText>
      </w:r>
      <w:r w:rsidR="00670987" w:rsidRPr="00012416">
        <w:fldChar w:fldCharType="separate"/>
      </w:r>
      <w:r w:rsidR="00406939">
        <w:t>1.4</w:t>
      </w:r>
      <w:r w:rsidR="00670987" w:rsidRPr="00012416">
        <w:fldChar w:fldCharType="end"/>
      </w:r>
      <w:r w:rsidR="00670987" w:rsidRPr="00012416">
        <w:t>.</w:t>
      </w:r>
    </w:p>
    <w:p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rsidR="00045933" w:rsidRPr="000A271A" w:rsidRDefault="00045933" w:rsidP="000A271A">
      <w:pPr>
        <w:pStyle w:val="Bullet1"/>
      </w:pPr>
      <w:r w:rsidRPr="000A271A">
        <w:t>the purpose of the grant opportunity</w:t>
      </w:r>
    </w:p>
    <w:p w:rsidR="00045933" w:rsidRPr="000A271A" w:rsidRDefault="00045933" w:rsidP="000A271A">
      <w:pPr>
        <w:pStyle w:val="Bullet1"/>
      </w:pPr>
      <w:r w:rsidRPr="000A271A">
        <w:t>the eligibility and assessment criteria</w:t>
      </w:r>
    </w:p>
    <w:p w:rsidR="00301C53" w:rsidRDefault="00045933" w:rsidP="000A271A">
      <w:pPr>
        <w:pStyle w:val="Bullet1"/>
      </w:pPr>
      <w:r w:rsidRPr="000A271A">
        <w:t>how grant applications are monitored and evaluated</w:t>
      </w:r>
      <w:r w:rsidR="00460C58">
        <w:t>,</w:t>
      </w:r>
      <w:r w:rsidR="00301C53">
        <w:t xml:space="preserve"> and</w:t>
      </w:r>
    </w:p>
    <w:p w:rsidR="00045933" w:rsidRPr="000A271A" w:rsidRDefault="00045933" w:rsidP="000A271A">
      <w:pPr>
        <w:pStyle w:val="Bullet1"/>
      </w:pPr>
      <w:proofErr w:type="gramStart"/>
      <w:r w:rsidRPr="000A271A">
        <w:t>responsibilities</w:t>
      </w:r>
      <w:proofErr w:type="gramEnd"/>
      <w:r w:rsidRPr="000A271A">
        <w:t xml:space="preserve"> and expectations in relation to the opportunity. </w:t>
      </w:r>
    </w:p>
    <w:p w:rsidR="0018662B" w:rsidRPr="00D15547" w:rsidRDefault="0018662B" w:rsidP="0018662B">
      <w:r w:rsidRPr="00FE267E">
        <w:t>T</w:t>
      </w:r>
      <w:r>
        <w:t>he DES</w:t>
      </w:r>
      <w:r w:rsidR="00840262">
        <w:t>-</w:t>
      </w:r>
      <w:r>
        <w:t xml:space="preserve">NPA will run concurrently with the DES </w:t>
      </w:r>
      <w:r w:rsidR="00FE267E">
        <w:t>P</w:t>
      </w:r>
      <w:r>
        <w:t xml:space="preserve">rogram over five years from 1 July 2018 to 30 June 2023, </w:t>
      </w:r>
      <w:r w:rsidR="005E7CC9">
        <w:t>which may be extended for a period of no more than five years</w:t>
      </w:r>
      <w:r>
        <w:t>. The grant application process for DES NPA will be an open non-competitive application process</w:t>
      </w:r>
      <w:r w:rsidR="001F6A0E">
        <w:t>.</w:t>
      </w:r>
    </w:p>
    <w:p w:rsidR="00045933" w:rsidRPr="00045933" w:rsidRDefault="00045933" w:rsidP="00191944">
      <w:pPr>
        <w:rPr>
          <w:rFonts w:asciiTheme="majorHAnsi" w:hAnsiTheme="majorHAnsi" w:cstheme="majorHAnsi"/>
        </w:rPr>
      </w:pPr>
      <w:r w:rsidRPr="00191944">
        <w:t>You</w:t>
      </w:r>
      <w:r w:rsidRPr="00045933">
        <w:rPr>
          <w:rFonts w:asciiTheme="majorHAnsi" w:hAnsiTheme="majorHAnsi" w:cstheme="majorHAnsi"/>
        </w:rPr>
        <w:t xml:space="preserve"> must read this document before filling out an application. </w:t>
      </w:r>
    </w:p>
    <w:p w:rsidR="00045933" w:rsidRPr="00B72EE8" w:rsidRDefault="00E82340" w:rsidP="00056305">
      <w:pPr>
        <w:pStyle w:val="Heading2Numbered"/>
      </w:pPr>
      <w:bookmarkStart w:id="15" w:name="_Toc461105052"/>
      <w:bookmarkStart w:id="16" w:name="_Toc492882532"/>
      <w:bookmarkStart w:id="17" w:name="_Toc467773953"/>
      <w:bookmarkStart w:id="18" w:name="_Ref491263833"/>
      <w:bookmarkEnd w:id="15"/>
      <w:r w:rsidRPr="00E82340">
        <w:rPr>
          <w:color w:val="auto"/>
        </w:rPr>
        <w:t>National Panel of Assessors</w:t>
      </w:r>
      <w:bookmarkEnd w:id="16"/>
      <w:r w:rsidRPr="00E82340">
        <w:rPr>
          <w:color w:val="auto"/>
        </w:rPr>
        <w:t xml:space="preserve"> </w:t>
      </w:r>
      <w:bookmarkEnd w:id="14"/>
      <w:bookmarkEnd w:id="17"/>
      <w:bookmarkEnd w:id="18"/>
    </w:p>
    <w:p w:rsidR="00883C0E" w:rsidRDefault="00E82340" w:rsidP="00E82340">
      <w:pPr>
        <w:rPr>
          <w:rFonts w:ascii="Arial" w:hAnsi="Arial" w:cs="Arial"/>
        </w:rPr>
      </w:pPr>
      <w:bookmarkStart w:id="19" w:name="_Toc467773954"/>
      <w:r w:rsidRPr="002544B3">
        <w:rPr>
          <w:rFonts w:ascii="Arial" w:hAnsi="Arial" w:cs="Arial"/>
        </w:rPr>
        <w:t xml:space="preserve">The </w:t>
      </w:r>
      <w:r w:rsidR="00EB61A3">
        <w:rPr>
          <w:rFonts w:ascii="Arial" w:hAnsi="Arial" w:cs="Arial"/>
        </w:rPr>
        <w:t>NPA</w:t>
      </w:r>
      <w:r w:rsidRPr="002544B3">
        <w:rPr>
          <w:rFonts w:ascii="Arial" w:hAnsi="Arial" w:cs="Arial"/>
        </w:rPr>
        <w:t xml:space="preserve"> will provide a range of Assessment Services to assist with the needs of people with disability in the workplace.</w:t>
      </w:r>
      <w:r w:rsidR="00ED312A">
        <w:rPr>
          <w:rFonts w:ascii="Arial" w:hAnsi="Arial" w:cs="Arial"/>
        </w:rPr>
        <w:t xml:space="preserve"> </w:t>
      </w:r>
    </w:p>
    <w:p w:rsidR="00883C0E" w:rsidRPr="00DC26ED" w:rsidRDefault="00883C0E" w:rsidP="00883C0E">
      <w:pPr>
        <w:spacing w:after="120"/>
      </w:pPr>
      <w:r w:rsidRPr="00DC26ED">
        <w:t>The outcomes of the DES-NPA 2018 program are:</w:t>
      </w:r>
    </w:p>
    <w:p w:rsidR="00883C0E" w:rsidRPr="00DC26ED" w:rsidRDefault="00883C0E" w:rsidP="00883C0E">
      <w:pPr>
        <w:pStyle w:val="Bullet1"/>
      </w:pPr>
      <w:r w:rsidRPr="00DC26ED">
        <w:t xml:space="preserve">to ensure that DES Participants, Providers and Employers are supported by independent assessors trained and qualified in providing disability employment Assessment Services </w:t>
      </w:r>
    </w:p>
    <w:p w:rsidR="00883C0E" w:rsidRPr="00DC26ED" w:rsidRDefault="00883C0E" w:rsidP="00883C0E">
      <w:pPr>
        <w:pStyle w:val="Bullet1"/>
      </w:pPr>
      <w:r w:rsidRPr="00DC26ED">
        <w:t>to provide sufficient and timely delivery of three types of Assessment Services across all ESA locations:</w:t>
      </w:r>
    </w:p>
    <w:p w:rsidR="00883C0E" w:rsidRPr="00DC26ED" w:rsidRDefault="00883C0E" w:rsidP="00883C0E">
      <w:pPr>
        <w:pStyle w:val="Bullet2"/>
        <w:numPr>
          <w:ilvl w:val="1"/>
          <w:numId w:val="56"/>
        </w:numPr>
        <w:ind w:left="851" w:hanging="567"/>
      </w:pPr>
      <w:r w:rsidRPr="00DC26ED">
        <w:t>Ongoing Support Arrangements (OSA)</w:t>
      </w:r>
    </w:p>
    <w:p w:rsidR="00883C0E" w:rsidRPr="00DC26ED" w:rsidRDefault="00883C0E" w:rsidP="00883C0E">
      <w:pPr>
        <w:pStyle w:val="Bullet2"/>
        <w:numPr>
          <w:ilvl w:val="1"/>
          <w:numId w:val="56"/>
        </w:numPr>
        <w:ind w:left="851" w:hanging="567"/>
      </w:pPr>
      <w:r w:rsidRPr="00DC26ED">
        <w:t>Supported Wage Scheme (SWS)</w:t>
      </w:r>
    </w:p>
    <w:p w:rsidR="00883C0E" w:rsidRPr="00DC26ED" w:rsidRDefault="00883C0E" w:rsidP="00883C0E">
      <w:pPr>
        <w:pStyle w:val="Bullet1"/>
        <w:numPr>
          <w:ilvl w:val="0"/>
          <w:numId w:val="56"/>
        </w:numPr>
        <w:ind w:left="851" w:hanging="567"/>
      </w:pPr>
      <w:r w:rsidRPr="00DC26ED">
        <w:t>Workplace Modifications Scheme (WMS)</w:t>
      </w:r>
    </w:p>
    <w:p w:rsidR="00883C0E" w:rsidRPr="00DC26ED" w:rsidRDefault="00883C0E" w:rsidP="00883C0E">
      <w:pPr>
        <w:pStyle w:val="Bullet1"/>
      </w:pPr>
      <w:proofErr w:type="gramStart"/>
      <w:r w:rsidRPr="00DC26ED">
        <w:t>to</w:t>
      </w:r>
      <w:proofErr w:type="gramEnd"/>
      <w:r w:rsidRPr="00DC26ED">
        <w:t xml:space="preserve"> supplement the DES program by providing assessment services for the benefit of people with disability in the workplace, employers, DES Participants and DES Providers.</w:t>
      </w:r>
    </w:p>
    <w:p w:rsidR="00883C0E" w:rsidRPr="00DC26ED" w:rsidRDefault="00883C0E" w:rsidP="00883C0E">
      <w:pPr>
        <w:pStyle w:val="Bullet1"/>
        <w:numPr>
          <w:ilvl w:val="0"/>
          <w:numId w:val="0"/>
        </w:numPr>
        <w:ind w:left="284" w:hanging="284"/>
      </w:pPr>
      <w:r w:rsidRPr="00DC26ED">
        <w:t xml:space="preserve">These outcomes achieve value for money by: </w:t>
      </w:r>
    </w:p>
    <w:p w:rsidR="00883C0E" w:rsidRPr="00DC26ED" w:rsidRDefault="00883C0E" w:rsidP="00883C0E">
      <w:pPr>
        <w:pStyle w:val="Bullet1"/>
      </w:pPr>
      <w:r w:rsidRPr="00DC26ED">
        <w:t xml:space="preserve">ensuring </w:t>
      </w:r>
      <w:r>
        <w:t>that</w:t>
      </w:r>
      <w:r w:rsidRPr="00DC26ED">
        <w:t xml:space="preserve"> workplace modifications are effective and </w:t>
      </w:r>
      <w:r>
        <w:t xml:space="preserve">provide </w:t>
      </w:r>
      <w:r w:rsidRPr="00DC26ED">
        <w:t>value for money</w:t>
      </w:r>
    </w:p>
    <w:p w:rsidR="00883C0E" w:rsidRDefault="00883C0E" w:rsidP="00883C0E">
      <w:pPr>
        <w:pStyle w:val="Bullet1"/>
      </w:pPr>
      <w:r w:rsidRPr="00DC26ED">
        <w:t>ensuring the appropriate level of ongoing support is provided to DES participants to maintain their employment</w:t>
      </w:r>
      <w:r w:rsidRPr="00DC26ED" w:rsidDel="0014597D">
        <w:t xml:space="preserve"> </w:t>
      </w:r>
    </w:p>
    <w:p w:rsidR="00883C0E" w:rsidRPr="00DC26ED" w:rsidRDefault="00883C0E" w:rsidP="00883C0E">
      <w:pPr>
        <w:pStyle w:val="Bullet1"/>
      </w:pPr>
      <w:r w:rsidRPr="00DC26ED">
        <w:lastRenderedPageBreak/>
        <w:t>avoiding conflicts of interest by ensuring Assessment Services are performed by an independent Assessor not the DES Provider</w:t>
      </w:r>
      <w:r>
        <w:t>,</w:t>
      </w:r>
      <w:r w:rsidRPr="00DC26ED">
        <w:t xml:space="preserve"> and</w:t>
      </w:r>
    </w:p>
    <w:p w:rsidR="00883C0E" w:rsidRPr="00DC26ED" w:rsidRDefault="00883C0E" w:rsidP="00883C0E">
      <w:pPr>
        <w:pStyle w:val="Bullet1"/>
      </w:pPr>
      <w:proofErr w:type="gramStart"/>
      <w:r w:rsidRPr="00DC26ED">
        <w:t>providing</w:t>
      </w:r>
      <w:proofErr w:type="gramEnd"/>
      <w:r w:rsidRPr="00DC26ED">
        <w:t xml:space="preserve"> funding to NPA Providers on a per-assessment basis</w:t>
      </w:r>
      <w:r>
        <w:t>.</w:t>
      </w:r>
    </w:p>
    <w:p w:rsidR="00E82340" w:rsidRDefault="00ED312A" w:rsidP="00E82340">
      <w:pPr>
        <w:rPr>
          <w:rFonts w:ascii="Arial" w:hAnsi="Arial" w:cs="Arial"/>
        </w:rPr>
      </w:pPr>
      <w:r>
        <w:rPr>
          <w:rFonts w:ascii="Arial" w:hAnsi="Arial" w:cs="Arial"/>
        </w:rPr>
        <w:t xml:space="preserve">The delivery of Assessment Services </w:t>
      </w:r>
      <w:r w:rsidR="006D50F4">
        <w:rPr>
          <w:rFonts w:ascii="Arial" w:hAnsi="Arial" w:cs="Arial"/>
        </w:rPr>
        <w:t>is</w:t>
      </w:r>
      <w:r w:rsidR="00670987">
        <w:rPr>
          <w:rFonts w:ascii="Arial" w:hAnsi="Arial" w:cs="Arial"/>
        </w:rPr>
        <w:t xml:space="preserve"> designed to achieve the following objectives</w:t>
      </w:r>
      <w:r>
        <w:rPr>
          <w:rFonts w:ascii="Arial" w:hAnsi="Arial" w:cs="Arial"/>
        </w:rPr>
        <w:t>:</w:t>
      </w:r>
    </w:p>
    <w:p w:rsidR="00ED312A" w:rsidRDefault="00ED312A" w:rsidP="00DC26ED">
      <w:pPr>
        <w:pStyle w:val="Bullet1"/>
        <w:rPr>
          <w:rFonts w:ascii="Arial" w:hAnsi="Arial" w:cs="Arial"/>
        </w:rPr>
      </w:pPr>
      <w:r>
        <w:rPr>
          <w:rFonts w:ascii="Arial" w:hAnsi="Arial" w:cs="Arial"/>
        </w:rPr>
        <w:t>employment participation by people with a disability</w:t>
      </w:r>
    </w:p>
    <w:p w:rsidR="00ED312A" w:rsidRDefault="00ED312A" w:rsidP="00DC26ED">
      <w:pPr>
        <w:pStyle w:val="Bullet1"/>
        <w:rPr>
          <w:rFonts w:ascii="Arial" w:hAnsi="Arial" w:cs="Arial"/>
        </w:rPr>
      </w:pPr>
      <w:r>
        <w:rPr>
          <w:rFonts w:ascii="Arial" w:hAnsi="Arial" w:cs="Arial"/>
        </w:rPr>
        <w:t>support services which are provided to people with disability in the workplace</w:t>
      </w:r>
    </w:p>
    <w:p w:rsidR="00ED312A" w:rsidRDefault="00ED312A" w:rsidP="00DC26ED">
      <w:pPr>
        <w:pStyle w:val="Bullet1"/>
        <w:rPr>
          <w:rFonts w:ascii="Arial" w:hAnsi="Arial" w:cs="Arial"/>
        </w:rPr>
      </w:pPr>
      <w:r>
        <w:rPr>
          <w:rFonts w:ascii="Arial" w:hAnsi="Arial" w:cs="Arial"/>
        </w:rPr>
        <w:t>access to emplo</w:t>
      </w:r>
      <w:r w:rsidR="006D50F4">
        <w:rPr>
          <w:rFonts w:ascii="Arial" w:hAnsi="Arial" w:cs="Arial"/>
        </w:rPr>
        <w:t>yment by people with disability</w:t>
      </w:r>
      <w:r w:rsidR="00FE267E">
        <w:rPr>
          <w:rFonts w:ascii="Arial" w:hAnsi="Arial" w:cs="Arial"/>
        </w:rPr>
        <w:t>,</w:t>
      </w:r>
      <w:r>
        <w:rPr>
          <w:rFonts w:ascii="Arial" w:hAnsi="Arial" w:cs="Arial"/>
        </w:rPr>
        <w:t xml:space="preserve"> and</w:t>
      </w:r>
    </w:p>
    <w:p w:rsidR="00ED312A" w:rsidRPr="002544B3" w:rsidRDefault="00A324AA" w:rsidP="00DC26ED">
      <w:pPr>
        <w:pStyle w:val="Bullet1"/>
        <w:rPr>
          <w:rFonts w:ascii="Arial" w:hAnsi="Arial" w:cs="Arial"/>
        </w:rPr>
      </w:pPr>
      <w:proofErr w:type="gramStart"/>
      <w:r>
        <w:rPr>
          <w:rFonts w:ascii="Arial" w:hAnsi="Arial" w:cs="Arial"/>
        </w:rPr>
        <w:t>provision</w:t>
      </w:r>
      <w:proofErr w:type="gramEnd"/>
      <w:r>
        <w:rPr>
          <w:rFonts w:ascii="Arial" w:hAnsi="Arial" w:cs="Arial"/>
        </w:rPr>
        <w:t xml:space="preserve"> of fair and accurate assessments of </w:t>
      </w:r>
      <w:r w:rsidR="00ED312A">
        <w:rPr>
          <w:rFonts w:ascii="Arial" w:hAnsi="Arial" w:cs="Arial"/>
        </w:rPr>
        <w:t>workplace productivity.</w:t>
      </w:r>
    </w:p>
    <w:p w:rsidR="00E82340" w:rsidRPr="002544B3" w:rsidRDefault="00E82340" w:rsidP="00E82340">
      <w:pPr>
        <w:rPr>
          <w:rFonts w:ascii="Arial" w:hAnsi="Arial" w:cs="Arial"/>
        </w:rPr>
      </w:pPr>
      <w:r w:rsidRPr="002544B3">
        <w:rPr>
          <w:rFonts w:ascii="Arial" w:hAnsi="Arial" w:cs="Arial"/>
        </w:rPr>
        <w:t xml:space="preserve">A workplace assessor </w:t>
      </w:r>
      <w:r w:rsidR="007029BC">
        <w:rPr>
          <w:rFonts w:ascii="Arial" w:hAnsi="Arial" w:cs="Arial"/>
        </w:rPr>
        <w:t>carries</w:t>
      </w:r>
      <w:r w:rsidRPr="002544B3">
        <w:rPr>
          <w:rFonts w:ascii="Arial" w:hAnsi="Arial" w:cs="Arial"/>
        </w:rPr>
        <w:t xml:space="preserve"> out an evaluation of a workplace and a person’s individual job requirements or needs. This evaluation can include an assessment of the physical environment, analysis of the specific work tasks in a job, review of injury-prevention strategies and recommendations for workplace modifications.</w:t>
      </w:r>
    </w:p>
    <w:p w:rsidR="00E82340" w:rsidRPr="002544B3" w:rsidRDefault="00E82340" w:rsidP="00E82340">
      <w:pPr>
        <w:rPr>
          <w:rFonts w:ascii="Arial" w:hAnsi="Arial" w:cs="Arial"/>
        </w:rPr>
      </w:pPr>
      <w:r w:rsidRPr="002544B3">
        <w:rPr>
          <w:rFonts w:ascii="Arial" w:hAnsi="Arial" w:cs="Arial"/>
        </w:rPr>
        <w:t xml:space="preserve">The Australian Government </w:t>
      </w:r>
      <w:r w:rsidR="007029BC">
        <w:rPr>
          <w:rFonts w:ascii="Arial" w:hAnsi="Arial" w:cs="Arial"/>
        </w:rPr>
        <w:t>aims to ensure</w:t>
      </w:r>
      <w:r w:rsidRPr="002544B3">
        <w:rPr>
          <w:rFonts w:ascii="Arial" w:hAnsi="Arial" w:cs="Arial"/>
        </w:rPr>
        <w:t xml:space="preserve"> a diverse range of suitably qualified and experienced </w:t>
      </w:r>
      <w:r w:rsidR="00A324AA">
        <w:rPr>
          <w:rFonts w:ascii="Arial" w:hAnsi="Arial" w:cs="Arial"/>
        </w:rPr>
        <w:t>applicants</w:t>
      </w:r>
      <w:r w:rsidRPr="002544B3">
        <w:rPr>
          <w:rFonts w:ascii="Arial" w:hAnsi="Arial" w:cs="Arial"/>
        </w:rPr>
        <w:t xml:space="preserve"> have the opportunity to become </w:t>
      </w:r>
      <w:r w:rsidR="00022507">
        <w:rPr>
          <w:rFonts w:ascii="Arial" w:hAnsi="Arial" w:cs="Arial"/>
        </w:rPr>
        <w:t>NPA</w:t>
      </w:r>
      <w:r w:rsidR="00022507" w:rsidRPr="002544B3">
        <w:rPr>
          <w:rFonts w:ascii="Arial" w:hAnsi="Arial" w:cs="Arial"/>
        </w:rPr>
        <w:t xml:space="preserve"> </w:t>
      </w:r>
      <w:r w:rsidRPr="002544B3">
        <w:rPr>
          <w:rFonts w:ascii="Arial" w:hAnsi="Arial" w:cs="Arial"/>
        </w:rPr>
        <w:t xml:space="preserve">Providers. </w:t>
      </w:r>
      <w:r w:rsidR="00022507">
        <w:rPr>
          <w:rFonts w:ascii="Arial" w:hAnsi="Arial" w:cs="Arial"/>
        </w:rPr>
        <w:t xml:space="preserve">NPA </w:t>
      </w:r>
      <w:r w:rsidRPr="002544B3">
        <w:rPr>
          <w:rFonts w:ascii="Arial" w:hAnsi="Arial" w:cs="Arial"/>
        </w:rPr>
        <w:t xml:space="preserve">Providers </w:t>
      </w:r>
      <w:r w:rsidR="007029BC">
        <w:rPr>
          <w:rFonts w:ascii="Arial" w:hAnsi="Arial" w:cs="Arial"/>
        </w:rPr>
        <w:t>must</w:t>
      </w:r>
      <w:r w:rsidRPr="002544B3">
        <w:rPr>
          <w:rFonts w:ascii="Arial" w:hAnsi="Arial" w:cs="Arial"/>
        </w:rPr>
        <w:t xml:space="preserve"> have an understanding of employment support requirements for people with disability and mental illness, including workplace barriers. </w:t>
      </w:r>
      <w:r w:rsidR="00022507">
        <w:rPr>
          <w:rFonts w:ascii="Arial" w:hAnsi="Arial" w:cs="Arial"/>
        </w:rPr>
        <w:t xml:space="preserve">NPA </w:t>
      </w:r>
      <w:r w:rsidRPr="002544B3">
        <w:rPr>
          <w:rFonts w:ascii="Arial" w:hAnsi="Arial" w:cs="Arial"/>
        </w:rPr>
        <w:t xml:space="preserve">Providers </w:t>
      </w:r>
      <w:r w:rsidR="00022507">
        <w:rPr>
          <w:rFonts w:ascii="Arial" w:hAnsi="Arial" w:cs="Arial"/>
        </w:rPr>
        <w:t xml:space="preserve">must </w:t>
      </w:r>
      <w:r w:rsidRPr="002544B3">
        <w:rPr>
          <w:rFonts w:ascii="Arial" w:hAnsi="Arial" w:cs="Arial"/>
        </w:rPr>
        <w:t xml:space="preserve">also have the skills required to conduct assessments.  </w:t>
      </w:r>
      <w:r w:rsidR="00022507">
        <w:rPr>
          <w:rFonts w:ascii="Arial" w:hAnsi="Arial" w:cs="Arial"/>
        </w:rPr>
        <w:t xml:space="preserve">NPA </w:t>
      </w:r>
      <w:r w:rsidRPr="002544B3">
        <w:rPr>
          <w:rFonts w:ascii="Arial" w:hAnsi="Arial" w:cs="Arial"/>
        </w:rPr>
        <w:t xml:space="preserve">Providers </w:t>
      </w:r>
      <w:r w:rsidR="007029BC">
        <w:rPr>
          <w:rFonts w:ascii="Arial" w:hAnsi="Arial" w:cs="Arial"/>
        </w:rPr>
        <w:t>must</w:t>
      </w:r>
      <w:r w:rsidRPr="002544B3">
        <w:rPr>
          <w:rFonts w:ascii="Arial" w:hAnsi="Arial" w:cs="Arial"/>
        </w:rPr>
        <w:t xml:space="preserve"> exercise sound judgement in making assessments that are appropriate and accurate.</w:t>
      </w:r>
      <w:r w:rsidR="00B812D0">
        <w:rPr>
          <w:rFonts w:ascii="Arial" w:hAnsi="Arial" w:cs="Arial"/>
        </w:rPr>
        <w:t xml:space="preserve"> NPA Providers will be required to possess or engage suitably qualified and experienced staff to provide Assessment Services before entering into and during the term of the Grant Agreement.</w:t>
      </w:r>
    </w:p>
    <w:p w:rsidR="00ED7B6E" w:rsidRPr="00E6193F" w:rsidRDefault="00E82340" w:rsidP="00DC26ED">
      <w:pPr>
        <w:spacing w:before="200"/>
      </w:pPr>
      <w:r w:rsidRPr="002544B3">
        <w:rPr>
          <w:rFonts w:ascii="Arial" w:hAnsi="Arial" w:cs="Arial"/>
        </w:rPr>
        <w:t xml:space="preserve">The National Panel of Assessors will run </w:t>
      </w:r>
      <w:r w:rsidR="00B812D0">
        <w:rPr>
          <w:rFonts w:ascii="Arial" w:hAnsi="Arial" w:cs="Arial"/>
        </w:rPr>
        <w:t xml:space="preserve">initially </w:t>
      </w:r>
      <w:r w:rsidRPr="002544B3">
        <w:rPr>
          <w:rFonts w:ascii="Arial" w:hAnsi="Arial" w:cs="Arial"/>
        </w:rPr>
        <w:t xml:space="preserve">over </w:t>
      </w:r>
      <w:r w:rsidRPr="002544B3">
        <w:rPr>
          <w:rFonts w:ascii="Arial" w:hAnsi="Arial" w:cs="Arial"/>
          <w:b/>
        </w:rPr>
        <w:t>five</w:t>
      </w:r>
      <w:r w:rsidRPr="002544B3">
        <w:rPr>
          <w:rFonts w:ascii="Arial" w:hAnsi="Arial" w:cs="Arial"/>
        </w:rPr>
        <w:t xml:space="preserve"> years from </w:t>
      </w:r>
      <w:r w:rsidRPr="002544B3">
        <w:rPr>
          <w:rFonts w:ascii="Arial" w:hAnsi="Arial" w:cs="Arial"/>
          <w:b/>
        </w:rPr>
        <w:t xml:space="preserve">1 July 2018 to </w:t>
      </w:r>
      <w:r w:rsidR="00460C58">
        <w:rPr>
          <w:rFonts w:ascii="Arial" w:hAnsi="Arial" w:cs="Arial"/>
          <w:b/>
        </w:rPr>
        <w:br w:type="textWrapping" w:clear="all"/>
      </w:r>
      <w:r w:rsidRPr="002544B3">
        <w:rPr>
          <w:rFonts w:ascii="Arial" w:hAnsi="Arial" w:cs="Arial"/>
          <w:b/>
        </w:rPr>
        <w:t>30 June 2023</w:t>
      </w:r>
      <w:r w:rsidR="00A324AA">
        <w:rPr>
          <w:rFonts w:ascii="Arial" w:hAnsi="Arial" w:cs="Arial"/>
          <w:b/>
        </w:rPr>
        <w:t>.</w:t>
      </w:r>
    </w:p>
    <w:p w:rsidR="00ED7B6E" w:rsidRPr="00E6193F" w:rsidRDefault="00ED7B6E" w:rsidP="00ED7B6E">
      <w:r>
        <w:t>Entities</w:t>
      </w:r>
      <w:r w:rsidRPr="00E6193F">
        <w:t xml:space="preserve"> that are successful in these rounds will enter into </w:t>
      </w:r>
      <w:r>
        <w:t>G</w:t>
      </w:r>
      <w:r w:rsidRPr="00E6193F">
        <w:t xml:space="preserve">rant </w:t>
      </w:r>
      <w:r>
        <w:t>A</w:t>
      </w:r>
      <w:r w:rsidRPr="00E6193F">
        <w:t>greements for the remaining length of the</w:t>
      </w:r>
      <w:r>
        <w:t xml:space="preserve"> initial term of the</w:t>
      </w:r>
      <w:r w:rsidRPr="00E6193F">
        <w:t xml:space="preserve"> </w:t>
      </w:r>
      <w:r>
        <w:t>P</w:t>
      </w:r>
      <w:r w:rsidRPr="00E6193F">
        <w:t>anel</w:t>
      </w:r>
      <w:r>
        <w:t xml:space="preserve"> to 30 June 2023.</w:t>
      </w:r>
    </w:p>
    <w:p w:rsidR="00ED7B6E" w:rsidRPr="00E6193F" w:rsidRDefault="00ED7B6E" w:rsidP="00ED7B6E">
      <w:r w:rsidRPr="00E6193F">
        <w:t xml:space="preserve">These grant rounds will be published on </w:t>
      </w:r>
      <w:r w:rsidR="00FE267E">
        <w:t xml:space="preserve">the </w:t>
      </w:r>
      <w:hyperlink r:id="rId12" w:history="1">
        <w:r w:rsidRPr="00FE267E">
          <w:rPr>
            <w:rStyle w:val="Hyperlink"/>
            <w:rFonts w:cstheme="minorBidi"/>
          </w:rPr>
          <w:t>GrantConnect</w:t>
        </w:r>
      </w:hyperlink>
      <w:r w:rsidR="00FE267E">
        <w:t xml:space="preserve"> and </w:t>
      </w:r>
      <w:hyperlink r:id="rId13" w:history="1">
        <w:r w:rsidR="00FE267E" w:rsidRPr="00FE267E">
          <w:rPr>
            <w:rStyle w:val="Hyperlink"/>
            <w:rFonts w:cstheme="minorBidi"/>
          </w:rPr>
          <w:t>Community Grants Hub</w:t>
        </w:r>
      </w:hyperlink>
      <w:r w:rsidR="00FE267E">
        <w:t xml:space="preserve"> websites</w:t>
      </w:r>
      <w:r w:rsidRPr="00E6193F">
        <w:t>.</w:t>
      </w:r>
    </w:p>
    <w:p w:rsidR="00E82340" w:rsidRDefault="00E82340" w:rsidP="00E82340">
      <w:pPr>
        <w:rPr>
          <w:rFonts w:ascii="Arial" w:hAnsi="Arial" w:cs="Arial"/>
        </w:rPr>
      </w:pPr>
      <w:r w:rsidRPr="002544B3">
        <w:rPr>
          <w:rFonts w:ascii="Arial" w:hAnsi="Arial" w:cs="Arial"/>
        </w:rPr>
        <w:t>The</w:t>
      </w:r>
      <w:r w:rsidR="00840262">
        <w:rPr>
          <w:rFonts w:ascii="Arial" w:hAnsi="Arial" w:cs="Arial"/>
        </w:rPr>
        <w:t xml:space="preserve"> DES-</w:t>
      </w:r>
      <w:r w:rsidR="00022507">
        <w:rPr>
          <w:rFonts w:ascii="Arial" w:hAnsi="Arial" w:cs="Arial"/>
        </w:rPr>
        <w:t>NPA</w:t>
      </w:r>
      <w:r w:rsidRPr="002544B3">
        <w:rPr>
          <w:rFonts w:ascii="Arial" w:hAnsi="Arial" w:cs="Arial"/>
        </w:rPr>
        <w:t xml:space="preserve"> program was announced as part of the Australian Government’s commitment to improving employment outcomes for people with disability and getting more people with disability into jobs.</w:t>
      </w:r>
    </w:p>
    <w:p w:rsidR="00E82340" w:rsidRPr="002544B3" w:rsidRDefault="00E82340" w:rsidP="00E82340">
      <w:pPr>
        <w:rPr>
          <w:rFonts w:ascii="Arial" w:hAnsi="Arial" w:cs="Arial"/>
        </w:rPr>
      </w:pPr>
      <w:r w:rsidRPr="002544B3">
        <w:rPr>
          <w:rFonts w:ascii="Arial" w:hAnsi="Arial" w:cs="Arial"/>
        </w:rPr>
        <w:t>Applicants may submit an application to provide either or both of the following combinations of assessments:</w:t>
      </w:r>
    </w:p>
    <w:p w:rsidR="00E82340" w:rsidRPr="00DC26ED" w:rsidRDefault="00E82340" w:rsidP="00FE267E">
      <w:pPr>
        <w:pStyle w:val="Bullet2"/>
        <w:numPr>
          <w:ilvl w:val="2"/>
          <w:numId w:val="25"/>
        </w:numPr>
        <w:suppressAutoHyphens w:val="0"/>
        <w:spacing w:before="0" w:after="120" w:line="240" w:lineRule="auto"/>
      </w:pPr>
      <w:r w:rsidRPr="00DC26ED">
        <w:t>Ongoing Support Assessments and Supported Wage System Assess</w:t>
      </w:r>
      <w:r w:rsidR="00E21401" w:rsidRPr="00DC26ED">
        <w:t>ments</w:t>
      </w:r>
      <w:r w:rsidRPr="00DC26ED">
        <w:t xml:space="preserve"> together</w:t>
      </w:r>
      <w:r w:rsidRPr="00FE267E">
        <w:rPr>
          <w:rFonts w:ascii="Arial" w:hAnsi="Arial" w:cs="Arial"/>
        </w:rPr>
        <w:t xml:space="preserve">, </w:t>
      </w:r>
      <w:r w:rsidRPr="00DC26ED">
        <w:t>and</w:t>
      </w:r>
      <w:r w:rsidR="00022507">
        <w:t>/or</w:t>
      </w:r>
    </w:p>
    <w:p w:rsidR="00E82340" w:rsidRPr="00191944" w:rsidRDefault="00E82340" w:rsidP="00191944">
      <w:pPr>
        <w:pStyle w:val="Bullets1stindent"/>
        <w:numPr>
          <w:ilvl w:val="0"/>
          <w:numId w:val="57"/>
        </w:numPr>
        <w:ind w:left="284" w:hanging="284"/>
        <w:rPr>
          <w:rFonts w:asciiTheme="minorHAnsi" w:hAnsiTheme="minorHAnsi" w:cstheme="minorHAnsi"/>
        </w:rPr>
      </w:pPr>
      <w:r w:rsidRPr="00191944">
        <w:rPr>
          <w:rFonts w:asciiTheme="minorHAnsi" w:hAnsiTheme="minorHAnsi" w:cstheme="minorHAnsi"/>
        </w:rPr>
        <w:t>Workplace Modification</w:t>
      </w:r>
      <w:r w:rsidR="001B025A" w:rsidRPr="00191944">
        <w:rPr>
          <w:rFonts w:asciiTheme="minorHAnsi" w:hAnsiTheme="minorHAnsi" w:cstheme="minorHAnsi"/>
        </w:rPr>
        <w:t xml:space="preserve">s </w:t>
      </w:r>
      <w:r w:rsidRPr="00191944">
        <w:rPr>
          <w:rFonts w:asciiTheme="minorHAnsi" w:hAnsiTheme="minorHAnsi" w:cstheme="minorHAnsi"/>
        </w:rPr>
        <w:t>Assess</w:t>
      </w:r>
      <w:r w:rsidR="00E21401" w:rsidRPr="00191944">
        <w:rPr>
          <w:rFonts w:asciiTheme="minorHAnsi" w:hAnsiTheme="minorHAnsi" w:cstheme="minorHAnsi"/>
        </w:rPr>
        <w:t>ments</w:t>
      </w:r>
      <w:r w:rsidR="00B812D0" w:rsidRPr="00191944">
        <w:rPr>
          <w:rFonts w:asciiTheme="minorHAnsi" w:hAnsiTheme="minorHAnsi" w:cstheme="minorHAnsi"/>
        </w:rPr>
        <w:t>, including any specialist Workplace Modification</w:t>
      </w:r>
      <w:r w:rsidR="001B025A" w:rsidRPr="00191944">
        <w:rPr>
          <w:rFonts w:asciiTheme="minorHAnsi" w:hAnsiTheme="minorHAnsi" w:cstheme="minorHAnsi"/>
        </w:rPr>
        <w:t xml:space="preserve">s </w:t>
      </w:r>
      <w:r w:rsidR="00B812D0" w:rsidRPr="00191944">
        <w:rPr>
          <w:rFonts w:asciiTheme="minorHAnsi" w:hAnsiTheme="minorHAnsi" w:cstheme="minorHAnsi"/>
        </w:rPr>
        <w:t>Assessments nominated by the grant applicant</w:t>
      </w:r>
      <w:r w:rsidRPr="00191944">
        <w:rPr>
          <w:rFonts w:asciiTheme="minorHAnsi" w:hAnsiTheme="minorHAnsi" w:cstheme="minorHAnsi"/>
        </w:rPr>
        <w:t>.</w:t>
      </w:r>
    </w:p>
    <w:p w:rsidR="00C73641" w:rsidRDefault="00C73641" w:rsidP="00191944">
      <w:pPr>
        <w:rPr>
          <w:rFonts w:ascii="Arial" w:hAnsi="Arial" w:cs="Arial"/>
        </w:rPr>
      </w:pPr>
      <w:r>
        <w:rPr>
          <w:rFonts w:ascii="Arial" w:hAnsi="Arial" w:cs="Arial"/>
        </w:rPr>
        <w:br w:type="page"/>
      </w:r>
    </w:p>
    <w:p w:rsidR="00B67F61" w:rsidRDefault="007029BC" w:rsidP="00B67F61">
      <w:pPr>
        <w:spacing w:before="240" w:after="120"/>
      </w:pPr>
      <w:r w:rsidRPr="00B67F61">
        <w:lastRenderedPageBreak/>
        <w:t xml:space="preserve">The </w:t>
      </w:r>
      <w:r w:rsidR="00022507" w:rsidRPr="00B67F61">
        <w:t>a</w:t>
      </w:r>
      <w:r w:rsidRPr="00B67F61">
        <w:t xml:space="preserve">ssessments are described in more detail </w:t>
      </w:r>
      <w:r w:rsidR="00532038" w:rsidRPr="00B67F61">
        <w:t>in Section 4 Eligible grant activitie</w:t>
      </w:r>
      <w:r w:rsidR="00B67F61">
        <w:t>s</w:t>
      </w:r>
    </w:p>
    <w:p w:rsidR="00B67F61" w:rsidRPr="002544B3" w:rsidRDefault="00AB1A6B" w:rsidP="00B67F61">
      <w:pPr>
        <w:spacing w:before="120" w:after="120"/>
        <w:rPr>
          <w:rFonts w:ascii="Arial" w:hAnsi="Arial" w:cs="Arial"/>
        </w:rPr>
      </w:pPr>
      <w:r>
        <w:t>Service gaps</w:t>
      </w:r>
      <w:r w:rsidR="00B67F61" w:rsidRPr="00B67F61">
        <w:t xml:space="preserve"> may occur where there is an insufficient availability of NPA providers to deliver Assessment</w:t>
      </w:r>
      <w:r w:rsidR="00B67F61">
        <w:rPr>
          <w:rFonts w:ascii="Arial" w:hAnsi="Arial" w:cs="Arial"/>
        </w:rPr>
        <w:t xml:space="preserve"> Services in an ESA. Successful applicants may be invited to provide </w:t>
      </w:r>
      <w:r>
        <w:rPr>
          <w:rFonts w:ascii="Arial" w:hAnsi="Arial" w:cs="Arial"/>
        </w:rPr>
        <w:t xml:space="preserve">gap filling </w:t>
      </w:r>
      <w:r w:rsidR="00B67F61">
        <w:rPr>
          <w:rFonts w:ascii="Arial" w:hAnsi="Arial" w:cs="Arial"/>
        </w:rPr>
        <w:t xml:space="preserve">services in these areas. This is explained in more detail in section 7.6. </w:t>
      </w:r>
    </w:p>
    <w:p w:rsidR="00085A68" w:rsidRDefault="00085A68" w:rsidP="005256E1">
      <w:pPr>
        <w:pStyle w:val="Heading2Numbered"/>
        <w:rPr>
          <w:rFonts w:ascii="Arial" w:hAnsi="Arial" w:cs="Arial"/>
        </w:rPr>
      </w:pPr>
      <w:bookmarkStart w:id="20" w:name="_Toc491870777"/>
      <w:bookmarkStart w:id="21" w:name="_Toc491871039"/>
      <w:bookmarkStart w:id="22" w:name="_Toc491871100"/>
      <w:bookmarkStart w:id="23" w:name="_Toc491871161"/>
      <w:bookmarkStart w:id="24" w:name="_Toc491871220"/>
      <w:bookmarkStart w:id="25" w:name="_Toc492882533"/>
      <w:bookmarkEnd w:id="20"/>
      <w:bookmarkEnd w:id="21"/>
      <w:bookmarkEnd w:id="22"/>
      <w:bookmarkEnd w:id="23"/>
      <w:bookmarkEnd w:id="24"/>
      <w:r w:rsidRPr="00FE267E">
        <w:rPr>
          <w:rFonts w:ascii="Arial" w:hAnsi="Arial" w:cs="Arial"/>
        </w:rPr>
        <w:t>Allocation of</w:t>
      </w:r>
      <w:r>
        <w:rPr>
          <w:rFonts w:ascii="Arial" w:hAnsi="Arial" w:cs="Arial"/>
        </w:rPr>
        <w:t xml:space="preserve"> Assessment Services</w:t>
      </w:r>
      <w:bookmarkEnd w:id="25"/>
    </w:p>
    <w:p w:rsidR="00085A68" w:rsidRDefault="00085A68" w:rsidP="00620034">
      <w:r>
        <w:t>SWS assessments and OSAs will be allocated to NPA Providers by the Department</w:t>
      </w:r>
      <w:r w:rsidR="00FE267E">
        <w:t xml:space="preserve"> of Social Services</w:t>
      </w:r>
      <w:r>
        <w:t xml:space="preserve"> using the Department</w:t>
      </w:r>
      <w:r w:rsidR="00E65C6B">
        <w:t xml:space="preserve"> of Employment</w:t>
      </w:r>
      <w:r>
        <w:t xml:space="preserve"> IT system</w:t>
      </w:r>
      <w:r w:rsidR="00E65C6B">
        <w:t>s</w:t>
      </w:r>
      <w:r w:rsidR="0030532D">
        <w:t>, which allocate assessments on an equal basis to the NPA Providers in the assessment location</w:t>
      </w:r>
      <w:r>
        <w:t>. NPA Providers will be required to acknowledge acceptance or rejection of the allocated assessments using the Department</w:t>
      </w:r>
      <w:r w:rsidR="00E65C6B">
        <w:t xml:space="preserve"> of Employment</w:t>
      </w:r>
      <w:r>
        <w:t xml:space="preserve"> IT System</w:t>
      </w:r>
      <w:r w:rsidR="00E65C6B">
        <w:t>s</w:t>
      </w:r>
      <w:r>
        <w:t xml:space="preserve">. </w:t>
      </w:r>
    </w:p>
    <w:p w:rsidR="00BF14B9" w:rsidRDefault="00BF14B9" w:rsidP="00085A68">
      <w:r>
        <w:t>Where feasible, if OSAs and SWS assessments for a participant are due at a similar time, the assessments will be allocated to the same NPA Provider. This arrangement will support a streamlined assessment process for the participant, employer and DES provider.</w:t>
      </w:r>
    </w:p>
    <w:p w:rsidR="00BF14B9" w:rsidRDefault="00BF14B9" w:rsidP="005256E1">
      <w:r>
        <w:t xml:space="preserve">Workplace Modification Assessments will be allocated to NPA Providers who must then acknowledge </w:t>
      </w:r>
      <w:r w:rsidR="0030532D">
        <w:t xml:space="preserve">either acceptance or rejection </w:t>
      </w:r>
      <w:r>
        <w:t xml:space="preserve">of the allocated assessments. </w:t>
      </w:r>
      <w:r w:rsidR="0030532D">
        <w:t xml:space="preserve">Workplace Modification Assessments are allocated on an equal basis to the NPA Provider in the assessment location. Where a specialist Workplace Modification Assessment is required, a specialist assessment may be allocated </w:t>
      </w:r>
      <w:r w:rsidR="001D0425">
        <w:t>to the closest available assessor</w:t>
      </w:r>
      <w:r w:rsidR="0030532D">
        <w:t>.</w:t>
      </w:r>
    </w:p>
    <w:p w:rsidR="00BF14B9" w:rsidRDefault="00BF14B9" w:rsidP="00620034">
      <w:r>
        <w:t>Where an NPA Provider rejects an allocated assessment, the NPA Provider will be required to give reasons for that rejection. The Department</w:t>
      </w:r>
      <w:r w:rsidR="00FE267E">
        <w:t xml:space="preserve"> of Social Services</w:t>
      </w:r>
      <w:r>
        <w:t xml:space="preserve"> will monitor the number of rejections by NPA Providers and reasons for those rejections, which the Department</w:t>
      </w:r>
      <w:r w:rsidR="00FE267E">
        <w:t xml:space="preserve"> of Social Services</w:t>
      </w:r>
      <w:r>
        <w:t xml:space="preserve"> may take into account in relation to decisions whether to provide future assessment allocations to an NPA Provider.</w:t>
      </w:r>
    </w:p>
    <w:p w:rsidR="00BF14B9" w:rsidRDefault="00BF14B9" w:rsidP="00085A68">
      <w:r>
        <w:t>Allocation of assessments will take into account factors such as NPA Provider availability and any conflict of interest that have been declared to the Department</w:t>
      </w:r>
      <w:r w:rsidR="00FE267E">
        <w:t xml:space="preserve"> of Social Services</w:t>
      </w:r>
      <w:r>
        <w:t>. NPA Providers must not conduct an assessment if doing so would present a conflict of interest for the NPA Provider. Each NPA Provider will be required to declare any instance where it has been allocated an assessment that, if undertaken, would amount to a conflict of interest. The Grant Agreement will preclude an NPA Provider from conducting an assessment of a participant of its own organisation or a related entity.</w:t>
      </w:r>
    </w:p>
    <w:p w:rsidR="00A324AA" w:rsidRPr="002544B3" w:rsidRDefault="00A324AA" w:rsidP="00A324AA">
      <w:pPr>
        <w:rPr>
          <w:rFonts w:ascii="Arial" w:hAnsi="Arial" w:cs="Arial"/>
        </w:rPr>
      </w:pPr>
      <w:r>
        <w:rPr>
          <w:rFonts w:ascii="Arial" w:hAnsi="Arial" w:cs="Arial"/>
        </w:rPr>
        <w:t>NPA</w:t>
      </w:r>
      <w:r w:rsidRPr="002544B3">
        <w:rPr>
          <w:rFonts w:ascii="Arial" w:hAnsi="Arial" w:cs="Arial"/>
        </w:rPr>
        <w:t xml:space="preserve"> Providers will be precluded from providing Assessment Services in respect of any </w:t>
      </w:r>
      <w:r>
        <w:rPr>
          <w:rFonts w:ascii="Arial" w:hAnsi="Arial" w:cs="Arial"/>
        </w:rPr>
        <w:t>DES P</w:t>
      </w:r>
      <w:r w:rsidRPr="002544B3">
        <w:rPr>
          <w:rFonts w:ascii="Arial" w:hAnsi="Arial" w:cs="Arial"/>
        </w:rPr>
        <w:t>articipant who is employed by their own organisation or a related entity.</w:t>
      </w:r>
    </w:p>
    <w:p w:rsidR="00045933" w:rsidRPr="00B72EE8" w:rsidRDefault="00045933" w:rsidP="00A668C8">
      <w:pPr>
        <w:pStyle w:val="Heading1Numbered"/>
      </w:pPr>
      <w:bookmarkStart w:id="26" w:name="_Toc492882534"/>
      <w:r>
        <w:t>Grant amount</w:t>
      </w:r>
      <w:bookmarkEnd w:id="19"/>
      <w:bookmarkEnd w:id="26"/>
    </w:p>
    <w:p w:rsidR="001D0425" w:rsidRDefault="00156D44" w:rsidP="001D0425">
      <w:pPr>
        <w:rPr>
          <w:rFonts w:ascii="Arial" w:hAnsi="Arial" w:cs="Arial"/>
        </w:rPr>
      </w:pPr>
      <w:r w:rsidRPr="009B3540">
        <w:t>Th</w:t>
      </w:r>
      <w:r w:rsidR="00300E03">
        <w:t>is</w:t>
      </w:r>
      <w:r w:rsidRPr="009B3540">
        <w:t xml:space="preserve"> </w:t>
      </w:r>
      <w:r w:rsidR="00555832">
        <w:t>G</w:t>
      </w:r>
      <w:r w:rsidRPr="009B3540">
        <w:t xml:space="preserve">rant </w:t>
      </w:r>
      <w:r w:rsidR="00555832">
        <w:t>O</w:t>
      </w:r>
      <w:r>
        <w:t>pportunity</w:t>
      </w:r>
      <w:r w:rsidRPr="009B3540">
        <w:t xml:space="preserve"> is for membership of the National Panel of Assessors.</w:t>
      </w:r>
      <w:r>
        <w:rPr>
          <w:b/>
        </w:rPr>
        <w:t xml:space="preserve">  </w:t>
      </w:r>
      <w:r>
        <w:t xml:space="preserve">Approved </w:t>
      </w:r>
      <w:r w:rsidR="00300E03">
        <w:t>NPA Providers</w:t>
      </w:r>
      <w:r>
        <w:t xml:space="preserve"> will receive </w:t>
      </w:r>
      <w:r w:rsidR="00EB61A3">
        <w:t xml:space="preserve">a </w:t>
      </w:r>
      <w:r w:rsidR="00412D69">
        <w:t xml:space="preserve">grant </w:t>
      </w:r>
      <w:r>
        <w:t>for providing</w:t>
      </w:r>
      <w:r w:rsidRPr="00465680">
        <w:t xml:space="preserve"> a range of Assessment Services to assist with the needs of people with disability in the workplace</w:t>
      </w:r>
      <w:r>
        <w:t>.</w:t>
      </w:r>
      <w:r w:rsidR="001D0425" w:rsidRPr="001D0425">
        <w:rPr>
          <w:rFonts w:ascii="Arial" w:hAnsi="Arial" w:cs="Arial"/>
        </w:rPr>
        <w:t xml:space="preserve"> </w:t>
      </w:r>
      <w:r w:rsidR="001D0425" w:rsidRPr="002544B3">
        <w:rPr>
          <w:rFonts w:ascii="Arial" w:hAnsi="Arial" w:cs="Arial"/>
        </w:rPr>
        <w:t xml:space="preserve">No funding is provided </w:t>
      </w:r>
      <w:r w:rsidR="001D0425">
        <w:rPr>
          <w:rFonts w:ascii="Arial" w:hAnsi="Arial" w:cs="Arial"/>
        </w:rPr>
        <w:t xml:space="preserve">to NPA Providers </w:t>
      </w:r>
      <w:r w:rsidR="001D0425" w:rsidRPr="002544B3">
        <w:rPr>
          <w:rFonts w:ascii="Arial" w:hAnsi="Arial" w:cs="Arial"/>
        </w:rPr>
        <w:t>on appointment to the National Panel of Assessors. Those successful applicants subsequently invited to become</w:t>
      </w:r>
      <w:r w:rsidR="001D0425">
        <w:rPr>
          <w:rFonts w:ascii="Arial" w:hAnsi="Arial" w:cs="Arial"/>
        </w:rPr>
        <w:t xml:space="preserve"> NPA</w:t>
      </w:r>
      <w:r w:rsidR="001D0425" w:rsidRPr="002544B3">
        <w:rPr>
          <w:rFonts w:ascii="Arial" w:hAnsi="Arial" w:cs="Arial"/>
        </w:rPr>
        <w:t xml:space="preserve"> Providers on the National Panel of Assessors will be </w:t>
      </w:r>
      <w:r w:rsidR="001D0425" w:rsidRPr="002544B3">
        <w:rPr>
          <w:rFonts w:ascii="Arial" w:hAnsi="Arial" w:cs="Arial"/>
        </w:rPr>
        <w:lastRenderedPageBreak/>
        <w:t>required to enter into a Grant Agreement with the Department</w:t>
      </w:r>
      <w:r w:rsidR="001D0425">
        <w:rPr>
          <w:rFonts w:ascii="Arial" w:hAnsi="Arial" w:cs="Arial"/>
        </w:rPr>
        <w:t xml:space="preserve"> of Social Services</w:t>
      </w:r>
      <w:r w:rsidR="001D0425" w:rsidRPr="002544B3">
        <w:rPr>
          <w:rFonts w:ascii="Arial" w:hAnsi="Arial" w:cs="Arial"/>
        </w:rPr>
        <w:t xml:space="preserve">. Assessment Services will be allocated to </w:t>
      </w:r>
      <w:r w:rsidR="001D0425">
        <w:rPr>
          <w:rFonts w:ascii="Arial" w:hAnsi="Arial" w:cs="Arial"/>
        </w:rPr>
        <w:t xml:space="preserve">NPA </w:t>
      </w:r>
      <w:r w:rsidR="001D0425" w:rsidRPr="002544B3">
        <w:rPr>
          <w:rFonts w:ascii="Arial" w:hAnsi="Arial" w:cs="Arial"/>
        </w:rPr>
        <w:t>Providers as required by the Department</w:t>
      </w:r>
      <w:r w:rsidR="001D0425">
        <w:rPr>
          <w:rFonts w:ascii="Arial" w:hAnsi="Arial" w:cs="Arial"/>
        </w:rPr>
        <w:t xml:space="preserve"> of Social Services</w:t>
      </w:r>
      <w:r w:rsidR="001D0425" w:rsidRPr="002544B3">
        <w:rPr>
          <w:rFonts w:ascii="Arial" w:hAnsi="Arial" w:cs="Arial"/>
        </w:rPr>
        <w:t>.</w:t>
      </w:r>
      <w:r w:rsidR="001D0425">
        <w:rPr>
          <w:rFonts w:ascii="Arial" w:hAnsi="Arial" w:cs="Arial"/>
        </w:rPr>
        <w:t xml:space="preserve"> There is no guarantee on the amount of Assessment Services will allocated to the successful applicants.  The NPA is a non-exclusive arrangement.</w:t>
      </w:r>
    </w:p>
    <w:p w:rsidR="00A44851" w:rsidRPr="006C3749" w:rsidRDefault="00A44851" w:rsidP="006C3749">
      <w:pPr>
        <w:ind w:right="-428"/>
        <w:rPr>
          <w:b/>
        </w:rPr>
      </w:pPr>
      <w:r w:rsidRPr="00E12E3D">
        <w:rPr>
          <w:b/>
        </w:rPr>
        <w:t xml:space="preserve">Table 1 Total </w:t>
      </w:r>
      <w:r w:rsidR="00FC7AF8" w:rsidRPr="00E12E3D">
        <w:rPr>
          <w:b/>
        </w:rPr>
        <w:t>amount</w:t>
      </w:r>
      <w:r w:rsidRPr="00E12E3D">
        <w:rPr>
          <w:b/>
        </w:rPr>
        <w:t xml:space="preserve"> of NPA program and cost over the Budget and forward estimates</w:t>
      </w:r>
    </w:p>
    <w:tbl>
      <w:tblPr>
        <w:tblStyle w:val="TableGrid"/>
        <w:tblW w:w="5000" w:type="pct"/>
        <w:tblLook w:val="04A0" w:firstRow="1" w:lastRow="0" w:firstColumn="1" w:lastColumn="0" w:noHBand="0" w:noVBand="1"/>
        <w:tblCaption w:val="Table 1 Total amount of NPA program and cost over the Budget and Forward Estimates"/>
        <w:tblDescription w:val="Funding for each of the assessment types applicable for five years "/>
      </w:tblPr>
      <w:tblGrid>
        <w:gridCol w:w="1513"/>
        <w:gridCol w:w="1295"/>
        <w:gridCol w:w="1297"/>
        <w:gridCol w:w="1295"/>
        <w:gridCol w:w="1296"/>
        <w:gridCol w:w="1296"/>
        <w:gridCol w:w="1294"/>
      </w:tblGrid>
      <w:tr w:rsidR="002F307F" w:rsidRPr="00FE598B" w:rsidTr="00A32064">
        <w:trPr>
          <w:tblHeader/>
        </w:trPr>
        <w:tc>
          <w:tcPr>
            <w:tcW w:w="745" w:type="pct"/>
            <w:shd w:val="clear" w:color="auto" w:fill="FFFFFF" w:themeFill="background1"/>
          </w:tcPr>
          <w:p w:rsidR="00A44851" w:rsidRPr="005547D4" w:rsidRDefault="002F307F" w:rsidP="00B67590">
            <w:pPr>
              <w:pStyle w:val="Covertable"/>
              <w:spacing w:before="0" w:after="0"/>
              <w:jc w:val="center"/>
              <w:rPr>
                <w:rFonts w:ascii="Arial" w:hAnsi="Arial" w:cs="Arial"/>
                <w:b/>
                <w:bCs w:val="0"/>
                <w:snapToGrid/>
                <w:sz w:val="22"/>
                <w:szCs w:val="22"/>
              </w:rPr>
            </w:pPr>
            <w:r>
              <w:rPr>
                <w:rFonts w:ascii="Arial" w:hAnsi="Arial" w:cs="Arial"/>
                <w:b/>
                <w:bCs w:val="0"/>
                <w:snapToGrid/>
                <w:sz w:val="22"/>
                <w:szCs w:val="22"/>
              </w:rPr>
              <w:t>Assessment type</w:t>
            </w:r>
          </w:p>
        </w:tc>
        <w:tc>
          <w:tcPr>
            <w:tcW w:w="709" w:type="pct"/>
            <w:shd w:val="clear" w:color="auto" w:fill="FFFFFF" w:themeFill="background1"/>
            <w:vAlign w:val="center"/>
          </w:tcPr>
          <w:p w:rsidR="00A44851" w:rsidRPr="005547D4" w:rsidRDefault="00A44851" w:rsidP="00B67590">
            <w:pPr>
              <w:pStyle w:val="Covertable"/>
              <w:spacing w:before="0" w:after="0"/>
              <w:jc w:val="center"/>
              <w:rPr>
                <w:rFonts w:ascii="Arial" w:hAnsi="Arial" w:cs="Arial"/>
                <w:b/>
                <w:bCs w:val="0"/>
                <w:snapToGrid/>
                <w:sz w:val="22"/>
                <w:szCs w:val="22"/>
              </w:rPr>
            </w:pPr>
            <w:r w:rsidRPr="005547D4">
              <w:rPr>
                <w:rFonts w:ascii="Arial" w:hAnsi="Arial" w:cs="Arial"/>
                <w:b/>
                <w:bCs w:val="0"/>
                <w:snapToGrid/>
                <w:sz w:val="22"/>
                <w:szCs w:val="22"/>
              </w:rPr>
              <w:t xml:space="preserve">2018-19 </w:t>
            </w:r>
          </w:p>
          <w:p w:rsidR="00A44851" w:rsidRPr="005547D4" w:rsidRDefault="00A44851" w:rsidP="00B67590">
            <w:pPr>
              <w:pStyle w:val="Covertable"/>
              <w:spacing w:before="0" w:after="0"/>
              <w:jc w:val="center"/>
              <w:rPr>
                <w:rFonts w:ascii="Arial" w:hAnsi="Arial" w:cs="Arial"/>
                <w:b/>
                <w:bCs w:val="0"/>
                <w:snapToGrid/>
                <w:sz w:val="22"/>
                <w:szCs w:val="22"/>
              </w:rPr>
            </w:pPr>
            <w:r w:rsidRPr="005547D4">
              <w:rPr>
                <w:rFonts w:ascii="Arial" w:hAnsi="Arial" w:cs="Arial"/>
                <w:b/>
                <w:bCs w:val="0"/>
                <w:snapToGrid/>
                <w:sz w:val="22"/>
                <w:szCs w:val="22"/>
              </w:rPr>
              <w:t>($’000)</w:t>
            </w:r>
          </w:p>
        </w:tc>
        <w:tc>
          <w:tcPr>
            <w:tcW w:w="710" w:type="pct"/>
            <w:shd w:val="clear" w:color="auto" w:fill="FFFFFF" w:themeFill="background1"/>
            <w:vAlign w:val="center"/>
          </w:tcPr>
          <w:p w:rsidR="00A44851" w:rsidRPr="005547D4" w:rsidRDefault="00A44851" w:rsidP="00B67590">
            <w:pPr>
              <w:pStyle w:val="Covertable"/>
              <w:spacing w:before="0" w:after="0"/>
              <w:jc w:val="center"/>
              <w:rPr>
                <w:rFonts w:ascii="Arial" w:hAnsi="Arial" w:cs="Arial"/>
                <w:b/>
                <w:bCs w:val="0"/>
                <w:snapToGrid/>
                <w:sz w:val="22"/>
                <w:szCs w:val="22"/>
              </w:rPr>
            </w:pPr>
            <w:r w:rsidRPr="005547D4">
              <w:rPr>
                <w:rFonts w:ascii="Arial" w:hAnsi="Arial" w:cs="Arial"/>
                <w:b/>
                <w:bCs w:val="0"/>
                <w:snapToGrid/>
                <w:sz w:val="22"/>
                <w:szCs w:val="22"/>
              </w:rPr>
              <w:t xml:space="preserve">2019-20 </w:t>
            </w:r>
          </w:p>
          <w:p w:rsidR="00A44851" w:rsidRPr="005547D4" w:rsidRDefault="00A44851" w:rsidP="00B67590">
            <w:pPr>
              <w:pStyle w:val="Covertable"/>
              <w:spacing w:before="0" w:after="0"/>
              <w:jc w:val="center"/>
              <w:rPr>
                <w:rFonts w:ascii="Arial" w:hAnsi="Arial" w:cs="Arial"/>
                <w:b/>
                <w:bCs w:val="0"/>
                <w:snapToGrid/>
                <w:sz w:val="22"/>
                <w:szCs w:val="22"/>
              </w:rPr>
            </w:pPr>
            <w:r w:rsidRPr="005547D4">
              <w:rPr>
                <w:rFonts w:ascii="Arial" w:hAnsi="Arial" w:cs="Arial"/>
                <w:b/>
                <w:bCs w:val="0"/>
                <w:snapToGrid/>
                <w:sz w:val="22"/>
                <w:szCs w:val="22"/>
              </w:rPr>
              <w:t>($’000)</w:t>
            </w:r>
          </w:p>
        </w:tc>
        <w:tc>
          <w:tcPr>
            <w:tcW w:w="709" w:type="pct"/>
            <w:shd w:val="clear" w:color="auto" w:fill="FFFFFF" w:themeFill="background1"/>
            <w:vAlign w:val="center"/>
          </w:tcPr>
          <w:p w:rsidR="00A44851" w:rsidRPr="005547D4" w:rsidRDefault="00A44851" w:rsidP="00B67590">
            <w:pPr>
              <w:pStyle w:val="Covertable"/>
              <w:spacing w:before="0" w:after="0"/>
              <w:jc w:val="center"/>
              <w:rPr>
                <w:rFonts w:ascii="Arial" w:hAnsi="Arial" w:cs="Arial"/>
                <w:b/>
                <w:bCs w:val="0"/>
                <w:snapToGrid/>
                <w:sz w:val="22"/>
                <w:szCs w:val="22"/>
              </w:rPr>
            </w:pPr>
            <w:r w:rsidRPr="005547D4">
              <w:rPr>
                <w:rFonts w:ascii="Arial" w:hAnsi="Arial" w:cs="Arial"/>
                <w:b/>
                <w:bCs w:val="0"/>
                <w:snapToGrid/>
                <w:sz w:val="22"/>
                <w:szCs w:val="22"/>
              </w:rPr>
              <w:t xml:space="preserve">2020-21 </w:t>
            </w:r>
          </w:p>
          <w:p w:rsidR="00A44851" w:rsidRPr="005547D4" w:rsidRDefault="00A44851" w:rsidP="00B67590">
            <w:pPr>
              <w:pStyle w:val="Covertable"/>
              <w:spacing w:before="0" w:after="0"/>
              <w:jc w:val="center"/>
              <w:rPr>
                <w:rFonts w:ascii="Arial" w:hAnsi="Arial" w:cs="Arial"/>
                <w:b/>
                <w:bCs w:val="0"/>
                <w:snapToGrid/>
                <w:sz w:val="22"/>
                <w:szCs w:val="22"/>
              </w:rPr>
            </w:pPr>
            <w:r w:rsidRPr="005547D4">
              <w:rPr>
                <w:rFonts w:ascii="Arial" w:hAnsi="Arial" w:cs="Arial"/>
                <w:b/>
                <w:bCs w:val="0"/>
                <w:snapToGrid/>
                <w:sz w:val="22"/>
                <w:szCs w:val="22"/>
              </w:rPr>
              <w:t>($’000)</w:t>
            </w:r>
          </w:p>
        </w:tc>
        <w:tc>
          <w:tcPr>
            <w:tcW w:w="709" w:type="pct"/>
            <w:shd w:val="clear" w:color="auto" w:fill="FFFFFF" w:themeFill="background1"/>
          </w:tcPr>
          <w:p w:rsidR="00A44851" w:rsidRPr="005547D4" w:rsidRDefault="00A44851" w:rsidP="00B67590">
            <w:pPr>
              <w:pStyle w:val="Covertable"/>
              <w:spacing w:before="0" w:after="0"/>
              <w:jc w:val="center"/>
              <w:rPr>
                <w:rFonts w:ascii="Arial" w:hAnsi="Arial" w:cs="Arial"/>
                <w:b/>
                <w:bCs w:val="0"/>
                <w:snapToGrid/>
                <w:sz w:val="22"/>
                <w:szCs w:val="22"/>
              </w:rPr>
            </w:pPr>
            <w:r w:rsidRPr="005547D4">
              <w:rPr>
                <w:rFonts w:ascii="Arial" w:hAnsi="Arial" w:cs="Arial"/>
                <w:b/>
                <w:bCs w:val="0"/>
                <w:snapToGrid/>
                <w:sz w:val="22"/>
                <w:szCs w:val="22"/>
              </w:rPr>
              <w:t>2021-22</w:t>
            </w:r>
          </w:p>
          <w:p w:rsidR="00A44851" w:rsidRPr="005547D4" w:rsidRDefault="00A44851" w:rsidP="00B67590">
            <w:pPr>
              <w:pStyle w:val="Covertable"/>
              <w:spacing w:before="0" w:after="0"/>
              <w:jc w:val="center"/>
              <w:rPr>
                <w:rFonts w:ascii="Arial" w:hAnsi="Arial" w:cs="Arial"/>
                <w:b/>
                <w:bCs w:val="0"/>
                <w:snapToGrid/>
                <w:sz w:val="22"/>
                <w:szCs w:val="22"/>
              </w:rPr>
            </w:pPr>
            <w:r w:rsidRPr="005547D4">
              <w:rPr>
                <w:rFonts w:ascii="Arial" w:hAnsi="Arial" w:cs="Arial"/>
                <w:b/>
                <w:bCs w:val="0"/>
                <w:snapToGrid/>
                <w:sz w:val="22"/>
                <w:szCs w:val="22"/>
              </w:rPr>
              <w:t>($’000)</w:t>
            </w:r>
          </w:p>
        </w:tc>
        <w:tc>
          <w:tcPr>
            <w:tcW w:w="709" w:type="pct"/>
            <w:shd w:val="clear" w:color="auto" w:fill="FFFFFF" w:themeFill="background1"/>
          </w:tcPr>
          <w:p w:rsidR="00A44851" w:rsidRPr="005547D4" w:rsidRDefault="00A44851" w:rsidP="00B67590">
            <w:pPr>
              <w:pStyle w:val="Covertable"/>
              <w:spacing w:before="0" w:after="0"/>
              <w:jc w:val="center"/>
              <w:rPr>
                <w:rFonts w:ascii="Arial" w:hAnsi="Arial" w:cs="Arial"/>
                <w:b/>
                <w:bCs w:val="0"/>
                <w:snapToGrid/>
                <w:sz w:val="22"/>
                <w:szCs w:val="22"/>
              </w:rPr>
            </w:pPr>
            <w:r w:rsidRPr="005547D4">
              <w:rPr>
                <w:rFonts w:ascii="Arial" w:hAnsi="Arial" w:cs="Arial"/>
                <w:b/>
                <w:bCs w:val="0"/>
                <w:snapToGrid/>
                <w:sz w:val="22"/>
                <w:szCs w:val="22"/>
              </w:rPr>
              <w:t>2022-23</w:t>
            </w:r>
          </w:p>
          <w:p w:rsidR="00A44851" w:rsidRPr="005547D4" w:rsidRDefault="00A44851" w:rsidP="00B67590">
            <w:pPr>
              <w:pStyle w:val="Covertable"/>
              <w:spacing w:before="0" w:after="0"/>
              <w:jc w:val="center"/>
              <w:rPr>
                <w:rFonts w:ascii="Arial" w:hAnsi="Arial" w:cs="Arial"/>
                <w:b/>
                <w:bCs w:val="0"/>
                <w:snapToGrid/>
                <w:sz w:val="22"/>
                <w:szCs w:val="22"/>
              </w:rPr>
            </w:pPr>
            <w:r w:rsidRPr="005547D4">
              <w:rPr>
                <w:rFonts w:ascii="Arial" w:hAnsi="Arial" w:cs="Arial"/>
                <w:b/>
                <w:bCs w:val="0"/>
                <w:snapToGrid/>
                <w:sz w:val="22"/>
                <w:szCs w:val="22"/>
              </w:rPr>
              <w:t>($’000)</w:t>
            </w:r>
          </w:p>
        </w:tc>
        <w:tc>
          <w:tcPr>
            <w:tcW w:w="708" w:type="pct"/>
            <w:shd w:val="clear" w:color="auto" w:fill="FFFFFF" w:themeFill="background1"/>
            <w:vAlign w:val="center"/>
          </w:tcPr>
          <w:p w:rsidR="00A44851" w:rsidRPr="005547D4" w:rsidRDefault="00A44851" w:rsidP="00B67590">
            <w:pPr>
              <w:pStyle w:val="Covertable"/>
              <w:spacing w:before="0" w:after="0"/>
              <w:jc w:val="center"/>
              <w:rPr>
                <w:rFonts w:ascii="Arial" w:hAnsi="Arial" w:cs="Arial"/>
                <w:b/>
                <w:bCs w:val="0"/>
                <w:snapToGrid/>
                <w:sz w:val="22"/>
                <w:szCs w:val="22"/>
              </w:rPr>
            </w:pPr>
            <w:r w:rsidRPr="005547D4">
              <w:rPr>
                <w:rFonts w:ascii="Arial" w:hAnsi="Arial" w:cs="Arial"/>
                <w:b/>
                <w:bCs w:val="0"/>
                <w:snapToGrid/>
                <w:sz w:val="22"/>
                <w:szCs w:val="22"/>
              </w:rPr>
              <w:t>TOTAL ($’000)</w:t>
            </w:r>
          </w:p>
        </w:tc>
      </w:tr>
      <w:tr w:rsidR="00A44851" w:rsidRPr="00FE598B" w:rsidTr="00B67590">
        <w:tc>
          <w:tcPr>
            <w:tcW w:w="745" w:type="pct"/>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OSA</w:t>
            </w:r>
          </w:p>
        </w:tc>
        <w:tc>
          <w:tcPr>
            <w:tcW w:w="709" w:type="pct"/>
            <w:shd w:val="clear" w:color="auto" w:fill="auto"/>
            <w:vAlign w:val="center"/>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3,000</w:t>
            </w:r>
          </w:p>
        </w:tc>
        <w:tc>
          <w:tcPr>
            <w:tcW w:w="710" w:type="pct"/>
            <w:shd w:val="clear" w:color="auto" w:fill="auto"/>
            <w:vAlign w:val="center"/>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3,000</w:t>
            </w:r>
          </w:p>
        </w:tc>
        <w:tc>
          <w:tcPr>
            <w:tcW w:w="709" w:type="pct"/>
            <w:shd w:val="clear" w:color="auto" w:fill="auto"/>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3,000</w:t>
            </w:r>
          </w:p>
        </w:tc>
        <w:tc>
          <w:tcPr>
            <w:tcW w:w="709" w:type="pct"/>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3,000</w:t>
            </w:r>
          </w:p>
        </w:tc>
        <w:tc>
          <w:tcPr>
            <w:tcW w:w="709" w:type="pct"/>
            <w:shd w:val="clear" w:color="auto" w:fill="auto"/>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3,000</w:t>
            </w:r>
          </w:p>
        </w:tc>
        <w:tc>
          <w:tcPr>
            <w:tcW w:w="708" w:type="pct"/>
            <w:shd w:val="clear" w:color="auto" w:fill="auto"/>
            <w:vAlign w:val="center"/>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15,000</w:t>
            </w:r>
          </w:p>
        </w:tc>
      </w:tr>
      <w:tr w:rsidR="00A44851" w:rsidRPr="00FE598B" w:rsidTr="00B67590">
        <w:tc>
          <w:tcPr>
            <w:tcW w:w="745" w:type="pct"/>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SWS</w:t>
            </w:r>
          </w:p>
        </w:tc>
        <w:tc>
          <w:tcPr>
            <w:tcW w:w="709" w:type="pct"/>
            <w:shd w:val="clear" w:color="auto" w:fill="auto"/>
            <w:vAlign w:val="center"/>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3,500</w:t>
            </w:r>
          </w:p>
        </w:tc>
        <w:tc>
          <w:tcPr>
            <w:tcW w:w="710" w:type="pct"/>
            <w:shd w:val="clear" w:color="auto" w:fill="auto"/>
            <w:vAlign w:val="center"/>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3,500</w:t>
            </w:r>
          </w:p>
        </w:tc>
        <w:tc>
          <w:tcPr>
            <w:tcW w:w="709" w:type="pct"/>
            <w:shd w:val="clear" w:color="auto" w:fill="auto"/>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3,500</w:t>
            </w:r>
          </w:p>
        </w:tc>
        <w:tc>
          <w:tcPr>
            <w:tcW w:w="709" w:type="pct"/>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3,500</w:t>
            </w:r>
          </w:p>
        </w:tc>
        <w:tc>
          <w:tcPr>
            <w:tcW w:w="709" w:type="pct"/>
            <w:shd w:val="clear" w:color="auto" w:fill="auto"/>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3,500</w:t>
            </w:r>
          </w:p>
        </w:tc>
        <w:tc>
          <w:tcPr>
            <w:tcW w:w="708" w:type="pct"/>
            <w:shd w:val="clear" w:color="auto" w:fill="auto"/>
            <w:vAlign w:val="center"/>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17,500</w:t>
            </w:r>
          </w:p>
        </w:tc>
      </w:tr>
      <w:tr w:rsidR="00A44851" w:rsidRPr="00FE598B" w:rsidTr="00B67590">
        <w:tc>
          <w:tcPr>
            <w:tcW w:w="745" w:type="pct"/>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WMS</w:t>
            </w:r>
          </w:p>
        </w:tc>
        <w:tc>
          <w:tcPr>
            <w:tcW w:w="709" w:type="pct"/>
            <w:shd w:val="clear" w:color="auto" w:fill="auto"/>
            <w:vAlign w:val="center"/>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1,000</w:t>
            </w:r>
          </w:p>
        </w:tc>
        <w:tc>
          <w:tcPr>
            <w:tcW w:w="710" w:type="pct"/>
            <w:shd w:val="clear" w:color="auto" w:fill="auto"/>
            <w:vAlign w:val="center"/>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1,000</w:t>
            </w:r>
          </w:p>
        </w:tc>
        <w:tc>
          <w:tcPr>
            <w:tcW w:w="709" w:type="pct"/>
            <w:shd w:val="clear" w:color="auto" w:fill="auto"/>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1,000</w:t>
            </w:r>
          </w:p>
        </w:tc>
        <w:tc>
          <w:tcPr>
            <w:tcW w:w="709" w:type="pct"/>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1,000</w:t>
            </w:r>
          </w:p>
        </w:tc>
        <w:tc>
          <w:tcPr>
            <w:tcW w:w="709" w:type="pct"/>
            <w:shd w:val="clear" w:color="auto" w:fill="auto"/>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1,000</w:t>
            </w:r>
          </w:p>
        </w:tc>
        <w:tc>
          <w:tcPr>
            <w:tcW w:w="708" w:type="pct"/>
            <w:shd w:val="clear" w:color="auto" w:fill="auto"/>
            <w:vAlign w:val="center"/>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5,000</w:t>
            </w:r>
          </w:p>
        </w:tc>
      </w:tr>
      <w:tr w:rsidR="00A44851" w:rsidRPr="00FE598B" w:rsidTr="00B67590">
        <w:tc>
          <w:tcPr>
            <w:tcW w:w="745" w:type="pct"/>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Total</w:t>
            </w:r>
          </w:p>
        </w:tc>
        <w:tc>
          <w:tcPr>
            <w:tcW w:w="709" w:type="pct"/>
            <w:shd w:val="clear" w:color="auto" w:fill="auto"/>
            <w:vAlign w:val="center"/>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7,500</w:t>
            </w:r>
          </w:p>
        </w:tc>
        <w:tc>
          <w:tcPr>
            <w:tcW w:w="710" w:type="pct"/>
            <w:shd w:val="clear" w:color="auto" w:fill="auto"/>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7,500</w:t>
            </w:r>
          </w:p>
        </w:tc>
        <w:tc>
          <w:tcPr>
            <w:tcW w:w="709" w:type="pct"/>
            <w:shd w:val="clear" w:color="auto" w:fill="auto"/>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7,500</w:t>
            </w:r>
          </w:p>
        </w:tc>
        <w:tc>
          <w:tcPr>
            <w:tcW w:w="709" w:type="pct"/>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7,500</w:t>
            </w:r>
          </w:p>
        </w:tc>
        <w:tc>
          <w:tcPr>
            <w:tcW w:w="709" w:type="pct"/>
            <w:shd w:val="clear" w:color="auto" w:fill="auto"/>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7,500</w:t>
            </w:r>
          </w:p>
        </w:tc>
        <w:tc>
          <w:tcPr>
            <w:tcW w:w="708" w:type="pct"/>
            <w:shd w:val="clear" w:color="auto" w:fill="auto"/>
            <w:vAlign w:val="center"/>
          </w:tcPr>
          <w:p w:rsidR="00A44851" w:rsidRPr="005547D4" w:rsidRDefault="00A44851" w:rsidP="00B67590">
            <w:pPr>
              <w:pStyle w:val="Covertable"/>
              <w:spacing w:before="0" w:after="0"/>
              <w:jc w:val="center"/>
              <w:rPr>
                <w:rFonts w:ascii="Arial" w:hAnsi="Arial" w:cs="Arial"/>
                <w:bCs w:val="0"/>
                <w:snapToGrid/>
                <w:sz w:val="22"/>
                <w:szCs w:val="22"/>
              </w:rPr>
            </w:pPr>
            <w:r w:rsidRPr="005547D4">
              <w:rPr>
                <w:rFonts w:ascii="Arial" w:hAnsi="Arial" w:cs="Arial"/>
                <w:bCs w:val="0"/>
                <w:snapToGrid/>
                <w:sz w:val="22"/>
                <w:szCs w:val="22"/>
              </w:rPr>
              <w:t>37,500</w:t>
            </w:r>
          </w:p>
        </w:tc>
      </w:tr>
    </w:tbl>
    <w:p w:rsidR="00452BD1" w:rsidRDefault="00412D69" w:rsidP="00432EC5">
      <w:pPr>
        <w:rPr>
          <w:b/>
        </w:rPr>
      </w:pPr>
      <w:r>
        <w:rPr>
          <w:b/>
        </w:rPr>
        <w:t>Grant</w:t>
      </w:r>
      <w:r w:rsidR="00A13629">
        <w:rPr>
          <w:b/>
        </w:rPr>
        <w:t xml:space="preserve"> funding</w:t>
      </w:r>
      <w:r>
        <w:rPr>
          <w:b/>
        </w:rPr>
        <w:t xml:space="preserve"> </w:t>
      </w:r>
      <w:r w:rsidR="00452BD1">
        <w:rPr>
          <w:b/>
        </w:rPr>
        <w:t>for the National Panel of Assessors</w:t>
      </w:r>
    </w:p>
    <w:p w:rsidR="00525701" w:rsidRDefault="00525701" w:rsidP="00432EC5">
      <w:pPr>
        <w:pStyle w:val="BodyIndent0"/>
        <w:spacing w:before="180" w:after="60" w:line="280" w:lineRule="atLeast"/>
        <w:rPr>
          <w:rFonts w:ascii="Arial" w:hAnsi="Arial" w:cs="Arial"/>
          <w:sz w:val="22"/>
          <w:szCs w:val="22"/>
        </w:rPr>
      </w:pPr>
      <w:r w:rsidRPr="00C74899">
        <w:rPr>
          <w:rFonts w:ascii="Arial" w:hAnsi="Arial" w:cs="Arial"/>
          <w:sz w:val="22"/>
          <w:szCs w:val="22"/>
        </w:rPr>
        <w:t xml:space="preserve">Table 1 indicates the </w:t>
      </w:r>
      <w:r w:rsidR="00A13629">
        <w:rPr>
          <w:rFonts w:ascii="Arial" w:hAnsi="Arial" w:cs="Arial"/>
          <w:sz w:val="22"/>
          <w:szCs w:val="22"/>
        </w:rPr>
        <w:t>grant</w:t>
      </w:r>
      <w:r w:rsidR="00A13629" w:rsidRPr="00C74899">
        <w:rPr>
          <w:rFonts w:ascii="Arial" w:hAnsi="Arial" w:cs="Arial"/>
          <w:sz w:val="22"/>
          <w:szCs w:val="22"/>
        </w:rPr>
        <w:t xml:space="preserve"> </w:t>
      </w:r>
      <w:r w:rsidRPr="00C74899">
        <w:rPr>
          <w:rFonts w:ascii="Arial" w:hAnsi="Arial" w:cs="Arial"/>
          <w:sz w:val="22"/>
          <w:szCs w:val="22"/>
        </w:rPr>
        <w:t xml:space="preserve">arrangements for each of the assessment types applicable to the National Panel of Assessors. Table </w:t>
      </w:r>
      <w:r w:rsidR="00B67590">
        <w:rPr>
          <w:rFonts w:ascii="Arial" w:hAnsi="Arial" w:cs="Arial"/>
          <w:sz w:val="22"/>
          <w:szCs w:val="22"/>
        </w:rPr>
        <w:t>2</w:t>
      </w:r>
      <w:r w:rsidR="00811F71">
        <w:rPr>
          <w:rFonts w:ascii="Arial" w:hAnsi="Arial" w:cs="Arial"/>
          <w:sz w:val="22"/>
          <w:szCs w:val="22"/>
        </w:rPr>
        <w:t xml:space="preserve"> </w:t>
      </w:r>
      <w:r w:rsidRPr="00C74899">
        <w:rPr>
          <w:rFonts w:ascii="Arial" w:hAnsi="Arial" w:cs="Arial"/>
          <w:sz w:val="22"/>
          <w:szCs w:val="22"/>
        </w:rPr>
        <w:t xml:space="preserve">indicates the </w:t>
      </w:r>
      <w:r w:rsidR="00412D69">
        <w:rPr>
          <w:rFonts w:ascii="Arial" w:hAnsi="Arial" w:cs="Arial"/>
          <w:sz w:val="22"/>
          <w:szCs w:val="22"/>
        </w:rPr>
        <w:t>grant</w:t>
      </w:r>
      <w:r w:rsidR="00412D69" w:rsidRPr="00C74899">
        <w:rPr>
          <w:rFonts w:ascii="Arial" w:hAnsi="Arial" w:cs="Arial"/>
          <w:sz w:val="22"/>
          <w:szCs w:val="22"/>
        </w:rPr>
        <w:t xml:space="preserve"> </w:t>
      </w:r>
      <w:r w:rsidRPr="00C74899">
        <w:rPr>
          <w:rFonts w:ascii="Arial" w:hAnsi="Arial" w:cs="Arial"/>
          <w:sz w:val="22"/>
          <w:szCs w:val="22"/>
        </w:rPr>
        <w:t xml:space="preserve">arrangements for assessments in Remote Areas, and assessments requiring </w:t>
      </w:r>
      <w:r w:rsidR="005C59D7">
        <w:rPr>
          <w:rFonts w:ascii="Arial" w:hAnsi="Arial" w:cs="Arial"/>
          <w:sz w:val="22"/>
          <w:szCs w:val="22"/>
        </w:rPr>
        <w:t>t</w:t>
      </w:r>
      <w:r w:rsidRPr="00C74899">
        <w:rPr>
          <w:rFonts w:ascii="Arial" w:hAnsi="Arial" w:cs="Arial"/>
          <w:sz w:val="22"/>
          <w:szCs w:val="22"/>
        </w:rPr>
        <w:t>r</w:t>
      </w:r>
      <w:r w:rsidR="005C59D7">
        <w:rPr>
          <w:rFonts w:ascii="Arial" w:hAnsi="Arial" w:cs="Arial"/>
          <w:sz w:val="22"/>
          <w:szCs w:val="22"/>
        </w:rPr>
        <w:t xml:space="preserve">avel </w:t>
      </w:r>
      <w:r w:rsidR="003159AB">
        <w:rPr>
          <w:rFonts w:ascii="Arial" w:hAnsi="Arial" w:cs="Arial"/>
          <w:sz w:val="22"/>
          <w:szCs w:val="22"/>
        </w:rPr>
        <w:t>grants</w:t>
      </w:r>
      <w:r w:rsidRPr="00C74899">
        <w:rPr>
          <w:rFonts w:ascii="Arial" w:hAnsi="Arial" w:cs="Arial"/>
          <w:sz w:val="22"/>
          <w:szCs w:val="22"/>
        </w:rPr>
        <w:t>.</w:t>
      </w:r>
    </w:p>
    <w:p w:rsidR="00087112" w:rsidRPr="00C74899" w:rsidRDefault="00087112" w:rsidP="00432EC5">
      <w:pPr>
        <w:pStyle w:val="BodyIndent0"/>
        <w:spacing w:before="180" w:after="60" w:line="280" w:lineRule="atLeast"/>
        <w:rPr>
          <w:rFonts w:ascii="Arial" w:hAnsi="Arial" w:cs="Arial"/>
          <w:sz w:val="22"/>
          <w:szCs w:val="22"/>
        </w:rPr>
      </w:pPr>
      <w:r>
        <w:rPr>
          <w:rFonts w:ascii="Arial" w:hAnsi="Arial" w:cs="Arial"/>
          <w:sz w:val="22"/>
          <w:szCs w:val="22"/>
        </w:rPr>
        <w:t xml:space="preserve">The </w:t>
      </w:r>
      <w:r w:rsidR="003159AB">
        <w:rPr>
          <w:rFonts w:ascii="Arial" w:hAnsi="Arial" w:cs="Arial"/>
          <w:sz w:val="22"/>
          <w:szCs w:val="22"/>
        </w:rPr>
        <w:t xml:space="preserve">Grants </w:t>
      </w:r>
      <w:r>
        <w:rPr>
          <w:rFonts w:ascii="Arial" w:hAnsi="Arial" w:cs="Arial"/>
          <w:sz w:val="22"/>
          <w:szCs w:val="22"/>
        </w:rPr>
        <w:t>for the National Panel of Assessors will be indexed annually on 1 July, with the first indexation point on 1 July 2019.</w:t>
      </w:r>
    </w:p>
    <w:p w:rsidR="00525701" w:rsidRDefault="00525701" w:rsidP="00525701">
      <w:pPr>
        <w:rPr>
          <w:rFonts w:ascii="Arial" w:hAnsi="Arial" w:cs="Arial"/>
        </w:rPr>
      </w:pPr>
      <w:r w:rsidRPr="00C74899">
        <w:rPr>
          <w:rFonts w:ascii="Arial" w:hAnsi="Arial" w:cs="Arial"/>
        </w:rPr>
        <w:t xml:space="preserve">Where an OSA and SWS Assessment are undertaken concurrently, the </w:t>
      </w:r>
      <w:r w:rsidR="00F3692A">
        <w:rPr>
          <w:rFonts w:ascii="Arial" w:hAnsi="Arial" w:cs="Arial"/>
        </w:rPr>
        <w:t>NPA</w:t>
      </w:r>
      <w:r w:rsidR="00F3692A" w:rsidRPr="00C74899">
        <w:rPr>
          <w:rFonts w:ascii="Arial" w:hAnsi="Arial" w:cs="Arial"/>
        </w:rPr>
        <w:t xml:space="preserve"> </w:t>
      </w:r>
      <w:r w:rsidRPr="00C74899">
        <w:rPr>
          <w:rFonts w:ascii="Arial" w:hAnsi="Arial" w:cs="Arial"/>
        </w:rPr>
        <w:t>Provider may be eligible for both an OSA fee and a</w:t>
      </w:r>
      <w:r w:rsidR="00A12E98">
        <w:rPr>
          <w:rFonts w:ascii="Arial" w:hAnsi="Arial" w:cs="Arial"/>
        </w:rPr>
        <w:t>n</w:t>
      </w:r>
      <w:r w:rsidRPr="00C74899">
        <w:rPr>
          <w:rFonts w:ascii="Arial" w:hAnsi="Arial" w:cs="Arial"/>
        </w:rPr>
        <w:t xml:space="preserve"> SWS fee.</w:t>
      </w:r>
      <w:r w:rsidR="00E12E3D">
        <w:rPr>
          <w:rFonts w:ascii="Arial" w:hAnsi="Arial" w:cs="Arial"/>
        </w:rPr>
        <w:br w:type="textWrapping" w:clear="all"/>
      </w:r>
    </w:p>
    <w:p w:rsidR="00106A27" w:rsidRPr="00FC7AF8" w:rsidRDefault="00106A27" w:rsidP="00432EC5">
      <w:pPr>
        <w:spacing w:before="0" w:after="160" w:line="264" w:lineRule="auto"/>
        <w:rPr>
          <w:rFonts w:ascii="Arial" w:hAnsi="Arial" w:cs="Arial"/>
          <w:b/>
        </w:rPr>
      </w:pPr>
      <w:r w:rsidRPr="00FC7AF8">
        <w:rPr>
          <w:rFonts w:ascii="Arial" w:hAnsi="Arial" w:cs="Arial"/>
          <w:b/>
        </w:rPr>
        <w:t xml:space="preserve">Table </w:t>
      </w:r>
      <w:r w:rsidR="00FC7AF8" w:rsidRPr="00FC7AF8">
        <w:rPr>
          <w:rFonts w:ascii="Arial" w:hAnsi="Arial" w:cs="Arial"/>
          <w:b/>
        </w:rPr>
        <w:t>2</w:t>
      </w:r>
      <w:r w:rsidR="001A4E10" w:rsidRPr="00FC7AF8">
        <w:rPr>
          <w:rFonts w:ascii="Arial" w:hAnsi="Arial" w:cs="Arial"/>
          <w:b/>
        </w:rPr>
        <w:t xml:space="preserve"> </w:t>
      </w:r>
      <w:r w:rsidR="003159AB" w:rsidRPr="00FC7AF8">
        <w:rPr>
          <w:rFonts w:ascii="Arial" w:hAnsi="Arial" w:cs="Arial"/>
          <w:b/>
        </w:rPr>
        <w:t xml:space="preserve">Grants </w:t>
      </w:r>
      <w:r w:rsidR="001A4E10" w:rsidRPr="00FC7AF8">
        <w:rPr>
          <w:rFonts w:ascii="Arial" w:hAnsi="Arial" w:cs="Arial"/>
          <w:b/>
        </w:rPr>
        <w:t xml:space="preserve">for National Panel </w:t>
      </w:r>
      <w:r w:rsidR="000A6205" w:rsidRPr="00FC7AF8">
        <w:rPr>
          <w:rFonts w:ascii="Arial" w:hAnsi="Arial" w:cs="Arial"/>
          <w:b/>
        </w:rPr>
        <w:t xml:space="preserve">of </w:t>
      </w:r>
      <w:r w:rsidR="001A4E10" w:rsidRPr="00FC7AF8">
        <w:rPr>
          <w:rFonts w:ascii="Arial" w:hAnsi="Arial" w:cs="Arial"/>
          <w:b/>
        </w:rPr>
        <w:t>Assessors</w:t>
      </w:r>
    </w:p>
    <w:tbl>
      <w:tblPr>
        <w:tblStyle w:val="TableGrid"/>
        <w:tblW w:w="0" w:type="auto"/>
        <w:tblLook w:val="04A0" w:firstRow="1" w:lastRow="0" w:firstColumn="1" w:lastColumn="0" w:noHBand="0" w:noVBand="1"/>
        <w:tblCaption w:val="Table 2 Grants for National Panel of Assessors"/>
        <w:tblDescription w:val="Lists Assessment types against Assessment Grant and additional Assessment Grant funding"/>
      </w:tblPr>
      <w:tblGrid>
        <w:gridCol w:w="3080"/>
        <w:gridCol w:w="3081"/>
        <w:gridCol w:w="3081"/>
      </w:tblGrid>
      <w:tr w:rsidR="001A4E10" w:rsidTr="00A32064">
        <w:trPr>
          <w:tblHeader/>
        </w:trPr>
        <w:tc>
          <w:tcPr>
            <w:tcW w:w="3080" w:type="dxa"/>
          </w:tcPr>
          <w:p w:rsidR="001A4E10" w:rsidRPr="00FC7AF8" w:rsidRDefault="00BE036F" w:rsidP="00432EC5">
            <w:pPr>
              <w:spacing w:before="0" w:after="160" w:line="264" w:lineRule="auto"/>
              <w:rPr>
                <w:rStyle w:val="BookTitle"/>
                <w:rFonts w:ascii="Calibri" w:hAnsi="Calibri" w:cs="Times New Roman"/>
                <w:b/>
                <w:bCs/>
                <w:i w:val="0"/>
                <w:iCs w:val="0"/>
                <w:smallCaps w:val="0"/>
                <w:sz w:val="20"/>
                <w:szCs w:val="24"/>
                <w:lang w:eastAsia="en-AU"/>
              </w:rPr>
            </w:pPr>
            <w:r w:rsidRPr="00FC7AF8">
              <w:rPr>
                <w:rStyle w:val="BookTitle"/>
                <w:b/>
                <w:i w:val="0"/>
                <w:iCs w:val="0"/>
                <w:smallCaps w:val="0"/>
              </w:rPr>
              <w:t xml:space="preserve">Assessment </w:t>
            </w:r>
            <w:r w:rsidR="001A4E10" w:rsidRPr="00FC7AF8">
              <w:rPr>
                <w:rStyle w:val="BookTitle"/>
                <w:b/>
                <w:i w:val="0"/>
                <w:iCs w:val="0"/>
                <w:smallCaps w:val="0"/>
              </w:rPr>
              <w:t>Types</w:t>
            </w:r>
          </w:p>
        </w:tc>
        <w:tc>
          <w:tcPr>
            <w:tcW w:w="3081" w:type="dxa"/>
          </w:tcPr>
          <w:p w:rsidR="001A4E10" w:rsidRPr="00FC7AF8" w:rsidRDefault="001A4E10" w:rsidP="00432EC5">
            <w:pPr>
              <w:spacing w:before="0" w:after="160" w:line="264" w:lineRule="auto"/>
              <w:rPr>
                <w:rStyle w:val="BookTitle"/>
                <w:rFonts w:ascii="Calibri" w:hAnsi="Calibri" w:cs="Times New Roman"/>
                <w:b/>
                <w:bCs/>
                <w:i w:val="0"/>
                <w:iCs w:val="0"/>
                <w:smallCaps w:val="0"/>
                <w:sz w:val="20"/>
                <w:szCs w:val="24"/>
                <w:lang w:eastAsia="en-AU"/>
              </w:rPr>
            </w:pPr>
            <w:r w:rsidRPr="00FC7AF8">
              <w:rPr>
                <w:rStyle w:val="BookTitle"/>
                <w:b/>
                <w:i w:val="0"/>
                <w:iCs w:val="0"/>
                <w:smallCaps w:val="0"/>
              </w:rPr>
              <w:t xml:space="preserve">Assessment </w:t>
            </w:r>
            <w:r w:rsidR="003159AB" w:rsidRPr="00FC7AF8">
              <w:rPr>
                <w:rStyle w:val="BookTitle"/>
                <w:b/>
                <w:i w:val="0"/>
                <w:iCs w:val="0"/>
                <w:smallCaps w:val="0"/>
              </w:rPr>
              <w:t>Grant</w:t>
            </w:r>
          </w:p>
        </w:tc>
        <w:tc>
          <w:tcPr>
            <w:tcW w:w="3081" w:type="dxa"/>
          </w:tcPr>
          <w:p w:rsidR="001A4E10" w:rsidRPr="00FC7AF8" w:rsidRDefault="001A4E10" w:rsidP="00432EC5">
            <w:pPr>
              <w:spacing w:before="0" w:after="160" w:line="264" w:lineRule="auto"/>
              <w:rPr>
                <w:rStyle w:val="BookTitle"/>
                <w:rFonts w:ascii="Calibri" w:hAnsi="Calibri" w:cs="Times New Roman"/>
                <w:b/>
                <w:bCs/>
                <w:i w:val="0"/>
                <w:iCs w:val="0"/>
                <w:smallCaps w:val="0"/>
                <w:sz w:val="20"/>
                <w:szCs w:val="24"/>
                <w:lang w:eastAsia="en-AU"/>
              </w:rPr>
            </w:pPr>
            <w:r w:rsidRPr="00FC7AF8">
              <w:rPr>
                <w:rStyle w:val="BookTitle"/>
                <w:b/>
                <w:i w:val="0"/>
                <w:iCs w:val="0"/>
                <w:smallCaps w:val="0"/>
              </w:rPr>
              <w:t xml:space="preserve">Additional Assessment </w:t>
            </w:r>
            <w:r w:rsidR="003159AB" w:rsidRPr="00FC7AF8">
              <w:rPr>
                <w:rStyle w:val="BookTitle"/>
                <w:b/>
                <w:i w:val="0"/>
                <w:iCs w:val="0"/>
                <w:smallCaps w:val="0"/>
              </w:rPr>
              <w:t>Grant</w:t>
            </w:r>
          </w:p>
        </w:tc>
      </w:tr>
      <w:tr w:rsidR="001A4E10" w:rsidTr="00FC7AF8">
        <w:tc>
          <w:tcPr>
            <w:tcW w:w="3080" w:type="dxa"/>
          </w:tcPr>
          <w:p w:rsidR="001A4E10" w:rsidRDefault="001A4E10" w:rsidP="00BE036F">
            <w:pPr>
              <w:rPr>
                <w:rStyle w:val="BookTitle"/>
                <w:i w:val="0"/>
                <w:iCs w:val="0"/>
                <w:smallCaps w:val="0"/>
              </w:rPr>
            </w:pPr>
            <w:r>
              <w:rPr>
                <w:rStyle w:val="BookTitle"/>
                <w:i w:val="0"/>
                <w:iCs w:val="0"/>
                <w:smallCaps w:val="0"/>
              </w:rPr>
              <w:t xml:space="preserve">Ongoing Support Assessment </w:t>
            </w:r>
          </w:p>
        </w:tc>
        <w:tc>
          <w:tcPr>
            <w:tcW w:w="3081" w:type="dxa"/>
          </w:tcPr>
          <w:p w:rsidR="001A4E10" w:rsidRDefault="001A4E10" w:rsidP="00076266">
            <w:pPr>
              <w:rPr>
                <w:rStyle w:val="BookTitle"/>
                <w:i w:val="0"/>
                <w:iCs w:val="0"/>
                <w:smallCaps w:val="0"/>
              </w:rPr>
            </w:pPr>
            <w:r>
              <w:rPr>
                <w:rStyle w:val="BookTitle"/>
                <w:i w:val="0"/>
                <w:iCs w:val="0"/>
                <w:smallCaps w:val="0"/>
              </w:rPr>
              <w:t>$420</w:t>
            </w:r>
          </w:p>
        </w:tc>
        <w:tc>
          <w:tcPr>
            <w:tcW w:w="3081" w:type="dxa"/>
          </w:tcPr>
          <w:p w:rsidR="001A4E10" w:rsidRDefault="001A4E10" w:rsidP="00076266">
            <w:pPr>
              <w:rPr>
                <w:rStyle w:val="BookTitle"/>
                <w:i w:val="0"/>
                <w:iCs w:val="0"/>
                <w:smallCaps w:val="0"/>
              </w:rPr>
            </w:pPr>
            <w:r>
              <w:rPr>
                <w:rStyle w:val="BookTitle"/>
                <w:i w:val="0"/>
                <w:iCs w:val="0"/>
                <w:smallCaps w:val="0"/>
              </w:rPr>
              <w:t>Nil</w:t>
            </w:r>
          </w:p>
        </w:tc>
      </w:tr>
      <w:tr w:rsidR="001A4E10" w:rsidTr="00FC7AF8">
        <w:tc>
          <w:tcPr>
            <w:tcW w:w="3080" w:type="dxa"/>
          </w:tcPr>
          <w:p w:rsidR="001A4E10" w:rsidRDefault="001A4E10" w:rsidP="00BE036F">
            <w:pPr>
              <w:rPr>
                <w:rStyle w:val="BookTitle"/>
                <w:i w:val="0"/>
                <w:iCs w:val="0"/>
                <w:smallCaps w:val="0"/>
              </w:rPr>
            </w:pPr>
            <w:r>
              <w:rPr>
                <w:rStyle w:val="BookTitle"/>
                <w:i w:val="0"/>
                <w:iCs w:val="0"/>
                <w:smallCaps w:val="0"/>
              </w:rPr>
              <w:t xml:space="preserve">Supported Wage System Assessment </w:t>
            </w:r>
          </w:p>
        </w:tc>
        <w:tc>
          <w:tcPr>
            <w:tcW w:w="3081" w:type="dxa"/>
          </w:tcPr>
          <w:p w:rsidR="001A4E10" w:rsidRDefault="001A4E10" w:rsidP="00076266">
            <w:pPr>
              <w:rPr>
                <w:rStyle w:val="BookTitle"/>
                <w:i w:val="0"/>
                <w:iCs w:val="0"/>
                <w:smallCaps w:val="0"/>
              </w:rPr>
            </w:pPr>
            <w:r>
              <w:rPr>
                <w:rStyle w:val="BookTitle"/>
                <w:i w:val="0"/>
                <w:iCs w:val="0"/>
                <w:smallCaps w:val="0"/>
              </w:rPr>
              <w:t>$600</w:t>
            </w:r>
          </w:p>
        </w:tc>
        <w:tc>
          <w:tcPr>
            <w:tcW w:w="3081" w:type="dxa"/>
          </w:tcPr>
          <w:p w:rsidR="001A4E10" w:rsidRDefault="001A4E10" w:rsidP="00076266">
            <w:pPr>
              <w:rPr>
                <w:rStyle w:val="BookTitle"/>
                <w:i w:val="0"/>
                <w:iCs w:val="0"/>
                <w:smallCaps w:val="0"/>
              </w:rPr>
            </w:pPr>
            <w:r>
              <w:rPr>
                <w:rStyle w:val="BookTitle"/>
                <w:i w:val="0"/>
                <w:iCs w:val="0"/>
                <w:smallCaps w:val="0"/>
              </w:rPr>
              <w:t>$120 per hour (up to $480)</w:t>
            </w:r>
          </w:p>
        </w:tc>
      </w:tr>
      <w:tr w:rsidR="001A4E10" w:rsidTr="00FC7AF8">
        <w:tc>
          <w:tcPr>
            <w:tcW w:w="3080" w:type="dxa"/>
          </w:tcPr>
          <w:p w:rsidR="001A4E10" w:rsidRDefault="001A4E10" w:rsidP="00BE036F">
            <w:pPr>
              <w:rPr>
                <w:rStyle w:val="BookTitle"/>
                <w:i w:val="0"/>
                <w:iCs w:val="0"/>
                <w:smallCaps w:val="0"/>
              </w:rPr>
            </w:pPr>
            <w:r>
              <w:rPr>
                <w:rStyle w:val="BookTitle"/>
                <w:i w:val="0"/>
                <w:iCs w:val="0"/>
                <w:smallCaps w:val="0"/>
              </w:rPr>
              <w:t xml:space="preserve">Workplace Modifications Assessment </w:t>
            </w:r>
          </w:p>
        </w:tc>
        <w:tc>
          <w:tcPr>
            <w:tcW w:w="3081" w:type="dxa"/>
          </w:tcPr>
          <w:p w:rsidR="001A4E10" w:rsidRDefault="001A4E10" w:rsidP="00076266">
            <w:pPr>
              <w:rPr>
                <w:rStyle w:val="BookTitle"/>
                <w:i w:val="0"/>
                <w:iCs w:val="0"/>
                <w:smallCaps w:val="0"/>
              </w:rPr>
            </w:pPr>
            <w:r>
              <w:rPr>
                <w:rStyle w:val="BookTitle"/>
                <w:i w:val="0"/>
                <w:iCs w:val="0"/>
                <w:smallCaps w:val="0"/>
              </w:rPr>
              <w:t>$120 per hour (up to $600)</w:t>
            </w:r>
          </w:p>
        </w:tc>
        <w:tc>
          <w:tcPr>
            <w:tcW w:w="3081" w:type="dxa"/>
          </w:tcPr>
          <w:p w:rsidR="001A4E10" w:rsidRDefault="001A4E10" w:rsidP="00076266">
            <w:pPr>
              <w:rPr>
                <w:rStyle w:val="BookTitle"/>
                <w:i w:val="0"/>
                <w:iCs w:val="0"/>
                <w:smallCaps w:val="0"/>
              </w:rPr>
            </w:pPr>
            <w:r>
              <w:rPr>
                <w:rStyle w:val="BookTitle"/>
                <w:i w:val="0"/>
                <w:iCs w:val="0"/>
                <w:smallCaps w:val="0"/>
              </w:rPr>
              <w:t>$120 per hour (up to $480)</w:t>
            </w:r>
          </w:p>
        </w:tc>
      </w:tr>
    </w:tbl>
    <w:p w:rsidR="00CA3826" w:rsidRDefault="00CA3826" w:rsidP="00432EC5">
      <w:pPr>
        <w:spacing w:before="0" w:after="160" w:line="264" w:lineRule="auto"/>
        <w:rPr>
          <w:rFonts w:ascii="Arial" w:hAnsi="Arial" w:cs="Arial"/>
        </w:rPr>
      </w:pPr>
    </w:p>
    <w:p w:rsidR="00106A27" w:rsidRPr="00BE2631" w:rsidRDefault="001A4E10" w:rsidP="00432EC5">
      <w:pPr>
        <w:spacing w:before="0" w:after="160" w:line="264" w:lineRule="auto"/>
        <w:rPr>
          <w:rFonts w:ascii="Arial" w:hAnsi="Arial" w:cs="Arial"/>
          <w:b/>
        </w:rPr>
      </w:pPr>
      <w:r w:rsidRPr="00BE2631">
        <w:rPr>
          <w:rFonts w:ascii="Arial" w:hAnsi="Arial" w:cs="Arial"/>
          <w:b/>
        </w:rPr>
        <w:t xml:space="preserve">Table </w:t>
      </w:r>
      <w:r w:rsidR="00FC7AF8" w:rsidRPr="00BE2631">
        <w:rPr>
          <w:rFonts w:ascii="Arial" w:hAnsi="Arial" w:cs="Arial"/>
          <w:b/>
        </w:rPr>
        <w:t>2</w:t>
      </w:r>
      <w:r w:rsidRPr="00BE2631">
        <w:rPr>
          <w:rFonts w:ascii="Arial" w:hAnsi="Arial" w:cs="Arial"/>
          <w:b/>
        </w:rPr>
        <w:t>.1 Remote Loading</w:t>
      </w:r>
      <w:r w:rsidR="00127257">
        <w:rPr>
          <w:rFonts w:ascii="Arial" w:hAnsi="Arial" w:cs="Arial"/>
          <w:b/>
        </w:rPr>
        <w:t>*</w:t>
      </w:r>
      <w:r w:rsidRPr="00BE2631">
        <w:rPr>
          <w:rFonts w:ascii="Arial" w:hAnsi="Arial" w:cs="Arial"/>
          <w:b/>
        </w:rPr>
        <w:t xml:space="preserve"> and travel </w:t>
      </w:r>
      <w:r w:rsidR="003159AB" w:rsidRPr="00BE2631">
        <w:rPr>
          <w:rFonts w:ascii="Arial" w:hAnsi="Arial" w:cs="Arial"/>
          <w:b/>
        </w:rPr>
        <w:t xml:space="preserve">grants </w:t>
      </w:r>
      <w:r w:rsidRPr="00BE2631">
        <w:rPr>
          <w:rFonts w:ascii="Arial" w:hAnsi="Arial" w:cs="Arial"/>
          <w:b/>
        </w:rPr>
        <w:t>for National Panel of Assessors</w:t>
      </w:r>
    </w:p>
    <w:tbl>
      <w:tblPr>
        <w:tblStyle w:val="TableGrid"/>
        <w:tblW w:w="9187" w:type="dxa"/>
        <w:tblLayout w:type="fixed"/>
        <w:tblLook w:val="01E0" w:firstRow="1" w:lastRow="1" w:firstColumn="1" w:lastColumn="1" w:noHBand="0" w:noVBand="0"/>
        <w:tblCaption w:val="Table 2.1 Remote Loading and travel grants for National Panel of Assessors"/>
        <w:tblDescription w:val="Lists Assessment type with Grant and application loading and travel grant"/>
      </w:tblPr>
      <w:tblGrid>
        <w:gridCol w:w="2160"/>
        <w:gridCol w:w="2160"/>
        <w:gridCol w:w="2025"/>
        <w:gridCol w:w="2842"/>
      </w:tblGrid>
      <w:tr w:rsidR="00FC7AF8" w:rsidRPr="00FC7AF8" w:rsidTr="00BE2631">
        <w:trPr>
          <w:tblHeader/>
        </w:trPr>
        <w:tc>
          <w:tcPr>
            <w:tcW w:w="2160" w:type="dxa"/>
          </w:tcPr>
          <w:p w:rsidR="000E23CE" w:rsidRPr="00BE2631" w:rsidRDefault="00BE036F" w:rsidP="00076266">
            <w:pPr>
              <w:pStyle w:val="TableHeading"/>
              <w:rPr>
                <w:rFonts w:asciiTheme="minorHAnsi" w:hAnsiTheme="minorHAnsi" w:cstheme="minorHAnsi"/>
                <w:color w:val="auto"/>
                <w:sz w:val="22"/>
                <w:szCs w:val="22"/>
              </w:rPr>
            </w:pPr>
            <w:r w:rsidRPr="00BE2631">
              <w:rPr>
                <w:rFonts w:asciiTheme="minorHAnsi" w:hAnsiTheme="minorHAnsi" w:cstheme="minorHAnsi"/>
                <w:color w:val="auto"/>
                <w:sz w:val="22"/>
                <w:szCs w:val="22"/>
              </w:rPr>
              <w:t xml:space="preserve">Assessment </w:t>
            </w:r>
            <w:r w:rsidR="000E23CE" w:rsidRPr="00BE2631">
              <w:rPr>
                <w:rFonts w:asciiTheme="minorHAnsi" w:hAnsiTheme="minorHAnsi" w:cstheme="minorHAnsi"/>
                <w:color w:val="auto"/>
                <w:sz w:val="22"/>
                <w:szCs w:val="22"/>
              </w:rPr>
              <w:t>Type</w:t>
            </w:r>
          </w:p>
        </w:tc>
        <w:tc>
          <w:tcPr>
            <w:tcW w:w="2160" w:type="dxa"/>
          </w:tcPr>
          <w:p w:rsidR="000E23CE" w:rsidRPr="00BE2631" w:rsidRDefault="000E23CE" w:rsidP="003159AB">
            <w:pPr>
              <w:pStyle w:val="TableHeading"/>
              <w:rPr>
                <w:rFonts w:asciiTheme="minorHAnsi" w:hAnsiTheme="minorHAnsi" w:cstheme="minorHAnsi"/>
                <w:color w:val="auto"/>
                <w:sz w:val="22"/>
                <w:szCs w:val="22"/>
              </w:rPr>
            </w:pPr>
            <w:r w:rsidRPr="00BE2631">
              <w:rPr>
                <w:rFonts w:asciiTheme="minorHAnsi" w:hAnsiTheme="minorHAnsi" w:cstheme="minorHAnsi"/>
                <w:color w:val="auto"/>
                <w:sz w:val="22"/>
                <w:szCs w:val="22"/>
              </w:rPr>
              <w:t xml:space="preserve">Assessment </w:t>
            </w:r>
            <w:r w:rsidR="003159AB" w:rsidRPr="00BE2631">
              <w:rPr>
                <w:rFonts w:asciiTheme="minorHAnsi" w:hAnsiTheme="minorHAnsi" w:cstheme="minorHAnsi"/>
                <w:color w:val="auto"/>
                <w:sz w:val="22"/>
                <w:szCs w:val="22"/>
              </w:rPr>
              <w:t>Grant</w:t>
            </w:r>
            <w:r w:rsidRPr="00BE2631">
              <w:rPr>
                <w:rFonts w:asciiTheme="minorHAnsi" w:hAnsiTheme="minorHAnsi" w:cstheme="minorHAnsi"/>
                <w:color w:val="auto"/>
                <w:sz w:val="22"/>
                <w:szCs w:val="22"/>
              </w:rPr>
              <w:br/>
              <w:t>with 1.7 loading</w:t>
            </w:r>
          </w:p>
        </w:tc>
        <w:tc>
          <w:tcPr>
            <w:tcW w:w="2025" w:type="dxa"/>
          </w:tcPr>
          <w:p w:rsidR="000E23CE" w:rsidRPr="00BE2631" w:rsidRDefault="000E23CE" w:rsidP="003159AB">
            <w:pPr>
              <w:pStyle w:val="TableHeading"/>
              <w:rPr>
                <w:rFonts w:asciiTheme="minorHAnsi" w:hAnsiTheme="minorHAnsi" w:cstheme="minorHAnsi"/>
                <w:color w:val="auto"/>
                <w:sz w:val="22"/>
                <w:szCs w:val="22"/>
              </w:rPr>
            </w:pPr>
            <w:r w:rsidRPr="00BE2631">
              <w:rPr>
                <w:rFonts w:asciiTheme="minorHAnsi" w:hAnsiTheme="minorHAnsi" w:cstheme="minorHAnsi"/>
                <w:color w:val="auto"/>
                <w:sz w:val="22"/>
                <w:szCs w:val="22"/>
              </w:rPr>
              <w:t xml:space="preserve">Additional Assessment </w:t>
            </w:r>
            <w:r w:rsidR="003159AB" w:rsidRPr="00BE2631">
              <w:rPr>
                <w:rFonts w:asciiTheme="minorHAnsi" w:hAnsiTheme="minorHAnsi" w:cstheme="minorHAnsi"/>
                <w:color w:val="auto"/>
                <w:sz w:val="22"/>
                <w:szCs w:val="22"/>
              </w:rPr>
              <w:t xml:space="preserve">Grant </w:t>
            </w:r>
            <w:r w:rsidRPr="00BE2631">
              <w:rPr>
                <w:rFonts w:asciiTheme="minorHAnsi" w:hAnsiTheme="minorHAnsi" w:cstheme="minorHAnsi"/>
                <w:color w:val="auto"/>
                <w:sz w:val="22"/>
                <w:szCs w:val="22"/>
              </w:rPr>
              <w:t>with 1.7 loading</w:t>
            </w:r>
          </w:p>
        </w:tc>
        <w:tc>
          <w:tcPr>
            <w:tcW w:w="2842" w:type="dxa"/>
          </w:tcPr>
          <w:p w:rsidR="000E23CE" w:rsidRPr="00BE2631" w:rsidRDefault="000E23CE" w:rsidP="00432EC5">
            <w:pPr>
              <w:pStyle w:val="TableHeading"/>
              <w:ind w:left="-243" w:firstLine="140"/>
              <w:rPr>
                <w:rFonts w:asciiTheme="minorHAnsi" w:hAnsiTheme="minorHAnsi" w:cstheme="minorHAnsi"/>
                <w:color w:val="auto"/>
                <w:sz w:val="22"/>
                <w:szCs w:val="22"/>
              </w:rPr>
            </w:pPr>
            <w:r w:rsidRPr="00BE2631">
              <w:rPr>
                <w:rFonts w:asciiTheme="minorHAnsi" w:hAnsiTheme="minorHAnsi" w:cstheme="minorHAnsi"/>
                <w:color w:val="auto"/>
                <w:sz w:val="22"/>
                <w:szCs w:val="22"/>
              </w:rPr>
              <w:t xml:space="preserve">Travel </w:t>
            </w:r>
            <w:r w:rsidR="003159AB" w:rsidRPr="00BE2631">
              <w:rPr>
                <w:rFonts w:asciiTheme="minorHAnsi" w:hAnsiTheme="minorHAnsi" w:cstheme="minorHAnsi"/>
                <w:color w:val="auto"/>
                <w:sz w:val="22"/>
                <w:szCs w:val="22"/>
              </w:rPr>
              <w:t>Grant</w:t>
            </w:r>
          </w:p>
        </w:tc>
      </w:tr>
      <w:tr w:rsidR="00FC7AF8" w:rsidRPr="00FC7AF8" w:rsidTr="00FC7AF8">
        <w:tc>
          <w:tcPr>
            <w:tcW w:w="2160" w:type="dxa"/>
          </w:tcPr>
          <w:p w:rsidR="000E23CE" w:rsidRPr="00FC7AF8" w:rsidRDefault="000E23CE" w:rsidP="00BE036F">
            <w:pPr>
              <w:pStyle w:val="TableBody"/>
              <w:rPr>
                <w:rFonts w:asciiTheme="minorHAnsi" w:hAnsiTheme="minorHAnsi" w:cstheme="minorHAnsi"/>
                <w:sz w:val="22"/>
                <w:szCs w:val="22"/>
              </w:rPr>
            </w:pPr>
            <w:r w:rsidRPr="00FC7AF8">
              <w:rPr>
                <w:rFonts w:asciiTheme="minorHAnsi" w:hAnsiTheme="minorHAnsi" w:cstheme="minorHAnsi"/>
                <w:sz w:val="22"/>
                <w:szCs w:val="22"/>
              </w:rPr>
              <w:t xml:space="preserve">Ongoing Support Assessment </w:t>
            </w:r>
          </w:p>
        </w:tc>
        <w:tc>
          <w:tcPr>
            <w:tcW w:w="2160" w:type="dxa"/>
          </w:tcPr>
          <w:p w:rsidR="000E23CE" w:rsidRPr="00FC7AF8" w:rsidRDefault="000E23CE" w:rsidP="00076266">
            <w:pPr>
              <w:pStyle w:val="TableBody"/>
              <w:rPr>
                <w:rFonts w:asciiTheme="minorHAnsi" w:hAnsiTheme="minorHAnsi" w:cstheme="minorHAnsi"/>
                <w:sz w:val="22"/>
                <w:szCs w:val="22"/>
              </w:rPr>
            </w:pPr>
            <w:r w:rsidRPr="00FC7AF8">
              <w:rPr>
                <w:rFonts w:asciiTheme="minorHAnsi" w:hAnsiTheme="minorHAnsi" w:cstheme="minorHAnsi"/>
                <w:sz w:val="22"/>
                <w:szCs w:val="22"/>
              </w:rPr>
              <w:t>Nil</w:t>
            </w:r>
          </w:p>
        </w:tc>
        <w:tc>
          <w:tcPr>
            <w:tcW w:w="2025" w:type="dxa"/>
          </w:tcPr>
          <w:p w:rsidR="000E23CE" w:rsidRPr="00FC7AF8" w:rsidRDefault="000E23CE" w:rsidP="00076266">
            <w:pPr>
              <w:pStyle w:val="TableBody"/>
              <w:rPr>
                <w:rFonts w:asciiTheme="minorHAnsi" w:hAnsiTheme="minorHAnsi" w:cstheme="minorHAnsi"/>
                <w:sz w:val="22"/>
                <w:szCs w:val="22"/>
              </w:rPr>
            </w:pPr>
            <w:r w:rsidRPr="00FC7AF8">
              <w:rPr>
                <w:rFonts w:asciiTheme="minorHAnsi" w:hAnsiTheme="minorHAnsi" w:cstheme="minorHAnsi"/>
                <w:sz w:val="22"/>
                <w:szCs w:val="22"/>
              </w:rPr>
              <w:t>Nil</w:t>
            </w:r>
          </w:p>
        </w:tc>
        <w:tc>
          <w:tcPr>
            <w:tcW w:w="2842" w:type="dxa"/>
          </w:tcPr>
          <w:p w:rsidR="000E23CE" w:rsidRPr="00BE2631" w:rsidRDefault="000E23CE" w:rsidP="00432EC5">
            <w:pPr>
              <w:pStyle w:val="TableBody"/>
              <w:ind w:left="-243" w:firstLine="140"/>
              <w:rPr>
                <w:rFonts w:asciiTheme="minorHAnsi" w:hAnsiTheme="minorHAnsi" w:cstheme="minorHAnsi"/>
                <w:sz w:val="22"/>
                <w:szCs w:val="22"/>
              </w:rPr>
            </w:pPr>
            <w:r w:rsidRPr="00BE2631">
              <w:rPr>
                <w:rFonts w:asciiTheme="minorHAnsi" w:hAnsiTheme="minorHAnsi" w:cstheme="minorHAnsi"/>
                <w:sz w:val="22"/>
                <w:szCs w:val="22"/>
              </w:rPr>
              <w:t>Nil</w:t>
            </w:r>
          </w:p>
        </w:tc>
      </w:tr>
      <w:tr w:rsidR="00FC7AF8" w:rsidRPr="00FC7AF8" w:rsidTr="00FC7AF8">
        <w:tc>
          <w:tcPr>
            <w:tcW w:w="2160" w:type="dxa"/>
          </w:tcPr>
          <w:p w:rsidR="000E23CE" w:rsidRPr="00FC7AF8" w:rsidRDefault="000E23CE" w:rsidP="00BE036F">
            <w:pPr>
              <w:pStyle w:val="TableBody"/>
              <w:rPr>
                <w:rFonts w:asciiTheme="minorHAnsi" w:hAnsiTheme="minorHAnsi" w:cstheme="minorHAnsi"/>
                <w:sz w:val="22"/>
                <w:szCs w:val="22"/>
              </w:rPr>
            </w:pPr>
            <w:r w:rsidRPr="00FC7AF8">
              <w:rPr>
                <w:rFonts w:asciiTheme="minorHAnsi" w:hAnsiTheme="minorHAnsi" w:cstheme="minorHAnsi"/>
                <w:sz w:val="22"/>
                <w:szCs w:val="22"/>
              </w:rPr>
              <w:t xml:space="preserve">Supported Wage </w:t>
            </w:r>
            <w:r w:rsidRPr="00FC7AF8">
              <w:rPr>
                <w:rFonts w:asciiTheme="minorHAnsi" w:hAnsiTheme="minorHAnsi" w:cstheme="minorHAnsi"/>
                <w:sz w:val="22"/>
                <w:szCs w:val="22"/>
              </w:rPr>
              <w:lastRenderedPageBreak/>
              <w:t xml:space="preserve">System Assessment </w:t>
            </w:r>
          </w:p>
        </w:tc>
        <w:tc>
          <w:tcPr>
            <w:tcW w:w="2160" w:type="dxa"/>
          </w:tcPr>
          <w:p w:rsidR="000E23CE" w:rsidRPr="00FC7AF8" w:rsidRDefault="000E23CE" w:rsidP="00076266">
            <w:pPr>
              <w:pStyle w:val="TableBody"/>
              <w:rPr>
                <w:rFonts w:asciiTheme="minorHAnsi" w:hAnsiTheme="minorHAnsi" w:cstheme="minorHAnsi"/>
                <w:sz w:val="22"/>
                <w:szCs w:val="22"/>
              </w:rPr>
            </w:pPr>
            <w:r w:rsidRPr="00FC7AF8">
              <w:rPr>
                <w:rFonts w:asciiTheme="minorHAnsi" w:hAnsiTheme="minorHAnsi" w:cstheme="minorHAnsi"/>
                <w:sz w:val="22"/>
                <w:szCs w:val="22"/>
              </w:rPr>
              <w:lastRenderedPageBreak/>
              <w:t>$1,020</w:t>
            </w:r>
          </w:p>
        </w:tc>
        <w:tc>
          <w:tcPr>
            <w:tcW w:w="2025" w:type="dxa"/>
          </w:tcPr>
          <w:p w:rsidR="000E23CE" w:rsidRPr="00FC7AF8" w:rsidRDefault="000E23CE" w:rsidP="00076266">
            <w:pPr>
              <w:pStyle w:val="TableBody"/>
              <w:rPr>
                <w:rFonts w:asciiTheme="minorHAnsi" w:hAnsiTheme="minorHAnsi" w:cstheme="minorHAnsi"/>
                <w:sz w:val="22"/>
                <w:szCs w:val="22"/>
              </w:rPr>
            </w:pPr>
            <w:r w:rsidRPr="00FC7AF8">
              <w:rPr>
                <w:rFonts w:asciiTheme="minorHAnsi" w:hAnsiTheme="minorHAnsi" w:cstheme="minorHAnsi"/>
                <w:sz w:val="22"/>
                <w:szCs w:val="22"/>
              </w:rPr>
              <w:t xml:space="preserve">$204 per hour (up </w:t>
            </w:r>
            <w:r w:rsidRPr="00FC7AF8">
              <w:rPr>
                <w:rFonts w:asciiTheme="minorHAnsi" w:hAnsiTheme="minorHAnsi" w:cstheme="minorHAnsi"/>
                <w:sz w:val="22"/>
                <w:szCs w:val="22"/>
              </w:rPr>
              <w:lastRenderedPageBreak/>
              <w:t>to $816)</w:t>
            </w:r>
          </w:p>
        </w:tc>
        <w:tc>
          <w:tcPr>
            <w:tcW w:w="2842" w:type="dxa"/>
          </w:tcPr>
          <w:p w:rsidR="000E23CE" w:rsidRPr="00BE2631" w:rsidRDefault="000E23CE" w:rsidP="00432EC5">
            <w:pPr>
              <w:pStyle w:val="TableBody"/>
              <w:ind w:left="-243" w:firstLine="140"/>
              <w:rPr>
                <w:rFonts w:asciiTheme="minorHAnsi" w:hAnsiTheme="minorHAnsi" w:cstheme="minorHAnsi"/>
                <w:sz w:val="22"/>
                <w:szCs w:val="22"/>
              </w:rPr>
            </w:pPr>
            <w:r w:rsidRPr="00BE2631">
              <w:rPr>
                <w:rFonts w:asciiTheme="minorHAnsi" w:hAnsiTheme="minorHAnsi" w:cstheme="minorHAnsi"/>
                <w:sz w:val="22"/>
                <w:szCs w:val="22"/>
              </w:rPr>
              <w:lastRenderedPageBreak/>
              <w:t>Nil</w:t>
            </w:r>
          </w:p>
        </w:tc>
      </w:tr>
      <w:tr w:rsidR="00FC7AF8" w:rsidRPr="00FC7AF8" w:rsidTr="00FC7AF8">
        <w:tc>
          <w:tcPr>
            <w:tcW w:w="2160" w:type="dxa"/>
          </w:tcPr>
          <w:p w:rsidR="000E23CE" w:rsidRPr="00FC7AF8" w:rsidRDefault="000E23CE" w:rsidP="00BE036F">
            <w:pPr>
              <w:pStyle w:val="TableBody"/>
              <w:rPr>
                <w:rFonts w:asciiTheme="minorHAnsi" w:hAnsiTheme="minorHAnsi" w:cstheme="minorHAnsi"/>
                <w:sz w:val="22"/>
                <w:szCs w:val="22"/>
              </w:rPr>
            </w:pPr>
            <w:r w:rsidRPr="00FC7AF8">
              <w:rPr>
                <w:rFonts w:asciiTheme="minorHAnsi" w:hAnsiTheme="minorHAnsi" w:cstheme="minorHAnsi"/>
                <w:sz w:val="22"/>
                <w:szCs w:val="22"/>
              </w:rPr>
              <w:lastRenderedPageBreak/>
              <w:t xml:space="preserve">Workplace Modifications Assessment </w:t>
            </w:r>
          </w:p>
        </w:tc>
        <w:tc>
          <w:tcPr>
            <w:tcW w:w="2160" w:type="dxa"/>
          </w:tcPr>
          <w:p w:rsidR="000E23CE" w:rsidRPr="00FC7AF8" w:rsidRDefault="000E23CE" w:rsidP="00076266">
            <w:pPr>
              <w:pStyle w:val="TableBody"/>
              <w:rPr>
                <w:rFonts w:asciiTheme="minorHAnsi" w:hAnsiTheme="minorHAnsi" w:cstheme="minorHAnsi"/>
                <w:sz w:val="22"/>
                <w:szCs w:val="22"/>
              </w:rPr>
            </w:pPr>
            <w:r w:rsidRPr="00FC7AF8">
              <w:rPr>
                <w:rFonts w:asciiTheme="minorHAnsi" w:hAnsiTheme="minorHAnsi" w:cstheme="minorHAnsi"/>
                <w:sz w:val="22"/>
                <w:szCs w:val="22"/>
              </w:rPr>
              <w:t>Nil</w:t>
            </w:r>
          </w:p>
        </w:tc>
        <w:tc>
          <w:tcPr>
            <w:tcW w:w="2025" w:type="dxa"/>
          </w:tcPr>
          <w:p w:rsidR="000E23CE" w:rsidRPr="00FC7AF8" w:rsidRDefault="000E23CE" w:rsidP="00076266">
            <w:pPr>
              <w:pStyle w:val="TableBody"/>
              <w:rPr>
                <w:rFonts w:asciiTheme="minorHAnsi" w:hAnsiTheme="minorHAnsi" w:cstheme="minorHAnsi"/>
                <w:sz w:val="22"/>
                <w:szCs w:val="22"/>
              </w:rPr>
            </w:pPr>
            <w:r w:rsidRPr="00FC7AF8">
              <w:rPr>
                <w:rFonts w:asciiTheme="minorHAnsi" w:hAnsiTheme="minorHAnsi" w:cstheme="minorHAnsi"/>
                <w:sz w:val="22"/>
                <w:szCs w:val="22"/>
              </w:rPr>
              <w:t>Nil</w:t>
            </w:r>
          </w:p>
        </w:tc>
        <w:tc>
          <w:tcPr>
            <w:tcW w:w="2842" w:type="dxa"/>
          </w:tcPr>
          <w:p w:rsidR="000E23CE" w:rsidRPr="00BE2631" w:rsidRDefault="000E23CE" w:rsidP="00432EC5">
            <w:pPr>
              <w:pStyle w:val="TableBody"/>
              <w:ind w:left="-103"/>
              <w:rPr>
                <w:rFonts w:ascii="Arial" w:hAnsi="Arial" w:cs="Arial"/>
                <w:sz w:val="22"/>
                <w:szCs w:val="22"/>
              </w:rPr>
            </w:pPr>
            <w:r w:rsidRPr="00BE2631">
              <w:rPr>
                <w:rFonts w:ascii="Arial" w:hAnsi="Arial" w:cs="Arial"/>
                <w:sz w:val="22"/>
                <w:szCs w:val="22"/>
              </w:rPr>
              <w:t>$50 per hour and other reimbursements as applicable (for travel in excess of 200 km)</w:t>
            </w:r>
          </w:p>
        </w:tc>
      </w:tr>
    </w:tbl>
    <w:p w:rsidR="00525701" w:rsidRDefault="00525701" w:rsidP="00525701">
      <w:pPr>
        <w:rPr>
          <w:rFonts w:ascii="Arial" w:hAnsi="Arial" w:cs="Arial"/>
          <w:b/>
        </w:rPr>
      </w:pPr>
      <w:r>
        <w:rPr>
          <w:rFonts w:ascii="Arial" w:hAnsi="Arial" w:cs="Arial"/>
          <w:b/>
        </w:rPr>
        <w:t xml:space="preserve">Ongoing Support Assessment </w:t>
      </w:r>
      <w:r w:rsidR="003159AB">
        <w:rPr>
          <w:rFonts w:ascii="Arial" w:hAnsi="Arial" w:cs="Arial"/>
          <w:b/>
        </w:rPr>
        <w:t>Grant</w:t>
      </w:r>
      <w:r>
        <w:rPr>
          <w:rFonts w:ascii="Arial" w:hAnsi="Arial" w:cs="Arial"/>
          <w:b/>
        </w:rPr>
        <w:t>s</w:t>
      </w:r>
    </w:p>
    <w:p w:rsidR="00525701" w:rsidRPr="003F3FB7" w:rsidRDefault="000A6205" w:rsidP="00525701">
      <w:pPr>
        <w:pStyle w:val="BodyIndent0"/>
        <w:rPr>
          <w:rFonts w:ascii="Arial" w:hAnsi="Arial" w:cs="Arial"/>
          <w:sz w:val="22"/>
          <w:szCs w:val="22"/>
        </w:rPr>
      </w:pPr>
      <w:r>
        <w:rPr>
          <w:rFonts w:ascii="Arial" w:hAnsi="Arial" w:cs="Arial"/>
          <w:sz w:val="22"/>
          <w:szCs w:val="22"/>
        </w:rPr>
        <w:t>The</w:t>
      </w:r>
      <w:r w:rsidR="00525701" w:rsidRPr="003F3FB7">
        <w:rPr>
          <w:rFonts w:ascii="Arial" w:hAnsi="Arial" w:cs="Arial"/>
          <w:sz w:val="22"/>
          <w:szCs w:val="22"/>
        </w:rPr>
        <w:t xml:space="preserve"> Assessment </w:t>
      </w:r>
      <w:r w:rsidR="003159AB">
        <w:rPr>
          <w:rFonts w:ascii="Arial" w:hAnsi="Arial" w:cs="Arial"/>
          <w:sz w:val="22"/>
          <w:szCs w:val="22"/>
        </w:rPr>
        <w:t>Grant</w:t>
      </w:r>
      <w:r w:rsidR="00525701" w:rsidRPr="003F3FB7">
        <w:rPr>
          <w:rFonts w:ascii="Arial" w:hAnsi="Arial" w:cs="Arial"/>
          <w:sz w:val="22"/>
          <w:szCs w:val="22"/>
        </w:rPr>
        <w:t xml:space="preserve"> of $420 (including GST) is payable to</w:t>
      </w:r>
      <w:r w:rsidR="00300E03">
        <w:rPr>
          <w:rFonts w:ascii="Arial" w:hAnsi="Arial" w:cs="Arial"/>
          <w:sz w:val="22"/>
          <w:szCs w:val="22"/>
        </w:rPr>
        <w:t xml:space="preserve"> NPA</w:t>
      </w:r>
      <w:r w:rsidR="00525701" w:rsidRPr="003F3FB7">
        <w:rPr>
          <w:rFonts w:ascii="Arial" w:hAnsi="Arial" w:cs="Arial"/>
          <w:sz w:val="22"/>
          <w:szCs w:val="22"/>
        </w:rPr>
        <w:t xml:space="preserve"> Providers on completion and acceptance of an OSA report by the Department of Social Services.</w:t>
      </w:r>
    </w:p>
    <w:p w:rsidR="00525701" w:rsidRDefault="00525701" w:rsidP="00525701">
      <w:pPr>
        <w:rPr>
          <w:rStyle w:val="BookTitle"/>
          <w:rFonts w:ascii="Arial" w:hAnsi="Arial" w:cs="Arial"/>
          <w:b/>
          <w:i w:val="0"/>
          <w:iCs w:val="0"/>
          <w:smallCaps w:val="0"/>
          <w:spacing w:val="0"/>
        </w:rPr>
      </w:pPr>
      <w:r>
        <w:rPr>
          <w:rStyle w:val="BookTitle"/>
          <w:rFonts w:ascii="Arial" w:hAnsi="Arial" w:cs="Arial"/>
          <w:b/>
          <w:i w:val="0"/>
          <w:iCs w:val="0"/>
          <w:smallCaps w:val="0"/>
          <w:spacing w:val="0"/>
        </w:rPr>
        <w:t xml:space="preserve">Supported Wage System </w:t>
      </w:r>
      <w:r w:rsidR="003159AB">
        <w:rPr>
          <w:rStyle w:val="BookTitle"/>
          <w:rFonts w:ascii="Arial" w:hAnsi="Arial" w:cs="Arial"/>
          <w:b/>
          <w:i w:val="0"/>
          <w:iCs w:val="0"/>
          <w:smallCaps w:val="0"/>
          <w:spacing w:val="0"/>
        </w:rPr>
        <w:t>Grant</w:t>
      </w:r>
      <w:r>
        <w:rPr>
          <w:rStyle w:val="BookTitle"/>
          <w:rFonts w:ascii="Arial" w:hAnsi="Arial" w:cs="Arial"/>
          <w:b/>
          <w:i w:val="0"/>
          <w:iCs w:val="0"/>
          <w:smallCaps w:val="0"/>
          <w:spacing w:val="0"/>
        </w:rPr>
        <w:t>s</w:t>
      </w:r>
    </w:p>
    <w:p w:rsidR="00525701" w:rsidRPr="00EF50A0" w:rsidRDefault="000A6205" w:rsidP="00525701">
      <w:pPr>
        <w:pStyle w:val="BodyIndent0"/>
        <w:rPr>
          <w:rFonts w:ascii="Arial" w:hAnsi="Arial" w:cs="Arial"/>
          <w:sz w:val="22"/>
          <w:szCs w:val="22"/>
        </w:rPr>
      </w:pPr>
      <w:r>
        <w:rPr>
          <w:rFonts w:ascii="Arial" w:hAnsi="Arial" w:cs="Arial"/>
          <w:sz w:val="22"/>
          <w:szCs w:val="22"/>
        </w:rPr>
        <w:t>The</w:t>
      </w:r>
      <w:r w:rsidR="00525701" w:rsidRPr="00EF50A0">
        <w:rPr>
          <w:rFonts w:ascii="Arial" w:hAnsi="Arial" w:cs="Arial"/>
          <w:sz w:val="22"/>
          <w:szCs w:val="22"/>
        </w:rPr>
        <w:t xml:space="preserve"> Assessment </w:t>
      </w:r>
      <w:r w:rsidR="003159AB">
        <w:rPr>
          <w:rFonts w:ascii="Arial" w:hAnsi="Arial" w:cs="Arial"/>
          <w:sz w:val="22"/>
          <w:szCs w:val="22"/>
        </w:rPr>
        <w:t>Grant</w:t>
      </w:r>
      <w:r w:rsidR="00525701" w:rsidRPr="00EF50A0">
        <w:rPr>
          <w:rFonts w:ascii="Arial" w:hAnsi="Arial" w:cs="Arial"/>
          <w:sz w:val="22"/>
          <w:szCs w:val="22"/>
        </w:rPr>
        <w:t xml:space="preserve"> of $600 (including GST) is payable on completion of a</w:t>
      </w:r>
      <w:r w:rsidR="004E25DA">
        <w:rPr>
          <w:rFonts w:ascii="Arial" w:hAnsi="Arial" w:cs="Arial"/>
          <w:sz w:val="22"/>
          <w:szCs w:val="22"/>
        </w:rPr>
        <w:t>n</w:t>
      </w:r>
      <w:r w:rsidR="00525701" w:rsidRPr="00EF50A0">
        <w:rPr>
          <w:rFonts w:ascii="Arial" w:hAnsi="Arial" w:cs="Arial"/>
          <w:sz w:val="22"/>
          <w:szCs w:val="22"/>
        </w:rPr>
        <w:t xml:space="preserve"> SWS Assessment and SWS </w:t>
      </w:r>
      <w:r w:rsidR="00525701" w:rsidRPr="00EF50A0">
        <w:rPr>
          <w:rStyle w:val="CharacterItalic"/>
          <w:rFonts w:ascii="Arial" w:eastAsia="Calibri" w:hAnsi="Arial" w:cs="Arial"/>
          <w:sz w:val="22"/>
          <w:szCs w:val="22"/>
        </w:rPr>
        <w:t>Wage Assessment Agreement</w:t>
      </w:r>
      <w:r w:rsidR="00525701" w:rsidRPr="00EF50A0">
        <w:rPr>
          <w:rFonts w:ascii="Arial" w:hAnsi="Arial" w:cs="Arial"/>
          <w:sz w:val="22"/>
          <w:szCs w:val="22"/>
        </w:rPr>
        <w:t>. If an Assessment will take more than five hours to complete, the Department</w:t>
      </w:r>
      <w:r w:rsidR="00525701">
        <w:rPr>
          <w:rFonts w:ascii="Arial" w:hAnsi="Arial" w:cs="Arial"/>
          <w:sz w:val="22"/>
          <w:szCs w:val="22"/>
        </w:rPr>
        <w:t xml:space="preserve"> of Social Services</w:t>
      </w:r>
      <w:r w:rsidR="00525701" w:rsidRPr="00EF50A0">
        <w:rPr>
          <w:rFonts w:ascii="Arial" w:hAnsi="Arial" w:cs="Arial"/>
          <w:sz w:val="22"/>
          <w:szCs w:val="22"/>
        </w:rPr>
        <w:t xml:space="preserve"> may approve payment for up to an additional four hours at an hourly rate of $120 (including GST).</w:t>
      </w:r>
    </w:p>
    <w:p w:rsidR="008732E9" w:rsidRDefault="00127257" w:rsidP="00525701">
      <w:pPr>
        <w:rPr>
          <w:rFonts w:ascii="Arial" w:hAnsi="Arial" w:cs="Arial"/>
        </w:rPr>
      </w:pPr>
      <w:r>
        <w:rPr>
          <w:rStyle w:val="BookTitle"/>
          <w:rFonts w:ascii="Arial" w:hAnsi="Arial" w:cs="Arial"/>
          <w:b/>
          <w:i w:val="0"/>
          <w:iCs w:val="0"/>
          <w:smallCaps w:val="0"/>
          <w:spacing w:val="0"/>
        </w:rPr>
        <w:t>*</w:t>
      </w:r>
      <w:r w:rsidR="008732E9">
        <w:rPr>
          <w:rStyle w:val="BookTitle"/>
          <w:rFonts w:ascii="Arial" w:hAnsi="Arial" w:cs="Arial"/>
          <w:b/>
          <w:i w:val="0"/>
          <w:iCs w:val="0"/>
          <w:smallCaps w:val="0"/>
          <w:spacing w:val="0"/>
        </w:rPr>
        <w:t>Remote Loading</w:t>
      </w:r>
    </w:p>
    <w:p w:rsidR="00525701" w:rsidRPr="00EF50A0" w:rsidRDefault="00525701" w:rsidP="00525701">
      <w:pPr>
        <w:rPr>
          <w:rStyle w:val="BookTitle"/>
          <w:rFonts w:ascii="Arial" w:hAnsi="Arial" w:cs="Arial"/>
          <w:i w:val="0"/>
          <w:iCs w:val="0"/>
          <w:smallCaps w:val="0"/>
          <w:spacing w:val="0"/>
        </w:rPr>
      </w:pPr>
      <w:r>
        <w:rPr>
          <w:rFonts w:ascii="Arial" w:hAnsi="Arial" w:cs="Arial"/>
        </w:rPr>
        <w:t xml:space="preserve">A loading of 70 </w:t>
      </w:r>
      <w:r w:rsidRPr="00EF50A0">
        <w:rPr>
          <w:rFonts w:ascii="Arial" w:hAnsi="Arial" w:cs="Arial"/>
        </w:rPr>
        <w:t xml:space="preserve">per cent will be applied to the Assessment </w:t>
      </w:r>
      <w:r w:rsidR="003159AB">
        <w:rPr>
          <w:rFonts w:ascii="Arial" w:hAnsi="Arial" w:cs="Arial"/>
        </w:rPr>
        <w:t>Grant</w:t>
      </w:r>
      <w:r w:rsidRPr="00EF50A0">
        <w:rPr>
          <w:rFonts w:ascii="Arial" w:hAnsi="Arial" w:cs="Arial"/>
        </w:rPr>
        <w:t xml:space="preserve"> where the assessment is completed in a </w:t>
      </w:r>
      <w:hyperlink r:id="rId14" w:history="1">
        <w:r w:rsidR="00B67590" w:rsidRPr="00F34DE7">
          <w:rPr>
            <w:rStyle w:val="Hyperlink"/>
            <w:rFonts w:ascii="Arial" w:hAnsi="Arial" w:cs="Arial"/>
          </w:rPr>
          <w:t>Community Development Programme</w:t>
        </w:r>
      </w:hyperlink>
      <w:r w:rsidR="00B67590" w:rsidRPr="00EF50A0" w:rsidDel="00B67590">
        <w:rPr>
          <w:rFonts w:ascii="Arial" w:hAnsi="Arial" w:cs="Arial"/>
        </w:rPr>
        <w:t xml:space="preserve"> </w:t>
      </w:r>
      <w:r w:rsidR="008732E9">
        <w:rPr>
          <w:rFonts w:ascii="Arial" w:hAnsi="Arial" w:cs="Arial"/>
        </w:rPr>
        <w:t xml:space="preserve">(CDP) </w:t>
      </w:r>
      <w:r w:rsidR="00417416">
        <w:rPr>
          <w:rFonts w:ascii="Arial" w:hAnsi="Arial" w:cs="Arial"/>
        </w:rPr>
        <w:t>Region</w:t>
      </w:r>
      <w:r w:rsidRPr="00EF50A0">
        <w:rPr>
          <w:rFonts w:ascii="Arial" w:hAnsi="Arial" w:cs="Arial"/>
        </w:rPr>
        <w:t>.</w:t>
      </w:r>
    </w:p>
    <w:p w:rsidR="00525701" w:rsidRDefault="00106A27" w:rsidP="00525701">
      <w:pPr>
        <w:rPr>
          <w:rStyle w:val="BookTitle"/>
          <w:rFonts w:ascii="Arial" w:hAnsi="Arial" w:cs="Arial"/>
          <w:b/>
          <w:i w:val="0"/>
          <w:iCs w:val="0"/>
          <w:smallCaps w:val="0"/>
          <w:spacing w:val="0"/>
        </w:rPr>
      </w:pPr>
      <w:r>
        <w:rPr>
          <w:rStyle w:val="BookTitle"/>
          <w:rFonts w:ascii="Arial" w:hAnsi="Arial" w:cs="Arial"/>
          <w:b/>
          <w:i w:val="0"/>
          <w:iCs w:val="0"/>
          <w:smallCaps w:val="0"/>
          <w:spacing w:val="0"/>
        </w:rPr>
        <w:t xml:space="preserve">Workplace Modifications </w:t>
      </w:r>
      <w:r w:rsidR="003159AB">
        <w:rPr>
          <w:rStyle w:val="BookTitle"/>
          <w:rFonts w:ascii="Arial" w:hAnsi="Arial" w:cs="Arial"/>
          <w:b/>
          <w:i w:val="0"/>
          <w:iCs w:val="0"/>
          <w:smallCaps w:val="0"/>
          <w:spacing w:val="0"/>
        </w:rPr>
        <w:t>Grant</w:t>
      </w:r>
      <w:r>
        <w:rPr>
          <w:rStyle w:val="BookTitle"/>
          <w:rFonts w:ascii="Arial" w:hAnsi="Arial" w:cs="Arial"/>
          <w:b/>
          <w:i w:val="0"/>
          <w:iCs w:val="0"/>
          <w:smallCaps w:val="0"/>
          <w:spacing w:val="0"/>
        </w:rPr>
        <w:t>s</w:t>
      </w:r>
    </w:p>
    <w:p w:rsidR="00106A27" w:rsidRPr="00106A27" w:rsidRDefault="000A6205" w:rsidP="00106A27">
      <w:pPr>
        <w:pStyle w:val="BodyIndent0"/>
        <w:rPr>
          <w:rFonts w:asciiTheme="minorHAnsi" w:hAnsiTheme="minorHAnsi" w:cstheme="minorHAnsi"/>
          <w:sz w:val="22"/>
          <w:szCs w:val="22"/>
        </w:rPr>
      </w:pPr>
      <w:r>
        <w:rPr>
          <w:rFonts w:asciiTheme="minorHAnsi" w:hAnsiTheme="minorHAnsi" w:cstheme="minorHAnsi"/>
          <w:sz w:val="22"/>
          <w:szCs w:val="22"/>
        </w:rPr>
        <w:t>The</w:t>
      </w:r>
      <w:r w:rsidR="00106A27" w:rsidRPr="00106A27">
        <w:rPr>
          <w:rFonts w:asciiTheme="minorHAnsi" w:hAnsiTheme="minorHAnsi" w:cstheme="minorHAnsi"/>
          <w:sz w:val="22"/>
          <w:szCs w:val="22"/>
        </w:rPr>
        <w:t xml:space="preserve"> hourly rate of $120 (including GST) will be payable to </w:t>
      </w:r>
      <w:r w:rsidR="00300E03">
        <w:rPr>
          <w:rFonts w:asciiTheme="minorHAnsi" w:hAnsiTheme="minorHAnsi" w:cstheme="minorHAnsi"/>
          <w:sz w:val="22"/>
          <w:szCs w:val="22"/>
        </w:rPr>
        <w:t>NPA</w:t>
      </w:r>
      <w:r w:rsidR="00300E03" w:rsidRPr="00106A27">
        <w:rPr>
          <w:rFonts w:asciiTheme="minorHAnsi" w:hAnsiTheme="minorHAnsi" w:cstheme="minorHAnsi"/>
          <w:sz w:val="22"/>
          <w:szCs w:val="22"/>
        </w:rPr>
        <w:t xml:space="preserve"> </w:t>
      </w:r>
      <w:r w:rsidR="00106A27" w:rsidRPr="00106A27">
        <w:rPr>
          <w:rFonts w:asciiTheme="minorHAnsi" w:hAnsiTheme="minorHAnsi" w:cstheme="minorHAnsi"/>
          <w:sz w:val="22"/>
          <w:szCs w:val="22"/>
        </w:rPr>
        <w:t>Providers on completion of a Workplace Modifications Assessment. If an assessment will take more than five hours to complete, the Department</w:t>
      </w:r>
      <w:r w:rsidR="00106A27">
        <w:rPr>
          <w:rFonts w:asciiTheme="minorHAnsi" w:hAnsiTheme="minorHAnsi" w:cstheme="minorHAnsi"/>
          <w:sz w:val="22"/>
          <w:szCs w:val="22"/>
        </w:rPr>
        <w:t xml:space="preserve"> of Social Services</w:t>
      </w:r>
      <w:r w:rsidR="00106A27" w:rsidRPr="00106A27">
        <w:rPr>
          <w:rFonts w:asciiTheme="minorHAnsi" w:hAnsiTheme="minorHAnsi" w:cstheme="minorHAnsi"/>
          <w:sz w:val="22"/>
          <w:szCs w:val="22"/>
        </w:rPr>
        <w:t xml:space="preserve"> may approve payment for up to an additional four hours at an hourly rate of $120 (including GST).</w:t>
      </w:r>
    </w:p>
    <w:p w:rsidR="00AB1A6B" w:rsidRDefault="00300E03" w:rsidP="00106A27">
      <w:pPr>
        <w:pStyle w:val="BodyIndent0"/>
        <w:rPr>
          <w:rFonts w:asciiTheme="minorHAnsi" w:hAnsiTheme="minorHAnsi" w:cstheme="minorHAnsi"/>
          <w:sz w:val="22"/>
          <w:szCs w:val="22"/>
        </w:rPr>
      </w:pPr>
      <w:r>
        <w:rPr>
          <w:rFonts w:asciiTheme="minorHAnsi" w:hAnsiTheme="minorHAnsi" w:cstheme="minorHAnsi"/>
          <w:sz w:val="22"/>
          <w:szCs w:val="22"/>
        </w:rPr>
        <w:t xml:space="preserve">NPA </w:t>
      </w:r>
      <w:r w:rsidR="00106A27" w:rsidRPr="00106A27">
        <w:rPr>
          <w:rFonts w:asciiTheme="minorHAnsi" w:hAnsiTheme="minorHAnsi" w:cstheme="minorHAnsi"/>
          <w:sz w:val="22"/>
          <w:szCs w:val="22"/>
        </w:rPr>
        <w:t xml:space="preserve">Providers who complete Workplace Modifications Assessments that require them to travel in excess of 200 kilometres for a return trip, may claim kilometre allowance and travel time at the rate of $50 (including GST) an hour, for a maximum of eight hours per day. Travel time is not part of the time allocated for Assessment Services. For travel that includes an essential overnight stay, costs for meals and accommodation may also be claimed. These are payable on a reimbursement basis on receipt of a Tax Invoice and evidence of travel expenditure, up to the then in force Australian Taxation Office schedule on </w:t>
      </w:r>
      <w:r w:rsidR="00106A27" w:rsidRPr="00106A27">
        <w:rPr>
          <w:rStyle w:val="CharacterItalic"/>
          <w:rFonts w:asciiTheme="minorHAnsi" w:eastAsia="Calibri" w:hAnsiTheme="minorHAnsi" w:cstheme="minorHAnsi"/>
          <w:sz w:val="22"/>
          <w:szCs w:val="22"/>
        </w:rPr>
        <w:t>Reasonable daily allowance amounts</w:t>
      </w:r>
      <w:r w:rsidR="00106A27" w:rsidRPr="00106A27">
        <w:rPr>
          <w:rFonts w:asciiTheme="minorHAnsi" w:hAnsiTheme="minorHAnsi" w:cstheme="minorHAnsi"/>
          <w:sz w:val="22"/>
          <w:szCs w:val="22"/>
        </w:rPr>
        <w:t xml:space="preserve"> (published annually), calculated at the rate of an employee with an annual salary of $</w:t>
      </w:r>
      <w:r w:rsidR="00106A27">
        <w:rPr>
          <w:rFonts w:asciiTheme="minorHAnsi" w:hAnsiTheme="minorHAnsi" w:cstheme="minorHAnsi"/>
          <w:sz w:val="22"/>
          <w:szCs w:val="22"/>
        </w:rPr>
        <w:t>117,</w:t>
      </w:r>
      <w:r w:rsidR="00106A27" w:rsidRPr="00106A27">
        <w:rPr>
          <w:rFonts w:asciiTheme="minorHAnsi" w:hAnsiTheme="minorHAnsi" w:cstheme="minorHAnsi"/>
          <w:sz w:val="22"/>
          <w:szCs w:val="22"/>
        </w:rPr>
        <w:t>450 or below.</w:t>
      </w:r>
    </w:p>
    <w:p w:rsidR="00E12E3D" w:rsidRDefault="00AB1A6B" w:rsidP="00106A27">
      <w:pPr>
        <w:pStyle w:val="BodyIndent0"/>
        <w:rPr>
          <w:rFonts w:asciiTheme="minorHAnsi" w:hAnsiTheme="minorHAnsi" w:cstheme="minorHAnsi"/>
          <w:sz w:val="22"/>
          <w:szCs w:val="22"/>
        </w:rPr>
      </w:pPr>
      <w:r>
        <w:rPr>
          <w:rFonts w:asciiTheme="minorHAnsi" w:hAnsiTheme="minorHAnsi" w:cstheme="minorHAnsi"/>
          <w:sz w:val="22"/>
          <w:szCs w:val="22"/>
        </w:rPr>
        <w:t xml:space="preserve">Ongoing Support Assessment, Supported Wage System and Workplace Modifications Grant payments, and their relevant requirements are outlined in detail in Section 6 of the Draft Grant Agreement. </w:t>
      </w:r>
      <w:r w:rsidR="00E12E3D">
        <w:rPr>
          <w:rFonts w:asciiTheme="minorHAnsi" w:hAnsiTheme="minorHAnsi" w:cstheme="minorHAnsi"/>
          <w:sz w:val="22"/>
          <w:szCs w:val="22"/>
        </w:rPr>
        <w:br w:type="page"/>
      </w:r>
    </w:p>
    <w:p w:rsidR="00106A27" w:rsidRPr="00106A27" w:rsidRDefault="00106A27" w:rsidP="00106A27">
      <w:pPr>
        <w:pStyle w:val="BodyIndent0"/>
        <w:rPr>
          <w:rFonts w:asciiTheme="minorHAnsi" w:hAnsiTheme="minorHAnsi" w:cstheme="minorHAnsi"/>
          <w:sz w:val="22"/>
          <w:szCs w:val="22"/>
        </w:rPr>
      </w:pPr>
    </w:p>
    <w:p w:rsidR="00340616" w:rsidRPr="00B72EE8" w:rsidRDefault="00340616" w:rsidP="00340616">
      <w:pPr>
        <w:pStyle w:val="Heading1Numbered"/>
      </w:pPr>
      <w:bookmarkStart w:id="27" w:name="_Toc421777594"/>
      <w:bookmarkStart w:id="28" w:name="_Ref428266971"/>
      <w:bookmarkStart w:id="29" w:name="_Toc467773955"/>
      <w:bookmarkStart w:id="30" w:name="_Toc492882535"/>
      <w:r>
        <w:t>Grant e</w:t>
      </w:r>
      <w:r w:rsidRPr="00B72EE8">
        <w:t>ligibility</w:t>
      </w:r>
      <w:bookmarkEnd w:id="27"/>
      <w:bookmarkEnd w:id="28"/>
      <w:r>
        <w:t xml:space="preserve"> cr</w:t>
      </w:r>
      <w:r w:rsidRPr="00B72EE8">
        <w:t>iteria</w:t>
      </w:r>
      <w:bookmarkEnd w:id="29"/>
      <w:bookmarkEnd w:id="30"/>
      <w:r>
        <w:t xml:space="preserve"> </w:t>
      </w:r>
    </w:p>
    <w:p w:rsidR="00340616" w:rsidRDefault="00340616" w:rsidP="00340616">
      <w:pPr>
        <w:spacing w:after="120"/>
      </w:pPr>
      <w:bookmarkStart w:id="31" w:name="_Ref414285977"/>
      <w:r>
        <w:t>We cannot consider your application if it does not satisfy all the eligibility criteria.</w:t>
      </w:r>
    </w:p>
    <w:p w:rsidR="00340616" w:rsidRPr="00B72EE8" w:rsidRDefault="00340616" w:rsidP="00056305">
      <w:pPr>
        <w:pStyle w:val="Heading2Numbered"/>
      </w:pPr>
      <w:bookmarkStart w:id="32" w:name="_Ref421696970"/>
      <w:bookmarkStart w:id="33" w:name="_Toc421777595"/>
      <w:bookmarkStart w:id="34" w:name="_Toc467773956"/>
      <w:bookmarkStart w:id="35" w:name="_Toc492882536"/>
      <w:r w:rsidRPr="00B72EE8">
        <w:t xml:space="preserve">Who is eligible </w:t>
      </w:r>
      <w:r>
        <w:t>to apply</w:t>
      </w:r>
      <w:r w:rsidRPr="00B72EE8">
        <w:t>?</w:t>
      </w:r>
      <w:bookmarkEnd w:id="31"/>
      <w:bookmarkEnd w:id="32"/>
      <w:bookmarkEnd w:id="33"/>
      <w:bookmarkEnd w:id="34"/>
      <w:bookmarkEnd w:id="35"/>
    </w:p>
    <w:p w:rsidR="009625DC" w:rsidRPr="00FF3DC4" w:rsidRDefault="009625DC" w:rsidP="009625DC">
      <w:pPr>
        <w:pStyle w:val="NoSpacing"/>
        <w:rPr>
          <w:rFonts w:asciiTheme="minorHAnsi" w:hAnsiTheme="minorHAnsi" w:cstheme="minorHAnsi"/>
        </w:rPr>
      </w:pPr>
      <w:r>
        <w:rPr>
          <w:rFonts w:asciiTheme="minorHAnsi" w:hAnsiTheme="minorHAnsi" w:cstheme="minorHAnsi"/>
        </w:rPr>
        <w:t>To</w:t>
      </w:r>
      <w:r w:rsidRPr="00FF3DC4">
        <w:rPr>
          <w:rFonts w:asciiTheme="minorHAnsi" w:hAnsiTheme="minorHAnsi" w:cstheme="minorHAnsi"/>
        </w:rPr>
        <w:t xml:space="preserve"> be eligible you must:</w:t>
      </w:r>
    </w:p>
    <w:p w:rsidR="009625DC" w:rsidRPr="00FF3DC4" w:rsidRDefault="009625DC" w:rsidP="009625DC">
      <w:pPr>
        <w:pStyle w:val="Bullet1"/>
      </w:pPr>
      <w:r w:rsidRPr="00FF3DC4">
        <w:t xml:space="preserve">be one of the following entity types:  </w:t>
      </w:r>
    </w:p>
    <w:p w:rsidR="009625DC" w:rsidRDefault="009625DC" w:rsidP="009625DC">
      <w:pPr>
        <w:pStyle w:val="Bullet2"/>
      </w:pPr>
      <w:r>
        <w:t>Aboriginal Corporation</w:t>
      </w:r>
    </w:p>
    <w:p w:rsidR="009625DC" w:rsidRDefault="009625DC" w:rsidP="009625DC">
      <w:pPr>
        <w:pStyle w:val="Bullet2"/>
      </w:pPr>
      <w:r>
        <w:t>Australian Government</w:t>
      </w:r>
      <w:r w:rsidR="00BE2631">
        <w:t xml:space="preserve"> (</w:t>
      </w:r>
      <w:r w:rsidR="0061776B">
        <w:t>Corporate Commonwealth Entities only)</w:t>
      </w:r>
    </w:p>
    <w:p w:rsidR="009625DC" w:rsidRDefault="009625DC" w:rsidP="009625DC">
      <w:pPr>
        <w:pStyle w:val="Bullet2"/>
      </w:pPr>
      <w:r>
        <w:t>Private Company</w:t>
      </w:r>
    </w:p>
    <w:p w:rsidR="009625DC" w:rsidRDefault="009625DC" w:rsidP="009625DC">
      <w:pPr>
        <w:pStyle w:val="Bullet2"/>
      </w:pPr>
      <w:r>
        <w:t>Public Company</w:t>
      </w:r>
    </w:p>
    <w:p w:rsidR="009625DC" w:rsidRDefault="009625DC" w:rsidP="009625DC">
      <w:pPr>
        <w:pStyle w:val="Bullet2"/>
      </w:pPr>
      <w:r>
        <w:t>Incorporated Cooperative</w:t>
      </w:r>
    </w:p>
    <w:p w:rsidR="009625DC" w:rsidRDefault="009625DC" w:rsidP="009625DC">
      <w:pPr>
        <w:pStyle w:val="Bullet2"/>
      </w:pPr>
      <w:r>
        <w:t>Trustee on behalf of Trust</w:t>
      </w:r>
    </w:p>
    <w:p w:rsidR="009625DC" w:rsidRDefault="009625DC" w:rsidP="009625DC">
      <w:pPr>
        <w:pStyle w:val="Bullet2"/>
      </w:pPr>
      <w:r>
        <w:t>Incorporated Association</w:t>
      </w:r>
    </w:p>
    <w:p w:rsidR="009625DC" w:rsidRDefault="009625DC" w:rsidP="009625DC">
      <w:pPr>
        <w:pStyle w:val="Bullet2"/>
      </w:pPr>
      <w:r>
        <w:t>Organisation established through a specific piece of Commonwealth or State/Territory legislation</w:t>
      </w:r>
    </w:p>
    <w:p w:rsidR="009625DC" w:rsidRDefault="009625DC" w:rsidP="009625DC">
      <w:pPr>
        <w:pStyle w:val="Bullet2"/>
      </w:pPr>
      <w:r>
        <w:t>Individual/Sole Trader</w:t>
      </w:r>
    </w:p>
    <w:p w:rsidR="009625DC" w:rsidRDefault="009625DC" w:rsidP="009625DC">
      <w:pPr>
        <w:pStyle w:val="Bullet2"/>
      </w:pPr>
      <w:r>
        <w:t>Local Government</w:t>
      </w:r>
    </w:p>
    <w:p w:rsidR="009625DC" w:rsidRDefault="009625DC" w:rsidP="009625DC">
      <w:pPr>
        <w:pStyle w:val="Bullet2"/>
      </w:pPr>
      <w:r>
        <w:t>Non-Entity Joint Venture</w:t>
      </w:r>
    </w:p>
    <w:p w:rsidR="009625DC" w:rsidRDefault="009625DC" w:rsidP="009625DC">
      <w:pPr>
        <w:pStyle w:val="Bullet2"/>
      </w:pPr>
      <w:r>
        <w:t>Partnership</w:t>
      </w:r>
    </w:p>
    <w:p w:rsidR="009625DC" w:rsidRDefault="009625DC" w:rsidP="009625DC">
      <w:pPr>
        <w:pStyle w:val="Bullet2"/>
      </w:pPr>
      <w:r>
        <w:t>State/Territory Government</w:t>
      </w:r>
    </w:p>
    <w:p w:rsidR="009625DC" w:rsidRDefault="009625DC" w:rsidP="009625DC">
      <w:pPr>
        <w:pStyle w:val="Bullet2"/>
      </w:pPr>
      <w:r>
        <w:t xml:space="preserve">Other Incorporated Entity </w:t>
      </w:r>
    </w:p>
    <w:p w:rsidR="003159AB" w:rsidRDefault="009625DC" w:rsidP="003159AB">
      <w:pPr>
        <w:pStyle w:val="Bullet1"/>
      </w:pPr>
      <w:r>
        <w:t>have</w:t>
      </w:r>
      <w:r w:rsidRPr="00F35BFE">
        <w:t xml:space="preserve"> legal personality</w:t>
      </w:r>
      <w:r w:rsidR="007753AF">
        <w:t>,</w:t>
      </w:r>
      <w:r w:rsidR="003159AB" w:rsidRPr="003159AB">
        <w:t xml:space="preserve"> </w:t>
      </w:r>
      <w:r w:rsidR="003159AB">
        <w:t>and</w:t>
      </w:r>
    </w:p>
    <w:p w:rsidR="009625DC" w:rsidRDefault="003159AB" w:rsidP="003159AB">
      <w:pPr>
        <w:pStyle w:val="Bullet1"/>
      </w:pPr>
      <w:proofErr w:type="gramStart"/>
      <w:r>
        <w:t>have</w:t>
      </w:r>
      <w:proofErr w:type="gramEnd"/>
      <w:r>
        <w:t xml:space="preserve"> a valid Australian Business Number (ABN).</w:t>
      </w:r>
    </w:p>
    <w:p w:rsidR="009625DC" w:rsidDel="002E1745" w:rsidRDefault="009625DC" w:rsidP="009625DC">
      <w:pPr>
        <w:rPr>
          <w:sz w:val="23"/>
          <w:szCs w:val="23"/>
        </w:rPr>
      </w:pPr>
      <w:r w:rsidRPr="00F35BFE" w:rsidDel="002E1745">
        <w:rPr>
          <w:sz w:val="23"/>
          <w:szCs w:val="23"/>
        </w:rPr>
        <w:t>An individual or organisation will have legal personality if it has the right and obligations of a legal person.  These include, but are not limited to, the right to buy, sell, assign or lease any property; enter into contracts; and sue and be sued in their own name.</w:t>
      </w:r>
    </w:p>
    <w:p w:rsidR="009625DC" w:rsidRDefault="009625DC" w:rsidP="009625DC">
      <w:pPr>
        <w:rPr>
          <w:sz w:val="23"/>
          <w:szCs w:val="23"/>
        </w:rPr>
      </w:pPr>
      <w:r w:rsidRPr="00FF3DC4" w:rsidDel="002E1745">
        <w:rPr>
          <w:sz w:val="23"/>
          <w:szCs w:val="23"/>
        </w:rPr>
        <w:t>Applications from consortia are acceptable, provided you have a lead applicant who is the main driver of the project and all members of the consortia are eligible as per the list above.</w:t>
      </w:r>
    </w:p>
    <w:p w:rsidR="00340616" w:rsidRPr="00B72EE8" w:rsidRDefault="00340616" w:rsidP="00056305">
      <w:pPr>
        <w:pStyle w:val="Heading2Numbered"/>
      </w:pPr>
      <w:bookmarkStart w:id="36" w:name="_Toc491870786"/>
      <w:bookmarkStart w:id="37" w:name="_Toc491871048"/>
      <w:bookmarkStart w:id="38" w:name="_Toc491871109"/>
      <w:bookmarkStart w:id="39" w:name="_Toc491871170"/>
      <w:bookmarkStart w:id="40" w:name="_Toc491871229"/>
      <w:bookmarkStart w:id="41" w:name="_Toc467773958"/>
      <w:bookmarkStart w:id="42" w:name="_Toc492882537"/>
      <w:bookmarkEnd w:id="36"/>
      <w:bookmarkEnd w:id="37"/>
      <w:bookmarkEnd w:id="38"/>
      <w:bookmarkEnd w:id="39"/>
      <w:bookmarkEnd w:id="40"/>
      <w:r>
        <w:lastRenderedPageBreak/>
        <w:t xml:space="preserve">What </w:t>
      </w:r>
      <w:r w:rsidRPr="00B72EE8">
        <w:t>qualifications or skills</w:t>
      </w:r>
      <w:r>
        <w:t xml:space="preserve"> are required?</w:t>
      </w:r>
      <w:bookmarkEnd w:id="41"/>
      <w:bookmarkEnd w:id="42"/>
    </w:p>
    <w:p w:rsidR="00AB1A6B" w:rsidRDefault="00AB1A6B" w:rsidP="00547CDE">
      <w:pPr>
        <w:spacing w:after="120"/>
        <w:rPr>
          <w:rFonts w:ascii="Arial" w:hAnsi="Arial" w:cs="Arial"/>
        </w:rPr>
      </w:pPr>
      <w:r>
        <w:rPr>
          <w:rFonts w:ascii="Arial" w:hAnsi="Arial" w:cs="Arial"/>
        </w:rPr>
        <w:t xml:space="preserve">All </w:t>
      </w:r>
      <w:r w:rsidR="003301B4">
        <w:rPr>
          <w:rFonts w:ascii="Arial" w:hAnsi="Arial" w:cs="Arial"/>
        </w:rPr>
        <w:t xml:space="preserve">successful </w:t>
      </w:r>
      <w:r>
        <w:rPr>
          <w:rFonts w:ascii="Arial" w:hAnsi="Arial" w:cs="Arial"/>
        </w:rPr>
        <w:t>NPA</w:t>
      </w:r>
      <w:r w:rsidR="003301B4">
        <w:rPr>
          <w:rFonts w:ascii="Arial" w:hAnsi="Arial" w:cs="Arial"/>
        </w:rPr>
        <w:t xml:space="preserve"> Provider</w:t>
      </w:r>
      <w:r>
        <w:rPr>
          <w:rFonts w:ascii="Arial" w:hAnsi="Arial" w:cs="Arial"/>
        </w:rPr>
        <w:t xml:space="preserve"> assessors must be accredited by the Department before they can undertake Assessment Services. </w:t>
      </w:r>
      <w:r w:rsidR="003301B4">
        <w:rPr>
          <w:rFonts w:ascii="Arial" w:hAnsi="Arial" w:cs="Arial"/>
        </w:rPr>
        <w:t xml:space="preserve">To achieve accreditation, NPA providers will request accreditation of assessors who will be approved to conduct OSA, SWS and Workplace modification assessments in accordance with the Grant Agreement. </w:t>
      </w:r>
      <w:r w:rsidR="0014005A">
        <w:rPr>
          <w:rFonts w:ascii="Arial" w:hAnsi="Arial" w:cs="Arial"/>
        </w:rPr>
        <w:t>The Department will provide successful applicants with application forms to nominate assessors</w:t>
      </w:r>
      <w:r w:rsidR="008E4559">
        <w:rPr>
          <w:rFonts w:ascii="Arial" w:hAnsi="Arial" w:cs="Arial"/>
        </w:rPr>
        <w:t>, and add or remove assessors over the grant agreement period.</w:t>
      </w:r>
      <w:r w:rsidR="0014005A">
        <w:rPr>
          <w:rFonts w:ascii="Arial" w:hAnsi="Arial" w:cs="Arial"/>
        </w:rPr>
        <w:t xml:space="preserve"> </w:t>
      </w:r>
    </w:p>
    <w:p w:rsidR="003301B4" w:rsidRDefault="003301B4" w:rsidP="00547CDE">
      <w:pPr>
        <w:spacing w:after="120"/>
        <w:rPr>
          <w:rFonts w:ascii="Arial" w:hAnsi="Arial" w:cs="Arial"/>
        </w:rPr>
      </w:pPr>
      <w:r>
        <w:rPr>
          <w:rFonts w:ascii="Arial" w:hAnsi="Arial" w:cs="Arial"/>
        </w:rPr>
        <w:t>The Department recognises that a combination of skills, knowledge, experience and qualifications are required to successfully conduct assessments.</w:t>
      </w:r>
    </w:p>
    <w:p w:rsidR="003301B4" w:rsidRDefault="003301B4" w:rsidP="00547CDE">
      <w:pPr>
        <w:spacing w:after="120"/>
        <w:rPr>
          <w:rFonts w:ascii="Arial" w:hAnsi="Arial" w:cs="Arial"/>
        </w:rPr>
      </w:pPr>
      <w:r>
        <w:rPr>
          <w:rFonts w:ascii="Arial" w:hAnsi="Arial" w:cs="Arial"/>
        </w:rPr>
        <w:t>Skills may be demonstrated by having</w:t>
      </w:r>
      <w:r w:rsidR="0014005A">
        <w:rPr>
          <w:rFonts w:ascii="Arial" w:hAnsi="Arial" w:cs="Arial"/>
        </w:rPr>
        <w:t>:</w:t>
      </w:r>
    </w:p>
    <w:p w:rsidR="003301B4" w:rsidRDefault="0014005A" w:rsidP="003301B4">
      <w:pPr>
        <w:pStyle w:val="ListParagraph"/>
        <w:numPr>
          <w:ilvl w:val="0"/>
          <w:numId w:val="57"/>
        </w:numPr>
        <w:spacing w:after="120"/>
        <w:rPr>
          <w:rFonts w:ascii="Arial" w:hAnsi="Arial" w:cs="Arial"/>
        </w:rPr>
      </w:pPr>
      <w:r>
        <w:rPr>
          <w:rFonts w:ascii="Arial" w:hAnsi="Arial" w:cs="Arial"/>
        </w:rPr>
        <w:t>h</w:t>
      </w:r>
      <w:r w:rsidR="003301B4">
        <w:rPr>
          <w:rFonts w:ascii="Arial" w:hAnsi="Arial" w:cs="Arial"/>
        </w:rPr>
        <w:t xml:space="preserve">igh </w:t>
      </w:r>
      <w:r w:rsidR="003301B4" w:rsidRPr="003301B4">
        <w:rPr>
          <w:rFonts w:ascii="Arial" w:hAnsi="Arial" w:cs="Arial"/>
        </w:rPr>
        <w:t>level communication skills with the ability to consult and provide advice in a sensitive and appropriate</w:t>
      </w:r>
      <w:r w:rsidR="003301B4">
        <w:rPr>
          <w:rFonts w:ascii="Arial" w:hAnsi="Arial" w:cs="Arial"/>
        </w:rPr>
        <w:t xml:space="preserve"> manner</w:t>
      </w:r>
    </w:p>
    <w:p w:rsidR="003301B4" w:rsidRDefault="0014005A" w:rsidP="003301B4">
      <w:pPr>
        <w:pStyle w:val="ListParagraph"/>
        <w:numPr>
          <w:ilvl w:val="0"/>
          <w:numId w:val="57"/>
        </w:numPr>
        <w:spacing w:after="120"/>
        <w:rPr>
          <w:rFonts w:ascii="Arial" w:hAnsi="Arial" w:cs="Arial"/>
        </w:rPr>
      </w:pPr>
      <w:r>
        <w:rPr>
          <w:rFonts w:ascii="Arial" w:hAnsi="Arial" w:cs="Arial"/>
        </w:rPr>
        <w:t>a</w:t>
      </w:r>
      <w:r w:rsidR="003301B4">
        <w:rPr>
          <w:rFonts w:ascii="Arial" w:hAnsi="Arial" w:cs="Arial"/>
        </w:rPr>
        <w:t>bility to complete assessments to a high standard</w:t>
      </w:r>
    </w:p>
    <w:p w:rsidR="003301B4" w:rsidRDefault="0014005A" w:rsidP="003301B4">
      <w:pPr>
        <w:pStyle w:val="ListParagraph"/>
        <w:numPr>
          <w:ilvl w:val="0"/>
          <w:numId w:val="57"/>
        </w:numPr>
        <w:spacing w:after="120"/>
        <w:rPr>
          <w:rFonts w:ascii="Arial" w:hAnsi="Arial" w:cs="Arial"/>
        </w:rPr>
      </w:pPr>
      <w:r>
        <w:rPr>
          <w:rFonts w:ascii="Arial" w:hAnsi="Arial" w:cs="Arial"/>
        </w:rPr>
        <w:t>a</w:t>
      </w:r>
      <w:r w:rsidR="003301B4">
        <w:rPr>
          <w:rFonts w:ascii="Arial" w:hAnsi="Arial" w:cs="Arial"/>
        </w:rPr>
        <w:t>bility to produce detailed written reports on completion of assessment</w:t>
      </w:r>
    </w:p>
    <w:p w:rsidR="003301B4" w:rsidRDefault="0014005A" w:rsidP="003301B4">
      <w:pPr>
        <w:pStyle w:val="ListParagraph"/>
        <w:numPr>
          <w:ilvl w:val="0"/>
          <w:numId w:val="57"/>
        </w:numPr>
        <w:spacing w:after="120"/>
        <w:rPr>
          <w:rFonts w:ascii="Arial" w:hAnsi="Arial" w:cs="Arial"/>
        </w:rPr>
      </w:pPr>
      <w:r>
        <w:rPr>
          <w:rFonts w:ascii="Arial" w:hAnsi="Arial" w:cs="Arial"/>
        </w:rPr>
        <w:t>a</w:t>
      </w:r>
      <w:r w:rsidR="003301B4">
        <w:rPr>
          <w:rFonts w:ascii="Arial" w:hAnsi="Arial" w:cs="Arial"/>
        </w:rPr>
        <w:t xml:space="preserve">bility to assess barriers and </w:t>
      </w:r>
      <w:r>
        <w:rPr>
          <w:rFonts w:ascii="Arial" w:hAnsi="Arial" w:cs="Arial"/>
        </w:rPr>
        <w:t>negotiate</w:t>
      </w:r>
      <w:r w:rsidR="003301B4">
        <w:rPr>
          <w:rFonts w:ascii="Arial" w:hAnsi="Arial" w:cs="Arial"/>
        </w:rPr>
        <w:t xml:space="preserve"> appropriate </w:t>
      </w:r>
      <w:r>
        <w:rPr>
          <w:rFonts w:ascii="Arial" w:hAnsi="Arial" w:cs="Arial"/>
        </w:rPr>
        <w:t xml:space="preserve">solutions to meet the needs people </w:t>
      </w:r>
      <w:r w:rsidR="003301B4">
        <w:rPr>
          <w:rFonts w:ascii="Arial" w:hAnsi="Arial" w:cs="Arial"/>
        </w:rPr>
        <w:t>with disability</w:t>
      </w:r>
      <w:r>
        <w:rPr>
          <w:rFonts w:ascii="Arial" w:hAnsi="Arial" w:cs="Arial"/>
        </w:rPr>
        <w:t>, and</w:t>
      </w:r>
    </w:p>
    <w:p w:rsidR="0014005A" w:rsidRPr="0014005A" w:rsidRDefault="0014005A" w:rsidP="0014005A">
      <w:pPr>
        <w:pStyle w:val="ListParagraph"/>
        <w:numPr>
          <w:ilvl w:val="0"/>
          <w:numId w:val="57"/>
        </w:numPr>
        <w:spacing w:after="120"/>
        <w:rPr>
          <w:rFonts w:ascii="Arial" w:hAnsi="Arial" w:cs="Arial"/>
        </w:rPr>
      </w:pPr>
      <w:proofErr w:type="gramStart"/>
      <w:r>
        <w:rPr>
          <w:rFonts w:ascii="Arial" w:hAnsi="Arial" w:cs="Arial"/>
        </w:rPr>
        <w:t>technical</w:t>
      </w:r>
      <w:proofErr w:type="gramEnd"/>
      <w:r>
        <w:rPr>
          <w:rFonts w:ascii="Arial" w:hAnsi="Arial" w:cs="Arial"/>
        </w:rPr>
        <w:t xml:space="preserve"> skills related to the relevant process of assessment.</w:t>
      </w:r>
    </w:p>
    <w:p w:rsidR="0014005A" w:rsidRDefault="0014005A" w:rsidP="00547CDE">
      <w:pPr>
        <w:spacing w:after="120"/>
        <w:rPr>
          <w:rFonts w:ascii="Arial" w:hAnsi="Arial" w:cs="Arial"/>
        </w:rPr>
      </w:pPr>
      <w:r>
        <w:rPr>
          <w:rFonts w:ascii="Arial" w:hAnsi="Arial" w:cs="Arial"/>
        </w:rPr>
        <w:t>Each nominated assessor will have a minimum of two years practical experience in disability employment or related sectors.</w:t>
      </w:r>
    </w:p>
    <w:p w:rsidR="0014005A" w:rsidRDefault="0014005A" w:rsidP="00547CDE">
      <w:pPr>
        <w:spacing w:after="120"/>
        <w:rPr>
          <w:rFonts w:ascii="Arial" w:hAnsi="Arial" w:cs="Arial"/>
        </w:rPr>
      </w:pPr>
      <w:r>
        <w:rPr>
          <w:rFonts w:ascii="Arial" w:hAnsi="Arial" w:cs="Arial"/>
        </w:rPr>
        <w:t>Each nominated assessor will have an understanding of:</w:t>
      </w:r>
    </w:p>
    <w:p w:rsidR="0014005A" w:rsidRDefault="0014005A" w:rsidP="0014005A">
      <w:pPr>
        <w:pStyle w:val="ListParagraph"/>
        <w:numPr>
          <w:ilvl w:val="0"/>
          <w:numId w:val="57"/>
        </w:numPr>
        <w:spacing w:after="120"/>
        <w:rPr>
          <w:rFonts w:ascii="Arial" w:hAnsi="Arial" w:cs="Arial"/>
        </w:rPr>
      </w:pPr>
      <w:r>
        <w:rPr>
          <w:rFonts w:ascii="Arial" w:hAnsi="Arial" w:cs="Arial"/>
        </w:rPr>
        <w:t>Industry building and access codes (Workplace Modification assessors only)</w:t>
      </w:r>
    </w:p>
    <w:p w:rsidR="0014005A" w:rsidRPr="0014005A" w:rsidRDefault="0014005A" w:rsidP="0014005A">
      <w:pPr>
        <w:pStyle w:val="ListParagraph"/>
        <w:numPr>
          <w:ilvl w:val="0"/>
          <w:numId w:val="57"/>
        </w:numPr>
        <w:spacing w:after="120"/>
        <w:rPr>
          <w:rFonts w:ascii="Arial" w:hAnsi="Arial" w:cs="Arial"/>
        </w:rPr>
      </w:pPr>
      <w:r>
        <w:rPr>
          <w:rFonts w:ascii="Arial" w:hAnsi="Arial" w:cs="Arial"/>
        </w:rPr>
        <w:t>d</w:t>
      </w:r>
      <w:r w:rsidRPr="0014005A">
        <w:rPr>
          <w:rFonts w:ascii="Arial" w:hAnsi="Arial" w:cs="Arial"/>
        </w:rPr>
        <w:t>uty of care and professional ethics</w:t>
      </w:r>
    </w:p>
    <w:p w:rsidR="0014005A" w:rsidRPr="0014005A" w:rsidRDefault="0014005A" w:rsidP="0014005A">
      <w:pPr>
        <w:pStyle w:val="ListParagraph"/>
        <w:numPr>
          <w:ilvl w:val="0"/>
          <w:numId w:val="57"/>
        </w:numPr>
        <w:spacing w:after="120"/>
        <w:rPr>
          <w:rFonts w:ascii="Arial" w:hAnsi="Arial" w:cs="Arial"/>
        </w:rPr>
      </w:pPr>
      <w:r>
        <w:rPr>
          <w:rFonts w:ascii="Arial" w:hAnsi="Arial" w:cs="Arial"/>
        </w:rPr>
        <w:t>e</w:t>
      </w:r>
      <w:r w:rsidRPr="0014005A">
        <w:rPr>
          <w:rFonts w:ascii="Arial" w:hAnsi="Arial" w:cs="Arial"/>
        </w:rPr>
        <w:t>mployment assistance option available to people with disability seeking employment</w:t>
      </w:r>
      <w:r>
        <w:rPr>
          <w:rFonts w:ascii="Arial" w:hAnsi="Arial" w:cs="Arial"/>
        </w:rPr>
        <w:t>, and</w:t>
      </w:r>
    </w:p>
    <w:p w:rsidR="0014005A" w:rsidRDefault="0014005A" w:rsidP="0014005A">
      <w:pPr>
        <w:pStyle w:val="ListParagraph"/>
        <w:numPr>
          <w:ilvl w:val="0"/>
          <w:numId w:val="57"/>
        </w:numPr>
        <w:spacing w:after="120"/>
        <w:rPr>
          <w:rFonts w:ascii="Arial" w:hAnsi="Arial" w:cs="Arial"/>
        </w:rPr>
      </w:pPr>
      <w:r>
        <w:rPr>
          <w:rFonts w:ascii="Arial" w:hAnsi="Arial" w:cs="Arial"/>
        </w:rPr>
        <w:t>relevant work health and safety, industrial relations and a</w:t>
      </w:r>
      <w:r w:rsidRPr="0014005A">
        <w:rPr>
          <w:rFonts w:ascii="Arial" w:hAnsi="Arial" w:cs="Arial"/>
        </w:rPr>
        <w:t>nti-discrimination legislation</w:t>
      </w:r>
    </w:p>
    <w:p w:rsidR="008E35FC" w:rsidRPr="00853721" w:rsidRDefault="008E35FC" w:rsidP="00547CDE">
      <w:pPr>
        <w:spacing w:after="120"/>
        <w:rPr>
          <w:rFonts w:ascii="Arial" w:hAnsi="Arial" w:cs="Arial"/>
        </w:rPr>
      </w:pPr>
      <w:r w:rsidRPr="00853721">
        <w:rPr>
          <w:rFonts w:ascii="Arial" w:hAnsi="Arial" w:cs="Arial"/>
        </w:rPr>
        <w:t xml:space="preserve">It is </w:t>
      </w:r>
      <w:r w:rsidR="0014005A">
        <w:rPr>
          <w:rFonts w:ascii="Arial" w:hAnsi="Arial" w:cs="Arial"/>
        </w:rPr>
        <w:t xml:space="preserve">required </w:t>
      </w:r>
      <w:r w:rsidRPr="00853721">
        <w:rPr>
          <w:rFonts w:ascii="Arial" w:hAnsi="Arial" w:cs="Arial"/>
        </w:rPr>
        <w:t xml:space="preserve">that all OSA/SWS assessors </w:t>
      </w:r>
      <w:r w:rsidR="0099551D">
        <w:rPr>
          <w:rFonts w:ascii="Arial" w:hAnsi="Arial" w:cs="Arial"/>
        </w:rPr>
        <w:t xml:space="preserve">performing Assessment Services under the Grant Agreement </w:t>
      </w:r>
      <w:r w:rsidRPr="00853721">
        <w:rPr>
          <w:rFonts w:ascii="Arial" w:hAnsi="Arial" w:cs="Arial"/>
        </w:rPr>
        <w:t>possess a minimum of a diploma or higher-level qualification in one or more of the following fields:</w:t>
      </w:r>
    </w:p>
    <w:p w:rsidR="008E35FC" w:rsidRPr="00853721" w:rsidRDefault="008E35FC" w:rsidP="008E35FC">
      <w:pPr>
        <w:pStyle w:val="Bullet2"/>
        <w:numPr>
          <w:ilvl w:val="2"/>
          <w:numId w:val="25"/>
        </w:numPr>
        <w:suppressAutoHyphens w:val="0"/>
        <w:spacing w:before="0" w:after="120" w:line="240" w:lineRule="auto"/>
        <w:rPr>
          <w:rFonts w:ascii="Arial" w:hAnsi="Arial" w:cs="Arial"/>
        </w:rPr>
      </w:pPr>
      <w:r w:rsidRPr="00853721">
        <w:rPr>
          <w:rFonts w:ascii="Arial" w:hAnsi="Arial" w:cs="Arial"/>
        </w:rPr>
        <w:t>psychology</w:t>
      </w:r>
    </w:p>
    <w:p w:rsidR="008E35FC" w:rsidRPr="00853721" w:rsidRDefault="008E35FC" w:rsidP="008E35FC">
      <w:pPr>
        <w:pStyle w:val="Bullet2"/>
        <w:numPr>
          <w:ilvl w:val="2"/>
          <w:numId w:val="25"/>
        </w:numPr>
        <w:suppressAutoHyphens w:val="0"/>
        <w:spacing w:before="0" w:after="120" w:line="240" w:lineRule="auto"/>
        <w:rPr>
          <w:rFonts w:ascii="Arial" w:hAnsi="Arial" w:cs="Arial"/>
        </w:rPr>
      </w:pPr>
      <w:r w:rsidRPr="00853721">
        <w:rPr>
          <w:rFonts w:ascii="Arial" w:hAnsi="Arial" w:cs="Arial"/>
        </w:rPr>
        <w:t>rehabilitation counsellor</w:t>
      </w:r>
    </w:p>
    <w:p w:rsidR="008E35FC" w:rsidRPr="00853721" w:rsidRDefault="008E35FC" w:rsidP="008E35FC">
      <w:pPr>
        <w:pStyle w:val="Bullet2"/>
        <w:numPr>
          <w:ilvl w:val="2"/>
          <w:numId w:val="25"/>
        </w:numPr>
        <w:suppressAutoHyphens w:val="0"/>
        <w:spacing w:before="0" w:after="120" w:line="240" w:lineRule="auto"/>
        <w:rPr>
          <w:rFonts w:ascii="Arial" w:hAnsi="Arial" w:cs="Arial"/>
        </w:rPr>
      </w:pPr>
      <w:r w:rsidRPr="00853721">
        <w:rPr>
          <w:rFonts w:ascii="Arial" w:hAnsi="Arial" w:cs="Arial"/>
        </w:rPr>
        <w:t>vocational training or</w:t>
      </w:r>
    </w:p>
    <w:p w:rsidR="008E35FC" w:rsidRPr="00853721" w:rsidRDefault="008E35FC" w:rsidP="008E35FC">
      <w:pPr>
        <w:pStyle w:val="Bullet2"/>
        <w:numPr>
          <w:ilvl w:val="2"/>
          <w:numId w:val="25"/>
        </w:numPr>
        <w:suppressAutoHyphens w:val="0"/>
        <w:spacing w:before="0" w:after="120" w:line="240" w:lineRule="auto"/>
        <w:rPr>
          <w:rFonts w:ascii="Arial" w:hAnsi="Arial" w:cs="Arial"/>
        </w:rPr>
      </w:pPr>
      <w:proofErr w:type="gramStart"/>
      <w:r w:rsidRPr="00853721">
        <w:rPr>
          <w:rFonts w:ascii="Arial" w:hAnsi="Arial" w:cs="Arial"/>
        </w:rPr>
        <w:t>other</w:t>
      </w:r>
      <w:proofErr w:type="gramEnd"/>
      <w:r w:rsidRPr="00853721">
        <w:rPr>
          <w:rFonts w:ascii="Arial" w:hAnsi="Arial" w:cs="Arial"/>
        </w:rPr>
        <w:t xml:space="preserve"> diploma or higher-level qualification which the Department of Social Services considers is relevant to providing the required Assessment Services.</w:t>
      </w:r>
    </w:p>
    <w:p w:rsidR="00B60B4E" w:rsidRDefault="00B60B4E" w:rsidP="008E35FC">
      <w:pPr>
        <w:spacing w:after="120"/>
        <w:rPr>
          <w:rFonts w:ascii="Arial" w:hAnsi="Arial" w:cs="Arial"/>
        </w:rPr>
      </w:pPr>
      <w:r w:rsidRPr="00B60B4E">
        <w:rPr>
          <w:rFonts w:ascii="Arial" w:hAnsi="Arial" w:cs="Arial"/>
        </w:rPr>
        <w:t xml:space="preserve">If nominated assessors possess a qualification in another relevant area, successful applicants will need to provide evidence prior to being approved to undertake assessments </w:t>
      </w:r>
      <w:r w:rsidRPr="00B60B4E">
        <w:rPr>
          <w:rFonts w:ascii="Arial" w:hAnsi="Arial" w:cs="Arial"/>
        </w:rPr>
        <w:lastRenderedPageBreak/>
        <w:t>that this diploma or higher-level qualification is relevant to conducting the Assessment Services. This may include a transcript of relevant subjects completed and a written explanation of their relevance to the Assessment Services. Based on this information, and any other information available to it, the Department of Social Services</w:t>
      </w:r>
      <w:r w:rsidR="00D51DE0">
        <w:rPr>
          <w:rFonts w:ascii="Arial" w:hAnsi="Arial" w:cs="Arial"/>
        </w:rPr>
        <w:t>, at its absolute discretion,</w:t>
      </w:r>
      <w:r w:rsidRPr="00B60B4E">
        <w:rPr>
          <w:rFonts w:ascii="Arial" w:hAnsi="Arial" w:cs="Arial"/>
        </w:rPr>
        <w:t xml:space="preserve"> will determine whether the qualifications submitted are relevant to the Assessment Services, and thus whether the nominated assessor meets the mandatory qualification requirements.</w:t>
      </w:r>
      <w:r w:rsidR="00D51DE0">
        <w:rPr>
          <w:rFonts w:ascii="Arial" w:hAnsi="Arial" w:cs="Arial"/>
        </w:rPr>
        <w:t xml:space="preserve"> </w:t>
      </w:r>
    </w:p>
    <w:p w:rsidR="008E35FC" w:rsidRPr="00853721" w:rsidRDefault="008E35FC" w:rsidP="008E35FC">
      <w:pPr>
        <w:spacing w:after="120"/>
        <w:rPr>
          <w:rFonts w:ascii="Arial" w:hAnsi="Arial" w:cs="Arial"/>
        </w:rPr>
      </w:pPr>
      <w:r w:rsidRPr="00853721">
        <w:rPr>
          <w:rFonts w:ascii="Arial" w:hAnsi="Arial" w:cs="Arial"/>
        </w:rPr>
        <w:t>All Workplace Modification Assessment assessors</w:t>
      </w:r>
      <w:r w:rsidR="00A364A7">
        <w:rPr>
          <w:rFonts w:ascii="Arial" w:hAnsi="Arial" w:cs="Arial"/>
        </w:rPr>
        <w:t xml:space="preserve"> </w:t>
      </w:r>
      <w:r w:rsidR="0099551D">
        <w:rPr>
          <w:rFonts w:ascii="Arial" w:hAnsi="Arial" w:cs="Arial"/>
        </w:rPr>
        <w:t xml:space="preserve">performing Assessment Services under the Grant Agreement </w:t>
      </w:r>
      <w:r w:rsidR="00A364A7">
        <w:rPr>
          <w:rFonts w:ascii="Arial" w:hAnsi="Arial" w:cs="Arial"/>
        </w:rPr>
        <w:t>must</w:t>
      </w:r>
      <w:r w:rsidRPr="00853721">
        <w:rPr>
          <w:rFonts w:ascii="Arial" w:hAnsi="Arial" w:cs="Arial"/>
        </w:rPr>
        <w:t xml:space="preserve"> possess a minimum of a diploma or higher level qualification in one or more of the following fields:</w:t>
      </w:r>
    </w:p>
    <w:p w:rsidR="008E35FC" w:rsidRPr="00853721" w:rsidRDefault="008E35FC" w:rsidP="008E35FC">
      <w:pPr>
        <w:pStyle w:val="Bullet2"/>
        <w:numPr>
          <w:ilvl w:val="2"/>
          <w:numId w:val="25"/>
        </w:numPr>
        <w:suppressAutoHyphens w:val="0"/>
        <w:spacing w:before="0" w:after="120" w:line="240" w:lineRule="auto"/>
        <w:rPr>
          <w:rFonts w:ascii="Arial" w:hAnsi="Arial" w:cs="Arial"/>
        </w:rPr>
      </w:pPr>
      <w:r w:rsidRPr="00853721">
        <w:rPr>
          <w:rFonts w:ascii="Arial" w:hAnsi="Arial" w:cs="Arial"/>
        </w:rPr>
        <w:t>occupational therapy</w:t>
      </w:r>
    </w:p>
    <w:p w:rsidR="008E35FC" w:rsidRPr="00853721" w:rsidRDefault="008E35FC" w:rsidP="008E35FC">
      <w:pPr>
        <w:pStyle w:val="Bullet2"/>
        <w:numPr>
          <w:ilvl w:val="2"/>
          <w:numId w:val="25"/>
        </w:numPr>
        <w:suppressAutoHyphens w:val="0"/>
        <w:spacing w:before="0" w:after="120" w:line="240" w:lineRule="auto"/>
        <w:rPr>
          <w:rFonts w:ascii="Arial" w:hAnsi="Arial" w:cs="Arial"/>
        </w:rPr>
      </w:pPr>
      <w:r w:rsidRPr="00853721">
        <w:rPr>
          <w:rFonts w:ascii="Arial" w:hAnsi="Arial" w:cs="Arial"/>
        </w:rPr>
        <w:t>physiotherapy</w:t>
      </w:r>
    </w:p>
    <w:p w:rsidR="008E35FC" w:rsidRPr="00853721" w:rsidRDefault="008E35FC" w:rsidP="008E35FC">
      <w:pPr>
        <w:pStyle w:val="Bullet2"/>
        <w:numPr>
          <w:ilvl w:val="2"/>
          <w:numId w:val="25"/>
        </w:numPr>
        <w:suppressAutoHyphens w:val="0"/>
        <w:spacing w:before="0" w:after="120" w:line="240" w:lineRule="auto"/>
        <w:rPr>
          <w:rFonts w:ascii="Arial" w:hAnsi="Arial" w:cs="Arial"/>
        </w:rPr>
      </w:pPr>
      <w:r w:rsidRPr="00853721">
        <w:rPr>
          <w:rFonts w:ascii="Arial" w:hAnsi="Arial" w:cs="Arial"/>
        </w:rPr>
        <w:t>exercise physiologist</w:t>
      </w:r>
      <w:r w:rsidR="00BF0D3A">
        <w:rPr>
          <w:rFonts w:ascii="Arial" w:hAnsi="Arial" w:cs="Arial"/>
        </w:rPr>
        <w:t xml:space="preserve"> </w:t>
      </w:r>
    </w:p>
    <w:p w:rsidR="008E35FC" w:rsidRPr="00853721" w:rsidRDefault="008E35FC" w:rsidP="008E35FC">
      <w:pPr>
        <w:pStyle w:val="Bullet2"/>
        <w:numPr>
          <w:ilvl w:val="2"/>
          <w:numId w:val="25"/>
        </w:numPr>
        <w:suppressAutoHyphens w:val="0"/>
        <w:spacing w:before="0" w:after="120" w:line="240" w:lineRule="auto"/>
        <w:rPr>
          <w:rFonts w:ascii="Arial" w:hAnsi="Arial" w:cs="Arial"/>
        </w:rPr>
      </w:pPr>
      <w:proofErr w:type="gramStart"/>
      <w:r w:rsidRPr="00853721">
        <w:rPr>
          <w:rFonts w:ascii="Arial" w:hAnsi="Arial" w:cs="Arial"/>
        </w:rPr>
        <w:t>medical</w:t>
      </w:r>
      <w:proofErr w:type="gramEnd"/>
      <w:r w:rsidRPr="00853721">
        <w:rPr>
          <w:rFonts w:ascii="Arial" w:hAnsi="Arial" w:cs="Arial"/>
        </w:rPr>
        <w:t xml:space="preserve"> practitioner</w:t>
      </w:r>
      <w:r w:rsidR="00BF0D3A">
        <w:rPr>
          <w:rFonts w:ascii="Arial" w:hAnsi="Arial" w:cs="Arial"/>
        </w:rPr>
        <w:t>.</w:t>
      </w:r>
    </w:p>
    <w:p w:rsidR="008E35FC" w:rsidRPr="00853721" w:rsidRDefault="008E35FC" w:rsidP="008E35FC">
      <w:pPr>
        <w:spacing w:after="120"/>
        <w:rPr>
          <w:rFonts w:ascii="Arial" w:hAnsi="Arial" w:cs="Arial"/>
        </w:rPr>
      </w:pPr>
      <w:r w:rsidRPr="00853721">
        <w:rPr>
          <w:rFonts w:ascii="Arial" w:hAnsi="Arial" w:cs="Arial"/>
        </w:rPr>
        <w:t xml:space="preserve">All </w:t>
      </w:r>
      <w:r w:rsidR="00C04635">
        <w:rPr>
          <w:rFonts w:ascii="Arial" w:hAnsi="Arial" w:cs="Arial"/>
        </w:rPr>
        <w:t xml:space="preserve">assessors </w:t>
      </w:r>
      <w:r w:rsidR="00BE036F">
        <w:rPr>
          <w:rFonts w:ascii="Arial" w:hAnsi="Arial" w:cs="Arial"/>
        </w:rPr>
        <w:t>must</w:t>
      </w:r>
      <w:r w:rsidR="00C04635">
        <w:rPr>
          <w:rFonts w:ascii="Arial" w:hAnsi="Arial" w:cs="Arial"/>
        </w:rPr>
        <w:t xml:space="preserve"> </w:t>
      </w:r>
      <w:r w:rsidRPr="00853721">
        <w:rPr>
          <w:rFonts w:ascii="Arial" w:hAnsi="Arial" w:cs="Arial"/>
        </w:rPr>
        <w:t>have a full (non-provisional or restricted)</w:t>
      </w:r>
      <w:r w:rsidR="00651302">
        <w:rPr>
          <w:rFonts w:ascii="Arial" w:hAnsi="Arial" w:cs="Arial"/>
        </w:rPr>
        <w:t xml:space="preserve"> qualification that is </w:t>
      </w:r>
      <w:r w:rsidRPr="00853721">
        <w:rPr>
          <w:rFonts w:ascii="Arial" w:hAnsi="Arial" w:cs="Arial"/>
        </w:rPr>
        <w:t>registered with Australian Health Practitioner Regulation Agency (AHPRA)</w:t>
      </w:r>
      <w:r w:rsidR="00651302">
        <w:rPr>
          <w:rFonts w:ascii="Arial" w:hAnsi="Arial" w:cs="Arial"/>
        </w:rPr>
        <w:t xml:space="preserve"> or </w:t>
      </w:r>
      <w:r w:rsidR="00C04635">
        <w:rPr>
          <w:rFonts w:ascii="Arial" w:hAnsi="Arial" w:cs="Arial"/>
        </w:rPr>
        <w:t xml:space="preserve">a </w:t>
      </w:r>
      <w:r w:rsidR="00651302">
        <w:rPr>
          <w:rFonts w:ascii="Arial" w:hAnsi="Arial" w:cs="Arial"/>
        </w:rPr>
        <w:t>qualification</w:t>
      </w:r>
      <w:r w:rsidRPr="00853721">
        <w:rPr>
          <w:rFonts w:ascii="Arial" w:hAnsi="Arial" w:cs="Arial"/>
        </w:rPr>
        <w:t xml:space="preserve"> recognised or accredited with one of the following associations</w:t>
      </w:r>
      <w:r w:rsidR="00C04635">
        <w:rPr>
          <w:rFonts w:ascii="Arial" w:hAnsi="Arial" w:cs="Arial"/>
        </w:rPr>
        <w:t xml:space="preserve"> </w:t>
      </w:r>
      <w:r w:rsidR="00BE036F">
        <w:rPr>
          <w:rFonts w:ascii="Arial" w:hAnsi="Arial" w:cs="Arial"/>
        </w:rPr>
        <w:t>before they can undertake assessments</w:t>
      </w:r>
      <w:r w:rsidRPr="00853721">
        <w:rPr>
          <w:rFonts w:ascii="Arial" w:hAnsi="Arial" w:cs="Arial"/>
        </w:rPr>
        <w:t>:</w:t>
      </w:r>
    </w:p>
    <w:p w:rsidR="008E35FC" w:rsidRPr="00D11110" w:rsidRDefault="008E35FC" w:rsidP="00D11110">
      <w:pPr>
        <w:pStyle w:val="ListParagraph"/>
        <w:numPr>
          <w:ilvl w:val="0"/>
          <w:numId w:val="26"/>
        </w:numPr>
        <w:spacing w:after="120"/>
        <w:ind w:left="284" w:hanging="284"/>
        <w:rPr>
          <w:rFonts w:ascii="Arial" w:eastAsiaTheme="minorHAnsi" w:hAnsi="Arial" w:cs="Arial"/>
        </w:rPr>
      </w:pPr>
      <w:r w:rsidRPr="00D11110">
        <w:rPr>
          <w:rFonts w:ascii="Arial" w:eastAsiaTheme="minorHAnsi" w:hAnsi="Arial" w:cs="Arial"/>
        </w:rPr>
        <w:t>Occupational therapist (registered)</w:t>
      </w:r>
    </w:p>
    <w:p w:rsidR="008E35FC" w:rsidRPr="00D11110" w:rsidRDefault="008E35FC" w:rsidP="00D11110">
      <w:pPr>
        <w:pStyle w:val="ListParagraph"/>
        <w:numPr>
          <w:ilvl w:val="0"/>
          <w:numId w:val="26"/>
        </w:numPr>
        <w:spacing w:after="120"/>
        <w:ind w:left="284" w:hanging="284"/>
        <w:rPr>
          <w:rFonts w:ascii="Arial" w:eastAsiaTheme="minorHAnsi" w:hAnsi="Arial" w:cs="Arial"/>
        </w:rPr>
      </w:pPr>
      <w:r w:rsidRPr="00D11110">
        <w:rPr>
          <w:rFonts w:ascii="Arial" w:eastAsiaTheme="minorHAnsi" w:hAnsi="Arial" w:cs="Arial"/>
        </w:rPr>
        <w:t>Physiotherapist (registered)</w:t>
      </w:r>
    </w:p>
    <w:p w:rsidR="008E35FC" w:rsidRPr="00D11110" w:rsidRDefault="008E35FC" w:rsidP="00D11110">
      <w:pPr>
        <w:pStyle w:val="ListParagraph"/>
        <w:numPr>
          <w:ilvl w:val="0"/>
          <w:numId w:val="26"/>
        </w:numPr>
        <w:spacing w:after="120"/>
        <w:ind w:left="284" w:hanging="284"/>
        <w:rPr>
          <w:rFonts w:ascii="Arial" w:eastAsiaTheme="minorHAnsi" w:hAnsi="Arial" w:cs="Arial"/>
        </w:rPr>
      </w:pPr>
      <w:r w:rsidRPr="00D11110">
        <w:rPr>
          <w:rFonts w:ascii="Arial" w:eastAsiaTheme="minorHAnsi" w:hAnsi="Arial" w:cs="Arial"/>
        </w:rPr>
        <w:t>Exercise physiologist (accredited with Exercise and Sports Science Australia)</w:t>
      </w:r>
    </w:p>
    <w:p w:rsidR="008E35FC" w:rsidRPr="00D11110" w:rsidRDefault="008E35FC" w:rsidP="00D11110">
      <w:pPr>
        <w:pStyle w:val="ListParagraph"/>
        <w:numPr>
          <w:ilvl w:val="0"/>
          <w:numId w:val="26"/>
        </w:numPr>
        <w:spacing w:after="120"/>
        <w:ind w:left="284" w:hanging="284"/>
        <w:rPr>
          <w:rFonts w:ascii="Arial" w:eastAsiaTheme="minorHAnsi" w:hAnsi="Arial" w:cs="Arial"/>
        </w:rPr>
      </w:pPr>
      <w:r w:rsidRPr="00D11110">
        <w:rPr>
          <w:rFonts w:ascii="Arial" w:eastAsiaTheme="minorHAnsi" w:hAnsi="Arial" w:cs="Arial"/>
        </w:rPr>
        <w:t>Medical practitioner (registered)</w:t>
      </w:r>
    </w:p>
    <w:p w:rsidR="008E35FC" w:rsidRPr="00D11110" w:rsidRDefault="008E35FC" w:rsidP="00D11110">
      <w:pPr>
        <w:pStyle w:val="ListParagraph"/>
        <w:numPr>
          <w:ilvl w:val="0"/>
          <w:numId w:val="26"/>
        </w:numPr>
        <w:spacing w:after="120"/>
        <w:ind w:left="284" w:hanging="284"/>
        <w:rPr>
          <w:rFonts w:ascii="Arial" w:eastAsiaTheme="minorHAnsi" w:hAnsi="Arial" w:cs="Arial"/>
        </w:rPr>
      </w:pPr>
      <w:r w:rsidRPr="00D11110">
        <w:rPr>
          <w:rFonts w:ascii="Arial" w:eastAsiaTheme="minorHAnsi" w:hAnsi="Arial" w:cs="Arial"/>
        </w:rPr>
        <w:t xml:space="preserve">Rehabilitation counsellor (recognised with Australia Society of Rehabilitation Counsellors or Rehabilitation Counselling Association of </w:t>
      </w:r>
      <w:r w:rsidR="00077A33" w:rsidRPr="00D11110">
        <w:rPr>
          <w:rFonts w:ascii="Arial" w:eastAsiaTheme="minorHAnsi" w:hAnsi="Arial" w:cs="Arial"/>
        </w:rPr>
        <w:t>Australasia</w:t>
      </w:r>
      <w:r w:rsidRPr="00D11110">
        <w:rPr>
          <w:rFonts w:ascii="Arial" w:eastAsiaTheme="minorHAnsi" w:hAnsi="Arial" w:cs="Arial"/>
        </w:rPr>
        <w:t xml:space="preserve">) </w:t>
      </w:r>
    </w:p>
    <w:p w:rsidR="008E35FC" w:rsidRPr="00D11110" w:rsidRDefault="008E35FC" w:rsidP="00D11110">
      <w:pPr>
        <w:pStyle w:val="ListParagraph"/>
        <w:numPr>
          <w:ilvl w:val="0"/>
          <w:numId w:val="26"/>
        </w:numPr>
        <w:spacing w:after="120"/>
        <w:ind w:left="284" w:hanging="284"/>
        <w:rPr>
          <w:rFonts w:ascii="Arial" w:eastAsiaTheme="minorHAnsi" w:hAnsi="Arial" w:cs="Arial"/>
        </w:rPr>
      </w:pPr>
      <w:r w:rsidRPr="00D11110">
        <w:rPr>
          <w:rFonts w:ascii="Arial" w:eastAsiaTheme="minorHAnsi" w:hAnsi="Arial" w:cs="Arial"/>
        </w:rPr>
        <w:t>Nurse (registered)</w:t>
      </w:r>
      <w:r w:rsidR="00BF0D3A">
        <w:rPr>
          <w:rFonts w:ascii="Arial" w:eastAsiaTheme="minorHAnsi" w:hAnsi="Arial" w:cs="Arial"/>
        </w:rPr>
        <w:t>.</w:t>
      </w:r>
    </w:p>
    <w:p w:rsidR="00C04635" w:rsidRPr="00853721" w:rsidRDefault="004114E0" w:rsidP="008E35FC">
      <w:pPr>
        <w:spacing w:after="120"/>
        <w:rPr>
          <w:rFonts w:ascii="Arial" w:hAnsi="Arial" w:cs="Arial"/>
        </w:rPr>
      </w:pPr>
      <w:r>
        <w:rPr>
          <w:rFonts w:ascii="Arial" w:hAnsi="Arial" w:cs="Arial"/>
        </w:rPr>
        <w:t xml:space="preserve">NPA Assessors must provide </w:t>
      </w:r>
      <w:r w:rsidR="00C04635">
        <w:rPr>
          <w:rFonts w:ascii="Arial" w:hAnsi="Arial" w:cs="Arial"/>
        </w:rPr>
        <w:t>evidence of the qualifications</w:t>
      </w:r>
      <w:r>
        <w:rPr>
          <w:rFonts w:ascii="Arial" w:hAnsi="Arial" w:cs="Arial"/>
        </w:rPr>
        <w:t xml:space="preserve"> and experience </w:t>
      </w:r>
      <w:r w:rsidR="00C04635">
        <w:rPr>
          <w:rFonts w:ascii="Arial" w:hAnsi="Arial" w:cs="Arial"/>
        </w:rPr>
        <w:t>of any assessor</w:t>
      </w:r>
      <w:r>
        <w:rPr>
          <w:rFonts w:ascii="Arial" w:hAnsi="Arial" w:cs="Arial"/>
        </w:rPr>
        <w:t xml:space="preserve"> prior to that assessor undertaking Assessment Services</w:t>
      </w:r>
      <w:r w:rsidR="00C04635">
        <w:rPr>
          <w:rFonts w:ascii="Arial" w:hAnsi="Arial" w:cs="Arial"/>
        </w:rPr>
        <w:t xml:space="preserve"> for the purposes of the DES-NPA program.</w:t>
      </w:r>
    </w:p>
    <w:p w:rsidR="00A17C1E" w:rsidRDefault="008E35FC" w:rsidP="008E35FC">
      <w:pPr>
        <w:spacing w:after="120"/>
        <w:rPr>
          <w:rFonts w:ascii="Arial" w:hAnsi="Arial" w:cs="Arial"/>
        </w:rPr>
      </w:pPr>
      <w:r w:rsidRPr="00853721">
        <w:rPr>
          <w:rFonts w:ascii="Arial" w:hAnsi="Arial" w:cs="Arial"/>
        </w:rPr>
        <w:t>The Department</w:t>
      </w:r>
      <w:r>
        <w:rPr>
          <w:rFonts w:ascii="Arial" w:hAnsi="Arial" w:cs="Arial"/>
        </w:rPr>
        <w:t xml:space="preserve"> </w:t>
      </w:r>
      <w:r w:rsidRPr="00853721">
        <w:rPr>
          <w:rFonts w:ascii="Arial" w:hAnsi="Arial" w:cs="Arial"/>
        </w:rPr>
        <w:t>will recognise any previously approved NPA accreditation applied during the</w:t>
      </w:r>
      <w:r w:rsidR="00532038">
        <w:rPr>
          <w:rFonts w:ascii="Arial" w:hAnsi="Arial" w:cs="Arial"/>
        </w:rPr>
        <w:t xml:space="preserve"> current</w:t>
      </w:r>
      <w:r w:rsidRPr="00853721">
        <w:rPr>
          <w:rFonts w:ascii="Arial" w:hAnsi="Arial" w:cs="Arial"/>
        </w:rPr>
        <w:t xml:space="preserve"> 2010-2018 NPA Deed of Standing Offer.</w:t>
      </w:r>
    </w:p>
    <w:p w:rsidR="00A17C1E" w:rsidRPr="00853721" w:rsidRDefault="00A17C1E" w:rsidP="008E35FC">
      <w:pPr>
        <w:spacing w:after="120"/>
        <w:rPr>
          <w:rFonts w:ascii="Arial" w:hAnsi="Arial" w:cs="Arial"/>
        </w:rPr>
      </w:pPr>
      <w:r>
        <w:rPr>
          <w:rFonts w:ascii="Arial" w:hAnsi="Arial" w:cs="Arial"/>
        </w:rPr>
        <w:t xml:space="preserve">More details on Provider’s Personnel </w:t>
      </w:r>
      <w:proofErr w:type="gramStart"/>
      <w:r>
        <w:rPr>
          <w:rFonts w:ascii="Arial" w:hAnsi="Arial" w:cs="Arial"/>
        </w:rPr>
        <w:t>is</w:t>
      </w:r>
      <w:proofErr w:type="gramEnd"/>
      <w:r>
        <w:rPr>
          <w:rFonts w:ascii="Arial" w:hAnsi="Arial" w:cs="Arial"/>
        </w:rPr>
        <w:t xml:space="preserve"> provided in Section 2 of the Draft Grant Agreement.</w:t>
      </w:r>
    </w:p>
    <w:p w:rsidR="00340616" w:rsidRPr="00D2010C" w:rsidRDefault="00340616" w:rsidP="00A668C8">
      <w:pPr>
        <w:pStyle w:val="Heading1Numbered"/>
      </w:pPr>
      <w:bookmarkStart w:id="43" w:name="_Toc467773959"/>
      <w:bookmarkStart w:id="44" w:name="_Toc492882538"/>
      <w:r w:rsidRPr="001F4CB1">
        <w:lastRenderedPageBreak/>
        <w:t>Eligible grant a</w:t>
      </w:r>
      <w:r w:rsidRPr="00D2010C">
        <w:t>ctivities</w:t>
      </w:r>
      <w:bookmarkEnd w:id="43"/>
      <w:bookmarkEnd w:id="44"/>
    </w:p>
    <w:p w:rsidR="001F4CB1" w:rsidRPr="001F4CB1" w:rsidRDefault="00340616" w:rsidP="00C30FF1">
      <w:pPr>
        <w:pStyle w:val="Heading2Numbered"/>
      </w:pPr>
      <w:bookmarkStart w:id="45" w:name="_Toc467773960"/>
      <w:bookmarkStart w:id="46" w:name="_Toc492882539"/>
      <w:r w:rsidRPr="00D2010C">
        <w:t xml:space="preserve">What can the grant money </w:t>
      </w:r>
      <w:proofErr w:type="gramStart"/>
      <w:r w:rsidRPr="00D2010C">
        <w:t>be</w:t>
      </w:r>
      <w:proofErr w:type="gramEnd"/>
      <w:r w:rsidRPr="00D2010C">
        <w:t xml:space="preserve"> used for?</w:t>
      </w:r>
      <w:bookmarkEnd w:id="45"/>
      <w:bookmarkEnd w:id="46"/>
    </w:p>
    <w:p w:rsidR="0035433D" w:rsidRPr="008C589E" w:rsidRDefault="0035433D" w:rsidP="0061776B">
      <w:pPr>
        <w:pStyle w:val="Heading3Numbered"/>
      </w:pPr>
      <w:bookmarkStart w:id="47" w:name="_Toc492882540"/>
      <w:r w:rsidRPr="008C589E">
        <w:t>Supported Wage System Assess</w:t>
      </w:r>
      <w:r>
        <w:t>ments</w:t>
      </w:r>
      <w:bookmarkEnd w:id="47"/>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 xml:space="preserve">The National Panel of Assessors will include suitably qualified </w:t>
      </w:r>
      <w:r>
        <w:rPr>
          <w:rFonts w:ascii="Arial" w:hAnsi="Arial" w:cs="Arial"/>
          <w:sz w:val="22"/>
          <w:szCs w:val="22"/>
          <w:lang w:eastAsia="en-US"/>
        </w:rPr>
        <w:t>Supported Wage System (</w:t>
      </w:r>
      <w:r w:rsidRPr="002544B3">
        <w:rPr>
          <w:rFonts w:ascii="Arial" w:hAnsi="Arial" w:cs="Arial"/>
          <w:sz w:val="22"/>
          <w:szCs w:val="22"/>
          <w:lang w:eastAsia="en-US"/>
        </w:rPr>
        <w:t>SWS</w:t>
      </w:r>
      <w:r>
        <w:rPr>
          <w:rFonts w:ascii="Arial" w:hAnsi="Arial" w:cs="Arial"/>
          <w:sz w:val="22"/>
          <w:szCs w:val="22"/>
          <w:lang w:eastAsia="en-US"/>
        </w:rPr>
        <w:t>) assessment assessors</w:t>
      </w:r>
      <w:r w:rsidRPr="002544B3">
        <w:rPr>
          <w:rFonts w:ascii="Arial" w:hAnsi="Arial" w:cs="Arial"/>
          <w:sz w:val="22"/>
          <w:szCs w:val="22"/>
          <w:lang w:eastAsia="en-US"/>
        </w:rPr>
        <w:t>.</w:t>
      </w:r>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 xml:space="preserve">If a person with disability is not able to work at the same productivity levels as their </w:t>
      </w:r>
      <w:r>
        <w:rPr>
          <w:rFonts w:ascii="Arial" w:hAnsi="Arial" w:cs="Arial"/>
          <w:sz w:val="22"/>
          <w:szCs w:val="22"/>
          <w:lang w:eastAsia="en-US"/>
        </w:rPr>
        <w:br w:type="textWrapping" w:clear="all"/>
      </w:r>
      <w:r w:rsidRPr="002544B3">
        <w:rPr>
          <w:rFonts w:ascii="Arial" w:hAnsi="Arial" w:cs="Arial"/>
          <w:sz w:val="22"/>
          <w:szCs w:val="22"/>
          <w:lang w:eastAsia="en-US"/>
        </w:rPr>
        <w:t>co-workers due to the effects of their disability, and the person with disability meets the impairment criteria for receipt of the Disability Support Pension</w:t>
      </w:r>
      <w:r>
        <w:rPr>
          <w:rFonts w:ascii="Arial" w:hAnsi="Arial" w:cs="Arial"/>
          <w:sz w:val="22"/>
          <w:szCs w:val="22"/>
          <w:lang w:eastAsia="en-US"/>
        </w:rPr>
        <w:t xml:space="preserve"> (DSP) from the Department of Human Services (DHS)</w:t>
      </w:r>
      <w:r w:rsidRPr="002544B3">
        <w:rPr>
          <w:rFonts w:ascii="Arial" w:hAnsi="Arial" w:cs="Arial"/>
          <w:sz w:val="22"/>
          <w:szCs w:val="22"/>
          <w:lang w:eastAsia="en-US"/>
        </w:rPr>
        <w:t>, the person may be eligible to participate in the SWS. For example, if a worker involved in the SWS is assessed as having a productivity level of 70 per cent compared to co-workers performing the same duties, the worker and the employer can agree to ongoing employment at a pay rate of 70 per cent of the normal rate.</w:t>
      </w:r>
    </w:p>
    <w:p w:rsidR="0035433D"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 xml:space="preserve">An SWS assessor will conduct an initial productivity assessment after a </w:t>
      </w:r>
      <w:r>
        <w:rPr>
          <w:rFonts w:ascii="Arial" w:hAnsi="Arial" w:cs="Arial"/>
          <w:sz w:val="22"/>
          <w:szCs w:val="22"/>
          <w:lang w:eastAsia="en-US"/>
        </w:rPr>
        <w:t xml:space="preserve">DES Participant </w:t>
      </w:r>
      <w:r w:rsidRPr="002544B3">
        <w:rPr>
          <w:rFonts w:ascii="Arial" w:hAnsi="Arial" w:cs="Arial"/>
          <w:sz w:val="22"/>
          <w:szCs w:val="22"/>
          <w:lang w:eastAsia="en-US"/>
        </w:rPr>
        <w:t xml:space="preserve">has applied for SWS. The assessor will work within the Federal and </w:t>
      </w:r>
      <w:r>
        <w:rPr>
          <w:rFonts w:ascii="Arial" w:hAnsi="Arial" w:cs="Arial"/>
          <w:sz w:val="22"/>
          <w:szCs w:val="22"/>
          <w:lang w:eastAsia="en-US"/>
        </w:rPr>
        <w:t>S</w:t>
      </w:r>
      <w:r w:rsidRPr="002544B3">
        <w:rPr>
          <w:rFonts w:ascii="Arial" w:hAnsi="Arial" w:cs="Arial"/>
          <w:sz w:val="22"/>
          <w:szCs w:val="22"/>
          <w:lang w:eastAsia="en-US"/>
        </w:rPr>
        <w:t xml:space="preserve">tate industrial relations systems to facilitate an SWS wage assessment agreement between the employer and </w:t>
      </w:r>
      <w:r>
        <w:rPr>
          <w:rFonts w:ascii="Arial" w:hAnsi="Arial" w:cs="Arial"/>
          <w:sz w:val="22"/>
          <w:szCs w:val="22"/>
          <w:lang w:eastAsia="en-US"/>
        </w:rPr>
        <w:t>DES Participant</w:t>
      </w:r>
      <w:r w:rsidRPr="002544B3">
        <w:rPr>
          <w:rFonts w:ascii="Arial" w:hAnsi="Arial" w:cs="Arial"/>
          <w:sz w:val="22"/>
          <w:szCs w:val="22"/>
          <w:lang w:eastAsia="en-US"/>
        </w:rPr>
        <w:t xml:space="preserve">, and submission of the agreement to the relevant industrial relations authority if required. A review of the </w:t>
      </w:r>
      <w:r>
        <w:rPr>
          <w:rFonts w:ascii="Arial" w:hAnsi="Arial" w:cs="Arial"/>
          <w:sz w:val="22"/>
          <w:szCs w:val="22"/>
          <w:lang w:eastAsia="en-US"/>
        </w:rPr>
        <w:t>DES</w:t>
      </w:r>
      <w:r w:rsidRPr="002544B3">
        <w:rPr>
          <w:rFonts w:ascii="Arial" w:hAnsi="Arial" w:cs="Arial"/>
          <w:sz w:val="22"/>
          <w:szCs w:val="22"/>
          <w:lang w:eastAsia="en-US"/>
        </w:rPr>
        <w:t xml:space="preserve"> Participant's productivity must be undertaken every 12 months, or when a substantial change has occurred in the </w:t>
      </w:r>
      <w:r>
        <w:rPr>
          <w:rFonts w:ascii="Arial" w:hAnsi="Arial" w:cs="Arial"/>
          <w:sz w:val="22"/>
          <w:szCs w:val="22"/>
          <w:lang w:eastAsia="en-US"/>
        </w:rPr>
        <w:t>DES Participant</w:t>
      </w:r>
      <w:r w:rsidRPr="002544B3">
        <w:rPr>
          <w:rFonts w:ascii="Arial" w:hAnsi="Arial" w:cs="Arial"/>
          <w:sz w:val="22"/>
          <w:szCs w:val="22"/>
          <w:lang w:eastAsia="en-US"/>
        </w:rPr>
        <w:t>'s productivity level or duties, whichever is sooner.</w:t>
      </w:r>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 xml:space="preserve">Applicants wishing to deliver SWS assessments must also apply to deliver Ongoing Support </w:t>
      </w:r>
      <w:r>
        <w:rPr>
          <w:rFonts w:ascii="Arial" w:hAnsi="Arial" w:cs="Arial"/>
          <w:sz w:val="22"/>
          <w:szCs w:val="22"/>
          <w:lang w:eastAsia="en-US"/>
        </w:rPr>
        <w:t>A</w:t>
      </w:r>
      <w:r w:rsidRPr="002544B3">
        <w:rPr>
          <w:rFonts w:ascii="Arial" w:hAnsi="Arial" w:cs="Arial"/>
          <w:sz w:val="22"/>
          <w:szCs w:val="22"/>
          <w:lang w:eastAsia="en-US"/>
        </w:rPr>
        <w:t>ssessments</w:t>
      </w:r>
      <w:r>
        <w:rPr>
          <w:rFonts w:ascii="Arial" w:hAnsi="Arial" w:cs="Arial"/>
          <w:sz w:val="22"/>
          <w:szCs w:val="22"/>
          <w:lang w:eastAsia="en-US"/>
        </w:rPr>
        <w:t xml:space="preserve"> (described below)</w:t>
      </w:r>
      <w:r w:rsidRPr="002544B3">
        <w:rPr>
          <w:rFonts w:ascii="Arial" w:hAnsi="Arial" w:cs="Arial"/>
          <w:sz w:val="22"/>
          <w:szCs w:val="22"/>
          <w:lang w:eastAsia="en-US"/>
        </w:rPr>
        <w:t>.</w:t>
      </w:r>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 xml:space="preserve">SWS assessments must be completed using Department </w:t>
      </w:r>
      <w:r>
        <w:rPr>
          <w:rFonts w:ascii="Arial" w:hAnsi="Arial" w:cs="Arial"/>
          <w:sz w:val="22"/>
          <w:szCs w:val="22"/>
          <w:lang w:eastAsia="en-US"/>
        </w:rPr>
        <w:t xml:space="preserve">of Employment </w:t>
      </w:r>
      <w:r w:rsidRPr="002544B3">
        <w:rPr>
          <w:rFonts w:ascii="Arial" w:hAnsi="Arial" w:cs="Arial"/>
          <w:sz w:val="22"/>
          <w:szCs w:val="22"/>
          <w:lang w:eastAsia="en-US"/>
        </w:rPr>
        <w:t>IT Systems.</w:t>
      </w:r>
    </w:p>
    <w:p w:rsidR="0035433D" w:rsidRPr="00403FD4" w:rsidRDefault="0035433D" w:rsidP="0035433D">
      <w:pPr>
        <w:spacing w:before="0" w:after="160" w:line="264" w:lineRule="auto"/>
        <w:rPr>
          <w:rFonts w:ascii="Arial" w:hAnsi="Arial" w:cs="Arial"/>
          <w:b/>
        </w:rPr>
      </w:pPr>
      <w:r w:rsidRPr="00403FD4">
        <w:rPr>
          <w:rFonts w:ascii="Arial" w:hAnsi="Arial" w:cs="Arial"/>
          <w:b/>
        </w:rPr>
        <w:t>SWS in supported employment</w:t>
      </w:r>
    </w:p>
    <w:p w:rsidR="0035433D" w:rsidRPr="002544B3" w:rsidRDefault="0035433D" w:rsidP="0035433D">
      <w:pPr>
        <w:spacing w:before="0" w:after="160" w:line="264" w:lineRule="auto"/>
        <w:rPr>
          <w:rFonts w:ascii="Arial" w:hAnsi="Arial" w:cs="Arial"/>
        </w:rPr>
      </w:pPr>
      <w:r w:rsidRPr="002544B3">
        <w:rPr>
          <w:rFonts w:ascii="Arial" w:hAnsi="Arial" w:cs="Arial"/>
        </w:rPr>
        <w:t xml:space="preserve">Currently SWS is used for </w:t>
      </w:r>
      <w:r>
        <w:rPr>
          <w:rFonts w:ascii="Arial" w:hAnsi="Arial" w:cs="Arial"/>
        </w:rPr>
        <w:t>O</w:t>
      </w:r>
      <w:r w:rsidRPr="002544B3">
        <w:rPr>
          <w:rFonts w:ascii="Arial" w:hAnsi="Arial" w:cs="Arial"/>
        </w:rPr>
        <w:t xml:space="preserve">pen </w:t>
      </w:r>
      <w:r>
        <w:rPr>
          <w:rFonts w:ascii="Arial" w:hAnsi="Arial" w:cs="Arial"/>
        </w:rPr>
        <w:t>E</w:t>
      </w:r>
      <w:r w:rsidRPr="002544B3">
        <w:rPr>
          <w:rFonts w:ascii="Arial" w:hAnsi="Arial" w:cs="Arial"/>
        </w:rPr>
        <w:t>mployment and the supported employment sector</w:t>
      </w:r>
      <w:r>
        <w:rPr>
          <w:rFonts w:ascii="Arial" w:hAnsi="Arial" w:cs="Arial"/>
        </w:rPr>
        <w:t xml:space="preserve"> (Australian Disability Enterprises)</w:t>
      </w:r>
      <w:r w:rsidRPr="002544B3">
        <w:rPr>
          <w:rFonts w:ascii="Arial" w:hAnsi="Arial" w:cs="Arial"/>
        </w:rPr>
        <w:t>. The Department is currently working with relevant stakeholders in the Fair Work Commission</w:t>
      </w:r>
      <w:r>
        <w:rPr>
          <w:rFonts w:ascii="Arial" w:hAnsi="Arial" w:cs="Arial"/>
        </w:rPr>
        <w:t xml:space="preserve"> (FWC)</w:t>
      </w:r>
      <w:r w:rsidRPr="002544B3">
        <w:rPr>
          <w:rFonts w:ascii="Arial" w:hAnsi="Arial" w:cs="Arial"/>
        </w:rPr>
        <w:t xml:space="preserve"> to develop a new wage assessment tool for use in supported employment, which may include modifications to SWS. </w:t>
      </w:r>
      <w:r>
        <w:rPr>
          <w:rFonts w:ascii="Arial" w:hAnsi="Arial" w:cs="Arial"/>
        </w:rPr>
        <w:t>T</w:t>
      </w:r>
      <w:r w:rsidRPr="002544B3">
        <w:rPr>
          <w:rFonts w:ascii="Arial" w:hAnsi="Arial" w:cs="Arial"/>
        </w:rPr>
        <w:t>he final details of these modifications are not available at the time of publishing of this document or the commencement of the DES NPA grant application process</w:t>
      </w:r>
      <w:r>
        <w:rPr>
          <w:rFonts w:ascii="Arial" w:hAnsi="Arial" w:cs="Arial"/>
        </w:rPr>
        <w:t xml:space="preserve">.  </w:t>
      </w:r>
      <w:r w:rsidRPr="002544B3">
        <w:rPr>
          <w:rFonts w:ascii="Arial" w:hAnsi="Arial" w:cs="Arial"/>
        </w:rPr>
        <w:t>At the time of drafting, the Department</w:t>
      </w:r>
      <w:r>
        <w:rPr>
          <w:rFonts w:ascii="Arial" w:hAnsi="Arial" w:cs="Arial"/>
        </w:rPr>
        <w:t xml:space="preserve"> of Social Services </w:t>
      </w:r>
      <w:r w:rsidRPr="002544B3">
        <w:rPr>
          <w:rFonts w:ascii="Arial" w:hAnsi="Arial" w:cs="Arial"/>
        </w:rPr>
        <w:t xml:space="preserve">is in the process of determining SWS assessment modifications for people with disability employed under the Supported Employment Services Award.  If these modifications are approved by the Fair Work Commission, these assessments will form part of the required SWS assessment services. </w:t>
      </w:r>
    </w:p>
    <w:p w:rsidR="0035433D" w:rsidRDefault="0035433D" w:rsidP="0035433D">
      <w:pPr>
        <w:pStyle w:val="BodyIndent0"/>
        <w:rPr>
          <w:rFonts w:ascii="Arial" w:hAnsi="Arial" w:cs="Arial"/>
          <w:sz w:val="22"/>
          <w:szCs w:val="22"/>
          <w:lang w:eastAsia="en-US"/>
        </w:rPr>
      </w:pPr>
      <w:r>
        <w:rPr>
          <w:rFonts w:ascii="Arial" w:hAnsi="Arial" w:cs="Arial"/>
          <w:sz w:val="22"/>
          <w:szCs w:val="22"/>
          <w:lang w:eastAsia="en-US"/>
        </w:rPr>
        <w:t>A</w:t>
      </w:r>
      <w:r w:rsidRPr="002544B3">
        <w:rPr>
          <w:rFonts w:ascii="Arial" w:hAnsi="Arial" w:cs="Arial"/>
          <w:sz w:val="22"/>
          <w:szCs w:val="22"/>
          <w:lang w:eastAsia="en-US"/>
        </w:rPr>
        <w:t xml:space="preserve">pplicants should </w:t>
      </w:r>
      <w:r>
        <w:rPr>
          <w:rFonts w:ascii="Arial" w:hAnsi="Arial" w:cs="Arial"/>
          <w:sz w:val="22"/>
          <w:szCs w:val="22"/>
          <w:lang w:eastAsia="en-US"/>
        </w:rPr>
        <w:t>note</w:t>
      </w:r>
      <w:r w:rsidRPr="002544B3">
        <w:rPr>
          <w:rFonts w:ascii="Arial" w:hAnsi="Arial" w:cs="Arial"/>
          <w:sz w:val="22"/>
          <w:szCs w:val="22"/>
          <w:lang w:eastAsia="en-US"/>
        </w:rPr>
        <w:t xml:space="preserve"> that </w:t>
      </w:r>
      <w:r>
        <w:rPr>
          <w:rFonts w:ascii="Arial" w:hAnsi="Arial" w:cs="Arial"/>
          <w:sz w:val="22"/>
          <w:szCs w:val="22"/>
          <w:lang w:eastAsia="en-US"/>
        </w:rPr>
        <w:t>any changes to the</w:t>
      </w:r>
      <w:r w:rsidRPr="002544B3">
        <w:rPr>
          <w:rFonts w:ascii="Arial" w:hAnsi="Arial" w:cs="Arial"/>
          <w:sz w:val="22"/>
          <w:szCs w:val="22"/>
          <w:lang w:eastAsia="en-US"/>
        </w:rPr>
        <w:t xml:space="preserve"> SWS as advised by the Fair Work Commission and the Department</w:t>
      </w:r>
      <w:r>
        <w:rPr>
          <w:rFonts w:ascii="Arial" w:hAnsi="Arial" w:cs="Arial"/>
          <w:sz w:val="22"/>
          <w:szCs w:val="22"/>
          <w:lang w:eastAsia="en-US"/>
        </w:rPr>
        <w:t xml:space="preserve"> of Social Services will be reflected as variations to the Grant Agreement and NPA Providers must comply with such SWS changes</w:t>
      </w:r>
      <w:r w:rsidRPr="002544B3">
        <w:rPr>
          <w:rFonts w:ascii="Arial" w:hAnsi="Arial" w:cs="Arial"/>
          <w:sz w:val="22"/>
          <w:szCs w:val="22"/>
          <w:lang w:eastAsia="en-US"/>
        </w:rPr>
        <w:t>.</w:t>
      </w:r>
    </w:p>
    <w:p w:rsidR="0035433D" w:rsidRPr="008C589E" w:rsidRDefault="0035433D" w:rsidP="0061776B">
      <w:pPr>
        <w:pStyle w:val="Heading3Numbered"/>
      </w:pPr>
      <w:bookmarkStart w:id="48" w:name="_Toc492882541"/>
      <w:r w:rsidRPr="00FE267E">
        <w:lastRenderedPageBreak/>
        <w:t>Ongoing</w:t>
      </w:r>
      <w:r w:rsidRPr="008C589E">
        <w:t xml:space="preserve"> Support Assessments</w:t>
      </w:r>
      <w:bookmarkEnd w:id="48"/>
      <w:r w:rsidRPr="008C589E">
        <w:t xml:space="preserve"> </w:t>
      </w:r>
    </w:p>
    <w:p w:rsidR="0035433D" w:rsidRPr="002544B3" w:rsidRDefault="00EF5737" w:rsidP="0035433D">
      <w:pPr>
        <w:pStyle w:val="BodyIndent0"/>
        <w:rPr>
          <w:rFonts w:ascii="Arial" w:hAnsi="Arial" w:cs="Arial"/>
          <w:sz w:val="22"/>
          <w:szCs w:val="22"/>
          <w:lang w:eastAsia="en-US"/>
        </w:rPr>
      </w:pPr>
      <w:r>
        <w:rPr>
          <w:rFonts w:ascii="Arial" w:hAnsi="Arial" w:cs="Arial"/>
          <w:sz w:val="22"/>
          <w:szCs w:val="22"/>
          <w:lang w:eastAsia="en-US"/>
        </w:rPr>
        <w:t xml:space="preserve">Ongoing Support assistance is available to DES Participants who have achieved 25 weeks of employment, are currently employed, and require the ongoing services of a DES provider to retain and/or maintain their employment. </w:t>
      </w:r>
      <w:r w:rsidR="0035433D">
        <w:rPr>
          <w:rFonts w:ascii="Arial" w:hAnsi="Arial" w:cs="Arial"/>
          <w:sz w:val="22"/>
          <w:szCs w:val="22"/>
          <w:lang w:eastAsia="en-US"/>
        </w:rPr>
        <w:t>Ongoing Support Assessments (</w:t>
      </w:r>
      <w:r w:rsidR="0035433D" w:rsidRPr="002544B3">
        <w:rPr>
          <w:rFonts w:ascii="Arial" w:hAnsi="Arial" w:cs="Arial"/>
          <w:sz w:val="22"/>
          <w:szCs w:val="22"/>
          <w:lang w:eastAsia="en-US"/>
        </w:rPr>
        <w:t>OSA</w:t>
      </w:r>
      <w:r w:rsidR="0035433D">
        <w:rPr>
          <w:rFonts w:ascii="Arial" w:hAnsi="Arial" w:cs="Arial"/>
          <w:sz w:val="22"/>
          <w:szCs w:val="22"/>
          <w:lang w:eastAsia="en-US"/>
        </w:rPr>
        <w:t>s)</w:t>
      </w:r>
      <w:r w:rsidR="0035433D" w:rsidRPr="002544B3">
        <w:rPr>
          <w:rFonts w:ascii="Arial" w:hAnsi="Arial" w:cs="Arial"/>
          <w:sz w:val="22"/>
          <w:szCs w:val="22"/>
          <w:lang w:eastAsia="en-US"/>
        </w:rPr>
        <w:t xml:space="preserve"> assessors</w:t>
      </w:r>
      <w:r w:rsidR="00547CDE">
        <w:rPr>
          <w:rFonts w:ascii="Arial" w:hAnsi="Arial" w:cs="Arial"/>
          <w:sz w:val="22"/>
          <w:szCs w:val="22"/>
          <w:lang w:eastAsia="en-US"/>
        </w:rPr>
        <w:t xml:space="preserve"> will independently assess the </w:t>
      </w:r>
      <w:r w:rsidR="00B4000E">
        <w:rPr>
          <w:rFonts w:ascii="Arial" w:hAnsi="Arial" w:cs="Arial"/>
          <w:sz w:val="22"/>
          <w:szCs w:val="22"/>
          <w:lang w:eastAsia="en-US"/>
        </w:rPr>
        <w:t>O</w:t>
      </w:r>
      <w:r w:rsidR="0035433D" w:rsidRPr="002544B3">
        <w:rPr>
          <w:rFonts w:ascii="Arial" w:hAnsi="Arial" w:cs="Arial"/>
          <w:sz w:val="22"/>
          <w:szCs w:val="22"/>
          <w:lang w:eastAsia="en-US"/>
        </w:rPr>
        <w:t xml:space="preserve">ngoing </w:t>
      </w:r>
      <w:r w:rsidR="00B4000E">
        <w:rPr>
          <w:rFonts w:ascii="Arial" w:hAnsi="Arial" w:cs="Arial"/>
          <w:sz w:val="22"/>
          <w:szCs w:val="22"/>
          <w:lang w:eastAsia="en-US"/>
        </w:rPr>
        <w:t>S</w:t>
      </w:r>
      <w:r w:rsidR="0035433D" w:rsidRPr="002544B3">
        <w:rPr>
          <w:rFonts w:ascii="Arial" w:hAnsi="Arial" w:cs="Arial"/>
          <w:sz w:val="22"/>
          <w:szCs w:val="22"/>
          <w:lang w:eastAsia="en-US"/>
        </w:rPr>
        <w:t xml:space="preserve">upport needs of </w:t>
      </w:r>
      <w:r w:rsidR="0035433D">
        <w:rPr>
          <w:rFonts w:ascii="Arial" w:hAnsi="Arial" w:cs="Arial"/>
          <w:sz w:val="22"/>
          <w:szCs w:val="22"/>
          <w:lang w:eastAsia="en-US"/>
        </w:rPr>
        <w:t>DES P</w:t>
      </w:r>
      <w:r w:rsidR="0035433D" w:rsidRPr="002544B3">
        <w:rPr>
          <w:rFonts w:ascii="Arial" w:hAnsi="Arial" w:cs="Arial"/>
          <w:sz w:val="22"/>
          <w:szCs w:val="22"/>
          <w:lang w:eastAsia="en-US"/>
        </w:rPr>
        <w:t>articipants</w:t>
      </w:r>
      <w:r w:rsidR="00547CDE">
        <w:rPr>
          <w:rFonts w:ascii="Arial" w:hAnsi="Arial" w:cs="Arial"/>
          <w:sz w:val="22"/>
          <w:szCs w:val="22"/>
          <w:lang w:eastAsia="en-US"/>
        </w:rPr>
        <w:t xml:space="preserve"> in employment</w:t>
      </w:r>
      <w:r w:rsidR="0035433D" w:rsidRPr="002544B3">
        <w:rPr>
          <w:rFonts w:ascii="Arial" w:hAnsi="Arial" w:cs="Arial"/>
          <w:sz w:val="22"/>
          <w:szCs w:val="22"/>
          <w:lang w:eastAsia="en-US"/>
        </w:rPr>
        <w:t xml:space="preserve">. An OSA will be completed where a DES Provider determines that a </w:t>
      </w:r>
      <w:r w:rsidR="0035433D">
        <w:rPr>
          <w:rFonts w:ascii="Arial" w:hAnsi="Arial" w:cs="Arial"/>
          <w:sz w:val="22"/>
          <w:szCs w:val="22"/>
          <w:lang w:eastAsia="en-US"/>
        </w:rPr>
        <w:t>DES P</w:t>
      </w:r>
      <w:r w:rsidR="00547CDE">
        <w:rPr>
          <w:rFonts w:ascii="Arial" w:hAnsi="Arial" w:cs="Arial"/>
          <w:sz w:val="22"/>
          <w:szCs w:val="22"/>
          <w:lang w:eastAsia="en-US"/>
        </w:rPr>
        <w:t>articipant is likely to need ongoing s</w:t>
      </w:r>
      <w:r w:rsidR="0035433D" w:rsidRPr="002544B3">
        <w:rPr>
          <w:rFonts w:ascii="Arial" w:hAnsi="Arial" w:cs="Arial"/>
          <w:sz w:val="22"/>
          <w:szCs w:val="22"/>
          <w:lang w:eastAsia="en-US"/>
        </w:rPr>
        <w:t>upport in the workplace to retain their job and where:</w:t>
      </w:r>
    </w:p>
    <w:p w:rsidR="0035433D" w:rsidRPr="002544B3" w:rsidRDefault="0035433D" w:rsidP="0035433D">
      <w:pPr>
        <w:pStyle w:val="Bulletslast1stindent"/>
        <w:numPr>
          <w:ilvl w:val="2"/>
          <w:numId w:val="25"/>
        </w:numPr>
        <w:rPr>
          <w:rFonts w:ascii="Arial" w:hAnsi="Arial" w:cs="Arial"/>
        </w:rPr>
      </w:pPr>
      <w:r>
        <w:rPr>
          <w:rFonts w:ascii="Arial" w:hAnsi="Arial" w:cs="Arial"/>
        </w:rPr>
        <w:t>the</w:t>
      </w:r>
      <w:r w:rsidRPr="002544B3">
        <w:rPr>
          <w:rFonts w:ascii="Arial" w:hAnsi="Arial" w:cs="Arial"/>
        </w:rPr>
        <w:t xml:space="preserve"> </w:t>
      </w:r>
      <w:r>
        <w:rPr>
          <w:rFonts w:ascii="Arial" w:hAnsi="Arial" w:cs="Arial"/>
        </w:rPr>
        <w:t>DES P</w:t>
      </w:r>
      <w:r w:rsidRPr="002544B3">
        <w:rPr>
          <w:rFonts w:ascii="Arial" w:hAnsi="Arial" w:cs="Arial"/>
        </w:rPr>
        <w:t xml:space="preserve">articipant has </w:t>
      </w:r>
      <w:r>
        <w:rPr>
          <w:rFonts w:ascii="Arial" w:hAnsi="Arial" w:cs="Arial"/>
        </w:rPr>
        <w:t>achieved</w:t>
      </w:r>
      <w:r w:rsidRPr="002544B3">
        <w:rPr>
          <w:rFonts w:ascii="Arial" w:hAnsi="Arial" w:cs="Arial"/>
        </w:rPr>
        <w:t xml:space="preserve"> </w:t>
      </w:r>
      <w:r>
        <w:rPr>
          <w:rFonts w:ascii="Arial" w:hAnsi="Arial" w:cs="Arial"/>
        </w:rPr>
        <w:t>26-</w:t>
      </w:r>
      <w:r w:rsidRPr="002544B3">
        <w:rPr>
          <w:rFonts w:ascii="Arial" w:hAnsi="Arial" w:cs="Arial"/>
        </w:rPr>
        <w:t>week</w:t>
      </w:r>
      <w:r w:rsidR="00B4000E">
        <w:rPr>
          <w:rFonts w:ascii="Arial" w:hAnsi="Arial" w:cs="Arial"/>
        </w:rPr>
        <w:t>s</w:t>
      </w:r>
      <w:r>
        <w:rPr>
          <w:rFonts w:ascii="Arial" w:hAnsi="Arial" w:cs="Arial"/>
        </w:rPr>
        <w:t xml:space="preserve"> </w:t>
      </w:r>
      <w:r w:rsidR="00547CDE">
        <w:rPr>
          <w:rFonts w:ascii="Arial" w:hAnsi="Arial" w:cs="Arial"/>
        </w:rPr>
        <w:t>of employment</w:t>
      </w:r>
      <w:r>
        <w:rPr>
          <w:rFonts w:ascii="Arial" w:hAnsi="Arial" w:cs="Arial"/>
        </w:rPr>
        <w:t xml:space="preserve"> and requires </w:t>
      </w:r>
      <w:r w:rsidR="00B4000E">
        <w:rPr>
          <w:rFonts w:ascii="Arial" w:hAnsi="Arial" w:cs="Arial"/>
        </w:rPr>
        <w:t>O</w:t>
      </w:r>
      <w:r>
        <w:rPr>
          <w:rFonts w:ascii="Arial" w:hAnsi="Arial" w:cs="Arial"/>
        </w:rPr>
        <w:t xml:space="preserve">ngoing </w:t>
      </w:r>
      <w:r w:rsidR="00B4000E">
        <w:rPr>
          <w:rFonts w:ascii="Arial" w:hAnsi="Arial" w:cs="Arial"/>
        </w:rPr>
        <w:t>S</w:t>
      </w:r>
      <w:r>
        <w:rPr>
          <w:rFonts w:ascii="Arial" w:hAnsi="Arial" w:cs="Arial"/>
        </w:rPr>
        <w:t>upport</w:t>
      </w:r>
    </w:p>
    <w:p w:rsidR="0035433D" w:rsidRPr="002544B3" w:rsidRDefault="0035433D" w:rsidP="0035433D">
      <w:pPr>
        <w:pStyle w:val="Bulletslast1stindent"/>
        <w:numPr>
          <w:ilvl w:val="2"/>
          <w:numId w:val="25"/>
        </w:numPr>
        <w:rPr>
          <w:rFonts w:ascii="Arial" w:hAnsi="Arial" w:cs="Arial"/>
        </w:rPr>
      </w:pPr>
      <w:r w:rsidRPr="002544B3">
        <w:rPr>
          <w:rFonts w:ascii="Arial" w:hAnsi="Arial" w:cs="Arial"/>
        </w:rPr>
        <w:t xml:space="preserve">the </w:t>
      </w:r>
      <w:r>
        <w:rPr>
          <w:rFonts w:ascii="Arial" w:hAnsi="Arial" w:cs="Arial"/>
        </w:rPr>
        <w:t xml:space="preserve">DES Participant has reached the </w:t>
      </w:r>
      <w:r w:rsidRPr="002544B3">
        <w:rPr>
          <w:rFonts w:ascii="Arial" w:hAnsi="Arial" w:cs="Arial"/>
        </w:rPr>
        <w:t xml:space="preserve">maximum number of instances </w:t>
      </w:r>
      <w:r>
        <w:rPr>
          <w:rFonts w:ascii="Arial" w:hAnsi="Arial" w:cs="Arial"/>
        </w:rPr>
        <w:t xml:space="preserve">in Flexible Ongoing Support </w:t>
      </w:r>
      <w:r w:rsidRPr="002544B3">
        <w:rPr>
          <w:rFonts w:ascii="Arial" w:hAnsi="Arial" w:cs="Arial"/>
        </w:rPr>
        <w:t>over a six-month period</w:t>
      </w:r>
    </w:p>
    <w:p w:rsidR="0035433D" w:rsidRPr="002544B3" w:rsidRDefault="0035433D" w:rsidP="0035433D">
      <w:pPr>
        <w:pStyle w:val="Bulletslast1stindent"/>
        <w:numPr>
          <w:ilvl w:val="2"/>
          <w:numId w:val="25"/>
        </w:numPr>
        <w:rPr>
          <w:rFonts w:ascii="Arial" w:hAnsi="Arial" w:cs="Arial"/>
        </w:rPr>
      </w:pPr>
      <w:r>
        <w:rPr>
          <w:rFonts w:ascii="Arial" w:hAnsi="Arial" w:cs="Arial"/>
        </w:rPr>
        <w:t>the DES P</w:t>
      </w:r>
      <w:r w:rsidRPr="002544B3">
        <w:rPr>
          <w:rFonts w:ascii="Arial" w:hAnsi="Arial" w:cs="Arial"/>
        </w:rPr>
        <w:t xml:space="preserve">articipant </w:t>
      </w:r>
      <w:r>
        <w:rPr>
          <w:rFonts w:ascii="Arial" w:hAnsi="Arial" w:cs="Arial"/>
        </w:rPr>
        <w:t xml:space="preserve">receives Work Assist and </w:t>
      </w:r>
      <w:r w:rsidRPr="002544B3">
        <w:rPr>
          <w:rFonts w:ascii="Arial" w:hAnsi="Arial" w:cs="Arial"/>
        </w:rPr>
        <w:t>has achieved 26</w:t>
      </w:r>
      <w:r w:rsidRPr="002544B3">
        <w:rPr>
          <w:rFonts w:ascii="Arial" w:hAnsi="Arial" w:cs="Arial"/>
        </w:rPr>
        <w:noBreakHyphen/>
        <w:t>week</w:t>
      </w:r>
      <w:r w:rsidR="00B4000E">
        <w:rPr>
          <w:rFonts w:ascii="Arial" w:hAnsi="Arial" w:cs="Arial"/>
        </w:rPr>
        <w:t>s of employment and</w:t>
      </w:r>
      <w:r w:rsidRPr="002544B3">
        <w:rPr>
          <w:rFonts w:ascii="Arial" w:hAnsi="Arial" w:cs="Arial"/>
        </w:rPr>
        <w:t xml:space="preserve"> requires </w:t>
      </w:r>
      <w:r>
        <w:rPr>
          <w:rFonts w:ascii="Arial" w:hAnsi="Arial" w:cs="Arial"/>
        </w:rPr>
        <w:t>O</w:t>
      </w:r>
      <w:r w:rsidRPr="002544B3">
        <w:rPr>
          <w:rFonts w:ascii="Arial" w:hAnsi="Arial" w:cs="Arial"/>
        </w:rPr>
        <w:t xml:space="preserve">ngoing </w:t>
      </w:r>
      <w:r>
        <w:rPr>
          <w:rFonts w:ascii="Arial" w:hAnsi="Arial" w:cs="Arial"/>
        </w:rPr>
        <w:t>S</w:t>
      </w:r>
      <w:r w:rsidRPr="002544B3">
        <w:rPr>
          <w:rFonts w:ascii="Arial" w:hAnsi="Arial" w:cs="Arial"/>
        </w:rPr>
        <w:t>upport</w:t>
      </w:r>
    </w:p>
    <w:p w:rsidR="0035433D" w:rsidRPr="002544B3" w:rsidRDefault="0035433D" w:rsidP="0035433D">
      <w:pPr>
        <w:pStyle w:val="Bulletslast1stindent"/>
        <w:numPr>
          <w:ilvl w:val="2"/>
          <w:numId w:val="25"/>
        </w:numPr>
        <w:rPr>
          <w:rFonts w:ascii="Arial" w:hAnsi="Arial" w:cs="Arial"/>
        </w:rPr>
      </w:pPr>
      <w:r w:rsidRPr="002544B3">
        <w:rPr>
          <w:rFonts w:ascii="Arial" w:hAnsi="Arial" w:cs="Arial"/>
        </w:rPr>
        <w:t xml:space="preserve">it has been 52 weeks since the </w:t>
      </w:r>
      <w:r>
        <w:rPr>
          <w:rFonts w:ascii="Arial" w:hAnsi="Arial" w:cs="Arial"/>
        </w:rPr>
        <w:t>DES P</w:t>
      </w:r>
      <w:r w:rsidRPr="002544B3">
        <w:rPr>
          <w:rFonts w:ascii="Arial" w:hAnsi="Arial" w:cs="Arial"/>
        </w:rPr>
        <w:t>articipant's last OSA</w:t>
      </w:r>
    </w:p>
    <w:p w:rsidR="0035433D" w:rsidRDefault="0035433D" w:rsidP="0035433D">
      <w:pPr>
        <w:pStyle w:val="Bulletslast1stindent"/>
        <w:numPr>
          <w:ilvl w:val="2"/>
          <w:numId w:val="25"/>
        </w:numPr>
        <w:rPr>
          <w:rFonts w:ascii="Arial" w:hAnsi="Arial" w:cs="Arial"/>
        </w:rPr>
      </w:pPr>
      <w:r w:rsidRPr="002544B3">
        <w:rPr>
          <w:rFonts w:ascii="Arial" w:hAnsi="Arial" w:cs="Arial"/>
        </w:rPr>
        <w:t xml:space="preserve">a change in circumstances means that </w:t>
      </w:r>
      <w:r>
        <w:rPr>
          <w:rFonts w:ascii="Arial" w:hAnsi="Arial" w:cs="Arial"/>
        </w:rPr>
        <w:t>the</w:t>
      </w:r>
      <w:r w:rsidRPr="002544B3">
        <w:rPr>
          <w:rFonts w:ascii="Arial" w:hAnsi="Arial" w:cs="Arial"/>
        </w:rPr>
        <w:t xml:space="preserve"> </w:t>
      </w:r>
      <w:r>
        <w:rPr>
          <w:rFonts w:ascii="Arial" w:hAnsi="Arial" w:cs="Arial"/>
        </w:rPr>
        <w:t>DES P</w:t>
      </w:r>
      <w:r w:rsidRPr="002544B3">
        <w:rPr>
          <w:rFonts w:ascii="Arial" w:hAnsi="Arial" w:cs="Arial"/>
        </w:rPr>
        <w:t xml:space="preserve">articipant may need a higher level of Ongoing Support than identified in the </w:t>
      </w:r>
      <w:r>
        <w:rPr>
          <w:rFonts w:ascii="Arial" w:hAnsi="Arial" w:cs="Arial"/>
        </w:rPr>
        <w:t>DES P</w:t>
      </w:r>
      <w:r w:rsidRPr="002544B3">
        <w:rPr>
          <w:rFonts w:ascii="Arial" w:hAnsi="Arial" w:cs="Arial"/>
        </w:rPr>
        <w:t>articipant's last OSA</w:t>
      </w:r>
      <w:r>
        <w:rPr>
          <w:rFonts w:ascii="Arial" w:hAnsi="Arial" w:cs="Arial"/>
        </w:rPr>
        <w:t>, or</w:t>
      </w:r>
    </w:p>
    <w:p w:rsidR="0035433D" w:rsidRDefault="0035433D" w:rsidP="0035433D">
      <w:pPr>
        <w:pStyle w:val="Bulletslast1stindent"/>
        <w:numPr>
          <w:ilvl w:val="2"/>
          <w:numId w:val="25"/>
        </w:numPr>
        <w:rPr>
          <w:rFonts w:ascii="Arial" w:hAnsi="Arial" w:cs="Arial"/>
        </w:rPr>
      </w:pPr>
      <w:r>
        <w:rPr>
          <w:rFonts w:ascii="Arial" w:hAnsi="Arial" w:cs="Arial"/>
        </w:rPr>
        <w:t>the DES Participant has received:</w:t>
      </w:r>
    </w:p>
    <w:p w:rsidR="0035433D" w:rsidRDefault="0035433D" w:rsidP="0035433D">
      <w:pPr>
        <w:pStyle w:val="NumberedList3"/>
        <w:numPr>
          <w:ilvl w:val="2"/>
          <w:numId w:val="58"/>
        </w:numPr>
        <w:ind w:left="567" w:hanging="283"/>
      </w:pPr>
      <w:r>
        <w:t>two or more consecutive OSAs, or</w:t>
      </w:r>
    </w:p>
    <w:p w:rsidR="0035433D" w:rsidRDefault="00B4000E" w:rsidP="0035433D">
      <w:pPr>
        <w:pStyle w:val="NumberedList3"/>
        <w:numPr>
          <w:ilvl w:val="2"/>
          <w:numId w:val="58"/>
        </w:numPr>
        <w:ind w:left="567" w:hanging="283"/>
      </w:pPr>
      <w:r>
        <w:t>a change of circumstances r</w:t>
      </w:r>
      <w:r w:rsidR="0035433D">
        <w:t>eassessment and then one or more consecutive OSAs, and</w:t>
      </w:r>
    </w:p>
    <w:p w:rsidR="0035433D" w:rsidRPr="002544B3" w:rsidRDefault="0035433D" w:rsidP="0035433D">
      <w:pPr>
        <w:pStyle w:val="NumberedList3"/>
        <w:numPr>
          <w:ilvl w:val="2"/>
          <w:numId w:val="58"/>
        </w:numPr>
        <w:spacing w:before="0" w:after="160" w:line="264" w:lineRule="auto"/>
        <w:ind w:left="567" w:hanging="283"/>
      </w:pPr>
      <w:proofErr w:type="gramStart"/>
      <w:r>
        <w:t>each</w:t>
      </w:r>
      <w:proofErr w:type="gramEnd"/>
      <w:r>
        <w:t xml:space="preserve"> of those assessments has recommended that the DES Participant continue to receive the same level of Ongoing Support, and it has been 78 weeks since their most recent OSA.</w:t>
      </w:r>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 xml:space="preserve">The </w:t>
      </w:r>
      <w:r>
        <w:rPr>
          <w:rFonts w:ascii="Arial" w:hAnsi="Arial" w:cs="Arial"/>
          <w:sz w:val="22"/>
          <w:szCs w:val="22"/>
          <w:lang w:eastAsia="en-US"/>
        </w:rPr>
        <w:t xml:space="preserve">OSA </w:t>
      </w:r>
      <w:r w:rsidRPr="002544B3">
        <w:rPr>
          <w:rFonts w:ascii="Arial" w:hAnsi="Arial" w:cs="Arial"/>
          <w:sz w:val="22"/>
          <w:szCs w:val="22"/>
          <w:lang w:eastAsia="en-US"/>
        </w:rPr>
        <w:t>assessment will determine the</w:t>
      </w:r>
      <w:r>
        <w:rPr>
          <w:rFonts w:ascii="Arial" w:hAnsi="Arial" w:cs="Arial"/>
          <w:sz w:val="22"/>
          <w:szCs w:val="22"/>
          <w:lang w:eastAsia="en-US"/>
        </w:rPr>
        <w:t xml:space="preserve"> level of support appropriate for a DES</w:t>
      </w:r>
      <w:r w:rsidRPr="002544B3">
        <w:rPr>
          <w:rFonts w:ascii="Arial" w:hAnsi="Arial" w:cs="Arial"/>
          <w:sz w:val="22"/>
          <w:szCs w:val="22"/>
          <w:lang w:eastAsia="en-US"/>
        </w:rPr>
        <w:t xml:space="preserve"> </w:t>
      </w:r>
      <w:r>
        <w:rPr>
          <w:rFonts w:ascii="Arial" w:hAnsi="Arial" w:cs="Arial"/>
          <w:sz w:val="22"/>
          <w:szCs w:val="22"/>
          <w:lang w:eastAsia="en-US"/>
        </w:rPr>
        <w:t>P</w:t>
      </w:r>
      <w:r w:rsidRPr="002544B3">
        <w:rPr>
          <w:rFonts w:ascii="Arial" w:hAnsi="Arial" w:cs="Arial"/>
          <w:sz w:val="22"/>
          <w:szCs w:val="22"/>
          <w:lang w:eastAsia="en-US"/>
        </w:rPr>
        <w:t>articipant</w:t>
      </w:r>
      <w:r>
        <w:rPr>
          <w:rFonts w:ascii="Arial" w:hAnsi="Arial" w:cs="Arial"/>
          <w:sz w:val="22"/>
          <w:szCs w:val="22"/>
          <w:lang w:eastAsia="en-US"/>
        </w:rPr>
        <w:t xml:space="preserve">. The levels of support are: none – where the Participant will </w:t>
      </w:r>
      <w:r w:rsidRPr="002544B3">
        <w:rPr>
          <w:rFonts w:ascii="Arial" w:hAnsi="Arial" w:cs="Arial"/>
          <w:sz w:val="22"/>
          <w:szCs w:val="22"/>
          <w:lang w:eastAsia="en-US"/>
        </w:rPr>
        <w:t>be exited</w:t>
      </w:r>
      <w:r>
        <w:rPr>
          <w:rFonts w:ascii="Arial" w:hAnsi="Arial" w:cs="Arial"/>
          <w:sz w:val="22"/>
          <w:szCs w:val="22"/>
          <w:lang w:eastAsia="en-US"/>
        </w:rPr>
        <w:t xml:space="preserve"> from Ongoing Support</w:t>
      </w:r>
      <w:r w:rsidRPr="002544B3">
        <w:rPr>
          <w:rFonts w:ascii="Arial" w:hAnsi="Arial" w:cs="Arial"/>
          <w:sz w:val="22"/>
          <w:szCs w:val="22"/>
          <w:lang w:eastAsia="en-US"/>
        </w:rPr>
        <w:t>, or Flexible, Moderate, or High Ongoing Suppor</w:t>
      </w:r>
      <w:r>
        <w:rPr>
          <w:rFonts w:ascii="Arial" w:hAnsi="Arial" w:cs="Arial"/>
          <w:sz w:val="22"/>
          <w:szCs w:val="22"/>
          <w:lang w:eastAsia="en-US"/>
        </w:rPr>
        <w:t>t Levels.</w:t>
      </w:r>
    </w:p>
    <w:p w:rsidR="0035433D" w:rsidRPr="002544B3" w:rsidRDefault="0035433D" w:rsidP="0035433D">
      <w:pPr>
        <w:suppressAutoHyphens w:val="0"/>
        <w:spacing w:before="0" w:after="160" w:line="264" w:lineRule="auto"/>
        <w:rPr>
          <w:rFonts w:ascii="Arial" w:hAnsi="Arial" w:cs="Arial"/>
        </w:rPr>
      </w:pPr>
      <w:r w:rsidRPr="002544B3">
        <w:rPr>
          <w:rFonts w:ascii="Arial" w:hAnsi="Arial" w:cs="Arial"/>
        </w:rPr>
        <w:t xml:space="preserve">The </w:t>
      </w:r>
      <w:r>
        <w:rPr>
          <w:rFonts w:ascii="Arial" w:hAnsi="Arial" w:cs="Arial"/>
        </w:rPr>
        <w:t>OSA</w:t>
      </w:r>
      <w:r w:rsidRPr="002544B3">
        <w:rPr>
          <w:rFonts w:ascii="Arial" w:hAnsi="Arial" w:cs="Arial"/>
        </w:rPr>
        <w:t xml:space="preserve"> will normally consist of:</w:t>
      </w:r>
    </w:p>
    <w:p w:rsidR="0035433D" w:rsidRDefault="0035433D" w:rsidP="0035433D">
      <w:pPr>
        <w:pStyle w:val="Bulletslast1stindent"/>
        <w:numPr>
          <w:ilvl w:val="2"/>
          <w:numId w:val="25"/>
        </w:numPr>
        <w:rPr>
          <w:rFonts w:ascii="Arial" w:hAnsi="Arial" w:cs="Arial"/>
        </w:rPr>
      </w:pPr>
      <w:r w:rsidRPr="00CA3826">
        <w:rPr>
          <w:rFonts w:ascii="Arial" w:hAnsi="Arial" w:cs="Arial"/>
        </w:rPr>
        <w:t>an interview with the DES Participant's DES Provider</w:t>
      </w:r>
    </w:p>
    <w:p w:rsidR="0035433D" w:rsidRPr="00CA3826" w:rsidRDefault="0035433D" w:rsidP="0035433D">
      <w:pPr>
        <w:pStyle w:val="Bulletslast1stindent"/>
        <w:numPr>
          <w:ilvl w:val="2"/>
          <w:numId w:val="25"/>
        </w:numPr>
        <w:rPr>
          <w:rFonts w:ascii="Arial" w:hAnsi="Arial" w:cs="Arial"/>
        </w:rPr>
      </w:pPr>
      <w:r w:rsidRPr="00CA3826">
        <w:rPr>
          <w:rFonts w:ascii="Arial" w:hAnsi="Arial" w:cs="Arial"/>
        </w:rPr>
        <w:t>a file assessment of support provided in the period since Job Placement or since the last OSA</w:t>
      </w:r>
    </w:p>
    <w:p w:rsidR="0035433D" w:rsidRPr="002544B3" w:rsidRDefault="0035433D" w:rsidP="0035433D">
      <w:pPr>
        <w:pStyle w:val="Bulletslast1stindent"/>
        <w:numPr>
          <w:ilvl w:val="2"/>
          <w:numId w:val="25"/>
        </w:numPr>
        <w:rPr>
          <w:rFonts w:ascii="Arial" w:hAnsi="Arial" w:cs="Arial"/>
        </w:rPr>
      </w:pPr>
      <w:r w:rsidRPr="002544B3">
        <w:rPr>
          <w:rFonts w:ascii="Arial" w:hAnsi="Arial" w:cs="Arial"/>
        </w:rPr>
        <w:t>a</w:t>
      </w:r>
      <w:r>
        <w:rPr>
          <w:rFonts w:ascii="Arial" w:hAnsi="Arial" w:cs="Arial"/>
        </w:rPr>
        <w:t xml:space="preserve"> DES</w:t>
      </w:r>
      <w:r w:rsidRPr="002544B3">
        <w:rPr>
          <w:rFonts w:ascii="Arial" w:hAnsi="Arial" w:cs="Arial"/>
        </w:rPr>
        <w:t xml:space="preserve"> </w:t>
      </w:r>
      <w:r>
        <w:rPr>
          <w:rFonts w:ascii="Arial" w:hAnsi="Arial" w:cs="Arial"/>
        </w:rPr>
        <w:t>P</w:t>
      </w:r>
      <w:r w:rsidRPr="002544B3">
        <w:rPr>
          <w:rFonts w:ascii="Arial" w:hAnsi="Arial" w:cs="Arial"/>
        </w:rPr>
        <w:t>articipant interview</w:t>
      </w:r>
      <w:r>
        <w:rPr>
          <w:rFonts w:ascii="Arial" w:hAnsi="Arial" w:cs="Arial"/>
        </w:rPr>
        <w:t>,</w:t>
      </w:r>
      <w:r w:rsidRPr="002544B3">
        <w:rPr>
          <w:rFonts w:ascii="Arial" w:hAnsi="Arial" w:cs="Arial"/>
        </w:rPr>
        <w:t xml:space="preserve"> and</w:t>
      </w:r>
    </w:p>
    <w:p w:rsidR="0035433D" w:rsidRPr="002544B3" w:rsidRDefault="0035433D" w:rsidP="0035433D">
      <w:pPr>
        <w:pStyle w:val="Bulletslast1stindent"/>
        <w:numPr>
          <w:ilvl w:val="2"/>
          <w:numId w:val="25"/>
        </w:numPr>
        <w:spacing w:after="160" w:line="264" w:lineRule="auto"/>
        <w:rPr>
          <w:rFonts w:ascii="Arial" w:hAnsi="Arial" w:cs="Arial"/>
        </w:rPr>
      </w:pPr>
      <w:proofErr w:type="gramStart"/>
      <w:r w:rsidRPr="002544B3">
        <w:rPr>
          <w:rFonts w:ascii="Arial" w:hAnsi="Arial" w:cs="Arial"/>
        </w:rPr>
        <w:t>a</w:t>
      </w:r>
      <w:proofErr w:type="gramEnd"/>
      <w:r w:rsidRPr="002544B3">
        <w:rPr>
          <w:rFonts w:ascii="Arial" w:hAnsi="Arial" w:cs="Arial"/>
        </w:rPr>
        <w:t xml:space="preserve"> workplace assessment which should include an interview with the </w:t>
      </w:r>
      <w:r>
        <w:rPr>
          <w:rFonts w:ascii="Arial" w:hAnsi="Arial" w:cs="Arial"/>
        </w:rPr>
        <w:t>DES P</w:t>
      </w:r>
      <w:r w:rsidRPr="002544B3">
        <w:rPr>
          <w:rFonts w:ascii="Arial" w:hAnsi="Arial" w:cs="Arial"/>
        </w:rPr>
        <w:t>articipant's employer.</w:t>
      </w:r>
    </w:p>
    <w:p w:rsidR="0035433D" w:rsidRPr="002544B3" w:rsidRDefault="00B4000E" w:rsidP="0035433D">
      <w:pPr>
        <w:pStyle w:val="BodyIndent0"/>
        <w:rPr>
          <w:rFonts w:ascii="Arial" w:hAnsi="Arial" w:cs="Arial"/>
          <w:sz w:val="22"/>
          <w:szCs w:val="22"/>
          <w:lang w:eastAsia="en-US"/>
        </w:rPr>
      </w:pPr>
      <w:r>
        <w:rPr>
          <w:rFonts w:ascii="Arial" w:hAnsi="Arial" w:cs="Arial"/>
          <w:sz w:val="22"/>
          <w:szCs w:val="22"/>
          <w:lang w:eastAsia="en-US"/>
        </w:rPr>
        <w:t xml:space="preserve">DES participants may decide not to disclose their disability to their employer. </w:t>
      </w:r>
      <w:r w:rsidR="0035433D" w:rsidRPr="002544B3">
        <w:rPr>
          <w:rFonts w:ascii="Arial" w:hAnsi="Arial" w:cs="Arial"/>
          <w:sz w:val="22"/>
          <w:szCs w:val="22"/>
          <w:lang w:eastAsia="en-US"/>
        </w:rPr>
        <w:t xml:space="preserve">Where non-disclosure or privacy issues are identified or where a </w:t>
      </w:r>
      <w:r w:rsidR="0035433D">
        <w:rPr>
          <w:rFonts w:ascii="Arial" w:hAnsi="Arial" w:cs="Arial"/>
          <w:sz w:val="22"/>
          <w:szCs w:val="22"/>
          <w:lang w:eastAsia="en-US"/>
        </w:rPr>
        <w:t>DES P</w:t>
      </w:r>
      <w:r w:rsidR="0035433D" w:rsidRPr="002544B3">
        <w:rPr>
          <w:rFonts w:ascii="Arial" w:hAnsi="Arial" w:cs="Arial"/>
          <w:sz w:val="22"/>
          <w:szCs w:val="22"/>
          <w:lang w:eastAsia="en-US"/>
        </w:rPr>
        <w:t xml:space="preserve">articipant or their employer is reluctant to include a workplace assessment, an OSA assessor may exclude this aspect of the assessment, with the agreement of the </w:t>
      </w:r>
      <w:r w:rsidR="0035433D">
        <w:rPr>
          <w:rFonts w:ascii="Arial" w:hAnsi="Arial" w:cs="Arial"/>
          <w:sz w:val="22"/>
          <w:szCs w:val="22"/>
          <w:lang w:eastAsia="en-US"/>
        </w:rPr>
        <w:t>DES P</w:t>
      </w:r>
      <w:r w:rsidR="0035433D" w:rsidRPr="002544B3">
        <w:rPr>
          <w:rFonts w:ascii="Arial" w:hAnsi="Arial" w:cs="Arial"/>
          <w:sz w:val="22"/>
          <w:szCs w:val="22"/>
          <w:lang w:eastAsia="en-US"/>
        </w:rPr>
        <w:t>articipant.</w:t>
      </w:r>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The different elements of the</w:t>
      </w:r>
      <w:r>
        <w:rPr>
          <w:rFonts w:ascii="Arial" w:hAnsi="Arial" w:cs="Arial"/>
          <w:sz w:val="22"/>
          <w:szCs w:val="22"/>
          <w:lang w:eastAsia="en-US"/>
        </w:rPr>
        <w:t xml:space="preserve"> OSA </w:t>
      </w:r>
      <w:r w:rsidRPr="002544B3">
        <w:rPr>
          <w:rFonts w:ascii="Arial" w:hAnsi="Arial" w:cs="Arial"/>
          <w:sz w:val="22"/>
          <w:szCs w:val="22"/>
          <w:lang w:eastAsia="en-US"/>
        </w:rPr>
        <w:t xml:space="preserve">will not be weighted. The </w:t>
      </w:r>
      <w:r>
        <w:rPr>
          <w:rFonts w:ascii="Arial" w:hAnsi="Arial" w:cs="Arial"/>
          <w:sz w:val="22"/>
          <w:szCs w:val="22"/>
          <w:lang w:eastAsia="en-US"/>
        </w:rPr>
        <w:t xml:space="preserve">OSA </w:t>
      </w:r>
      <w:r w:rsidRPr="002544B3">
        <w:rPr>
          <w:rFonts w:ascii="Arial" w:hAnsi="Arial" w:cs="Arial"/>
          <w:sz w:val="22"/>
          <w:szCs w:val="22"/>
          <w:lang w:eastAsia="en-US"/>
        </w:rPr>
        <w:t xml:space="preserve">will be considered as a whole in determining the Ongoing Support needs of a </w:t>
      </w:r>
      <w:r>
        <w:rPr>
          <w:rFonts w:ascii="Arial" w:hAnsi="Arial" w:cs="Arial"/>
          <w:sz w:val="22"/>
          <w:szCs w:val="22"/>
          <w:lang w:eastAsia="en-US"/>
        </w:rPr>
        <w:t>DES P</w:t>
      </w:r>
      <w:r w:rsidRPr="002544B3">
        <w:rPr>
          <w:rFonts w:ascii="Arial" w:hAnsi="Arial" w:cs="Arial"/>
          <w:sz w:val="22"/>
          <w:szCs w:val="22"/>
          <w:lang w:eastAsia="en-US"/>
        </w:rPr>
        <w:t xml:space="preserve">articipant. Results of the </w:t>
      </w:r>
      <w:r>
        <w:rPr>
          <w:rFonts w:ascii="Arial" w:hAnsi="Arial" w:cs="Arial"/>
          <w:sz w:val="22"/>
          <w:szCs w:val="22"/>
          <w:lang w:eastAsia="en-US"/>
        </w:rPr>
        <w:t xml:space="preserve">OSA </w:t>
      </w:r>
      <w:r w:rsidRPr="002544B3">
        <w:rPr>
          <w:rFonts w:ascii="Arial" w:hAnsi="Arial" w:cs="Arial"/>
          <w:sz w:val="22"/>
          <w:szCs w:val="22"/>
          <w:lang w:eastAsia="en-US"/>
        </w:rPr>
        <w:lastRenderedPageBreak/>
        <w:t>will be documented in a report that will be maintained on Department of Employment IT Systems.</w:t>
      </w:r>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 xml:space="preserve">Where possible, OSAs will be undertaken concurrently with SWS assessments if the </w:t>
      </w:r>
      <w:r>
        <w:rPr>
          <w:rFonts w:ascii="Arial" w:hAnsi="Arial" w:cs="Arial"/>
          <w:sz w:val="22"/>
          <w:szCs w:val="22"/>
          <w:lang w:eastAsia="en-US"/>
        </w:rPr>
        <w:t>DES P</w:t>
      </w:r>
      <w:r w:rsidRPr="002544B3">
        <w:rPr>
          <w:rFonts w:ascii="Arial" w:hAnsi="Arial" w:cs="Arial"/>
          <w:sz w:val="22"/>
          <w:szCs w:val="22"/>
          <w:lang w:eastAsia="en-US"/>
        </w:rPr>
        <w:t>articipant is also accessing SWS.</w:t>
      </w:r>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Applicants wishing to deliver OSAs must also apply to deliver SWS assessments.</w:t>
      </w:r>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 xml:space="preserve">OSAs must be completed using </w:t>
      </w:r>
      <w:r>
        <w:rPr>
          <w:rFonts w:ascii="Arial" w:hAnsi="Arial" w:cs="Arial"/>
          <w:sz w:val="22"/>
          <w:szCs w:val="22"/>
          <w:lang w:eastAsia="en-US"/>
        </w:rPr>
        <w:t xml:space="preserve">the </w:t>
      </w:r>
      <w:r w:rsidRPr="002544B3">
        <w:rPr>
          <w:rFonts w:ascii="Arial" w:hAnsi="Arial" w:cs="Arial"/>
          <w:sz w:val="22"/>
          <w:szCs w:val="22"/>
          <w:lang w:eastAsia="en-US"/>
        </w:rPr>
        <w:t>Department of Employment IT Systems.</w:t>
      </w:r>
      <w:r>
        <w:rPr>
          <w:rFonts w:ascii="Arial" w:hAnsi="Arial" w:cs="Arial"/>
          <w:sz w:val="22"/>
          <w:szCs w:val="22"/>
          <w:lang w:eastAsia="en-US"/>
        </w:rPr>
        <w:t xml:space="preserve"> </w:t>
      </w:r>
    </w:p>
    <w:p w:rsidR="0035433D" w:rsidRPr="008C589E" w:rsidRDefault="0035433D" w:rsidP="0061776B">
      <w:pPr>
        <w:pStyle w:val="Heading3Numbered"/>
      </w:pPr>
      <w:bookmarkStart w:id="49" w:name="_Toc492882542"/>
      <w:r w:rsidRPr="0061776B">
        <w:t>Workplace</w:t>
      </w:r>
      <w:r w:rsidRPr="008C589E">
        <w:t xml:space="preserve"> Modifications Assess</w:t>
      </w:r>
      <w:r>
        <w:t>ments</w:t>
      </w:r>
      <w:bookmarkEnd w:id="49"/>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The Department of Social Services will appoint qualified W</w:t>
      </w:r>
      <w:r>
        <w:rPr>
          <w:rFonts w:ascii="Arial" w:hAnsi="Arial" w:cs="Arial"/>
          <w:sz w:val="22"/>
          <w:szCs w:val="22"/>
          <w:lang w:eastAsia="en-US"/>
        </w:rPr>
        <w:t xml:space="preserve">orkplace </w:t>
      </w:r>
      <w:r w:rsidRPr="002544B3">
        <w:rPr>
          <w:rFonts w:ascii="Arial" w:hAnsi="Arial" w:cs="Arial"/>
          <w:sz w:val="22"/>
          <w:szCs w:val="22"/>
          <w:lang w:eastAsia="en-US"/>
        </w:rPr>
        <w:t>M</w:t>
      </w:r>
      <w:r>
        <w:rPr>
          <w:rFonts w:ascii="Arial" w:hAnsi="Arial" w:cs="Arial"/>
          <w:sz w:val="22"/>
          <w:szCs w:val="22"/>
          <w:lang w:eastAsia="en-US"/>
        </w:rPr>
        <w:t>odification Assessors (WMA)</w:t>
      </w:r>
      <w:r w:rsidRPr="002544B3">
        <w:rPr>
          <w:rFonts w:ascii="Arial" w:hAnsi="Arial" w:cs="Arial"/>
          <w:sz w:val="22"/>
          <w:szCs w:val="22"/>
          <w:lang w:eastAsia="en-US"/>
        </w:rPr>
        <w:t xml:space="preserve"> who will be required to conduct assessments for people with disability to identify barriers to accessing or performing their work</w:t>
      </w:r>
      <w:r>
        <w:rPr>
          <w:rFonts w:ascii="Arial" w:hAnsi="Arial" w:cs="Arial"/>
          <w:sz w:val="22"/>
          <w:szCs w:val="22"/>
          <w:lang w:eastAsia="en-US"/>
        </w:rPr>
        <w:t>.  WMA</w:t>
      </w:r>
      <w:r w:rsidRPr="002544B3">
        <w:rPr>
          <w:rFonts w:ascii="Arial" w:hAnsi="Arial" w:cs="Arial"/>
          <w:sz w:val="22"/>
          <w:szCs w:val="22"/>
          <w:lang w:eastAsia="en-US"/>
        </w:rPr>
        <w:t xml:space="preserve"> </w:t>
      </w:r>
      <w:r>
        <w:rPr>
          <w:rFonts w:ascii="Arial" w:hAnsi="Arial" w:cs="Arial"/>
          <w:sz w:val="22"/>
          <w:szCs w:val="22"/>
          <w:lang w:eastAsia="en-US"/>
        </w:rPr>
        <w:t>assessments will</w:t>
      </w:r>
      <w:r w:rsidRPr="002544B3">
        <w:rPr>
          <w:rFonts w:ascii="Arial" w:hAnsi="Arial" w:cs="Arial"/>
          <w:sz w:val="22"/>
          <w:szCs w:val="22"/>
          <w:lang w:eastAsia="en-US"/>
        </w:rPr>
        <w:t xml:space="preserve"> recommend equipment, modifications and other support</w:t>
      </w:r>
      <w:r>
        <w:rPr>
          <w:rFonts w:ascii="Arial" w:hAnsi="Arial" w:cs="Arial"/>
          <w:sz w:val="22"/>
          <w:szCs w:val="22"/>
          <w:lang w:eastAsia="en-US"/>
        </w:rPr>
        <w:t>,</w:t>
      </w:r>
      <w:r w:rsidRPr="002544B3">
        <w:rPr>
          <w:rFonts w:ascii="Arial" w:hAnsi="Arial" w:cs="Arial"/>
          <w:sz w:val="22"/>
          <w:szCs w:val="22"/>
          <w:lang w:eastAsia="en-US"/>
        </w:rPr>
        <w:t xml:space="preserve"> </w:t>
      </w:r>
      <w:r>
        <w:rPr>
          <w:rFonts w:ascii="Arial" w:hAnsi="Arial" w:cs="Arial"/>
          <w:sz w:val="22"/>
          <w:szCs w:val="22"/>
          <w:lang w:eastAsia="en-US"/>
        </w:rPr>
        <w:t xml:space="preserve">funded through the Employment Assistance Fund (EAF), </w:t>
      </w:r>
      <w:r w:rsidRPr="002544B3">
        <w:rPr>
          <w:rFonts w:ascii="Arial" w:hAnsi="Arial" w:cs="Arial"/>
          <w:sz w:val="22"/>
          <w:szCs w:val="22"/>
          <w:lang w:eastAsia="en-US"/>
        </w:rPr>
        <w:t>to remove the identified barriers.</w:t>
      </w:r>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 xml:space="preserve">Applications for assistance under the EAF will be submitted to the </w:t>
      </w:r>
      <w:proofErr w:type="spellStart"/>
      <w:r w:rsidRPr="002544B3">
        <w:rPr>
          <w:rFonts w:ascii="Arial" w:hAnsi="Arial" w:cs="Arial"/>
          <w:sz w:val="22"/>
          <w:szCs w:val="22"/>
          <w:lang w:eastAsia="en-US"/>
        </w:rPr>
        <w:t>JobAccess</w:t>
      </w:r>
      <w:proofErr w:type="spellEnd"/>
      <w:r w:rsidRPr="002544B3">
        <w:rPr>
          <w:rFonts w:ascii="Arial" w:hAnsi="Arial" w:cs="Arial"/>
          <w:sz w:val="22"/>
          <w:szCs w:val="22"/>
          <w:lang w:eastAsia="en-US"/>
        </w:rPr>
        <w:t xml:space="preserve"> service. Some applications may require a W</w:t>
      </w:r>
      <w:r>
        <w:rPr>
          <w:rFonts w:ascii="Arial" w:hAnsi="Arial" w:cs="Arial"/>
          <w:sz w:val="22"/>
          <w:szCs w:val="22"/>
          <w:lang w:eastAsia="en-US"/>
        </w:rPr>
        <w:t>orkplace Modification</w:t>
      </w:r>
      <w:r w:rsidRPr="002544B3">
        <w:rPr>
          <w:rFonts w:ascii="Arial" w:hAnsi="Arial" w:cs="Arial"/>
          <w:sz w:val="22"/>
          <w:szCs w:val="22"/>
          <w:lang w:eastAsia="en-US"/>
        </w:rPr>
        <w:t xml:space="preserve"> Assessment to determine the right modifications or adjustments required for the employee or job seeker. In these instances</w:t>
      </w:r>
      <w:r>
        <w:rPr>
          <w:rFonts w:ascii="Arial" w:hAnsi="Arial" w:cs="Arial"/>
          <w:sz w:val="22"/>
          <w:szCs w:val="22"/>
          <w:lang w:eastAsia="en-US"/>
        </w:rPr>
        <w:t>,</w:t>
      </w:r>
      <w:r w:rsidRPr="002544B3">
        <w:rPr>
          <w:rFonts w:ascii="Arial" w:hAnsi="Arial" w:cs="Arial"/>
          <w:sz w:val="22"/>
          <w:szCs w:val="22"/>
          <w:lang w:eastAsia="en-US"/>
        </w:rPr>
        <w:t xml:space="preserve"> the </w:t>
      </w:r>
      <w:proofErr w:type="spellStart"/>
      <w:r w:rsidRPr="002544B3">
        <w:rPr>
          <w:rFonts w:ascii="Arial" w:hAnsi="Arial" w:cs="Arial"/>
          <w:sz w:val="22"/>
          <w:szCs w:val="22"/>
          <w:lang w:eastAsia="en-US"/>
        </w:rPr>
        <w:t>JobAccess</w:t>
      </w:r>
      <w:proofErr w:type="spellEnd"/>
      <w:r w:rsidRPr="002544B3">
        <w:rPr>
          <w:rFonts w:ascii="Arial" w:hAnsi="Arial" w:cs="Arial"/>
          <w:sz w:val="22"/>
          <w:szCs w:val="22"/>
          <w:lang w:eastAsia="en-US"/>
        </w:rPr>
        <w:t xml:space="preserve"> Provider will allocate a WM</w:t>
      </w:r>
      <w:r>
        <w:rPr>
          <w:rFonts w:ascii="Arial" w:hAnsi="Arial" w:cs="Arial"/>
          <w:sz w:val="22"/>
          <w:szCs w:val="22"/>
          <w:lang w:eastAsia="en-US"/>
        </w:rPr>
        <w:t>A</w:t>
      </w:r>
      <w:r w:rsidRPr="002544B3">
        <w:rPr>
          <w:rFonts w:ascii="Arial" w:hAnsi="Arial" w:cs="Arial"/>
          <w:sz w:val="22"/>
          <w:szCs w:val="22"/>
          <w:lang w:eastAsia="en-US"/>
        </w:rPr>
        <w:t xml:space="preserve"> </w:t>
      </w:r>
      <w:r>
        <w:rPr>
          <w:rFonts w:ascii="Arial" w:hAnsi="Arial" w:cs="Arial"/>
          <w:sz w:val="22"/>
          <w:szCs w:val="22"/>
          <w:lang w:eastAsia="en-US"/>
        </w:rPr>
        <w:t xml:space="preserve">NPA </w:t>
      </w:r>
      <w:r w:rsidRPr="002544B3">
        <w:rPr>
          <w:rFonts w:ascii="Arial" w:hAnsi="Arial" w:cs="Arial"/>
          <w:sz w:val="22"/>
          <w:szCs w:val="22"/>
          <w:lang w:eastAsia="en-US"/>
        </w:rPr>
        <w:t xml:space="preserve">Provider to conduct the </w:t>
      </w:r>
      <w:r>
        <w:rPr>
          <w:rFonts w:ascii="Arial" w:hAnsi="Arial" w:cs="Arial"/>
          <w:sz w:val="22"/>
          <w:szCs w:val="22"/>
          <w:lang w:eastAsia="en-US"/>
        </w:rPr>
        <w:t>a</w:t>
      </w:r>
      <w:r w:rsidRPr="002544B3">
        <w:rPr>
          <w:rFonts w:ascii="Arial" w:hAnsi="Arial" w:cs="Arial"/>
          <w:sz w:val="22"/>
          <w:szCs w:val="22"/>
          <w:lang w:eastAsia="en-US"/>
        </w:rPr>
        <w:t>ssessment.</w:t>
      </w:r>
    </w:p>
    <w:p w:rsidR="0035433D" w:rsidRPr="002544B3" w:rsidRDefault="0035433D" w:rsidP="0035433D">
      <w:pPr>
        <w:pStyle w:val="BodyIndent0"/>
        <w:rPr>
          <w:rFonts w:ascii="Arial" w:hAnsi="Arial" w:cs="Arial"/>
          <w:sz w:val="22"/>
          <w:szCs w:val="22"/>
          <w:lang w:eastAsia="en-US"/>
        </w:rPr>
      </w:pPr>
      <w:r w:rsidRPr="002544B3">
        <w:rPr>
          <w:rFonts w:ascii="Arial" w:hAnsi="Arial" w:cs="Arial"/>
          <w:sz w:val="22"/>
          <w:szCs w:val="22"/>
          <w:lang w:eastAsia="en-US"/>
        </w:rPr>
        <w:t>W</w:t>
      </w:r>
      <w:r>
        <w:rPr>
          <w:rFonts w:ascii="Arial" w:hAnsi="Arial" w:cs="Arial"/>
          <w:sz w:val="22"/>
          <w:szCs w:val="22"/>
          <w:lang w:eastAsia="en-US"/>
        </w:rPr>
        <w:t>orkplace Modification</w:t>
      </w:r>
      <w:r w:rsidRPr="002544B3">
        <w:rPr>
          <w:rFonts w:ascii="Arial" w:hAnsi="Arial" w:cs="Arial"/>
          <w:sz w:val="22"/>
          <w:szCs w:val="22"/>
          <w:lang w:eastAsia="en-US"/>
        </w:rPr>
        <w:t xml:space="preserve"> Assessments must be completed by the </w:t>
      </w:r>
      <w:r>
        <w:rPr>
          <w:rFonts w:ascii="Arial" w:hAnsi="Arial" w:cs="Arial"/>
          <w:sz w:val="22"/>
          <w:szCs w:val="22"/>
          <w:lang w:eastAsia="en-US"/>
        </w:rPr>
        <w:t xml:space="preserve">NPA </w:t>
      </w:r>
      <w:r w:rsidRPr="002544B3">
        <w:rPr>
          <w:rFonts w:ascii="Arial" w:hAnsi="Arial" w:cs="Arial"/>
          <w:sz w:val="22"/>
          <w:szCs w:val="22"/>
          <w:lang w:eastAsia="en-US"/>
        </w:rPr>
        <w:t>Provider using the Workplace Modification Assessment Report pro forma provided by the Department</w:t>
      </w:r>
      <w:r>
        <w:rPr>
          <w:rFonts w:ascii="Arial" w:hAnsi="Arial" w:cs="Arial"/>
          <w:sz w:val="22"/>
          <w:szCs w:val="22"/>
          <w:lang w:eastAsia="en-US"/>
        </w:rPr>
        <w:t xml:space="preserve"> of Social Services</w:t>
      </w:r>
      <w:r w:rsidRPr="002544B3">
        <w:rPr>
          <w:rFonts w:ascii="Arial" w:hAnsi="Arial" w:cs="Arial"/>
          <w:sz w:val="22"/>
          <w:szCs w:val="22"/>
          <w:lang w:eastAsia="en-US"/>
        </w:rPr>
        <w:t xml:space="preserve">. Reports and supporting documentation must be submitted to the </w:t>
      </w:r>
      <w:proofErr w:type="spellStart"/>
      <w:r w:rsidRPr="002544B3">
        <w:rPr>
          <w:rFonts w:ascii="Arial" w:hAnsi="Arial" w:cs="Arial"/>
          <w:sz w:val="22"/>
          <w:szCs w:val="22"/>
          <w:lang w:eastAsia="en-US"/>
        </w:rPr>
        <w:t>JobAccess</w:t>
      </w:r>
      <w:proofErr w:type="spellEnd"/>
      <w:r w:rsidRPr="002544B3">
        <w:rPr>
          <w:rFonts w:ascii="Arial" w:hAnsi="Arial" w:cs="Arial"/>
          <w:sz w:val="22"/>
          <w:szCs w:val="22"/>
          <w:lang w:eastAsia="en-US"/>
        </w:rPr>
        <w:t xml:space="preserve"> service.</w:t>
      </w:r>
    </w:p>
    <w:p w:rsidR="0035433D" w:rsidRPr="002544B3" w:rsidRDefault="0035433D" w:rsidP="0035433D">
      <w:pPr>
        <w:rPr>
          <w:rFonts w:ascii="Arial" w:hAnsi="Arial" w:cs="Arial"/>
        </w:rPr>
      </w:pPr>
      <w:r w:rsidRPr="002544B3">
        <w:rPr>
          <w:rFonts w:ascii="Arial" w:hAnsi="Arial" w:cs="Arial"/>
        </w:rPr>
        <w:t xml:space="preserve">Successful applicants may also be expected to provide other </w:t>
      </w:r>
      <w:r>
        <w:rPr>
          <w:rFonts w:ascii="Arial" w:hAnsi="Arial" w:cs="Arial"/>
        </w:rPr>
        <w:t>specialist Workplace Modification A</w:t>
      </w:r>
      <w:r w:rsidRPr="002544B3">
        <w:rPr>
          <w:rFonts w:ascii="Arial" w:hAnsi="Arial" w:cs="Arial"/>
        </w:rPr>
        <w:t>ssessment-related services that may be agreed with the Department</w:t>
      </w:r>
      <w:r>
        <w:rPr>
          <w:rFonts w:ascii="Arial" w:hAnsi="Arial" w:cs="Arial"/>
        </w:rPr>
        <w:t xml:space="preserve"> of Social Services</w:t>
      </w:r>
      <w:r w:rsidRPr="002544B3">
        <w:rPr>
          <w:rFonts w:ascii="Arial" w:hAnsi="Arial" w:cs="Arial"/>
        </w:rPr>
        <w:t xml:space="preserve">. </w:t>
      </w:r>
      <w:r>
        <w:rPr>
          <w:rFonts w:ascii="Arial" w:hAnsi="Arial" w:cs="Arial"/>
        </w:rPr>
        <w:t>A</w:t>
      </w:r>
      <w:r w:rsidRPr="002544B3">
        <w:rPr>
          <w:rFonts w:ascii="Arial" w:hAnsi="Arial" w:cs="Arial"/>
        </w:rPr>
        <w:t>pplicants will</w:t>
      </w:r>
      <w:r>
        <w:rPr>
          <w:rFonts w:ascii="Arial" w:hAnsi="Arial" w:cs="Arial"/>
        </w:rPr>
        <w:t xml:space="preserve"> be expected to provide details of nominated assessors with suitable qualifications and experience to conduct the Assessment Services</w:t>
      </w:r>
      <w:r w:rsidRPr="002544B3">
        <w:rPr>
          <w:rFonts w:ascii="Arial" w:hAnsi="Arial" w:cs="Arial"/>
        </w:rPr>
        <w:t>.</w:t>
      </w:r>
    </w:p>
    <w:p w:rsidR="00340616" w:rsidRPr="00D2010C" w:rsidRDefault="00340616" w:rsidP="00056305">
      <w:pPr>
        <w:pStyle w:val="Heading2Numbered"/>
      </w:pPr>
      <w:bookmarkStart w:id="50" w:name="_Toc467773961"/>
      <w:bookmarkStart w:id="51" w:name="_Toc492882543"/>
      <w:r w:rsidRPr="00D2010C">
        <w:t>What the grant money cannot be used for?</w:t>
      </w:r>
      <w:bookmarkEnd w:id="50"/>
      <w:bookmarkEnd w:id="51"/>
    </w:p>
    <w:p w:rsidR="005B23DA" w:rsidRDefault="005B23DA" w:rsidP="00DC26ED">
      <w:pPr>
        <w:rPr>
          <w:rFonts w:cstheme="minorHAnsi"/>
        </w:rPr>
      </w:pPr>
      <w:r>
        <w:rPr>
          <w:rFonts w:cstheme="minorHAnsi"/>
        </w:rPr>
        <w:t xml:space="preserve">Successful applicants will only be paid for delivering Assessment Services under the Grant Agreement. The services </w:t>
      </w:r>
      <w:r w:rsidRPr="005B23DA">
        <w:rPr>
          <w:rFonts w:cstheme="minorHAnsi"/>
        </w:rPr>
        <w:t xml:space="preserve">do not include assessment or reporting on issues regarding industrial relations determinations, income support arrangements, medical, health, legal or other related Commonwealth, State or Territory programs including those purchased by the Department. </w:t>
      </w:r>
      <w:r>
        <w:rPr>
          <w:rFonts w:cstheme="minorHAnsi"/>
        </w:rPr>
        <w:t xml:space="preserve">More details are included in the Grant Agreement in section 2 </w:t>
      </w:r>
      <w:proofErr w:type="gramStart"/>
      <w:r>
        <w:rPr>
          <w:rFonts w:cstheme="minorHAnsi"/>
        </w:rPr>
        <w:t>Performing</w:t>
      </w:r>
      <w:proofErr w:type="gramEnd"/>
      <w:r>
        <w:rPr>
          <w:rFonts w:cstheme="minorHAnsi"/>
        </w:rPr>
        <w:t xml:space="preserve"> the Services, and section 3 Financial Matters provides guidance on what are permitted activities for grant money.</w:t>
      </w:r>
    </w:p>
    <w:p w:rsidR="005B23DA" w:rsidRDefault="005B23DA" w:rsidP="005B23DA">
      <w:r>
        <w:br w:type="page"/>
      </w:r>
    </w:p>
    <w:p w:rsidR="00C30FF1" w:rsidRDefault="00C30FF1" w:rsidP="00DC26ED">
      <w:pPr>
        <w:rPr>
          <w:rFonts w:cstheme="minorHAnsi"/>
        </w:rPr>
      </w:pPr>
    </w:p>
    <w:p w:rsidR="00340616" w:rsidRPr="00B72EE8" w:rsidRDefault="00340616" w:rsidP="00A632E3">
      <w:pPr>
        <w:pStyle w:val="Heading1Numbered"/>
      </w:pPr>
      <w:bookmarkStart w:id="52" w:name="_Toc414983554"/>
      <w:bookmarkStart w:id="53" w:name="_Toc414983971"/>
      <w:bookmarkStart w:id="54" w:name="_Toc414984731"/>
      <w:bookmarkStart w:id="55" w:name="_Toc414984825"/>
      <w:bookmarkStart w:id="56" w:name="_Toc414984929"/>
      <w:bookmarkStart w:id="57" w:name="_Toc414985033"/>
      <w:bookmarkStart w:id="58" w:name="_Toc414985136"/>
      <w:bookmarkStart w:id="59" w:name="_Toc414985238"/>
      <w:bookmarkStart w:id="60" w:name="_Toc491870791"/>
      <w:bookmarkStart w:id="61" w:name="_Toc491871053"/>
      <w:bookmarkStart w:id="62" w:name="_Toc491871114"/>
      <w:bookmarkStart w:id="63" w:name="_Toc491871175"/>
      <w:bookmarkStart w:id="64" w:name="_Toc491871234"/>
      <w:bookmarkStart w:id="65" w:name="_Toc467773963"/>
      <w:bookmarkStart w:id="66" w:name="_Ref491254637"/>
      <w:bookmarkStart w:id="67" w:name="_Toc492882544"/>
      <w:bookmarkStart w:id="68" w:name="_Ref416444108"/>
      <w:bookmarkStart w:id="69" w:name="_Toc421777599"/>
      <w:bookmarkEnd w:id="52"/>
      <w:bookmarkEnd w:id="53"/>
      <w:bookmarkEnd w:id="54"/>
      <w:bookmarkEnd w:id="55"/>
      <w:bookmarkEnd w:id="56"/>
      <w:bookmarkEnd w:id="57"/>
      <w:bookmarkEnd w:id="58"/>
      <w:bookmarkEnd w:id="59"/>
      <w:bookmarkEnd w:id="60"/>
      <w:bookmarkEnd w:id="61"/>
      <w:bookmarkEnd w:id="62"/>
      <w:bookmarkEnd w:id="63"/>
      <w:bookmarkEnd w:id="64"/>
      <w:r>
        <w:t>The grant s</w:t>
      </w:r>
      <w:r w:rsidRPr="00B72EE8">
        <w:t xml:space="preserve">election </w:t>
      </w:r>
      <w:r>
        <w:t>p</w:t>
      </w:r>
      <w:r w:rsidRPr="00B72EE8">
        <w:t>rocess</w:t>
      </w:r>
      <w:bookmarkEnd w:id="65"/>
      <w:bookmarkEnd w:id="66"/>
      <w:bookmarkEnd w:id="67"/>
    </w:p>
    <w:p w:rsidR="00340616" w:rsidRDefault="00340616" w:rsidP="00340616">
      <w:pPr>
        <w:rPr>
          <w:rFonts w:cstheme="minorHAnsi"/>
        </w:rPr>
      </w:pPr>
      <w:r w:rsidRPr="00A632E3">
        <w:rPr>
          <w:rFonts w:cstheme="minorHAnsi"/>
        </w:rPr>
        <w:t xml:space="preserve">First we will assess your application against the eligibility criteria. Only eligible applications will move to the next stage. Eligible applications will be considered through an </w:t>
      </w:r>
      <w:r w:rsidRPr="00DC7780">
        <w:rPr>
          <w:rFonts w:cstheme="minorHAnsi"/>
          <w:b/>
        </w:rPr>
        <w:t>open</w:t>
      </w:r>
      <w:r w:rsidR="00DC7780" w:rsidRPr="00DC7780">
        <w:rPr>
          <w:rFonts w:cstheme="minorHAnsi"/>
          <w:b/>
        </w:rPr>
        <w:t xml:space="preserve"> non-</w:t>
      </w:r>
      <w:r w:rsidRPr="00DC26ED">
        <w:rPr>
          <w:rFonts w:cstheme="minorHAnsi"/>
          <w:b/>
        </w:rPr>
        <w:t>competitive</w:t>
      </w:r>
      <w:r w:rsidRPr="00DC7780">
        <w:rPr>
          <w:rFonts w:cstheme="minorHAnsi"/>
        </w:rPr>
        <w:t xml:space="preserve"> grant process.</w:t>
      </w:r>
    </w:p>
    <w:p w:rsidR="00A34676" w:rsidRDefault="00DC7780" w:rsidP="00340616">
      <w:r>
        <w:t xml:space="preserve">We will then assess your application </w:t>
      </w:r>
      <w:r w:rsidRPr="00B72EE8">
        <w:t xml:space="preserve">against the </w:t>
      </w:r>
      <w:r>
        <w:t xml:space="preserve">assessment </w:t>
      </w:r>
      <w:r w:rsidRPr="00B72EE8">
        <w:t>criteria</w:t>
      </w:r>
      <w:r>
        <w:t xml:space="preserve"> set out below. </w:t>
      </w:r>
      <w:r w:rsidR="00E13459">
        <w:t xml:space="preserve">These criteria represent the </w:t>
      </w:r>
      <w:r w:rsidR="00ED4071">
        <w:t xml:space="preserve">requirements for NPA providers in </w:t>
      </w:r>
      <w:r w:rsidR="005E2E04">
        <w:t>delivering efficient and effective Assessment Services.</w:t>
      </w:r>
    </w:p>
    <w:p w:rsidR="005575A1" w:rsidRDefault="00A34676" w:rsidP="00340616">
      <w:r>
        <w:t xml:space="preserve">We will assess your application on your ability to </w:t>
      </w:r>
      <w:r w:rsidR="005575A1">
        <w:t xml:space="preserve">clearly and concisely outline your organisation’s understanding of barriers to employment participation experienced by people with disability, and your organisation’s experience, capability and capacity to deliver assessment services. </w:t>
      </w:r>
      <w:r w:rsidR="004943C8">
        <w:t xml:space="preserve"> </w:t>
      </w:r>
    </w:p>
    <w:p w:rsidR="00735963" w:rsidRDefault="00735963" w:rsidP="00340616">
      <w:r>
        <w:t>Applicants will be required to demonstrate value with relevant money through their ability to provide effective Assessment Services in a cost-effective manner.  Successful NPA providers will be required to demonstrate value for relevant money through on-going evaluation and management of performance.  Details of the evaluation and performance arrangements are provided in the draft grant agreement</w:t>
      </w:r>
      <w:r w:rsidR="005B23DA">
        <w:t xml:space="preserve"> at section 3C</w:t>
      </w:r>
      <w:r>
        <w:t>.</w:t>
      </w:r>
    </w:p>
    <w:p w:rsidR="00E12E3D" w:rsidRPr="00E12E3D" w:rsidRDefault="00D16050">
      <w:r w:rsidRPr="00E12E3D">
        <w:t>All assessment criteria are considered threshold assessment criteria.  This means that each criteri</w:t>
      </w:r>
      <w:r w:rsidRPr="00735963">
        <w:t>on will be assessed using a pass/fail concept, whereby an application that fails to achieve a pass requirement will not proceed for further assessment.</w:t>
      </w:r>
      <w:r w:rsidR="00E12E3D">
        <w:t xml:space="preserve"> </w:t>
      </w:r>
    </w:p>
    <w:p w:rsidR="00E12E3D" w:rsidRDefault="00D16050" w:rsidP="0061776B">
      <w:r w:rsidRPr="00735963">
        <w:t xml:space="preserve">You must answer </w:t>
      </w:r>
      <w:r w:rsidR="006E66F9" w:rsidRPr="00735963">
        <w:t>all</w:t>
      </w:r>
      <w:r w:rsidRPr="00E12E3D">
        <w:t xml:space="preserve"> the questions in the form correctly to ensure that you are prompted to complete the assessment criteria relevant to your situation. If you do not provide a response against </w:t>
      </w:r>
      <w:r w:rsidR="006E66F9" w:rsidRPr="00735963">
        <w:t>all</w:t>
      </w:r>
      <w:r w:rsidRPr="00735963">
        <w:t xml:space="preserve"> the relevant criteria and upload the required attachments, your application may be considered non-compliant</w:t>
      </w:r>
      <w:r w:rsidR="0029129D" w:rsidRPr="00E12E3D">
        <w:t xml:space="preserve"> and will not progress</w:t>
      </w:r>
      <w:r w:rsidRPr="00735963">
        <w:t xml:space="preserve">. </w:t>
      </w:r>
      <w:r w:rsidR="00C117A1" w:rsidRPr="0061776B">
        <w:t xml:space="preserve"> </w:t>
      </w:r>
    </w:p>
    <w:p w:rsidR="00E12E3D" w:rsidRDefault="00C117A1" w:rsidP="0061776B">
      <w:r w:rsidRPr="0061776B">
        <w:t>Further details about completing the application form can be found at section</w:t>
      </w:r>
      <w:r w:rsidR="00E12E3D">
        <w:t xml:space="preserve"> 7.3.</w:t>
      </w:r>
    </w:p>
    <w:p w:rsidR="00340616" w:rsidRPr="00B72EE8" w:rsidRDefault="00340616" w:rsidP="00A632E3">
      <w:pPr>
        <w:pStyle w:val="Heading1Numbered"/>
      </w:pPr>
      <w:bookmarkStart w:id="70" w:name="_Toc491870793"/>
      <w:bookmarkStart w:id="71" w:name="_Toc491871055"/>
      <w:bookmarkStart w:id="72" w:name="_Toc491871116"/>
      <w:bookmarkStart w:id="73" w:name="_Toc491871177"/>
      <w:bookmarkStart w:id="74" w:name="_Toc491871236"/>
      <w:bookmarkStart w:id="75" w:name="_Ref421697890"/>
      <w:bookmarkStart w:id="76" w:name="_Ref421697892"/>
      <w:bookmarkStart w:id="77" w:name="_Toc421777600"/>
      <w:bookmarkStart w:id="78" w:name="_Toc467773964"/>
      <w:bookmarkStart w:id="79" w:name="_Toc492882545"/>
      <w:bookmarkEnd w:id="68"/>
      <w:bookmarkEnd w:id="69"/>
      <w:bookmarkEnd w:id="70"/>
      <w:bookmarkEnd w:id="71"/>
      <w:bookmarkEnd w:id="72"/>
      <w:bookmarkEnd w:id="73"/>
      <w:bookmarkEnd w:id="74"/>
      <w:r>
        <w:t>The a</w:t>
      </w:r>
      <w:r w:rsidRPr="00B72EE8">
        <w:t xml:space="preserve">ssessment </w:t>
      </w:r>
      <w:r>
        <w:t>c</w:t>
      </w:r>
      <w:r w:rsidRPr="00B72EE8">
        <w:t>riteria</w:t>
      </w:r>
      <w:bookmarkEnd w:id="75"/>
      <w:bookmarkEnd w:id="76"/>
      <w:bookmarkEnd w:id="77"/>
      <w:bookmarkEnd w:id="78"/>
      <w:bookmarkEnd w:id="79"/>
    </w:p>
    <w:p w:rsidR="000827A2" w:rsidRPr="00615452" w:rsidRDefault="00E606E7" w:rsidP="000827A2">
      <w:pPr>
        <w:rPr>
          <w:rFonts w:ascii="Arial" w:hAnsi="Arial" w:cs="Arial"/>
          <w:b/>
        </w:rPr>
      </w:pPr>
      <w:r>
        <w:rPr>
          <w:rFonts w:ascii="Arial" w:hAnsi="Arial" w:cs="Arial"/>
          <w:b/>
        </w:rPr>
        <w:t>Applying</w:t>
      </w:r>
      <w:r w:rsidR="006D2030">
        <w:rPr>
          <w:rFonts w:ascii="Arial" w:hAnsi="Arial" w:cs="Arial"/>
          <w:b/>
        </w:rPr>
        <w:t xml:space="preserve"> to be on the</w:t>
      </w:r>
      <w:r w:rsidR="000827A2" w:rsidRPr="00615452">
        <w:rPr>
          <w:rFonts w:ascii="Arial" w:hAnsi="Arial" w:cs="Arial"/>
          <w:b/>
        </w:rPr>
        <w:t xml:space="preserve"> National Panel of Assessors</w:t>
      </w:r>
    </w:p>
    <w:p w:rsidR="000827A2" w:rsidRPr="00615452" w:rsidRDefault="000827A2" w:rsidP="000827A2">
      <w:pPr>
        <w:pStyle w:val="BodyIndent0"/>
        <w:rPr>
          <w:rFonts w:ascii="Arial" w:hAnsi="Arial" w:cs="Arial"/>
          <w:sz w:val="22"/>
          <w:szCs w:val="22"/>
        </w:rPr>
      </w:pPr>
      <w:r w:rsidRPr="00615452">
        <w:rPr>
          <w:rFonts w:ascii="Arial" w:hAnsi="Arial" w:cs="Arial"/>
          <w:sz w:val="22"/>
          <w:szCs w:val="22"/>
        </w:rPr>
        <w:t xml:space="preserve">Applicants may </w:t>
      </w:r>
      <w:r w:rsidR="00E606E7">
        <w:rPr>
          <w:rFonts w:ascii="Arial" w:hAnsi="Arial" w:cs="Arial"/>
          <w:sz w:val="22"/>
          <w:szCs w:val="22"/>
        </w:rPr>
        <w:t>apply</w:t>
      </w:r>
      <w:r w:rsidRPr="00615452">
        <w:rPr>
          <w:rFonts w:ascii="Arial" w:hAnsi="Arial" w:cs="Arial"/>
          <w:sz w:val="22"/>
          <w:szCs w:val="22"/>
        </w:rPr>
        <w:t xml:space="preserve"> for inclusion on the National Panel of Assessors.</w:t>
      </w:r>
    </w:p>
    <w:p w:rsidR="000827A2" w:rsidRPr="00615452" w:rsidRDefault="000827A2" w:rsidP="000827A2">
      <w:pPr>
        <w:pStyle w:val="BodyIndent0"/>
        <w:rPr>
          <w:rFonts w:ascii="Arial" w:hAnsi="Arial" w:cs="Arial"/>
          <w:sz w:val="22"/>
          <w:szCs w:val="22"/>
        </w:rPr>
      </w:pPr>
      <w:r w:rsidRPr="00615452">
        <w:rPr>
          <w:rFonts w:ascii="Arial" w:hAnsi="Arial" w:cs="Arial"/>
          <w:sz w:val="22"/>
          <w:szCs w:val="22"/>
        </w:rPr>
        <w:t xml:space="preserve">Applicants may </w:t>
      </w:r>
      <w:r w:rsidR="00E606E7">
        <w:rPr>
          <w:rFonts w:ascii="Arial" w:hAnsi="Arial" w:cs="Arial"/>
          <w:sz w:val="22"/>
          <w:szCs w:val="22"/>
        </w:rPr>
        <w:t xml:space="preserve">apply </w:t>
      </w:r>
      <w:r w:rsidRPr="00615452">
        <w:rPr>
          <w:rFonts w:ascii="Arial" w:hAnsi="Arial" w:cs="Arial"/>
          <w:sz w:val="22"/>
          <w:szCs w:val="22"/>
        </w:rPr>
        <w:t>to provide:</w:t>
      </w:r>
    </w:p>
    <w:p w:rsidR="000827A2" w:rsidRPr="00615452" w:rsidRDefault="000827A2" w:rsidP="000827A2">
      <w:pPr>
        <w:pStyle w:val="ListBullet1Indent0"/>
        <w:tabs>
          <w:tab w:val="clear" w:pos="360"/>
          <w:tab w:val="num" w:pos="397"/>
        </w:tabs>
        <w:ind w:left="397" w:hanging="397"/>
        <w:rPr>
          <w:rFonts w:ascii="Arial" w:hAnsi="Arial" w:cs="Arial"/>
          <w:sz w:val="22"/>
          <w:szCs w:val="22"/>
        </w:rPr>
      </w:pPr>
      <w:r w:rsidRPr="00615452">
        <w:rPr>
          <w:rFonts w:ascii="Arial" w:hAnsi="Arial" w:cs="Arial"/>
          <w:sz w:val="22"/>
          <w:szCs w:val="22"/>
        </w:rPr>
        <w:t>Ongoing Support Assessment (OSA) and Supported Wage System (SWS) Assessment Services*</w:t>
      </w:r>
    </w:p>
    <w:p w:rsidR="000827A2" w:rsidRPr="00615452" w:rsidRDefault="000827A2" w:rsidP="000827A2">
      <w:pPr>
        <w:pStyle w:val="ListBullet1Indent0"/>
        <w:tabs>
          <w:tab w:val="clear" w:pos="360"/>
          <w:tab w:val="num" w:pos="397"/>
        </w:tabs>
        <w:ind w:left="397" w:hanging="397"/>
        <w:rPr>
          <w:rFonts w:ascii="Arial" w:hAnsi="Arial" w:cs="Arial"/>
          <w:sz w:val="22"/>
          <w:szCs w:val="22"/>
        </w:rPr>
      </w:pPr>
      <w:r w:rsidRPr="00615452">
        <w:rPr>
          <w:rFonts w:ascii="Arial" w:hAnsi="Arial" w:cs="Arial"/>
          <w:sz w:val="22"/>
          <w:szCs w:val="22"/>
        </w:rPr>
        <w:t>Workplace Modifications (WMS) Assessment Services</w:t>
      </w:r>
      <w:r w:rsidR="0029129D">
        <w:rPr>
          <w:rFonts w:ascii="Arial" w:hAnsi="Arial" w:cs="Arial"/>
          <w:sz w:val="22"/>
          <w:szCs w:val="22"/>
        </w:rPr>
        <w:t>,</w:t>
      </w:r>
      <w:r w:rsidRPr="00615452">
        <w:rPr>
          <w:rFonts w:ascii="Arial" w:hAnsi="Arial" w:cs="Arial"/>
          <w:sz w:val="22"/>
          <w:szCs w:val="22"/>
        </w:rPr>
        <w:t xml:space="preserve"> or</w:t>
      </w:r>
    </w:p>
    <w:p w:rsidR="000827A2" w:rsidRPr="00615452" w:rsidRDefault="000827A2" w:rsidP="000827A2">
      <w:pPr>
        <w:pStyle w:val="ListBullet1Indent0"/>
        <w:tabs>
          <w:tab w:val="clear" w:pos="360"/>
          <w:tab w:val="num" w:pos="397"/>
        </w:tabs>
        <w:ind w:left="397" w:hanging="397"/>
        <w:rPr>
          <w:rFonts w:ascii="Arial" w:hAnsi="Arial" w:cs="Arial"/>
          <w:sz w:val="22"/>
          <w:szCs w:val="22"/>
        </w:rPr>
      </w:pPr>
      <w:proofErr w:type="gramStart"/>
      <w:r w:rsidRPr="00615452">
        <w:rPr>
          <w:rFonts w:ascii="Arial" w:hAnsi="Arial" w:cs="Arial"/>
          <w:sz w:val="22"/>
          <w:szCs w:val="22"/>
        </w:rPr>
        <w:t>all</w:t>
      </w:r>
      <w:proofErr w:type="gramEnd"/>
      <w:r w:rsidRPr="00615452">
        <w:rPr>
          <w:rFonts w:ascii="Arial" w:hAnsi="Arial" w:cs="Arial"/>
          <w:sz w:val="22"/>
          <w:szCs w:val="22"/>
        </w:rPr>
        <w:t xml:space="preserve"> three types of Assessment Services.</w:t>
      </w:r>
    </w:p>
    <w:p w:rsidR="000827A2" w:rsidRPr="00615452" w:rsidRDefault="000827A2" w:rsidP="000827A2">
      <w:pPr>
        <w:pStyle w:val="BodyIndent0"/>
        <w:rPr>
          <w:rFonts w:ascii="Arial" w:hAnsi="Arial" w:cs="Arial"/>
          <w:sz w:val="22"/>
          <w:szCs w:val="22"/>
        </w:rPr>
      </w:pPr>
      <w:r w:rsidRPr="00615452">
        <w:rPr>
          <w:rFonts w:ascii="Arial" w:hAnsi="Arial" w:cs="Arial"/>
          <w:b/>
          <w:sz w:val="22"/>
          <w:szCs w:val="22"/>
        </w:rPr>
        <w:t>*Note</w:t>
      </w:r>
      <w:r w:rsidR="00322A53">
        <w:rPr>
          <w:rFonts w:ascii="Arial" w:hAnsi="Arial" w:cs="Arial"/>
          <w:b/>
          <w:sz w:val="22"/>
          <w:szCs w:val="22"/>
        </w:rPr>
        <w:t>:</w:t>
      </w:r>
      <w:r w:rsidRPr="00615452">
        <w:rPr>
          <w:rFonts w:ascii="Arial" w:hAnsi="Arial" w:cs="Arial"/>
          <w:sz w:val="22"/>
          <w:szCs w:val="22"/>
        </w:rPr>
        <w:t xml:space="preserve"> Successful Applicants for OSA and SWS Assessment Services must provide </w:t>
      </w:r>
      <w:r w:rsidR="006E66F9" w:rsidRPr="00615452">
        <w:rPr>
          <w:rFonts w:ascii="Arial" w:hAnsi="Arial" w:cs="Arial"/>
          <w:sz w:val="22"/>
          <w:szCs w:val="22"/>
        </w:rPr>
        <w:t>both</w:t>
      </w:r>
      <w:r w:rsidRPr="00615452">
        <w:rPr>
          <w:rFonts w:ascii="Arial" w:hAnsi="Arial" w:cs="Arial"/>
          <w:sz w:val="22"/>
          <w:szCs w:val="22"/>
        </w:rPr>
        <w:t xml:space="preserve"> services.</w:t>
      </w:r>
    </w:p>
    <w:p w:rsidR="00CB75E2" w:rsidRPr="001F4DB8" w:rsidRDefault="00CB75E2" w:rsidP="000827A2">
      <w:pPr>
        <w:rPr>
          <w:rFonts w:ascii="Arial" w:hAnsi="Arial" w:cs="Arial"/>
        </w:rPr>
      </w:pPr>
      <w:r w:rsidRPr="001F4DB8">
        <w:rPr>
          <w:rFonts w:ascii="Arial" w:hAnsi="Arial" w:cs="Arial"/>
        </w:rPr>
        <w:lastRenderedPageBreak/>
        <w:t xml:space="preserve">All applicants </w:t>
      </w:r>
      <w:r w:rsidRPr="00386FD6">
        <w:rPr>
          <w:rFonts w:ascii="Arial" w:hAnsi="Arial" w:cs="Arial"/>
          <w:b/>
        </w:rPr>
        <w:t>must</w:t>
      </w:r>
      <w:r w:rsidRPr="001F4DB8">
        <w:rPr>
          <w:rFonts w:ascii="Arial" w:hAnsi="Arial" w:cs="Arial"/>
        </w:rPr>
        <w:t xml:space="preserve"> address the assessment </w:t>
      </w:r>
      <w:r w:rsidR="00127257">
        <w:rPr>
          <w:rFonts w:ascii="Arial" w:hAnsi="Arial" w:cs="Arial"/>
        </w:rPr>
        <w:t>criteria</w:t>
      </w:r>
      <w:r w:rsidR="00127257" w:rsidRPr="001F4DB8">
        <w:rPr>
          <w:rFonts w:ascii="Arial" w:hAnsi="Arial" w:cs="Arial"/>
        </w:rPr>
        <w:t xml:space="preserve"> </w:t>
      </w:r>
      <w:r w:rsidR="001F4DB8">
        <w:rPr>
          <w:rFonts w:ascii="Arial" w:hAnsi="Arial" w:cs="Arial"/>
        </w:rPr>
        <w:t>one, two, three and four</w:t>
      </w:r>
      <w:r w:rsidRPr="001F4DB8">
        <w:rPr>
          <w:rFonts w:ascii="Arial" w:hAnsi="Arial" w:cs="Arial"/>
        </w:rPr>
        <w:t xml:space="preserve">.  Only applicants interested in delivering Specialist WMS Assessment Services will be </w:t>
      </w:r>
      <w:r w:rsidR="001F4DB8">
        <w:rPr>
          <w:rFonts w:ascii="Arial" w:hAnsi="Arial" w:cs="Arial"/>
        </w:rPr>
        <w:t>required to address criterion five.</w:t>
      </w:r>
    </w:p>
    <w:p w:rsidR="00CB75E2" w:rsidRDefault="00CB75E2" w:rsidP="000827A2">
      <w:pPr>
        <w:rPr>
          <w:rFonts w:ascii="Arial" w:hAnsi="Arial" w:cs="Arial"/>
        </w:rPr>
      </w:pPr>
      <w:r w:rsidRPr="001F4DB8">
        <w:rPr>
          <w:rFonts w:ascii="Arial" w:hAnsi="Arial" w:cs="Arial"/>
        </w:rPr>
        <w:t>Applicants not applying to deliver Specialist WMS Assessment Services wil</w:t>
      </w:r>
      <w:r w:rsidR="001F4DB8">
        <w:rPr>
          <w:rFonts w:ascii="Arial" w:hAnsi="Arial" w:cs="Arial"/>
        </w:rPr>
        <w:t>l need to respond to criterion five</w:t>
      </w:r>
      <w:r w:rsidRPr="001F4DB8">
        <w:rPr>
          <w:rFonts w:ascii="Arial" w:hAnsi="Arial" w:cs="Arial"/>
        </w:rPr>
        <w:t xml:space="preserve"> as </w:t>
      </w:r>
      <w:r w:rsidR="001F4DB8">
        <w:rPr>
          <w:rFonts w:ascii="Arial" w:hAnsi="Arial" w:cs="Arial"/>
        </w:rPr>
        <w:t>‘</w:t>
      </w:r>
      <w:r w:rsidRPr="001F4DB8">
        <w:rPr>
          <w:rFonts w:ascii="Arial" w:hAnsi="Arial" w:cs="Arial"/>
        </w:rPr>
        <w:t>not applicable</w:t>
      </w:r>
      <w:r w:rsidR="001F4DB8">
        <w:rPr>
          <w:rFonts w:ascii="Arial" w:hAnsi="Arial" w:cs="Arial"/>
        </w:rPr>
        <w:t>’ in their application</w:t>
      </w:r>
      <w:r w:rsidRPr="001F4DB8">
        <w:rPr>
          <w:rFonts w:ascii="Arial" w:hAnsi="Arial" w:cs="Arial"/>
        </w:rPr>
        <w:t>.</w:t>
      </w:r>
    </w:p>
    <w:p w:rsidR="001F4DB8" w:rsidRDefault="001F4DB8" w:rsidP="000827A2">
      <w:pPr>
        <w:rPr>
          <w:rFonts w:ascii="Arial" w:hAnsi="Arial" w:cs="Arial"/>
        </w:rPr>
      </w:pPr>
    </w:p>
    <w:p w:rsidR="000827A2" w:rsidRDefault="000827A2" w:rsidP="000827A2">
      <w:pPr>
        <w:rPr>
          <w:rFonts w:ascii="Arial" w:hAnsi="Arial" w:cs="Arial"/>
        </w:rPr>
      </w:pPr>
      <w:r w:rsidRPr="00CB75E2">
        <w:rPr>
          <w:rFonts w:ascii="Arial" w:hAnsi="Arial" w:cs="Arial"/>
        </w:rPr>
        <w:t xml:space="preserve">All </w:t>
      </w:r>
      <w:r w:rsidR="0029129D">
        <w:rPr>
          <w:rFonts w:ascii="Arial" w:hAnsi="Arial" w:cs="Arial"/>
        </w:rPr>
        <w:t>a</w:t>
      </w:r>
      <w:r w:rsidR="001657A3">
        <w:rPr>
          <w:rFonts w:ascii="Arial" w:hAnsi="Arial" w:cs="Arial"/>
        </w:rPr>
        <w:t>ssessment</w:t>
      </w:r>
      <w:r w:rsidRPr="00CB75E2">
        <w:rPr>
          <w:rFonts w:ascii="Arial" w:hAnsi="Arial" w:cs="Arial"/>
        </w:rPr>
        <w:t xml:space="preserve"> criteria must achieve a ‘Pass’ for your application to be considered for the</w:t>
      </w:r>
      <w:r w:rsidR="00301C53">
        <w:rPr>
          <w:rFonts w:ascii="Arial" w:hAnsi="Arial" w:cs="Arial"/>
        </w:rPr>
        <w:t xml:space="preserve"> </w:t>
      </w:r>
      <w:r w:rsidR="008A6F13">
        <w:rPr>
          <w:rFonts w:ascii="Arial" w:hAnsi="Arial" w:cs="Arial"/>
        </w:rPr>
        <w:t>NPA</w:t>
      </w:r>
      <w:r w:rsidRPr="00CB75E2">
        <w:rPr>
          <w:rFonts w:ascii="Arial" w:hAnsi="Arial" w:cs="Arial"/>
        </w:rPr>
        <w:t>.</w:t>
      </w:r>
      <w:r w:rsidRPr="00615452">
        <w:rPr>
          <w:rFonts w:ascii="Arial" w:hAnsi="Arial" w:cs="Arial"/>
        </w:rPr>
        <w:t xml:space="preserve"> </w:t>
      </w:r>
      <w:r w:rsidR="00D2010C">
        <w:rPr>
          <w:rFonts w:ascii="Arial" w:hAnsi="Arial" w:cs="Arial"/>
        </w:rPr>
        <w:t>This is a non</w:t>
      </w:r>
      <w:r w:rsidR="007563AF">
        <w:rPr>
          <w:rFonts w:ascii="Arial" w:hAnsi="Arial" w:cs="Arial"/>
        </w:rPr>
        <w:t>-</w:t>
      </w:r>
      <w:r w:rsidR="00D2010C">
        <w:rPr>
          <w:rFonts w:ascii="Arial" w:hAnsi="Arial" w:cs="Arial"/>
        </w:rPr>
        <w:t xml:space="preserve">competitive process. Value for money will be achieved by selecting assessors that can demonstrate they can provide services at the performance levels required in the locations required. </w:t>
      </w:r>
      <w:r w:rsidRPr="00615452">
        <w:rPr>
          <w:rFonts w:ascii="Arial" w:hAnsi="Arial" w:cs="Arial"/>
        </w:rPr>
        <w:t>The application form has set word limits for each assessment criteria response</w:t>
      </w:r>
      <w:r w:rsidR="0029129D">
        <w:rPr>
          <w:rFonts w:ascii="Arial" w:hAnsi="Arial" w:cs="Arial"/>
        </w:rPr>
        <w:t xml:space="preserve"> at 900 words</w:t>
      </w:r>
      <w:r w:rsidRPr="00615452">
        <w:rPr>
          <w:rFonts w:ascii="Arial" w:hAnsi="Arial" w:cs="Arial"/>
        </w:rPr>
        <w:t xml:space="preserve"> and will not allow you to exceed that specified word limit.</w:t>
      </w:r>
    </w:p>
    <w:p w:rsidR="00596B2B" w:rsidRPr="00721E2E" w:rsidRDefault="00340616" w:rsidP="00596B2B">
      <w:pPr>
        <w:tabs>
          <w:tab w:val="left" w:pos="514"/>
        </w:tabs>
        <w:rPr>
          <w:rStyle w:val="CharacterBold"/>
        </w:rPr>
      </w:pPr>
      <w:r w:rsidRPr="00596B2B">
        <w:rPr>
          <w:b/>
        </w:rPr>
        <w:t xml:space="preserve">Criterion 1: </w:t>
      </w:r>
      <w:r w:rsidR="00013766">
        <w:rPr>
          <w:rStyle w:val="CharacterBold"/>
        </w:rPr>
        <w:t xml:space="preserve">Describe </w:t>
      </w:r>
      <w:r w:rsidR="00596B2B">
        <w:rPr>
          <w:rStyle w:val="CharacterBold"/>
        </w:rPr>
        <w:t>your</w:t>
      </w:r>
      <w:r w:rsidR="00596B2B" w:rsidRPr="00721E2E">
        <w:rPr>
          <w:rStyle w:val="CharacterBold"/>
        </w:rPr>
        <w:t xml:space="preserve"> understanding of the barriers to employment participation experienced by people with disability, and the available disability employment services and other program supports. </w:t>
      </w:r>
    </w:p>
    <w:p w:rsidR="00596B2B" w:rsidRPr="00596B2B" w:rsidRDefault="00596B2B" w:rsidP="00C305CE">
      <w:pPr>
        <w:tabs>
          <w:tab w:val="left" w:pos="1065"/>
        </w:tabs>
        <w:rPr>
          <w:rFonts w:cstheme="minorHAnsi"/>
        </w:rPr>
      </w:pPr>
      <w:r w:rsidRPr="00596B2B">
        <w:rPr>
          <w:rFonts w:cstheme="minorHAnsi"/>
        </w:rPr>
        <w:t xml:space="preserve">Your response </w:t>
      </w:r>
      <w:r w:rsidR="00AD11A3">
        <w:rPr>
          <w:rFonts w:cstheme="minorHAnsi"/>
        </w:rPr>
        <w:t>should</w:t>
      </w:r>
      <w:r w:rsidR="00AD11A3" w:rsidRPr="00596B2B">
        <w:rPr>
          <w:rFonts w:cstheme="minorHAnsi"/>
        </w:rPr>
        <w:t xml:space="preserve"> </w:t>
      </w:r>
      <w:r w:rsidR="00013766">
        <w:rPr>
          <w:rFonts w:cstheme="minorHAnsi"/>
        </w:rPr>
        <w:t xml:space="preserve">describe </w:t>
      </w:r>
      <w:r w:rsidRPr="00596B2B">
        <w:rPr>
          <w:rFonts w:cstheme="minorHAnsi"/>
        </w:rPr>
        <w:t>your understanding of:</w:t>
      </w:r>
    </w:p>
    <w:p w:rsidR="00596B2B" w:rsidRDefault="00596B2B" w:rsidP="002600F0">
      <w:pPr>
        <w:pStyle w:val="ListParagraph"/>
        <w:numPr>
          <w:ilvl w:val="0"/>
          <w:numId w:val="29"/>
        </w:numPr>
        <w:tabs>
          <w:tab w:val="left" w:pos="1065"/>
        </w:tabs>
        <w:ind w:left="426"/>
        <w:contextualSpacing/>
        <w:rPr>
          <w:rFonts w:asciiTheme="minorHAnsi" w:hAnsiTheme="minorHAnsi" w:cstheme="minorHAnsi"/>
        </w:rPr>
      </w:pPr>
      <w:r w:rsidRPr="00596B2B">
        <w:rPr>
          <w:rFonts w:asciiTheme="minorHAnsi" w:hAnsiTheme="minorHAnsi" w:cstheme="minorHAnsi"/>
        </w:rPr>
        <w:t>the key barriers to employment participation for people with disability</w:t>
      </w:r>
      <w:r w:rsidR="00B5506C">
        <w:rPr>
          <w:rFonts w:asciiTheme="minorHAnsi" w:hAnsiTheme="minorHAnsi" w:cstheme="minorHAnsi"/>
        </w:rPr>
        <w:t>;</w:t>
      </w:r>
      <w:r w:rsidRPr="00596B2B">
        <w:rPr>
          <w:rFonts w:asciiTheme="minorHAnsi" w:hAnsiTheme="minorHAnsi" w:cstheme="minorHAnsi"/>
        </w:rPr>
        <w:t xml:space="preserve"> </w:t>
      </w:r>
      <w:r>
        <w:rPr>
          <w:rFonts w:asciiTheme="minorHAnsi" w:hAnsiTheme="minorHAnsi" w:cstheme="minorHAnsi"/>
        </w:rPr>
        <w:t>and</w:t>
      </w:r>
    </w:p>
    <w:p w:rsidR="00596B2B" w:rsidRPr="00596B2B" w:rsidRDefault="00596B2B" w:rsidP="002600F0">
      <w:pPr>
        <w:pStyle w:val="ListParagraph"/>
        <w:numPr>
          <w:ilvl w:val="0"/>
          <w:numId w:val="29"/>
        </w:numPr>
        <w:ind w:left="426"/>
        <w:rPr>
          <w:rFonts w:asciiTheme="minorHAnsi" w:hAnsiTheme="minorHAnsi" w:cstheme="minorHAnsi"/>
        </w:rPr>
      </w:pPr>
      <w:proofErr w:type="gramStart"/>
      <w:r w:rsidRPr="00596B2B">
        <w:rPr>
          <w:rFonts w:asciiTheme="minorHAnsi" w:hAnsiTheme="minorHAnsi" w:cstheme="minorHAnsi"/>
        </w:rPr>
        <w:t>the</w:t>
      </w:r>
      <w:proofErr w:type="gramEnd"/>
      <w:r w:rsidRPr="00596B2B">
        <w:rPr>
          <w:rFonts w:asciiTheme="minorHAnsi" w:hAnsiTheme="minorHAnsi" w:cstheme="minorHAnsi"/>
        </w:rPr>
        <w:t xml:space="preserve"> ways these barriers can be resolved, with reference to the assistance available from disability employment services and other program supports.</w:t>
      </w:r>
    </w:p>
    <w:p w:rsidR="00C305CE" w:rsidRPr="009B0C26" w:rsidRDefault="00C305CE" w:rsidP="00C305CE">
      <w:pPr>
        <w:rPr>
          <w:rStyle w:val="CharacterBold"/>
          <w:rFonts w:ascii="Arial" w:hAnsi="Arial" w:cs="Arial"/>
        </w:rPr>
      </w:pPr>
      <w:r w:rsidRPr="009B0C26">
        <w:rPr>
          <w:rStyle w:val="CharacterBold"/>
          <w:rFonts w:ascii="Arial" w:hAnsi="Arial" w:cs="Arial"/>
        </w:rPr>
        <w:t xml:space="preserve">Criterion 2: </w:t>
      </w:r>
      <w:r w:rsidR="00013766">
        <w:rPr>
          <w:rStyle w:val="CharacterBold"/>
          <w:rFonts w:ascii="Arial" w:hAnsi="Arial" w:cs="Arial"/>
        </w:rPr>
        <w:t xml:space="preserve">Describe </w:t>
      </w:r>
      <w:r w:rsidRPr="009B0C26">
        <w:rPr>
          <w:rStyle w:val="CharacterBold"/>
          <w:rFonts w:ascii="Arial" w:hAnsi="Arial" w:cs="Arial"/>
        </w:rPr>
        <w:t xml:space="preserve">your organisation’s capability to deliver OSA/SWS and/or WMS </w:t>
      </w:r>
      <w:r w:rsidR="00542538">
        <w:rPr>
          <w:rStyle w:val="CharacterBold"/>
          <w:rFonts w:ascii="Arial" w:hAnsi="Arial" w:cs="Arial"/>
        </w:rPr>
        <w:t xml:space="preserve">(as applicable) </w:t>
      </w:r>
      <w:r w:rsidRPr="009B0C26">
        <w:rPr>
          <w:rStyle w:val="CharacterBold"/>
          <w:rFonts w:ascii="Arial" w:hAnsi="Arial" w:cs="Arial"/>
        </w:rPr>
        <w:t>Assessment Services</w:t>
      </w:r>
      <w:r w:rsidR="00013766">
        <w:rPr>
          <w:rStyle w:val="CharacterBold"/>
          <w:rFonts w:ascii="Arial" w:hAnsi="Arial" w:cs="Arial"/>
        </w:rPr>
        <w:t xml:space="preserve"> or similar services</w:t>
      </w:r>
      <w:r w:rsidRPr="009B0C26">
        <w:rPr>
          <w:rStyle w:val="CharacterBold"/>
          <w:rFonts w:ascii="Arial" w:hAnsi="Arial" w:cs="Arial"/>
        </w:rPr>
        <w:t xml:space="preserve">. </w:t>
      </w:r>
    </w:p>
    <w:p w:rsidR="00C305CE" w:rsidRPr="009B0C26" w:rsidRDefault="00C305CE" w:rsidP="00C305CE">
      <w:pPr>
        <w:tabs>
          <w:tab w:val="left" w:pos="1065"/>
        </w:tabs>
        <w:rPr>
          <w:rFonts w:ascii="Arial" w:hAnsi="Arial" w:cs="Arial"/>
        </w:rPr>
      </w:pPr>
      <w:r w:rsidRPr="009B0C26">
        <w:rPr>
          <w:rFonts w:ascii="Arial" w:hAnsi="Arial" w:cs="Arial"/>
        </w:rPr>
        <w:t xml:space="preserve">Your response </w:t>
      </w:r>
      <w:r w:rsidR="00AD11A3">
        <w:rPr>
          <w:rFonts w:ascii="Arial" w:hAnsi="Arial" w:cs="Arial"/>
        </w:rPr>
        <w:t>should</w:t>
      </w:r>
      <w:r w:rsidR="00AD11A3" w:rsidRPr="009B0C26">
        <w:rPr>
          <w:rFonts w:ascii="Arial" w:hAnsi="Arial" w:cs="Arial"/>
        </w:rPr>
        <w:t xml:space="preserve"> </w:t>
      </w:r>
      <w:r w:rsidR="00013766">
        <w:rPr>
          <w:rFonts w:ascii="Arial" w:hAnsi="Arial" w:cs="Arial"/>
        </w:rPr>
        <w:t>describe</w:t>
      </w:r>
      <w:r w:rsidRPr="009B0C26">
        <w:rPr>
          <w:rFonts w:ascii="Arial" w:hAnsi="Arial" w:cs="Arial"/>
        </w:rPr>
        <w:t>:</w:t>
      </w:r>
    </w:p>
    <w:p w:rsidR="00C305CE" w:rsidRPr="00432EC5" w:rsidRDefault="00C305CE" w:rsidP="00432EC5">
      <w:pPr>
        <w:pStyle w:val="ListParagraph"/>
        <w:numPr>
          <w:ilvl w:val="0"/>
          <w:numId w:val="39"/>
        </w:numPr>
        <w:spacing w:after="120"/>
        <w:ind w:left="426" w:hanging="357"/>
        <w:rPr>
          <w:rFonts w:ascii="Arial" w:hAnsi="Arial" w:cs="Arial"/>
          <w:color w:val="000000"/>
        </w:rPr>
      </w:pPr>
      <w:r w:rsidRPr="00432EC5">
        <w:rPr>
          <w:rFonts w:ascii="Arial" w:hAnsi="Arial" w:cs="Arial"/>
          <w:color w:val="000000"/>
        </w:rPr>
        <w:t>your organisation’s experience and performance in delivering services that are consistent with those required for the delivery of OSA/SWS and/or WMS (as applicable) Assessment Services</w:t>
      </w:r>
      <w:r w:rsidR="00AD11A3" w:rsidRPr="00432EC5">
        <w:rPr>
          <w:rFonts w:ascii="Arial" w:hAnsi="Arial" w:cs="Arial"/>
          <w:color w:val="000000"/>
        </w:rPr>
        <w:t xml:space="preserve"> or similar services</w:t>
      </w:r>
      <w:r w:rsidRPr="00432EC5">
        <w:rPr>
          <w:rFonts w:ascii="Arial" w:hAnsi="Arial" w:cs="Arial"/>
          <w:color w:val="000000"/>
        </w:rPr>
        <w:t>, and</w:t>
      </w:r>
    </w:p>
    <w:p w:rsidR="00C305CE" w:rsidRPr="009B0C26" w:rsidRDefault="00C305CE" w:rsidP="00432EC5">
      <w:pPr>
        <w:pStyle w:val="ListParagraph"/>
        <w:numPr>
          <w:ilvl w:val="0"/>
          <w:numId w:val="39"/>
        </w:numPr>
        <w:spacing w:after="120"/>
        <w:ind w:left="426" w:hanging="357"/>
        <w:rPr>
          <w:rFonts w:ascii="Arial" w:eastAsiaTheme="minorHAnsi" w:hAnsi="Arial" w:cs="Arial"/>
        </w:rPr>
      </w:pPr>
      <w:proofErr w:type="gramStart"/>
      <w:r w:rsidRPr="00432EC5">
        <w:rPr>
          <w:rFonts w:ascii="Arial" w:hAnsi="Arial" w:cs="Arial"/>
          <w:color w:val="000000"/>
        </w:rPr>
        <w:t>how</w:t>
      </w:r>
      <w:proofErr w:type="gramEnd"/>
      <w:r w:rsidRPr="00432EC5">
        <w:rPr>
          <w:rFonts w:ascii="Arial" w:hAnsi="Arial" w:cs="Arial"/>
          <w:color w:val="000000"/>
        </w:rPr>
        <w:t xml:space="preserve"> you propose to develop and maintain cooperative relationships with a diverse range of stakeholders, including people with disability and mental illness, employment service providers, health professionals</w:t>
      </w:r>
      <w:r w:rsidRPr="009B0C26">
        <w:rPr>
          <w:rFonts w:ascii="Arial" w:eastAsiaTheme="minorHAnsi" w:hAnsi="Arial" w:cs="Arial"/>
        </w:rPr>
        <w:t>, employers and union representatives.</w:t>
      </w:r>
    </w:p>
    <w:p w:rsidR="00C305CE" w:rsidRPr="00C305CE" w:rsidRDefault="00C305CE" w:rsidP="00C305CE">
      <w:pPr>
        <w:rPr>
          <w:rStyle w:val="CharacterBold"/>
          <w:b w:val="0"/>
        </w:rPr>
      </w:pPr>
      <w:r w:rsidRPr="009B0C26">
        <w:rPr>
          <w:rFonts w:ascii="Arial" w:hAnsi="Arial" w:cs="Arial"/>
          <w:b/>
        </w:rPr>
        <w:t>Criterion 3:</w:t>
      </w:r>
      <w:r w:rsidRPr="009B0C26">
        <w:rPr>
          <w:rFonts w:ascii="Arial" w:hAnsi="Arial" w:cs="Arial"/>
        </w:rPr>
        <w:t xml:space="preserve"> </w:t>
      </w:r>
      <w:r w:rsidR="00013766">
        <w:rPr>
          <w:rFonts w:ascii="Arial" w:hAnsi="Arial" w:cs="Arial"/>
          <w:b/>
        </w:rPr>
        <w:t>Describe</w:t>
      </w:r>
      <w:r w:rsidR="00013766" w:rsidRPr="009B0C26">
        <w:rPr>
          <w:rFonts w:ascii="Arial" w:hAnsi="Arial" w:cs="Arial"/>
          <w:b/>
        </w:rPr>
        <w:t xml:space="preserve"> </w:t>
      </w:r>
      <w:r w:rsidRPr="009B0C26">
        <w:rPr>
          <w:rFonts w:ascii="Arial" w:hAnsi="Arial" w:cs="Arial"/>
          <w:b/>
        </w:rPr>
        <w:t>how your organisation will</w:t>
      </w:r>
      <w:r w:rsidRPr="009B0C26">
        <w:rPr>
          <w:rFonts w:ascii="Arial" w:hAnsi="Arial" w:cs="Arial"/>
        </w:rPr>
        <w:t xml:space="preserve"> </w:t>
      </w:r>
      <w:r w:rsidRPr="009B0C26">
        <w:rPr>
          <w:rStyle w:val="CharacterBold"/>
          <w:rFonts w:ascii="Arial" w:hAnsi="Arial" w:cs="Arial"/>
        </w:rPr>
        <w:t xml:space="preserve">deliver </w:t>
      </w:r>
      <w:r w:rsidR="001F4DB8">
        <w:rPr>
          <w:rStyle w:val="CharacterBold"/>
          <w:rFonts w:ascii="Arial" w:hAnsi="Arial" w:cs="Arial"/>
        </w:rPr>
        <w:t>OSA/SWS</w:t>
      </w:r>
      <w:r w:rsidRPr="009B0C26">
        <w:rPr>
          <w:rStyle w:val="CharacterBold"/>
          <w:rFonts w:ascii="Arial" w:hAnsi="Arial" w:cs="Arial"/>
        </w:rPr>
        <w:t xml:space="preserve"> and/or WMS (as applicable) Assessment Services</w:t>
      </w:r>
      <w:r w:rsidR="00013766">
        <w:rPr>
          <w:rStyle w:val="CharacterBold"/>
          <w:rFonts w:ascii="Arial" w:hAnsi="Arial" w:cs="Arial"/>
        </w:rPr>
        <w:t xml:space="preserve"> or similar services</w:t>
      </w:r>
      <w:r w:rsidRPr="009B0C26">
        <w:rPr>
          <w:rStyle w:val="CharacterBold"/>
          <w:rFonts w:ascii="Arial" w:hAnsi="Arial" w:cs="Arial"/>
        </w:rPr>
        <w:t>.</w:t>
      </w:r>
    </w:p>
    <w:p w:rsidR="00C305CE" w:rsidRPr="009B0C26" w:rsidRDefault="00C305CE" w:rsidP="00C305CE">
      <w:pPr>
        <w:rPr>
          <w:rFonts w:ascii="Arial" w:hAnsi="Arial" w:cs="Arial"/>
        </w:rPr>
      </w:pPr>
      <w:r w:rsidRPr="00542538">
        <w:rPr>
          <w:rStyle w:val="CharacterBold"/>
          <w:b w:val="0"/>
        </w:rPr>
        <w:t>Y</w:t>
      </w:r>
      <w:r w:rsidRPr="009B0C26">
        <w:rPr>
          <w:rFonts w:ascii="Arial" w:hAnsi="Arial" w:cs="Arial"/>
        </w:rPr>
        <w:t xml:space="preserve">our response </w:t>
      </w:r>
      <w:r w:rsidR="00AD11A3">
        <w:rPr>
          <w:rFonts w:ascii="Arial" w:hAnsi="Arial" w:cs="Arial"/>
        </w:rPr>
        <w:t>should</w:t>
      </w:r>
      <w:r w:rsidR="00AD11A3" w:rsidRPr="009B0C26">
        <w:rPr>
          <w:rFonts w:ascii="Arial" w:hAnsi="Arial" w:cs="Arial"/>
        </w:rPr>
        <w:t xml:space="preserve"> </w:t>
      </w:r>
      <w:r w:rsidR="00013766">
        <w:rPr>
          <w:rFonts w:ascii="Arial" w:hAnsi="Arial" w:cs="Arial"/>
        </w:rPr>
        <w:t>describe</w:t>
      </w:r>
      <w:r w:rsidRPr="009B0C26">
        <w:rPr>
          <w:rFonts w:ascii="Arial" w:hAnsi="Arial" w:cs="Arial"/>
        </w:rPr>
        <w:t>:</w:t>
      </w:r>
    </w:p>
    <w:p w:rsidR="00C305CE" w:rsidRPr="00DE63F8" w:rsidRDefault="00C305CE" w:rsidP="00432EC5">
      <w:pPr>
        <w:pStyle w:val="ListParagraph"/>
        <w:numPr>
          <w:ilvl w:val="0"/>
          <w:numId w:val="39"/>
        </w:numPr>
        <w:spacing w:after="120"/>
        <w:ind w:left="426" w:hanging="357"/>
        <w:rPr>
          <w:rFonts w:ascii="Arial" w:hAnsi="Arial" w:cs="Arial"/>
        </w:rPr>
      </w:pPr>
      <w:r w:rsidRPr="00432EC5">
        <w:rPr>
          <w:rFonts w:ascii="Arial" w:hAnsi="Arial" w:cs="Arial"/>
          <w:color w:val="000000"/>
        </w:rPr>
        <w:t>how you will deliver OSA/SWS and/or WMS (as applicable) Assessment Services</w:t>
      </w:r>
      <w:r w:rsidR="00AD11A3" w:rsidRPr="00432EC5">
        <w:rPr>
          <w:rFonts w:ascii="Arial" w:hAnsi="Arial" w:cs="Arial"/>
          <w:color w:val="000000"/>
        </w:rPr>
        <w:t xml:space="preserve"> or similar services</w:t>
      </w:r>
    </w:p>
    <w:p w:rsidR="00C305CE" w:rsidRPr="00DE63F8" w:rsidRDefault="00C305CE" w:rsidP="00432EC5">
      <w:pPr>
        <w:pStyle w:val="ListParagraph"/>
        <w:numPr>
          <w:ilvl w:val="0"/>
          <w:numId w:val="39"/>
        </w:numPr>
        <w:spacing w:after="120"/>
        <w:ind w:left="426" w:hanging="357"/>
        <w:rPr>
          <w:rFonts w:ascii="Arial" w:hAnsi="Arial" w:cs="Arial"/>
        </w:rPr>
      </w:pPr>
      <w:r w:rsidRPr="00432EC5">
        <w:rPr>
          <w:rFonts w:ascii="Arial" w:hAnsi="Arial" w:cs="Arial"/>
          <w:color w:val="000000"/>
        </w:rPr>
        <w:t>how your Assessment Services will be independent and not unduly influenced by relationships with other agencies, including where your organisation or a related organisation is providing Disability Employment Services, and</w:t>
      </w:r>
    </w:p>
    <w:p w:rsidR="006B4002" w:rsidRPr="00DE63F8" w:rsidRDefault="00C305CE" w:rsidP="00432EC5">
      <w:pPr>
        <w:pStyle w:val="ListParagraph"/>
        <w:numPr>
          <w:ilvl w:val="0"/>
          <w:numId w:val="39"/>
        </w:numPr>
        <w:spacing w:after="120"/>
        <w:ind w:left="426" w:hanging="357"/>
        <w:rPr>
          <w:rFonts w:ascii="Arial" w:hAnsi="Arial" w:cs="Arial"/>
        </w:rPr>
      </w:pPr>
      <w:proofErr w:type="gramStart"/>
      <w:r w:rsidRPr="00432EC5">
        <w:rPr>
          <w:rFonts w:ascii="Arial" w:hAnsi="Arial" w:cs="Arial"/>
          <w:color w:val="000000"/>
        </w:rPr>
        <w:t>the</w:t>
      </w:r>
      <w:proofErr w:type="gramEnd"/>
      <w:r w:rsidRPr="00432EC5">
        <w:rPr>
          <w:rFonts w:ascii="Arial" w:hAnsi="Arial" w:cs="Arial"/>
          <w:color w:val="000000"/>
        </w:rPr>
        <w:t xml:space="preserve"> governance arrangements, communication strategies, organisational management and accountability structures that your organisation has in place to ensure it </w:t>
      </w:r>
      <w:r w:rsidR="006E66F9" w:rsidRPr="00432EC5">
        <w:rPr>
          <w:rFonts w:ascii="Arial" w:hAnsi="Arial" w:cs="Arial"/>
          <w:color w:val="000000"/>
        </w:rPr>
        <w:t>can</w:t>
      </w:r>
      <w:r w:rsidRPr="00432EC5">
        <w:rPr>
          <w:rFonts w:ascii="Arial" w:hAnsi="Arial" w:cs="Arial"/>
          <w:color w:val="000000"/>
        </w:rPr>
        <w:t xml:space="preserve"> comply with the Grant Agreement.</w:t>
      </w:r>
    </w:p>
    <w:p w:rsidR="003F3754" w:rsidRPr="00A32064" w:rsidRDefault="003F3754" w:rsidP="00A32064">
      <w:pPr>
        <w:rPr>
          <w:b/>
        </w:rPr>
      </w:pPr>
      <w:r w:rsidRPr="00A32064">
        <w:rPr>
          <w:b/>
        </w:rPr>
        <w:lastRenderedPageBreak/>
        <w:t xml:space="preserve">Criterion 4: </w:t>
      </w:r>
      <w:r w:rsidR="00013766" w:rsidRPr="00A32064">
        <w:rPr>
          <w:b/>
        </w:rPr>
        <w:t xml:space="preserve">Describe </w:t>
      </w:r>
      <w:r w:rsidRPr="00A32064">
        <w:rPr>
          <w:b/>
        </w:rPr>
        <w:t xml:space="preserve">how your organisation will recruit and retain suitably qualified assessors. </w:t>
      </w:r>
    </w:p>
    <w:p w:rsidR="003F3754" w:rsidRPr="00723BDC" w:rsidRDefault="003F3754" w:rsidP="00710153">
      <w:pPr>
        <w:rPr>
          <w:rStyle w:val="CharacterBold"/>
          <w:b w:val="0"/>
        </w:rPr>
      </w:pPr>
      <w:r w:rsidRPr="00723BDC">
        <w:rPr>
          <w:rStyle w:val="CharacterBold"/>
          <w:b w:val="0"/>
        </w:rPr>
        <w:t xml:space="preserve">Your response </w:t>
      </w:r>
      <w:r w:rsidR="00AD11A3">
        <w:rPr>
          <w:rStyle w:val="CharacterBold"/>
          <w:b w:val="0"/>
        </w:rPr>
        <w:t xml:space="preserve">should </w:t>
      </w:r>
      <w:r w:rsidR="00013766">
        <w:rPr>
          <w:rStyle w:val="CharacterBold"/>
          <w:b w:val="0"/>
        </w:rPr>
        <w:t>describe</w:t>
      </w:r>
      <w:r w:rsidRPr="00723BDC">
        <w:rPr>
          <w:rStyle w:val="CharacterBold"/>
          <w:b w:val="0"/>
        </w:rPr>
        <w:t>:</w:t>
      </w:r>
    </w:p>
    <w:p w:rsidR="003F3754" w:rsidRPr="00807437" w:rsidRDefault="003F3754" w:rsidP="002600F0">
      <w:pPr>
        <w:pStyle w:val="ListParagraph"/>
        <w:numPr>
          <w:ilvl w:val="0"/>
          <w:numId w:val="39"/>
        </w:numPr>
        <w:spacing w:after="120"/>
        <w:ind w:left="426" w:hanging="357"/>
        <w:rPr>
          <w:rFonts w:ascii="Arial" w:hAnsi="Arial" w:cs="Arial"/>
          <w:b/>
          <w:color w:val="000000"/>
        </w:rPr>
      </w:pPr>
      <w:r w:rsidRPr="00807437">
        <w:rPr>
          <w:rFonts w:ascii="Arial" w:hAnsi="Arial" w:cs="Arial"/>
          <w:color w:val="000000"/>
        </w:rPr>
        <w:t>how you propose to recruit and retain suitably qualified and experienced staff to ensure you maintain accredited assessors in your nominated ESA’s, including attracting experienced local staff who have held positions with outgoing providers</w:t>
      </w:r>
      <w:r w:rsidR="005256E1">
        <w:rPr>
          <w:rFonts w:ascii="Arial" w:hAnsi="Arial" w:cs="Arial"/>
          <w:color w:val="000000"/>
        </w:rPr>
        <w:t>,</w:t>
      </w:r>
      <w:r w:rsidR="005256E1" w:rsidRPr="00807437">
        <w:rPr>
          <w:rFonts w:ascii="Arial" w:hAnsi="Arial" w:cs="Arial"/>
          <w:color w:val="000000"/>
        </w:rPr>
        <w:t xml:space="preserve"> </w:t>
      </w:r>
      <w:r w:rsidRPr="00807437">
        <w:rPr>
          <w:rFonts w:ascii="Arial" w:hAnsi="Arial" w:cs="Arial"/>
          <w:color w:val="000000"/>
        </w:rPr>
        <w:t>and</w:t>
      </w:r>
    </w:p>
    <w:p w:rsidR="003F3754" w:rsidRPr="00710153" w:rsidRDefault="00162F51" w:rsidP="002600F0">
      <w:pPr>
        <w:pStyle w:val="ListParagraph"/>
        <w:numPr>
          <w:ilvl w:val="0"/>
          <w:numId w:val="39"/>
        </w:numPr>
        <w:ind w:left="426"/>
        <w:rPr>
          <w:rStyle w:val="CharacterBold"/>
        </w:rPr>
      </w:pPr>
      <w:proofErr w:type="gramStart"/>
      <w:r w:rsidRPr="00807437">
        <w:rPr>
          <w:rFonts w:ascii="Arial" w:hAnsi="Arial" w:cs="Arial"/>
          <w:color w:val="000000"/>
        </w:rPr>
        <w:t>h</w:t>
      </w:r>
      <w:r w:rsidR="003F3754" w:rsidRPr="00807437">
        <w:rPr>
          <w:rFonts w:ascii="Arial" w:hAnsi="Arial" w:cs="Arial"/>
          <w:color w:val="000000"/>
        </w:rPr>
        <w:t>ow</w:t>
      </w:r>
      <w:proofErr w:type="gramEnd"/>
      <w:r w:rsidR="003F3754" w:rsidRPr="00807437">
        <w:rPr>
          <w:rFonts w:ascii="Arial" w:hAnsi="Arial" w:cs="Arial"/>
          <w:color w:val="000000"/>
        </w:rPr>
        <w:t xml:space="preserve"> your organisation ensures staff remain qualified and trained to deliver high quality Assessment Services. </w:t>
      </w:r>
    </w:p>
    <w:p w:rsidR="001F4DB8" w:rsidRDefault="00C7543E" w:rsidP="004B1D46">
      <w:pPr>
        <w:pStyle w:val="BodyText1"/>
        <w:rPr>
          <w:rFonts w:ascii="Arial" w:hAnsi="Arial" w:cs="Arial"/>
        </w:rPr>
      </w:pPr>
      <w:r w:rsidRPr="004B1D46">
        <w:rPr>
          <w:rFonts w:asciiTheme="minorHAnsi" w:eastAsiaTheme="minorHAnsi" w:hAnsiTheme="minorHAnsi" w:cstheme="minorHAnsi"/>
          <w:b/>
        </w:rPr>
        <w:t xml:space="preserve">Criterion 5: </w:t>
      </w:r>
      <w:r w:rsidR="00013766" w:rsidRPr="004B1D46">
        <w:rPr>
          <w:rFonts w:asciiTheme="minorHAnsi" w:eastAsiaTheme="minorHAnsi" w:hAnsiTheme="minorHAnsi" w:cstheme="minorHAnsi"/>
          <w:b/>
        </w:rPr>
        <w:t xml:space="preserve">Describe </w:t>
      </w:r>
      <w:r w:rsidR="006B4002" w:rsidRPr="004B1D46">
        <w:rPr>
          <w:rFonts w:asciiTheme="minorHAnsi" w:eastAsiaTheme="minorHAnsi" w:hAnsiTheme="minorHAnsi" w:cstheme="minorHAnsi"/>
          <w:b/>
        </w:rPr>
        <w:t>the need for and your organisation’s capability to deliver Specialist WMS Assessment Services</w:t>
      </w:r>
      <w:r w:rsidR="00013766" w:rsidRPr="004B1D46">
        <w:rPr>
          <w:rFonts w:asciiTheme="minorHAnsi" w:eastAsiaTheme="minorHAnsi" w:hAnsiTheme="minorHAnsi" w:cstheme="minorHAnsi"/>
          <w:b/>
        </w:rPr>
        <w:t xml:space="preserve"> or similar services</w:t>
      </w:r>
      <w:r w:rsidR="001F4DB8" w:rsidRPr="004B1D46">
        <w:rPr>
          <w:rFonts w:asciiTheme="minorHAnsi" w:eastAsiaTheme="minorHAnsi" w:hAnsiTheme="minorHAnsi" w:cstheme="minorHAnsi"/>
          <w:b/>
        </w:rPr>
        <w:t>.</w:t>
      </w:r>
      <w:r w:rsidR="001F4DB8" w:rsidRPr="004B1D46">
        <w:rPr>
          <w:rFonts w:ascii="Arial" w:hAnsi="Arial" w:cs="Arial"/>
        </w:rPr>
        <w:t xml:space="preserve"> </w:t>
      </w:r>
      <w:r w:rsidR="0068278A" w:rsidRPr="004B1D46">
        <w:rPr>
          <w:rFonts w:ascii="Arial" w:hAnsi="Arial" w:cs="Arial"/>
        </w:rPr>
        <w:t xml:space="preserve">[Only applicants interested in delivering Specialist WMS Assessment Services will be required to address criterion five.  Applicants not applying to deliver Specialist WMS Assessment Services </w:t>
      </w:r>
      <w:r w:rsidR="00C54F47" w:rsidRPr="004B1D46">
        <w:rPr>
          <w:rFonts w:ascii="Arial" w:hAnsi="Arial" w:cs="Arial"/>
        </w:rPr>
        <w:t>must</w:t>
      </w:r>
      <w:r w:rsidR="0068278A" w:rsidRPr="004B1D46">
        <w:rPr>
          <w:rFonts w:ascii="Arial" w:hAnsi="Arial" w:cs="Arial"/>
        </w:rPr>
        <w:t xml:space="preserve"> respond to</w:t>
      </w:r>
      <w:r w:rsidR="0068278A" w:rsidRPr="0068278A">
        <w:rPr>
          <w:rFonts w:ascii="Arial" w:hAnsi="Arial" w:cs="Arial"/>
        </w:rPr>
        <w:t xml:space="preserve"> criterion five </w:t>
      </w:r>
      <w:r w:rsidR="00C54F47">
        <w:rPr>
          <w:rFonts w:ascii="Arial" w:hAnsi="Arial" w:cs="Arial"/>
        </w:rPr>
        <w:t>and enter</w:t>
      </w:r>
      <w:r w:rsidR="00C54F47" w:rsidRPr="0068278A">
        <w:rPr>
          <w:rFonts w:ascii="Arial" w:hAnsi="Arial" w:cs="Arial"/>
        </w:rPr>
        <w:t xml:space="preserve"> </w:t>
      </w:r>
      <w:r w:rsidR="0068278A" w:rsidRPr="0068278A">
        <w:rPr>
          <w:rFonts w:ascii="Arial" w:hAnsi="Arial" w:cs="Arial"/>
        </w:rPr>
        <w:t>‘not applicable’ in the application</w:t>
      </w:r>
      <w:r w:rsidR="00C54F47">
        <w:rPr>
          <w:rFonts w:ascii="Arial" w:hAnsi="Arial" w:cs="Arial"/>
        </w:rPr>
        <w:t xml:space="preserve"> form</w:t>
      </w:r>
      <w:r w:rsidR="0068278A" w:rsidRPr="0068278A">
        <w:rPr>
          <w:rFonts w:ascii="Arial" w:hAnsi="Arial" w:cs="Arial"/>
        </w:rPr>
        <w:t>.]</w:t>
      </w:r>
    </w:p>
    <w:p w:rsidR="00C7543E" w:rsidRPr="005226FF" w:rsidRDefault="00C7543E" w:rsidP="00C7543E">
      <w:pPr>
        <w:pStyle w:val="BodyIndent0"/>
        <w:rPr>
          <w:rFonts w:ascii="Arial" w:hAnsi="Arial" w:cs="Arial"/>
          <w:sz w:val="22"/>
          <w:szCs w:val="22"/>
        </w:rPr>
      </w:pPr>
      <w:r w:rsidRPr="005226FF">
        <w:rPr>
          <w:rFonts w:ascii="Arial" w:hAnsi="Arial" w:cs="Arial"/>
          <w:sz w:val="22"/>
          <w:szCs w:val="22"/>
        </w:rPr>
        <w:t xml:space="preserve">Your response </w:t>
      </w:r>
      <w:r w:rsidR="00AD11A3">
        <w:rPr>
          <w:rFonts w:ascii="Arial" w:hAnsi="Arial" w:cs="Arial"/>
          <w:sz w:val="22"/>
          <w:szCs w:val="22"/>
        </w:rPr>
        <w:t>should</w:t>
      </w:r>
      <w:r w:rsidR="00AD11A3" w:rsidRPr="005226FF">
        <w:rPr>
          <w:rFonts w:ascii="Arial" w:hAnsi="Arial" w:cs="Arial"/>
          <w:sz w:val="22"/>
          <w:szCs w:val="22"/>
        </w:rPr>
        <w:t xml:space="preserve"> </w:t>
      </w:r>
      <w:r w:rsidR="00013766">
        <w:rPr>
          <w:rFonts w:ascii="Arial" w:hAnsi="Arial" w:cs="Arial"/>
          <w:sz w:val="22"/>
          <w:szCs w:val="22"/>
        </w:rPr>
        <w:t>describe</w:t>
      </w:r>
      <w:r w:rsidRPr="005226FF">
        <w:rPr>
          <w:rFonts w:ascii="Arial" w:hAnsi="Arial" w:cs="Arial"/>
          <w:sz w:val="22"/>
          <w:szCs w:val="22"/>
        </w:rPr>
        <w:t>:</w:t>
      </w:r>
    </w:p>
    <w:p w:rsidR="00C7543E" w:rsidRPr="00432EC5" w:rsidRDefault="006B4002" w:rsidP="00432EC5">
      <w:pPr>
        <w:pStyle w:val="ListParagraph"/>
        <w:numPr>
          <w:ilvl w:val="0"/>
          <w:numId w:val="39"/>
        </w:numPr>
        <w:spacing w:after="120"/>
        <w:ind w:left="426" w:hanging="357"/>
        <w:rPr>
          <w:rFonts w:asciiTheme="minorHAnsi" w:hAnsiTheme="minorHAnsi" w:cstheme="minorHAnsi"/>
          <w:color w:val="000000"/>
        </w:rPr>
      </w:pPr>
      <w:r w:rsidRPr="00432EC5">
        <w:rPr>
          <w:rFonts w:asciiTheme="minorHAnsi" w:hAnsiTheme="minorHAnsi" w:cstheme="minorHAnsi"/>
          <w:color w:val="000000"/>
        </w:rPr>
        <w:t>t</w:t>
      </w:r>
      <w:r w:rsidR="00C7543E" w:rsidRPr="00432EC5">
        <w:rPr>
          <w:rFonts w:asciiTheme="minorHAnsi" w:hAnsiTheme="minorHAnsi" w:cstheme="minorHAnsi"/>
          <w:color w:val="000000"/>
        </w:rPr>
        <w:t xml:space="preserve">he specialist cohort you will provide WMS Assessment Services </w:t>
      </w:r>
      <w:r w:rsidR="00AD11A3" w:rsidRPr="00432EC5">
        <w:rPr>
          <w:rFonts w:asciiTheme="minorHAnsi" w:hAnsiTheme="minorHAnsi" w:cstheme="minorHAnsi"/>
          <w:color w:val="000000"/>
        </w:rPr>
        <w:t xml:space="preserve">or similar services </w:t>
      </w:r>
      <w:r w:rsidR="00C7543E" w:rsidRPr="00432EC5">
        <w:rPr>
          <w:rFonts w:asciiTheme="minorHAnsi" w:hAnsiTheme="minorHAnsi" w:cstheme="minorHAnsi"/>
          <w:color w:val="000000"/>
        </w:rPr>
        <w:t>to</w:t>
      </w:r>
    </w:p>
    <w:p w:rsidR="00C7543E" w:rsidRPr="00432EC5" w:rsidRDefault="00C7543E" w:rsidP="00432EC5">
      <w:pPr>
        <w:pStyle w:val="ListParagraph"/>
        <w:numPr>
          <w:ilvl w:val="0"/>
          <w:numId w:val="39"/>
        </w:numPr>
        <w:spacing w:after="120"/>
        <w:ind w:left="426" w:hanging="357"/>
        <w:rPr>
          <w:rFonts w:asciiTheme="minorHAnsi" w:hAnsiTheme="minorHAnsi" w:cstheme="minorHAnsi"/>
          <w:color w:val="000000"/>
        </w:rPr>
      </w:pPr>
      <w:r w:rsidRPr="00432EC5">
        <w:rPr>
          <w:rFonts w:asciiTheme="minorHAnsi" w:hAnsiTheme="minorHAnsi" w:cstheme="minorHAnsi"/>
          <w:color w:val="000000"/>
        </w:rPr>
        <w:t xml:space="preserve">the need for the specialised </w:t>
      </w:r>
      <w:r w:rsidR="00AD11A3" w:rsidRPr="00432EC5">
        <w:rPr>
          <w:rFonts w:asciiTheme="minorHAnsi" w:hAnsiTheme="minorHAnsi" w:cstheme="minorHAnsi"/>
          <w:color w:val="000000"/>
        </w:rPr>
        <w:t>A</w:t>
      </w:r>
      <w:r w:rsidRPr="00432EC5">
        <w:rPr>
          <w:rFonts w:asciiTheme="minorHAnsi" w:hAnsiTheme="minorHAnsi" w:cstheme="minorHAnsi"/>
          <w:color w:val="000000"/>
        </w:rPr>
        <w:t xml:space="preserve">ssessment </w:t>
      </w:r>
      <w:r w:rsidR="00AD11A3" w:rsidRPr="00432EC5">
        <w:rPr>
          <w:rFonts w:asciiTheme="minorHAnsi" w:hAnsiTheme="minorHAnsi" w:cstheme="minorHAnsi"/>
          <w:color w:val="000000"/>
        </w:rPr>
        <w:t>S</w:t>
      </w:r>
      <w:r w:rsidRPr="00432EC5">
        <w:rPr>
          <w:rFonts w:asciiTheme="minorHAnsi" w:hAnsiTheme="minorHAnsi" w:cstheme="minorHAnsi"/>
          <w:color w:val="000000"/>
        </w:rPr>
        <w:t>ervice</w:t>
      </w:r>
      <w:r w:rsidR="00AD11A3" w:rsidRPr="00432EC5">
        <w:rPr>
          <w:rFonts w:asciiTheme="minorHAnsi" w:hAnsiTheme="minorHAnsi" w:cstheme="minorHAnsi"/>
          <w:color w:val="000000"/>
        </w:rPr>
        <w:t>s</w:t>
      </w:r>
      <w:r w:rsidR="005256E1" w:rsidRPr="00432EC5">
        <w:rPr>
          <w:rFonts w:asciiTheme="minorHAnsi" w:hAnsiTheme="minorHAnsi" w:cstheme="minorHAnsi"/>
          <w:color w:val="000000"/>
        </w:rPr>
        <w:t xml:space="preserve">, </w:t>
      </w:r>
      <w:r w:rsidRPr="00432EC5">
        <w:rPr>
          <w:rFonts w:asciiTheme="minorHAnsi" w:hAnsiTheme="minorHAnsi" w:cstheme="minorHAnsi"/>
          <w:color w:val="000000"/>
        </w:rPr>
        <w:t>and</w:t>
      </w:r>
    </w:p>
    <w:p w:rsidR="00C7543E" w:rsidRPr="00432EC5" w:rsidRDefault="00C7543E" w:rsidP="00432EC5">
      <w:pPr>
        <w:pStyle w:val="ListParagraph"/>
        <w:numPr>
          <w:ilvl w:val="0"/>
          <w:numId w:val="39"/>
        </w:numPr>
        <w:spacing w:after="120"/>
        <w:ind w:left="426" w:hanging="357"/>
        <w:rPr>
          <w:rFonts w:asciiTheme="minorHAnsi" w:hAnsiTheme="minorHAnsi" w:cstheme="minorHAnsi"/>
          <w:color w:val="000000"/>
        </w:rPr>
      </w:pPr>
      <w:proofErr w:type="gramStart"/>
      <w:r w:rsidRPr="00432EC5">
        <w:rPr>
          <w:rFonts w:asciiTheme="minorHAnsi" w:hAnsiTheme="minorHAnsi" w:cstheme="minorHAnsi"/>
          <w:color w:val="000000"/>
        </w:rPr>
        <w:t>your</w:t>
      </w:r>
      <w:proofErr w:type="gramEnd"/>
      <w:r w:rsidRPr="00432EC5">
        <w:rPr>
          <w:rFonts w:asciiTheme="minorHAnsi" w:hAnsiTheme="minorHAnsi" w:cstheme="minorHAnsi"/>
          <w:color w:val="000000"/>
        </w:rPr>
        <w:t xml:space="preserve"> experience </w:t>
      </w:r>
      <w:r w:rsidR="003F3754" w:rsidRPr="00432EC5">
        <w:rPr>
          <w:rFonts w:asciiTheme="minorHAnsi" w:hAnsiTheme="minorHAnsi" w:cstheme="minorHAnsi"/>
          <w:color w:val="000000"/>
        </w:rPr>
        <w:t>and performance in</w:t>
      </w:r>
      <w:r w:rsidRPr="00432EC5">
        <w:rPr>
          <w:rFonts w:asciiTheme="minorHAnsi" w:hAnsiTheme="minorHAnsi" w:cstheme="minorHAnsi"/>
          <w:color w:val="000000"/>
        </w:rPr>
        <w:t xml:space="preserve"> delivering spe</w:t>
      </w:r>
      <w:bookmarkStart w:id="80" w:name="_GoBack"/>
      <w:bookmarkEnd w:id="80"/>
      <w:r w:rsidRPr="00432EC5">
        <w:rPr>
          <w:rFonts w:asciiTheme="minorHAnsi" w:hAnsiTheme="minorHAnsi" w:cstheme="minorHAnsi"/>
          <w:color w:val="000000"/>
        </w:rPr>
        <w:t>cialised WMS assessments</w:t>
      </w:r>
      <w:r w:rsidR="00AD11A3" w:rsidRPr="00432EC5">
        <w:rPr>
          <w:rFonts w:asciiTheme="minorHAnsi" w:hAnsiTheme="minorHAnsi" w:cstheme="minorHAnsi"/>
          <w:color w:val="000000"/>
        </w:rPr>
        <w:t xml:space="preserve"> or similar services</w:t>
      </w:r>
      <w:r w:rsidRPr="00432EC5">
        <w:rPr>
          <w:rFonts w:asciiTheme="minorHAnsi" w:hAnsiTheme="minorHAnsi" w:cstheme="minorHAnsi"/>
          <w:color w:val="000000"/>
        </w:rPr>
        <w:t>.</w:t>
      </w:r>
    </w:p>
    <w:p w:rsidR="00C7543E" w:rsidRDefault="00C7543E" w:rsidP="00C7543E">
      <w:pPr>
        <w:pStyle w:val="BodyIndent0"/>
        <w:spacing w:after="0" w:line="240" w:lineRule="auto"/>
        <w:ind w:left="714"/>
        <w:rPr>
          <w:rStyle w:val="CharacterBold"/>
          <w:rFonts w:ascii="Arial" w:hAnsi="Arial" w:cs="Arial"/>
          <w:b w:val="0"/>
          <w:sz w:val="22"/>
          <w:szCs w:val="22"/>
        </w:rPr>
      </w:pPr>
    </w:p>
    <w:p w:rsidR="00836D6C" w:rsidRPr="0061776B" w:rsidRDefault="00836D6C" w:rsidP="00C7543E">
      <w:pPr>
        <w:pStyle w:val="BodyIndent0"/>
        <w:rPr>
          <w:rFonts w:ascii="Arial" w:hAnsi="Arial" w:cs="Arial"/>
          <w:sz w:val="22"/>
          <w:szCs w:val="22"/>
        </w:rPr>
      </w:pPr>
      <w:r w:rsidRPr="0061776B">
        <w:rPr>
          <w:rFonts w:ascii="Arial" w:hAnsi="Arial" w:cs="Arial"/>
          <w:sz w:val="22"/>
          <w:szCs w:val="22"/>
        </w:rPr>
        <w:t xml:space="preserve">The application form includes a </w:t>
      </w:r>
      <w:r w:rsidR="006E66F9" w:rsidRPr="0061776B">
        <w:rPr>
          <w:rFonts w:ascii="Arial" w:hAnsi="Arial" w:cs="Arial"/>
          <w:sz w:val="22"/>
          <w:szCs w:val="22"/>
        </w:rPr>
        <w:t>900-word</w:t>
      </w:r>
      <w:r w:rsidRPr="0061776B">
        <w:rPr>
          <w:rFonts w:ascii="Arial" w:hAnsi="Arial" w:cs="Arial"/>
          <w:sz w:val="22"/>
          <w:szCs w:val="22"/>
        </w:rPr>
        <w:t xml:space="preserve"> limit for responses to all criteria.</w:t>
      </w:r>
    </w:p>
    <w:p w:rsidR="00C7543E" w:rsidRDefault="00C7543E" w:rsidP="00C7543E">
      <w:pPr>
        <w:pStyle w:val="BodyIndent0"/>
        <w:rPr>
          <w:rFonts w:ascii="Arial" w:hAnsi="Arial" w:cs="Arial"/>
          <w:b/>
          <w:sz w:val="22"/>
          <w:szCs w:val="22"/>
        </w:rPr>
      </w:pPr>
      <w:r w:rsidRPr="005226FF">
        <w:rPr>
          <w:rFonts w:ascii="Arial" w:hAnsi="Arial" w:cs="Arial"/>
          <w:b/>
          <w:sz w:val="22"/>
          <w:szCs w:val="22"/>
        </w:rPr>
        <w:t>Attachments</w:t>
      </w:r>
    </w:p>
    <w:p w:rsidR="00836D6C" w:rsidRPr="000C1239" w:rsidRDefault="009A38B0" w:rsidP="00C7543E">
      <w:pPr>
        <w:pStyle w:val="BodyIndent0"/>
        <w:rPr>
          <w:rFonts w:ascii="Arial" w:hAnsi="Arial" w:cs="Arial"/>
          <w:sz w:val="22"/>
          <w:szCs w:val="22"/>
        </w:rPr>
      </w:pPr>
      <w:r w:rsidRPr="000C1239">
        <w:rPr>
          <w:rFonts w:ascii="Arial" w:hAnsi="Arial" w:cs="Arial"/>
          <w:sz w:val="22"/>
          <w:szCs w:val="22"/>
        </w:rPr>
        <w:t>The following</w:t>
      </w:r>
      <w:r w:rsidR="00B72070" w:rsidRPr="000C1239">
        <w:rPr>
          <w:rFonts w:ascii="Arial" w:hAnsi="Arial" w:cs="Arial"/>
          <w:sz w:val="22"/>
          <w:szCs w:val="22"/>
        </w:rPr>
        <w:t xml:space="preserve"> </w:t>
      </w:r>
      <w:r w:rsidR="00C54F47" w:rsidRPr="000C1239">
        <w:rPr>
          <w:rFonts w:ascii="Arial" w:hAnsi="Arial" w:cs="Arial"/>
          <w:sz w:val="22"/>
          <w:szCs w:val="22"/>
        </w:rPr>
        <w:t xml:space="preserve">two </w:t>
      </w:r>
      <w:r w:rsidRPr="000C1239">
        <w:rPr>
          <w:rFonts w:ascii="Arial" w:hAnsi="Arial" w:cs="Arial"/>
          <w:sz w:val="22"/>
          <w:szCs w:val="22"/>
        </w:rPr>
        <w:t xml:space="preserve">templates </w:t>
      </w:r>
      <w:r w:rsidRPr="000C1239">
        <w:rPr>
          <w:rFonts w:ascii="Arial" w:hAnsi="Arial" w:cs="Arial"/>
          <w:b/>
          <w:sz w:val="22"/>
          <w:szCs w:val="22"/>
        </w:rPr>
        <w:t>must</w:t>
      </w:r>
      <w:r w:rsidRPr="000C1239">
        <w:rPr>
          <w:rFonts w:ascii="Arial" w:hAnsi="Arial" w:cs="Arial"/>
          <w:sz w:val="22"/>
          <w:szCs w:val="22"/>
        </w:rPr>
        <w:t xml:space="preserve"> be completed and </w:t>
      </w:r>
      <w:r w:rsidR="00C54F47" w:rsidRPr="000C1239">
        <w:rPr>
          <w:rFonts w:ascii="Arial" w:hAnsi="Arial" w:cs="Arial"/>
          <w:sz w:val="22"/>
          <w:szCs w:val="22"/>
        </w:rPr>
        <w:t>uploaded on</w:t>
      </w:r>
      <w:r w:rsidR="005256E1" w:rsidRPr="000C1239">
        <w:rPr>
          <w:rFonts w:ascii="Arial" w:hAnsi="Arial" w:cs="Arial"/>
          <w:sz w:val="22"/>
          <w:szCs w:val="22"/>
        </w:rPr>
        <w:t xml:space="preserve">to </w:t>
      </w:r>
      <w:r w:rsidRPr="000C1239">
        <w:rPr>
          <w:rFonts w:ascii="Arial" w:hAnsi="Arial" w:cs="Arial"/>
          <w:sz w:val="22"/>
          <w:szCs w:val="22"/>
        </w:rPr>
        <w:t>the application form</w:t>
      </w:r>
      <w:r w:rsidR="007563AF" w:rsidRPr="000C1239">
        <w:rPr>
          <w:rFonts w:ascii="Arial" w:hAnsi="Arial" w:cs="Arial"/>
          <w:sz w:val="22"/>
          <w:szCs w:val="22"/>
        </w:rPr>
        <w:t xml:space="preserve"> </w:t>
      </w:r>
      <w:r w:rsidR="00836D6C" w:rsidRPr="000C1239">
        <w:rPr>
          <w:rFonts w:ascii="Arial" w:hAnsi="Arial" w:cs="Arial"/>
          <w:sz w:val="22"/>
          <w:szCs w:val="22"/>
        </w:rPr>
        <w:t>where instructed</w:t>
      </w:r>
      <w:r w:rsidR="00C54F47" w:rsidRPr="000C1239">
        <w:rPr>
          <w:rFonts w:ascii="Arial" w:hAnsi="Arial" w:cs="Arial"/>
          <w:sz w:val="22"/>
          <w:szCs w:val="22"/>
        </w:rPr>
        <w:t>.</w:t>
      </w:r>
    </w:p>
    <w:p w:rsidR="009A38B0" w:rsidRPr="000C1239" w:rsidRDefault="00836D6C" w:rsidP="00C7543E">
      <w:pPr>
        <w:pStyle w:val="BodyIndent0"/>
        <w:rPr>
          <w:rFonts w:ascii="Arial" w:hAnsi="Arial" w:cs="Arial"/>
          <w:sz w:val="22"/>
          <w:szCs w:val="22"/>
        </w:rPr>
      </w:pPr>
      <w:r w:rsidRPr="000C1239">
        <w:rPr>
          <w:rFonts w:ascii="Arial" w:hAnsi="Arial" w:cs="Arial"/>
          <w:sz w:val="22"/>
          <w:szCs w:val="22"/>
        </w:rPr>
        <w:t xml:space="preserve">The attachments </w:t>
      </w:r>
      <w:r w:rsidR="0028115B" w:rsidRPr="000C1239">
        <w:rPr>
          <w:rFonts w:ascii="Arial" w:hAnsi="Arial" w:cs="Arial"/>
          <w:sz w:val="22"/>
          <w:szCs w:val="22"/>
        </w:rPr>
        <w:t>are available</w:t>
      </w:r>
      <w:r w:rsidRPr="000C1239">
        <w:rPr>
          <w:rFonts w:ascii="Arial" w:hAnsi="Arial" w:cs="Arial"/>
          <w:sz w:val="22"/>
          <w:szCs w:val="22"/>
        </w:rPr>
        <w:t xml:space="preserve"> with</w:t>
      </w:r>
      <w:r w:rsidR="0028115B" w:rsidRPr="000C1239">
        <w:rPr>
          <w:rFonts w:ascii="Arial" w:hAnsi="Arial" w:cs="Arial"/>
          <w:sz w:val="22"/>
          <w:szCs w:val="22"/>
        </w:rPr>
        <w:t xml:space="preserve"> all</w:t>
      </w:r>
      <w:r w:rsidRPr="000C1239">
        <w:rPr>
          <w:rFonts w:ascii="Arial" w:hAnsi="Arial" w:cs="Arial"/>
          <w:sz w:val="22"/>
          <w:szCs w:val="22"/>
        </w:rPr>
        <w:t xml:space="preserve"> the</w:t>
      </w:r>
      <w:r w:rsidR="0028115B" w:rsidRPr="000C1239">
        <w:rPr>
          <w:rFonts w:ascii="Arial" w:hAnsi="Arial" w:cs="Arial"/>
          <w:sz w:val="22"/>
          <w:szCs w:val="22"/>
        </w:rPr>
        <w:t xml:space="preserve"> grant opportunity</w:t>
      </w:r>
      <w:r w:rsidRPr="000C1239">
        <w:rPr>
          <w:rFonts w:ascii="Arial" w:hAnsi="Arial" w:cs="Arial"/>
          <w:sz w:val="22"/>
          <w:szCs w:val="22"/>
        </w:rPr>
        <w:t xml:space="preserve"> documentation on both the </w:t>
      </w:r>
      <w:hyperlink r:id="rId15" w:history="1">
        <w:r w:rsidRPr="000C1239">
          <w:rPr>
            <w:rStyle w:val="Hyperlink"/>
            <w:rFonts w:ascii="Arial" w:hAnsi="Arial" w:cs="Arial"/>
            <w:sz w:val="22"/>
            <w:szCs w:val="22"/>
          </w:rPr>
          <w:t>GrantConnect</w:t>
        </w:r>
      </w:hyperlink>
      <w:r w:rsidRPr="000C1239">
        <w:rPr>
          <w:rFonts w:ascii="Arial" w:hAnsi="Arial" w:cs="Arial"/>
          <w:sz w:val="22"/>
          <w:szCs w:val="22"/>
        </w:rPr>
        <w:t xml:space="preserve"> and </w:t>
      </w:r>
      <w:hyperlink r:id="rId16" w:history="1">
        <w:r w:rsidRPr="000C1239">
          <w:rPr>
            <w:rStyle w:val="Hyperlink"/>
            <w:rFonts w:ascii="Arial" w:hAnsi="Arial" w:cs="Arial"/>
            <w:sz w:val="22"/>
            <w:szCs w:val="22"/>
          </w:rPr>
          <w:t>Community Grants Hub</w:t>
        </w:r>
      </w:hyperlink>
      <w:r w:rsidRPr="000C1239">
        <w:rPr>
          <w:rFonts w:ascii="Arial" w:hAnsi="Arial" w:cs="Arial"/>
          <w:sz w:val="22"/>
          <w:szCs w:val="22"/>
        </w:rPr>
        <w:t xml:space="preserve"> websites</w:t>
      </w:r>
      <w:r w:rsidR="00C54F47" w:rsidRPr="000C1239">
        <w:rPr>
          <w:rFonts w:ascii="Arial" w:hAnsi="Arial" w:cs="Arial"/>
          <w:sz w:val="22"/>
          <w:szCs w:val="22"/>
        </w:rPr>
        <w:t>:</w:t>
      </w:r>
    </w:p>
    <w:p w:rsidR="0099631B" w:rsidRPr="00CA25B9" w:rsidRDefault="0099631B" w:rsidP="002600F0">
      <w:pPr>
        <w:pStyle w:val="BodyIndent0"/>
        <w:numPr>
          <w:ilvl w:val="0"/>
          <w:numId w:val="32"/>
        </w:numPr>
        <w:ind w:left="426"/>
        <w:rPr>
          <w:rFonts w:ascii="Arial" w:hAnsi="Arial" w:cs="Arial"/>
          <w:sz w:val="22"/>
          <w:szCs w:val="22"/>
        </w:rPr>
      </w:pPr>
      <w:r w:rsidRPr="00CA25B9">
        <w:rPr>
          <w:rFonts w:ascii="Arial" w:hAnsi="Arial" w:cs="Arial"/>
          <w:b/>
          <w:sz w:val="22"/>
          <w:szCs w:val="22"/>
        </w:rPr>
        <w:t>Coverage of Service:</w:t>
      </w:r>
      <w:r w:rsidRPr="00CA25B9">
        <w:rPr>
          <w:rFonts w:ascii="Arial" w:hAnsi="Arial" w:cs="Arial"/>
          <w:sz w:val="22"/>
          <w:szCs w:val="22"/>
        </w:rPr>
        <w:t xml:space="preserve"> you must indicate on the spread sheet provided if you are applying to deliver Assessment Services </w:t>
      </w:r>
      <w:r w:rsidR="00643D71">
        <w:rPr>
          <w:rFonts w:ascii="Arial" w:hAnsi="Arial" w:cs="Arial"/>
          <w:sz w:val="22"/>
          <w:szCs w:val="22"/>
        </w:rPr>
        <w:t>n</w:t>
      </w:r>
      <w:r w:rsidRPr="00CA25B9">
        <w:rPr>
          <w:rFonts w:ascii="Arial" w:hAnsi="Arial" w:cs="Arial"/>
          <w:sz w:val="22"/>
          <w:szCs w:val="22"/>
        </w:rPr>
        <w:t xml:space="preserve">ationally, or at the ESA </w:t>
      </w:r>
      <w:r w:rsidR="00643D71">
        <w:rPr>
          <w:rFonts w:ascii="Arial" w:hAnsi="Arial" w:cs="Arial"/>
          <w:sz w:val="22"/>
          <w:szCs w:val="22"/>
        </w:rPr>
        <w:t>l</w:t>
      </w:r>
      <w:r w:rsidRPr="00CA25B9">
        <w:rPr>
          <w:rFonts w:ascii="Arial" w:hAnsi="Arial" w:cs="Arial"/>
          <w:sz w:val="22"/>
          <w:szCs w:val="22"/>
        </w:rPr>
        <w:t>evel</w:t>
      </w:r>
      <w:r w:rsidR="009A38B0">
        <w:rPr>
          <w:rFonts w:ascii="Arial" w:hAnsi="Arial" w:cs="Arial"/>
          <w:sz w:val="22"/>
          <w:szCs w:val="22"/>
        </w:rPr>
        <w:t xml:space="preserve"> (including which ESA’s you will be delivering in</w:t>
      </w:r>
      <w:r w:rsidR="0060248A">
        <w:rPr>
          <w:rFonts w:ascii="Arial" w:hAnsi="Arial" w:cs="Arial"/>
          <w:sz w:val="22"/>
          <w:szCs w:val="22"/>
        </w:rPr>
        <w:t xml:space="preserve"> and those ESA’s you will partially cover</w:t>
      </w:r>
      <w:r w:rsidR="009A38B0">
        <w:rPr>
          <w:rFonts w:ascii="Arial" w:hAnsi="Arial" w:cs="Arial"/>
          <w:sz w:val="22"/>
          <w:szCs w:val="22"/>
        </w:rPr>
        <w:t>)</w:t>
      </w:r>
      <w:r w:rsidRPr="00CA25B9">
        <w:rPr>
          <w:rFonts w:ascii="Arial" w:hAnsi="Arial" w:cs="Arial"/>
          <w:sz w:val="22"/>
          <w:szCs w:val="22"/>
        </w:rPr>
        <w:t>.</w:t>
      </w:r>
      <w:r w:rsidR="005256E1">
        <w:rPr>
          <w:rFonts w:ascii="Arial" w:hAnsi="Arial" w:cs="Arial"/>
          <w:sz w:val="22"/>
          <w:szCs w:val="22"/>
        </w:rPr>
        <w:t xml:space="preserve"> </w:t>
      </w:r>
      <w:r w:rsidR="009A38B0">
        <w:rPr>
          <w:rFonts w:ascii="Arial" w:hAnsi="Arial" w:cs="Arial"/>
          <w:sz w:val="22"/>
          <w:szCs w:val="22"/>
        </w:rPr>
        <w:t>You must also indicate on this spread sheet whether you are applying for Specialist W</w:t>
      </w:r>
      <w:r w:rsidR="00643D71">
        <w:rPr>
          <w:rFonts w:ascii="Arial" w:hAnsi="Arial" w:cs="Arial"/>
          <w:sz w:val="22"/>
          <w:szCs w:val="22"/>
        </w:rPr>
        <w:t xml:space="preserve">orkplace </w:t>
      </w:r>
      <w:r w:rsidR="009A38B0">
        <w:rPr>
          <w:rFonts w:ascii="Arial" w:hAnsi="Arial" w:cs="Arial"/>
          <w:sz w:val="22"/>
          <w:szCs w:val="22"/>
        </w:rPr>
        <w:t>M</w:t>
      </w:r>
      <w:r w:rsidR="00643D71">
        <w:rPr>
          <w:rFonts w:ascii="Arial" w:hAnsi="Arial" w:cs="Arial"/>
          <w:sz w:val="22"/>
          <w:szCs w:val="22"/>
        </w:rPr>
        <w:t>odification</w:t>
      </w:r>
      <w:r w:rsidR="009A38B0">
        <w:rPr>
          <w:rFonts w:ascii="Arial" w:hAnsi="Arial" w:cs="Arial"/>
          <w:sz w:val="22"/>
          <w:szCs w:val="22"/>
        </w:rPr>
        <w:t xml:space="preserve"> Assessment Services</w:t>
      </w:r>
      <w:r w:rsidR="007563AF">
        <w:rPr>
          <w:rFonts w:ascii="Arial" w:hAnsi="Arial" w:cs="Arial"/>
          <w:sz w:val="22"/>
          <w:szCs w:val="22"/>
        </w:rPr>
        <w:t xml:space="preserve"> (at</w:t>
      </w:r>
      <w:r w:rsidR="007563AF" w:rsidRPr="00DC26ED">
        <w:rPr>
          <w:rFonts w:ascii="Arial" w:hAnsi="Arial" w:cs="Arial"/>
          <w:b/>
          <w:sz w:val="22"/>
          <w:szCs w:val="22"/>
        </w:rPr>
        <w:t xml:space="preserve"> Attachment A</w:t>
      </w:r>
      <w:r w:rsidR="007563AF" w:rsidRPr="007563AF">
        <w:rPr>
          <w:rFonts w:ascii="Arial" w:hAnsi="Arial" w:cs="Arial"/>
          <w:sz w:val="22"/>
          <w:szCs w:val="22"/>
        </w:rPr>
        <w:t>)</w:t>
      </w:r>
      <w:r w:rsidR="009A38B0" w:rsidRPr="00DC26ED">
        <w:rPr>
          <w:rFonts w:ascii="Arial" w:hAnsi="Arial" w:cs="Arial"/>
          <w:b/>
          <w:sz w:val="22"/>
          <w:szCs w:val="22"/>
        </w:rPr>
        <w:t xml:space="preserve">. </w:t>
      </w:r>
    </w:p>
    <w:p w:rsidR="009A38B0" w:rsidRDefault="0099631B" w:rsidP="002600F0">
      <w:pPr>
        <w:pStyle w:val="BodyIndent0"/>
        <w:numPr>
          <w:ilvl w:val="0"/>
          <w:numId w:val="32"/>
        </w:numPr>
        <w:ind w:left="426"/>
        <w:rPr>
          <w:rFonts w:ascii="Arial" w:hAnsi="Arial" w:cs="Arial"/>
          <w:sz w:val="22"/>
          <w:szCs w:val="22"/>
        </w:rPr>
      </w:pPr>
      <w:r w:rsidRPr="00CA25B9">
        <w:rPr>
          <w:rFonts w:ascii="Arial" w:hAnsi="Arial" w:cs="Arial"/>
          <w:b/>
          <w:sz w:val="22"/>
          <w:szCs w:val="22"/>
        </w:rPr>
        <w:t xml:space="preserve">Assessor </w:t>
      </w:r>
      <w:r w:rsidR="001A3F25">
        <w:rPr>
          <w:rFonts w:ascii="Arial" w:hAnsi="Arial" w:cs="Arial"/>
          <w:b/>
          <w:sz w:val="22"/>
          <w:szCs w:val="22"/>
        </w:rPr>
        <w:t>details</w:t>
      </w:r>
      <w:r w:rsidRPr="00CA25B9">
        <w:rPr>
          <w:rFonts w:ascii="Arial" w:hAnsi="Arial" w:cs="Arial"/>
          <w:b/>
          <w:sz w:val="22"/>
          <w:szCs w:val="22"/>
        </w:rPr>
        <w:t>:</w:t>
      </w:r>
      <w:r w:rsidRPr="00CA25B9">
        <w:rPr>
          <w:rFonts w:ascii="Arial" w:hAnsi="Arial" w:cs="Arial"/>
          <w:sz w:val="22"/>
          <w:szCs w:val="22"/>
        </w:rPr>
        <w:t xml:space="preserve"> you must provide on the </w:t>
      </w:r>
      <w:r w:rsidR="007563AF">
        <w:rPr>
          <w:rFonts w:ascii="Arial" w:hAnsi="Arial" w:cs="Arial"/>
          <w:sz w:val="22"/>
          <w:szCs w:val="22"/>
        </w:rPr>
        <w:t>Assessor Qualifications template</w:t>
      </w:r>
      <w:r w:rsidRPr="00CA25B9">
        <w:rPr>
          <w:rFonts w:ascii="Arial" w:hAnsi="Arial" w:cs="Arial"/>
          <w:sz w:val="22"/>
          <w:szCs w:val="22"/>
        </w:rPr>
        <w:t xml:space="preserve"> details of each </w:t>
      </w:r>
      <w:r w:rsidR="001A3F25">
        <w:rPr>
          <w:rFonts w:ascii="Arial" w:hAnsi="Arial" w:cs="Arial"/>
          <w:sz w:val="22"/>
          <w:szCs w:val="22"/>
        </w:rPr>
        <w:t xml:space="preserve">nominated </w:t>
      </w:r>
      <w:r w:rsidRPr="00CA25B9">
        <w:rPr>
          <w:rFonts w:ascii="Arial" w:hAnsi="Arial" w:cs="Arial"/>
          <w:sz w:val="22"/>
          <w:szCs w:val="22"/>
        </w:rPr>
        <w:t>assessor’s qualifications</w:t>
      </w:r>
      <w:r w:rsidR="001A3F25">
        <w:rPr>
          <w:rFonts w:ascii="Arial" w:hAnsi="Arial" w:cs="Arial"/>
          <w:sz w:val="22"/>
          <w:szCs w:val="22"/>
        </w:rPr>
        <w:t xml:space="preserve"> and status</w:t>
      </w:r>
      <w:r w:rsidRPr="00CA25B9">
        <w:rPr>
          <w:rFonts w:ascii="Arial" w:hAnsi="Arial" w:cs="Arial"/>
          <w:sz w:val="22"/>
          <w:szCs w:val="22"/>
        </w:rPr>
        <w:t>, experience and location they will operate in</w:t>
      </w:r>
      <w:r w:rsidR="007563AF">
        <w:rPr>
          <w:rFonts w:ascii="Arial" w:hAnsi="Arial" w:cs="Arial"/>
          <w:sz w:val="22"/>
          <w:szCs w:val="22"/>
        </w:rPr>
        <w:t xml:space="preserve"> (at </w:t>
      </w:r>
      <w:r w:rsidR="007563AF">
        <w:rPr>
          <w:rFonts w:ascii="Arial" w:hAnsi="Arial" w:cs="Arial"/>
          <w:b/>
          <w:sz w:val="22"/>
          <w:szCs w:val="22"/>
        </w:rPr>
        <w:t>Attachment B</w:t>
      </w:r>
      <w:r w:rsidR="007563AF">
        <w:rPr>
          <w:rFonts w:ascii="Arial" w:hAnsi="Arial" w:cs="Arial"/>
          <w:sz w:val="22"/>
          <w:szCs w:val="22"/>
        </w:rPr>
        <w:t>)</w:t>
      </w:r>
      <w:r>
        <w:rPr>
          <w:rFonts w:ascii="Arial" w:hAnsi="Arial" w:cs="Arial"/>
          <w:sz w:val="22"/>
          <w:szCs w:val="22"/>
        </w:rPr>
        <w:t>.</w:t>
      </w:r>
      <w:r w:rsidR="00C7543E" w:rsidRPr="005226FF">
        <w:rPr>
          <w:rFonts w:ascii="Arial" w:hAnsi="Arial" w:cs="Arial"/>
          <w:sz w:val="22"/>
          <w:szCs w:val="22"/>
        </w:rPr>
        <w:t xml:space="preserve"> </w:t>
      </w:r>
    </w:p>
    <w:p w:rsidR="00340616" w:rsidRPr="00B72EE8" w:rsidRDefault="00340616" w:rsidP="00A632E3">
      <w:pPr>
        <w:pStyle w:val="Heading1Numbered"/>
      </w:pPr>
      <w:bookmarkStart w:id="81" w:name="_Toc491870798"/>
      <w:bookmarkStart w:id="82" w:name="_Toc491871060"/>
      <w:bookmarkStart w:id="83" w:name="_Toc491871121"/>
      <w:bookmarkStart w:id="84" w:name="_Toc491871182"/>
      <w:bookmarkStart w:id="85" w:name="_Toc491871241"/>
      <w:bookmarkStart w:id="86" w:name="_Toc421777611"/>
      <w:bookmarkStart w:id="87" w:name="_Toc467773965"/>
      <w:bookmarkStart w:id="88" w:name="_Toc492882546"/>
      <w:bookmarkStart w:id="89" w:name="_Toc421777601"/>
      <w:bookmarkEnd w:id="81"/>
      <w:bookmarkEnd w:id="82"/>
      <w:bookmarkEnd w:id="83"/>
      <w:bookmarkEnd w:id="84"/>
      <w:bookmarkEnd w:id="85"/>
      <w:r>
        <w:lastRenderedPageBreak/>
        <w:t>The grant application p</w:t>
      </w:r>
      <w:r w:rsidRPr="00B72EE8">
        <w:t>rocess</w:t>
      </w:r>
      <w:bookmarkEnd w:id="86"/>
      <w:bookmarkEnd w:id="87"/>
      <w:bookmarkEnd w:id="88"/>
    </w:p>
    <w:p w:rsidR="00340616" w:rsidRPr="009D325B" w:rsidRDefault="00340616" w:rsidP="003717CD">
      <w:pPr>
        <w:pStyle w:val="Heading2Numbered"/>
      </w:pPr>
      <w:bookmarkStart w:id="90" w:name="_Toc421777612"/>
      <w:bookmarkStart w:id="91" w:name="_Toc467773966"/>
      <w:bookmarkStart w:id="92" w:name="_Toc492882547"/>
      <w:r w:rsidRPr="009D325B">
        <w:t>Overview of application process</w:t>
      </w:r>
      <w:bookmarkEnd w:id="90"/>
      <w:bookmarkEnd w:id="91"/>
      <w:bookmarkEnd w:id="92"/>
    </w:p>
    <w:p w:rsidR="00340616" w:rsidRPr="00B72EE8" w:rsidRDefault="00340616" w:rsidP="00340616">
      <w:r>
        <w:t>You</w:t>
      </w:r>
      <w:r w:rsidRPr="00B72EE8">
        <w:t xml:space="preserve"> </w:t>
      </w:r>
      <w:r>
        <w:t>must</w:t>
      </w:r>
      <w:r w:rsidRPr="00B72EE8">
        <w:t xml:space="preserve"> read these grant guidelines, </w:t>
      </w:r>
      <w:r w:rsidRPr="0028767B">
        <w:t>the application form</w:t>
      </w:r>
      <w:r w:rsidR="008E0A9C">
        <w:t>,</w:t>
      </w:r>
      <w:r w:rsidRPr="0028767B">
        <w:t xml:space="preserve"> the</w:t>
      </w:r>
      <w:r w:rsidR="008E0A9C">
        <w:t xml:space="preserve"> ESA maps </w:t>
      </w:r>
      <w:r w:rsidRPr="00B72EE8">
        <w:t xml:space="preserve">and the </w:t>
      </w:r>
      <w:r w:rsidR="008E0A9C">
        <w:t>standard</w:t>
      </w:r>
      <w:r w:rsidR="008E0A9C" w:rsidRPr="0028767B">
        <w:t xml:space="preserve"> </w:t>
      </w:r>
      <w:r w:rsidRPr="0028767B">
        <w:t xml:space="preserve">grant agreement </w:t>
      </w:r>
      <w:r w:rsidR="008E0A9C">
        <w:t>terms and conditions</w:t>
      </w:r>
      <w:r w:rsidRPr="00A632E3">
        <w:rPr>
          <w:color w:val="745B00" w:themeColor="accent3" w:themeShade="80"/>
        </w:rPr>
        <w:t xml:space="preserve"> </w:t>
      </w:r>
      <w:r>
        <w:t>before you</w:t>
      </w:r>
      <w:r w:rsidRPr="00B72EE8">
        <w:t xml:space="preserve"> submit an application. </w:t>
      </w:r>
    </w:p>
    <w:p w:rsidR="00340616" w:rsidRPr="00B72EE8"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rsidR="00340616" w:rsidRDefault="00340616" w:rsidP="00340616">
      <w:r>
        <w:t>You</w:t>
      </w:r>
      <w:r w:rsidRPr="00B72EE8">
        <w:t xml:space="preserve"> </w:t>
      </w:r>
      <w:r>
        <w:t>must</w:t>
      </w:r>
      <w:r w:rsidRPr="00B72EE8">
        <w:t xml:space="preserve"> </w:t>
      </w:r>
      <w:r w:rsidR="00BF250D">
        <w:t>meet</w:t>
      </w:r>
      <w:r w:rsidR="00BF250D" w:rsidRPr="00B72EE8">
        <w:t xml:space="preserve"> </w:t>
      </w:r>
      <w:r w:rsidRPr="00B72EE8">
        <w:t>all of the eligibility</w:t>
      </w:r>
      <w:r w:rsidR="009D7369">
        <w:t xml:space="preserve"> requirements,</w:t>
      </w:r>
      <w:r>
        <w:t xml:space="preserve"> </w:t>
      </w:r>
      <w:r w:rsidR="00BF250D">
        <w:t xml:space="preserve">address all </w:t>
      </w:r>
      <w:r w:rsidRPr="00B72EE8">
        <w:t>assessment criteria</w:t>
      </w:r>
      <w:r w:rsidR="009D7369">
        <w:t xml:space="preserve"> and complete and attach all relevant attachments</w:t>
      </w:r>
      <w:r w:rsidRPr="00B72EE8">
        <w:t xml:space="preserve"> to be considered for </w:t>
      </w:r>
      <w:r>
        <w:t>a grant</w:t>
      </w:r>
      <w:r w:rsidRPr="00B72EE8">
        <w:t xml:space="preserve">. </w:t>
      </w:r>
      <w:r>
        <w:t>Please</w:t>
      </w:r>
      <w:r w:rsidRPr="00B72EE8">
        <w:t xml:space="preserve"> complete each </w:t>
      </w:r>
      <w:r w:rsidRPr="004C3A3D">
        <w:t>section of the application form and make sure you provide the information we have requested.</w:t>
      </w:r>
      <w:r w:rsidR="00DF03BB" w:rsidRPr="004C3A3D">
        <w:t xml:space="preserve"> Financial viability information may be requested for assessment at a later date if required.</w:t>
      </w:r>
      <w:r w:rsidR="00DF03BB">
        <w:t xml:space="preserve"> </w:t>
      </w:r>
    </w:p>
    <w:p w:rsidR="00C117A1" w:rsidRPr="00B72EE8" w:rsidRDefault="00C117A1" w:rsidP="00340616">
      <w:r>
        <w:rPr>
          <w:rFonts w:cstheme="minorHAnsi"/>
        </w:rPr>
        <w:t>If more than one application per organisation is received, the latest eligible application will be progressed.</w:t>
      </w:r>
    </w:p>
    <w:p w:rsidR="00340616" w:rsidRDefault="00340616" w:rsidP="00340616">
      <w:r>
        <w:t>Please</w:t>
      </w:r>
      <w:r w:rsidRPr="00B72EE8">
        <w:t xml:space="preserve"> keep a copy of your applica</w:t>
      </w:r>
      <w:r>
        <w:t>tion and any supporting papers</w:t>
      </w:r>
      <w:r w:rsidRPr="00B72EE8">
        <w:t xml:space="preserve">. </w:t>
      </w:r>
    </w:p>
    <w:p w:rsidR="00340616" w:rsidRPr="00B72EE8" w:rsidRDefault="00340616" w:rsidP="003717CD">
      <w:pPr>
        <w:pStyle w:val="Heading2Numbered"/>
      </w:pPr>
      <w:bookmarkStart w:id="93" w:name="_Toc467773967"/>
      <w:bookmarkStart w:id="94" w:name="_Toc492882548"/>
      <w:bookmarkStart w:id="95" w:name="_Toc421777613"/>
      <w:bookmarkStart w:id="96" w:name="_Ref421787098"/>
      <w:bookmarkStart w:id="97" w:name="_Ref422127559"/>
      <w:bookmarkStart w:id="98" w:name="_Ref422128505"/>
      <w:r>
        <w:t>Application p</w:t>
      </w:r>
      <w:r w:rsidRPr="00B72EE8">
        <w:t xml:space="preserve">rocess </w:t>
      </w:r>
      <w:r>
        <w:t>t</w:t>
      </w:r>
      <w:r w:rsidRPr="00B72EE8">
        <w:t>iming</w:t>
      </w:r>
      <w:bookmarkEnd w:id="93"/>
      <w:bookmarkEnd w:id="94"/>
      <w:r w:rsidRPr="00B72EE8">
        <w:t xml:space="preserve"> </w:t>
      </w:r>
      <w:bookmarkEnd w:id="95"/>
      <w:bookmarkEnd w:id="96"/>
      <w:bookmarkEnd w:id="97"/>
      <w:bookmarkEnd w:id="98"/>
    </w:p>
    <w:p w:rsidR="00E77A78" w:rsidRDefault="0027254A" w:rsidP="0027254A">
      <w:bookmarkStart w:id="99" w:name="_Toc467773968"/>
      <w:r w:rsidRPr="00F96DD8">
        <w:t xml:space="preserve">Submit your application by the closing time and date below. </w:t>
      </w:r>
    </w:p>
    <w:p w:rsidR="00E77A78" w:rsidRDefault="000B7A42" w:rsidP="0027254A">
      <w:r>
        <w:t xml:space="preserve">Late applications will be dealt with in accordance with the </w:t>
      </w:r>
      <w:r w:rsidRPr="0027254A">
        <w:t xml:space="preserve">Community Grants Hub’s </w:t>
      </w:r>
      <w:hyperlink r:id="rId17" w:tooltip="late application policy" w:history="1">
        <w:r w:rsidRPr="0027254A">
          <w:rPr>
            <w:rStyle w:val="Hyperlink"/>
          </w:rPr>
          <w:t>late application policy</w:t>
        </w:r>
      </w:hyperlink>
      <w:r>
        <w:rPr>
          <w:rStyle w:val="Hyperlink"/>
        </w:rPr>
        <w:t>.</w:t>
      </w:r>
    </w:p>
    <w:p w:rsidR="0027254A" w:rsidRPr="00F96DD8" w:rsidRDefault="0027254A" w:rsidP="0027254A">
      <w:r w:rsidRPr="00F96DD8">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27254A" w:rsidRPr="00F96DD8" w:rsidRDefault="0027254A" w:rsidP="002600F0">
      <w:pPr>
        <w:numPr>
          <w:ilvl w:val="0"/>
          <w:numId w:val="18"/>
        </w:numPr>
        <w:suppressAutoHyphens w:val="0"/>
        <w:spacing w:before="0" w:after="0" w:line="240" w:lineRule="auto"/>
        <w:ind w:left="426" w:hanging="357"/>
      </w:pPr>
      <w:r w:rsidRPr="00F96DD8">
        <w:t>Community Grants Hub infrastructure failures</w:t>
      </w:r>
    </w:p>
    <w:p w:rsidR="0027254A" w:rsidRPr="00F96DD8" w:rsidRDefault="0027254A" w:rsidP="002600F0">
      <w:pPr>
        <w:numPr>
          <w:ilvl w:val="0"/>
          <w:numId w:val="18"/>
        </w:numPr>
        <w:suppressAutoHyphens w:val="0"/>
        <w:spacing w:before="0" w:after="0" w:line="240" w:lineRule="auto"/>
        <w:ind w:left="426" w:hanging="357"/>
      </w:pPr>
      <w:r w:rsidRPr="00F96DD8">
        <w:t>natural disasters</w:t>
      </w:r>
    </w:p>
    <w:p w:rsidR="0027254A" w:rsidRPr="00F96DD8" w:rsidRDefault="0027254A" w:rsidP="002600F0">
      <w:pPr>
        <w:numPr>
          <w:ilvl w:val="0"/>
          <w:numId w:val="18"/>
        </w:numPr>
        <w:suppressAutoHyphens w:val="0"/>
        <w:spacing w:before="0" w:after="0" w:line="240" w:lineRule="auto"/>
        <w:ind w:left="426" w:hanging="357"/>
      </w:pPr>
      <w:r w:rsidRPr="00F96DD8">
        <w:t>power outages affecting the ability of the applicant to submit their application by the deadline</w:t>
      </w:r>
      <w:r w:rsidR="00620034">
        <w:t>,</w:t>
      </w:r>
      <w:r w:rsidR="00620034" w:rsidRPr="00F96DD8">
        <w:t xml:space="preserve"> </w:t>
      </w:r>
      <w:r w:rsidRPr="00F96DD8">
        <w:t>and</w:t>
      </w:r>
    </w:p>
    <w:p w:rsidR="0027254A" w:rsidRPr="00F96DD8" w:rsidRDefault="0027254A" w:rsidP="002600F0">
      <w:pPr>
        <w:numPr>
          <w:ilvl w:val="0"/>
          <w:numId w:val="18"/>
        </w:numPr>
        <w:suppressAutoHyphens w:val="0"/>
        <w:spacing w:before="0" w:after="0" w:line="240" w:lineRule="auto"/>
        <w:ind w:left="426" w:hanging="357"/>
      </w:pPr>
      <w:proofErr w:type="gramStart"/>
      <w:r w:rsidRPr="00F96DD8">
        <w:t>death</w:t>
      </w:r>
      <w:proofErr w:type="gramEnd"/>
      <w:r w:rsidRPr="00F96DD8">
        <w:t xml:space="preserve"> or disability of key personnel.</w:t>
      </w:r>
    </w:p>
    <w:p w:rsidR="0027254A" w:rsidRPr="00E51BD6" w:rsidRDefault="0027254A" w:rsidP="0027254A">
      <w:r w:rsidRPr="0027254A">
        <w:t xml:space="preserve">Information on the Community Grants Hub’s </w:t>
      </w:r>
      <w:hyperlink r:id="rId18" w:tooltip="late application policy" w:history="1">
        <w:r w:rsidRPr="0027254A">
          <w:rPr>
            <w:rStyle w:val="Hyperlink"/>
          </w:rPr>
          <w:t>late application policy</w:t>
        </w:r>
      </w:hyperlink>
      <w:r w:rsidRPr="0027254A">
        <w:t xml:space="preserve"> is available on the </w:t>
      </w:r>
      <w:hyperlink r:id="rId19" w:tooltip="late application policy" w:history="1">
        <w:r w:rsidRPr="0027254A">
          <w:rPr>
            <w:rStyle w:val="Hyperlink"/>
          </w:rPr>
          <w:t>Community Grants Hub</w:t>
        </w:r>
      </w:hyperlink>
      <w:r w:rsidRPr="0027254A">
        <w:t xml:space="preserve"> website/GrantConnect.</w:t>
      </w:r>
    </w:p>
    <w:p w:rsidR="0027254A" w:rsidRDefault="0027254A" w:rsidP="0027254A">
      <w:r w:rsidRPr="0027254A">
        <w:t xml:space="preserve">The expected start date for the </w:t>
      </w:r>
      <w:r w:rsidR="001A3F25">
        <w:t xml:space="preserve">Assessment Services </w:t>
      </w:r>
      <w:r w:rsidRPr="0027254A">
        <w:t>is 1 July 2018 and the expected end date is 30 June 2023</w:t>
      </w:r>
      <w:r w:rsidR="001A3F25">
        <w:t>, unless the Department</w:t>
      </w:r>
      <w:r w:rsidR="00C54F47">
        <w:t xml:space="preserve"> of Social Services</w:t>
      </w:r>
      <w:r w:rsidR="001A3F25">
        <w:t xml:space="preserve"> extends the Grant Agreement </w:t>
      </w:r>
      <w:r w:rsidR="00C54F47">
        <w:t>at</w:t>
      </w:r>
      <w:r w:rsidR="001A3F25">
        <w:t xml:space="preserve"> its discretion</w:t>
      </w:r>
      <w:r w:rsidR="00307B1A">
        <w:t>.</w:t>
      </w:r>
    </w:p>
    <w:p w:rsidR="00E77A78" w:rsidRPr="0027254A" w:rsidRDefault="00E77A78" w:rsidP="0027254A"/>
    <w:p w:rsidR="0054078D" w:rsidRDefault="0054078D" w:rsidP="0027254A">
      <w:pPr>
        <w:pStyle w:val="Caption"/>
        <w:keepNext/>
      </w:pPr>
      <w:r w:rsidRPr="0054078D">
        <w:rPr>
          <w:bCs/>
          <w:iCs w:val="0"/>
        </w:rPr>
        <w:lastRenderedPageBreak/>
        <w:t xml:space="preserve">Table </w:t>
      </w:r>
      <w:r w:rsidR="00FC7AF8">
        <w:rPr>
          <w:bCs/>
          <w:iCs w:val="0"/>
        </w:rPr>
        <w:t>3</w:t>
      </w:r>
      <w:r w:rsidRPr="0054078D">
        <w:rPr>
          <w:bCs/>
          <w:iCs w:val="0"/>
        </w:rPr>
        <w:t>: Expected timing for this grant opportunity</w:t>
      </w:r>
      <w:bookmarkEnd w:id="99"/>
      <w:r w:rsidRPr="0054078D">
        <w:t xml:space="preserve"> </w:t>
      </w:r>
    </w:p>
    <w:tbl>
      <w:tblPr>
        <w:tblStyle w:val="Finance1"/>
        <w:tblW w:w="8789" w:type="dxa"/>
        <w:tblLook w:val="0660" w:firstRow="1" w:lastRow="1" w:firstColumn="0" w:lastColumn="0" w:noHBand="1" w:noVBand="1"/>
        <w:tblCaption w:val="Table 3. Expected timing for this grant opportunity"/>
        <w:tblDescription w:val="Lists application period including opening and closing dates and timing for the assessment of applications and approval and notifications."/>
      </w:tblPr>
      <w:tblGrid>
        <w:gridCol w:w="5387"/>
        <w:gridCol w:w="3402"/>
      </w:tblGrid>
      <w:tr w:rsidR="0054078D" w:rsidTr="003E60A5">
        <w:trPr>
          <w:cnfStyle w:val="100000000000" w:firstRow="1" w:lastRow="0" w:firstColumn="0" w:lastColumn="0" w:oddVBand="0" w:evenVBand="0" w:oddHBand="0" w:evenHBand="0" w:firstRowFirstColumn="0" w:firstRowLastColumn="0" w:lastRowFirstColumn="0" w:lastRowLastColumn="0"/>
        </w:trPr>
        <w:tc>
          <w:tcPr>
            <w:tcW w:w="5387" w:type="dxa"/>
          </w:tcPr>
          <w:p w:rsidR="0054078D" w:rsidRDefault="0054078D" w:rsidP="00E44E21">
            <w:pPr>
              <w:pStyle w:val="TableText"/>
            </w:pPr>
            <w:r>
              <w:t>Activity</w:t>
            </w:r>
          </w:p>
        </w:tc>
        <w:tc>
          <w:tcPr>
            <w:tcW w:w="3402" w:type="dxa"/>
          </w:tcPr>
          <w:p w:rsidR="0054078D" w:rsidRDefault="0054078D" w:rsidP="0054078D">
            <w:pPr>
              <w:pStyle w:val="TableText"/>
              <w:jc w:val="center"/>
            </w:pPr>
            <w:r>
              <w:t>Timeframe</w:t>
            </w:r>
          </w:p>
        </w:tc>
      </w:tr>
      <w:tr w:rsidR="0054078D" w:rsidTr="0054078D">
        <w:tc>
          <w:tcPr>
            <w:tcW w:w="5387" w:type="dxa"/>
          </w:tcPr>
          <w:p w:rsidR="0054078D" w:rsidRPr="000D60B1" w:rsidRDefault="0054078D" w:rsidP="0054078D">
            <w:pPr>
              <w:pStyle w:val="TableText"/>
            </w:pPr>
            <w:r>
              <w:t>Application period</w:t>
            </w:r>
            <w:r w:rsidRPr="000D60B1">
              <w:t xml:space="preserve"> </w:t>
            </w:r>
          </w:p>
        </w:tc>
        <w:tc>
          <w:tcPr>
            <w:tcW w:w="3402" w:type="dxa"/>
          </w:tcPr>
          <w:p w:rsidR="0054078D" w:rsidRPr="0054078D" w:rsidRDefault="0054078D" w:rsidP="0027254A">
            <w:pPr>
              <w:pStyle w:val="TableText"/>
            </w:pPr>
            <w:r w:rsidRPr="0054078D">
              <w:t xml:space="preserve">Open: </w:t>
            </w:r>
            <w:r w:rsidR="0027254A">
              <w:t>1</w:t>
            </w:r>
            <w:r w:rsidR="007B5BDB">
              <w:t>1</w:t>
            </w:r>
            <w:r w:rsidR="0027254A">
              <w:t>/09/2017</w:t>
            </w:r>
            <w:r w:rsidRPr="0054078D">
              <w:br/>
              <w:t xml:space="preserve">Close: </w:t>
            </w:r>
            <w:r w:rsidR="0027254A">
              <w:t>2.00pm AEDT 24/1</w:t>
            </w:r>
            <w:r w:rsidR="007B5BDB">
              <w:t>0</w:t>
            </w:r>
            <w:r w:rsidR="0027254A">
              <w:t>/2017</w:t>
            </w:r>
          </w:p>
        </w:tc>
      </w:tr>
      <w:tr w:rsidR="0054078D" w:rsidTr="0054078D">
        <w:tc>
          <w:tcPr>
            <w:tcW w:w="5387" w:type="dxa"/>
          </w:tcPr>
          <w:p w:rsidR="0054078D" w:rsidRPr="00B72EE8" w:rsidRDefault="0054078D" w:rsidP="0054078D">
            <w:pPr>
              <w:pStyle w:val="TableText"/>
            </w:pPr>
            <w:r w:rsidRPr="00B72EE8">
              <w:t>Assessment of applications</w:t>
            </w:r>
          </w:p>
        </w:tc>
        <w:tc>
          <w:tcPr>
            <w:tcW w:w="3402" w:type="dxa"/>
          </w:tcPr>
          <w:p w:rsidR="0054078D" w:rsidRPr="0054078D" w:rsidRDefault="0054078D" w:rsidP="00D03409">
            <w:pPr>
              <w:pStyle w:val="TableText"/>
            </w:pPr>
            <w:r w:rsidRPr="0054078D">
              <w:t xml:space="preserve">4 weeks </w:t>
            </w:r>
          </w:p>
        </w:tc>
      </w:tr>
      <w:tr w:rsidR="0054078D" w:rsidTr="0054078D">
        <w:tc>
          <w:tcPr>
            <w:tcW w:w="5387" w:type="dxa"/>
          </w:tcPr>
          <w:p w:rsidR="0054078D" w:rsidRPr="00B72EE8" w:rsidRDefault="0054078D" w:rsidP="00555832">
            <w:pPr>
              <w:pStyle w:val="TableText"/>
            </w:pPr>
            <w:r w:rsidRPr="00B72EE8">
              <w:t>Approval of outcomes of selection process</w:t>
            </w:r>
          </w:p>
        </w:tc>
        <w:tc>
          <w:tcPr>
            <w:tcW w:w="3402" w:type="dxa"/>
          </w:tcPr>
          <w:p w:rsidR="0054078D" w:rsidRPr="0054078D" w:rsidRDefault="0054078D" w:rsidP="00D03409">
            <w:pPr>
              <w:pStyle w:val="TableText"/>
            </w:pPr>
            <w:r w:rsidRPr="0054078D">
              <w:t xml:space="preserve">4 weeks </w:t>
            </w:r>
          </w:p>
        </w:tc>
      </w:tr>
      <w:tr w:rsidR="0054078D" w:rsidTr="0054078D">
        <w:tc>
          <w:tcPr>
            <w:tcW w:w="5387" w:type="dxa"/>
          </w:tcPr>
          <w:p w:rsidR="0054078D" w:rsidRPr="00B72EE8" w:rsidRDefault="0054078D" w:rsidP="001A3F25">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rsidR="0054078D" w:rsidRPr="0054078D" w:rsidRDefault="0054078D" w:rsidP="00D03409">
            <w:pPr>
              <w:pStyle w:val="TableText"/>
            </w:pPr>
            <w:r w:rsidRPr="0054078D">
              <w:t xml:space="preserve">1-3 weeks </w:t>
            </w:r>
          </w:p>
        </w:tc>
      </w:tr>
      <w:tr w:rsidR="0054078D" w:rsidTr="0054078D">
        <w:tc>
          <w:tcPr>
            <w:tcW w:w="5387" w:type="dxa"/>
          </w:tcPr>
          <w:p w:rsidR="0054078D" w:rsidRPr="00B72EE8" w:rsidRDefault="0054078D" w:rsidP="0054078D">
            <w:pPr>
              <w:pStyle w:val="TableText"/>
            </w:pPr>
            <w:r w:rsidRPr="00B72EE8">
              <w:t>Notification to unsuccessful applicants</w:t>
            </w:r>
          </w:p>
        </w:tc>
        <w:tc>
          <w:tcPr>
            <w:tcW w:w="3402" w:type="dxa"/>
          </w:tcPr>
          <w:p w:rsidR="0054078D" w:rsidRPr="0054078D" w:rsidRDefault="0054078D" w:rsidP="00D03409">
            <w:pPr>
              <w:pStyle w:val="TableText"/>
            </w:pPr>
            <w:r w:rsidRPr="0054078D">
              <w:t>2 weeks</w:t>
            </w:r>
          </w:p>
        </w:tc>
      </w:tr>
      <w:tr w:rsidR="0054078D" w:rsidTr="0054078D">
        <w:tc>
          <w:tcPr>
            <w:tcW w:w="5387" w:type="dxa"/>
          </w:tcPr>
          <w:p w:rsidR="0054078D" w:rsidRDefault="001A3F25" w:rsidP="0054078D">
            <w:pPr>
              <w:pStyle w:val="TableText"/>
            </w:pPr>
            <w:r>
              <w:t xml:space="preserve">Assessment Services </w:t>
            </w:r>
            <w:r w:rsidR="0054078D">
              <w:t>commence</w:t>
            </w:r>
          </w:p>
        </w:tc>
        <w:tc>
          <w:tcPr>
            <w:tcW w:w="3402" w:type="dxa"/>
          </w:tcPr>
          <w:p w:rsidR="0054078D" w:rsidRPr="0054078D" w:rsidRDefault="00D03409" w:rsidP="0054078D">
            <w:pPr>
              <w:pStyle w:val="TableText"/>
            </w:pPr>
            <w:r>
              <w:t>01/07/2018</w:t>
            </w:r>
          </w:p>
        </w:tc>
      </w:tr>
      <w:tr w:rsidR="0054078D" w:rsidTr="0054078D">
        <w:trPr>
          <w:cnfStyle w:val="010000000000" w:firstRow="0" w:lastRow="1" w:firstColumn="0" w:lastColumn="0" w:oddVBand="0" w:evenVBand="0" w:oddHBand="0" w:evenHBand="0" w:firstRowFirstColumn="0" w:firstRowLastColumn="0" w:lastRowFirstColumn="0" w:lastRowLastColumn="0"/>
          <w:trHeight w:val="146"/>
        </w:trPr>
        <w:tc>
          <w:tcPr>
            <w:tcW w:w="5387" w:type="dxa"/>
          </w:tcPr>
          <w:p w:rsidR="0054078D" w:rsidRPr="00A32064" w:rsidRDefault="00A32064" w:rsidP="0054078D">
            <w:pPr>
              <w:pStyle w:val="TableText"/>
              <w:rPr>
                <w:color w:val="000000" w:themeColor="text1"/>
              </w:rPr>
            </w:pPr>
            <w:r w:rsidRPr="00A32064">
              <w:rPr>
                <w:color w:val="000000" w:themeColor="text1"/>
              </w:rPr>
              <w:t>End of table</w:t>
            </w:r>
          </w:p>
        </w:tc>
        <w:tc>
          <w:tcPr>
            <w:tcW w:w="3402" w:type="dxa"/>
          </w:tcPr>
          <w:p w:rsidR="0054078D" w:rsidRPr="000D60B1" w:rsidRDefault="0054078D" w:rsidP="0054078D">
            <w:pPr>
              <w:pStyle w:val="TableText"/>
            </w:pPr>
          </w:p>
        </w:tc>
      </w:tr>
    </w:tbl>
    <w:p w:rsidR="00340616" w:rsidRPr="00B72EE8" w:rsidRDefault="00340616" w:rsidP="003717CD">
      <w:pPr>
        <w:pStyle w:val="Heading2Numbered"/>
      </w:pPr>
      <w:bookmarkStart w:id="100" w:name="_Toc421777614"/>
      <w:bookmarkStart w:id="101" w:name="_Toc433641169"/>
      <w:bookmarkStart w:id="102" w:name="_Toc467773969"/>
      <w:bookmarkStart w:id="103" w:name="_Toc492882549"/>
      <w:r>
        <w:t>Co</w:t>
      </w:r>
      <w:r w:rsidRPr="005256E1">
        <w:t>mpleti</w:t>
      </w:r>
      <w:r>
        <w:t>ng the grant a</w:t>
      </w:r>
      <w:r w:rsidRPr="00B72EE8">
        <w:t>pplication</w:t>
      </w:r>
      <w:bookmarkEnd w:id="100"/>
      <w:bookmarkEnd w:id="101"/>
      <w:bookmarkEnd w:id="102"/>
      <w:bookmarkEnd w:id="103"/>
    </w:p>
    <w:p w:rsidR="00340616" w:rsidRDefault="00340616" w:rsidP="00340616">
      <w:r>
        <w:t>You must submit your</w:t>
      </w:r>
      <w:r w:rsidR="009C4265">
        <w:t xml:space="preserve"> </w:t>
      </w:r>
      <w:r>
        <w:t>grant a</w:t>
      </w:r>
      <w:r w:rsidRPr="00B72EE8">
        <w:t>pplication on the application form, w</w:t>
      </w:r>
      <w:r>
        <w:t>hich can be downloaded at</w:t>
      </w:r>
      <w:r w:rsidR="009C4265">
        <w:t xml:space="preserve"> </w:t>
      </w:r>
      <w:hyperlink r:id="rId20" w:history="1">
        <w:r w:rsidR="009C4265" w:rsidRPr="00A92A2E">
          <w:rPr>
            <w:rStyle w:val="Hyperlink"/>
            <w:rFonts w:cstheme="minorBidi"/>
          </w:rPr>
          <w:t>GrantConnect</w:t>
        </w:r>
      </w:hyperlink>
      <w:r w:rsidR="00A92A2E">
        <w:t xml:space="preserve"> </w:t>
      </w:r>
      <w:r w:rsidR="009C4265">
        <w:t xml:space="preserve">and </w:t>
      </w:r>
      <w:r w:rsidR="00A92A2E">
        <w:t xml:space="preserve">the </w:t>
      </w:r>
      <w:hyperlink r:id="rId21" w:history="1">
        <w:r w:rsidR="009C4265" w:rsidRPr="00A92A2E">
          <w:rPr>
            <w:rStyle w:val="Hyperlink"/>
            <w:rFonts w:cstheme="minorBidi"/>
          </w:rPr>
          <w:t xml:space="preserve">Community Grants </w:t>
        </w:r>
        <w:r w:rsidR="00925ECE" w:rsidRPr="00A92A2E">
          <w:rPr>
            <w:rStyle w:val="Hyperlink"/>
            <w:rFonts w:cstheme="minorBidi"/>
          </w:rPr>
          <w:t>Hub</w:t>
        </w:r>
      </w:hyperlink>
      <w:r w:rsidR="005256E1">
        <w:rPr>
          <w:rStyle w:val="Hyperlink"/>
          <w:rFonts w:cstheme="minorBidi"/>
        </w:rPr>
        <w:t xml:space="preserve"> websites</w:t>
      </w:r>
      <w:r w:rsidRPr="00103A95">
        <w:rPr>
          <w:rStyle w:val="highlightedtextChar"/>
        </w:rPr>
        <w:t xml:space="preserve">. </w:t>
      </w:r>
      <w:r w:rsidRPr="00103A95">
        <w:t xml:space="preserve">The application form includes help information. </w:t>
      </w:r>
    </w:p>
    <w:p w:rsidR="00984B3C" w:rsidRPr="004475DB" w:rsidRDefault="00984B3C" w:rsidP="00984B3C">
      <w:r w:rsidRPr="004475DB">
        <w:t xml:space="preserve">This is an online application form that you must submit electronically. If you have any technical difficulties please contact 1800 020 283 or email </w:t>
      </w:r>
      <w:hyperlink r:id="rId22" w:history="1">
        <w:r w:rsidRPr="004475DB">
          <w:rPr>
            <w:rStyle w:val="Hyperlink"/>
          </w:rPr>
          <w:t>support@communitygrants.gov.au</w:t>
        </w:r>
      </w:hyperlink>
      <w:r w:rsidRPr="004475DB">
        <w:t>.</w:t>
      </w:r>
    </w:p>
    <w:p w:rsidR="006A4D7D" w:rsidRDefault="006A4D7D" w:rsidP="006A4D7D">
      <w:pPr>
        <w:pStyle w:val="BodyIndent0"/>
        <w:rPr>
          <w:rFonts w:ascii="Arial" w:hAnsi="Arial" w:cs="Arial"/>
          <w:sz w:val="22"/>
          <w:szCs w:val="22"/>
        </w:rPr>
      </w:pPr>
    </w:p>
    <w:p w:rsidR="006A4D7D" w:rsidRPr="00615452" w:rsidRDefault="006A4D7D" w:rsidP="006A4D7D">
      <w:pPr>
        <w:pStyle w:val="BodyIndent0"/>
        <w:rPr>
          <w:rFonts w:ascii="Arial" w:hAnsi="Arial" w:cs="Arial"/>
          <w:sz w:val="22"/>
          <w:szCs w:val="22"/>
        </w:rPr>
      </w:pPr>
      <w:r w:rsidRPr="00615452">
        <w:rPr>
          <w:rFonts w:ascii="Arial" w:hAnsi="Arial" w:cs="Arial"/>
          <w:sz w:val="22"/>
          <w:szCs w:val="22"/>
        </w:rPr>
        <w:t>Applicants are required to indicate</w:t>
      </w:r>
      <w:r>
        <w:rPr>
          <w:rFonts w:ascii="Arial" w:hAnsi="Arial" w:cs="Arial"/>
          <w:sz w:val="22"/>
          <w:szCs w:val="22"/>
        </w:rPr>
        <w:t xml:space="preserve"> in the Coverage of Service template (at </w:t>
      </w:r>
      <w:r>
        <w:rPr>
          <w:rFonts w:ascii="Arial" w:hAnsi="Arial" w:cs="Arial"/>
          <w:b/>
          <w:sz w:val="22"/>
          <w:szCs w:val="22"/>
        </w:rPr>
        <w:t>Attachment A)</w:t>
      </w:r>
      <w:r w:rsidRPr="00615452">
        <w:rPr>
          <w:rFonts w:ascii="Arial" w:hAnsi="Arial" w:cs="Arial"/>
          <w:sz w:val="22"/>
          <w:szCs w:val="22"/>
        </w:rPr>
        <w:t xml:space="preserve"> whether they are applying to deliver the nominated Assessment Services nationally or by Employment Ser</w:t>
      </w:r>
      <w:r>
        <w:rPr>
          <w:rFonts w:ascii="Arial" w:hAnsi="Arial" w:cs="Arial"/>
          <w:sz w:val="22"/>
          <w:szCs w:val="22"/>
        </w:rPr>
        <w:t>vice Area (ESA). Applicants that wish to deliver services by ESA must select which ESAs they wish to deliver Assessment Services in.</w:t>
      </w:r>
      <w:r w:rsidRPr="00615452">
        <w:rPr>
          <w:rFonts w:ascii="Arial" w:hAnsi="Arial" w:cs="Arial"/>
          <w:sz w:val="22"/>
          <w:szCs w:val="22"/>
        </w:rPr>
        <w:t xml:space="preserve"> A list of ESA’s is </w:t>
      </w:r>
      <w:r>
        <w:rPr>
          <w:rFonts w:ascii="Arial" w:hAnsi="Arial" w:cs="Arial"/>
          <w:sz w:val="22"/>
          <w:szCs w:val="22"/>
        </w:rPr>
        <w:t xml:space="preserve">in the Coverage of Service template and the ESA maps – both available from the </w:t>
      </w:r>
      <w:hyperlink r:id="rId23" w:history="1">
        <w:r w:rsidRPr="0028115B">
          <w:rPr>
            <w:rStyle w:val="Hyperlink"/>
            <w:rFonts w:ascii="Arial" w:hAnsi="Arial" w:cs="Arial"/>
            <w:sz w:val="22"/>
            <w:szCs w:val="22"/>
          </w:rPr>
          <w:t>GrantConnect</w:t>
        </w:r>
      </w:hyperlink>
      <w:r>
        <w:rPr>
          <w:rFonts w:ascii="Arial" w:hAnsi="Arial" w:cs="Arial"/>
          <w:sz w:val="22"/>
          <w:szCs w:val="22"/>
        </w:rPr>
        <w:t xml:space="preserve"> and </w:t>
      </w:r>
      <w:hyperlink r:id="rId24" w:history="1">
        <w:r w:rsidRPr="0028115B">
          <w:rPr>
            <w:rStyle w:val="Hyperlink"/>
            <w:rFonts w:ascii="Arial" w:hAnsi="Arial" w:cs="Arial"/>
            <w:sz w:val="22"/>
            <w:szCs w:val="22"/>
          </w:rPr>
          <w:t>Community Grants Hub</w:t>
        </w:r>
      </w:hyperlink>
      <w:r>
        <w:rPr>
          <w:rFonts w:ascii="Arial" w:hAnsi="Arial" w:cs="Arial"/>
          <w:sz w:val="22"/>
          <w:szCs w:val="22"/>
        </w:rPr>
        <w:t xml:space="preserve"> websites.</w:t>
      </w:r>
    </w:p>
    <w:p w:rsidR="006A4D7D" w:rsidRPr="00615452" w:rsidRDefault="006A4D7D" w:rsidP="006A4D7D">
      <w:pPr>
        <w:pStyle w:val="BodyIndent0"/>
        <w:rPr>
          <w:rFonts w:ascii="Arial" w:hAnsi="Arial" w:cs="Arial"/>
          <w:sz w:val="22"/>
          <w:szCs w:val="22"/>
        </w:rPr>
      </w:pPr>
      <w:r w:rsidRPr="00615452">
        <w:rPr>
          <w:rFonts w:ascii="Arial" w:hAnsi="Arial" w:cs="Arial"/>
          <w:sz w:val="22"/>
          <w:szCs w:val="22"/>
        </w:rPr>
        <w:t xml:space="preserve">Applicants should indicate in their application if they do not intend to cover all of an ESA. If Applicants are </w:t>
      </w:r>
      <w:r>
        <w:rPr>
          <w:rFonts w:ascii="Arial" w:hAnsi="Arial" w:cs="Arial"/>
          <w:sz w:val="22"/>
          <w:szCs w:val="22"/>
        </w:rPr>
        <w:t>applying</w:t>
      </w:r>
      <w:r w:rsidRPr="00615452">
        <w:rPr>
          <w:rFonts w:ascii="Arial" w:hAnsi="Arial" w:cs="Arial"/>
          <w:sz w:val="22"/>
          <w:szCs w:val="22"/>
        </w:rPr>
        <w:t xml:space="preserve"> to service part of an ESA,</w:t>
      </w:r>
      <w:r>
        <w:rPr>
          <w:rFonts w:ascii="Arial" w:hAnsi="Arial" w:cs="Arial"/>
          <w:sz w:val="22"/>
          <w:szCs w:val="22"/>
        </w:rPr>
        <w:t xml:space="preserve"> they will be required to provide, when requested,</w:t>
      </w:r>
      <w:r w:rsidRPr="00615452">
        <w:rPr>
          <w:rFonts w:ascii="Arial" w:hAnsi="Arial" w:cs="Arial"/>
          <w:sz w:val="22"/>
          <w:szCs w:val="22"/>
        </w:rPr>
        <w:t xml:space="preserve"> a detailed description of that part of the ESA. The description must be able to be understood by people not familiar with the location, and should preferably refer to identifiable geographical features that the Department of Social Services can identify on a map of the area.</w:t>
      </w:r>
    </w:p>
    <w:p w:rsidR="006A4D7D" w:rsidRPr="00615452" w:rsidRDefault="006A4D7D" w:rsidP="006A4D7D">
      <w:pPr>
        <w:pStyle w:val="BodyIndent0"/>
        <w:rPr>
          <w:rFonts w:ascii="Arial" w:hAnsi="Arial" w:cs="Arial"/>
          <w:sz w:val="22"/>
          <w:szCs w:val="22"/>
        </w:rPr>
      </w:pPr>
      <w:r w:rsidRPr="00615452">
        <w:rPr>
          <w:rFonts w:ascii="Arial" w:hAnsi="Arial" w:cs="Arial"/>
          <w:sz w:val="22"/>
          <w:szCs w:val="22"/>
        </w:rPr>
        <w:t xml:space="preserve">The Department of Social Services does not, and will not, guarantee to any party, including successful </w:t>
      </w:r>
      <w:r>
        <w:rPr>
          <w:rFonts w:ascii="Arial" w:hAnsi="Arial" w:cs="Arial"/>
          <w:sz w:val="22"/>
          <w:szCs w:val="22"/>
        </w:rPr>
        <w:t>a</w:t>
      </w:r>
      <w:r w:rsidRPr="00615452">
        <w:rPr>
          <w:rFonts w:ascii="Arial" w:hAnsi="Arial" w:cs="Arial"/>
          <w:sz w:val="22"/>
          <w:szCs w:val="22"/>
        </w:rPr>
        <w:t>pplicants for membership of the National Panel of Assessors, the allocation of a specified or minimum level of Assessment</w:t>
      </w:r>
      <w:r>
        <w:rPr>
          <w:rFonts w:ascii="Arial" w:hAnsi="Arial" w:cs="Arial"/>
          <w:sz w:val="22"/>
          <w:szCs w:val="22"/>
        </w:rPr>
        <w:t xml:space="preserve"> Services</w:t>
      </w:r>
      <w:r w:rsidRPr="00615452">
        <w:rPr>
          <w:rFonts w:ascii="Arial" w:hAnsi="Arial" w:cs="Arial"/>
          <w:sz w:val="22"/>
          <w:szCs w:val="22"/>
        </w:rPr>
        <w:t xml:space="preserve">. Successful </w:t>
      </w:r>
      <w:r>
        <w:rPr>
          <w:rFonts w:ascii="Arial" w:hAnsi="Arial" w:cs="Arial"/>
          <w:sz w:val="22"/>
          <w:szCs w:val="22"/>
        </w:rPr>
        <w:t>a</w:t>
      </w:r>
      <w:r w:rsidRPr="00615452">
        <w:rPr>
          <w:rFonts w:ascii="Arial" w:hAnsi="Arial" w:cs="Arial"/>
          <w:sz w:val="22"/>
          <w:szCs w:val="22"/>
        </w:rPr>
        <w:t>pplicants must be ready to commence delivering Assessment Services from 1 July 2018.</w:t>
      </w:r>
    </w:p>
    <w:p w:rsidR="006A4D7D" w:rsidRDefault="006A4D7D" w:rsidP="006A4D7D">
      <w:pPr>
        <w:pStyle w:val="BodyIndent0"/>
        <w:rPr>
          <w:rFonts w:ascii="Arial" w:hAnsi="Arial" w:cs="Arial"/>
          <w:sz w:val="22"/>
          <w:szCs w:val="22"/>
        </w:rPr>
      </w:pPr>
      <w:r w:rsidRPr="00615452">
        <w:rPr>
          <w:rFonts w:ascii="Arial" w:hAnsi="Arial" w:cs="Arial"/>
          <w:sz w:val="22"/>
          <w:szCs w:val="22"/>
        </w:rPr>
        <w:t xml:space="preserve">Applicants </w:t>
      </w:r>
      <w:r>
        <w:rPr>
          <w:rFonts w:ascii="Arial" w:hAnsi="Arial" w:cs="Arial"/>
          <w:sz w:val="22"/>
          <w:szCs w:val="22"/>
        </w:rPr>
        <w:t>applying</w:t>
      </w:r>
      <w:r w:rsidRPr="00615452">
        <w:rPr>
          <w:rFonts w:ascii="Arial" w:hAnsi="Arial" w:cs="Arial"/>
          <w:sz w:val="22"/>
          <w:szCs w:val="22"/>
        </w:rPr>
        <w:t xml:space="preserve"> to provide </w:t>
      </w:r>
      <w:r>
        <w:rPr>
          <w:rFonts w:ascii="Arial" w:hAnsi="Arial" w:cs="Arial"/>
          <w:sz w:val="22"/>
          <w:szCs w:val="22"/>
        </w:rPr>
        <w:t xml:space="preserve">Workplace Modification </w:t>
      </w:r>
      <w:r w:rsidRPr="00615452">
        <w:rPr>
          <w:rFonts w:ascii="Arial" w:hAnsi="Arial" w:cs="Arial"/>
          <w:sz w:val="22"/>
          <w:szCs w:val="22"/>
        </w:rPr>
        <w:t>Assessment</w:t>
      </w:r>
      <w:r>
        <w:rPr>
          <w:rFonts w:ascii="Arial" w:hAnsi="Arial" w:cs="Arial"/>
          <w:sz w:val="22"/>
          <w:szCs w:val="22"/>
        </w:rPr>
        <w:t>s</w:t>
      </w:r>
      <w:r w:rsidRPr="00615452">
        <w:rPr>
          <w:rFonts w:ascii="Arial" w:hAnsi="Arial" w:cs="Arial"/>
          <w:sz w:val="22"/>
          <w:szCs w:val="22"/>
        </w:rPr>
        <w:t xml:space="preserve"> may </w:t>
      </w:r>
      <w:r>
        <w:rPr>
          <w:rFonts w:ascii="Arial" w:hAnsi="Arial" w:cs="Arial"/>
          <w:sz w:val="22"/>
          <w:szCs w:val="22"/>
        </w:rPr>
        <w:t>apply</w:t>
      </w:r>
      <w:r w:rsidRPr="00615452">
        <w:rPr>
          <w:rFonts w:ascii="Arial" w:hAnsi="Arial" w:cs="Arial"/>
          <w:sz w:val="22"/>
          <w:szCs w:val="22"/>
        </w:rPr>
        <w:t xml:space="preserve"> to provide Assessment Services for a specialist type of assessment—for example, assessments involving adaptive technology or assessments involving building modifications. The allocation </w:t>
      </w:r>
      <w:r w:rsidRPr="00615452">
        <w:rPr>
          <w:rFonts w:ascii="Arial" w:hAnsi="Arial" w:cs="Arial"/>
          <w:sz w:val="22"/>
          <w:szCs w:val="22"/>
        </w:rPr>
        <w:lastRenderedPageBreak/>
        <w:t xml:space="preserve">of </w:t>
      </w:r>
      <w:r>
        <w:rPr>
          <w:rFonts w:ascii="Arial" w:hAnsi="Arial" w:cs="Arial"/>
          <w:sz w:val="22"/>
          <w:szCs w:val="22"/>
        </w:rPr>
        <w:t xml:space="preserve">Workplace Modification </w:t>
      </w:r>
      <w:r w:rsidRPr="00615452">
        <w:rPr>
          <w:rFonts w:ascii="Arial" w:hAnsi="Arial" w:cs="Arial"/>
          <w:sz w:val="22"/>
          <w:szCs w:val="22"/>
        </w:rPr>
        <w:t xml:space="preserve">Assessments to specialist assessors will vary. Not all specialist </w:t>
      </w:r>
      <w:r>
        <w:rPr>
          <w:rFonts w:ascii="Arial" w:hAnsi="Arial" w:cs="Arial"/>
          <w:sz w:val="22"/>
          <w:szCs w:val="22"/>
        </w:rPr>
        <w:t>a</w:t>
      </w:r>
      <w:r w:rsidRPr="00615452">
        <w:rPr>
          <w:rFonts w:ascii="Arial" w:hAnsi="Arial" w:cs="Arial"/>
          <w:sz w:val="22"/>
          <w:szCs w:val="22"/>
        </w:rPr>
        <w:t>ssessments will necessarily be referred to an assessor who specialises in a specific area. Further, WM</w:t>
      </w:r>
      <w:r>
        <w:rPr>
          <w:rFonts w:ascii="Arial" w:hAnsi="Arial" w:cs="Arial"/>
          <w:sz w:val="22"/>
          <w:szCs w:val="22"/>
        </w:rPr>
        <w:t>As</w:t>
      </w:r>
      <w:r w:rsidRPr="00615452">
        <w:rPr>
          <w:rFonts w:ascii="Arial" w:hAnsi="Arial" w:cs="Arial"/>
          <w:sz w:val="22"/>
          <w:szCs w:val="22"/>
        </w:rPr>
        <w:t xml:space="preserve"> may be asked to deliver services that do not fall within the specific area of expertise. </w:t>
      </w:r>
      <w:r>
        <w:rPr>
          <w:rFonts w:ascii="Arial" w:hAnsi="Arial" w:cs="Arial"/>
          <w:sz w:val="22"/>
          <w:szCs w:val="22"/>
        </w:rPr>
        <w:t xml:space="preserve">WMAs </w:t>
      </w:r>
      <w:r w:rsidRPr="00615452">
        <w:rPr>
          <w:rFonts w:ascii="Arial" w:hAnsi="Arial" w:cs="Arial"/>
          <w:sz w:val="22"/>
          <w:szCs w:val="22"/>
        </w:rPr>
        <w:t>will be able to choose whether or not they agree to undertake these assessments.</w:t>
      </w:r>
    </w:p>
    <w:p w:rsidR="006A4D7D" w:rsidRPr="00E878D5" w:rsidRDefault="006A4D7D" w:rsidP="006A4D7D">
      <w:pPr>
        <w:rPr>
          <w:rFonts w:ascii="Arial" w:hAnsi="Arial" w:cs="Arial"/>
        </w:rPr>
      </w:pPr>
      <w:r w:rsidRPr="00432EC5">
        <w:t>A</w:t>
      </w:r>
      <w:r w:rsidRPr="00E878D5">
        <w:rPr>
          <w:rFonts w:ascii="Arial" w:hAnsi="Arial" w:cs="Arial"/>
        </w:rPr>
        <w:t>ny application form that does not present each attachment on the mandatory template provided in the Application Pack will be deemed non-compliant and will be excluded from assessment.</w:t>
      </w:r>
    </w:p>
    <w:p w:rsidR="006A4D7D" w:rsidRPr="00DC26ED" w:rsidRDefault="006A4D7D" w:rsidP="006A4D7D">
      <w:pPr>
        <w:rPr>
          <w:rFonts w:ascii="Arial" w:hAnsi="Arial" w:cs="Arial"/>
        </w:rPr>
      </w:pPr>
      <w:r w:rsidRPr="00DC26ED">
        <w:rPr>
          <w:rFonts w:ascii="Arial" w:hAnsi="Arial" w:cs="Arial"/>
        </w:rPr>
        <w:t xml:space="preserve">Applicants must use the </w:t>
      </w:r>
      <w:r>
        <w:rPr>
          <w:rFonts w:ascii="Arial" w:hAnsi="Arial" w:cs="Arial"/>
        </w:rPr>
        <w:t xml:space="preserve">on line application form and downloadable attachment </w:t>
      </w:r>
      <w:r w:rsidRPr="00DC26ED">
        <w:rPr>
          <w:rFonts w:ascii="Arial" w:hAnsi="Arial" w:cs="Arial"/>
        </w:rPr>
        <w:t>templates provided. Applications will be deemed non-compliant if the</w:t>
      </w:r>
      <w:r>
        <w:rPr>
          <w:rFonts w:ascii="Arial" w:hAnsi="Arial" w:cs="Arial"/>
        </w:rPr>
        <w:t xml:space="preserve"> online</w:t>
      </w:r>
      <w:r w:rsidRPr="00DC26ED">
        <w:rPr>
          <w:rFonts w:ascii="Arial" w:hAnsi="Arial" w:cs="Arial"/>
        </w:rPr>
        <w:t xml:space="preserve"> </w:t>
      </w:r>
      <w:r>
        <w:rPr>
          <w:rFonts w:ascii="Arial" w:hAnsi="Arial" w:cs="Arial"/>
        </w:rPr>
        <w:t>application form and</w:t>
      </w:r>
      <w:r w:rsidRPr="00DC26ED">
        <w:rPr>
          <w:rFonts w:ascii="Arial" w:hAnsi="Arial" w:cs="Arial"/>
        </w:rPr>
        <w:t xml:space="preserve"> </w:t>
      </w:r>
      <w:r>
        <w:rPr>
          <w:rFonts w:ascii="Arial" w:hAnsi="Arial" w:cs="Arial"/>
        </w:rPr>
        <w:t xml:space="preserve">attachment </w:t>
      </w:r>
      <w:r w:rsidRPr="00DC26ED">
        <w:rPr>
          <w:rFonts w:ascii="Arial" w:hAnsi="Arial" w:cs="Arial"/>
        </w:rPr>
        <w:t>template</w:t>
      </w:r>
      <w:r>
        <w:rPr>
          <w:rFonts w:ascii="Arial" w:hAnsi="Arial" w:cs="Arial"/>
        </w:rPr>
        <w:t>s</w:t>
      </w:r>
      <w:r w:rsidRPr="00DC26ED">
        <w:rPr>
          <w:rFonts w:ascii="Arial" w:hAnsi="Arial" w:cs="Arial"/>
        </w:rPr>
        <w:t xml:space="preserve"> </w:t>
      </w:r>
      <w:r>
        <w:rPr>
          <w:rFonts w:ascii="Arial" w:hAnsi="Arial" w:cs="Arial"/>
        </w:rPr>
        <w:t>are</w:t>
      </w:r>
      <w:r w:rsidRPr="00DC26ED">
        <w:rPr>
          <w:rFonts w:ascii="Arial" w:hAnsi="Arial" w:cs="Arial"/>
        </w:rPr>
        <w:t xml:space="preserve"> not used.</w:t>
      </w:r>
      <w:r>
        <w:rPr>
          <w:rFonts w:ascii="Arial" w:hAnsi="Arial" w:cs="Arial"/>
        </w:rPr>
        <w:t xml:space="preserve">  </w:t>
      </w:r>
      <w:r w:rsidRPr="00293A56">
        <w:rPr>
          <w:rFonts w:ascii="Arial" w:hAnsi="Arial" w:cs="Arial"/>
        </w:rPr>
        <w:t>Applications will</w:t>
      </w:r>
      <w:r>
        <w:rPr>
          <w:rFonts w:ascii="Arial" w:hAnsi="Arial" w:cs="Arial"/>
        </w:rPr>
        <w:t xml:space="preserve"> also</w:t>
      </w:r>
      <w:r w:rsidRPr="00293A56">
        <w:rPr>
          <w:rFonts w:ascii="Arial" w:hAnsi="Arial" w:cs="Arial"/>
        </w:rPr>
        <w:t xml:space="preserve"> be deemed non-compliant </w:t>
      </w:r>
      <w:r>
        <w:rPr>
          <w:rFonts w:ascii="Arial" w:hAnsi="Arial" w:cs="Arial"/>
        </w:rPr>
        <w:t>if they are ineligible entity type or do not meet mandatory compliance checks.</w:t>
      </w:r>
    </w:p>
    <w:p w:rsidR="006A4D7D" w:rsidRDefault="006A4D7D" w:rsidP="006A4D7D">
      <w:pPr>
        <w:spacing w:before="120"/>
        <w:rPr>
          <w:rFonts w:ascii="Arial" w:hAnsi="Arial" w:cs="Arial"/>
        </w:rPr>
      </w:pPr>
      <w:r w:rsidRPr="00DC26ED">
        <w:rPr>
          <w:rFonts w:ascii="Arial" w:hAnsi="Arial" w:cs="Arial"/>
        </w:rPr>
        <w:t>Only attach the documents you have been asked to include.</w:t>
      </w:r>
    </w:p>
    <w:p w:rsidR="006A4D7D" w:rsidRPr="00DC26ED" w:rsidRDefault="006A4D7D" w:rsidP="006A4D7D">
      <w:pPr>
        <w:spacing w:before="120"/>
        <w:rPr>
          <w:rFonts w:ascii="Arial" w:hAnsi="Arial" w:cs="Arial"/>
        </w:rPr>
      </w:pPr>
      <w:r>
        <w:rPr>
          <w:rFonts w:ascii="Arial" w:hAnsi="Arial" w:cs="Arial"/>
        </w:rPr>
        <w:t>If duplicate applications are submitted, the latest application submitted will be used.</w:t>
      </w:r>
    </w:p>
    <w:p w:rsidR="006A4D7D" w:rsidRPr="00DC26ED" w:rsidRDefault="006A4D7D" w:rsidP="006A4D7D">
      <w:pPr>
        <w:rPr>
          <w:rFonts w:ascii="Arial" w:hAnsi="Arial" w:cs="Arial"/>
        </w:rPr>
      </w:pPr>
      <w:r>
        <w:rPr>
          <w:rFonts w:ascii="Arial" w:hAnsi="Arial" w:cs="Arial"/>
        </w:rPr>
        <w:t>During the submission period if an applicant contacts the Community Grants Hub and identifies they have made an error they would be allowed to reapply with a new application for.  However, once the submission period is closed, applicants will not be able to reapply.</w:t>
      </w:r>
    </w:p>
    <w:p w:rsidR="00984B3C" w:rsidRPr="004475DB" w:rsidRDefault="00984B3C" w:rsidP="00984B3C">
      <w:r w:rsidRPr="004475DB">
        <w:t xml:space="preserve">The </w:t>
      </w:r>
      <w:r w:rsidR="00E16C18">
        <w:rPr>
          <w:rStyle w:val="highlightedtextChar"/>
          <w:b w:val="0"/>
          <w:color w:val="auto"/>
        </w:rPr>
        <w:t>Department of Social Services/Community Grants Hub</w:t>
      </w:r>
      <w:r w:rsidRPr="00E16C18">
        <w:rPr>
          <w:b/>
        </w:rPr>
        <w:t xml:space="preserve"> </w:t>
      </w:r>
      <w:r w:rsidRPr="004475DB">
        <w:t xml:space="preserve">will not provide application forms or accept applications for this grant opportunity by fax or mail. </w:t>
      </w:r>
    </w:p>
    <w:p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rsidR="00984B3C" w:rsidRPr="004475DB" w:rsidRDefault="00984B3C" w:rsidP="00984B3C">
      <w:r w:rsidRPr="004475DB">
        <w:t xml:space="preserve">You cannot change your application after </w:t>
      </w:r>
      <w:r w:rsidR="005C7BCA">
        <w:t>the closing time and date</w:t>
      </w:r>
      <w:r w:rsidRPr="004475DB">
        <w:t>.</w:t>
      </w:r>
    </w:p>
    <w:p w:rsidR="00984B3C" w:rsidRPr="00B72EE8" w:rsidDel="00D505A5" w:rsidRDefault="00984B3C" w:rsidP="00984B3C">
      <w:r w:rsidRPr="004475DB">
        <w:t xml:space="preserve">If you find a mistake in your application after it has been submitted, you should contact the Community Grants Hub by phone on 1800 020 283 or by email at </w:t>
      </w:r>
      <w:hyperlink r:id="rId25" w:history="1">
        <w:r w:rsidRPr="004475DB">
          <w:rPr>
            <w:rStyle w:val="Hyperlink"/>
          </w:rPr>
          <w:t>support@communitygrants.gov.au</w:t>
        </w:r>
      </w:hyperlink>
      <w:r w:rsidRPr="004475DB">
        <w:t xml:space="preserve"> straight away. 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rsidR="00340616" w:rsidRPr="00B72EE8" w:rsidRDefault="00340616" w:rsidP="003717CD">
      <w:pPr>
        <w:pStyle w:val="Heading2Numbered"/>
      </w:pPr>
      <w:bookmarkStart w:id="104" w:name="_Ref416444523"/>
      <w:bookmarkStart w:id="105" w:name="_Toc421777619"/>
      <w:bookmarkStart w:id="106" w:name="_Toc433641173"/>
      <w:bookmarkStart w:id="107" w:name="_Toc467773971"/>
      <w:bookmarkStart w:id="108" w:name="_Toc492882550"/>
      <w:r>
        <w:t>Applications from consortia</w:t>
      </w:r>
      <w:bookmarkEnd w:id="104"/>
      <w:bookmarkEnd w:id="105"/>
      <w:bookmarkEnd w:id="106"/>
      <w:bookmarkEnd w:id="107"/>
      <w:bookmarkEnd w:id="108"/>
    </w:p>
    <w:p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who are working together to</w:t>
      </w:r>
      <w:r w:rsidRPr="00621BBB">
        <w:t xml:space="preserve"> combine their capabilities when developing and delivering a grant activity</w:t>
      </w:r>
      <w:r>
        <w:t>.</w:t>
      </w:r>
    </w:p>
    <w:p w:rsidR="00C31353"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orm and identify all other members of the proposed consortium in the application.</w:t>
      </w:r>
      <w:r w:rsidR="00C31353">
        <w:t xml:space="preserve"> </w:t>
      </w:r>
    </w:p>
    <w:p w:rsidR="002F7AB5" w:rsidRDefault="00F61440" w:rsidP="00E255D2">
      <w:r w:rsidRPr="00F61440">
        <w:lastRenderedPageBreak/>
        <w:t>Although the Department of Social Services will enter in a grant agreement with the lead organisation, members of proposed consortium organisations must meet Assessor Qu</w:t>
      </w:r>
      <w:r>
        <w:t xml:space="preserve">alification requirements. </w:t>
      </w:r>
      <w:r w:rsidRPr="00F61440">
        <w:t xml:space="preserve">The Department of Social Services will undertake accreditation on all </w:t>
      </w:r>
      <w:r>
        <w:t>assessors</w:t>
      </w:r>
      <w:r w:rsidRPr="00F61440">
        <w:t xml:space="preserve"> of a consortium.</w:t>
      </w:r>
    </w:p>
    <w:p w:rsidR="00E255D2" w:rsidRPr="00103A95" w:rsidRDefault="002F7AB5" w:rsidP="00E255D2">
      <w:r w:rsidRPr="00445071">
        <w:rPr>
          <w:i/>
        </w:rPr>
        <w:t>Note: Previous Request for Tenders detailed different types of groups, including consortium, partnerships, joint venture and other alliances. The term consortium in this document is intended to cover all types of group arrangements with the meaning described above.</w:t>
      </w:r>
      <w:r w:rsidR="00340616" w:rsidRPr="00B72EE8">
        <w:t xml:space="preserve"> </w:t>
      </w:r>
    </w:p>
    <w:p w:rsidR="00340616" w:rsidRPr="00B72EE8" w:rsidRDefault="00340616" w:rsidP="003717CD">
      <w:pPr>
        <w:pStyle w:val="Heading2Numbered"/>
      </w:pPr>
      <w:bookmarkStart w:id="109" w:name="_Toc384307739"/>
      <w:bookmarkStart w:id="110" w:name="_Toc384307810"/>
      <w:bookmarkStart w:id="111" w:name="_Toc389141038"/>
      <w:bookmarkStart w:id="112" w:name="_Toc433641171"/>
      <w:bookmarkStart w:id="113" w:name="_Toc467773972"/>
      <w:bookmarkStart w:id="114" w:name="_Toc492882551"/>
      <w:bookmarkStart w:id="115" w:name="_Toc421777609"/>
      <w:bookmarkEnd w:id="89"/>
      <w:r w:rsidRPr="00B72EE8">
        <w:t xml:space="preserve">Questions during the application </w:t>
      </w:r>
      <w:bookmarkEnd w:id="109"/>
      <w:bookmarkEnd w:id="110"/>
      <w:bookmarkEnd w:id="111"/>
      <w:bookmarkEnd w:id="112"/>
      <w:r>
        <w:t>process</w:t>
      </w:r>
      <w:bookmarkEnd w:id="113"/>
      <w:bookmarkEnd w:id="114"/>
    </w:p>
    <w:p w:rsidR="00340616" w:rsidRPr="00B72EE8" w:rsidRDefault="00340616" w:rsidP="00340616">
      <w:r w:rsidRPr="00103A95">
        <w:t>If you have any questions during the application period, please contact</w:t>
      </w:r>
      <w:r w:rsidR="00D14978">
        <w:t xml:space="preserve"> the Community Grants Hub on 1800 020 283 or email to </w:t>
      </w:r>
      <w:hyperlink r:id="rId26" w:history="1">
        <w:r w:rsidR="00D14978" w:rsidRPr="004E1173">
          <w:rPr>
            <w:rStyle w:val="Hyperlink"/>
            <w:rFonts w:cstheme="minorBidi"/>
          </w:rPr>
          <w:t>support@communitygrants.gov.au</w:t>
        </w:r>
      </w:hyperlink>
      <w:r w:rsidR="00D14978">
        <w:t xml:space="preserve">. </w:t>
      </w:r>
      <w:r w:rsidRPr="00103A95">
        <w:t xml:space="preserve"> The </w:t>
      </w:r>
      <w:r w:rsidR="00061A22">
        <w:rPr>
          <w:rStyle w:val="highlightedtextChar"/>
          <w:b w:val="0"/>
          <w:color w:val="auto"/>
        </w:rPr>
        <w:t>Community Grants 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rsidR="00340616" w:rsidRDefault="00340616" w:rsidP="00340616">
      <w:r>
        <w:t>Answers to questions</w:t>
      </w:r>
      <w:r w:rsidRPr="00EA3E47">
        <w:t xml:space="preserve"> may be posted on</w:t>
      </w:r>
      <w:r w:rsidR="005256E1">
        <w:t xml:space="preserve"> the</w:t>
      </w:r>
      <w:r w:rsidRPr="00EA3E47">
        <w:t xml:space="preserve"> </w:t>
      </w:r>
      <w:hyperlink r:id="rId27" w:history="1">
        <w:r w:rsidRPr="00BC0C62">
          <w:rPr>
            <w:rStyle w:val="Hyperlink"/>
            <w:rFonts w:cstheme="minorBidi"/>
          </w:rPr>
          <w:t>GrantConnect</w:t>
        </w:r>
      </w:hyperlink>
      <w:r w:rsidR="00DA62CA">
        <w:rPr>
          <w:rStyle w:val="Hyperlink"/>
          <w:rFonts w:cstheme="minorBidi"/>
        </w:rPr>
        <w:t xml:space="preserve"> and Community Grants Hub</w:t>
      </w:r>
      <w:r w:rsidR="005256E1">
        <w:rPr>
          <w:rStyle w:val="Hyperlink"/>
          <w:rFonts w:cstheme="minorBidi"/>
        </w:rPr>
        <w:t xml:space="preserve"> websites</w:t>
      </w:r>
      <w:r w:rsidRPr="00EA3E47">
        <w:t>.</w:t>
      </w:r>
      <w:r w:rsidDel="00FA6425">
        <w:t xml:space="preserve"> </w:t>
      </w:r>
    </w:p>
    <w:p w:rsidR="00BC0C62" w:rsidRPr="00AD4CCF" w:rsidRDefault="00BC0C62" w:rsidP="00AD4CCF">
      <w:r w:rsidRPr="00AD4CCF">
        <w:t xml:space="preserve">The question and answer period will </w:t>
      </w:r>
      <w:r w:rsidR="003357B0" w:rsidRPr="00AD4CCF">
        <w:t>c</w:t>
      </w:r>
      <w:r w:rsidRPr="00AD4CCF">
        <w:t xml:space="preserve">lose at </w:t>
      </w:r>
      <w:r w:rsidR="00A37868" w:rsidRPr="00AD4CCF">
        <w:t>5.00pm</w:t>
      </w:r>
      <w:r w:rsidRPr="00AD4CCF">
        <w:t xml:space="preserve"> AEDT on </w:t>
      </w:r>
      <w:r w:rsidR="00DA62CA" w:rsidRPr="00AD4CCF">
        <w:t>17</w:t>
      </w:r>
      <w:r w:rsidR="00A37868" w:rsidRPr="00AD4CCF">
        <w:t xml:space="preserve"> October 2017</w:t>
      </w:r>
      <w:r w:rsidR="00E96706" w:rsidRPr="00AD4CCF">
        <w:t>.  Following this time, only questions relating to using and/or submitting the application form will be answered.</w:t>
      </w:r>
    </w:p>
    <w:p w:rsidR="00BD33A0" w:rsidRPr="00DC26ED" w:rsidRDefault="00340616" w:rsidP="00DC26ED">
      <w:pPr>
        <w:pStyle w:val="Heading2Numbered"/>
      </w:pPr>
      <w:bookmarkStart w:id="116" w:name="_Toc467773973"/>
      <w:bookmarkStart w:id="117" w:name="_Toc492882552"/>
      <w:bookmarkEnd w:id="115"/>
      <w:r w:rsidRPr="00AD4CCF">
        <w:t>Further grant opportunities</w:t>
      </w:r>
      <w:bookmarkStart w:id="118" w:name="_Toc491871249"/>
      <w:bookmarkEnd w:id="116"/>
      <w:bookmarkEnd w:id="117"/>
      <w:bookmarkEnd w:id="118"/>
    </w:p>
    <w:p w:rsidR="00501C5E" w:rsidRPr="002D7058" w:rsidRDefault="00501C5E" w:rsidP="00501C5E">
      <w:pPr>
        <w:spacing w:before="120"/>
      </w:pPr>
      <w:r>
        <w:t>Successful applicants may be req</w:t>
      </w:r>
      <w:r w:rsidR="00CF0EA7">
        <w:t>uested</w:t>
      </w:r>
      <w:r>
        <w:t xml:space="preserve"> to provide additional gap-filling services as and when </w:t>
      </w:r>
      <w:r w:rsidR="00B75082">
        <w:t>determined</w:t>
      </w:r>
      <w:r>
        <w:t xml:space="preserve"> by the Department of Social Services from time to time. </w:t>
      </w:r>
      <w:r w:rsidRPr="002D7058">
        <w:t xml:space="preserve">The expert panel may make recommendations in the application assessment report noting future negotiations that could be undertaken to ensure </w:t>
      </w:r>
      <w:r w:rsidRPr="00B13C41">
        <w:t>assessment</w:t>
      </w:r>
      <w:r w:rsidRPr="002D7058">
        <w:t xml:space="preserve"> coverage across ESA’s under a </w:t>
      </w:r>
      <w:r w:rsidR="00CF0EA7">
        <w:t>variation to an existing agreement with a current provider</w:t>
      </w:r>
      <w:r w:rsidR="000C1239">
        <w:t xml:space="preserve"> </w:t>
      </w:r>
      <w:r w:rsidR="00B75082">
        <w:t>or one-off grant</w:t>
      </w:r>
      <w:r w:rsidR="00CF0EA7">
        <w:t xml:space="preserve"> under these guidelines</w:t>
      </w:r>
      <w:r w:rsidR="00B01433">
        <w:t xml:space="preserve"> to another </w:t>
      </w:r>
      <w:r w:rsidR="008D6AEF">
        <w:t xml:space="preserve">successful </w:t>
      </w:r>
      <w:r w:rsidR="00AB0813">
        <w:t>provider</w:t>
      </w:r>
      <w:r w:rsidRPr="002D7058">
        <w:t>, if required.</w:t>
      </w:r>
    </w:p>
    <w:p w:rsidR="00340616" w:rsidRPr="00B72EE8" w:rsidRDefault="00340616" w:rsidP="003717CD">
      <w:pPr>
        <w:pStyle w:val="Heading2Numbered"/>
      </w:pPr>
      <w:bookmarkStart w:id="119" w:name="_Toc467773975"/>
      <w:bookmarkStart w:id="120" w:name="_Toc492882553"/>
      <w:bookmarkStart w:id="121" w:name="_Toc421777603"/>
      <w:r w:rsidRPr="00B72EE8">
        <w:t xml:space="preserve">Who </w:t>
      </w:r>
      <w:r w:rsidRPr="00BD33A0">
        <w:t>will assess applications</w:t>
      </w:r>
      <w:r>
        <w:t>?</w:t>
      </w:r>
      <w:bookmarkEnd w:id="119"/>
      <w:bookmarkEnd w:id="120"/>
      <w:r>
        <w:t xml:space="preserve"> </w:t>
      </w:r>
      <w:bookmarkEnd w:id="121"/>
    </w:p>
    <w:p w:rsidR="00DC1682" w:rsidRDefault="00DC1682" w:rsidP="00DC1682">
      <w:pPr>
        <w:pStyle w:val="CABNETParagraphAtt"/>
        <w:spacing w:after="240"/>
        <w:rPr>
          <w:rFonts w:cs="Times New Roman"/>
        </w:rPr>
      </w:pPr>
      <w:r w:rsidRPr="00A75BF8">
        <w:rPr>
          <w:rFonts w:cs="Times New Roman"/>
        </w:rPr>
        <w:t>An assessment team will assess all eligible and compliant applications based on the</w:t>
      </w:r>
      <w:r w:rsidR="00522D45">
        <w:rPr>
          <w:rFonts w:cs="Times New Roman"/>
        </w:rPr>
        <w:t>ir</w:t>
      </w:r>
      <w:r w:rsidR="001A3F25">
        <w:rPr>
          <w:rFonts w:cs="Times New Roman"/>
        </w:rPr>
        <w:t xml:space="preserve"> </w:t>
      </w:r>
      <w:r w:rsidRPr="00A75BF8">
        <w:rPr>
          <w:rFonts w:cs="Times New Roman"/>
        </w:rPr>
        <w:t xml:space="preserve">merits. The assessment team will be comprised of </w:t>
      </w:r>
      <w:r w:rsidR="00E21A77">
        <w:rPr>
          <w:rFonts w:cs="Times New Roman"/>
        </w:rPr>
        <w:t>D</w:t>
      </w:r>
      <w:r w:rsidRPr="00A75BF8">
        <w:rPr>
          <w:rFonts w:cs="Times New Roman"/>
        </w:rPr>
        <w:t xml:space="preserve">epartmental </w:t>
      </w:r>
      <w:r w:rsidR="00E21A77">
        <w:rPr>
          <w:rFonts w:cs="Times New Roman"/>
        </w:rPr>
        <w:t xml:space="preserve">of Social Services and Community Grants Hub </w:t>
      </w:r>
      <w:r w:rsidRPr="00A75BF8">
        <w:rPr>
          <w:rFonts w:cs="Times New Roman"/>
        </w:rPr>
        <w:t xml:space="preserve">staff. The assessment team will undertake training to ensure consistent assessment of all applications. </w:t>
      </w:r>
    </w:p>
    <w:p w:rsidR="00417416" w:rsidRPr="00A75BF8" w:rsidRDefault="00417416" w:rsidP="00DC1682">
      <w:pPr>
        <w:pStyle w:val="CABNETParagraphAtt"/>
        <w:spacing w:after="240"/>
        <w:rPr>
          <w:rFonts w:cs="Times New Roman"/>
        </w:rPr>
      </w:pPr>
      <w:r>
        <w:rPr>
          <w:rFonts w:cs="Times New Roman"/>
        </w:rPr>
        <w:t xml:space="preserve">Vendor checks will be carried out by the assessment team to determine the applicant’s legal entity status. The applicant may be asked to provide additional financial viability information if required. </w:t>
      </w:r>
    </w:p>
    <w:p w:rsidR="00DC1682" w:rsidRPr="00A75BF8" w:rsidRDefault="00DC1682" w:rsidP="00DC1682">
      <w:r w:rsidRPr="00A75BF8">
        <w:t xml:space="preserve">If the </w:t>
      </w:r>
      <w:r w:rsidR="004B1F72">
        <w:t>assessment</w:t>
      </w:r>
      <w:r w:rsidRPr="00A75BF8">
        <w:t xml:space="preserve"> process identifies unintentional errors in your application, you may be contacted to correct or explain the information.</w:t>
      </w:r>
    </w:p>
    <w:p w:rsidR="00DC1682" w:rsidRDefault="00DC1682" w:rsidP="00DC1682">
      <w:pPr>
        <w:spacing w:before="120"/>
      </w:pPr>
      <w:r w:rsidRPr="00A75BF8">
        <w:t xml:space="preserve">The </w:t>
      </w:r>
      <w:r w:rsidR="00BA5F3E">
        <w:t>assessment team</w:t>
      </w:r>
      <w:r w:rsidRPr="00A75BF8">
        <w:t xml:space="preserve"> may seek information about you or your application. They may </w:t>
      </w:r>
      <w:r w:rsidR="009B43F3">
        <w:t xml:space="preserve">request information from other </w:t>
      </w:r>
      <w:r w:rsidRPr="00A75BF8">
        <w:t>Commonwealth</w:t>
      </w:r>
      <w:r w:rsidR="009B43F3">
        <w:t xml:space="preserve"> agencies,</w:t>
      </w:r>
      <w:r w:rsidRPr="00A75BF8">
        <w:t xml:space="preserve"> even if the sources are not nominated by you as referees. The </w:t>
      </w:r>
      <w:r w:rsidR="00EE3E2F">
        <w:t xml:space="preserve">assessment team </w:t>
      </w:r>
      <w:r w:rsidRPr="00A75BF8">
        <w:t xml:space="preserve">may also consider information about </w:t>
      </w:r>
      <w:r w:rsidRPr="00A75BF8">
        <w:lastRenderedPageBreak/>
        <w:t xml:space="preserve">you or your application that is available </w:t>
      </w:r>
      <w:r w:rsidR="00DA62CA">
        <w:t>publicly or known by the Department</w:t>
      </w:r>
      <w:r w:rsidR="004B1F72">
        <w:t xml:space="preserve"> of Social Services</w:t>
      </w:r>
      <w:r w:rsidRPr="00A75BF8">
        <w:t>.</w:t>
      </w:r>
    </w:p>
    <w:p w:rsidR="00BA5F3E" w:rsidRDefault="00BA5F3E" w:rsidP="00BA5F3E">
      <w:pPr>
        <w:spacing w:before="120"/>
        <w:rPr>
          <w:rFonts w:ascii="Arial" w:hAnsi="Arial" w:cs="Arial"/>
        </w:rPr>
      </w:pPr>
      <w:r>
        <w:rPr>
          <w:rFonts w:ascii="Arial" w:hAnsi="Arial" w:cs="Arial"/>
        </w:rPr>
        <w:t xml:space="preserve">An expert panel comprised of Department of Social Services staff </w:t>
      </w:r>
      <w:r w:rsidR="00CB330D">
        <w:rPr>
          <w:rFonts w:ascii="Arial" w:hAnsi="Arial" w:cs="Arial"/>
        </w:rPr>
        <w:t xml:space="preserve">representing </w:t>
      </w:r>
      <w:r>
        <w:rPr>
          <w:rFonts w:ascii="Arial" w:hAnsi="Arial" w:cs="Arial"/>
        </w:rPr>
        <w:t xml:space="preserve">each state/territory and national office will then review all </w:t>
      </w:r>
      <w:r w:rsidR="00DA62CA">
        <w:rPr>
          <w:rFonts w:ascii="Arial" w:hAnsi="Arial" w:cs="Arial"/>
        </w:rPr>
        <w:t xml:space="preserve">suitable </w:t>
      </w:r>
      <w:r>
        <w:rPr>
          <w:rFonts w:ascii="Arial" w:hAnsi="Arial" w:cs="Arial"/>
        </w:rPr>
        <w:t>applications to inform the final recommendations for funding.</w:t>
      </w:r>
    </w:p>
    <w:p w:rsidR="00BA5F3E" w:rsidRPr="00EF57B5" w:rsidRDefault="00BA5F3E" w:rsidP="00BA5F3E">
      <w:pPr>
        <w:spacing w:before="120"/>
        <w:rPr>
          <w:rFonts w:ascii="Arial" w:hAnsi="Arial" w:cs="Arial"/>
        </w:rPr>
      </w:pPr>
      <w:r w:rsidRPr="0091768E">
        <w:rPr>
          <w:rFonts w:ascii="Arial" w:hAnsi="Arial" w:cs="Arial"/>
        </w:rPr>
        <w:t xml:space="preserve">The </w:t>
      </w:r>
      <w:r w:rsidR="00EE3E2F" w:rsidRPr="0007086F">
        <w:rPr>
          <w:rFonts w:ascii="Arial" w:hAnsi="Arial" w:cs="Arial"/>
        </w:rPr>
        <w:t>e</w:t>
      </w:r>
      <w:r w:rsidRPr="0007086F">
        <w:rPr>
          <w:rFonts w:ascii="Arial" w:hAnsi="Arial" w:cs="Arial"/>
        </w:rPr>
        <w:t xml:space="preserve">xpert </w:t>
      </w:r>
      <w:r w:rsidR="00EE3E2F" w:rsidRPr="0007086F">
        <w:rPr>
          <w:rFonts w:ascii="Arial" w:hAnsi="Arial" w:cs="Arial"/>
        </w:rPr>
        <w:t>p</w:t>
      </w:r>
      <w:r w:rsidRPr="0091768E">
        <w:rPr>
          <w:rFonts w:ascii="Arial" w:hAnsi="Arial" w:cs="Arial"/>
        </w:rPr>
        <w:t>anel</w:t>
      </w:r>
      <w:r w:rsidRPr="00EF57B5">
        <w:rPr>
          <w:rFonts w:ascii="Arial" w:hAnsi="Arial" w:cs="Arial"/>
        </w:rPr>
        <w:t xml:space="preserve"> </w:t>
      </w:r>
      <w:r w:rsidR="00CB330D">
        <w:rPr>
          <w:rFonts w:ascii="Arial" w:hAnsi="Arial" w:cs="Arial"/>
        </w:rPr>
        <w:t>will review</w:t>
      </w:r>
      <w:r w:rsidRPr="00EF57B5">
        <w:rPr>
          <w:rFonts w:ascii="Arial" w:hAnsi="Arial" w:cs="Arial"/>
        </w:rPr>
        <w:t xml:space="preserve"> </w:t>
      </w:r>
      <w:r w:rsidR="00CB330D">
        <w:rPr>
          <w:rFonts w:ascii="Arial" w:hAnsi="Arial" w:cs="Arial"/>
        </w:rPr>
        <w:t xml:space="preserve">the application assessments </w:t>
      </w:r>
      <w:r w:rsidRPr="00EF57B5">
        <w:rPr>
          <w:rFonts w:ascii="Arial" w:hAnsi="Arial" w:cs="Arial"/>
        </w:rPr>
        <w:t>having regards to:</w:t>
      </w:r>
    </w:p>
    <w:p w:rsidR="00BA5F3E" w:rsidRPr="00DC26ED" w:rsidRDefault="00BA5F3E" w:rsidP="00DC26ED">
      <w:pPr>
        <w:numPr>
          <w:ilvl w:val="0"/>
          <w:numId w:val="18"/>
        </w:numPr>
        <w:suppressAutoHyphens w:val="0"/>
        <w:spacing w:before="0" w:after="0" w:line="240" w:lineRule="auto"/>
        <w:ind w:left="426" w:hanging="357"/>
      </w:pPr>
      <w:r w:rsidRPr="00DC26ED">
        <w:t>conformance with eligibility criteria</w:t>
      </w:r>
    </w:p>
    <w:p w:rsidR="00BA5F3E" w:rsidRPr="00DC26ED" w:rsidRDefault="00BA5F3E" w:rsidP="00DC26ED">
      <w:pPr>
        <w:numPr>
          <w:ilvl w:val="0"/>
          <w:numId w:val="18"/>
        </w:numPr>
        <w:suppressAutoHyphens w:val="0"/>
        <w:spacing w:before="0" w:after="0" w:line="240" w:lineRule="auto"/>
        <w:ind w:left="426" w:hanging="357"/>
      </w:pPr>
      <w:r w:rsidRPr="00DC26ED">
        <w:t xml:space="preserve">distribution of </w:t>
      </w:r>
      <w:r w:rsidR="00786273" w:rsidRPr="00DC26ED">
        <w:t>NPA P</w:t>
      </w:r>
      <w:r w:rsidRPr="00DC26ED">
        <w:t xml:space="preserve">roviders across all </w:t>
      </w:r>
      <w:r w:rsidR="00786273" w:rsidRPr="00DC26ED">
        <w:t xml:space="preserve">ESA </w:t>
      </w:r>
      <w:r w:rsidRPr="00DC26ED">
        <w:t>locations</w:t>
      </w:r>
    </w:p>
    <w:p w:rsidR="00BA5F3E" w:rsidRPr="00DC26ED" w:rsidRDefault="00BA5F3E" w:rsidP="00DC26ED">
      <w:pPr>
        <w:numPr>
          <w:ilvl w:val="0"/>
          <w:numId w:val="18"/>
        </w:numPr>
        <w:suppressAutoHyphens w:val="0"/>
        <w:spacing w:before="0" w:after="0" w:line="240" w:lineRule="auto"/>
        <w:ind w:left="426" w:hanging="357"/>
      </w:pPr>
      <w:r w:rsidRPr="00DC26ED">
        <w:t>existing and/or potential market failure</w:t>
      </w:r>
    </w:p>
    <w:p w:rsidR="00E75A5C" w:rsidRPr="00BE3F7A" w:rsidRDefault="00BA5F3E" w:rsidP="00DC26ED">
      <w:pPr>
        <w:numPr>
          <w:ilvl w:val="0"/>
          <w:numId w:val="18"/>
        </w:numPr>
        <w:suppressAutoHyphens w:val="0"/>
        <w:spacing w:before="0" w:after="0" w:line="240" w:lineRule="auto"/>
        <w:ind w:left="426" w:hanging="357"/>
        <w:rPr>
          <w:rFonts w:ascii="Arial" w:hAnsi="Arial" w:cs="Arial"/>
        </w:rPr>
      </w:pPr>
      <w:r w:rsidRPr="00DC26ED">
        <w:t>(</w:t>
      </w:r>
      <w:proofErr w:type="gramStart"/>
      <w:r w:rsidRPr="00DC26ED">
        <w:t>if</w:t>
      </w:r>
      <w:proofErr w:type="gramEnd"/>
      <w:r w:rsidRPr="00DC26ED">
        <w:t xml:space="preserve"> known) minimis</w:t>
      </w:r>
      <w:r w:rsidR="004046CE" w:rsidRPr="00DC26ED">
        <w:t>ing</w:t>
      </w:r>
      <w:r w:rsidRPr="00DC26ED">
        <w:t xml:space="preserve"> possible duplication with other Commonwealth/State/Territory government programs/service delivery.</w:t>
      </w:r>
    </w:p>
    <w:p w:rsidR="00340616" w:rsidRPr="00647D91" w:rsidRDefault="00340616" w:rsidP="003717CD">
      <w:pPr>
        <w:pStyle w:val="Heading2Numbered"/>
      </w:pPr>
      <w:bookmarkStart w:id="122" w:name="_Toc491870808"/>
      <w:bookmarkStart w:id="123" w:name="_Toc491871070"/>
      <w:bookmarkStart w:id="124" w:name="_Toc491871131"/>
      <w:bookmarkStart w:id="125" w:name="_Toc491871190"/>
      <w:bookmarkStart w:id="126" w:name="_Toc491871251"/>
      <w:bookmarkStart w:id="127" w:name="_Toc467773976"/>
      <w:bookmarkStart w:id="128" w:name="_Toc492882554"/>
      <w:bookmarkEnd w:id="122"/>
      <w:bookmarkEnd w:id="123"/>
      <w:bookmarkEnd w:id="124"/>
      <w:bookmarkEnd w:id="125"/>
      <w:bookmarkEnd w:id="126"/>
      <w:r w:rsidRPr="00647D91">
        <w:t>Who will approve grants?</w:t>
      </w:r>
      <w:bookmarkEnd w:id="127"/>
      <w:bookmarkEnd w:id="128"/>
    </w:p>
    <w:p w:rsidR="00340616" w:rsidRPr="00103A95" w:rsidRDefault="00340616" w:rsidP="00340616">
      <w:r w:rsidRPr="00103A95">
        <w:t xml:space="preserve">The </w:t>
      </w:r>
      <w:r w:rsidR="00EE3E2F" w:rsidRPr="004B1F72">
        <w:t>e</w:t>
      </w:r>
      <w:r w:rsidR="00A22DDB" w:rsidRPr="004B1F72">
        <w:t xml:space="preserve">xpert </w:t>
      </w:r>
      <w:r w:rsidR="00EE3E2F" w:rsidRPr="004B1F72">
        <w:t>p</w:t>
      </w:r>
      <w:r w:rsidR="00A22DDB" w:rsidRPr="004B1F72">
        <w:t>anel</w:t>
      </w:r>
      <w:r w:rsidR="004003E2" w:rsidRPr="00647D91">
        <w:rPr>
          <w:color w:val="745B00" w:themeColor="accent3" w:themeShade="80"/>
        </w:rPr>
        <w:t xml:space="preserve"> </w:t>
      </w:r>
      <w:r w:rsidRPr="00103A95">
        <w:t xml:space="preserve">will make recommendations to the </w:t>
      </w:r>
      <w:r w:rsidR="00EE3E2F">
        <w:t>Policy Delegate who will be the Group Manager of the Disability, Employment and Carers Group within the Department of Social Services</w:t>
      </w:r>
      <w:r w:rsidRPr="00103A95">
        <w:rPr>
          <w:b/>
          <w:color w:val="745B00" w:themeColor="accent3" w:themeShade="80"/>
        </w:rPr>
        <w:t>.</w:t>
      </w:r>
      <w:r w:rsidRPr="00103A95">
        <w:rPr>
          <w:color w:val="745B00" w:themeColor="accent3" w:themeShade="80"/>
        </w:rPr>
        <w:t xml:space="preserve"> </w:t>
      </w:r>
      <w:r w:rsidRPr="00103A95">
        <w:t xml:space="preserve">The </w:t>
      </w:r>
      <w:r w:rsidR="00EE3E2F">
        <w:t xml:space="preserve">Policy Delegate </w:t>
      </w:r>
      <w:r w:rsidRPr="00103A95">
        <w:t>will make the final decision to approve a grant.</w:t>
      </w:r>
    </w:p>
    <w:p w:rsidR="00340616" w:rsidRPr="00103A95" w:rsidRDefault="00340616" w:rsidP="00340616">
      <w:r w:rsidRPr="00103A95">
        <w:t xml:space="preserve">The </w:t>
      </w:r>
      <w:r w:rsidR="00EE3E2F">
        <w:t>Policy Delegate</w:t>
      </w:r>
      <w:r w:rsidRPr="00103A95">
        <w:rPr>
          <w:color w:val="745B00" w:themeColor="accent3" w:themeShade="80"/>
        </w:rPr>
        <w:t xml:space="preserve"> </w:t>
      </w:r>
      <w:r w:rsidRPr="00103A95">
        <w:t>decision is final in all matters, including:</w:t>
      </w:r>
    </w:p>
    <w:p w:rsidR="00340616" w:rsidRPr="00103A95" w:rsidRDefault="00340616" w:rsidP="00103A95">
      <w:pPr>
        <w:pStyle w:val="Bullet1"/>
      </w:pPr>
      <w:r w:rsidRPr="00103A95">
        <w:t>the approval of the grant</w:t>
      </w:r>
      <w:r w:rsidR="006969D9">
        <w:t>, and</w:t>
      </w:r>
    </w:p>
    <w:p w:rsidR="00340616" w:rsidRPr="00103A95" w:rsidRDefault="00340616" w:rsidP="00103A95">
      <w:pPr>
        <w:pStyle w:val="Bullet1"/>
      </w:pPr>
      <w:proofErr w:type="gramStart"/>
      <w:r w:rsidRPr="00103A95">
        <w:t>the</w:t>
      </w:r>
      <w:proofErr w:type="gramEnd"/>
      <w:r w:rsidRPr="00103A95">
        <w:t xml:space="preserve"> terms and conditions of the grant. </w:t>
      </w:r>
    </w:p>
    <w:p w:rsidR="00340616" w:rsidRPr="002E0C03" w:rsidRDefault="006969D9" w:rsidP="00340616">
      <w:r>
        <w:t>T</w:t>
      </w:r>
      <w:r w:rsidR="00340616" w:rsidRPr="00103A95">
        <w:t>here is no appeal mechanism for decisions to approve or not approve a grant.</w:t>
      </w:r>
    </w:p>
    <w:p w:rsidR="00340616" w:rsidRPr="00B72EE8" w:rsidRDefault="00340616" w:rsidP="0054078D">
      <w:pPr>
        <w:pStyle w:val="Heading1Numbered"/>
      </w:pPr>
      <w:bookmarkStart w:id="129" w:name="_Toc467773977"/>
      <w:bookmarkStart w:id="130" w:name="_Toc492882555"/>
      <w:r w:rsidRPr="00B72EE8">
        <w:t>Notification of application outcomes</w:t>
      </w:r>
      <w:bookmarkEnd w:id="129"/>
      <w:bookmarkEnd w:id="130"/>
    </w:p>
    <w:p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006969D9">
        <w:t>Policy Delegate.</w:t>
      </w:r>
      <w:r w:rsidRPr="00C25555">
        <w:rPr>
          <w:b/>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rsidR="006969D9" w:rsidRPr="00E86A67" w:rsidRDefault="006969D9" w:rsidP="006969D9">
      <w:r w:rsidRPr="00526A7F">
        <w:t>If you are unsuccessful, we will notify you in writing.</w:t>
      </w:r>
    </w:p>
    <w:p w:rsidR="00340616" w:rsidRPr="00B72EE8" w:rsidRDefault="00340616" w:rsidP="003717CD">
      <w:pPr>
        <w:pStyle w:val="Heading2Numbered"/>
      </w:pPr>
      <w:bookmarkStart w:id="131" w:name="_Toc467773978"/>
      <w:bookmarkStart w:id="132" w:name="_Toc492882556"/>
      <w:r w:rsidRPr="00B72EE8">
        <w:t xml:space="preserve">Feedback on </w:t>
      </w:r>
      <w:r>
        <w:t xml:space="preserve">your </w:t>
      </w:r>
      <w:r w:rsidRPr="00B72EE8">
        <w:t>application</w:t>
      </w:r>
      <w:bookmarkEnd w:id="131"/>
      <w:bookmarkEnd w:id="132"/>
    </w:p>
    <w:p w:rsidR="00AA0AB9" w:rsidRPr="00E21401" w:rsidRDefault="004046CE" w:rsidP="00C32553">
      <w:r>
        <w:t>A</w:t>
      </w:r>
      <w:r w:rsidR="00AA0AB9" w:rsidRPr="00AA0AB9">
        <w:t xml:space="preserve"> Feedback Summary will provide general round-specific information and will include main strengths and areas of improvement for the applications received in this round.</w:t>
      </w:r>
      <w:r>
        <w:t xml:space="preserve"> </w:t>
      </w:r>
    </w:p>
    <w:p w:rsidR="00AF428F" w:rsidRPr="00AA0A72" w:rsidRDefault="00786A7B" w:rsidP="00AA0A72">
      <w:r>
        <w:t>The feedback summary will be published on the Community Grants Hub website when the grant round has been completed</w:t>
      </w:r>
    </w:p>
    <w:p w:rsidR="00340616" w:rsidRDefault="00340616" w:rsidP="0054078D">
      <w:pPr>
        <w:pStyle w:val="Heading1Numbered"/>
      </w:pPr>
      <w:bookmarkStart w:id="133" w:name="_Toc421777622"/>
      <w:bookmarkStart w:id="134" w:name="_Toc433641183"/>
      <w:r>
        <w:lastRenderedPageBreak/>
        <w:t xml:space="preserve"> </w:t>
      </w:r>
      <w:bookmarkStart w:id="135" w:name="_Toc467773979"/>
      <w:bookmarkStart w:id="136" w:name="_Toc492882557"/>
      <w:r>
        <w:t>Successful grant applications</w:t>
      </w:r>
      <w:bookmarkEnd w:id="135"/>
      <w:bookmarkEnd w:id="136"/>
    </w:p>
    <w:p w:rsidR="00340616" w:rsidRDefault="00340616" w:rsidP="008E4559">
      <w:pPr>
        <w:pStyle w:val="Heading2Numbered"/>
      </w:pPr>
      <w:bookmarkStart w:id="137" w:name="_Toc467773980"/>
      <w:bookmarkStart w:id="138" w:name="_Toc492882558"/>
      <w:r>
        <w:t xml:space="preserve">The </w:t>
      </w:r>
      <w:r w:rsidRPr="0054078D">
        <w:t>grant agreement</w:t>
      </w:r>
      <w:bookmarkEnd w:id="137"/>
      <w:bookmarkEnd w:id="138"/>
    </w:p>
    <w:bookmarkEnd w:id="133"/>
    <w:bookmarkEnd w:id="134"/>
    <w:p w:rsidR="00340616" w:rsidRPr="002E0C03" w:rsidRDefault="00340616" w:rsidP="00340616">
      <w:r w:rsidRPr="00103A95">
        <w:t>If you are successful, you must enter into a legally binding grant agreement with the Commonwealth represented by</w:t>
      </w:r>
      <w:r w:rsidRPr="00103A95">
        <w:rPr>
          <w:rStyle w:val="highlightedtextChar"/>
        </w:rPr>
        <w:t xml:space="preserve"> </w:t>
      </w:r>
      <w:r w:rsidR="00B819B8">
        <w:rPr>
          <w:rStyle w:val="highlightedtextChar"/>
          <w:b w:val="0"/>
          <w:color w:val="auto"/>
        </w:rPr>
        <w:t>the Department of Social Services.</w:t>
      </w:r>
      <w:r w:rsidRPr="00DB0937">
        <w:rPr>
          <w:rStyle w:val="highlightedtextChar"/>
          <w:color w:val="auto"/>
        </w:rPr>
        <w:t xml:space="preserve"> </w:t>
      </w:r>
      <w:r w:rsidRPr="002E0C03">
        <w:t>Any additional conditions attached to the grant will be identified in the grant offer or during the grant agreement negotiations.</w:t>
      </w:r>
    </w:p>
    <w:p w:rsidR="00DA31F8" w:rsidRPr="00793535" w:rsidRDefault="00DA31F8" w:rsidP="00DA31F8">
      <w:pPr>
        <w:rPr>
          <w:rFonts w:ascii="Arial" w:hAnsi="Arial" w:cs="Arial"/>
          <w:lang w:eastAsia="en-AU"/>
        </w:rPr>
      </w:pPr>
      <w:r w:rsidRPr="00793535">
        <w:rPr>
          <w:rFonts w:ascii="Arial" w:hAnsi="Arial" w:cs="Arial"/>
        </w:rPr>
        <w:t xml:space="preserve">The Department of Social Services will negotiate agreements with successful applicants </w:t>
      </w:r>
      <w:r w:rsidR="0053545B">
        <w:rPr>
          <w:rFonts w:ascii="Arial" w:hAnsi="Arial" w:cs="Arial"/>
        </w:rPr>
        <w:t xml:space="preserve">before 30 June 2018. </w:t>
      </w:r>
      <w:r w:rsidRPr="00DA31F8">
        <w:rPr>
          <w:rStyle w:val="Strong"/>
          <w:rFonts w:ascii="Arial" w:hAnsi="Arial" w:cs="Arial"/>
          <w:b w:val="0"/>
        </w:rPr>
        <w:t>If there are unreasonable delays in finalising</w:t>
      </w:r>
      <w:r w:rsidRPr="00DA31F8">
        <w:rPr>
          <w:rStyle w:val="Strong"/>
          <w:rFonts w:ascii="Arial" w:hAnsi="Arial" w:cs="Arial"/>
        </w:rPr>
        <w:t xml:space="preserve"> </w:t>
      </w:r>
      <w:r w:rsidRPr="00793535">
        <w:rPr>
          <w:rFonts w:ascii="Arial" w:hAnsi="Arial" w:cs="Arial"/>
          <w:lang w:eastAsia="en-AU"/>
        </w:rPr>
        <w:t>a grant agreement, the grant offer may be withdrawn and the grant may be awarded to a different applicant.</w:t>
      </w:r>
    </w:p>
    <w:p w:rsidR="00DA31F8" w:rsidRPr="00DA31F8" w:rsidRDefault="00DA31F8" w:rsidP="00DA31F8">
      <w:r w:rsidRPr="00793535">
        <w:rPr>
          <w:rFonts w:ascii="Arial" w:hAnsi="Arial" w:cs="Arial"/>
          <w:lang w:eastAsia="en-AU"/>
        </w:rPr>
        <w:t xml:space="preserve">Where a grantee fails to meet the obligations of the grant agreement, </w:t>
      </w:r>
      <w:r w:rsidRPr="00793535">
        <w:rPr>
          <w:rFonts w:ascii="Arial" w:hAnsi="Arial" w:cs="Arial"/>
        </w:rPr>
        <w:t xml:space="preserve">the Department of </w:t>
      </w:r>
      <w:r w:rsidRPr="00DA31F8">
        <w:t xml:space="preserve">Social Services may terminate their Agreement. </w:t>
      </w:r>
    </w:p>
    <w:p w:rsidR="00DA31F8" w:rsidRPr="00DA31F8" w:rsidRDefault="00DA31F8" w:rsidP="00DA31F8">
      <w:r w:rsidRPr="00DA31F8">
        <w:t>You should not make financial commitments until a grant agreement has been executed by the Commonwealth.</w:t>
      </w:r>
    </w:p>
    <w:p w:rsidR="00340616" w:rsidRDefault="00340616" w:rsidP="00892C8B">
      <w:pPr>
        <w:pStyle w:val="Heading2Numbered"/>
      </w:pPr>
      <w:bookmarkStart w:id="139" w:name="_Toc467773981"/>
      <w:bookmarkStart w:id="140" w:name="_Toc492882559"/>
      <w:r>
        <w:t>How the grant will be paid</w:t>
      </w:r>
      <w:bookmarkEnd w:id="139"/>
      <w:bookmarkEnd w:id="140"/>
    </w:p>
    <w:p w:rsidR="00DA31F8" w:rsidRPr="005714D4" w:rsidRDefault="00DA31F8" w:rsidP="00DA31F8">
      <w:pPr>
        <w:tabs>
          <w:tab w:val="left" w:pos="0"/>
        </w:tabs>
        <w:rPr>
          <w:rFonts w:ascii="Arial" w:hAnsi="Arial" w:cs="Arial"/>
          <w:bCs/>
          <w:lang w:eastAsia="en-AU"/>
        </w:rPr>
      </w:pPr>
      <w:r w:rsidRPr="005714D4">
        <w:rPr>
          <w:rFonts w:ascii="Arial" w:hAnsi="Arial" w:cs="Arial"/>
          <w:bCs/>
          <w:lang w:eastAsia="en-AU"/>
        </w:rPr>
        <w:t xml:space="preserve">The </w:t>
      </w:r>
      <w:r w:rsidR="00BC2069">
        <w:rPr>
          <w:rFonts w:ascii="Arial" w:hAnsi="Arial" w:cs="Arial"/>
          <w:bCs/>
          <w:lang w:eastAsia="en-AU"/>
        </w:rPr>
        <w:t xml:space="preserve">draft </w:t>
      </w:r>
      <w:r w:rsidRPr="005714D4">
        <w:rPr>
          <w:rFonts w:ascii="Arial" w:hAnsi="Arial" w:cs="Arial"/>
          <w:bCs/>
          <w:lang w:eastAsia="en-AU"/>
        </w:rPr>
        <w:t xml:space="preserve">grant agreement </w:t>
      </w:r>
      <w:r w:rsidR="00BC2069">
        <w:rPr>
          <w:rFonts w:ascii="Arial" w:hAnsi="Arial" w:cs="Arial"/>
          <w:bCs/>
          <w:lang w:eastAsia="en-AU"/>
        </w:rPr>
        <w:t>provides details on the mechanism for the payment of grants as follows</w:t>
      </w:r>
      <w:r w:rsidRPr="005714D4">
        <w:rPr>
          <w:rFonts w:ascii="Arial" w:hAnsi="Arial" w:cs="Arial"/>
          <w:bCs/>
          <w:lang w:eastAsia="en-AU"/>
        </w:rPr>
        <w:t>:</w:t>
      </w:r>
    </w:p>
    <w:p w:rsidR="00DA31F8" w:rsidRPr="005714D4" w:rsidRDefault="00BC2069" w:rsidP="00E77A78">
      <w:pPr>
        <w:pStyle w:val="Bullet2"/>
        <w:numPr>
          <w:ilvl w:val="2"/>
          <w:numId w:val="25"/>
        </w:numPr>
        <w:suppressAutoHyphens w:val="0"/>
        <w:spacing w:before="0" w:line="240" w:lineRule="auto"/>
        <w:rPr>
          <w:rFonts w:ascii="Arial" w:hAnsi="Arial" w:cs="Arial"/>
        </w:rPr>
      </w:pPr>
      <w:r>
        <w:rPr>
          <w:rFonts w:ascii="Arial" w:hAnsi="Arial" w:cs="Arial"/>
        </w:rPr>
        <w:t xml:space="preserve">Section 6 - </w:t>
      </w:r>
      <w:r w:rsidR="00DA31F8" w:rsidRPr="005714D4">
        <w:rPr>
          <w:rFonts w:ascii="Arial" w:hAnsi="Arial" w:cs="Arial"/>
        </w:rPr>
        <w:t xml:space="preserve">types of </w:t>
      </w:r>
      <w:r w:rsidR="00887551">
        <w:rPr>
          <w:rFonts w:ascii="Arial" w:hAnsi="Arial" w:cs="Arial"/>
        </w:rPr>
        <w:t xml:space="preserve">payments </w:t>
      </w:r>
      <w:r w:rsidR="00DA31F8" w:rsidRPr="005714D4">
        <w:rPr>
          <w:rFonts w:ascii="Arial" w:hAnsi="Arial" w:cs="Arial"/>
        </w:rPr>
        <w:t xml:space="preserve">available for </w:t>
      </w:r>
      <w:r w:rsidR="009B43F3">
        <w:rPr>
          <w:rFonts w:ascii="Arial" w:hAnsi="Arial" w:cs="Arial"/>
        </w:rPr>
        <w:t>NPA P</w:t>
      </w:r>
      <w:r w:rsidR="00DA31F8" w:rsidRPr="005714D4">
        <w:rPr>
          <w:rFonts w:ascii="Arial" w:hAnsi="Arial" w:cs="Arial"/>
        </w:rPr>
        <w:t>roviders</w:t>
      </w:r>
      <w:r>
        <w:rPr>
          <w:rFonts w:ascii="Arial" w:hAnsi="Arial" w:cs="Arial"/>
        </w:rPr>
        <w:t xml:space="preserve"> </w:t>
      </w:r>
    </w:p>
    <w:p w:rsidR="00DA31F8" w:rsidRPr="005714D4" w:rsidRDefault="00BC2069" w:rsidP="00E77A78">
      <w:pPr>
        <w:pStyle w:val="Bullet2"/>
        <w:numPr>
          <w:ilvl w:val="2"/>
          <w:numId w:val="25"/>
        </w:numPr>
        <w:suppressAutoHyphens w:val="0"/>
        <w:spacing w:before="0" w:line="240" w:lineRule="auto"/>
        <w:rPr>
          <w:rFonts w:ascii="Arial" w:hAnsi="Arial" w:cs="Arial"/>
        </w:rPr>
      </w:pPr>
      <w:r>
        <w:rPr>
          <w:rFonts w:ascii="Arial" w:hAnsi="Arial" w:cs="Arial"/>
        </w:rPr>
        <w:t xml:space="preserve">Section 6 - </w:t>
      </w:r>
      <w:r w:rsidR="00DA31F8" w:rsidRPr="005714D4">
        <w:rPr>
          <w:rFonts w:ascii="Arial" w:hAnsi="Arial" w:cs="Arial"/>
        </w:rPr>
        <w:t xml:space="preserve">amount of </w:t>
      </w:r>
      <w:r w:rsidR="00887551">
        <w:rPr>
          <w:rFonts w:ascii="Arial" w:hAnsi="Arial" w:cs="Arial"/>
        </w:rPr>
        <w:t>payments</w:t>
      </w:r>
      <w:r w:rsidR="00887551" w:rsidRPr="005714D4">
        <w:rPr>
          <w:rFonts w:ascii="Arial" w:hAnsi="Arial" w:cs="Arial"/>
        </w:rPr>
        <w:t xml:space="preserve"> </w:t>
      </w:r>
      <w:r w:rsidR="00DA31F8" w:rsidRPr="005714D4">
        <w:rPr>
          <w:rFonts w:ascii="Arial" w:hAnsi="Arial" w:cs="Arial"/>
        </w:rPr>
        <w:t xml:space="preserve">payable to </w:t>
      </w:r>
      <w:r w:rsidR="009B43F3">
        <w:rPr>
          <w:rFonts w:ascii="Arial" w:hAnsi="Arial" w:cs="Arial"/>
        </w:rPr>
        <w:t>NPA P</w:t>
      </w:r>
      <w:r w:rsidR="00DA31F8" w:rsidRPr="005714D4">
        <w:rPr>
          <w:rFonts w:ascii="Arial" w:hAnsi="Arial" w:cs="Arial"/>
        </w:rPr>
        <w:t>roviders</w:t>
      </w:r>
    </w:p>
    <w:p w:rsidR="00DA31F8" w:rsidRPr="005714D4" w:rsidRDefault="00BC2069" w:rsidP="00E77A78">
      <w:pPr>
        <w:pStyle w:val="Bullet2"/>
        <w:numPr>
          <w:ilvl w:val="2"/>
          <w:numId w:val="25"/>
        </w:numPr>
        <w:suppressAutoHyphens w:val="0"/>
        <w:spacing w:before="0" w:line="240" w:lineRule="auto"/>
        <w:rPr>
          <w:rFonts w:ascii="Arial" w:hAnsi="Arial" w:cs="Arial"/>
        </w:rPr>
      </w:pPr>
      <w:r>
        <w:rPr>
          <w:rFonts w:ascii="Arial" w:hAnsi="Arial" w:cs="Arial"/>
        </w:rPr>
        <w:t xml:space="preserve">Section 3 and 6 - </w:t>
      </w:r>
      <w:r w:rsidR="00DA31F8" w:rsidRPr="005714D4">
        <w:rPr>
          <w:rFonts w:ascii="Arial" w:hAnsi="Arial" w:cs="Arial"/>
        </w:rPr>
        <w:t xml:space="preserve">when the </w:t>
      </w:r>
      <w:r w:rsidR="00887551">
        <w:rPr>
          <w:rFonts w:ascii="Arial" w:hAnsi="Arial" w:cs="Arial"/>
        </w:rPr>
        <w:t>payments</w:t>
      </w:r>
      <w:r w:rsidR="00887551" w:rsidRPr="005714D4">
        <w:rPr>
          <w:rFonts w:ascii="Arial" w:hAnsi="Arial" w:cs="Arial"/>
        </w:rPr>
        <w:t xml:space="preserve"> </w:t>
      </w:r>
      <w:r w:rsidR="00DA31F8" w:rsidRPr="005714D4">
        <w:rPr>
          <w:rFonts w:ascii="Arial" w:hAnsi="Arial" w:cs="Arial"/>
        </w:rPr>
        <w:t>will be paid</w:t>
      </w:r>
      <w:r w:rsidR="005256E1">
        <w:rPr>
          <w:rFonts w:ascii="Arial" w:hAnsi="Arial" w:cs="Arial"/>
        </w:rPr>
        <w:t>,</w:t>
      </w:r>
      <w:r w:rsidR="005256E1" w:rsidRPr="005714D4">
        <w:rPr>
          <w:rFonts w:ascii="Arial" w:hAnsi="Arial" w:cs="Arial"/>
        </w:rPr>
        <w:t xml:space="preserve"> </w:t>
      </w:r>
      <w:r w:rsidR="00DA31F8" w:rsidRPr="005714D4">
        <w:rPr>
          <w:rFonts w:ascii="Arial" w:hAnsi="Arial" w:cs="Arial"/>
        </w:rPr>
        <w:t>and</w:t>
      </w:r>
    </w:p>
    <w:p w:rsidR="00DA31F8" w:rsidRPr="005714D4" w:rsidRDefault="00BC2069" w:rsidP="00DA31F8">
      <w:pPr>
        <w:pStyle w:val="Bullet2"/>
        <w:numPr>
          <w:ilvl w:val="2"/>
          <w:numId w:val="25"/>
        </w:numPr>
        <w:suppressAutoHyphens w:val="0"/>
        <w:spacing w:before="0" w:after="0" w:line="240" w:lineRule="auto"/>
        <w:rPr>
          <w:rFonts w:ascii="Arial" w:hAnsi="Arial" w:cs="Arial"/>
        </w:rPr>
      </w:pPr>
      <w:r>
        <w:rPr>
          <w:rFonts w:ascii="Arial" w:hAnsi="Arial" w:cs="Arial"/>
        </w:rPr>
        <w:t xml:space="preserve">Section 3 - </w:t>
      </w:r>
      <w:r w:rsidR="00DA31F8" w:rsidRPr="005714D4">
        <w:rPr>
          <w:rFonts w:ascii="Arial" w:hAnsi="Arial" w:cs="Arial"/>
        </w:rPr>
        <w:t>conditions of payment (e.g. documentary evidence).</w:t>
      </w:r>
    </w:p>
    <w:p w:rsidR="00340616" w:rsidRPr="009E7919" w:rsidRDefault="00340616" w:rsidP="00892C8B">
      <w:pPr>
        <w:pStyle w:val="Heading2Numbered"/>
        <w:ind w:hanging="709"/>
      </w:pPr>
      <w:bookmarkStart w:id="141" w:name="_Toc451936378"/>
      <w:bookmarkStart w:id="142" w:name="_Toc467773982"/>
      <w:bookmarkStart w:id="143" w:name="_Toc492882560"/>
      <w:r>
        <w:t>Grant agreement</w:t>
      </w:r>
      <w:r w:rsidRPr="009E7919">
        <w:t xml:space="preserve"> variations</w:t>
      </w:r>
      <w:bookmarkEnd w:id="141"/>
      <w:bookmarkEnd w:id="142"/>
      <w:bookmarkEnd w:id="143"/>
    </w:p>
    <w:p w:rsidR="00C76E20" w:rsidRPr="00034C7A" w:rsidRDefault="00C76E20" w:rsidP="00C76E20">
      <w:pPr>
        <w:tabs>
          <w:tab w:val="left" w:pos="0"/>
        </w:tabs>
        <w:rPr>
          <w:rFonts w:ascii="Arial" w:hAnsi="Arial" w:cs="Arial"/>
          <w:bCs/>
          <w:lang w:eastAsia="en-AU"/>
        </w:rPr>
      </w:pPr>
      <w:r w:rsidRPr="00034C7A">
        <w:rPr>
          <w:rFonts w:ascii="Arial" w:hAnsi="Arial" w:cs="Arial"/>
          <w:bCs/>
          <w:lang w:eastAsia="en-AU"/>
        </w:rPr>
        <w:t xml:space="preserve">You can request variations to the </w:t>
      </w:r>
      <w:r w:rsidR="00887551">
        <w:rPr>
          <w:rFonts w:ascii="Arial" w:hAnsi="Arial" w:cs="Arial"/>
          <w:bCs/>
          <w:lang w:eastAsia="en-AU"/>
        </w:rPr>
        <w:t>g</w:t>
      </w:r>
      <w:r w:rsidR="004B1F72">
        <w:rPr>
          <w:rFonts w:ascii="Arial" w:hAnsi="Arial" w:cs="Arial"/>
          <w:bCs/>
          <w:lang w:eastAsia="en-AU"/>
        </w:rPr>
        <w:t>rant</w:t>
      </w:r>
      <w:r w:rsidR="009B43F3">
        <w:rPr>
          <w:rFonts w:ascii="Arial" w:hAnsi="Arial" w:cs="Arial"/>
          <w:bCs/>
          <w:lang w:eastAsia="en-AU"/>
        </w:rPr>
        <w:t xml:space="preserve"> </w:t>
      </w:r>
      <w:r w:rsidR="00887551">
        <w:rPr>
          <w:rFonts w:ascii="Arial" w:hAnsi="Arial" w:cs="Arial"/>
          <w:bCs/>
          <w:lang w:eastAsia="en-AU"/>
        </w:rPr>
        <w:t>a</w:t>
      </w:r>
      <w:r w:rsidRPr="00034C7A">
        <w:rPr>
          <w:rFonts w:ascii="Arial" w:hAnsi="Arial" w:cs="Arial"/>
          <w:bCs/>
          <w:lang w:eastAsia="en-AU"/>
        </w:rPr>
        <w:t>greement for things including, but not limited to:</w:t>
      </w:r>
    </w:p>
    <w:p w:rsidR="00C76E20" w:rsidRPr="00034C7A" w:rsidRDefault="00C76E20" w:rsidP="00E77A78">
      <w:pPr>
        <w:pStyle w:val="Bullet1"/>
        <w:spacing w:before="0" w:line="240" w:lineRule="auto"/>
        <w:rPr>
          <w:rFonts w:ascii="Arial" w:hAnsi="Arial" w:cs="Arial"/>
        </w:rPr>
      </w:pPr>
      <w:r w:rsidRPr="00034C7A">
        <w:rPr>
          <w:rFonts w:ascii="Arial" w:hAnsi="Arial" w:cs="Arial"/>
        </w:rPr>
        <w:t>changing site details</w:t>
      </w:r>
    </w:p>
    <w:p w:rsidR="00C76E20" w:rsidRPr="00034C7A" w:rsidRDefault="00C76E20" w:rsidP="00E77A78">
      <w:pPr>
        <w:pStyle w:val="Bullet1"/>
        <w:spacing w:before="0" w:line="240" w:lineRule="auto"/>
        <w:rPr>
          <w:rFonts w:ascii="Arial" w:hAnsi="Arial" w:cs="Arial"/>
        </w:rPr>
      </w:pPr>
      <w:r w:rsidRPr="00034C7A">
        <w:rPr>
          <w:rFonts w:ascii="Arial" w:hAnsi="Arial" w:cs="Arial"/>
        </w:rPr>
        <w:t>changing subcontractors</w:t>
      </w:r>
    </w:p>
    <w:p w:rsidR="00C76E20" w:rsidRPr="00034C7A" w:rsidRDefault="00C76E20" w:rsidP="00E77A78">
      <w:pPr>
        <w:pStyle w:val="Bullet1"/>
        <w:spacing w:before="0" w:line="240" w:lineRule="auto"/>
        <w:rPr>
          <w:rFonts w:ascii="Arial" w:hAnsi="Arial" w:cs="Arial"/>
        </w:rPr>
      </w:pPr>
      <w:r w:rsidRPr="00034C7A">
        <w:rPr>
          <w:rFonts w:ascii="Arial" w:hAnsi="Arial" w:cs="Arial"/>
        </w:rPr>
        <w:t>changes to consortium arrangements</w:t>
      </w:r>
    </w:p>
    <w:p w:rsidR="00C76E20" w:rsidRDefault="00C76E20" w:rsidP="00C76E20">
      <w:pPr>
        <w:pStyle w:val="Bullet1"/>
        <w:spacing w:before="0" w:after="0" w:line="240" w:lineRule="auto"/>
        <w:rPr>
          <w:rFonts w:ascii="Arial" w:hAnsi="Arial" w:cs="Arial"/>
        </w:rPr>
      </w:pPr>
      <w:proofErr w:type="gramStart"/>
      <w:r w:rsidRPr="00034C7A">
        <w:rPr>
          <w:rFonts w:ascii="Arial" w:hAnsi="Arial" w:cs="Arial"/>
        </w:rPr>
        <w:t>organisational</w:t>
      </w:r>
      <w:proofErr w:type="gramEnd"/>
      <w:r w:rsidRPr="00034C7A">
        <w:rPr>
          <w:rFonts w:ascii="Arial" w:hAnsi="Arial" w:cs="Arial"/>
        </w:rPr>
        <w:t xml:space="preserve"> details</w:t>
      </w:r>
      <w:r w:rsidR="009B43F3">
        <w:rPr>
          <w:rFonts w:ascii="Arial" w:hAnsi="Arial" w:cs="Arial"/>
        </w:rPr>
        <w:t>.</w:t>
      </w:r>
    </w:p>
    <w:p w:rsidR="00C76E20" w:rsidRPr="00034C7A" w:rsidRDefault="00C76E20" w:rsidP="00C76E20">
      <w:pPr>
        <w:tabs>
          <w:tab w:val="left" w:pos="0"/>
        </w:tabs>
        <w:rPr>
          <w:rFonts w:ascii="Arial" w:hAnsi="Arial" w:cs="Arial"/>
        </w:rPr>
      </w:pPr>
      <w:r w:rsidRPr="00034C7A">
        <w:rPr>
          <w:rFonts w:ascii="Arial" w:hAnsi="Arial" w:cs="Arial"/>
        </w:rPr>
        <w:t xml:space="preserve">The </w:t>
      </w:r>
      <w:r w:rsidRPr="00034C7A">
        <w:rPr>
          <w:rFonts w:ascii="Arial" w:hAnsi="Arial" w:cs="Arial"/>
          <w:bCs/>
          <w:lang w:eastAsia="en-AU"/>
        </w:rPr>
        <w:t>Department</w:t>
      </w:r>
      <w:r w:rsidRPr="00034C7A">
        <w:rPr>
          <w:rFonts w:ascii="Arial" w:hAnsi="Arial" w:cs="Arial"/>
        </w:rPr>
        <w:t xml:space="preserve"> can </w:t>
      </w:r>
      <w:r w:rsidR="000B7A42">
        <w:rPr>
          <w:rFonts w:ascii="Arial" w:hAnsi="Arial" w:cs="Arial"/>
        </w:rPr>
        <w:t xml:space="preserve">seek to </w:t>
      </w:r>
      <w:r w:rsidRPr="00034C7A">
        <w:rPr>
          <w:rFonts w:ascii="Arial" w:hAnsi="Arial" w:cs="Arial"/>
        </w:rPr>
        <w:t>vary the</w:t>
      </w:r>
      <w:r w:rsidR="009B43F3">
        <w:rPr>
          <w:rFonts w:ascii="Arial" w:hAnsi="Arial" w:cs="Arial"/>
        </w:rPr>
        <w:t xml:space="preserve"> Grant</w:t>
      </w:r>
      <w:r w:rsidRPr="00034C7A">
        <w:rPr>
          <w:rFonts w:ascii="Arial" w:hAnsi="Arial" w:cs="Arial"/>
        </w:rPr>
        <w:t xml:space="preserve"> Agreement at any time</w:t>
      </w:r>
      <w:r w:rsidR="009B43F3">
        <w:rPr>
          <w:rFonts w:ascii="Arial" w:hAnsi="Arial" w:cs="Arial"/>
        </w:rPr>
        <w:t xml:space="preserve"> in accordance with the terms of the agreement</w:t>
      </w:r>
      <w:r w:rsidRPr="00034C7A">
        <w:rPr>
          <w:rFonts w:ascii="Arial" w:hAnsi="Arial" w:cs="Arial"/>
        </w:rPr>
        <w:t>, including, but not limited to:</w:t>
      </w:r>
    </w:p>
    <w:p w:rsidR="00C76E20" w:rsidRPr="00034C7A" w:rsidRDefault="00C76E20" w:rsidP="00E77A78">
      <w:pPr>
        <w:pStyle w:val="Bullet1"/>
        <w:spacing w:before="0" w:line="240" w:lineRule="auto"/>
        <w:rPr>
          <w:rFonts w:ascii="Arial" w:hAnsi="Arial" w:cs="Arial"/>
        </w:rPr>
      </w:pPr>
      <w:r w:rsidRPr="00034C7A">
        <w:rPr>
          <w:rFonts w:ascii="Arial" w:hAnsi="Arial" w:cs="Arial"/>
        </w:rPr>
        <w:t>extensio</w:t>
      </w:r>
      <w:r>
        <w:rPr>
          <w:rFonts w:ascii="Arial" w:hAnsi="Arial" w:cs="Arial"/>
        </w:rPr>
        <w:t>ns to the term of the agreement</w:t>
      </w:r>
    </w:p>
    <w:p w:rsidR="00C76E20" w:rsidRPr="00034C7A" w:rsidRDefault="00C76E20" w:rsidP="00E77A78">
      <w:pPr>
        <w:pStyle w:val="Bullet1"/>
        <w:spacing w:before="0" w:line="240" w:lineRule="auto"/>
        <w:rPr>
          <w:rFonts w:ascii="Arial" w:hAnsi="Arial" w:cs="Arial"/>
        </w:rPr>
      </w:pPr>
      <w:r w:rsidRPr="00034C7A">
        <w:rPr>
          <w:rFonts w:ascii="Arial" w:hAnsi="Arial" w:cs="Arial"/>
        </w:rPr>
        <w:t>updating the fee structure</w:t>
      </w:r>
      <w:r>
        <w:rPr>
          <w:rFonts w:ascii="Arial" w:hAnsi="Arial" w:cs="Arial"/>
        </w:rPr>
        <w:t xml:space="preserve"> based on recalibration process</w:t>
      </w:r>
    </w:p>
    <w:p w:rsidR="00C76E20" w:rsidRDefault="00C76E20" w:rsidP="00E77A78">
      <w:pPr>
        <w:pStyle w:val="Bullet1"/>
        <w:spacing w:before="0" w:line="240" w:lineRule="auto"/>
        <w:rPr>
          <w:rFonts w:ascii="Arial" w:hAnsi="Arial" w:cs="Arial"/>
        </w:rPr>
      </w:pPr>
      <w:r w:rsidRPr="00034C7A">
        <w:rPr>
          <w:rFonts w:ascii="Arial" w:hAnsi="Arial" w:cs="Arial"/>
        </w:rPr>
        <w:t>the introduc</w:t>
      </w:r>
      <w:r>
        <w:rPr>
          <w:rFonts w:ascii="Arial" w:hAnsi="Arial" w:cs="Arial"/>
        </w:rPr>
        <w:t>tion of new employment programs</w:t>
      </w:r>
    </w:p>
    <w:p w:rsidR="00C76E20" w:rsidRDefault="00C76E20" w:rsidP="00C76E20">
      <w:pPr>
        <w:pStyle w:val="Bullet1"/>
        <w:spacing w:before="0" w:after="0" w:line="240" w:lineRule="auto"/>
        <w:rPr>
          <w:rFonts w:ascii="Arial" w:hAnsi="Arial" w:cs="Arial"/>
        </w:rPr>
      </w:pPr>
      <w:proofErr w:type="gramStart"/>
      <w:r w:rsidRPr="00C76E20">
        <w:rPr>
          <w:rFonts w:ascii="Arial" w:hAnsi="Arial" w:cs="Arial"/>
        </w:rPr>
        <w:t>general</w:t>
      </w:r>
      <w:proofErr w:type="gramEnd"/>
      <w:r w:rsidRPr="00C76E20">
        <w:rPr>
          <w:rFonts w:ascii="Arial" w:hAnsi="Arial" w:cs="Arial"/>
        </w:rPr>
        <w:t xml:space="preserve"> administrative changes.</w:t>
      </w:r>
    </w:p>
    <w:p w:rsidR="00E30277" w:rsidRDefault="00E30277" w:rsidP="00DC26ED">
      <w:pPr>
        <w:pStyle w:val="Bullet1"/>
        <w:numPr>
          <w:ilvl w:val="0"/>
          <w:numId w:val="0"/>
        </w:numPr>
        <w:spacing w:before="0" w:after="0" w:line="240" w:lineRule="auto"/>
        <w:ind w:left="284"/>
        <w:rPr>
          <w:rFonts w:ascii="Arial" w:hAnsi="Arial" w:cs="Arial"/>
        </w:rPr>
      </w:pPr>
    </w:p>
    <w:p w:rsidR="00E30277" w:rsidRDefault="00E30277" w:rsidP="00DC26ED">
      <w:pPr>
        <w:pStyle w:val="Bullet1"/>
        <w:numPr>
          <w:ilvl w:val="0"/>
          <w:numId w:val="0"/>
        </w:numPr>
        <w:spacing w:before="0" w:after="0" w:line="240" w:lineRule="auto"/>
        <w:ind w:left="284" w:hanging="284"/>
        <w:rPr>
          <w:rFonts w:ascii="Arial" w:hAnsi="Arial" w:cs="Arial"/>
        </w:rPr>
      </w:pPr>
      <w:r>
        <w:rPr>
          <w:rFonts w:ascii="Arial" w:hAnsi="Arial" w:cs="Arial"/>
        </w:rPr>
        <w:t>The Department can vary guidelines and policies at any time, including but not limited to:</w:t>
      </w:r>
    </w:p>
    <w:p w:rsidR="00E30277" w:rsidRPr="00034C7A" w:rsidRDefault="00E30277" w:rsidP="00E30277">
      <w:pPr>
        <w:pStyle w:val="Bullet1"/>
        <w:spacing w:before="0" w:line="240" w:lineRule="auto"/>
        <w:rPr>
          <w:rFonts w:ascii="Arial" w:hAnsi="Arial" w:cs="Arial"/>
        </w:rPr>
      </w:pPr>
      <w:r w:rsidRPr="00034C7A">
        <w:rPr>
          <w:rFonts w:ascii="Arial" w:hAnsi="Arial" w:cs="Arial"/>
        </w:rPr>
        <w:t>changes to agency-wide policy such as th</w:t>
      </w:r>
      <w:r>
        <w:rPr>
          <w:rFonts w:ascii="Arial" w:hAnsi="Arial" w:cs="Arial"/>
        </w:rPr>
        <w:t>e Australian Privacy Principles</w:t>
      </w:r>
    </w:p>
    <w:p w:rsidR="00E30277" w:rsidRPr="00034C7A" w:rsidRDefault="00E30277" w:rsidP="00E30277">
      <w:pPr>
        <w:pStyle w:val="Bullet1"/>
        <w:spacing w:before="0" w:line="240" w:lineRule="auto"/>
        <w:rPr>
          <w:rFonts w:ascii="Arial" w:hAnsi="Arial" w:cs="Arial"/>
        </w:rPr>
      </w:pPr>
      <w:r w:rsidRPr="00034C7A">
        <w:rPr>
          <w:rFonts w:ascii="Arial" w:hAnsi="Arial" w:cs="Arial"/>
        </w:rPr>
        <w:lastRenderedPageBreak/>
        <w:t>changes to policies specifically relating to the provision of disability employment</w:t>
      </w:r>
      <w:r>
        <w:rPr>
          <w:rFonts w:ascii="Arial" w:hAnsi="Arial" w:cs="Arial"/>
        </w:rPr>
        <w:t xml:space="preserve"> services</w:t>
      </w:r>
      <w:r w:rsidR="009B43F3">
        <w:rPr>
          <w:rFonts w:ascii="Arial" w:hAnsi="Arial" w:cs="Arial"/>
        </w:rPr>
        <w:t xml:space="preserve"> </w:t>
      </w:r>
    </w:p>
    <w:p w:rsidR="00E30277" w:rsidRPr="00034C7A" w:rsidRDefault="00E30277" w:rsidP="00E30277">
      <w:pPr>
        <w:pStyle w:val="Bullet1"/>
        <w:spacing w:before="0" w:line="240" w:lineRule="auto"/>
        <w:rPr>
          <w:rFonts w:ascii="Arial" w:hAnsi="Arial" w:cs="Arial"/>
        </w:rPr>
      </w:pPr>
      <w:proofErr w:type="gramStart"/>
      <w:r w:rsidRPr="00034C7A">
        <w:rPr>
          <w:rFonts w:ascii="Arial" w:hAnsi="Arial" w:cs="Arial"/>
        </w:rPr>
        <w:t>changes</w:t>
      </w:r>
      <w:proofErr w:type="gramEnd"/>
      <w:r w:rsidRPr="00034C7A">
        <w:rPr>
          <w:rFonts w:ascii="Arial" w:hAnsi="Arial" w:cs="Arial"/>
        </w:rPr>
        <w:t xml:space="preserve"> in policies relating to othe</w:t>
      </w:r>
      <w:r>
        <w:rPr>
          <w:rFonts w:ascii="Arial" w:hAnsi="Arial" w:cs="Arial"/>
        </w:rPr>
        <w:t>r relevant programs or services</w:t>
      </w:r>
      <w:r w:rsidR="009B43F3">
        <w:rPr>
          <w:rFonts w:ascii="Arial" w:hAnsi="Arial" w:cs="Arial"/>
        </w:rPr>
        <w:t>.</w:t>
      </w:r>
    </w:p>
    <w:p w:rsidR="00340616" w:rsidRDefault="00340616" w:rsidP="0054078D">
      <w:pPr>
        <w:pStyle w:val="Heading1Numbered"/>
      </w:pPr>
      <w:bookmarkStart w:id="144" w:name="_Toc467773983"/>
      <w:bookmarkStart w:id="145" w:name="_Toc492882561"/>
      <w:r w:rsidRPr="001607E9">
        <w:t>Announcement</w:t>
      </w:r>
      <w:r>
        <w:t xml:space="preserve"> of grants</w:t>
      </w:r>
      <w:bookmarkEnd w:id="144"/>
      <w:bookmarkEnd w:id="145"/>
    </w:p>
    <w:p w:rsidR="00340616" w:rsidRDefault="00340616" w:rsidP="00340616">
      <w:pPr>
        <w:rPr>
          <w:i/>
        </w:rPr>
      </w:pPr>
      <w:r>
        <w:t>If successful, your grant will be listed</w:t>
      </w:r>
      <w:r w:rsidRPr="00B72EE8">
        <w:t xml:space="preserve"> on</w:t>
      </w:r>
      <w:r>
        <w:t xml:space="preserve"> the</w:t>
      </w:r>
      <w:r w:rsidR="007D6319">
        <w:t xml:space="preserve"> Department of</w:t>
      </w:r>
      <w:r>
        <w:t xml:space="preserve"> </w:t>
      </w:r>
      <w:r w:rsidR="003F4683" w:rsidRPr="003F4683">
        <w:t>Social Services’</w:t>
      </w:r>
      <w:r w:rsidRPr="003F4683">
        <w:t xml:space="preserve"> </w:t>
      </w:r>
      <w:r w:rsidRPr="000A572F">
        <w:t>website</w:t>
      </w:r>
      <w:r w:rsidR="00927ABD">
        <w:t xml:space="preserve"> </w:t>
      </w:r>
      <w:r w:rsidR="00AB0813">
        <w:t xml:space="preserve">or </w:t>
      </w:r>
      <w:hyperlink r:id="rId28" w:history="1">
        <w:r w:rsidR="00BC2069" w:rsidRPr="00FE267E">
          <w:rPr>
            <w:rStyle w:val="Hyperlink"/>
            <w:rFonts w:cstheme="minorBidi"/>
          </w:rPr>
          <w:t>GrantConnect</w:t>
        </w:r>
      </w:hyperlink>
      <w:r w:rsidR="00AB0813">
        <w:rPr>
          <w:rStyle w:val="Hyperlink"/>
          <w:rFonts w:cstheme="minorBidi"/>
        </w:rPr>
        <w:t>,</w:t>
      </w:r>
      <w:r w:rsidR="00BC2069">
        <w:rPr>
          <w:rStyle w:val="Hyperlink"/>
          <w:rFonts w:cstheme="minorBidi"/>
        </w:rPr>
        <w:t xml:space="preserve"> </w:t>
      </w:r>
      <w:r w:rsidR="008453FE">
        <w:t xml:space="preserve">21 </w:t>
      </w:r>
      <w:r>
        <w:t>d</w:t>
      </w:r>
      <w:r w:rsidRPr="000A572F">
        <w:t xml:space="preserve">ays </w:t>
      </w:r>
      <w:r>
        <w:t>after</w:t>
      </w:r>
      <w:r w:rsidRPr="000A572F">
        <w:t xml:space="preserve"> </w:t>
      </w:r>
      <w:r>
        <w:t>the date of effect</w:t>
      </w:r>
      <w:r>
        <w:rPr>
          <w:rStyle w:val="FootnoteReference"/>
        </w:rPr>
        <w:footnoteReference w:id="1"/>
      </w:r>
      <w:r>
        <w:t xml:space="preserve"> as required by Section 5.3 of the </w:t>
      </w:r>
      <w:r w:rsidRPr="004B48A7">
        <w:rPr>
          <w:i/>
        </w:rPr>
        <w:t>CGRGs.</w:t>
      </w:r>
      <w:r w:rsidRPr="00F27CA7">
        <w:rPr>
          <w:i/>
        </w:rPr>
        <w:t xml:space="preserve"> </w:t>
      </w:r>
    </w:p>
    <w:p w:rsidR="00340616" w:rsidRPr="00B72EE8" w:rsidRDefault="00340616" w:rsidP="0054078D">
      <w:pPr>
        <w:pStyle w:val="Heading1Numbered"/>
      </w:pPr>
      <w:bookmarkStart w:id="146" w:name="_Toc421777623"/>
      <w:bookmarkStart w:id="147" w:name="_Toc467773984"/>
      <w:bookmarkStart w:id="148" w:name="_Toc492882562"/>
      <w:r w:rsidRPr="00B72EE8">
        <w:t xml:space="preserve">Delivery of </w:t>
      </w:r>
      <w:r>
        <w:t>g</w:t>
      </w:r>
      <w:r w:rsidRPr="00B72EE8">
        <w:t>rant</w:t>
      </w:r>
      <w:r>
        <w:t xml:space="preserve"> activities</w:t>
      </w:r>
      <w:bookmarkEnd w:id="146"/>
      <w:bookmarkEnd w:id="147"/>
      <w:bookmarkEnd w:id="148"/>
    </w:p>
    <w:p w:rsidR="00340616" w:rsidRPr="00B72EE8" w:rsidDel="00D505A5" w:rsidRDefault="00340616" w:rsidP="00620034">
      <w:pPr>
        <w:pStyle w:val="Heading2Numbered"/>
      </w:pPr>
      <w:bookmarkStart w:id="149" w:name="_Toc421777624"/>
      <w:bookmarkStart w:id="150" w:name="_Toc433641185"/>
      <w:bookmarkStart w:id="151" w:name="_Toc467773985"/>
      <w:bookmarkStart w:id="152" w:name="_Toc492882563"/>
      <w:r>
        <w:t>Your</w:t>
      </w:r>
      <w:r w:rsidRPr="00B72EE8" w:rsidDel="00D505A5">
        <w:t xml:space="preserve"> responsibilities</w:t>
      </w:r>
      <w:bookmarkEnd w:id="149"/>
      <w:bookmarkEnd w:id="150"/>
      <w:bookmarkEnd w:id="151"/>
      <w:bookmarkEnd w:id="152"/>
    </w:p>
    <w:p w:rsidR="00340616" w:rsidRPr="00726710" w:rsidRDefault="001D4E07" w:rsidP="00340616">
      <w:pPr>
        <w:rPr>
          <w:rFonts w:cstheme="minorHAnsi"/>
        </w:rPr>
      </w:pPr>
      <w:r>
        <w:rPr>
          <w:rFonts w:cstheme="minorHAnsi"/>
        </w:rPr>
        <w:t>Your responsibilities are outlined in the grant agreement</w:t>
      </w:r>
      <w:r w:rsidR="009B43F3">
        <w:rPr>
          <w:rFonts w:cstheme="minorHAnsi"/>
        </w:rPr>
        <w:t>,</w:t>
      </w:r>
      <w:r w:rsidR="00076266">
        <w:rPr>
          <w:rFonts w:cstheme="minorHAnsi"/>
        </w:rPr>
        <w:t xml:space="preserve"> including but not limited to: </w:t>
      </w:r>
      <w:r w:rsidR="00340616" w:rsidRPr="00726710">
        <w:rPr>
          <w:rFonts w:cstheme="minorHAnsi"/>
        </w:rPr>
        <w:t xml:space="preserve"> </w:t>
      </w:r>
    </w:p>
    <w:p w:rsidR="00340616" w:rsidRPr="00726710" w:rsidRDefault="00F760BA" w:rsidP="00726710">
      <w:pPr>
        <w:pStyle w:val="Bullet1"/>
      </w:pPr>
      <w:r>
        <w:t>G</w:t>
      </w:r>
      <w:r w:rsidR="001D4E07">
        <w:t xml:space="preserve">eneral requirements in performing </w:t>
      </w:r>
      <w:r w:rsidR="003F4683">
        <w:t xml:space="preserve"> the</w:t>
      </w:r>
      <w:r w:rsidR="009B43F3">
        <w:t xml:space="preserve"> Assessment</w:t>
      </w:r>
      <w:r w:rsidR="003F4683">
        <w:t xml:space="preserve"> </w:t>
      </w:r>
      <w:r w:rsidR="009B43F3">
        <w:t>S</w:t>
      </w:r>
      <w:r w:rsidR="003F4683">
        <w:t>ervices</w:t>
      </w:r>
    </w:p>
    <w:p w:rsidR="00340616" w:rsidRDefault="00F760BA" w:rsidP="00726710">
      <w:pPr>
        <w:pStyle w:val="Bullet1"/>
      </w:pPr>
      <w:r>
        <w:t>F</w:t>
      </w:r>
      <w:r w:rsidR="003F4683">
        <w:t xml:space="preserve">inancial </w:t>
      </w:r>
      <w:r>
        <w:t>matters</w:t>
      </w:r>
    </w:p>
    <w:p w:rsidR="00076266" w:rsidRDefault="00F760BA" w:rsidP="00726710">
      <w:pPr>
        <w:pStyle w:val="Bullet1"/>
      </w:pPr>
      <w:r>
        <w:t>Code of Practice and Service guarantee</w:t>
      </w:r>
    </w:p>
    <w:p w:rsidR="00F760BA" w:rsidRDefault="00F760BA" w:rsidP="00726710">
      <w:pPr>
        <w:pStyle w:val="Bullet1"/>
      </w:pPr>
      <w:r>
        <w:t>Information management and control of information</w:t>
      </w:r>
    </w:p>
    <w:p w:rsidR="00F760BA" w:rsidRDefault="00F760BA" w:rsidP="00726710">
      <w:pPr>
        <w:pStyle w:val="Bullet1"/>
      </w:pPr>
      <w:r>
        <w:t>Intellectual property rights</w:t>
      </w:r>
    </w:p>
    <w:p w:rsidR="00F760BA" w:rsidRDefault="00F760BA" w:rsidP="00726710">
      <w:pPr>
        <w:pStyle w:val="Bullet1"/>
      </w:pPr>
      <w:r>
        <w:t>Information technology</w:t>
      </w:r>
    </w:p>
    <w:p w:rsidR="00F760BA" w:rsidRDefault="00F760BA" w:rsidP="00726710">
      <w:pPr>
        <w:pStyle w:val="Bullet1"/>
      </w:pPr>
      <w:r>
        <w:t>Administration</w:t>
      </w:r>
    </w:p>
    <w:p w:rsidR="008E4559" w:rsidRDefault="008E4559" w:rsidP="008E4559">
      <w:pPr>
        <w:pStyle w:val="Bullet1"/>
      </w:pPr>
      <w:r>
        <w:t>Maintain nominated personnel qualifications</w:t>
      </w:r>
    </w:p>
    <w:p w:rsidR="00F760BA" w:rsidRDefault="00F760BA" w:rsidP="00726710">
      <w:pPr>
        <w:pStyle w:val="Bullet1"/>
      </w:pPr>
      <w:r>
        <w:t>Indemnity and insurance</w:t>
      </w:r>
    </w:p>
    <w:p w:rsidR="00F760BA" w:rsidRDefault="00F760BA" w:rsidP="00726710">
      <w:pPr>
        <w:pStyle w:val="Bullet1"/>
      </w:pPr>
      <w:r>
        <w:t>Corporate governance and external administration, and</w:t>
      </w:r>
    </w:p>
    <w:p w:rsidR="00F760BA" w:rsidRPr="00726710" w:rsidRDefault="00F760BA" w:rsidP="00726710">
      <w:pPr>
        <w:pStyle w:val="Bullet1"/>
      </w:pPr>
      <w:r>
        <w:t>Resolving problems.</w:t>
      </w:r>
    </w:p>
    <w:p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will be</w:t>
      </w:r>
      <w:r w:rsidRPr="00726710" w:rsidDel="00D505A5">
        <w:rPr>
          <w:rFonts w:cstheme="minorHAnsi"/>
        </w:rPr>
        <w:t xml:space="preserve"> responsible for:</w:t>
      </w:r>
    </w:p>
    <w:p w:rsidR="00340616" w:rsidRPr="00726710" w:rsidDel="00D505A5" w:rsidRDefault="00CE26F1" w:rsidP="00726710">
      <w:pPr>
        <w:pStyle w:val="Bullet1"/>
      </w:pPr>
      <w:r>
        <w:t>M</w:t>
      </w:r>
      <w:r w:rsidRPr="00726710">
        <w:t>eeting</w:t>
      </w:r>
      <w:r w:rsidRPr="00726710" w:rsidDel="00D505A5">
        <w:t xml:space="preserve"> </w:t>
      </w:r>
      <w:r w:rsidR="00340616" w:rsidRPr="00726710" w:rsidDel="00D505A5">
        <w:t xml:space="preserve">the terms and conditions of the </w:t>
      </w:r>
      <w:r w:rsidR="00340616" w:rsidRPr="00726710">
        <w:t>g</w:t>
      </w:r>
      <w:r w:rsidR="00340616" w:rsidRPr="00726710" w:rsidDel="00D505A5">
        <w:t xml:space="preserve">rant </w:t>
      </w:r>
      <w:r w:rsidR="00340616" w:rsidRPr="00726710">
        <w:t>a</w:t>
      </w:r>
      <w:r w:rsidR="00340616" w:rsidRPr="00726710" w:rsidDel="00D505A5">
        <w:t xml:space="preserve">greement </w:t>
      </w:r>
      <w:r w:rsidR="00340616" w:rsidRPr="00726710">
        <w:t>and managing the</w:t>
      </w:r>
      <w:r w:rsidR="00340616" w:rsidRPr="00726710" w:rsidDel="00D505A5">
        <w:t xml:space="preserve"> activity efficient</w:t>
      </w:r>
      <w:r w:rsidR="00340616" w:rsidRPr="00726710">
        <w:t>ly</w:t>
      </w:r>
      <w:r w:rsidR="00340616" w:rsidRPr="00726710" w:rsidDel="00D505A5">
        <w:t xml:space="preserve"> and effective</w:t>
      </w:r>
      <w:r w:rsidR="00340616" w:rsidRPr="00726710">
        <w:t>ly</w:t>
      </w:r>
    </w:p>
    <w:p w:rsidR="00340616" w:rsidRPr="00726710" w:rsidDel="00D505A5" w:rsidRDefault="00CE26F1" w:rsidP="00726710">
      <w:pPr>
        <w:pStyle w:val="Bullet1"/>
      </w:pPr>
      <w:r>
        <w:t>C</w:t>
      </w:r>
      <w:r w:rsidRPr="00726710" w:rsidDel="00D505A5">
        <w:t xml:space="preserve">omplying </w:t>
      </w:r>
      <w:r w:rsidR="00340616" w:rsidRPr="00726710" w:rsidDel="00D505A5">
        <w:t xml:space="preserve">with record keeping, reporting and </w:t>
      </w:r>
      <w:r w:rsidR="00F760BA">
        <w:t>performance</w:t>
      </w:r>
      <w:r w:rsidR="00F760BA" w:rsidRPr="00726710" w:rsidDel="00D505A5">
        <w:t xml:space="preserve"> </w:t>
      </w:r>
      <w:r w:rsidR="00340616" w:rsidRPr="00726710" w:rsidDel="00D505A5">
        <w:t xml:space="preserve">requirements </w:t>
      </w:r>
      <w:r w:rsidR="00340616" w:rsidRPr="00726710">
        <w:t>as set out in the grant agreement</w:t>
      </w:r>
      <w:r w:rsidR="002102D3">
        <w:t>.</w:t>
      </w:r>
    </w:p>
    <w:p w:rsidR="00340616" w:rsidRPr="00B72EE8" w:rsidRDefault="00076266" w:rsidP="00620034">
      <w:pPr>
        <w:pStyle w:val="Heading2Numbered"/>
      </w:pPr>
      <w:bookmarkStart w:id="153" w:name="_Toc420671454"/>
      <w:bookmarkStart w:id="154" w:name="_Toc433641186"/>
      <w:bookmarkStart w:id="155" w:name="_Toc467773986"/>
      <w:bookmarkStart w:id="156" w:name="_Toc492882564"/>
      <w:r w:rsidRPr="00076266">
        <w:rPr>
          <w:color w:val="auto"/>
        </w:rPr>
        <w:t>Department of Social Services’</w:t>
      </w:r>
      <w:r w:rsidR="00340616" w:rsidRPr="00726710">
        <w:rPr>
          <w:color w:val="745B00" w:themeColor="accent3" w:themeShade="80"/>
        </w:rPr>
        <w:t xml:space="preserve"> </w:t>
      </w:r>
      <w:r w:rsidR="00340616" w:rsidRPr="00B72EE8">
        <w:t>responsibilities</w:t>
      </w:r>
      <w:bookmarkEnd w:id="153"/>
      <w:bookmarkEnd w:id="154"/>
      <w:bookmarkEnd w:id="155"/>
      <w:bookmarkEnd w:id="156"/>
    </w:p>
    <w:p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076266">
        <w:rPr>
          <w:rFonts w:cstheme="minorHAnsi"/>
        </w:rPr>
        <w:t>Department of Social Services</w:t>
      </w:r>
      <w:r w:rsidR="00DB0937">
        <w:rPr>
          <w:rFonts w:cstheme="minorHAnsi"/>
          <w:b/>
          <w:color w:val="745B00" w:themeColor="accent3" w:themeShade="80"/>
        </w:rPr>
        <w:t xml:space="preserve"> </w:t>
      </w:r>
      <w:r w:rsidRPr="00726710">
        <w:rPr>
          <w:rFonts w:cstheme="minorHAnsi"/>
        </w:rPr>
        <w:t xml:space="preserve">will: </w:t>
      </w:r>
    </w:p>
    <w:p w:rsidR="00340616" w:rsidRPr="00726710" w:rsidRDefault="00340616" w:rsidP="00726710">
      <w:pPr>
        <w:pStyle w:val="Bullet1"/>
      </w:pPr>
      <w:r w:rsidRPr="00726710">
        <w:t>meet the terms and conditions</w:t>
      </w:r>
      <w:r w:rsidR="002102D3">
        <w:t xml:space="preserve"> set out in the grant agreement</w:t>
      </w:r>
    </w:p>
    <w:p w:rsidR="00340616" w:rsidRPr="00726710" w:rsidRDefault="00340616" w:rsidP="00726710">
      <w:pPr>
        <w:pStyle w:val="Bullet1"/>
      </w:pPr>
      <w:r w:rsidRPr="00726710">
        <w:t>provide time</w:t>
      </w:r>
      <w:r w:rsidR="002102D3">
        <w:t>ly administration of the grant</w:t>
      </w:r>
    </w:p>
    <w:p w:rsidR="00340616" w:rsidRPr="00726710" w:rsidRDefault="00340616" w:rsidP="00726710">
      <w:pPr>
        <w:pStyle w:val="Bullet1"/>
      </w:pPr>
      <w:proofErr w:type="gramStart"/>
      <w:r w:rsidRPr="00726710">
        <w:lastRenderedPageBreak/>
        <w:t>evaluate</w:t>
      </w:r>
      <w:proofErr w:type="gramEnd"/>
      <w:r w:rsidRPr="00726710">
        <w:t xml:space="preserve"> the grantee’s performance.</w:t>
      </w:r>
    </w:p>
    <w:p w:rsidR="002102D3" w:rsidRDefault="002102D3" w:rsidP="002102D3">
      <w:pPr>
        <w:pStyle w:val="Bullet1"/>
        <w:numPr>
          <w:ilvl w:val="0"/>
          <w:numId w:val="0"/>
        </w:numPr>
        <w:spacing w:before="0" w:after="0" w:line="240" w:lineRule="auto"/>
        <w:rPr>
          <w:rFonts w:cstheme="minorHAnsi"/>
        </w:rPr>
      </w:pPr>
    </w:p>
    <w:p w:rsidR="002102D3" w:rsidRPr="00C427E9" w:rsidRDefault="00BE732E" w:rsidP="002102D3">
      <w:pPr>
        <w:pStyle w:val="Bullet1"/>
        <w:numPr>
          <w:ilvl w:val="0"/>
          <w:numId w:val="0"/>
        </w:numPr>
        <w:spacing w:before="0" w:after="0" w:line="240" w:lineRule="auto"/>
        <w:rPr>
          <w:rFonts w:ascii="Arial" w:hAnsi="Arial" w:cs="Arial"/>
        </w:rPr>
      </w:pPr>
      <w:r>
        <w:rPr>
          <w:rFonts w:cstheme="minorHAnsi"/>
        </w:rPr>
        <w:t>The Department of Social Services</w:t>
      </w:r>
      <w:r w:rsidRPr="00726710">
        <w:rPr>
          <w:rFonts w:cstheme="minorHAnsi"/>
        </w:rPr>
        <w:t xml:space="preserve"> </w:t>
      </w:r>
      <w:r w:rsidR="00340616" w:rsidRPr="00726710">
        <w:rPr>
          <w:rFonts w:cstheme="minorHAnsi"/>
        </w:rPr>
        <w:t xml:space="preserve">will monitor </w:t>
      </w:r>
      <w:r w:rsidR="002102D3">
        <w:rPr>
          <w:rFonts w:cstheme="minorHAnsi"/>
        </w:rPr>
        <w:t xml:space="preserve">your performance </w:t>
      </w:r>
      <w:r w:rsidR="006E66F9" w:rsidRPr="00C427E9">
        <w:rPr>
          <w:rFonts w:ascii="Arial" w:hAnsi="Arial" w:cs="Arial"/>
        </w:rPr>
        <w:t>and may</w:t>
      </w:r>
      <w:r w:rsidR="002102D3" w:rsidRPr="00C427E9">
        <w:rPr>
          <w:rFonts w:ascii="Arial" w:hAnsi="Arial" w:cs="Arial"/>
        </w:rPr>
        <w:t xml:space="preserve"> need to re-examine claims, seek further information or request an independent audit of claims and payments.</w:t>
      </w:r>
    </w:p>
    <w:p w:rsidR="00340616" w:rsidRPr="00B72EE8" w:rsidRDefault="00340616" w:rsidP="00620034">
      <w:pPr>
        <w:pStyle w:val="Heading2Numbered"/>
      </w:pPr>
      <w:bookmarkStart w:id="157" w:name="_Toc421777626"/>
      <w:bookmarkStart w:id="158" w:name="_Toc467773987"/>
      <w:bookmarkStart w:id="159" w:name="_Toc492882565"/>
      <w:bookmarkStart w:id="160" w:name="_Toc433641188"/>
      <w:r>
        <w:t>Grant p</w:t>
      </w:r>
      <w:r w:rsidRPr="00B72EE8">
        <w:t>ayments</w:t>
      </w:r>
      <w:bookmarkEnd w:id="157"/>
      <w:r>
        <w:t xml:space="preserve"> and GST</w:t>
      </w:r>
      <w:bookmarkEnd w:id="158"/>
      <w:bookmarkEnd w:id="159"/>
      <w:r>
        <w:t xml:space="preserve"> </w:t>
      </w:r>
      <w:bookmarkEnd w:id="160"/>
    </w:p>
    <w:p w:rsidR="002102D3" w:rsidRPr="00C427E9" w:rsidRDefault="002102D3" w:rsidP="002102D3">
      <w:pPr>
        <w:rPr>
          <w:rFonts w:ascii="Arial" w:hAnsi="Arial" w:cs="Arial"/>
        </w:rPr>
      </w:pPr>
      <w:r w:rsidRPr="00C427E9">
        <w:rPr>
          <w:rFonts w:ascii="Arial" w:hAnsi="Arial" w:cs="Arial"/>
        </w:rPr>
        <w:t>Payments will be made as set out in the grant agreement</w:t>
      </w:r>
      <w:r w:rsidRPr="00C427E9">
        <w:rPr>
          <w:rFonts w:ascii="Arial" w:hAnsi="Arial" w:cs="Arial"/>
          <w:color w:val="745B00" w:themeColor="accent3" w:themeShade="80"/>
        </w:rPr>
        <w:t xml:space="preserve">. </w:t>
      </w:r>
      <w:r w:rsidRPr="00C427E9">
        <w:rPr>
          <w:rFonts w:ascii="Arial" w:hAnsi="Arial" w:cs="Arial"/>
        </w:rPr>
        <w:t>Payments will be GST Inclusive.</w:t>
      </w:r>
    </w:p>
    <w:p w:rsidR="002102D3" w:rsidRPr="00C427E9" w:rsidRDefault="002102D3" w:rsidP="002102D3">
      <w:pPr>
        <w:rPr>
          <w:rFonts w:ascii="Arial" w:hAnsi="Arial" w:cs="Arial"/>
        </w:rPr>
      </w:pPr>
      <w:r w:rsidRPr="00C427E9">
        <w:rPr>
          <w:rFonts w:ascii="Arial" w:hAnsi="Arial" w:cs="Arial"/>
        </w:rPr>
        <w:t>Before any payments are made, you must provide:</w:t>
      </w:r>
    </w:p>
    <w:p w:rsidR="002102D3" w:rsidRPr="00C427E9" w:rsidRDefault="002102D3" w:rsidP="002102D3">
      <w:pPr>
        <w:pStyle w:val="Bullet1"/>
        <w:spacing w:before="0" w:after="0" w:line="240" w:lineRule="auto"/>
        <w:rPr>
          <w:rFonts w:ascii="Arial" w:hAnsi="Arial" w:cs="Arial"/>
        </w:rPr>
      </w:pPr>
      <w:r w:rsidRPr="00C427E9">
        <w:rPr>
          <w:rFonts w:ascii="Arial" w:hAnsi="Arial" w:cs="Arial"/>
        </w:rPr>
        <w:t>a tax invoice for the amount of the payment (the Australian Government’s default invoice process is Recipient Created Tax Invoices</w:t>
      </w:r>
      <w:r w:rsidR="00786273">
        <w:rPr>
          <w:rFonts w:ascii="Arial" w:hAnsi="Arial" w:cs="Arial"/>
        </w:rPr>
        <w:t xml:space="preserve"> for the purposes of the </w:t>
      </w:r>
      <w:r w:rsidR="00786273">
        <w:rPr>
          <w:rFonts w:ascii="Arial" w:hAnsi="Arial" w:cs="Arial"/>
          <w:i/>
        </w:rPr>
        <w:t>A New Tax System (Goods and Services Tax) Act 1999</w:t>
      </w:r>
      <w:r w:rsidRPr="00C427E9">
        <w:rPr>
          <w:rFonts w:ascii="Arial" w:hAnsi="Arial" w:cs="Arial"/>
        </w:rPr>
        <w:t>)</w:t>
      </w:r>
      <w:r w:rsidR="009B43F3">
        <w:rPr>
          <w:rFonts w:ascii="Arial" w:hAnsi="Arial" w:cs="Arial"/>
        </w:rPr>
        <w:t xml:space="preserve"> </w:t>
      </w:r>
    </w:p>
    <w:p w:rsidR="002102D3" w:rsidRPr="00C427E9" w:rsidRDefault="002102D3" w:rsidP="002102D3">
      <w:pPr>
        <w:pStyle w:val="Bullet1"/>
        <w:spacing w:before="0" w:after="0" w:line="240" w:lineRule="auto"/>
        <w:rPr>
          <w:rFonts w:ascii="Arial" w:hAnsi="Arial" w:cs="Arial"/>
        </w:rPr>
      </w:pPr>
      <w:proofErr w:type="gramStart"/>
      <w:r w:rsidRPr="00C427E9">
        <w:rPr>
          <w:rFonts w:ascii="Arial" w:hAnsi="Arial" w:cs="Arial"/>
        </w:rPr>
        <w:t>any</w:t>
      </w:r>
      <w:proofErr w:type="gramEnd"/>
      <w:r w:rsidRPr="00C427E9">
        <w:rPr>
          <w:rFonts w:ascii="Arial" w:hAnsi="Arial" w:cs="Arial"/>
        </w:rPr>
        <w:t xml:space="preserve"> conditions of payment including evidence </w:t>
      </w:r>
      <w:r w:rsidR="00F760BA">
        <w:rPr>
          <w:rFonts w:ascii="Arial" w:hAnsi="Arial" w:cs="Arial"/>
        </w:rPr>
        <w:t>to support claims for payment.</w:t>
      </w:r>
    </w:p>
    <w:p w:rsidR="00340616" w:rsidRPr="00DE3325" w:rsidRDefault="00340616" w:rsidP="00340616">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r w:rsidRPr="00E620C7">
        <w:t>Australian Taxation Office website at</w:t>
      </w:r>
      <w:r w:rsidRPr="00726710">
        <w:rPr>
          <w:u w:val="single"/>
        </w:rPr>
        <w:t xml:space="preserve"> </w:t>
      </w:r>
      <w:hyperlink r:id="rId29" w:history="1">
        <w:r w:rsidRPr="00726710">
          <w:rPr>
            <w:rStyle w:val="Hyperlink"/>
          </w:rPr>
          <w:t>www.ato.gov.au</w:t>
        </w:r>
      </w:hyperlink>
      <w:r w:rsidRPr="00E620C7">
        <w:t xml:space="preserve"> for more information.</w:t>
      </w:r>
    </w:p>
    <w:p w:rsidR="00340616" w:rsidRPr="00B72EE8" w:rsidRDefault="00340616" w:rsidP="00892C8B">
      <w:pPr>
        <w:pStyle w:val="Heading2Numbered"/>
      </w:pPr>
      <w:bookmarkStart w:id="161" w:name="_Toc421777629"/>
      <w:bookmarkStart w:id="162" w:name="_Toc467773988"/>
      <w:bookmarkStart w:id="163" w:name="_Toc492882566"/>
      <w:r>
        <w:t>E</w:t>
      </w:r>
      <w:r w:rsidRPr="00B72EE8">
        <w:t>valuation</w:t>
      </w:r>
      <w:bookmarkEnd w:id="161"/>
      <w:bookmarkEnd w:id="162"/>
      <w:bookmarkEnd w:id="163"/>
      <w:r w:rsidR="00BA0DBE">
        <w:t xml:space="preserve"> </w:t>
      </w:r>
    </w:p>
    <w:p w:rsidR="002A5B50" w:rsidRPr="002A5B50" w:rsidRDefault="002A5B50" w:rsidP="002A5B50">
      <w:r w:rsidRPr="002A5B50">
        <w:t xml:space="preserve">The Australian Government is committed to working in partnership with the National Panel of Assessors to drive performance and continuous improvement in the delivery of quality services. The performance of </w:t>
      </w:r>
      <w:r w:rsidR="00AB1BFC">
        <w:t>NPA</w:t>
      </w:r>
      <w:r w:rsidR="00AB1BFC" w:rsidRPr="002A5B50">
        <w:t xml:space="preserve"> </w:t>
      </w:r>
      <w:r w:rsidRPr="002A5B50">
        <w:t>Providers will be measured throughout the life of the agreement against the grant agreement requirements.</w:t>
      </w:r>
    </w:p>
    <w:p w:rsidR="002A5B50" w:rsidRPr="002A5B50" w:rsidRDefault="002A5B50" w:rsidP="002A5B50">
      <w:r w:rsidRPr="002A5B50">
        <w:t>The Department of Social Services will measure performance using methods including but not limited to stakeholder satisfaction surveys, checking assessment reports, evaluations and monitoring feedback, complaints and timeframes for completion of assessments.</w:t>
      </w:r>
    </w:p>
    <w:p w:rsidR="002A5B50" w:rsidRPr="002A5B50" w:rsidRDefault="002A5B50" w:rsidP="002A5B50">
      <w:r w:rsidRPr="002A5B50">
        <w:t xml:space="preserve">The Department of Social Services will work closely with </w:t>
      </w:r>
      <w:r w:rsidR="004B1F72">
        <w:t>NPA</w:t>
      </w:r>
      <w:r w:rsidR="004B1F72" w:rsidRPr="002A5B50">
        <w:t xml:space="preserve"> </w:t>
      </w:r>
      <w:r w:rsidRPr="002A5B50">
        <w:t>Providers on the detailed implementation and ongoing operation of the proposed performance management framework.</w:t>
      </w:r>
    </w:p>
    <w:p w:rsidR="002A5B50" w:rsidRPr="002A5B50" w:rsidRDefault="00AB1BFC" w:rsidP="002A5B50">
      <w:r>
        <w:t xml:space="preserve">NPA </w:t>
      </w:r>
      <w:r w:rsidR="002A5B50" w:rsidRPr="002A5B50">
        <w:t>Provider performance in this agreement</w:t>
      </w:r>
      <w:r w:rsidR="00AC38CF">
        <w:t>, including providing value for money,</w:t>
      </w:r>
      <w:r w:rsidR="002A5B50" w:rsidRPr="002A5B50">
        <w:t xml:space="preserve"> may be taken into consideration for any future grant agreement extensions</w:t>
      </w:r>
      <w:r w:rsidR="00BA0DBE">
        <w:t>.</w:t>
      </w:r>
    </w:p>
    <w:p w:rsidR="002A5B50" w:rsidRPr="002A5B50" w:rsidRDefault="002A5B50" w:rsidP="002A5B50">
      <w:r w:rsidRPr="002A5B50">
        <w:t>The Department of Social Services will evaluate the NPA to measure how well the outcomes and objectives have been achieved. Your grant agreement requires you to provide information to help with this evaluation.</w:t>
      </w:r>
    </w:p>
    <w:p w:rsidR="00340616" w:rsidRPr="00B72EE8" w:rsidRDefault="00340616" w:rsidP="00892C8B">
      <w:pPr>
        <w:pStyle w:val="Heading2Numbered"/>
        <w:ind w:hanging="709"/>
      </w:pPr>
      <w:bookmarkStart w:id="164" w:name="_Toc467773989"/>
      <w:bookmarkStart w:id="165" w:name="_Toc492882567"/>
      <w:r>
        <w:t>Acknowledgement</w:t>
      </w:r>
      <w:bookmarkEnd w:id="164"/>
      <w:bookmarkEnd w:id="165"/>
    </w:p>
    <w:p w:rsidR="00340616" w:rsidRPr="008B782D" w:rsidRDefault="00340616" w:rsidP="00340616">
      <w:r w:rsidRPr="008B782D">
        <w:t>The</w:t>
      </w:r>
      <w:r w:rsidR="00AB1BFC">
        <w:t xml:space="preserve"> </w:t>
      </w:r>
      <w:r>
        <w:t>Program</w:t>
      </w:r>
      <w:r w:rsidRPr="008B782D">
        <w:t xml:space="preserve"> logo is designed to be used on all materials related to grants under the </w:t>
      </w:r>
      <w:r>
        <w:t>Program</w:t>
      </w:r>
      <w:r w:rsidRPr="008B782D">
        <w:t xml:space="preserve">. Whenever the logo is used the publication </w:t>
      </w:r>
      <w:r>
        <w:t>must</w:t>
      </w:r>
      <w:r w:rsidRPr="008B782D">
        <w:t xml:space="preserve"> also acknowledge the Commonwealth as follows:</w:t>
      </w:r>
    </w:p>
    <w:p w:rsidR="00340616" w:rsidRPr="00B72EE8" w:rsidRDefault="00340616" w:rsidP="00340616">
      <w:pPr>
        <w:spacing w:after="0"/>
      </w:pPr>
      <w:r>
        <w:lastRenderedPageBreak/>
        <w:t>‘</w:t>
      </w:r>
      <w:r w:rsidRPr="008B782D">
        <w:t>This activity received grant funding from the Australian Government.</w:t>
      </w:r>
      <w:r>
        <w:t>’</w:t>
      </w:r>
    </w:p>
    <w:p w:rsidR="00340616" w:rsidRPr="00B72EE8" w:rsidRDefault="00340616" w:rsidP="0054078D">
      <w:pPr>
        <w:pStyle w:val="Heading1Numbered"/>
      </w:pPr>
      <w:bookmarkStart w:id="166" w:name="_Toc467773990"/>
      <w:bookmarkStart w:id="167" w:name="_Toc492882568"/>
      <w:bookmarkStart w:id="168" w:name="_Toc421777631"/>
      <w:r w:rsidRPr="00B72EE8">
        <w:t>Probity</w:t>
      </w:r>
      <w:bookmarkEnd w:id="166"/>
      <w:bookmarkEnd w:id="167"/>
      <w:r w:rsidRPr="00B72EE8">
        <w:t xml:space="preserve"> </w:t>
      </w:r>
      <w:bookmarkEnd w:id="168"/>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340616" w:rsidRPr="0054078D" w:rsidRDefault="00340616" w:rsidP="00892C8B">
      <w:pPr>
        <w:pStyle w:val="Heading2Numbered"/>
        <w:ind w:hanging="709"/>
      </w:pPr>
      <w:bookmarkStart w:id="169" w:name="_Toc414983585"/>
      <w:bookmarkStart w:id="170" w:name="_Toc414984002"/>
      <w:bookmarkStart w:id="171" w:name="_Toc414984762"/>
      <w:bookmarkStart w:id="172" w:name="_Toc414984856"/>
      <w:bookmarkStart w:id="173" w:name="_Toc414984960"/>
      <w:bookmarkStart w:id="174" w:name="_Toc414985063"/>
      <w:bookmarkStart w:id="175" w:name="_Toc414985166"/>
      <w:bookmarkStart w:id="176" w:name="_Toc414985268"/>
      <w:bookmarkStart w:id="177" w:name="_Toc421777632"/>
      <w:bookmarkStart w:id="178" w:name="_Toc467773991"/>
      <w:bookmarkStart w:id="179" w:name="_Toc492882569"/>
      <w:bookmarkEnd w:id="169"/>
      <w:bookmarkEnd w:id="170"/>
      <w:bookmarkEnd w:id="171"/>
      <w:bookmarkEnd w:id="172"/>
      <w:bookmarkEnd w:id="173"/>
      <w:bookmarkEnd w:id="174"/>
      <w:bookmarkEnd w:id="175"/>
      <w:bookmarkEnd w:id="176"/>
      <w:r w:rsidRPr="0054078D">
        <w:t>Complaints process</w:t>
      </w:r>
      <w:bookmarkEnd w:id="177"/>
      <w:bookmarkEnd w:id="178"/>
      <w:bookmarkEnd w:id="179"/>
    </w:p>
    <w:p w:rsidR="00340616" w:rsidRPr="00B72EE8" w:rsidRDefault="00DB0937" w:rsidP="00340616">
      <w:r>
        <w:t>The</w:t>
      </w:r>
      <w:r w:rsidR="00340616" w:rsidRPr="00726710">
        <w:rPr>
          <w:b/>
          <w:color w:val="745B00" w:themeColor="accent3" w:themeShade="80"/>
        </w:rPr>
        <w:t xml:space="preserve"> </w:t>
      </w:r>
      <w:r w:rsidR="00555FA3" w:rsidRPr="00555FA3">
        <w:t xml:space="preserve">Department of Social Services </w:t>
      </w:r>
      <w:hyperlink r:id="rId30" w:history="1">
        <w:r w:rsidR="00555FA3" w:rsidRPr="00555FA3">
          <w:rPr>
            <w:rStyle w:val="Hyperlink"/>
            <w:rFonts w:cstheme="minorBidi"/>
          </w:rPr>
          <w:t>Complaints Procedures</w:t>
        </w:r>
      </w:hyperlink>
      <w:r w:rsidR="00555FA3" w:rsidRPr="00555FA3">
        <w:t xml:space="preserve"> </w:t>
      </w:r>
      <w:r w:rsidR="00340616" w:rsidRPr="00B72EE8">
        <w:t xml:space="preserve">apply to complaints </w:t>
      </w:r>
      <w:r w:rsidR="00340616">
        <w:t xml:space="preserve">about the </w:t>
      </w:r>
      <w:r w:rsidR="00340616" w:rsidRPr="0007125B">
        <w:t>Program</w:t>
      </w:r>
      <w:r w:rsidR="00340616">
        <w:t>.</w:t>
      </w:r>
      <w:r w:rsidR="00340616" w:rsidRPr="009E25CE">
        <w:rPr>
          <w:b/>
        </w:rPr>
        <w:t xml:space="preserve"> </w:t>
      </w:r>
      <w:r w:rsidR="00340616">
        <w:t>A</w:t>
      </w:r>
      <w:r w:rsidR="00340616" w:rsidRPr="00B72EE8">
        <w:t xml:space="preserve">ll complaints </w:t>
      </w:r>
      <w:r w:rsidR="00340616">
        <w:t>about</w:t>
      </w:r>
      <w:r w:rsidR="00340616" w:rsidRPr="00B72EE8">
        <w:t xml:space="preserve"> a </w:t>
      </w:r>
      <w:r w:rsidR="00340616" w:rsidRPr="0007125B">
        <w:t>process</w:t>
      </w:r>
      <w:r w:rsidR="00340616" w:rsidRPr="00B72EE8">
        <w:t xml:space="preserve"> </w:t>
      </w:r>
      <w:r w:rsidR="00340616">
        <w:t xml:space="preserve">must </w:t>
      </w:r>
      <w:r w:rsidR="00340616" w:rsidRPr="00B72EE8">
        <w:t>be lodged in writing.</w:t>
      </w:r>
    </w:p>
    <w:p w:rsidR="00340616" w:rsidRPr="00B72EE8" w:rsidRDefault="00340616" w:rsidP="00340616">
      <w:r w:rsidRPr="00B72EE8">
        <w:t xml:space="preserve">Any </w:t>
      </w:r>
      <w:r>
        <w:t xml:space="preserve">questions </w:t>
      </w:r>
      <w:r w:rsidRPr="00B72EE8">
        <w:t>you</w:t>
      </w:r>
      <w:r>
        <w:t xml:space="preserve"> have about</w:t>
      </w:r>
      <w:r w:rsidRPr="00B72EE8">
        <w:t xml:space="preserve"> </w:t>
      </w:r>
      <w:r w:rsidRPr="0007125B">
        <w:t>grant decisions</w:t>
      </w:r>
      <w:r w:rsidRPr="00B72EE8">
        <w:t xml:space="preserve"> for the</w:t>
      </w:r>
      <w:r>
        <w:t xml:space="preserve"> Program</w:t>
      </w:r>
      <w:r w:rsidRPr="00B72EE8">
        <w:t xml:space="preserve"> should be </w:t>
      </w:r>
      <w:r>
        <w:t>sent</w:t>
      </w:r>
      <w:r w:rsidRPr="00B72EE8">
        <w:t xml:space="preserve"> to</w:t>
      </w:r>
      <w:r w:rsidRPr="009E25CE">
        <w:rPr>
          <w:b/>
        </w:rPr>
        <w:t xml:space="preserve"> </w:t>
      </w:r>
      <w:hyperlink r:id="rId31" w:history="1">
        <w:r w:rsidR="00B274D6" w:rsidRPr="00A71265">
          <w:rPr>
            <w:rStyle w:val="Hyperlink"/>
            <w:rFonts w:cstheme="minorBidi"/>
          </w:rPr>
          <w:t>support@communitygrants.gov.au</w:t>
        </w:r>
      </w:hyperlink>
      <w:r w:rsidR="00B274D6">
        <w:t xml:space="preserve"> </w:t>
      </w:r>
    </w:p>
    <w:p w:rsidR="00340616" w:rsidRDefault="00340616" w:rsidP="00340616">
      <w:pPr>
        <w:rPr>
          <w:b/>
          <w:color w:val="745B00" w:themeColor="accent3" w:themeShade="80"/>
        </w:rPr>
      </w:pPr>
      <w:r w:rsidRPr="004E6659">
        <w:t xml:space="preserve">If </w:t>
      </w:r>
      <w:r>
        <w:t>you do not agree</w:t>
      </w:r>
      <w:r w:rsidRPr="00B72EE8">
        <w:t xml:space="preserve"> with the way the</w:t>
      </w:r>
      <w:r w:rsidR="001B3B8A">
        <w:t xml:space="preserve"> </w:t>
      </w:r>
      <w:r w:rsidR="001B3B8A" w:rsidRPr="001B3B8A">
        <w:t>Department of Social Services</w:t>
      </w:r>
      <w:r w:rsidR="00DB0937">
        <w:rPr>
          <w:b/>
          <w:color w:val="745B00" w:themeColor="accent3" w:themeShade="80"/>
        </w:rPr>
        <w:t xml:space="preserve"> </w:t>
      </w:r>
      <w:r w:rsidRPr="00B72EE8">
        <w:t xml:space="preserve">has handled </w:t>
      </w:r>
      <w:r>
        <w:t>your</w:t>
      </w:r>
      <w:r w:rsidRPr="00B72EE8">
        <w:t xml:space="preserve"> complaint, </w:t>
      </w:r>
      <w:r>
        <w:t>you</w:t>
      </w:r>
      <w:r w:rsidRPr="00B72EE8">
        <w:t xml:space="preserve"> may complain to the Commonwealth Ombudsman. The Ombudsman will </w:t>
      </w:r>
      <w:r>
        <w:t xml:space="preserve">not </w:t>
      </w:r>
      <w:r w:rsidRPr="00B72EE8">
        <w:t>usually</w:t>
      </w:r>
      <w:r>
        <w:t xml:space="preserve"> look into a </w:t>
      </w:r>
      <w:r w:rsidRPr="00B72EE8">
        <w:t>complaint unless the matter has first been raised directly with the</w:t>
      </w:r>
      <w:r w:rsidR="001B3B8A" w:rsidRPr="001B3B8A">
        <w:t xml:space="preserve"> Department</w:t>
      </w:r>
      <w:r w:rsidR="00BE3F7A">
        <w:t xml:space="preserve"> </w:t>
      </w:r>
      <w:r w:rsidR="001B3B8A" w:rsidRPr="001B3B8A">
        <w:t>of Social Services.</w:t>
      </w:r>
    </w:p>
    <w:p w:rsidR="00560903" w:rsidRPr="00FF507B" w:rsidRDefault="00560903" w:rsidP="00560903">
      <w:pPr>
        <w:spacing w:after="0" w:line="240" w:lineRule="auto"/>
      </w:pPr>
      <w:r w:rsidRPr="00FF507B">
        <w:t xml:space="preserve">Applicants can contact the complaints service with complaints about Community Grants Hub’s service(s) or the application process. </w:t>
      </w:r>
    </w:p>
    <w:p w:rsidR="00560903" w:rsidRPr="00FF507B" w:rsidRDefault="00560903" w:rsidP="00560903">
      <w:pPr>
        <w:spacing w:after="0" w:line="240" w:lineRule="auto"/>
      </w:pPr>
      <w:r w:rsidRPr="00FF507B">
        <w:t>Details of what constitutes an eligible complaint can be provided upon reques</w:t>
      </w:r>
      <w:r w:rsidR="00886930">
        <w:t xml:space="preserve">t by the Community Grants Hub. </w:t>
      </w:r>
      <w:r w:rsidRPr="00FF507B">
        <w:t xml:space="preserve">Applicants can lodge complaints through the following channels: </w:t>
      </w:r>
    </w:p>
    <w:p w:rsidR="00560903" w:rsidRPr="00FF507B" w:rsidRDefault="00560903" w:rsidP="00560903">
      <w:pPr>
        <w:spacing w:after="0" w:line="240" w:lineRule="auto"/>
      </w:pPr>
      <w:r w:rsidRPr="00FF507B">
        <w:t>Telephone:</w:t>
      </w:r>
      <w:r w:rsidRPr="00FF507B">
        <w:tab/>
        <w:t xml:space="preserve">1800 634 035 </w:t>
      </w:r>
    </w:p>
    <w:p w:rsidR="00560903" w:rsidRPr="00FF507B" w:rsidRDefault="00560903" w:rsidP="00560903">
      <w:pPr>
        <w:spacing w:before="0" w:after="0" w:line="240" w:lineRule="auto"/>
      </w:pPr>
      <w:r w:rsidRPr="00FF507B">
        <w:t>Fax:</w:t>
      </w:r>
      <w:r w:rsidRPr="00FF507B">
        <w:tab/>
      </w:r>
      <w:r w:rsidRPr="00FF507B">
        <w:tab/>
        <w:t xml:space="preserve">(02) 6204 4587 </w:t>
      </w:r>
    </w:p>
    <w:p w:rsidR="00560903" w:rsidRPr="00FF507B" w:rsidRDefault="00560903" w:rsidP="00560903">
      <w:pPr>
        <w:widowControl w:val="0"/>
        <w:autoSpaceDE w:val="0"/>
        <w:autoSpaceDN w:val="0"/>
        <w:adjustRightInd w:val="0"/>
        <w:spacing w:before="0" w:after="0" w:line="240" w:lineRule="auto"/>
      </w:pPr>
    </w:p>
    <w:p w:rsidR="00560903" w:rsidRPr="00FF507B" w:rsidRDefault="00560903" w:rsidP="00560903">
      <w:pPr>
        <w:widowControl w:val="0"/>
        <w:autoSpaceDE w:val="0"/>
        <w:autoSpaceDN w:val="0"/>
        <w:adjustRightInd w:val="0"/>
        <w:spacing w:before="0" w:after="0" w:line="240" w:lineRule="auto"/>
      </w:pPr>
      <w:r w:rsidRPr="00FF507B">
        <w:t>Mail:</w:t>
      </w:r>
      <w:r w:rsidRPr="00FF507B">
        <w:tab/>
      </w:r>
      <w:r w:rsidRPr="00FF507B">
        <w:tab/>
        <w:t>Community Grants Hub Complaints</w:t>
      </w:r>
    </w:p>
    <w:p w:rsidR="00560903" w:rsidRPr="00FF507B" w:rsidRDefault="00560903" w:rsidP="00560903">
      <w:pPr>
        <w:widowControl w:val="0"/>
        <w:autoSpaceDE w:val="0"/>
        <w:autoSpaceDN w:val="0"/>
        <w:adjustRightInd w:val="0"/>
        <w:spacing w:before="0" w:after="0" w:line="240" w:lineRule="auto"/>
        <w:ind w:left="720" w:firstLine="720"/>
      </w:pPr>
      <w:r w:rsidRPr="00FF507B">
        <w:t>GPO Box 9820</w:t>
      </w:r>
    </w:p>
    <w:p w:rsidR="00560903" w:rsidRPr="00FF507B" w:rsidRDefault="00560903" w:rsidP="00560903">
      <w:pPr>
        <w:spacing w:before="0" w:after="0" w:line="240" w:lineRule="auto"/>
        <w:ind w:left="720" w:firstLine="720"/>
      </w:pPr>
      <w:r w:rsidRPr="00FF507B">
        <w:t>Canberra ACT 2601</w:t>
      </w:r>
    </w:p>
    <w:p w:rsidR="00560903" w:rsidRPr="00FF507B" w:rsidRDefault="00560903" w:rsidP="00560903">
      <w:pPr>
        <w:spacing w:after="0" w:line="240" w:lineRule="auto"/>
      </w:pPr>
      <w:r w:rsidRPr="00FF507B">
        <w:t xml:space="preserve">Applicants can also lodge a complaint about the Departments service(s) using the complaints form on the Departments </w:t>
      </w:r>
      <w:hyperlink r:id="rId32" w:history="1">
        <w:r w:rsidRPr="00886930">
          <w:rPr>
            <w:rStyle w:val="Hyperlink"/>
            <w:rFonts w:cstheme="minorBidi"/>
          </w:rPr>
          <w:t>website</w:t>
        </w:r>
      </w:hyperlink>
      <w:r w:rsidRPr="00FF507B">
        <w:t>.</w:t>
      </w:r>
    </w:p>
    <w:p w:rsidR="00560903" w:rsidRPr="00FF507B" w:rsidRDefault="00560903" w:rsidP="00560903">
      <w:pPr>
        <w:spacing w:after="0" w:line="240" w:lineRule="auto"/>
      </w:pPr>
      <w:r w:rsidRPr="00FF507B">
        <w:t xml:space="preserve">Alternatively, a complaint can be made over the phone on </w:t>
      </w:r>
      <w:r w:rsidR="00786273">
        <w:t>1</w:t>
      </w:r>
      <w:r w:rsidR="00886930" w:rsidRPr="00A74E25">
        <w:rPr>
          <w:rFonts w:ascii="Arial" w:hAnsi="Arial" w:cs="Arial"/>
        </w:rPr>
        <w:t>800 634 035</w:t>
      </w:r>
      <w:r w:rsidR="00886930">
        <w:rPr>
          <w:rFonts w:ascii="Arial" w:hAnsi="Arial" w:cs="Arial"/>
        </w:rPr>
        <w:t>.</w:t>
      </w:r>
    </w:p>
    <w:p w:rsidR="00423350" w:rsidRPr="00FF507B" w:rsidRDefault="00560903" w:rsidP="00560903">
      <w:pPr>
        <w:spacing w:after="0" w:line="240" w:lineRule="auto"/>
      </w:pPr>
      <w:r w:rsidRPr="00FF507B">
        <w:t>If an Applicant is at any time dissatisfied with the Department or the Community Grant Hub's handling of a complaint, they can contact the Commonwealth Ombudsman</w:t>
      </w:r>
      <w:r w:rsidR="00423350" w:rsidRPr="00FF507B">
        <w:t xml:space="preserve">.  </w:t>
      </w:r>
    </w:p>
    <w:p w:rsidR="00423350" w:rsidRPr="00FF507B" w:rsidRDefault="00423350" w:rsidP="00560903">
      <w:pPr>
        <w:spacing w:after="0" w:line="240" w:lineRule="auto"/>
      </w:pPr>
      <w:r w:rsidRPr="00FF507B">
        <w:t>The Commonwealth Ombudsman can be contacted on:</w:t>
      </w:r>
    </w:p>
    <w:p w:rsidR="00423350" w:rsidRPr="00FF507B" w:rsidRDefault="00423350" w:rsidP="00131C22">
      <w:pPr>
        <w:spacing w:after="0" w:line="240" w:lineRule="auto"/>
        <w:ind w:left="720" w:firstLine="720"/>
      </w:pPr>
      <w:r w:rsidRPr="00FF507B">
        <w:t>Phone (Toll free): 1300 362 072</w:t>
      </w:r>
    </w:p>
    <w:p w:rsidR="00423350" w:rsidRPr="00FF507B" w:rsidRDefault="00423350" w:rsidP="00131C22">
      <w:pPr>
        <w:spacing w:before="0" w:after="0" w:line="240" w:lineRule="auto"/>
        <w:ind w:left="720" w:firstLine="720"/>
      </w:pPr>
      <w:r w:rsidRPr="00FF507B">
        <w:t>Email:</w:t>
      </w:r>
      <w:r w:rsidR="00131C22" w:rsidRPr="00FF507B">
        <w:t xml:space="preserve"> </w:t>
      </w:r>
      <w:r w:rsidRPr="00FF507B">
        <w:t xml:space="preserve"> </w:t>
      </w:r>
      <w:hyperlink r:id="rId33" w:history="1">
        <w:r w:rsidRPr="00FF507B">
          <w:rPr>
            <w:rStyle w:val="Hyperlink"/>
            <w:rFonts w:cstheme="minorBidi"/>
          </w:rPr>
          <w:t>ombudsman@ombudsman.gov.au</w:t>
        </w:r>
      </w:hyperlink>
    </w:p>
    <w:p w:rsidR="00560903" w:rsidRPr="00072D7E" w:rsidRDefault="00423350" w:rsidP="00131C22">
      <w:pPr>
        <w:spacing w:before="0" w:after="0" w:line="240" w:lineRule="auto"/>
        <w:ind w:left="720" w:firstLine="720"/>
      </w:pPr>
      <w:r w:rsidRPr="00FF507B">
        <w:t xml:space="preserve">Website: </w:t>
      </w:r>
      <w:r w:rsidR="00560903" w:rsidRPr="00FF507B">
        <w:t xml:space="preserve"> www.ombudsman.gov.au </w:t>
      </w:r>
    </w:p>
    <w:p w:rsidR="00340616" w:rsidRPr="00B72EE8" w:rsidRDefault="00340616" w:rsidP="00892C8B">
      <w:pPr>
        <w:pStyle w:val="Heading2Numbered"/>
        <w:ind w:hanging="709"/>
      </w:pPr>
      <w:bookmarkStart w:id="180" w:name="_Toc421777633"/>
      <w:bookmarkStart w:id="181" w:name="_Toc467773992"/>
      <w:bookmarkStart w:id="182" w:name="_Toc492882570"/>
      <w:r w:rsidRPr="00B72EE8">
        <w:lastRenderedPageBreak/>
        <w:t>Conflict of interest</w:t>
      </w:r>
      <w:bookmarkEnd w:id="180"/>
      <w:bookmarkEnd w:id="181"/>
      <w:bookmarkEnd w:id="182"/>
    </w:p>
    <w:p w:rsidR="00340616" w:rsidRPr="00B72EE8" w:rsidRDefault="00340616" w:rsidP="00340616">
      <w:r>
        <w:t xml:space="preserve">Any </w:t>
      </w:r>
      <w:r w:rsidRPr="00726710">
        <w:t xml:space="preserve">conflicts of interest could affect the performance of the grant.  There may be a </w:t>
      </w:r>
      <w:hyperlink r:id="rId34"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2A5438" w:rsidRPr="002A5438">
        <w:t>Department of Social Services</w:t>
      </w:r>
      <w:r w:rsidR="00DB0937" w:rsidRPr="002A5438">
        <w:t xml:space="preserve"> </w:t>
      </w:r>
      <w:r w:rsidR="00533BCE" w:rsidRPr="002A5438">
        <w:t>and the Community Grants Hub</w:t>
      </w:r>
      <w:r w:rsidR="00533BCE">
        <w:rPr>
          <w:b/>
          <w:color w:val="745B00" w:themeColor="accent3" w:themeShade="80"/>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rsidR="00340616" w:rsidRPr="00B72EE8" w:rsidRDefault="00340616" w:rsidP="00726710">
      <w:pPr>
        <w:pStyle w:val="Bullet1"/>
      </w:pPr>
      <w:r w:rsidRPr="00B72EE8">
        <w:t xml:space="preserve">has </w:t>
      </w:r>
      <w:r>
        <w:t>a relationship with an organisation</w:t>
      </w:r>
      <w:r w:rsidRPr="00B72EE8">
        <w:t xml:space="preserve"> relationship with, or in, an organisation, which is likely to interfere with or restrict the applicants from carrying out the proposed acti</w:t>
      </w:r>
      <w:r>
        <w:t>vities fairly and independently</w:t>
      </w:r>
      <w:r w:rsidRPr="00B72EE8">
        <w:t xml:space="preserve"> </w:t>
      </w:r>
    </w:p>
    <w:p w:rsidR="00340616" w:rsidRPr="00B72EE8" w:rsidRDefault="00340616" w:rsidP="00726710">
      <w:pPr>
        <w:pStyle w:val="Bullet1"/>
      </w:pPr>
      <w:proofErr w:type="gramStart"/>
      <w:r w:rsidRPr="00B72EE8">
        <w:t>has</w:t>
      </w:r>
      <w:proofErr w:type="gramEnd"/>
      <w:r w:rsidRPr="00B72EE8">
        <w:t xml:space="preserve">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2A5438" w:rsidRPr="002A5438">
        <w:t>Department of Social Services and the Community Grants Hub</w:t>
      </w:r>
      <w:r w:rsidRPr="00726710">
        <w:rPr>
          <w:color w:val="745B00" w:themeColor="accent3" w:themeShade="80"/>
        </w:rPr>
        <w:t xml:space="preserve"> </w:t>
      </w:r>
      <w:r w:rsidRPr="00B72EE8">
        <w:t xml:space="preserve">in writing immediately. </w:t>
      </w:r>
      <w:r>
        <w:t>Committee members and other officials including the decision maker must also declare any conflicts of interest.</w:t>
      </w:r>
    </w:p>
    <w:p w:rsidR="00340616" w:rsidRPr="00B72EE8" w:rsidRDefault="00340616" w:rsidP="00340616">
      <w:r w:rsidRPr="00B72EE8">
        <w:t xml:space="preserve">The chair of the </w:t>
      </w:r>
      <w:r w:rsidR="00647D91" w:rsidRPr="00BD33A0">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5"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rsidR="00340616" w:rsidRPr="00440282" w:rsidRDefault="00340616" w:rsidP="00892C8B">
      <w:pPr>
        <w:pStyle w:val="Heading2Numbered"/>
        <w:ind w:hanging="709"/>
      </w:pPr>
      <w:bookmarkStart w:id="183" w:name="_Toc421777634"/>
      <w:bookmarkStart w:id="184" w:name="_Toc467773993"/>
      <w:bookmarkStart w:id="185" w:name="_Toc492882571"/>
      <w:r w:rsidRPr="00B72EE8">
        <w:t>Privacy: confidentiality and protection of personal information</w:t>
      </w:r>
      <w:bookmarkEnd w:id="183"/>
      <w:bookmarkEnd w:id="184"/>
      <w:bookmarkEnd w:id="185"/>
    </w:p>
    <w:p w:rsidR="00723BDC" w:rsidRPr="00DC26ED" w:rsidRDefault="00723BDC" w:rsidP="00340616">
      <w:pPr>
        <w:rPr>
          <w:b/>
        </w:rPr>
      </w:pPr>
      <w:r>
        <w:rPr>
          <w:b/>
        </w:rPr>
        <w:t>Personal information</w:t>
      </w:r>
    </w:p>
    <w:p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rsidR="00340616" w:rsidRPr="00E86A67" w:rsidRDefault="00340616" w:rsidP="00726710">
      <w:pPr>
        <w:pStyle w:val="Bullet1"/>
      </w:pPr>
      <w:r w:rsidRPr="00E86A67">
        <w:t>what personal information we collect</w:t>
      </w:r>
    </w:p>
    <w:p w:rsidR="00340616" w:rsidRPr="00E86A67" w:rsidRDefault="00340616" w:rsidP="00726710">
      <w:pPr>
        <w:pStyle w:val="Bullet1"/>
      </w:pPr>
      <w:r w:rsidRPr="00E86A67">
        <w:t>why we co</w:t>
      </w:r>
      <w:r>
        <w:t>llect your personal information</w:t>
      </w:r>
    </w:p>
    <w:p w:rsidR="00340616" w:rsidRDefault="00340616" w:rsidP="00726710">
      <w:pPr>
        <w:pStyle w:val="Bullet1"/>
      </w:pPr>
      <w:proofErr w:type="gramStart"/>
      <w:r w:rsidRPr="00E86A67">
        <w:t>who</w:t>
      </w:r>
      <w:proofErr w:type="gramEnd"/>
      <w:r w:rsidRPr="00E86A67">
        <w:t xml:space="preserve"> we gi</w:t>
      </w:r>
      <w:r>
        <w:t>ve your personal information to</w:t>
      </w:r>
      <w:r w:rsidR="00723BDC">
        <w:t>.</w:t>
      </w:r>
    </w:p>
    <w:p w:rsidR="00AB1BFC" w:rsidRDefault="00340616" w:rsidP="00340616">
      <w:r w:rsidRPr="00E86A67">
        <w:t xml:space="preserve">You are required, as part of your application, to declare your ability to comply with the </w:t>
      </w:r>
      <w:hyperlink r:id="rId36"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w:t>
      </w:r>
    </w:p>
    <w:p w:rsidR="00340616" w:rsidRDefault="00340616" w:rsidP="00340616">
      <w:r>
        <w:t xml:space="preserve">Your personal information </w:t>
      </w:r>
      <w:r w:rsidRPr="00B72EE8">
        <w:t>can only be disclosed to someone else</w:t>
      </w:r>
      <w:r w:rsidR="00964597">
        <w:t xml:space="preserve"> in compliance with the Privacy Act, including;</w:t>
      </w:r>
      <w:r w:rsidRPr="00B72EE8">
        <w:t xml:space="preserve"> if you </w:t>
      </w:r>
      <w:r>
        <w:t>are</w:t>
      </w:r>
      <w:r w:rsidRPr="00B72EE8">
        <w:t xml:space="preserve"> given reasonable notice of the disclosure; where disclosure </w:t>
      </w:r>
      <w:r w:rsidRPr="00B72EE8">
        <w:lastRenderedPageBreak/>
        <w:t xml:space="preserve">is authorised or required by law or is reasonably necessary for the enforcement of the criminal law; if it will prevent or lessen a serious and imminent threat to a person’s life or health; or if you have consented to the disclosure. </w:t>
      </w:r>
    </w:p>
    <w:p w:rsidR="00723BDC" w:rsidRDefault="00723BDC" w:rsidP="00723BDC">
      <w:pPr>
        <w:rPr>
          <w:b/>
        </w:rPr>
      </w:pPr>
      <w:r>
        <w:rPr>
          <w:b/>
        </w:rPr>
        <w:t>Confidential information</w:t>
      </w:r>
    </w:p>
    <w:p w:rsidR="00723BDC" w:rsidRDefault="00340616" w:rsidP="00723BDC">
      <w:r w:rsidRPr="00763129">
        <w:t xml:space="preserve">The </w:t>
      </w:r>
      <w:r w:rsidR="00723BDC">
        <w:t xml:space="preserve">Commonwealth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rsidR="00723BDC" w:rsidRPr="00E86A67" w:rsidRDefault="00723BDC" w:rsidP="00723BDC">
      <w:r w:rsidRPr="00E86A67">
        <w:t xml:space="preserve">You must </w:t>
      </w:r>
      <w:r>
        <w:t>receive the Commonwealth</w:t>
      </w:r>
      <w:r w:rsidRPr="00E86A67">
        <w:t>’s consent in writing before disclosing confidential information.</w:t>
      </w:r>
    </w:p>
    <w:p w:rsidR="00340616" w:rsidRPr="0033741C" w:rsidRDefault="00340616" w:rsidP="00340616">
      <w:pPr>
        <w:rPr>
          <w:lang w:eastAsia="en-AU"/>
        </w:rPr>
      </w:pPr>
      <w:r>
        <w:rPr>
          <w:lang w:eastAsia="en-AU"/>
        </w:rPr>
        <w:t>We may reveal confidential information to</w:t>
      </w:r>
      <w:r w:rsidRPr="0033741C">
        <w:rPr>
          <w:lang w:eastAsia="en-AU"/>
        </w:rPr>
        <w:t>:</w:t>
      </w:r>
    </w:p>
    <w:p w:rsidR="00340616" w:rsidRPr="0033741C" w:rsidRDefault="00340616" w:rsidP="00726710">
      <w:pPr>
        <w:pStyle w:val="Bullet1"/>
      </w:pPr>
      <w:r w:rsidRPr="0033741C">
        <w:t xml:space="preserve">the </w:t>
      </w:r>
      <w:r>
        <w:t>c</w:t>
      </w:r>
      <w:r w:rsidRPr="0033741C">
        <w:t xml:space="preserve">ommittee and other Commonwealth employees and contractors </w:t>
      </w:r>
      <w:r>
        <w:t>to help us manage the program effectively</w:t>
      </w:r>
    </w:p>
    <w:p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340616" w:rsidRDefault="00340616" w:rsidP="00726710">
      <w:pPr>
        <w:pStyle w:val="Bullet1"/>
      </w:pPr>
      <w:r>
        <w:t>employees and contractors of other Commonwealth agencies for any purposes, including government administration, research or service delivery</w:t>
      </w:r>
    </w:p>
    <w:p w:rsidR="00340616" w:rsidRPr="0033741C" w:rsidRDefault="00340616" w:rsidP="00726710">
      <w:pPr>
        <w:pStyle w:val="Bullet1"/>
      </w:pPr>
      <w:r>
        <w:t>other Commonwealth, State, Territory or local government agencies in program reports and consultations</w:t>
      </w:r>
    </w:p>
    <w:p w:rsidR="00340616" w:rsidRPr="0033741C" w:rsidRDefault="00340616" w:rsidP="00726710">
      <w:pPr>
        <w:pStyle w:val="Bullet1"/>
      </w:pPr>
      <w:r w:rsidRPr="0033741C">
        <w:t>the Auditor-General, Ombudsman or Privacy Commissioner</w:t>
      </w:r>
    </w:p>
    <w:p w:rsidR="00340616" w:rsidRPr="00BA6D16" w:rsidRDefault="00340616" w:rsidP="00726710">
      <w:pPr>
        <w:pStyle w:val="Bullet1"/>
      </w:pPr>
      <w:r w:rsidRPr="00BA6D16">
        <w:t>the responsible Minister or Parliamentary Secretary</w:t>
      </w:r>
    </w:p>
    <w:p w:rsidR="00340616" w:rsidRPr="0033741C" w:rsidRDefault="00340616" w:rsidP="00726710">
      <w:pPr>
        <w:pStyle w:val="Bullet1"/>
      </w:pPr>
      <w:proofErr w:type="gramStart"/>
      <w:r w:rsidRPr="0033741C">
        <w:t>a</w:t>
      </w:r>
      <w:proofErr w:type="gramEnd"/>
      <w:r w:rsidRPr="0033741C">
        <w:t xml:space="preserve"> House or a Committee of the </w:t>
      </w:r>
      <w:r>
        <w:t xml:space="preserve">Australian </w:t>
      </w:r>
      <w:r w:rsidRPr="0033741C">
        <w:t>Parliament</w:t>
      </w:r>
      <w:r>
        <w:t>.</w:t>
      </w:r>
    </w:p>
    <w:p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rsidR="00340616" w:rsidRPr="00726710" w:rsidRDefault="00340616" w:rsidP="00726710">
      <w:pPr>
        <w:pStyle w:val="Bullet1"/>
        <w:rPr>
          <w:i/>
        </w:rPr>
      </w:pPr>
      <w:r w:rsidRPr="00726710">
        <w:rPr>
          <w:i/>
        </w:rPr>
        <w:t>Public Service Act 1999</w:t>
      </w:r>
    </w:p>
    <w:p w:rsidR="00340616" w:rsidRPr="00726710" w:rsidRDefault="00340616" w:rsidP="00726710">
      <w:pPr>
        <w:pStyle w:val="Bullet1"/>
        <w:rPr>
          <w:i/>
        </w:rPr>
      </w:pPr>
      <w:r w:rsidRPr="00726710">
        <w:rPr>
          <w:i/>
        </w:rPr>
        <w:t>Public Service Regulations 1999</w:t>
      </w:r>
    </w:p>
    <w:p w:rsidR="00340616" w:rsidRPr="00726710" w:rsidRDefault="00340616" w:rsidP="00726710">
      <w:pPr>
        <w:pStyle w:val="Bullet1"/>
        <w:rPr>
          <w:i/>
        </w:rPr>
      </w:pPr>
      <w:r w:rsidRPr="00726710">
        <w:rPr>
          <w:i/>
        </w:rPr>
        <w:t>Public Governance, Performance and Accountability Act</w:t>
      </w:r>
      <w:r w:rsidR="00E30277">
        <w:rPr>
          <w:i/>
        </w:rPr>
        <w:t xml:space="preserve"> 2013</w:t>
      </w:r>
    </w:p>
    <w:p w:rsidR="00340616" w:rsidRPr="00726710" w:rsidRDefault="00340616" w:rsidP="00726710">
      <w:pPr>
        <w:pStyle w:val="Bullet1"/>
        <w:rPr>
          <w:i/>
        </w:rPr>
      </w:pPr>
      <w:r w:rsidRPr="00726710">
        <w:rPr>
          <w:i/>
        </w:rPr>
        <w:t xml:space="preserve">Privacy Act 1988 </w:t>
      </w:r>
    </w:p>
    <w:p w:rsidR="00340616" w:rsidRPr="00726710" w:rsidRDefault="00340616" w:rsidP="00726710">
      <w:pPr>
        <w:pStyle w:val="Bullet1"/>
        <w:rPr>
          <w:i/>
        </w:rPr>
      </w:pPr>
      <w:r w:rsidRPr="00726710">
        <w:rPr>
          <w:i/>
        </w:rPr>
        <w:t>Crimes Act 1914</w:t>
      </w:r>
    </w:p>
    <w:p w:rsidR="00340616" w:rsidRPr="00726710" w:rsidRDefault="00340616" w:rsidP="00726710">
      <w:pPr>
        <w:pStyle w:val="Bullet1"/>
        <w:rPr>
          <w:i/>
        </w:rPr>
      </w:pPr>
      <w:r w:rsidRPr="00726710">
        <w:rPr>
          <w:i/>
        </w:rPr>
        <w:t>Criminal Code Act 1995</w:t>
      </w:r>
    </w:p>
    <w:p w:rsidR="00340616" w:rsidRPr="00AB0818" w:rsidRDefault="00077A33" w:rsidP="00340616">
      <w:pPr>
        <w:keepNext/>
      </w:pPr>
      <w:r>
        <w:t>We will</w:t>
      </w:r>
      <w:r w:rsidR="00340616" w:rsidRPr="00AB0818">
        <w:t xml:space="preserve"> treat the information you give us as sensitive and therefore confidential if it meets all of the four conditions below:</w:t>
      </w:r>
    </w:p>
    <w:p w:rsidR="00340616" w:rsidRPr="00AB0818" w:rsidRDefault="00340616" w:rsidP="00726710">
      <w:pPr>
        <w:pStyle w:val="NumberedList1"/>
        <w:numPr>
          <w:ilvl w:val="0"/>
          <w:numId w:val="16"/>
        </w:numPr>
      </w:pPr>
      <w:r>
        <w:t>y</w:t>
      </w:r>
      <w:r w:rsidRPr="00AB0818">
        <w:t>ou clearly identify the information as confidential and explain why we should treat it as conf</w:t>
      </w:r>
      <w:r>
        <w:t>idential</w:t>
      </w:r>
    </w:p>
    <w:p w:rsidR="00340616" w:rsidRPr="00AB0818" w:rsidRDefault="00340616" w:rsidP="0054078D">
      <w:pPr>
        <w:pStyle w:val="NumberedList1"/>
      </w:pPr>
      <w:r>
        <w:t>t</w:t>
      </w:r>
      <w:r w:rsidRPr="00AB0818">
        <w:t>he inform</w:t>
      </w:r>
      <w:r>
        <w:t>ation is commercially sensitive</w:t>
      </w:r>
    </w:p>
    <w:p w:rsidR="00340616" w:rsidRPr="00AB0818" w:rsidRDefault="00340616" w:rsidP="0054078D">
      <w:pPr>
        <w:pStyle w:val="NumberedList1"/>
      </w:pPr>
      <w:r>
        <w:lastRenderedPageBreak/>
        <w:t>r</w:t>
      </w:r>
      <w:r w:rsidRPr="00AB0818">
        <w:t>evealing the information would cause unreasona</w:t>
      </w:r>
      <w:r>
        <w:t>ble harm to you or someone else</w:t>
      </w:r>
    </w:p>
    <w:p w:rsidR="00340616" w:rsidRDefault="00340616" w:rsidP="0054078D">
      <w:pPr>
        <w:pStyle w:val="NumberedList1"/>
      </w:pPr>
      <w:proofErr w:type="gramStart"/>
      <w:r>
        <w:t>y</w:t>
      </w:r>
      <w:r w:rsidRPr="00AB0818">
        <w:t>ou</w:t>
      </w:r>
      <w:proofErr w:type="gramEnd"/>
      <w:r w:rsidRPr="00AB0818">
        <w:t xml:space="preserve"> provide the information with an understanding that it will stay confidential.</w:t>
      </w:r>
    </w:p>
    <w:p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rsidR="00340616" w:rsidRPr="00B72EE8" w:rsidRDefault="00340616" w:rsidP="00892C8B">
      <w:pPr>
        <w:pStyle w:val="Heading2Numbered"/>
        <w:ind w:hanging="709"/>
      </w:pPr>
      <w:bookmarkStart w:id="186" w:name="_Toc421777635"/>
      <w:bookmarkStart w:id="187" w:name="_Toc467773994"/>
      <w:bookmarkStart w:id="188" w:name="_Toc492882572"/>
      <w:r w:rsidRPr="00B72EE8">
        <w:t>Freedom of information</w:t>
      </w:r>
      <w:bookmarkEnd w:id="186"/>
      <w:bookmarkEnd w:id="187"/>
      <w:bookmarkEnd w:id="188"/>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DC26ED">
        <w:t>(FOI Act)</w:t>
      </w:r>
      <w:r w:rsidRPr="00333BAC">
        <w:rPr>
          <w:i/>
        </w:rPr>
        <w:t>.</w:t>
      </w:r>
    </w:p>
    <w:p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340616" w:rsidRPr="00B72EE8" w:rsidRDefault="00340616" w:rsidP="00340616">
      <w:r w:rsidRPr="00B72EE8">
        <w:t>All F</w:t>
      </w:r>
      <w:r>
        <w:t xml:space="preserve">reedom of Information </w:t>
      </w:r>
      <w:r w:rsidRPr="00B72EE8">
        <w:t>requests must be referred to the Freedom of Information Coordinator in writing.</w:t>
      </w:r>
    </w:p>
    <w:p w:rsidR="00340616" w:rsidRPr="00B72EE8" w:rsidRDefault="00340616" w:rsidP="00340616">
      <w:pPr>
        <w:tabs>
          <w:tab w:val="left" w:pos="1418"/>
        </w:tabs>
        <w:ind w:left="1418" w:hanging="1418"/>
        <w:contextualSpacing/>
      </w:pPr>
      <w:r w:rsidRPr="00B72EE8">
        <w:t>By mail:</w:t>
      </w:r>
      <w:r w:rsidRPr="00B72EE8">
        <w:tab/>
        <w:t>Freedom of Information Coordinator</w:t>
      </w:r>
    </w:p>
    <w:p w:rsidR="00340616" w:rsidRPr="00A9798A" w:rsidRDefault="00533BCE" w:rsidP="00A9798A">
      <w:pPr>
        <w:tabs>
          <w:tab w:val="left" w:pos="1418"/>
        </w:tabs>
        <w:spacing w:before="0" w:after="0" w:line="240" w:lineRule="auto"/>
        <w:ind w:left="2836" w:hanging="1418"/>
      </w:pPr>
      <w:r w:rsidRPr="00A9798A">
        <w:t>Department of Social Services</w:t>
      </w:r>
    </w:p>
    <w:p w:rsidR="00533BCE" w:rsidRPr="00A9798A" w:rsidRDefault="00E30277" w:rsidP="00A9798A">
      <w:pPr>
        <w:tabs>
          <w:tab w:val="left" w:pos="1418"/>
        </w:tabs>
        <w:spacing w:before="0" w:after="0" w:line="240" w:lineRule="auto"/>
        <w:ind w:left="2836" w:hanging="1418"/>
      </w:pPr>
      <w:r>
        <w:t>Government and Executive Services</w:t>
      </w:r>
      <w:r w:rsidR="00533BCE" w:rsidRPr="00A9798A">
        <w:t xml:space="preserve"> Branch</w:t>
      </w:r>
    </w:p>
    <w:p w:rsidR="00533BCE" w:rsidRPr="00A9798A" w:rsidRDefault="00533BCE" w:rsidP="00A9798A">
      <w:pPr>
        <w:tabs>
          <w:tab w:val="left" w:pos="1418"/>
        </w:tabs>
        <w:spacing w:before="0" w:after="0" w:line="240" w:lineRule="auto"/>
        <w:ind w:left="2836" w:hanging="1418"/>
      </w:pPr>
      <w:r w:rsidRPr="00A9798A">
        <w:t>GPO Box 9820</w:t>
      </w:r>
    </w:p>
    <w:p w:rsidR="00533BCE" w:rsidRPr="00A9798A" w:rsidRDefault="00533BCE" w:rsidP="00A9798A">
      <w:pPr>
        <w:tabs>
          <w:tab w:val="left" w:pos="1418"/>
        </w:tabs>
        <w:spacing w:before="0" w:after="0" w:line="240" w:lineRule="auto"/>
        <w:ind w:left="2836" w:hanging="1418"/>
      </w:pPr>
      <w:proofErr w:type="gramStart"/>
      <w:r w:rsidRPr="00A9798A">
        <w:t>Canberra  ACT</w:t>
      </w:r>
      <w:proofErr w:type="gramEnd"/>
      <w:r w:rsidRPr="00A9798A">
        <w:t xml:space="preserve">  2601</w:t>
      </w:r>
    </w:p>
    <w:p w:rsidR="00340616" w:rsidRPr="00B72EE8" w:rsidRDefault="00340616" w:rsidP="00340616">
      <w:r w:rsidRPr="00B72EE8">
        <w:t>By email:</w:t>
      </w:r>
      <w:r w:rsidRPr="00B72EE8">
        <w:tab/>
      </w:r>
      <w:hyperlink r:id="rId37" w:history="1">
        <w:r w:rsidR="00533BCE" w:rsidRPr="00367A67">
          <w:rPr>
            <w:rStyle w:val="Hyperlink"/>
            <w:rFonts w:cstheme="minorBidi"/>
          </w:rPr>
          <w:t>foi@dss.gov.au</w:t>
        </w:r>
      </w:hyperlink>
      <w:r w:rsidR="00533BCE" w:rsidRPr="00367A67">
        <w:rPr>
          <w:color w:val="745B00" w:themeColor="accent3" w:themeShade="80"/>
        </w:rPr>
        <w:t xml:space="preserve"> </w:t>
      </w:r>
    </w:p>
    <w:p w:rsidR="00340616" w:rsidRPr="00B72EE8" w:rsidRDefault="00340616" w:rsidP="0054078D">
      <w:pPr>
        <w:pStyle w:val="Heading1Numbered"/>
      </w:pPr>
      <w:bookmarkStart w:id="189" w:name="_Toc421777637"/>
      <w:bookmarkStart w:id="190" w:name="_Toc467773995"/>
      <w:bookmarkStart w:id="191" w:name="_Toc492882573"/>
      <w:r w:rsidRPr="00B72EE8">
        <w:t>Consultation</w:t>
      </w:r>
      <w:bookmarkEnd w:id="189"/>
      <w:bookmarkEnd w:id="190"/>
      <w:bookmarkEnd w:id="191"/>
    </w:p>
    <w:p w:rsidR="000C1239" w:rsidRDefault="00077A33" w:rsidP="00340616">
      <w:pPr>
        <w:spacing w:after="0" w:line="240" w:lineRule="auto"/>
        <w:rPr>
          <w:rFonts w:ascii="Arial" w:hAnsi="Arial" w:cs="Arial"/>
        </w:rPr>
        <w:sectPr w:rsidR="000C1239" w:rsidSect="005A41E0">
          <w:headerReference w:type="default" r:id="rId38"/>
          <w:footerReference w:type="default" r:id="rId39"/>
          <w:headerReference w:type="first" r:id="rId40"/>
          <w:pgSz w:w="11906" w:h="16838" w:code="9"/>
          <w:pgMar w:top="2268" w:right="1418" w:bottom="1418" w:left="1418" w:header="567" w:footer="624" w:gutter="0"/>
          <w:cols w:space="708"/>
          <w:titlePg/>
          <w:docGrid w:linePitch="360"/>
        </w:sectPr>
      </w:pPr>
      <w:r w:rsidRPr="002B32F8">
        <w:rPr>
          <w:rFonts w:ascii="Arial" w:hAnsi="Arial" w:cs="Arial"/>
        </w:rPr>
        <w:t>Stakeholders have been consulted throughout the policy development process to reform DES. DSS (including through the Disability Employment Taskforce) undertook three consultation rounds; issued two discussion papers and one issues paper; established a Disability Employment Reference Group; undertook an employer engagement forum; and participated in many sector conferences and forums to engage with participants, providers and employers to lay the groundwork for change.</w:t>
      </w:r>
    </w:p>
    <w:p w:rsidR="00340616" w:rsidRDefault="00340616" w:rsidP="0054078D">
      <w:pPr>
        <w:pStyle w:val="Heading1Numbered"/>
      </w:pPr>
      <w:bookmarkStart w:id="192" w:name="_Toc467773996"/>
      <w:bookmarkStart w:id="193" w:name="_Toc492882574"/>
      <w:r w:rsidRPr="00B72EE8">
        <w:lastRenderedPageBreak/>
        <w:t>Glossary</w:t>
      </w:r>
      <w:bookmarkEnd w:id="192"/>
      <w:bookmarkEnd w:id="193"/>
    </w:p>
    <w:p w:rsidR="00A275FD" w:rsidRDefault="00FA0A60" w:rsidP="00A275FD">
      <w:r>
        <w:t>Capitalised terms referred to in this document are either explained below, or are defined in the</w:t>
      </w:r>
      <w:r w:rsidR="001F6A0E">
        <w:t xml:space="preserve"> Draft Grant Agreement.</w:t>
      </w:r>
      <w:r w:rsidR="001E65D8">
        <w:t xml:space="preserve"> </w:t>
      </w:r>
    </w:p>
    <w:tbl>
      <w:tblPr>
        <w:tblStyle w:val="TableGrid"/>
        <w:tblW w:w="0" w:type="auto"/>
        <w:tblInd w:w="108" w:type="dxa"/>
        <w:tblLayout w:type="fixed"/>
        <w:tblLook w:val="04A0" w:firstRow="1" w:lastRow="0" w:firstColumn="1" w:lastColumn="0" w:noHBand="0" w:noVBand="1"/>
        <w:tblCaption w:val="Glossary"/>
        <w:tblDescription w:val="Terms and Definitions used in the Guidelines."/>
      </w:tblPr>
      <w:tblGrid>
        <w:gridCol w:w="2127"/>
        <w:gridCol w:w="7051"/>
      </w:tblGrid>
      <w:tr w:rsidR="00306F1F" w:rsidRPr="001B21A4" w:rsidTr="00A32064">
        <w:trPr>
          <w:tblHeader/>
        </w:trPr>
        <w:tc>
          <w:tcPr>
            <w:tcW w:w="2127" w:type="dxa"/>
          </w:tcPr>
          <w:p w:rsidR="00306F1F" w:rsidRPr="00FF507B" w:rsidRDefault="00A275FD" w:rsidP="00694DF9">
            <w:pPr>
              <w:tabs>
                <w:tab w:val="left" w:pos="2835"/>
              </w:tabs>
              <w:spacing w:after="120"/>
            </w:pPr>
            <w:r w:rsidRPr="00FF507B">
              <w:rPr>
                <w:b/>
              </w:rPr>
              <w:t>Term</w:t>
            </w:r>
          </w:p>
        </w:tc>
        <w:tc>
          <w:tcPr>
            <w:tcW w:w="7051" w:type="dxa"/>
          </w:tcPr>
          <w:p w:rsidR="00306F1F" w:rsidRPr="00710FAB" w:rsidRDefault="00A275FD" w:rsidP="00694DF9">
            <w:pPr>
              <w:tabs>
                <w:tab w:val="left" w:pos="2835"/>
              </w:tabs>
              <w:spacing w:after="120"/>
              <w:rPr>
                <w:rFonts w:cs="Arial"/>
                <w:lang w:eastAsia="en-AU"/>
              </w:rPr>
            </w:pPr>
            <w:r w:rsidRPr="00FF507B">
              <w:rPr>
                <w:b/>
              </w:rPr>
              <w:t>Definition</w:t>
            </w:r>
          </w:p>
        </w:tc>
      </w:tr>
      <w:tr w:rsidR="00A275FD" w:rsidRPr="00463AB3" w:rsidTr="00A32064">
        <w:tc>
          <w:tcPr>
            <w:tcW w:w="2127" w:type="dxa"/>
          </w:tcPr>
          <w:p w:rsidR="00A275FD" w:rsidRDefault="00544876" w:rsidP="00544876">
            <w:pPr>
              <w:tabs>
                <w:tab w:val="left" w:pos="2835"/>
              </w:tabs>
              <w:spacing w:after="120"/>
            </w:pPr>
            <w:r>
              <w:t>A</w:t>
            </w:r>
            <w:r w:rsidR="00A275FD" w:rsidRPr="001B21A4">
              <w:t xml:space="preserve">ssessment </w:t>
            </w:r>
            <w:r>
              <w:t>C</w:t>
            </w:r>
            <w:r w:rsidR="00A275FD" w:rsidRPr="001B21A4">
              <w:t>riteria</w:t>
            </w:r>
          </w:p>
        </w:tc>
        <w:tc>
          <w:tcPr>
            <w:tcW w:w="7051" w:type="dxa"/>
          </w:tcPr>
          <w:p w:rsidR="00A275FD" w:rsidRPr="00463AB3" w:rsidRDefault="00A275FD" w:rsidP="001657A3">
            <w:pPr>
              <w:tabs>
                <w:tab w:val="left" w:pos="2835"/>
              </w:tabs>
              <w:spacing w:after="120"/>
            </w:pPr>
            <w:r w:rsidRPr="00710FAB">
              <w:rPr>
                <w:rFonts w:cs="Arial"/>
                <w:lang w:eastAsia="en-AU"/>
              </w:rPr>
              <w:t xml:space="preserve">The specified principles or standards against which applications will be </w:t>
            </w:r>
            <w:r w:rsidR="001657A3">
              <w:rPr>
                <w:rFonts w:cs="Arial"/>
                <w:lang w:eastAsia="en-AU"/>
              </w:rPr>
              <w:t xml:space="preserve">assessed as set out in section </w:t>
            </w:r>
            <w:r w:rsidR="001657A3">
              <w:rPr>
                <w:rFonts w:cs="Arial"/>
                <w:lang w:eastAsia="en-AU"/>
              </w:rPr>
              <w:fldChar w:fldCharType="begin"/>
            </w:r>
            <w:r w:rsidR="001657A3">
              <w:rPr>
                <w:rFonts w:cs="Arial"/>
                <w:lang w:eastAsia="en-AU"/>
              </w:rPr>
              <w:instrText xml:space="preserve"> REF _Ref421697890 \r \h </w:instrText>
            </w:r>
            <w:r w:rsidR="001657A3">
              <w:rPr>
                <w:rFonts w:cs="Arial"/>
                <w:lang w:eastAsia="en-AU"/>
              </w:rPr>
            </w:r>
            <w:r w:rsidR="001657A3">
              <w:rPr>
                <w:rFonts w:cs="Arial"/>
                <w:lang w:eastAsia="en-AU"/>
              </w:rPr>
              <w:fldChar w:fldCharType="separate"/>
            </w:r>
            <w:r w:rsidR="00406939">
              <w:rPr>
                <w:rFonts w:cs="Arial"/>
                <w:lang w:eastAsia="en-AU"/>
              </w:rPr>
              <w:t>6</w:t>
            </w:r>
            <w:r w:rsidR="001657A3">
              <w:rPr>
                <w:rFonts w:cs="Arial"/>
                <w:lang w:eastAsia="en-AU"/>
              </w:rPr>
              <w:fldChar w:fldCharType="end"/>
            </w:r>
            <w:r w:rsidRPr="00710FAB">
              <w:rPr>
                <w:rFonts w:cs="Arial"/>
                <w:lang w:eastAsia="en-AU"/>
              </w:rPr>
              <w:t xml:space="preserve">. </w:t>
            </w:r>
          </w:p>
        </w:tc>
      </w:tr>
      <w:tr w:rsidR="000C1780" w:rsidRPr="00463AB3" w:rsidTr="00A32064">
        <w:tc>
          <w:tcPr>
            <w:tcW w:w="2127" w:type="dxa"/>
          </w:tcPr>
          <w:p w:rsidR="000C1780" w:rsidRPr="001B21A4" w:rsidRDefault="00380433" w:rsidP="00380433">
            <w:pPr>
              <w:tabs>
                <w:tab w:val="left" w:pos="2835"/>
              </w:tabs>
              <w:spacing w:after="120"/>
            </w:pPr>
            <w:r>
              <w:t>A</w:t>
            </w:r>
            <w:r w:rsidR="000C1780">
              <w:t xml:space="preserve">ssessment </w:t>
            </w:r>
            <w:r>
              <w:t>S</w:t>
            </w:r>
            <w:r w:rsidR="000C1780">
              <w:t>ervices</w:t>
            </w:r>
          </w:p>
        </w:tc>
        <w:tc>
          <w:tcPr>
            <w:tcW w:w="7051" w:type="dxa"/>
          </w:tcPr>
          <w:p w:rsidR="000C1780" w:rsidRPr="00710FAB" w:rsidRDefault="000C1780" w:rsidP="000C1780">
            <w:pPr>
              <w:tabs>
                <w:tab w:val="left" w:pos="2835"/>
              </w:tabs>
              <w:spacing w:after="120"/>
              <w:rPr>
                <w:rFonts w:cs="Arial"/>
                <w:lang w:eastAsia="en-AU"/>
              </w:rPr>
            </w:pPr>
            <w:r>
              <w:rPr>
                <w:rFonts w:cs="Arial"/>
                <w:lang w:eastAsia="en-AU"/>
              </w:rPr>
              <w:t>The assessment services to be performed by NPA providers for the purposes of the Disability Employment Services: National Panel of Assessors grant program.</w:t>
            </w:r>
          </w:p>
        </w:tc>
      </w:tr>
      <w:tr w:rsidR="00F475D7" w:rsidRPr="00463AB3" w:rsidTr="00A32064">
        <w:tc>
          <w:tcPr>
            <w:tcW w:w="2127" w:type="dxa"/>
          </w:tcPr>
          <w:p w:rsidR="00F475D7" w:rsidRDefault="00F475D7" w:rsidP="00380433">
            <w:pPr>
              <w:tabs>
                <w:tab w:val="left" w:pos="2835"/>
              </w:tabs>
              <w:spacing w:after="120"/>
            </w:pPr>
            <w:r>
              <w:t>Australian Disability Enterprise</w:t>
            </w:r>
          </w:p>
        </w:tc>
        <w:tc>
          <w:tcPr>
            <w:tcW w:w="7051" w:type="dxa"/>
          </w:tcPr>
          <w:p w:rsidR="00F475D7" w:rsidRDefault="00F475D7" w:rsidP="000C1780">
            <w:pPr>
              <w:tabs>
                <w:tab w:val="left" w:pos="2835"/>
              </w:tabs>
              <w:spacing w:after="120"/>
              <w:rPr>
                <w:rFonts w:cs="Arial"/>
                <w:lang w:eastAsia="en-AU"/>
              </w:rPr>
            </w:pPr>
            <w:r>
              <w:rPr>
                <w:rFonts w:cs="Arial"/>
                <w:lang w:eastAsia="en-AU"/>
              </w:rPr>
              <w:t>A</w:t>
            </w:r>
            <w:r w:rsidRPr="00F475D7">
              <w:rPr>
                <w:rFonts w:cs="Arial"/>
                <w:lang w:eastAsia="en-AU"/>
              </w:rPr>
              <w:t xml:space="preserve"> Department funded network of business service outlets across Australia which provide supported employment assistance to people with moderate to severe disability who need substantial ongoing support to maintain their employment.</w:t>
            </w:r>
          </w:p>
        </w:tc>
      </w:tr>
      <w:tr w:rsidR="00340616" w:rsidRPr="001B21A4" w:rsidTr="00A32064">
        <w:tc>
          <w:tcPr>
            <w:tcW w:w="2127" w:type="dxa"/>
          </w:tcPr>
          <w:p w:rsidR="00340616" w:rsidRPr="001B21A4" w:rsidRDefault="00555832" w:rsidP="00555832">
            <w:r>
              <w:t>D</w:t>
            </w:r>
            <w:r w:rsidR="00340616" w:rsidRPr="001B21A4">
              <w:t xml:space="preserve">ecision </w:t>
            </w:r>
            <w:r>
              <w:t>M</w:t>
            </w:r>
            <w:r w:rsidR="00340616" w:rsidRPr="001B21A4">
              <w:t>aker</w:t>
            </w:r>
          </w:p>
        </w:tc>
        <w:tc>
          <w:tcPr>
            <w:tcW w:w="7051" w:type="dxa"/>
          </w:tcPr>
          <w:p w:rsidR="00340616" w:rsidRPr="00710FAB" w:rsidRDefault="00340616" w:rsidP="00694DF9">
            <w:r w:rsidRPr="00710FAB">
              <w:rPr>
                <w:rFonts w:cs="Arial"/>
                <w:lang w:eastAsia="en-AU"/>
              </w:rPr>
              <w:t>The person who makes a decision to award a grant.</w:t>
            </w:r>
          </w:p>
        </w:tc>
      </w:tr>
      <w:tr w:rsidR="00BF14B9" w:rsidRPr="001B21A4" w:rsidTr="00A32064">
        <w:tc>
          <w:tcPr>
            <w:tcW w:w="2127" w:type="dxa"/>
          </w:tcPr>
          <w:p w:rsidR="00BF14B9" w:rsidRDefault="00BF14B9" w:rsidP="00555832">
            <w:r>
              <w:t>Department or DSS</w:t>
            </w:r>
          </w:p>
        </w:tc>
        <w:tc>
          <w:tcPr>
            <w:tcW w:w="7051" w:type="dxa"/>
          </w:tcPr>
          <w:p w:rsidR="00BF14B9" w:rsidRPr="00710FAB" w:rsidRDefault="00BF14B9" w:rsidP="00694DF9">
            <w:pPr>
              <w:rPr>
                <w:rFonts w:cs="Arial"/>
                <w:lang w:eastAsia="en-AU"/>
              </w:rPr>
            </w:pPr>
            <w:r>
              <w:rPr>
                <w:rFonts w:cs="Arial"/>
                <w:lang w:eastAsia="en-AU"/>
              </w:rPr>
              <w:t>Department of Social Services.</w:t>
            </w:r>
          </w:p>
        </w:tc>
      </w:tr>
      <w:tr w:rsidR="00BF14B9" w:rsidRPr="001B21A4" w:rsidTr="00A32064">
        <w:tc>
          <w:tcPr>
            <w:tcW w:w="2127" w:type="dxa"/>
          </w:tcPr>
          <w:p w:rsidR="00BF14B9" w:rsidRDefault="00BF14B9" w:rsidP="00555832">
            <w:r>
              <w:t>Department IT Systems</w:t>
            </w:r>
          </w:p>
        </w:tc>
        <w:tc>
          <w:tcPr>
            <w:tcW w:w="7051" w:type="dxa"/>
          </w:tcPr>
          <w:p w:rsidR="00BF14B9" w:rsidRPr="00710FAB" w:rsidRDefault="00BF14B9" w:rsidP="00694DF9">
            <w:pPr>
              <w:rPr>
                <w:rFonts w:cs="Arial"/>
                <w:lang w:eastAsia="en-AU"/>
              </w:rPr>
            </w:pPr>
            <w:r>
              <w:rPr>
                <w:rFonts w:cs="Arial"/>
                <w:lang w:eastAsia="en-AU"/>
              </w:rPr>
              <w:t>The IT computer system accessible by an NPA Provider</w:t>
            </w:r>
            <w:r w:rsidR="00435ACD">
              <w:rPr>
                <w:rFonts w:cs="Arial"/>
                <w:lang w:eastAsia="en-AU"/>
              </w:rPr>
              <w:t xml:space="preserve"> through which information is exchanged between the NPA Provider, the Department </w:t>
            </w:r>
            <w:r w:rsidR="00E65C6B">
              <w:rPr>
                <w:rFonts w:cs="Arial"/>
                <w:lang w:eastAsia="en-AU"/>
              </w:rPr>
              <w:t xml:space="preserve">of Social Services, </w:t>
            </w:r>
            <w:r w:rsidR="00435ACD">
              <w:rPr>
                <w:rFonts w:cs="Arial"/>
                <w:lang w:eastAsia="en-AU"/>
              </w:rPr>
              <w:t>and other relevant third parties in relation to the Assessment Services.</w:t>
            </w:r>
          </w:p>
        </w:tc>
      </w:tr>
      <w:tr w:rsidR="00340616" w:rsidRPr="001B21A4" w:rsidTr="00A32064">
        <w:tc>
          <w:tcPr>
            <w:tcW w:w="2127" w:type="dxa"/>
          </w:tcPr>
          <w:p w:rsidR="00340616" w:rsidRPr="001B21A4" w:rsidRDefault="00555832" w:rsidP="00555832">
            <w:pPr>
              <w:tabs>
                <w:tab w:val="left" w:pos="2835"/>
              </w:tabs>
              <w:spacing w:after="120"/>
            </w:pPr>
            <w:r>
              <w:t>E</w:t>
            </w:r>
            <w:r w:rsidR="00340616" w:rsidRPr="001B21A4">
              <w:t xml:space="preserve">ligibility </w:t>
            </w:r>
            <w:r>
              <w:t>C</w:t>
            </w:r>
            <w:r w:rsidR="00340616" w:rsidRPr="001B21A4">
              <w:t>riteria</w:t>
            </w:r>
          </w:p>
        </w:tc>
        <w:tc>
          <w:tcPr>
            <w:tcW w:w="7051" w:type="dxa"/>
          </w:tcPr>
          <w:p w:rsidR="00340616" w:rsidRPr="00710FAB" w:rsidRDefault="00340616" w:rsidP="005D14B3">
            <w:pPr>
              <w:tabs>
                <w:tab w:val="left" w:pos="2835"/>
              </w:tabs>
              <w:spacing w:after="120"/>
            </w:pPr>
            <w:r w:rsidRPr="00710FAB">
              <w:rPr>
                <w:rFonts w:cs="Arial"/>
                <w:lang w:eastAsia="en-AU"/>
              </w:rPr>
              <w:t xml:space="preserve">The principles, standards or rules that a grant applicant must meet to qualify for consideration of a grant. Eligibility </w:t>
            </w:r>
            <w:r w:rsidR="00555832">
              <w:rPr>
                <w:rFonts w:cs="Arial"/>
                <w:lang w:eastAsia="en-AU"/>
              </w:rPr>
              <w:t>C</w:t>
            </w:r>
            <w:r w:rsidRPr="00710FAB">
              <w:rPr>
                <w:rFonts w:cs="Arial"/>
                <w:lang w:eastAsia="en-AU"/>
              </w:rPr>
              <w:t xml:space="preserve">riteria may apply in addition to assessment criteria. </w:t>
            </w:r>
          </w:p>
        </w:tc>
      </w:tr>
      <w:tr w:rsidR="00417416" w:rsidRPr="001B21A4" w:rsidTr="00A32064">
        <w:tc>
          <w:tcPr>
            <w:tcW w:w="2127" w:type="dxa"/>
          </w:tcPr>
          <w:p w:rsidR="00417416" w:rsidRDefault="00417416" w:rsidP="00694DF9">
            <w:pPr>
              <w:tabs>
                <w:tab w:val="left" w:pos="2835"/>
              </w:tabs>
              <w:spacing w:after="120"/>
            </w:pPr>
            <w:r>
              <w:t>Community Development Programme Region</w:t>
            </w:r>
          </w:p>
        </w:tc>
        <w:tc>
          <w:tcPr>
            <w:tcW w:w="7051" w:type="dxa"/>
          </w:tcPr>
          <w:p w:rsidR="00417416" w:rsidRPr="00710FAB" w:rsidRDefault="00417416" w:rsidP="00300E03">
            <w:pPr>
              <w:tabs>
                <w:tab w:val="left" w:pos="2835"/>
              </w:tabs>
              <w:spacing w:after="120"/>
              <w:rPr>
                <w:rFonts w:cs="Arial"/>
                <w:lang w:eastAsia="en-AU"/>
              </w:rPr>
            </w:pPr>
            <w:r>
              <w:rPr>
                <w:rFonts w:cs="Arial"/>
                <w:lang w:eastAsia="en-AU"/>
              </w:rPr>
              <w:t>Community Development Programme (CDP) regions are those regions in which CDP is delivered</w:t>
            </w:r>
            <w:r w:rsidR="00300E03">
              <w:rPr>
                <w:rFonts w:cs="Arial"/>
                <w:lang w:eastAsia="en-AU"/>
              </w:rPr>
              <w:t xml:space="preserve"> as set out at </w:t>
            </w:r>
            <w:hyperlink r:id="rId41" w:history="1">
              <w:r w:rsidR="00300E03" w:rsidRPr="00432EC5">
                <w:rPr>
                  <w:rStyle w:val="Hyperlink"/>
                  <w:rFonts w:cstheme="minorHAnsi"/>
                </w:rPr>
                <w:t>https://www.pmc.gov.au/resource-centre/indigenous-affairs/community-development-programme-regions</w:t>
              </w:r>
            </w:hyperlink>
            <w:r w:rsidR="00300E03" w:rsidRPr="00432EC5">
              <w:rPr>
                <w:rStyle w:val="Hyperlink"/>
                <w:rFonts w:cstheme="minorHAnsi"/>
              </w:rPr>
              <w:t>.</w:t>
            </w:r>
            <w:r w:rsidR="00300E03">
              <w:t xml:space="preserve"> The CDP regions may be updated from time to time</w:t>
            </w:r>
            <w:r w:rsidR="00300E03">
              <w:rPr>
                <w:rFonts w:cs="Arial"/>
                <w:lang w:eastAsia="en-AU"/>
              </w:rPr>
              <w:t xml:space="preserve"> as defined by the Department of Prime Minister and Cabinet.</w:t>
            </w:r>
          </w:p>
        </w:tc>
      </w:tr>
      <w:tr w:rsidR="00362D30" w:rsidRPr="001B21A4" w:rsidTr="00A32064">
        <w:tc>
          <w:tcPr>
            <w:tcW w:w="2127" w:type="dxa"/>
          </w:tcPr>
          <w:p w:rsidR="00362D30" w:rsidRDefault="00362D30" w:rsidP="00380433">
            <w:pPr>
              <w:tabs>
                <w:tab w:val="left" w:pos="2835"/>
              </w:tabs>
              <w:spacing w:after="120"/>
            </w:pPr>
            <w:r>
              <w:t xml:space="preserve">DES </w:t>
            </w:r>
            <w:r w:rsidR="00380433">
              <w:t>P</w:t>
            </w:r>
            <w:r>
              <w:t>rovider</w:t>
            </w:r>
          </w:p>
        </w:tc>
        <w:tc>
          <w:tcPr>
            <w:tcW w:w="7051" w:type="dxa"/>
          </w:tcPr>
          <w:p w:rsidR="00362D30" w:rsidRDefault="00362D30" w:rsidP="00694DF9">
            <w:pPr>
              <w:tabs>
                <w:tab w:val="left" w:pos="2835"/>
              </w:tabs>
              <w:spacing w:after="120"/>
              <w:rPr>
                <w:rFonts w:cs="Arial"/>
                <w:lang w:eastAsia="en-AU"/>
              </w:rPr>
            </w:pPr>
            <w:r>
              <w:rPr>
                <w:rFonts w:cs="Arial"/>
                <w:lang w:eastAsia="en-AU"/>
              </w:rPr>
              <w:t>A provider of DES services to DES participants.</w:t>
            </w:r>
          </w:p>
        </w:tc>
      </w:tr>
      <w:tr w:rsidR="00362D30" w:rsidRPr="001B21A4" w:rsidTr="00A32064">
        <w:tc>
          <w:tcPr>
            <w:tcW w:w="2127" w:type="dxa"/>
          </w:tcPr>
          <w:p w:rsidR="00362D30" w:rsidRDefault="00380433" w:rsidP="00694DF9">
            <w:pPr>
              <w:tabs>
                <w:tab w:val="left" w:pos="2835"/>
              </w:tabs>
              <w:spacing w:after="120"/>
            </w:pPr>
            <w:r>
              <w:t>DES P</w:t>
            </w:r>
            <w:r w:rsidR="00362D30">
              <w:t>articipant</w:t>
            </w:r>
          </w:p>
        </w:tc>
        <w:tc>
          <w:tcPr>
            <w:tcW w:w="7051" w:type="dxa"/>
          </w:tcPr>
          <w:p w:rsidR="00362D30" w:rsidRDefault="00362D30" w:rsidP="00694DF9">
            <w:pPr>
              <w:tabs>
                <w:tab w:val="left" w:pos="2835"/>
              </w:tabs>
              <w:spacing w:after="120"/>
              <w:rPr>
                <w:rFonts w:cs="Arial"/>
                <w:lang w:eastAsia="en-AU"/>
              </w:rPr>
            </w:pPr>
            <w:r>
              <w:rPr>
                <w:rFonts w:cs="Arial"/>
                <w:lang w:eastAsia="en-AU"/>
              </w:rPr>
              <w:t>A participant in the DES program receiving disability employment services from a DES provider.</w:t>
            </w:r>
          </w:p>
        </w:tc>
      </w:tr>
      <w:tr w:rsidR="005C59D7" w:rsidRPr="001B21A4" w:rsidTr="00A32064">
        <w:tc>
          <w:tcPr>
            <w:tcW w:w="2127" w:type="dxa"/>
          </w:tcPr>
          <w:p w:rsidR="005C59D7" w:rsidRPr="0007627E" w:rsidRDefault="005C59D7" w:rsidP="00694DF9">
            <w:pPr>
              <w:spacing w:after="120"/>
            </w:pPr>
            <w:r>
              <w:lastRenderedPageBreak/>
              <w:t>Employment Assistance Fund (EAF)</w:t>
            </w:r>
          </w:p>
        </w:tc>
        <w:tc>
          <w:tcPr>
            <w:tcW w:w="7051" w:type="dxa"/>
          </w:tcPr>
          <w:p w:rsidR="005C59D7" w:rsidRPr="00710FAB" w:rsidRDefault="005C59D7" w:rsidP="00694DF9">
            <w:r>
              <w:t xml:space="preserve">Financial assistance provided by the Australian Government </w:t>
            </w:r>
            <w:r w:rsidRPr="005C59D7">
              <w:t>to eligible people with disability and mental health condition and employers to buy work related modifications and services.</w:t>
            </w:r>
          </w:p>
        </w:tc>
      </w:tr>
      <w:tr w:rsidR="00340616" w:rsidRPr="001B21A4" w:rsidTr="00A32064">
        <w:tc>
          <w:tcPr>
            <w:tcW w:w="2127" w:type="dxa"/>
          </w:tcPr>
          <w:p w:rsidR="00340616" w:rsidRPr="001B21A4" w:rsidRDefault="00A90916" w:rsidP="00A90916">
            <w:pPr>
              <w:tabs>
                <w:tab w:val="left" w:pos="2835"/>
              </w:tabs>
              <w:spacing w:after="120"/>
            </w:pPr>
            <w:r>
              <w:t>G</w:t>
            </w:r>
            <w:r w:rsidR="00340616" w:rsidRPr="001B21A4">
              <w:t xml:space="preserve">rant </w:t>
            </w:r>
            <w:r>
              <w:t>A</w:t>
            </w:r>
            <w:r w:rsidR="00340616" w:rsidRPr="001B21A4">
              <w:t>greement</w:t>
            </w:r>
          </w:p>
        </w:tc>
        <w:tc>
          <w:tcPr>
            <w:tcW w:w="7051" w:type="dxa"/>
          </w:tcPr>
          <w:p w:rsidR="00340616" w:rsidRPr="00710FAB" w:rsidRDefault="00A90916" w:rsidP="00694DF9">
            <w:pPr>
              <w:tabs>
                <w:tab w:val="left" w:pos="2835"/>
              </w:tabs>
              <w:spacing w:after="120"/>
            </w:pPr>
            <w:r>
              <w:t>The grant agreement to be entered into between the Department and successful grant applicants under this DES NPA Grant Program.</w:t>
            </w:r>
          </w:p>
        </w:tc>
      </w:tr>
      <w:tr w:rsidR="00340616" w:rsidRPr="001B21A4" w:rsidTr="00A32064">
        <w:tc>
          <w:tcPr>
            <w:tcW w:w="2127" w:type="dxa"/>
          </w:tcPr>
          <w:p w:rsidR="00340616" w:rsidRPr="001B21A4" w:rsidRDefault="00555832" w:rsidP="00555832">
            <w:pPr>
              <w:tabs>
                <w:tab w:val="left" w:pos="2835"/>
              </w:tabs>
              <w:spacing w:after="120"/>
            </w:pPr>
            <w:r>
              <w:t>G</w:t>
            </w:r>
            <w:r w:rsidR="00340616">
              <w:t xml:space="preserve">rant </w:t>
            </w:r>
            <w:r>
              <w:t>O</w:t>
            </w:r>
            <w:r w:rsidR="00340616">
              <w:t>pportunity</w:t>
            </w:r>
          </w:p>
        </w:tc>
        <w:tc>
          <w:tcPr>
            <w:tcW w:w="7051" w:type="dxa"/>
          </w:tcPr>
          <w:p w:rsidR="00340616" w:rsidRPr="00710FAB" w:rsidRDefault="00340616" w:rsidP="00751FB4">
            <w:pPr>
              <w:tabs>
                <w:tab w:val="left" w:pos="2835"/>
              </w:tabs>
              <w:spacing w:after="120"/>
            </w:pPr>
            <w:r w:rsidRPr="00710FAB">
              <w:t xml:space="preserve">A notice published on GrantConnect advertising the availability of Commonwealth grants. </w:t>
            </w:r>
          </w:p>
        </w:tc>
      </w:tr>
      <w:tr w:rsidR="00340616" w:rsidRPr="001B21A4" w:rsidTr="00A32064">
        <w:tc>
          <w:tcPr>
            <w:tcW w:w="2127" w:type="dxa"/>
          </w:tcPr>
          <w:p w:rsidR="00340616" w:rsidRPr="001B21A4" w:rsidRDefault="00380433" w:rsidP="00380433">
            <w:pPr>
              <w:tabs>
                <w:tab w:val="left" w:pos="2835"/>
              </w:tabs>
              <w:spacing w:after="120"/>
            </w:pPr>
            <w:r>
              <w:t>G</w:t>
            </w:r>
            <w:r w:rsidR="00340616" w:rsidRPr="001B21A4">
              <w:t xml:space="preserve">rant </w:t>
            </w:r>
            <w:r>
              <w:t>P</w:t>
            </w:r>
            <w:r w:rsidR="00340616">
              <w:t>rogram</w:t>
            </w:r>
          </w:p>
        </w:tc>
        <w:tc>
          <w:tcPr>
            <w:tcW w:w="7051" w:type="dxa"/>
          </w:tcPr>
          <w:p w:rsidR="00340616" w:rsidRPr="00710FAB" w:rsidRDefault="00340616" w:rsidP="00694DF9">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340616" w:rsidRPr="001B21A4" w:rsidTr="00A32064">
        <w:tc>
          <w:tcPr>
            <w:tcW w:w="2127" w:type="dxa"/>
          </w:tcPr>
          <w:p w:rsidR="00340616" w:rsidRPr="001B21A4" w:rsidRDefault="00555832" w:rsidP="005E0682">
            <w:pPr>
              <w:tabs>
                <w:tab w:val="left" w:pos="2835"/>
              </w:tabs>
              <w:spacing w:after="120"/>
            </w:pPr>
            <w:r>
              <w:t>G</w:t>
            </w:r>
            <w:r w:rsidR="00340616">
              <w:t>rantee</w:t>
            </w:r>
          </w:p>
        </w:tc>
        <w:tc>
          <w:tcPr>
            <w:tcW w:w="7051" w:type="dxa"/>
          </w:tcPr>
          <w:p w:rsidR="00340616" w:rsidRPr="00710FAB" w:rsidRDefault="00340616" w:rsidP="00585367">
            <w:pPr>
              <w:tabs>
                <w:tab w:val="left" w:pos="2835"/>
              </w:tabs>
              <w:spacing w:after="120"/>
            </w:pPr>
            <w:r w:rsidRPr="00710FAB">
              <w:t xml:space="preserve">An individual/organisation that has been awarded a grant. </w:t>
            </w:r>
          </w:p>
        </w:tc>
      </w:tr>
      <w:tr w:rsidR="001E65D8" w:rsidRPr="001B21A4" w:rsidTr="00A32064">
        <w:tc>
          <w:tcPr>
            <w:tcW w:w="2127" w:type="dxa"/>
          </w:tcPr>
          <w:p w:rsidR="001E65D8" w:rsidRDefault="00301C53" w:rsidP="005E0682">
            <w:pPr>
              <w:tabs>
                <w:tab w:val="left" w:pos="2835"/>
              </w:tabs>
              <w:spacing w:after="120"/>
            </w:pPr>
            <w:proofErr w:type="spellStart"/>
            <w:r>
              <w:t>JobAccess</w:t>
            </w:r>
            <w:proofErr w:type="spellEnd"/>
            <w:r>
              <w:t xml:space="preserve"> Provider</w:t>
            </w:r>
          </w:p>
        </w:tc>
        <w:tc>
          <w:tcPr>
            <w:tcW w:w="7051" w:type="dxa"/>
          </w:tcPr>
          <w:p w:rsidR="001E65D8" w:rsidRPr="00710FAB" w:rsidRDefault="00301C53" w:rsidP="00301C53">
            <w:pPr>
              <w:tabs>
                <w:tab w:val="left" w:pos="2835"/>
              </w:tabs>
              <w:spacing w:after="120"/>
            </w:pPr>
            <w:r>
              <w:t xml:space="preserve">Provider contracted by the Department of Social Services to deliver </w:t>
            </w:r>
            <w:proofErr w:type="spellStart"/>
            <w:r>
              <w:t>JobAccess</w:t>
            </w:r>
            <w:proofErr w:type="spellEnd"/>
            <w:r>
              <w:t xml:space="preserve"> services, including the administration of the Employment Assistance Fund, and allocation of Workplace Modifications Assessments.</w:t>
            </w:r>
          </w:p>
        </w:tc>
      </w:tr>
      <w:tr w:rsidR="00FA2993" w:rsidRPr="001B21A4" w:rsidTr="00A32064">
        <w:tc>
          <w:tcPr>
            <w:tcW w:w="2127" w:type="dxa"/>
          </w:tcPr>
          <w:p w:rsidR="00FA2993" w:rsidRDefault="00FA2993" w:rsidP="005E0682">
            <w:pPr>
              <w:tabs>
                <w:tab w:val="left" w:pos="2835"/>
              </w:tabs>
              <w:spacing w:after="120"/>
            </w:pPr>
            <w:r>
              <w:t>Ongoing Support</w:t>
            </w:r>
          </w:p>
        </w:tc>
        <w:tc>
          <w:tcPr>
            <w:tcW w:w="7051" w:type="dxa"/>
          </w:tcPr>
          <w:p w:rsidR="00FA2993" w:rsidRDefault="00EF5737" w:rsidP="00EF5737">
            <w:pPr>
              <w:tabs>
                <w:tab w:val="left" w:pos="2835"/>
              </w:tabs>
              <w:spacing w:after="120"/>
            </w:pPr>
            <w:r>
              <w:t xml:space="preserve">Services provided by a DES provider to a DES participant, who has achieved 26 weeks of employment, is currently employed and require support from a DES provider to retain and/or maintain their employment. Ongoing Support is provided in different levels, namely Flexible, Moderate and High. These levels are set out in the DES Ongoing Support Guidelines: </w:t>
            </w:r>
            <w:r w:rsidRPr="00EF5737">
              <w:t>https://www.dss.gov.au/sites/default/files/documents/09_2016/des_ongoing_support_guidelines.pdf</w:t>
            </w:r>
          </w:p>
        </w:tc>
      </w:tr>
      <w:tr w:rsidR="00DF074D" w:rsidRPr="001B21A4" w:rsidTr="00A32064">
        <w:tc>
          <w:tcPr>
            <w:tcW w:w="2127" w:type="dxa"/>
          </w:tcPr>
          <w:p w:rsidR="00DF074D" w:rsidRDefault="00DF074D" w:rsidP="005E0682">
            <w:pPr>
              <w:tabs>
                <w:tab w:val="left" w:pos="2835"/>
              </w:tabs>
              <w:spacing w:after="120"/>
            </w:pPr>
            <w:r>
              <w:t>Open Employment</w:t>
            </w:r>
          </w:p>
        </w:tc>
        <w:tc>
          <w:tcPr>
            <w:tcW w:w="7051" w:type="dxa"/>
          </w:tcPr>
          <w:p w:rsidR="00DF074D" w:rsidRDefault="00DF074D" w:rsidP="00DF074D">
            <w:pPr>
              <w:tabs>
                <w:tab w:val="left" w:pos="2835"/>
              </w:tabs>
              <w:spacing w:after="120"/>
            </w:pPr>
            <w:r>
              <w:rPr>
                <w:rFonts w:eastAsia="Calibri"/>
              </w:rPr>
              <w:t xml:space="preserve">Employment </w:t>
            </w:r>
            <w:r>
              <w:t xml:space="preserve">where an employee with a disability is engaged in the mainstream workforce, alongside employees without disability, </w:t>
            </w:r>
            <w:r w:rsidR="00D07F0D">
              <w:t>at relevant minimum wages or above.</w:t>
            </w:r>
          </w:p>
        </w:tc>
      </w:tr>
      <w:tr w:rsidR="00301C53" w:rsidRPr="001B21A4" w:rsidTr="00A32064">
        <w:tc>
          <w:tcPr>
            <w:tcW w:w="2127" w:type="dxa"/>
          </w:tcPr>
          <w:p w:rsidR="00301C53" w:rsidRDefault="00301C53" w:rsidP="005E0682">
            <w:pPr>
              <w:tabs>
                <w:tab w:val="left" w:pos="2835"/>
              </w:tabs>
              <w:spacing w:after="120"/>
            </w:pPr>
            <w:r>
              <w:t>S</w:t>
            </w:r>
            <w:r w:rsidRPr="001B21A4">
              <w:t xml:space="preserve">election </w:t>
            </w:r>
            <w:r>
              <w:t>C</w:t>
            </w:r>
            <w:r w:rsidRPr="001B21A4">
              <w:t>riteria</w:t>
            </w:r>
          </w:p>
        </w:tc>
        <w:tc>
          <w:tcPr>
            <w:tcW w:w="7051" w:type="dxa"/>
          </w:tcPr>
          <w:p w:rsidR="00301C53" w:rsidRPr="00710FAB" w:rsidRDefault="00301C53" w:rsidP="00585367">
            <w:pPr>
              <w:tabs>
                <w:tab w:val="left" w:pos="2835"/>
              </w:tabs>
              <w:spacing w:after="120"/>
            </w:pPr>
            <w:r w:rsidRPr="00710FAB">
              <w:t xml:space="preserve">Comprise </w:t>
            </w:r>
            <w:r>
              <w:t>E</w:t>
            </w:r>
            <w:r w:rsidRPr="00710FAB">
              <w:t xml:space="preserve">ligibility </w:t>
            </w:r>
            <w:r>
              <w:t>C</w:t>
            </w:r>
            <w:r w:rsidRPr="00710FAB">
              <w:t>riteria and assessment criteria.</w:t>
            </w:r>
          </w:p>
        </w:tc>
      </w:tr>
      <w:tr w:rsidR="00301C53" w:rsidRPr="001B21A4" w:rsidTr="00A32064">
        <w:tc>
          <w:tcPr>
            <w:tcW w:w="2127" w:type="dxa"/>
          </w:tcPr>
          <w:p w:rsidR="00301C53" w:rsidRPr="001B21A4" w:rsidRDefault="00301C53" w:rsidP="00694DF9">
            <w:pPr>
              <w:tabs>
                <w:tab w:val="left" w:pos="2835"/>
              </w:tabs>
              <w:spacing w:after="120"/>
            </w:pPr>
            <w:r>
              <w:t>S</w:t>
            </w:r>
            <w:r w:rsidRPr="001B21A4">
              <w:t xml:space="preserve">election </w:t>
            </w:r>
            <w:r>
              <w:t>P</w:t>
            </w:r>
            <w:r w:rsidRPr="001B21A4">
              <w:t>rocess</w:t>
            </w:r>
          </w:p>
        </w:tc>
        <w:tc>
          <w:tcPr>
            <w:tcW w:w="7051" w:type="dxa"/>
          </w:tcPr>
          <w:p w:rsidR="00301C53" w:rsidRPr="00710FAB" w:rsidRDefault="00301C53" w:rsidP="005D14B3">
            <w:pPr>
              <w:tabs>
                <w:tab w:val="left" w:pos="2835"/>
              </w:tabs>
              <w:spacing w:after="120"/>
            </w:pPr>
            <w:r w:rsidRPr="00710FAB">
              <w:t xml:space="preserve">The method used to select potential </w:t>
            </w:r>
            <w:r>
              <w:t>G</w:t>
            </w:r>
            <w:r w:rsidRPr="00710FAB">
              <w:t>rantees</w:t>
            </w:r>
            <w:r>
              <w:t xml:space="preserve"> against the Selection Criteria as set out in section </w:t>
            </w:r>
            <w:r>
              <w:fldChar w:fldCharType="begin"/>
            </w:r>
            <w:r>
              <w:instrText xml:space="preserve"> REF _Ref491254637 \r \h </w:instrText>
            </w:r>
            <w:r>
              <w:fldChar w:fldCharType="separate"/>
            </w:r>
            <w:r w:rsidR="00406939">
              <w:t>5</w:t>
            </w:r>
            <w:r>
              <w:fldChar w:fldCharType="end"/>
            </w:r>
            <w:r w:rsidRPr="00710FAB">
              <w:t xml:space="preserve">. </w:t>
            </w:r>
          </w:p>
        </w:tc>
      </w:tr>
      <w:tr w:rsidR="00301C53" w:rsidRPr="001B21A4" w:rsidTr="00A32064">
        <w:tc>
          <w:tcPr>
            <w:tcW w:w="2127" w:type="dxa"/>
          </w:tcPr>
          <w:p w:rsidR="00301C53" w:rsidRPr="001B21A4" w:rsidRDefault="00301C53" w:rsidP="00555832">
            <w:pPr>
              <w:tabs>
                <w:tab w:val="left" w:pos="2835"/>
              </w:tabs>
              <w:spacing w:after="120"/>
            </w:pPr>
            <w:r>
              <w:t>Work Assist</w:t>
            </w:r>
          </w:p>
        </w:tc>
        <w:tc>
          <w:tcPr>
            <w:tcW w:w="7051" w:type="dxa"/>
          </w:tcPr>
          <w:p w:rsidR="00301C53" w:rsidRPr="00710FAB" w:rsidRDefault="00301C53" w:rsidP="00585367">
            <w:pPr>
              <w:tabs>
                <w:tab w:val="left" w:pos="2835"/>
              </w:tabs>
              <w:spacing w:after="120"/>
            </w:pPr>
            <w:r>
              <w:t>The DES program formally known as ‘Job in Jeopardy’</w:t>
            </w:r>
          </w:p>
        </w:tc>
      </w:tr>
    </w:tbl>
    <w:p w:rsidR="00340616" w:rsidRDefault="00340616" w:rsidP="00340616">
      <w:pPr>
        <w:spacing w:after="0" w:line="240" w:lineRule="auto"/>
      </w:pPr>
    </w:p>
    <w:sectPr w:rsidR="00340616" w:rsidSect="005A41E0">
      <w:pgSz w:w="11906" w:h="16838" w:code="9"/>
      <w:pgMar w:top="2268" w:right="1418" w:bottom="1418" w:left="1418" w:header="567" w:footer="62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A9DE0B" w15:done="0"/>
  <w15:commentEx w15:paraId="58016CEE" w15:done="0"/>
  <w15:commentEx w15:paraId="7355F87D" w15:done="0"/>
  <w15:commentEx w15:paraId="6187AE24" w15:paraIdParent="7355F87D" w15:done="0"/>
  <w15:commentEx w15:paraId="33F7D75E" w15:done="0"/>
  <w15:commentEx w15:paraId="59AFC67F" w15:done="0"/>
  <w15:commentEx w15:paraId="005662C1" w15:done="0"/>
  <w15:commentEx w15:paraId="7C67997E" w15:done="0"/>
  <w15:commentEx w15:paraId="27334702" w15:done="0"/>
  <w15:commentEx w15:paraId="128D9E6A" w15:done="0"/>
  <w15:commentEx w15:paraId="5FA40B55" w15:done="0"/>
  <w15:commentEx w15:paraId="578A7991" w15:done="0"/>
  <w15:commentEx w15:paraId="4624FB60" w15:done="0"/>
  <w15:commentEx w15:paraId="46542995" w15:done="0"/>
  <w15:commentEx w15:paraId="4C497FEC" w15:done="0"/>
  <w15:commentEx w15:paraId="3D8E4833" w15:done="0"/>
  <w15:commentEx w15:paraId="559E4082" w15:done="0"/>
  <w15:commentEx w15:paraId="253A0EB1" w15:done="0"/>
  <w15:commentEx w15:paraId="3505A681" w15:done="0"/>
  <w15:commentEx w15:paraId="58E8022F" w15:done="0"/>
  <w15:commentEx w15:paraId="45F33A31" w15:done="0"/>
  <w15:commentEx w15:paraId="5860269E" w15:done="0"/>
  <w15:commentEx w15:paraId="57888ED0" w15:done="0"/>
  <w15:commentEx w15:paraId="39E72ED6" w15:done="0"/>
  <w15:commentEx w15:paraId="61125978" w15:done="0"/>
  <w15:commentEx w15:paraId="2A39D086" w15:done="0"/>
  <w15:commentEx w15:paraId="4DF1A8D4" w15:done="0"/>
  <w15:commentEx w15:paraId="20D4827B" w15:done="0"/>
  <w15:commentEx w15:paraId="6A38417A" w15:done="0"/>
  <w15:commentEx w15:paraId="6567030D" w15:done="0"/>
  <w15:commentEx w15:paraId="60838893" w15:done="0"/>
  <w15:commentEx w15:paraId="31486C32" w15:done="0"/>
  <w15:commentEx w15:paraId="12E5DE0E" w15:done="0"/>
  <w15:commentEx w15:paraId="21151C57" w15:done="0"/>
  <w15:commentEx w15:paraId="41A7BBA9" w15:done="0"/>
  <w15:commentEx w15:paraId="6D089216" w15:done="0"/>
  <w15:commentEx w15:paraId="69659323" w15:done="0"/>
  <w15:commentEx w15:paraId="5C37E985" w15:done="0"/>
  <w15:commentEx w15:paraId="4EBC10FF" w15:done="0"/>
  <w15:commentEx w15:paraId="5929FCCA" w15:done="0"/>
  <w15:commentEx w15:paraId="7B4B9D0B" w15:done="0"/>
  <w15:commentEx w15:paraId="004E14F8" w15:done="0"/>
  <w15:commentEx w15:paraId="16C3003D" w15:done="0"/>
  <w15:commentEx w15:paraId="72459EC8" w15:done="0"/>
  <w15:commentEx w15:paraId="54A4EB5F" w15:done="0"/>
  <w15:commentEx w15:paraId="44D115DC" w15:done="0"/>
  <w15:commentEx w15:paraId="215AE009" w15:done="0"/>
  <w15:commentEx w15:paraId="22A4F820" w15:done="0"/>
  <w15:commentEx w15:paraId="5972442D" w15:done="0"/>
  <w15:commentEx w15:paraId="0BCBD1DB" w15:done="0"/>
  <w15:commentEx w15:paraId="3CD1D484" w15:done="0"/>
  <w15:commentEx w15:paraId="595F18B5" w15:done="0"/>
  <w15:commentEx w15:paraId="7A2F84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0C" w:rsidRDefault="002E090C" w:rsidP="00EF4574">
      <w:pPr>
        <w:spacing w:before="0" w:after="0" w:line="240" w:lineRule="auto"/>
      </w:pPr>
      <w:r>
        <w:separator/>
      </w:r>
    </w:p>
    <w:p w:rsidR="002E090C" w:rsidRDefault="002E090C"/>
  </w:endnote>
  <w:endnote w:type="continuationSeparator" w:id="0">
    <w:p w:rsidR="002E090C" w:rsidRDefault="002E090C" w:rsidP="00EF4574">
      <w:pPr>
        <w:spacing w:before="0" w:after="0" w:line="240" w:lineRule="auto"/>
      </w:pPr>
      <w:r>
        <w:continuationSeparator/>
      </w:r>
    </w:p>
    <w:p w:rsidR="002E090C" w:rsidRDefault="002E0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39" w:rsidRDefault="000C1239" w:rsidP="005970EA">
    <w:pPr>
      <w:pStyle w:val="Footer"/>
      <w:rPr>
        <w:noProof/>
      </w:rPr>
    </w:pPr>
    <w:r>
      <w:t>National Panel of Assessors Grant Opportunity Guidelines September 2017</w:t>
    </w:r>
    <w:r>
      <w:tab/>
    </w:r>
    <w:r>
      <w:tab/>
    </w:r>
    <w:r>
      <w:fldChar w:fldCharType="begin"/>
    </w:r>
    <w:r>
      <w:instrText xml:space="preserve"> PAGE   \* MERGEFORMAT </w:instrText>
    </w:r>
    <w:r>
      <w:fldChar w:fldCharType="separate"/>
    </w:r>
    <w:r w:rsidR="00406939">
      <w:rPr>
        <w:noProof/>
      </w:rPr>
      <w:t>3</w:t>
    </w:r>
    <w:r>
      <w:rPr>
        <w:noProof/>
      </w:rPr>
      <w:fldChar w:fldCharType="end"/>
    </w:r>
  </w:p>
  <w:p w:rsidR="000C1239" w:rsidRDefault="000C1239" w:rsidP="005970EA">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0C" w:rsidRDefault="002E090C" w:rsidP="0020122A">
      <w:pPr>
        <w:pStyle w:val="FootnoteSeparator"/>
      </w:pPr>
    </w:p>
  </w:footnote>
  <w:footnote w:type="continuationSeparator" w:id="0">
    <w:p w:rsidR="002E090C" w:rsidRDefault="002E090C" w:rsidP="00EF4574">
      <w:pPr>
        <w:spacing w:before="0" w:after="0" w:line="240" w:lineRule="auto"/>
      </w:pPr>
      <w:r>
        <w:continuationSeparator/>
      </w:r>
    </w:p>
    <w:p w:rsidR="002E090C" w:rsidRDefault="002E090C"/>
  </w:footnote>
  <w:footnote w:id="1">
    <w:p w:rsidR="000C1239" w:rsidRPr="003F0C31" w:rsidRDefault="000C1239" w:rsidP="00340616">
      <w:pPr>
        <w:pStyle w:val="FootnoteText"/>
      </w:pPr>
      <w:r>
        <w:rPr>
          <w:rStyle w:val="FootnoteReference"/>
        </w:rPr>
        <w:footnoteRef/>
      </w:r>
      <w:r>
        <w:t xml:space="preserve"> See glossary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39" w:rsidRPr="000A6A8B" w:rsidRDefault="000C1239" w:rsidP="000A6A8B">
    <w:pPr>
      <w:pStyle w:val="Header"/>
      <w:jc w:val="center"/>
      <w:rPr>
        <w:rStyle w:val="Classificatio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239" w:rsidRDefault="000C1239"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BCD"/>
    <w:multiLevelType w:val="hybridMultilevel"/>
    <w:tmpl w:val="0B0E7D16"/>
    <w:lvl w:ilvl="0" w:tplc="55368AD6">
      <w:start w:val="1"/>
      <w:numFmt w:val="decimal"/>
      <w:pStyle w:val="No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644ABF"/>
    <w:multiLevelType w:val="hybridMultilevel"/>
    <w:tmpl w:val="74F65D56"/>
    <w:lvl w:ilvl="0" w:tplc="0696EDA8">
      <w:start w:val="1"/>
      <w:numFmt w:val="bullet"/>
      <w:pStyle w:val="ListBullet1Indent0"/>
      <w:lvlText w:val=""/>
      <w:lvlJc w:val="left"/>
      <w:pPr>
        <w:tabs>
          <w:tab w:val="num" w:pos="397"/>
        </w:tabs>
        <w:ind w:left="397" w:hanging="397"/>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877CF6"/>
    <w:multiLevelType w:val="hybridMultilevel"/>
    <w:tmpl w:val="5E684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FE263B"/>
    <w:multiLevelType w:val="hybridMultilevel"/>
    <w:tmpl w:val="DD1E8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2F6B80"/>
    <w:multiLevelType w:val="multilevel"/>
    <w:tmpl w:val="BDCE37EC"/>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numFmt w:val="bullet"/>
      <w:pStyle w:val="NumberedList3"/>
      <w:lvlText w:val="-"/>
      <w:lvlJc w:val="left"/>
      <w:pPr>
        <w:ind w:left="852" w:hanging="284"/>
      </w:pPr>
      <w:rPr>
        <w:rFonts w:ascii="Calibri" w:eastAsia="Times New Roman" w:hAnsi="Calibri"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nsid w:val="0A797D0E"/>
    <w:multiLevelType w:val="hybridMultilevel"/>
    <w:tmpl w:val="A68CDA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0C887AE6"/>
    <w:multiLevelType w:val="hybridMultilevel"/>
    <w:tmpl w:val="9578A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3D5ECA"/>
    <w:multiLevelType w:val="hybridMultilevel"/>
    <w:tmpl w:val="CB143E46"/>
    <w:lvl w:ilvl="0" w:tplc="0EFC3BB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DA30A2"/>
    <w:multiLevelType w:val="hybridMultilevel"/>
    <w:tmpl w:val="D922A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AF43AE9"/>
    <w:multiLevelType w:val="multilevel"/>
    <w:tmpl w:val="85EAC5D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o"/>
      <w:lvlJc w:val="left"/>
      <w:pPr>
        <w:ind w:left="852" w:hanging="284"/>
      </w:pPr>
      <w:rPr>
        <w:rFonts w:ascii="Courier New" w:hAnsi="Courier New" w:cs="Courier New"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EC3D97"/>
    <w:multiLevelType w:val="hybridMultilevel"/>
    <w:tmpl w:val="50ECC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2B9B159F"/>
    <w:multiLevelType w:val="multilevel"/>
    <w:tmpl w:val="1F38FDB4"/>
    <w:styleLink w:val="HeadingsList"/>
    <w:lvl w:ilvl="0">
      <w:start w:val="1"/>
      <w:numFmt w:val="decimal"/>
      <w:pStyle w:val="Heading1Numbered"/>
      <w:lvlText w:val="%1."/>
      <w:lvlJc w:val="left"/>
      <w:pPr>
        <w:ind w:left="1560"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2D526FCD"/>
    <w:multiLevelType w:val="hybridMultilevel"/>
    <w:tmpl w:val="D9BC9E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nsid w:val="2DED196D"/>
    <w:multiLevelType w:val="hybridMultilevel"/>
    <w:tmpl w:val="0E4E3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E14905"/>
    <w:multiLevelType w:val="hybridMultilevel"/>
    <w:tmpl w:val="ED2E7D7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241202C"/>
    <w:multiLevelType w:val="hybridMultilevel"/>
    <w:tmpl w:val="022E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46949"/>
    <w:multiLevelType w:val="hybridMultilevel"/>
    <w:tmpl w:val="72B4C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912F9C"/>
    <w:multiLevelType w:val="hybridMultilevel"/>
    <w:tmpl w:val="0522525E"/>
    <w:lvl w:ilvl="0" w:tplc="D8BA07A0">
      <w:numFmt w:val="bullet"/>
      <w:lvlText w:val="-"/>
      <w:lvlJc w:val="left"/>
      <w:pPr>
        <w:ind w:left="928" w:hanging="360"/>
      </w:pPr>
      <w:rPr>
        <w:rFonts w:ascii="Arial" w:eastAsiaTheme="minorHAnsi" w:hAnsi="Arial" w:cs="Aria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6">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4C2C6CBF"/>
    <w:multiLevelType w:val="hybridMultilevel"/>
    <w:tmpl w:val="6F2C6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3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58E61E6"/>
    <w:multiLevelType w:val="hybridMultilevel"/>
    <w:tmpl w:val="DB5CE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nsid w:val="5C2540A4"/>
    <w:multiLevelType w:val="hybridMultilevel"/>
    <w:tmpl w:val="F17A70FE"/>
    <w:lvl w:ilvl="0" w:tplc="43128A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nsid w:val="5F2728F1"/>
    <w:multiLevelType w:val="multilevel"/>
    <w:tmpl w:val="BF02478C"/>
    <w:lvl w:ilvl="0">
      <w:start w:val="1"/>
      <w:numFmt w:val="decimal"/>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36">
    <w:nsid w:val="6A022FC8"/>
    <w:multiLevelType w:val="hybridMultilevel"/>
    <w:tmpl w:val="AA82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8">
    <w:nsid w:val="70925C70"/>
    <w:multiLevelType w:val="hybridMultilevel"/>
    <w:tmpl w:val="33CEC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nsid w:val="7B6805EC"/>
    <w:multiLevelType w:val="hybridMultilevel"/>
    <w:tmpl w:val="CA76A2DE"/>
    <w:lvl w:ilvl="0" w:tplc="D8BA07A0">
      <w:numFmt w:val="bullet"/>
      <w:lvlText w:val="-"/>
      <w:lvlJc w:val="left"/>
      <w:pPr>
        <w:ind w:left="986" w:hanging="360"/>
      </w:pPr>
      <w:rPr>
        <w:rFonts w:ascii="Arial" w:eastAsiaTheme="minorHAnsi" w:hAnsi="Arial" w:cs="Aria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39"/>
  </w:num>
  <w:num w:numId="2">
    <w:abstractNumId w:val="4"/>
  </w:num>
  <w:num w:numId="3">
    <w:abstractNumId w:val="19"/>
    <w:lvlOverride w:ilvl="1">
      <w:lvl w:ilvl="1">
        <w:start w:val="1"/>
        <w:numFmt w:val="decimal"/>
        <w:pStyle w:val="Heading2Numbered"/>
        <w:lvlText w:val="%1.%2"/>
        <w:lvlJc w:val="left"/>
        <w:pPr>
          <w:ind w:left="567" w:hanging="567"/>
        </w:pPr>
        <w:rPr>
          <w:rFonts w:hint="default"/>
        </w:rPr>
      </w:lvl>
    </w:lvlOverride>
  </w:num>
  <w:num w:numId="4">
    <w:abstractNumId w:val="32"/>
  </w:num>
  <w:num w:numId="5">
    <w:abstractNumId w:val="34"/>
  </w:num>
  <w:num w:numId="6">
    <w:abstractNumId w:val="9"/>
  </w:num>
  <w:num w:numId="7">
    <w:abstractNumId w:val="12"/>
  </w:num>
  <w:num w:numId="8">
    <w:abstractNumId w:val="10"/>
  </w:num>
  <w:num w:numId="9">
    <w:abstractNumId w:val="17"/>
  </w:num>
  <w:num w:numId="10">
    <w:abstractNumId w:val="30"/>
  </w:num>
  <w:num w:numId="11">
    <w:abstractNumId w:val="37"/>
  </w:num>
  <w:num w:numId="12">
    <w:abstractNumId w:val="29"/>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8"/>
  </w:num>
  <w:num w:numId="14">
    <w:abstractNumId w:val="13"/>
  </w:num>
  <w:num w:numId="15">
    <w:abstractNumId w:val="2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3"/>
    </w:lvlOverride>
  </w:num>
  <w:num w:numId="18">
    <w:abstractNumId w:val="24"/>
  </w:num>
  <w:num w:numId="19">
    <w:abstractNumId w:val="27"/>
  </w:num>
  <w:num w:numId="20">
    <w:abstractNumId w:val="19"/>
  </w:num>
  <w:num w:numId="21">
    <w:abstractNumId w:val="14"/>
  </w:num>
  <w:num w:numId="22">
    <w:abstractNumId w:val="26"/>
  </w:num>
  <w:num w:numId="23">
    <w:abstractNumId w:val="15"/>
  </w:num>
  <w:num w:numId="24">
    <w:abstractNumId w:val="19"/>
    <w:lvlOverride w:ilvl="1">
      <w:lvl w:ilvl="1">
        <w:start w:val="1"/>
        <w:numFmt w:val="decimal"/>
        <w:pStyle w:val="Heading2Numbered"/>
        <w:lvlText w:val="%1.%2"/>
        <w:lvlJc w:val="left"/>
        <w:pPr>
          <w:ind w:left="993" w:hanging="567"/>
        </w:pPr>
        <w:rPr>
          <w:rFonts w:hint="default"/>
        </w:rPr>
      </w:lvl>
    </w:lvlOverride>
  </w:num>
  <w:num w:numId="25">
    <w:abstractNumId w:val="18"/>
    <w:lvlOverride w:ilvl="0">
      <w:lvl w:ilvl="0">
        <w:start w:val="1"/>
        <w:numFmt w:val="bullet"/>
        <w:pStyle w:val="Bullets1stindent"/>
        <w:lvlText w:val=""/>
        <w:lvlJc w:val="left"/>
        <w:pPr>
          <w:ind w:left="360" w:hanging="360"/>
        </w:pPr>
        <w:rPr>
          <w:rFonts w:ascii="Symbol" w:hAnsi="Symbol" w:hint="default"/>
          <w:color w:val="14708E"/>
        </w:rPr>
      </w:lvl>
    </w:lvlOverride>
    <w:lvlOverride w:ilvl="1">
      <w:lvl w:ilvl="1">
        <w:start w:val="1"/>
        <w:numFmt w:val="bullet"/>
        <w:pStyle w:val="Bullets2ndindent"/>
        <w:lvlText w:val=""/>
        <w:lvlJc w:val="left"/>
        <w:pPr>
          <w:tabs>
            <w:tab w:val="num" w:pos="567"/>
          </w:tabs>
          <w:ind w:left="567" w:hanging="283"/>
        </w:pPr>
        <w:rPr>
          <w:rFonts w:ascii="Symbol" w:hAnsi="Symbol" w:hint="default"/>
          <w:color w:val="14708E"/>
        </w:rPr>
      </w:lvl>
    </w:lvlOverride>
    <w:lvlOverride w:ilvl="2">
      <w:lvl w:ilvl="2">
        <w:start w:val="1"/>
        <w:numFmt w:val="bullet"/>
        <w:pStyle w:val="Bulletslast1stindent"/>
        <w:lvlText w:val="•"/>
        <w:lvlJc w:val="left"/>
        <w:pPr>
          <w:tabs>
            <w:tab w:val="num" w:pos="284"/>
          </w:tabs>
          <w:ind w:left="284" w:hanging="284"/>
        </w:pPr>
        <w:rPr>
          <w:rFonts w:ascii="Cambria" w:hAnsi="Cambria" w:hint="default"/>
          <w:color w:val="auto"/>
        </w:rPr>
      </w:lvl>
    </w:lvlOverride>
    <w:lvlOverride w:ilvl="3">
      <w:lvl w:ilvl="3">
        <w:start w:val="1"/>
        <w:numFmt w:val="bullet"/>
        <w:pStyle w:val="Bulletslast2ndindent"/>
        <w:lvlText w:val="•"/>
        <w:lvlJc w:val="left"/>
        <w:pPr>
          <w:tabs>
            <w:tab w:val="num" w:pos="567"/>
          </w:tabs>
          <w:ind w:left="567" w:hanging="283"/>
        </w:pPr>
        <w:rPr>
          <w:rFonts w:ascii="Cambria" w:hAnsi="Cambria" w:hint="default"/>
          <w:color w:val="5BC6E8"/>
        </w:rPr>
      </w:lvl>
    </w:lvlOverride>
    <w:lvlOverride w:ilvl="4">
      <w:lvl w:ilvl="4">
        <w:start w:val="1"/>
        <w:numFmt w:val="none"/>
        <w:lvlText w:val=""/>
        <w:lvlJc w:val="left"/>
        <w:pPr>
          <w:ind w:left="0" w:firstLine="0"/>
        </w:pPr>
        <w:rPr>
          <w:rFonts w:hint="default"/>
        </w:rPr>
      </w:lvl>
    </w:lvlOverride>
    <w:lvlOverride w:ilvl="5">
      <w:lvl w:ilvl="5">
        <w:start w:val="1"/>
        <w:numFmt w:val="bullet"/>
        <w:pStyle w:val="Tablebullets1stindent"/>
        <w:lvlText w:val=""/>
        <w:lvlJc w:val="left"/>
        <w:pPr>
          <w:tabs>
            <w:tab w:val="num" w:pos="266"/>
          </w:tabs>
          <w:ind w:left="266" w:hanging="170"/>
        </w:pPr>
        <w:rPr>
          <w:rFonts w:ascii="Symbol" w:hAnsi="Symbol" w:hint="default"/>
          <w:color w:val="14708E"/>
          <w:sz w:val="16"/>
        </w:rPr>
      </w:lvl>
    </w:lvlOverride>
    <w:lvlOverride w:ilvl="6">
      <w:lvl w:ilvl="6">
        <w:start w:val="1"/>
        <w:numFmt w:val="bullet"/>
        <w:pStyle w:val="Tablebullets2ndindent"/>
        <w:lvlText w:val=""/>
        <w:lvlJc w:val="left"/>
        <w:pPr>
          <w:tabs>
            <w:tab w:val="num" w:pos="437"/>
          </w:tabs>
          <w:ind w:left="437" w:hanging="171"/>
        </w:pPr>
        <w:rPr>
          <w:rFonts w:ascii="Symbol" w:hAnsi="Symbol" w:hint="default"/>
          <w:color w:val="14708E"/>
          <w:sz w:val="16"/>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26">
    <w:abstractNumId w:val="20"/>
  </w:num>
  <w:num w:numId="27">
    <w:abstractNumId w:val="1"/>
  </w:num>
  <w:num w:numId="28">
    <w:abstractNumId w:val="33"/>
  </w:num>
  <w:num w:numId="29">
    <w:abstractNumId w:val="5"/>
  </w:num>
  <w:num w:numId="30">
    <w:abstractNumId w:val="21"/>
  </w:num>
  <w:num w:numId="31">
    <w:abstractNumId w:val="8"/>
  </w:num>
  <w:num w:numId="32">
    <w:abstractNumId w:val="6"/>
  </w:num>
  <w:num w:numId="33">
    <w:abstractNumId w:val="16"/>
  </w:num>
  <w:num w:numId="34">
    <w:abstractNumId w:val="39"/>
  </w:num>
  <w:num w:numId="35">
    <w:abstractNumId w:val="19"/>
    <w:lvlOverride w:ilvl="1">
      <w:lvl w:ilvl="1">
        <w:start w:val="1"/>
        <w:numFmt w:val="decimal"/>
        <w:pStyle w:val="Heading2Numbered"/>
        <w:lvlText w:val="%1.%2"/>
        <w:lvlJc w:val="left"/>
        <w:pPr>
          <w:ind w:left="993" w:hanging="567"/>
        </w:pPr>
        <w:rPr>
          <w:rFonts w:hint="default"/>
        </w:rPr>
      </w:lvl>
    </w:lvlOverride>
  </w:num>
  <w:num w:numId="36">
    <w:abstractNumId w:val="19"/>
    <w:lvlOverride w:ilvl="1">
      <w:lvl w:ilvl="1">
        <w:start w:val="1"/>
        <w:numFmt w:val="decimal"/>
        <w:pStyle w:val="Heading2Numbered"/>
        <w:lvlText w:val="%1.%2"/>
        <w:lvlJc w:val="left"/>
        <w:pPr>
          <w:ind w:left="993" w:hanging="567"/>
        </w:pPr>
        <w:rPr>
          <w:rFonts w:hint="default"/>
        </w:rPr>
      </w:lvl>
    </w:lvlOverride>
  </w:num>
  <w:num w:numId="37">
    <w:abstractNumId w:val="19"/>
    <w:lvlOverride w:ilvl="1">
      <w:lvl w:ilvl="1">
        <w:start w:val="1"/>
        <w:numFmt w:val="decimal"/>
        <w:pStyle w:val="Heading2Numbered"/>
        <w:lvlText w:val="%1.%2"/>
        <w:lvlJc w:val="left"/>
        <w:pPr>
          <w:ind w:left="993" w:hanging="567"/>
        </w:pPr>
        <w:rPr>
          <w:rFonts w:hint="default"/>
        </w:rPr>
      </w:lvl>
    </w:lvlOverride>
  </w:num>
  <w:num w:numId="38">
    <w:abstractNumId w:val="19"/>
    <w:lvlOverride w:ilvl="1">
      <w:lvl w:ilvl="1">
        <w:start w:val="1"/>
        <w:numFmt w:val="decimal"/>
        <w:pStyle w:val="Heading2Numbered"/>
        <w:lvlText w:val="%1.%2"/>
        <w:lvlJc w:val="left"/>
        <w:pPr>
          <w:ind w:left="993" w:hanging="567"/>
        </w:pPr>
        <w:rPr>
          <w:rFonts w:hint="default"/>
        </w:rPr>
      </w:lvl>
    </w:lvlOverride>
  </w:num>
  <w:num w:numId="39">
    <w:abstractNumId w:val="28"/>
  </w:num>
  <w:num w:numId="40">
    <w:abstractNumId w:val="23"/>
  </w:num>
  <w:num w:numId="41">
    <w:abstractNumId w:val="19"/>
    <w:lvlOverride w:ilvl="1">
      <w:lvl w:ilvl="1">
        <w:start w:val="1"/>
        <w:numFmt w:val="decimal"/>
        <w:pStyle w:val="Heading2Numbered"/>
        <w:lvlText w:val="%1.%2"/>
        <w:lvlJc w:val="left"/>
        <w:pPr>
          <w:ind w:left="1418" w:hanging="567"/>
        </w:pPr>
        <w:rPr>
          <w:rFonts w:hint="default"/>
        </w:rPr>
      </w:lvl>
    </w:lvlOverride>
  </w:num>
  <w:num w:numId="42">
    <w:abstractNumId w:val="39"/>
  </w:num>
  <w:num w:numId="43">
    <w:abstractNumId w:val="31"/>
  </w:num>
  <w:num w:numId="44">
    <w:abstractNumId w:val="39"/>
  </w:num>
  <w:num w:numId="45">
    <w:abstractNumId w:val="39"/>
  </w:num>
  <w:num w:numId="46">
    <w:abstractNumId w:val="39"/>
  </w:num>
  <w:num w:numId="47">
    <w:abstractNumId w:val="2"/>
  </w:num>
  <w:num w:numId="48">
    <w:abstractNumId w:val="25"/>
  </w:num>
  <w:num w:numId="49">
    <w:abstractNumId w:val="39"/>
  </w:num>
  <w:num w:numId="50">
    <w:abstractNumId w:val="40"/>
  </w:num>
  <w:num w:numId="51">
    <w:abstractNumId w:val="39"/>
  </w:num>
  <w:num w:numId="52">
    <w:abstractNumId w:val="19"/>
    <w:lvlOverride w:ilvl="1">
      <w:lvl w:ilvl="1">
        <w:start w:val="1"/>
        <w:numFmt w:val="decimal"/>
        <w:pStyle w:val="Heading2Numbered"/>
        <w:lvlText w:val="%1.%2"/>
        <w:lvlJc w:val="left"/>
        <w:pPr>
          <w:ind w:left="709" w:hanging="567"/>
        </w:pPr>
        <w:rPr>
          <w:rFonts w:hint="default"/>
        </w:rPr>
      </w:lvl>
    </w:lvlOverride>
  </w:num>
  <w:num w:numId="53">
    <w:abstractNumId w:val="36"/>
  </w:num>
  <w:num w:numId="54">
    <w:abstractNumId w:val="3"/>
  </w:num>
  <w:num w:numId="55">
    <w:abstractNumId w:val="19"/>
    <w:lvlOverride w:ilvl="1">
      <w:lvl w:ilvl="1">
        <w:start w:val="1"/>
        <w:numFmt w:val="decimal"/>
        <w:pStyle w:val="Heading2Numbered"/>
        <w:lvlText w:val="%1.%2"/>
        <w:lvlJc w:val="left"/>
        <w:pPr>
          <w:ind w:left="709" w:hanging="567"/>
        </w:pPr>
        <w:rPr>
          <w:rFonts w:hint="default"/>
        </w:rPr>
      </w:lvl>
    </w:lvlOverride>
  </w:num>
  <w:num w:numId="56">
    <w:abstractNumId w:val="22"/>
  </w:num>
  <w:num w:numId="57">
    <w:abstractNumId w:val="38"/>
  </w:num>
  <w:num w:numId="58">
    <w:abstractNumId w:val="11"/>
  </w:num>
  <w:num w:numId="59">
    <w:abstractNumId w:val="7"/>
  </w:num>
  <w:num w:numId="60">
    <w:abstractNumId w:val="35"/>
  </w:num>
  <w:num w:numId="61">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ost, Melissa">
    <w15:presenceInfo w15:providerId="AD" w15:userId="S-1-5-21-3116327230-3747694248-558935996-8049"/>
  </w15:person>
  <w15:person w15:author="Lim, Vern">
    <w15:presenceInfo w15:providerId="AD" w15:userId="S-1-5-21-3116327230-3747694248-558935996-61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48E2"/>
    <w:rsid w:val="00010164"/>
    <w:rsid w:val="00012416"/>
    <w:rsid w:val="00013766"/>
    <w:rsid w:val="00022507"/>
    <w:rsid w:val="0002782F"/>
    <w:rsid w:val="00045933"/>
    <w:rsid w:val="00050D65"/>
    <w:rsid w:val="00054E4D"/>
    <w:rsid w:val="00056305"/>
    <w:rsid w:val="00060073"/>
    <w:rsid w:val="00060254"/>
    <w:rsid w:val="000603C7"/>
    <w:rsid w:val="00061A22"/>
    <w:rsid w:val="000623A2"/>
    <w:rsid w:val="0006243E"/>
    <w:rsid w:val="00062A08"/>
    <w:rsid w:val="0007086F"/>
    <w:rsid w:val="0007125B"/>
    <w:rsid w:val="00071D18"/>
    <w:rsid w:val="00076266"/>
    <w:rsid w:val="00077A33"/>
    <w:rsid w:val="000827A2"/>
    <w:rsid w:val="000829F4"/>
    <w:rsid w:val="00085A68"/>
    <w:rsid w:val="00087112"/>
    <w:rsid w:val="00097645"/>
    <w:rsid w:val="000A2661"/>
    <w:rsid w:val="000A271A"/>
    <w:rsid w:val="000A4B30"/>
    <w:rsid w:val="000A6205"/>
    <w:rsid w:val="000A6A8B"/>
    <w:rsid w:val="000B7A42"/>
    <w:rsid w:val="000C1239"/>
    <w:rsid w:val="000C1780"/>
    <w:rsid w:val="000C1844"/>
    <w:rsid w:val="000C2A48"/>
    <w:rsid w:val="000C3948"/>
    <w:rsid w:val="000C4458"/>
    <w:rsid w:val="000C5F75"/>
    <w:rsid w:val="000C74F1"/>
    <w:rsid w:val="000D60B1"/>
    <w:rsid w:val="000E1AD1"/>
    <w:rsid w:val="000E23CE"/>
    <w:rsid w:val="000E7A2A"/>
    <w:rsid w:val="000F0604"/>
    <w:rsid w:val="000F0FB7"/>
    <w:rsid w:val="000F0FD1"/>
    <w:rsid w:val="000F4148"/>
    <w:rsid w:val="000F4960"/>
    <w:rsid w:val="00103A95"/>
    <w:rsid w:val="00106A27"/>
    <w:rsid w:val="00112AAA"/>
    <w:rsid w:val="001140D8"/>
    <w:rsid w:val="00114FDD"/>
    <w:rsid w:val="00115DC3"/>
    <w:rsid w:val="0012505B"/>
    <w:rsid w:val="00127257"/>
    <w:rsid w:val="00130D17"/>
    <w:rsid w:val="00131C22"/>
    <w:rsid w:val="00135427"/>
    <w:rsid w:val="001355F7"/>
    <w:rsid w:val="00136530"/>
    <w:rsid w:val="0014005A"/>
    <w:rsid w:val="0014597D"/>
    <w:rsid w:val="001459AB"/>
    <w:rsid w:val="001541EA"/>
    <w:rsid w:val="00155903"/>
    <w:rsid w:val="00156BE8"/>
    <w:rsid w:val="00156D44"/>
    <w:rsid w:val="001612A4"/>
    <w:rsid w:val="00162D7E"/>
    <w:rsid w:val="00162F51"/>
    <w:rsid w:val="001657A3"/>
    <w:rsid w:val="00167AE9"/>
    <w:rsid w:val="00173FA3"/>
    <w:rsid w:val="001777FE"/>
    <w:rsid w:val="0018662B"/>
    <w:rsid w:val="00186E42"/>
    <w:rsid w:val="00191944"/>
    <w:rsid w:val="00197E12"/>
    <w:rsid w:val="001A0777"/>
    <w:rsid w:val="001A3AD2"/>
    <w:rsid w:val="001A3F25"/>
    <w:rsid w:val="001A4E10"/>
    <w:rsid w:val="001B025A"/>
    <w:rsid w:val="001B3B8A"/>
    <w:rsid w:val="001B6779"/>
    <w:rsid w:val="001C5431"/>
    <w:rsid w:val="001C71EB"/>
    <w:rsid w:val="001D0425"/>
    <w:rsid w:val="001D4A00"/>
    <w:rsid w:val="001D4E07"/>
    <w:rsid w:val="001D7EB4"/>
    <w:rsid w:val="001E1DC0"/>
    <w:rsid w:val="001E65D8"/>
    <w:rsid w:val="001F4CB1"/>
    <w:rsid w:val="001F4DB8"/>
    <w:rsid w:val="001F56AA"/>
    <w:rsid w:val="001F6504"/>
    <w:rsid w:val="001F6517"/>
    <w:rsid w:val="001F6A0E"/>
    <w:rsid w:val="00200637"/>
    <w:rsid w:val="00200F68"/>
    <w:rsid w:val="0020122A"/>
    <w:rsid w:val="002102D3"/>
    <w:rsid w:val="00210AB7"/>
    <w:rsid w:val="00225201"/>
    <w:rsid w:val="00234E86"/>
    <w:rsid w:val="00235C6C"/>
    <w:rsid w:val="00241945"/>
    <w:rsid w:val="00250AEF"/>
    <w:rsid w:val="002525F3"/>
    <w:rsid w:val="002544CE"/>
    <w:rsid w:val="0025763F"/>
    <w:rsid w:val="002600F0"/>
    <w:rsid w:val="00262B5B"/>
    <w:rsid w:val="00263AD9"/>
    <w:rsid w:val="0027254A"/>
    <w:rsid w:val="00276BAF"/>
    <w:rsid w:val="0028115B"/>
    <w:rsid w:val="0028602A"/>
    <w:rsid w:val="0029129D"/>
    <w:rsid w:val="002976F6"/>
    <w:rsid w:val="002A5438"/>
    <w:rsid w:val="002A5B50"/>
    <w:rsid w:val="002A7B76"/>
    <w:rsid w:val="002B0C2A"/>
    <w:rsid w:val="002B2F45"/>
    <w:rsid w:val="002C2526"/>
    <w:rsid w:val="002C7BB1"/>
    <w:rsid w:val="002E090C"/>
    <w:rsid w:val="002E10BE"/>
    <w:rsid w:val="002E5DD2"/>
    <w:rsid w:val="002F307F"/>
    <w:rsid w:val="002F7AB5"/>
    <w:rsid w:val="00300E03"/>
    <w:rsid w:val="00301144"/>
    <w:rsid w:val="00301C53"/>
    <w:rsid w:val="0030532D"/>
    <w:rsid w:val="00306F1F"/>
    <w:rsid w:val="003079BC"/>
    <w:rsid w:val="00307B1A"/>
    <w:rsid w:val="00312017"/>
    <w:rsid w:val="00312B5D"/>
    <w:rsid w:val="003142DD"/>
    <w:rsid w:val="003148B7"/>
    <w:rsid w:val="003158C3"/>
    <w:rsid w:val="003159AB"/>
    <w:rsid w:val="00320829"/>
    <w:rsid w:val="00322A53"/>
    <w:rsid w:val="00323756"/>
    <w:rsid w:val="003274CD"/>
    <w:rsid w:val="003301B4"/>
    <w:rsid w:val="003357B0"/>
    <w:rsid w:val="00340616"/>
    <w:rsid w:val="0034066E"/>
    <w:rsid w:val="00341DE1"/>
    <w:rsid w:val="003479AD"/>
    <w:rsid w:val="0035119D"/>
    <w:rsid w:val="0035433D"/>
    <w:rsid w:val="00362D30"/>
    <w:rsid w:val="00367A67"/>
    <w:rsid w:val="003717CD"/>
    <w:rsid w:val="00371D7D"/>
    <w:rsid w:val="00376B7C"/>
    <w:rsid w:val="00380433"/>
    <w:rsid w:val="00381CA9"/>
    <w:rsid w:val="00386FD6"/>
    <w:rsid w:val="003930B6"/>
    <w:rsid w:val="003A4393"/>
    <w:rsid w:val="003A71C5"/>
    <w:rsid w:val="003B4C5C"/>
    <w:rsid w:val="003B4F12"/>
    <w:rsid w:val="003C1341"/>
    <w:rsid w:val="003C1B60"/>
    <w:rsid w:val="003D481B"/>
    <w:rsid w:val="003E49E5"/>
    <w:rsid w:val="003E60A5"/>
    <w:rsid w:val="003F3468"/>
    <w:rsid w:val="003F3754"/>
    <w:rsid w:val="003F3FB7"/>
    <w:rsid w:val="003F4683"/>
    <w:rsid w:val="003F7767"/>
    <w:rsid w:val="004001EA"/>
    <w:rsid w:val="0040034F"/>
    <w:rsid w:val="004003E2"/>
    <w:rsid w:val="004017BD"/>
    <w:rsid w:val="00403FD4"/>
    <w:rsid w:val="004046CE"/>
    <w:rsid w:val="00406939"/>
    <w:rsid w:val="00411163"/>
    <w:rsid w:val="004114E0"/>
    <w:rsid w:val="00412D69"/>
    <w:rsid w:val="00417416"/>
    <w:rsid w:val="00423350"/>
    <w:rsid w:val="00423F31"/>
    <w:rsid w:val="00431899"/>
    <w:rsid w:val="00432EC5"/>
    <w:rsid w:val="00435ACD"/>
    <w:rsid w:val="004360B1"/>
    <w:rsid w:val="00445E85"/>
    <w:rsid w:val="004475DB"/>
    <w:rsid w:val="00452BD1"/>
    <w:rsid w:val="00460C58"/>
    <w:rsid w:val="0046758A"/>
    <w:rsid w:val="00473518"/>
    <w:rsid w:val="00474C12"/>
    <w:rsid w:val="00474F2E"/>
    <w:rsid w:val="00481EE4"/>
    <w:rsid w:val="00484C42"/>
    <w:rsid w:val="00486804"/>
    <w:rsid w:val="0048716A"/>
    <w:rsid w:val="004943C8"/>
    <w:rsid w:val="00494742"/>
    <w:rsid w:val="004B1D46"/>
    <w:rsid w:val="004B1F72"/>
    <w:rsid w:val="004B3775"/>
    <w:rsid w:val="004B53C4"/>
    <w:rsid w:val="004B5ECC"/>
    <w:rsid w:val="004C2A06"/>
    <w:rsid w:val="004C3A3D"/>
    <w:rsid w:val="004D0CA0"/>
    <w:rsid w:val="004E058F"/>
    <w:rsid w:val="004E25DA"/>
    <w:rsid w:val="004E3B87"/>
    <w:rsid w:val="004F0C00"/>
    <w:rsid w:val="00501C5E"/>
    <w:rsid w:val="00505832"/>
    <w:rsid w:val="00510921"/>
    <w:rsid w:val="005109D5"/>
    <w:rsid w:val="00510AD3"/>
    <w:rsid w:val="00513348"/>
    <w:rsid w:val="00514857"/>
    <w:rsid w:val="00521A5F"/>
    <w:rsid w:val="00522D45"/>
    <w:rsid w:val="005256E1"/>
    <w:rsid w:val="00525701"/>
    <w:rsid w:val="00532038"/>
    <w:rsid w:val="00533B5D"/>
    <w:rsid w:val="00533BCE"/>
    <w:rsid w:val="00534D03"/>
    <w:rsid w:val="0053545B"/>
    <w:rsid w:val="00537C3D"/>
    <w:rsid w:val="0054078D"/>
    <w:rsid w:val="00542538"/>
    <w:rsid w:val="00544876"/>
    <w:rsid w:val="00546D9B"/>
    <w:rsid w:val="00547CDE"/>
    <w:rsid w:val="00550ADB"/>
    <w:rsid w:val="00554B98"/>
    <w:rsid w:val="005557EC"/>
    <w:rsid w:val="00555832"/>
    <w:rsid w:val="00555FA3"/>
    <w:rsid w:val="005570E8"/>
    <w:rsid w:val="005575A1"/>
    <w:rsid w:val="00560903"/>
    <w:rsid w:val="00570C75"/>
    <w:rsid w:val="00575D24"/>
    <w:rsid w:val="005833A0"/>
    <w:rsid w:val="00585367"/>
    <w:rsid w:val="005914ED"/>
    <w:rsid w:val="00594390"/>
    <w:rsid w:val="00596B2B"/>
    <w:rsid w:val="005970EA"/>
    <w:rsid w:val="005A31FC"/>
    <w:rsid w:val="005A41E0"/>
    <w:rsid w:val="005A6DFC"/>
    <w:rsid w:val="005B23DA"/>
    <w:rsid w:val="005C37F0"/>
    <w:rsid w:val="005C59D7"/>
    <w:rsid w:val="005C7BCA"/>
    <w:rsid w:val="005D00E1"/>
    <w:rsid w:val="005D0A70"/>
    <w:rsid w:val="005D14B3"/>
    <w:rsid w:val="005D2D36"/>
    <w:rsid w:val="005D5ADB"/>
    <w:rsid w:val="005E0682"/>
    <w:rsid w:val="005E2E04"/>
    <w:rsid w:val="005E6424"/>
    <w:rsid w:val="005E7CC9"/>
    <w:rsid w:val="005F265A"/>
    <w:rsid w:val="005F3DD0"/>
    <w:rsid w:val="005F77DE"/>
    <w:rsid w:val="00602110"/>
    <w:rsid w:val="0060248A"/>
    <w:rsid w:val="00603DC4"/>
    <w:rsid w:val="0060619B"/>
    <w:rsid w:val="0061776B"/>
    <w:rsid w:val="00620034"/>
    <w:rsid w:val="00620F8D"/>
    <w:rsid w:val="00622F92"/>
    <w:rsid w:val="00623BA1"/>
    <w:rsid w:val="00626D6A"/>
    <w:rsid w:val="006338CC"/>
    <w:rsid w:val="006346BC"/>
    <w:rsid w:val="0064094D"/>
    <w:rsid w:val="006423B8"/>
    <w:rsid w:val="00643D71"/>
    <w:rsid w:val="00644D21"/>
    <w:rsid w:val="00647D91"/>
    <w:rsid w:val="00651302"/>
    <w:rsid w:val="00651F59"/>
    <w:rsid w:val="006539C9"/>
    <w:rsid w:val="006578B8"/>
    <w:rsid w:val="00666291"/>
    <w:rsid w:val="0066652A"/>
    <w:rsid w:val="006705B0"/>
    <w:rsid w:val="00670987"/>
    <w:rsid w:val="00680ED6"/>
    <w:rsid w:val="00682167"/>
    <w:rsid w:val="0068278A"/>
    <w:rsid w:val="00694DF9"/>
    <w:rsid w:val="006969D9"/>
    <w:rsid w:val="006A1FE1"/>
    <w:rsid w:val="006A2FC6"/>
    <w:rsid w:val="006A4D7D"/>
    <w:rsid w:val="006A5096"/>
    <w:rsid w:val="006A5E00"/>
    <w:rsid w:val="006B11FB"/>
    <w:rsid w:val="006B4002"/>
    <w:rsid w:val="006C0820"/>
    <w:rsid w:val="006C3749"/>
    <w:rsid w:val="006C42AF"/>
    <w:rsid w:val="006C4DD1"/>
    <w:rsid w:val="006C7008"/>
    <w:rsid w:val="006C76D8"/>
    <w:rsid w:val="006D2030"/>
    <w:rsid w:val="006D50F4"/>
    <w:rsid w:val="006E57FB"/>
    <w:rsid w:val="006E66F9"/>
    <w:rsid w:val="006F7101"/>
    <w:rsid w:val="0070162F"/>
    <w:rsid w:val="007029BC"/>
    <w:rsid w:val="00703F52"/>
    <w:rsid w:val="00710153"/>
    <w:rsid w:val="00711D6F"/>
    <w:rsid w:val="00711D8E"/>
    <w:rsid w:val="00712672"/>
    <w:rsid w:val="00715866"/>
    <w:rsid w:val="00723BDC"/>
    <w:rsid w:val="00726710"/>
    <w:rsid w:val="00734E3F"/>
    <w:rsid w:val="00735963"/>
    <w:rsid w:val="00736985"/>
    <w:rsid w:val="00737A13"/>
    <w:rsid w:val="0074234D"/>
    <w:rsid w:val="00751FB4"/>
    <w:rsid w:val="007563AF"/>
    <w:rsid w:val="007753AF"/>
    <w:rsid w:val="00786273"/>
    <w:rsid w:val="00786A7B"/>
    <w:rsid w:val="00786B2E"/>
    <w:rsid w:val="007938B5"/>
    <w:rsid w:val="00793C44"/>
    <w:rsid w:val="00794773"/>
    <w:rsid w:val="00794E40"/>
    <w:rsid w:val="007A25F0"/>
    <w:rsid w:val="007A7F9C"/>
    <w:rsid w:val="007B1A1A"/>
    <w:rsid w:val="007B5BDB"/>
    <w:rsid w:val="007B6200"/>
    <w:rsid w:val="007C24EA"/>
    <w:rsid w:val="007C3DD7"/>
    <w:rsid w:val="007C5A9F"/>
    <w:rsid w:val="007D0F4B"/>
    <w:rsid w:val="007D6319"/>
    <w:rsid w:val="007E57E9"/>
    <w:rsid w:val="00801B9F"/>
    <w:rsid w:val="00807437"/>
    <w:rsid w:val="00811F71"/>
    <w:rsid w:val="0083060F"/>
    <w:rsid w:val="008355E9"/>
    <w:rsid w:val="00836D6C"/>
    <w:rsid w:val="00840262"/>
    <w:rsid w:val="008429F1"/>
    <w:rsid w:val="008453FE"/>
    <w:rsid w:val="00847834"/>
    <w:rsid w:val="00852F49"/>
    <w:rsid w:val="0085691D"/>
    <w:rsid w:val="00866451"/>
    <w:rsid w:val="00870BB0"/>
    <w:rsid w:val="008732E9"/>
    <w:rsid w:val="00875348"/>
    <w:rsid w:val="00880B3F"/>
    <w:rsid w:val="00883C0E"/>
    <w:rsid w:val="00886930"/>
    <w:rsid w:val="008873D4"/>
    <w:rsid w:val="00887551"/>
    <w:rsid w:val="00892C8B"/>
    <w:rsid w:val="0089469B"/>
    <w:rsid w:val="0089786A"/>
    <w:rsid w:val="008A3717"/>
    <w:rsid w:val="008A6F13"/>
    <w:rsid w:val="008B400D"/>
    <w:rsid w:val="008B4182"/>
    <w:rsid w:val="008B62C7"/>
    <w:rsid w:val="008C06C3"/>
    <w:rsid w:val="008C18DD"/>
    <w:rsid w:val="008C589E"/>
    <w:rsid w:val="008D4A99"/>
    <w:rsid w:val="008D6AEF"/>
    <w:rsid w:val="008D7BB1"/>
    <w:rsid w:val="008E0A9C"/>
    <w:rsid w:val="008E1C97"/>
    <w:rsid w:val="008E2331"/>
    <w:rsid w:val="008E35FC"/>
    <w:rsid w:val="008E4559"/>
    <w:rsid w:val="009008BB"/>
    <w:rsid w:val="0090221A"/>
    <w:rsid w:val="00906C80"/>
    <w:rsid w:val="009077B9"/>
    <w:rsid w:val="0091452D"/>
    <w:rsid w:val="0091466D"/>
    <w:rsid w:val="0091768E"/>
    <w:rsid w:val="00925ECE"/>
    <w:rsid w:val="00927ABD"/>
    <w:rsid w:val="00934587"/>
    <w:rsid w:val="00935AA5"/>
    <w:rsid w:val="00943028"/>
    <w:rsid w:val="00947824"/>
    <w:rsid w:val="00950336"/>
    <w:rsid w:val="009525F4"/>
    <w:rsid w:val="00954003"/>
    <w:rsid w:val="00956117"/>
    <w:rsid w:val="009625B7"/>
    <w:rsid w:val="009625DC"/>
    <w:rsid w:val="00964597"/>
    <w:rsid w:val="00966B9F"/>
    <w:rsid w:val="00971FF6"/>
    <w:rsid w:val="00982C37"/>
    <w:rsid w:val="00984B3C"/>
    <w:rsid w:val="0099551D"/>
    <w:rsid w:val="0099631B"/>
    <w:rsid w:val="009A01CA"/>
    <w:rsid w:val="009A2DA7"/>
    <w:rsid w:val="009A3414"/>
    <w:rsid w:val="009A38B0"/>
    <w:rsid w:val="009A65FF"/>
    <w:rsid w:val="009B43F3"/>
    <w:rsid w:val="009B4D3B"/>
    <w:rsid w:val="009B7F8B"/>
    <w:rsid w:val="009C4265"/>
    <w:rsid w:val="009D2C1D"/>
    <w:rsid w:val="009D7369"/>
    <w:rsid w:val="009D7407"/>
    <w:rsid w:val="009E0866"/>
    <w:rsid w:val="009E25FC"/>
    <w:rsid w:val="009E7714"/>
    <w:rsid w:val="009F4FA7"/>
    <w:rsid w:val="00A06FB9"/>
    <w:rsid w:val="00A12E98"/>
    <w:rsid w:val="00A13629"/>
    <w:rsid w:val="00A14F57"/>
    <w:rsid w:val="00A17C1E"/>
    <w:rsid w:val="00A20E8E"/>
    <w:rsid w:val="00A22DDB"/>
    <w:rsid w:val="00A24A62"/>
    <w:rsid w:val="00A256BF"/>
    <w:rsid w:val="00A275FD"/>
    <w:rsid w:val="00A31C9F"/>
    <w:rsid w:val="00A32064"/>
    <w:rsid w:val="00A324AA"/>
    <w:rsid w:val="00A34676"/>
    <w:rsid w:val="00A364A7"/>
    <w:rsid w:val="00A36ADC"/>
    <w:rsid w:val="00A37868"/>
    <w:rsid w:val="00A37F77"/>
    <w:rsid w:val="00A44851"/>
    <w:rsid w:val="00A45944"/>
    <w:rsid w:val="00A62862"/>
    <w:rsid w:val="00A632E3"/>
    <w:rsid w:val="00A6587B"/>
    <w:rsid w:val="00A668C8"/>
    <w:rsid w:val="00A7390B"/>
    <w:rsid w:val="00A75BF8"/>
    <w:rsid w:val="00A779D6"/>
    <w:rsid w:val="00A8127A"/>
    <w:rsid w:val="00A90916"/>
    <w:rsid w:val="00A92A2E"/>
    <w:rsid w:val="00A9798A"/>
    <w:rsid w:val="00A97C0E"/>
    <w:rsid w:val="00A97C9C"/>
    <w:rsid w:val="00AA0A72"/>
    <w:rsid w:val="00AA0AB9"/>
    <w:rsid w:val="00AA4578"/>
    <w:rsid w:val="00AA7841"/>
    <w:rsid w:val="00AB0813"/>
    <w:rsid w:val="00AB19CF"/>
    <w:rsid w:val="00AB1A6B"/>
    <w:rsid w:val="00AB1BFC"/>
    <w:rsid w:val="00AB2F67"/>
    <w:rsid w:val="00AC08B0"/>
    <w:rsid w:val="00AC164A"/>
    <w:rsid w:val="00AC38CF"/>
    <w:rsid w:val="00AD11A3"/>
    <w:rsid w:val="00AD16EC"/>
    <w:rsid w:val="00AD1934"/>
    <w:rsid w:val="00AD4CCF"/>
    <w:rsid w:val="00AD6913"/>
    <w:rsid w:val="00AD703F"/>
    <w:rsid w:val="00AF0297"/>
    <w:rsid w:val="00AF2050"/>
    <w:rsid w:val="00AF23B9"/>
    <w:rsid w:val="00AF428F"/>
    <w:rsid w:val="00B01433"/>
    <w:rsid w:val="00B03BCC"/>
    <w:rsid w:val="00B05567"/>
    <w:rsid w:val="00B12241"/>
    <w:rsid w:val="00B13C41"/>
    <w:rsid w:val="00B2391C"/>
    <w:rsid w:val="00B23D7E"/>
    <w:rsid w:val="00B274D6"/>
    <w:rsid w:val="00B35533"/>
    <w:rsid w:val="00B3677B"/>
    <w:rsid w:val="00B4000E"/>
    <w:rsid w:val="00B5506C"/>
    <w:rsid w:val="00B60B4E"/>
    <w:rsid w:val="00B67590"/>
    <w:rsid w:val="00B67F61"/>
    <w:rsid w:val="00B70E23"/>
    <w:rsid w:val="00B72070"/>
    <w:rsid w:val="00B75082"/>
    <w:rsid w:val="00B75141"/>
    <w:rsid w:val="00B812D0"/>
    <w:rsid w:val="00B819B8"/>
    <w:rsid w:val="00B90A32"/>
    <w:rsid w:val="00B956DF"/>
    <w:rsid w:val="00B96622"/>
    <w:rsid w:val="00BA0DBE"/>
    <w:rsid w:val="00BA5F3E"/>
    <w:rsid w:val="00BB1F96"/>
    <w:rsid w:val="00BB26C5"/>
    <w:rsid w:val="00BB7BA0"/>
    <w:rsid w:val="00BC0C62"/>
    <w:rsid w:val="00BC2069"/>
    <w:rsid w:val="00BC67F7"/>
    <w:rsid w:val="00BD33A0"/>
    <w:rsid w:val="00BD4E94"/>
    <w:rsid w:val="00BE036F"/>
    <w:rsid w:val="00BE0F17"/>
    <w:rsid w:val="00BE2631"/>
    <w:rsid w:val="00BE3F7A"/>
    <w:rsid w:val="00BE732E"/>
    <w:rsid w:val="00BF0D3A"/>
    <w:rsid w:val="00BF14B9"/>
    <w:rsid w:val="00BF18F9"/>
    <w:rsid w:val="00BF250D"/>
    <w:rsid w:val="00BF3A9E"/>
    <w:rsid w:val="00BF44E7"/>
    <w:rsid w:val="00BF4DE6"/>
    <w:rsid w:val="00C04635"/>
    <w:rsid w:val="00C07F74"/>
    <w:rsid w:val="00C117A1"/>
    <w:rsid w:val="00C13514"/>
    <w:rsid w:val="00C14931"/>
    <w:rsid w:val="00C17666"/>
    <w:rsid w:val="00C25187"/>
    <w:rsid w:val="00C256E8"/>
    <w:rsid w:val="00C26150"/>
    <w:rsid w:val="00C305CE"/>
    <w:rsid w:val="00C30FF1"/>
    <w:rsid w:val="00C31353"/>
    <w:rsid w:val="00C32553"/>
    <w:rsid w:val="00C40A10"/>
    <w:rsid w:val="00C42CDE"/>
    <w:rsid w:val="00C54F47"/>
    <w:rsid w:val="00C71A93"/>
    <w:rsid w:val="00C73641"/>
    <w:rsid w:val="00C7543E"/>
    <w:rsid w:val="00C76E20"/>
    <w:rsid w:val="00C7737F"/>
    <w:rsid w:val="00C801F2"/>
    <w:rsid w:val="00C836BC"/>
    <w:rsid w:val="00C91B5F"/>
    <w:rsid w:val="00C9297F"/>
    <w:rsid w:val="00C93340"/>
    <w:rsid w:val="00C966CD"/>
    <w:rsid w:val="00CA37B1"/>
    <w:rsid w:val="00CA3826"/>
    <w:rsid w:val="00CB1959"/>
    <w:rsid w:val="00CB330D"/>
    <w:rsid w:val="00CB7429"/>
    <w:rsid w:val="00CB75E2"/>
    <w:rsid w:val="00CC2AA4"/>
    <w:rsid w:val="00CC3A03"/>
    <w:rsid w:val="00CC6861"/>
    <w:rsid w:val="00CD0B4D"/>
    <w:rsid w:val="00CD24A7"/>
    <w:rsid w:val="00CE251D"/>
    <w:rsid w:val="00CE26F1"/>
    <w:rsid w:val="00CF0CF0"/>
    <w:rsid w:val="00CF0EA7"/>
    <w:rsid w:val="00D016BE"/>
    <w:rsid w:val="00D0296C"/>
    <w:rsid w:val="00D03409"/>
    <w:rsid w:val="00D04935"/>
    <w:rsid w:val="00D059BC"/>
    <w:rsid w:val="00D07F0D"/>
    <w:rsid w:val="00D11110"/>
    <w:rsid w:val="00D14978"/>
    <w:rsid w:val="00D16050"/>
    <w:rsid w:val="00D2010C"/>
    <w:rsid w:val="00D22869"/>
    <w:rsid w:val="00D268E6"/>
    <w:rsid w:val="00D3569B"/>
    <w:rsid w:val="00D363F8"/>
    <w:rsid w:val="00D41970"/>
    <w:rsid w:val="00D422A5"/>
    <w:rsid w:val="00D46D82"/>
    <w:rsid w:val="00D51DE0"/>
    <w:rsid w:val="00D74885"/>
    <w:rsid w:val="00D935FF"/>
    <w:rsid w:val="00D9517F"/>
    <w:rsid w:val="00D96C7A"/>
    <w:rsid w:val="00D96EBD"/>
    <w:rsid w:val="00DA31F8"/>
    <w:rsid w:val="00DA62CA"/>
    <w:rsid w:val="00DB0937"/>
    <w:rsid w:val="00DB6D69"/>
    <w:rsid w:val="00DB7388"/>
    <w:rsid w:val="00DC1682"/>
    <w:rsid w:val="00DC26ED"/>
    <w:rsid w:val="00DC322C"/>
    <w:rsid w:val="00DC430B"/>
    <w:rsid w:val="00DC7780"/>
    <w:rsid w:val="00DD4063"/>
    <w:rsid w:val="00DD52C8"/>
    <w:rsid w:val="00DE3434"/>
    <w:rsid w:val="00DE3E90"/>
    <w:rsid w:val="00DE63F8"/>
    <w:rsid w:val="00DF03BB"/>
    <w:rsid w:val="00DF074D"/>
    <w:rsid w:val="00DF25F7"/>
    <w:rsid w:val="00E12E3D"/>
    <w:rsid w:val="00E13459"/>
    <w:rsid w:val="00E16C18"/>
    <w:rsid w:val="00E17504"/>
    <w:rsid w:val="00E21401"/>
    <w:rsid w:val="00E21A77"/>
    <w:rsid w:val="00E255D2"/>
    <w:rsid w:val="00E30277"/>
    <w:rsid w:val="00E357B7"/>
    <w:rsid w:val="00E44E21"/>
    <w:rsid w:val="00E472B4"/>
    <w:rsid w:val="00E53800"/>
    <w:rsid w:val="00E606E7"/>
    <w:rsid w:val="00E6081F"/>
    <w:rsid w:val="00E65C6B"/>
    <w:rsid w:val="00E6715D"/>
    <w:rsid w:val="00E71B07"/>
    <w:rsid w:val="00E75A5C"/>
    <w:rsid w:val="00E77A78"/>
    <w:rsid w:val="00E82340"/>
    <w:rsid w:val="00E93F01"/>
    <w:rsid w:val="00E96706"/>
    <w:rsid w:val="00E97832"/>
    <w:rsid w:val="00EA04B2"/>
    <w:rsid w:val="00EA0DA0"/>
    <w:rsid w:val="00EA20F3"/>
    <w:rsid w:val="00EA37B2"/>
    <w:rsid w:val="00EA3B0E"/>
    <w:rsid w:val="00EA4635"/>
    <w:rsid w:val="00EA75C1"/>
    <w:rsid w:val="00EB61A3"/>
    <w:rsid w:val="00EB7DCD"/>
    <w:rsid w:val="00EC2F21"/>
    <w:rsid w:val="00EC3389"/>
    <w:rsid w:val="00EC4835"/>
    <w:rsid w:val="00EC4D3A"/>
    <w:rsid w:val="00ED312A"/>
    <w:rsid w:val="00ED4071"/>
    <w:rsid w:val="00ED43D1"/>
    <w:rsid w:val="00ED6118"/>
    <w:rsid w:val="00ED7B6E"/>
    <w:rsid w:val="00EE2B1C"/>
    <w:rsid w:val="00EE3E2F"/>
    <w:rsid w:val="00EE4EE1"/>
    <w:rsid w:val="00EE5E50"/>
    <w:rsid w:val="00EF4574"/>
    <w:rsid w:val="00EF5737"/>
    <w:rsid w:val="00EF7B34"/>
    <w:rsid w:val="00F07425"/>
    <w:rsid w:val="00F2331B"/>
    <w:rsid w:val="00F2500F"/>
    <w:rsid w:val="00F2684E"/>
    <w:rsid w:val="00F3692A"/>
    <w:rsid w:val="00F4395A"/>
    <w:rsid w:val="00F43EFC"/>
    <w:rsid w:val="00F45EBD"/>
    <w:rsid w:val="00F475D7"/>
    <w:rsid w:val="00F51401"/>
    <w:rsid w:val="00F61440"/>
    <w:rsid w:val="00F61589"/>
    <w:rsid w:val="00F721CC"/>
    <w:rsid w:val="00F729EF"/>
    <w:rsid w:val="00F74A28"/>
    <w:rsid w:val="00F760BA"/>
    <w:rsid w:val="00F77CAE"/>
    <w:rsid w:val="00F8125B"/>
    <w:rsid w:val="00F823F9"/>
    <w:rsid w:val="00F96916"/>
    <w:rsid w:val="00F96BB9"/>
    <w:rsid w:val="00FA0A60"/>
    <w:rsid w:val="00FA2993"/>
    <w:rsid w:val="00FB44AA"/>
    <w:rsid w:val="00FC7AF8"/>
    <w:rsid w:val="00FE267E"/>
    <w:rsid w:val="00FE6D51"/>
    <w:rsid w:val="00FF507B"/>
    <w:rsid w:val="00FF5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ind w:left="567"/>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List Paragraph111,F5 List Paragraph,Dot pt,CV text,Table text,Medium Grid 1 - Accent 21,Numbered Paragraph,List Paragraph2,Bulit List -  Paragraph,FooterTex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 Char,List Paragraph111 Char,F5 List Paragraph Char,Dot pt Char,CV text Char,Table text Char,Medium Grid 1 - Accent 2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paragraph" w:customStyle="1" w:styleId="BodyIndent0">
    <w:name w:val="Body Indent 0"/>
    <w:link w:val="BodyIndent0Char"/>
    <w:rsid w:val="00E82340"/>
    <w:pPr>
      <w:suppressAutoHyphens/>
      <w:spacing w:after="160" w:line="264" w:lineRule="auto"/>
    </w:pPr>
    <w:rPr>
      <w:rFonts w:ascii="Calibri" w:eastAsia="Times New Roman" w:hAnsi="Calibri" w:cs="Times New Roman"/>
      <w:sz w:val="20"/>
      <w:szCs w:val="24"/>
      <w:lang w:eastAsia="en-AU"/>
    </w:rPr>
  </w:style>
  <w:style w:type="character" w:customStyle="1" w:styleId="BodyIndent0Char">
    <w:name w:val="Body Indent 0 Char"/>
    <w:link w:val="BodyIndent0"/>
    <w:rsid w:val="00E82340"/>
    <w:rPr>
      <w:rFonts w:ascii="Calibri" w:eastAsia="Times New Roman" w:hAnsi="Calibri" w:cs="Times New Roman"/>
      <w:sz w:val="20"/>
      <w:szCs w:val="24"/>
      <w:lang w:eastAsia="en-AU"/>
    </w:rPr>
  </w:style>
  <w:style w:type="character" w:styleId="BookTitle">
    <w:name w:val="Book Title"/>
    <w:uiPriority w:val="33"/>
    <w:qFormat/>
    <w:rsid w:val="00525701"/>
    <w:rPr>
      <w:i/>
      <w:iCs/>
      <w:smallCaps/>
      <w:spacing w:val="5"/>
    </w:rPr>
  </w:style>
  <w:style w:type="character" w:customStyle="1" w:styleId="CharacterItalic">
    <w:name w:val="Character + Italic"/>
    <w:rsid w:val="00525701"/>
    <w:rPr>
      <w:i/>
      <w:lang w:val="en-AU" w:eastAsia="en-AU"/>
    </w:rPr>
  </w:style>
  <w:style w:type="table" w:styleId="MediumShading1-Accent6">
    <w:name w:val="Medium Shading 1 Accent 6"/>
    <w:basedOn w:val="TableNormal"/>
    <w:uiPriority w:val="63"/>
    <w:rsid w:val="001A4E10"/>
    <w:pPr>
      <w:spacing w:after="0" w:line="240" w:lineRule="auto"/>
    </w:pPr>
    <w:tblPr>
      <w:tblStyleRowBandSize w:val="1"/>
      <w:tblStyleColBandSize w:val="1"/>
      <w:tblBorders>
        <w:top w:val="single" w:sz="8" w:space="0" w:color="887AB3" w:themeColor="accent6" w:themeTint="BF"/>
        <w:left w:val="single" w:sz="8" w:space="0" w:color="887AB3" w:themeColor="accent6" w:themeTint="BF"/>
        <w:bottom w:val="single" w:sz="8" w:space="0" w:color="887AB3" w:themeColor="accent6" w:themeTint="BF"/>
        <w:right w:val="single" w:sz="8" w:space="0" w:color="887AB3" w:themeColor="accent6" w:themeTint="BF"/>
        <w:insideH w:val="single" w:sz="8" w:space="0" w:color="887AB3" w:themeColor="accent6" w:themeTint="BF"/>
      </w:tblBorders>
    </w:tblPr>
    <w:tblStylePr w:type="firstRow">
      <w:pPr>
        <w:spacing w:before="0" w:after="0" w:line="240" w:lineRule="auto"/>
      </w:pPr>
      <w:rPr>
        <w:b/>
        <w:bCs/>
        <w:color w:val="FFFFFF" w:themeColor="background1"/>
      </w:rPr>
      <w:tblPr/>
      <w:tcPr>
        <w:tcBorders>
          <w:top w:val="single" w:sz="8" w:space="0" w:color="887AB3" w:themeColor="accent6" w:themeTint="BF"/>
          <w:left w:val="single" w:sz="8" w:space="0" w:color="887AB3" w:themeColor="accent6" w:themeTint="BF"/>
          <w:bottom w:val="single" w:sz="8" w:space="0" w:color="887AB3" w:themeColor="accent6" w:themeTint="BF"/>
          <w:right w:val="single" w:sz="8" w:space="0" w:color="887AB3" w:themeColor="accent6" w:themeTint="BF"/>
          <w:insideH w:val="nil"/>
          <w:insideV w:val="nil"/>
        </w:tcBorders>
        <w:shd w:val="clear" w:color="auto" w:fill="645493" w:themeFill="accent6"/>
      </w:tcPr>
    </w:tblStylePr>
    <w:tblStylePr w:type="lastRow">
      <w:pPr>
        <w:spacing w:before="0" w:after="0" w:line="240" w:lineRule="auto"/>
      </w:pPr>
      <w:rPr>
        <w:b/>
        <w:bCs/>
      </w:rPr>
      <w:tblPr/>
      <w:tcPr>
        <w:tcBorders>
          <w:top w:val="double" w:sz="6" w:space="0" w:color="887AB3" w:themeColor="accent6" w:themeTint="BF"/>
          <w:left w:val="single" w:sz="8" w:space="0" w:color="887AB3" w:themeColor="accent6" w:themeTint="BF"/>
          <w:bottom w:val="single" w:sz="8" w:space="0" w:color="887AB3" w:themeColor="accent6" w:themeTint="BF"/>
          <w:right w:val="single" w:sz="8" w:space="0" w:color="887A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D7D3E6" w:themeFill="accent6" w:themeFillTint="3F"/>
      </w:tcPr>
    </w:tblStylePr>
    <w:tblStylePr w:type="band1Horz">
      <w:tblPr/>
      <w:tcPr>
        <w:tcBorders>
          <w:insideH w:val="nil"/>
          <w:insideV w:val="nil"/>
        </w:tcBorders>
        <w:shd w:val="clear" w:color="auto" w:fill="D7D3E6"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A4E10"/>
    <w:pPr>
      <w:spacing w:after="0" w:line="240" w:lineRule="auto"/>
    </w:pPr>
    <w:tblPr>
      <w:tblStyleRowBandSize w:val="1"/>
      <w:tblStyleColBandSize w:val="1"/>
      <w:tblBorders>
        <w:top w:val="single" w:sz="8" w:space="0" w:color="FFD22E" w:themeColor="accent3" w:themeTint="BF"/>
        <w:left w:val="single" w:sz="8" w:space="0" w:color="FFD22E" w:themeColor="accent3" w:themeTint="BF"/>
        <w:bottom w:val="single" w:sz="8" w:space="0" w:color="FFD22E" w:themeColor="accent3" w:themeTint="BF"/>
        <w:right w:val="single" w:sz="8" w:space="0" w:color="FFD22E" w:themeColor="accent3" w:themeTint="BF"/>
        <w:insideH w:val="single" w:sz="8" w:space="0" w:color="FFD22E" w:themeColor="accent3" w:themeTint="BF"/>
      </w:tblBorders>
    </w:tblPr>
    <w:tblStylePr w:type="firstRow">
      <w:pPr>
        <w:spacing w:before="0" w:after="0" w:line="240" w:lineRule="auto"/>
      </w:pPr>
      <w:rPr>
        <w:b/>
        <w:bCs/>
        <w:color w:val="FFFFFF" w:themeColor="background1"/>
      </w:rPr>
      <w:tblPr/>
      <w:tcPr>
        <w:tcBorders>
          <w:top w:val="single" w:sz="8" w:space="0" w:color="FFD22E" w:themeColor="accent3" w:themeTint="BF"/>
          <w:left w:val="single" w:sz="8" w:space="0" w:color="FFD22E" w:themeColor="accent3" w:themeTint="BF"/>
          <w:bottom w:val="single" w:sz="8" w:space="0" w:color="FFD22E" w:themeColor="accent3" w:themeTint="BF"/>
          <w:right w:val="single" w:sz="8" w:space="0" w:color="FFD22E" w:themeColor="accent3" w:themeTint="BF"/>
          <w:insideH w:val="nil"/>
          <w:insideV w:val="nil"/>
        </w:tcBorders>
        <w:shd w:val="clear" w:color="auto" w:fill="E8B600" w:themeFill="accent3"/>
      </w:tcPr>
    </w:tblStylePr>
    <w:tblStylePr w:type="lastRow">
      <w:pPr>
        <w:spacing w:before="0" w:after="0" w:line="240" w:lineRule="auto"/>
      </w:pPr>
      <w:rPr>
        <w:b/>
        <w:bCs/>
      </w:rPr>
      <w:tblPr/>
      <w:tcPr>
        <w:tcBorders>
          <w:top w:val="double" w:sz="6" w:space="0" w:color="FFD22E" w:themeColor="accent3" w:themeTint="BF"/>
          <w:left w:val="single" w:sz="8" w:space="0" w:color="FFD22E" w:themeColor="accent3" w:themeTint="BF"/>
          <w:bottom w:val="single" w:sz="8" w:space="0" w:color="FFD22E" w:themeColor="accent3" w:themeTint="BF"/>
          <w:right w:val="single" w:sz="8" w:space="0" w:color="FFD22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0BA" w:themeFill="accent3" w:themeFillTint="3F"/>
      </w:tcPr>
    </w:tblStylePr>
    <w:tblStylePr w:type="band1Horz">
      <w:tblPr/>
      <w:tcPr>
        <w:tcBorders>
          <w:insideH w:val="nil"/>
          <w:insideV w:val="nil"/>
        </w:tcBorders>
        <w:shd w:val="clear" w:color="auto" w:fill="FFF0BA" w:themeFill="accent3" w:themeFillTint="3F"/>
      </w:tcPr>
    </w:tblStylePr>
    <w:tblStylePr w:type="band2Horz">
      <w:tblPr/>
      <w:tcPr>
        <w:tcBorders>
          <w:insideH w:val="nil"/>
          <w:insideV w:val="nil"/>
        </w:tcBorders>
      </w:tcPr>
    </w:tblStylePr>
  </w:style>
  <w:style w:type="paragraph" w:customStyle="1" w:styleId="TableBody">
    <w:name w:val="Table Body"/>
    <w:basedOn w:val="BodyIndent0"/>
    <w:rsid w:val="000E23CE"/>
    <w:pPr>
      <w:spacing w:after="60" w:line="240" w:lineRule="auto"/>
    </w:pPr>
    <w:rPr>
      <w:lang w:eastAsia="en-US"/>
    </w:rPr>
  </w:style>
  <w:style w:type="paragraph" w:customStyle="1" w:styleId="TableHeading">
    <w:name w:val="Table Heading"/>
    <w:basedOn w:val="TableBody"/>
    <w:rsid w:val="000E23CE"/>
    <w:pPr>
      <w:keepLines/>
    </w:pPr>
    <w:rPr>
      <w:b/>
      <w:color w:val="FFFFFF"/>
    </w:rPr>
  </w:style>
  <w:style w:type="table" w:styleId="LightList-Accent6">
    <w:name w:val="Light List Accent 6"/>
    <w:basedOn w:val="TableNormal"/>
    <w:uiPriority w:val="61"/>
    <w:rsid w:val="000E23CE"/>
    <w:pPr>
      <w:spacing w:after="0" w:line="240" w:lineRule="auto"/>
    </w:pPr>
    <w:tblPr>
      <w:tblStyleRowBandSize w:val="1"/>
      <w:tblStyleColBandSize w:val="1"/>
      <w:tblBorders>
        <w:top w:val="single" w:sz="8" w:space="0" w:color="645493" w:themeColor="accent6"/>
        <w:left w:val="single" w:sz="8" w:space="0" w:color="645493" w:themeColor="accent6"/>
        <w:bottom w:val="single" w:sz="8" w:space="0" w:color="645493" w:themeColor="accent6"/>
        <w:right w:val="single" w:sz="8" w:space="0" w:color="645493" w:themeColor="accent6"/>
      </w:tblBorders>
    </w:tblPr>
    <w:tblStylePr w:type="firstRow">
      <w:pPr>
        <w:spacing w:before="0" w:after="0" w:line="240" w:lineRule="auto"/>
      </w:pPr>
      <w:rPr>
        <w:b/>
        <w:bCs/>
        <w:color w:val="FFFFFF" w:themeColor="background1"/>
      </w:rPr>
      <w:tblPr/>
      <w:tcPr>
        <w:shd w:val="clear" w:color="auto" w:fill="645493" w:themeFill="accent6"/>
      </w:tcPr>
    </w:tblStylePr>
    <w:tblStylePr w:type="lastRow">
      <w:pPr>
        <w:spacing w:before="0" w:after="0" w:line="240" w:lineRule="auto"/>
      </w:pPr>
      <w:rPr>
        <w:b/>
        <w:bCs/>
      </w:rPr>
      <w:tblPr/>
      <w:tcPr>
        <w:tcBorders>
          <w:top w:val="double" w:sz="6" w:space="0" w:color="645493" w:themeColor="accent6"/>
          <w:left w:val="single" w:sz="8" w:space="0" w:color="645493" w:themeColor="accent6"/>
          <w:bottom w:val="single" w:sz="8" w:space="0" w:color="645493" w:themeColor="accent6"/>
          <w:right w:val="single" w:sz="8" w:space="0" w:color="645493" w:themeColor="accent6"/>
        </w:tcBorders>
      </w:tcPr>
    </w:tblStylePr>
    <w:tblStylePr w:type="firstCol">
      <w:rPr>
        <w:b/>
        <w:bCs/>
      </w:rPr>
    </w:tblStylePr>
    <w:tblStylePr w:type="lastCol">
      <w:rPr>
        <w:b/>
        <w:bCs/>
      </w:rPr>
    </w:tblStylePr>
    <w:tblStylePr w:type="band1Vert">
      <w:tblPr/>
      <w:tcPr>
        <w:tcBorders>
          <w:top w:val="single" w:sz="8" w:space="0" w:color="645493" w:themeColor="accent6"/>
          <w:left w:val="single" w:sz="8" w:space="0" w:color="645493" w:themeColor="accent6"/>
          <w:bottom w:val="single" w:sz="8" w:space="0" w:color="645493" w:themeColor="accent6"/>
          <w:right w:val="single" w:sz="8" w:space="0" w:color="645493" w:themeColor="accent6"/>
        </w:tcBorders>
      </w:tcPr>
    </w:tblStylePr>
    <w:tblStylePr w:type="band1Horz">
      <w:tblPr/>
      <w:tcPr>
        <w:tcBorders>
          <w:top w:val="single" w:sz="8" w:space="0" w:color="645493" w:themeColor="accent6"/>
          <w:left w:val="single" w:sz="8" w:space="0" w:color="645493" w:themeColor="accent6"/>
          <w:bottom w:val="single" w:sz="8" w:space="0" w:color="645493" w:themeColor="accent6"/>
          <w:right w:val="single" w:sz="8" w:space="0" w:color="645493" w:themeColor="accent6"/>
        </w:tcBorders>
      </w:tcPr>
    </w:tblStylePr>
  </w:style>
  <w:style w:type="table" w:styleId="LightList-Accent3">
    <w:name w:val="Light List Accent 3"/>
    <w:basedOn w:val="TableNormal"/>
    <w:uiPriority w:val="61"/>
    <w:rsid w:val="000E23CE"/>
    <w:pPr>
      <w:spacing w:after="0" w:line="240" w:lineRule="auto"/>
    </w:pPr>
    <w:tblPr>
      <w:tblStyleRowBandSize w:val="1"/>
      <w:tblStyleColBandSize w:val="1"/>
      <w:tblBorders>
        <w:top w:val="single" w:sz="8" w:space="0" w:color="E8B600" w:themeColor="accent3"/>
        <w:left w:val="single" w:sz="8" w:space="0" w:color="E8B600" w:themeColor="accent3"/>
        <w:bottom w:val="single" w:sz="8" w:space="0" w:color="E8B600" w:themeColor="accent3"/>
        <w:right w:val="single" w:sz="8" w:space="0" w:color="E8B600" w:themeColor="accent3"/>
      </w:tblBorders>
    </w:tblPr>
    <w:tblStylePr w:type="firstRow">
      <w:pPr>
        <w:spacing w:before="0" w:after="0" w:line="240" w:lineRule="auto"/>
      </w:pPr>
      <w:rPr>
        <w:b/>
        <w:bCs/>
        <w:color w:val="FFFFFF" w:themeColor="background1"/>
      </w:rPr>
      <w:tblPr/>
      <w:tcPr>
        <w:shd w:val="clear" w:color="auto" w:fill="E8B600" w:themeFill="accent3"/>
      </w:tcPr>
    </w:tblStylePr>
    <w:tblStylePr w:type="lastRow">
      <w:pPr>
        <w:spacing w:before="0" w:after="0" w:line="240" w:lineRule="auto"/>
      </w:pPr>
      <w:rPr>
        <w:b/>
        <w:bCs/>
      </w:rPr>
      <w:tblPr/>
      <w:tcPr>
        <w:tcBorders>
          <w:top w:val="double" w:sz="6" w:space="0" w:color="E8B600" w:themeColor="accent3"/>
          <w:left w:val="single" w:sz="8" w:space="0" w:color="E8B600" w:themeColor="accent3"/>
          <w:bottom w:val="single" w:sz="8" w:space="0" w:color="E8B600" w:themeColor="accent3"/>
          <w:right w:val="single" w:sz="8" w:space="0" w:color="E8B600" w:themeColor="accent3"/>
        </w:tcBorders>
      </w:tcPr>
    </w:tblStylePr>
    <w:tblStylePr w:type="firstCol">
      <w:rPr>
        <w:b/>
        <w:bCs/>
      </w:rPr>
    </w:tblStylePr>
    <w:tblStylePr w:type="lastCol">
      <w:rPr>
        <w:b/>
        <w:bCs/>
      </w:rPr>
    </w:tblStylePr>
    <w:tblStylePr w:type="band1Vert">
      <w:tblPr/>
      <w:tcPr>
        <w:tcBorders>
          <w:top w:val="single" w:sz="8" w:space="0" w:color="E8B600" w:themeColor="accent3"/>
          <w:left w:val="single" w:sz="8" w:space="0" w:color="E8B600" w:themeColor="accent3"/>
          <w:bottom w:val="single" w:sz="8" w:space="0" w:color="E8B600" w:themeColor="accent3"/>
          <w:right w:val="single" w:sz="8" w:space="0" w:color="E8B600" w:themeColor="accent3"/>
        </w:tcBorders>
      </w:tcPr>
    </w:tblStylePr>
    <w:tblStylePr w:type="band1Horz">
      <w:tblPr/>
      <w:tcPr>
        <w:tcBorders>
          <w:top w:val="single" w:sz="8" w:space="0" w:color="E8B600" w:themeColor="accent3"/>
          <w:left w:val="single" w:sz="8" w:space="0" w:color="E8B600" w:themeColor="accent3"/>
          <w:bottom w:val="single" w:sz="8" w:space="0" w:color="E8B600" w:themeColor="accent3"/>
          <w:right w:val="single" w:sz="8" w:space="0" w:color="E8B600" w:themeColor="accent3"/>
        </w:tcBorders>
      </w:tcPr>
    </w:tblStylePr>
  </w:style>
  <w:style w:type="paragraph" w:customStyle="1" w:styleId="ListBullet1Indent0">
    <w:name w:val="List Bullet 1 Indent 0"/>
    <w:basedOn w:val="BodyIndent0"/>
    <w:rsid w:val="000827A2"/>
    <w:pPr>
      <w:numPr>
        <w:numId w:val="27"/>
      </w:numPr>
      <w:tabs>
        <w:tab w:val="clear" w:pos="397"/>
        <w:tab w:val="num" w:pos="360"/>
      </w:tabs>
      <w:adjustRightInd w:val="0"/>
      <w:ind w:left="0" w:firstLine="0"/>
    </w:pPr>
    <w:rPr>
      <w:rFonts w:cs="Myriad Pro Light"/>
      <w:color w:val="000000"/>
    </w:rPr>
  </w:style>
  <w:style w:type="character" w:customStyle="1" w:styleId="CharacterBold">
    <w:name w:val="Character + Bold"/>
    <w:rsid w:val="00596B2B"/>
    <w:rPr>
      <w:b/>
      <w:bCs w:val="0"/>
      <w:lang w:val="en-AU" w:eastAsia="en-AU"/>
    </w:rPr>
  </w:style>
  <w:style w:type="paragraph" w:customStyle="1" w:styleId="H4notTOC">
    <w:name w:val="H4 (not TOC)"/>
    <w:basedOn w:val="Normal"/>
    <w:next w:val="BodyIndent0"/>
    <w:link w:val="H4notTOCChar"/>
    <w:rsid w:val="00C7543E"/>
    <w:pPr>
      <w:keepNext/>
      <w:keepLines/>
      <w:tabs>
        <w:tab w:val="left" w:pos="567"/>
      </w:tabs>
      <w:adjustRightInd w:val="0"/>
      <w:spacing w:before="240" w:after="160" w:line="320" w:lineRule="atLeast"/>
      <w:outlineLvl w:val="3"/>
    </w:pPr>
    <w:rPr>
      <w:rFonts w:ascii="Calibri" w:eastAsia="Times New Roman" w:hAnsi="Calibri" w:cs="Times New Roman"/>
      <w:b/>
      <w:color w:val="800000"/>
      <w:sz w:val="26"/>
      <w:szCs w:val="32"/>
      <w:lang w:eastAsia="en-AU"/>
    </w:rPr>
  </w:style>
  <w:style w:type="character" w:customStyle="1" w:styleId="H4notTOCChar">
    <w:name w:val="H4 (not TOC) Char"/>
    <w:link w:val="H4notTOC"/>
    <w:rsid w:val="00C7543E"/>
    <w:rPr>
      <w:rFonts w:ascii="Calibri" w:eastAsia="Times New Roman" w:hAnsi="Calibri" w:cs="Times New Roman"/>
      <w:b/>
      <w:color w:val="800000"/>
      <w:sz w:val="26"/>
      <w:szCs w:val="32"/>
      <w:lang w:eastAsia="en-AU"/>
    </w:rPr>
  </w:style>
  <w:style w:type="paragraph" w:customStyle="1" w:styleId="TableText1">
    <w:name w:val="TableText"/>
    <w:basedOn w:val="Normal"/>
    <w:qFormat/>
    <w:rsid w:val="00EA37B2"/>
    <w:pPr>
      <w:suppressAutoHyphens w:val="0"/>
      <w:spacing w:before="120" w:after="120" w:line="240" w:lineRule="auto"/>
    </w:pPr>
    <w:rPr>
      <w:rFonts w:ascii="Arial" w:eastAsiaTheme="majorEastAsia" w:hAnsi="Arial" w:cs="Arial"/>
      <w:bCs/>
      <w:sz w:val="20"/>
      <w:szCs w:val="20"/>
    </w:rPr>
  </w:style>
  <w:style w:type="paragraph" w:customStyle="1" w:styleId="No1">
    <w:name w:val="No 1"/>
    <w:basedOn w:val="ListParagraph"/>
    <w:link w:val="No1Char"/>
    <w:qFormat/>
    <w:rsid w:val="00D07F0D"/>
    <w:pPr>
      <w:numPr>
        <w:numId w:val="61"/>
      </w:numPr>
    </w:pPr>
    <w:rPr>
      <w:rFonts w:asciiTheme="majorHAnsi" w:hAnsiTheme="majorHAnsi" w:cstheme="majorHAnsi"/>
    </w:rPr>
  </w:style>
  <w:style w:type="character" w:customStyle="1" w:styleId="No1Char">
    <w:name w:val="No 1 Char"/>
    <w:basedOn w:val="ListParagraphChar"/>
    <w:link w:val="No1"/>
    <w:rsid w:val="00D07F0D"/>
    <w:rPr>
      <w:rFonts w:asciiTheme="majorHAnsi" w:eastAsia="Times New Roman" w:hAnsiTheme="majorHAnsi" w:cstheme="majorHAnsi"/>
    </w:rPr>
  </w:style>
  <w:style w:type="paragraph" w:customStyle="1" w:styleId="Covertable">
    <w:name w:val="Cover table"/>
    <w:rsid w:val="00A44851"/>
    <w:pPr>
      <w:spacing w:before="40" w:after="40" w:line="240" w:lineRule="auto"/>
    </w:pPr>
    <w:rPr>
      <w:rFonts w:ascii="Times New Roman" w:eastAsia="Times New Roman" w:hAnsi="Times New Roman" w:cs="Times New Roman"/>
      <w:bCs/>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ind w:left="567"/>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List Paragraph111,F5 List Paragraph,Dot pt,CV text,Table text,Medium Grid 1 - Accent 21,Numbered Paragraph,List Paragraph2,Bulit List -  Paragraph,FooterTex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 Char,List Paragraph111 Char,F5 List Paragraph Char,Dot pt Char,CV text Char,Table text Char,Medium Grid 1 - Accent 2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paragraph" w:customStyle="1" w:styleId="BodyIndent0">
    <w:name w:val="Body Indent 0"/>
    <w:link w:val="BodyIndent0Char"/>
    <w:rsid w:val="00E82340"/>
    <w:pPr>
      <w:suppressAutoHyphens/>
      <w:spacing w:after="160" w:line="264" w:lineRule="auto"/>
    </w:pPr>
    <w:rPr>
      <w:rFonts w:ascii="Calibri" w:eastAsia="Times New Roman" w:hAnsi="Calibri" w:cs="Times New Roman"/>
      <w:sz w:val="20"/>
      <w:szCs w:val="24"/>
      <w:lang w:eastAsia="en-AU"/>
    </w:rPr>
  </w:style>
  <w:style w:type="character" w:customStyle="1" w:styleId="BodyIndent0Char">
    <w:name w:val="Body Indent 0 Char"/>
    <w:link w:val="BodyIndent0"/>
    <w:rsid w:val="00E82340"/>
    <w:rPr>
      <w:rFonts w:ascii="Calibri" w:eastAsia="Times New Roman" w:hAnsi="Calibri" w:cs="Times New Roman"/>
      <w:sz w:val="20"/>
      <w:szCs w:val="24"/>
      <w:lang w:eastAsia="en-AU"/>
    </w:rPr>
  </w:style>
  <w:style w:type="character" w:styleId="BookTitle">
    <w:name w:val="Book Title"/>
    <w:uiPriority w:val="33"/>
    <w:qFormat/>
    <w:rsid w:val="00525701"/>
    <w:rPr>
      <w:i/>
      <w:iCs/>
      <w:smallCaps/>
      <w:spacing w:val="5"/>
    </w:rPr>
  </w:style>
  <w:style w:type="character" w:customStyle="1" w:styleId="CharacterItalic">
    <w:name w:val="Character + Italic"/>
    <w:rsid w:val="00525701"/>
    <w:rPr>
      <w:i/>
      <w:lang w:val="en-AU" w:eastAsia="en-AU"/>
    </w:rPr>
  </w:style>
  <w:style w:type="table" w:styleId="MediumShading1-Accent6">
    <w:name w:val="Medium Shading 1 Accent 6"/>
    <w:basedOn w:val="TableNormal"/>
    <w:uiPriority w:val="63"/>
    <w:rsid w:val="001A4E10"/>
    <w:pPr>
      <w:spacing w:after="0" w:line="240" w:lineRule="auto"/>
    </w:pPr>
    <w:tblPr>
      <w:tblStyleRowBandSize w:val="1"/>
      <w:tblStyleColBandSize w:val="1"/>
      <w:tblBorders>
        <w:top w:val="single" w:sz="8" w:space="0" w:color="887AB3" w:themeColor="accent6" w:themeTint="BF"/>
        <w:left w:val="single" w:sz="8" w:space="0" w:color="887AB3" w:themeColor="accent6" w:themeTint="BF"/>
        <w:bottom w:val="single" w:sz="8" w:space="0" w:color="887AB3" w:themeColor="accent6" w:themeTint="BF"/>
        <w:right w:val="single" w:sz="8" w:space="0" w:color="887AB3" w:themeColor="accent6" w:themeTint="BF"/>
        <w:insideH w:val="single" w:sz="8" w:space="0" w:color="887AB3" w:themeColor="accent6" w:themeTint="BF"/>
      </w:tblBorders>
    </w:tblPr>
    <w:tblStylePr w:type="firstRow">
      <w:pPr>
        <w:spacing w:before="0" w:after="0" w:line="240" w:lineRule="auto"/>
      </w:pPr>
      <w:rPr>
        <w:b/>
        <w:bCs/>
        <w:color w:val="FFFFFF" w:themeColor="background1"/>
      </w:rPr>
      <w:tblPr/>
      <w:tcPr>
        <w:tcBorders>
          <w:top w:val="single" w:sz="8" w:space="0" w:color="887AB3" w:themeColor="accent6" w:themeTint="BF"/>
          <w:left w:val="single" w:sz="8" w:space="0" w:color="887AB3" w:themeColor="accent6" w:themeTint="BF"/>
          <w:bottom w:val="single" w:sz="8" w:space="0" w:color="887AB3" w:themeColor="accent6" w:themeTint="BF"/>
          <w:right w:val="single" w:sz="8" w:space="0" w:color="887AB3" w:themeColor="accent6" w:themeTint="BF"/>
          <w:insideH w:val="nil"/>
          <w:insideV w:val="nil"/>
        </w:tcBorders>
        <w:shd w:val="clear" w:color="auto" w:fill="645493" w:themeFill="accent6"/>
      </w:tcPr>
    </w:tblStylePr>
    <w:tblStylePr w:type="lastRow">
      <w:pPr>
        <w:spacing w:before="0" w:after="0" w:line="240" w:lineRule="auto"/>
      </w:pPr>
      <w:rPr>
        <w:b/>
        <w:bCs/>
      </w:rPr>
      <w:tblPr/>
      <w:tcPr>
        <w:tcBorders>
          <w:top w:val="double" w:sz="6" w:space="0" w:color="887AB3" w:themeColor="accent6" w:themeTint="BF"/>
          <w:left w:val="single" w:sz="8" w:space="0" w:color="887AB3" w:themeColor="accent6" w:themeTint="BF"/>
          <w:bottom w:val="single" w:sz="8" w:space="0" w:color="887AB3" w:themeColor="accent6" w:themeTint="BF"/>
          <w:right w:val="single" w:sz="8" w:space="0" w:color="887A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D7D3E6" w:themeFill="accent6" w:themeFillTint="3F"/>
      </w:tcPr>
    </w:tblStylePr>
    <w:tblStylePr w:type="band1Horz">
      <w:tblPr/>
      <w:tcPr>
        <w:tcBorders>
          <w:insideH w:val="nil"/>
          <w:insideV w:val="nil"/>
        </w:tcBorders>
        <w:shd w:val="clear" w:color="auto" w:fill="D7D3E6"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A4E10"/>
    <w:pPr>
      <w:spacing w:after="0" w:line="240" w:lineRule="auto"/>
    </w:pPr>
    <w:tblPr>
      <w:tblStyleRowBandSize w:val="1"/>
      <w:tblStyleColBandSize w:val="1"/>
      <w:tblBorders>
        <w:top w:val="single" w:sz="8" w:space="0" w:color="FFD22E" w:themeColor="accent3" w:themeTint="BF"/>
        <w:left w:val="single" w:sz="8" w:space="0" w:color="FFD22E" w:themeColor="accent3" w:themeTint="BF"/>
        <w:bottom w:val="single" w:sz="8" w:space="0" w:color="FFD22E" w:themeColor="accent3" w:themeTint="BF"/>
        <w:right w:val="single" w:sz="8" w:space="0" w:color="FFD22E" w:themeColor="accent3" w:themeTint="BF"/>
        <w:insideH w:val="single" w:sz="8" w:space="0" w:color="FFD22E" w:themeColor="accent3" w:themeTint="BF"/>
      </w:tblBorders>
    </w:tblPr>
    <w:tblStylePr w:type="firstRow">
      <w:pPr>
        <w:spacing w:before="0" w:after="0" w:line="240" w:lineRule="auto"/>
      </w:pPr>
      <w:rPr>
        <w:b/>
        <w:bCs/>
        <w:color w:val="FFFFFF" w:themeColor="background1"/>
      </w:rPr>
      <w:tblPr/>
      <w:tcPr>
        <w:tcBorders>
          <w:top w:val="single" w:sz="8" w:space="0" w:color="FFD22E" w:themeColor="accent3" w:themeTint="BF"/>
          <w:left w:val="single" w:sz="8" w:space="0" w:color="FFD22E" w:themeColor="accent3" w:themeTint="BF"/>
          <w:bottom w:val="single" w:sz="8" w:space="0" w:color="FFD22E" w:themeColor="accent3" w:themeTint="BF"/>
          <w:right w:val="single" w:sz="8" w:space="0" w:color="FFD22E" w:themeColor="accent3" w:themeTint="BF"/>
          <w:insideH w:val="nil"/>
          <w:insideV w:val="nil"/>
        </w:tcBorders>
        <w:shd w:val="clear" w:color="auto" w:fill="E8B600" w:themeFill="accent3"/>
      </w:tcPr>
    </w:tblStylePr>
    <w:tblStylePr w:type="lastRow">
      <w:pPr>
        <w:spacing w:before="0" w:after="0" w:line="240" w:lineRule="auto"/>
      </w:pPr>
      <w:rPr>
        <w:b/>
        <w:bCs/>
      </w:rPr>
      <w:tblPr/>
      <w:tcPr>
        <w:tcBorders>
          <w:top w:val="double" w:sz="6" w:space="0" w:color="FFD22E" w:themeColor="accent3" w:themeTint="BF"/>
          <w:left w:val="single" w:sz="8" w:space="0" w:color="FFD22E" w:themeColor="accent3" w:themeTint="BF"/>
          <w:bottom w:val="single" w:sz="8" w:space="0" w:color="FFD22E" w:themeColor="accent3" w:themeTint="BF"/>
          <w:right w:val="single" w:sz="8" w:space="0" w:color="FFD22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0BA" w:themeFill="accent3" w:themeFillTint="3F"/>
      </w:tcPr>
    </w:tblStylePr>
    <w:tblStylePr w:type="band1Horz">
      <w:tblPr/>
      <w:tcPr>
        <w:tcBorders>
          <w:insideH w:val="nil"/>
          <w:insideV w:val="nil"/>
        </w:tcBorders>
        <w:shd w:val="clear" w:color="auto" w:fill="FFF0BA" w:themeFill="accent3" w:themeFillTint="3F"/>
      </w:tcPr>
    </w:tblStylePr>
    <w:tblStylePr w:type="band2Horz">
      <w:tblPr/>
      <w:tcPr>
        <w:tcBorders>
          <w:insideH w:val="nil"/>
          <w:insideV w:val="nil"/>
        </w:tcBorders>
      </w:tcPr>
    </w:tblStylePr>
  </w:style>
  <w:style w:type="paragraph" w:customStyle="1" w:styleId="TableBody">
    <w:name w:val="Table Body"/>
    <w:basedOn w:val="BodyIndent0"/>
    <w:rsid w:val="000E23CE"/>
    <w:pPr>
      <w:spacing w:after="60" w:line="240" w:lineRule="auto"/>
    </w:pPr>
    <w:rPr>
      <w:lang w:eastAsia="en-US"/>
    </w:rPr>
  </w:style>
  <w:style w:type="paragraph" w:customStyle="1" w:styleId="TableHeading">
    <w:name w:val="Table Heading"/>
    <w:basedOn w:val="TableBody"/>
    <w:rsid w:val="000E23CE"/>
    <w:pPr>
      <w:keepLines/>
    </w:pPr>
    <w:rPr>
      <w:b/>
      <w:color w:val="FFFFFF"/>
    </w:rPr>
  </w:style>
  <w:style w:type="table" w:styleId="LightList-Accent6">
    <w:name w:val="Light List Accent 6"/>
    <w:basedOn w:val="TableNormal"/>
    <w:uiPriority w:val="61"/>
    <w:rsid w:val="000E23CE"/>
    <w:pPr>
      <w:spacing w:after="0" w:line="240" w:lineRule="auto"/>
    </w:pPr>
    <w:tblPr>
      <w:tblStyleRowBandSize w:val="1"/>
      <w:tblStyleColBandSize w:val="1"/>
      <w:tblBorders>
        <w:top w:val="single" w:sz="8" w:space="0" w:color="645493" w:themeColor="accent6"/>
        <w:left w:val="single" w:sz="8" w:space="0" w:color="645493" w:themeColor="accent6"/>
        <w:bottom w:val="single" w:sz="8" w:space="0" w:color="645493" w:themeColor="accent6"/>
        <w:right w:val="single" w:sz="8" w:space="0" w:color="645493" w:themeColor="accent6"/>
      </w:tblBorders>
    </w:tblPr>
    <w:tblStylePr w:type="firstRow">
      <w:pPr>
        <w:spacing w:before="0" w:after="0" w:line="240" w:lineRule="auto"/>
      </w:pPr>
      <w:rPr>
        <w:b/>
        <w:bCs/>
        <w:color w:val="FFFFFF" w:themeColor="background1"/>
      </w:rPr>
      <w:tblPr/>
      <w:tcPr>
        <w:shd w:val="clear" w:color="auto" w:fill="645493" w:themeFill="accent6"/>
      </w:tcPr>
    </w:tblStylePr>
    <w:tblStylePr w:type="lastRow">
      <w:pPr>
        <w:spacing w:before="0" w:after="0" w:line="240" w:lineRule="auto"/>
      </w:pPr>
      <w:rPr>
        <w:b/>
        <w:bCs/>
      </w:rPr>
      <w:tblPr/>
      <w:tcPr>
        <w:tcBorders>
          <w:top w:val="double" w:sz="6" w:space="0" w:color="645493" w:themeColor="accent6"/>
          <w:left w:val="single" w:sz="8" w:space="0" w:color="645493" w:themeColor="accent6"/>
          <w:bottom w:val="single" w:sz="8" w:space="0" w:color="645493" w:themeColor="accent6"/>
          <w:right w:val="single" w:sz="8" w:space="0" w:color="645493" w:themeColor="accent6"/>
        </w:tcBorders>
      </w:tcPr>
    </w:tblStylePr>
    <w:tblStylePr w:type="firstCol">
      <w:rPr>
        <w:b/>
        <w:bCs/>
      </w:rPr>
    </w:tblStylePr>
    <w:tblStylePr w:type="lastCol">
      <w:rPr>
        <w:b/>
        <w:bCs/>
      </w:rPr>
    </w:tblStylePr>
    <w:tblStylePr w:type="band1Vert">
      <w:tblPr/>
      <w:tcPr>
        <w:tcBorders>
          <w:top w:val="single" w:sz="8" w:space="0" w:color="645493" w:themeColor="accent6"/>
          <w:left w:val="single" w:sz="8" w:space="0" w:color="645493" w:themeColor="accent6"/>
          <w:bottom w:val="single" w:sz="8" w:space="0" w:color="645493" w:themeColor="accent6"/>
          <w:right w:val="single" w:sz="8" w:space="0" w:color="645493" w:themeColor="accent6"/>
        </w:tcBorders>
      </w:tcPr>
    </w:tblStylePr>
    <w:tblStylePr w:type="band1Horz">
      <w:tblPr/>
      <w:tcPr>
        <w:tcBorders>
          <w:top w:val="single" w:sz="8" w:space="0" w:color="645493" w:themeColor="accent6"/>
          <w:left w:val="single" w:sz="8" w:space="0" w:color="645493" w:themeColor="accent6"/>
          <w:bottom w:val="single" w:sz="8" w:space="0" w:color="645493" w:themeColor="accent6"/>
          <w:right w:val="single" w:sz="8" w:space="0" w:color="645493" w:themeColor="accent6"/>
        </w:tcBorders>
      </w:tcPr>
    </w:tblStylePr>
  </w:style>
  <w:style w:type="table" w:styleId="LightList-Accent3">
    <w:name w:val="Light List Accent 3"/>
    <w:basedOn w:val="TableNormal"/>
    <w:uiPriority w:val="61"/>
    <w:rsid w:val="000E23CE"/>
    <w:pPr>
      <w:spacing w:after="0" w:line="240" w:lineRule="auto"/>
    </w:pPr>
    <w:tblPr>
      <w:tblStyleRowBandSize w:val="1"/>
      <w:tblStyleColBandSize w:val="1"/>
      <w:tblBorders>
        <w:top w:val="single" w:sz="8" w:space="0" w:color="E8B600" w:themeColor="accent3"/>
        <w:left w:val="single" w:sz="8" w:space="0" w:color="E8B600" w:themeColor="accent3"/>
        <w:bottom w:val="single" w:sz="8" w:space="0" w:color="E8B600" w:themeColor="accent3"/>
        <w:right w:val="single" w:sz="8" w:space="0" w:color="E8B600" w:themeColor="accent3"/>
      </w:tblBorders>
    </w:tblPr>
    <w:tblStylePr w:type="firstRow">
      <w:pPr>
        <w:spacing w:before="0" w:after="0" w:line="240" w:lineRule="auto"/>
      </w:pPr>
      <w:rPr>
        <w:b/>
        <w:bCs/>
        <w:color w:val="FFFFFF" w:themeColor="background1"/>
      </w:rPr>
      <w:tblPr/>
      <w:tcPr>
        <w:shd w:val="clear" w:color="auto" w:fill="E8B600" w:themeFill="accent3"/>
      </w:tcPr>
    </w:tblStylePr>
    <w:tblStylePr w:type="lastRow">
      <w:pPr>
        <w:spacing w:before="0" w:after="0" w:line="240" w:lineRule="auto"/>
      </w:pPr>
      <w:rPr>
        <w:b/>
        <w:bCs/>
      </w:rPr>
      <w:tblPr/>
      <w:tcPr>
        <w:tcBorders>
          <w:top w:val="double" w:sz="6" w:space="0" w:color="E8B600" w:themeColor="accent3"/>
          <w:left w:val="single" w:sz="8" w:space="0" w:color="E8B600" w:themeColor="accent3"/>
          <w:bottom w:val="single" w:sz="8" w:space="0" w:color="E8B600" w:themeColor="accent3"/>
          <w:right w:val="single" w:sz="8" w:space="0" w:color="E8B600" w:themeColor="accent3"/>
        </w:tcBorders>
      </w:tcPr>
    </w:tblStylePr>
    <w:tblStylePr w:type="firstCol">
      <w:rPr>
        <w:b/>
        <w:bCs/>
      </w:rPr>
    </w:tblStylePr>
    <w:tblStylePr w:type="lastCol">
      <w:rPr>
        <w:b/>
        <w:bCs/>
      </w:rPr>
    </w:tblStylePr>
    <w:tblStylePr w:type="band1Vert">
      <w:tblPr/>
      <w:tcPr>
        <w:tcBorders>
          <w:top w:val="single" w:sz="8" w:space="0" w:color="E8B600" w:themeColor="accent3"/>
          <w:left w:val="single" w:sz="8" w:space="0" w:color="E8B600" w:themeColor="accent3"/>
          <w:bottom w:val="single" w:sz="8" w:space="0" w:color="E8B600" w:themeColor="accent3"/>
          <w:right w:val="single" w:sz="8" w:space="0" w:color="E8B600" w:themeColor="accent3"/>
        </w:tcBorders>
      </w:tcPr>
    </w:tblStylePr>
    <w:tblStylePr w:type="band1Horz">
      <w:tblPr/>
      <w:tcPr>
        <w:tcBorders>
          <w:top w:val="single" w:sz="8" w:space="0" w:color="E8B600" w:themeColor="accent3"/>
          <w:left w:val="single" w:sz="8" w:space="0" w:color="E8B600" w:themeColor="accent3"/>
          <w:bottom w:val="single" w:sz="8" w:space="0" w:color="E8B600" w:themeColor="accent3"/>
          <w:right w:val="single" w:sz="8" w:space="0" w:color="E8B600" w:themeColor="accent3"/>
        </w:tcBorders>
      </w:tcPr>
    </w:tblStylePr>
  </w:style>
  <w:style w:type="paragraph" w:customStyle="1" w:styleId="ListBullet1Indent0">
    <w:name w:val="List Bullet 1 Indent 0"/>
    <w:basedOn w:val="BodyIndent0"/>
    <w:rsid w:val="000827A2"/>
    <w:pPr>
      <w:numPr>
        <w:numId w:val="27"/>
      </w:numPr>
      <w:tabs>
        <w:tab w:val="clear" w:pos="397"/>
        <w:tab w:val="num" w:pos="360"/>
      </w:tabs>
      <w:adjustRightInd w:val="0"/>
      <w:ind w:left="0" w:firstLine="0"/>
    </w:pPr>
    <w:rPr>
      <w:rFonts w:cs="Myriad Pro Light"/>
      <w:color w:val="000000"/>
    </w:rPr>
  </w:style>
  <w:style w:type="character" w:customStyle="1" w:styleId="CharacterBold">
    <w:name w:val="Character + Bold"/>
    <w:rsid w:val="00596B2B"/>
    <w:rPr>
      <w:b/>
      <w:bCs w:val="0"/>
      <w:lang w:val="en-AU" w:eastAsia="en-AU"/>
    </w:rPr>
  </w:style>
  <w:style w:type="paragraph" w:customStyle="1" w:styleId="H4notTOC">
    <w:name w:val="H4 (not TOC)"/>
    <w:basedOn w:val="Normal"/>
    <w:next w:val="BodyIndent0"/>
    <w:link w:val="H4notTOCChar"/>
    <w:rsid w:val="00C7543E"/>
    <w:pPr>
      <w:keepNext/>
      <w:keepLines/>
      <w:tabs>
        <w:tab w:val="left" w:pos="567"/>
      </w:tabs>
      <w:adjustRightInd w:val="0"/>
      <w:spacing w:before="240" w:after="160" w:line="320" w:lineRule="atLeast"/>
      <w:outlineLvl w:val="3"/>
    </w:pPr>
    <w:rPr>
      <w:rFonts w:ascii="Calibri" w:eastAsia="Times New Roman" w:hAnsi="Calibri" w:cs="Times New Roman"/>
      <w:b/>
      <w:color w:val="800000"/>
      <w:sz w:val="26"/>
      <w:szCs w:val="32"/>
      <w:lang w:eastAsia="en-AU"/>
    </w:rPr>
  </w:style>
  <w:style w:type="character" w:customStyle="1" w:styleId="H4notTOCChar">
    <w:name w:val="H4 (not TOC) Char"/>
    <w:link w:val="H4notTOC"/>
    <w:rsid w:val="00C7543E"/>
    <w:rPr>
      <w:rFonts w:ascii="Calibri" w:eastAsia="Times New Roman" w:hAnsi="Calibri" w:cs="Times New Roman"/>
      <w:b/>
      <w:color w:val="800000"/>
      <w:sz w:val="26"/>
      <w:szCs w:val="32"/>
      <w:lang w:eastAsia="en-AU"/>
    </w:rPr>
  </w:style>
  <w:style w:type="paragraph" w:customStyle="1" w:styleId="TableText1">
    <w:name w:val="TableText"/>
    <w:basedOn w:val="Normal"/>
    <w:qFormat/>
    <w:rsid w:val="00EA37B2"/>
    <w:pPr>
      <w:suppressAutoHyphens w:val="0"/>
      <w:spacing w:before="120" w:after="120" w:line="240" w:lineRule="auto"/>
    </w:pPr>
    <w:rPr>
      <w:rFonts w:ascii="Arial" w:eastAsiaTheme="majorEastAsia" w:hAnsi="Arial" w:cs="Arial"/>
      <w:bCs/>
      <w:sz w:val="20"/>
      <w:szCs w:val="20"/>
    </w:rPr>
  </w:style>
  <w:style w:type="paragraph" w:customStyle="1" w:styleId="No1">
    <w:name w:val="No 1"/>
    <w:basedOn w:val="ListParagraph"/>
    <w:link w:val="No1Char"/>
    <w:qFormat/>
    <w:rsid w:val="00D07F0D"/>
    <w:pPr>
      <w:numPr>
        <w:numId w:val="61"/>
      </w:numPr>
    </w:pPr>
    <w:rPr>
      <w:rFonts w:asciiTheme="majorHAnsi" w:hAnsiTheme="majorHAnsi" w:cstheme="majorHAnsi"/>
    </w:rPr>
  </w:style>
  <w:style w:type="character" w:customStyle="1" w:styleId="No1Char">
    <w:name w:val="No 1 Char"/>
    <w:basedOn w:val="ListParagraphChar"/>
    <w:link w:val="No1"/>
    <w:rsid w:val="00D07F0D"/>
    <w:rPr>
      <w:rFonts w:asciiTheme="majorHAnsi" w:eastAsia="Times New Roman" w:hAnsiTheme="majorHAnsi" w:cstheme="majorHAnsi"/>
    </w:rPr>
  </w:style>
  <w:style w:type="paragraph" w:customStyle="1" w:styleId="Covertable">
    <w:name w:val="Cover table"/>
    <w:rsid w:val="00A44851"/>
    <w:pPr>
      <w:spacing w:before="40" w:after="40" w:line="240" w:lineRule="auto"/>
    </w:pPr>
    <w:rPr>
      <w:rFonts w:ascii="Times New Roman" w:eastAsia="Times New Roman" w:hAnsi="Times New Roman" w:cs="Times New Roman"/>
      <w:bC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48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 TargetMode="External"/><Relationship Id="rId18" Type="http://schemas.openxmlformats.org/officeDocument/2006/relationships/hyperlink" Target="http://communitygrants.gov.au/information-applicants/late-applications-policy" TargetMode="External"/><Relationship Id="rId26" Type="http://schemas.openxmlformats.org/officeDocument/2006/relationships/hyperlink" Target="mailto:support@communitygrants.gov.a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mmunitygrants.gov.au/grants" TargetMode="External"/><Relationship Id="rId34" Type="http://schemas.openxmlformats.org/officeDocument/2006/relationships/hyperlink" Target="http://www.apsc.gov.au/publications-and-media/current-publications/aps-values-and-code-of-conduct-in-practice/conflict-of-interest"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rants.gov.au/?event=public.home" TargetMode="External"/><Relationship Id="rId17" Type="http://schemas.openxmlformats.org/officeDocument/2006/relationships/hyperlink" Target="http://communitygrants.gov.au/information-applicants/late-applications-policy" TargetMode="External"/><Relationship Id="rId25" Type="http://schemas.openxmlformats.org/officeDocument/2006/relationships/hyperlink" Target="mailto:support@communitygrants.gov.au" TargetMode="External"/><Relationship Id="rId33" Type="http://schemas.openxmlformats.org/officeDocument/2006/relationships/hyperlink" Target="mailto:ombudsman@ombudsman.gov.au" TargetMode="External"/><Relationship Id="rId38" Type="http://schemas.openxmlformats.org/officeDocument/2006/relationships/header" Target="header1.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communitygrants.gov.au/" TargetMode="External"/><Relationship Id="rId20" Type="http://schemas.openxmlformats.org/officeDocument/2006/relationships/hyperlink" Target="https://www.grants.gov.au/" TargetMode="External"/><Relationship Id="rId29" Type="http://schemas.openxmlformats.org/officeDocument/2006/relationships/hyperlink" Target="http://www.ato.gov.au" TargetMode="External"/><Relationship Id="rId41" Type="http://schemas.openxmlformats.org/officeDocument/2006/relationships/hyperlink" Target="https://www.pmc.gov.au/resource-centre/indigenous-affairs/community-development-programme-reg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ce.gov.au/sites/default/files/commonwealth-grants-rules-and-guidelines.pdf" TargetMode="External"/><Relationship Id="rId24" Type="http://schemas.openxmlformats.org/officeDocument/2006/relationships/hyperlink" Target="https://www.communitygrants.gov.au/" TargetMode="External"/><Relationship Id="rId32" Type="http://schemas.openxmlformats.org/officeDocument/2006/relationships/hyperlink" Target="https://www.dss.gov.au/contact/feedback-compliments-complaints-and-enquiries" TargetMode="External"/><Relationship Id="rId37" Type="http://schemas.openxmlformats.org/officeDocument/2006/relationships/hyperlink" Target="mailto:foi@dss.gov.au" TargetMode="External"/><Relationship Id="rId40" Type="http://schemas.openxmlformats.org/officeDocument/2006/relationships/header" Target="header2.xm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grants.gov.au/?event=public.home" TargetMode="External"/><Relationship Id="rId23" Type="http://schemas.openxmlformats.org/officeDocument/2006/relationships/hyperlink" Target="https://www.grants.gov.au/?event=public.home" TargetMode="External"/><Relationship Id="rId28" Type="http://schemas.openxmlformats.org/officeDocument/2006/relationships/hyperlink" Target="https://www.grants.gov.au/?event=public.home" TargetMode="External"/><Relationship Id="rId36" Type="http://schemas.openxmlformats.org/officeDocument/2006/relationships/hyperlink" Target="http://www.comlaw.gov.au/Details/C2014C00757" TargetMode="External"/><Relationship Id="rId10" Type="http://schemas.openxmlformats.org/officeDocument/2006/relationships/hyperlink" Target="http://www.grants.gov.au/" TargetMode="External"/><Relationship Id="rId19" Type="http://schemas.openxmlformats.org/officeDocument/2006/relationships/hyperlink" Target="https://www.communitygrants.gov.au/information-applicants/late-applications-policy" TargetMode="External"/><Relationship Id="rId31" Type="http://schemas.openxmlformats.org/officeDocument/2006/relationships/hyperlink" Target="mailto:support@communitygrants.gov.au" TargetMode="External"/><Relationship Id="rId4" Type="http://schemas.microsoft.com/office/2007/relationships/stylesWithEffects" Target="stylesWithEffects.xml"/><Relationship Id="rId9" Type="http://schemas.openxmlformats.org/officeDocument/2006/relationships/hyperlink" Target="mailto:support@communitygrants.gov.au" TargetMode="External"/><Relationship Id="rId14" Type="http://schemas.openxmlformats.org/officeDocument/2006/relationships/hyperlink" Target="https://www.pmc.gov.au/resource-centre/indigenous-affairs/community-development-programme-regions" TargetMode="External"/><Relationship Id="rId22" Type="http://schemas.openxmlformats.org/officeDocument/2006/relationships/hyperlink" Target="mailto:support@communitygrants.gov.au" TargetMode="External"/><Relationship Id="rId27" Type="http://schemas.openxmlformats.org/officeDocument/2006/relationships/hyperlink" Target="https://www.grants.gov.au/" TargetMode="External"/><Relationship Id="rId30" Type="http://schemas.openxmlformats.org/officeDocument/2006/relationships/hyperlink" Target="https://www.dss.gov.au/about-the-department/doing-business-with-dss/complaints-process-for-grant-recipients" TargetMode="External"/><Relationship Id="rId35" Type="http://schemas.openxmlformats.org/officeDocument/2006/relationships/hyperlink" Target="https://www.communitygrants.gov.au/open-grants/how-apply/conflict-interest-policy-commonwealth-government-employee" TargetMode="External"/><Relationship Id="rId43" Type="http://schemas.openxmlformats.org/officeDocument/2006/relationships/theme" Target="theme/theme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4765-7351-4EE6-9CA3-749C0915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10589</Words>
  <Characters>60359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KIVSHAR, Amie Anne-Louise</cp:lastModifiedBy>
  <cp:revision>3</cp:revision>
  <cp:lastPrinted>2017-09-11T06:08:00Z</cp:lastPrinted>
  <dcterms:created xsi:type="dcterms:W3CDTF">2017-09-11T06:07:00Z</dcterms:created>
  <dcterms:modified xsi:type="dcterms:W3CDTF">2017-09-11T06:08:00Z</dcterms:modified>
</cp:coreProperties>
</file>