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01" w:rsidRPr="00AC72FA" w:rsidRDefault="00AC72FA" w:rsidP="00F30908">
      <w:pPr>
        <w:pStyle w:val="Title"/>
        <w:ind w:left="-709"/>
        <w:rPr>
          <w:iCs/>
          <w:spacing w:val="0"/>
        </w:rPr>
      </w:pPr>
      <w:bookmarkStart w:id="0" w:name="_GoBack"/>
      <w:bookmarkEnd w:id="0"/>
      <w:r>
        <w:rPr>
          <w:iCs/>
          <w:spacing w:val="0"/>
        </w:rPr>
        <w:t xml:space="preserve">Disability Employment Services National Panel of Assessors: </w:t>
      </w:r>
      <w:r w:rsidRPr="00AC72FA">
        <w:rPr>
          <w:iCs/>
          <w:spacing w:val="0"/>
        </w:rPr>
        <w:t>Industry Information Paper</w:t>
      </w:r>
    </w:p>
    <w:p w:rsidR="0054713E" w:rsidRPr="00FE4A3A" w:rsidRDefault="00AC72FA" w:rsidP="0054713E">
      <w:pPr>
        <w:pStyle w:val="Subtitle"/>
        <w:ind w:hanging="709"/>
      </w:pPr>
      <w:r>
        <w:t>August 2017</w:t>
      </w:r>
    </w:p>
    <w:p w:rsidR="0094563F" w:rsidRDefault="0094563F" w:rsidP="004F77F4">
      <w:pPr>
        <w:spacing w:before="800"/>
        <w:ind w:left="-709"/>
        <w:rPr>
          <w:i/>
          <w:iCs/>
          <w:smallCaps/>
        </w:rPr>
        <w:sectPr w:rsidR="0094563F" w:rsidSect="00A74769">
          <w:footerReference w:type="default" r:id="rId9"/>
          <w:headerReference w:type="first" r:id="rId10"/>
          <w:footerReference w:type="first" r:id="rId11"/>
          <w:pgSz w:w="11906" w:h="16838"/>
          <w:pgMar w:top="1440" w:right="1440" w:bottom="1440" w:left="1440" w:header="283" w:footer="0" w:gutter="0"/>
          <w:cols w:space="708"/>
          <w:titlePg/>
          <w:docGrid w:linePitch="360"/>
        </w:sectPr>
      </w:pPr>
    </w:p>
    <w:bookmarkStart w:id="1" w:name="_Toc395536189" w:displacedByCustomXml="next"/>
    <w:sdt>
      <w:sdtPr>
        <w:rPr>
          <w:rFonts w:ascii="Arial" w:eastAsia="Times New Roman" w:hAnsi="Arial" w:cs="Times New Roman"/>
          <w:bCs w:val="0"/>
          <w:color w:val="auto"/>
          <w:sz w:val="24"/>
          <w:szCs w:val="24"/>
          <w:lang w:bidi="ar-SA"/>
        </w:rPr>
        <w:id w:val="11269730"/>
        <w:docPartObj>
          <w:docPartGallery w:val="Table of Contents"/>
          <w:docPartUnique/>
        </w:docPartObj>
      </w:sdtPr>
      <w:sdtEndPr>
        <w:rPr>
          <w:b/>
          <w:noProof/>
        </w:rPr>
      </w:sdtEndPr>
      <w:sdtContent>
        <w:p w:rsidR="00726B08" w:rsidRDefault="00726B08">
          <w:pPr>
            <w:pStyle w:val="TOCHeading"/>
          </w:pPr>
          <w:r>
            <w:t>Contents</w:t>
          </w:r>
        </w:p>
        <w:p w:rsidR="00B3565A" w:rsidRDefault="00726B08">
          <w:pPr>
            <w:pStyle w:val="TOC1"/>
            <w:tabs>
              <w:tab w:val="left" w:pos="660"/>
              <w:tab w:val="right" w:leader="dot" w:pos="9344"/>
            </w:tabs>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490749787" w:history="1">
            <w:r w:rsidR="00B3565A" w:rsidRPr="00C66907">
              <w:rPr>
                <w:rStyle w:val="Hyperlink"/>
                <w:rFonts w:eastAsiaTheme="majorEastAsia"/>
                <w:noProof/>
              </w:rPr>
              <w:t>1.</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Background</w:t>
            </w:r>
            <w:r w:rsidR="00B3565A">
              <w:rPr>
                <w:noProof/>
                <w:webHidden/>
              </w:rPr>
              <w:tab/>
            </w:r>
            <w:r w:rsidR="00B3565A">
              <w:rPr>
                <w:noProof/>
                <w:webHidden/>
              </w:rPr>
              <w:fldChar w:fldCharType="begin"/>
            </w:r>
            <w:r w:rsidR="00B3565A">
              <w:rPr>
                <w:noProof/>
                <w:webHidden/>
              </w:rPr>
              <w:instrText xml:space="preserve"> PAGEREF _Toc490749787 \h </w:instrText>
            </w:r>
            <w:r w:rsidR="00B3565A">
              <w:rPr>
                <w:noProof/>
                <w:webHidden/>
              </w:rPr>
            </w:r>
            <w:r w:rsidR="00B3565A">
              <w:rPr>
                <w:noProof/>
                <w:webHidden/>
              </w:rPr>
              <w:fldChar w:fldCharType="separate"/>
            </w:r>
            <w:r w:rsidR="00B3565A">
              <w:rPr>
                <w:noProof/>
                <w:webHidden/>
              </w:rPr>
              <w:t>3</w:t>
            </w:r>
            <w:r w:rsidR="00B3565A">
              <w:rPr>
                <w:noProof/>
                <w:webHidden/>
              </w:rPr>
              <w:fldChar w:fldCharType="end"/>
            </w:r>
          </w:hyperlink>
        </w:p>
        <w:p w:rsidR="00B3565A" w:rsidRDefault="00CB1C90">
          <w:pPr>
            <w:pStyle w:val="TOC2"/>
            <w:tabs>
              <w:tab w:val="left" w:pos="880"/>
              <w:tab w:val="right" w:leader="dot" w:pos="9344"/>
            </w:tabs>
            <w:rPr>
              <w:rFonts w:asciiTheme="minorHAnsi" w:eastAsiaTheme="minorEastAsia" w:hAnsiTheme="minorHAnsi" w:cstheme="minorBidi"/>
              <w:noProof/>
              <w:spacing w:val="0"/>
              <w:sz w:val="22"/>
              <w:szCs w:val="22"/>
            </w:rPr>
          </w:pPr>
          <w:hyperlink w:anchor="_Toc490749788" w:history="1">
            <w:r w:rsidR="00B3565A" w:rsidRPr="00C66907">
              <w:rPr>
                <w:rStyle w:val="Hyperlink"/>
                <w:rFonts w:eastAsiaTheme="majorEastAsia"/>
                <w:noProof/>
                <w14:scene3d>
                  <w14:camera w14:prst="orthographicFront"/>
                  <w14:lightRig w14:rig="threePt" w14:dir="t">
                    <w14:rot w14:lat="0" w14:lon="0" w14:rev="0"/>
                  </w14:lightRig>
                </w14:scene3d>
              </w:rPr>
              <w:t>1.1</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NPA Services</w:t>
            </w:r>
            <w:r w:rsidR="00B3565A">
              <w:rPr>
                <w:noProof/>
                <w:webHidden/>
              </w:rPr>
              <w:tab/>
            </w:r>
            <w:r w:rsidR="00B3565A">
              <w:rPr>
                <w:noProof/>
                <w:webHidden/>
              </w:rPr>
              <w:fldChar w:fldCharType="begin"/>
            </w:r>
            <w:r w:rsidR="00B3565A">
              <w:rPr>
                <w:noProof/>
                <w:webHidden/>
              </w:rPr>
              <w:instrText xml:space="preserve"> PAGEREF _Toc490749788 \h </w:instrText>
            </w:r>
            <w:r w:rsidR="00B3565A">
              <w:rPr>
                <w:noProof/>
                <w:webHidden/>
              </w:rPr>
            </w:r>
            <w:r w:rsidR="00B3565A">
              <w:rPr>
                <w:noProof/>
                <w:webHidden/>
              </w:rPr>
              <w:fldChar w:fldCharType="separate"/>
            </w:r>
            <w:r w:rsidR="00B3565A">
              <w:rPr>
                <w:noProof/>
                <w:webHidden/>
              </w:rPr>
              <w:t>3</w:t>
            </w:r>
            <w:r w:rsidR="00B3565A">
              <w:rPr>
                <w:noProof/>
                <w:webHidden/>
              </w:rPr>
              <w:fldChar w:fldCharType="end"/>
            </w:r>
          </w:hyperlink>
        </w:p>
        <w:p w:rsidR="00B3565A" w:rsidRDefault="00CB1C90">
          <w:pPr>
            <w:pStyle w:val="TOC2"/>
            <w:tabs>
              <w:tab w:val="left" w:pos="880"/>
              <w:tab w:val="right" w:leader="dot" w:pos="9344"/>
            </w:tabs>
            <w:rPr>
              <w:rFonts w:asciiTheme="minorHAnsi" w:eastAsiaTheme="minorEastAsia" w:hAnsiTheme="minorHAnsi" w:cstheme="minorBidi"/>
              <w:noProof/>
              <w:spacing w:val="0"/>
              <w:sz w:val="22"/>
              <w:szCs w:val="22"/>
            </w:rPr>
          </w:pPr>
          <w:hyperlink w:anchor="_Toc490749789" w:history="1">
            <w:r w:rsidR="00B3565A" w:rsidRPr="00C66907">
              <w:rPr>
                <w:rStyle w:val="Hyperlink"/>
                <w:rFonts w:eastAsiaTheme="majorEastAsia"/>
                <w:noProof/>
                <w14:scene3d>
                  <w14:camera w14:prst="orthographicFront"/>
                  <w14:lightRig w14:rig="threePt" w14:dir="t">
                    <w14:rot w14:lat="0" w14:lon="0" w14:rev="0"/>
                  </w14:lightRig>
                </w14:scene3d>
              </w:rPr>
              <w:t>1.2</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DES-NPA 2018 Grant Application</w:t>
            </w:r>
            <w:r w:rsidR="00B3565A">
              <w:rPr>
                <w:noProof/>
                <w:webHidden/>
              </w:rPr>
              <w:tab/>
            </w:r>
            <w:r w:rsidR="00B3565A">
              <w:rPr>
                <w:noProof/>
                <w:webHidden/>
              </w:rPr>
              <w:fldChar w:fldCharType="begin"/>
            </w:r>
            <w:r w:rsidR="00B3565A">
              <w:rPr>
                <w:noProof/>
                <w:webHidden/>
              </w:rPr>
              <w:instrText xml:space="preserve"> PAGEREF _Toc490749789 \h </w:instrText>
            </w:r>
            <w:r w:rsidR="00B3565A">
              <w:rPr>
                <w:noProof/>
                <w:webHidden/>
              </w:rPr>
            </w:r>
            <w:r w:rsidR="00B3565A">
              <w:rPr>
                <w:noProof/>
                <w:webHidden/>
              </w:rPr>
              <w:fldChar w:fldCharType="separate"/>
            </w:r>
            <w:r w:rsidR="00B3565A">
              <w:rPr>
                <w:noProof/>
                <w:webHidden/>
              </w:rPr>
              <w:t>4</w:t>
            </w:r>
            <w:r w:rsidR="00B3565A">
              <w:rPr>
                <w:noProof/>
                <w:webHidden/>
              </w:rPr>
              <w:fldChar w:fldCharType="end"/>
            </w:r>
          </w:hyperlink>
        </w:p>
        <w:p w:rsidR="00B3565A" w:rsidRDefault="00CB1C90">
          <w:pPr>
            <w:pStyle w:val="TOC2"/>
            <w:tabs>
              <w:tab w:val="left" w:pos="880"/>
              <w:tab w:val="right" w:leader="dot" w:pos="9344"/>
            </w:tabs>
            <w:rPr>
              <w:rFonts w:asciiTheme="minorHAnsi" w:eastAsiaTheme="minorEastAsia" w:hAnsiTheme="minorHAnsi" w:cstheme="minorBidi"/>
              <w:noProof/>
              <w:spacing w:val="0"/>
              <w:sz w:val="22"/>
              <w:szCs w:val="22"/>
            </w:rPr>
          </w:pPr>
          <w:hyperlink w:anchor="_Toc490749790" w:history="1">
            <w:r w:rsidR="00B3565A" w:rsidRPr="00C66907">
              <w:rPr>
                <w:rStyle w:val="Hyperlink"/>
                <w:rFonts w:eastAsiaTheme="majorEastAsia"/>
                <w:noProof/>
                <w14:scene3d>
                  <w14:camera w14:prst="orthographicFront"/>
                  <w14:lightRig w14:rig="threePt" w14:dir="t">
                    <w14:rot w14:lat="0" w14:lon="0" w14:rev="0"/>
                  </w14:lightRig>
                </w14:scene3d>
              </w:rPr>
              <w:t>1.3</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DES-NPA 2018 – indicative timeline</w:t>
            </w:r>
            <w:r w:rsidR="00B3565A">
              <w:rPr>
                <w:noProof/>
                <w:webHidden/>
              </w:rPr>
              <w:tab/>
            </w:r>
            <w:r w:rsidR="00B3565A">
              <w:rPr>
                <w:noProof/>
                <w:webHidden/>
              </w:rPr>
              <w:fldChar w:fldCharType="begin"/>
            </w:r>
            <w:r w:rsidR="00B3565A">
              <w:rPr>
                <w:noProof/>
                <w:webHidden/>
              </w:rPr>
              <w:instrText xml:space="preserve"> PAGEREF _Toc490749790 \h </w:instrText>
            </w:r>
            <w:r w:rsidR="00B3565A">
              <w:rPr>
                <w:noProof/>
                <w:webHidden/>
              </w:rPr>
            </w:r>
            <w:r w:rsidR="00B3565A">
              <w:rPr>
                <w:noProof/>
                <w:webHidden/>
              </w:rPr>
              <w:fldChar w:fldCharType="separate"/>
            </w:r>
            <w:r w:rsidR="00B3565A">
              <w:rPr>
                <w:noProof/>
                <w:webHidden/>
              </w:rPr>
              <w:t>4</w:t>
            </w:r>
            <w:r w:rsidR="00B3565A">
              <w:rPr>
                <w:noProof/>
                <w:webHidden/>
              </w:rPr>
              <w:fldChar w:fldCharType="end"/>
            </w:r>
          </w:hyperlink>
        </w:p>
        <w:p w:rsidR="00B3565A" w:rsidRDefault="00CB1C90">
          <w:pPr>
            <w:pStyle w:val="TOC2"/>
            <w:tabs>
              <w:tab w:val="left" w:pos="880"/>
              <w:tab w:val="right" w:leader="dot" w:pos="9344"/>
            </w:tabs>
            <w:rPr>
              <w:rFonts w:asciiTheme="minorHAnsi" w:eastAsiaTheme="minorEastAsia" w:hAnsiTheme="minorHAnsi" w:cstheme="minorBidi"/>
              <w:noProof/>
              <w:spacing w:val="0"/>
              <w:sz w:val="22"/>
              <w:szCs w:val="22"/>
            </w:rPr>
          </w:pPr>
          <w:hyperlink w:anchor="_Toc490749791" w:history="1">
            <w:r w:rsidR="00B3565A" w:rsidRPr="00C66907">
              <w:rPr>
                <w:rStyle w:val="Hyperlink"/>
                <w:rFonts w:eastAsiaTheme="majorEastAsia"/>
                <w:noProof/>
                <w14:scene3d>
                  <w14:camera w14:prst="orthographicFront"/>
                  <w14:lightRig w14:rig="threePt" w14:dir="t">
                    <w14:rot w14:lat="0" w14:lon="0" w14:rev="0"/>
                  </w14:lightRig>
                </w14:scene3d>
              </w:rPr>
              <w:t>1.4</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SWS for Supported Employment in Australian  Disability Enterprises</w:t>
            </w:r>
            <w:r w:rsidR="00B3565A">
              <w:rPr>
                <w:noProof/>
                <w:webHidden/>
              </w:rPr>
              <w:tab/>
            </w:r>
            <w:r w:rsidR="00B3565A">
              <w:rPr>
                <w:noProof/>
                <w:webHidden/>
              </w:rPr>
              <w:fldChar w:fldCharType="begin"/>
            </w:r>
            <w:r w:rsidR="00B3565A">
              <w:rPr>
                <w:noProof/>
                <w:webHidden/>
              </w:rPr>
              <w:instrText xml:space="preserve"> PAGEREF _Toc490749791 \h </w:instrText>
            </w:r>
            <w:r w:rsidR="00B3565A">
              <w:rPr>
                <w:noProof/>
                <w:webHidden/>
              </w:rPr>
            </w:r>
            <w:r w:rsidR="00B3565A">
              <w:rPr>
                <w:noProof/>
                <w:webHidden/>
              </w:rPr>
              <w:fldChar w:fldCharType="separate"/>
            </w:r>
            <w:r w:rsidR="00B3565A">
              <w:rPr>
                <w:noProof/>
                <w:webHidden/>
              </w:rPr>
              <w:t>5</w:t>
            </w:r>
            <w:r w:rsidR="00B3565A">
              <w:rPr>
                <w:noProof/>
                <w:webHidden/>
              </w:rPr>
              <w:fldChar w:fldCharType="end"/>
            </w:r>
          </w:hyperlink>
        </w:p>
        <w:p w:rsidR="00B3565A" w:rsidRDefault="00CB1C90">
          <w:pPr>
            <w:pStyle w:val="TOC1"/>
            <w:tabs>
              <w:tab w:val="left" w:pos="660"/>
              <w:tab w:val="right" w:leader="dot" w:pos="9344"/>
            </w:tabs>
            <w:rPr>
              <w:rFonts w:asciiTheme="minorHAnsi" w:eastAsiaTheme="minorEastAsia" w:hAnsiTheme="minorHAnsi" w:cstheme="minorBidi"/>
              <w:noProof/>
              <w:spacing w:val="0"/>
              <w:sz w:val="22"/>
              <w:szCs w:val="22"/>
            </w:rPr>
          </w:pPr>
          <w:hyperlink w:anchor="_Toc490749792" w:history="1">
            <w:r w:rsidR="00B3565A" w:rsidRPr="00C66907">
              <w:rPr>
                <w:rStyle w:val="Hyperlink"/>
                <w:rFonts w:eastAsiaTheme="majorEastAsia"/>
                <w:noProof/>
              </w:rPr>
              <w:t>2.</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Grant amount</w:t>
            </w:r>
            <w:r w:rsidR="00B3565A">
              <w:rPr>
                <w:noProof/>
                <w:webHidden/>
              </w:rPr>
              <w:tab/>
            </w:r>
            <w:r w:rsidR="00B3565A">
              <w:rPr>
                <w:noProof/>
                <w:webHidden/>
              </w:rPr>
              <w:fldChar w:fldCharType="begin"/>
            </w:r>
            <w:r w:rsidR="00B3565A">
              <w:rPr>
                <w:noProof/>
                <w:webHidden/>
              </w:rPr>
              <w:instrText xml:space="preserve"> PAGEREF _Toc490749792 \h </w:instrText>
            </w:r>
            <w:r w:rsidR="00B3565A">
              <w:rPr>
                <w:noProof/>
                <w:webHidden/>
              </w:rPr>
            </w:r>
            <w:r w:rsidR="00B3565A">
              <w:rPr>
                <w:noProof/>
                <w:webHidden/>
              </w:rPr>
              <w:fldChar w:fldCharType="separate"/>
            </w:r>
            <w:r w:rsidR="00B3565A">
              <w:rPr>
                <w:noProof/>
                <w:webHidden/>
              </w:rPr>
              <w:t>5</w:t>
            </w:r>
            <w:r w:rsidR="00B3565A">
              <w:rPr>
                <w:noProof/>
                <w:webHidden/>
              </w:rPr>
              <w:fldChar w:fldCharType="end"/>
            </w:r>
          </w:hyperlink>
        </w:p>
        <w:p w:rsidR="00B3565A" w:rsidRDefault="00CB1C90">
          <w:pPr>
            <w:pStyle w:val="TOC2"/>
            <w:tabs>
              <w:tab w:val="left" w:pos="880"/>
              <w:tab w:val="right" w:leader="dot" w:pos="9344"/>
            </w:tabs>
            <w:rPr>
              <w:rFonts w:asciiTheme="minorHAnsi" w:eastAsiaTheme="minorEastAsia" w:hAnsiTheme="minorHAnsi" w:cstheme="minorBidi"/>
              <w:noProof/>
              <w:spacing w:val="0"/>
              <w:sz w:val="22"/>
              <w:szCs w:val="22"/>
            </w:rPr>
          </w:pPr>
          <w:hyperlink w:anchor="_Toc490749793" w:history="1">
            <w:r w:rsidR="00B3565A" w:rsidRPr="00C66907">
              <w:rPr>
                <w:rStyle w:val="Hyperlink"/>
                <w:rFonts w:eastAsiaTheme="majorEastAsia"/>
                <w:noProof/>
                <w14:scene3d>
                  <w14:camera w14:prst="orthographicFront"/>
                  <w14:lightRig w14:rig="threePt" w14:dir="t">
                    <w14:rot w14:lat="0" w14:lon="0" w14:rev="0"/>
                  </w14:lightRig>
                </w14:scene3d>
              </w:rPr>
              <w:t>2.1</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Fees for the National Panel of Assessors</w:t>
            </w:r>
            <w:r w:rsidR="00B3565A">
              <w:rPr>
                <w:noProof/>
                <w:webHidden/>
              </w:rPr>
              <w:tab/>
            </w:r>
            <w:r w:rsidR="00B3565A">
              <w:rPr>
                <w:noProof/>
                <w:webHidden/>
              </w:rPr>
              <w:fldChar w:fldCharType="begin"/>
            </w:r>
            <w:r w:rsidR="00B3565A">
              <w:rPr>
                <w:noProof/>
                <w:webHidden/>
              </w:rPr>
              <w:instrText xml:space="preserve"> PAGEREF _Toc490749793 \h </w:instrText>
            </w:r>
            <w:r w:rsidR="00B3565A">
              <w:rPr>
                <w:noProof/>
                <w:webHidden/>
              </w:rPr>
            </w:r>
            <w:r w:rsidR="00B3565A">
              <w:rPr>
                <w:noProof/>
                <w:webHidden/>
              </w:rPr>
              <w:fldChar w:fldCharType="separate"/>
            </w:r>
            <w:r w:rsidR="00B3565A">
              <w:rPr>
                <w:noProof/>
                <w:webHidden/>
              </w:rPr>
              <w:t>6</w:t>
            </w:r>
            <w:r w:rsidR="00B3565A">
              <w:rPr>
                <w:noProof/>
                <w:webHidden/>
              </w:rPr>
              <w:fldChar w:fldCharType="end"/>
            </w:r>
          </w:hyperlink>
        </w:p>
        <w:p w:rsidR="00B3565A" w:rsidRDefault="00CB1C90">
          <w:pPr>
            <w:pStyle w:val="TOC3"/>
            <w:tabs>
              <w:tab w:val="left" w:pos="1320"/>
              <w:tab w:val="right" w:leader="dot" w:pos="9344"/>
            </w:tabs>
            <w:rPr>
              <w:rFonts w:asciiTheme="minorHAnsi" w:eastAsiaTheme="minorEastAsia" w:hAnsiTheme="minorHAnsi" w:cstheme="minorBidi"/>
              <w:noProof/>
              <w:spacing w:val="0"/>
              <w:sz w:val="22"/>
              <w:szCs w:val="22"/>
            </w:rPr>
          </w:pPr>
          <w:hyperlink w:anchor="_Toc490749794" w:history="1">
            <w:r w:rsidR="00B3565A" w:rsidRPr="00C66907">
              <w:rPr>
                <w:rStyle w:val="Hyperlink"/>
                <w:rFonts w:eastAsiaTheme="majorEastAsia"/>
                <w:noProof/>
              </w:rPr>
              <w:t>2.1.1</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Ongoing Support Assessment Fees</w:t>
            </w:r>
            <w:r w:rsidR="00B3565A">
              <w:rPr>
                <w:noProof/>
                <w:webHidden/>
              </w:rPr>
              <w:tab/>
            </w:r>
            <w:r w:rsidR="00B3565A">
              <w:rPr>
                <w:noProof/>
                <w:webHidden/>
              </w:rPr>
              <w:fldChar w:fldCharType="begin"/>
            </w:r>
            <w:r w:rsidR="00B3565A">
              <w:rPr>
                <w:noProof/>
                <w:webHidden/>
              </w:rPr>
              <w:instrText xml:space="preserve"> PAGEREF _Toc490749794 \h </w:instrText>
            </w:r>
            <w:r w:rsidR="00B3565A">
              <w:rPr>
                <w:noProof/>
                <w:webHidden/>
              </w:rPr>
            </w:r>
            <w:r w:rsidR="00B3565A">
              <w:rPr>
                <w:noProof/>
                <w:webHidden/>
              </w:rPr>
              <w:fldChar w:fldCharType="separate"/>
            </w:r>
            <w:r w:rsidR="00B3565A">
              <w:rPr>
                <w:noProof/>
                <w:webHidden/>
              </w:rPr>
              <w:t>7</w:t>
            </w:r>
            <w:r w:rsidR="00B3565A">
              <w:rPr>
                <w:noProof/>
                <w:webHidden/>
              </w:rPr>
              <w:fldChar w:fldCharType="end"/>
            </w:r>
          </w:hyperlink>
        </w:p>
        <w:p w:rsidR="00B3565A" w:rsidRDefault="00CB1C90">
          <w:pPr>
            <w:pStyle w:val="TOC3"/>
            <w:tabs>
              <w:tab w:val="left" w:pos="1320"/>
              <w:tab w:val="right" w:leader="dot" w:pos="9344"/>
            </w:tabs>
            <w:rPr>
              <w:rFonts w:asciiTheme="minorHAnsi" w:eastAsiaTheme="minorEastAsia" w:hAnsiTheme="minorHAnsi" w:cstheme="minorBidi"/>
              <w:noProof/>
              <w:spacing w:val="0"/>
              <w:sz w:val="22"/>
              <w:szCs w:val="22"/>
            </w:rPr>
          </w:pPr>
          <w:hyperlink w:anchor="_Toc490749795" w:history="1">
            <w:r w:rsidR="00B3565A" w:rsidRPr="00C66907">
              <w:rPr>
                <w:rStyle w:val="Hyperlink"/>
                <w:rFonts w:eastAsiaTheme="majorEastAsia"/>
                <w:noProof/>
              </w:rPr>
              <w:t>2.1.2</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Supported Wage System Fees</w:t>
            </w:r>
            <w:r w:rsidR="00B3565A">
              <w:rPr>
                <w:noProof/>
                <w:webHidden/>
              </w:rPr>
              <w:tab/>
            </w:r>
            <w:r w:rsidR="00B3565A">
              <w:rPr>
                <w:noProof/>
                <w:webHidden/>
              </w:rPr>
              <w:fldChar w:fldCharType="begin"/>
            </w:r>
            <w:r w:rsidR="00B3565A">
              <w:rPr>
                <w:noProof/>
                <w:webHidden/>
              </w:rPr>
              <w:instrText xml:space="preserve"> PAGEREF _Toc490749795 \h </w:instrText>
            </w:r>
            <w:r w:rsidR="00B3565A">
              <w:rPr>
                <w:noProof/>
                <w:webHidden/>
              </w:rPr>
            </w:r>
            <w:r w:rsidR="00B3565A">
              <w:rPr>
                <w:noProof/>
                <w:webHidden/>
              </w:rPr>
              <w:fldChar w:fldCharType="separate"/>
            </w:r>
            <w:r w:rsidR="00B3565A">
              <w:rPr>
                <w:noProof/>
                <w:webHidden/>
              </w:rPr>
              <w:t>7</w:t>
            </w:r>
            <w:r w:rsidR="00B3565A">
              <w:rPr>
                <w:noProof/>
                <w:webHidden/>
              </w:rPr>
              <w:fldChar w:fldCharType="end"/>
            </w:r>
          </w:hyperlink>
        </w:p>
        <w:p w:rsidR="00B3565A" w:rsidRDefault="00CB1C90">
          <w:pPr>
            <w:pStyle w:val="TOC3"/>
            <w:tabs>
              <w:tab w:val="left" w:pos="1320"/>
              <w:tab w:val="right" w:leader="dot" w:pos="9344"/>
            </w:tabs>
            <w:rPr>
              <w:rFonts w:asciiTheme="minorHAnsi" w:eastAsiaTheme="minorEastAsia" w:hAnsiTheme="minorHAnsi" w:cstheme="minorBidi"/>
              <w:noProof/>
              <w:spacing w:val="0"/>
              <w:sz w:val="22"/>
              <w:szCs w:val="22"/>
            </w:rPr>
          </w:pPr>
          <w:hyperlink w:anchor="_Toc490749796" w:history="1">
            <w:r w:rsidR="00B3565A" w:rsidRPr="00C66907">
              <w:rPr>
                <w:rStyle w:val="Hyperlink"/>
                <w:rFonts w:eastAsiaTheme="majorEastAsia"/>
                <w:noProof/>
              </w:rPr>
              <w:t>2.1.3</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Workplace Modifications Fees</w:t>
            </w:r>
            <w:r w:rsidR="00B3565A">
              <w:rPr>
                <w:noProof/>
                <w:webHidden/>
              </w:rPr>
              <w:tab/>
            </w:r>
            <w:r w:rsidR="00B3565A">
              <w:rPr>
                <w:noProof/>
                <w:webHidden/>
              </w:rPr>
              <w:fldChar w:fldCharType="begin"/>
            </w:r>
            <w:r w:rsidR="00B3565A">
              <w:rPr>
                <w:noProof/>
                <w:webHidden/>
              </w:rPr>
              <w:instrText xml:space="preserve"> PAGEREF _Toc490749796 \h </w:instrText>
            </w:r>
            <w:r w:rsidR="00B3565A">
              <w:rPr>
                <w:noProof/>
                <w:webHidden/>
              </w:rPr>
            </w:r>
            <w:r w:rsidR="00B3565A">
              <w:rPr>
                <w:noProof/>
                <w:webHidden/>
              </w:rPr>
              <w:fldChar w:fldCharType="separate"/>
            </w:r>
            <w:r w:rsidR="00B3565A">
              <w:rPr>
                <w:noProof/>
                <w:webHidden/>
              </w:rPr>
              <w:t>7</w:t>
            </w:r>
            <w:r w:rsidR="00B3565A">
              <w:rPr>
                <w:noProof/>
                <w:webHidden/>
              </w:rPr>
              <w:fldChar w:fldCharType="end"/>
            </w:r>
          </w:hyperlink>
        </w:p>
        <w:p w:rsidR="00B3565A" w:rsidRDefault="00CB1C90">
          <w:pPr>
            <w:pStyle w:val="TOC1"/>
            <w:tabs>
              <w:tab w:val="left" w:pos="660"/>
              <w:tab w:val="right" w:leader="dot" w:pos="9344"/>
            </w:tabs>
            <w:rPr>
              <w:rFonts w:asciiTheme="minorHAnsi" w:eastAsiaTheme="minorEastAsia" w:hAnsiTheme="minorHAnsi" w:cstheme="minorBidi"/>
              <w:noProof/>
              <w:spacing w:val="0"/>
              <w:sz w:val="22"/>
              <w:szCs w:val="22"/>
            </w:rPr>
          </w:pPr>
          <w:hyperlink w:anchor="_Toc490749797" w:history="1">
            <w:r w:rsidR="00B3565A" w:rsidRPr="00C66907">
              <w:rPr>
                <w:rStyle w:val="Hyperlink"/>
                <w:rFonts w:eastAsiaTheme="majorEastAsia"/>
                <w:noProof/>
              </w:rPr>
              <w:t>3.</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Grant eligibility criteria</w:t>
            </w:r>
            <w:r w:rsidR="00B3565A">
              <w:rPr>
                <w:noProof/>
                <w:webHidden/>
              </w:rPr>
              <w:tab/>
            </w:r>
            <w:r w:rsidR="00B3565A">
              <w:rPr>
                <w:noProof/>
                <w:webHidden/>
              </w:rPr>
              <w:fldChar w:fldCharType="begin"/>
            </w:r>
            <w:r w:rsidR="00B3565A">
              <w:rPr>
                <w:noProof/>
                <w:webHidden/>
              </w:rPr>
              <w:instrText xml:space="preserve"> PAGEREF _Toc490749797 \h </w:instrText>
            </w:r>
            <w:r w:rsidR="00B3565A">
              <w:rPr>
                <w:noProof/>
                <w:webHidden/>
              </w:rPr>
            </w:r>
            <w:r w:rsidR="00B3565A">
              <w:rPr>
                <w:noProof/>
                <w:webHidden/>
              </w:rPr>
              <w:fldChar w:fldCharType="separate"/>
            </w:r>
            <w:r w:rsidR="00B3565A">
              <w:rPr>
                <w:noProof/>
                <w:webHidden/>
              </w:rPr>
              <w:t>7</w:t>
            </w:r>
            <w:r w:rsidR="00B3565A">
              <w:rPr>
                <w:noProof/>
                <w:webHidden/>
              </w:rPr>
              <w:fldChar w:fldCharType="end"/>
            </w:r>
          </w:hyperlink>
        </w:p>
        <w:p w:rsidR="00B3565A" w:rsidRDefault="00CB1C90">
          <w:pPr>
            <w:pStyle w:val="TOC2"/>
            <w:tabs>
              <w:tab w:val="left" w:pos="880"/>
              <w:tab w:val="right" w:leader="dot" w:pos="9344"/>
            </w:tabs>
            <w:rPr>
              <w:rFonts w:asciiTheme="minorHAnsi" w:eastAsiaTheme="minorEastAsia" w:hAnsiTheme="minorHAnsi" w:cstheme="minorBidi"/>
              <w:noProof/>
              <w:spacing w:val="0"/>
              <w:sz w:val="22"/>
              <w:szCs w:val="22"/>
            </w:rPr>
          </w:pPr>
          <w:hyperlink w:anchor="_Toc490749798" w:history="1">
            <w:r w:rsidR="00B3565A" w:rsidRPr="00C66907">
              <w:rPr>
                <w:rStyle w:val="Hyperlink"/>
                <w:rFonts w:eastAsiaTheme="majorEastAsia"/>
                <w:noProof/>
                <w14:scene3d>
                  <w14:camera w14:prst="orthographicFront"/>
                  <w14:lightRig w14:rig="threePt" w14:dir="t">
                    <w14:rot w14:lat="0" w14:lon="0" w14:rev="0"/>
                  </w14:lightRig>
                </w14:scene3d>
              </w:rPr>
              <w:t>3.1</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Who is eligible to apply?</w:t>
            </w:r>
            <w:r w:rsidR="00B3565A">
              <w:rPr>
                <w:noProof/>
                <w:webHidden/>
              </w:rPr>
              <w:tab/>
            </w:r>
            <w:r w:rsidR="00B3565A">
              <w:rPr>
                <w:noProof/>
                <w:webHidden/>
              </w:rPr>
              <w:fldChar w:fldCharType="begin"/>
            </w:r>
            <w:r w:rsidR="00B3565A">
              <w:rPr>
                <w:noProof/>
                <w:webHidden/>
              </w:rPr>
              <w:instrText xml:space="preserve"> PAGEREF _Toc490749798 \h </w:instrText>
            </w:r>
            <w:r w:rsidR="00B3565A">
              <w:rPr>
                <w:noProof/>
                <w:webHidden/>
              </w:rPr>
            </w:r>
            <w:r w:rsidR="00B3565A">
              <w:rPr>
                <w:noProof/>
                <w:webHidden/>
              </w:rPr>
              <w:fldChar w:fldCharType="separate"/>
            </w:r>
            <w:r w:rsidR="00B3565A">
              <w:rPr>
                <w:noProof/>
                <w:webHidden/>
              </w:rPr>
              <w:t>7</w:t>
            </w:r>
            <w:r w:rsidR="00B3565A">
              <w:rPr>
                <w:noProof/>
                <w:webHidden/>
              </w:rPr>
              <w:fldChar w:fldCharType="end"/>
            </w:r>
          </w:hyperlink>
        </w:p>
        <w:p w:rsidR="00B3565A" w:rsidRDefault="00CB1C90">
          <w:pPr>
            <w:pStyle w:val="TOC2"/>
            <w:tabs>
              <w:tab w:val="left" w:pos="880"/>
              <w:tab w:val="right" w:leader="dot" w:pos="9344"/>
            </w:tabs>
            <w:rPr>
              <w:rFonts w:asciiTheme="minorHAnsi" w:eastAsiaTheme="minorEastAsia" w:hAnsiTheme="minorHAnsi" w:cstheme="minorBidi"/>
              <w:noProof/>
              <w:spacing w:val="0"/>
              <w:sz w:val="22"/>
              <w:szCs w:val="22"/>
            </w:rPr>
          </w:pPr>
          <w:hyperlink w:anchor="_Toc490749799" w:history="1">
            <w:r w:rsidR="00B3565A" w:rsidRPr="00C66907">
              <w:rPr>
                <w:rStyle w:val="Hyperlink"/>
                <w:rFonts w:eastAsiaTheme="majorEastAsia"/>
                <w:noProof/>
                <w14:scene3d>
                  <w14:camera w14:prst="orthographicFront"/>
                  <w14:lightRig w14:rig="threePt" w14:dir="t">
                    <w14:rot w14:lat="0" w14:lon="0" w14:rev="0"/>
                  </w14:lightRig>
                </w14:scene3d>
              </w:rPr>
              <w:t>3.2</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What qualifications or skills are required?</w:t>
            </w:r>
            <w:r w:rsidR="00B3565A">
              <w:rPr>
                <w:noProof/>
                <w:webHidden/>
              </w:rPr>
              <w:tab/>
            </w:r>
            <w:r w:rsidR="00B3565A">
              <w:rPr>
                <w:noProof/>
                <w:webHidden/>
              </w:rPr>
              <w:fldChar w:fldCharType="begin"/>
            </w:r>
            <w:r w:rsidR="00B3565A">
              <w:rPr>
                <w:noProof/>
                <w:webHidden/>
              </w:rPr>
              <w:instrText xml:space="preserve"> PAGEREF _Toc490749799 \h </w:instrText>
            </w:r>
            <w:r w:rsidR="00B3565A">
              <w:rPr>
                <w:noProof/>
                <w:webHidden/>
              </w:rPr>
            </w:r>
            <w:r w:rsidR="00B3565A">
              <w:rPr>
                <w:noProof/>
                <w:webHidden/>
              </w:rPr>
              <w:fldChar w:fldCharType="separate"/>
            </w:r>
            <w:r w:rsidR="00B3565A">
              <w:rPr>
                <w:noProof/>
                <w:webHidden/>
              </w:rPr>
              <w:t>8</w:t>
            </w:r>
            <w:r w:rsidR="00B3565A">
              <w:rPr>
                <w:noProof/>
                <w:webHidden/>
              </w:rPr>
              <w:fldChar w:fldCharType="end"/>
            </w:r>
          </w:hyperlink>
        </w:p>
        <w:p w:rsidR="00B3565A" w:rsidRDefault="00CB1C90">
          <w:pPr>
            <w:pStyle w:val="TOC1"/>
            <w:tabs>
              <w:tab w:val="left" w:pos="660"/>
              <w:tab w:val="right" w:leader="dot" w:pos="9344"/>
            </w:tabs>
            <w:rPr>
              <w:rFonts w:asciiTheme="minorHAnsi" w:eastAsiaTheme="minorEastAsia" w:hAnsiTheme="minorHAnsi" w:cstheme="minorBidi"/>
              <w:noProof/>
              <w:spacing w:val="0"/>
              <w:sz w:val="22"/>
              <w:szCs w:val="22"/>
            </w:rPr>
          </w:pPr>
          <w:hyperlink w:anchor="_Toc490749800" w:history="1">
            <w:r w:rsidR="00B3565A" w:rsidRPr="00C66907">
              <w:rPr>
                <w:rStyle w:val="Hyperlink"/>
                <w:rFonts w:eastAsiaTheme="majorEastAsia"/>
                <w:noProof/>
              </w:rPr>
              <w:t>4.</w:t>
            </w:r>
            <w:r w:rsidR="00B3565A">
              <w:rPr>
                <w:rFonts w:asciiTheme="minorHAnsi" w:eastAsiaTheme="minorEastAsia" w:hAnsiTheme="minorHAnsi" w:cstheme="minorBidi"/>
                <w:noProof/>
                <w:spacing w:val="0"/>
                <w:sz w:val="22"/>
                <w:szCs w:val="22"/>
              </w:rPr>
              <w:tab/>
            </w:r>
            <w:r w:rsidR="00B3565A" w:rsidRPr="00C66907">
              <w:rPr>
                <w:rStyle w:val="Hyperlink"/>
                <w:rFonts w:eastAsiaTheme="majorEastAsia"/>
                <w:noProof/>
              </w:rPr>
              <w:t>Glossary</w:t>
            </w:r>
            <w:r w:rsidR="00B3565A">
              <w:rPr>
                <w:noProof/>
                <w:webHidden/>
              </w:rPr>
              <w:tab/>
            </w:r>
            <w:r w:rsidR="00B3565A">
              <w:rPr>
                <w:noProof/>
                <w:webHidden/>
              </w:rPr>
              <w:fldChar w:fldCharType="begin"/>
            </w:r>
            <w:r w:rsidR="00B3565A">
              <w:rPr>
                <w:noProof/>
                <w:webHidden/>
              </w:rPr>
              <w:instrText xml:space="preserve"> PAGEREF _Toc490749800 \h </w:instrText>
            </w:r>
            <w:r w:rsidR="00B3565A">
              <w:rPr>
                <w:noProof/>
                <w:webHidden/>
              </w:rPr>
            </w:r>
            <w:r w:rsidR="00B3565A">
              <w:rPr>
                <w:noProof/>
                <w:webHidden/>
              </w:rPr>
              <w:fldChar w:fldCharType="separate"/>
            </w:r>
            <w:r w:rsidR="00B3565A">
              <w:rPr>
                <w:noProof/>
                <w:webHidden/>
              </w:rPr>
              <w:t>10</w:t>
            </w:r>
            <w:r w:rsidR="00B3565A">
              <w:rPr>
                <w:noProof/>
                <w:webHidden/>
              </w:rPr>
              <w:fldChar w:fldCharType="end"/>
            </w:r>
          </w:hyperlink>
        </w:p>
        <w:p w:rsidR="00726B08" w:rsidRDefault="00726B08">
          <w:r>
            <w:rPr>
              <w:b/>
              <w:bCs/>
              <w:noProof/>
            </w:rPr>
            <w:fldChar w:fldCharType="end"/>
          </w:r>
        </w:p>
      </w:sdtContent>
    </w:sdt>
    <w:p w:rsidR="00726B08" w:rsidRDefault="00726B08">
      <w:pPr>
        <w:spacing w:before="0" w:after="200" w:line="276" w:lineRule="auto"/>
        <w:rPr>
          <w:rFonts w:asciiTheme="majorHAnsi" w:eastAsiaTheme="majorEastAsia" w:hAnsiTheme="majorHAnsi" w:cstheme="majorBidi"/>
          <w:bCs/>
          <w:color w:val="005A70" w:themeColor="accent1"/>
          <w:spacing w:val="0"/>
          <w:sz w:val="40"/>
          <w:szCs w:val="28"/>
          <w:lang w:eastAsia="en-US"/>
        </w:rPr>
      </w:pPr>
      <w:r>
        <w:rPr>
          <w:color w:val="005A70" w:themeColor="accent1"/>
        </w:rPr>
        <w:br w:type="page"/>
      </w:r>
    </w:p>
    <w:p w:rsidR="00337926" w:rsidRPr="008F0C33" w:rsidRDefault="00A076AF" w:rsidP="008F0C33">
      <w:pPr>
        <w:pStyle w:val="Heading1Numbered"/>
        <w:rPr>
          <w:color w:val="005A70" w:themeColor="accent1"/>
        </w:rPr>
      </w:pPr>
      <w:bookmarkStart w:id="2" w:name="_Toc490749787"/>
      <w:r w:rsidRPr="008F0C33">
        <w:rPr>
          <w:color w:val="005A70" w:themeColor="accent1"/>
        </w:rPr>
        <w:lastRenderedPageBreak/>
        <w:t>Background</w:t>
      </w:r>
      <w:bookmarkEnd w:id="2"/>
      <w:bookmarkEnd w:id="1"/>
      <w:r w:rsidR="00337926" w:rsidRPr="008F0C33">
        <w:rPr>
          <w:color w:val="005A70" w:themeColor="accent1"/>
        </w:rPr>
        <w:t xml:space="preserve"> </w:t>
      </w:r>
    </w:p>
    <w:p w:rsidR="00AC72FA" w:rsidRPr="004B0038" w:rsidRDefault="00AC72FA" w:rsidP="00AC72FA">
      <w:bookmarkStart w:id="3" w:name="_Toc458420391"/>
      <w:bookmarkStart w:id="4" w:name="_Toc467773950"/>
      <w:bookmarkStart w:id="5" w:name="_Toc488147109"/>
      <w:r w:rsidRPr="004B0038">
        <w:t xml:space="preserve">As announced in the </w:t>
      </w:r>
      <w:r w:rsidR="00071FFF">
        <w:t xml:space="preserve">June 2017 </w:t>
      </w:r>
      <w:r w:rsidRPr="004B0038">
        <w:t xml:space="preserve">Disability Employment Services (DES) Reform 2018 </w:t>
      </w:r>
      <w:hyperlink r:id="rId12" w:history="1">
        <w:r w:rsidR="007F69FA" w:rsidRPr="003B762C">
          <w:rPr>
            <w:rStyle w:val="Hyperlink"/>
            <w:sz w:val="24"/>
          </w:rPr>
          <w:t>Industry Information Paper</w:t>
        </w:r>
      </w:hyperlink>
      <w:r w:rsidRPr="004B0038">
        <w:t>, the National Panel of Assessors (NPA) provider arrangements will take effect from 1 July 2018.</w:t>
      </w:r>
    </w:p>
    <w:p w:rsidR="00AC72FA" w:rsidRPr="008F0C33" w:rsidRDefault="00AC72FA" w:rsidP="008F0C33">
      <w:pPr>
        <w:pStyle w:val="Heading2Numbered"/>
        <w:ind w:left="567"/>
        <w:rPr>
          <w:color w:val="005A70" w:themeColor="accent1"/>
        </w:rPr>
      </w:pPr>
      <w:bookmarkStart w:id="6" w:name="_Toc490749788"/>
      <w:r w:rsidRPr="008F0C33">
        <w:rPr>
          <w:color w:val="005A70" w:themeColor="accent1"/>
        </w:rPr>
        <w:t>NPA Services</w:t>
      </w:r>
      <w:bookmarkEnd w:id="6"/>
    </w:p>
    <w:p w:rsidR="00071FFF" w:rsidRDefault="00AC72FA" w:rsidP="00AC72FA">
      <w:r w:rsidRPr="004B0038">
        <w:t>The NPA is a standing panel of</w:t>
      </w:r>
      <w:r>
        <w:t xml:space="preserve"> independent</w:t>
      </w:r>
      <w:r w:rsidRPr="004B0038">
        <w:t xml:space="preserve"> </w:t>
      </w:r>
      <w:r w:rsidR="00F8396F">
        <w:t>a</w:t>
      </w:r>
      <w:r w:rsidRPr="004B0038">
        <w:t xml:space="preserve">ssessment </w:t>
      </w:r>
      <w:r w:rsidR="00F8396F">
        <w:t>s</w:t>
      </w:r>
      <w:r w:rsidRPr="004B0038">
        <w:t>ervice providers, contracted to provide O</w:t>
      </w:r>
      <w:r>
        <w:t xml:space="preserve">ngoing Support Assessment (OSA), </w:t>
      </w:r>
      <w:r w:rsidR="00690D99">
        <w:t>Supported Wage System (</w:t>
      </w:r>
      <w:r w:rsidRPr="004B0038">
        <w:t>SWS</w:t>
      </w:r>
      <w:r w:rsidR="00690D99">
        <w:t>)</w:t>
      </w:r>
      <w:r w:rsidRPr="004B0038">
        <w:t xml:space="preserve"> and Workplace Modification</w:t>
      </w:r>
      <w:r w:rsidR="00690D99">
        <w:t>s</w:t>
      </w:r>
      <w:r w:rsidRPr="004B0038">
        <w:t xml:space="preserve"> </w:t>
      </w:r>
      <w:r>
        <w:t xml:space="preserve">Scheme </w:t>
      </w:r>
      <w:r w:rsidRPr="004B0038">
        <w:t>(WMS)</w:t>
      </w:r>
      <w:r>
        <w:t xml:space="preserve"> assessments</w:t>
      </w:r>
      <w:r w:rsidRPr="004B0038">
        <w:t>.</w:t>
      </w:r>
      <w:r>
        <w:t xml:space="preserve"> </w:t>
      </w:r>
    </w:p>
    <w:p w:rsidR="00071FFF" w:rsidRDefault="00071FFF" w:rsidP="00071FFF">
      <w:pPr>
        <w:rPr>
          <w:rFonts w:cs="Arial"/>
        </w:rPr>
      </w:pPr>
      <w:r>
        <w:rPr>
          <w:rFonts w:cs="Arial"/>
        </w:rPr>
        <w:t>NPA panel provider</w:t>
      </w:r>
      <w:r w:rsidR="00690D99">
        <w:rPr>
          <w:rFonts w:cs="Arial"/>
        </w:rPr>
        <w:t>s</w:t>
      </w:r>
      <w:r>
        <w:rPr>
          <w:rFonts w:cs="Arial"/>
        </w:rPr>
        <w:t xml:space="preserve"> </w:t>
      </w:r>
      <w:r w:rsidR="00F8396F">
        <w:rPr>
          <w:rFonts w:cs="Arial"/>
        </w:rPr>
        <w:t>do</w:t>
      </w:r>
      <w:r w:rsidRPr="002544B3">
        <w:rPr>
          <w:rFonts w:cs="Arial"/>
        </w:rPr>
        <w:t xml:space="preserve"> </w:t>
      </w:r>
      <w:r w:rsidR="00690D99">
        <w:rPr>
          <w:rFonts w:cs="Arial"/>
        </w:rPr>
        <w:t xml:space="preserve">independent </w:t>
      </w:r>
      <w:r w:rsidRPr="002544B3">
        <w:rPr>
          <w:rFonts w:cs="Arial"/>
        </w:rPr>
        <w:t>evaluation</w:t>
      </w:r>
      <w:r w:rsidR="00F8396F">
        <w:rPr>
          <w:rFonts w:cs="Arial"/>
        </w:rPr>
        <w:t>s</w:t>
      </w:r>
      <w:r w:rsidRPr="002544B3">
        <w:rPr>
          <w:rFonts w:cs="Arial"/>
        </w:rPr>
        <w:t xml:space="preserve"> of a workplace and a person’s individual job requirements or needs. This evaluation can include an assessment of the physical environment, analysis of specific work tasks, review of injury-prevention strategies and recommendations for workplace modifications.</w:t>
      </w:r>
    </w:p>
    <w:p w:rsidR="007F69FA" w:rsidRPr="002544B3" w:rsidRDefault="007F69FA" w:rsidP="00071FFF">
      <w:pPr>
        <w:rPr>
          <w:rFonts w:cs="Arial"/>
        </w:rPr>
      </w:pPr>
      <w:r>
        <w:rPr>
          <w:rFonts w:cs="Arial"/>
        </w:rPr>
        <w:t>NPAs work closely with employment service providers, particularly DES providers, who schedule and attend OSA assessments for DES participants, and can apply for SWS and EAF on behalf of their clients.</w:t>
      </w:r>
    </w:p>
    <w:p w:rsidR="00AC72FA" w:rsidRDefault="00AC72FA" w:rsidP="00AC72FA">
      <w:r>
        <w:t xml:space="preserve">Panel providers are expected to </w:t>
      </w:r>
      <w:r w:rsidRPr="00FB7F7D">
        <w:t>have an understanding of employment support requirements for people with disability and mental illnes</w:t>
      </w:r>
      <w:r>
        <w:t>s, including workplace barriers</w:t>
      </w:r>
      <w:r w:rsidR="00F8396F">
        <w:t>. They</w:t>
      </w:r>
      <w:r>
        <w:t xml:space="preserve"> are required to exercise expert judgement in making appropriate and accurate recommendations.</w:t>
      </w:r>
    </w:p>
    <w:p w:rsidR="00F8396F" w:rsidRDefault="00AC72FA" w:rsidP="00AC72FA">
      <w:r w:rsidRPr="00DA6D65">
        <w:t>O</w:t>
      </w:r>
      <w:r>
        <w:t>SAs</w:t>
      </w:r>
      <w:r w:rsidRPr="00DA6D65">
        <w:t xml:space="preserve"> </w:t>
      </w:r>
      <w:r>
        <w:t>independently assess the ongoing support needs of p</w:t>
      </w:r>
      <w:r w:rsidRPr="00DA6D65">
        <w:t xml:space="preserve">articipants where a </w:t>
      </w:r>
      <w:r>
        <w:t>DES provider</w:t>
      </w:r>
      <w:r w:rsidRPr="00DA6D65">
        <w:t xml:space="preserve"> </w:t>
      </w:r>
      <w:r w:rsidR="00F8396F">
        <w:t>identifies</w:t>
      </w:r>
      <w:r w:rsidRPr="00DA6D65">
        <w:t xml:space="preserve"> a</w:t>
      </w:r>
      <w:r>
        <w:t xml:space="preserve"> participant likely to need ongoing s</w:t>
      </w:r>
      <w:r w:rsidRPr="00DA6D65">
        <w:t>upport in the workplace to retain their job</w:t>
      </w:r>
      <w:r>
        <w:t>. This assessment may include collecting of information regarding</w:t>
      </w:r>
      <w:r w:rsidR="00F8396F">
        <w:t>:</w:t>
      </w:r>
    </w:p>
    <w:p w:rsidR="00F8396F" w:rsidRDefault="00AC72FA" w:rsidP="0092337B">
      <w:pPr>
        <w:pStyle w:val="ListParagraph"/>
        <w:numPr>
          <w:ilvl w:val="0"/>
          <w:numId w:val="51"/>
        </w:numPr>
      </w:pPr>
      <w:r>
        <w:t>the person’s employment</w:t>
      </w:r>
    </w:p>
    <w:p w:rsidR="00F8396F" w:rsidRDefault="00AC72FA" w:rsidP="0092337B">
      <w:pPr>
        <w:pStyle w:val="ListParagraph"/>
        <w:numPr>
          <w:ilvl w:val="0"/>
          <w:numId w:val="51"/>
        </w:numPr>
      </w:pPr>
      <w:r>
        <w:t>barriers to employment</w:t>
      </w:r>
    </w:p>
    <w:p w:rsidR="00F8396F" w:rsidRDefault="00AC72FA" w:rsidP="0092337B">
      <w:pPr>
        <w:pStyle w:val="ListParagraph"/>
        <w:numPr>
          <w:ilvl w:val="0"/>
          <w:numId w:val="51"/>
        </w:numPr>
      </w:pPr>
      <w:r>
        <w:t>assistance received from their DES provider or from other services</w:t>
      </w:r>
    </w:p>
    <w:p w:rsidR="00F8396F" w:rsidRDefault="00AC72FA" w:rsidP="0092337B">
      <w:pPr>
        <w:pStyle w:val="ListParagraph"/>
        <w:numPr>
          <w:ilvl w:val="0"/>
          <w:numId w:val="51"/>
        </w:numPr>
      </w:pPr>
      <w:r>
        <w:t>meeting with the participant, their employer and DES provider, and</w:t>
      </w:r>
    </w:p>
    <w:p w:rsidR="00F8396F" w:rsidRDefault="00AC72FA" w:rsidP="0092337B">
      <w:pPr>
        <w:pStyle w:val="ListParagraph"/>
        <w:numPr>
          <w:ilvl w:val="0"/>
          <w:numId w:val="51"/>
        </w:numPr>
      </w:pPr>
      <w:r>
        <w:t>inspecting the participant’s place of employment.</w:t>
      </w:r>
      <w:r w:rsidR="00AC7348">
        <w:t xml:space="preserve"> </w:t>
      </w:r>
    </w:p>
    <w:p w:rsidR="00AC72FA" w:rsidRDefault="00AC7348" w:rsidP="00AC72FA">
      <w:r>
        <w:t xml:space="preserve">The responsibilities and the actions required to complete an OSA are outlined in the </w:t>
      </w:r>
      <w:hyperlink r:id="rId13" w:history="1">
        <w:r w:rsidRPr="00AC7348">
          <w:rPr>
            <w:rStyle w:val="Hyperlink"/>
            <w:sz w:val="24"/>
          </w:rPr>
          <w:t>Disability Employment Services Ongoing Support Assessment Guidelines V2.2.</w:t>
        </w:r>
      </w:hyperlink>
    </w:p>
    <w:p w:rsidR="00AC72FA" w:rsidRDefault="00AC72FA" w:rsidP="00AC72FA">
      <w:r w:rsidRPr="00DA6D65">
        <w:t xml:space="preserve">If a person with disability is not able to work at the same productivity levels as their co-workers due to the effects of their disability, and the person with disability meets the impairment criteria for receipt of the Disability Support Pension, the person may be eligible to participate in </w:t>
      </w:r>
      <w:r w:rsidR="00690D99">
        <w:t xml:space="preserve">the </w:t>
      </w:r>
      <w:r w:rsidRPr="00DA6D65">
        <w:t>SWS.</w:t>
      </w:r>
      <w:r>
        <w:t xml:space="preserve">  A SWS assessment will determine the eligible employee’s productivity so it can be applied to their wage, and facilitate a</w:t>
      </w:r>
      <w:r w:rsidR="00F8396F">
        <w:t>n agreed</w:t>
      </w:r>
      <w:r>
        <w:t xml:space="preserve"> SWS wage agreement between the employer and employee and submitted to the relevant industrial legislative authority.</w:t>
      </w:r>
      <w:r w:rsidR="00AC7348">
        <w:t xml:space="preserve"> The process for arranging and conducting a SWS Assessment is outlined in the </w:t>
      </w:r>
      <w:hyperlink r:id="rId14" w:history="1">
        <w:r w:rsidR="00AC7348" w:rsidRPr="00AC7348">
          <w:rPr>
            <w:rStyle w:val="Hyperlink"/>
            <w:sz w:val="24"/>
          </w:rPr>
          <w:t>Australian Government Supported Wage System Assessment Guidelines V1.3</w:t>
        </w:r>
      </w:hyperlink>
      <w:r w:rsidR="00F8396F">
        <w:t>. F</w:t>
      </w:r>
      <w:r w:rsidR="00AC7348">
        <w:t xml:space="preserve">urther information about SWS, including the SWS Handbook, </w:t>
      </w:r>
      <w:r w:rsidR="002F2E57">
        <w:t>is available</w:t>
      </w:r>
      <w:r w:rsidR="00AC7348">
        <w:t xml:space="preserve"> on the Australian Government’s website </w:t>
      </w:r>
      <w:hyperlink r:id="rId15" w:history="1">
        <w:r w:rsidR="00AC7348" w:rsidRPr="00AC7348">
          <w:rPr>
            <w:rStyle w:val="Hyperlink"/>
            <w:sz w:val="24"/>
          </w:rPr>
          <w:t>JobAccess</w:t>
        </w:r>
      </w:hyperlink>
      <w:r w:rsidR="00AC7348">
        <w:t>.</w:t>
      </w:r>
    </w:p>
    <w:p w:rsidR="00CB2C13" w:rsidRDefault="00CB2C13" w:rsidP="00AC72FA"/>
    <w:p w:rsidR="00AC72FA" w:rsidRDefault="00AC72FA" w:rsidP="00AC72FA">
      <w:r>
        <w:lastRenderedPageBreak/>
        <w:t xml:space="preserve">The WMS assessment </w:t>
      </w:r>
      <w:r w:rsidR="002568D9">
        <w:t xml:space="preserve">provides </w:t>
      </w:r>
      <w:r>
        <w:t xml:space="preserve">for employees with disability to identify their barriers to accessing or </w:t>
      </w:r>
      <w:r w:rsidR="002568D9">
        <w:t xml:space="preserve">doing </w:t>
      </w:r>
      <w:r>
        <w:t xml:space="preserve">their work, and to recommend equipment, modifications and other support to </w:t>
      </w:r>
      <w:r w:rsidR="002568D9">
        <w:t xml:space="preserve">help </w:t>
      </w:r>
      <w:r>
        <w:t>them overcome these barriers.</w:t>
      </w:r>
      <w:r w:rsidR="00690D99">
        <w:t xml:space="preserve"> WMS assessors </w:t>
      </w:r>
      <w:r w:rsidR="002568D9">
        <w:t>need</w:t>
      </w:r>
      <w:r w:rsidR="00690D99">
        <w:t xml:space="preserve"> to have an in</w:t>
      </w:r>
      <w:r w:rsidR="002568D9">
        <w:t>-</w:t>
      </w:r>
      <w:r w:rsidR="00690D99">
        <w:t>depth understanding of industry building and accessibility codes and human physiology.</w:t>
      </w:r>
      <w:r>
        <w:t xml:space="preserve"> An NPA provider may </w:t>
      </w:r>
      <w:r w:rsidR="00690D99">
        <w:t xml:space="preserve">also </w:t>
      </w:r>
      <w:r>
        <w:t xml:space="preserve">provide specialist WMS assessment services, and </w:t>
      </w:r>
      <w:r w:rsidR="00690D99">
        <w:t>may</w:t>
      </w:r>
      <w:r>
        <w:t xml:space="preserve"> be requested to </w:t>
      </w:r>
      <w:r w:rsidR="002568D9">
        <w:t xml:space="preserve">do specific </w:t>
      </w:r>
      <w:r>
        <w:t>assessments</w:t>
      </w:r>
      <w:r w:rsidR="002568D9">
        <w:t xml:space="preserve">, </w:t>
      </w:r>
      <w:r>
        <w:t>such as fo</w:t>
      </w:r>
      <w:r w:rsidR="00690D99">
        <w:t>r people with visual impairment</w:t>
      </w:r>
      <w:r>
        <w:t xml:space="preserve"> or spinal injuries.</w:t>
      </w:r>
      <w:r w:rsidR="00AC7348">
        <w:t xml:space="preserve"> Information about the responsibilities and actions </w:t>
      </w:r>
      <w:r w:rsidR="002568D9">
        <w:t>to do</w:t>
      </w:r>
      <w:r w:rsidR="00AC7348">
        <w:t xml:space="preserve"> WM</w:t>
      </w:r>
      <w:r w:rsidR="002568D9">
        <w:t>S</w:t>
      </w:r>
      <w:r w:rsidR="00AC7348">
        <w:t xml:space="preserve"> </w:t>
      </w:r>
      <w:r w:rsidR="002568D9">
        <w:t>a</w:t>
      </w:r>
      <w:r w:rsidR="00AC7348">
        <w:t xml:space="preserve">ssessments are </w:t>
      </w:r>
      <w:r w:rsidR="002568D9">
        <w:t xml:space="preserve">found </w:t>
      </w:r>
      <w:r w:rsidR="00AC7348">
        <w:t xml:space="preserve">in the </w:t>
      </w:r>
      <w:hyperlink r:id="rId16" w:history="1">
        <w:r w:rsidR="00AC7348" w:rsidRPr="00AC7348">
          <w:rPr>
            <w:rStyle w:val="Hyperlink"/>
            <w:sz w:val="24"/>
          </w:rPr>
          <w:t>Australian Government Workplace Modifications Assessment Guidelines V1.2.</w:t>
        </w:r>
      </w:hyperlink>
    </w:p>
    <w:p w:rsidR="00AC72FA" w:rsidRPr="008F0C33" w:rsidRDefault="00AC72FA" w:rsidP="008F0C33">
      <w:pPr>
        <w:pStyle w:val="Heading2Numbered"/>
        <w:ind w:left="567"/>
        <w:rPr>
          <w:color w:val="005A70" w:themeColor="accent1"/>
        </w:rPr>
      </w:pPr>
      <w:bookmarkStart w:id="7" w:name="_Toc490749789"/>
      <w:r w:rsidRPr="008F0C33">
        <w:rPr>
          <w:color w:val="005A70" w:themeColor="accent1"/>
        </w:rPr>
        <w:t>DES-NPA 2018 Grant Application</w:t>
      </w:r>
      <w:bookmarkEnd w:id="7"/>
    </w:p>
    <w:p w:rsidR="00AC72FA" w:rsidRDefault="00AC72FA" w:rsidP="00AC72FA">
      <w:r w:rsidRPr="004B0038">
        <w:t xml:space="preserve">The Department of Social Services </w:t>
      </w:r>
      <w:r w:rsidR="002568D9">
        <w:t xml:space="preserve">(DSS) </w:t>
      </w:r>
      <w:r w:rsidRPr="004B0038">
        <w:t xml:space="preserve">will invite applications for a </w:t>
      </w:r>
      <w:r w:rsidR="002568D9">
        <w:br/>
      </w:r>
      <w:r w:rsidRPr="004B0038">
        <w:t xml:space="preserve">non-competitive grant application process to deliver </w:t>
      </w:r>
      <w:r w:rsidR="002568D9">
        <w:t>a</w:t>
      </w:r>
      <w:r w:rsidRPr="004B0038">
        <w:t xml:space="preserve">ssessment </w:t>
      </w:r>
      <w:r w:rsidR="002568D9">
        <w:t>s</w:t>
      </w:r>
      <w:r w:rsidRPr="004B0038">
        <w:t xml:space="preserve">ervices as part of the DES-NPA 2018 standing panel. The DES-NPA will run over </w:t>
      </w:r>
      <w:r w:rsidRPr="0092337B">
        <w:rPr>
          <w:b/>
        </w:rPr>
        <w:t>five years</w:t>
      </w:r>
      <w:r w:rsidRPr="004B0038">
        <w:t xml:space="preserve"> from </w:t>
      </w:r>
      <w:r w:rsidR="002568D9">
        <w:br/>
      </w:r>
      <w:r w:rsidRPr="0092337B">
        <w:rPr>
          <w:b/>
        </w:rPr>
        <w:t>1 July 2018 to 30 June 2023.</w:t>
      </w:r>
      <w:r w:rsidR="00647A9F" w:rsidRPr="00647A9F">
        <w:rPr>
          <w:rFonts w:cs="Arial"/>
        </w:rPr>
        <w:t xml:space="preserve"> </w:t>
      </w:r>
      <w:r w:rsidR="00647A9F" w:rsidRPr="002544B3">
        <w:rPr>
          <w:rFonts w:cs="Arial"/>
        </w:rPr>
        <w:t>The program was announced as part of the Australian Government’s commitment to improving employment outcomes for people with disability and getting more people with disability into jobs.</w:t>
      </w:r>
    </w:p>
    <w:p w:rsidR="00AC72FA" w:rsidRPr="0092337B" w:rsidRDefault="00AC72FA" w:rsidP="00AC72FA">
      <w:pPr>
        <w:rPr>
          <w:i/>
        </w:rPr>
      </w:pPr>
      <w:r w:rsidRPr="003B1FCE">
        <w:rPr>
          <w:rStyle w:val="BookTitle"/>
          <w:i w:val="0"/>
          <w:smallCaps w:val="0"/>
          <w:spacing w:val="0"/>
        </w:rPr>
        <w:t xml:space="preserve">The application process will be administered by the Community Grants Hub on behalf of the </w:t>
      </w:r>
      <w:r w:rsidR="002568D9">
        <w:rPr>
          <w:rStyle w:val="BookTitle"/>
          <w:i w:val="0"/>
          <w:smallCaps w:val="0"/>
          <w:spacing w:val="0"/>
        </w:rPr>
        <w:t>DSS</w:t>
      </w:r>
      <w:r w:rsidR="002568D9" w:rsidRPr="003B1FCE">
        <w:rPr>
          <w:rStyle w:val="BookTitle"/>
          <w:i w:val="0"/>
          <w:smallCaps w:val="0"/>
          <w:spacing w:val="0"/>
        </w:rPr>
        <w:t xml:space="preserve"> </w:t>
      </w:r>
      <w:r w:rsidRPr="003B1FCE">
        <w:rPr>
          <w:rStyle w:val="BookTitle"/>
          <w:i w:val="0"/>
          <w:smallCaps w:val="0"/>
          <w:spacing w:val="0"/>
        </w:rPr>
        <w:t>under a Whole of Australian Government initiative to streamline grant processes across agencies</w:t>
      </w:r>
      <w:r w:rsidR="002568D9">
        <w:rPr>
          <w:rStyle w:val="BookTitle"/>
          <w:i w:val="0"/>
          <w:smallCaps w:val="0"/>
          <w:spacing w:val="0"/>
        </w:rPr>
        <w:t xml:space="preserve"> and</w:t>
      </w:r>
      <w:r w:rsidRPr="003B1FCE">
        <w:rPr>
          <w:rStyle w:val="BookTitle"/>
          <w:i w:val="0"/>
          <w:smallCaps w:val="0"/>
          <w:spacing w:val="0"/>
        </w:rPr>
        <w:t xml:space="preserve"> according to </w:t>
      </w:r>
      <w:r w:rsidRPr="000E0770">
        <w:rPr>
          <w:rStyle w:val="BookTitle"/>
          <w:smallCaps w:val="0"/>
          <w:spacing w:val="0"/>
        </w:rPr>
        <w:t>the</w:t>
      </w:r>
      <w:r w:rsidRPr="00B3565A">
        <w:rPr>
          <w:rStyle w:val="BookTitle"/>
          <w:smallCaps w:val="0"/>
          <w:color w:val="0070C0"/>
          <w:spacing w:val="0"/>
          <w:u w:val="single"/>
        </w:rPr>
        <w:t xml:space="preserve"> </w:t>
      </w:r>
      <w:hyperlink r:id="rId17" w:history="1">
        <w:r w:rsidRPr="0092337B">
          <w:rPr>
            <w:i/>
            <w:color w:val="0070C0"/>
            <w:u w:val="single"/>
          </w:rPr>
          <w:t>Commonwealth Grants Rules and Guidelines (CGRGs)</w:t>
        </w:r>
      </w:hyperlink>
      <w:r w:rsidRPr="0092337B">
        <w:rPr>
          <w:i/>
          <w:color w:val="0070C0"/>
          <w:u w:val="single"/>
        </w:rPr>
        <w:t xml:space="preserve">. </w:t>
      </w:r>
    </w:p>
    <w:p w:rsidR="00AC72FA" w:rsidRPr="003B1FCE" w:rsidRDefault="00AC72FA" w:rsidP="00AC72FA">
      <w:pPr>
        <w:rPr>
          <w:rStyle w:val="BookTitle"/>
          <w:rFonts w:cs="Arial"/>
          <w:i w:val="0"/>
          <w:iCs w:val="0"/>
          <w:smallCaps w:val="0"/>
          <w:spacing w:val="0"/>
        </w:rPr>
      </w:pPr>
      <w:r w:rsidRPr="003B1FCE">
        <w:rPr>
          <w:rStyle w:val="BookTitle"/>
          <w:rFonts w:cs="Arial"/>
          <w:i w:val="0"/>
          <w:smallCaps w:val="0"/>
          <w:spacing w:val="0"/>
        </w:rPr>
        <w:t>DES-NPA 2018 applicants may submit an application to provide either or both of the following combinations of assessments:</w:t>
      </w:r>
    </w:p>
    <w:p w:rsidR="00AC72FA" w:rsidRPr="00402C0B" w:rsidRDefault="00AC72FA" w:rsidP="00AC72FA">
      <w:pPr>
        <w:pStyle w:val="Bullet2"/>
        <w:numPr>
          <w:ilvl w:val="2"/>
          <w:numId w:val="27"/>
        </w:numPr>
        <w:suppressAutoHyphens w:val="0"/>
        <w:spacing w:before="0" w:after="120" w:line="240" w:lineRule="auto"/>
        <w:rPr>
          <w:rFonts w:ascii="Arial" w:eastAsia="Times New Roman" w:hAnsi="Arial" w:cs="Times New Roman"/>
          <w:spacing w:val="4"/>
          <w:sz w:val="24"/>
          <w:szCs w:val="24"/>
          <w:lang w:eastAsia="en-AU"/>
        </w:rPr>
      </w:pPr>
      <w:r w:rsidRPr="00402C0B">
        <w:rPr>
          <w:rFonts w:ascii="Arial" w:eastAsia="Times New Roman" w:hAnsi="Arial" w:cs="Times New Roman"/>
          <w:spacing w:val="4"/>
          <w:sz w:val="24"/>
          <w:szCs w:val="24"/>
          <w:lang w:eastAsia="en-AU"/>
        </w:rPr>
        <w:t>OSA and SWS assessments together, and</w:t>
      </w:r>
    </w:p>
    <w:p w:rsidR="00AC72FA" w:rsidRPr="00402C0B" w:rsidRDefault="00AC72FA" w:rsidP="00AC72FA">
      <w:pPr>
        <w:pStyle w:val="Bullet2"/>
        <w:numPr>
          <w:ilvl w:val="2"/>
          <w:numId w:val="27"/>
        </w:numPr>
        <w:suppressAutoHyphens w:val="0"/>
        <w:spacing w:before="0" w:after="120" w:line="240" w:lineRule="auto"/>
        <w:rPr>
          <w:rFonts w:ascii="Arial" w:eastAsia="Times New Roman" w:hAnsi="Arial" w:cs="Times New Roman"/>
          <w:spacing w:val="4"/>
          <w:sz w:val="24"/>
          <w:szCs w:val="24"/>
          <w:lang w:eastAsia="en-AU"/>
        </w:rPr>
      </w:pPr>
      <w:r w:rsidRPr="00402C0B">
        <w:rPr>
          <w:rFonts w:ascii="Arial" w:eastAsia="Times New Roman" w:hAnsi="Arial" w:cs="Times New Roman"/>
          <w:spacing w:val="4"/>
          <w:sz w:val="24"/>
          <w:szCs w:val="24"/>
          <w:lang w:eastAsia="en-AU"/>
        </w:rPr>
        <w:t>WMS assessments</w:t>
      </w:r>
      <w:r w:rsidR="009F0DA8">
        <w:rPr>
          <w:rFonts w:ascii="Arial" w:eastAsia="Times New Roman" w:hAnsi="Arial" w:cs="Times New Roman"/>
          <w:spacing w:val="4"/>
          <w:sz w:val="24"/>
          <w:szCs w:val="24"/>
          <w:lang w:eastAsia="en-AU"/>
        </w:rPr>
        <w:t>.</w:t>
      </w:r>
    </w:p>
    <w:p w:rsidR="00647A9F" w:rsidRPr="00F86F13" w:rsidRDefault="00647A9F" w:rsidP="00647A9F">
      <w:pPr>
        <w:pStyle w:val="Bullet2"/>
        <w:numPr>
          <w:ilvl w:val="0"/>
          <w:numId w:val="0"/>
        </w:numPr>
        <w:suppressAutoHyphens w:val="0"/>
        <w:spacing w:before="0" w:after="120" w:line="240" w:lineRule="auto"/>
        <w:rPr>
          <w:rFonts w:ascii="Arial" w:hAnsi="Arial" w:cs="Arial"/>
          <w:sz w:val="24"/>
          <w:szCs w:val="24"/>
        </w:rPr>
      </w:pPr>
      <w:r w:rsidRPr="00F86F13">
        <w:rPr>
          <w:rFonts w:ascii="Arial" w:hAnsi="Arial" w:cs="Arial"/>
          <w:sz w:val="24"/>
          <w:szCs w:val="24"/>
        </w:rPr>
        <w:t>Applicants may also nominate to provide specialist WM</w:t>
      </w:r>
      <w:r>
        <w:rPr>
          <w:rFonts w:ascii="Arial" w:hAnsi="Arial" w:cs="Arial"/>
          <w:sz w:val="24"/>
          <w:szCs w:val="24"/>
        </w:rPr>
        <w:t>S</w:t>
      </w:r>
      <w:r w:rsidRPr="00F86F13">
        <w:rPr>
          <w:rFonts w:ascii="Arial" w:hAnsi="Arial" w:cs="Arial"/>
          <w:sz w:val="24"/>
          <w:szCs w:val="24"/>
        </w:rPr>
        <w:t xml:space="preserve"> Assessment services.</w:t>
      </w:r>
    </w:p>
    <w:p w:rsidR="00AC72FA" w:rsidRDefault="00AC72FA" w:rsidP="00AC72FA">
      <w:r>
        <w:t xml:space="preserve">Broadly, the range of </w:t>
      </w:r>
      <w:r w:rsidR="002568D9">
        <w:t>a</w:t>
      </w:r>
      <w:r>
        <w:t xml:space="preserve">ssessment </w:t>
      </w:r>
      <w:r w:rsidR="002568D9">
        <w:t>s</w:t>
      </w:r>
      <w:r>
        <w:t xml:space="preserve">ervices required under DES-NPA 2018 will remain the same </w:t>
      </w:r>
      <w:r w:rsidR="00647A9F">
        <w:t xml:space="preserve">as </w:t>
      </w:r>
      <w:r>
        <w:t xml:space="preserve">currently being delivered by the NPA. In addition, there may be </w:t>
      </w:r>
      <w:r w:rsidRPr="0094336C">
        <w:t xml:space="preserve">variations to the way the </w:t>
      </w:r>
      <w:r>
        <w:t>SWS</w:t>
      </w:r>
      <w:r w:rsidRPr="0094336C">
        <w:t xml:space="preserve"> operates in Australian Disability Enterprises (ADEs) which choose to use the SWS under the </w:t>
      </w:r>
      <w:r w:rsidRPr="0094336C">
        <w:rPr>
          <w:i/>
        </w:rPr>
        <w:t xml:space="preserve">Supported Employment Services </w:t>
      </w:r>
      <w:r w:rsidR="002E011E">
        <w:rPr>
          <w:i/>
        </w:rPr>
        <w:t xml:space="preserve">Award </w:t>
      </w:r>
      <w:r w:rsidRPr="0094336C">
        <w:rPr>
          <w:i/>
        </w:rPr>
        <w:t>2010</w:t>
      </w:r>
      <w:r w:rsidR="002E011E">
        <w:rPr>
          <w:i/>
        </w:rPr>
        <w:t xml:space="preserve"> </w:t>
      </w:r>
      <w:r w:rsidR="002E011E" w:rsidRPr="0092337B">
        <w:t>(SES</w:t>
      </w:r>
      <w:r w:rsidRPr="000E0770">
        <w:t xml:space="preserve"> Awar</w:t>
      </w:r>
      <w:r w:rsidRPr="0094336C">
        <w:t>d</w:t>
      </w:r>
      <w:r w:rsidR="002E011E">
        <w:t>)</w:t>
      </w:r>
      <w:r w:rsidRPr="0094336C">
        <w:t>.</w:t>
      </w:r>
      <w:r>
        <w:t xml:space="preserve"> If these variations are agreed by the Fair Work Commission, their requirements will be included in </w:t>
      </w:r>
      <w:r w:rsidR="004B798C">
        <w:t xml:space="preserve">the </w:t>
      </w:r>
      <w:r>
        <w:t xml:space="preserve">SWS Handbook and relevant </w:t>
      </w:r>
      <w:r w:rsidR="00647A9F">
        <w:t>g</w:t>
      </w:r>
      <w:r>
        <w:t xml:space="preserve">uidelines, </w:t>
      </w:r>
      <w:r w:rsidR="00647A9F">
        <w:t>with</w:t>
      </w:r>
      <w:r>
        <w:t xml:space="preserve"> training available. </w:t>
      </w:r>
    </w:p>
    <w:p w:rsidR="00AC72FA" w:rsidRPr="0022086C" w:rsidRDefault="00AC72FA" w:rsidP="00AC72FA">
      <w:r w:rsidRPr="0022086C">
        <w:t xml:space="preserve">The DES-NPA 2018 Grant Application will be advertised on the </w:t>
      </w:r>
      <w:hyperlink r:id="rId18" w:history="1">
        <w:r w:rsidRPr="0022086C">
          <w:rPr>
            <w:rStyle w:val="Hyperlink"/>
            <w:sz w:val="24"/>
          </w:rPr>
          <w:t xml:space="preserve">Community </w:t>
        </w:r>
        <w:r w:rsidRPr="0022086C">
          <w:rPr>
            <w:rStyle w:val="Hyperlink"/>
            <w:rFonts w:cstheme="minorBidi"/>
            <w:sz w:val="24"/>
          </w:rPr>
          <w:t>Grants Hub website</w:t>
        </w:r>
      </w:hyperlink>
      <w:r w:rsidRPr="0022086C">
        <w:t xml:space="preserve"> and interested organisations are encouraged to subscribe to receive Hub updates and other grant alerts.</w:t>
      </w:r>
      <w:r w:rsidR="00071FFF" w:rsidRPr="0022086C">
        <w:t xml:space="preserve">  There will be no requirement to submit a Registration of Interest </w:t>
      </w:r>
      <w:r w:rsidR="007F69FA" w:rsidRPr="0022086C">
        <w:t xml:space="preserve">prior to the grant application </w:t>
      </w:r>
      <w:r w:rsidR="00071FFF" w:rsidRPr="0022086C">
        <w:t xml:space="preserve">for this process. </w:t>
      </w:r>
    </w:p>
    <w:p w:rsidR="00071FFF" w:rsidRPr="00D15547" w:rsidRDefault="00071FFF" w:rsidP="00071FFF">
      <w:r>
        <w:t>The grant application process for DES NPA will be an open non-competitive application process</w:t>
      </w:r>
      <w:r w:rsidR="007F69FA">
        <w:t>. DSS reserves the right to directly approach approved panel members to deliver services in areas where there is no or low take up.</w:t>
      </w:r>
    </w:p>
    <w:p w:rsidR="00AC72FA" w:rsidRPr="008F0C33" w:rsidRDefault="00AC72FA" w:rsidP="008F0C33">
      <w:pPr>
        <w:pStyle w:val="Heading2Numbered"/>
        <w:ind w:left="567"/>
        <w:rPr>
          <w:color w:val="005A70" w:themeColor="accent1"/>
        </w:rPr>
      </w:pPr>
      <w:bookmarkStart w:id="8" w:name="_Toc461105052"/>
      <w:bookmarkStart w:id="9" w:name="_Toc490749790"/>
      <w:bookmarkEnd w:id="8"/>
      <w:r w:rsidRPr="008F0C33">
        <w:rPr>
          <w:color w:val="005A70" w:themeColor="accent1"/>
        </w:rPr>
        <w:lastRenderedPageBreak/>
        <w:t xml:space="preserve">DES-NPA 2018 – </w:t>
      </w:r>
      <w:r w:rsidR="004B798C">
        <w:rPr>
          <w:color w:val="005A70" w:themeColor="accent1"/>
        </w:rPr>
        <w:t>i</w:t>
      </w:r>
      <w:r w:rsidRPr="008F0C33">
        <w:rPr>
          <w:color w:val="005A70" w:themeColor="accent1"/>
        </w:rPr>
        <w:t xml:space="preserve">ndicative </w:t>
      </w:r>
      <w:r w:rsidR="004B798C">
        <w:rPr>
          <w:color w:val="005A70" w:themeColor="accent1"/>
        </w:rPr>
        <w:t>t</w:t>
      </w:r>
      <w:r w:rsidRPr="008F0C33">
        <w:rPr>
          <w:color w:val="005A70" w:themeColor="accent1"/>
        </w:rPr>
        <w:t>imeline</w:t>
      </w:r>
      <w:bookmarkEnd w:id="9"/>
    </w:p>
    <w:p w:rsidR="00AC72FA" w:rsidRDefault="00AC72FA" w:rsidP="00AC72FA">
      <w:pPr>
        <w:spacing w:before="100" w:beforeAutospacing="1" w:after="100" w:afterAutospacing="1" w:line="240" w:lineRule="auto"/>
        <w:rPr>
          <w:rFonts w:cs="Arial"/>
          <w:lang w:val="en-US"/>
        </w:rPr>
      </w:pPr>
      <w:r w:rsidRPr="00EC16B4">
        <w:rPr>
          <w:rFonts w:cs="Arial"/>
          <w:lang w:val="en-US"/>
        </w:rPr>
        <w:t xml:space="preserve">Below </w:t>
      </w:r>
      <w:r w:rsidR="00F352B0">
        <w:rPr>
          <w:rFonts w:cs="Arial"/>
          <w:lang w:val="en-US"/>
        </w:rPr>
        <w:t>is an</w:t>
      </w:r>
      <w:r w:rsidRPr="00EC16B4">
        <w:rPr>
          <w:rFonts w:cs="Arial"/>
          <w:lang w:val="en-US"/>
        </w:rPr>
        <w:t xml:space="preserve"> indi</w:t>
      </w:r>
      <w:r>
        <w:rPr>
          <w:rFonts w:cs="Arial"/>
          <w:lang w:val="en-US"/>
        </w:rPr>
        <w:t xml:space="preserve">cative timeline for the </w:t>
      </w:r>
      <w:r>
        <w:t xml:space="preserve">DES-NPA 2018 </w:t>
      </w:r>
      <w:r w:rsidR="00F352B0">
        <w:rPr>
          <w:rFonts w:cs="Arial"/>
          <w:lang w:val="en-US"/>
        </w:rPr>
        <w:t>g</w:t>
      </w:r>
      <w:r>
        <w:rPr>
          <w:rFonts w:cs="Arial"/>
          <w:lang w:val="en-US"/>
        </w:rPr>
        <w:t xml:space="preserve">rant </w:t>
      </w:r>
      <w:r w:rsidR="00F352B0">
        <w:rPr>
          <w:rFonts w:cs="Arial"/>
          <w:lang w:val="en-US"/>
        </w:rPr>
        <w:t>a</w:t>
      </w:r>
      <w:r w:rsidRPr="00EC16B4">
        <w:rPr>
          <w:rFonts w:cs="Arial"/>
          <w:lang w:val="en-US"/>
        </w:rPr>
        <w:t xml:space="preserve">pplication process. DSS is </w:t>
      </w:r>
      <w:r w:rsidR="00F352B0">
        <w:rPr>
          <w:rFonts w:cs="Arial"/>
          <w:lang w:val="en-US"/>
        </w:rPr>
        <w:t>aware</w:t>
      </w:r>
      <w:r w:rsidR="00F352B0" w:rsidRPr="00EC16B4">
        <w:rPr>
          <w:rFonts w:cs="Arial"/>
          <w:lang w:val="en-US"/>
        </w:rPr>
        <w:t xml:space="preserve"> </w:t>
      </w:r>
      <w:r w:rsidRPr="00EC16B4">
        <w:rPr>
          <w:rFonts w:cs="Arial"/>
          <w:lang w:val="en-US"/>
        </w:rPr>
        <w:t>that the DES</w:t>
      </w:r>
      <w:r>
        <w:rPr>
          <w:rFonts w:cs="Arial"/>
          <w:lang w:val="en-US"/>
        </w:rPr>
        <w:t>-NPA</w:t>
      </w:r>
      <w:r w:rsidRPr="00EC16B4">
        <w:rPr>
          <w:rFonts w:cs="Arial"/>
          <w:lang w:val="en-US"/>
        </w:rPr>
        <w:t xml:space="preserve"> 2018 </w:t>
      </w:r>
      <w:r w:rsidR="00F352B0">
        <w:rPr>
          <w:rFonts w:cs="Arial"/>
          <w:lang w:val="en-US"/>
        </w:rPr>
        <w:t>g</w:t>
      </w:r>
      <w:r w:rsidRPr="00EC16B4">
        <w:rPr>
          <w:rFonts w:cs="Arial"/>
          <w:lang w:val="en-US"/>
        </w:rPr>
        <w:t>rant application process is significantly different from previous purchasing processes.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Indacative Timeline table"/>
        <w:tblDescription w:val="This table shows the indicative milestone dates of the DES-NPA 2018 Grant Application process"/>
      </w:tblPr>
      <w:tblGrid>
        <w:gridCol w:w="3335"/>
        <w:gridCol w:w="5150"/>
      </w:tblGrid>
      <w:tr w:rsidR="00AC72FA" w:rsidRPr="00257C0B" w:rsidTr="00A076AF">
        <w:trPr>
          <w:tblHeader/>
          <w:tblCellSpacing w:w="15" w:type="dxa"/>
        </w:trPr>
        <w:tc>
          <w:tcPr>
            <w:tcW w:w="0" w:type="auto"/>
            <w:vAlign w:val="center"/>
            <w:hideMark/>
          </w:tcPr>
          <w:p w:rsidR="00AC72FA" w:rsidRPr="00257C0B" w:rsidRDefault="00AC72FA" w:rsidP="00A076AF">
            <w:pPr>
              <w:spacing w:after="0" w:line="240" w:lineRule="auto"/>
              <w:jc w:val="center"/>
              <w:rPr>
                <w:rFonts w:cs="Arial"/>
                <w:b/>
                <w:lang w:val="en-US"/>
              </w:rPr>
            </w:pPr>
            <w:r w:rsidRPr="00257C0B">
              <w:rPr>
                <w:rFonts w:cs="Arial"/>
                <w:b/>
                <w:lang w:val="en-US"/>
              </w:rPr>
              <w:t xml:space="preserve">Indicative </w:t>
            </w:r>
            <w:r w:rsidR="000911F3">
              <w:rPr>
                <w:rFonts w:cs="Arial"/>
                <w:b/>
                <w:lang w:val="en-US"/>
              </w:rPr>
              <w:t>d</w:t>
            </w:r>
            <w:r w:rsidRPr="00257C0B">
              <w:rPr>
                <w:rFonts w:cs="Arial"/>
                <w:b/>
                <w:lang w:val="en-US"/>
              </w:rPr>
              <w:t>ate*</w:t>
            </w:r>
          </w:p>
        </w:tc>
        <w:tc>
          <w:tcPr>
            <w:tcW w:w="0" w:type="auto"/>
            <w:vAlign w:val="center"/>
            <w:hideMark/>
          </w:tcPr>
          <w:p w:rsidR="00AC72FA" w:rsidRPr="00257C0B" w:rsidRDefault="00AC72FA" w:rsidP="00A076AF">
            <w:pPr>
              <w:spacing w:after="0" w:line="240" w:lineRule="auto"/>
              <w:jc w:val="center"/>
              <w:rPr>
                <w:rFonts w:cs="Arial"/>
                <w:b/>
                <w:lang w:val="en-US"/>
              </w:rPr>
            </w:pPr>
            <w:r w:rsidRPr="00257C0B">
              <w:rPr>
                <w:rFonts w:cs="Arial"/>
                <w:b/>
                <w:lang w:val="en-US"/>
              </w:rPr>
              <w:t>Milestone</w:t>
            </w:r>
          </w:p>
        </w:tc>
      </w:tr>
      <w:tr w:rsidR="00AC72FA" w:rsidRPr="00257C0B" w:rsidTr="00A076AF">
        <w:trPr>
          <w:tblCellSpacing w:w="15" w:type="dxa"/>
        </w:trPr>
        <w:tc>
          <w:tcPr>
            <w:tcW w:w="0" w:type="auto"/>
            <w:vAlign w:val="center"/>
            <w:hideMark/>
          </w:tcPr>
          <w:p w:rsidR="00AC72FA" w:rsidRPr="00257C0B" w:rsidRDefault="00AC72FA" w:rsidP="00A076AF">
            <w:pPr>
              <w:spacing w:after="0" w:line="240" w:lineRule="auto"/>
              <w:rPr>
                <w:rFonts w:cs="Arial"/>
                <w:lang w:val="en-US"/>
              </w:rPr>
            </w:pPr>
            <w:r w:rsidRPr="00257C0B">
              <w:rPr>
                <w:rFonts w:cs="Arial"/>
                <w:lang w:val="en-US"/>
              </w:rPr>
              <w:t>2nd week of September 2017</w:t>
            </w:r>
          </w:p>
        </w:tc>
        <w:tc>
          <w:tcPr>
            <w:tcW w:w="0" w:type="auto"/>
            <w:vAlign w:val="center"/>
            <w:hideMark/>
          </w:tcPr>
          <w:p w:rsidR="00AC72FA" w:rsidRPr="00257C0B" w:rsidRDefault="00AC72FA" w:rsidP="000E0770">
            <w:pPr>
              <w:spacing w:after="0" w:line="240" w:lineRule="auto"/>
              <w:rPr>
                <w:rFonts w:cs="Arial"/>
                <w:lang w:val="en-US"/>
              </w:rPr>
            </w:pPr>
            <w:r w:rsidRPr="00257C0B">
              <w:rPr>
                <w:rFonts w:cs="Arial"/>
                <w:lang w:val="en-US"/>
              </w:rPr>
              <w:t>Grant application opens (</w:t>
            </w:r>
            <w:r w:rsidR="000911F3">
              <w:rPr>
                <w:rFonts w:cs="Arial"/>
                <w:lang w:val="en-US"/>
              </w:rPr>
              <w:t>six</w:t>
            </w:r>
            <w:r w:rsidRPr="00257C0B">
              <w:rPr>
                <w:rFonts w:cs="Arial"/>
                <w:lang w:val="en-US"/>
              </w:rPr>
              <w:t xml:space="preserve"> weeks)</w:t>
            </w:r>
          </w:p>
        </w:tc>
      </w:tr>
      <w:tr w:rsidR="00AC72FA" w:rsidRPr="00257C0B" w:rsidTr="00A076AF">
        <w:trPr>
          <w:tblCellSpacing w:w="15" w:type="dxa"/>
        </w:trPr>
        <w:tc>
          <w:tcPr>
            <w:tcW w:w="0" w:type="auto"/>
            <w:vAlign w:val="center"/>
            <w:hideMark/>
          </w:tcPr>
          <w:p w:rsidR="00AC72FA" w:rsidRPr="00257C0B" w:rsidRDefault="00AC72FA" w:rsidP="00A076AF">
            <w:pPr>
              <w:spacing w:after="0" w:line="240" w:lineRule="auto"/>
              <w:rPr>
                <w:rFonts w:cs="Arial"/>
                <w:lang w:val="en-US"/>
              </w:rPr>
            </w:pPr>
            <w:r w:rsidRPr="00257C0B">
              <w:rPr>
                <w:rFonts w:cs="Arial"/>
                <w:lang w:val="en-US"/>
              </w:rPr>
              <w:t>February 2018</w:t>
            </w:r>
          </w:p>
        </w:tc>
        <w:tc>
          <w:tcPr>
            <w:tcW w:w="0" w:type="auto"/>
            <w:vAlign w:val="center"/>
            <w:hideMark/>
          </w:tcPr>
          <w:p w:rsidR="00AC72FA" w:rsidRPr="00257C0B" w:rsidRDefault="00AC72FA" w:rsidP="00A076AF">
            <w:pPr>
              <w:spacing w:after="0" w:line="240" w:lineRule="auto"/>
              <w:rPr>
                <w:rFonts w:cs="Arial"/>
                <w:lang w:val="en-US"/>
              </w:rPr>
            </w:pPr>
            <w:r w:rsidRPr="00257C0B">
              <w:rPr>
                <w:rFonts w:cs="Arial"/>
                <w:lang w:val="en-US"/>
              </w:rPr>
              <w:t>Announcement of successful Grant applicants</w:t>
            </w:r>
          </w:p>
        </w:tc>
      </w:tr>
      <w:tr w:rsidR="00AC72FA" w:rsidRPr="00257C0B" w:rsidTr="00A076AF">
        <w:trPr>
          <w:tblCellSpacing w:w="15" w:type="dxa"/>
        </w:trPr>
        <w:tc>
          <w:tcPr>
            <w:tcW w:w="0" w:type="auto"/>
            <w:vAlign w:val="center"/>
            <w:hideMark/>
          </w:tcPr>
          <w:p w:rsidR="00AC72FA" w:rsidRPr="00257C0B" w:rsidRDefault="00AC72FA" w:rsidP="00A076AF">
            <w:pPr>
              <w:spacing w:after="0" w:line="240" w:lineRule="auto"/>
              <w:rPr>
                <w:rFonts w:cs="Arial"/>
                <w:lang w:val="en-US"/>
              </w:rPr>
            </w:pPr>
            <w:r w:rsidRPr="00257C0B">
              <w:rPr>
                <w:rFonts w:cs="Arial"/>
                <w:lang w:val="en-US"/>
              </w:rPr>
              <w:t>March - May 2018</w:t>
            </w:r>
          </w:p>
        </w:tc>
        <w:tc>
          <w:tcPr>
            <w:tcW w:w="0" w:type="auto"/>
            <w:vAlign w:val="center"/>
            <w:hideMark/>
          </w:tcPr>
          <w:p w:rsidR="00AC72FA" w:rsidRPr="00257C0B" w:rsidRDefault="00AC72FA" w:rsidP="00A076AF">
            <w:pPr>
              <w:spacing w:after="0" w:line="240" w:lineRule="auto"/>
              <w:rPr>
                <w:rFonts w:cs="Arial"/>
                <w:lang w:val="en-US"/>
              </w:rPr>
            </w:pPr>
            <w:r w:rsidRPr="00257C0B">
              <w:rPr>
                <w:rFonts w:cs="Arial"/>
                <w:lang w:val="en-US"/>
              </w:rPr>
              <w:t>Grant agreements executed</w:t>
            </w:r>
          </w:p>
        </w:tc>
      </w:tr>
      <w:tr w:rsidR="00AC72FA" w:rsidRPr="00257C0B" w:rsidTr="00A076AF">
        <w:trPr>
          <w:tblCellSpacing w:w="15" w:type="dxa"/>
        </w:trPr>
        <w:tc>
          <w:tcPr>
            <w:tcW w:w="0" w:type="auto"/>
            <w:vAlign w:val="center"/>
          </w:tcPr>
          <w:p w:rsidR="00AC72FA" w:rsidRPr="00257C0B" w:rsidRDefault="00AC72FA" w:rsidP="00A076AF">
            <w:pPr>
              <w:spacing w:after="0" w:line="240" w:lineRule="auto"/>
              <w:rPr>
                <w:rFonts w:cs="Arial"/>
                <w:lang w:val="en-US"/>
              </w:rPr>
            </w:pPr>
            <w:r w:rsidRPr="00257C0B">
              <w:rPr>
                <w:rFonts w:cs="Arial"/>
                <w:lang w:val="en-US"/>
              </w:rPr>
              <w:t>May 2018</w:t>
            </w:r>
          </w:p>
        </w:tc>
        <w:tc>
          <w:tcPr>
            <w:tcW w:w="0" w:type="auto"/>
            <w:vAlign w:val="center"/>
          </w:tcPr>
          <w:p w:rsidR="00AC72FA" w:rsidRPr="00257C0B" w:rsidRDefault="00AC72FA" w:rsidP="00A076AF">
            <w:pPr>
              <w:spacing w:after="0" w:line="240" w:lineRule="auto"/>
              <w:rPr>
                <w:rFonts w:cs="Arial"/>
                <w:lang w:val="en-US"/>
              </w:rPr>
            </w:pPr>
            <w:r w:rsidRPr="00257C0B">
              <w:rPr>
                <w:rFonts w:cs="Arial"/>
                <w:lang w:val="en-US"/>
              </w:rPr>
              <w:t>Transition period</w:t>
            </w:r>
          </w:p>
        </w:tc>
      </w:tr>
      <w:tr w:rsidR="00AC72FA" w:rsidRPr="00257C0B" w:rsidTr="00A076AF">
        <w:trPr>
          <w:tblCellSpacing w:w="15" w:type="dxa"/>
        </w:trPr>
        <w:tc>
          <w:tcPr>
            <w:tcW w:w="0" w:type="auto"/>
            <w:vAlign w:val="center"/>
            <w:hideMark/>
          </w:tcPr>
          <w:p w:rsidR="00AC72FA" w:rsidRPr="00257C0B" w:rsidRDefault="00AC72FA" w:rsidP="00A076AF">
            <w:pPr>
              <w:spacing w:after="0" w:line="240" w:lineRule="auto"/>
              <w:rPr>
                <w:rFonts w:cs="Arial"/>
                <w:lang w:val="en-US"/>
              </w:rPr>
            </w:pPr>
            <w:r w:rsidRPr="00257C0B">
              <w:rPr>
                <w:rFonts w:cs="Arial"/>
                <w:lang w:val="en-US"/>
              </w:rPr>
              <w:t>1 July 2018</w:t>
            </w:r>
          </w:p>
        </w:tc>
        <w:tc>
          <w:tcPr>
            <w:tcW w:w="0" w:type="auto"/>
            <w:vAlign w:val="center"/>
            <w:hideMark/>
          </w:tcPr>
          <w:p w:rsidR="00AC72FA" w:rsidRPr="00257C0B" w:rsidRDefault="00AC72FA" w:rsidP="00A076AF">
            <w:pPr>
              <w:spacing w:after="0" w:line="240" w:lineRule="auto"/>
              <w:rPr>
                <w:rFonts w:cs="Arial"/>
                <w:lang w:val="en-US"/>
              </w:rPr>
            </w:pPr>
            <w:r w:rsidRPr="00257C0B">
              <w:rPr>
                <w:rFonts w:cs="Arial"/>
                <w:lang w:val="en-US"/>
              </w:rPr>
              <w:t xml:space="preserve">DES Grant Agreement </w:t>
            </w:r>
            <w:r w:rsidR="00F42FFA">
              <w:rPr>
                <w:rFonts w:cs="Arial"/>
                <w:lang w:val="en-US"/>
              </w:rPr>
              <w:t>c</w:t>
            </w:r>
            <w:r w:rsidRPr="00257C0B">
              <w:rPr>
                <w:rFonts w:cs="Arial"/>
                <w:lang w:val="en-US"/>
              </w:rPr>
              <w:t xml:space="preserve">ommencement </w:t>
            </w:r>
            <w:r w:rsidR="00F42FFA">
              <w:rPr>
                <w:rFonts w:cs="Arial"/>
                <w:lang w:val="en-US"/>
              </w:rPr>
              <w:t>d</w:t>
            </w:r>
            <w:r w:rsidRPr="00257C0B">
              <w:rPr>
                <w:rFonts w:cs="Arial"/>
                <w:lang w:val="en-US"/>
              </w:rPr>
              <w:t>ate</w:t>
            </w:r>
          </w:p>
        </w:tc>
      </w:tr>
    </w:tbl>
    <w:p w:rsidR="003368D2" w:rsidRPr="008F0C33" w:rsidRDefault="00AC72FA" w:rsidP="008F0C33">
      <w:pPr>
        <w:pStyle w:val="Bullets1stindent"/>
        <w:numPr>
          <w:ilvl w:val="0"/>
          <w:numId w:val="0"/>
        </w:numPr>
        <w:ind w:left="360" w:hanging="360"/>
        <w:rPr>
          <w:spacing w:val="4"/>
          <w:sz w:val="24"/>
          <w:lang w:val="en-US" w:eastAsia="en-AU"/>
        </w:rPr>
      </w:pPr>
      <w:r w:rsidRPr="00257C0B">
        <w:rPr>
          <w:iCs/>
          <w:spacing w:val="4"/>
          <w:sz w:val="24"/>
          <w:lang w:val="en-US" w:eastAsia="en-AU"/>
        </w:rPr>
        <w:t>*Timeframes may change within the start and end date of this process.</w:t>
      </w:r>
      <w:bookmarkStart w:id="10" w:name="_Toc467773954"/>
      <w:bookmarkEnd w:id="3"/>
      <w:bookmarkEnd w:id="4"/>
      <w:bookmarkEnd w:id="5"/>
    </w:p>
    <w:p w:rsidR="00071FFF" w:rsidRPr="008F0C33" w:rsidRDefault="00071FFF" w:rsidP="008F0C33">
      <w:pPr>
        <w:pStyle w:val="Heading2Numbered"/>
        <w:ind w:left="567"/>
        <w:rPr>
          <w:color w:val="005A70" w:themeColor="accent1"/>
        </w:rPr>
      </w:pPr>
      <w:bookmarkStart w:id="11" w:name="_Toc490749791"/>
      <w:r w:rsidRPr="008F0C33">
        <w:rPr>
          <w:color w:val="005A70" w:themeColor="accent1"/>
        </w:rPr>
        <w:t xml:space="preserve">SWS for Supported Employment in Australian </w:t>
      </w:r>
      <w:r w:rsidR="003368D2" w:rsidRPr="008F0C33">
        <w:rPr>
          <w:color w:val="005A70" w:themeColor="accent1"/>
        </w:rPr>
        <w:t xml:space="preserve"> </w:t>
      </w:r>
      <w:r w:rsidRPr="008F0C33">
        <w:rPr>
          <w:color w:val="005A70" w:themeColor="accent1"/>
        </w:rPr>
        <w:t>Disability Enterprises</w:t>
      </w:r>
      <w:bookmarkEnd w:id="11"/>
    </w:p>
    <w:p w:rsidR="00071FFF" w:rsidRPr="003368D2" w:rsidRDefault="00DA29E7" w:rsidP="00071FFF">
      <w:r>
        <w:t>I</w:t>
      </w:r>
      <w:r w:rsidRPr="003368D2">
        <w:t>n December 2012</w:t>
      </w:r>
      <w:r w:rsidR="00071FFF" w:rsidRPr="003368D2">
        <w:t xml:space="preserve"> the Federal Court of Australia found the Business Services Wage Assessment Tool indirectly discriminated against two Australian Disability Enterprise (ADE) employees with an intellectual disability</w:t>
      </w:r>
      <w:r>
        <w:t>. Since then DSS</w:t>
      </w:r>
      <w:r w:rsidR="00071FFF" w:rsidRPr="003368D2">
        <w:t xml:space="preserve"> has been actively supporting evidence-based testing of possible solutions for future wage assessment practices, through </w:t>
      </w:r>
      <w:r w:rsidRPr="003368D2">
        <w:t>resolution</w:t>
      </w:r>
      <w:r w:rsidR="00071FFF" w:rsidRPr="003368D2">
        <w:t xml:space="preserve"> in the Fair Work Commission (FWC). Parties involved in the FWC </w:t>
      </w:r>
      <w:r w:rsidRPr="003368D2">
        <w:t>resolution</w:t>
      </w:r>
      <w:r w:rsidR="00071FFF" w:rsidRPr="003368D2">
        <w:t xml:space="preserve"> included unions, advocates for people with disability, representatives of </w:t>
      </w:r>
      <w:r w:rsidR="00726B08" w:rsidRPr="003368D2">
        <w:t>employee’s</w:t>
      </w:r>
      <w:r w:rsidR="00071FFF" w:rsidRPr="003368D2">
        <w:t xml:space="preserve"> families and carers, ADEs and National Disability Services.</w:t>
      </w:r>
    </w:p>
    <w:p w:rsidR="00071FFF" w:rsidRPr="003368D2" w:rsidRDefault="00071FFF" w:rsidP="00071FFF">
      <w:r w:rsidRPr="003368D2">
        <w:t xml:space="preserve">An extensive trial and demonstration </w:t>
      </w:r>
      <w:r w:rsidR="002E011E">
        <w:t xml:space="preserve">was done </w:t>
      </w:r>
      <w:r w:rsidRPr="003368D2">
        <w:t>in 2016 and 2017 to test variations to the way the SWS operates in ADEs which choose to use the SWS under the SES Award. In June 2017, the FWC parties agreed to a proposal to amend the SES Award to include variations that were tested. The proposal has been submitted</w:t>
      </w:r>
      <w:r w:rsidR="008252FC">
        <w:t xml:space="preserve"> to</w:t>
      </w:r>
      <w:r w:rsidRPr="003368D2">
        <w:t xml:space="preserve"> the </w:t>
      </w:r>
      <w:r w:rsidR="008252FC">
        <w:t xml:space="preserve">FWC </w:t>
      </w:r>
      <w:r w:rsidRPr="003368D2">
        <w:t>Full Bench</w:t>
      </w:r>
      <w:r w:rsidR="008252FC">
        <w:t xml:space="preserve"> for consideration </w:t>
      </w:r>
      <w:r w:rsidRPr="003368D2">
        <w:t xml:space="preserve">and </w:t>
      </w:r>
      <w:r w:rsidR="008252FC">
        <w:t xml:space="preserve">is </w:t>
      </w:r>
      <w:r w:rsidRPr="003368D2">
        <w:t xml:space="preserve">available on the FWC website under matter AM2014/286. </w:t>
      </w:r>
      <w:r w:rsidR="008252FC">
        <w:t>Further information will become available o</w:t>
      </w:r>
      <w:r w:rsidRPr="003368D2">
        <w:t xml:space="preserve">nce </w:t>
      </w:r>
      <w:r w:rsidR="008252FC">
        <w:t>a</w:t>
      </w:r>
      <w:r w:rsidRPr="003368D2">
        <w:t xml:space="preserve"> decision</w:t>
      </w:r>
      <w:r w:rsidR="008252FC">
        <w:t xml:space="preserve"> has been made</w:t>
      </w:r>
      <w:r w:rsidRPr="003368D2">
        <w:t>.</w:t>
      </w:r>
    </w:p>
    <w:p w:rsidR="00071FFF" w:rsidRDefault="00071FFF" w:rsidP="00071FFF">
      <w:pPr>
        <w:rPr>
          <w:color w:val="0070C0"/>
        </w:rPr>
      </w:pPr>
      <w:r>
        <w:t xml:space="preserve">If agreed, DSS </w:t>
      </w:r>
      <w:r w:rsidR="008252FC">
        <w:t>recommended</w:t>
      </w:r>
      <w:r>
        <w:t xml:space="preserve"> the changes come into effect fr</w:t>
      </w:r>
      <w:r>
        <w:rPr>
          <w:color w:val="1F497D"/>
        </w:rPr>
        <w:t>o</w:t>
      </w:r>
      <w:r>
        <w:t xml:space="preserve">m 1 July 2018, </w:t>
      </w:r>
      <w:r w:rsidR="008252FC">
        <w:t xml:space="preserve">so that </w:t>
      </w:r>
      <w:r>
        <w:t>change management processes</w:t>
      </w:r>
      <w:r w:rsidR="008252FC">
        <w:t xml:space="preserve"> are put in place for </w:t>
      </w:r>
      <w:r>
        <w:t>the SWS variations</w:t>
      </w:r>
      <w:r w:rsidR="008252FC">
        <w:t xml:space="preserve"> to be</w:t>
      </w:r>
      <w:r>
        <w:t xml:space="preserve"> implemented effectively by ADEs and assessors, and minimises disruption to employees who are assessed using the SWS. If agreed</w:t>
      </w:r>
      <w:r>
        <w:rPr>
          <w:color w:val="0070C0"/>
        </w:rPr>
        <w:t xml:space="preserve">, </w:t>
      </w:r>
      <w:r>
        <w:t xml:space="preserve">the amendments will </w:t>
      </w:r>
      <w:r w:rsidR="008252FC">
        <w:t xml:space="preserve">change </w:t>
      </w:r>
      <w:r>
        <w:t xml:space="preserve">the operation of the SWS under the SES Award only. The operation of the SWS will not change in open employment. </w:t>
      </w:r>
    </w:p>
    <w:p w:rsidR="00071FFF" w:rsidRDefault="00071FFF" w:rsidP="00071FFF">
      <w:r>
        <w:t>The amendments will not require ADEs to stop using other wage assessment tools. ADEs can use any approved wage assessment tool under the SES Award, as long as those tools remain in the Award.</w:t>
      </w:r>
    </w:p>
    <w:bookmarkEnd w:id="10"/>
    <w:p w:rsidR="00AC72FA" w:rsidRPr="008F0C33" w:rsidRDefault="007F69FA" w:rsidP="008F0C33">
      <w:pPr>
        <w:pStyle w:val="Heading1Numbered"/>
        <w:rPr>
          <w:color w:val="005A70" w:themeColor="accent1"/>
        </w:rPr>
      </w:pPr>
      <w:r>
        <w:rPr>
          <w:color w:val="005A70" w:themeColor="accent1"/>
        </w:rPr>
        <w:lastRenderedPageBreak/>
        <w:t>NPA Fees</w:t>
      </w:r>
    </w:p>
    <w:p w:rsidR="00AC72FA" w:rsidRPr="00247FDE" w:rsidRDefault="00AC72FA" w:rsidP="00AC72FA">
      <w:pPr>
        <w:rPr>
          <w:rFonts w:cs="Arial"/>
        </w:rPr>
      </w:pPr>
      <w:r w:rsidRPr="00247FDE">
        <w:rPr>
          <w:rFonts w:cs="Arial"/>
        </w:rPr>
        <w:t xml:space="preserve">The grant opportunity is for membership of the NPA standing panel.  Approved panel members will </w:t>
      </w:r>
      <w:r w:rsidR="008252FC">
        <w:rPr>
          <w:rFonts w:cs="Arial"/>
        </w:rPr>
        <w:t>get</w:t>
      </w:r>
      <w:r w:rsidR="008252FC" w:rsidRPr="00247FDE">
        <w:rPr>
          <w:rFonts w:cs="Arial"/>
        </w:rPr>
        <w:t xml:space="preserve"> </w:t>
      </w:r>
      <w:r w:rsidRPr="00247FDE">
        <w:rPr>
          <w:rFonts w:cs="Arial"/>
        </w:rPr>
        <w:t xml:space="preserve">fees for providing a range of </w:t>
      </w:r>
      <w:r w:rsidR="008252FC">
        <w:rPr>
          <w:rFonts w:cs="Arial"/>
        </w:rPr>
        <w:t>a</w:t>
      </w:r>
      <w:r w:rsidRPr="00247FDE">
        <w:rPr>
          <w:rFonts w:cs="Arial"/>
        </w:rPr>
        <w:t xml:space="preserve">ssessment </w:t>
      </w:r>
      <w:r w:rsidR="008252FC">
        <w:rPr>
          <w:rFonts w:cs="Arial"/>
        </w:rPr>
        <w:t>s</w:t>
      </w:r>
      <w:r w:rsidRPr="00247FDE">
        <w:rPr>
          <w:rFonts w:cs="Arial"/>
        </w:rPr>
        <w:t xml:space="preserve">ervices to </w:t>
      </w:r>
      <w:r w:rsidR="008252FC">
        <w:rPr>
          <w:rFonts w:cs="Arial"/>
        </w:rPr>
        <w:t>help</w:t>
      </w:r>
      <w:r w:rsidRPr="00247FDE">
        <w:rPr>
          <w:rFonts w:cs="Arial"/>
        </w:rPr>
        <w:t xml:space="preserve"> people with disability in the workplace.</w:t>
      </w:r>
    </w:p>
    <w:p w:rsidR="00AC72FA" w:rsidRPr="008F0C33" w:rsidRDefault="007F69FA" w:rsidP="008F0C33">
      <w:pPr>
        <w:pStyle w:val="Heading2Numbered"/>
        <w:ind w:left="567"/>
        <w:rPr>
          <w:color w:val="005A70" w:themeColor="accent1"/>
        </w:rPr>
      </w:pPr>
      <w:r>
        <w:rPr>
          <w:color w:val="005A70" w:themeColor="accent1"/>
        </w:rPr>
        <w:t>Schedule of NPA Fees</w:t>
      </w:r>
    </w:p>
    <w:p w:rsidR="00AC72FA" w:rsidRPr="00247FDE" w:rsidRDefault="008F0C33" w:rsidP="00AC72FA">
      <w:pPr>
        <w:pStyle w:val="BodyIndent0"/>
        <w:rPr>
          <w:rFonts w:ascii="Arial" w:hAnsi="Arial" w:cs="Arial"/>
          <w:spacing w:val="4"/>
          <w:sz w:val="24"/>
        </w:rPr>
      </w:pPr>
      <w:r w:rsidRPr="008F0C33">
        <w:rPr>
          <w:rFonts w:ascii="Arial" w:hAnsi="Arial" w:cs="Arial"/>
          <w:b/>
          <w:spacing w:val="4"/>
          <w:sz w:val="24"/>
        </w:rPr>
        <w:t>Table 1</w:t>
      </w:r>
      <w:r w:rsidR="00AC72FA" w:rsidRPr="00247FDE">
        <w:rPr>
          <w:rFonts w:ascii="Arial" w:hAnsi="Arial" w:cs="Arial"/>
          <w:spacing w:val="4"/>
          <w:sz w:val="24"/>
        </w:rPr>
        <w:t xml:space="preserve"> </w:t>
      </w:r>
      <w:r w:rsidR="00342D1D">
        <w:rPr>
          <w:rFonts w:ascii="Arial" w:hAnsi="Arial" w:cs="Arial"/>
          <w:spacing w:val="4"/>
          <w:sz w:val="24"/>
        </w:rPr>
        <w:t>is</w:t>
      </w:r>
      <w:r w:rsidR="00342D1D" w:rsidRPr="00247FDE">
        <w:rPr>
          <w:rFonts w:ascii="Arial" w:hAnsi="Arial" w:cs="Arial"/>
          <w:spacing w:val="4"/>
          <w:sz w:val="24"/>
        </w:rPr>
        <w:t xml:space="preserve"> </w:t>
      </w:r>
      <w:r w:rsidR="00AC72FA" w:rsidRPr="00247FDE">
        <w:rPr>
          <w:rFonts w:ascii="Arial" w:hAnsi="Arial" w:cs="Arial"/>
          <w:spacing w:val="4"/>
          <w:sz w:val="24"/>
        </w:rPr>
        <w:t xml:space="preserve">the fee arrangements for each of the assessment types applicable to the NPA. </w:t>
      </w:r>
      <w:r w:rsidR="00AC72FA" w:rsidRPr="008F0C33">
        <w:rPr>
          <w:rFonts w:ascii="Arial" w:hAnsi="Arial" w:cs="Arial"/>
          <w:b/>
          <w:spacing w:val="4"/>
          <w:sz w:val="24"/>
        </w:rPr>
        <w:t xml:space="preserve">Table </w:t>
      </w:r>
      <w:r w:rsidRPr="008F0C33">
        <w:rPr>
          <w:rFonts w:ascii="Arial" w:hAnsi="Arial" w:cs="Arial"/>
          <w:b/>
          <w:spacing w:val="4"/>
          <w:sz w:val="24"/>
        </w:rPr>
        <w:t>2</w:t>
      </w:r>
      <w:r w:rsidR="00AC72FA" w:rsidRPr="00247FDE">
        <w:rPr>
          <w:rFonts w:ascii="Arial" w:hAnsi="Arial" w:cs="Arial"/>
          <w:spacing w:val="4"/>
          <w:sz w:val="24"/>
        </w:rPr>
        <w:t xml:space="preserve"> </w:t>
      </w:r>
      <w:r w:rsidR="00342D1D">
        <w:rPr>
          <w:rFonts w:ascii="Arial" w:hAnsi="Arial" w:cs="Arial"/>
          <w:spacing w:val="4"/>
          <w:sz w:val="24"/>
        </w:rPr>
        <w:t>is</w:t>
      </w:r>
      <w:r w:rsidR="00342D1D" w:rsidRPr="00247FDE">
        <w:rPr>
          <w:rFonts w:ascii="Arial" w:hAnsi="Arial" w:cs="Arial"/>
          <w:spacing w:val="4"/>
          <w:sz w:val="24"/>
        </w:rPr>
        <w:t xml:space="preserve"> </w:t>
      </w:r>
      <w:r w:rsidR="00AC72FA" w:rsidRPr="00247FDE">
        <w:rPr>
          <w:rFonts w:ascii="Arial" w:hAnsi="Arial" w:cs="Arial"/>
          <w:spacing w:val="4"/>
          <w:sz w:val="24"/>
        </w:rPr>
        <w:t xml:space="preserve">the fee arrangements for assessments in </w:t>
      </w:r>
      <w:r w:rsidR="00342D1D">
        <w:rPr>
          <w:rFonts w:ascii="Arial" w:hAnsi="Arial" w:cs="Arial"/>
          <w:spacing w:val="4"/>
          <w:sz w:val="24"/>
        </w:rPr>
        <w:t>r</w:t>
      </w:r>
      <w:r w:rsidR="00AC72FA" w:rsidRPr="00247FDE">
        <w:rPr>
          <w:rFonts w:ascii="Arial" w:hAnsi="Arial" w:cs="Arial"/>
          <w:spacing w:val="4"/>
          <w:sz w:val="24"/>
        </w:rPr>
        <w:t xml:space="preserve">emote </w:t>
      </w:r>
      <w:r w:rsidR="00342D1D">
        <w:rPr>
          <w:rFonts w:ascii="Arial" w:hAnsi="Arial" w:cs="Arial"/>
          <w:spacing w:val="4"/>
          <w:sz w:val="24"/>
        </w:rPr>
        <w:t>a</w:t>
      </w:r>
      <w:r w:rsidR="00AC72FA" w:rsidRPr="00247FDE">
        <w:rPr>
          <w:rFonts w:ascii="Arial" w:hAnsi="Arial" w:cs="Arial"/>
          <w:spacing w:val="4"/>
          <w:sz w:val="24"/>
        </w:rPr>
        <w:t>reas, and assessments requiring travel fees.</w:t>
      </w:r>
    </w:p>
    <w:p w:rsidR="00AC72FA" w:rsidRPr="00247FDE" w:rsidRDefault="00AC72FA" w:rsidP="00AC72FA">
      <w:pPr>
        <w:pStyle w:val="BodyIndent0"/>
        <w:rPr>
          <w:rFonts w:ascii="Arial" w:hAnsi="Arial" w:cs="Arial"/>
          <w:spacing w:val="4"/>
          <w:sz w:val="24"/>
        </w:rPr>
      </w:pPr>
      <w:r w:rsidRPr="00247FDE">
        <w:rPr>
          <w:rFonts w:ascii="Arial" w:hAnsi="Arial" w:cs="Arial"/>
          <w:spacing w:val="4"/>
          <w:sz w:val="24"/>
        </w:rPr>
        <w:t xml:space="preserve">The </w:t>
      </w:r>
      <w:r w:rsidR="00342D1D">
        <w:rPr>
          <w:rFonts w:ascii="Arial" w:hAnsi="Arial" w:cs="Arial"/>
          <w:spacing w:val="4"/>
          <w:sz w:val="24"/>
        </w:rPr>
        <w:t>f</w:t>
      </w:r>
      <w:r w:rsidRPr="00247FDE">
        <w:rPr>
          <w:rFonts w:ascii="Arial" w:hAnsi="Arial" w:cs="Arial"/>
          <w:spacing w:val="4"/>
          <w:sz w:val="24"/>
        </w:rPr>
        <w:t>ees for the NPA will be indexed annually on 1 July, with the first indexation point on 1 July 2019.</w:t>
      </w:r>
    </w:p>
    <w:p w:rsidR="00AC72FA" w:rsidRDefault="00AC72FA" w:rsidP="00AC72FA">
      <w:pPr>
        <w:rPr>
          <w:rFonts w:cs="Arial"/>
        </w:rPr>
      </w:pPr>
      <w:r w:rsidRPr="00C74899">
        <w:rPr>
          <w:rFonts w:cs="Arial"/>
        </w:rPr>
        <w:t xml:space="preserve">Where an OSA and SWS Assessment are undertaken concurrently, the </w:t>
      </w:r>
      <w:r w:rsidR="00342D1D">
        <w:rPr>
          <w:rFonts w:cs="Arial"/>
        </w:rPr>
        <w:t>p</w:t>
      </w:r>
      <w:r w:rsidRPr="00C74899">
        <w:rPr>
          <w:rFonts w:cs="Arial"/>
        </w:rPr>
        <w:t xml:space="preserve">anel </w:t>
      </w:r>
      <w:r w:rsidR="00342D1D">
        <w:rPr>
          <w:rFonts w:cs="Arial"/>
        </w:rPr>
        <w:t>p</w:t>
      </w:r>
      <w:r w:rsidRPr="00C74899">
        <w:rPr>
          <w:rFonts w:cs="Arial"/>
        </w:rPr>
        <w:t>rovider may be eligible for both an OSA fee and a</w:t>
      </w:r>
      <w:r>
        <w:rPr>
          <w:rFonts w:cs="Arial"/>
        </w:rPr>
        <w:t>n</w:t>
      </w:r>
      <w:r w:rsidRPr="00C74899">
        <w:rPr>
          <w:rFonts w:cs="Arial"/>
        </w:rPr>
        <w:t xml:space="preserve"> SWS fee.</w:t>
      </w:r>
    </w:p>
    <w:p w:rsidR="00AC72FA" w:rsidRPr="003368D2" w:rsidRDefault="00AC72FA" w:rsidP="00AC72FA">
      <w:pPr>
        <w:rPr>
          <w:rFonts w:cs="Arial"/>
          <w:b/>
        </w:rPr>
      </w:pPr>
      <w:r w:rsidRPr="003368D2">
        <w:rPr>
          <w:rFonts w:cs="Arial"/>
          <w:b/>
        </w:rPr>
        <w:t>Table 1</w:t>
      </w:r>
      <w:r w:rsidR="00342D1D">
        <w:rPr>
          <w:rFonts w:cs="Arial"/>
          <w:b/>
        </w:rPr>
        <w:t xml:space="preserve"> -</w:t>
      </w:r>
      <w:r w:rsidRPr="003368D2">
        <w:rPr>
          <w:rFonts w:cs="Arial"/>
          <w:b/>
        </w:rPr>
        <w:t xml:space="preserve"> Fees for NPA</w:t>
      </w:r>
    </w:p>
    <w:tbl>
      <w:tblPr>
        <w:tblStyle w:val="MediumShading1-Accent3"/>
        <w:tblW w:w="0" w:type="auto"/>
        <w:tblLook w:val="04A0" w:firstRow="1" w:lastRow="0" w:firstColumn="1" w:lastColumn="0" w:noHBand="0" w:noVBand="1"/>
        <w:tblCaption w:val="Table 1. Fees for National panel of Assessors"/>
        <w:tblDescription w:val="Table describing National Panel of Assessors fees"/>
      </w:tblPr>
      <w:tblGrid>
        <w:gridCol w:w="3080"/>
        <w:gridCol w:w="2557"/>
        <w:gridCol w:w="3605"/>
      </w:tblGrid>
      <w:tr w:rsidR="00AC72FA" w:rsidRPr="00247FDE" w:rsidTr="001108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bottom w:val="single" w:sz="4" w:space="0" w:color="B1E4E3" w:themeColor="accent3"/>
            </w:tcBorders>
          </w:tcPr>
          <w:p w:rsidR="00AC72FA" w:rsidRPr="003368D2" w:rsidRDefault="00AC72FA" w:rsidP="00A076AF">
            <w:pPr>
              <w:rPr>
                <w:rFonts w:cs="Arial"/>
                <w:b w:val="0"/>
                <w:bCs w:val="0"/>
                <w:color w:val="auto"/>
              </w:rPr>
            </w:pPr>
            <w:r w:rsidRPr="003368D2">
              <w:rPr>
                <w:rFonts w:cs="Arial"/>
                <w:b w:val="0"/>
                <w:bCs w:val="0"/>
                <w:iCs/>
                <w:color w:val="auto"/>
              </w:rPr>
              <w:t xml:space="preserve">Payment </w:t>
            </w:r>
            <w:r w:rsidR="00342D1D">
              <w:rPr>
                <w:rFonts w:cs="Arial"/>
                <w:b w:val="0"/>
                <w:bCs w:val="0"/>
                <w:iCs/>
                <w:color w:val="auto"/>
              </w:rPr>
              <w:t>t</w:t>
            </w:r>
            <w:r w:rsidRPr="003368D2">
              <w:rPr>
                <w:rFonts w:cs="Arial"/>
                <w:b w:val="0"/>
                <w:bCs w:val="0"/>
                <w:iCs/>
                <w:color w:val="auto"/>
              </w:rPr>
              <w:t>ypes</w:t>
            </w:r>
          </w:p>
        </w:tc>
        <w:tc>
          <w:tcPr>
            <w:tcW w:w="2557" w:type="dxa"/>
            <w:tcBorders>
              <w:bottom w:val="single" w:sz="4" w:space="0" w:color="B1E4E3" w:themeColor="accent3"/>
            </w:tcBorders>
          </w:tcPr>
          <w:p w:rsidR="00AC72FA" w:rsidRPr="003368D2" w:rsidRDefault="00AC72FA" w:rsidP="00A076AF">
            <w:pPr>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3368D2">
              <w:rPr>
                <w:rFonts w:cs="Arial"/>
                <w:b w:val="0"/>
                <w:bCs w:val="0"/>
                <w:iCs/>
                <w:color w:val="auto"/>
              </w:rPr>
              <w:t xml:space="preserve">Assessment </w:t>
            </w:r>
            <w:r w:rsidR="00342D1D">
              <w:rPr>
                <w:rFonts w:cs="Arial"/>
                <w:b w:val="0"/>
                <w:bCs w:val="0"/>
                <w:iCs/>
                <w:color w:val="auto"/>
              </w:rPr>
              <w:t>f</w:t>
            </w:r>
            <w:r w:rsidRPr="003368D2">
              <w:rPr>
                <w:rFonts w:cs="Arial"/>
                <w:b w:val="0"/>
                <w:bCs w:val="0"/>
                <w:iCs/>
                <w:color w:val="auto"/>
              </w:rPr>
              <w:t>ee</w:t>
            </w:r>
          </w:p>
        </w:tc>
        <w:tc>
          <w:tcPr>
            <w:tcW w:w="3605" w:type="dxa"/>
            <w:tcBorders>
              <w:bottom w:val="single" w:sz="4" w:space="0" w:color="B1E4E3" w:themeColor="accent3"/>
            </w:tcBorders>
          </w:tcPr>
          <w:p w:rsidR="00AC72FA" w:rsidRPr="003368D2" w:rsidRDefault="00AC72FA" w:rsidP="000E0770">
            <w:pPr>
              <w:cnfStyle w:val="100000000000" w:firstRow="1" w:lastRow="0" w:firstColumn="0" w:lastColumn="0" w:oddVBand="0" w:evenVBand="0" w:oddHBand="0" w:evenHBand="0" w:firstRowFirstColumn="0" w:firstRowLastColumn="0" w:lastRowFirstColumn="0" w:lastRowLastColumn="0"/>
              <w:rPr>
                <w:rFonts w:cs="Arial"/>
                <w:b w:val="0"/>
                <w:bCs w:val="0"/>
                <w:color w:val="auto"/>
              </w:rPr>
            </w:pPr>
            <w:r w:rsidRPr="003368D2">
              <w:rPr>
                <w:rFonts w:cs="Arial"/>
                <w:b w:val="0"/>
                <w:bCs w:val="0"/>
                <w:iCs/>
                <w:color w:val="auto"/>
              </w:rPr>
              <w:t xml:space="preserve">Additional </w:t>
            </w:r>
            <w:r w:rsidR="00342D1D">
              <w:rPr>
                <w:rFonts w:cs="Arial"/>
                <w:b w:val="0"/>
                <w:bCs w:val="0"/>
                <w:iCs/>
                <w:color w:val="auto"/>
              </w:rPr>
              <w:t>a</w:t>
            </w:r>
            <w:r w:rsidRPr="003368D2">
              <w:rPr>
                <w:rFonts w:cs="Arial"/>
                <w:b w:val="0"/>
                <w:bCs w:val="0"/>
                <w:iCs/>
                <w:color w:val="auto"/>
              </w:rPr>
              <w:t xml:space="preserve">ssessment </w:t>
            </w:r>
            <w:r w:rsidR="00342D1D">
              <w:rPr>
                <w:rFonts w:cs="Arial"/>
                <w:b w:val="0"/>
                <w:bCs w:val="0"/>
                <w:iCs/>
                <w:color w:val="auto"/>
              </w:rPr>
              <w:t>f</w:t>
            </w:r>
            <w:r w:rsidRPr="003368D2">
              <w:rPr>
                <w:rFonts w:cs="Arial"/>
                <w:b w:val="0"/>
                <w:bCs w:val="0"/>
                <w:iCs/>
                <w:color w:val="auto"/>
              </w:rPr>
              <w:t>ee</w:t>
            </w:r>
          </w:p>
        </w:tc>
      </w:tr>
      <w:tr w:rsidR="00AC72FA" w:rsidRPr="00247FDE" w:rsidTr="00923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B1E4E3" w:themeColor="accent3"/>
              <w:left w:val="single" w:sz="4" w:space="0" w:color="B1E4E3" w:themeColor="accent3"/>
              <w:bottom w:val="single" w:sz="4" w:space="0" w:color="B1E4E3" w:themeColor="accent3"/>
              <w:right w:val="single" w:sz="4" w:space="0" w:color="B1E4E3" w:themeColor="accent3"/>
            </w:tcBorders>
          </w:tcPr>
          <w:p w:rsidR="00AC72FA" w:rsidRPr="003368D2" w:rsidRDefault="00AC72FA" w:rsidP="00A076AF">
            <w:pPr>
              <w:rPr>
                <w:rFonts w:cs="Arial"/>
                <w:b w:val="0"/>
                <w:bCs w:val="0"/>
              </w:rPr>
            </w:pPr>
            <w:r w:rsidRPr="003368D2">
              <w:rPr>
                <w:rFonts w:cs="Arial"/>
                <w:b w:val="0"/>
                <w:bCs w:val="0"/>
                <w:iCs/>
              </w:rPr>
              <w:t>Ongoing Support Assessment Fee</w:t>
            </w:r>
          </w:p>
        </w:tc>
        <w:tc>
          <w:tcPr>
            <w:tcW w:w="2557" w:type="dxa"/>
            <w:tcBorders>
              <w:top w:val="single" w:sz="4" w:space="0" w:color="B1E4E3" w:themeColor="accent3"/>
              <w:left w:val="single" w:sz="4" w:space="0" w:color="B1E4E3" w:themeColor="accent3"/>
              <w:bottom w:val="single" w:sz="4" w:space="0" w:color="B1E4E3" w:themeColor="accent3"/>
              <w:right w:val="single" w:sz="4" w:space="0" w:color="B1E4E3" w:themeColor="accent3"/>
            </w:tcBorders>
          </w:tcPr>
          <w:p w:rsidR="00AC72FA" w:rsidRPr="003368D2" w:rsidRDefault="00AC72FA" w:rsidP="00A076AF">
            <w:pPr>
              <w:cnfStyle w:val="000000100000" w:firstRow="0" w:lastRow="0" w:firstColumn="0" w:lastColumn="0" w:oddVBand="0" w:evenVBand="0" w:oddHBand="1" w:evenHBand="0" w:firstRowFirstColumn="0" w:firstRowLastColumn="0" w:lastRowFirstColumn="0" w:lastRowLastColumn="0"/>
              <w:rPr>
                <w:rFonts w:cs="Arial"/>
              </w:rPr>
            </w:pPr>
            <w:r w:rsidRPr="003368D2">
              <w:rPr>
                <w:rFonts w:cs="Arial"/>
                <w:iCs/>
              </w:rPr>
              <w:t>$420</w:t>
            </w:r>
          </w:p>
        </w:tc>
        <w:tc>
          <w:tcPr>
            <w:tcW w:w="3605" w:type="dxa"/>
            <w:tcBorders>
              <w:top w:val="single" w:sz="4" w:space="0" w:color="B1E4E3" w:themeColor="accent3"/>
              <w:left w:val="single" w:sz="4" w:space="0" w:color="B1E4E3" w:themeColor="accent3"/>
              <w:bottom w:val="single" w:sz="4" w:space="0" w:color="B1E4E3" w:themeColor="accent3"/>
              <w:right w:val="single" w:sz="4" w:space="0" w:color="B1E4E3" w:themeColor="accent3"/>
            </w:tcBorders>
          </w:tcPr>
          <w:p w:rsidR="00AC72FA" w:rsidRPr="003368D2" w:rsidRDefault="00AC72FA" w:rsidP="00A076AF">
            <w:pPr>
              <w:cnfStyle w:val="000000100000" w:firstRow="0" w:lastRow="0" w:firstColumn="0" w:lastColumn="0" w:oddVBand="0" w:evenVBand="0" w:oddHBand="1" w:evenHBand="0" w:firstRowFirstColumn="0" w:firstRowLastColumn="0" w:lastRowFirstColumn="0" w:lastRowLastColumn="0"/>
              <w:rPr>
                <w:rFonts w:cs="Arial"/>
              </w:rPr>
            </w:pPr>
            <w:r w:rsidRPr="003368D2">
              <w:rPr>
                <w:rFonts w:cs="Arial"/>
                <w:iCs/>
              </w:rPr>
              <w:t>Nil</w:t>
            </w:r>
          </w:p>
        </w:tc>
      </w:tr>
      <w:tr w:rsidR="00AC72FA" w:rsidRPr="00247FDE" w:rsidTr="009233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B1E4E3" w:themeColor="accent3"/>
              <w:left w:val="single" w:sz="4" w:space="0" w:color="B1E4E3" w:themeColor="accent3"/>
              <w:bottom w:val="single" w:sz="4" w:space="0" w:color="B1E4E3" w:themeColor="accent3"/>
              <w:right w:val="single" w:sz="4" w:space="0" w:color="B1E4E3" w:themeColor="accent3"/>
            </w:tcBorders>
          </w:tcPr>
          <w:p w:rsidR="00AC72FA" w:rsidRPr="003368D2" w:rsidRDefault="00AC72FA" w:rsidP="00A076AF">
            <w:pPr>
              <w:rPr>
                <w:rFonts w:cs="Arial"/>
                <w:b w:val="0"/>
                <w:bCs w:val="0"/>
              </w:rPr>
            </w:pPr>
            <w:r w:rsidRPr="003368D2">
              <w:rPr>
                <w:rFonts w:cs="Arial"/>
                <w:b w:val="0"/>
                <w:bCs w:val="0"/>
                <w:iCs/>
              </w:rPr>
              <w:t>Supported Wage System Assessment Fee</w:t>
            </w:r>
          </w:p>
        </w:tc>
        <w:tc>
          <w:tcPr>
            <w:tcW w:w="2557" w:type="dxa"/>
            <w:tcBorders>
              <w:top w:val="single" w:sz="4" w:space="0" w:color="B1E4E3" w:themeColor="accent3"/>
              <w:left w:val="single" w:sz="4" w:space="0" w:color="B1E4E3" w:themeColor="accent3"/>
              <w:bottom w:val="single" w:sz="4" w:space="0" w:color="B1E4E3" w:themeColor="accent3"/>
              <w:right w:val="single" w:sz="4" w:space="0" w:color="B1E4E3" w:themeColor="accent3"/>
            </w:tcBorders>
          </w:tcPr>
          <w:p w:rsidR="00AC72FA" w:rsidRPr="003368D2" w:rsidRDefault="00AC72FA" w:rsidP="00A076AF">
            <w:pPr>
              <w:cnfStyle w:val="000000010000" w:firstRow="0" w:lastRow="0" w:firstColumn="0" w:lastColumn="0" w:oddVBand="0" w:evenVBand="0" w:oddHBand="0" w:evenHBand="1" w:firstRowFirstColumn="0" w:firstRowLastColumn="0" w:lastRowFirstColumn="0" w:lastRowLastColumn="0"/>
              <w:rPr>
                <w:rFonts w:cs="Arial"/>
              </w:rPr>
            </w:pPr>
            <w:r w:rsidRPr="003368D2">
              <w:rPr>
                <w:rFonts w:cs="Arial"/>
                <w:iCs/>
              </w:rPr>
              <w:t>$600</w:t>
            </w:r>
          </w:p>
        </w:tc>
        <w:tc>
          <w:tcPr>
            <w:tcW w:w="3605" w:type="dxa"/>
            <w:tcBorders>
              <w:top w:val="single" w:sz="4" w:space="0" w:color="B1E4E3" w:themeColor="accent3"/>
              <w:left w:val="single" w:sz="4" w:space="0" w:color="B1E4E3" w:themeColor="accent3"/>
              <w:bottom w:val="single" w:sz="4" w:space="0" w:color="B1E4E3" w:themeColor="accent3"/>
              <w:right w:val="single" w:sz="4" w:space="0" w:color="B1E4E3" w:themeColor="accent3"/>
            </w:tcBorders>
          </w:tcPr>
          <w:p w:rsidR="00AC72FA" w:rsidRPr="003368D2" w:rsidRDefault="00AC72FA" w:rsidP="00A076AF">
            <w:pPr>
              <w:cnfStyle w:val="000000010000" w:firstRow="0" w:lastRow="0" w:firstColumn="0" w:lastColumn="0" w:oddVBand="0" w:evenVBand="0" w:oddHBand="0" w:evenHBand="1" w:firstRowFirstColumn="0" w:firstRowLastColumn="0" w:lastRowFirstColumn="0" w:lastRowLastColumn="0"/>
              <w:rPr>
                <w:rFonts w:cs="Arial"/>
              </w:rPr>
            </w:pPr>
            <w:r w:rsidRPr="003368D2">
              <w:rPr>
                <w:rFonts w:cs="Arial"/>
                <w:iCs/>
              </w:rPr>
              <w:t>$120 per hour (up to $480)</w:t>
            </w:r>
          </w:p>
        </w:tc>
      </w:tr>
      <w:tr w:rsidR="00AC72FA" w:rsidRPr="00247FDE" w:rsidTr="009233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Borders>
              <w:top w:val="single" w:sz="4" w:space="0" w:color="B1E4E3" w:themeColor="accent3"/>
              <w:left w:val="single" w:sz="4" w:space="0" w:color="B1E4E3" w:themeColor="accent3"/>
              <w:bottom w:val="single" w:sz="4" w:space="0" w:color="B1E4E3" w:themeColor="accent3"/>
              <w:right w:val="single" w:sz="4" w:space="0" w:color="B1E4E3" w:themeColor="accent3"/>
            </w:tcBorders>
          </w:tcPr>
          <w:p w:rsidR="00AC72FA" w:rsidRPr="003368D2" w:rsidRDefault="00AC72FA" w:rsidP="00A076AF">
            <w:pPr>
              <w:rPr>
                <w:rFonts w:cs="Arial"/>
                <w:b w:val="0"/>
                <w:bCs w:val="0"/>
              </w:rPr>
            </w:pPr>
            <w:r w:rsidRPr="003368D2">
              <w:rPr>
                <w:rFonts w:cs="Arial"/>
                <w:b w:val="0"/>
                <w:bCs w:val="0"/>
                <w:iCs/>
              </w:rPr>
              <w:t>Workplace Modifications Assessment Fee</w:t>
            </w:r>
          </w:p>
        </w:tc>
        <w:tc>
          <w:tcPr>
            <w:tcW w:w="2557" w:type="dxa"/>
            <w:tcBorders>
              <w:top w:val="single" w:sz="4" w:space="0" w:color="B1E4E3" w:themeColor="accent3"/>
              <w:left w:val="single" w:sz="4" w:space="0" w:color="B1E4E3" w:themeColor="accent3"/>
              <w:bottom w:val="single" w:sz="4" w:space="0" w:color="B1E4E3" w:themeColor="accent3"/>
              <w:right w:val="single" w:sz="4" w:space="0" w:color="B1E4E3" w:themeColor="accent3"/>
            </w:tcBorders>
          </w:tcPr>
          <w:p w:rsidR="00AC72FA" w:rsidRPr="003368D2" w:rsidRDefault="00AC72FA" w:rsidP="00A076AF">
            <w:pPr>
              <w:cnfStyle w:val="000000100000" w:firstRow="0" w:lastRow="0" w:firstColumn="0" w:lastColumn="0" w:oddVBand="0" w:evenVBand="0" w:oddHBand="1" w:evenHBand="0" w:firstRowFirstColumn="0" w:firstRowLastColumn="0" w:lastRowFirstColumn="0" w:lastRowLastColumn="0"/>
              <w:rPr>
                <w:rFonts w:cs="Arial"/>
              </w:rPr>
            </w:pPr>
            <w:r w:rsidRPr="003368D2">
              <w:rPr>
                <w:rFonts w:cs="Arial"/>
                <w:iCs/>
              </w:rPr>
              <w:t xml:space="preserve">$120 per hour </w:t>
            </w:r>
            <w:r w:rsidR="00342D1D">
              <w:rPr>
                <w:rFonts w:cs="Arial"/>
                <w:iCs/>
              </w:rPr>
              <w:br/>
            </w:r>
            <w:r w:rsidRPr="003368D2">
              <w:rPr>
                <w:rFonts w:cs="Arial"/>
                <w:iCs/>
              </w:rPr>
              <w:t>(up to $600)</w:t>
            </w:r>
          </w:p>
        </w:tc>
        <w:tc>
          <w:tcPr>
            <w:tcW w:w="3605" w:type="dxa"/>
            <w:tcBorders>
              <w:top w:val="single" w:sz="4" w:space="0" w:color="B1E4E3" w:themeColor="accent3"/>
              <w:left w:val="single" w:sz="4" w:space="0" w:color="B1E4E3" w:themeColor="accent3"/>
              <w:bottom w:val="single" w:sz="4" w:space="0" w:color="B1E4E3" w:themeColor="accent3"/>
              <w:right w:val="single" w:sz="4" w:space="0" w:color="B1E4E3" w:themeColor="accent3"/>
            </w:tcBorders>
          </w:tcPr>
          <w:p w:rsidR="00AC72FA" w:rsidRPr="003368D2" w:rsidRDefault="00AC72FA" w:rsidP="00A076AF">
            <w:pPr>
              <w:cnfStyle w:val="000000100000" w:firstRow="0" w:lastRow="0" w:firstColumn="0" w:lastColumn="0" w:oddVBand="0" w:evenVBand="0" w:oddHBand="1" w:evenHBand="0" w:firstRowFirstColumn="0" w:firstRowLastColumn="0" w:lastRowFirstColumn="0" w:lastRowLastColumn="0"/>
              <w:rPr>
                <w:rFonts w:cs="Arial"/>
              </w:rPr>
            </w:pPr>
            <w:r w:rsidRPr="003368D2">
              <w:rPr>
                <w:rFonts w:cs="Arial"/>
                <w:iCs/>
              </w:rPr>
              <w:t>$120 per hour (up to $480)</w:t>
            </w:r>
          </w:p>
        </w:tc>
      </w:tr>
    </w:tbl>
    <w:p w:rsidR="00A26BDE" w:rsidRDefault="00AC72FA" w:rsidP="00DE2EB7">
      <w:pPr>
        <w:spacing w:before="600"/>
        <w:rPr>
          <w:rFonts w:cs="Arial"/>
          <w:b/>
        </w:rPr>
      </w:pPr>
      <w:r w:rsidRPr="003368D2">
        <w:rPr>
          <w:rFonts w:cs="Arial"/>
          <w:b/>
        </w:rPr>
        <w:t xml:space="preserve">Table </w:t>
      </w:r>
      <w:r w:rsidR="008F0C33">
        <w:rPr>
          <w:rFonts w:cs="Arial"/>
          <w:b/>
        </w:rPr>
        <w:t>2</w:t>
      </w:r>
      <w:r w:rsidR="00342D1D">
        <w:rPr>
          <w:rFonts w:cs="Arial"/>
          <w:b/>
        </w:rPr>
        <w:t xml:space="preserve"> -</w:t>
      </w:r>
      <w:r w:rsidRPr="003368D2">
        <w:rPr>
          <w:rFonts w:cs="Arial"/>
          <w:b/>
        </w:rPr>
        <w:t xml:space="preserve"> Remote </w:t>
      </w:r>
      <w:r w:rsidR="00342D1D">
        <w:rPr>
          <w:rFonts w:cs="Arial"/>
          <w:b/>
        </w:rPr>
        <w:t>l</w:t>
      </w:r>
      <w:r w:rsidRPr="003368D2">
        <w:rPr>
          <w:rFonts w:cs="Arial"/>
          <w:b/>
        </w:rPr>
        <w:t>oading and travel fees for NPA</w:t>
      </w:r>
    </w:p>
    <w:tbl>
      <w:tblPr>
        <w:tblW w:w="8720" w:type="dxa"/>
        <w:tblInd w:w="93" w:type="dxa"/>
        <w:tblLook w:val="04A0" w:firstRow="1" w:lastRow="0" w:firstColumn="1" w:lastColumn="0" w:noHBand="0" w:noVBand="1"/>
        <w:tblCaption w:val="Table 2. Remote Loading and travel fees for National Panel of Assessors"/>
        <w:tblDescription w:val="Table describing Remote Loading and travel fees for National Panel of Assessors"/>
      </w:tblPr>
      <w:tblGrid>
        <w:gridCol w:w="2249"/>
        <w:gridCol w:w="2071"/>
        <w:gridCol w:w="1649"/>
        <w:gridCol w:w="2751"/>
      </w:tblGrid>
      <w:tr w:rsidR="00A26BDE" w:rsidRPr="00A26BDE" w:rsidTr="00DE2EB7">
        <w:trPr>
          <w:trHeight w:val="1125"/>
          <w:tblHeader/>
        </w:trPr>
        <w:tc>
          <w:tcPr>
            <w:tcW w:w="2249" w:type="dxa"/>
            <w:tcBorders>
              <w:top w:val="single" w:sz="8" w:space="0" w:color="B1E4E3"/>
              <w:left w:val="single" w:sz="8" w:space="0" w:color="B1E4E3"/>
              <w:bottom w:val="nil"/>
              <w:right w:val="single" w:sz="8" w:space="0" w:color="B1E4E3"/>
            </w:tcBorders>
            <w:shd w:val="clear" w:color="000000" w:fill="B1E4E3"/>
            <w:vAlign w:val="center"/>
            <w:hideMark/>
          </w:tcPr>
          <w:p w:rsidR="00A26BDE" w:rsidRPr="00A26BDE" w:rsidRDefault="00A26BDE" w:rsidP="000E0770">
            <w:pPr>
              <w:spacing w:before="0" w:after="0" w:line="240" w:lineRule="auto"/>
              <w:rPr>
                <w:rFonts w:cs="Arial"/>
                <w:spacing w:val="0"/>
              </w:rPr>
            </w:pPr>
            <w:r w:rsidRPr="00A26BDE">
              <w:rPr>
                <w:rFonts w:cs="Arial"/>
                <w:spacing w:val="0"/>
              </w:rPr>
              <w:t xml:space="preserve">Payment </w:t>
            </w:r>
            <w:r w:rsidR="00342D1D">
              <w:rPr>
                <w:rFonts w:cs="Arial"/>
                <w:spacing w:val="0"/>
              </w:rPr>
              <w:t>t</w:t>
            </w:r>
            <w:r w:rsidRPr="00A26BDE">
              <w:rPr>
                <w:rFonts w:cs="Arial"/>
                <w:spacing w:val="0"/>
              </w:rPr>
              <w:t>ype</w:t>
            </w:r>
          </w:p>
        </w:tc>
        <w:tc>
          <w:tcPr>
            <w:tcW w:w="2071" w:type="dxa"/>
            <w:tcBorders>
              <w:top w:val="single" w:sz="8" w:space="0" w:color="B1E4E3"/>
              <w:left w:val="nil"/>
              <w:bottom w:val="nil"/>
              <w:right w:val="single" w:sz="8" w:space="0" w:color="B1E4E3"/>
            </w:tcBorders>
            <w:shd w:val="clear" w:color="000000" w:fill="B1E4E3"/>
            <w:vAlign w:val="center"/>
            <w:hideMark/>
          </w:tcPr>
          <w:p w:rsidR="00A26BDE" w:rsidRPr="00A26BDE" w:rsidRDefault="00A26BDE" w:rsidP="00AC3316">
            <w:pPr>
              <w:spacing w:before="0" w:after="0" w:line="240" w:lineRule="auto"/>
              <w:rPr>
                <w:rFonts w:cs="Arial"/>
                <w:spacing w:val="0"/>
              </w:rPr>
            </w:pPr>
            <w:r w:rsidRPr="00A26BDE">
              <w:rPr>
                <w:rFonts w:cs="Arial"/>
                <w:spacing w:val="0"/>
              </w:rPr>
              <w:t xml:space="preserve">Assessment </w:t>
            </w:r>
            <w:r w:rsidR="00342D1D">
              <w:rPr>
                <w:rFonts w:cs="Arial"/>
                <w:spacing w:val="0"/>
              </w:rPr>
              <w:t>f</w:t>
            </w:r>
            <w:r w:rsidRPr="00A26BDE">
              <w:rPr>
                <w:rFonts w:cs="Arial"/>
                <w:spacing w:val="0"/>
              </w:rPr>
              <w:t>ee with 1.7 loading</w:t>
            </w:r>
          </w:p>
        </w:tc>
        <w:tc>
          <w:tcPr>
            <w:tcW w:w="1649" w:type="dxa"/>
            <w:tcBorders>
              <w:top w:val="single" w:sz="8" w:space="0" w:color="B1E4E3"/>
              <w:left w:val="nil"/>
              <w:bottom w:val="nil"/>
              <w:right w:val="nil"/>
            </w:tcBorders>
            <w:shd w:val="clear" w:color="000000" w:fill="B1E4E3"/>
            <w:vAlign w:val="center"/>
            <w:hideMark/>
          </w:tcPr>
          <w:p w:rsidR="00A26BDE" w:rsidRPr="00A26BDE" w:rsidRDefault="00A26BDE" w:rsidP="00F5104D">
            <w:pPr>
              <w:spacing w:before="0" w:after="0" w:line="240" w:lineRule="auto"/>
              <w:rPr>
                <w:rFonts w:cs="Arial"/>
                <w:spacing w:val="0"/>
              </w:rPr>
            </w:pPr>
            <w:r w:rsidRPr="00A26BDE">
              <w:rPr>
                <w:rFonts w:cs="Arial"/>
                <w:spacing w:val="0"/>
              </w:rPr>
              <w:t xml:space="preserve">Additional </w:t>
            </w:r>
            <w:r w:rsidR="00342D1D">
              <w:rPr>
                <w:rFonts w:cs="Arial"/>
                <w:spacing w:val="0"/>
              </w:rPr>
              <w:t>a</w:t>
            </w:r>
            <w:r w:rsidRPr="00A26BDE">
              <w:rPr>
                <w:rFonts w:cs="Arial"/>
                <w:spacing w:val="0"/>
              </w:rPr>
              <w:t>ssessment</w:t>
            </w:r>
            <w:r w:rsidR="00342D1D">
              <w:rPr>
                <w:rFonts w:cs="Arial"/>
                <w:spacing w:val="0"/>
              </w:rPr>
              <w:t xml:space="preserve"> </w:t>
            </w:r>
            <w:r w:rsidR="00342D1D">
              <w:rPr>
                <w:rFonts w:cs="Arial"/>
                <w:spacing w:val="0"/>
              </w:rPr>
              <w:br/>
              <w:t>f</w:t>
            </w:r>
            <w:r w:rsidRPr="00A26BDE">
              <w:rPr>
                <w:rFonts w:cs="Arial"/>
                <w:spacing w:val="0"/>
              </w:rPr>
              <w:t>ee with 1.7 loading</w:t>
            </w:r>
          </w:p>
        </w:tc>
        <w:tc>
          <w:tcPr>
            <w:tcW w:w="2751" w:type="dxa"/>
            <w:tcBorders>
              <w:top w:val="single" w:sz="8" w:space="0" w:color="B1E4E3"/>
              <w:left w:val="nil"/>
              <w:bottom w:val="nil"/>
              <w:right w:val="single" w:sz="8" w:space="0" w:color="B1E4E3"/>
            </w:tcBorders>
            <w:shd w:val="clear" w:color="000000" w:fill="B1E4E3"/>
            <w:vAlign w:val="center"/>
            <w:hideMark/>
          </w:tcPr>
          <w:p w:rsidR="00A26BDE" w:rsidRPr="00A26BDE" w:rsidRDefault="00A26BDE" w:rsidP="0008482F">
            <w:pPr>
              <w:spacing w:before="0" w:after="0" w:line="240" w:lineRule="auto"/>
              <w:rPr>
                <w:rFonts w:cs="Arial"/>
                <w:spacing w:val="0"/>
              </w:rPr>
            </w:pPr>
            <w:r w:rsidRPr="00A26BDE">
              <w:rPr>
                <w:rFonts w:cs="Arial"/>
                <w:spacing w:val="0"/>
              </w:rPr>
              <w:t xml:space="preserve">Travel </w:t>
            </w:r>
            <w:r w:rsidR="00342D1D">
              <w:rPr>
                <w:rFonts w:cs="Arial"/>
                <w:spacing w:val="0"/>
              </w:rPr>
              <w:t>f</w:t>
            </w:r>
            <w:r w:rsidRPr="00A26BDE">
              <w:rPr>
                <w:rFonts w:cs="Arial"/>
                <w:spacing w:val="0"/>
              </w:rPr>
              <w:t>ee</w:t>
            </w:r>
          </w:p>
        </w:tc>
      </w:tr>
      <w:tr w:rsidR="00A26BDE" w:rsidRPr="00A26BDE" w:rsidTr="00DE2EB7">
        <w:trPr>
          <w:trHeight w:val="600"/>
          <w:tblHeader/>
        </w:trPr>
        <w:tc>
          <w:tcPr>
            <w:tcW w:w="2249" w:type="dxa"/>
            <w:tcBorders>
              <w:top w:val="single" w:sz="4" w:space="0" w:color="B7DEE8"/>
              <w:left w:val="single" w:sz="4" w:space="0" w:color="B7DEE8"/>
              <w:bottom w:val="nil"/>
              <w:right w:val="nil"/>
            </w:tcBorders>
            <w:shd w:val="clear" w:color="auto" w:fill="auto"/>
            <w:vAlign w:val="center"/>
            <w:hideMark/>
          </w:tcPr>
          <w:p w:rsidR="00A26BDE" w:rsidRPr="00A26BDE" w:rsidRDefault="00A26BDE" w:rsidP="0092337B">
            <w:pPr>
              <w:spacing w:before="0" w:after="0" w:line="240" w:lineRule="auto"/>
              <w:rPr>
                <w:rFonts w:cs="Arial"/>
                <w:color w:val="000000"/>
                <w:spacing w:val="0"/>
              </w:rPr>
            </w:pPr>
            <w:r w:rsidRPr="00A26BDE">
              <w:rPr>
                <w:rFonts w:cs="Arial"/>
                <w:color w:val="000000"/>
                <w:spacing w:val="0"/>
              </w:rPr>
              <w:t>Ongoing Support Assessment Fee</w:t>
            </w:r>
          </w:p>
        </w:tc>
        <w:tc>
          <w:tcPr>
            <w:tcW w:w="2071" w:type="dxa"/>
            <w:tcBorders>
              <w:top w:val="single" w:sz="4" w:space="0" w:color="B7DEE8"/>
              <w:left w:val="single" w:sz="4" w:space="0" w:color="B7DEE8"/>
              <w:bottom w:val="single" w:sz="4" w:space="0" w:color="B7DEE8"/>
              <w:right w:val="single" w:sz="4" w:space="0" w:color="B7DEE8"/>
            </w:tcBorders>
            <w:shd w:val="clear" w:color="auto" w:fill="auto"/>
            <w:vAlign w:val="center"/>
            <w:hideMark/>
          </w:tcPr>
          <w:p w:rsidR="00A26BDE" w:rsidRPr="00A26BDE" w:rsidRDefault="00A26BDE" w:rsidP="000E0770">
            <w:pPr>
              <w:spacing w:before="0" w:after="0" w:line="240" w:lineRule="auto"/>
              <w:rPr>
                <w:rFonts w:cs="Arial"/>
                <w:color w:val="000000"/>
                <w:spacing w:val="0"/>
              </w:rPr>
            </w:pPr>
            <w:r w:rsidRPr="00A26BDE">
              <w:rPr>
                <w:rFonts w:cs="Arial"/>
                <w:color w:val="000000"/>
                <w:spacing w:val="0"/>
              </w:rPr>
              <w:t>Nil</w:t>
            </w:r>
          </w:p>
        </w:tc>
        <w:tc>
          <w:tcPr>
            <w:tcW w:w="1649" w:type="dxa"/>
            <w:tcBorders>
              <w:top w:val="single" w:sz="4" w:space="0" w:color="B7DEE8"/>
              <w:left w:val="nil"/>
              <w:bottom w:val="single" w:sz="4" w:space="0" w:color="B7DEE8"/>
              <w:right w:val="single" w:sz="4" w:space="0" w:color="B7DEE8"/>
            </w:tcBorders>
            <w:shd w:val="clear" w:color="auto" w:fill="auto"/>
            <w:vAlign w:val="center"/>
            <w:hideMark/>
          </w:tcPr>
          <w:p w:rsidR="00A26BDE" w:rsidRPr="00A26BDE" w:rsidRDefault="00A26BDE" w:rsidP="00AC3316">
            <w:pPr>
              <w:spacing w:before="0" w:after="0" w:line="240" w:lineRule="auto"/>
              <w:rPr>
                <w:rFonts w:cs="Arial"/>
                <w:color w:val="000000"/>
                <w:spacing w:val="0"/>
              </w:rPr>
            </w:pPr>
            <w:r w:rsidRPr="00A26BDE">
              <w:rPr>
                <w:rFonts w:cs="Arial"/>
                <w:color w:val="000000"/>
                <w:spacing w:val="0"/>
              </w:rPr>
              <w:t>Nil</w:t>
            </w:r>
          </w:p>
        </w:tc>
        <w:tc>
          <w:tcPr>
            <w:tcW w:w="2751" w:type="dxa"/>
            <w:tcBorders>
              <w:top w:val="single" w:sz="4" w:space="0" w:color="B7DEE8"/>
              <w:left w:val="nil"/>
              <w:bottom w:val="single" w:sz="4" w:space="0" w:color="B7DEE8"/>
              <w:right w:val="single" w:sz="4" w:space="0" w:color="B7DEE8"/>
            </w:tcBorders>
            <w:shd w:val="clear" w:color="auto" w:fill="auto"/>
            <w:vAlign w:val="center"/>
            <w:hideMark/>
          </w:tcPr>
          <w:p w:rsidR="00A26BDE" w:rsidRPr="00A26BDE" w:rsidRDefault="00A26BDE" w:rsidP="00F5104D">
            <w:pPr>
              <w:spacing w:before="0" w:after="0" w:line="240" w:lineRule="auto"/>
              <w:rPr>
                <w:rFonts w:cs="Arial"/>
                <w:color w:val="000000"/>
                <w:spacing w:val="0"/>
              </w:rPr>
            </w:pPr>
            <w:r w:rsidRPr="00A26BDE">
              <w:rPr>
                <w:rFonts w:cs="Arial"/>
                <w:color w:val="000000"/>
                <w:spacing w:val="0"/>
              </w:rPr>
              <w:t>Nil</w:t>
            </w:r>
          </w:p>
        </w:tc>
      </w:tr>
      <w:tr w:rsidR="00A26BDE" w:rsidRPr="00A26BDE" w:rsidTr="00DE2EB7">
        <w:trPr>
          <w:trHeight w:val="900"/>
          <w:tblHeader/>
        </w:trPr>
        <w:tc>
          <w:tcPr>
            <w:tcW w:w="2249" w:type="dxa"/>
            <w:tcBorders>
              <w:top w:val="single" w:sz="4" w:space="0" w:color="B7DEE8"/>
              <w:left w:val="single" w:sz="4" w:space="0" w:color="B7DEE8"/>
              <w:bottom w:val="single" w:sz="4" w:space="0" w:color="B7DEE8"/>
              <w:right w:val="single" w:sz="4" w:space="0" w:color="B7DEE8"/>
            </w:tcBorders>
            <w:shd w:val="clear" w:color="auto" w:fill="auto"/>
            <w:vAlign w:val="center"/>
            <w:hideMark/>
          </w:tcPr>
          <w:p w:rsidR="00A26BDE" w:rsidRPr="00A26BDE" w:rsidRDefault="00A26BDE" w:rsidP="0092337B">
            <w:pPr>
              <w:spacing w:before="0" w:after="0" w:line="240" w:lineRule="auto"/>
              <w:rPr>
                <w:rFonts w:cs="Arial"/>
                <w:color w:val="000000"/>
                <w:spacing w:val="0"/>
              </w:rPr>
            </w:pPr>
            <w:r w:rsidRPr="00A26BDE">
              <w:rPr>
                <w:rFonts w:cs="Arial"/>
                <w:color w:val="000000"/>
                <w:spacing w:val="0"/>
              </w:rPr>
              <w:t>Suppo</w:t>
            </w:r>
            <w:r w:rsidR="00DE2EB7">
              <w:rPr>
                <w:rFonts w:cs="Arial"/>
                <w:color w:val="000000"/>
                <w:spacing w:val="0"/>
              </w:rPr>
              <w:t>rted Wage System Assessment Fee</w:t>
            </w:r>
          </w:p>
        </w:tc>
        <w:tc>
          <w:tcPr>
            <w:tcW w:w="2071" w:type="dxa"/>
            <w:tcBorders>
              <w:top w:val="nil"/>
              <w:left w:val="nil"/>
              <w:bottom w:val="single" w:sz="4" w:space="0" w:color="B7DEE8"/>
              <w:right w:val="nil"/>
            </w:tcBorders>
            <w:shd w:val="clear" w:color="auto" w:fill="auto"/>
            <w:vAlign w:val="center"/>
            <w:hideMark/>
          </w:tcPr>
          <w:p w:rsidR="00A26BDE" w:rsidRPr="00A26BDE" w:rsidRDefault="00A26BDE" w:rsidP="000E0770">
            <w:pPr>
              <w:spacing w:before="0" w:after="0" w:line="240" w:lineRule="auto"/>
              <w:rPr>
                <w:rFonts w:cs="Arial"/>
                <w:color w:val="000000"/>
                <w:spacing w:val="0"/>
              </w:rPr>
            </w:pPr>
            <w:r w:rsidRPr="00A26BDE">
              <w:rPr>
                <w:rFonts w:cs="Arial"/>
                <w:color w:val="000000"/>
                <w:spacing w:val="0"/>
              </w:rPr>
              <w:t>$1,020</w:t>
            </w:r>
          </w:p>
        </w:tc>
        <w:tc>
          <w:tcPr>
            <w:tcW w:w="1649" w:type="dxa"/>
            <w:tcBorders>
              <w:top w:val="nil"/>
              <w:left w:val="single" w:sz="4" w:space="0" w:color="B7DEE8"/>
              <w:bottom w:val="single" w:sz="4" w:space="0" w:color="B7DEE8"/>
              <w:right w:val="single" w:sz="4" w:space="0" w:color="B7DEE8"/>
            </w:tcBorders>
            <w:shd w:val="clear" w:color="auto" w:fill="auto"/>
            <w:vAlign w:val="center"/>
            <w:hideMark/>
          </w:tcPr>
          <w:p w:rsidR="00A26BDE" w:rsidRPr="00A26BDE" w:rsidRDefault="00A26BDE" w:rsidP="00AC3316">
            <w:pPr>
              <w:spacing w:before="0" w:after="0" w:line="240" w:lineRule="auto"/>
              <w:rPr>
                <w:rFonts w:cs="Arial"/>
                <w:color w:val="000000"/>
                <w:spacing w:val="0"/>
              </w:rPr>
            </w:pPr>
            <w:r w:rsidRPr="00A26BDE">
              <w:rPr>
                <w:rFonts w:cs="Arial"/>
                <w:color w:val="000000"/>
              </w:rPr>
              <w:t>$204 per hour (up to $816)</w:t>
            </w:r>
          </w:p>
        </w:tc>
        <w:tc>
          <w:tcPr>
            <w:tcW w:w="2751" w:type="dxa"/>
            <w:tcBorders>
              <w:top w:val="nil"/>
              <w:left w:val="nil"/>
              <w:bottom w:val="single" w:sz="4" w:space="0" w:color="B7DEE8"/>
              <w:right w:val="single" w:sz="4" w:space="0" w:color="B7DEE8"/>
            </w:tcBorders>
            <w:shd w:val="clear" w:color="auto" w:fill="auto"/>
            <w:vAlign w:val="center"/>
            <w:hideMark/>
          </w:tcPr>
          <w:p w:rsidR="00A26BDE" w:rsidRPr="00A26BDE" w:rsidRDefault="00A26BDE" w:rsidP="00F5104D">
            <w:pPr>
              <w:spacing w:before="0" w:after="0" w:line="240" w:lineRule="auto"/>
              <w:rPr>
                <w:rFonts w:cs="Arial"/>
                <w:color w:val="000000"/>
                <w:spacing w:val="0"/>
              </w:rPr>
            </w:pPr>
            <w:r w:rsidRPr="00A26BDE">
              <w:rPr>
                <w:rFonts w:cs="Arial"/>
                <w:color w:val="000000"/>
                <w:spacing w:val="0"/>
              </w:rPr>
              <w:t>Nil</w:t>
            </w:r>
          </w:p>
        </w:tc>
      </w:tr>
      <w:tr w:rsidR="00A26BDE" w:rsidRPr="00A26BDE" w:rsidTr="00DE2EB7">
        <w:trPr>
          <w:trHeight w:val="1643"/>
          <w:tblHeader/>
        </w:trPr>
        <w:tc>
          <w:tcPr>
            <w:tcW w:w="2249" w:type="dxa"/>
            <w:tcBorders>
              <w:top w:val="nil"/>
              <w:left w:val="single" w:sz="4" w:space="0" w:color="B7DEE8"/>
              <w:bottom w:val="single" w:sz="4" w:space="0" w:color="B7DEE8"/>
              <w:right w:val="nil"/>
            </w:tcBorders>
            <w:shd w:val="clear" w:color="auto" w:fill="auto"/>
            <w:vAlign w:val="center"/>
            <w:hideMark/>
          </w:tcPr>
          <w:p w:rsidR="00A26BDE" w:rsidRPr="00A26BDE" w:rsidRDefault="00A26BDE" w:rsidP="0092337B">
            <w:pPr>
              <w:spacing w:before="0" w:after="0" w:line="240" w:lineRule="auto"/>
              <w:rPr>
                <w:rFonts w:cs="Arial"/>
                <w:color w:val="000000"/>
                <w:spacing w:val="0"/>
              </w:rPr>
            </w:pPr>
            <w:r w:rsidRPr="00A26BDE">
              <w:rPr>
                <w:rFonts w:cs="Arial"/>
                <w:color w:val="000000"/>
                <w:spacing w:val="0"/>
              </w:rPr>
              <w:t>Workplace Modifications Assessment Fee</w:t>
            </w:r>
          </w:p>
        </w:tc>
        <w:tc>
          <w:tcPr>
            <w:tcW w:w="2071" w:type="dxa"/>
            <w:tcBorders>
              <w:top w:val="nil"/>
              <w:left w:val="single" w:sz="4" w:space="0" w:color="B7DEE8"/>
              <w:bottom w:val="single" w:sz="4" w:space="0" w:color="B7DEE8"/>
              <w:right w:val="nil"/>
            </w:tcBorders>
            <w:shd w:val="clear" w:color="auto" w:fill="auto"/>
            <w:vAlign w:val="center"/>
            <w:hideMark/>
          </w:tcPr>
          <w:p w:rsidR="00A26BDE" w:rsidRPr="00A26BDE" w:rsidRDefault="00A26BDE" w:rsidP="000E0770">
            <w:pPr>
              <w:spacing w:before="0" w:after="0" w:line="240" w:lineRule="auto"/>
              <w:rPr>
                <w:rFonts w:cs="Arial"/>
                <w:color w:val="000000"/>
                <w:spacing w:val="0"/>
              </w:rPr>
            </w:pPr>
            <w:r w:rsidRPr="00A26BDE">
              <w:rPr>
                <w:rFonts w:cs="Arial"/>
                <w:color w:val="000000"/>
                <w:spacing w:val="0"/>
              </w:rPr>
              <w:t>Nil</w:t>
            </w:r>
          </w:p>
        </w:tc>
        <w:tc>
          <w:tcPr>
            <w:tcW w:w="1649" w:type="dxa"/>
            <w:tcBorders>
              <w:top w:val="nil"/>
              <w:left w:val="single" w:sz="4" w:space="0" w:color="B7DEE8"/>
              <w:bottom w:val="single" w:sz="4" w:space="0" w:color="B7DEE8"/>
              <w:right w:val="nil"/>
            </w:tcBorders>
            <w:shd w:val="clear" w:color="auto" w:fill="auto"/>
            <w:vAlign w:val="center"/>
            <w:hideMark/>
          </w:tcPr>
          <w:p w:rsidR="00A26BDE" w:rsidRPr="00A26BDE" w:rsidRDefault="00A26BDE" w:rsidP="00AC3316">
            <w:pPr>
              <w:spacing w:before="0" w:after="0" w:line="240" w:lineRule="auto"/>
              <w:rPr>
                <w:rFonts w:cs="Arial"/>
                <w:color w:val="000000"/>
                <w:spacing w:val="0"/>
              </w:rPr>
            </w:pPr>
            <w:r w:rsidRPr="00A26BDE">
              <w:rPr>
                <w:rFonts w:cs="Arial"/>
                <w:color w:val="000000"/>
                <w:spacing w:val="0"/>
              </w:rPr>
              <w:t>Nil</w:t>
            </w:r>
          </w:p>
        </w:tc>
        <w:tc>
          <w:tcPr>
            <w:tcW w:w="2751" w:type="dxa"/>
            <w:tcBorders>
              <w:top w:val="nil"/>
              <w:left w:val="single" w:sz="4" w:space="0" w:color="B7DEE8"/>
              <w:bottom w:val="single" w:sz="4" w:space="0" w:color="B7DEE8"/>
              <w:right w:val="single" w:sz="4" w:space="0" w:color="B7DEE8"/>
            </w:tcBorders>
            <w:shd w:val="clear" w:color="auto" w:fill="auto"/>
            <w:vAlign w:val="center"/>
            <w:hideMark/>
          </w:tcPr>
          <w:p w:rsidR="00A26BDE" w:rsidRPr="00A26BDE" w:rsidRDefault="00A26BDE" w:rsidP="00F5104D">
            <w:pPr>
              <w:spacing w:before="0" w:after="0" w:line="240" w:lineRule="auto"/>
              <w:rPr>
                <w:rFonts w:cs="Arial"/>
                <w:color w:val="000000"/>
                <w:spacing w:val="0"/>
              </w:rPr>
            </w:pPr>
            <w:r w:rsidRPr="00A26BDE">
              <w:rPr>
                <w:rFonts w:cs="Arial"/>
                <w:color w:val="000000"/>
                <w:spacing w:val="0"/>
              </w:rPr>
              <w:t>$50 per hour and other reimbursements as applicable (for travel in excess of 200 km)</w:t>
            </w:r>
          </w:p>
        </w:tc>
      </w:tr>
    </w:tbl>
    <w:p w:rsidR="00AC72FA" w:rsidRPr="008F0C33" w:rsidRDefault="00AC72FA" w:rsidP="008F0C33">
      <w:pPr>
        <w:pStyle w:val="Heading3Numbered"/>
        <w:rPr>
          <w:color w:val="005A70" w:themeColor="accent1"/>
        </w:rPr>
      </w:pPr>
      <w:bookmarkStart w:id="12" w:name="_Toc490749794"/>
      <w:r w:rsidRPr="008F0C33">
        <w:rPr>
          <w:color w:val="005A70" w:themeColor="accent1"/>
        </w:rPr>
        <w:lastRenderedPageBreak/>
        <w:t>Ongoing Support Assessment Fees</w:t>
      </w:r>
      <w:bookmarkEnd w:id="12"/>
    </w:p>
    <w:p w:rsidR="00AC72FA" w:rsidRPr="00247FDE" w:rsidRDefault="00AC72FA" w:rsidP="00AC72FA">
      <w:pPr>
        <w:pStyle w:val="BodyIndent0"/>
        <w:rPr>
          <w:rFonts w:ascii="Arial" w:hAnsi="Arial" w:cs="Arial"/>
          <w:spacing w:val="4"/>
          <w:sz w:val="24"/>
        </w:rPr>
      </w:pPr>
      <w:r w:rsidRPr="00247FDE">
        <w:rPr>
          <w:rFonts w:ascii="Arial" w:hAnsi="Arial" w:cs="Arial"/>
          <w:spacing w:val="4"/>
          <w:sz w:val="24"/>
        </w:rPr>
        <w:t xml:space="preserve">An </w:t>
      </w:r>
      <w:r w:rsidR="00342D1D">
        <w:rPr>
          <w:rFonts w:ascii="Arial" w:hAnsi="Arial" w:cs="Arial"/>
          <w:spacing w:val="4"/>
          <w:sz w:val="24"/>
        </w:rPr>
        <w:t>a</w:t>
      </w:r>
      <w:r w:rsidRPr="00247FDE">
        <w:rPr>
          <w:rFonts w:ascii="Arial" w:hAnsi="Arial" w:cs="Arial"/>
          <w:spacing w:val="4"/>
          <w:sz w:val="24"/>
        </w:rPr>
        <w:t xml:space="preserve">ssessment </w:t>
      </w:r>
      <w:r w:rsidR="00342D1D">
        <w:rPr>
          <w:rFonts w:ascii="Arial" w:hAnsi="Arial" w:cs="Arial"/>
          <w:spacing w:val="4"/>
          <w:sz w:val="24"/>
        </w:rPr>
        <w:t>f</w:t>
      </w:r>
      <w:r w:rsidRPr="00247FDE">
        <w:rPr>
          <w:rFonts w:ascii="Arial" w:hAnsi="Arial" w:cs="Arial"/>
          <w:spacing w:val="4"/>
          <w:sz w:val="24"/>
        </w:rPr>
        <w:t xml:space="preserve">ee of $420 (including GST) is payable to </w:t>
      </w:r>
      <w:r w:rsidR="00342D1D">
        <w:rPr>
          <w:rFonts w:ascii="Arial" w:hAnsi="Arial" w:cs="Arial"/>
          <w:spacing w:val="4"/>
          <w:sz w:val="24"/>
        </w:rPr>
        <w:t>p</w:t>
      </w:r>
      <w:r w:rsidRPr="00247FDE">
        <w:rPr>
          <w:rFonts w:ascii="Arial" w:hAnsi="Arial" w:cs="Arial"/>
          <w:spacing w:val="4"/>
          <w:sz w:val="24"/>
        </w:rPr>
        <w:t>roviders on completion and acceptance of an OSA report by the DSS.</w:t>
      </w:r>
    </w:p>
    <w:p w:rsidR="00AC72FA" w:rsidRPr="008F0C33" w:rsidRDefault="00AC72FA" w:rsidP="008F0C33">
      <w:pPr>
        <w:pStyle w:val="Heading3Numbered"/>
        <w:rPr>
          <w:color w:val="005A70" w:themeColor="accent1"/>
        </w:rPr>
      </w:pPr>
      <w:bookmarkStart w:id="13" w:name="_Toc490749795"/>
      <w:r w:rsidRPr="008F0C33">
        <w:rPr>
          <w:color w:val="005A70" w:themeColor="accent1"/>
        </w:rPr>
        <w:t>Supported Wage System Fees</w:t>
      </w:r>
      <w:bookmarkEnd w:id="13"/>
    </w:p>
    <w:p w:rsidR="00AC72FA" w:rsidRPr="00247FDE" w:rsidRDefault="00AC72FA" w:rsidP="00AC72FA">
      <w:pPr>
        <w:pStyle w:val="BodyIndent0"/>
        <w:rPr>
          <w:rFonts w:ascii="Arial" w:hAnsi="Arial" w:cs="Arial"/>
          <w:spacing w:val="4"/>
          <w:sz w:val="24"/>
        </w:rPr>
      </w:pPr>
      <w:r w:rsidRPr="00247FDE">
        <w:rPr>
          <w:rFonts w:ascii="Arial" w:hAnsi="Arial" w:cs="Arial"/>
          <w:spacing w:val="4"/>
          <w:sz w:val="24"/>
        </w:rPr>
        <w:t xml:space="preserve">An </w:t>
      </w:r>
      <w:r w:rsidR="00342D1D">
        <w:rPr>
          <w:rFonts w:ascii="Arial" w:hAnsi="Arial" w:cs="Arial"/>
          <w:spacing w:val="4"/>
          <w:sz w:val="24"/>
        </w:rPr>
        <w:t>a</w:t>
      </w:r>
      <w:r w:rsidRPr="00247FDE">
        <w:rPr>
          <w:rFonts w:ascii="Arial" w:hAnsi="Arial" w:cs="Arial"/>
          <w:spacing w:val="4"/>
          <w:sz w:val="24"/>
        </w:rPr>
        <w:t xml:space="preserve">ssessment </w:t>
      </w:r>
      <w:r w:rsidR="00342D1D">
        <w:rPr>
          <w:rFonts w:ascii="Arial" w:hAnsi="Arial" w:cs="Arial"/>
          <w:spacing w:val="4"/>
          <w:sz w:val="24"/>
        </w:rPr>
        <w:t>f</w:t>
      </w:r>
      <w:r w:rsidRPr="00247FDE">
        <w:rPr>
          <w:rFonts w:ascii="Arial" w:hAnsi="Arial" w:cs="Arial"/>
          <w:spacing w:val="4"/>
          <w:sz w:val="24"/>
        </w:rPr>
        <w:t xml:space="preserve">ee of $600 (including GST) is payable on completion of an SWS Assessment and SWS </w:t>
      </w:r>
      <w:r w:rsidRPr="007704FC">
        <w:rPr>
          <w:rFonts w:ascii="Arial" w:hAnsi="Arial" w:cs="Arial"/>
          <w:spacing w:val="4"/>
          <w:sz w:val="24"/>
        </w:rPr>
        <w:t>Wage Assessment Agreement</w:t>
      </w:r>
      <w:r w:rsidRPr="00247FDE">
        <w:rPr>
          <w:rFonts w:ascii="Arial" w:hAnsi="Arial" w:cs="Arial"/>
          <w:spacing w:val="4"/>
          <w:sz w:val="24"/>
        </w:rPr>
        <w:t xml:space="preserve">. If an </w:t>
      </w:r>
      <w:r w:rsidR="00342D1D">
        <w:rPr>
          <w:rFonts w:ascii="Arial" w:hAnsi="Arial" w:cs="Arial"/>
          <w:spacing w:val="4"/>
          <w:sz w:val="24"/>
        </w:rPr>
        <w:t>a</w:t>
      </w:r>
      <w:r w:rsidRPr="00247FDE">
        <w:rPr>
          <w:rFonts w:ascii="Arial" w:hAnsi="Arial" w:cs="Arial"/>
          <w:spacing w:val="4"/>
          <w:sz w:val="24"/>
        </w:rPr>
        <w:t>ssessment will take more than five hours to complete, DSS may approve payment for up to an additional four hours at an hourly rate of $120 (including GST).</w:t>
      </w:r>
    </w:p>
    <w:p w:rsidR="00AC72FA" w:rsidRPr="00247FDE" w:rsidRDefault="00AC72FA" w:rsidP="00AC72FA">
      <w:r>
        <w:rPr>
          <w:rFonts w:cs="Arial"/>
        </w:rPr>
        <w:t xml:space="preserve">A loading of 70 </w:t>
      </w:r>
      <w:r w:rsidRPr="00EF50A0">
        <w:rPr>
          <w:rFonts w:cs="Arial"/>
        </w:rPr>
        <w:t xml:space="preserve">per cent will be applied to the </w:t>
      </w:r>
      <w:r w:rsidR="00342D1D">
        <w:rPr>
          <w:rFonts w:cs="Arial"/>
        </w:rPr>
        <w:t>a</w:t>
      </w:r>
      <w:r w:rsidRPr="00EF50A0">
        <w:rPr>
          <w:rFonts w:cs="Arial"/>
        </w:rPr>
        <w:t xml:space="preserve">ssessment </w:t>
      </w:r>
      <w:r w:rsidR="00342D1D">
        <w:rPr>
          <w:rFonts w:cs="Arial"/>
        </w:rPr>
        <w:t>f</w:t>
      </w:r>
      <w:r w:rsidRPr="00EF50A0">
        <w:rPr>
          <w:rFonts w:cs="Arial"/>
        </w:rPr>
        <w:t xml:space="preserve">ee where the assessment is completed in a Community Development Program </w:t>
      </w:r>
      <w:r>
        <w:rPr>
          <w:rFonts w:cs="Arial"/>
        </w:rPr>
        <w:t>Region</w:t>
      </w:r>
      <w:r w:rsidRPr="00EF50A0">
        <w:rPr>
          <w:rFonts w:cs="Arial"/>
        </w:rPr>
        <w:t>.</w:t>
      </w:r>
    </w:p>
    <w:p w:rsidR="00AC72FA" w:rsidRPr="007704FC" w:rsidRDefault="00AC72FA" w:rsidP="007704FC">
      <w:pPr>
        <w:pStyle w:val="Heading3Numbered"/>
        <w:rPr>
          <w:color w:val="005A70" w:themeColor="accent1"/>
        </w:rPr>
      </w:pPr>
      <w:bookmarkStart w:id="14" w:name="_Toc490749796"/>
      <w:r w:rsidRPr="007704FC">
        <w:rPr>
          <w:color w:val="005A70" w:themeColor="accent1"/>
        </w:rPr>
        <w:t>Workplace Modifications Fees</w:t>
      </w:r>
      <w:bookmarkEnd w:id="14"/>
    </w:p>
    <w:p w:rsidR="00AC72FA" w:rsidRPr="00247FDE" w:rsidRDefault="00AC72FA" w:rsidP="00AC72FA">
      <w:pPr>
        <w:pStyle w:val="BodyIndent0"/>
        <w:rPr>
          <w:rFonts w:ascii="Arial" w:hAnsi="Arial" w:cs="Arial"/>
          <w:spacing w:val="4"/>
          <w:sz w:val="24"/>
        </w:rPr>
      </w:pPr>
      <w:r w:rsidRPr="00247FDE">
        <w:rPr>
          <w:rFonts w:ascii="Arial" w:hAnsi="Arial" w:cs="Arial"/>
          <w:spacing w:val="4"/>
          <w:sz w:val="24"/>
        </w:rPr>
        <w:t xml:space="preserve">An hourly rate of $120 (including GST) will be payable to </w:t>
      </w:r>
      <w:r w:rsidR="00342D1D">
        <w:rPr>
          <w:rFonts w:ascii="Arial" w:hAnsi="Arial" w:cs="Arial"/>
          <w:spacing w:val="4"/>
          <w:sz w:val="24"/>
        </w:rPr>
        <w:t>p</w:t>
      </w:r>
      <w:r w:rsidRPr="00247FDE">
        <w:rPr>
          <w:rFonts w:ascii="Arial" w:hAnsi="Arial" w:cs="Arial"/>
          <w:spacing w:val="4"/>
          <w:sz w:val="24"/>
        </w:rPr>
        <w:t xml:space="preserve">anel </w:t>
      </w:r>
      <w:r w:rsidR="00342D1D">
        <w:rPr>
          <w:rFonts w:ascii="Arial" w:hAnsi="Arial" w:cs="Arial"/>
          <w:spacing w:val="4"/>
          <w:sz w:val="24"/>
        </w:rPr>
        <w:t>p</w:t>
      </w:r>
      <w:r w:rsidRPr="00247FDE">
        <w:rPr>
          <w:rFonts w:ascii="Arial" w:hAnsi="Arial" w:cs="Arial"/>
          <w:spacing w:val="4"/>
          <w:sz w:val="24"/>
        </w:rPr>
        <w:t>roviders on completion of a Workplace Modifications Assessment. If an assessment will take more than five hours to complete, DSS may approve payment for up to an additional four hours at an hourly rate of $120 (including GST).</w:t>
      </w:r>
    </w:p>
    <w:p w:rsidR="00AC72FA" w:rsidRPr="00247FDE" w:rsidRDefault="00AC72FA" w:rsidP="00AC72FA">
      <w:pPr>
        <w:pStyle w:val="BodyIndent0"/>
        <w:rPr>
          <w:rFonts w:ascii="Arial" w:hAnsi="Arial" w:cs="Arial"/>
          <w:spacing w:val="4"/>
          <w:sz w:val="24"/>
        </w:rPr>
      </w:pPr>
      <w:r w:rsidRPr="00247FDE">
        <w:rPr>
          <w:rFonts w:ascii="Arial" w:hAnsi="Arial" w:cs="Arial"/>
          <w:spacing w:val="4"/>
          <w:sz w:val="24"/>
        </w:rPr>
        <w:t xml:space="preserve">Panel </w:t>
      </w:r>
      <w:r w:rsidR="00342D1D">
        <w:rPr>
          <w:rFonts w:ascii="Arial" w:hAnsi="Arial" w:cs="Arial"/>
          <w:spacing w:val="4"/>
          <w:sz w:val="24"/>
        </w:rPr>
        <w:t>p</w:t>
      </w:r>
      <w:r w:rsidRPr="00247FDE">
        <w:rPr>
          <w:rFonts w:ascii="Arial" w:hAnsi="Arial" w:cs="Arial"/>
          <w:spacing w:val="4"/>
          <w:sz w:val="24"/>
        </w:rPr>
        <w:t xml:space="preserve">roviders who complete Workplace Modifications Assessments that require them to travel in excess of 200 kilometres for a return trip, may claim kilometre allowance and travel time at the rate of $50 (including GST) an hour, for a maximum of eight hours per day. Travel time is not part of the time allocated for </w:t>
      </w:r>
      <w:r w:rsidR="00AC3316">
        <w:rPr>
          <w:rFonts w:ascii="Arial" w:hAnsi="Arial" w:cs="Arial"/>
          <w:spacing w:val="4"/>
          <w:sz w:val="24"/>
        </w:rPr>
        <w:t>a</w:t>
      </w:r>
      <w:r w:rsidRPr="00247FDE">
        <w:rPr>
          <w:rFonts w:ascii="Arial" w:hAnsi="Arial" w:cs="Arial"/>
          <w:spacing w:val="4"/>
          <w:sz w:val="24"/>
        </w:rPr>
        <w:t xml:space="preserve">ssessment </w:t>
      </w:r>
      <w:r w:rsidR="00AC3316">
        <w:rPr>
          <w:rFonts w:ascii="Arial" w:hAnsi="Arial" w:cs="Arial"/>
          <w:spacing w:val="4"/>
          <w:sz w:val="24"/>
        </w:rPr>
        <w:t>s</w:t>
      </w:r>
      <w:r w:rsidRPr="00247FDE">
        <w:rPr>
          <w:rFonts w:ascii="Arial" w:hAnsi="Arial" w:cs="Arial"/>
          <w:spacing w:val="4"/>
          <w:sz w:val="24"/>
        </w:rPr>
        <w:t xml:space="preserve">ervices. For travel that includes an essential overnight stay, costs for meals and accommodation may also be claimed. </w:t>
      </w:r>
      <w:r w:rsidR="00AC3316">
        <w:rPr>
          <w:rFonts w:ascii="Arial" w:hAnsi="Arial" w:cs="Arial"/>
          <w:spacing w:val="4"/>
          <w:sz w:val="24"/>
        </w:rPr>
        <w:t xml:space="preserve">Payments </w:t>
      </w:r>
      <w:r w:rsidR="00CB2C13">
        <w:rPr>
          <w:rFonts w:ascii="Arial" w:hAnsi="Arial" w:cs="Arial"/>
          <w:spacing w:val="4"/>
          <w:sz w:val="24"/>
        </w:rPr>
        <w:t xml:space="preserve">are </w:t>
      </w:r>
      <w:r w:rsidR="00CB2C13" w:rsidRPr="00247FDE">
        <w:rPr>
          <w:rFonts w:ascii="Arial" w:hAnsi="Arial" w:cs="Arial"/>
          <w:spacing w:val="4"/>
          <w:sz w:val="24"/>
        </w:rPr>
        <w:t>reimbursed</w:t>
      </w:r>
      <w:r w:rsidRPr="00247FDE">
        <w:rPr>
          <w:rFonts w:ascii="Arial" w:hAnsi="Arial" w:cs="Arial"/>
          <w:spacing w:val="4"/>
          <w:sz w:val="24"/>
        </w:rPr>
        <w:t xml:space="preserve"> basis on receipt of a </w:t>
      </w:r>
      <w:r w:rsidR="00AC3316">
        <w:rPr>
          <w:rFonts w:ascii="Arial" w:hAnsi="Arial" w:cs="Arial"/>
          <w:spacing w:val="4"/>
          <w:sz w:val="24"/>
        </w:rPr>
        <w:t>t</w:t>
      </w:r>
      <w:r w:rsidRPr="00247FDE">
        <w:rPr>
          <w:rFonts w:ascii="Arial" w:hAnsi="Arial" w:cs="Arial"/>
          <w:spacing w:val="4"/>
          <w:sz w:val="24"/>
        </w:rPr>
        <w:t xml:space="preserve">ax </w:t>
      </w:r>
      <w:r w:rsidR="00AC3316">
        <w:rPr>
          <w:rFonts w:ascii="Arial" w:hAnsi="Arial" w:cs="Arial"/>
          <w:spacing w:val="4"/>
          <w:sz w:val="24"/>
        </w:rPr>
        <w:t>i</w:t>
      </w:r>
      <w:r w:rsidRPr="00247FDE">
        <w:rPr>
          <w:rFonts w:ascii="Arial" w:hAnsi="Arial" w:cs="Arial"/>
          <w:spacing w:val="4"/>
          <w:sz w:val="24"/>
        </w:rPr>
        <w:t xml:space="preserve">nvoice and evidence of travel expenditure, up to the </w:t>
      </w:r>
      <w:r w:rsidRPr="00247FDE">
        <w:rPr>
          <w:rFonts w:ascii="Arial" w:hAnsi="Arial" w:cs="Arial"/>
          <w:i/>
          <w:spacing w:val="4"/>
          <w:sz w:val="24"/>
        </w:rPr>
        <w:t>Reasonable daily allowance amounts</w:t>
      </w:r>
      <w:r w:rsidRPr="00247FDE">
        <w:rPr>
          <w:rFonts w:ascii="Arial" w:hAnsi="Arial" w:cs="Arial"/>
          <w:spacing w:val="4"/>
          <w:sz w:val="24"/>
        </w:rPr>
        <w:t xml:space="preserve"> (published annually</w:t>
      </w:r>
      <w:r w:rsidR="00AC3316">
        <w:rPr>
          <w:rFonts w:ascii="Arial" w:hAnsi="Arial" w:cs="Arial"/>
          <w:spacing w:val="4"/>
          <w:sz w:val="24"/>
        </w:rPr>
        <w:t xml:space="preserve"> by the Australian Taxation Office</w:t>
      </w:r>
      <w:r w:rsidRPr="00247FDE">
        <w:rPr>
          <w:rFonts w:ascii="Arial" w:hAnsi="Arial" w:cs="Arial"/>
          <w:spacing w:val="4"/>
          <w:sz w:val="24"/>
        </w:rPr>
        <w:t>), calculated at the rate of an employee with an annual salary of $117,450 or below.</w:t>
      </w:r>
    </w:p>
    <w:p w:rsidR="00AC72FA" w:rsidRPr="00DE47ED" w:rsidRDefault="00AC72FA" w:rsidP="007704FC">
      <w:pPr>
        <w:pStyle w:val="Heading1Numbered"/>
      </w:pPr>
      <w:bookmarkStart w:id="15" w:name="_Toc421777594"/>
      <w:bookmarkStart w:id="16" w:name="_Ref428266971"/>
      <w:bookmarkStart w:id="17" w:name="_Toc467773955"/>
      <w:bookmarkStart w:id="18" w:name="_Toc488147115"/>
      <w:bookmarkStart w:id="19" w:name="_Toc490749797"/>
      <w:r w:rsidRPr="007704FC">
        <w:rPr>
          <w:color w:val="005A70" w:themeColor="accent1"/>
        </w:rPr>
        <w:t>Grant</w:t>
      </w:r>
      <w:r w:rsidRPr="00DE47ED">
        <w:t xml:space="preserve"> </w:t>
      </w:r>
      <w:r w:rsidRPr="0092337B">
        <w:rPr>
          <w:color w:val="005A70" w:themeColor="accent1"/>
          <w:szCs w:val="40"/>
        </w:rPr>
        <w:t>eligibility</w:t>
      </w:r>
      <w:bookmarkEnd w:id="15"/>
      <w:bookmarkEnd w:id="16"/>
      <w:r w:rsidRPr="0092337B">
        <w:rPr>
          <w:color w:val="005A70" w:themeColor="accent1"/>
          <w:szCs w:val="40"/>
        </w:rPr>
        <w:t xml:space="preserve"> criteria</w:t>
      </w:r>
      <w:bookmarkEnd w:id="17"/>
      <w:bookmarkEnd w:id="18"/>
      <w:bookmarkEnd w:id="19"/>
      <w:r w:rsidRPr="00DE47ED">
        <w:t xml:space="preserve"> </w:t>
      </w:r>
    </w:p>
    <w:p w:rsidR="00AC72FA" w:rsidRPr="00247FDE" w:rsidRDefault="00AC3316" w:rsidP="00AC72FA">
      <w:pPr>
        <w:spacing w:after="120"/>
        <w:rPr>
          <w:rFonts w:cs="Arial"/>
        </w:rPr>
      </w:pPr>
      <w:bookmarkStart w:id="20" w:name="_Ref414285977"/>
      <w:r>
        <w:rPr>
          <w:rFonts w:cs="Arial"/>
        </w:rPr>
        <w:t>Y</w:t>
      </w:r>
      <w:r w:rsidR="00AC72FA" w:rsidRPr="00247FDE">
        <w:rPr>
          <w:rFonts w:cs="Arial"/>
        </w:rPr>
        <w:t xml:space="preserve">our application </w:t>
      </w:r>
      <w:r>
        <w:rPr>
          <w:rFonts w:cs="Arial"/>
        </w:rPr>
        <w:t>must meet</w:t>
      </w:r>
      <w:r w:rsidRPr="00247FDE">
        <w:rPr>
          <w:rFonts w:cs="Arial"/>
        </w:rPr>
        <w:t xml:space="preserve"> </w:t>
      </w:r>
      <w:r w:rsidR="00AC72FA" w:rsidRPr="00247FDE">
        <w:rPr>
          <w:rFonts w:cs="Arial"/>
        </w:rPr>
        <w:t>all the eligibility criteria</w:t>
      </w:r>
      <w:r>
        <w:rPr>
          <w:rFonts w:cs="Arial"/>
        </w:rPr>
        <w:t xml:space="preserve"> to be considered</w:t>
      </w:r>
      <w:r w:rsidR="00AC72FA" w:rsidRPr="00247FDE">
        <w:rPr>
          <w:rFonts w:cs="Arial"/>
        </w:rPr>
        <w:t xml:space="preserve">. </w:t>
      </w:r>
    </w:p>
    <w:p w:rsidR="00AC72FA" w:rsidRPr="007704FC" w:rsidRDefault="00DE47ED" w:rsidP="007704FC">
      <w:pPr>
        <w:pStyle w:val="Heading2Numbered"/>
        <w:ind w:left="567"/>
        <w:rPr>
          <w:color w:val="005A70" w:themeColor="accent1"/>
        </w:rPr>
      </w:pPr>
      <w:bookmarkStart w:id="21" w:name="_Ref421696970"/>
      <w:bookmarkStart w:id="22" w:name="_Toc421777595"/>
      <w:bookmarkStart w:id="23" w:name="_Toc467773956"/>
      <w:bookmarkStart w:id="24" w:name="_Toc488147116"/>
      <w:r w:rsidRPr="007704FC">
        <w:rPr>
          <w:color w:val="005A70" w:themeColor="accent1"/>
        </w:rPr>
        <w:t xml:space="preserve"> </w:t>
      </w:r>
      <w:bookmarkStart w:id="25" w:name="_Toc490749798"/>
      <w:r w:rsidR="00AC72FA" w:rsidRPr="007704FC">
        <w:rPr>
          <w:color w:val="005A70" w:themeColor="accent1"/>
        </w:rPr>
        <w:t>Who is eligible to apply?</w:t>
      </w:r>
      <w:bookmarkEnd w:id="20"/>
      <w:bookmarkEnd w:id="21"/>
      <w:bookmarkEnd w:id="22"/>
      <w:bookmarkEnd w:id="23"/>
      <w:bookmarkEnd w:id="24"/>
      <w:bookmarkEnd w:id="25"/>
    </w:p>
    <w:p w:rsidR="00AC72FA" w:rsidRPr="00247FDE" w:rsidRDefault="00AC72FA" w:rsidP="00AC72FA">
      <w:pPr>
        <w:pStyle w:val="NoSpacing"/>
        <w:rPr>
          <w:rFonts w:cs="Arial"/>
        </w:rPr>
      </w:pPr>
      <w:r w:rsidRPr="00247FDE">
        <w:rPr>
          <w:rFonts w:cs="Arial"/>
        </w:rPr>
        <w:t>To be eligible you must:</w:t>
      </w:r>
    </w:p>
    <w:p w:rsidR="00AC72FA" w:rsidRPr="00247FDE" w:rsidRDefault="00AC72FA" w:rsidP="00AC72FA">
      <w:pPr>
        <w:pStyle w:val="Bullet1"/>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 xml:space="preserve">be one of the following entity types:  </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Aboriginal Corporation</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Australian Government</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Private Company</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Public Company</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Incorporated Cooperative</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Trustee on behalf of Trust</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lastRenderedPageBreak/>
        <w:t>Incorporated Association</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Organisation established through a specific piece of Commonwealth or State/Territory legislation</w:t>
      </w:r>
    </w:p>
    <w:p w:rsidR="00AC72FA"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Individual/Sole Trader</w:t>
      </w:r>
    </w:p>
    <w:p w:rsidR="00B062F1" w:rsidRPr="00247FDE" w:rsidRDefault="00B062F1" w:rsidP="00AC72FA">
      <w:pPr>
        <w:pStyle w:val="Bullet2"/>
        <w:rPr>
          <w:rFonts w:ascii="Arial" w:eastAsia="Times New Roman" w:hAnsi="Arial" w:cs="Arial"/>
          <w:spacing w:val="4"/>
          <w:sz w:val="24"/>
          <w:szCs w:val="24"/>
          <w:lang w:eastAsia="en-AU"/>
        </w:rPr>
      </w:pPr>
      <w:r>
        <w:rPr>
          <w:rFonts w:ascii="Arial" w:eastAsia="Times New Roman" w:hAnsi="Arial" w:cs="Arial"/>
          <w:spacing w:val="4"/>
          <w:sz w:val="24"/>
          <w:szCs w:val="24"/>
          <w:lang w:eastAsia="en-AU"/>
        </w:rPr>
        <w:t>Local Government</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Non-Entity Joint Venture</w:t>
      </w:r>
    </w:p>
    <w:p w:rsidR="00AC72FA"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Partnership</w:t>
      </w:r>
    </w:p>
    <w:p w:rsidR="00B062F1" w:rsidRPr="00247FDE" w:rsidRDefault="00B062F1" w:rsidP="00AC72FA">
      <w:pPr>
        <w:pStyle w:val="Bullet2"/>
        <w:rPr>
          <w:rFonts w:ascii="Arial" w:eastAsia="Times New Roman" w:hAnsi="Arial" w:cs="Arial"/>
          <w:spacing w:val="4"/>
          <w:sz w:val="24"/>
          <w:szCs w:val="24"/>
          <w:lang w:eastAsia="en-AU"/>
        </w:rPr>
      </w:pPr>
      <w:r>
        <w:rPr>
          <w:rFonts w:ascii="Arial" w:eastAsia="Times New Roman" w:hAnsi="Arial" w:cs="Arial"/>
          <w:spacing w:val="4"/>
          <w:sz w:val="24"/>
          <w:szCs w:val="24"/>
          <w:lang w:eastAsia="en-AU"/>
        </w:rPr>
        <w:t>State/Territory Government</w:t>
      </w:r>
    </w:p>
    <w:p w:rsidR="00AC72FA" w:rsidRPr="00247FDE" w:rsidRDefault="00AC72FA" w:rsidP="00AC72FA">
      <w:pPr>
        <w:pStyle w:val="Bullet2"/>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Other Incorporated Entity</w:t>
      </w:r>
      <w:r w:rsidR="0008482F">
        <w:rPr>
          <w:rFonts w:ascii="Arial" w:eastAsia="Times New Roman" w:hAnsi="Arial" w:cs="Arial"/>
          <w:spacing w:val="4"/>
          <w:sz w:val="24"/>
          <w:szCs w:val="24"/>
          <w:lang w:eastAsia="en-AU"/>
        </w:rPr>
        <w:t>, and</w:t>
      </w:r>
    </w:p>
    <w:p w:rsidR="00AC72FA" w:rsidRPr="008639EE" w:rsidRDefault="00AC72FA" w:rsidP="008639EE">
      <w:pPr>
        <w:pStyle w:val="Bullet1"/>
        <w:spacing w:after="240"/>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 xml:space="preserve">have legal personality.  </w:t>
      </w:r>
    </w:p>
    <w:p w:rsidR="00AC72FA" w:rsidRDefault="00AC72FA" w:rsidP="00AC72FA">
      <w:pPr>
        <w:rPr>
          <w:rFonts w:cs="Arial"/>
        </w:rPr>
      </w:pPr>
      <w:r w:rsidRPr="00247FDE" w:rsidDel="002E1745">
        <w:rPr>
          <w:rFonts w:cs="Arial"/>
        </w:rPr>
        <w:t>An individual or organisation will have legal personality if it has the right and obligations of a legal person.  These include, but are not limited to, the right to buy, sell, assign or lease any property; enter into contracts; and sue and be sued in their own name.</w:t>
      </w:r>
    </w:p>
    <w:p w:rsidR="007F69FA" w:rsidRPr="00247FDE" w:rsidDel="002E1745" w:rsidRDefault="007F69FA" w:rsidP="00AC72FA">
      <w:pPr>
        <w:rPr>
          <w:rFonts w:cs="Arial"/>
        </w:rPr>
      </w:pPr>
      <w:r>
        <w:rPr>
          <w:rFonts w:cs="Arial"/>
        </w:rPr>
        <w:t>Current NPA panel members are encouraged to re-apply for panel membership.</w:t>
      </w:r>
    </w:p>
    <w:p w:rsidR="00AC72FA" w:rsidRDefault="00AC72FA" w:rsidP="008639EE">
      <w:pPr>
        <w:rPr>
          <w:rFonts w:cs="Arial"/>
        </w:rPr>
      </w:pPr>
      <w:r w:rsidRPr="00247FDE" w:rsidDel="002E1745">
        <w:rPr>
          <w:rFonts w:cs="Arial"/>
        </w:rPr>
        <w:t xml:space="preserve">Applications from consortia are acceptable, provided a lead applicant </w:t>
      </w:r>
      <w:r w:rsidR="007F69FA">
        <w:rPr>
          <w:rFonts w:cs="Arial"/>
        </w:rPr>
        <w:t xml:space="preserve">is nominated </w:t>
      </w:r>
      <w:r w:rsidRPr="00247FDE" w:rsidDel="002E1745">
        <w:rPr>
          <w:rFonts w:cs="Arial"/>
        </w:rPr>
        <w:t>and all members of the consortia are eligible as per the</w:t>
      </w:r>
      <w:r w:rsidR="007F69FA">
        <w:rPr>
          <w:rFonts w:cs="Arial"/>
        </w:rPr>
        <w:t xml:space="preserve"> criteria</w:t>
      </w:r>
      <w:r w:rsidRPr="00247FDE" w:rsidDel="002E1745">
        <w:rPr>
          <w:rFonts w:cs="Arial"/>
        </w:rPr>
        <w:t xml:space="preserve"> above.</w:t>
      </w:r>
    </w:p>
    <w:p w:rsidR="00CB2C13" w:rsidRPr="00247FDE" w:rsidRDefault="00CB2C13" w:rsidP="008639EE">
      <w:pPr>
        <w:rPr>
          <w:rFonts w:cs="Arial"/>
        </w:rPr>
      </w:pPr>
    </w:p>
    <w:p w:rsidR="00AC72FA" w:rsidRPr="007704FC" w:rsidRDefault="00AC72FA" w:rsidP="007704FC">
      <w:pPr>
        <w:pStyle w:val="Heading2Numbered"/>
        <w:ind w:left="567"/>
        <w:rPr>
          <w:color w:val="005A70" w:themeColor="accent1"/>
        </w:rPr>
      </w:pPr>
      <w:bookmarkStart w:id="26" w:name="_Toc467773958"/>
      <w:bookmarkStart w:id="27" w:name="_Toc488147118"/>
      <w:bookmarkStart w:id="28" w:name="_Toc490749799"/>
      <w:r w:rsidRPr="007704FC">
        <w:rPr>
          <w:color w:val="005A70" w:themeColor="accent1"/>
        </w:rPr>
        <w:t>What qualifications or skills are required?</w:t>
      </w:r>
      <w:bookmarkEnd w:id="26"/>
      <w:bookmarkEnd w:id="27"/>
      <w:bookmarkEnd w:id="28"/>
    </w:p>
    <w:p w:rsidR="00AC72FA" w:rsidRPr="00853721" w:rsidRDefault="00AC72FA" w:rsidP="00AC72FA">
      <w:pPr>
        <w:spacing w:after="120"/>
        <w:rPr>
          <w:rFonts w:cs="Arial"/>
        </w:rPr>
      </w:pPr>
      <w:r w:rsidRPr="00853721">
        <w:rPr>
          <w:rFonts w:cs="Arial"/>
        </w:rPr>
        <w:t>It is essential that all nominated OSA/SWS assessors possess a minimum of a diploma or higher-level qualification in one or more of the following fields:</w:t>
      </w:r>
    </w:p>
    <w:p w:rsidR="00AC72FA" w:rsidRPr="00247FDE" w:rsidRDefault="00AC72FA" w:rsidP="00AC72FA">
      <w:pPr>
        <w:pStyle w:val="Bullet2"/>
        <w:numPr>
          <w:ilvl w:val="2"/>
          <w:numId w:val="27"/>
        </w:numPr>
        <w:suppressAutoHyphens w:val="0"/>
        <w:spacing w:before="0" w:after="120" w:line="240" w:lineRule="auto"/>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psychology</w:t>
      </w:r>
    </w:p>
    <w:p w:rsidR="00AC72FA" w:rsidRPr="00247FDE" w:rsidRDefault="00AC72FA" w:rsidP="00AC72FA">
      <w:pPr>
        <w:pStyle w:val="Bullet2"/>
        <w:numPr>
          <w:ilvl w:val="2"/>
          <w:numId w:val="27"/>
        </w:numPr>
        <w:suppressAutoHyphens w:val="0"/>
        <w:spacing w:before="0" w:after="120" w:line="240" w:lineRule="auto"/>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rehabilitation counsellor</w:t>
      </w:r>
    </w:p>
    <w:p w:rsidR="00AC72FA" w:rsidRPr="00247FDE" w:rsidRDefault="00AC72FA" w:rsidP="00AC72FA">
      <w:pPr>
        <w:pStyle w:val="Bullet2"/>
        <w:numPr>
          <w:ilvl w:val="2"/>
          <w:numId w:val="27"/>
        </w:numPr>
        <w:suppressAutoHyphens w:val="0"/>
        <w:spacing w:before="0" w:after="120" w:line="240" w:lineRule="auto"/>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vocational training, or</w:t>
      </w:r>
    </w:p>
    <w:p w:rsidR="00AC72FA" w:rsidRPr="00247FDE" w:rsidRDefault="00AC72FA" w:rsidP="00AC72FA">
      <w:pPr>
        <w:pStyle w:val="Bullet2"/>
        <w:numPr>
          <w:ilvl w:val="2"/>
          <w:numId w:val="27"/>
        </w:numPr>
        <w:suppressAutoHyphens w:val="0"/>
        <w:spacing w:before="0" w:after="120" w:line="240" w:lineRule="auto"/>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 xml:space="preserve">other diploma or higher-level qualification which DS S considers is relevant to providing the required </w:t>
      </w:r>
      <w:r w:rsidR="00F5104D">
        <w:rPr>
          <w:rFonts w:ascii="Arial" w:eastAsia="Times New Roman" w:hAnsi="Arial" w:cs="Arial"/>
          <w:spacing w:val="4"/>
          <w:sz w:val="24"/>
          <w:szCs w:val="24"/>
          <w:lang w:eastAsia="en-AU"/>
        </w:rPr>
        <w:t>a</w:t>
      </w:r>
      <w:r w:rsidRPr="00247FDE">
        <w:rPr>
          <w:rFonts w:ascii="Arial" w:eastAsia="Times New Roman" w:hAnsi="Arial" w:cs="Arial"/>
          <w:spacing w:val="4"/>
          <w:sz w:val="24"/>
          <w:szCs w:val="24"/>
          <w:lang w:eastAsia="en-AU"/>
        </w:rPr>
        <w:t xml:space="preserve">ssessment </w:t>
      </w:r>
      <w:r w:rsidR="00F5104D">
        <w:rPr>
          <w:rFonts w:ascii="Arial" w:eastAsia="Times New Roman" w:hAnsi="Arial" w:cs="Arial"/>
          <w:spacing w:val="4"/>
          <w:sz w:val="24"/>
          <w:szCs w:val="24"/>
          <w:lang w:eastAsia="en-AU"/>
        </w:rPr>
        <w:t>s</w:t>
      </w:r>
      <w:r w:rsidRPr="00247FDE">
        <w:rPr>
          <w:rFonts w:ascii="Arial" w:eastAsia="Times New Roman" w:hAnsi="Arial" w:cs="Arial"/>
          <w:spacing w:val="4"/>
          <w:sz w:val="24"/>
          <w:szCs w:val="24"/>
          <w:lang w:eastAsia="en-AU"/>
        </w:rPr>
        <w:t>ervices.</w:t>
      </w:r>
    </w:p>
    <w:p w:rsidR="00AC72FA" w:rsidRPr="00853721" w:rsidRDefault="00AC72FA" w:rsidP="00AC72FA">
      <w:pPr>
        <w:spacing w:after="120"/>
        <w:rPr>
          <w:rFonts w:cs="Arial"/>
        </w:rPr>
      </w:pPr>
      <w:r w:rsidRPr="00853721">
        <w:rPr>
          <w:rFonts w:cs="Arial"/>
        </w:rPr>
        <w:t>All nominated Workplace Modification Assessment assessors</w:t>
      </w:r>
      <w:r>
        <w:rPr>
          <w:rFonts w:cs="Arial"/>
        </w:rPr>
        <w:t xml:space="preserve"> must</w:t>
      </w:r>
      <w:r w:rsidRPr="00853721">
        <w:rPr>
          <w:rFonts w:cs="Arial"/>
        </w:rPr>
        <w:t xml:space="preserve"> possess a minimum of a diploma or higher level qualification in one or more of the following fields:</w:t>
      </w:r>
    </w:p>
    <w:p w:rsidR="00AC72FA" w:rsidRPr="00247FDE" w:rsidRDefault="00AC72FA" w:rsidP="00AC72FA">
      <w:pPr>
        <w:pStyle w:val="Bullet2"/>
        <w:numPr>
          <w:ilvl w:val="2"/>
          <w:numId w:val="27"/>
        </w:numPr>
        <w:suppressAutoHyphens w:val="0"/>
        <w:spacing w:before="0" w:after="120" w:line="240" w:lineRule="auto"/>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occupational therapy</w:t>
      </w:r>
    </w:p>
    <w:p w:rsidR="00AC72FA" w:rsidRPr="00247FDE" w:rsidRDefault="00AC72FA" w:rsidP="00AC72FA">
      <w:pPr>
        <w:pStyle w:val="Bullet2"/>
        <w:numPr>
          <w:ilvl w:val="2"/>
          <w:numId w:val="27"/>
        </w:numPr>
        <w:suppressAutoHyphens w:val="0"/>
        <w:spacing w:before="0" w:after="120" w:line="240" w:lineRule="auto"/>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physiotherapy</w:t>
      </w:r>
    </w:p>
    <w:p w:rsidR="00AC72FA" w:rsidRPr="00247FDE" w:rsidRDefault="00AC72FA" w:rsidP="00AC72FA">
      <w:pPr>
        <w:pStyle w:val="Bullet2"/>
        <w:numPr>
          <w:ilvl w:val="2"/>
          <w:numId w:val="27"/>
        </w:numPr>
        <w:suppressAutoHyphens w:val="0"/>
        <w:spacing w:before="0" w:after="120" w:line="240" w:lineRule="auto"/>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exercise physiologist</w:t>
      </w:r>
      <w:r w:rsidR="0008482F">
        <w:rPr>
          <w:rFonts w:ascii="Arial" w:eastAsia="Times New Roman" w:hAnsi="Arial" w:cs="Arial"/>
          <w:spacing w:val="4"/>
          <w:sz w:val="24"/>
          <w:szCs w:val="24"/>
          <w:lang w:eastAsia="en-AU"/>
        </w:rPr>
        <w:t>, and</w:t>
      </w:r>
    </w:p>
    <w:p w:rsidR="00AC72FA" w:rsidRPr="00247FDE" w:rsidRDefault="00AC72FA" w:rsidP="00AC72FA">
      <w:pPr>
        <w:pStyle w:val="Bullet2"/>
        <w:numPr>
          <w:ilvl w:val="2"/>
          <w:numId w:val="27"/>
        </w:numPr>
        <w:suppressAutoHyphens w:val="0"/>
        <w:spacing w:before="0" w:after="120" w:line="240" w:lineRule="auto"/>
        <w:rPr>
          <w:rFonts w:ascii="Arial" w:eastAsia="Times New Roman" w:hAnsi="Arial" w:cs="Arial"/>
          <w:spacing w:val="4"/>
          <w:sz w:val="24"/>
          <w:szCs w:val="24"/>
          <w:lang w:eastAsia="en-AU"/>
        </w:rPr>
      </w:pPr>
      <w:r w:rsidRPr="00247FDE">
        <w:rPr>
          <w:rFonts w:ascii="Arial" w:eastAsia="Times New Roman" w:hAnsi="Arial" w:cs="Arial"/>
          <w:spacing w:val="4"/>
          <w:sz w:val="24"/>
          <w:szCs w:val="24"/>
          <w:lang w:eastAsia="en-AU"/>
        </w:rPr>
        <w:t>medical practitioner</w:t>
      </w:r>
      <w:r w:rsidR="0008482F">
        <w:rPr>
          <w:rFonts w:ascii="Arial" w:eastAsia="Times New Roman" w:hAnsi="Arial" w:cs="Arial"/>
          <w:spacing w:val="4"/>
          <w:sz w:val="24"/>
          <w:szCs w:val="24"/>
          <w:lang w:eastAsia="en-AU"/>
        </w:rPr>
        <w:t>.</w:t>
      </w:r>
    </w:p>
    <w:p w:rsidR="00AC72FA" w:rsidRPr="00853721" w:rsidRDefault="00AC72FA" w:rsidP="00AC72FA">
      <w:pPr>
        <w:spacing w:after="120"/>
        <w:rPr>
          <w:rFonts w:cs="Arial"/>
        </w:rPr>
      </w:pPr>
      <w:r w:rsidRPr="00853721">
        <w:rPr>
          <w:rFonts w:cs="Arial"/>
        </w:rPr>
        <w:t>All nominated qualifications will have a full (non-provisional or restricted)</w:t>
      </w:r>
      <w:r>
        <w:rPr>
          <w:rFonts w:cs="Arial"/>
        </w:rPr>
        <w:t xml:space="preserve"> qualification that is </w:t>
      </w:r>
      <w:r w:rsidRPr="00853721">
        <w:rPr>
          <w:rFonts w:cs="Arial"/>
        </w:rPr>
        <w:t>registered with Australian Health Practitioner Regulation Agency (AHPRA)</w:t>
      </w:r>
      <w:r>
        <w:rPr>
          <w:rFonts w:cs="Arial"/>
        </w:rPr>
        <w:t xml:space="preserve"> or nominated qualification</w:t>
      </w:r>
      <w:r w:rsidRPr="00853721">
        <w:rPr>
          <w:rFonts w:cs="Arial"/>
        </w:rPr>
        <w:t xml:space="preserve"> recognised or accredited with one of the following associations:</w:t>
      </w:r>
    </w:p>
    <w:p w:rsidR="00AC72FA" w:rsidRPr="00247FDE" w:rsidRDefault="00AC72FA" w:rsidP="00AC72FA">
      <w:pPr>
        <w:pStyle w:val="ListParagraph"/>
        <w:numPr>
          <w:ilvl w:val="0"/>
          <w:numId w:val="28"/>
        </w:numPr>
        <w:spacing w:before="0" w:after="120" w:line="276" w:lineRule="auto"/>
        <w:ind w:left="284" w:hanging="284"/>
        <w:contextualSpacing w:val="0"/>
        <w:rPr>
          <w:rFonts w:cs="Arial"/>
        </w:rPr>
      </w:pPr>
      <w:r w:rsidRPr="00247FDE">
        <w:rPr>
          <w:rFonts w:cs="Arial"/>
        </w:rPr>
        <w:lastRenderedPageBreak/>
        <w:t>Occupational therapist (registered)</w:t>
      </w:r>
    </w:p>
    <w:p w:rsidR="00AC72FA" w:rsidRPr="00247FDE" w:rsidRDefault="00AC72FA" w:rsidP="00AC72FA">
      <w:pPr>
        <w:pStyle w:val="ListParagraph"/>
        <w:numPr>
          <w:ilvl w:val="0"/>
          <w:numId w:val="28"/>
        </w:numPr>
        <w:spacing w:before="0" w:after="120" w:line="276" w:lineRule="auto"/>
        <w:ind w:left="284" w:hanging="284"/>
        <w:contextualSpacing w:val="0"/>
        <w:rPr>
          <w:rFonts w:cs="Arial"/>
        </w:rPr>
      </w:pPr>
      <w:r w:rsidRPr="00247FDE">
        <w:rPr>
          <w:rFonts w:cs="Arial"/>
        </w:rPr>
        <w:t>Physiotherapist (registered)</w:t>
      </w:r>
    </w:p>
    <w:p w:rsidR="00AC72FA" w:rsidRPr="00247FDE" w:rsidRDefault="00AC72FA" w:rsidP="00AC72FA">
      <w:pPr>
        <w:pStyle w:val="ListParagraph"/>
        <w:numPr>
          <w:ilvl w:val="0"/>
          <w:numId w:val="28"/>
        </w:numPr>
        <w:spacing w:before="0" w:after="120" w:line="276" w:lineRule="auto"/>
        <w:ind w:left="284" w:hanging="284"/>
        <w:contextualSpacing w:val="0"/>
        <w:rPr>
          <w:rFonts w:cs="Arial"/>
        </w:rPr>
      </w:pPr>
      <w:r w:rsidRPr="00247FDE">
        <w:rPr>
          <w:rFonts w:cs="Arial"/>
        </w:rPr>
        <w:t>Exercise physiologist (accredited with Exercise and Sports Science Australia)</w:t>
      </w:r>
    </w:p>
    <w:p w:rsidR="00AC72FA" w:rsidRPr="00247FDE" w:rsidRDefault="00AC72FA" w:rsidP="00AC72FA">
      <w:pPr>
        <w:pStyle w:val="ListParagraph"/>
        <w:numPr>
          <w:ilvl w:val="0"/>
          <w:numId w:val="28"/>
        </w:numPr>
        <w:spacing w:before="0" w:after="120" w:line="276" w:lineRule="auto"/>
        <w:ind w:left="284" w:hanging="284"/>
        <w:contextualSpacing w:val="0"/>
        <w:rPr>
          <w:rFonts w:cs="Arial"/>
        </w:rPr>
      </w:pPr>
      <w:r w:rsidRPr="00247FDE">
        <w:rPr>
          <w:rFonts w:cs="Arial"/>
        </w:rPr>
        <w:t>Medical practitioner (registered)</w:t>
      </w:r>
    </w:p>
    <w:p w:rsidR="00AC72FA" w:rsidRPr="00247FDE" w:rsidRDefault="00AC72FA" w:rsidP="00AC72FA">
      <w:pPr>
        <w:pStyle w:val="ListParagraph"/>
        <w:numPr>
          <w:ilvl w:val="0"/>
          <w:numId w:val="28"/>
        </w:numPr>
        <w:spacing w:before="0" w:after="120" w:line="276" w:lineRule="auto"/>
        <w:ind w:left="284" w:hanging="284"/>
        <w:contextualSpacing w:val="0"/>
        <w:rPr>
          <w:rFonts w:cs="Arial"/>
        </w:rPr>
      </w:pPr>
      <w:r w:rsidRPr="00247FDE">
        <w:rPr>
          <w:rFonts w:cs="Arial"/>
        </w:rPr>
        <w:t>Rehabilitation counsellor (recognised with Australia Society of Rehabilitation Counsellors or Rehabilitation Counselling Association of Australasia)</w:t>
      </w:r>
      <w:r w:rsidR="0008482F">
        <w:rPr>
          <w:rFonts w:cs="Arial"/>
        </w:rPr>
        <w:t xml:space="preserve">, and </w:t>
      </w:r>
      <w:r w:rsidRPr="00247FDE">
        <w:rPr>
          <w:rFonts w:cs="Arial"/>
        </w:rPr>
        <w:t xml:space="preserve"> </w:t>
      </w:r>
    </w:p>
    <w:p w:rsidR="00AC72FA" w:rsidRPr="00247FDE" w:rsidRDefault="00AC72FA" w:rsidP="00AC72FA">
      <w:pPr>
        <w:pStyle w:val="ListParagraph"/>
        <w:numPr>
          <w:ilvl w:val="0"/>
          <w:numId w:val="28"/>
        </w:numPr>
        <w:spacing w:before="0" w:after="120" w:line="276" w:lineRule="auto"/>
        <w:ind w:left="284" w:hanging="284"/>
        <w:contextualSpacing w:val="0"/>
        <w:rPr>
          <w:rFonts w:cs="Arial"/>
        </w:rPr>
      </w:pPr>
      <w:r w:rsidRPr="00247FDE">
        <w:rPr>
          <w:rFonts w:cs="Arial"/>
        </w:rPr>
        <w:t>Nurse (registered)</w:t>
      </w:r>
      <w:r w:rsidR="0008482F">
        <w:rPr>
          <w:rFonts w:cs="Arial"/>
        </w:rPr>
        <w:t>.</w:t>
      </w:r>
    </w:p>
    <w:p w:rsidR="00AC72FA" w:rsidRPr="00853721" w:rsidRDefault="00AC72FA" w:rsidP="00AC72FA">
      <w:pPr>
        <w:spacing w:after="120"/>
        <w:rPr>
          <w:rFonts w:cs="Arial"/>
        </w:rPr>
      </w:pPr>
      <w:r w:rsidRPr="00853721">
        <w:rPr>
          <w:rFonts w:cs="Arial"/>
        </w:rPr>
        <w:t xml:space="preserve">If nominated assessors possess a qualification in another relevant area, successful applicants will need to provide evidence </w:t>
      </w:r>
      <w:r>
        <w:rPr>
          <w:rFonts w:cs="Arial"/>
        </w:rPr>
        <w:t xml:space="preserve">at a later date or through formal </w:t>
      </w:r>
      <w:r w:rsidR="00F5104D">
        <w:rPr>
          <w:rFonts w:cs="Arial"/>
        </w:rPr>
        <w:t xml:space="preserve">negotiations </w:t>
      </w:r>
      <w:r w:rsidRPr="00853721">
        <w:rPr>
          <w:rFonts w:cs="Arial"/>
        </w:rPr>
        <w:t xml:space="preserve">that this diploma or higher-level qualification is relevant to conducting the </w:t>
      </w:r>
      <w:r w:rsidR="00F5104D">
        <w:rPr>
          <w:rFonts w:cs="Arial"/>
        </w:rPr>
        <w:t>a</w:t>
      </w:r>
      <w:r w:rsidRPr="00853721">
        <w:rPr>
          <w:rFonts w:cs="Arial"/>
        </w:rPr>
        <w:t xml:space="preserve">ssessment </w:t>
      </w:r>
      <w:r w:rsidR="00F5104D">
        <w:rPr>
          <w:rFonts w:cs="Arial"/>
        </w:rPr>
        <w:t>s</w:t>
      </w:r>
      <w:r w:rsidRPr="00853721">
        <w:rPr>
          <w:rFonts w:cs="Arial"/>
        </w:rPr>
        <w:t xml:space="preserve">ervices. This may include a transcript of relevant subjects completed and a written explanation of their relevance to the </w:t>
      </w:r>
      <w:r w:rsidR="00F5104D">
        <w:rPr>
          <w:rFonts w:cs="Arial"/>
        </w:rPr>
        <w:t>a</w:t>
      </w:r>
      <w:r w:rsidRPr="00853721">
        <w:rPr>
          <w:rFonts w:cs="Arial"/>
        </w:rPr>
        <w:t xml:space="preserve">ssessment </w:t>
      </w:r>
      <w:r w:rsidR="00F5104D">
        <w:rPr>
          <w:rFonts w:cs="Arial"/>
        </w:rPr>
        <w:t>s</w:t>
      </w:r>
      <w:r w:rsidRPr="00853721">
        <w:rPr>
          <w:rFonts w:cs="Arial"/>
        </w:rPr>
        <w:t xml:space="preserve">ervices. Based on this information, and any other information available to it, DSS will determine whether the qualifications submitted are relevant to the </w:t>
      </w:r>
      <w:r w:rsidR="00F5104D">
        <w:rPr>
          <w:rFonts w:cs="Arial"/>
        </w:rPr>
        <w:t>a</w:t>
      </w:r>
      <w:r w:rsidRPr="00853721">
        <w:rPr>
          <w:rFonts w:cs="Arial"/>
        </w:rPr>
        <w:t xml:space="preserve">ssessment </w:t>
      </w:r>
      <w:r w:rsidR="00F5104D">
        <w:rPr>
          <w:rFonts w:cs="Arial"/>
        </w:rPr>
        <w:t>s</w:t>
      </w:r>
      <w:r w:rsidRPr="00853721">
        <w:rPr>
          <w:rFonts w:cs="Arial"/>
        </w:rPr>
        <w:t>ervices, and whether the nominated assessor meets the mandatory qualification requirements.</w:t>
      </w:r>
    </w:p>
    <w:p w:rsidR="00AC72FA" w:rsidRPr="00853721" w:rsidRDefault="00AC72FA" w:rsidP="00AC72FA">
      <w:pPr>
        <w:spacing w:after="120"/>
        <w:rPr>
          <w:rFonts w:cs="Arial"/>
        </w:rPr>
      </w:pPr>
      <w:r w:rsidRPr="00853721">
        <w:rPr>
          <w:rFonts w:cs="Arial"/>
        </w:rPr>
        <w:t>It is also mandatory that each nominated assessor possess a minimum of two years practical experience in the disability employment or related sector.</w:t>
      </w:r>
    </w:p>
    <w:p w:rsidR="00AC72FA" w:rsidRDefault="00AC72FA" w:rsidP="00AC72FA">
      <w:pPr>
        <w:spacing w:after="120"/>
        <w:rPr>
          <w:rFonts w:cs="Arial"/>
        </w:rPr>
      </w:pPr>
      <w:r w:rsidRPr="00853721">
        <w:rPr>
          <w:rFonts w:cs="Arial"/>
        </w:rPr>
        <w:t>D</w:t>
      </w:r>
      <w:r>
        <w:rPr>
          <w:rFonts w:cs="Arial"/>
        </w:rPr>
        <w:t>SS</w:t>
      </w:r>
      <w:r w:rsidRPr="00853721">
        <w:rPr>
          <w:rFonts w:cs="Arial"/>
        </w:rPr>
        <w:t xml:space="preserve"> will recognise any previously approved NPA accreditation applied during the 2010-2018 NPA Deed of Standing Offer.</w:t>
      </w:r>
    </w:p>
    <w:p w:rsidR="00AC72FA" w:rsidRPr="007704FC" w:rsidRDefault="007704FC" w:rsidP="00CB2C13">
      <w:pPr>
        <w:spacing w:before="0" w:after="200" w:line="276" w:lineRule="auto"/>
        <w:rPr>
          <w:color w:val="005A70" w:themeColor="accent1"/>
        </w:rPr>
      </w:pPr>
      <w:r>
        <w:rPr>
          <w:rFonts w:cs="Arial"/>
        </w:rPr>
        <w:br w:type="page"/>
      </w:r>
      <w:bookmarkStart w:id="29" w:name="_Toc414983554"/>
      <w:bookmarkStart w:id="30" w:name="_Toc414983971"/>
      <w:bookmarkStart w:id="31" w:name="_Toc414984731"/>
      <w:bookmarkStart w:id="32" w:name="_Toc414984825"/>
      <w:bookmarkStart w:id="33" w:name="_Toc414984929"/>
      <w:bookmarkStart w:id="34" w:name="_Toc414985033"/>
      <w:bookmarkStart w:id="35" w:name="_Toc414985136"/>
      <w:bookmarkStart w:id="36" w:name="_Toc414985238"/>
      <w:bookmarkStart w:id="37" w:name="_Toc490749800"/>
      <w:bookmarkEnd w:id="29"/>
      <w:bookmarkEnd w:id="30"/>
      <w:bookmarkEnd w:id="31"/>
      <w:bookmarkEnd w:id="32"/>
      <w:bookmarkEnd w:id="33"/>
      <w:bookmarkEnd w:id="34"/>
      <w:bookmarkEnd w:id="35"/>
      <w:bookmarkEnd w:id="36"/>
      <w:r w:rsidR="00257C0B" w:rsidRPr="007704FC">
        <w:rPr>
          <w:color w:val="005A70" w:themeColor="accent1"/>
        </w:rPr>
        <w:lastRenderedPageBreak/>
        <w:t>Glossary</w:t>
      </w:r>
      <w:bookmarkEnd w:id="37"/>
      <w:r w:rsidR="00257C0B" w:rsidRPr="007704FC">
        <w:rPr>
          <w:color w:val="005A70" w:themeColor="accent1"/>
        </w:rPr>
        <w:t xml:space="preserve"> </w:t>
      </w:r>
    </w:p>
    <w:tbl>
      <w:tblPr>
        <w:tblStyle w:val="TableGrid"/>
        <w:tblW w:w="0" w:type="auto"/>
        <w:tblInd w:w="108" w:type="dxa"/>
        <w:tblLook w:val="04A0" w:firstRow="1" w:lastRow="0" w:firstColumn="1" w:lastColumn="0" w:noHBand="0" w:noVBand="1"/>
        <w:tblCaption w:val="Glossary Table"/>
        <w:tblDescription w:val="This table explains terms specific to this document."/>
      </w:tblPr>
      <w:tblGrid>
        <w:gridCol w:w="2513"/>
        <w:gridCol w:w="6395"/>
      </w:tblGrid>
      <w:tr w:rsidR="00AC72FA" w:rsidRPr="00247FDE" w:rsidTr="0092337B">
        <w:trPr>
          <w:tblHeader/>
        </w:trPr>
        <w:tc>
          <w:tcPr>
            <w:tcW w:w="2513" w:type="dxa"/>
            <w:shd w:val="clear" w:color="auto" w:fill="B9B9B9" w:themeFill="background2" w:themeFillShade="BF"/>
          </w:tcPr>
          <w:p w:rsidR="00AC72FA" w:rsidRPr="00247FDE" w:rsidRDefault="00AC72FA" w:rsidP="00A076AF">
            <w:pPr>
              <w:tabs>
                <w:tab w:val="left" w:pos="2835"/>
              </w:tabs>
              <w:spacing w:after="120"/>
              <w:rPr>
                <w:rFonts w:cs="Arial"/>
              </w:rPr>
            </w:pPr>
            <w:r w:rsidRPr="00247FDE">
              <w:rPr>
                <w:rFonts w:cs="Arial"/>
              </w:rPr>
              <w:t>Term</w:t>
            </w:r>
          </w:p>
        </w:tc>
        <w:tc>
          <w:tcPr>
            <w:tcW w:w="6395" w:type="dxa"/>
            <w:shd w:val="clear" w:color="auto" w:fill="B9B9B9" w:themeFill="background2" w:themeFillShade="BF"/>
          </w:tcPr>
          <w:p w:rsidR="00AC72FA" w:rsidRPr="00710FAB" w:rsidRDefault="00AC72FA" w:rsidP="00A076AF">
            <w:pPr>
              <w:tabs>
                <w:tab w:val="left" w:pos="2835"/>
              </w:tabs>
              <w:spacing w:after="120"/>
              <w:rPr>
                <w:rFonts w:cs="Arial"/>
              </w:rPr>
            </w:pPr>
            <w:r w:rsidRPr="00247FDE">
              <w:rPr>
                <w:rFonts w:cs="Arial"/>
              </w:rPr>
              <w:t>Definition</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assessment criteria</w:t>
            </w:r>
          </w:p>
        </w:tc>
        <w:tc>
          <w:tcPr>
            <w:tcW w:w="6395" w:type="dxa"/>
          </w:tcPr>
          <w:p w:rsidR="00AC72FA" w:rsidRPr="00247FDE" w:rsidRDefault="00AC72FA" w:rsidP="00696D2E">
            <w:pPr>
              <w:tabs>
                <w:tab w:val="left" w:pos="2835"/>
              </w:tabs>
              <w:spacing w:after="120"/>
              <w:rPr>
                <w:rFonts w:cs="Arial"/>
              </w:rPr>
            </w:pPr>
            <w:r w:rsidRPr="00710FAB">
              <w:rPr>
                <w:rFonts w:cs="Arial"/>
              </w:rPr>
              <w:t>The specified principles or standards which applications will be judged. These criteria are used to assess the merits of proposals and, in the case of a competitive granting activity, to determine applicant rankings. (</w:t>
            </w:r>
            <w:r>
              <w:rPr>
                <w:rFonts w:cs="Arial"/>
              </w:rPr>
              <w:t xml:space="preserve">as defined in the </w:t>
            </w:r>
            <w:r w:rsidRPr="00710FAB">
              <w:rPr>
                <w:rFonts w:cs="Arial"/>
              </w:rPr>
              <w:t>CGRGs)</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commencement date</w:t>
            </w:r>
          </w:p>
        </w:tc>
        <w:tc>
          <w:tcPr>
            <w:tcW w:w="6395" w:type="dxa"/>
          </w:tcPr>
          <w:p w:rsidR="00AC72FA" w:rsidRPr="00247FDE" w:rsidRDefault="00AC72FA" w:rsidP="00A076AF">
            <w:pPr>
              <w:tabs>
                <w:tab w:val="left" w:pos="2835"/>
              </w:tabs>
              <w:spacing w:after="120"/>
              <w:rPr>
                <w:rFonts w:cs="Arial"/>
              </w:rPr>
            </w:pPr>
            <w:r w:rsidRPr="00247FDE">
              <w:rPr>
                <w:rFonts w:cs="Arial"/>
              </w:rPr>
              <w:t xml:space="preserve">The expected start date for the grant activity. </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completion date</w:t>
            </w:r>
          </w:p>
        </w:tc>
        <w:tc>
          <w:tcPr>
            <w:tcW w:w="6395" w:type="dxa"/>
          </w:tcPr>
          <w:p w:rsidR="00AC72FA" w:rsidRPr="00247FDE" w:rsidRDefault="00AC72FA" w:rsidP="00A076AF">
            <w:pPr>
              <w:tabs>
                <w:tab w:val="left" w:pos="2835"/>
              </w:tabs>
              <w:spacing w:after="120"/>
              <w:rPr>
                <w:rFonts w:cs="Arial"/>
              </w:rPr>
            </w:pPr>
            <w:r w:rsidRPr="00247FDE">
              <w:rPr>
                <w:rFonts w:cs="Arial"/>
              </w:rPr>
              <w:t xml:space="preserve">The expected date that the grant activity must be completed and the grant </w:t>
            </w:r>
            <w:r w:rsidR="009A4309">
              <w:rPr>
                <w:rFonts w:cs="Arial"/>
              </w:rPr>
              <w:t xml:space="preserve">money </w:t>
            </w:r>
            <w:r w:rsidRPr="00247FDE">
              <w:rPr>
                <w:rFonts w:cs="Arial"/>
              </w:rPr>
              <w:t xml:space="preserve">spent by. </w:t>
            </w:r>
          </w:p>
        </w:tc>
      </w:tr>
      <w:tr w:rsidR="00AC72FA" w:rsidRPr="00247FDE" w:rsidTr="00A076AF">
        <w:tc>
          <w:tcPr>
            <w:tcW w:w="2513" w:type="dxa"/>
          </w:tcPr>
          <w:p w:rsidR="00AC72FA" w:rsidRPr="00247FDE" w:rsidRDefault="00AC72FA" w:rsidP="00A076AF">
            <w:pPr>
              <w:rPr>
                <w:rFonts w:cs="Arial"/>
              </w:rPr>
            </w:pPr>
            <w:r w:rsidRPr="00247FDE">
              <w:rPr>
                <w:rFonts w:cs="Arial"/>
              </w:rPr>
              <w:t>date of effect</w:t>
            </w:r>
          </w:p>
        </w:tc>
        <w:tc>
          <w:tcPr>
            <w:tcW w:w="6395" w:type="dxa"/>
          </w:tcPr>
          <w:p w:rsidR="00AC72FA" w:rsidRPr="00710FAB" w:rsidRDefault="00AC72FA" w:rsidP="00CB2C13">
            <w:pPr>
              <w:rPr>
                <w:rFonts w:cs="Arial"/>
              </w:rPr>
            </w:pPr>
            <w:r w:rsidRPr="00710FAB">
              <w:rPr>
                <w:rFonts w:cs="Arial"/>
              </w:rPr>
              <w:t>This will depend on the particular grant. It can be the date in which a grant agreement is signed or a specified starting date. Where there is no grant agreement, entities must publish information on individual grants as soon as practicable</w:t>
            </w:r>
            <w:r>
              <w:rPr>
                <w:rFonts w:cs="Arial"/>
              </w:rPr>
              <w:t xml:space="preserve"> </w:t>
            </w:r>
            <w:r w:rsidR="00F5104D" w:rsidRPr="00710FAB">
              <w:rPr>
                <w:rFonts w:cs="Arial"/>
              </w:rPr>
              <w:t>(</w:t>
            </w:r>
            <w:r w:rsidR="00F5104D">
              <w:rPr>
                <w:rFonts w:cs="Arial"/>
              </w:rPr>
              <w:t xml:space="preserve">as defined in the </w:t>
            </w:r>
            <w:r w:rsidR="00F5104D" w:rsidRPr="00710FAB">
              <w:rPr>
                <w:rFonts w:cs="Arial"/>
              </w:rPr>
              <w:t>CGRGs)</w:t>
            </w:r>
            <w:r w:rsidR="00CB2C13">
              <w:rPr>
                <w:rFonts w:cs="Arial"/>
              </w:rPr>
              <w:t>.</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eligibility criteria</w:t>
            </w:r>
          </w:p>
        </w:tc>
        <w:tc>
          <w:tcPr>
            <w:tcW w:w="6395" w:type="dxa"/>
          </w:tcPr>
          <w:p w:rsidR="00AC72FA" w:rsidRPr="00247FDE" w:rsidRDefault="00AC72FA" w:rsidP="00A076AF">
            <w:pPr>
              <w:tabs>
                <w:tab w:val="left" w:pos="2835"/>
              </w:tabs>
              <w:spacing w:after="120"/>
              <w:rPr>
                <w:rFonts w:cs="Arial"/>
              </w:rPr>
            </w:pPr>
            <w:r w:rsidRPr="00710FAB">
              <w:rPr>
                <w:rFonts w:cs="Arial"/>
              </w:rPr>
              <w:t xml:space="preserve">The principles, standards or rules that a grant applicant must meet to qualify for consideration of a grant. Eligibility criteria may apply in </w:t>
            </w:r>
            <w:r w:rsidR="00CB2C13">
              <w:rPr>
                <w:rFonts w:cs="Arial"/>
              </w:rPr>
              <w:t>addition to assessment criteria</w:t>
            </w:r>
            <w:r w:rsidRPr="00710FAB">
              <w:rPr>
                <w:rFonts w:cs="Arial"/>
              </w:rPr>
              <w:t xml:space="preserve"> </w:t>
            </w:r>
            <w:r w:rsidR="00F5104D" w:rsidRPr="00710FAB">
              <w:rPr>
                <w:rFonts w:cs="Arial"/>
              </w:rPr>
              <w:t>(</w:t>
            </w:r>
            <w:r w:rsidR="00F5104D">
              <w:rPr>
                <w:rFonts w:cs="Arial"/>
              </w:rPr>
              <w:t xml:space="preserve">as defined in the </w:t>
            </w:r>
            <w:r w:rsidR="00F5104D" w:rsidRPr="00710FAB">
              <w:rPr>
                <w:rFonts w:cs="Arial"/>
              </w:rPr>
              <w:t>CGRGs)</w:t>
            </w:r>
            <w:r w:rsidR="00CB2C13">
              <w:rPr>
                <w:rFonts w:cs="Arial"/>
              </w:rPr>
              <w:t>.</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Commonwealth entity</w:t>
            </w:r>
          </w:p>
        </w:tc>
        <w:tc>
          <w:tcPr>
            <w:tcW w:w="6395" w:type="dxa"/>
          </w:tcPr>
          <w:p w:rsidR="00AC72FA" w:rsidRPr="00247FDE" w:rsidRDefault="00AC72FA" w:rsidP="00A076AF">
            <w:pPr>
              <w:tabs>
                <w:tab w:val="left" w:pos="2835"/>
              </w:tabs>
              <w:spacing w:after="120"/>
              <w:rPr>
                <w:rFonts w:cs="Arial"/>
              </w:rPr>
            </w:pPr>
            <w:r w:rsidRPr="00710FAB">
              <w:rPr>
                <w:rFonts w:cs="Arial"/>
              </w:rPr>
              <w:t>A Department of State, or a Parliamentary Department, or a listed entity or a body corporate established by a law of the Commonwealth. See subsections 10(1) and (2) of the PGPA Act.</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Community Development Programme Region</w:t>
            </w:r>
          </w:p>
        </w:tc>
        <w:tc>
          <w:tcPr>
            <w:tcW w:w="6395" w:type="dxa"/>
          </w:tcPr>
          <w:p w:rsidR="00AC72FA" w:rsidRPr="00710FAB" w:rsidRDefault="00AC72FA" w:rsidP="00A076AF">
            <w:pPr>
              <w:tabs>
                <w:tab w:val="left" w:pos="2835"/>
              </w:tabs>
              <w:spacing w:after="120"/>
              <w:rPr>
                <w:rFonts w:cs="Arial"/>
              </w:rPr>
            </w:pPr>
            <w:r>
              <w:rPr>
                <w:rFonts w:cs="Arial"/>
              </w:rPr>
              <w:t>Community Development Programme (CDP) regions are those regions in which CDP is delivered, as defined by the Department of Prime Minister and Cabinet.</w:t>
            </w:r>
          </w:p>
        </w:tc>
      </w:tr>
      <w:tr w:rsidR="00AC72FA" w:rsidRPr="00247FDE" w:rsidTr="00A076AF">
        <w:tc>
          <w:tcPr>
            <w:tcW w:w="2513" w:type="dxa"/>
          </w:tcPr>
          <w:p w:rsidR="00AC72FA" w:rsidRPr="00247FDE" w:rsidRDefault="00AC72FA" w:rsidP="00A076AF">
            <w:pPr>
              <w:spacing w:after="120"/>
              <w:rPr>
                <w:rFonts w:cs="Arial"/>
              </w:rPr>
            </w:pPr>
            <w:r w:rsidRPr="00247FDE">
              <w:rPr>
                <w:rFonts w:cs="Arial"/>
              </w:rPr>
              <w:t>Employment Assistance Fund (EAF)</w:t>
            </w:r>
          </w:p>
        </w:tc>
        <w:tc>
          <w:tcPr>
            <w:tcW w:w="6395" w:type="dxa"/>
          </w:tcPr>
          <w:p w:rsidR="00AC72FA" w:rsidRPr="00247FDE" w:rsidRDefault="00AC72FA" w:rsidP="00A076AF">
            <w:pPr>
              <w:rPr>
                <w:rFonts w:cs="Arial"/>
              </w:rPr>
            </w:pPr>
            <w:r w:rsidRPr="00247FDE">
              <w:rPr>
                <w:rFonts w:cs="Arial"/>
              </w:rPr>
              <w:t>Financial assistance provided by the Australian Government to eligible people with disability and mental health condition and employers to buy work related modifications and services.</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463AB3">
              <w:rPr>
                <w:rFonts w:cs="Arial"/>
              </w:rPr>
              <w:t xml:space="preserve">grant </w:t>
            </w:r>
          </w:p>
        </w:tc>
        <w:tc>
          <w:tcPr>
            <w:tcW w:w="6395" w:type="dxa"/>
          </w:tcPr>
          <w:p w:rsidR="00AC72FA" w:rsidRPr="00463AB3" w:rsidRDefault="009A4309" w:rsidP="00A076AF">
            <w:pPr>
              <w:rPr>
                <w:rFonts w:cs="Arial"/>
              </w:rPr>
            </w:pPr>
            <w:r>
              <w:rPr>
                <w:rFonts w:cs="Arial"/>
              </w:rPr>
              <w:t>A</w:t>
            </w:r>
            <w:r w:rsidR="00AC72FA" w:rsidRPr="00463AB3">
              <w:rPr>
                <w:rFonts w:cs="Arial"/>
              </w:rPr>
              <w:t xml:space="preserve"> grant is an arrangement for the provision of financial assistance by the Commonwealth or on behalf of the Commonwealth:</w:t>
            </w:r>
          </w:p>
          <w:p w:rsidR="00AC72FA" w:rsidRPr="00463AB3" w:rsidRDefault="00AC72FA" w:rsidP="00AC72FA">
            <w:pPr>
              <w:numPr>
                <w:ilvl w:val="0"/>
                <w:numId w:val="9"/>
              </w:numPr>
              <w:spacing w:before="0" w:after="40" w:line="240" w:lineRule="auto"/>
              <w:ind w:left="459" w:hanging="425"/>
              <w:rPr>
                <w:rFonts w:cs="Arial"/>
              </w:rPr>
            </w:pPr>
            <w:r w:rsidRPr="00463AB3">
              <w:rPr>
                <w:rFonts w:cs="Arial"/>
              </w:rPr>
              <w:t>under which relevant money or other C</w:t>
            </w:r>
            <w:r w:rsidR="009A4309">
              <w:rPr>
                <w:rFonts w:cs="Arial"/>
              </w:rPr>
              <w:t>onsolidated Revenue Fund</w:t>
            </w:r>
            <w:r w:rsidRPr="00463AB3">
              <w:rPr>
                <w:rFonts w:cs="Arial"/>
              </w:rPr>
              <w:t xml:space="preserve"> money, is to be paid to a recipient other than the Commonwealth</w:t>
            </w:r>
          </w:p>
          <w:p w:rsidR="00AC72FA" w:rsidRPr="00463AB3" w:rsidRDefault="00AC72FA" w:rsidP="00AC72FA">
            <w:pPr>
              <w:numPr>
                <w:ilvl w:val="0"/>
                <w:numId w:val="9"/>
              </w:numPr>
              <w:spacing w:before="0" w:after="40" w:line="240" w:lineRule="auto"/>
              <w:ind w:left="459" w:hanging="425"/>
              <w:rPr>
                <w:rFonts w:cs="Arial"/>
              </w:rPr>
            </w:pPr>
            <w:r w:rsidRPr="00463AB3">
              <w:rPr>
                <w:rFonts w:cs="Arial"/>
              </w:rPr>
              <w:t>which is intended to assist the recipient achieve its goals</w:t>
            </w:r>
          </w:p>
          <w:p w:rsidR="008A1D53" w:rsidRDefault="00AC72FA" w:rsidP="0092337B">
            <w:pPr>
              <w:numPr>
                <w:ilvl w:val="0"/>
                <w:numId w:val="9"/>
              </w:numPr>
              <w:tabs>
                <w:tab w:val="left" w:pos="2835"/>
              </w:tabs>
              <w:spacing w:before="0" w:after="120" w:line="240" w:lineRule="auto"/>
              <w:ind w:left="459" w:hanging="425"/>
              <w:rPr>
                <w:rFonts w:cs="Arial"/>
              </w:rPr>
            </w:pPr>
            <w:r w:rsidRPr="0008482F">
              <w:rPr>
                <w:rFonts w:cs="Arial"/>
              </w:rPr>
              <w:lastRenderedPageBreak/>
              <w:t>which is intended to help address one or more of the Australian Government’s policy objectives</w:t>
            </w:r>
            <w:r w:rsidR="008A1D53">
              <w:rPr>
                <w:rFonts w:cs="Arial"/>
              </w:rPr>
              <w:t>, and</w:t>
            </w:r>
          </w:p>
          <w:p w:rsidR="00AC72FA" w:rsidRPr="0008482F" w:rsidRDefault="00AC72FA" w:rsidP="0092337B">
            <w:pPr>
              <w:numPr>
                <w:ilvl w:val="0"/>
                <w:numId w:val="9"/>
              </w:numPr>
              <w:tabs>
                <w:tab w:val="left" w:pos="2835"/>
              </w:tabs>
              <w:spacing w:before="0" w:after="120" w:line="240" w:lineRule="auto"/>
              <w:ind w:left="459" w:hanging="425"/>
              <w:rPr>
                <w:rFonts w:cs="Arial"/>
              </w:rPr>
            </w:pPr>
            <w:r w:rsidRPr="0008482F">
              <w:rPr>
                <w:rFonts w:cs="Arial"/>
              </w:rPr>
              <w:t xml:space="preserve">under which the recipient may be required to act in accordance with specified terms or conditions. </w:t>
            </w:r>
          </w:p>
          <w:p w:rsidR="00AC72FA" w:rsidRPr="00247FDE" w:rsidRDefault="00F5104D" w:rsidP="00F5104D">
            <w:pPr>
              <w:tabs>
                <w:tab w:val="left" w:pos="2835"/>
              </w:tabs>
              <w:spacing w:after="120"/>
              <w:rPr>
                <w:rFonts w:cs="Arial"/>
              </w:rPr>
            </w:pPr>
            <w:r w:rsidRPr="00710FAB">
              <w:rPr>
                <w:rFonts w:cs="Arial"/>
              </w:rPr>
              <w:t>(</w:t>
            </w:r>
            <w:r>
              <w:rPr>
                <w:rFonts w:cs="Arial"/>
              </w:rPr>
              <w:t xml:space="preserve">as defined in the </w:t>
            </w:r>
            <w:r w:rsidRPr="00710FAB">
              <w:rPr>
                <w:rFonts w:cs="Arial"/>
              </w:rPr>
              <w:t>CGRGs</w:t>
            </w:r>
            <w:r>
              <w:rPr>
                <w:rFonts w:cs="Arial"/>
              </w:rPr>
              <w:t xml:space="preserve"> section 2.3</w:t>
            </w:r>
            <w:r w:rsidRPr="00710FAB">
              <w:rPr>
                <w:rFonts w:cs="Arial"/>
              </w:rPr>
              <w:t>)</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lastRenderedPageBreak/>
              <w:t>grant activity</w:t>
            </w:r>
          </w:p>
        </w:tc>
        <w:tc>
          <w:tcPr>
            <w:tcW w:w="6395" w:type="dxa"/>
          </w:tcPr>
          <w:p w:rsidR="00AC72FA" w:rsidRPr="00247FDE" w:rsidRDefault="009A4309" w:rsidP="0008482F">
            <w:pPr>
              <w:tabs>
                <w:tab w:val="left" w:pos="2835"/>
              </w:tabs>
              <w:spacing w:after="120"/>
              <w:rPr>
                <w:rFonts w:cs="Arial"/>
              </w:rPr>
            </w:pPr>
            <w:r>
              <w:rPr>
                <w:rFonts w:cs="Arial"/>
              </w:rPr>
              <w:t>T</w:t>
            </w:r>
            <w:r w:rsidR="00AC72FA" w:rsidRPr="00247FDE">
              <w:rPr>
                <w:rFonts w:cs="Arial"/>
              </w:rPr>
              <w:t>he project/tasks/services</w:t>
            </w:r>
            <w:r>
              <w:rPr>
                <w:rFonts w:cs="Arial"/>
              </w:rPr>
              <w:t xml:space="preserve"> </w:t>
            </w:r>
            <w:r w:rsidR="00AC72FA" w:rsidRPr="00247FDE">
              <w:rPr>
                <w:rFonts w:cs="Arial"/>
              </w:rPr>
              <w:t xml:space="preserve">that the </w:t>
            </w:r>
            <w:r>
              <w:rPr>
                <w:rFonts w:cs="Arial"/>
              </w:rPr>
              <w:t>grant recipient</w:t>
            </w:r>
            <w:r w:rsidRPr="00247FDE">
              <w:rPr>
                <w:rFonts w:cs="Arial"/>
              </w:rPr>
              <w:t xml:space="preserve"> </w:t>
            </w:r>
            <w:r w:rsidR="00AC72FA" w:rsidRPr="00247FDE">
              <w:rPr>
                <w:rFonts w:cs="Arial"/>
              </w:rPr>
              <w:t>is required to undertake with the grant money</w:t>
            </w:r>
            <w:r>
              <w:rPr>
                <w:rFonts w:cs="Arial"/>
              </w:rPr>
              <w:t xml:space="preserve"> as</w:t>
            </w:r>
            <w:r w:rsidR="00AC72FA" w:rsidRPr="00247FDE">
              <w:rPr>
                <w:rFonts w:cs="Arial"/>
              </w:rPr>
              <w:t xml:space="preserve"> described in the Grant Agreement. (Proposed definition in the grants taxonomy)</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grant agreement</w:t>
            </w:r>
          </w:p>
        </w:tc>
        <w:tc>
          <w:tcPr>
            <w:tcW w:w="6395" w:type="dxa"/>
          </w:tcPr>
          <w:p w:rsidR="00AC72FA" w:rsidRPr="00247FDE" w:rsidRDefault="00AC72FA" w:rsidP="00CB2C13">
            <w:pPr>
              <w:tabs>
                <w:tab w:val="left" w:pos="2835"/>
              </w:tabs>
              <w:spacing w:after="120"/>
              <w:rPr>
                <w:rFonts w:cs="Arial"/>
              </w:rPr>
            </w:pPr>
            <w:r w:rsidRPr="00247FDE">
              <w:rPr>
                <w:rFonts w:cs="Arial"/>
              </w:rPr>
              <w:t xml:space="preserve">Grant agreement means the contract template used by Australian Government entities </w:t>
            </w:r>
            <w:r w:rsidR="009A4309">
              <w:rPr>
                <w:rFonts w:cs="Arial"/>
              </w:rPr>
              <w:t>stating</w:t>
            </w:r>
            <w:r w:rsidRPr="00247FDE">
              <w:rPr>
                <w:rFonts w:cs="Arial"/>
              </w:rPr>
              <w:t xml:space="preserve"> the mutual obligations to the provision of the grant. The Australian Government is standardising and streamlining grant agreements between the Commonwealth and grant recipients to allow grant recipients to engage more easily and efficiently with the Commonwealth </w:t>
            </w:r>
            <w:r w:rsidR="00F5104D" w:rsidRPr="00710FAB">
              <w:rPr>
                <w:rFonts w:cs="Arial"/>
              </w:rPr>
              <w:t>(</w:t>
            </w:r>
            <w:r w:rsidR="00F5104D">
              <w:rPr>
                <w:rFonts w:cs="Arial"/>
              </w:rPr>
              <w:t xml:space="preserve">as defined in the </w:t>
            </w:r>
            <w:r w:rsidR="00F5104D" w:rsidRPr="00710FAB">
              <w:rPr>
                <w:rFonts w:cs="Arial"/>
              </w:rPr>
              <w:t>CGRGs)</w:t>
            </w:r>
            <w:r w:rsidR="00CB2C13">
              <w:rPr>
                <w:rFonts w:cs="Arial"/>
              </w:rPr>
              <w:t>.</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grant opportunity</w:t>
            </w:r>
          </w:p>
        </w:tc>
        <w:tc>
          <w:tcPr>
            <w:tcW w:w="6395" w:type="dxa"/>
          </w:tcPr>
          <w:p w:rsidR="00AC72FA" w:rsidRPr="00247FDE" w:rsidRDefault="00AC72FA" w:rsidP="00A076AF">
            <w:pPr>
              <w:tabs>
                <w:tab w:val="left" w:pos="2835"/>
              </w:tabs>
              <w:spacing w:after="120"/>
              <w:rPr>
                <w:rFonts w:cs="Arial"/>
              </w:rPr>
            </w:pPr>
            <w:r w:rsidRPr="00247FDE">
              <w:rPr>
                <w:rFonts w:cs="Arial"/>
              </w:rPr>
              <w:t xml:space="preserve">A notice published on </w:t>
            </w:r>
            <w:r w:rsidR="009A4309">
              <w:rPr>
                <w:rFonts w:cs="Arial"/>
              </w:rPr>
              <w:t xml:space="preserve">the Community Grants Hub and </w:t>
            </w:r>
            <w:r w:rsidRPr="00247FDE">
              <w:rPr>
                <w:rFonts w:cs="Arial"/>
              </w:rPr>
              <w:t>GrantConnect advertising the availability of Commonwealth grants. (Proposed definition in the grants taxonomy)</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grant program</w:t>
            </w:r>
          </w:p>
        </w:tc>
        <w:tc>
          <w:tcPr>
            <w:tcW w:w="6395" w:type="dxa"/>
          </w:tcPr>
          <w:p w:rsidR="00AC72FA" w:rsidRPr="00247FDE" w:rsidRDefault="00AC72FA" w:rsidP="00A076AF">
            <w:pPr>
              <w:tabs>
                <w:tab w:val="left" w:pos="2835"/>
              </w:tabs>
              <w:spacing w:after="120"/>
              <w:rPr>
                <w:rFonts w:cs="Arial"/>
              </w:rPr>
            </w:pPr>
            <w:r w:rsidRPr="00710FAB">
              <w:rPr>
                <w:rFonts w:cs="Arial"/>
              </w:rPr>
              <w:t>May be advertised within the ‘Forecast Opportunity’ (FO) section of GrantConnect to provide a consolidated view of associated grant opportunities and provide strategic context for specific grant opportunities</w:t>
            </w:r>
            <w:r w:rsidR="009A4309">
              <w:rPr>
                <w:rFonts w:cs="Arial"/>
              </w:rPr>
              <w:t>.</w:t>
            </w:r>
          </w:p>
        </w:tc>
      </w:tr>
      <w:tr w:rsidR="00AC72FA" w:rsidRPr="00247FDE" w:rsidTr="00A076AF">
        <w:tc>
          <w:tcPr>
            <w:tcW w:w="2513" w:type="dxa"/>
          </w:tcPr>
          <w:p w:rsidR="00AC72FA" w:rsidRPr="00247FDE" w:rsidRDefault="009A4309" w:rsidP="00A076AF">
            <w:pPr>
              <w:tabs>
                <w:tab w:val="left" w:pos="2835"/>
              </w:tabs>
              <w:spacing w:after="120"/>
              <w:rPr>
                <w:rFonts w:cs="Arial"/>
              </w:rPr>
            </w:pPr>
            <w:r>
              <w:rPr>
                <w:rFonts w:cs="Arial"/>
              </w:rPr>
              <w:t>grant recipient</w:t>
            </w:r>
          </w:p>
        </w:tc>
        <w:tc>
          <w:tcPr>
            <w:tcW w:w="6395" w:type="dxa"/>
          </w:tcPr>
          <w:p w:rsidR="00AC72FA" w:rsidRPr="00247FDE" w:rsidRDefault="00AC72FA" w:rsidP="00A076AF">
            <w:pPr>
              <w:tabs>
                <w:tab w:val="left" w:pos="2835"/>
              </w:tabs>
              <w:spacing w:after="120"/>
              <w:rPr>
                <w:rFonts w:cs="Arial"/>
              </w:rPr>
            </w:pPr>
            <w:r w:rsidRPr="00247FDE">
              <w:rPr>
                <w:rFonts w:cs="Arial"/>
              </w:rPr>
              <w:t>An individual/organisation that has been awarded a grant. (Proposed definition in the grants taxonomy)</w:t>
            </w:r>
          </w:p>
        </w:tc>
      </w:tr>
      <w:tr w:rsidR="00AC72FA" w:rsidRPr="00247FDE" w:rsidTr="00A076AF">
        <w:tc>
          <w:tcPr>
            <w:tcW w:w="2513" w:type="dxa"/>
          </w:tcPr>
          <w:p w:rsidR="00AC72FA" w:rsidRPr="00247FDE" w:rsidRDefault="009A4309" w:rsidP="00A076AF">
            <w:pPr>
              <w:tabs>
                <w:tab w:val="left" w:pos="2835"/>
              </w:tabs>
              <w:spacing w:after="120"/>
              <w:rPr>
                <w:rFonts w:cs="Arial"/>
              </w:rPr>
            </w:pPr>
            <w:r w:rsidRPr="00463AB3">
              <w:rPr>
                <w:rFonts w:cs="Arial"/>
              </w:rPr>
              <w:t>Portfolio Budget Statement</w:t>
            </w:r>
            <w:r w:rsidRPr="00247FDE">
              <w:rPr>
                <w:rFonts w:cs="Arial"/>
              </w:rPr>
              <w:t xml:space="preserve"> </w:t>
            </w:r>
            <w:r>
              <w:rPr>
                <w:rFonts w:cs="Arial"/>
              </w:rPr>
              <w:t>(</w:t>
            </w:r>
            <w:r w:rsidR="00AC72FA" w:rsidRPr="00247FDE">
              <w:rPr>
                <w:rFonts w:cs="Arial"/>
              </w:rPr>
              <w:t>PBS</w:t>
            </w:r>
            <w:r>
              <w:rPr>
                <w:rFonts w:cs="Arial"/>
              </w:rPr>
              <w:t>)</w:t>
            </w:r>
            <w:r w:rsidR="00AC72FA" w:rsidRPr="00247FDE">
              <w:rPr>
                <w:rFonts w:cs="Arial"/>
              </w:rPr>
              <w:t xml:space="preserve"> Program</w:t>
            </w:r>
          </w:p>
        </w:tc>
        <w:tc>
          <w:tcPr>
            <w:tcW w:w="6395" w:type="dxa"/>
          </w:tcPr>
          <w:p w:rsidR="00AC72FA" w:rsidRPr="00247FDE" w:rsidRDefault="00AC72FA" w:rsidP="0008482F">
            <w:pPr>
              <w:tabs>
                <w:tab w:val="left" w:pos="2835"/>
              </w:tabs>
              <w:spacing w:after="120"/>
              <w:rPr>
                <w:rFonts w:cs="Arial"/>
              </w:rPr>
            </w:pPr>
            <w:r w:rsidRPr="00463AB3">
              <w:rPr>
                <w:rFonts w:cs="Arial"/>
              </w:rPr>
              <w:t xml:space="preserve">Described within the entity’s </w:t>
            </w:r>
            <w:r w:rsidRPr="00247FDE">
              <w:rPr>
                <w:rFonts w:cs="Arial"/>
              </w:rPr>
              <w:t>PBS programs</w:t>
            </w:r>
            <w:r w:rsidR="009A4309">
              <w:rPr>
                <w:rFonts w:cs="Arial"/>
              </w:rPr>
              <w:t>,</w:t>
            </w:r>
            <w:r w:rsidRPr="00247FDE">
              <w:rPr>
                <w:rFonts w:cs="Arial"/>
              </w:rPr>
              <w:t xml:space="preserve"> each link to a single outcome and provide transparency for funding decisions. These high level PBS programs often comprise a number of lower</w:t>
            </w:r>
            <w:r w:rsidR="009A4309">
              <w:rPr>
                <w:rFonts w:cs="Arial"/>
              </w:rPr>
              <w:t>-</w:t>
            </w:r>
            <w:r w:rsidRPr="00247FDE">
              <w:rPr>
                <w:rFonts w:cs="Arial"/>
              </w:rPr>
              <w:t xml:space="preserve">level, more publicly recognised programs, some of which will be Grant Programs. A PBS Program may have more than one Grant Program associated with it, and each of these may have </w:t>
            </w:r>
            <w:r w:rsidRPr="00463AB3">
              <w:rPr>
                <w:rFonts w:cs="Arial"/>
              </w:rPr>
              <w:t>one or more grant opportunities</w:t>
            </w:r>
            <w:r w:rsidR="009A4309">
              <w:rPr>
                <w:rFonts w:cs="Arial"/>
              </w:rPr>
              <w:t>.</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selection criteria</w:t>
            </w:r>
          </w:p>
        </w:tc>
        <w:tc>
          <w:tcPr>
            <w:tcW w:w="6395" w:type="dxa"/>
          </w:tcPr>
          <w:p w:rsidR="00AC72FA" w:rsidRPr="00247FDE" w:rsidRDefault="00AC72FA" w:rsidP="00CB2C13">
            <w:pPr>
              <w:tabs>
                <w:tab w:val="left" w:pos="2835"/>
              </w:tabs>
              <w:spacing w:after="120"/>
              <w:rPr>
                <w:rFonts w:cs="Arial"/>
              </w:rPr>
            </w:pPr>
            <w:r w:rsidRPr="00247FDE">
              <w:rPr>
                <w:rFonts w:cs="Arial"/>
              </w:rPr>
              <w:t xml:space="preserve">Comprise eligibility criteria and assessment criteria </w:t>
            </w:r>
            <w:r w:rsidR="00F5104D" w:rsidRPr="00710FAB">
              <w:rPr>
                <w:rFonts w:cs="Arial"/>
              </w:rPr>
              <w:t>(</w:t>
            </w:r>
            <w:r w:rsidR="00F5104D">
              <w:rPr>
                <w:rFonts w:cs="Arial"/>
              </w:rPr>
              <w:t xml:space="preserve">as defined in the </w:t>
            </w:r>
            <w:r w:rsidR="00F5104D" w:rsidRPr="00710FAB">
              <w:rPr>
                <w:rFonts w:cs="Arial"/>
              </w:rPr>
              <w:t>CGRGs)</w:t>
            </w:r>
            <w:r w:rsidR="00CB2C13">
              <w:rPr>
                <w:rFonts w:cs="Arial"/>
              </w:rPr>
              <w:t>.</w:t>
            </w:r>
          </w:p>
        </w:tc>
      </w:tr>
      <w:tr w:rsidR="00AC72FA" w:rsidRPr="00247FDE" w:rsidTr="00A076AF">
        <w:tc>
          <w:tcPr>
            <w:tcW w:w="2513" w:type="dxa"/>
          </w:tcPr>
          <w:p w:rsidR="00AC72FA" w:rsidRPr="00247FDE" w:rsidRDefault="00AC72FA" w:rsidP="00A076AF">
            <w:pPr>
              <w:tabs>
                <w:tab w:val="left" w:pos="2835"/>
              </w:tabs>
              <w:spacing w:after="120"/>
              <w:rPr>
                <w:rFonts w:cs="Arial"/>
              </w:rPr>
            </w:pPr>
            <w:r w:rsidRPr="00247FDE">
              <w:rPr>
                <w:rFonts w:cs="Arial"/>
              </w:rPr>
              <w:t>selection process</w:t>
            </w:r>
          </w:p>
        </w:tc>
        <w:tc>
          <w:tcPr>
            <w:tcW w:w="6395" w:type="dxa"/>
          </w:tcPr>
          <w:p w:rsidR="00AC72FA" w:rsidRPr="00247FDE" w:rsidRDefault="00AC72FA" w:rsidP="00CB2C13">
            <w:pPr>
              <w:tabs>
                <w:tab w:val="left" w:pos="2835"/>
              </w:tabs>
              <w:spacing w:after="120"/>
              <w:rPr>
                <w:rFonts w:cs="Arial"/>
              </w:rPr>
            </w:pPr>
            <w:r w:rsidRPr="00247FDE">
              <w:rPr>
                <w:rFonts w:cs="Arial"/>
              </w:rPr>
              <w:t xml:space="preserve">The method used to select potential </w:t>
            </w:r>
            <w:r w:rsidR="009A4309">
              <w:rPr>
                <w:rFonts w:cs="Arial"/>
              </w:rPr>
              <w:t>grant recipients</w:t>
            </w:r>
            <w:r w:rsidRPr="00247FDE">
              <w:rPr>
                <w:rFonts w:cs="Arial"/>
              </w:rPr>
              <w:t xml:space="preserve">. This process may involve comparative assessment of applications or the assessment of applications against </w:t>
            </w:r>
            <w:r w:rsidRPr="00247FDE">
              <w:rPr>
                <w:rFonts w:cs="Arial"/>
              </w:rPr>
              <w:lastRenderedPageBreak/>
              <w:t xml:space="preserve">the eligibility criteria and/or the assessment criteria </w:t>
            </w:r>
            <w:r w:rsidR="00F5104D" w:rsidRPr="00710FAB">
              <w:rPr>
                <w:rFonts w:cs="Arial"/>
              </w:rPr>
              <w:t>(</w:t>
            </w:r>
            <w:r w:rsidR="00F5104D">
              <w:rPr>
                <w:rFonts w:cs="Arial"/>
              </w:rPr>
              <w:t xml:space="preserve">as defined in the </w:t>
            </w:r>
            <w:r w:rsidR="00F5104D" w:rsidRPr="00710FAB">
              <w:rPr>
                <w:rFonts w:cs="Arial"/>
              </w:rPr>
              <w:t>CGRGs)</w:t>
            </w:r>
            <w:r w:rsidR="00CB2C13">
              <w:rPr>
                <w:rFonts w:cs="Arial"/>
              </w:rPr>
              <w:t>.</w:t>
            </w:r>
          </w:p>
        </w:tc>
      </w:tr>
    </w:tbl>
    <w:p w:rsidR="00AC72FA" w:rsidRPr="00247FDE" w:rsidRDefault="00AC72FA" w:rsidP="007704FC">
      <w:pPr>
        <w:rPr>
          <w:rFonts w:cs="Arial"/>
        </w:rPr>
      </w:pPr>
    </w:p>
    <w:sectPr w:rsidR="00AC72FA" w:rsidRPr="00247FDE" w:rsidSect="00CB2C13">
      <w:headerReference w:type="default" r:id="rId19"/>
      <w:headerReference w:type="first" r:id="rId20"/>
      <w:footerReference w:type="first" r:id="rId21"/>
      <w:pgSz w:w="11906" w:h="16838"/>
      <w:pgMar w:top="851" w:right="1418" w:bottom="1418" w:left="1134" w:header="851"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232" w:rsidRDefault="00F72232" w:rsidP="008F3023">
      <w:pPr>
        <w:spacing w:before="0" w:after="0" w:line="240" w:lineRule="auto"/>
      </w:pPr>
      <w:r>
        <w:separator/>
      </w:r>
    </w:p>
  </w:endnote>
  <w:endnote w:type="continuationSeparator" w:id="0">
    <w:p w:rsidR="00F72232" w:rsidRDefault="00F72232"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4914"/>
      <w:docPartObj>
        <w:docPartGallery w:val="Page Numbers (Bottom of Page)"/>
        <w:docPartUnique/>
      </w:docPartObj>
    </w:sdtPr>
    <w:sdtEndPr>
      <w:rPr>
        <w:noProof/>
      </w:rPr>
    </w:sdtEndPr>
    <w:sdtContent>
      <w:p w:rsidR="00342D1D" w:rsidRDefault="00342D1D" w:rsidP="00D86E50">
        <w:pPr>
          <w:pStyle w:val="Footer"/>
          <w:jc w:val="center"/>
        </w:pPr>
        <w:r>
          <w:fldChar w:fldCharType="begin"/>
        </w:r>
        <w:r>
          <w:instrText xml:space="preserve"> PAGE   \* MERGEFORMAT </w:instrText>
        </w:r>
        <w:r>
          <w:fldChar w:fldCharType="separate"/>
        </w:r>
        <w:r w:rsidR="00CB1C90">
          <w:rPr>
            <w:noProof/>
          </w:rPr>
          <w:t>12</w:t>
        </w:r>
        <w:r>
          <w:rPr>
            <w:noProof/>
          </w:rPr>
          <w:fldChar w:fldCharType="end"/>
        </w:r>
      </w:p>
    </w:sdtContent>
  </w:sdt>
  <w:p w:rsidR="00342D1D" w:rsidRDefault="00342D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1D" w:rsidRDefault="00342D1D" w:rsidP="00B10EB1">
    <w:pPr>
      <w:pStyle w:val="Footer"/>
      <w:ind w:left="-1417"/>
    </w:pPr>
    <w:r>
      <w:rPr>
        <w:noProof/>
      </w:rPr>
      <w:drawing>
        <wp:inline distT="0" distB="0" distL="0" distR="0" wp14:anchorId="4AE85635" wp14:editId="4E400AD1">
          <wp:extent cx="7519594" cy="6264813"/>
          <wp:effectExtent l="0" t="0" r="5715" b="3175"/>
          <wp:docPr id="3" name="Picture 3" descr="illustrations of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1D" w:rsidRDefault="00CB1C90"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342D1D">
          <w:fldChar w:fldCharType="begin"/>
        </w:r>
        <w:r w:rsidR="00342D1D">
          <w:instrText xml:space="preserve"> PAGE   \* MERGEFORMAT </w:instrText>
        </w:r>
        <w:r w:rsidR="00342D1D">
          <w:fldChar w:fldCharType="separate"/>
        </w:r>
        <w:r>
          <w:rPr>
            <w:noProof/>
          </w:rPr>
          <w:t>2</w:t>
        </w:r>
        <w:r w:rsidR="00342D1D">
          <w:rPr>
            <w:noProof/>
          </w:rPr>
          <w:fldChar w:fldCharType="end"/>
        </w:r>
      </w:sdtContent>
    </w:sdt>
  </w:p>
  <w:p w:rsidR="00342D1D" w:rsidRDefault="00342D1D"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232" w:rsidRDefault="00F72232" w:rsidP="008F3023">
      <w:pPr>
        <w:spacing w:before="0" w:after="0" w:line="240" w:lineRule="auto"/>
      </w:pPr>
      <w:r>
        <w:separator/>
      </w:r>
    </w:p>
  </w:footnote>
  <w:footnote w:type="continuationSeparator" w:id="0">
    <w:p w:rsidR="00F72232" w:rsidRDefault="00F72232" w:rsidP="008F302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1D" w:rsidRDefault="00342D1D" w:rsidP="00F30908">
    <w:pPr>
      <w:ind w:left="-964"/>
    </w:pPr>
    <w:r>
      <w:rPr>
        <w:noProof/>
      </w:rPr>
      <w:drawing>
        <wp:inline distT="0" distB="0" distL="0" distR="0" wp14:anchorId="6BA4F073" wp14:editId="31A9672F">
          <wp:extent cx="3236400" cy="936000"/>
          <wp:effectExtent l="0" t="0" r="2540" b="0"/>
          <wp:docPr id="2" name="Picture 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1D" w:rsidRPr="0084227C" w:rsidRDefault="00342D1D" w:rsidP="0084227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D1D" w:rsidRDefault="00342D1D" w:rsidP="00F30908">
    <w:pPr>
      <w:ind w:left="-96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4ABF"/>
    <w:multiLevelType w:val="hybridMultilevel"/>
    <w:tmpl w:val="74F65D56"/>
    <w:lvl w:ilvl="0" w:tplc="0696EDA8">
      <w:start w:val="1"/>
      <w:numFmt w:val="bullet"/>
      <w:pStyle w:val="ListBullet1Indent0"/>
      <w:lvlText w:val=""/>
      <w:lvlJc w:val="left"/>
      <w:pPr>
        <w:tabs>
          <w:tab w:val="num" w:pos="397"/>
        </w:tabs>
        <w:ind w:left="397" w:hanging="397"/>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A2F6B80"/>
    <w:multiLevelType w:val="multilevel"/>
    <w:tmpl w:val="BDCE37EC"/>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numFmt w:val="bullet"/>
      <w:pStyle w:val="NumberedList3"/>
      <w:lvlText w:val="-"/>
      <w:lvlJc w:val="left"/>
      <w:pPr>
        <w:ind w:left="852" w:hanging="284"/>
      </w:pPr>
      <w:rPr>
        <w:rFonts w:ascii="Calibri" w:eastAsia="Times New Roman" w:hAnsi="Calibri"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0A797D0E"/>
    <w:multiLevelType w:val="hybridMultilevel"/>
    <w:tmpl w:val="A68CDA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nsid w:val="0B95147F"/>
    <w:multiLevelType w:val="multilevel"/>
    <w:tmpl w:val="ECD08F3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C887AE6"/>
    <w:multiLevelType w:val="hybridMultilevel"/>
    <w:tmpl w:val="9578A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DA30A2"/>
    <w:multiLevelType w:val="hybridMultilevel"/>
    <w:tmpl w:val="D922A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8">
    <w:nsid w:val="19BD12E7"/>
    <w:multiLevelType w:val="multilevel"/>
    <w:tmpl w:val="95D2349A"/>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AF27DB9"/>
    <w:multiLevelType w:val="hybridMultilevel"/>
    <w:tmpl w:val="C7FA7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EC3D97"/>
    <w:multiLevelType w:val="hybridMultilevel"/>
    <w:tmpl w:val="50ECC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2B9B159F"/>
    <w:multiLevelType w:val="multilevel"/>
    <w:tmpl w:val="A768BBC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nsid w:val="2D526FCD"/>
    <w:multiLevelType w:val="hybridMultilevel"/>
    <w:tmpl w:val="D9BC9E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nsid w:val="2DED196D"/>
    <w:multiLevelType w:val="hybridMultilevel"/>
    <w:tmpl w:val="0E4E3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4E9519B"/>
    <w:multiLevelType w:val="multilevel"/>
    <w:tmpl w:val="11A8BADA"/>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421" w:hanging="1440"/>
      </w:pPr>
      <w:rPr>
        <w:rFonts w:hint="default"/>
      </w:rPr>
    </w:lvl>
    <w:lvl w:ilvl="4">
      <w:start w:val="1"/>
      <w:numFmt w:val="decimal"/>
      <w:isLgl/>
      <w:lvlText w:val="%1.%2.%3.%4.%5"/>
      <w:lvlJc w:val="left"/>
      <w:pPr>
        <w:ind w:left="2988" w:hanging="1800"/>
      </w:pPr>
      <w:rPr>
        <w:rFonts w:hint="default"/>
      </w:rPr>
    </w:lvl>
    <w:lvl w:ilvl="5">
      <w:start w:val="1"/>
      <w:numFmt w:val="decimal"/>
      <w:isLgl/>
      <w:lvlText w:val="%1.%2.%3.%4.%5.%6"/>
      <w:lvlJc w:val="left"/>
      <w:pPr>
        <w:ind w:left="3555" w:hanging="2160"/>
      </w:pPr>
      <w:rPr>
        <w:rFonts w:hint="default"/>
      </w:rPr>
    </w:lvl>
    <w:lvl w:ilvl="6">
      <w:start w:val="1"/>
      <w:numFmt w:val="decimal"/>
      <w:isLgl/>
      <w:lvlText w:val="%1.%2.%3.%4.%5.%6.%7"/>
      <w:lvlJc w:val="left"/>
      <w:pPr>
        <w:ind w:left="4122" w:hanging="2520"/>
      </w:pPr>
      <w:rPr>
        <w:rFonts w:hint="default"/>
      </w:rPr>
    </w:lvl>
    <w:lvl w:ilvl="7">
      <w:start w:val="1"/>
      <w:numFmt w:val="decimal"/>
      <w:isLgl/>
      <w:lvlText w:val="%1.%2.%3.%4.%5.%6.%7.%8"/>
      <w:lvlJc w:val="left"/>
      <w:pPr>
        <w:ind w:left="4689" w:hanging="2880"/>
      </w:pPr>
      <w:rPr>
        <w:rFonts w:hint="default"/>
      </w:rPr>
    </w:lvl>
    <w:lvl w:ilvl="8">
      <w:start w:val="1"/>
      <w:numFmt w:val="decimal"/>
      <w:isLgl/>
      <w:lvlText w:val="%1.%2.%3.%4.%5.%6.%7.%8.%9"/>
      <w:lvlJc w:val="left"/>
      <w:pPr>
        <w:ind w:left="5256" w:hanging="3240"/>
      </w:pPr>
      <w:rPr>
        <w:rFonts w:hint="default"/>
      </w:rPr>
    </w:lvl>
  </w:abstractNum>
  <w:abstractNum w:abstractNumId="23">
    <w:nsid w:val="4A1C5A41"/>
    <w:multiLevelType w:val="multilevel"/>
    <w:tmpl w:val="D9FAF9D0"/>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2C6CBF"/>
    <w:multiLevelType w:val="hybridMultilevel"/>
    <w:tmpl w:val="6F2C6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7">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nsid w:val="5C2540A4"/>
    <w:multiLevelType w:val="hybridMultilevel"/>
    <w:tmpl w:val="F17A70FE"/>
    <w:lvl w:ilvl="0" w:tplc="43128A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2">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6"/>
  </w:num>
  <w:num w:numId="2">
    <w:abstractNumId w:val="24"/>
  </w:num>
  <w:num w:numId="3">
    <w:abstractNumId w:val="32"/>
  </w:num>
  <w:num w:numId="4">
    <w:abstractNumId w:val="1"/>
  </w:num>
  <w:num w:numId="5">
    <w:abstractNumId w:val="17"/>
    <w:lvlOverride w:ilvl="1">
      <w:lvl w:ilvl="1">
        <w:start w:val="1"/>
        <w:numFmt w:val="decimal"/>
        <w:pStyle w:val="Heading2Numbered"/>
        <w:lvlText w:val="%1.%2"/>
        <w:lvlJc w:val="left"/>
        <w:pPr>
          <w:ind w:left="1560" w:hanging="567"/>
        </w:pPr>
        <w:rPr>
          <w:rFonts w:cs="Times New Roman"/>
          <w:b w:val="0"/>
          <w:bCs w:val="0"/>
          <w:i w:val="0"/>
          <w:iCs w:val="0"/>
          <w:caps w:val="0"/>
          <w:smallCaps w:val="0"/>
          <w:strike w:val="0"/>
          <w:dstrike w:val="0"/>
          <w:outline w:val="0"/>
          <w:shadow w:val="0"/>
          <w:emboss w:val="0"/>
          <w:imprint w:val="0"/>
          <w:noProof w:val="0"/>
          <w:vanish w:val="0"/>
          <w:color w:val="005A70" w:themeColor="accent1"/>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28"/>
  </w:num>
  <w:num w:numId="7">
    <w:abstractNumId w:val="30"/>
  </w:num>
  <w:num w:numId="8">
    <w:abstractNumId w:val="7"/>
  </w:num>
  <w:num w:numId="9">
    <w:abstractNumId w:val="10"/>
  </w:num>
  <w:num w:numId="10">
    <w:abstractNumId w:val="8"/>
  </w:num>
  <w:num w:numId="11">
    <w:abstractNumId w:val="15"/>
  </w:num>
  <w:num w:numId="12">
    <w:abstractNumId w:val="27"/>
  </w:num>
  <w:num w:numId="13">
    <w:abstractNumId w:val="31"/>
  </w:num>
  <w:num w:numId="14">
    <w:abstractNumId w:val="26"/>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5">
    <w:abstractNumId w:val="16"/>
  </w:num>
  <w:num w:numId="16">
    <w:abstractNumId w:val="11"/>
  </w:num>
  <w:num w:numId="17">
    <w:abstractNumId w:val="2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3"/>
    </w:lvlOverride>
  </w:num>
  <w:num w:numId="20">
    <w:abstractNumId w:val="20"/>
  </w:num>
  <w:num w:numId="21">
    <w:abstractNumId w:val="23"/>
  </w:num>
  <w:num w:numId="22">
    <w:abstractNumId w:val="17"/>
  </w:num>
  <w:num w:numId="23">
    <w:abstractNumId w:val="12"/>
  </w:num>
  <w:num w:numId="24">
    <w:abstractNumId w:val="21"/>
  </w:num>
  <w:num w:numId="25">
    <w:abstractNumId w:val="13"/>
  </w:num>
  <w:num w:numId="26">
    <w:abstractNumId w:val="17"/>
    <w:lvlOverride w:ilvl="1">
      <w:lvl w:ilvl="1">
        <w:start w:val="1"/>
        <w:numFmt w:val="decimal"/>
        <w:pStyle w:val="Heading2Numbered"/>
        <w:lvlText w:val="%1.%2"/>
        <w:lvlJc w:val="left"/>
        <w:pPr>
          <w:ind w:left="993" w:hanging="567"/>
        </w:pPr>
        <w:rPr>
          <w:rFonts w:hint="default"/>
        </w:rPr>
      </w:lvl>
    </w:lvlOverride>
  </w:num>
  <w:num w:numId="27">
    <w:abstractNumId w:val="16"/>
    <w:lvlOverride w:ilvl="2">
      <w:lvl w:ilvl="2">
        <w:start w:val="1"/>
        <w:numFmt w:val="bullet"/>
        <w:pStyle w:val="Bulletslast1stindent"/>
        <w:lvlText w:val="•"/>
        <w:lvlJc w:val="left"/>
        <w:pPr>
          <w:tabs>
            <w:tab w:val="num" w:pos="284"/>
          </w:tabs>
          <w:ind w:left="284" w:hanging="284"/>
        </w:pPr>
        <w:rPr>
          <w:rFonts w:ascii="Cambria" w:hAnsi="Cambria" w:hint="default"/>
          <w:color w:val="auto"/>
        </w:rPr>
      </w:lvl>
    </w:lvlOverride>
  </w:num>
  <w:num w:numId="28">
    <w:abstractNumId w:val="18"/>
  </w:num>
  <w:num w:numId="29">
    <w:abstractNumId w:val="0"/>
  </w:num>
  <w:num w:numId="30">
    <w:abstractNumId w:val="29"/>
  </w:num>
  <w:num w:numId="31">
    <w:abstractNumId w:val="2"/>
  </w:num>
  <w:num w:numId="32">
    <w:abstractNumId w:val="19"/>
  </w:num>
  <w:num w:numId="33">
    <w:abstractNumId w:val="5"/>
  </w:num>
  <w:num w:numId="34">
    <w:abstractNumId w:val="4"/>
  </w:num>
  <w:num w:numId="35">
    <w:abstractNumId w:val="14"/>
  </w:num>
  <w:num w:numId="36">
    <w:abstractNumId w:val="17"/>
    <w:lvlOverride w:ilvl="1">
      <w:lvl w:ilvl="1">
        <w:start w:val="1"/>
        <w:numFmt w:val="decimal"/>
        <w:pStyle w:val="Heading2Numbered"/>
        <w:lvlText w:val="%1.%2"/>
        <w:lvlJc w:val="left"/>
        <w:pPr>
          <w:ind w:left="993" w:hanging="567"/>
        </w:pPr>
        <w:rPr>
          <w:rFonts w:hint="default"/>
        </w:rPr>
      </w:lvl>
    </w:lvlOverride>
  </w:num>
  <w:num w:numId="37">
    <w:abstractNumId w:val="17"/>
    <w:lvlOverride w:ilvl="1">
      <w:lvl w:ilvl="1">
        <w:start w:val="1"/>
        <w:numFmt w:val="decimal"/>
        <w:pStyle w:val="Heading2Numbered"/>
        <w:lvlText w:val="%1.%2"/>
        <w:lvlJc w:val="left"/>
        <w:pPr>
          <w:ind w:left="993" w:hanging="567"/>
        </w:pPr>
        <w:rPr>
          <w:rFonts w:hint="default"/>
        </w:rPr>
      </w:lvl>
    </w:lvlOverride>
  </w:num>
  <w:num w:numId="38">
    <w:abstractNumId w:val="17"/>
    <w:lvlOverride w:ilvl="1">
      <w:lvl w:ilvl="1">
        <w:start w:val="1"/>
        <w:numFmt w:val="decimal"/>
        <w:pStyle w:val="Heading2Numbered"/>
        <w:lvlText w:val="%1.%2"/>
        <w:lvlJc w:val="left"/>
        <w:pPr>
          <w:ind w:left="993" w:hanging="567"/>
        </w:pPr>
        <w:rPr>
          <w:rFonts w:hint="default"/>
        </w:rPr>
      </w:lvl>
    </w:lvlOverride>
  </w:num>
  <w:num w:numId="39">
    <w:abstractNumId w:val="17"/>
    <w:lvlOverride w:ilvl="1">
      <w:lvl w:ilvl="1">
        <w:start w:val="1"/>
        <w:numFmt w:val="decimal"/>
        <w:pStyle w:val="Heading2Numbered"/>
        <w:lvlText w:val="%1.%2"/>
        <w:lvlJc w:val="left"/>
        <w:pPr>
          <w:ind w:left="993" w:hanging="567"/>
        </w:pPr>
        <w:rPr>
          <w:rFonts w:hint="default"/>
        </w:rPr>
      </w:lvl>
    </w:lvlOverride>
  </w:num>
  <w:num w:numId="40">
    <w:abstractNumId w:val="25"/>
  </w:num>
  <w:num w:numId="41">
    <w:abstractNumId w:val="22"/>
  </w:num>
  <w:num w:numId="42">
    <w:abstractNumId w:val="17"/>
    <w:lvlOverride w:ilvl="1">
      <w:lvl w:ilvl="1">
        <w:start w:val="1"/>
        <w:numFmt w:val="decimal"/>
        <w:pStyle w:val="Heading2Numbered"/>
        <w:lvlText w:val="%1.%2"/>
        <w:lvlJc w:val="left"/>
        <w:pPr>
          <w:ind w:left="1418" w:hanging="567"/>
        </w:pPr>
        <w:rPr>
          <w:rFonts w:hint="default"/>
        </w:rPr>
      </w:lvl>
    </w:lvlOverride>
  </w:num>
  <w:num w:numId="43">
    <w:abstractNumId w:val="17"/>
    <w:lvlOverride w:ilvl="1">
      <w:lvl w:ilvl="1">
        <w:start w:val="1"/>
        <w:numFmt w:val="decimal"/>
        <w:pStyle w:val="Heading2Numbered"/>
        <w:lvlText w:val="%1.%2"/>
        <w:lvlJc w:val="left"/>
        <w:pPr>
          <w:ind w:left="1418" w:hanging="567"/>
        </w:pPr>
        <w:rPr>
          <w:rFonts w:hint="default"/>
        </w:rPr>
      </w:lvl>
    </w:lvlOverride>
  </w:num>
  <w:num w:numId="44">
    <w:abstractNumId w:val="17"/>
    <w:lvlOverride w:ilvl="1">
      <w:lvl w:ilvl="1">
        <w:start w:val="1"/>
        <w:numFmt w:val="decimal"/>
        <w:pStyle w:val="Heading2Numbered"/>
        <w:lvlText w:val="%1.%2"/>
        <w:lvlJc w:val="left"/>
        <w:pPr>
          <w:ind w:left="1418" w:hanging="567"/>
        </w:pPr>
        <w:rPr>
          <w:rFonts w:hint="default"/>
        </w:rPr>
      </w:lvl>
    </w:lvlOverride>
  </w:num>
  <w:num w:numId="45">
    <w:abstractNumId w:val="17"/>
    <w:lvlOverride w:ilvl="1">
      <w:lvl w:ilvl="1">
        <w:start w:val="1"/>
        <w:numFmt w:val="decimal"/>
        <w:pStyle w:val="Heading2Numbered"/>
        <w:lvlText w:val="%1.%2"/>
        <w:lvlJc w:val="left"/>
        <w:pPr>
          <w:ind w:left="1418" w:hanging="567"/>
        </w:pPr>
        <w:rPr>
          <w:rFonts w:hint="default"/>
        </w:rPr>
      </w:lvl>
    </w:lvlOverride>
  </w:num>
  <w:num w:numId="46">
    <w:abstractNumId w:val="17"/>
    <w:lvlOverride w:ilvl="1">
      <w:lvl w:ilvl="1">
        <w:start w:val="1"/>
        <w:numFmt w:val="decimal"/>
        <w:pStyle w:val="Heading2Numbered"/>
        <w:lvlText w:val="%1.%2"/>
        <w:lvlJc w:val="left"/>
        <w:pPr>
          <w:ind w:left="1418" w:hanging="567"/>
        </w:pPr>
        <w:rPr>
          <w:rFonts w:hint="default"/>
        </w:rPr>
      </w:lvl>
    </w:lvlOverride>
  </w:num>
  <w:num w:numId="47">
    <w:abstractNumId w:val="17"/>
    <w:lvlOverride w:ilvl="1">
      <w:lvl w:ilvl="1">
        <w:start w:val="1"/>
        <w:numFmt w:val="decimal"/>
        <w:pStyle w:val="Heading2Numbered"/>
        <w:lvlText w:val="%1.%2"/>
        <w:lvlJc w:val="left"/>
        <w:pPr>
          <w:ind w:left="1418" w:hanging="567"/>
        </w:pPr>
        <w:rPr>
          <w:rFonts w:hint="default"/>
        </w:rPr>
      </w:lvl>
    </w:lvlOverride>
  </w:num>
  <w:num w:numId="48">
    <w:abstractNumId w:val="3"/>
  </w:num>
  <w:num w:numId="49">
    <w:abstractNumId w:val="17"/>
    <w:lvlOverride w:ilvl="1">
      <w:lvl w:ilvl="1">
        <w:start w:val="1"/>
        <w:numFmt w:val="decimal"/>
        <w:pStyle w:val="Heading2Numbered"/>
        <w:lvlText w:val="%1.%2"/>
        <w:lvlJc w:val="left"/>
        <w:pPr>
          <w:ind w:left="1418" w:hanging="567"/>
        </w:pPr>
        <w:rPr>
          <w:rFonts w:hint="default"/>
        </w:rPr>
      </w:lvl>
    </w:lvlOverride>
  </w:num>
  <w:num w:numId="50">
    <w:abstractNumId w:val="17"/>
    <w:lvlOverride w:ilvl="1">
      <w:lvl w:ilvl="1">
        <w:start w:val="1"/>
        <w:numFmt w:val="decimal"/>
        <w:pStyle w:val="Heading2Numbered"/>
        <w:lvlText w:val="%1.%2"/>
        <w:lvlJc w:val="left"/>
        <w:pPr>
          <w:ind w:left="1418" w:hanging="567"/>
        </w:pPr>
        <w:rPr>
          <w:rFonts w:hint="default"/>
        </w:rPr>
      </w:lvl>
    </w:lvlOverride>
  </w:num>
  <w:num w:numId="51">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FA"/>
    <w:rsid w:val="000140B8"/>
    <w:rsid w:val="00071FFF"/>
    <w:rsid w:val="00081610"/>
    <w:rsid w:val="0008482F"/>
    <w:rsid w:val="000911F3"/>
    <w:rsid w:val="000E0770"/>
    <w:rsid w:val="000F75FC"/>
    <w:rsid w:val="001108BA"/>
    <w:rsid w:val="001510D7"/>
    <w:rsid w:val="001A7461"/>
    <w:rsid w:val="001E630D"/>
    <w:rsid w:val="0022086C"/>
    <w:rsid w:val="002346B5"/>
    <w:rsid w:val="00247FDE"/>
    <w:rsid w:val="002568D9"/>
    <w:rsid w:val="00257C0B"/>
    <w:rsid w:val="00281DFB"/>
    <w:rsid w:val="002B3CC6"/>
    <w:rsid w:val="002C609A"/>
    <w:rsid w:val="002E011E"/>
    <w:rsid w:val="002F2E57"/>
    <w:rsid w:val="00311FC7"/>
    <w:rsid w:val="00335A14"/>
    <w:rsid w:val="003368D2"/>
    <w:rsid w:val="00337926"/>
    <w:rsid w:val="00342D1D"/>
    <w:rsid w:val="0037362F"/>
    <w:rsid w:val="00377AA9"/>
    <w:rsid w:val="0038044C"/>
    <w:rsid w:val="003937BE"/>
    <w:rsid w:val="003A70C3"/>
    <w:rsid w:val="003B0D19"/>
    <w:rsid w:val="003B2BB8"/>
    <w:rsid w:val="003D34FF"/>
    <w:rsid w:val="003E1F21"/>
    <w:rsid w:val="003E2B62"/>
    <w:rsid w:val="00402C0B"/>
    <w:rsid w:val="00403055"/>
    <w:rsid w:val="00415B6C"/>
    <w:rsid w:val="004243F2"/>
    <w:rsid w:val="00440CB8"/>
    <w:rsid w:val="00454F82"/>
    <w:rsid w:val="00471456"/>
    <w:rsid w:val="0047623B"/>
    <w:rsid w:val="004B54CA"/>
    <w:rsid w:val="004B798C"/>
    <w:rsid w:val="004E5CBF"/>
    <w:rsid w:val="004F77F4"/>
    <w:rsid w:val="00503588"/>
    <w:rsid w:val="00511EE4"/>
    <w:rsid w:val="00517AE4"/>
    <w:rsid w:val="005312DA"/>
    <w:rsid w:val="0054713E"/>
    <w:rsid w:val="005543A8"/>
    <w:rsid w:val="00567053"/>
    <w:rsid w:val="00584FC1"/>
    <w:rsid w:val="00586246"/>
    <w:rsid w:val="005877DC"/>
    <w:rsid w:val="005C3AA9"/>
    <w:rsid w:val="00617A3D"/>
    <w:rsid w:val="00647A9F"/>
    <w:rsid w:val="00690D99"/>
    <w:rsid w:val="00696D2E"/>
    <w:rsid w:val="006A4CE7"/>
    <w:rsid w:val="006D2DA3"/>
    <w:rsid w:val="007065F3"/>
    <w:rsid w:val="00726B08"/>
    <w:rsid w:val="0073320E"/>
    <w:rsid w:val="007704FC"/>
    <w:rsid w:val="00785261"/>
    <w:rsid w:val="007B0256"/>
    <w:rsid w:val="007E3B8B"/>
    <w:rsid w:val="007F69FA"/>
    <w:rsid w:val="008252FC"/>
    <w:rsid w:val="0084227C"/>
    <w:rsid w:val="008565DF"/>
    <w:rsid w:val="0085710F"/>
    <w:rsid w:val="008639EE"/>
    <w:rsid w:val="00876CA6"/>
    <w:rsid w:val="00877018"/>
    <w:rsid w:val="008916D6"/>
    <w:rsid w:val="00893845"/>
    <w:rsid w:val="008A1D53"/>
    <w:rsid w:val="008F0C33"/>
    <w:rsid w:val="008F3023"/>
    <w:rsid w:val="009225F0"/>
    <w:rsid w:val="0092337B"/>
    <w:rsid w:val="0094563F"/>
    <w:rsid w:val="00957B13"/>
    <w:rsid w:val="009A4309"/>
    <w:rsid w:val="009B3429"/>
    <w:rsid w:val="009D3CCB"/>
    <w:rsid w:val="009F0DA8"/>
    <w:rsid w:val="00A076AF"/>
    <w:rsid w:val="00A13549"/>
    <w:rsid w:val="00A26BDE"/>
    <w:rsid w:val="00A3104C"/>
    <w:rsid w:val="00A43E66"/>
    <w:rsid w:val="00A4462B"/>
    <w:rsid w:val="00A74769"/>
    <w:rsid w:val="00AA7226"/>
    <w:rsid w:val="00AC3316"/>
    <w:rsid w:val="00AC72FA"/>
    <w:rsid w:val="00AC7348"/>
    <w:rsid w:val="00B062F1"/>
    <w:rsid w:val="00B10EB1"/>
    <w:rsid w:val="00B25125"/>
    <w:rsid w:val="00B3565A"/>
    <w:rsid w:val="00BA2DB9"/>
    <w:rsid w:val="00BB03A8"/>
    <w:rsid w:val="00BE7148"/>
    <w:rsid w:val="00C027B8"/>
    <w:rsid w:val="00C57001"/>
    <w:rsid w:val="00CA5D88"/>
    <w:rsid w:val="00CA6354"/>
    <w:rsid w:val="00CB1C90"/>
    <w:rsid w:val="00CB2C13"/>
    <w:rsid w:val="00CC3E4F"/>
    <w:rsid w:val="00CE1CB4"/>
    <w:rsid w:val="00D22A8A"/>
    <w:rsid w:val="00D64B3A"/>
    <w:rsid w:val="00D71C54"/>
    <w:rsid w:val="00D86E50"/>
    <w:rsid w:val="00D90D3C"/>
    <w:rsid w:val="00DA29E7"/>
    <w:rsid w:val="00DE2EB7"/>
    <w:rsid w:val="00DE47ED"/>
    <w:rsid w:val="00E30C3C"/>
    <w:rsid w:val="00E708BB"/>
    <w:rsid w:val="00EA5ECD"/>
    <w:rsid w:val="00EA66F0"/>
    <w:rsid w:val="00EE3834"/>
    <w:rsid w:val="00F30908"/>
    <w:rsid w:val="00F352B0"/>
    <w:rsid w:val="00F42FFA"/>
    <w:rsid w:val="00F4516E"/>
    <w:rsid w:val="00F5104D"/>
    <w:rsid w:val="00F72232"/>
    <w:rsid w:val="00F8396F"/>
    <w:rsid w:val="00F85669"/>
    <w:rsid w:val="00F86F13"/>
    <w:rsid w:val="00FC1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aliases w:val="h2"/>
    <w:basedOn w:val="Normal"/>
    <w:next w:val="Normal"/>
    <w:link w:val="Heading2Char"/>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43A8"/>
    <w:rPr>
      <w:rFonts w:ascii="Georgia" w:eastAsiaTheme="majorEastAsia" w:hAnsi="Georgia" w:cstheme="majorBidi"/>
      <w:bCs/>
      <w:color w:val="24596E"/>
      <w:sz w:val="36"/>
      <w:szCs w:val="28"/>
      <w:lang w:eastAsia="en-AU"/>
    </w:rPr>
  </w:style>
  <w:style w:type="character" w:customStyle="1" w:styleId="Heading2Char">
    <w:name w:val="Heading 2 Char"/>
    <w:aliases w:val="h2 Char"/>
    <w:basedOn w:val="DefaultParagraphFont"/>
    <w:link w:val="Heading2"/>
    <w:uiPriority w:val="99"/>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11"/>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11"/>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Recommendation,List Paragraph1,List Paragraph11,Bullet point,#List Paragraph"/>
    <w:basedOn w:val="Normal"/>
    <w:link w:val="ListParagraphChar"/>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qFormat/>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99"/>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9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paragraph" w:customStyle="1" w:styleId="NormalIndented">
    <w:name w:val="Normal Indented"/>
    <w:basedOn w:val="Normal"/>
    <w:qFormat/>
    <w:rsid w:val="00AC72FA"/>
    <w:pPr>
      <w:suppressAutoHyphens/>
      <w:spacing w:before="180" w:after="60"/>
      <w:ind w:left="284"/>
    </w:pPr>
    <w:rPr>
      <w:rFonts w:asciiTheme="minorHAnsi" w:eastAsiaTheme="minorHAnsi" w:hAnsiTheme="minorHAnsi" w:cstheme="minorBidi"/>
      <w:spacing w:val="0"/>
      <w:sz w:val="22"/>
      <w:szCs w:val="22"/>
      <w:lang w:eastAsia="en-US"/>
    </w:rPr>
  </w:style>
  <w:style w:type="paragraph" w:customStyle="1" w:styleId="Bullet1">
    <w:name w:val="Bullet 1"/>
    <w:basedOn w:val="Normal"/>
    <w:qFormat/>
    <w:rsid w:val="00AC72FA"/>
    <w:pPr>
      <w:numPr>
        <w:numId w:val="3"/>
      </w:numPr>
      <w:suppressAutoHyphens/>
      <w:spacing w:after="60"/>
    </w:pPr>
    <w:rPr>
      <w:rFonts w:asciiTheme="minorHAnsi" w:eastAsiaTheme="minorHAnsi" w:hAnsiTheme="minorHAnsi" w:cstheme="minorBidi"/>
      <w:spacing w:val="0"/>
      <w:sz w:val="22"/>
      <w:szCs w:val="22"/>
      <w:lang w:eastAsia="en-US"/>
    </w:rPr>
  </w:style>
  <w:style w:type="paragraph" w:customStyle="1" w:styleId="Bullet2">
    <w:name w:val="Bullet 2"/>
    <w:basedOn w:val="Bullet1"/>
    <w:qFormat/>
    <w:rsid w:val="00AC72FA"/>
    <w:pPr>
      <w:numPr>
        <w:ilvl w:val="1"/>
      </w:numPr>
    </w:pPr>
  </w:style>
  <w:style w:type="paragraph" w:customStyle="1" w:styleId="Bullet3">
    <w:name w:val="Bullet 3"/>
    <w:basedOn w:val="Bullet2"/>
    <w:qFormat/>
    <w:rsid w:val="00AC72FA"/>
    <w:pPr>
      <w:numPr>
        <w:ilvl w:val="2"/>
      </w:numPr>
    </w:pPr>
  </w:style>
  <w:style w:type="paragraph" w:customStyle="1" w:styleId="NumberedList1">
    <w:name w:val="Numbered List 1"/>
    <w:basedOn w:val="Normal"/>
    <w:qFormat/>
    <w:rsid w:val="00AC72FA"/>
    <w:pPr>
      <w:numPr>
        <w:numId w:val="4"/>
      </w:numPr>
      <w:suppressAutoHyphens/>
      <w:spacing w:before="180" w:after="60"/>
    </w:pPr>
    <w:rPr>
      <w:rFonts w:asciiTheme="minorHAnsi" w:eastAsiaTheme="minorHAnsi" w:hAnsiTheme="minorHAnsi" w:cstheme="minorBidi"/>
      <w:spacing w:val="0"/>
      <w:sz w:val="22"/>
      <w:szCs w:val="22"/>
      <w:lang w:eastAsia="en-US"/>
    </w:rPr>
  </w:style>
  <w:style w:type="paragraph" w:customStyle="1" w:styleId="NumberedList2">
    <w:name w:val="Numbered List 2"/>
    <w:basedOn w:val="NumberedList1"/>
    <w:qFormat/>
    <w:rsid w:val="00AC72FA"/>
    <w:pPr>
      <w:numPr>
        <w:ilvl w:val="1"/>
      </w:numPr>
      <w:spacing w:before="120"/>
    </w:pPr>
  </w:style>
  <w:style w:type="paragraph" w:customStyle="1" w:styleId="NumberedList3">
    <w:name w:val="Numbered List 3"/>
    <w:basedOn w:val="NumberedList2"/>
    <w:qFormat/>
    <w:rsid w:val="00AC72FA"/>
    <w:pPr>
      <w:numPr>
        <w:ilvl w:val="2"/>
      </w:numPr>
    </w:pPr>
  </w:style>
  <w:style w:type="paragraph" w:customStyle="1" w:styleId="Heading1Numbered">
    <w:name w:val="Heading 1 Numbered"/>
    <w:basedOn w:val="Heading1"/>
    <w:next w:val="Normal"/>
    <w:qFormat/>
    <w:rsid w:val="00AC72FA"/>
    <w:pPr>
      <w:keepNext/>
      <w:keepLines/>
      <w:numPr>
        <w:numId w:val="5"/>
      </w:numPr>
      <w:suppressAutoHyphens/>
      <w:spacing w:line="460" w:lineRule="atLeast"/>
    </w:pPr>
    <w:rPr>
      <w:rFonts w:asciiTheme="majorHAnsi" w:hAnsiTheme="majorHAnsi"/>
      <w:color w:val="000000" w:themeColor="text2"/>
      <w:spacing w:val="0"/>
      <w:sz w:val="40"/>
      <w:lang w:eastAsia="en-US"/>
    </w:rPr>
  </w:style>
  <w:style w:type="paragraph" w:customStyle="1" w:styleId="Heading2Numbered">
    <w:name w:val="Heading 2 Numbered"/>
    <w:basedOn w:val="Heading2"/>
    <w:next w:val="Normal"/>
    <w:qFormat/>
    <w:rsid w:val="00AC72FA"/>
    <w:pPr>
      <w:keepNext/>
      <w:keepLines/>
      <w:numPr>
        <w:ilvl w:val="1"/>
        <w:numId w:val="5"/>
      </w:numPr>
      <w:suppressAutoHyphens/>
      <w:spacing w:before="360" w:line="400" w:lineRule="atLeast"/>
      <w:ind w:left="1418"/>
      <w:contextualSpacing/>
    </w:pPr>
    <w:rPr>
      <w:rFonts w:asciiTheme="majorHAnsi" w:hAnsiTheme="majorHAnsi"/>
      <w:color w:val="000000" w:themeColor="text2"/>
      <w:spacing w:val="0"/>
      <w:sz w:val="34"/>
      <w:lang w:eastAsia="en-US"/>
    </w:rPr>
  </w:style>
  <w:style w:type="paragraph" w:customStyle="1" w:styleId="Heading3Numbered">
    <w:name w:val="Heading 3 Numbered"/>
    <w:basedOn w:val="Heading3"/>
    <w:next w:val="Normal"/>
    <w:qFormat/>
    <w:rsid w:val="00AC72FA"/>
    <w:pPr>
      <w:keepNext/>
      <w:keepLines/>
      <w:numPr>
        <w:ilvl w:val="2"/>
        <w:numId w:val="5"/>
      </w:numPr>
      <w:suppressAutoHyphens/>
      <w:spacing w:before="360" w:after="120" w:line="340" w:lineRule="atLeast"/>
      <w:contextualSpacing/>
    </w:pPr>
    <w:rPr>
      <w:rFonts w:asciiTheme="majorHAnsi" w:hAnsiTheme="majorHAnsi"/>
      <w:color w:val="000000" w:themeColor="text2"/>
      <w:spacing w:val="0"/>
      <w:sz w:val="30"/>
      <w:szCs w:val="22"/>
      <w:lang w:eastAsia="en-US"/>
    </w:rPr>
  </w:style>
  <w:style w:type="numbering" w:customStyle="1" w:styleId="BulletsList">
    <w:name w:val="Bullets List"/>
    <w:uiPriority w:val="99"/>
    <w:rsid w:val="00AC72FA"/>
    <w:pPr>
      <w:numPr>
        <w:numId w:val="3"/>
      </w:numPr>
    </w:pPr>
  </w:style>
  <w:style w:type="numbering" w:customStyle="1" w:styleId="Numberedlist">
    <w:name w:val="Numbered list"/>
    <w:uiPriority w:val="99"/>
    <w:rsid w:val="00AC72FA"/>
    <w:pPr>
      <w:numPr>
        <w:numId w:val="4"/>
      </w:numPr>
    </w:pPr>
  </w:style>
  <w:style w:type="numbering" w:customStyle="1" w:styleId="HeadingsList">
    <w:name w:val="Headings List"/>
    <w:uiPriority w:val="99"/>
    <w:rsid w:val="00AC72FA"/>
    <w:pPr>
      <w:numPr>
        <w:numId w:val="22"/>
      </w:numPr>
    </w:pPr>
  </w:style>
  <w:style w:type="table" w:customStyle="1" w:styleId="PlainTable2">
    <w:name w:val="Plain Table 2"/>
    <w:basedOn w:val="TableNormal"/>
    <w:uiPriority w:val="42"/>
    <w:rsid w:val="00AC72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AC72FA"/>
    <w:pPr>
      <w:spacing w:before="0" w:after="100" w:line="259"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AC72FA"/>
    <w:pPr>
      <w:spacing w:before="0" w:after="100" w:line="259"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AC72FA"/>
    <w:pPr>
      <w:spacing w:before="0" w:after="100" w:line="259"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AC72FA"/>
    <w:pPr>
      <w:spacing w:before="0" w:after="100" w:line="259" w:lineRule="auto"/>
      <w:ind w:left="1320"/>
    </w:pPr>
    <w:rPr>
      <w:rFonts w:asciiTheme="minorHAnsi" w:eastAsiaTheme="minorEastAsia" w:hAnsiTheme="minorHAnsi" w:cstheme="minorBidi"/>
      <w:spacing w:val="0"/>
      <w:sz w:val="22"/>
      <w:szCs w:val="22"/>
    </w:rPr>
  </w:style>
  <w:style w:type="numbering" w:customStyle="1" w:styleId="TableHeadingNumbers">
    <w:name w:val="Table Heading Numbers"/>
    <w:uiPriority w:val="99"/>
    <w:rsid w:val="00AC72FA"/>
    <w:pPr>
      <w:numPr>
        <w:numId w:val="6"/>
      </w:numPr>
    </w:pPr>
  </w:style>
  <w:style w:type="paragraph" w:styleId="TOC8">
    <w:name w:val="toc 8"/>
    <w:basedOn w:val="Normal"/>
    <w:next w:val="Normal"/>
    <w:autoRedefine/>
    <w:uiPriority w:val="39"/>
    <w:unhideWhenUsed/>
    <w:rsid w:val="00AC72FA"/>
    <w:pPr>
      <w:spacing w:before="0" w:after="100" w:line="259"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AC72FA"/>
    <w:pPr>
      <w:spacing w:before="0" w:after="100" w:line="259" w:lineRule="auto"/>
      <w:ind w:left="1760"/>
    </w:pPr>
    <w:rPr>
      <w:rFonts w:asciiTheme="minorHAnsi" w:eastAsiaTheme="minorEastAsia" w:hAnsiTheme="minorHAnsi" w:cstheme="minorBidi"/>
      <w:spacing w:val="0"/>
      <w:sz w:val="22"/>
      <w:szCs w:val="22"/>
    </w:rPr>
  </w:style>
  <w:style w:type="paragraph" w:styleId="TableofFigures">
    <w:name w:val="table of figures"/>
    <w:basedOn w:val="Normal"/>
    <w:next w:val="Normal"/>
    <w:uiPriority w:val="99"/>
    <w:unhideWhenUsed/>
    <w:rsid w:val="00AC72FA"/>
    <w:pPr>
      <w:suppressAutoHyphens/>
      <w:spacing w:before="180" w:after="0"/>
      <w:ind w:left="907" w:hanging="907"/>
    </w:pPr>
    <w:rPr>
      <w:rFonts w:asciiTheme="minorHAnsi" w:eastAsiaTheme="minorHAnsi" w:hAnsiTheme="minorHAnsi" w:cstheme="minorBidi"/>
      <w:spacing w:val="0"/>
      <w:sz w:val="22"/>
      <w:szCs w:val="22"/>
      <w:lang w:eastAsia="en-US"/>
    </w:rPr>
  </w:style>
  <w:style w:type="paragraph" w:customStyle="1" w:styleId="IntroPara">
    <w:name w:val="Intro Para"/>
    <w:basedOn w:val="Normal"/>
    <w:qFormat/>
    <w:rsid w:val="00AC72FA"/>
    <w:pPr>
      <w:pBdr>
        <w:bottom w:val="single" w:sz="4" w:space="6" w:color="005A70" w:themeColor="accent1"/>
      </w:pBdr>
      <w:suppressAutoHyphens/>
      <w:spacing w:before="180" w:after="60"/>
    </w:pPr>
    <w:rPr>
      <w:rFonts w:asciiTheme="minorHAnsi" w:eastAsiaTheme="minorHAnsi" w:hAnsiTheme="minorHAnsi" w:cstheme="minorBidi"/>
      <w:spacing w:val="0"/>
      <w:szCs w:val="22"/>
      <w:lang w:eastAsia="en-US"/>
    </w:rPr>
  </w:style>
  <w:style w:type="numbering" w:customStyle="1" w:styleId="FigureTitles">
    <w:name w:val="Figure Titles"/>
    <w:uiPriority w:val="99"/>
    <w:rsid w:val="00AC72FA"/>
    <w:pPr>
      <w:numPr>
        <w:numId w:val="7"/>
      </w:numPr>
    </w:pPr>
  </w:style>
  <w:style w:type="paragraph" w:customStyle="1" w:styleId="Boxed1Text">
    <w:name w:val="Boxed 1 Text"/>
    <w:basedOn w:val="Normal"/>
    <w:qFormat/>
    <w:rsid w:val="00AC72FA"/>
    <w:pPr>
      <w:pBdr>
        <w:top w:val="single" w:sz="4" w:space="14" w:color="AFEFFF" w:themeColor="accent1" w:themeTint="33"/>
        <w:left w:val="single" w:sz="4" w:space="14" w:color="AFEFFF" w:themeColor="accent1" w:themeTint="33"/>
        <w:bottom w:val="single" w:sz="4" w:space="14" w:color="AFEFFF" w:themeColor="accent1" w:themeTint="33"/>
        <w:right w:val="single" w:sz="4" w:space="14" w:color="AFEFFF" w:themeColor="accent1" w:themeTint="33"/>
      </w:pBdr>
      <w:shd w:val="clear" w:color="auto" w:fill="AFEFFF" w:themeFill="accent1" w:themeFillTint="33"/>
      <w:suppressAutoHyphens/>
      <w:spacing w:before="180" w:after="60"/>
      <w:ind w:left="284" w:right="284"/>
    </w:pPr>
    <w:rPr>
      <w:rFonts w:asciiTheme="minorHAnsi" w:eastAsiaTheme="minorHAnsi" w:hAnsiTheme="minorHAnsi" w:cstheme="minorBidi"/>
      <w:spacing w:val="0"/>
      <w:sz w:val="22"/>
      <w:szCs w:val="22"/>
      <w:lang w:eastAsia="en-US"/>
    </w:rPr>
  </w:style>
  <w:style w:type="paragraph" w:customStyle="1" w:styleId="Boxed1Heading">
    <w:name w:val="Boxed 1 Heading"/>
    <w:basedOn w:val="Boxed1Text"/>
    <w:qFormat/>
    <w:rsid w:val="00AC72FA"/>
    <w:rPr>
      <w:b/>
      <w:sz w:val="24"/>
    </w:rPr>
  </w:style>
  <w:style w:type="paragraph" w:customStyle="1" w:styleId="Boxed2Text">
    <w:name w:val="Boxed 2 Text"/>
    <w:basedOn w:val="Boxed1Text"/>
    <w:qFormat/>
    <w:rsid w:val="00AC72FA"/>
    <w:pPr>
      <w:pBdr>
        <w:top w:val="single" w:sz="4" w:space="14" w:color="005A70" w:themeColor="accent1"/>
        <w:left w:val="single" w:sz="4" w:space="14" w:color="005A70" w:themeColor="accent1"/>
        <w:bottom w:val="single" w:sz="4" w:space="14" w:color="005A70" w:themeColor="accent1"/>
        <w:right w:val="single" w:sz="4" w:space="14" w:color="005A70" w:themeColor="accent1"/>
      </w:pBdr>
      <w:shd w:val="clear" w:color="auto" w:fill="005A70" w:themeFill="accent1"/>
    </w:pPr>
  </w:style>
  <w:style w:type="paragraph" w:customStyle="1" w:styleId="Boxed2Heading">
    <w:name w:val="Boxed 2 Heading"/>
    <w:basedOn w:val="Boxed2Text"/>
    <w:qFormat/>
    <w:rsid w:val="00AC72FA"/>
    <w:rPr>
      <w:b/>
      <w:sz w:val="24"/>
    </w:rPr>
  </w:style>
  <w:style w:type="character" w:styleId="PageNumber">
    <w:name w:val="page number"/>
    <w:basedOn w:val="DefaultParagraphFont"/>
    <w:uiPriority w:val="99"/>
    <w:unhideWhenUsed/>
    <w:rsid w:val="00AC72FA"/>
  </w:style>
  <w:style w:type="table" w:customStyle="1" w:styleId="GridTableLight">
    <w:name w:val="Grid Table Light"/>
    <w:basedOn w:val="TableNormal"/>
    <w:uiPriority w:val="40"/>
    <w:rsid w:val="00AC72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AC72FA"/>
    <w:pPr>
      <w:spacing w:before="60" w:after="60" w:line="200" w:lineRule="atLeast"/>
    </w:pPr>
    <w:rPr>
      <w:sz w:val="16"/>
    </w:rPr>
    <w:tblPr>
      <w:tblStyleRowBandSize w:val="1"/>
      <w:tblStyleColBandSize w:val="1"/>
      <w:tblBorders>
        <w:top w:val="single" w:sz="4" w:space="0" w:color="000000" w:themeColor="text2"/>
        <w:bottom w:val="single" w:sz="4" w:space="0" w:color="000000" w:themeColor="text2"/>
        <w:insideH w:val="single" w:sz="4" w:space="0" w:color="000000" w:themeColor="text2"/>
      </w:tblBorders>
      <w:tblCellMar>
        <w:left w:w="85" w:type="dxa"/>
        <w:right w:w="85" w:type="dxa"/>
      </w:tblCellMar>
    </w:tblPr>
    <w:trPr>
      <w:cantSplit/>
    </w:trPr>
    <w:tblStylePr w:type="firstRow">
      <w:rPr>
        <w:b/>
      </w:rPr>
      <w:tblPr/>
      <w:trPr>
        <w:tblHeader/>
      </w:trPr>
      <w:tcPr>
        <w:shd w:val="clear" w:color="auto" w:fill="000000" w:themeFill="text2"/>
      </w:tcPr>
    </w:tblStylePr>
    <w:tblStylePr w:type="lastRow">
      <w:tblPr/>
      <w:tcPr>
        <w:shd w:val="clear" w:color="auto" w:fill="000000" w:themeFill="text2"/>
      </w:tcPr>
    </w:tblStylePr>
    <w:tblStylePr w:type="firstCol">
      <w:tblPr/>
      <w:tcPr>
        <w:tcBorders>
          <w:insideH w:val="single" w:sz="4" w:space="0" w:color="FFFFFF" w:themeColor="background1"/>
        </w:tcBorders>
        <w:shd w:val="clear" w:color="auto" w:fill="000000" w:themeFill="text2"/>
      </w:tcPr>
    </w:tblStylePr>
    <w:tblStylePr w:type="lastCol">
      <w:tblPr/>
      <w:tcPr>
        <w:shd w:val="clear" w:color="auto" w:fill="BFBFBF" w:themeFill="background1" w:themeFillShade="BF"/>
      </w:tcPr>
    </w:tblStylePr>
    <w:tblStylePr w:type="band1Vert">
      <w:tblPr/>
      <w:tcPr>
        <w:shd w:val="clear" w:color="auto" w:fill="F8F8F8" w:themeFill="background2"/>
      </w:tcPr>
    </w:tblStylePr>
    <w:tblStylePr w:type="band2Vert">
      <w:tblPr/>
      <w:tcPr>
        <w:shd w:val="clear" w:color="auto" w:fill="FFFFFF" w:themeFill="background1"/>
      </w:tcPr>
    </w:tblStylePr>
    <w:tblStylePr w:type="band1Horz">
      <w:tblPr/>
      <w:tcPr>
        <w:shd w:val="clear" w:color="auto" w:fill="F8F8F8"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AC72FA"/>
    <w:pPr>
      <w:suppressAutoHyphens/>
      <w:spacing w:before="60" w:after="60"/>
    </w:pPr>
    <w:rPr>
      <w:rFonts w:asciiTheme="minorHAnsi" w:eastAsiaTheme="minorHAnsi" w:hAnsiTheme="minorHAnsi" w:cstheme="minorBidi"/>
      <w:spacing w:val="0"/>
      <w:sz w:val="18"/>
      <w:szCs w:val="22"/>
      <w:lang w:eastAsia="en-US"/>
    </w:rPr>
  </w:style>
  <w:style w:type="paragraph" w:customStyle="1" w:styleId="TableSourceNotes">
    <w:name w:val="Table Source Notes"/>
    <w:basedOn w:val="TableText"/>
    <w:qFormat/>
    <w:rsid w:val="00AC72F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C72FA"/>
    <w:pPr>
      <w:suppressAutoHyphens/>
      <w:spacing w:before="0" w:after="0" w:line="200" w:lineRule="atLeast"/>
      <w:ind w:left="284" w:hanging="284"/>
    </w:pPr>
    <w:rPr>
      <w:rFonts w:asciiTheme="minorHAnsi" w:eastAsiaTheme="minorHAnsi" w:hAnsiTheme="minorHAnsi" w:cstheme="minorBidi"/>
      <w:spacing w:val="0"/>
      <w:sz w:val="16"/>
      <w:szCs w:val="20"/>
      <w:lang w:eastAsia="en-US"/>
    </w:rPr>
  </w:style>
  <w:style w:type="character" w:customStyle="1" w:styleId="FootnoteTextChar">
    <w:name w:val="Footnote Text Char"/>
    <w:basedOn w:val="DefaultParagraphFont"/>
    <w:link w:val="FootnoteText"/>
    <w:uiPriority w:val="99"/>
    <w:semiHidden/>
    <w:rsid w:val="00AC72FA"/>
    <w:rPr>
      <w:sz w:val="16"/>
      <w:szCs w:val="20"/>
    </w:rPr>
  </w:style>
  <w:style w:type="character" w:styleId="FootnoteReference">
    <w:name w:val="footnote reference"/>
    <w:basedOn w:val="DefaultParagraphFont"/>
    <w:unhideWhenUsed/>
    <w:rsid w:val="00AC72FA"/>
    <w:rPr>
      <w:vertAlign w:val="superscript"/>
    </w:rPr>
  </w:style>
  <w:style w:type="paragraph" w:customStyle="1" w:styleId="FootnoteSeparator">
    <w:name w:val="Footnote Separator"/>
    <w:basedOn w:val="Normal"/>
    <w:qFormat/>
    <w:rsid w:val="00AC72FA"/>
    <w:pPr>
      <w:pBdr>
        <w:top w:val="single" w:sz="2" w:space="1" w:color="auto"/>
      </w:pBdr>
      <w:suppressAutoHyphens/>
      <w:spacing w:before="0" w:after="0" w:line="240" w:lineRule="auto"/>
    </w:pPr>
    <w:rPr>
      <w:rFonts w:asciiTheme="minorHAnsi" w:eastAsiaTheme="minorHAnsi" w:hAnsiTheme="minorHAnsi" w:cstheme="minorBidi"/>
      <w:spacing w:val="0"/>
      <w:sz w:val="22"/>
      <w:szCs w:val="22"/>
      <w:lang w:eastAsia="en-US"/>
    </w:rPr>
  </w:style>
  <w:style w:type="character" w:styleId="PlaceholderText">
    <w:name w:val="Placeholder Text"/>
    <w:basedOn w:val="DefaultParagraphFont"/>
    <w:uiPriority w:val="99"/>
    <w:semiHidden/>
    <w:rsid w:val="00AC72FA"/>
    <w:rPr>
      <w:color w:val="808080"/>
    </w:rPr>
  </w:style>
  <w:style w:type="character" w:customStyle="1" w:styleId="Classification">
    <w:name w:val="Classification"/>
    <w:basedOn w:val="DefaultParagraphFont"/>
    <w:uiPriority w:val="1"/>
    <w:qFormat/>
    <w:rsid w:val="00AC72FA"/>
    <w:rPr>
      <w:b/>
      <w:caps/>
      <w:smallCaps w:val="0"/>
      <w:sz w:val="24"/>
    </w:rPr>
  </w:style>
  <w:style w:type="paragraph" w:customStyle="1" w:styleId="inputcomment">
    <w:name w:val="input comment"/>
    <w:basedOn w:val="Normal"/>
    <w:qFormat/>
    <w:rsid w:val="00AC72FA"/>
    <w:pPr>
      <w:suppressAutoHyphens/>
      <w:spacing w:before="180" w:after="60" w:line="240" w:lineRule="auto"/>
    </w:pPr>
    <w:rPr>
      <w:rFonts w:asciiTheme="minorHAnsi" w:eastAsiaTheme="minorHAnsi" w:hAnsiTheme="minorHAnsi" w:cstheme="minorBidi"/>
      <w:b/>
      <w:color w:val="65CAC8" w:themeColor="accent3" w:themeShade="BF"/>
      <w:spacing w:val="0"/>
      <w:sz w:val="22"/>
      <w:szCs w:val="22"/>
      <w:lang w:eastAsia="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AC72FA"/>
    <w:rPr>
      <w:rFonts w:ascii="Arial" w:eastAsia="Times New Roman" w:hAnsi="Arial" w:cs="Times New Roman"/>
      <w:spacing w:val="4"/>
      <w:sz w:val="24"/>
      <w:szCs w:val="24"/>
      <w:lang w:eastAsia="en-AU"/>
    </w:rPr>
  </w:style>
  <w:style w:type="paragraph" w:customStyle="1" w:styleId="BodyText1">
    <w:name w:val="Body Text1"/>
    <w:basedOn w:val="Normal"/>
    <w:qFormat/>
    <w:rsid w:val="00AC72FA"/>
    <w:pPr>
      <w:spacing w:before="0" w:after="120" w:line="240" w:lineRule="auto"/>
    </w:pPr>
    <w:rPr>
      <w:rFonts w:ascii="Cambria" w:hAnsi="Cambria"/>
      <w:spacing w:val="0"/>
      <w:sz w:val="22"/>
      <w:lang w:eastAsia="en-US"/>
    </w:rPr>
  </w:style>
  <w:style w:type="paragraph" w:customStyle="1" w:styleId="highlightedtext">
    <w:name w:val="highlighted text"/>
    <w:basedOn w:val="Normal"/>
    <w:link w:val="highlightedtextChar"/>
    <w:qFormat/>
    <w:rsid w:val="00AC72FA"/>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349694" w:themeColor="accent3" w:themeShade="80"/>
      <w:spacing w:val="0"/>
      <w:sz w:val="22"/>
      <w:szCs w:val="22"/>
      <w:lang w:eastAsia="en-US"/>
    </w:rPr>
  </w:style>
  <w:style w:type="character" w:customStyle="1" w:styleId="highlightedtextChar">
    <w:name w:val="highlighted text Char"/>
    <w:basedOn w:val="DefaultParagraphFont"/>
    <w:link w:val="highlightedtext"/>
    <w:rsid w:val="00AC72FA"/>
    <w:rPr>
      <w:b/>
      <w:color w:val="349694" w:themeColor="accent3" w:themeShade="80"/>
    </w:rPr>
  </w:style>
  <w:style w:type="paragraph" w:customStyle="1" w:styleId="FCHeader">
    <w:name w:val="FC_Header"/>
    <w:basedOn w:val="Heading8"/>
    <w:uiPriority w:val="99"/>
    <w:rsid w:val="00AC72FA"/>
    <w:pPr>
      <w:keepNext/>
      <w:numPr>
        <w:ilvl w:val="7"/>
      </w:numPr>
      <w:tabs>
        <w:tab w:val="num" w:pos="1440"/>
      </w:tabs>
      <w:spacing w:before="240" w:after="360" w:line="240" w:lineRule="auto"/>
      <w:ind w:left="1440" w:hanging="432"/>
    </w:pPr>
    <w:rPr>
      <w:rFonts w:eastAsia="Times New Roman" w:cs="Times New Roman"/>
      <w:b/>
      <w:bCs/>
      <w:spacing w:val="-5"/>
      <w:sz w:val="36"/>
      <w:lang w:val="en-US" w:eastAsia="en-US"/>
    </w:rPr>
  </w:style>
  <w:style w:type="paragraph" w:styleId="CommentText">
    <w:name w:val="annotation text"/>
    <w:basedOn w:val="Normal"/>
    <w:link w:val="CommentTextChar"/>
    <w:uiPriority w:val="99"/>
    <w:rsid w:val="00AC72FA"/>
    <w:pPr>
      <w:spacing w:before="0" w:after="200" w:line="240" w:lineRule="auto"/>
    </w:pPr>
    <w:rPr>
      <w:rFonts w:ascii="Calibri" w:hAnsi="Calibri"/>
      <w:spacing w:val="0"/>
      <w:sz w:val="20"/>
      <w:szCs w:val="20"/>
      <w:lang w:eastAsia="en-US"/>
    </w:rPr>
  </w:style>
  <w:style w:type="character" w:customStyle="1" w:styleId="CommentTextChar">
    <w:name w:val="Comment Text Char"/>
    <w:basedOn w:val="DefaultParagraphFont"/>
    <w:link w:val="CommentText"/>
    <w:uiPriority w:val="99"/>
    <w:rsid w:val="00AC72FA"/>
    <w:rPr>
      <w:rFonts w:ascii="Calibri" w:eastAsia="Times New Roman" w:hAnsi="Calibri" w:cs="Times New Roman"/>
      <w:sz w:val="20"/>
      <w:szCs w:val="20"/>
    </w:rPr>
  </w:style>
  <w:style w:type="paragraph" w:customStyle="1" w:styleId="notetext">
    <w:name w:val="notetext"/>
    <w:basedOn w:val="Normal"/>
    <w:uiPriority w:val="99"/>
    <w:rsid w:val="00AC72FA"/>
    <w:pPr>
      <w:spacing w:before="122" w:after="0" w:line="198" w:lineRule="atLeast"/>
      <w:ind w:left="1985" w:hanging="851"/>
    </w:pPr>
    <w:rPr>
      <w:rFonts w:ascii="Times New Roman" w:hAnsi="Times New Roman"/>
      <w:spacing w:val="0"/>
      <w:sz w:val="18"/>
      <w:szCs w:val="18"/>
    </w:rPr>
  </w:style>
  <w:style w:type="paragraph" w:customStyle="1" w:styleId="subsection">
    <w:name w:val="subsection"/>
    <w:aliases w:val="ss"/>
    <w:basedOn w:val="Normal"/>
    <w:uiPriority w:val="99"/>
    <w:rsid w:val="00AC72FA"/>
    <w:pPr>
      <w:spacing w:before="180" w:after="0" w:line="240" w:lineRule="auto"/>
      <w:ind w:left="1134" w:hanging="1134"/>
    </w:pPr>
    <w:rPr>
      <w:rFonts w:ascii="Times New Roman" w:hAnsi="Times New Roman"/>
      <w:spacing w:val="0"/>
      <w:sz w:val="22"/>
      <w:szCs w:val="22"/>
    </w:rPr>
  </w:style>
  <w:style w:type="paragraph" w:customStyle="1" w:styleId="definition">
    <w:name w:val="definition"/>
    <w:basedOn w:val="Normal"/>
    <w:uiPriority w:val="99"/>
    <w:rsid w:val="00AC72FA"/>
    <w:pPr>
      <w:spacing w:before="180" w:after="0" w:line="240" w:lineRule="auto"/>
      <w:ind w:left="1134"/>
    </w:pPr>
    <w:rPr>
      <w:rFonts w:ascii="Times New Roman" w:hAnsi="Times New Roman"/>
      <w:spacing w:val="0"/>
      <w:sz w:val="22"/>
      <w:szCs w:val="22"/>
    </w:rPr>
  </w:style>
  <w:style w:type="paragraph" w:customStyle="1" w:styleId="FCList">
    <w:name w:val="FC_List"/>
    <w:basedOn w:val="Header"/>
    <w:uiPriority w:val="99"/>
    <w:rsid w:val="00AC72FA"/>
    <w:pPr>
      <w:pBdr>
        <w:bottom w:val="none" w:sz="0" w:space="0" w:color="auto"/>
      </w:pBdr>
      <w:tabs>
        <w:tab w:val="clear" w:pos="4513"/>
        <w:tab w:val="clear" w:pos="9026"/>
      </w:tabs>
      <w:spacing w:before="60" w:after="60"/>
    </w:pPr>
    <w:rPr>
      <w:rFonts w:ascii="Times New Roman" w:hAnsi="Times New Roman"/>
      <w:color w:val="auto"/>
      <w:spacing w:val="0"/>
      <w:lang w:eastAsia="en-US"/>
    </w:rPr>
  </w:style>
  <w:style w:type="paragraph" w:customStyle="1" w:styleId="FCTitle">
    <w:name w:val="FC_Title"/>
    <w:basedOn w:val="Normal"/>
    <w:uiPriority w:val="99"/>
    <w:rsid w:val="00AC72FA"/>
    <w:pPr>
      <w:spacing w:before="240" w:after="360" w:line="240" w:lineRule="auto"/>
    </w:pPr>
    <w:rPr>
      <w:rFonts w:cs="Arial"/>
      <w:b/>
      <w:bCs/>
      <w:spacing w:val="0"/>
      <w:sz w:val="32"/>
      <w:lang w:eastAsia="en-US"/>
    </w:rPr>
  </w:style>
  <w:style w:type="paragraph" w:styleId="BodyTextIndent2">
    <w:name w:val="Body Text Indent 2"/>
    <w:basedOn w:val="Normal"/>
    <w:link w:val="BodyTextIndent2Char"/>
    <w:uiPriority w:val="99"/>
    <w:rsid w:val="00AC72FA"/>
    <w:pPr>
      <w:spacing w:before="0" w:after="120" w:line="480" w:lineRule="auto"/>
      <w:ind w:left="283"/>
    </w:pPr>
    <w:rPr>
      <w:rFonts w:ascii="Times New Roman" w:hAnsi="Times New Roman"/>
      <w:spacing w:val="0"/>
    </w:rPr>
  </w:style>
  <w:style w:type="character" w:customStyle="1" w:styleId="BodyTextIndent2Char">
    <w:name w:val="Body Text Indent 2 Char"/>
    <w:basedOn w:val="DefaultParagraphFont"/>
    <w:link w:val="BodyTextIndent2"/>
    <w:uiPriority w:val="99"/>
    <w:rsid w:val="00AC72FA"/>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AC72FA"/>
    <w:rPr>
      <w:rFonts w:cs="Times New Roman"/>
      <w:color w:val="800080"/>
      <w:u w:val="single"/>
    </w:rPr>
  </w:style>
  <w:style w:type="character" w:styleId="CommentReference">
    <w:name w:val="annotation reference"/>
    <w:basedOn w:val="DefaultParagraphFont"/>
    <w:uiPriority w:val="99"/>
    <w:rsid w:val="00AC72FA"/>
    <w:rPr>
      <w:rFonts w:cs="Times New Roman"/>
      <w:sz w:val="16"/>
      <w:szCs w:val="16"/>
    </w:rPr>
  </w:style>
  <w:style w:type="paragraph" w:styleId="CommentSubject">
    <w:name w:val="annotation subject"/>
    <w:basedOn w:val="CommentText"/>
    <w:next w:val="CommentText"/>
    <w:link w:val="CommentSubjectChar"/>
    <w:uiPriority w:val="99"/>
    <w:semiHidden/>
    <w:rsid w:val="00AC72FA"/>
    <w:rPr>
      <w:b/>
      <w:bCs/>
    </w:rPr>
  </w:style>
  <w:style w:type="character" w:customStyle="1" w:styleId="CommentSubjectChar">
    <w:name w:val="Comment Subject Char"/>
    <w:basedOn w:val="CommentTextChar"/>
    <w:link w:val="CommentSubject"/>
    <w:uiPriority w:val="99"/>
    <w:semiHidden/>
    <w:rsid w:val="00AC72FA"/>
    <w:rPr>
      <w:rFonts w:ascii="Calibri" w:eastAsia="Times New Roman" w:hAnsi="Calibri" w:cs="Times New Roman"/>
      <w:b/>
      <w:bCs/>
      <w:sz w:val="20"/>
      <w:szCs w:val="20"/>
    </w:rPr>
  </w:style>
  <w:style w:type="paragraph" w:styleId="Revision">
    <w:name w:val="Revision"/>
    <w:hidden/>
    <w:uiPriority w:val="99"/>
    <w:semiHidden/>
    <w:rsid w:val="00AC72FA"/>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AC72FA"/>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eastAsia="en-US"/>
    </w:rPr>
  </w:style>
  <w:style w:type="character" w:customStyle="1" w:styleId="WordImportedListStyle2StylesforWordRTFImportedLists">
    <w:name w:val="Word Imported List Style2 (Styles for Word/RTF Imported Lists)"/>
    <w:uiPriority w:val="99"/>
    <w:rsid w:val="00AC72FA"/>
    <w:rPr>
      <w:rFonts w:ascii="Symbol" w:hAnsi="Symbol"/>
      <w:w w:val="100"/>
    </w:rPr>
  </w:style>
  <w:style w:type="paragraph" w:customStyle="1" w:styleId="Guidelinesbodytext">
    <w:name w:val="Guidelines body text"/>
    <w:basedOn w:val="NoSpacing"/>
    <w:qFormat/>
    <w:rsid w:val="00AC72FA"/>
    <w:pPr>
      <w:spacing w:before="0"/>
    </w:pPr>
    <w:rPr>
      <w:rFonts w:ascii="Calibri" w:hAnsi="Calibri"/>
      <w:color w:val="000000"/>
      <w:spacing w:val="0"/>
      <w:sz w:val="22"/>
      <w:szCs w:val="20"/>
      <w:lang w:val="en-US" w:eastAsia="en-US" w:bidi="en-US"/>
    </w:rPr>
  </w:style>
  <w:style w:type="paragraph" w:customStyle="1" w:styleId="GuidelinesInstructions">
    <w:name w:val="Guidelines Instructions"/>
    <w:basedOn w:val="NoSpacing"/>
    <w:autoRedefine/>
    <w:qFormat/>
    <w:rsid w:val="00AC72FA"/>
    <w:pPr>
      <w:spacing w:before="0"/>
    </w:pPr>
    <w:rPr>
      <w:rFonts w:ascii="Calibri" w:hAnsi="Calibri"/>
      <w:i/>
      <w:color w:val="FF0000"/>
      <w:spacing w:val="0"/>
      <w:sz w:val="20"/>
      <w:szCs w:val="20"/>
      <w:lang w:val="en-US" w:eastAsia="en-US" w:bidi="en-US"/>
    </w:rPr>
  </w:style>
  <w:style w:type="paragraph" w:customStyle="1" w:styleId="Default">
    <w:name w:val="Default"/>
    <w:rsid w:val="00AC72FA"/>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AC72FA"/>
    <w:pPr>
      <w:numPr>
        <w:numId w:val="8"/>
      </w:numPr>
    </w:pPr>
  </w:style>
  <w:style w:type="paragraph" w:customStyle="1" w:styleId="Bullet">
    <w:name w:val="Bullet"/>
    <w:aliases w:val="b"/>
    <w:basedOn w:val="Normal"/>
    <w:qFormat/>
    <w:rsid w:val="00AC72FA"/>
    <w:pPr>
      <w:tabs>
        <w:tab w:val="num" w:pos="284"/>
      </w:tabs>
      <w:spacing w:before="240" w:after="120" w:line="240" w:lineRule="auto"/>
      <w:ind w:left="284" w:hanging="284"/>
      <w:jc w:val="both"/>
    </w:pPr>
    <w:rPr>
      <w:rFonts w:eastAsia="Calibri" w:cs="Arial"/>
      <w:spacing w:val="0"/>
      <w:sz w:val="22"/>
      <w:szCs w:val="22"/>
      <w:lang w:eastAsia="en-US"/>
    </w:rPr>
  </w:style>
  <w:style w:type="paragraph" w:customStyle="1" w:styleId="GuidelinesSubheading">
    <w:name w:val="Guidelines Subheading"/>
    <w:basedOn w:val="NoSpacing"/>
    <w:autoRedefine/>
    <w:qFormat/>
    <w:rsid w:val="00AC72FA"/>
    <w:pPr>
      <w:pBdr>
        <w:bottom w:val="single" w:sz="8" w:space="1" w:color="000000"/>
      </w:pBdr>
      <w:spacing w:before="107"/>
      <w:ind w:right="-74"/>
      <w:textboxTightWrap w:val="allLines"/>
      <w:outlineLvl w:val="1"/>
    </w:pPr>
    <w:rPr>
      <w:rFonts w:cs="Arial"/>
      <w:b/>
      <w:color w:val="000000"/>
      <w:spacing w:val="0"/>
      <w:sz w:val="22"/>
      <w:u w:color="000000"/>
      <w:lang w:val="en-US" w:eastAsia="en-US" w:bidi="en-US"/>
    </w:rPr>
  </w:style>
  <w:style w:type="paragraph" w:customStyle="1" w:styleId="footnote">
    <w:name w:val="footnote"/>
    <w:basedOn w:val="Normal"/>
    <w:uiPriority w:val="99"/>
    <w:rsid w:val="00AC72FA"/>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eastAsia="en-US"/>
    </w:rPr>
  </w:style>
  <w:style w:type="character" w:customStyle="1" w:styleId="apple-converted-space">
    <w:name w:val="apple-converted-space"/>
    <w:basedOn w:val="DefaultParagraphFont"/>
    <w:rsid w:val="00AC72FA"/>
  </w:style>
  <w:style w:type="paragraph" w:customStyle="1" w:styleId="Heading2flowchart">
    <w:name w:val="Heading 2 flowchart"/>
    <w:basedOn w:val="Normal"/>
    <w:qFormat/>
    <w:rsid w:val="00AC72FA"/>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cstheme="minorHAnsi"/>
      <w:b/>
      <w:bCs/>
      <w:spacing w:val="0"/>
      <w:sz w:val="20"/>
      <w:szCs w:val="32"/>
      <w:lang w:eastAsia="en-US"/>
    </w:rPr>
  </w:style>
  <w:style w:type="numbering" w:customStyle="1" w:styleId="Headings">
    <w:name w:val="Headings"/>
    <w:uiPriority w:val="99"/>
    <w:rsid w:val="00AC72FA"/>
    <w:pPr>
      <w:numPr>
        <w:numId w:val="11"/>
      </w:numPr>
    </w:pPr>
  </w:style>
  <w:style w:type="paragraph" w:customStyle="1" w:styleId="Tabletext0">
    <w:name w:val="Tabletext"/>
    <w:aliases w:val="tt"/>
    <w:basedOn w:val="Normal"/>
    <w:uiPriority w:val="99"/>
    <w:rsid w:val="00AC72FA"/>
    <w:pPr>
      <w:spacing w:before="60" w:after="0" w:line="240" w:lineRule="atLeast"/>
    </w:pPr>
    <w:rPr>
      <w:rFonts w:ascii="Times New Roman" w:eastAsiaTheme="minorHAnsi" w:hAnsi="Times New Roman"/>
      <w:spacing w:val="0"/>
      <w:sz w:val="20"/>
      <w:szCs w:val="20"/>
    </w:rPr>
  </w:style>
  <w:style w:type="paragraph" w:customStyle="1" w:styleId="Chrissie1">
    <w:name w:val="Chrissie1"/>
    <w:basedOn w:val="ListParagraph"/>
    <w:link w:val="Chrissie1Char"/>
    <w:qFormat/>
    <w:rsid w:val="00AC72FA"/>
    <w:pPr>
      <w:numPr>
        <w:numId w:val="12"/>
      </w:numPr>
      <w:spacing w:before="0" w:after="0" w:line="240" w:lineRule="auto"/>
      <w:ind w:left="567" w:hanging="357"/>
    </w:pPr>
    <w:rPr>
      <w:rFonts w:eastAsia="Calibri" w:cs="Arial"/>
      <w:sz w:val="20"/>
    </w:rPr>
  </w:style>
  <w:style w:type="character" w:customStyle="1" w:styleId="Chrissie1Char">
    <w:name w:val="Chrissie1 Char"/>
    <w:basedOn w:val="ListParagraphChar"/>
    <w:link w:val="Chrissie1"/>
    <w:rsid w:val="00AC72FA"/>
    <w:rPr>
      <w:rFonts w:ascii="Arial" w:eastAsia="Calibri" w:hAnsi="Arial" w:cs="Arial"/>
      <w:spacing w:val="4"/>
      <w:sz w:val="20"/>
      <w:szCs w:val="24"/>
      <w:lang w:eastAsia="en-AU"/>
    </w:rPr>
  </w:style>
  <w:style w:type="paragraph" w:styleId="ListNumber">
    <w:name w:val="List Number"/>
    <w:basedOn w:val="Normal"/>
    <w:rsid w:val="00AC72FA"/>
    <w:pPr>
      <w:numPr>
        <w:numId w:val="13"/>
      </w:numPr>
      <w:spacing w:before="40" w:after="120"/>
    </w:pPr>
    <w:rPr>
      <w:iCs/>
      <w:spacing w:val="0"/>
      <w:sz w:val="20"/>
      <w:lang w:eastAsia="en-US"/>
    </w:rPr>
  </w:style>
  <w:style w:type="paragraph" w:customStyle="1" w:styleId="Bullets1stindent">
    <w:name w:val="Bullets (1st indent)"/>
    <w:basedOn w:val="BodyText1"/>
    <w:rsid w:val="00AC72FA"/>
    <w:pPr>
      <w:numPr>
        <w:numId w:val="15"/>
      </w:numPr>
    </w:pPr>
  </w:style>
  <w:style w:type="paragraph" w:customStyle="1" w:styleId="Bullets2ndindent">
    <w:name w:val="Bullets (2nd indent)"/>
    <w:basedOn w:val="BodyText1"/>
    <w:rsid w:val="00AC72FA"/>
    <w:pPr>
      <w:numPr>
        <w:ilvl w:val="1"/>
        <w:numId w:val="15"/>
      </w:numPr>
    </w:pPr>
  </w:style>
  <w:style w:type="numbering" w:customStyle="1" w:styleId="Bullets">
    <w:name w:val="Bullets"/>
    <w:basedOn w:val="NoList"/>
    <w:uiPriority w:val="99"/>
    <w:rsid w:val="00AC72FA"/>
    <w:pPr>
      <w:numPr>
        <w:numId w:val="15"/>
      </w:numPr>
    </w:pPr>
  </w:style>
  <w:style w:type="paragraph" w:customStyle="1" w:styleId="Figuretitle">
    <w:name w:val="Figure title"/>
    <w:basedOn w:val="Heading2"/>
    <w:next w:val="BodyText1"/>
    <w:rsid w:val="00AC72FA"/>
    <w:pPr>
      <w:numPr>
        <w:ilvl w:val="6"/>
        <w:numId w:val="14"/>
      </w:numPr>
      <w:spacing w:before="0"/>
    </w:pPr>
    <w:rPr>
      <w:rFonts w:ascii="Arial" w:eastAsia="Times New Roman" w:hAnsi="Arial" w:cs="Times New Roman"/>
      <w:b/>
      <w:bCs w:val="0"/>
      <w:color w:val="auto"/>
      <w:spacing w:val="-6"/>
      <w:sz w:val="26"/>
      <w:szCs w:val="24"/>
      <w:lang w:eastAsia="en-US"/>
    </w:rPr>
  </w:style>
  <w:style w:type="paragraph" w:customStyle="1" w:styleId="Bulletslast1stindent">
    <w:name w:val="Bullets last (1st indent)"/>
    <w:basedOn w:val="BodyText1"/>
    <w:rsid w:val="00AC72FA"/>
    <w:pPr>
      <w:numPr>
        <w:ilvl w:val="2"/>
        <w:numId w:val="15"/>
      </w:numPr>
    </w:pPr>
  </w:style>
  <w:style w:type="numbering" w:customStyle="1" w:styleId="Numbers">
    <w:name w:val="Numbers"/>
    <w:basedOn w:val="NoList"/>
    <w:rsid w:val="00AC72FA"/>
    <w:pPr>
      <w:numPr>
        <w:numId w:val="17"/>
      </w:numPr>
    </w:pPr>
  </w:style>
  <w:style w:type="paragraph" w:customStyle="1" w:styleId="Bulletslast2ndindent">
    <w:name w:val="Bullets last (2nd indent)"/>
    <w:basedOn w:val="BodyText1"/>
    <w:rsid w:val="00AC72FA"/>
    <w:pPr>
      <w:numPr>
        <w:ilvl w:val="3"/>
        <w:numId w:val="15"/>
      </w:numPr>
      <w:spacing w:after="57"/>
    </w:pPr>
  </w:style>
  <w:style w:type="paragraph" w:customStyle="1" w:styleId="Tablebodytext">
    <w:name w:val="Table body text"/>
    <w:qFormat/>
    <w:rsid w:val="00AC72FA"/>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AC72FA"/>
    <w:pPr>
      <w:numPr>
        <w:ilvl w:val="6"/>
        <w:numId w:val="15"/>
      </w:numPr>
    </w:pPr>
  </w:style>
  <w:style w:type="paragraph" w:customStyle="1" w:styleId="Tablebullets1stindent">
    <w:name w:val="Table bullets (1st indent)"/>
    <w:basedOn w:val="Tablebodytext"/>
    <w:qFormat/>
    <w:rsid w:val="00AC72FA"/>
    <w:pPr>
      <w:numPr>
        <w:ilvl w:val="5"/>
        <w:numId w:val="15"/>
      </w:numPr>
    </w:pPr>
  </w:style>
  <w:style w:type="paragraph" w:customStyle="1" w:styleId="Tablecolumnheading">
    <w:name w:val="Table column heading"/>
    <w:basedOn w:val="Tablebodytext"/>
    <w:qFormat/>
    <w:rsid w:val="00AC72FA"/>
    <w:pPr>
      <w:keepNext/>
    </w:pPr>
    <w:rPr>
      <w:b/>
    </w:rPr>
  </w:style>
  <w:style w:type="paragraph" w:customStyle="1" w:styleId="Tabletitle">
    <w:name w:val="Table title"/>
    <w:basedOn w:val="Heading2"/>
    <w:next w:val="BodyText1"/>
    <w:rsid w:val="00AC72FA"/>
    <w:pPr>
      <w:numPr>
        <w:ilvl w:val="8"/>
        <w:numId w:val="14"/>
      </w:numPr>
      <w:spacing w:before="0"/>
    </w:pPr>
    <w:rPr>
      <w:rFonts w:ascii="Arial" w:eastAsia="Times New Roman" w:hAnsi="Arial" w:cs="Times New Roman"/>
      <w:b/>
      <w:bCs w:val="0"/>
      <w:color w:val="auto"/>
      <w:spacing w:val="-6"/>
      <w:sz w:val="26"/>
      <w:szCs w:val="24"/>
      <w:lang w:eastAsia="en-US"/>
    </w:rPr>
  </w:style>
  <w:style w:type="paragraph" w:customStyle="1" w:styleId="Notetitle">
    <w:name w:val="Note title"/>
    <w:basedOn w:val="Heading2"/>
    <w:rsid w:val="00AC72FA"/>
    <w:pPr>
      <w:numPr>
        <w:ilvl w:val="7"/>
        <w:numId w:val="14"/>
      </w:numPr>
      <w:spacing w:before="0"/>
    </w:pPr>
    <w:rPr>
      <w:rFonts w:ascii="Arial" w:eastAsia="Times New Roman" w:hAnsi="Arial" w:cs="Times New Roman"/>
      <w:b/>
      <w:bCs w:val="0"/>
      <w:color w:val="auto"/>
      <w:spacing w:val="-6"/>
      <w:sz w:val="26"/>
      <w:lang w:eastAsia="en-US"/>
    </w:rPr>
  </w:style>
  <w:style w:type="paragraph" w:customStyle="1" w:styleId="Numberedpara1stindent">
    <w:name w:val="Numbered para (1st indent)"/>
    <w:basedOn w:val="BodyText1"/>
    <w:rsid w:val="00AC72FA"/>
    <w:pPr>
      <w:numPr>
        <w:ilvl w:val="3"/>
        <w:numId w:val="14"/>
      </w:numPr>
    </w:pPr>
  </w:style>
  <w:style w:type="paragraph" w:customStyle="1" w:styleId="Numberedpara2ndindent">
    <w:name w:val="Numbered para (2nd indent)"/>
    <w:basedOn w:val="BodyText1"/>
    <w:rsid w:val="00AC72FA"/>
    <w:pPr>
      <w:numPr>
        <w:ilvl w:val="4"/>
        <w:numId w:val="14"/>
      </w:numPr>
    </w:pPr>
  </w:style>
  <w:style w:type="paragraph" w:customStyle="1" w:styleId="Numberedpara3rdindent">
    <w:name w:val="Numbered para (3rd indent)"/>
    <w:basedOn w:val="BodyText1"/>
    <w:rsid w:val="00AC72FA"/>
    <w:pPr>
      <w:numPr>
        <w:ilvl w:val="5"/>
        <w:numId w:val="14"/>
      </w:numPr>
    </w:pPr>
  </w:style>
  <w:style w:type="paragraph" w:customStyle="1" w:styleId="Sourcenotetext">
    <w:name w:val="Source/note text"/>
    <w:qFormat/>
    <w:rsid w:val="00AC72FA"/>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AC72FA"/>
  </w:style>
  <w:style w:type="paragraph" w:customStyle="1" w:styleId="CABNETParagraphAtt">
    <w:name w:val="CABNET Paragraph Att"/>
    <w:basedOn w:val="Normal"/>
    <w:link w:val="CABNETParagraphAttChar"/>
    <w:rsid w:val="00AC72FA"/>
    <w:pPr>
      <w:spacing w:after="120" w:line="240" w:lineRule="auto"/>
    </w:pPr>
    <w:rPr>
      <w:rFonts w:asciiTheme="minorHAnsi" w:eastAsiaTheme="minorHAnsi" w:hAnsiTheme="minorHAnsi" w:cstheme="minorBidi"/>
      <w:spacing w:val="0"/>
      <w:sz w:val="22"/>
      <w:szCs w:val="22"/>
      <w:lang w:eastAsia="en-US"/>
    </w:rPr>
  </w:style>
  <w:style w:type="paragraph" w:customStyle="1" w:styleId="BodyIndent0">
    <w:name w:val="Body Indent 0"/>
    <w:link w:val="BodyIndent0Char"/>
    <w:rsid w:val="00AC72FA"/>
    <w:pPr>
      <w:suppressAutoHyphens/>
      <w:spacing w:after="160" w:line="264" w:lineRule="auto"/>
    </w:pPr>
    <w:rPr>
      <w:rFonts w:ascii="Calibri" w:eastAsia="Times New Roman" w:hAnsi="Calibri" w:cs="Times New Roman"/>
      <w:sz w:val="20"/>
      <w:szCs w:val="24"/>
      <w:lang w:eastAsia="en-AU"/>
    </w:rPr>
  </w:style>
  <w:style w:type="character" w:customStyle="1" w:styleId="BodyIndent0Char">
    <w:name w:val="Body Indent 0 Char"/>
    <w:link w:val="BodyIndent0"/>
    <w:rsid w:val="00AC72FA"/>
    <w:rPr>
      <w:rFonts w:ascii="Calibri" w:eastAsia="Times New Roman" w:hAnsi="Calibri" w:cs="Times New Roman"/>
      <w:sz w:val="20"/>
      <w:szCs w:val="24"/>
      <w:lang w:eastAsia="en-AU"/>
    </w:rPr>
  </w:style>
  <w:style w:type="character" w:styleId="BookTitle">
    <w:name w:val="Book Title"/>
    <w:uiPriority w:val="33"/>
    <w:qFormat/>
    <w:rsid w:val="00AC72FA"/>
    <w:rPr>
      <w:i/>
      <w:iCs/>
      <w:smallCaps/>
      <w:spacing w:val="5"/>
    </w:rPr>
  </w:style>
  <w:style w:type="character" w:customStyle="1" w:styleId="CharacterItalic">
    <w:name w:val="Character + Italic"/>
    <w:rsid w:val="00AC72FA"/>
    <w:rPr>
      <w:i/>
      <w:lang w:val="en-AU" w:eastAsia="en-AU"/>
    </w:rPr>
  </w:style>
  <w:style w:type="table" w:styleId="MediumShading1-Accent6">
    <w:name w:val="Medium Shading 1 Accent 6"/>
    <w:basedOn w:val="TableNormal"/>
    <w:uiPriority w:val="63"/>
    <w:rsid w:val="00AC72FA"/>
    <w:pPr>
      <w:spacing w:after="0" w:line="240" w:lineRule="auto"/>
    </w:pPr>
    <w:tblPr>
      <w:tblStyleRowBandSize w:val="1"/>
      <w:tblStyleColBandSize w:val="1"/>
      <w:tblBorders>
        <w:top w:val="single" w:sz="8" w:space="0" w:color="C4EAEA" w:themeColor="accent6" w:themeTint="BF"/>
        <w:left w:val="single" w:sz="8" w:space="0" w:color="C4EAEA" w:themeColor="accent6" w:themeTint="BF"/>
        <w:bottom w:val="single" w:sz="8" w:space="0" w:color="C4EAEA" w:themeColor="accent6" w:themeTint="BF"/>
        <w:right w:val="single" w:sz="8" w:space="0" w:color="C4EAEA" w:themeColor="accent6" w:themeTint="BF"/>
        <w:insideH w:val="single" w:sz="8" w:space="0" w:color="C4EAEA" w:themeColor="accent6" w:themeTint="BF"/>
      </w:tblBorders>
    </w:tblPr>
    <w:tblStylePr w:type="firstRow">
      <w:pPr>
        <w:spacing w:before="0" w:after="0" w:line="240" w:lineRule="auto"/>
      </w:pPr>
      <w:rPr>
        <w:b/>
        <w:bCs/>
        <w:color w:val="FFFFFF" w:themeColor="background1"/>
      </w:rPr>
      <w:tblPr/>
      <w:tcPr>
        <w:tcBorders>
          <w:top w:val="single" w:sz="8" w:space="0" w:color="C4EAEA" w:themeColor="accent6" w:themeTint="BF"/>
          <w:left w:val="single" w:sz="8" w:space="0" w:color="C4EAEA" w:themeColor="accent6" w:themeTint="BF"/>
          <w:bottom w:val="single" w:sz="8" w:space="0" w:color="C4EAEA" w:themeColor="accent6" w:themeTint="BF"/>
          <w:right w:val="single" w:sz="8" w:space="0" w:color="C4EAEA" w:themeColor="accent6" w:themeTint="BF"/>
          <w:insideH w:val="nil"/>
          <w:insideV w:val="nil"/>
        </w:tcBorders>
        <w:shd w:val="clear" w:color="auto" w:fill="B1E4E3" w:themeFill="accent6"/>
      </w:tcPr>
    </w:tblStylePr>
    <w:tblStylePr w:type="lastRow">
      <w:pPr>
        <w:spacing w:before="0" w:after="0" w:line="240" w:lineRule="auto"/>
      </w:pPr>
      <w:rPr>
        <w:b/>
        <w:bCs/>
      </w:rPr>
      <w:tblPr/>
      <w:tcPr>
        <w:tcBorders>
          <w:top w:val="double" w:sz="6" w:space="0" w:color="C4EAEA" w:themeColor="accent6" w:themeTint="BF"/>
          <w:left w:val="single" w:sz="8" w:space="0" w:color="C4EAEA" w:themeColor="accent6" w:themeTint="BF"/>
          <w:bottom w:val="single" w:sz="8" w:space="0" w:color="C4EAEA" w:themeColor="accent6" w:themeTint="BF"/>
          <w:right w:val="single" w:sz="8" w:space="0" w:color="C4EAE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8F8" w:themeFill="accent6" w:themeFillTint="3F"/>
      </w:tcPr>
    </w:tblStylePr>
    <w:tblStylePr w:type="band1Horz">
      <w:tblPr/>
      <w:tcPr>
        <w:tcBorders>
          <w:insideH w:val="nil"/>
          <w:insideV w:val="nil"/>
        </w:tcBorders>
        <w:shd w:val="clear" w:color="auto" w:fill="EBF8F8"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C72FA"/>
    <w:pPr>
      <w:spacing w:after="0" w:line="240" w:lineRule="auto"/>
    </w:pPr>
    <w:tblPr>
      <w:tblStyleRowBandSize w:val="1"/>
      <w:tblStyleColBandSize w:val="1"/>
      <w:tblBorders>
        <w:top w:val="single" w:sz="8" w:space="0" w:color="C4EAEA" w:themeColor="accent3" w:themeTint="BF"/>
        <w:left w:val="single" w:sz="8" w:space="0" w:color="C4EAEA" w:themeColor="accent3" w:themeTint="BF"/>
        <w:bottom w:val="single" w:sz="8" w:space="0" w:color="C4EAEA" w:themeColor="accent3" w:themeTint="BF"/>
        <w:right w:val="single" w:sz="8" w:space="0" w:color="C4EAEA" w:themeColor="accent3" w:themeTint="BF"/>
        <w:insideH w:val="single" w:sz="8" w:space="0" w:color="C4EAEA" w:themeColor="accent3" w:themeTint="BF"/>
      </w:tblBorders>
    </w:tblPr>
    <w:tblStylePr w:type="firstRow">
      <w:pPr>
        <w:spacing w:before="0" w:after="0" w:line="240" w:lineRule="auto"/>
      </w:pPr>
      <w:rPr>
        <w:b/>
        <w:bCs/>
        <w:color w:val="FFFFFF" w:themeColor="background1"/>
      </w:rPr>
      <w:tblPr/>
      <w:tcPr>
        <w:tcBorders>
          <w:top w:val="single" w:sz="8" w:space="0" w:color="C4EAEA" w:themeColor="accent3" w:themeTint="BF"/>
          <w:left w:val="single" w:sz="8" w:space="0" w:color="C4EAEA" w:themeColor="accent3" w:themeTint="BF"/>
          <w:bottom w:val="single" w:sz="8" w:space="0" w:color="C4EAEA" w:themeColor="accent3" w:themeTint="BF"/>
          <w:right w:val="single" w:sz="8" w:space="0" w:color="C4EAEA" w:themeColor="accent3" w:themeTint="BF"/>
          <w:insideH w:val="nil"/>
          <w:insideV w:val="nil"/>
        </w:tcBorders>
        <w:shd w:val="clear" w:color="auto" w:fill="B1E4E3" w:themeFill="accent3"/>
      </w:tcPr>
    </w:tblStylePr>
    <w:tblStylePr w:type="lastRow">
      <w:pPr>
        <w:spacing w:before="0" w:after="0" w:line="240" w:lineRule="auto"/>
      </w:pPr>
      <w:rPr>
        <w:b/>
        <w:bCs/>
      </w:rPr>
      <w:tblPr/>
      <w:tcPr>
        <w:tcBorders>
          <w:top w:val="double" w:sz="6" w:space="0" w:color="C4EAEA" w:themeColor="accent3" w:themeTint="BF"/>
          <w:left w:val="single" w:sz="8" w:space="0" w:color="C4EAEA" w:themeColor="accent3" w:themeTint="BF"/>
          <w:bottom w:val="single" w:sz="8" w:space="0" w:color="C4EAEA" w:themeColor="accent3" w:themeTint="BF"/>
          <w:right w:val="single" w:sz="8" w:space="0" w:color="C4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8F8" w:themeFill="accent3" w:themeFillTint="3F"/>
      </w:tcPr>
    </w:tblStylePr>
    <w:tblStylePr w:type="band1Horz">
      <w:tblPr/>
      <w:tcPr>
        <w:tcBorders>
          <w:insideH w:val="nil"/>
          <w:insideV w:val="nil"/>
        </w:tcBorders>
        <w:shd w:val="clear" w:color="auto" w:fill="EBF8F8" w:themeFill="accent3" w:themeFillTint="3F"/>
      </w:tcPr>
    </w:tblStylePr>
    <w:tblStylePr w:type="band2Horz">
      <w:tblPr/>
      <w:tcPr>
        <w:tcBorders>
          <w:insideH w:val="nil"/>
          <w:insideV w:val="nil"/>
        </w:tcBorders>
      </w:tcPr>
    </w:tblStylePr>
  </w:style>
  <w:style w:type="paragraph" w:customStyle="1" w:styleId="TableBody">
    <w:name w:val="Table Body"/>
    <w:basedOn w:val="BodyIndent0"/>
    <w:rsid w:val="00AC72FA"/>
    <w:pPr>
      <w:spacing w:after="60" w:line="240" w:lineRule="auto"/>
    </w:pPr>
    <w:rPr>
      <w:lang w:eastAsia="en-US"/>
    </w:rPr>
  </w:style>
  <w:style w:type="paragraph" w:customStyle="1" w:styleId="TableHeading">
    <w:name w:val="Table Heading"/>
    <w:basedOn w:val="TableBody"/>
    <w:rsid w:val="00AC72FA"/>
    <w:pPr>
      <w:keepLines/>
    </w:pPr>
    <w:rPr>
      <w:b/>
      <w:color w:val="FFFFFF"/>
    </w:rPr>
  </w:style>
  <w:style w:type="table" w:styleId="LightList-Accent6">
    <w:name w:val="Light List Accent 6"/>
    <w:basedOn w:val="TableNormal"/>
    <w:uiPriority w:val="61"/>
    <w:rsid w:val="00AC72FA"/>
    <w:pPr>
      <w:spacing w:after="0" w:line="240" w:lineRule="auto"/>
    </w:pPr>
    <w:tblPr>
      <w:tblStyleRowBandSize w:val="1"/>
      <w:tblStyleColBandSize w:val="1"/>
      <w:tblBorders>
        <w:top w:val="single" w:sz="8" w:space="0" w:color="B1E4E3" w:themeColor="accent6"/>
        <w:left w:val="single" w:sz="8" w:space="0" w:color="B1E4E3" w:themeColor="accent6"/>
        <w:bottom w:val="single" w:sz="8" w:space="0" w:color="B1E4E3" w:themeColor="accent6"/>
        <w:right w:val="single" w:sz="8" w:space="0" w:color="B1E4E3" w:themeColor="accent6"/>
      </w:tblBorders>
    </w:tblPr>
    <w:tblStylePr w:type="firstRow">
      <w:pPr>
        <w:spacing w:before="0" w:after="0" w:line="240" w:lineRule="auto"/>
      </w:pPr>
      <w:rPr>
        <w:b/>
        <w:bCs/>
        <w:color w:val="FFFFFF" w:themeColor="background1"/>
      </w:rPr>
      <w:tblPr/>
      <w:tcPr>
        <w:shd w:val="clear" w:color="auto" w:fill="B1E4E3" w:themeFill="accent6"/>
      </w:tcPr>
    </w:tblStylePr>
    <w:tblStylePr w:type="lastRow">
      <w:pPr>
        <w:spacing w:before="0" w:after="0" w:line="240" w:lineRule="auto"/>
      </w:pPr>
      <w:rPr>
        <w:b/>
        <w:bCs/>
      </w:rPr>
      <w:tblPr/>
      <w:tcPr>
        <w:tcBorders>
          <w:top w:val="double" w:sz="6" w:space="0" w:color="B1E4E3" w:themeColor="accent6"/>
          <w:left w:val="single" w:sz="8" w:space="0" w:color="B1E4E3" w:themeColor="accent6"/>
          <w:bottom w:val="single" w:sz="8" w:space="0" w:color="B1E4E3" w:themeColor="accent6"/>
          <w:right w:val="single" w:sz="8" w:space="0" w:color="B1E4E3" w:themeColor="accent6"/>
        </w:tcBorders>
      </w:tcPr>
    </w:tblStylePr>
    <w:tblStylePr w:type="firstCol">
      <w:rPr>
        <w:b/>
        <w:bCs/>
      </w:rPr>
    </w:tblStylePr>
    <w:tblStylePr w:type="lastCol">
      <w:rPr>
        <w:b/>
        <w:bCs/>
      </w:rPr>
    </w:tblStylePr>
    <w:tblStylePr w:type="band1Vert">
      <w:tblPr/>
      <w:tcPr>
        <w:tcBorders>
          <w:top w:val="single" w:sz="8" w:space="0" w:color="B1E4E3" w:themeColor="accent6"/>
          <w:left w:val="single" w:sz="8" w:space="0" w:color="B1E4E3" w:themeColor="accent6"/>
          <w:bottom w:val="single" w:sz="8" w:space="0" w:color="B1E4E3" w:themeColor="accent6"/>
          <w:right w:val="single" w:sz="8" w:space="0" w:color="B1E4E3" w:themeColor="accent6"/>
        </w:tcBorders>
      </w:tcPr>
    </w:tblStylePr>
    <w:tblStylePr w:type="band1Horz">
      <w:tblPr/>
      <w:tcPr>
        <w:tcBorders>
          <w:top w:val="single" w:sz="8" w:space="0" w:color="B1E4E3" w:themeColor="accent6"/>
          <w:left w:val="single" w:sz="8" w:space="0" w:color="B1E4E3" w:themeColor="accent6"/>
          <w:bottom w:val="single" w:sz="8" w:space="0" w:color="B1E4E3" w:themeColor="accent6"/>
          <w:right w:val="single" w:sz="8" w:space="0" w:color="B1E4E3" w:themeColor="accent6"/>
        </w:tcBorders>
      </w:tcPr>
    </w:tblStylePr>
  </w:style>
  <w:style w:type="table" w:styleId="LightList-Accent3">
    <w:name w:val="Light List Accent 3"/>
    <w:basedOn w:val="TableNormal"/>
    <w:uiPriority w:val="61"/>
    <w:rsid w:val="00AC72FA"/>
    <w:pPr>
      <w:spacing w:after="0" w:line="240" w:lineRule="auto"/>
    </w:pPr>
    <w:tblPr>
      <w:tblStyleRowBandSize w:val="1"/>
      <w:tblStyleColBandSize w:val="1"/>
      <w:tblBorders>
        <w:top w:val="single" w:sz="8" w:space="0" w:color="B1E4E3" w:themeColor="accent3"/>
        <w:left w:val="single" w:sz="8" w:space="0" w:color="B1E4E3" w:themeColor="accent3"/>
        <w:bottom w:val="single" w:sz="8" w:space="0" w:color="B1E4E3" w:themeColor="accent3"/>
        <w:right w:val="single" w:sz="8" w:space="0" w:color="B1E4E3" w:themeColor="accent3"/>
      </w:tblBorders>
    </w:tblPr>
    <w:tblStylePr w:type="firstRow">
      <w:pPr>
        <w:spacing w:before="0" w:after="0" w:line="240" w:lineRule="auto"/>
      </w:pPr>
      <w:rPr>
        <w:b/>
        <w:bCs/>
        <w:color w:val="FFFFFF" w:themeColor="background1"/>
      </w:rPr>
      <w:tblPr/>
      <w:tcPr>
        <w:shd w:val="clear" w:color="auto" w:fill="B1E4E3" w:themeFill="accent3"/>
      </w:tcPr>
    </w:tblStylePr>
    <w:tblStylePr w:type="lastRow">
      <w:pPr>
        <w:spacing w:before="0" w:after="0" w:line="240" w:lineRule="auto"/>
      </w:pPr>
      <w:rPr>
        <w:b/>
        <w:bCs/>
      </w:rPr>
      <w:tblPr/>
      <w:tcPr>
        <w:tcBorders>
          <w:top w:val="double" w:sz="6" w:space="0" w:color="B1E4E3" w:themeColor="accent3"/>
          <w:left w:val="single" w:sz="8" w:space="0" w:color="B1E4E3" w:themeColor="accent3"/>
          <w:bottom w:val="single" w:sz="8" w:space="0" w:color="B1E4E3" w:themeColor="accent3"/>
          <w:right w:val="single" w:sz="8" w:space="0" w:color="B1E4E3" w:themeColor="accent3"/>
        </w:tcBorders>
      </w:tcPr>
    </w:tblStylePr>
    <w:tblStylePr w:type="firstCol">
      <w:rPr>
        <w:b/>
        <w:bCs/>
      </w:rPr>
    </w:tblStylePr>
    <w:tblStylePr w:type="lastCol">
      <w:rPr>
        <w:b/>
        <w:bCs/>
      </w:rPr>
    </w:tblStylePr>
    <w:tblStylePr w:type="band1Vert">
      <w:tblPr/>
      <w:tcPr>
        <w:tcBorders>
          <w:top w:val="single" w:sz="8" w:space="0" w:color="B1E4E3" w:themeColor="accent3"/>
          <w:left w:val="single" w:sz="8" w:space="0" w:color="B1E4E3" w:themeColor="accent3"/>
          <w:bottom w:val="single" w:sz="8" w:space="0" w:color="B1E4E3" w:themeColor="accent3"/>
          <w:right w:val="single" w:sz="8" w:space="0" w:color="B1E4E3" w:themeColor="accent3"/>
        </w:tcBorders>
      </w:tcPr>
    </w:tblStylePr>
    <w:tblStylePr w:type="band1Horz">
      <w:tblPr/>
      <w:tcPr>
        <w:tcBorders>
          <w:top w:val="single" w:sz="8" w:space="0" w:color="B1E4E3" w:themeColor="accent3"/>
          <w:left w:val="single" w:sz="8" w:space="0" w:color="B1E4E3" w:themeColor="accent3"/>
          <w:bottom w:val="single" w:sz="8" w:space="0" w:color="B1E4E3" w:themeColor="accent3"/>
          <w:right w:val="single" w:sz="8" w:space="0" w:color="B1E4E3" w:themeColor="accent3"/>
        </w:tcBorders>
      </w:tcPr>
    </w:tblStylePr>
  </w:style>
  <w:style w:type="paragraph" w:customStyle="1" w:styleId="ListBullet1Indent0">
    <w:name w:val="List Bullet 1 Indent 0"/>
    <w:basedOn w:val="BodyIndent0"/>
    <w:rsid w:val="00AC72FA"/>
    <w:pPr>
      <w:numPr>
        <w:numId w:val="29"/>
      </w:numPr>
      <w:tabs>
        <w:tab w:val="clear" w:pos="397"/>
        <w:tab w:val="num" w:pos="360"/>
      </w:tabs>
      <w:adjustRightInd w:val="0"/>
      <w:ind w:left="0" w:firstLine="0"/>
    </w:pPr>
    <w:rPr>
      <w:rFonts w:cs="Myriad Pro Light"/>
      <w:color w:val="000000"/>
    </w:rPr>
  </w:style>
  <w:style w:type="character" w:customStyle="1" w:styleId="CharacterBold">
    <w:name w:val="Character + Bold"/>
    <w:rsid w:val="00AC72FA"/>
    <w:rPr>
      <w:b/>
      <w:bCs w:val="0"/>
      <w:lang w:val="en-AU" w:eastAsia="en-AU"/>
    </w:rPr>
  </w:style>
  <w:style w:type="paragraph" w:customStyle="1" w:styleId="H4notTOC">
    <w:name w:val="H4 (not TOC)"/>
    <w:basedOn w:val="Normal"/>
    <w:next w:val="BodyIndent0"/>
    <w:link w:val="H4notTOCChar"/>
    <w:rsid w:val="00AC72FA"/>
    <w:pPr>
      <w:keepNext/>
      <w:keepLines/>
      <w:tabs>
        <w:tab w:val="left" w:pos="567"/>
      </w:tabs>
      <w:suppressAutoHyphens/>
      <w:adjustRightInd w:val="0"/>
      <w:spacing w:before="240" w:after="160" w:line="320" w:lineRule="atLeast"/>
      <w:outlineLvl w:val="3"/>
    </w:pPr>
    <w:rPr>
      <w:rFonts w:ascii="Calibri" w:hAnsi="Calibri"/>
      <w:b/>
      <w:color w:val="800000"/>
      <w:spacing w:val="0"/>
      <w:sz w:val="26"/>
      <w:szCs w:val="32"/>
    </w:rPr>
  </w:style>
  <w:style w:type="character" w:customStyle="1" w:styleId="H4notTOCChar">
    <w:name w:val="H4 (not TOC) Char"/>
    <w:link w:val="H4notTOC"/>
    <w:rsid w:val="00AC72FA"/>
    <w:rPr>
      <w:rFonts w:ascii="Calibri" w:eastAsia="Times New Roman" w:hAnsi="Calibri" w:cs="Times New Roman"/>
      <w:b/>
      <w:color w:val="800000"/>
      <w:sz w:val="26"/>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99"/>
    <w:qFormat/>
    <w:rsid w:val="005543A8"/>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aliases w:val="h2"/>
    <w:basedOn w:val="Normal"/>
    <w:next w:val="Normal"/>
    <w:link w:val="Heading2Char"/>
    <w:unhideWhenUsed/>
    <w:qFormat/>
    <w:rsid w:val="0054713E"/>
    <w:pPr>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2B3CC6"/>
    <w:p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43A8"/>
    <w:rPr>
      <w:rFonts w:ascii="Georgia" w:eastAsiaTheme="majorEastAsia" w:hAnsi="Georgia" w:cstheme="majorBidi"/>
      <w:bCs/>
      <w:color w:val="24596E"/>
      <w:sz w:val="36"/>
      <w:szCs w:val="28"/>
      <w:lang w:eastAsia="en-AU"/>
    </w:rPr>
  </w:style>
  <w:style w:type="character" w:customStyle="1" w:styleId="Heading2Char">
    <w:name w:val="Heading 2 Char"/>
    <w:aliases w:val="h2 Char"/>
    <w:basedOn w:val="DefaultParagraphFont"/>
    <w:link w:val="Heading2"/>
    <w:uiPriority w:val="99"/>
    <w:rsid w:val="0054713E"/>
    <w:rPr>
      <w:rFonts w:ascii="Georgia" w:eastAsiaTheme="majorEastAsia" w:hAnsi="Georgia" w:cstheme="majorBidi"/>
      <w:bCs/>
      <w:color w:val="005A70"/>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2B3CC6"/>
    <w:rPr>
      <w:rFonts w:ascii="Georgia" w:eastAsiaTheme="majorEastAsia" w:hAnsi="Georgia" w:cstheme="majorBidi"/>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11"/>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11"/>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Recommendation,List Paragraph1,List Paragraph11,Bullet point,#List Paragraph"/>
    <w:basedOn w:val="Normal"/>
    <w:link w:val="ListParagraphChar"/>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qFormat/>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99"/>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Cs/>
      <w:iCs/>
      <w:color w:val="24596E"/>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9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paragraph" w:customStyle="1" w:styleId="NormalIndented">
    <w:name w:val="Normal Indented"/>
    <w:basedOn w:val="Normal"/>
    <w:qFormat/>
    <w:rsid w:val="00AC72FA"/>
    <w:pPr>
      <w:suppressAutoHyphens/>
      <w:spacing w:before="180" w:after="60"/>
      <w:ind w:left="284"/>
    </w:pPr>
    <w:rPr>
      <w:rFonts w:asciiTheme="minorHAnsi" w:eastAsiaTheme="minorHAnsi" w:hAnsiTheme="minorHAnsi" w:cstheme="minorBidi"/>
      <w:spacing w:val="0"/>
      <w:sz w:val="22"/>
      <w:szCs w:val="22"/>
      <w:lang w:eastAsia="en-US"/>
    </w:rPr>
  </w:style>
  <w:style w:type="paragraph" w:customStyle="1" w:styleId="Bullet1">
    <w:name w:val="Bullet 1"/>
    <w:basedOn w:val="Normal"/>
    <w:qFormat/>
    <w:rsid w:val="00AC72FA"/>
    <w:pPr>
      <w:numPr>
        <w:numId w:val="3"/>
      </w:numPr>
      <w:suppressAutoHyphens/>
      <w:spacing w:after="60"/>
    </w:pPr>
    <w:rPr>
      <w:rFonts w:asciiTheme="minorHAnsi" w:eastAsiaTheme="minorHAnsi" w:hAnsiTheme="minorHAnsi" w:cstheme="minorBidi"/>
      <w:spacing w:val="0"/>
      <w:sz w:val="22"/>
      <w:szCs w:val="22"/>
      <w:lang w:eastAsia="en-US"/>
    </w:rPr>
  </w:style>
  <w:style w:type="paragraph" w:customStyle="1" w:styleId="Bullet2">
    <w:name w:val="Bullet 2"/>
    <w:basedOn w:val="Bullet1"/>
    <w:qFormat/>
    <w:rsid w:val="00AC72FA"/>
    <w:pPr>
      <w:numPr>
        <w:ilvl w:val="1"/>
      </w:numPr>
    </w:pPr>
  </w:style>
  <w:style w:type="paragraph" w:customStyle="1" w:styleId="Bullet3">
    <w:name w:val="Bullet 3"/>
    <w:basedOn w:val="Bullet2"/>
    <w:qFormat/>
    <w:rsid w:val="00AC72FA"/>
    <w:pPr>
      <w:numPr>
        <w:ilvl w:val="2"/>
      </w:numPr>
    </w:pPr>
  </w:style>
  <w:style w:type="paragraph" w:customStyle="1" w:styleId="NumberedList1">
    <w:name w:val="Numbered List 1"/>
    <w:basedOn w:val="Normal"/>
    <w:qFormat/>
    <w:rsid w:val="00AC72FA"/>
    <w:pPr>
      <w:numPr>
        <w:numId w:val="4"/>
      </w:numPr>
      <w:suppressAutoHyphens/>
      <w:spacing w:before="180" w:after="60"/>
    </w:pPr>
    <w:rPr>
      <w:rFonts w:asciiTheme="minorHAnsi" w:eastAsiaTheme="minorHAnsi" w:hAnsiTheme="minorHAnsi" w:cstheme="minorBidi"/>
      <w:spacing w:val="0"/>
      <w:sz w:val="22"/>
      <w:szCs w:val="22"/>
      <w:lang w:eastAsia="en-US"/>
    </w:rPr>
  </w:style>
  <w:style w:type="paragraph" w:customStyle="1" w:styleId="NumberedList2">
    <w:name w:val="Numbered List 2"/>
    <w:basedOn w:val="NumberedList1"/>
    <w:qFormat/>
    <w:rsid w:val="00AC72FA"/>
    <w:pPr>
      <w:numPr>
        <w:ilvl w:val="1"/>
      </w:numPr>
      <w:spacing w:before="120"/>
    </w:pPr>
  </w:style>
  <w:style w:type="paragraph" w:customStyle="1" w:styleId="NumberedList3">
    <w:name w:val="Numbered List 3"/>
    <w:basedOn w:val="NumberedList2"/>
    <w:qFormat/>
    <w:rsid w:val="00AC72FA"/>
    <w:pPr>
      <w:numPr>
        <w:ilvl w:val="2"/>
      </w:numPr>
    </w:pPr>
  </w:style>
  <w:style w:type="paragraph" w:customStyle="1" w:styleId="Heading1Numbered">
    <w:name w:val="Heading 1 Numbered"/>
    <w:basedOn w:val="Heading1"/>
    <w:next w:val="Normal"/>
    <w:qFormat/>
    <w:rsid w:val="00AC72FA"/>
    <w:pPr>
      <w:keepNext/>
      <w:keepLines/>
      <w:numPr>
        <w:numId w:val="5"/>
      </w:numPr>
      <w:suppressAutoHyphens/>
      <w:spacing w:line="460" w:lineRule="atLeast"/>
    </w:pPr>
    <w:rPr>
      <w:rFonts w:asciiTheme="majorHAnsi" w:hAnsiTheme="majorHAnsi"/>
      <w:color w:val="000000" w:themeColor="text2"/>
      <w:spacing w:val="0"/>
      <w:sz w:val="40"/>
      <w:lang w:eastAsia="en-US"/>
    </w:rPr>
  </w:style>
  <w:style w:type="paragraph" w:customStyle="1" w:styleId="Heading2Numbered">
    <w:name w:val="Heading 2 Numbered"/>
    <w:basedOn w:val="Heading2"/>
    <w:next w:val="Normal"/>
    <w:qFormat/>
    <w:rsid w:val="00AC72FA"/>
    <w:pPr>
      <w:keepNext/>
      <w:keepLines/>
      <w:numPr>
        <w:ilvl w:val="1"/>
        <w:numId w:val="5"/>
      </w:numPr>
      <w:suppressAutoHyphens/>
      <w:spacing w:before="360" w:line="400" w:lineRule="atLeast"/>
      <w:ind w:left="1418"/>
      <w:contextualSpacing/>
    </w:pPr>
    <w:rPr>
      <w:rFonts w:asciiTheme="majorHAnsi" w:hAnsiTheme="majorHAnsi"/>
      <w:color w:val="000000" w:themeColor="text2"/>
      <w:spacing w:val="0"/>
      <w:sz w:val="34"/>
      <w:lang w:eastAsia="en-US"/>
    </w:rPr>
  </w:style>
  <w:style w:type="paragraph" w:customStyle="1" w:styleId="Heading3Numbered">
    <w:name w:val="Heading 3 Numbered"/>
    <w:basedOn w:val="Heading3"/>
    <w:next w:val="Normal"/>
    <w:qFormat/>
    <w:rsid w:val="00AC72FA"/>
    <w:pPr>
      <w:keepNext/>
      <w:keepLines/>
      <w:numPr>
        <w:ilvl w:val="2"/>
        <w:numId w:val="5"/>
      </w:numPr>
      <w:suppressAutoHyphens/>
      <w:spacing w:before="360" w:after="120" w:line="340" w:lineRule="atLeast"/>
      <w:contextualSpacing/>
    </w:pPr>
    <w:rPr>
      <w:rFonts w:asciiTheme="majorHAnsi" w:hAnsiTheme="majorHAnsi"/>
      <w:color w:val="000000" w:themeColor="text2"/>
      <w:spacing w:val="0"/>
      <w:sz w:val="30"/>
      <w:szCs w:val="22"/>
      <w:lang w:eastAsia="en-US"/>
    </w:rPr>
  </w:style>
  <w:style w:type="numbering" w:customStyle="1" w:styleId="BulletsList">
    <w:name w:val="Bullets List"/>
    <w:uiPriority w:val="99"/>
    <w:rsid w:val="00AC72FA"/>
    <w:pPr>
      <w:numPr>
        <w:numId w:val="3"/>
      </w:numPr>
    </w:pPr>
  </w:style>
  <w:style w:type="numbering" w:customStyle="1" w:styleId="Numberedlist">
    <w:name w:val="Numbered list"/>
    <w:uiPriority w:val="99"/>
    <w:rsid w:val="00AC72FA"/>
    <w:pPr>
      <w:numPr>
        <w:numId w:val="4"/>
      </w:numPr>
    </w:pPr>
  </w:style>
  <w:style w:type="numbering" w:customStyle="1" w:styleId="HeadingsList">
    <w:name w:val="Headings List"/>
    <w:uiPriority w:val="99"/>
    <w:rsid w:val="00AC72FA"/>
    <w:pPr>
      <w:numPr>
        <w:numId w:val="22"/>
      </w:numPr>
    </w:pPr>
  </w:style>
  <w:style w:type="table" w:customStyle="1" w:styleId="PlainTable2">
    <w:name w:val="Plain Table 2"/>
    <w:basedOn w:val="TableNormal"/>
    <w:uiPriority w:val="42"/>
    <w:rsid w:val="00AC72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AC72FA"/>
    <w:pPr>
      <w:spacing w:before="0" w:after="100" w:line="259" w:lineRule="auto"/>
      <w:ind w:left="660"/>
    </w:pPr>
    <w:rPr>
      <w:rFonts w:asciiTheme="minorHAnsi" w:eastAsiaTheme="minorEastAsia" w:hAnsiTheme="minorHAnsi" w:cstheme="minorBidi"/>
      <w:spacing w:val="0"/>
      <w:sz w:val="22"/>
      <w:szCs w:val="22"/>
    </w:rPr>
  </w:style>
  <w:style w:type="paragraph" w:styleId="TOC5">
    <w:name w:val="toc 5"/>
    <w:basedOn w:val="Normal"/>
    <w:next w:val="Normal"/>
    <w:autoRedefine/>
    <w:uiPriority w:val="39"/>
    <w:unhideWhenUsed/>
    <w:rsid w:val="00AC72FA"/>
    <w:pPr>
      <w:spacing w:before="0" w:after="100" w:line="259" w:lineRule="auto"/>
      <w:ind w:left="880"/>
    </w:pPr>
    <w:rPr>
      <w:rFonts w:asciiTheme="minorHAnsi" w:eastAsiaTheme="minorEastAsia" w:hAnsiTheme="minorHAnsi" w:cstheme="minorBidi"/>
      <w:spacing w:val="0"/>
      <w:sz w:val="22"/>
      <w:szCs w:val="22"/>
    </w:rPr>
  </w:style>
  <w:style w:type="paragraph" w:styleId="TOC6">
    <w:name w:val="toc 6"/>
    <w:basedOn w:val="Normal"/>
    <w:next w:val="Normal"/>
    <w:autoRedefine/>
    <w:uiPriority w:val="39"/>
    <w:unhideWhenUsed/>
    <w:rsid w:val="00AC72FA"/>
    <w:pPr>
      <w:spacing w:before="0" w:after="100" w:line="259" w:lineRule="auto"/>
      <w:ind w:left="1100"/>
    </w:pPr>
    <w:rPr>
      <w:rFonts w:asciiTheme="minorHAnsi" w:eastAsiaTheme="minorEastAsia" w:hAnsiTheme="minorHAnsi" w:cstheme="minorBidi"/>
      <w:spacing w:val="0"/>
      <w:sz w:val="22"/>
      <w:szCs w:val="22"/>
    </w:rPr>
  </w:style>
  <w:style w:type="paragraph" w:styleId="TOC7">
    <w:name w:val="toc 7"/>
    <w:basedOn w:val="Normal"/>
    <w:next w:val="Normal"/>
    <w:autoRedefine/>
    <w:uiPriority w:val="39"/>
    <w:unhideWhenUsed/>
    <w:rsid w:val="00AC72FA"/>
    <w:pPr>
      <w:spacing w:before="0" w:after="100" w:line="259" w:lineRule="auto"/>
      <w:ind w:left="1320"/>
    </w:pPr>
    <w:rPr>
      <w:rFonts w:asciiTheme="minorHAnsi" w:eastAsiaTheme="minorEastAsia" w:hAnsiTheme="minorHAnsi" w:cstheme="minorBidi"/>
      <w:spacing w:val="0"/>
      <w:sz w:val="22"/>
      <w:szCs w:val="22"/>
    </w:rPr>
  </w:style>
  <w:style w:type="numbering" w:customStyle="1" w:styleId="TableHeadingNumbers">
    <w:name w:val="Table Heading Numbers"/>
    <w:uiPriority w:val="99"/>
    <w:rsid w:val="00AC72FA"/>
    <w:pPr>
      <w:numPr>
        <w:numId w:val="6"/>
      </w:numPr>
    </w:pPr>
  </w:style>
  <w:style w:type="paragraph" w:styleId="TOC8">
    <w:name w:val="toc 8"/>
    <w:basedOn w:val="Normal"/>
    <w:next w:val="Normal"/>
    <w:autoRedefine/>
    <w:uiPriority w:val="39"/>
    <w:unhideWhenUsed/>
    <w:rsid w:val="00AC72FA"/>
    <w:pPr>
      <w:spacing w:before="0" w:after="100" w:line="259" w:lineRule="auto"/>
      <w:ind w:left="1540"/>
    </w:pPr>
    <w:rPr>
      <w:rFonts w:asciiTheme="minorHAnsi" w:eastAsiaTheme="minorEastAsia" w:hAnsiTheme="minorHAnsi" w:cstheme="minorBidi"/>
      <w:spacing w:val="0"/>
      <w:sz w:val="22"/>
      <w:szCs w:val="22"/>
    </w:rPr>
  </w:style>
  <w:style w:type="paragraph" w:styleId="TOC9">
    <w:name w:val="toc 9"/>
    <w:basedOn w:val="Normal"/>
    <w:next w:val="Normal"/>
    <w:autoRedefine/>
    <w:uiPriority w:val="39"/>
    <w:unhideWhenUsed/>
    <w:rsid w:val="00AC72FA"/>
    <w:pPr>
      <w:spacing w:before="0" w:after="100" w:line="259" w:lineRule="auto"/>
      <w:ind w:left="1760"/>
    </w:pPr>
    <w:rPr>
      <w:rFonts w:asciiTheme="minorHAnsi" w:eastAsiaTheme="minorEastAsia" w:hAnsiTheme="minorHAnsi" w:cstheme="minorBidi"/>
      <w:spacing w:val="0"/>
      <w:sz w:val="22"/>
      <w:szCs w:val="22"/>
    </w:rPr>
  </w:style>
  <w:style w:type="paragraph" w:styleId="TableofFigures">
    <w:name w:val="table of figures"/>
    <w:basedOn w:val="Normal"/>
    <w:next w:val="Normal"/>
    <w:uiPriority w:val="99"/>
    <w:unhideWhenUsed/>
    <w:rsid w:val="00AC72FA"/>
    <w:pPr>
      <w:suppressAutoHyphens/>
      <w:spacing w:before="180" w:after="0"/>
      <w:ind w:left="907" w:hanging="907"/>
    </w:pPr>
    <w:rPr>
      <w:rFonts w:asciiTheme="minorHAnsi" w:eastAsiaTheme="minorHAnsi" w:hAnsiTheme="minorHAnsi" w:cstheme="minorBidi"/>
      <w:spacing w:val="0"/>
      <w:sz w:val="22"/>
      <w:szCs w:val="22"/>
      <w:lang w:eastAsia="en-US"/>
    </w:rPr>
  </w:style>
  <w:style w:type="paragraph" w:customStyle="1" w:styleId="IntroPara">
    <w:name w:val="Intro Para"/>
    <w:basedOn w:val="Normal"/>
    <w:qFormat/>
    <w:rsid w:val="00AC72FA"/>
    <w:pPr>
      <w:pBdr>
        <w:bottom w:val="single" w:sz="4" w:space="6" w:color="005A70" w:themeColor="accent1"/>
      </w:pBdr>
      <w:suppressAutoHyphens/>
      <w:spacing w:before="180" w:after="60"/>
    </w:pPr>
    <w:rPr>
      <w:rFonts w:asciiTheme="minorHAnsi" w:eastAsiaTheme="minorHAnsi" w:hAnsiTheme="minorHAnsi" w:cstheme="minorBidi"/>
      <w:spacing w:val="0"/>
      <w:szCs w:val="22"/>
      <w:lang w:eastAsia="en-US"/>
    </w:rPr>
  </w:style>
  <w:style w:type="numbering" w:customStyle="1" w:styleId="FigureTitles">
    <w:name w:val="Figure Titles"/>
    <w:uiPriority w:val="99"/>
    <w:rsid w:val="00AC72FA"/>
    <w:pPr>
      <w:numPr>
        <w:numId w:val="7"/>
      </w:numPr>
    </w:pPr>
  </w:style>
  <w:style w:type="paragraph" w:customStyle="1" w:styleId="Boxed1Text">
    <w:name w:val="Boxed 1 Text"/>
    <w:basedOn w:val="Normal"/>
    <w:qFormat/>
    <w:rsid w:val="00AC72FA"/>
    <w:pPr>
      <w:pBdr>
        <w:top w:val="single" w:sz="4" w:space="14" w:color="AFEFFF" w:themeColor="accent1" w:themeTint="33"/>
        <w:left w:val="single" w:sz="4" w:space="14" w:color="AFEFFF" w:themeColor="accent1" w:themeTint="33"/>
        <w:bottom w:val="single" w:sz="4" w:space="14" w:color="AFEFFF" w:themeColor="accent1" w:themeTint="33"/>
        <w:right w:val="single" w:sz="4" w:space="14" w:color="AFEFFF" w:themeColor="accent1" w:themeTint="33"/>
      </w:pBdr>
      <w:shd w:val="clear" w:color="auto" w:fill="AFEFFF" w:themeFill="accent1" w:themeFillTint="33"/>
      <w:suppressAutoHyphens/>
      <w:spacing w:before="180" w:after="60"/>
      <w:ind w:left="284" w:right="284"/>
    </w:pPr>
    <w:rPr>
      <w:rFonts w:asciiTheme="minorHAnsi" w:eastAsiaTheme="minorHAnsi" w:hAnsiTheme="minorHAnsi" w:cstheme="minorBidi"/>
      <w:spacing w:val="0"/>
      <w:sz w:val="22"/>
      <w:szCs w:val="22"/>
      <w:lang w:eastAsia="en-US"/>
    </w:rPr>
  </w:style>
  <w:style w:type="paragraph" w:customStyle="1" w:styleId="Boxed1Heading">
    <w:name w:val="Boxed 1 Heading"/>
    <w:basedOn w:val="Boxed1Text"/>
    <w:qFormat/>
    <w:rsid w:val="00AC72FA"/>
    <w:rPr>
      <w:b/>
      <w:sz w:val="24"/>
    </w:rPr>
  </w:style>
  <w:style w:type="paragraph" w:customStyle="1" w:styleId="Boxed2Text">
    <w:name w:val="Boxed 2 Text"/>
    <w:basedOn w:val="Boxed1Text"/>
    <w:qFormat/>
    <w:rsid w:val="00AC72FA"/>
    <w:pPr>
      <w:pBdr>
        <w:top w:val="single" w:sz="4" w:space="14" w:color="005A70" w:themeColor="accent1"/>
        <w:left w:val="single" w:sz="4" w:space="14" w:color="005A70" w:themeColor="accent1"/>
        <w:bottom w:val="single" w:sz="4" w:space="14" w:color="005A70" w:themeColor="accent1"/>
        <w:right w:val="single" w:sz="4" w:space="14" w:color="005A70" w:themeColor="accent1"/>
      </w:pBdr>
      <w:shd w:val="clear" w:color="auto" w:fill="005A70" w:themeFill="accent1"/>
    </w:pPr>
  </w:style>
  <w:style w:type="paragraph" w:customStyle="1" w:styleId="Boxed2Heading">
    <w:name w:val="Boxed 2 Heading"/>
    <w:basedOn w:val="Boxed2Text"/>
    <w:qFormat/>
    <w:rsid w:val="00AC72FA"/>
    <w:rPr>
      <w:b/>
      <w:sz w:val="24"/>
    </w:rPr>
  </w:style>
  <w:style w:type="character" w:styleId="PageNumber">
    <w:name w:val="page number"/>
    <w:basedOn w:val="DefaultParagraphFont"/>
    <w:uiPriority w:val="99"/>
    <w:unhideWhenUsed/>
    <w:rsid w:val="00AC72FA"/>
  </w:style>
  <w:style w:type="table" w:customStyle="1" w:styleId="GridTableLight">
    <w:name w:val="Grid Table Light"/>
    <w:basedOn w:val="TableNormal"/>
    <w:uiPriority w:val="40"/>
    <w:rsid w:val="00AC72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AC72FA"/>
    <w:pPr>
      <w:spacing w:before="60" w:after="60" w:line="200" w:lineRule="atLeast"/>
    </w:pPr>
    <w:rPr>
      <w:sz w:val="16"/>
    </w:rPr>
    <w:tblPr>
      <w:tblStyleRowBandSize w:val="1"/>
      <w:tblStyleColBandSize w:val="1"/>
      <w:tblBorders>
        <w:top w:val="single" w:sz="4" w:space="0" w:color="000000" w:themeColor="text2"/>
        <w:bottom w:val="single" w:sz="4" w:space="0" w:color="000000" w:themeColor="text2"/>
        <w:insideH w:val="single" w:sz="4" w:space="0" w:color="000000" w:themeColor="text2"/>
      </w:tblBorders>
      <w:tblCellMar>
        <w:left w:w="85" w:type="dxa"/>
        <w:right w:w="85" w:type="dxa"/>
      </w:tblCellMar>
    </w:tblPr>
    <w:trPr>
      <w:cantSplit/>
    </w:trPr>
    <w:tblStylePr w:type="firstRow">
      <w:rPr>
        <w:b/>
      </w:rPr>
      <w:tblPr/>
      <w:trPr>
        <w:tblHeader/>
      </w:trPr>
      <w:tcPr>
        <w:shd w:val="clear" w:color="auto" w:fill="000000" w:themeFill="text2"/>
      </w:tcPr>
    </w:tblStylePr>
    <w:tblStylePr w:type="lastRow">
      <w:tblPr/>
      <w:tcPr>
        <w:shd w:val="clear" w:color="auto" w:fill="000000" w:themeFill="text2"/>
      </w:tcPr>
    </w:tblStylePr>
    <w:tblStylePr w:type="firstCol">
      <w:tblPr/>
      <w:tcPr>
        <w:tcBorders>
          <w:insideH w:val="single" w:sz="4" w:space="0" w:color="FFFFFF" w:themeColor="background1"/>
        </w:tcBorders>
        <w:shd w:val="clear" w:color="auto" w:fill="000000" w:themeFill="text2"/>
      </w:tcPr>
    </w:tblStylePr>
    <w:tblStylePr w:type="lastCol">
      <w:tblPr/>
      <w:tcPr>
        <w:shd w:val="clear" w:color="auto" w:fill="BFBFBF" w:themeFill="background1" w:themeFillShade="BF"/>
      </w:tcPr>
    </w:tblStylePr>
    <w:tblStylePr w:type="band1Vert">
      <w:tblPr/>
      <w:tcPr>
        <w:shd w:val="clear" w:color="auto" w:fill="F8F8F8" w:themeFill="background2"/>
      </w:tcPr>
    </w:tblStylePr>
    <w:tblStylePr w:type="band2Vert">
      <w:tblPr/>
      <w:tcPr>
        <w:shd w:val="clear" w:color="auto" w:fill="FFFFFF" w:themeFill="background1"/>
      </w:tcPr>
    </w:tblStylePr>
    <w:tblStylePr w:type="band1Horz">
      <w:tblPr/>
      <w:tcPr>
        <w:shd w:val="clear" w:color="auto" w:fill="F8F8F8"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AC72FA"/>
    <w:pPr>
      <w:suppressAutoHyphens/>
      <w:spacing w:before="60" w:after="60"/>
    </w:pPr>
    <w:rPr>
      <w:rFonts w:asciiTheme="minorHAnsi" w:eastAsiaTheme="minorHAnsi" w:hAnsiTheme="minorHAnsi" w:cstheme="minorBidi"/>
      <w:spacing w:val="0"/>
      <w:sz w:val="18"/>
      <w:szCs w:val="22"/>
      <w:lang w:eastAsia="en-US"/>
    </w:rPr>
  </w:style>
  <w:style w:type="paragraph" w:customStyle="1" w:styleId="TableSourceNotes">
    <w:name w:val="Table Source Notes"/>
    <w:basedOn w:val="TableText"/>
    <w:qFormat/>
    <w:rsid w:val="00AC72F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C72FA"/>
    <w:pPr>
      <w:suppressAutoHyphens/>
      <w:spacing w:before="0" w:after="0" w:line="200" w:lineRule="atLeast"/>
      <w:ind w:left="284" w:hanging="284"/>
    </w:pPr>
    <w:rPr>
      <w:rFonts w:asciiTheme="minorHAnsi" w:eastAsiaTheme="minorHAnsi" w:hAnsiTheme="minorHAnsi" w:cstheme="minorBidi"/>
      <w:spacing w:val="0"/>
      <w:sz w:val="16"/>
      <w:szCs w:val="20"/>
      <w:lang w:eastAsia="en-US"/>
    </w:rPr>
  </w:style>
  <w:style w:type="character" w:customStyle="1" w:styleId="FootnoteTextChar">
    <w:name w:val="Footnote Text Char"/>
    <w:basedOn w:val="DefaultParagraphFont"/>
    <w:link w:val="FootnoteText"/>
    <w:uiPriority w:val="99"/>
    <w:semiHidden/>
    <w:rsid w:val="00AC72FA"/>
    <w:rPr>
      <w:sz w:val="16"/>
      <w:szCs w:val="20"/>
    </w:rPr>
  </w:style>
  <w:style w:type="character" w:styleId="FootnoteReference">
    <w:name w:val="footnote reference"/>
    <w:basedOn w:val="DefaultParagraphFont"/>
    <w:unhideWhenUsed/>
    <w:rsid w:val="00AC72FA"/>
    <w:rPr>
      <w:vertAlign w:val="superscript"/>
    </w:rPr>
  </w:style>
  <w:style w:type="paragraph" w:customStyle="1" w:styleId="FootnoteSeparator">
    <w:name w:val="Footnote Separator"/>
    <w:basedOn w:val="Normal"/>
    <w:qFormat/>
    <w:rsid w:val="00AC72FA"/>
    <w:pPr>
      <w:pBdr>
        <w:top w:val="single" w:sz="2" w:space="1" w:color="auto"/>
      </w:pBdr>
      <w:suppressAutoHyphens/>
      <w:spacing w:before="0" w:after="0" w:line="240" w:lineRule="auto"/>
    </w:pPr>
    <w:rPr>
      <w:rFonts w:asciiTheme="minorHAnsi" w:eastAsiaTheme="minorHAnsi" w:hAnsiTheme="minorHAnsi" w:cstheme="minorBidi"/>
      <w:spacing w:val="0"/>
      <w:sz w:val="22"/>
      <w:szCs w:val="22"/>
      <w:lang w:eastAsia="en-US"/>
    </w:rPr>
  </w:style>
  <w:style w:type="character" w:styleId="PlaceholderText">
    <w:name w:val="Placeholder Text"/>
    <w:basedOn w:val="DefaultParagraphFont"/>
    <w:uiPriority w:val="99"/>
    <w:semiHidden/>
    <w:rsid w:val="00AC72FA"/>
    <w:rPr>
      <w:color w:val="808080"/>
    </w:rPr>
  </w:style>
  <w:style w:type="character" w:customStyle="1" w:styleId="Classification">
    <w:name w:val="Classification"/>
    <w:basedOn w:val="DefaultParagraphFont"/>
    <w:uiPriority w:val="1"/>
    <w:qFormat/>
    <w:rsid w:val="00AC72FA"/>
    <w:rPr>
      <w:b/>
      <w:caps/>
      <w:smallCaps w:val="0"/>
      <w:sz w:val="24"/>
    </w:rPr>
  </w:style>
  <w:style w:type="paragraph" w:customStyle="1" w:styleId="inputcomment">
    <w:name w:val="input comment"/>
    <w:basedOn w:val="Normal"/>
    <w:qFormat/>
    <w:rsid w:val="00AC72FA"/>
    <w:pPr>
      <w:suppressAutoHyphens/>
      <w:spacing w:before="180" w:after="60" w:line="240" w:lineRule="auto"/>
    </w:pPr>
    <w:rPr>
      <w:rFonts w:asciiTheme="minorHAnsi" w:eastAsiaTheme="minorHAnsi" w:hAnsiTheme="minorHAnsi" w:cstheme="minorBidi"/>
      <w:b/>
      <w:color w:val="65CAC8" w:themeColor="accent3" w:themeShade="BF"/>
      <w:spacing w:val="0"/>
      <w:sz w:val="22"/>
      <w:szCs w:val="22"/>
      <w:lang w:eastAsia="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AC72FA"/>
    <w:rPr>
      <w:rFonts w:ascii="Arial" w:eastAsia="Times New Roman" w:hAnsi="Arial" w:cs="Times New Roman"/>
      <w:spacing w:val="4"/>
      <w:sz w:val="24"/>
      <w:szCs w:val="24"/>
      <w:lang w:eastAsia="en-AU"/>
    </w:rPr>
  </w:style>
  <w:style w:type="paragraph" w:customStyle="1" w:styleId="BodyText1">
    <w:name w:val="Body Text1"/>
    <w:basedOn w:val="Normal"/>
    <w:qFormat/>
    <w:rsid w:val="00AC72FA"/>
    <w:pPr>
      <w:spacing w:before="0" w:after="120" w:line="240" w:lineRule="auto"/>
    </w:pPr>
    <w:rPr>
      <w:rFonts w:ascii="Cambria" w:hAnsi="Cambria"/>
      <w:spacing w:val="0"/>
      <w:sz w:val="22"/>
      <w:lang w:eastAsia="en-US"/>
    </w:rPr>
  </w:style>
  <w:style w:type="paragraph" w:customStyle="1" w:styleId="highlightedtext">
    <w:name w:val="highlighted text"/>
    <w:basedOn w:val="Normal"/>
    <w:link w:val="highlightedtextChar"/>
    <w:qFormat/>
    <w:rsid w:val="00AC72FA"/>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349694" w:themeColor="accent3" w:themeShade="80"/>
      <w:spacing w:val="0"/>
      <w:sz w:val="22"/>
      <w:szCs w:val="22"/>
      <w:lang w:eastAsia="en-US"/>
    </w:rPr>
  </w:style>
  <w:style w:type="character" w:customStyle="1" w:styleId="highlightedtextChar">
    <w:name w:val="highlighted text Char"/>
    <w:basedOn w:val="DefaultParagraphFont"/>
    <w:link w:val="highlightedtext"/>
    <w:rsid w:val="00AC72FA"/>
    <w:rPr>
      <w:b/>
      <w:color w:val="349694" w:themeColor="accent3" w:themeShade="80"/>
    </w:rPr>
  </w:style>
  <w:style w:type="paragraph" w:customStyle="1" w:styleId="FCHeader">
    <w:name w:val="FC_Header"/>
    <w:basedOn w:val="Heading8"/>
    <w:uiPriority w:val="99"/>
    <w:rsid w:val="00AC72FA"/>
    <w:pPr>
      <w:keepNext/>
      <w:numPr>
        <w:ilvl w:val="7"/>
      </w:numPr>
      <w:tabs>
        <w:tab w:val="num" w:pos="1440"/>
      </w:tabs>
      <w:spacing w:before="240" w:after="360" w:line="240" w:lineRule="auto"/>
      <w:ind w:left="1440" w:hanging="432"/>
    </w:pPr>
    <w:rPr>
      <w:rFonts w:eastAsia="Times New Roman" w:cs="Times New Roman"/>
      <w:b/>
      <w:bCs/>
      <w:spacing w:val="-5"/>
      <w:sz w:val="36"/>
      <w:lang w:val="en-US" w:eastAsia="en-US"/>
    </w:rPr>
  </w:style>
  <w:style w:type="paragraph" w:styleId="CommentText">
    <w:name w:val="annotation text"/>
    <w:basedOn w:val="Normal"/>
    <w:link w:val="CommentTextChar"/>
    <w:uiPriority w:val="99"/>
    <w:rsid w:val="00AC72FA"/>
    <w:pPr>
      <w:spacing w:before="0" w:after="200" w:line="240" w:lineRule="auto"/>
    </w:pPr>
    <w:rPr>
      <w:rFonts w:ascii="Calibri" w:hAnsi="Calibri"/>
      <w:spacing w:val="0"/>
      <w:sz w:val="20"/>
      <w:szCs w:val="20"/>
      <w:lang w:eastAsia="en-US"/>
    </w:rPr>
  </w:style>
  <w:style w:type="character" w:customStyle="1" w:styleId="CommentTextChar">
    <w:name w:val="Comment Text Char"/>
    <w:basedOn w:val="DefaultParagraphFont"/>
    <w:link w:val="CommentText"/>
    <w:uiPriority w:val="99"/>
    <w:rsid w:val="00AC72FA"/>
    <w:rPr>
      <w:rFonts w:ascii="Calibri" w:eastAsia="Times New Roman" w:hAnsi="Calibri" w:cs="Times New Roman"/>
      <w:sz w:val="20"/>
      <w:szCs w:val="20"/>
    </w:rPr>
  </w:style>
  <w:style w:type="paragraph" w:customStyle="1" w:styleId="notetext">
    <w:name w:val="notetext"/>
    <w:basedOn w:val="Normal"/>
    <w:uiPriority w:val="99"/>
    <w:rsid w:val="00AC72FA"/>
    <w:pPr>
      <w:spacing w:before="122" w:after="0" w:line="198" w:lineRule="atLeast"/>
      <w:ind w:left="1985" w:hanging="851"/>
    </w:pPr>
    <w:rPr>
      <w:rFonts w:ascii="Times New Roman" w:hAnsi="Times New Roman"/>
      <w:spacing w:val="0"/>
      <w:sz w:val="18"/>
      <w:szCs w:val="18"/>
    </w:rPr>
  </w:style>
  <w:style w:type="paragraph" w:customStyle="1" w:styleId="subsection">
    <w:name w:val="subsection"/>
    <w:aliases w:val="ss"/>
    <w:basedOn w:val="Normal"/>
    <w:uiPriority w:val="99"/>
    <w:rsid w:val="00AC72FA"/>
    <w:pPr>
      <w:spacing w:before="180" w:after="0" w:line="240" w:lineRule="auto"/>
      <w:ind w:left="1134" w:hanging="1134"/>
    </w:pPr>
    <w:rPr>
      <w:rFonts w:ascii="Times New Roman" w:hAnsi="Times New Roman"/>
      <w:spacing w:val="0"/>
      <w:sz w:val="22"/>
      <w:szCs w:val="22"/>
    </w:rPr>
  </w:style>
  <w:style w:type="paragraph" w:customStyle="1" w:styleId="definition">
    <w:name w:val="definition"/>
    <w:basedOn w:val="Normal"/>
    <w:uiPriority w:val="99"/>
    <w:rsid w:val="00AC72FA"/>
    <w:pPr>
      <w:spacing w:before="180" w:after="0" w:line="240" w:lineRule="auto"/>
      <w:ind w:left="1134"/>
    </w:pPr>
    <w:rPr>
      <w:rFonts w:ascii="Times New Roman" w:hAnsi="Times New Roman"/>
      <w:spacing w:val="0"/>
      <w:sz w:val="22"/>
      <w:szCs w:val="22"/>
    </w:rPr>
  </w:style>
  <w:style w:type="paragraph" w:customStyle="1" w:styleId="FCList">
    <w:name w:val="FC_List"/>
    <w:basedOn w:val="Header"/>
    <w:uiPriority w:val="99"/>
    <w:rsid w:val="00AC72FA"/>
    <w:pPr>
      <w:pBdr>
        <w:bottom w:val="none" w:sz="0" w:space="0" w:color="auto"/>
      </w:pBdr>
      <w:tabs>
        <w:tab w:val="clear" w:pos="4513"/>
        <w:tab w:val="clear" w:pos="9026"/>
      </w:tabs>
      <w:spacing w:before="60" w:after="60"/>
    </w:pPr>
    <w:rPr>
      <w:rFonts w:ascii="Times New Roman" w:hAnsi="Times New Roman"/>
      <w:color w:val="auto"/>
      <w:spacing w:val="0"/>
      <w:lang w:eastAsia="en-US"/>
    </w:rPr>
  </w:style>
  <w:style w:type="paragraph" w:customStyle="1" w:styleId="FCTitle">
    <w:name w:val="FC_Title"/>
    <w:basedOn w:val="Normal"/>
    <w:uiPriority w:val="99"/>
    <w:rsid w:val="00AC72FA"/>
    <w:pPr>
      <w:spacing w:before="240" w:after="360" w:line="240" w:lineRule="auto"/>
    </w:pPr>
    <w:rPr>
      <w:rFonts w:cs="Arial"/>
      <w:b/>
      <w:bCs/>
      <w:spacing w:val="0"/>
      <w:sz w:val="32"/>
      <w:lang w:eastAsia="en-US"/>
    </w:rPr>
  </w:style>
  <w:style w:type="paragraph" w:styleId="BodyTextIndent2">
    <w:name w:val="Body Text Indent 2"/>
    <w:basedOn w:val="Normal"/>
    <w:link w:val="BodyTextIndent2Char"/>
    <w:uiPriority w:val="99"/>
    <w:rsid w:val="00AC72FA"/>
    <w:pPr>
      <w:spacing w:before="0" w:after="120" w:line="480" w:lineRule="auto"/>
      <w:ind w:left="283"/>
    </w:pPr>
    <w:rPr>
      <w:rFonts w:ascii="Times New Roman" w:hAnsi="Times New Roman"/>
      <w:spacing w:val="0"/>
    </w:rPr>
  </w:style>
  <w:style w:type="character" w:customStyle="1" w:styleId="BodyTextIndent2Char">
    <w:name w:val="Body Text Indent 2 Char"/>
    <w:basedOn w:val="DefaultParagraphFont"/>
    <w:link w:val="BodyTextIndent2"/>
    <w:uiPriority w:val="99"/>
    <w:rsid w:val="00AC72FA"/>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AC72FA"/>
    <w:rPr>
      <w:rFonts w:cs="Times New Roman"/>
      <w:color w:val="800080"/>
      <w:u w:val="single"/>
    </w:rPr>
  </w:style>
  <w:style w:type="character" w:styleId="CommentReference">
    <w:name w:val="annotation reference"/>
    <w:basedOn w:val="DefaultParagraphFont"/>
    <w:uiPriority w:val="99"/>
    <w:rsid w:val="00AC72FA"/>
    <w:rPr>
      <w:rFonts w:cs="Times New Roman"/>
      <w:sz w:val="16"/>
      <w:szCs w:val="16"/>
    </w:rPr>
  </w:style>
  <w:style w:type="paragraph" w:styleId="CommentSubject">
    <w:name w:val="annotation subject"/>
    <w:basedOn w:val="CommentText"/>
    <w:next w:val="CommentText"/>
    <w:link w:val="CommentSubjectChar"/>
    <w:uiPriority w:val="99"/>
    <w:semiHidden/>
    <w:rsid w:val="00AC72FA"/>
    <w:rPr>
      <w:b/>
      <w:bCs/>
    </w:rPr>
  </w:style>
  <w:style w:type="character" w:customStyle="1" w:styleId="CommentSubjectChar">
    <w:name w:val="Comment Subject Char"/>
    <w:basedOn w:val="CommentTextChar"/>
    <w:link w:val="CommentSubject"/>
    <w:uiPriority w:val="99"/>
    <w:semiHidden/>
    <w:rsid w:val="00AC72FA"/>
    <w:rPr>
      <w:rFonts w:ascii="Calibri" w:eastAsia="Times New Roman" w:hAnsi="Calibri" w:cs="Times New Roman"/>
      <w:b/>
      <w:bCs/>
      <w:sz w:val="20"/>
      <w:szCs w:val="20"/>
    </w:rPr>
  </w:style>
  <w:style w:type="paragraph" w:styleId="Revision">
    <w:name w:val="Revision"/>
    <w:hidden/>
    <w:uiPriority w:val="99"/>
    <w:semiHidden/>
    <w:rsid w:val="00AC72FA"/>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AC72FA"/>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eastAsia="en-US"/>
    </w:rPr>
  </w:style>
  <w:style w:type="character" w:customStyle="1" w:styleId="WordImportedListStyle2StylesforWordRTFImportedLists">
    <w:name w:val="Word Imported List Style2 (Styles for Word/RTF Imported Lists)"/>
    <w:uiPriority w:val="99"/>
    <w:rsid w:val="00AC72FA"/>
    <w:rPr>
      <w:rFonts w:ascii="Symbol" w:hAnsi="Symbol"/>
      <w:w w:val="100"/>
    </w:rPr>
  </w:style>
  <w:style w:type="paragraph" w:customStyle="1" w:styleId="Guidelinesbodytext">
    <w:name w:val="Guidelines body text"/>
    <w:basedOn w:val="NoSpacing"/>
    <w:qFormat/>
    <w:rsid w:val="00AC72FA"/>
    <w:pPr>
      <w:spacing w:before="0"/>
    </w:pPr>
    <w:rPr>
      <w:rFonts w:ascii="Calibri" w:hAnsi="Calibri"/>
      <w:color w:val="000000"/>
      <w:spacing w:val="0"/>
      <w:sz w:val="22"/>
      <w:szCs w:val="20"/>
      <w:lang w:val="en-US" w:eastAsia="en-US" w:bidi="en-US"/>
    </w:rPr>
  </w:style>
  <w:style w:type="paragraph" w:customStyle="1" w:styleId="GuidelinesInstructions">
    <w:name w:val="Guidelines Instructions"/>
    <w:basedOn w:val="NoSpacing"/>
    <w:autoRedefine/>
    <w:qFormat/>
    <w:rsid w:val="00AC72FA"/>
    <w:pPr>
      <w:spacing w:before="0"/>
    </w:pPr>
    <w:rPr>
      <w:rFonts w:ascii="Calibri" w:hAnsi="Calibri"/>
      <w:i/>
      <w:color w:val="FF0000"/>
      <w:spacing w:val="0"/>
      <w:sz w:val="20"/>
      <w:szCs w:val="20"/>
      <w:lang w:val="en-US" w:eastAsia="en-US" w:bidi="en-US"/>
    </w:rPr>
  </w:style>
  <w:style w:type="paragraph" w:customStyle="1" w:styleId="Default">
    <w:name w:val="Default"/>
    <w:rsid w:val="00AC72FA"/>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AC72FA"/>
    <w:pPr>
      <w:numPr>
        <w:numId w:val="8"/>
      </w:numPr>
    </w:pPr>
  </w:style>
  <w:style w:type="paragraph" w:customStyle="1" w:styleId="Bullet">
    <w:name w:val="Bullet"/>
    <w:aliases w:val="b"/>
    <w:basedOn w:val="Normal"/>
    <w:qFormat/>
    <w:rsid w:val="00AC72FA"/>
    <w:pPr>
      <w:tabs>
        <w:tab w:val="num" w:pos="284"/>
      </w:tabs>
      <w:spacing w:before="240" w:after="120" w:line="240" w:lineRule="auto"/>
      <w:ind w:left="284" w:hanging="284"/>
      <w:jc w:val="both"/>
    </w:pPr>
    <w:rPr>
      <w:rFonts w:eastAsia="Calibri" w:cs="Arial"/>
      <w:spacing w:val="0"/>
      <w:sz w:val="22"/>
      <w:szCs w:val="22"/>
      <w:lang w:eastAsia="en-US"/>
    </w:rPr>
  </w:style>
  <w:style w:type="paragraph" w:customStyle="1" w:styleId="GuidelinesSubheading">
    <w:name w:val="Guidelines Subheading"/>
    <w:basedOn w:val="NoSpacing"/>
    <w:autoRedefine/>
    <w:qFormat/>
    <w:rsid w:val="00AC72FA"/>
    <w:pPr>
      <w:pBdr>
        <w:bottom w:val="single" w:sz="8" w:space="1" w:color="000000"/>
      </w:pBdr>
      <w:spacing w:before="107"/>
      <w:ind w:right="-74"/>
      <w:textboxTightWrap w:val="allLines"/>
      <w:outlineLvl w:val="1"/>
    </w:pPr>
    <w:rPr>
      <w:rFonts w:cs="Arial"/>
      <w:b/>
      <w:color w:val="000000"/>
      <w:spacing w:val="0"/>
      <w:sz w:val="22"/>
      <w:u w:color="000000"/>
      <w:lang w:val="en-US" w:eastAsia="en-US" w:bidi="en-US"/>
    </w:rPr>
  </w:style>
  <w:style w:type="paragraph" w:customStyle="1" w:styleId="footnote">
    <w:name w:val="footnote"/>
    <w:basedOn w:val="Normal"/>
    <w:uiPriority w:val="99"/>
    <w:rsid w:val="00AC72FA"/>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eastAsia="en-US"/>
    </w:rPr>
  </w:style>
  <w:style w:type="character" w:customStyle="1" w:styleId="apple-converted-space">
    <w:name w:val="apple-converted-space"/>
    <w:basedOn w:val="DefaultParagraphFont"/>
    <w:rsid w:val="00AC72FA"/>
  </w:style>
  <w:style w:type="paragraph" w:customStyle="1" w:styleId="Heading2flowchart">
    <w:name w:val="Heading 2 flowchart"/>
    <w:basedOn w:val="Normal"/>
    <w:qFormat/>
    <w:rsid w:val="00AC72FA"/>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cstheme="minorHAnsi"/>
      <w:b/>
      <w:bCs/>
      <w:spacing w:val="0"/>
      <w:sz w:val="20"/>
      <w:szCs w:val="32"/>
      <w:lang w:eastAsia="en-US"/>
    </w:rPr>
  </w:style>
  <w:style w:type="numbering" w:customStyle="1" w:styleId="Headings">
    <w:name w:val="Headings"/>
    <w:uiPriority w:val="99"/>
    <w:rsid w:val="00AC72FA"/>
    <w:pPr>
      <w:numPr>
        <w:numId w:val="11"/>
      </w:numPr>
    </w:pPr>
  </w:style>
  <w:style w:type="paragraph" w:customStyle="1" w:styleId="Tabletext0">
    <w:name w:val="Tabletext"/>
    <w:aliases w:val="tt"/>
    <w:basedOn w:val="Normal"/>
    <w:uiPriority w:val="99"/>
    <w:rsid w:val="00AC72FA"/>
    <w:pPr>
      <w:spacing w:before="60" w:after="0" w:line="240" w:lineRule="atLeast"/>
    </w:pPr>
    <w:rPr>
      <w:rFonts w:ascii="Times New Roman" w:eastAsiaTheme="minorHAnsi" w:hAnsi="Times New Roman"/>
      <w:spacing w:val="0"/>
      <w:sz w:val="20"/>
      <w:szCs w:val="20"/>
    </w:rPr>
  </w:style>
  <w:style w:type="paragraph" w:customStyle="1" w:styleId="Chrissie1">
    <w:name w:val="Chrissie1"/>
    <w:basedOn w:val="ListParagraph"/>
    <w:link w:val="Chrissie1Char"/>
    <w:qFormat/>
    <w:rsid w:val="00AC72FA"/>
    <w:pPr>
      <w:numPr>
        <w:numId w:val="12"/>
      </w:numPr>
      <w:spacing w:before="0" w:after="0" w:line="240" w:lineRule="auto"/>
      <w:ind w:left="567" w:hanging="357"/>
    </w:pPr>
    <w:rPr>
      <w:rFonts w:eastAsia="Calibri" w:cs="Arial"/>
      <w:sz w:val="20"/>
    </w:rPr>
  </w:style>
  <w:style w:type="character" w:customStyle="1" w:styleId="Chrissie1Char">
    <w:name w:val="Chrissie1 Char"/>
    <w:basedOn w:val="ListParagraphChar"/>
    <w:link w:val="Chrissie1"/>
    <w:rsid w:val="00AC72FA"/>
    <w:rPr>
      <w:rFonts w:ascii="Arial" w:eastAsia="Calibri" w:hAnsi="Arial" w:cs="Arial"/>
      <w:spacing w:val="4"/>
      <w:sz w:val="20"/>
      <w:szCs w:val="24"/>
      <w:lang w:eastAsia="en-AU"/>
    </w:rPr>
  </w:style>
  <w:style w:type="paragraph" w:styleId="ListNumber">
    <w:name w:val="List Number"/>
    <w:basedOn w:val="Normal"/>
    <w:rsid w:val="00AC72FA"/>
    <w:pPr>
      <w:numPr>
        <w:numId w:val="13"/>
      </w:numPr>
      <w:spacing w:before="40" w:after="120"/>
    </w:pPr>
    <w:rPr>
      <w:iCs/>
      <w:spacing w:val="0"/>
      <w:sz w:val="20"/>
      <w:lang w:eastAsia="en-US"/>
    </w:rPr>
  </w:style>
  <w:style w:type="paragraph" w:customStyle="1" w:styleId="Bullets1stindent">
    <w:name w:val="Bullets (1st indent)"/>
    <w:basedOn w:val="BodyText1"/>
    <w:rsid w:val="00AC72FA"/>
    <w:pPr>
      <w:numPr>
        <w:numId w:val="15"/>
      </w:numPr>
    </w:pPr>
  </w:style>
  <w:style w:type="paragraph" w:customStyle="1" w:styleId="Bullets2ndindent">
    <w:name w:val="Bullets (2nd indent)"/>
    <w:basedOn w:val="BodyText1"/>
    <w:rsid w:val="00AC72FA"/>
    <w:pPr>
      <w:numPr>
        <w:ilvl w:val="1"/>
        <w:numId w:val="15"/>
      </w:numPr>
    </w:pPr>
  </w:style>
  <w:style w:type="numbering" w:customStyle="1" w:styleId="Bullets">
    <w:name w:val="Bullets"/>
    <w:basedOn w:val="NoList"/>
    <w:uiPriority w:val="99"/>
    <w:rsid w:val="00AC72FA"/>
    <w:pPr>
      <w:numPr>
        <w:numId w:val="15"/>
      </w:numPr>
    </w:pPr>
  </w:style>
  <w:style w:type="paragraph" w:customStyle="1" w:styleId="Figuretitle">
    <w:name w:val="Figure title"/>
    <w:basedOn w:val="Heading2"/>
    <w:next w:val="BodyText1"/>
    <w:rsid w:val="00AC72FA"/>
    <w:pPr>
      <w:numPr>
        <w:ilvl w:val="6"/>
        <w:numId w:val="14"/>
      </w:numPr>
      <w:spacing w:before="0"/>
    </w:pPr>
    <w:rPr>
      <w:rFonts w:ascii="Arial" w:eastAsia="Times New Roman" w:hAnsi="Arial" w:cs="Times New Roman"/>
      <w:b/>
      <w:bCs w:val="0"/>
      <w:color w:val="auto"/>
      <w:spacing w:val="-6"/>
      <w:sz w:val="26"/>
      <w:szCs w:val="24"/>
      <w:lang w:eastAsia="en-US"/>
    </w:rPr>
  </w:style>
  <w:style w:type="paragraph" w:customStyle="1" w:styleId="Bulletslast1stindent">
    <w:name w:val="Bullets last (1st indent)"/>
    <w:basedOn w:val="BodyText1"/>
    <w:rsid w:val="00AC72FA"/>
    <w:pPr>
      <w:numPr>
        <w:ilvl w:val="2"/>
        <w:numId w:val="15"/>
      </w:numPr>
    </w:pPr>
  </w:style>
  <w:style w:type="numbering" w:customStyle="1" w:styleId="Numbers">
    <w:name w:val="Numbers"/>
    <w:basedOn w:val="NoList"/>
    <w:rsid w:val="00AC72FA"/>
    <w:pPr>
      <w:numPr>
        <w:numId w:val="17"/>
      </w:numPr>
    </w:pPr>
  </w:style>
  <w:style w:type="paragraph" w:customStyle="1" w:styleId="Bulletslast2ndindent">
    <w:name w:val="Bullets last (2nd indent)"/>
    <w:basedOn w:val="BodyText1"/>
    <w:rsid w:val="00AC72FA"/>
    <w:pPr>
      <w:numPr>
        <w:ilvl w:val="3"/>
        <w:numId w:val="15"/>
      </w:numPr>
      <w:spacing w:after="57"/>
    </w:pPr>
  </w:style>
  <w:style w:type="paragraph" w:customStyle="1" w:styleId="Tablebodytext">
    <w:name w:val="Table body text"/>
    <w:qFormat/>
    <w:rsid w:val="00AC72FA"/>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AC72FA"/>
    <w:pPr>
      <w:numPr>
        <w:ilvl w:val="6"/>
        <w:numId w:val="15"/>
      </w:numPr>
    </w:pPr>
  </w:style>
  <w:style w:type="paragraph" w:customStyle="1" w:styleId="Tablebullets1stindent">
    <w:name w:val="Table bullets (1st indent)"/>
    <w:basedOn w:val="Tablebodytext"/>
    <w:qFormat/>
    <w:rsid w:val="00AC72FA"/>
    <w:pPr>
      <w:numPr>
        <w:ilvl w:val="5"/>
        <w:numId w:val="15"/>
      </w:numPr>
    </w:pPr>
  </w:style>
  <w:style w:type="paragraph" w:customStyle="1" w:styleId="Tablecolumnheading">
    <w:name w:val="Table column heading"/>
    <w:basedOn w:val="Tablebodytext"/>
    <w:qFormat/>
    <w:rsid w:val="00AC72FA"/>
    <w:pPr>
      <w:keepNext/>
    </w:pPr>
    <w:rPr>
      <w:b/>
    </w:rPr>
  </w:style>
  <w:style w:type="paragraph" w:customStyle="1" w:styleId="Tabletitle">
    <w:name w:val="Table title"/>
    <w:basedOn w:val="Heading2"/>
    <w:next w:val="BodyText1"/>
    <w:rsid w:val="00AC72FA"/>
    <w:pPr>
      <w:numPr>
        <w:ilvl w:val="8"/>
        <w:numId w:val="14"/>
      </w:numPr>
      <w:spacing w:before="0"/>
    </w:pPr>
    <w:rPr>
      <w:rFonts w:ascii="Arial" w:eastAsia="Times New Roman" w:hAnsi="Arial" w:cs="Times New Roman"/>
      <w:b/>
      <w:bCs w:val="0"/>
      <w:color w:val="auto"/>
      <w:spacing w:val="-6"/>
      <w:sz w:val="26"/>
      <w:szCs w:val="24"/>
      <w:lang w:eastAsia="en-US"/>
    </w:rPr>
  </w:style>
  <w:style w:type="paragraph" w:customStyle="1" w:styleId="Notetitle">
    <w:name w:val="Note title"/>
    <w:basedOn w:val="Heading2"/>
    <w:rsid w:val="00AC72FA"/>
    <w:pPr>
      <w:numPr>
        <w:ilvl w:val="7"/>
        <w:numId w:val="14"/>
      </w:numPr>
      <w:spacing w:before="0"/>
    </w:pPr>
    <w:rPr>
      <w:rFonts w:ascii="Arial" w:eastAsia="Times New Roman" w:hAnsi="Arial" w:cs="Times New Roman"/>
      <w:b/>
      <w:bCs w:val="0"/>
      <w:color w:val="auto"/>
      <w:spacing w:val="-6"/>
      <w:sz w:val="26"/>
      <w:lang w:eastAsia="en-US"/>
    </w:rPr>
  </w:style>
  <w:style w:type="paragraph" w:customStyle="1" w:styleId="Numberedpara1stindent">
    <w:name w:val="Numbered para (1st indent)"/>
    <w:basedOn w:val="BodyText1"/>
    <w:rsid w:val="00AC72FA"/>
    <w:pPr>
      <w:numPr>
        <w:ilvl w:val="3"/>
        <w:numId w:val="14"/>
      </w:numPr>
    </w:pPr>
  </w:style>
  <w:style w:type="paragraph" w:customStyle="1" w:styleId="Numberedpara2ndindent">
    <w:name w:val="Numbered para (2nd indent)"/>
    <w:basedOn w:val="BodyText1"/>
    <w:rsid w:val="00AC72FA"/>
    <w:pPr>
      <w:numPr>
        <w:ilvl w:val="4"/>
        <w:numId w:val="14"/>
      </w:numPr>
    </w:pPr>
  </w:style>
  <w:style w:type="paragraph" w:customStyle="1" w:styleId="Numberedpara3rdindent">
    <w:name w:val="Numbered para (3rd indent)"/>
    <w:basedOn w:val="BodyText1"/>
    <w:rsid w:val="00AC72FA"/>
    <w:pPr>
      <w:numPr>
        <w:ilvl w:val="5"/>
        <w:numId w:val="14"/>
      </w:numPr>
    </w:pPr>
  </w:style>
  <w:style w:type="paragraph" w:customStyle="1" w:styleId="Sourcenotetext">
    <w:name w:val="Source/note text"/>
    <w:qFormat/>
    <w:rsid w:val="00AC72FA"/>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AC72FA"/>
  </w:style>
  <w:style w:type="paragraph" w:customStyle="1" w:styleId="CABNETParagraphAtt">
    <w:name w:val="CABNET Paragraph Att"/>
    <w:basedOn w:val="Normal"/>
    <w:link w:val="CABNETParagraphAttChar"/>
    <w:rsid w:val="00AC72FA"/>
    <w:pPr>
      <w:spacing w:after="120" w:line="240" w:lineRule="auto"/>
    </w:pPr>
    <w:rPr>
      <w:rFonts w:asciiTheme="minorHAnsi" w:eastAsiaTheme="minorHAnsi" w:hAnsiTheme="minorHAnsi" w:cstheme="minorBidi"/>
      <w:spacing w:val="0"/>
      <w:sz w:val="22"/>
      <w:szCs w:val="22"/>
      <w:lang w:eastAsia="en-US"/>
    </w:rPr>
  </w:style>
  <w:style w:type="paragraph" w:customStyle="1" w:styleId="BodyIndent0">
    <w:name w:val="Body Indent 0"/>
    <w:link w:val="BodyIndent0Char"/>
    <w:rsid w:val="00AC72FA"/>
    <w:pPr>
      <w:suppressAutoHyphens/>
      <w:spacing w:after="160" w:line="264" w:lineRule="auto"/>
    </w:pPr>
    <w:rPr>
      <w:rFonts w:ascii="Calibri" w:eastAsia="Times New Roman" w:hAnsi="Calibri" w:cs="Times New Roman"/>
      <w:sz w:val="20"/>
      <w:szCs w:val="24"/>
      <w:lang w:eastAsia="en-AU"/>
    </w:rPr>
  </w:style>
  <w:style w:type="character" w:customStyle="1" w:styleId="BodyIndent0Char">
    <w:name w:val="Body Indent 0 Char"/>
    <w:link w:val="BodyIndent0"/>
    <w:rsid w:val="00AC72FA"/>
    <w:rPr>
      <w:rFonts w:ascii="Calibri" w:eastAsia="Times New Roman" w:hAnsi="Calibri" w:cs="Times New Roman"/>
      <w:sz w:val="20"/>
      <w:szCs w:val="24"/>
      <w:lang w:eastAsia="en-AU"/>
    </w:rPr>
  </w:style>
  <w:style w:type="character" w:styleId="BookTitle">
    <w:name w:val="Book Title"/>
    <w:uiPriority w:val="33"/>
    <w:qFormat/>
    <w:rsid w:val="00AC72FA"/>
    <w:rPr>
      <w:i/>
      <w:iCs/>
      <w:smallCaps/>
      <w:spacing w:val="5"/>
    </w:rPr>
  </w:style>
  <w:style w:type="character" w:customStyle="1" w:styleId="CharacterItalic">
    <w:name w:val="Character + Italic"/>
    <w:rsid w:val="00AC72FA"/>
    <w:rPr>
      <w:i/>
      <w:lang w:val="en-AU" w:eastAsia="en-AU"/>
    </w:rPr>
  </w:style>
  <w:style w:type="table" w:styleId="MediumShading1-Accent6">
    <w:name w:val="Medium Shading 1 Accent 6"/>
    <w:basedOn w:val="TableNormal"/>
    <w:uiPriority w:val="63"/>
    <w:rsid w:val="00AC72FA"/>
    <w:pPr>
      <w:spacing w:after="0" w:line="240" w:lineRule="auto"/>
    </w:pPr>
    <w:tblPr>
      <w:tblStyleRowBandSize w:val="1"/>
      <w:tblStyleColBandSize w:val="1"/>
      <w:tblBorders>
        <w:top w:val="single" w:sz="8" w:space="0" w:color="C4EAEA" w:themeColor="accent6" w:themeTint="BF"/>
        <w:left w:val="single" w:sz="8" w:space="0" w:color="C4EAEA" w:themeColor="accent6" w:themeTint="BF"/>
        <w:bottom w:val="single" w:sz="8" w:space="0" w:color="C4EAEA" w:themeColor="accent6" w:themeTint="BF"/>
        <w:right w:val="single" w:sz="8" w:space="0" w:color="C4EAEA" w:themeColor="accent6" w:themeTint="BF"/>
        <w:insideH w:val="single" w:sz="8" w:space="0" w:color="C4EAEA" w:themeColor="accent6" w:themeTint="BF"/>
      </w:tblBorders>
    </w:tblPr>
    <w:tblStylePr w:type="firstRow">
      <w:pPr>
        <w:spacing w:before="0" w:after="0" w:line="240" w:lineRule="auto"/>
      </w:pPr>
      <w:rPr>
        <w:b/>
        <w:bCs/>
        <w:color w:val="FFFFFF" w:themeColor="background1"/>
      </w:rPr>
      <w:tblPr/>
      <w:tcPr>
        <w:tcBorders>
          <w:top w:val="single" w:sz="8" w:space="0" w:color="C4EAEA" w:themeColor="accent6" w:themeTint="BF"/>
          <w:left w:val="single" w:sz="8" w:space="0" w:color="C4EAEA" w:themeColor="accent6" w:themeTint="BF"/>
          <w:bottom w:val="single" w:sz="8" w:space="0" w:color="C4EAEA" w:themeColor="accent6" w:themeTint="BF"/>
          <w:right w:val="single" w:sz="8" w:space="0" w:color="C4EAEA" w:themeColor="accent6" w:themeTint="BF"/>
          <w:insideH w:val="nil"/>
          <w:insideV w:val="nil"/>
        </w:tcBorders>
        <w:shd w:val="clear" w:color="auto" w:fill="B1E4E3" w:themeFill="accent6"/>
      </w:tcPr>
    </w:tblStylePr>
    <w:tblStylePr w:type="lastRow">
      <w:pPr>
        <w:spacing w:before="0" w:after="0" w:line="240" w:lineRule="auto"/>
      </w:pPr>
      <w:rPr>
        <w:b/>
        <w:bCs/>
      </w:rPr>
      <w:tblPr/>
      <w:tcPr>
        <w:tcBorders>
          <w:top w:val="double" w:sz="6" w:space="0" w:color="C4EAEA" w:themeColor="accent6" w:themeTint="BF"/>
          <w:left w:val="single" w:sz="8" w:space="0" w:color="C4EAEA" w:themeColor="accent6" w:themeTint="BF"/>
          <w:bottom w:val="single" w:sz="8" w:space="0" w:color="C4EAEA" w:themeColor="accent6" w:themeTint="BF"/>
          <w:right w:val="single" w:sz="8" w:space="0" w:color="C4EAE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8F8" w:themeFill="accent6" w:themeFillTint="3F"/>
      </w:tcPr>
    </w:tblStylePr>
    <w:tblStylePr w:type="band1Horz">
      <w:tblPr/>
      <w:tcPr>
        <w:tcBorders>
          <w:insideH w:val="nil"/>
          <w:insideV w:val="nil"/>
        </w:tcBorders>
        <w:shd w:val="clear" w:color="auto" w:fill="EBF8F8" w:themeFill="accent6"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C72FA"/>
    <w:pPr>
      <w:spacing w:after="0" w:line="240" w:lineRule="auto"/>
    </w:pPr>
    <w:tblPr>
      <w:tblStyleRowBandSize w:val="1"/>
      <w:tblStyleColBandSize w:val="1"/>
      <w:tblBorders>
        <w:top w:val="single" w:sz="8" w:space="0" w:color="C4EAEA" w:themeColor="accent3" w:themeTint="BF"/>
        <w:left w:val="single" w:sz="8" w:space="0" w:color="C4EAEA" w:themeColor="accent3" w:themeTint="BF"/>
        <w:bottom w:val="single" w:sz="8" w:space="0" w:color="C4EAEA" w:themeColor="accent3" w:themeTint="BF"/>
        <w:right w:val="single" w:sz="8" w:space="0" w:color="C4EAEA" w:themeColor="accent3" w:themeTint="BF"/>
        <w:insideH w:val="single" w:sz="8" w:space="0" w:color="C4EAEA" w:themeColor="accent3" w:themeTint="BF"/>
      </w:tblBorders>
    </w:tblPr>
    <w:tblStylePr w:type="firstRow">
      <w:pPr>
        <w:spacing w:before="0" w:after="0" w:line="240" w:lineRule="auto"/>
      </w:pPr>
      <w:rPr>
        <w:b/>
        <w:bCs/>
        <w:color w:val="FFFFFF" w:themeColor="background1"/>
      </w:rPr>
      <w:tblPr/>
      <w:tcPr>
        <w:tcBorders>
          <w:top w:val="single" w:sz="8" w:space="0" w:color="C4EAEA" w:themeColor="accent3" w:themeTint="BF"/>
          <w:left w:val="single" w:sz="8" w:space="0" w:color="C4EAEA" w:themeColor="accent3" w:themeTint="BF"/>
          <w:bottom w:val="single" w:sz="8" w:space="0" w:color="C4EAEA" w:themeColor="accent3" w:themeTint="BF"/>
          <w:right w:val="single" w:sz="8" w:space="0" w:color="C4EAEA" w:themeColor="accent3" w:themeTint="BF"/>
          <w:insideH w:val="nil"/>
          <w:insideV w:val="nil"/>
        </w:tcBorders>
        <w:shd w:val="clear" w:color="auto" w:fill="B1E4E3" w:themeFill="accent3"/>
      </w:tcPr>
    </w:tblStylePr>
    <w:tblStylePr w:type="lastRow">
      <w:pPr>
        <w:spacing w:before="0" w:after="0" w:line="240" w:lineRule="auto"/>
      </w:pPr>
      <w:rPr>
        <w:b/>
        <w:bCs/>
      </w:rPr>
      <w:tblPr/>
      <w:tcPr>
        <w:tcBorders>
          <w:top w:val="double" w:sz="6" w:space="0" w:color="C4EAEA" w:themeColor="accent3" w:themeTint="BF"/>
          <w:left w:val="single" w:sz="8" w:space="0" w:color="C4EAEA" w:themeColor="accent3" w:themeTint="BF"/>
          <w:bottom w:val="single" w:sz="8" w:space="0" w:color="C4EAEA" w:themeColor="accent3" w:themeTint="BF"/>
          <w:right w:val="single" w:sz="8" w:space="0" w:color="C4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BF8F8" w:themeFill="accent3" w:themeFillTint="3F"/>
      </w:tcPr>
    </w:tblStylePr>
    <w:tblStylePr w:type="band1Horz">
      <w:tblPr/>
      <w:tcPr>
        <w:tcBorders>
          <w:insideH w:val="nil"/>
          <w:insideV w:val="nil"/>
        </w:tcBorders>
        <w:shd w:val="clear" w:color="auto" w:fill="EBF8F8" w:themeFill="accent3" w:themeFillTint="3F"/>
      </w:tcPr>
    </w:tblStylePr>
    <w:tblStylePr w:type="band2Horz">
      <w:tblPr/>
      <w:tcPr>
        <w:tcBorders>
          <w:insideH w:val="nil"/>
          <w:insideV w:val="nil"/>
        </w:tcBorders>
      </w:tcPr>
    </w:tblStylePr>
  </w:style>
  <w:style w:type="paragraph" w:customStyle="1" w:styleId="TableBody">
    <w:name w:val="Table Body"/>
    <w:basedOn w:val="BodyIndent0"/>
    <w:rsid w:val="00AC72FA"/>
    <w:pPr>
      <w:spacing w:after="60" w:line="240" w:lineRule="auto"/>
    </w:pPr>
    <w:rPr>
      <w:lang w:eastAsia="en-US"/>
    </w:rPr>
  </w:style>
  <w:style w:type="paragraph" w:customStyle="1" w:styleId="TableHeading">
    <w:name w:val="Table Heading"/>
    <w:basedOn w:val="TableBody"/>
    <w:rsid w:val="00AC72FA"/>
    <w:pPr>
      <w:keepLines/>
    </w:pPr>
    <w:rPr>
      <w:b/>
      <w:color w:val="FFFFFF"/>
    </w:rPr>
  </w:style>
  <w:style w:type="table" w:styleId="LightList-Accent6">
    <w:name w:val="Light List Accent 6"/>
    <w:basedOn w:val="TableNormal"/>
    <w:uiPriority w:val="61"/>
    <w:rsid w:val="00AC72FA"/>
    <w:pPr>
      <w:spacing w:after="0" w:line="240" w:lineRule="auto"/>
    </w:pPr>
    <w:tblPr>
      <w:tblStyleRowBandSize w:val="1"/>
      <w:tblStyleColBandSize w:val="1"/>
      <w:tblBorders>
        <w:top w:val="single" w:sz="8" w:space="0" w:color="B1E4E3" w:themeColor="accent6"/>
        <w:left w:val="single" w:sz="8" w:space="0" w:color="B1E4E3" w:themeColor="accent6"/>
        <w:bottom w:val="single" w:sz="8" w:space="0" w:color="B1E4E3" w:themeColor="accent6"/>
        <w:right w:val="single" w:sz="8" w:space="0" w:color="B1E4E3" w:themeColor="accent6"/>
      </w:tblBorders>
    </w:tblPr>
    <w:tblStylePr w:type="firstRow">
      <w:pPr>
        <w:spacing w:before="0" w:after="0" w:line="240" w:lineRule="auto"/>
      </w:pPr>
      <w:rPr>
        <w:b/>
        <w:bCs/>
        <w:color w:val="FFFFFF" w:themeColor="background1"/>
      </w:rPr>
      <w:tblPr/>
      <w:tcPr>
        <w:shd w:val="clear" w:color="auto" w:fill="B1E4E3" w:themeFill="accent6"/>
      </w:tcPr>
    </w:tblStylePr>
    <w:tblStylePr w:type="lastRow">
      <w:pPr>
        <w:spacing w:before="0" w:after="0" w:line="240" w:lineRule="auto"/>
      </w:pPr>
      <w:rPr>
        <w:b/>
        <w:bCs/>
      </w:rPr>
      <w:tblPr/>
      <w:tcPr>
        <w:tcBorders>
          <w:top w:val="double" w:sz="6" w:space="0" w:color="B1E4E3" w:themeColor="accent6"/>
          <w:left w:val="single" w:sz="8" w:space="0" w:color="B1E4E3" w:themeColor="accent6"/>
          <w:bottom w:val="single" w:sz="8" w:space="0" w:color="B1E4E3" w:themeColor="accent6"/>
          <w:right w:val="single" w:sz="8" w:space="0" w:color="B1E4E3" w:themeColor="accent6"/>
        </w:tcBorders>
      </w:tcPr>
    </w:tblStylePr>
    <w:tblStylePr w:type="firstCol">
      <w:rPr>
        <w:b/>
        <w:bCs/>
      </w:rPr>
    </w:tblStylePr>
    <w:tblStylePr w:type="lastCol">
      <w:rPr>
        <w:b/>
        <w:bCs/>
      </w:rPr>
    </w:tblStylePr>
    <w:tblStylePr w:type="band1Vert">
      <w:tblPr/>
      <w:tcPr>
        <w:tcBorders>
          <w:top w:val="single" w:sz="8" w:space="0" w:color="B1E4E3" w:themeColor="accent6"/>
          <w:left w:val="single" w:sz="8" w:space="0" w:color="B1E4E3" w:themeColor="accent6"/>
          <w:bottom w:val="single" w:sz="8" w:space="0" w:color="B1E4E3" w:themeColor="accent6"/>
          <w:right w:val="single" w:sz="8" w:space="0" w:color="B1E4E3" w:themeColor="accent6"/>
        </w:tcBorders>
      </w:tcPr>
    </w:tblStylePr>
    <w:tblStylePr w:type="band1Horz">
      <w:tblPr/>
      <w:tcPr>
        <w:tcBorders>
          <w:top w:val="single" w:sz="8" w:space="0" w:color="B1E4E3" w:themeColor="accent6"/>
          <w:left w:val="single" w:sz="8" w:space="0" w:color="B1E4E3" w:themeColor="accent6"/>
          <w:bottom w:val="single" w:sz="8" w:space="0" w:color="B1E4E3" w:themeColor="accent6"/>
          <w:right w:val="single" w:sz="8" w:space="0" w:color="B1E4E3" w:themeColor="accent6"/>
        </w:tcBorders>
      </w:tcPr>
    </w:tblStylePr>
  </w:style>
  <w:style w:type="table" w:styleId="LightList-Accent3">
    <w:name w:val="Light List Accent 3"/>
    <w:basedOn w:val="TableNormal"/>
    <w:uiPriority w:val="61"/>
    <w:rsid w:val="00AC72FA"/>
    <w:pPr>
      <w:spacing w:after="0" w:line="240" w:lineRule="auto"/>
    </w:pPr>
    <w:tblPr>
      <w:tblStyleRowBandSize w:val="1"/>
      <w:tblStyleColBandSize w:val="1"/>
      <w:tblBorders>
        <w:top w:val="single" w:sz="8" w:space="0" w:color="B1E4E3" w:themeColor="accent3"/>
        <w:left w:val="single" w:sz="8" w:space="0" w:color="B1E4E3" w:themeColor="accent3"/>
        <w:bottom w:val="single" w:sz="8" w:space="0" w:color="B1E4E3" w:themeColor="accent3"/>
        <w:right w:val="single" w:sz="8" w:space="0" w:color="B1E4E3" w:themeColor="accent3"/>
      </w:tblBorders>
    </w:tblPr>
    <w:tblStylePr w:type="firstRow">
      <w:pPr>
        <w:spacing w:before="0" w:after="0" w:line="240" w:lineRule="auto"/>
      </w:pPr>
      <w:rPr>
        <w:b/>
        <w:bCs/>
        <w:color w:val="FFFFFF" w:themeColor="background1"/>
      </w:rPr>
      <w:tblPr/>
      <w:tcPr>
        <w:shd w:val="clear" w:color="auto" w:fill="B1E4E3" w:themeFill="accent3"/>
      </w:tcPr>
    </w:tblStylePr>
    <w:tblStylePr w:type="lastRow">
      <w:pPr>
        <w:spacing w:before="0" w:after="0" w:line="240" w:lineRule="auto"/>
      </w:pPr>
      <w:rPr>
        <w:b/>
        <w:bCs/>
      </w:rPr>
      <w:tblPr/>
      <w:tcPr>
        <w:tcBorders>
          <w:top w:val="double" w:sz="6" w:space="0" w:color="B1E4E3" w:themeColor="accent3"/>
          <w:left w:val="single" w:sz="8" w:space="0" w:color="B1E4E3" w:themeColor="accent3"/>
          <w:bottom w:val="single" w:sz="8" w:space="0" w:color="B1E4E3" w:themeColor="accent3"/>
          <w:right w:val="single" w:sz="8" w:space="0" w:color="B1E4E3" w:themeColor="accent3"/>
        </w:tcBorders>
      </w:tcPr>
    </w:tblStylePr>
    <w:tblStylePr w:type="firstCol">
      <w:rPr>
        <w:b/>
        <w:bCs/>
      </w:rPr>
    </w:tblStylePr>
    <w:tblStylePr w:type="lastCol">
      <w:rPr>
        <w:b/>
        <w:bCs/>
      </w:rPr>
    </w:tblStylePr>
    <w:tblStylePr w:type="band1Vert">
      <w:tblPr/>
      <w:tcPr>
        <w:tcBorders>
          <w:top w:val="single" w:sz="8" w:space="0" w:color="B1E4E3" w:themeColor="accent3"/>
          <w:left w:val="single" w:sz="8" w:space="0" w:color="B1E4E3" w:themeColor="accent3"/>
          <w:bottom w:val="single" w:sz="8" w:space="0" w:color="B1E4E3" w:themeColor="accent3"/>
          <w:right w:val="single" w:sz="8" w:space="0" w:color="B1E4E3" w:themeColor="accent3"/>
        </w:tcBorders>
      </w:tcPr>
    </w:tblStylePr>
    <w:tblStylePr w:type="band1Horz">
      <w:tblPr/>
      <w:tcPr>
        <w:tcBorders>
          <w:top w:val="single" w:sz="8" w:space="0" w:color="B1E4E3" w:themeColor="accent3"/>
          <w:left w:val="single" w:sz="8" w:space="0" w:color="B1E4E3" w:themeColor="accent3"/>
          <w:bottom w:val="single" w:sz="8" w:space="0" w:color="B1E4E3" w:themeColor="accent3"/>
          <w:right w:val="single" w:sz="8" w:space="0" w:color="B1E4E3" w:themeColor="accent3"/>
        </w:tcBorders>
      </w:tcPr>
    </w:tblStylePr>
  </w:style>
  <w:style w:type="paragraph" w:customStyle="1" w:styleId="ListBullet1Indent0">
    <w:name w:val="List Bullet 1 Indent 0"/>
    <w:basedOn w:val="BodyIndent0"/>
    <w:rsid w:val="00AC72FA"/>
    <w:pPr>
      <w:numPr>
        <w:numId w:val="29"/>
      </w:numPr>
      <w:tabs>
        <w:tab w:val="clear" w:pos="397"/>
        <w:tab w:val="num" w:pos="360"/>
      </w:tabs>
      <w:adjustRightInd w:val="0"/>
      <w:ind w:left="0" w:firstLine="0"/>
    </w:pPr>
    <w:rPr>
      <w:rFonts w:cs="Myriad Pro Light"/>
      <w:color w:val="000000"/>
    </w:rPr>
  </w:style>
  <w:style w:type="character" w:customStyle="1" w:styleId="CharacterBold">
    <w:name w:val="Character + Bold"/>
    <w:rsid w:val="00AC72FA"/>
    <w:rPr>
      <w:b/>
      <w:bCs w:val="0"/>
      <w:lang w:val="en-AU" w:eastAsia="en-AU"/>
    </w:rPr>
  </w:style>
  <w:style w:type="paragraph" w:customStyle="1" w:styleId="H4notTOC">
    <w:name w:val="H4 (not TOC)"/>
    <w:basedOn w:val="Normal"/>
    <w:next w:val="BodyIndent0"/>
    <w:link w:val="H4notTOCChar"/>
    <w:rsid w:val="00AC72FA"/>
    <w:pPr>
      <w:keepNext/>
      <w:keepLines/>
      <w:tabs>
        <w:tab w:val="left" w:pos="567"/>
      </w:tabs>
      <w:suppressAutoHyphens/>
      <w:adjustRightInd w:val="0"/>
      <w:spacing w:before="240" w:after="160" w:line="320" w:lineRule="atLeast"/>
      <w:outlineLvl w:val="3"/>
    </w:pPr>
    <w:rPr>
      <w:rFonts w:ascii="Calibri" w:hAnsi="Calibri"/>
      <w:b/>
      <w:color w:val="800000"/>
      <w:spacing w:val="0"/>
      <w:sz w:val="26"/>
      <w:szCs w:val="32"/>
    </w:rPr>
  </w:style>
  <w:style w:type="character" w:customStyle="1" w:styleId="H4notTOCChar">
    <w:name w:val="H4 (not TOC) Char"/>
    <w:link w:val="H4notTOC"/>
    <w:rsid w:val="00AC72FA"/>
    <w:rPr>
      <w:rFonts w:ascii="Calibri" w:eastAsia="Times New Roman" w:hAnsi="Calibri" w:cs="Times New Roman"/>
      <w:b/>
      <w:color w:val="800000"/>
      <w:sz w:val="26"/>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06960862">
      <w:bodyDiv w:val="1"/>
      <w:marLeft w:val="0"/>
      <w:marRight w:val="0"/>
      <w:marTop w:val="0"/>
      <w:marBottom w:val="0"/>
      <w:divBdr>
        <w:top w:val="none" w:sz="0" w:space="0" w:color="auto"/>
        <w:left w:val="none" w:sz="0" w:space="0" w:color="auto"/>
        <w:bottom w:val="none" w:sz="0" w:space="0" w:color="auto"/>
        <w:right w:val="none" w:sz="0" w:space="0" w:color="auto"/>
      </w:divBdr>
    </w:div>
    <w:div w:id="1228111850">
      <w:bodyDiv w:val="1"/>
      <w:marLeft w:val="0"/>
      <w:marRight w:val="0"/>
      <w:marTop w:val="0"/>
      <w:marBottom w:val="0"/>
      <w:divBdr>
        <w:top w:val="none" w:sz="0" w:space="0" w:color="auto"/>
        <w:left w:val="none" w:sz="0" w:space="0" w:color="auto"/>
        <w:bottom w:val="none" w:sz="0" w:space="0" w:color="auto"/>
        <w:right w:val="none" w:sz="0" w:space="0" w:color="auto"/>
      </w:divBdr>
    </w:div>
    <w:div w:id="1472401704">
      <w:bodyDiv w:val="1"/>
      <w:marLeft w:val="0"/>
      <w:marRight w:val="0"/>
      <w:marTop w:val="0"/>
      <w:marBottom w:val="0"/>
      <w:divBdr>
        <w:top w:val="none" w:sz="0" w:space="0" w:color="auto"/>
        <w:left w:val="none" w:sz="0" w:space="0" w:color="auto"/>
        <w:bottom w:val="none" w:sz="0" w:space="0" w:color="auto"/>
        <w:right w:val="none" w:sz="0" w:space="0" w:color="auto"/>
      </w:divBdr>
    </w:div>
    <w:div w:id="2105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ss.gov.au/sites/default/files/documents/11_2016/ongoing_support_assessment_guidelines_v2.2.pdf" TargetMode="External"/><Relationship Id="rId18" Type="http://schemas.openxmlformats.org/officeDocument/2006/relationships/hyperlink" Target="https://www.communitygrants.gov.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engage.dss.gov.au/disability-employment-services-reform-2018-industry-information-paper/disability-employment-services-reform-2018-industry-information-paper-sheets/" TargetMode="External"/><Relationship Id="rId17" Type="http://schemas.openxmlformats.org/officeDocument/2006/relationships/hyperlink" Target="http://www.finance.gov.au/sites/default/files/commonwealth-grants-rules-and-guidelines-July2014.pdf" TargetMode="External"/><Relationship Id="rId2" Type="http://schemas.openxmlformats.org/officeDocument/2006/relationships/numbering" Target="numbering.xml"/><Relationship Id="rId16" Type="http://schemas.openxmlformats.org/officeDocument/2006/relationships/hyperlink" Target="https://www.dss.gov.au/sites/default/files/documents/08_2015/des-workplace-modification-assessment-guidelines.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jobaccess.gov.a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dss.gov.au/sites/default/files/documents/06_2017/supported_wage_systems_assessment_guidelines_v_1-3.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5F31D-736A-4131-8CE1-C15CA3C1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Blue</Template>
  <TotalTime>2</TotalTime>
  <Pages>12</Pages>
  <Words>2828</Words>
  <Characters>17538</Characters>
  <Application>Microsoft Office Word</Application>
  <DocSecurity>0</DocSecurity>
  <Lines>2192</Lines>
  <Paragraphs>496</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19870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deanna</dc:creator>
  <cp:lastModifiedBy>LAMB, Vera</cp:lastModifiedBy>
  <cp:revision>2</cp:revision>
  <cp:lastPrinted>2017-08-08T00:01:00Z</cp:lastPrinted>
  <dcterms:created xsi:type="dcterms:W3CDTF">2017-09-11T04:02:00Z</dcterms:created>
  <dcterms:modified xsi:type="dcterms:W3CDTF">2017-09-11T04:02:00Z</dcterms:modified>
</cp:coreProperties>
</file>