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CC5FFE" w:rsidRDefault="00B61DFA" w:rsidP="00CC5FFE">
      <w:pPr>
        <w:spacing w:before="60" w:after="60" w:line="240" w:lineRule="auto"/>
        <w:contextualSpacing/>
        <w:rPr>
          <w:rFonts w:ascii="Georgia" w:eastAsiaTheme="majorEastAsia" w:hAnsi="Georgia" w:cstheme="majorBidi"/>
          <w:color w:val="CF0A2C" w:themeColor="accent1"/>
          <w:kern w:val="28"/>
          <w:sz w:val="44"/>
          <w:szCs w:val="44"/>
        </w:rPr>
      </w:pPr>
      <w:r>
        <w:rPr>
          <w:rFonts w:ascii="Georgia" w:eastAsiaTheme="majorEastAsia" w:hAnsi="Georgia" w:cstheme="majorBidi"/>
          <w:color w:val="CF0A2C" w:themeColor="accent1"/>
          <w:kern w:val="28"/>
          <w:sz w:val="44"/>
          <w:szCs w:val="44"/>
        </w:rPr>
        <w:t>Redress Support Services</w:t>
      </w:r>
    </w:p>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rsidR="00F85F98" w:rsidRPr="00F85F98" w:rsidRDefault="00F85F98" w:rsidP="005C14EB">
      <w:pPr>
        <w:pStyle w:val="Heading1"/>
      </w:pPr>
      <w:r w:rsidRPr="00F85F98">
        <w:t>Overview</w:t>
      </w:r>
    </w:p>
    <w:p w:rsidR="00904216" w:rsidRPr="005C14EB" w:rsidRDefault="00904216" w:rsidP="005C14EB">
      <w:pPr>
        <w:pStyle w:val="BodyText"/>
      </w:pPr>
      <w:r w:rsidRPr="005C14EB">
        <w:t>Redress Support Services</w:t>
      </w:r>
      <w:r w:rsidR="009B5D64" w:rsidRPr="005C14EB">
        <w:t xml:space="preserve"> (RSS)</w:t>
      </w:r>
      <w:r w:rsidRPr="005C14EB">
        <w:t xml:space="preserve"> play a critical role in providing emotional and practical support for people affected by institutional child sexual abuse to complete an application and interact with the National Redress Scheme (the Scheme).</w:t>
      </w:r>
    </w:p>
    <w:p w:rsidR="00904216" w:rsidRPr="005C14EB" w:rsidRDefault="00904216" w:rsidP="005C14EB">
      <w:pPr>
        <w:pStyle w:val="BodyText"/>
      </w:pPr>
      <w:r w:rsidRPr="005C14EB">
        <w:t>Practical support includes providing information about the Scheme, assisting people to complete the Scheme’s application form, and supporting people to access other appropriate services such as legal and financial counselling or other community services.</w:t>
      </w:r>
    </w:p>
    <w:p w:rsidR="00904216" w:rsidRPr="005C14EB" w:rsidRDefault="00904216" w:rsidP="005C14EB">
      <w:pPr>
        <w:pStyle w:val="BodyText"/>
      </w:pPr>
      <w:r w:rsidRPr="005C14EB">
        <w:t>Emotional support includes providing counselling, case management, professional supervision and similar arrangements to provide people with a safe environment to engage with the Scheme.</w:t>
      </w:r>
    </w:p>
    <w:p w:rsidR="00BC2792" w:rsidRPr="005C14EB" w:rsidRDefault="00904216" w:rsidP="005C14EB">
      <w:pPr>
        <w:pStyle w:val="BodyText"/>
      </w:pPr>
      <w:r w:rsidRPr="005C14EB">
        <w:t>RSS can play a key role in managing people’s expectations about the Scheme by providing clear information about what the Scheme is, how it can be accessed and what a person can reasonably expect through the process of applying and potentially accepting an offer of redress.</w:t>
      </w:r>
    </w:p>
    <w:p w:rsidR="009B5D64" w:rsidRPr="00773776" w:rsidRDefault="009B5D64">
      <w:pPr>
        <w:pStyle w:val="BodyText"/>
      </w:pPr>
      <w:r w:rsidRPr="00773776">
        <w:t>The Government committed up to $43.072</w:t>
      </w:r>
      <w:r w:rsidR="00655791">
        <w:t> </w:t>
      </w:r>
      <w:r w:rsidRPr="00773776">
        <w:t>million from 1</w:t>
      </w:r>
      <w:r w:rsidR="002D623C">
        <w:t> </w:t>
      </w:r>
      <w:r w:rsidRPr="00773776">
        <w:t>July</w:t>
      </w:r>
      <w:r w:rsidR="002D623C">
        <w:t> </w:t>
      </w:r>
      <w:r w:rsidRPr="00773776">
        <w:t>2022 to 30</w:t>
      </w:r>
      <w:r w:rsidR="002D623C">
        <w:t> </w:t>
      </w:r>
      <w:r w:rsidRPr="00773776">
        <w:t>June</w:t>
      </w:r>
      <w:r w:rsidR="002D623C">
        <w:t> </w:t>
      </w:r>
      <w:r w:rsidRPr="00773776">
        <w:t>2024 to fund community-based support services in every state and territory to provide support for people who experienced institutional child sexual abuse to interact with the Scheme.</w:t>
      </w:r>
    </w:p>
    <w:p w:rsidR="009F2B9E" w:rsidRPr="003766F5" w:rsidRDefault="0029028F" w:rsidP="005C14EB">
      <w:pPr>
        <w:pStyle w:val="BodyText"/>
      </w:pPr>
      <w:r w:rsidRPr="00773776">
        <w:t xml:space="preserve">The application period for </w:t>
      </w:r>
      <w:r w:rsidR="009B5D64" w:rsidRPr="00773776">
        <w:t>RSS</w:t>
      </w:r>
      <w:r w:rsidRPr="00773776">
        <w:t xml:space="preserve"> opened on 3</w:t>
      </w:r>
      <w:r w:rsidR="00655791">
        <w:t> </w:t>
      </w:r>
      <w:r w:rsidRPr="00773776">
        <w:t>August</w:t>
      </w:r>
      <w:r w:rsidR="00655791">
        <w:t> </w:t>
      </w:r>
      <w:r w:rsidRPr="00773776">
        <w:t>2021 and closed at 9:00</w:t>
      </w:r>
      <w:r w:rsidR="00655791">
        <w:t> </w:t>
      </w:r>
      <w:r w:rsidRPr="00773776">
        <w:t>pm</w:t>
      </w:r>
      <w:r w:rsidR="00655791">
        <w:t> </w:t>
      </w:r>
      <w:r w:rsidRPr="00773776">
        <w:t>(AEST) on 13</w:t>
      </w:r>
      <w:r w:rsidR="00094C40" w:rsidRPr="00773776">
        <w:t> </w:t>
      </w:r>
      <w:r w:rsidRPr="00773776">
        <w:t>September</w:t>
      </w:r>
      <w:r w:rsidR="00655791">
        <w:t> </w:t>
      </w:r>
      <w:r w:rsidRPr="00773776">
        <w:t>2021.</w:t>
      </w:r>
    </w:p>
    <w:p w:rsidR="00F85F98" w:rsidRPr="005118E4" w:rsidRDefault="00F85F98" w:rsidP="005C14EB">
      <w:pPr>
        <w:pStyle w:val="Heading1"/>
      </w:pPr>
      <w:r w:rsidRPr="005118E4">
        <w:t xml:space="preserve">Selection </w:t>
      </w:r>
      <w:r w:rsidR="00773776">
        <w:t>p</w:t>
      </w:r>
      <w:r w:rsidR="00773776" w:rsidRPr="005118E4">
        <w:t>rocess</w:t>
      </w:r>
    </w:p>
    <w:p w:rsidR="0029028F" w:rsidRPr="00773776" w:rsidRDefault="0029028F">
      <w:pPr>
        <w:pStyle w:val="BodyText"/>
      </w:pPr>
      <w:r w:rsidRPr="00773776">
        <w:t xml:space="preserve">An open competitive selection process was undertaken, allowing a range of organisations that met the eligibility criteria to apply. </w:t>
      </w:r>
      <w:r w:rsidR="009B5D64" w:rsidRPr="00773776">
        <w:t>An open competitive</w:t>
      </w:r>
      <w:r w:rsidRPr="00773776">
        <w:t xml:space="preserve"> process ensured all eligible applicants had an equal opportunity to apply.</w:t>
      </w:r>
    </w:p>
    <w:p w:rsidR="0029028F" w:rsidRPr="00773776" w:rsidRDefault="0029028F">
      <w:pPr>
        <w:pStyle w:val="BodyText"/>
      </w:pPr>
      <w:r w:rsidRPr="00773776">
        <w:t>Applications were first screened for eligibility and compliance against the requirements outlined in th</w:t>
      </w:r>
      <w:r w:rsidR="009B5D64" w:rsidRPr="00773776">
        <w:t xml:space="preserve">e Grant Opportunity Guidelines (GOGs). </w:t>
      </w:r>
      <w:r w:rsidRPr="00773776">
        <w:t xml:space="preserve">All eligible and compliant applications were then assessed and moderated by the </w:t>
      </w:r>
      <w:r w:rsidR="009B5D64" w:rsidRPr="00773776">
        <w:t>Department of Social Services</w:t>
      </w:r>
      <w:r w:rsidRPr="00773776">
        <w:t xml:space="preserve"> agains</w:t>
      </w:r>
      <w:r w:rsidR="009B5D64" w:rsidRPr="00773776">
        <w:t>t the three assessment criteria.</w:t>
      </w:r>
    </w:p>
    <w:p w:rsidR="0029028F" w:rsidRPr="00773776" w:rsidRDefault="0029028F">
      <w:pPr>
        <w:pStyle w:val="BodyText"/>
      </w:pPr>
      <w:r w:rsidRPr="00773776">
        <w:t>The Selection Advisory Panel</w:t>
      </w:r>
      <w:r w:rsidR="009B5D64" w:rsidRPr="00773776">
        <w:t xml:space="preserve"> (SAP)</w:t>
      </w:r>
      <w:r w:rsidRPr="00773776">
        <w:t xml:space="preserve">, with a mix of relevant policy, program and delivery expertise examined all assessments to make funding recommendations to the department’s Delegate. The recommendations were based on the strength of responses to the assessment criteria and the applicant’s ability to meet the grant requirements outlined in the </w:t>
      </w:r>
      <w:r w:rsidR="009B5D64" w:rsidRPr="00773776">
        <w:t>GOGs</w:t>
      </w:r>
      <w:r w:rsidRPr="00773776">
        <w:t>.</w:t>
      </w:r>
    </w:p>
    <w:p w:rsidR="0029028F" w:rsidRPr="002D623C" w:rsidRDefault="0029028F">
      <w:pPr>
        <w:pStyle w:val="BodyText"/>
      </w:pPr>
      <w:r w:rsidRPr="002D623C">
        <w:lastRenderedPageBreak/>
        <w:t xml:space="preserve">The </w:t>
      </w:r>
      <w:r w:rsidR="009B5D64" w:rsidRPr="002D623C">
        <w:t>SAP</w:t>
      </w:r>
      <w:r w:rsidRPr="002D623C">
        <w:t xml:space="preserve"> considered all applications and their assessment results and made recommendations on applications having regard to:</w:t>
      </w:r>
    </w:p>
    <w:p w:rsidR="0029028F" w:rsidRPr="005C14EB" w:rsidRDefault="0029028F"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whether the project, or any of its elements did not align with the program objectives</w:t>
      </w:r>
    </w:p>
    <w:p w:rsidR="0029028F" w:rsidRPr="005C14EB" w:rsidRDefault="0029028F"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value for money</w:t>
      </w:r>
    </w:p>
    <w:p w:rsidR="0029028F" w:rsidRPr="005C14EB" w:rsidRDefault="0029028F"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conformance with eligibility criteria</w:t>
      </w:r>
    </w:p>
    <w:p w:rsidR="0029028F" w:rsidRPr="005C14EB" w:rsidRDefault="0029028F"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service provider mix</w:t>
      </w:r>
    </w:p>
    <w:p w:rsidR="0029028F" w:rsidRPr="005C14EB" w:rsidRDefault="0029028F"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 xml:space="preserve">how the services and/or project will be delivered. </w:t>
      </w:r>
    </w:p>
    <w:p w:rsidR="009B5D64" w:rsidRPr="009F2B9E" w:rsidRDefault="0029028F">
      <w:pPr>
        <w:pStyle w:val="BodyText"/>
        <w:rPr>
          <w:highlight w:val="yellow"/>
        </w:rPr>
      </w:pPr>
      <w:r w:rsidRPr="002D623C">
        <w:t xml:space="preserve">The </w:t>
      </w:r>
      <w:r w:rsidR="009B5D64" w:rsidRPr="002D623C">
        <w:t>SAP</w:t>
      </w:r>
      <w:r w:rsidR="00904216" w:rsidRPr="002D623C">
        <w:t xml:space="preserve"> also took into consideration a fair and equitable distribution of funded activities across types of activities, delivery locations and recipient communities, to </w:t>
      </w:r>
      <w:r w:rsidR="00262216" w:rsidRPr="002D623C">
        <w:t>adequately and appropriately address service gaps or the support needs of particularly vulnerable groups of people.</w:t>
      </w:r>
    </w:p>
    <w:p w:rsidR="00B665F9" w:rsidRPr="005118E4" w:rsidRDefault="00B665F9" w:rsidP="005C14EB">
      <w:pPr>
        <w:pStyle w:val="Heading1"/>
      </w:pPr>
      <w:r w:rsidRPr="005118E4">
        <w:t xml:space="preserve">Selection </w:t>
      </w:r>
      <w:r w:rsidR="00773776">
        <w:t>results</w:t>
      </w:r>
    </w:p>
    <w:p w:rsidR="009F2B9E" w:rsidRPr="002D623C" w:rsidRDefault="00F86EB5">
      <w:pPr>
        <w:pStyle w:val="BodyText"/>
      </w:pPr>
      <w:r w:rsidRPr="002D623C">
        <w:t>A total of 102</w:t>
      </w:r>
      <w:r w:rsidR="0029028F" w:rsidRPr="002D623C">
        <w:t xml:space="preserve"> applications were received and screened for eligibility </w:t>
      </w:r>
      <w:r w:rsidR="000069E6" w:rsidRPr="002D623C">
        <w:t>of t</w:t>
      </w:r>
      <w:r w:rsidR="0029028F" w:rsidRPr="002D623C">
        <w:t>he</w:t>
      </w:r>
      <w:r w:rsidR="000069E6" w:rsidRPr="002D623C">
        <w:t>se</w:t>
      </w:r>
      <w:r w:rsidR="0029028F" w:rsidRPr="002D623C">
        <w:t xml:space="preserve"> 98 eligible applications were assessed and</w:t>
      </w:r>
      <w:r w:rsidRPr="002D623C">
        <w:t xml:space="preserve"> 43</w:t>
      </w:r>
      <w:r w:rsidR="009F2B9E" w:rsidRPr="002D623C">
        <w:t xml:space="preserve"> organisations were successful in receiving funding totalling $39,</w:t>
      </w:r>
      <w:r w:rsidR="00EB5205" w:rsidRPr="002D623C">
        <w:t>2</w:t>
      </w:r>
      <w:r w:rsidRPr="002D623C">
        <w:t>61</w:t>
      </w:r>
      <w:r w:rsidR="009F2B9E" w:rsidRPr="002D623C">
        <w:t>,486 (GST exclusive). Successful applicants may have received less funding than requested.</w:t>
      </w:r>
    </w:p>
    <w:p w:rsidR="009B5D64" w:rsidRDefault="00CA4028">
      <w:pPr>
        <w:pStyle w:val="BodyText"/>
      </w:pPr>
      <w:r w:rsidRPr="002D623C">
        <w:t xml:space="preserve">Following assessment, the </w:t>
      </w:r>
      <w:r w:rsidR="004775E9" w:rsidRPr="002D623C">
        <w:t xml:space="preserve">SAP </w:t>
      </w:r>
      <w:r w:rsidRPr="002D623C">
        <w:t xml:space="preserve">made recommendations to the Delegate, who made the final decision to approve the funding to the successful </w:t>
      </w:r>
      <w:r w:rsidR="004775E9" w:rsidRPr="002D623C">
        <w:t>applicants</w:t>
      </w:r>
      <w:r w:rsidR="0029028F" w:rsidRPr="002D623C">
        <w:t>. The successful applicants</w:t>
      </w:r>
      <w:r w:rsidR="004775E9" w:rsidRPr="002D623C">
        <w:t xml:space="preserve"> had</w:t>
      </w:r>
      <w:r w:rsidR="0029028F" w:rsidRPr="002D623C">
        <w:t xml:space="preserve"> proposed activities that were eligible, appropriate and considered effective for achieving the program objectives. They demonstrated their suitability for public funding, value for money and met all of the eligibility requirements in the </w:t>
      </w:r>
      <w:r w:rsidR="00262216" w:rsidRPr="002D623C">
        <w:t>GOGs</w:t>
      </w:r>
      <w:r w:rsidR="0029028F" w:rsidRPr="002D623C">
        <w:t>.</w:t>
      </w:r>
    </w:p>
    <w:p w:rsidR="00B665F9" w:rsidRPr="005118E4" w:rsidRDefault="00B665F9" w:rsidP="005C14EB">
      <w:pPr>
        <w:pStyle w:val="Heading1"/>
      </w:pPr>
      <w:r>
        <w:t xml:space="preserve">General </w:t>
      </w:r>
      <w:r w:rsidR="00773776">
        <w:t>feedback</w:t>
      </w:r>
    </w:p>
    <w:p w:rsidR="00B665F9" w:rsidRPr="002D623C" w:rsidRDefault="009B5D64">
      <w:pPr>
        <w:pStyle w:val="BodyText"/>
      </w:pPr>
      <w:r w:rsidRPr="002D623C">
        <w:t>Applicants could have generally strengthened their application by:</w:t>
      </w:r>
    </w:p>
    <w:p w:rsidR="009B5D64" w:rsidRPr="005C14EB" w:rsidRDefault="009B5D64"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ensuring they thoroughly read the Grant Opportunity Guidelines</w:t>
      </w:r>
    </w:p>
    <w:p w:rsidR="009B5D64" w:rsidRPr="005C14EB" w:rsidRDefault="009B5D64"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ensuring all aspects of the criterion were addressed</w:t>
      </w:r>
    </w:p>
    <w:p w:rsidR="009B5D64" w:rsidRPr="005C14EB" w:rsidRDefault="00D34203"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demonstrating</w:t>
      </w:r>
      <w:r w:rsidR="009B5D64" w:rsidRPr="005C14EB">
        <w:rPr>
          <w:rStyle w:val="highlightedtextChar"/>
          <w:rFonts w:cs="Times New Roman"/>
          <w:b w:val="0"/>
          <w:color w:val="000000" w:themeColor="text1"/>
          <w:szCs w:val="20"/>
        </w:rPr>
        <w:t xml:space="preserve"> their consideration of the Grants Program’s objectives</w:t>
      </w:r>
    </w:p>
    <w:p w:rsidR="009B5D64" w:rsidRPr="005C14EB" w:rsidRDefault="009B5D64"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only included relevant information that is not ambiguous</w:t>
      </w:r>
    </w:p>
    <w:p w:rsidR="009B5D64" w:rsidRPr="005C14EB" w:rsidRDefault="009B5D64"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supported claims with relevant, reliable and current evidence</w:t>
      </w:r>
    </w:p>
    <w:p w:rsidR="00BE7C11" w:rsidRPr="005C14EB" w:rsidRDefault="00BE7C11"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using clear and convincing arguments that were</w:t>
      </w:r>
      <w:r w:rsidR="00D34203" w:rsidRPr="005C14EB">
        <w:rPr>
          <w:rStyle w:val="highlightedtextChar"/>
          <w:rFonts w:cs="Times New Roman"/>
          <w:b w:val="0"/>
          <w:color w:val="000000" w:themeColor="text1"/>
          <w:szCs w:val="20"/>
        </w:rPr>
        <w:t xml:space="preserve"> supported by evidence, s</w:t>
      </w:r>
      <w:r w:rsidRPr="005C14EB">
        <w:rPr>
          <w:rStyle w:val="highlightedtextChar"/>
          <w:rFonts w:cs="Times New Roman"/>
          <w:b w:val="0"/>
          <w:color w:val="000000" w:themeColor="text1"/>
          <w:szCs w:val="20"/>
        </w:rPr>
        <w:t>trong applicants also identified limited areas of relevant weakness</w:t>
      </w:r>
    </w:p>
    <w:p w:rsidR="00655791" w:rsidRPr="005C14EB" w:rsidRDefault="00612056" w:rsidP="005C14EB">
      <w:pPr>
        <w:pStyle w:val="BodyText"/>
        <w:numPr>
          <w:ilvl w:val="0"/>
          <w:numId w:val="39"/>
        </w:numPr>
        <w:ind w:left="426" w:hanging="426"/>
        <w:rPr>
          <w:rStyle w:val="highlightedtextChar"/>
          <w:rFonts w:cs="Times New Roman"/>
          <w:b w:val="0"/>
          <w:color w:val="000000" w:themeColor="text1"/>
          <w:szCs w:val="20"/>
        </w:rPr>
      </w:pPr>
      <w:r w:rsidRPr="005C14EB">
        <w:rPr>
          <w:rStyle w:val="highlightedtextChar"/>
          <w:rFonts w:cs="Times New Roman"/>
          <w:b w:val="0"/>
          <w:color w:val="000000" w:themeColor="text1"/>
          <w:szCs w:val="20"/>
        </w:rPr>
        <w:t>identifying</w:t>
      </w:r>
      <w:r w:rsidR="00BE7C11" w:rsidRPr="005C14EB">
        <w:rPr>
          <w:rStyle w:val="highlightedtextChar"/>
          <w:rFonts w:cs="Times New Roman"/>
          <w:b w:val="0"/>
          <w:color w:val="000000" w:themeColor="text1"/>
          <w:szCs w:val="20"/>
        </w:rPr>
        <w:t xml:space="preserve"> the key staff in place to deliver the activity and outlining their experience and professional qualifications to a very high standard</w:t>
      </w:r>
      <w:r w:rsidRPr="005C14EB">
        <w:rPr>
          <w:rStyle w:val="highlightedtextChar"/>
          <w:rFonts w:cs="Times New Roman"/>
          <w:b w:val="0"/>
          <w:color w:val="000000" w:themeColor="text1"/>
          <w:szCs w:val="20"/>
        </w:rPr>
        <w:t>.</w:t>
      </w:r>
    </w:p>
    <w:p w:rsidR="00B665F9" w:rsidRPr="005118E4" w:rsidRDefault="00B665F9" w:rsidP="005C14EB">
      <w:pPr>
        <w:pStyle w:val="Heading1"/>
      </w:pPr>
      <w:r>
        <w:lastRenderedPageBreak/>
        <w:t xml:space="preserve">Criteria </w:t>
      </w:r>
      <w:r w:rsidR="00773776">
        <w:t>specific feedback</w:t>
      </w:r>
    </w:p>
    <w:p w:rsidR="002D623C" w:rsidRPr="005C14EB" w:rsidRDefault="00A85879" w:rsidP="008B0D99">
      <w:pPr>
        <w:pStyle w:val="BodyText"/>
        <w:rPr>
          <w:rFonts w:cstheme="minorHAnsi"/>
        </w:rPr>
      </w:pPr>
      <w:r w:rsidRPr="005C14EB">
        <w:rPr>
          <w:rFonts w:cstheme="minorHAnsi"/>
        </w:rPr>
        <w:t>The following feedback outlines how individual responses to specific assessment criteria could have been strengthened</w:t>
      </w:r>
      <w:r w:rsidR="002F1C90" w:rsidRPr="005C14EB">
        <w:rPr>
          <w:rFonts w:cstheme="minorHAnsi"/>
        </w:rPr>
        <w:t>.</w:t>
      </w:r>
    </w:p>
    <w:p w:rsidR="00F85F98" w:rsidRPr="002D623C" w:rsidRDefault="00F85F98" w:rsidP="005C14EB">
      <w:pPr>
        <w:pStyle w:val="Heading2"/>
      </w:pPr>
      <w:r w:rsidRPr="002D623C">
        <w:t>Criterion 1</w:t>
      </w:r>
    </w:p>
    <w:p w:rsidR="00530375" w:rsidRPr="002D623C" w:rsidRDefault="00D36D8E" w:rsidP="005C14EB">
      <w:pPr>
        <w:pStyle w:val="BodyText"/>
        <w:rPr>
          <w:b/>
        </w:rPr>
      </w:pPr>
      <w:r w:rsidRPr="002D623C">
        <w:rPr>
          <w:b/>
        </w:rPr>
        <w:t>Understanding of trauma informed practice</w:t>
      </w:r>
    </w:p>
    <w:p w:rsidR="0031552B" w:rsidRPr="002D623C" w:rsidRDefault="00D36D8E" w:rsidP="005C14EB">
      <w:pPr>
        <w:pStyle w:val="BodyText"/>
      </w:pPr>
      <w:r w:rsidRPr="002D623C">
        <w:t>Demonstrate your understanding of institutional child sexual abuse and its impact on people, and your organisation’s ability to deliver services in line with trauma-informed principles.</w:t>
      </w:r>
    </w:p>
    <w:tbl>
      <w:tblPr>
        <w:tblStyle w:val="CGHTableBanded"/>
        <w:tblW w:w="0" w:type="auto"/>
        <w:tblLook w:val="04A0" w:firstRow="1" w:lastRow="0" w:firstColumn="1" w:lastColumn="0" w:noHBand="0" w:noVBand="1"/>
        <w:tblCaption w:val="Criterion 1 Strengths and Examples"/>
      </w:tblPr>
      <w:tblGrid>
        <w:gridCol w:w="2552"/>
        <w:gridCol w:w="7086"/>
      </w:tblGrid>
      <w:tr w:rsidR="00F85F98" w:rsidRPr="00773776" w:rsidTr="00842B9C">
        <w:trPr>
          <w:cnfStyle w:val="100000000000" w:firstRow="1" w:lastRow="0" w:firstColumn="0" w:lastColumn="0" w:oddVBand="0" w:evenVBand="0" w:oddHBand="0" w:evenHBand="0" w:firstRowFirstColumn="0" w:firstRowLastColumn="0" w:lastRowFirstColumn="0" w:lastRowLastColumn="0"/>
          <w:trHeight w:val="472"/>
          <w:tblHeader/>
        </w:trPr>
        <w:tc>
          <w:tcPr>
            <w:tcW w:w="2552" w:type="dxa"/>
            <w:vAlign w:val="center"/>
          </w:tcPr>
          <w:p w:rsidR="00F85F98" w:rsidRPr="002D623C" w:rsidRDefault="00F85F98" w:rsidP="005C14EB">
            <w:pPr>
              <w:pStyle w:val="BodyText"/>
              <w:ind w:left="57"/>
              <w:rPr>
                <w:b/>
              </w:rPr>
            </w:pPr>
            <w:r w:rsidRPr="002D623C">
              <w:rPr>
                <w:b/>
              </w:rPr>
              <w:t>Strength</w:t>
            </w:r>
          </w:p>
        </w:tc>
        <w:tc>
          <w:tcPr>
            <w:tcW w:w="7086" w:type="dxa"/>
            <w:vAlign w:val="center"/>
          </w:tcPr>
          <w:p w:rsidR="00F85F98" w:rsidRPr="002D623C" w:rsidRDefault="00F85F98" w:rsidP="005C14EB">
            <w:pPr>
              <w:pStyle w:val="BodyText"/>
              <w:ind w:left="57"/>
              <w:rPr>
                <w:b/>
              </w:rPr>
            </w:pPr>
            <w:r w:rsidRPr="002D623C">
              <w:rPr>
                <w:b/>
              </w:rPr>
              <w:t>Example</w:t>
            </w:r>
          </w:p>
        </w:tc>
      </w:tr>
      <w:tr w:rsidR="00F85F98" w:rsidRPr="00773776" w:rsidTr="00842B9C">
        <w:trPr>
          <w:cnfStyle w:val="000000100000" w:firstRow="0" w:lastRow="0" w:firstColumn="0" w:lastColumn="0" w:oddVBand="0" w:evenVBand="0" w:oddHBand="1" w:evenHBand="0" w:firstRowFirstColumn="0" w:firstRowLastColumn="0" w:lastRowFirstColumn="0" w:lastRowLastColumn="0"/>
        </w:trPr>
        <w:tc>
          <w:tcPr>
            <w:tcW w:w="2552" w:type="dxa"/>
            <w:vAlign w:val="center"/>
          </w:tcPr>
          <w:p w:rsidR="00F85F98" w:rsidRPr="005C14EB" w:rsidRDefault="005D3125" w:rsidP="005C14EB">
            <w:pPr>
              <w:pStyle w:val="BodyText"/>
              <w:ind w:left="57"/>
              <w:rPr>
                <w:rFonts w:cstheme="minorHAnsi"/>
                <w:sz w:val="20"/>
              </w:rPr>
            </w:pPr>
            <w:r w:rsidRPr="005C14EB">
              <w:rPr>
                <w:rFonts w:cstheme="minorHAnsi"/>
              </w:rPr>
              <w:t>Strong applications clearly demonstrated their understanding of institutional child sexual abuse and its impact on people, and their organisation’s ability to deliver services in line with trauma-informed principles</w:t>
            </w:r>
            <w:r w:rsidR="00655791">
              <w:rPr>
                <w:rFonts w:cstheme="minorHAnsi"/>
              </w:rPr>
              <w:t>.</w:t>
            </w:r>
          </w:p>
        </w:tc>
        <w:tc>
          <w:tcPr>
            <w:tcW w:w="7086" w:type="dxa"/>
          </w:tcPr>
          <w:p w:rsidR="00DB37C9" w:rsidRPr="005C14EB" w:rsidRDefault="00DB37C9" w:rsidP="005C14EB">
            <w:pPr>
              <w:pStyle w:val="BodyText"/>
              <w:ind w:left="341" w:hanging="284"/>
              <w:contextualSpacing/>
            </w:pPr>
            <w:r w:rsidRPr="005C14EB">
              <w:t>Strong responses clearly described:</w:t>
            </w:r>
          </w:p>
          <w:p w:rsidR="006D5381" w:rsidRPr="005C14EB" w:rsidRDefault="00173573" w:rsidP="005C14EB">
            <w:pPr>
              <w:pStyle w:val="BodyText"/>
              <w:numPr>
                <w:ilvl w:val="0"/>
                <w:numId w:val="38"/>
              </w:numPr>
              <w:ind w:left="424" w:hanging="283"/>
              <w:rPr>
                <w:rFonts w:eastAsia="Arial" w:cstheme="minorHAnsi"/>
                <w:color w:val="auto"/>
                <w:szCs w:val="22"/>
              </w:rPr>
            </w:pPr>
            <w:r w:rsidRPr="005C14EB">
              <w:rPr>
                <w:rStyle w:val="highlightedtextChar"/>
                <w:rFonts w:ascii="Arial" w:hAnsi="Arial" w:cs="Arial"/>
                <w:b w:val="0"/>
                <w:iCs/>
                <w:color w:val="auto"/>
              </w:rPr>
              <w:t>their</w:t>
            </w:r>
            <w:r w:rsidR="006D5381" w:rsidRPr="005C14EB">
              <w:rPr>
                <w:rFonts w:eastAsia="Arial" w:cstheme="minorHAnsi"/>
                <w:color w:val="auto"/>
                <w:szCs w:val="22"/>
              </w:rPr>
              <w:t xml:space="preserve"> understanding of trauma-informed and culturally safe models of care</w:t>
            </w:r>
            <w:r w:rsidR="00773776" w:rsidRPr="005C14EB">
              <w:rPr>
                <w:rFonts w:eastAsia="Arial" w:cstheme="minorHAnsi"/>
                <w:color w:val="auto"/>
                <w:szCs w:val="22"/>
              </w:rPr>
              <w:t xml:space="preserve">, </w:t>
            </w:r>
            <w:r w:rsidRPr="005C14EB">
              <w:rPr>
                <w:rFonts w:eastAsia="Arial" w:cstheme="minorHAnsi"/>
                <w:color w:val="auto"/>
                <w:szCs w:val="22"/>
              </w:rPr>
              <w:t>for example:</w:t>
            </w:r>
          </w:p>
          <w:p w:rsidR="00173573" w:rsidRPr="005C14EB" w:rsidRDefault="00022CA3" w:rsidP="005C14EB">
            <w:pPr>
              <w:pStyle w:val="ListParagraph"/>
              <w:numPr>
                <w:ilvl w:val="0"/>
                <w:numId w:val="35"/>
              </w:numPr>
              <w:spacing w:before="40" w:after="120"/>
              <w:ind w:left="999" w:right="57"/>
              <w:contextualSpacing w:val="0"/>
              <w:rPr>
                <w:rFonts w:eastAsia="Arial" w:cstheme="minorHAnsi"/>
                <w:color w:val="auto"/>
                <w:szCs w:val="22"/>
              </w:rPr>
            </w:pPr>
            <w:r w:rsidRPr="005C14EB">
              <w:rPr>
                <w:rFonts w:eastAsia="Arial" w:cstheme="minorHAnsi"/>
                <w:color w:val="auto"/>
                <w:szCs w:val="22"/>
              </w:rPr>
              <w:t>provided details regarding</w:t>
            </w:r>
            <w:r w:rsidR="006D5381" w:rsidRPr="005C14EB">
              <w:rPr>
                <w:rFonts w:eastAsia="Arial" w:cstheme="minorHAnsi"/>
                <w:color w:val="auto"/>
                <w:szCs w:val="22"/>
              </w:rPr>
              <w:t xml:space="preserve"> </w:t>
            </w:r>
            <w:r w:rsidR="001263C5" w:rsidRPr="005C14EB">
              <w:rPr>
                <w:rFonts w:eastAsia="Arial" w:cstheme="minorHAnsi"/>
                <w:color w:val="auto"/>
                <w:szCs w:val="22"/>
              </w:rPr>
              <w:t xml:space="preserve">using </w:t>
            </w:r>
            <w:r w:rsidR="006D5381" w:rsidRPr="005C14EB">
              <w:rPr>
                <w:rFonts w:eastAsia="Arial" w:cstheme="minorHAnsi"/>
                <w:color w:val="auto"/>
                <w:szCs w:val="22"/>
              </w:rPr>
              <w:t>a strengths-based framework founded on</w:t>
            </w:r>
            <w:r w:rsidR="007D7D6C" w:rsidRPr="005C14EB">
              <w:rPr>
                <w:rFonts w:eastAsia="Arial" w:cstheme="minorHAnsi"/>
                <w:color w:val="auto"/>
                <w:szCs w:val="22"/>
              </w:rPr>
              <w:t xml:space="preserve"> the</w:t>
            </w:r>
            <w:r w:rsidR="006D5381" w:rsidRPr="005C14EB">
              <w:rPr>
                <w:rFonts w:eastAsia="Arial" w:cstheme="minorHAnsi"/>
                <w:color w:val="auto"/>
                <w:szCs w:val="22"/>
              </w:rPr>
              <w:t xml:space="preserve"> principles - safety, trustworthiness, choice, collaboration, empowerment and respect for diversity</w:t>
            </w:r>
          </w:p>
          <w:p w:rsidR="00842B9C" w:rsidRPr="005C14EB" w:rsidRDefault="00173573" w:rsidP="005C14EB">
            <w:pPr>
              <w:pStyle w:val="ListParagraph"/>
              <w:numPr>
                <w:ilvl w:val="0"/>
                <w:numId w:val="35"/>
              </w:numPr>
              <w:spacing w:before="40" w:after="120"/>
              <w:ind w:left="999" w:right="57"/>
              <w:contextualSpacing w:val="0"/>
              <w:rPr>
                <w:rFonts w:eastAsia="Arial" w:cstheme="minorHAnsi"/>
                <w:color w:val="auto"/>
                <w:szCs w:val="22"/>
              </w:rPr>
            </w:pPr>
            <w:r w:rsidRPr="005C14EB">
              <w:rPr>
                <w:rFonts w:eastAsia="Arial" w:cstheme="minorHAnsi"/>
                <w:color w:val="auto"/>
                <w:szCs w:val="22"/>
              </w:rPr>
              <w:t>how their organisation uses a continuous quality improvement system to ensure services are trauma informed, evidencing the provision of culturally appropriate and accessible counselling and healing and educational programs</w:t>
            </w:r>
          </w:p>
          <w:p w:rsidR="00842B9C" w:rsidRPr="005C14EB" w:rsidRDefault="00842B9C" w:rsidP="005C14EB">
            <w:pPr>
              <w:pStyle w:val="ListParagraph"/>
              <w:numPr>
                <w:ilvl w:val="0"/>
                <w:numId w:val="35"/>
              </w:numPr>
              <w:spacing w:before="40" w:after="120"/>
              <w:ind w:left="999" w:right="57"/>
              <w:contextualSpacing w:val="0"/>
              <w:rPr>
                <w:rFonts w:eastAsia="Arial" w:cstheme="minorHAnsi"/>
                <w:color w:val="auto"/>
                <w:szCs w:val="22"/>
              </w:rPr>
            </w:pPr>
            <w:r w:rsidRPr="005C14EB">
              <w:rPr>
                <w:rFonts w:eastAsia="Arial" w:cstheme="minorHAnsi"/>
                <w:color w:val="auto"/>
                <w:szCs w:val="22"/>
              </w:rPr>
              <w:t xml:space="preserve">delivering a survivor-led approach and </w:t>
            </w:r>
            <w:r w:rsidR="001263C5" w:rsidRPr="005C14EB">
              <w:rPr>
                <w:rFonts w:eastAsia="Arial" w:cstheme="minorHAnsi"/>
                <w:color w:val="auto"/>
                <w:szCs w:val="22"/>
              </w:rPr>
              <w:t xml:space="preserve">where required </w:t>
            </w:r>
            <w:r w:rsidRPr="005C14EB">
              <w:rPr>
                <w:rFonts w:eastAsia="Arial" w:cstheme="minorHAnsi"/>
                <w:color w:val="auto"/>
                <w:szCs w:val="22"/>
              </w:rPr>
              <w:t>engage additional supports to ensure culturally appropriate support for all clients such as utilising interpreters, having survivors input to the type and delivery method of support and meeting survivors where they live, in their communities</w:t>
            </w:r>
            <w:r w:rsidR="001263C5" w:rsidRPr="005C14EB">
              <w:rPr>
                <w:rFonts w:eastAsia="Arial" w:cstheme="minorHAnsi"/>
                <w:color w:val="auto"/>
                <w:szCs w:val="22"/>
              </w:rPr>
              <w:t xml:space="preserve"> if appropriate</w:t>
            </w:r>
          </w:p>
          <w:p w:rsidR="00173573" w:rsidRPr="005C14EB" w:rsidRDefault="00173573" w:rsidP="005C14EB">
            <w:pPr>
              <w:pStyle w:val="ListParagraph"/>
              <w:numPr>
                <w:ilvl w:val="0"/>
                <w:numId w:val="35"/>
              </w:numPr>
              <w:spacing w:before="40" w:after="120"/>
              <w:ind w:left="999" w:right="57"/>
              <w:contextualSpacing w:val="0"/>
              <w:rPr>
                <w:rFonts w:eastAsia="Arial" w:cstheme="minorHAnsi"/>
                <w:color w:val="auto"/>
                <w:szCs w:val="22"/>
              </w:rPr>
            </w:pPr>
            <w:r w:rsidRPr="005C14EB">
              <w:rPr>
                <w:rFonts w:eastAsia="Arial" w:cstheme="minorHAnsi"/>
                <w:color w:val="auto"/>
                <w:szCs w:val="22"/>
              </w:rPr>
              <w:t>a strong focus on cultural capability</w:t>
            </w:r>
          </w:p>
          <w:p w:rsidR="00842B9C" w:rsidRPr="005C14EB" w:rsidRDefault="00842B9C" w:rsidP="005C14EB">
            <w:pPr>
              <w:pStyle w:val="BodyText"/>
              <w:numPr>
                <w:ilvl w:val="0"/>
                <w:numId w:val="38"/>
              </w:numPr>
              <w:ind w:left="424" w:hanging="283"/>
              <w:rPr>
                <w:rFonts w:eastAsia="Arial" w:cstheme="minorHAnsi"/>
                <w:color w:val="auto"/>
                <w:sz w:val="20"/>
              </w:rPr>
            </w:pPr>
            <w:r w:rsidRPr="005C14EB">
              <w:rPr>
                <w:rFonts w:eastAsia="Arial" w:cstheme="minorHAnsi"/>
                <w:color w:val="auto"/>
                <w:szCs w:val="22"/>
              </w:rPr>
              <w:t xml:space="preserve">how they continuously build on their understanding and knowledge of trauma informed practice. </w:t>
            </w:r>
            <w:r w:rsidR="00493386" w:rsidRPr="005C14EB">
              <w:rPr>
                <w:rFonts w:eastAsia="Arial" w:cstheme="minorHAnsi"/>
                <w:color w:val="auto"/>
                <w:szCs w:val="22"/>
              </w:rPr>
              <w:t>Noting</w:t>
            </w:r>
            <w:r w:rsidRPr="005C14EB">
              <w:rPr>
                <w:rFonts w:eastAsia="Arial" w:cstheme="minorHAnsi"/>
                <w:color w:val="auto"/>
                <w:szCs w:val="22"/>
              </w:rPr>
              <w:t xml:space="preserve"> the use of trauma guidelines </w:t>
            </w:r>
            <w:r w:rsidR="00BD4E6A" w:rsidRPr="005C14EB">
              <w:rPr>
                <w:rFonts w:eastAsia="Arial" w:cstheme="minorHAnsi"/>
                <w:color w:val="auto"/>
                <w:szCs w:val="22"/>
              </w:rPr>
              <w:t>to</w:t>
            </w:r>
            <w:r w:rsidR="000175A8" w:rsidRPr="005C14EB">
              <w:rPr>
                <w:rFonts w:eastAsia="Arial" w:cstheme="minorHAnsi"/>
                <w:color w:val="auto"/>
                <w:szCs w:val="22"/>
              </w:rPr>
              <w:t xml:space="preserve"> </w:t>
            </w:r>
            <w:r w:rsidRPr="005C14EB">
              <w:rPr>
                <w:rFonts w:eastAsia="Arial" w:cstheme="minorHAnsi"/>
                <w:color w:val="auto"/>
                <w:szCs w:val="22"/>
              </w:rPr>
              <w:t>inform their practice and provide details of the trauma informed training and supervision staff receive as part of ongoing training.</w:t>
            </w:r>
          </w:p>
        </w:tc>
      </w:tr>
    </w:tbl>
    <w:p w:rsidR="00F85F98" w:rsidRPr="002D623C" w:rsidRDefault="00612056" w:rsidP="005C14EB">
      <w:pPr>
        <w:pStyle w:val="Heading2"/>
      </w:pPr>
      <w:r w:rsidRPr="005C14EB">
        <w:br w:type="page"/>
      </w:r>
      <w:r w:rsidR="00F85F98" w:rsidRPr="002D623C">
        <w:lastRenderedPageBreak/>
        <w:t>Criterion 2</w:t>
      </w:r>
    </w:p>
    <w:p w:rsidR="00D36D8E" w:rsidRPr="002D623C" w:rsidRDefault="00D36D8E" w:rsidP="005C14EB">
      <w:pPr>
        <w:pStyle w:val="BodyText"/>
        <w:spacing w:before="120"/>
        <w:rPr>
          <w:b/>
        </w:rPr>
      </w:pPr>
      <w:r w:rsidRPr="002D623C">
        <w:rPr>
          <w:b/>
        </w:rPr>
        <w:t>Proposed service delivery model</w:t>
      </w:r>
    </w:p>
    <w:p w:rsidR="00DC5E6B" w:rsidRPr="002D623C" w:rsidRDefault="00D36D8E" w:rsidP="005C14EB">
      <w:pPr>
        <w:pStyle w:val="BodyText"/>
        <w:spacing w:before="120"/>
      </w:pPr>
      <w:r w:rsidRPr="002D623C">
        <w:t>Describe your proposed service delivery model for the delivery of RSS in your proposed area.</w:t>
      </w:r>
    </w:p>
    <w:tbl>
      <w:tblPr>
        <w:tblStyle w:val="CGHTableBanded"/>
        <w:tblW w:w="0" w:type="auto"/>
        <w:tblLook w:val="04A0" w:firstRow="1" w:lastRow="0" w:firstColumn="1" w:lastColumn="0" w:noHBand="0" w:noVBand="1"/>
        <w:tblCaption w:val="Criterion 2 Strengths and Examples"/>
      </w:tblPr>
      <w:tblGrid>
        <w:gridCol w:w="3119"/>
        <w:gridCol w:w="6519"/>
      </w:tblGrid>
      <w:tr w:rsidR="00F85F98" w:rsidRPr="00773776" w:rsidTr="00493386">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rsidR="00F85F98" w:rsidRPr="002D623C" w:rsidRDefault="00F85F98" w:rsidP="005C14EB">
            <w:pPr>
              <w:pStyle w:val="BodyText"/>
              <w:ind w:left="57"/>
              <w:rPr>
                <w:b/>
              </w:rPr>
            </w:pPr>
            <w:r w:rsidRPr="002D623C">
              <w:rPr>
                <w:b/>
              </w:rPr>
              <w:t>Strength</w:t>
            </w:r>
          </w:p>
        </w:tc>
        <w:tc>
          <w:tcPr>
            <w:tcW w:w="6519" w:type="dxa"/>
            <w:vAlign w:val="center"/>
          </w:tcPr>
          <w:p w:rsidR="00F85F98" w:rsidRPr="002D623C" w:rsidRDefault="003C2B2F" w:rsidP="005C14EB">
            <w:pPr>
              <w:pStyle w:val="BodyText"/>
              <w:ind w:left="57"/>
              <w:rPr>
                <w:b/>
              </w:rPr>
            </w:pPr>
            <w:r w:rsidRPr="002D623C">
              <w:rPr>
                <w:b/>
              </w:rPr>
              <w:t>Example</w:t>
            </w:r>
          </w:p>
        </w:tc>
      </w:tr>
      <w:tr w:rsidR="00BC2792" w:rsidRPr="00773776" w:rsidTr="00493386">
        <w:trPr>
          <w:cnfStyle w:val="100000000000" w:firstRow="1" w:lastRow="0" w:firstColumn="0" w:lastColumn="0" w:oddVBand="0" w:evenVBand="0" w:oddHBand="0" w:evenHBand="0" w:firstRowFirstColumn="0" w:firstRowLastColumn="0" w:lastRowFirstColumn="0" w:lastRowLastColumn="0"/>
          <w:tblHeader/>
        </w:trPr>
        <w:tc>
          <w:tcPr>
            <w:tcW w:w="3119" w:type="dxa"/>
            <w:shd w:val="clear" w:color="auto" w:fill="DFE1DF" w:themeFill="text2"/>
            <w:vAlign w:val="center"/>
          </w:tcPr>
          <w:p w:rsidR="00BC2792" w:rsidRPr="005C14EB" w:rsidRDefault="00493386" w:rsidP="005C14EB">
            <w:pPr>
              <w:pStyle w:val="BodyText"/>
              <w:ind w:left="57"/>
              <w:rPr>
                <w:rFonts w:eastAsia="Arial" w:cstheme="minorHAnsi"/>
                <w:b/>
                <w:color w:val="auto"/>
                <w:sz w:val="20"/>
              </w:rPr>
            </w:pPr>
            <w:r w:rsidRPr="005C14EB">
              <w:rPr>
                <w:rFonts w:cstheme="minorHAnsi"/>
              </w:rPr>
              <w:t>Strong applications clearly described their service delivery model for the delivery of RSS, how they would promote their services and engage potential clients to the Scheme and how they propose to meet the objectives and intended outcomes of RSS.</w:t>
            </w:r>
          </w:p>
        </w:tc>
        <w:tc>
          <w:tcPr>
            <w:tcW w:w="6519" w:type="dxa"/>
            <w:shd w:val="clear" w:color="auto" w:fill="DFE1DF" w:themeFill="text2"/>
          </w:tcPr>
          <w:p w:rsidR="00DC5E6B" w:rsidRPr="005C14EB" w:rsidRDefault="00DC5E6B" w:rsidP="005C14EB">
            <w:pPr>
              <w:pStyle w:val="BodyText"/>
              <w:ind w:left="341" w:hanging="284"/>
              <w:contextualSpacing/>
            </w:pPr>
            <w:r w:rsidRPr="005C14EB">
              <w:t>Strong responses clearly described:</w:t>
            </w:r>
          </w:p>
          <w:p w:rsidR="00BC2792" w:rsidRPr="005C14EB" w:rsidRDefault="000D62C5" w:rsidP="005C14EB">
            <w:pPr>
              <w:pStyle w:val="BodyText"/>
              <w:numPr>
                <w:ilvl w:val="0"/>
                <w:numId w:val="38"/>
              </w:numPr>
              <w:ind w:left="426" w:hanging="284"/>
              <w:rPr>
                <w:rFonts w:eastAsia="Arial" w:cstheme="minorHAnsi"/>
                <w:color w:val="auto"/>
                <w:szCs w:val="22"/>
              </w:rPr>
            </w:pPr>
            <w:r w:rsidRPr="005C14EB">
              <w:rPr>
                <w:rFonts w:eastAsia="Arial" w:cstheme="minorHAnsi"/>
                <w:color w:val="auto"/>
                <w:szCs w:val="22"/>
              </w:rPr>
              <w:t>their</w:t>
            </w:r>
            <w:r w:rsidR="00493386" w:rsidRPr="005C14EB">
              <w:rPr>
                <w:rFonts w:eastAsia="Arial" w:cstheme="minorHAnsi"/>
                <w:color w:val="auto"/>
                <w:szCs w:val="22"/>
              </w:rPr>
              <w:t xml:space="preserve"> service reach into </w:t>
            </w:r>
            <w:r w:rsidR="001263C5" w:rsidRPr="005C14EB">
              <w:rPr>
                <w:rFonts w:eastAsia="Arial" w:cstheme="minorHAnsi"/>
                <w:color w:val="auto"/>
                <w:szCs w:val="22"/>
              </w:rPr>
              <w:t>their</w:t>
            </w:r>
            <w:r w:rsidR="00493386" w:rsidRPr="005C14EB">
              <w:rPr>
                <w:rFonts w:eastAsia="Arial" w:cstheme="minorHAnsi"/>
                <w:color w:val="auto"/>
                <w:szCs w:val="22"/>
              </w:rPr>
              <w:t xml:space="preserve"> proposed service coverage area</w:t>
            </w:r>
            <w:r w:rsidR="00FD4864" w:rsidRPr="005C14EB">
              <w:rPr>
                <w:rFonts w:eastAsia="Arial" w:cstheme="minorHAnsi"/>
                <w:color w:val="auto"/>
                <w:szCs w:val="22"/>
              </w:rPr>
              <w:t xml:space="preserve"> included relevant information about how this would be done </w:t>
            </w:r>
          </w:p>
          <w:p w:rsidR="00764552" w:rsidRPr="005C14EB" w:rsidRDefault="00764552" w:rsidP="005C14EB">
            <w:pPr>
              <w:pStyle w:val="BodyText"/>
              <w:numPr>
                <w:ilvl w:val="0"/>
                <w:numId w:val="38"/>
              </w:numPr>
              <w:ind w:left="426" w:hanging="284"/>
              <w:rPr>
                <w:rFonts w:eastAsia="Arial" w:cstheme="minorHAnsi"/>
                <w:color w:val="auto"/>
                <w:szCs w:val="22"/>
              </w:rPr>
            </w:pPr>
            <w:r w:rsidRPr="005C14EB">
              <w:rPr>
                <w:rFonts w:eastAsia="Arial" w:cstheme="minorHAnsi"/>
                <w:color w:val="auto"/>
                <w:szCs w:val="22"/>
              </w:rPr>
              <w:t xml:space="preserve">their ability for promotion and engagement practices with potential clients, through engaging with their strong existing partnerships with intermediary organisations and </w:t>
            </w:r>
            <w:r w:rsidR="008D1C44" w:rsidRPr="005C14EB">
              <w:rPr>
                <w:rFonts w:eastAsia="Arial" w:cstheme="minorHAnsi"/>
                <w:color w:val="auto"/>
                <w:szCs w:val="22"/>
              </w:rPr>
              <w:t>the</w:t>
            </w:r>
            <w:r w:rsidRPr="005C14EB">
              <w:rPr>
                <w:rFonts w:eastAsia="Arial" w:cstheme="minorHAnsi"/>
                <w:color w:val="auto"/>
                <w:szCs w:val="22"/>
              </w:rPr>
              <w:t xml:space="preserve"> stakeholder networks </w:t>
            </w:r>
            <w:r w:rsidR="00FD3BED" w:rsidRPr="005C14EB">
              <w:rPr>
                <w:rFonts w:eastAsia="Arial" w:cstheme="minorHAnsi"/>
                <w:color w:val="auto"/>
                <w:szCs w:val="22"/>
              </w:rPr>
              <w:t xml:space="preserve">they had </w:t>
            </w:r>
            <w:r w:rsidR="008D1C44" w:rsidRPr="005C14EB">
              <w:rPr>
                <w:rFonts w:eastAsia="Arial" w:cstheme="minorHAnsi"/>
                <w:color w:val="auto"/>
                <w:szCs w:val="22"/>
              </w:rPr>
              <w:t>built</w:t>
            </w:r>
            <w:r w:rsidRPr="005C14EB">
              <w:rPr>
                <w:rFonts w:eastAsia="Arial" w:cstheme="minorHAnsi"/>
                <w:color w:val="auto"/>
                <w:szCs w:val="22"/>
              </w:rPr>
              <w:t xml:space="preserve"> with community leaders and </w:t>
            </w:r>
            <w:r w:rsidR="008D1C44" w:rsidRPr="005C14EB">
              <w:rPr>
                <w:rFonts w:eastAsia="Arial" w:cstheme="minorHAnsi"/>
                <w:color w:val="auto"/>
                <w:szCs w:val="22"/>
              </w:rPr>
              <w:t xml:space="preserve">how </w:t>
            </w:r>
            <w:r w:rsidRPr="005C14EB">
              <w:rPr>
                <w:rFonts w:eastAsia="Arial" w:cstheme="minorHAnsi"/>
                <w:color w:val="auto"/>
                <w:szCs w:val="22"/>
              </w:rPr>
              <w:t>they intend to hold information sessions in a culturally safe way</w:t>
            </w:r>
          </w:p>
          <w:p w:rsidR="00764552" w:rsidRPr="005C14EB" w:rsidRDefault="00764552" w:rsidP="005C14EB">
            <w:pPr>
              <w:pStyle w:val="BodyText"/>
              <w:numPr>
                <w:ilvl w:val="0"/>
                <w:numId w:val="38"/>
              </w:numPr>
              <w:ind w:left="426" w:hanging="284"/>
              <w:rPr>
                <w:rFonts w:eastAsia="Arial" w:cstheme="minorHAnsi"/>
                <w:color w:val="auto"/>
                <w:szCs w:val="22"/>
              </w:rPr>
            </w:pPr>
            <w:r w:rsidRPr="005C14EB">
              <w:rPr>
                <w:rFonts w:eastAsia="Arial" w:cstheme="minorHAnsi"/>
                <w:color w:val="auto"/>
                <w:szCs w:val="22"/>
              </w:rPr>
              <w:t xml:space="preserve">specific examples of how they </w:t>
            </w:r>
            <w:r w:rsidR="008A09A5" w:rsidRPr="005C14EB">
              <w:rPr>
                <w:rFonts w:eastAsia="Arial" w:cstheme="minorHAnsi"/>
                <w:color w:val="auto"/>
                <w:szCs w:val="22"/>
              </w:rPr>
              <w:t>would</w:t>
            </w:r>
            <w:r w:rsidRPr="005C14EB">
              <w:rPr>
                <w:rFonts w:eastAsia="Arial" w:cstheme="minorHAnsi"/>
                <w:color w:val="auto"/>
                <w:szCs w:val="22"/>
              </w:rPr>
              <w:t xml:space="preserve"> ensure </w:t>
            </w:r>
            <w:r w:rsidR="008A09A5" w:rsidRPr="005C14EB">
              <w:rPr>
                <w:rFonts w:eastAsia="Arial" w:cstheme="minorHAnsi"/>
                <w:color w:val="auto"/>
                <w:szCs w:val="22"/>
              </w:rPr>
              <w:t>promotional</w:t>
            </w:r>
            <w:r w:rsidRPr="005C14EB">
              <w:rPr>
                <w:rFonts w:eastAsia="Arial" w:cstheme="minorHAnsi"/>
                <w:color w:val="auto"/>
                <w:szCs w:val="22"/>
              </w:rPr>
              <w:t xml:space="preserve"> strategies are culturally appropriate</w:t>
            </w:r>
            <w:r w:rsidR="001263C5" w:rsidRPr="005C14EB">
              <w:rPr>
                <w:rFonts w:eastAsia="Arial" w:cstheme="minorHAnsi"/>
                <w:color w:val="auto"/>
                <w:szCs w:val="22"/>
              </w:rPr>
              <w:t xml:space="preserve"> and accessible</w:t>
            </w:r>
            <w:r w:rsidRPr="005C14EB">
              <w:rPr>
                <w:rFonts w:eastAsia="Arial" w:cstheme="minorHAnsi"/>
                <w:color w:val="auto"/>
                <w:szCs w:val="22"/>
              </w:rPr>
              <w:t>, particularly in relation to</w:t>
            </w:r>
            <w:r w:rsidR="008D1C44" w:rsidRPr="005C14EB">
              <w:rPr>
                <w:rFonts w:eastAsia="Arial" w:cstheme="minorHAnsi"/>
                <w:color w:val="auto"/>
                <w:szCs w:val="22"/>
              </w:rPr>
              <w:t xml:space="preserve"> people with disability,</w:t>
            </w:r>
            <w:r w:rsidRPr="005C14EB">
              <w:rPr>
                <w:rFonts w:eastAsia="Arial" w:cstheme="minorHAnsi"/>
                <w:color w:val="auto"/>
                <w:szCs w:val="22"/>
              </w:rPr>
              <w:t xml:space="preserve"> Aboriginal and Torres Strait Islander</w:t>
            </w:r>
            <w:r w:rsidR="001263C5" w:rsidRPr="005C14EB">
              <w:rPr>
                <w:rFonts w:eastAsia="Arial" w:cstheme="minorHAnsi"/>
                <w:color w:val="auto"/>
                <w:szCs w:val="22"/>
              </w:rPr>
              <w:t xml:space="preserve"> peoples, and the CALD communities</w:t>
            </w:r>
          </w:p>
          <w:p w:rsidR="00764552" w:rsidRPr="005C14EB" w:rsidRDefault="00764552" w:rsidP="005C14EB">
            <w:pPr>
              <w:pStyle w:val="BodyText"/>
              <w:numPr>
                <w:ilvl w:val="0"/>
                <w:numId w:val="38"/>
              </w:numPr>
              <w:ind w:left="426" w:hanging="284"/>
              <w:rPr>
                <w:rFonts w:eastAsia="Arial" w:cstheme="minorHAnsi"/>
                <w:color w:val="auto"/>
                <w:szCs w:val="22"/>
              </w:rPr>
            </w:pPr>
            <w:r w:rsidRPr="005C14EB">
              <w:rPr>
                <w:rFonts w:eastAsia="Arial" w:cstheme="minorHAnsi"/>
                <w:color w:val="auto"/>
                <w:szCs w:val="22"/>
              </w:rPr>
              <w:t xml:space="preserve">supporting clients prior to application, during the application process and the notification period, when a decision is made and </w:t>
            </w:r>
            <w:r w:rsidR="001263C5" w:rsidRPr="005C14EB">
              <w:rPr>
                <w:rFonts w:eastAsia="Arial" w:cstheme="minorHAnsi"/>
                <w:color w:val="auto"/>
                <w:szCs w:val="22"/>
              </w:rPr>
              <w:t xml:space="preserve">include </w:t>
            </w:r>
            <w:r w:rsidRPr="005C14EB">
              <w:rPr>
                <w:rFonts w:eastAsia="Arial" w:cstheme="minorHAnsi"/>
                <w:color w:val="auto"/>
                <w:szCs w:val="22"/>
              </w:rPr>
              <w:t>ongoing support</w:t>
            </w:r>
          </w:p>
          <w:p w:rsidR="00764552" w:rsidRPr="005C14EB" w:rsidRDefault="00764552" w:rsidP="005C14EB">
            <w:pPr>
              <w:pStyle w:val="BodyText"/>
              <w:numPr>
                <w:ilvl w:val="0"/>
                <w:numId w:val="38"/>
              </w:numPr>
              <w:ind w:left="426" w:hanging="284"/>
              <w:rPr>
                <w:rFonts w:eastAsia="Arial" w:cstheme="minorHAnsi"/>
                <w:color w:val="auto"/>
                <w:szCs w:val="22"/>
              </w:rPr>
            </w:pPr>
            <w:r w:rsidRPr="005C14EB">
              <w:rPr>
                <w:rFonts w:eastAsia="Arial" w:cstheme="minorHAnsi"/>
                <w:color w:val="auto"/>
                <w:szCs w:val="22"/>
              </w:rPr>
              <w:t xml:space="preserve">the provision of warm referrals for clients requiring additional services and assistance to those seeking a </w:t>
            </w:r>
            <w:r w:rsidR="008D1C44" w:rsidRPr="005C14EB">
              <w:rPr>
                <w:rFonts w:eastAsia="Arial" w:cstheme="minorHAnsi"/>
                <w:color w:val="auto"/>
                <w:szCs w:val="22"/>
              </w:rPr>
              <w:t>direct personal response</w:t>
            </w:r>
          </w:p>
          <w:p w:rsidR="00764552" w:rsidRPr="005C14EB" w:rsidRDefault="00764552" w:rsidP="005C14EB">
            <w:pPr>
              <w:pStyle w:val="BodyText"/>
              <w:numPr>
                <w:ilvl w:val="0"/>
                <w:numId w:val="38"/>
              </w:numPr>
              <w:ind w:left="426" w:hanging="284"/>
              <w:rPr>
                <w:rFonts w:eastAsia="Arial" w:cstheme="minorHAnsi"/>
                <w:color w:val="auto"/>
                <w:szCs w:val="22"/>
              </w:rPr>
            </w:pPr>
            <w:r w:rsidRPr="005C14EB">
              <w:rPr>
                <w:rFonts w:eastAsia="Arial" w:cstheme="minorHAnsi"/>
                <w:color w:val="auto"/>
                <w:szCs w:val="22"/>
              </w:rPr>
              <w:t xml:space="preserve">how they would support people to access a direct personal response, by having an informed discussion of the client's options, the provision of advocacy, facilitation and support throughout the process. Also noting the need to ensure that clients have appropriate safety plans for after the </w:t>
            </w:r>
            <w:r w:rsidR="008D1C44" w:rsidRPr="005C14EB">
              <w:rPr>
                <w:rFonts w:eastAsia="Arial" w:cstheme="minorHAnsi"/>
                <w:color w:val="auto"/>
                <w:szCs w:val="22"/>
              </w:rPr>
              <w:t>direct personal response</w:t>
            </w:r>
            <w:r w:rsidRPr="005C14EB">
              <w:rPr>
                <w:rFonts w:eastAsia="Arial" w:cstheme="minorHAnsi"/>
                <w:color w:val="auto"/>
                <w:szCs w:val="22"/>
              </w:rPr>
              <w:t xml:space="preserve"> is completed</w:t>
            </w:r>
          </w:p>
          <w:p w:rsidR="00756D9A" w:rsidRPr="005C14EB" w:rsidRDefault="00756D9A" w:rsidP="005C14EB">
            <w:pPr>
              <w:pStyle w:val="BodyText"/>
              <w:numPr>
                <w:ilvl w:val="0"/>
                <w:numId w:val="38"/>
              </w:numPr>
              <w:ind w:left="426" w:hanging="284"/>
              <w:rPr>
                <w:rFonts w:eastAsia="Arial" w:cstheme="minorHAnsi"/>
                <w:color w:val="auto"/>
                <w:sz w:val="20"/>
              </w:rPr>
            </w:pPr>
            <w:r w:rsidRPr="005C14EB">
              <w:rPr>
                <w:rFonts w:eastAsia="Arial" w:cstheme="minorHAnsi"/>
                <w:color w:val="auto"/>
                <w:szCs w:val="22"/>
              </w:rPr>
              <w:t>how the organisation will effectively manage the activity to ensure that it achieves the grant objectives and intended outcomes of RSS.</w:t>
            </w:r>
          </w:p>
        </w:tc>
      </w:tr>
    </w:tbl>
    <w:p w:rsidR="00F85F98" w:rsidRPr="002D623C" w:rsidRDefault="00655791">
      <w:pPr>
        <w:pStyle w:val="Heading2"/>
      </w:pPr>
      <w:r>
        <w:br w:type="page"/>
      </w:r>
      <w:r w:rsidR="00F85F98" w:rsidRPr="002D623C">
        <w:lastRenderedPageBreak/>
        <w:t>Criterion 3</w:t>
      </w:r>
    </w:p>
    <w:p w:rsidR="00D36D8E" w:rsidRPr="002D623C" w:rsidRDefault="00D36D8E" w:rsidP="005C14EB">
      <w:pPr>
        <w:pStyle w:val="BodyText"/>
        <w:spacing w:before="120"/>
        <w:rPr>
          <w:b/>
        </w:rPr>
      </w:pPr>
      <w:r w:rsidRPr="002D623C">
        <w:rPr>
          <w:b/>
        </w:rPr>
        <w:t>Organisational capacity</w:t>
      </w:r>
    </w:p>
    <w:p w:rsidR="00DC5E6B" w:rsidRPr="002D623C" w:rsidRDefault="00D36D8E" w:rsidP="005C14EB">
      <w:pPr>
        <w:pStyle w:val="BodyText"/>
      </w:pPr>
      <w:r w:rsidRPr="002D623C">
        <w:t>Demonstrate your organisation’s capacity to deliver RSS.</w:t>
      </w:r>
    </w:p>
    <w:tbl>
      <w:tblPr>
        <w:tblStyle w:val="CGHTableBanded"/>
        <w:tblW w:w="0" w:type="auto"/>
        <w:tblLook w:val="04A0" w:firstRow="1" w:lastRow="0" w:firstColumn="1" w:lastColumn="0" w:noHBand="0" w:noVBand="1"/>
        <w:tblCaption w:val="Criterion 3 Strengths and Examples"/>
      </w:tblPr>
      <w:tblGrid>
        <w:gridCol w:w="2977"/>
        <w:gridCol w:w="6661"/>
      </w:tblGrid>
      <w:tr w:rsidR="00F85F98" w:rsidRPr="00773776" w:rsidTr="000175A8">
        <w:trPr>
          <w:cnfStyle w:val="100000000000" w:firstRow="1" w:lastRow="0" w:firstColumn="0" w:lastColumn="0" w:oddVBand="0" w:evenVBand="0" w:oddHBand="0" w:evenHBand="0" w:firstRowFirstColumn="0" w:firstRowLastColumn="0" w:lastRowFirstColumn="0" w:lastRowLastColumn="0"/>
          <w:trHeight w:val="472"/>
          <w:tblHeader/>
        </w:trPr>
        <w:tc>
          <w:tcPr>
            <w:tcW w:w="2977" w:type="dxa"/>
            <w:vAlign w:val="center"/>
          </w:tcPr>
          <w:p w:rsidR="00F85F98" w:rsidRPr="002D623C" w:rsidRDefault="00F85F98" w:rsidP="005C14EB">
            <w:pPr>
              <w:pStyle w:val="BodyText"/>
              <w:ind w:left="57"/>
              <w:rPr>
                <w:b/>
              </w:rPr>
            </w:pPr>
            <w:r w:rsidRPr="002D623C">
              <w:rPr>
                <w:b/>
              </w:rPr>
              <w:t>Strength</w:t>
            </w:r>
          </w:p>
        </w:tc>
        <w:tc>
          <w:tcPr>
            <w:tcW w:w="6661" w:type="dxa"/>
            <w:vAlign w:val="center"/>
          </w:tcPr>
          <w:p w:rsidR="00F85F98" w:rsidRPr="002D623C" w:rsidRDefault="003C2B2F" w:rsidP="005C14EB">
            <w:pPr>
              <w:pStyle w:val="BodyText"/>
              <w:ind w:left="57"/>
              <w:rPr>
                <w:b/>
              </w:rPr>
            </w:pPr>
            <w:r w:rsidRPr="002D623C">
              <w:rPr>
                <w:b/>
              </w:rPr>
              <w:t>Example</w:t>
            </w:r>
          </w:p>
        </w:tc>
      </w:tr>
      <w:tr w:rsidR="00BC2792" w:rsidRPr="00773776" w:rsidTr="000175A8">
        <w:trPr>
          <w:cnfStyle w:val="100000000000" w:firstRow="1" w:lastRow="0" w:firstColumn="0" w:lastColumn="0" w:oddVBand="0" w:evenVBand="0" w:oddHBand="0" w:evenHBand="0" w:firstRowFirstColumn="0" w:firstRowLastColumn="0" w:lastRowFirstColumn="0" w:lastRowLastColumn="0"/>
          <w:tblHeader/>
        </w:trPr>
        <w:tc>
          <w:tcPr>
            <w:tcW w:w="2977" w:type="dxa"/>
            <w:shd w:val="clear" w:color="auto" w:fill="DFE1DF" w:themeFill="text2"/>
            <w:vAlign w:val="center"/>
          </w:tcPr>
          <w:p w:rsidR="00BC2792" w:rsidRPr="005C14EB" w:rsidRDefault="00DC5E6B" w:rsidP="005C14EB">
            <w:pPr>
              <w:pStyle w:val="BodyText"/>
              <w:ind w:left="57"/>
            </w:pPr>
            <w:r w:rsidRPr="005C14EB">
              <w:t>Strong applications clearly demonstrated</w:t>
            </w:r>
            <w:r w:rsidR="008A09A5" w:rsidRPr="005C14EB">
              <w:t xml:space="preserve"> their capacity to deliver RSS, including an overview of their governance structures, geographical coverage and dispute resolution policies. They included relevant </w:t>
            </w:r>
            <w:r w:rsidR="008D1C44" w:rsidRPr="005C14EB">
              <w:t xml:space="preserve">information regarding </w:t>
            </w:r>
            <w:r w:rsidR="008A09A5" w:rsidRPr="005C14EB">
              <w:t xml:space="preserve">experience and qualifications of </w:t>
            </w:r>
            <w:r w:rsidR="008D1C44" w:rsidRPr="005C14EB">
              <w:t>their staff and</w:t>
            </w:r>
            <w:r w:rsidR="008A09A5" w:rsidRPr="005C14EB">
              <w:t xml:space="preserve"> evaluation strategies</w:t>
            </w:r>
            <w:r w:rsidR="008D1C44" w:rsidRPr="005C14EB">
              <w:t xml:space="preserve"> for the program</w:t>
            </w:r>
            <w:r w:rsidR="008A09A5" w:rsidRPr="005C14EB">
              <w:t xml:space="preserve"> and how they will meet </w:t>
            </w:r>
            <w:r w:rsidR="008D1C44" w:rsidRPr="005C14EB">
              <w:t xml:space="preserve">the departments </w:t>
            </w:r>
            <w:r w:rsidR="000175A8" w:rsidRPr="005C14EB">
              <w:t>reporting</w:t>
            </w:r>
            <w:r w:rsidR="008A09A5" w:rsidRPr="005C14EB">
              <w:t xml:space="preserve"> requirements.</w:t>
            </w:r>
          </w:p>
        </w:tc>
        <w:tc>
          <w:tcPr>
            <w:tcW w:w="6661" w:type="dxa"/>
            <w:shd w:val="clear" w:color="auto" w:fill="DFE1DF" w:themeFill="text2"/>
          </w:tcPr>
          <w:p w:rsidR="00DC5E6B" w:rsidRPr="005C14EB" w:rsidRDefault="00DC5E6B" w:rsidP="005C14EB">
            <w:pPr>
              <w:pStyle w:val="BodyText"/>
              <w:ind w:left="341" w:hanging="284"/>
              <w:contextualSpacing/>
            </w:pPr>
            <w:r w:rsidRPr="005C14EB">
              <w:t>Strong responses clearly described:</w:t>
            </w:r>
          </w:p>
          <w:p w:rsidR="00314F35" w:rsidRPr="005C14EB" w:rsidRDefault="001263C5"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the</w:t>
            </w:r>
            <w:r w:rsidR="00314F35" w:rsidRPr="005C14EB">
              <w:rPr>
                <w:rFonts w:eastAsia="Arial" w:cstheme="minorHAnsi"/>
                <w:color w:val="auto"/>
                <w:szCs w:val="22"/>
              </w:rPr>
              <w:t xml:space="preserve"> geographic areas</w:t>
            </w:r>
            <w:r w:rsidRPr="005C14EB">
              <w:rPr>
                <w:rFonts w:eastAsia="Arial" w:cstheme="minorHAnsi"/>
                <w:color w:val="auto"/>
                <w:szCs w:val="22"/>
              </w:rPr>
              <w:t xml:space="preserve"> they intend to cover</w:t>
            </w:r>
            <w:r w:rsidR="00314F35" w:rsidRPr="005C14EB">
              <w:rPr>
                <w:rFonts w:eastAsia="Arial" w:cstheme="minorHAnsi"/>
                <w:color w:val="auto"/>
                <w:szCs w:val="22"/>
              </w:rPr>
              <w:t xml:space="preserve"> (including names of towns, cities or local government areas) </w:t>
            </w:r>
            <w:r w:rsidRPr="005C14EB">
              <w:rPr>
                <w:rFonts w:eastAsia="Arial" w:cstheme="minorHAnsi"/>
                <w:color w:val="auto"/>
                <w:szCs w:val="22"/>
              </w:rPr>
              <w:t>and</w:t>
            </w:r>
            <w:r w:rsidR="002C051D" w:rsidRPr="005C14EB">
              <w:rPr>
                <w:rFonts w:eastAsia="Arial" w:cstheme="minorHAnsi"/>
                <w:color w:val="auto"/>
                <w:szCs w:val="22"/>
              </w:rPr>
              <w:t xml:space="preserve"> demonstrat</w:t>
            </w:r>
            <w:r w:rsidR="00D34203" w:rsidRPr="005C14EB">
              <w:rPr>
                <w:rFonts w:eastAsia="Arial" w:cstheme="minorHAnsi"/>
                <w:color w:val="auto"/>
                <w:szCs w:val="22"/>
              </w:rPr>
              <w:t>ed</w:t>
            </w:r>
            <w:r w:rsidR="00314F35" w:rsidRPr="005C14EB">
              <w:rPr>
                <w:rFonts w:eastAsia="Arial" w:cstheme="minorHAnsi"/>
                <w:color w:val="auto"/>
                <w:szCs w:val="22"/>
              </w:rPr>
              <w:t xml:space="preserve"> </w:t>
            </w:r>
            <w:r w:rsidRPr="005C14EB">
              <w:rPr>
                <w:rFonts w:eastAsia="Arial" w:cstheme="minorHAnsi"/>
                <w:color w:val="auto"/>
                <w:szCs w:val="22"/>
              </w:rPr>
              <w:t xml:space="preserve">their </w:t>
            </w:r>
            <w:r w:rsidR="00314F35" w:rsidRPr="005C14EB">
              <w:rPr>
                <w:rFonts w:eastAsia="Arial" w:cstheme="minorHAnsi"/>
                <w:color w:val="auto"/>
                <w:szCs w:val="22"/>
              </w:rPr>
              <w:t xml:space="preserve">capacity to cover these </w:t>
            </w:r>
            <w:r w:rsidR="002C051D" w:rsidRPr="005C14EB">
              <w:rPr>
                <w:rFonts w:eastAsia="Arial" w:cstheme="minorHAnsi"/>
                <w:color w:val="auto"/>
                <w:szCs w:val="22"/>
              </w:rPr>
              <w:t xml:space="preserve">geographical </w:t>
            </w:r>
            <w:r w:rsidR="00314F35" w:rsidRPr="005C14EB">
              <w:rPr>
                <w:rFonts w:eastAsia="Arial" w:cstheme="minorHAnsi"/>
                <w:color w:val="auto"/>
                <w:szCs w:val="22"/>
              </w:rPr>
              <w:t>areas</w:t>
            </w:r>
            <w:r w:rsidR="002C051D" w:rsidRPr="005C14EB">
              <w:rPr>
                <w:rFonts w:eastAsia="Arial" w:cstheme="minorHAnsi"/>
                <w:color w:val="auto"/>
                <w:szCs w:val="22"/>
              </w:rPr>
              <w:t xml:space="preserve"> by providing either face-to-face or online services</w:t>
            </w:r>
          </w:p>
          <w:p w:rsidR="00314F35" w:rsidRPr="005C14EB" w:rsidRDefault="001263C5"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h</w:t>
            </w:r>
            <w:r w:rsidR="00314F35" w:rsidRPr="005C14EB">
              <w:rPr>
                <w:rFonts w:eastAsia="Arial" w:cstheme="minorHAnsi"/>
                <w:color w:val="auto"/>
                <w:szCs w:val="22"/>
              </w:rPr>
              <w:t>ow they have strong organisational governance structures in place for example: a Board of Governance, Finance and Audit Committee</w:t>
            </w:r>
            <w:r w:rsidR="00F43E1E" w:rsidRPr="005C14EB" w:rsidDel="00F43E1E">
              <w:rPr>
                <w:rFonts w:eastAsia="Arial" w:cstheme="minorHAnsi"/>
                <w:color w:val="auto"/>
                <w:szCs w:val="22"/>
              </w:rPr>
              <w:t xml:space="preserve"> </w:t>
            </w:r>
            <w:r w:rsidR="00BD4E6A" w:rsidRPr="005C14EB">
              <w:rPr>
                <w:rFonts w:eastAsia="Arial" w:cstheme="minorHAnsi"/>
                <w:color w:val="auto"/>
                <w:szCs w:val="22"/>
              </w:rPr>
              <w:t>and</w:t>
            </w:r>
            <w:r w:rsidR="00314F35" w:rsidRPr="005C14EB">
              <w:rPr>
                <w:rFonts w:eastAsia="Arial" w:cstheme="minorHAnsi"/>
                <w:color w:val="auto"/>
                <w:szCs w:val="22"/>
              </w:rPr>
              <w:t xml:space="preserve"> key operational policies</w:t>
            </w:r>
            <w:r w:rsidR="00F43E1E" w:rsidRPr="005C14EB">
              <w:rPr>
                <w:rFonts w:eastAsia="Arial" w:cstheme="minorHAnsi"/>
                <w:color w:val="auto"/>
                <w:szCs w:val="22"/>
              </w:rPr>
              <w:t xml:space="preserve"> (including</w:t>
            </w:r>
            <w:r w:rsidR="00314F35" w:rsidRPr="005C14EB">
              <w:rPr>
                <w:rFonts w:eastAsia="Arial" w:cstheme="minorHAnsi"/>
                <w:color w:val="auto"/>
                <w:szCs w:val="22"/>
              </w:rPr>
              <w:t xml:space="preserve"> how they are managed</w:t>
            </w:r>
            <w:r w:rsidR="00F43E1E" w:rsidRPr="005C14EB">
              <w:rPr>
                <w:rFonts w:eastAsia="Arial" w:cstheme="minorHAnsi"/>
                <w:color w:val="auto"/>
                <w:szCs w:val="22"/>
              </w:rPr>
              <w:t xml:space="preserve"> -</w:t>
            </w:r>
            <w:r w:rsidR="0020628C" w:rsidRPr="005C14EB">
              <w:rPr>
                <w:rFonts w:eastAsia="Arial" w:cstheme="minorHAnsi"/>
                <w:color w:val="auto"/>
                <w:szCs w:val="22"/>
              </w:rPr>
              <w:t xml:space="preserve"> </w:t>
            </w:r>
            <w:r w:rsidR="00314F35" w:rsidRPr="005C14EB">
              <w:rPr>
                <w:rFonts w:eastAsia="Arial" w:cstheme="minorHAnsi"/>
                <w:color w:val="auto"/>
                <w:szCs w:val="22"/>
              </w:rPr>
              <w:t xml:space="preserve">necessary dispute resolution policies and procedures </w:t>
            </w:r>
            <w:r w:rsidR="00F43E1E" w:rsidRPr="005C14EB">
              <w:rPr>
                <w:rFonts w:eastAsia="Arial" w:cstheme="minorHAnsi"/>
                <w:color w:val="auto"/>
                <w:szCs w:val="22"/>
              </w:rPr>
              <w:t xml:space="preserve">are </w:t>
            </w:r>
            <w:r w:rsidR="00314F35" w:rsidRPr="005C14EB">
              <w:rPr>
                <w:rFonts w:eastAsia="Arial" w:cstheme="minorHAnsi"/>
                <w:color w:val="auto"/>
                <w:szCs w:val="22"/>
              </w:rPr>
              <w:t>in place, robust complaints and client triage processes</w:t>
            </w:r>
            <w:r w:rsidR="00F43E1E" w:rsidRPr="005C14EB">
              <w:rPr>
                <w:rFonts w:eastAsia="Arial" w:cstheme="minorHAnsi"/>
                <w:color w:val="auto"/>
                <w:szCs w:val="22"/>
              </w:rPr>
              <w:t>).</w:t>
            </w:r>
          </w:p>
          <w:p w:rsidR="00B03FCC" w:rsidRPr="005C14EB" w:rsidRDefault="00B03FCC"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 xml:space="preserve">their dispute resolution policy </w:t>
            </w:r>
            <w:r w:rsidR="001263C5" w:rsidRPr="005C14EB">
              <w:rPr>
                <w:rFonts w:eastAsia="Arial" w:cstheme="minorHAnsi"/>
                <w:color w:val="auto"/>
                <w:szCs w:val="22"/>
              </w:rPr>
              <w:t>how it is</w:t>
            </w:r>
            <w:r w:rsidRPr="005C14EB">
              <w:rPr>
                <w:rFonts w:eastAsia="Arial" w:cstheme="minorHAnsi"/>
                <w:color w:val="auto"/>
                <w:szCs w:val="22"/>
              </w:rPr>
              <w:t xml:space="preserve"> designed to minimise potential conflicts before they arise and to resolve conflict constructively, disputes and conflict are dealt with expediently, in line with </w:t>
            </w:r>
            <w:r w:rsidR="00314F35" w:rsidRPr="005C14EB">
              <w:rPr>
                <w:rFonts w:eastAsia="Arial" w:cstheme="minorHAnsi"/>
                <w:color w:val="auto"/>
                <w:szCs w:val="22"/>
              </w:rPr>
              <w:t>their</w:t>
            </w:r>
            <w:r w:rsidRPr="005C14EB">
              <w:rPr>
                <w:rFonts w:eastAsia="Arial" w:cstheme="minorHAnsi"/>
                <w:color w:val="auto"/>
                <w:szCs w:val="22"/>
              </w:rPr>
              <w:t xml:space="preserve"> trauma informed practice</w:t>
            </w:r>
          </w:p>
          <w:p w:rsidR="008A09A5" w:rsidRPr="005C14EB" w:rsidRDefault="00756D9A"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the number of key staff that will manage an</w:t>
            </w:r>
            <w:r w:rsidR="00773776" w:rsidRPr="005C14EB">
              <w:rPr>
                <w:rFonts w:eastAsia="Arial" w:cstheme="minorHAnsi"/>
                <w:color w:val="auto"/>
                <w:szCs w:val="22"/>
              </w:rPr>
              <w:t>d</w:t>
            </w:r>
            <w:r w:rsidRPr="005C14EB">
              <w:rPr>
                <w:rFonts w:eastAsia="Arial" w:cstheme="minorHAnsi"/>
                <w:color w:val="auto"/>
                <w:szCs w:val="22"/>
              </w:rPr>
              <w:t>/or deliver the activity, and outlined their relevant capabilities (experience, skills and qualifications), for example</w:t>
            </w:r>
            <w:r w:rsidR="008A09A5" w:rsidRPr="005C14EB">
              <w:rPr>
                <w:rFonts w:eastAsia="Arial" w:cstheme="minorHAnsi"/>
                <w:color w:val="auto"/>
                <w:szCs w:val="22"/>
              </w:rPr>
              <w:t xml:space="preserve"> to have </w:t>
            </w:r>
            <w:r w:rsidR="00314F35" w:rsidRPr="005C14EB">
              <w:rPr>
                <w:rFonts w:eastAsia="Arial" w:cstheme="minorHAnsi"/>
                <w:color w:val="auto"/>
                <w:szCs w:val="22"/>
              </w:rPr>
              <w:t>appropriate</w:t>
            </w:r>
            <w:r w:rsidR="008A09A5" w:rsidRPr="005C14EB">
              <w:rPr>
                <w:rFonts w:eastAsia="Arial" w:cstheme="minorHAnsi"/>
                <w:color w:val="auto"/>
                <w:szCs w:val="22"/>
              </w:rPr>
              <w:t xml:space="preserve"> tertiary qualifications Psychology, Social Work or equivalent plus a minimum of 5 years' experience in the sector relating to trauma informed care, such as victim support and mental health</w:t>
            </w:r>
          </w:p>
          <w:p w:rsidR="008A09A5" w:rsidRPr="005C14EB" w:rsidRDefault="00A93614"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h</w:t>
            </w:r>
            <w:r w:rsidR="008A09A5" w:rsidRPr="005C14EB">
              <w:rPr>
                <w:rFonts w:eastAsia="Arial" w:cstheme="minorHAnsi"/>
                <w:color w:val="auto"/>
                <w:szCs w:val="22"/>
              </w:rPr>
              <w:t xml:space="preserve">ow new staff </w:t>
            </w:r>
            <w:r w:rsidRPr="005C14EB">
              <w:rPr>
                <w:rFonts w:eastAsia="Arial" w:cstheme="minorHAnsi"/>
                <w:color w:val="auto"/>
                <w:szCs w:val="22"/>
              </w:rPr>
              <w:t>are/</w:t>
            </w:r>
            <w:r w:rsidR="008A09A5" w:rsidRPr="005C14EB">
              <w:rPr>
                <w:rFonts w:eastAsia="Arial" w:cstheme="minorHAnsi"/>
                <w:color w:val="auto"/>
                <w:szCs w:val="22"/>
              </w:rPr>
              <w:t>will be provided with a comprehensive induction, plus ongoing professional d</w:t>
            </w:r>
            <w:r w:rsidR="001263C5" w:rsidRPr="005C14EB">
              <w:rPr>
                <w:rFonts w:eastAsia="Arial" w:cstheme="minorHAnsi"/>
                <w:color w:val="auto"/>
                <w:szCs w:val="22"/>
              </w:rPr>
              <w:t xml:space="preserve">evelopment and appropriate </w:t>
            </w:r>
            <w:r w:rsidR="008A09A5" w:rsidRPr="005C14EB">
              <w:rPr>
                <w:rFonts w:eastAsia="Arial" w:cstheme="minorHAnsi"/>
                <w:color w:val="auto"/>
                <w:szCs w:val="22"/>
              </w:rPr>
              <w:t>supervision and debriefing</w:t>
            </w:r>
            <w:r w:rsidR="001263C5" w:rsidRPr="005C14EB">
              <w:rPr>
                <w:rFonts w:eastAsia="Arial" w:cstheme="minorHAnsi"/>
                <w:color w:val="auto"/>
                <w:szCs w:val="22"/>
              </w:rPr>
              <w:t xml:space="preserve"> processes</w:t>
            </w:r>
            <w:r w:rsidR="00B03FCC" w:rsidRPr="005C14EB">
              <w:rPr>
                <w:rFonts w:eastAsia="Arial" w:cstheme="minorHAnsi"/>
                <w:color w:val="auto"/>
                <w:szCs w:val="22"/>
              </w:rPr>
              <w:t>.</w:t>
            </w:r>
          </w:p>
          <w:p w:rsidR="00B03FCC" w:rsidRPr="005C14EB" w:rsidRDefault="00A93614"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h</w:t>
            </w:r>
            <w:r w:rsidR="00B03FCC" w:rsidRPr="005C14EB">
              <w:rPr>
                <w:rFonts w:eastAsia="Arial" w:cstheme="minorHAnsi"/>
                <w:color w:val="auto"/>
                <w:szCs w:val="22"/>
              </w:rPr>
              <w:t xml:space="preserve">ow all staff </w:t>
            </w:r>
            <w:r w:rsidR="001263C5" w:rsidRPr="005C14EB">
              <w:rPr>
                <w:rFonts w:eastAsia="Arial" w:cstheme="minorHAnsi"/>
                <w:color w:val="auto"/>
                <w:szCs w:val="22"/>
              </w:rPr>
              <w:t>have i</w:t>
            </w:r>
            <w:r w:rsidR="00B03FCC" w:rsidRPr="005C14EB">
              <w:rPr>
                <w:rFonts w:eastAsia="Arial" w:cstheme="minorHAnsi"/>
                <w:color w:val="auto"/>
                <w:szCs w:val="22"/>
              </w:rPr>
              <w:t xml:space="preserve">ndividualised </w:t>
            </w:r>
            <w:r w:rsidR="001263C5" w:rsidRPr="005C14EB">
              <w:rPr>
                <w:rFonts w:eastAsia="Arial" w:cstheme="minorHAnsi"/>
                <w:color w:val="auto"/>
                <w:szCs w:val="22"/>
              </w:rPr>
              <w:t>p</w:t>
            </w:r>
            <w:r w:rsidR="00B03FCC" w:rsidRPr="005C14EB">
              <w:rPr>
                <w:rFonts w:eastAsia="Arial" w:cstheme="minorHAnsi"/>
                <w:color w:val="auto"/>
                <w:szCs w:val="22"/>
              </w:rPr>
              <w:t>rof</w:t>
            </w:r>
            <w:r w:rsidR="001263C5" w:rsidRPr="005C14EB">
              <w:rPr>
                <w:rFonts w:eastAsia="Arial" w:cstheme="minorHAnsi"/>
                <w:color w:val="auto"/>
                <w:szCs w:val="22"/>
              </w:rPr>
              <w:t>essional development p</w:t>
            </w:r>
            <w:r w:rsidR="00B03FCC" w:rsidRPr="005C14EB">
              <w:rPr>
                <w:rFonts w:eastAsia="Arial" w:cstheme="minorHAnsi"/>
                <w:color w:val="auto"/>
                <w:szCs w:val="22"/>
              </w:rPr>
              <w:t>lans, which may draw on courses available through the Australian Association of Social Workers and similar institutions</w:t>
            </w:r>
          </w:p>
          <w:p w:rsidR="001263C5" w:rsidRPr="005C14EB" w:rsidRDefault="00A93614"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h</w:t>
            </w:r>
            <w:r w:rsidR="00D34203" w:rsidRPr="005C14EB">
              <w:rPr>
                <w:rFonts w:eastAsia="Arial" w:cstheme="minorHAnsi"/>
                <w:color w:val="auto"/>
                <w:szCs w:val="22"/>
              </w:rPr>
              <w:t>ow their organisation</w:t>
            </w:r>
            <w:r w:rsidR="00B03FCC" w:rsidRPr="005C14EB">
              <w:rPr>
                <w:rFonts w:eastAsia="Arial" w:cstheme="minorHAnsi"/>
                <w:color w:val="auto"/>
                <w:szCs w:val="22"/>
              </w:rPr>
              <w:t xml:space="preserve"> has extensive experience of privacy, contract and reporting compliance, and procedures will be developed</w:t>
            </w:r>
            <w:r w:rsidR="0020628C" w:rsidRPr="005C14EB">
              <w:rPr>
                <w:rFonts w:eastAsia="Arial" w:cstheme="minorHAnsi"/>
                <w:color w:val="auto"/>
                <w:szCs w:val="22"/>
              </w:rPr>
              <w:t xml:space="preserve"> or are in place</w:t>
            </w:r>
            <w:r w:rsidR="00B03FCC" w:rsidRPr="005C14EB">
              <w:rPr>
                <w:rFonts w:eastAsia="Arial" w:cstheme="minorHAnsi"/>
                <w:color w:val="auto"/>
                <w:szCs w:val="22"/>
              </w:rPr>
              <w:t xml:space="preserve"> and monitored to ensure </w:t>
            </w:r>
            <w:r w:rsidR="0020628C" w:rsidRPr="005C14EB">
              <w:rPr>
                <w:rFonts w:eastAsia="Arial" w:cstheme="minorHAnsi"/>
                <w:color w:val="auto"/>
                <w:szCs w:val="22"/>
              </w:rPr>
              <w:t>their organisation</w:t>
            </w:r>
            <w:r w:rsidR="00B03FCC" w:rsidRPr="005C14EB">
              <w:rPr>
                <w:rFonts w:eastAsia="Arial" w:cstheme="minorHAnsi"/>
                <w:color w:val="auto"/>
                <w:szCs w:val="22"/>
              </w:rPr>
              <w:t xml:space="preserve"> meet</w:t>
            </w:r>
            <w:r w:rsidR="0020628C" w:rsidRPr="005C14EB">
              <w:rPr>
                <w:rFonts w:eastAsia="Arial" w:cstheme="minorHAnsi"/>
                <w:color w:val="auto"/>
                <w:szCs w:val="22"/>
              </w:rPr>
              <w:t>s</w:t>
            </w:r>
            <w:r w:rsidR="00B03FCC" w:rsidRPr="005C14EB">
              <w:rPr>
                <w:rFonts w:eastAsia="Arial" w:cstheme="minorHAnsi"/>
                <w:color w:val="auto"/>
                <w:szCs w:val="22"/>
              </w:rPr>
              <w:t xml:space="preserve"> compliance standard</w:t>
            </w:r>
            <w:r w:rsidR="00D34203" w:rsidRPr="005C14EB">
              <w:rPr>
                <w:rFonts w:eastAsia="Arial" w:cstheme="minorHAnsi"/>
                <w:color w:val="auto"/>
                <w:szCs w:val="22"/>
              </w:rPr>
              <w:t>s</w:t>
            </w:r>
            <w:r w:rsidR="00B03FCC" w:rsidRPr="005C14EB">
              <w:rPr>
                <w:rFonts w:eastAsia="Arial" w:cstheme="minorHAnsi"/>
                <w:color w:val="auto"/>
                <w:szCs w:val="22"/>
              </w:rPr>
              <w:t xml:space="preserve"> </w:t>
            </w:r>
          </w:p>
          <w:p w:rsidR="00B03FCC" w:rsidRPr="005C14EB" w:rsidRDefault="00B03FCC"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 xml:space="preserve">how their organisation is well equipped to complete the Activity </w:t>
            </w:r>
            <w:r w:rsidR="001263C5" w:rsidRPr="005C14EB">
              <w:rPr>
                <w:rFonts w:eastAsia="Arial" w:cstheme="minorHAnsi"/>
                <w:color w:val="auto"/>
                <w:szCs w:val="22"/>
              </w:rPr>
              <w:t>Work Plan template and provide</w:t>
            </w:r>
            <w:r w:rsidRPr="005C14EB">
              <w:rPr>
                <w:rFonts w:eastAsia="Arial" w:cstheme="minorHAnsi"/>
                <w:color w:val="auto"/>
                <w:szCs w:val="22"/>
              </w:rPr>
              <w:t xml:space="preserve"> subsequent reports against the outlined activities</w:t>
            </w:r>
          </w:p>
          <w:p w:rsidR="00BD4E6A" w:rsidRPr="005C14EB" w:rsidRDefault="0080251D" w:rsidP="005C14EB">
            <w:pPr>
              <w:pStyle w:val="BodyText"/>
              <w:numPr>
                <w:ilvl w:val="0"/>
                <w:numId w:val="38"/>
              </w:numPr>
              <w:ind w:left="426" w:hanging="284"/>
              <w:contextualSpacing/>
              <w:rPr>
                <w:rFonts w:eastAsia="Arial" w:cstheme="minorHAnsi"/>
                <w:color w:val="auto"/>
                <w:szCs w:val="22"/>
              </w:rPr>
            </w:pPr>
            <w:r w:rsidRPr="005C14EB">
              <w:rPr>
                <w:rFonts w:eastAsia="Arial" w:cstheme="minorHAnsi"/>
                <w:color w:val="auto"/>
                <w:szCs w:val="22"/>
              </w:rPr>
              <w:t>h</w:t>
            </w:r>
            <w:r w:rsidR="00BD4E6A" w:rsidRPr="005C14EB">
              <w:rPr>
                <w:rFonts w:eastAsia="Arial" w:cstheme="minorHAnsi"/>
                <w:color w:val="auto"/>
                <w:szCs w:val="22"/>
              </w:rPr>
              <w:t>ow the organisation will evaluate their delivery of the program</w:t>
            </w:r>
          </w:p>
          <w:p w:rsidR="00756D9A" w:rsidRPr="005C14EB" w:rsidRDefault="00756D9A" w:rsidP="005C14EB">
            <w:pPr>
              <w:pStyle w:val="BodyText"/>
              <w:numPr>
                <w:ilvl w:val="0"/>
                <w:numId w:val="38"/>
              </w:numPr>
              <w:ind w:left="426" w:hanging="284"/>
              <w:contextualSpacing/>
              <w:rPr>
                <w:rFonts w:eastAsia="Arial" w:cstheme="minorHAnsi"/>
                <w:color w:val="auto"/>
                <w:sz w:val="20"/>
              </w:rPr>
            </w:pPr>
            <w:r w:rsidRPr="005C14EB">
              <w:rPr>
                <w:rFonts w:eastAsia="Arial" w:cstheme="minorHAnsi"/>
                <w:color w:val="auto"/>
                <w:szCs w:val="22"/>
              </w:rPr>
              <w:t>the organisation’s ability to successfully manage Commonwealth grant funding</w:t>
            </w:r>
            <w:r w:rsidR="00612056" w:rsidRPr="005C14EB">
              <w:rPr>
                <w:rFonts w:eastAsia="Arial" w:cstheme="minorHAnsi"/>
                <w:color w:val="auto"/>
                <w:szCs w:val="22"/>
              </w:rPr>
              <w:t>.</w:t>
            </w:r>
          </w:p>
        </w:tc>
      </w:tr>
    </w:tbl>
    <w:p w:rsidR="000175A8" w:rsidRPr="002D623C" w:rsidRDefault="000175A8" w:rsidP="005C14EB">
      <w:pPr>
        <w:pStyle w:val="BodyText"/>
      </w:pPr>
    </w:p>
    <w:sectPr w:rsidR="000175A8" w:rsidRPr="002D623C" w:rsidSect="00CC5FFE">
      <w:headerReference w:type="even" r:id="rId9"/>
      <w:headerReference w:type="default" r:id="rId10"/>
      <w:footerReference w:type="even" r:id="rId11"/>
      <w:footerReference w:type="default" r:id="rId12"/>
      <w:headerReference w:type="first" r:id="rId13"/>
      <w:footerReference w:type="first" r:id="rId14"/>
      <w:pgSz w:w="11906" w:h="16838" w:code="9"/>
      <w:pgMar w:top="2835" w:right="566"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80" w:rsidRDefault="00CD0380" w:rsidP="00772718">
      <w:pPr>
        <w:spacing w:line="240" w:lineRule="auto"/>
      </w:pPr>
      <w:r>
        <w:separator/>
      </w:r>
    </w:p>
  </w:endnote>
  <w:endnote w:type="continuationSeparator" w:id="0">
    <w:p w:rsidR="00CD0380" w:rsidRDefault="00CD038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5A" w:rsidRDefault="00DE3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5C14EB">
    <w:pPr>
      <w:pStyle w:val="Footer"/>
      <w:tabs>
        <w:tab w:val="clear" w:pos="4513"/>
        <w:tab w:val="clear" w:pos="9026"/>
        <w:tab w:val="right" w:pos="9498"/>
      </w:tabs>
    </w:pPr>
    <w:r>
      <w:fldChar w:fldCharType="begin"/>
    </w:r>
    <w:r>
      <w:instrText xml:space="preserve"> PAGE   \* MERGEFORMAT </w:instrText>
    </w:r>
    <w:r>
      <w:fldChar w:fldCharType="separate"/>
    </w:r>
    <w:r w:rsidR="00DE315A">
      <w:rPr>
        <w:noProof/>
      </w:rPr>
      <w:t>2</w:t>
    </w:r>
    <w:r>
      <w:fldChar w:fldCharType="end"/>
    </w:r>
    <w:r>
      <w:t xml:space="preserve">  </w:t>
    </w:r>
    <w:r w:rsidRPr="00A454BF">
      <w:t xml:space="preserve">| </w:t>
    </w:r>
    <w:r w:rsidR="002F1C90">
      <w:t>Feedback for applicants</w:t>
    </w:r>
    <w:r w:rsidR="002F1C90">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6C7A47E6" wp14:editId="2A2536EC">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62EE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DE315A">
      <w:rPr>
        <w:noProof/>
      </w:rPr>
      <w:t>1</w:t>
    </w:r>
    <w:r>
      <w:fldChar w:fldCharType="end"/>
    </w:r>
    <w:r>
      <w:t xml:space="preserve">  </w:t>
    </w:r>
    <w:r w:rsidRPr="00A454BF">
      <w:t xml:space="preserve">|  </w:t>
    </w:r>
    <w:r w:rsidR="002F1C90">
      <w:t>Feedback for applicants</w:t>
    </w:r>
    <w:r w:rsidR="002F1C90">
      <w:tab/>
    </w:r>
    <w:r w:rsidR="002F1C90">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80" w:rsidRDefault="00CD0380" w:rsidP="00772718">
      <w:pPr>
        <w:spacing w:line="240" w:lineRule="auto"/>
      </w:pPr>
      <w:r>
        <w:separator/>
      </w:r>
    </w:p>
  </w:footnote>
  <w:footnote w:type="continuationSeparator" w:id="0">
    <w:p w:rsidR="00CD0380" w:rsidRDefault="00CD038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5A" w:rsidRDefault="00DE3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3BC75213" wp14:editId="68A4874E">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B790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AE7A477" wp14:editId="739D16A2">
          <wp:simplePos x="719138" y="647700"/>
          <wp:positionH relativeFrom="page">
            <wp:align>left</wp:align>
          </wp:positionH>
          <wp:positionV relativeFrom="page">
            <wp:align>top</wp:align>
          </wp:positionV>
          <wp:extent cx="7560000" cy="648000"/>
          <wp:effectExtent l="0" t="0" r="3175" b="0"/>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0B8B2A7" wp14:editId="78AAB656">
          <wp:simplePos x="0" y="0"/>
          <wp:positionH relativeFrom="page">
            <wp:posOffset>4048125</wp:posOffset>
          </wp:positionH>
          <wp:positionV relativeFrom="page">
            <wp:posOffset>485775</wp:posOffset>
          </wp:positionV>
          <wp:extent cx="2793600" cy="813600"/>
          <wp:effectExtent l="0" t="0" r="6985" b="5715"/>
          <wp:wrapNone/>
          <wp:docPr id="88" name="Picture 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Pr>
        <w:noProof/>
        <w:lang w:eastAsia="en-AU"/>
      </w:rPr>
      <mc:AlternateContent>
        <mc:Choice Requires="wpg">
          <w:drawing>
            <wp:anchor distT="0" distB="0" distL="114300" distR="114300" simplePos="0" relativeHeight="251672576" behindDoc="0" locked="1" layoutInCell="1" allowOverlap="1" wp14:anchorId="4822033E" wp14:editId="5BE3410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ACDA6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bookmarkEnd w:id="0"/>
    <w:r w:rsidR="00D91B18">
      <w:rPr>
        <w:noProof/>
        <w:lang w:eastAsia="en-AU"/>
      </w:rPr>
      <mc:AlternateContent>
        <mc:Choice Requires="wps">
          <w:drawing>
            <wp:anchor distT="0" distB="0" distL="114300" distR="114300" simplePos="0" relativeHeight="251669504" behindDoc="0" locked="1" layoutInCell="1" allowOverlap="1" wp14:anchorId="3843A6A1" wp14:editId="165C419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9BDC4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C4CDBD3" wp14:editId="5B9A20A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722AA"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38FF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27644"/>
    <w:multiLevelType w:val="hybridMultilevel"/>
    <w:tmpl w:val="6478E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11AA4A52"/>
    <w:multiLevelType w:val="hybridMultilevel"/>
    <w:tmpl w:val="722454C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2015F3"/>
    <w:multiLevelType w:val="hybridMultilevel"/>
    <w:tmpl w:val="7882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308D0"/>
    <w:multiLevelType w:val="hybridMultilevel"/>
    <w:tmpl w:val="4D0C579E"/>
    <w:lvl w:ilvl="0" w:tplc="0C090005">
      <w:start w:val="1"/>
      <w:numFmt w:val="bullet"/>
      <w:lvlText w:val=""/>
      <w:lvlJc w:val="left"/>
      <w:pPr>
        <w:ind w:left="720" w:hanging="360"/>
      </w:pPr>
      <w:rPr>
        <w:rFonts w:ascii="Wingdings" w:hAnsi="Wingdings" w:hint="default"/>
      </w:rPr>
    </w:lvl>
    <w:lvl w:ilvl="1" w:tplc="8F9619B0">
      <w:start w:val="1"/>
      <w:numFmt w:val="bullet"/>
      <w:lvlText w:val="­"/>
      <w:lvlJc w:val="left"/>
      <w:pPr>
        <w:ind w:left="1440" w:hanging="360"/>
      </w:pPr>
      <w:rPr>
        <w:rFonts w:ascii="Courier New" w:hAnsi="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860D5"/>
    <w:multiLevelType w:val="hybridMultilevel"/>
    <w:tmpl w:val="619AE7B6"/>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1B413B6F"/>
    <w:multiLevelType w:val="hybridMultilevel"/>
    <w:tmpl w:val="445869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F679E"/>
    <w:multiLevelType w:val="hybridMultilevel"/>
    <w:tmpl w:val="C3CCDC3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546BF"/>
    <w:multiLevelType w:val="hybridMultilevel"/>
    <w:tmpl w:val="5BFEA6E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C664C8"/>
    <w:multiLevelType w:val="hybridMultilevel"/>
    <w:tmpl w:val="FE2C9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EB0AA7"/>
    <w:multiLevelType w:val="hybridMultilevel"/>
    <w:tmpl w:val="BD8EAA06"/>
    <w:lvl w:ilvl="0" w:tplc="BC18840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A1D3D"/>
    <w:multiLevelType w:val="hybridMultilevel"/>
    <w:tmpl w:val="D8D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B2F9C"/>
    <w:multiLevelType w:val="hybridMultilevel"/>
    <w:tmpl w:val="3A7044C4"/>
    <w:lvl w:ilvl="0" w:tplc="8F9619B0">
      <w:start w:val="1"/>
      <w:numFmt w:val="bullet"/>
      <w:lvlText w:val="­"/>
      <w:lvlJc w:val="left"/>
      <w:pPr>
        <w:ind w:left="833" w:hanging="360"/>
      </w:pPr>
      <w:rPr>
        <w:rFonts w:ascii="Courier New" w:hAnsi="Courier New" w:hint="default"/>
        <w:color w:val="264F9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316620D"/>
    <w:multiLevelType w:val="hybridMultilevel"/>
    <w:tmpl w:val="9C16878E"/>
    <w:lvl w:ilvl="0" w:tplc="764E19D8">
      <w:start w:val="1"/>
      <w:numFmt w:val="bullet"/>
      <w:lvlText w:val="•"/>
      <w:lvlJc w:val="left"/>
      <w:pPr>
        <w:tabs>
          <w:tab w:val="num" w:pos="720"/>
        </w:tabs>
        <w:ind w:left="720" w:hanging="360"/>
      </w:pPr>
      <w:rPr>
        <w:rFonts w:ascii="Arial" w:hAnsi="Arial"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B85EA7D4">
      <w:start w:val="1"/>
      <w:numFmt w:val="bullet"/>
      <w:lvlText w:val="•"/>
      <w:lvlJc w:val="left"/>
      <w:pPr>
        <w:tabs>
          <w:tab w:val="num" w:pos="2160"/>
        </w:tabs>
        <w:ind w:left="2160" w:hanging="360"/>
      </w:pPr>
      <w:rPr>
        <w:rFonts w:ascii="Arial" w:hAnsi="Arial" w:cs="Times New Roman" w:hint="default"/>
      </w:rPr>
    </w:lvl>
    <w:lvl w:ilvl="3" w:tplc="02F61548">
      <w:start w:val="1"/>
      <w:numFmt w:val="bullet"/>
      <w:lvlText w:val="•"/>
      <w:lvlJc w:val="left"/>
      <w:pPr>
        <w:tabs>
          <w:tab w:val="num" w:pos="2880"/>
        </w:tabs>
        <w:ind w:left="2880" w:hanging="360"/>
      </w:pPr>
      <w:rPr>
        <w:rFonts w:ascii="Arial" w:hAnsi="Arial" w:cs="Times New Roman" w:hint="default"/>
      </w:rPr>
    </w:lvl>
    <w:lvl w:ilvl="4" w:tplc="EF6CC898">
      <w:start w:val="1"/>
      <w:numFmt w:val="bullet"/>
      <w:lvlText w:val="•"/>
      <w:lvlJc w:val="left"/>
      <w:pPr>
        <w:tabs>
          <w:tab w:val="num" w:pos="3600"/>
        </w:tabs>
        <w:ind w:left="3600" w:hanging="360"/>
      </w:pPr>
      <w:rPr>
        <w:rFonts w:ascii="Arial" w:hAnsi="Arial" w:cs="Times New Roman" w:hint="default"/>
      </w:rPr>
    </w:lvl>
    <w:lvl w:ilvl="5" w:tplc="0B50458A">
      <w:start w:val="1"/>
      <w:numFmt w:val="bullet"/>
      <w:lvlText w:val="•"/>
      <w:lvlJc w:val="left"/>
      <w:pPr>
        <w:tabs>
          <w:tab w:val="num" w:pos="4320"/>
        </w:tabs>
        <w:ind w:left="4320" w:hanging="360"/>
      </w:pPr>
      <w:rPr>
        <w:rFonts w:ascii="Arial" w:hAnsi="Arial" w:cs="Times New Roman" w:hint="default"/>
      </w:rPr>
    </w:lvl>
    <w:lvl w:ilvl="6" w:tplc="46686F14">
      <w:start w:val="1"/>
      <w:numFmt w:val="bullet"/>
      <w:lvlText w:val="•"/>
      <w:lvlJc w:val="left"/>
      <w:pPr>
        <w:tabs>
          <w:tab w:val="num" w:pos="5040"/>
        </w:tabs>
        <w:ind w:left="5040" w:hanging="360"/>
      </w:pPr>
      <w:rPr>
        <w:rFonts w:ascii="Arial" w:hAnsi="Arial" w:cs="Times New Roman" w:hint="default"/>
      </w:rPr>
    </w:lvl>
    <w:lvl w:ilvl="7" w:tplc="C7A46256">
      <w:start w:val="1"/>
      <w:numFmt w:val="bullet"/>
      <w:lvlText w:val="•"/>
      <w:lvlJc w:val="left"/>
      <w:pPr>
        <w:tabs>
          <w:tab w:val="num" w:pos="5760"/>
        </w:tabs>
        <w:ind w:left="5760" w:hanging="360"/>
      </w:pPr>
      <w:rPr>
        <w:rFonts w:ascii="Arial" w:hAnsi="Arial" w:cs="Times New Roman" w:hint="default"/>
      </w:rPr>
    </w:lvl>
    <w:lvl w:ilvl="8" w:tplc="15862FBC">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44D60A46"/>
    <w:multiLevelType w:val="hybridMultilevel"/>
    <w:tmpl w:val="E42E3948"/>
    <w:lvl w:ilvl="0" w:tplc="093A389C">
      <w:start w:val="1"/>
      <w:numFmt w:val="bullet"/>
      <w:lvlText w:val="­"/>
      <w:lvlJc w:val="left"/>
      <w:pPr>
        <w:ind w:left="833" w:hanging="360"/>
      </w:pPr>
      <w:rPr>
        <w:rFonts w:ascii="Courier New" w:hAnsi="Courier New" w:hint="default"/>
        <w:color w:val="264F9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4DC53F4E"/>
    <w:multiLevelType w:val="hybridMultilevel"/>
    <w:tmpl w:val="92B8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7D556FD"/>
    <w:multiLevelType w:val="hybridMultilevel"/>
    <w:tmpl w:val="489E6540"/>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7D10FA"/>
    <w:multiLevelType w:val="hybridMultilevel"/>
    <w:tmpl w:val="F2B4776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13F3E8A"/>
    <w:multiLevelType w:val="hybridMultilevel"/>
    <w:tmpl w:val="53986FB6"/>
    <w:lvl w:ilvl="0" w:tplc="41E07A9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5381A"/>
    <w:multiLevelType w:val="hybridMultilevel"/>
    <w:tmpl w:val="A8287F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1"/>
  </w:num>
  <w:num w:numId="4">
    <w:abstractNumId w:val="24"/>
  </w:num>
  <w:num w:numId="5">
    <w:abstractNumId w:val="23"/>
  </w:num>
  <w:num w:numId="6">
    <w:abstractNumId w:val="17"/>
  </w:num>
  <w:num w:numId="7">
    <w:abstractNumId w:val="12"/>
  </w:num>
  <w:num w:numId="8">
    <w:abstractNumId w:val="30"/>
  </w:num>
  <w:num w:numId="9">
    <w:abstractNumId w:val="28"/>
  </w:num>
  <w:num w:numId="10">
    <w:abstractNumId w:val="7"/>
  </w:num>
  <w:num w:numId="11">
    <w:abstractNumId w:val="15"/>
  </w:num>
  <w:num w:numId="12">
    <w:abstractNumId w:val="7"/>
  </w:num>
  <w:num w:numId="13">
    <w:abstractNumId w:val="33"/>
  </w:num>
  <w:num w:numId="14">
    <w:abstractNumId w:val="35"/>
  </w:num>
  <w:num w:numId="15">
    <w:abstractNumId w:val="21"/>
  </w:num>
  <w:num w:numId="16">
    <w:abstractNumId w:val="13"/>
  </w:num>
  <w:num w:numId="17">
    <w:abstractNumId w:val="16"/>
  </w:num>
  <w:num w:numId="18">
    <w:abstractNumId w:val="31"/>
  </w:num>
  <w:num w:numId="19">
    <w:abstractNumId w:val="8"/>
  </w:num>
  <w:num w:numId="20">
    <w:abstractNumId w:val="19"/>
  </w:num>
  <w:num w:numId="21">
    <w:abstractNumId w:val="14"/>
  </w:num>
  <w:num w:numId="22">
    <w:abstractNumId w:val="25"/>
  </w:num>
  <w:num w:numId="23">
    <w:abstractNumId w:val="6"/>
  </w:num>
  <w:num w:numId="24">
    <w:abstractNumId w:val="9"/>
  </w:num>
  <w:num w:numId="25">
    <w:abstractNumId w:val="1"/>
  </w:num>
  <w:num w:numId="26">
    <w:abstractNumId w:val="3"/>
  </w:num>
  <w:num w:numId="27">
    <w:abstractNumId w:val="37"/>
  </w:num>
  <w:num w:numId="28">
    <w:abstractNumId w:val="5"/>
  </w:num>
  <w:num w:numId="29">
    <w:abstractNumId w:val="18"/>
  </w:num>
  <w:num w:numId="30">
    <w:abstractNumId w:val="36"/>
  </w:num>
  <w:num w:numId="31">
    <w:abstractNumId w:val="4"/>
  </w:num>
  <w:num w:numId="32">
    <w:abstractNumId w:val="27"/>
  </w:num>
  <w:num w:numId="33">
    <w:abstractNumId w:val="20"/>
  </w:num>
  <w:num w:numId="34">
    <w:abstractNumId w:val="22"/>
  </w:num>
  <w:num w:numId="35">
    <w:abstractNumId w:val="26"/>
  </w:num>
  <w:num w:numId="36">
    <w:abstractNumId w:val="0"/>
  </w:num>
  <w:num w:numId="37">
    <w:abstractNumId w:val="29"/>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69E6"/>
    <w:rsid w:val="00007DE9"/>
    <w:rsid w:val="00015AE4"/>
    <w:rsid w:val="00017202"/>
    <w:rsid w:val="000175A8"/>
    <w:rsid w:val="00022CA3"/>
    <w:rsid w:val="0003018E"/>
    <w:rsid w:val="00033BC3"/>
    <w:rsid w:val="00044E09"/>
    <w:rsid w:val="00047135"/>
    <w:rsid w:val="0004784D"/>
    <w:rsid w:val="00053A00"/>
    <w:rsid w:val="000648A8"/>
    <w:rsid w:val="00066FA3"/>
    <w:rsid w:val="00086119"/>
    <w:rsid w:val="00094C40"/>
    <w:rsid w:val="000B6C00"/>
    <w:rsid w:val="000C1F06"/>
    <w:rsid w:val="000D21C0"/>
    <w:rsid w:val="000D62C5"/>
    <w:rsid w:val="000E52AE"/>
    <w:rsid w:val="000F0B06"/>
    <w:rsid w:val="000F1DD1"/>
    <w:rsid w:val="000F28B8"/>
    <w:rsid w:val="000F3766"/>
    <w:rsid w:val="00100880"/>
    <w:rsid w:val="00106FC4"/>
    <w:rsid w:val="00107CBA"/>
    <w:rsid w:val="00111F0C"/>
    <w:rsid w:val="001172F5"/>
    <w:rsid w:val="001200E5"/>
    <w:rsid w:val="00120B80"/>
    <w:rsid w:val="001263C5"/>
    <w:rsid w:val="00133FC0"/>
    <w:rsid w:val="00145B67"/>
    <w:rsid w:val="00145E2D"/>
    <w:rsid w:val="00164695"/>
    <w:rsid w:val="0016612C"/>
    <w:rsid w:val="00173573"/>
    <w:rsid w:val="001763D4"/>
    <w:rsid w:val="00181433"/>
    <w:rsid w:val="001834DD"/>
    <w:rsid w:val="001C0E37"/>
    <w:rsid w:val="001C5288"/>
    <w:rsid w:val="001C53CE"/>
    <w:rsid w:val="001C5D96"/>
    <w:rsid w:val="001D341B"/>
    <w:rsid w:val="001E3D2B"/>
    <w:rsid w:val="001E66CE"/>
    <w:rsid w:val="0020628C"/>
    <w:rsid w:val="00217CB9"/>
    <w:rsid w:val="00221DC2"/>
    <w:rsid w:val="00234216"/>
    <w:rsid w:val="00243004"/>
    <w:rsid w:val="00243F04"/>
    <w:rsid w:val="00244B48"/>
    <w:rsid w:val="002573D5"/>
    <w:rsid w:val="002605F6"/>
    <w:rsid w:val="00262216"/>
    <w:rsid w:val="00264E26"/>
    <w:rsid w:val="0026628E"/>
    <w:rsid w:val="00280E74"/>
    <w:rsid w:val="00283A90"/>
    <w:rsid w:val="0029028F"/>
    <w:rsid w:val="00292BEE"/>
    <w:rsid w:val="00297A0A"/>
    <w:rsid w:val="002A41E1"/>
    <w:rsid w:val="002B6242"/>
    <w:rsid w:val="002B6574"/>
    <w:rsid w:val="002C051D"/>
    <w:rsid w:val="002D4D48"/>
    <w:rsid w:val="002D623C"/>
    <w:rsid w:val="002E001A"/>
    <w:rsid w:val="002E1CCC"/>
    <w:rsid w:val="002E21D2"/>
    <w:rsid w:val="002E35A4"/>
    <w:rsid w:val="002F1C90"/>
    <w:rsid w:val="002F7D3C"/>
    <w:rsid w:val="00305720"/>
    <w:rsid w:val="003077C3"/>
    <w:rsid w:val="0031098A"/>
    <w:rsid w:val="003131AB"/>
    <w:rsid w:val="00314F35"/>
    <w:rsid w:val="0031552B"/>
    <w:rsid w:val="003217BE"/>
    <w:rsid w:val="003330E3"/>
    <w:rsid w:val="0034044F"/>
    <w:rsid w:val="003465F5"/>
    <w:rsid w:val="003478EC"/>
    <w:rsid w:val="00353403"/>
    <w:rsid w:val="00355FF2"/>
    <w:rsid w:val="00356826"/>
    <w:rsid w:val="00364F9E"/>
    <w:rsid w:val="003A17CA"/>
    <w:rsid w:val="003C2B2F"/>
    <w:rsid w:val="003C5AAB"/>
    <w:rsid w:val="003D0647"/>
    <w:rsid w:val="003D0A34"/>
    <w:rsid w:val="003D1265"/>
    <w:rsid w:val="003D255E"/>
    <w:rsid w:val="003D3B1D"/>
    <w:rsid w:val="003D5DBE"/>
    <w:rsid w:val="003F35CA"/>
    <w:rsid w:val="00400786"/>
    <w:rsid w:val="00404841"/>
    <w:rsid w:val="00412059"/>
    <w:rsid w:val="00420ABA"/>
    <w:rsid w:val="00420BDE"/>
    <w:rsid w:val="00425633"/>
    <w:rsid w:val="00441E79"/>
    <w:rsid w:val="00450486"/>
    <w:rsid w:val="00454EB4"/>
    <w:rsid w:val="004621A0"/>
    <w:rsid w:val="004661D5"/>
    <w:rsid w:val="004709E9"/>
    <w:rsid w:val="00472379"/>
    <w:rsid w:val="0047343F"/>
    <w:rsid w:val="004775E9"/>
    <w:rsid w:val="00480D54"/>
    <w:rsid w:val="00483A58"/>
    <w:rsid w:val="00484BF8"/>
    <w:rsid w:val="00490618"/>
    <w:rsid w:val="00493386"/>
    <w:rsid w:val="00495A8F"/>
    <w:rsid w:val="004A2B99"/>
    <w:rsid w:val="004B3527"/>
    <w:rsid w:val="004B5F40"/>
    <w:rsid w:val="004C7D16"/>
    <w:rsid w:val="004D700E"/>
    <w:rsid w:val="004D7A07"/>
    <w:rsid w:val="004D7F17"/>
    <w:rsid w:val="004E0670"/>
    <w:rsid w:val="004E430D"/>
    <w:rsid w:val="004E7F37"/>
    <w:rsid w:val="004F0ADB"/>
    <w:rsid w:val="004F31BA"/>
    <w:rsid w:val="00507BD8"/>
    <w:rsid w:val="005118E4"/>
    <w:rsid w:val="0051299F"/>
    <w:rsid w:val="005140BD"/>
    <w:rsid w:val="00526B85"/>
    <w:rsid w:val="00530375"/>
    <w:rsid w:val="005306A1"/>
    <w:rsid w:val="0054085A"/>
    <w:rsid w:val="00544751"/>
    <w:rsid w:val="005517BC"/>
    <w:rsid w:val="005533F4"/>
    <w:rsid w:val="005723DC"/>
    <w:rsid w:val="0059000C"/>
    <w:rsid w:val="005A02A1"/>
    <w:rsid w:val="005B6071"/>
    <w:rsid w:val="005C14EB"/>
    <w:rsid w:val="005D3125"/>
    <w:rsid w:val="005D7A24"/>
    <w:rsid w:val="00602AFE"/>
    <w:rsid w:val="00606A06"/>
    <w:rsid w:val="00612056"/>
    <w:rsid w:val="00616EBA"/>
    <w:rsid w:val="006205BF"/>
    <w:rsid w:val="00622B47"/>
    <w:rsid w:val="00632C08"/>
    <w:rsid w:val="006446AB"/>
    <w:rsid w:val="00654C42"/>
    <w:rsid w:val="00655791"/>
    <w:rsid w:val="00657A48"/>
    <w:rsid w:val="0067074A"/>
    <w:rsid w:val="00672994"/>
    <w:rsid w:val="006813C6"/>
    <w:rsid w:val="00692EFD"/>
    <w:rsid w:val="006C15C5"/>
    <w:rsid w:val="006C4F76"/>
    <w:rsid w:val="006D3DAD"/>
    <w:rsid w:val="006D5381"/>
    <w:rsid w:val="006F7B19"/>
    <w:rsid w:val="00707E21"/>
    <w:rsid w:val="00714C77"/>
    <w:rsid w:val="00716D7B"/>
    <w:rsid w:val="00721E6D"/>
    <w:rsid w:val="00736A76"/>
    <w:rsid w:val="007500E4"/>
    <w:rsid w:val="00752C6B"/>
    <w:rsid w:val="00756D9A"/>
    <w:rsid w:val="00760CE6"/>
    <w:rsid w:val="00762F09"/>
    <w:rsid w:val="00764552"/>
    <w:rsid w:val="007719C9"/>
    <w:rsid w:val="00772718"/>
    <w:rsid w:val="00773776"/>
    <w:rsid w:val="007A5326"/>
    <w:rsid w:val="007B76C1"/>
    <w:rsid w:val="007C2B9E"/>
    <w:rsid w:val="007D30A8"/>
    <w:rsid w:val="007D7D6C"/>
    <w:rsid w:val="007E07A9"/>
    <w:rsid w:val="007F1687"/>
    <w:rsid w:val="007F614A"/>
    <w:rsid w:val="0080251D"/>
    <w:rsid w:val="00814FB1"/>
    <w:rsid w:val="00820F20"/>
    <w:rsid w:val="0082528A"/>
    <w:rsid w:val="00825754"/>
    <w:rsid w:val="00833758"/>
    <w:rsid w:val="00835210"/>
    <w:rsid w:val="00842B9C"/>
    <w:rsid w:val="0084413D"/>
    <w:rsid w:val="00844C2D"/>
    <w:rsid w:val="00845491"/>
    <w:rsid w:val="00851FDD"/>
    <w:rsid w:val="0087438E"/>
    <w:rsid w:val="00884668"/>
    <w:rsid w:val="008A09A5"/>
    <w:rsid w:val="008A5D53"/>
    <w:rsid w:val="008A749A"/>
    <w:rsid w:val="008A7FAA"/>
    <w:rsid w:val="008B0D99"/>
    <w:rsid w:val="008B2B46"/>
    <w:rsid w:val="008B3233"/>
    <w:rsid w:val="008D1C44"/>
    <w:rsid w:val="008D5750"/>
    <w:rsid w:val="008E05BC"/>
    <w:rsid w:val="008F11A5"/>
    <w:rsid w:val="008F17B8"/>
    <w:rsid w:val="008F3CCF"/>
    <w:rsid w:val="00904216"/>
    <w:rsid w:val="0091168E"/>
    <w:rsid w:val="009162D5"/>
    <w:rsid w:val="00921840"/>
    <w:rsid w:val="00932C87"/>
    <w:rsid w:val="009331B4"/>
    <w:rsid w:val="009345F1"/>
    <w:rsid w:val="00944BBB"/>
    <w:rsid w:val="009547B6"/>
    <w:rsid w:val="009606A0"/>
    <w:rsid w:val="00961072"/>
    <w:rsid w:val="0096623C"/>
    <w:rsid w:val="009805B1"/>
    <w:rsid w:val="009B5D64"/>
    <w:rsid w:val="009C6C53"/>
    <w:rsid w:val="009E750F"/>
    <w:rsid w:val="009F2B9E"/>
    <w:rsid w:val="00A04D96"/>
    <w:rsid w:val="00A0629B"/>
    <w:rsid w:val="00A14495"/>
    <w:rsid w:val="00A16BE1"/>
    <w:rsid w:val="00A171FA"/>
    <w:rsid w:val="00A24F65"/>
    <w:rsid w:val="00A454BF"/>
    <w:rsid w:val="00A52E3A"/>
    <w:rsid w:val="00A70798"/>
    <w:rsid w:val="00A814CB"/>
    <w:rsid w:val="00A85879"/>
    <w:rsid w:val="00A90D1B"/>
    <w:rsid w:val="00A93614"/>
    <w:rsid w:val="00AA6981"/>
    <w:rsid w:val="00AD70E2"/>
    <w:rsid w:val="00AE4FA6"/>
    <w:rsid w:val="00AF55F8"/>
    <w:rsid w:val="00B03D71"/>
    <w:rsid w:val="00B03FCC"/>
    <w:rsid w:val="00B1018C"/>
    <w:rsid w:val="00B10ABA"/>
    <w:rsid w:val="00B11F63"/>
    <w:rsid w:val="00B1327D"/>
    <w:rsid w:val="00B303E4"/>
    <w:rsid w:val="00B322B3"/>
    <w:rsid w:val="00B420D4"/>
    <w:rsid w:val="00B5349B"/>
    <w:rsid w:val="00B57910"/>
    <w:rsid w:val="00B613F5"/>
    <w:rsid w:val="00B61DFA"/>
    <w:rsid w:val="00B665F9"/>
    <w:rsid w:val="00B91B21"/>
    <w:rsid w:val="00B93D10"/>
    <w:rsid w:val="00B952F6"/>
    <w:rsid w:val="00BA202A"/>
    <w:rsid w:val="00BC093A"/>
    <w:rsid w:val="00BC2792"/>
    <w:rsid w:val="00BC2B00"/>
    <w:rsid w:val="00BC4ACC"/>
    <w:rsid w:val="00BC4FCC"/>
    <w:rsid w:val="00BD02F8"/>
    <w:rsid w:val="00BD4E6A"/>
    <w:rsid w:val="00BE7C11"/>
    <w:rsid w:val="00C07360"/>
    <w:rsid w:val="00C1488E"/>
    <w:rsid w:val="00C15B39"/>
    <w:rsid w:val="00C217A8"/>
    <w:rsid w:val="00C21CFD"/>
    <w:rsid w:val="00C25066"/>
    <w:rsid w:val="00C3428A"/>
    <w:rsid w:val="00C34DE7"/>
    <w:rsid w:val="00C34F34"/>
    <w:rsid w:val="00C4188F"/>
    <w:rsid w:val="00C471F8"/>
    <w:rsid w:val="00C51EE5"/>
    <w:rsid w:val="00C63FD4"/>
    <w:rsid w:val="00C819A4"/>
    <w:rsid w:val="00C824AE"/>
    <w:rsid w:val="00C833F2"/>
    <w:rsid w:val="00C84EA8"/>
    <w:rsid w:val="00C92998"/>
    <w:rsid w:val="00CA4028"/>
    <w:rsid w:val="00CA6A48"/>
    <w:rsid w:val="00CA720A"/>
    <w:rsid w:val="00CC2986"/>
    <w:rsid w:val="00CC5FFE"/>
    <w:rsid w:val="00CD0003"/>
    <w:rsid w:val="00CD0380"/>
    <w:rsid w:val="00CD5925"/>
    <w:rsid w:val="00CE557A"/>
    <w:rsid w:val="00CF0A5E"/>
    <w:rsid w:val="00D031B2"/>
    <w:rsid w:val="00D1410C"/>
    <w:rsid w:val="00D34203"/>
    <w:rsid w:val="00D36D8E"/>
    <w:rsid w:val="00D40D16"/>
    <w:rsid w:val="00D54704"/>
    <w:rsid w:val="00D548F0"/>
    <w:rsid w:val="00D57331"/>
    <w:rsid w:val="00D57F79"/>
    <w:rsid w:val="00D64FAC"/>
    <w:rsid w:val="00D65704"/>
    <w:rsid w:val="00D668F6"/>
    <w:rsid w:val="00D70D36"/>
    <w:rsid w:val="00D84875"/>
    <w:rsid w:val="00D904F0"/>
    <w:rsid w:val="00D91378"/>
    <w:rsid w:val="00D91B18"/>
    <w:rsid w:val="00D930FB"/>
    <w:rsid w:val="00D95D89"/>
    <w:rsid w:val="00DB2421"/>
    <w:rsid w:val="00DB37C9"/>
    <w:rsid w:val="00DB5AD5"/>
    <w:rsid w:val="00DC0747"/>
    <w:rsid w:val="00DC2647"/>
    <w:rsid w:val="00DC5E6B"/>
    <w:rsid w:val="00DD1408"/>
    <w:rsid w:val="00DD356D"/>
    <w:rsid w:val="00DD6735"/>
    <w:rsid w:val="00DE315A"/>
    <w:rsid w:val="00DE3AA6"/>
    <w:rsid w:val="00DF136A"/>
    <w:rsid w:val="00DF51FA"/>
    <w:rsid w:val="00E0448C"/>
    <w:rsid w:val="00E118BC"/>
    <w:rsid w:val="00E13525"/>
    <w:rsid w:val="00E2531E"/>
    <w:rsid w:val="00E33547"/>
    <w:rsid w:val="00E35733"/>
    <w:rsid w:val="00E362C7"/>
    <w:rsid w:val="00E47250"/>
    <w:rsid w:val="00E47ADA"/>
    <w:rsid w:val="00E56344"/>
    <w:rsid w:val="00E61535"/>
    <w:rsid w:val="00E663AA"/>
    <w:rsid w:val="00E73F55"/>
    <w:rsid w:val="00E8246B"/>
    <w:rsid w:val="00E84012"/>
    <w:rsid w:val="00E9373C"/>
    <w:rsid w:val="00EA0724"/>
    <w:rsid w:val="00EA2315"/>
    <w:rsid w:val="00EA6251"/>
    <w:rsid w:val="00EA7105"/>
    <w:rsid w:val="00EB5205"/>
    <w:rsid w:val="00EB62BE"/>
    <w:rsid w:val="00EB6414"/>
    <w:rsid w:val="00EC3C1A"/>
    <w:rsid w:val="00EE0731"/>
    <w:rsid w:val="00EE5747"/>
    <w:rsid w:val="00EF3804"/>
    <w:rsid w:val="00EF5E05"/>
    <w:rsid w:val="00F227AF"/>
    <w:rsid w:val="00F27370"/>
    <w:rsid w:val="00F30228"/>
    <w:rsid w:val="00F40B00"/>
    <w:rsid w:val="00F43E1E"/>
    <w:rsid w:val="00F50F4D"/>
    <w:rsid w:val="00F5341C"/>
    <w:rsid w:val="00F53F9B"/>
    <w:rsid w:val="00F56954"/>
    <w:rsid w:val="00F7173D"/>
    <w:rsid w:val="00F85F98"/>
    <w:rsid w:val="00F86EB5"/>
    <w:rsid w:val="00F948AF"/>
    <w:rsid w:val="00F954D9"/>
    <w:rsid w:val="00FA1F45"/>
    <w:rsid w:val="00FA5A7B"/>
    <w:rsid w:val="00FB11B1"/>
    <w:rsid w:val="00FC289C"/>
    <w:rsid w:val="00FC6A8D"/>
    <w:rsid w:val="00FD3BED"/>
    <w:rsid w:val="00FD486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2D623C"/>
    <w:pPr>
      <w:spacing w:before="40" w:after="12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2D623C"/>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99"/>
    <w:rsid w:val="00773776"/>
    <w:pPr>
      <w:spacing w:before="40" w:after="80"/>
    </w:pPr>
    <w:rPr>
      <w:rFonts w:ascii="Arial" w:eastAsia="Times New Roman" w:hAnsi="Arial"/>
      <w:iCs/>
      <w:color w:val="auto"/>
      <w:sz w:val="20"/>
    </w:rPr>
  </w:style>
  <w:style w:type="character" w:customStyle="1" w:styleId="highlightedtextChar">
    <w:name w:val="highlighted text Char"/>
    <w:basedOn w:val="DefaultParagraphFont"/>
    <w:link w:val="highlightedtext"/>
    <w:rsid w:val="00773776"/>
    <w:rPr>
      <w:rFonts w:asciiTheme="minorHAnsi" w:hAnsiTheme="minorHAnsi" w:cstheme="minorBidi"/>
      <w:b/>
      <w:color w:val="917700" w:themeColor="accent3" w:themeShade="80"/>
      <w:sz w:val="22"/>
      <w:szCs w:val="22"/>
    </w:rPr>
  </w:style>
  <w:style w:type="paragraph" w:customStyle="1" w:styleId="highlightedtext">
    <w:name w:val="highlighted text"/>
    <w:basedOn w:val="Normal"/>
    <w:link w:val="highlightedtextChar"/>
    <w:qFormat/>
    <w:rsid w:val="00773776"/>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color w:val="917700" w:themeColor="accent3"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5157">
      <w:bodyDiv w:val="1"/>
      <w:marLeft w:val="0"/>
      <w:marRight w:val="0"/>
      <w:marTop w:val="0"/>
      <w:marBottom w:val="0"/>
      <w:divBdr>
        <w:top w:val="none" w:sz="0" w:space="0" w:color="auto"/>
        <w:left w:val="none" w:sz="0" w:space="0" w:color="auto"/>
        <w:bottom w:val="none" w:sz="0" w:space="0" w:color="auto"/>
        <w:right w:val="none" w:sz="0" w:space="0" w:color="auto"/>
      </w:divBdr>
    </w:div>
    <w:div w:id="257569534">
      <w:bodyDiv w:val="1"/>
      <w:marLeft w:val="0"/>
      <w:marRight w:val="0"/>
      <w:marTop w:val="0"/>
      <w:marBottom w:val="0"/>
      <w:divBdr>
        <w:top w:val="none" w:sz="0" w:space="0" w:color="auto"/>
        <w:left w:val="none" w:sz="0" w:space="0" w:color="auto"/>
        <w:bottom w:val="none" w:sz="0" w:space="0" w:color="auto"/>
        <w:right w:val="none" w:sz="0" w:space="0" w:color="auto"/>
      </w:divBdr>
    </w:div>
    <w:div w:id="629358839">
      <w:bodyDiv w:val="1"/>
      <w:marLeft w:val="0"/>
      <w:marRight w:val="0"/>
      <w:marTop w:val="0"/>
      <w:marBottom w:val="0"/>
      <w:divBdr>
        <w:top w:val="none" w:sz="0" w:space="0" w:color="auto"/>
        <w:left w:val="none" w:sz="0" w:space="0" w:color="auto"/>
        <w:bottom w:val="none" w:sz="0" w:space="0" w:color="auto"/>
        <w:right w:val="none" w:sz="0" w:space="0" w:color="auto"/>
      </w:divBdr>
    </w:div>
    <w:div w:id="834757840">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7004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DF2B4-BA36-4DF5-A770-A614783F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8965</Characters>
  <Application>Microsoft Office Word</Application>
  <DocSecurity>0</DocSecurity>
  <Lines>200</Lines>
  <Paragraphs>78</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2022-03-11T00:44:00Z</dcterms:created>
  <dcterms:modified xsi:type="dcterms:W3CDTF">2022-03-11T00:45:00Z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ADA710F85368423299434FF7C651DA8D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2022-03-11T00:45:20Z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CD20E5FA3F6DA99DA7F191C9898049B2</vt:lpwstr>
  </property>
  <property fmtid="{D5CDD505-2E9C-101B-9397-08002B2CF9AE}" pid="20" name="PM_Hash_Salt">
    <vt:lpwstr>5331F4A18D919BC633593197C67244A8</vt:lpwstr>
  </property>
  <property fmtid="{D5CDD505-2E9C-101B-9397-08002B2CF9AE}" pid="21" name="PM_Hash_SHA1">
    <vt:lpwstr>9ACA132D3D30FB55B2FF37CBACF0A567A834C946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