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6B46" w14:textId="791D3E13" w:rsidR="00F85F98" w:rsidRPr="00895EB9" w:rsidRDefault="00661E08" w:rsidP="00F85F98">
      <w:pPr>
        <w:spacing w:after="140" w:line="1000" w:lineRule="exact"/>
        <w:contextualSpacing/>
        <w:rPr>
          <w:rFonts w:ascii="Georgia" w:eastAsiaTheme="majorEastAsia" w:hAnsi="Georgia" w:cstheme="majorBidi"/>
          <w:color w:val="CF0A2C" w:themeColor="accent1"/>
          <w:kern w:val="28"/>
          <w:sz w:val="48"/>
          <w:szCs w:val="52"/>
        </w:rPr>
      </w:pPr>
      <w:r>
        <w:rPr>
          <w:rFonts w:ascii="Georgia" w:eastAsiaTheme="majorEastAsia" w:hAnsi="Georgia" w:cstheme="majorBidi"/>
          <w:color w:val="CF0A2C" w:themeColor="accent1"/>
          <w:kern w:val="28"/>
          <w:sz w:val="48"/>
          <w:szCs w:val="52"/>
        </w:rPr>
        <w:t>Destination Australia Program 2022 Round 3</w:t>
      </w:r>
    </w:p>
    <w:p w14:paraId="43A538F7" w14:textId="0346EEB9"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34874215" w14:textId="77777777" w:rsidR="00661E0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43FEFE1D" w14:textId="77777777" w:rsidR="00661E08" w:rsidRPr="00170C2F" w:rsidRDefault="00661E08" w:rsidP="00661E08">
      <w:pPr>
        <w:rPr>
          <w:rFonts w:asciiTheme="majorHAnsi" w:hAnsiTheme="majorHAnsi" w:cstheme="majorHAnsi"/>
          <w:szCs w:val="22"/>
        </w:rPr>
      </w:pPr>
      <w:r w:rsidRPr="00170C2F">
        <w:rPr>
          <w:rFonts w:asciiTheme="majorHAnsi" w:hAnsiTheme="majorHAnsi" w:cstheme="majorHAnsi"/>
          <w:szCs w:val="22"/>
        </w:rPr>
        <w:t xml:space="preserve">The objective of the </w:t>
      </w:r>
      <w:r w:rsidR="00801DCD">
        <w:rPr>
          <w:rFonts w:asciiTheme="majorHAnsi" w:hAnsiTheme="majorHAnsi" w:cstheme="majorHAnsi"/>
          <w:szCs w:val="22"/>
        </w:rPr>
        <w:t xml:space="preserve">Destination Australia (DA) </w:t>
      </w:r>
      <w:r w:rsidRPr="00170C2F">
        <w:rPr>
          <w:rFonts w:asciiTheme="majorHAnsi" w:hAnsiTheme="majorHAnsi" w:cstheme="majorHAnsi"/>
          <w:szCs w:val="22"/>
        </w:rPr>
        <w:t>grant opportunity is to attract and support domestic and international students to study in regional Australia, to grow and develop regional Australian tertiary education providers and to offer students a high quality learning experience.</w:t>
      </w:r>
    </w:p>
    <w:p w14:paraId="28677A40" w14:textId="77777777" w:rsidR="00661E08" w:rsidRPr="00170C2F" w:rsidRDefault="00661E08" w:rsidP="00661E08">
      <w:pPr>
        <w:rPr>
          <w:rFonts w:asciiTheme="majorHAnsi" w:hAnsiTheme="majorHAnsi" w:cstheme="majorHAnsi"/>
          <w:szCs w:val="22"/>
        </w:rPr>
      </w:pPr>
    </w:p>
    <w:p w14:paraId="24C9A951" w14:textId="77777777" w:rsidR="00661E08" w:rsidRPr="00170C2F" w:rsidRDefault="00661E08" w:rsidP="00661E08">
      <w:pPr>
        <w:rPr>
          <w:rStyle w:val="highlightedtextChar"/>
          <w:rFonts w:asciiTheme="majorHAnsi" w:hAnsiTheme="majorHAnsi" w:cstheme="majorHAnsi"/>
          <w:b w:val="0"/>
          <w:color w:val="auto"/>
        </w:rPr>
      </w:pPr>
      <w:r w:rsidRPr="00170C2F">
        <w:rPr>
          <w:rStyle w:val="highlightedtextChar"/>
          <w:rFonts w:asciiTheme="majorHAnsi" w:hAnsiTheme="majorHAnsi" w:cstheme="majorHAnsi"/>
          <w:b w:val="0"/>
          <w:color w:val="auto"/>
        </w:rPr>
        <w:t>The program will</w:t>
      </w:r>
      <w:r w:rsidR="00A17BBF">
        <w:rPr>
          <w:rStyle w:val="highlightedtextChar"/>
          <w:rFonts w:asciiTheme="majorHAnsi" w:hAnsiTheme="majorHAnsi" w:cstheme="majorHAnsi"/>
          <w:b w:val="0"/>
          <w:color w:val="auto"/>
        </w:rPr>
        <w:t xml:space="preserve"> seek to</w:t>
      </w:r>
      <w:r w:rsidRPr="00170C2F">
        <w:rPr>
          <w:rStyle w:val="highlightedtextChar"/>
          <w:rFonts w:asciiTheme="majorHAnsi" w:hAnsiTheme="majorHAnsi" w:cstheme="majorHAnsi"/>
          <w:b w:val="0"/>
          <w:color w:val="auto"/>
        </w:rPr>
        <w:t>:</w:t>
      </w:r>
    </w:p>
    <w:p w14:paraId="67714783" w14:textId="77777777" w:rsidR="00661E08" w:rsidRPr="000C6943" w:rsidRDefault="00661E08" w:rsidP="000C6943">
      <w:pPr>
        <w:pStyle w:val="ListParagraph"/>
        <w:numPr>
          <w:ilvl w:val="0"/>
          <w:numId w:val="31"/>
        </w:numPr>
        <w:spacing w:before="120" w:after="120" w:line="276" w:lineRule="auto"/>
        <w:ind w:left="714" w:hanging="357"/>
      </w:pPr>
      <w:r w:rsidRPr="000C6943">
        <w:t xml:space="preserve">support higher education and Vocational Education and Training (VET) providers in regional Australia to provide scholarships to domestic and international students to </w:t>
      </w:r>
      <w:r w:rsidR="00705E58" w:rsidRPr="000C6943">
        <w:t>study</w:t>
      </w:r>
      <w:r w:rsidR="00A17BBF" w:rsidRPr="000C6943">
        <w:t xml:space="preserve"> and </w:t>
      </w:r>
      <w:r w:rsidR="00705E58" w:rsidRPr="000C6943">
        <w:t xml:space="preserve">live </w:t>
      </w:r>
      <w:r w:rsidRPr="000C6943">
        <w:t xml:space="preserve">in regional Australia </w:t>
      </w:r>
    </w:p>
    <w:p w14:paraId="7FD16A8A" w14:textId="77777777" w:rsidR="00AF6D43" w:rsidRPr="000C6943" w:rsidRDefault="00661E08" w:rsidP="000C6943">
      <w:pPr>
        <w:pStyle w:val="ListParagraph"/>
        <w:numPr>
          <w:ilvl w:val="0"/>
          <w:numId w:val="31"/>
        </w:numPr>
        <w:spacing w:before="120" w:after="120" w:line="276" w:lineRule="auto"/>
        <w:ind w:left="714" w:hanging="357"/>
      </w:pPr>
      <w:r w:rsidRPr="000C6943">
        <w:t>facilitate domestic and international students completing an Australian qualification at a higher education or VET provider in regional Australia.</w:t>
      </w:r>
    </w:p>
    <w:p w14:paraId="1FF13D4D" w14:textId="77777777" w:rsidR="00661E08" w:rsidRPr="00170C2F" w:rsidRDefault="00661E08" w:rsidP="00AF6D43">
      <w:pPr>
        <w:pStyle w:val="ListParagraph"/>
        <w:rPr>
          <w:rStyle w:val="highlightedtextChar"/>
          <w:rFonts w:asciiTheme="majorHAnsi" w:hAnsiTheme="majorHAnsi" w:cstheme="majorHAnsi"/>
          <w:b w:val="0"/>
          <w:color w:val="auto"/>
        </w:rPr>
      </w:pPr>
      <w:r w:rsidRPr="00170C2F">
        <w:rPr>
          <w:rStyle w:val="highlightedtextChar"/>
          <w:rFonts w:asciiTheme="majorHAnsi" w:hAnsiTheme="majorHAnsi" w:cstheme="majorHAnsi"/>
          <w:b w:val="0"/>
          <w:color w:val="auto"/>
        </w:rPr>
        <w:t xml:space="preserve"> </w:t>
      </w:r>
    </w:p>
    <w:p w14:paraId="04C96E8B" w14:textId="77777777" w:rsidR="00661E08" w:rsidRPr="00170C2F" w:rsidRDefault="00661E08" w:rsidP="00661E08">
      <w:pPr>
        <w:rPr>
          <w:rStyle w:val="highlightedtextChar"/>
          <w:rFonts w:asciiTheme="majorHAnsi" w:hAnsiTheme="majorHAnsi" w:cstheme="majorHAnsi"/>
          <w:b w:val="0"/>
          <w:color w:val="auto"/>
        </w:rPr>
      </w:pPr>
      <w:r w:rsidRPr="00170C2F">
        <w:rPr>
          <w:rStyle w:val="highlightedtextChar"/>
          <w:rFonts w:asciiTheme="majorHAnsi" w:hAnsiTheme="majorHAnsi" w:cstheme="majorHAnsi"/>
          <w:b w:val="0"/>
          <w:color w:val="auto"/>
        </w:rPr>
        <w:t>The intended outcomes of the grant opportunity are:</w:t>
      </w:r>
    </w:p>
    <w:p w14:paraId="3EA28D7B" w14:textId="77777777" w:rsidR="00661E08" w:rsidRPr="000C6943" w:rsidRDefault="00661E08" w:rsidP="000C6943">
      <w:pPr>
        <w:pStyle w:val="ListParagraph"/>
        <w:numPr>
          <w:ilvl w:val="0"/>
          <w:numId w:val="31"/>
        </w:numPr>
        <w:spacing w:before="120" w:after="120" w:line="276" w:lineRule="auto"/>
        <w:ind w:left="714" w:hanging="357"/>
      </w:pPr>
      <w:r w:rsidRPr="000C6943">
        <w:t xml:space="preserve">the sustainability and growth of tertiary education providers and communities in regional Australia </w:t>
      </w:r>
    </w:p>
    <w:p w14:paraId="7D1A905B" w14:textId="77777777" w:rsidR="00661E08" w:rsidRPr="000C6943" w:rsidRDefault="00661E08" w:rsidP="000C6943">
      <w:pPr>
        <w:pStyle w:val="ListParagraph"/>
        <w:numPr>
          <w:ilvl w:val="0"/>
          <w:numId w:val="31"/>
        </w:numPr>
        <w:spacing w:before="120" w:after="120" w:line="276" w:lineRule="auto"/>
        <w:ind w:left="714" w:hanging="357"/>
      </w:pPr>
      <w:r w:rsidRPr="000C6943">
        <w:t xml:space="preserve">scholarship students consider and decide to live and work in regional Australia post-study </w:t>
      </w:r>
    </w:p>
    <w:p w14:paraId="7F20E9BE" w14:textId="77777777" w:rsidR="00661E08" w:rsidRPr="000C6943" w:rsidRDefault="00661E08" w:rsidP="000C6943">
      <w:pPr>
        <w:pStyle w:val="ListParagraph"/>
        <w:numPr>
          <w:ilvl w:val="0"/>
          <w:numId w:val="31"/>
        </w:numPr>
        <w:spacing w:before="120" w:after="120" w:line="276" w:lineRule="auto"/>
        <w:ind w:left="714" w:hanging="357"/>
        <w:rPr>
          <w:rFonts w:asciiTheme="majorHAnsi" w:hAnsiTheme="majorHAnsi" w:cstheme="majorHAnsi"/>
          <w:szCs w:val="22"/>
        </w:rPr>
      </w:pPr>
      <w:r w:rsidRPr="000C6943">
        <w:t xml:space="preserve">regions share in the social, cultural, and economic benefits of our international education sector. </w:t>
      </w:r>
    </w:p>
    <w:p w14:paraId="2CB41370" w14:textId="70CA1684" w:rsidR="00901A61" w:rsidRPr="00170C2F" w:rsidRDefault="00901A61" w:rsidP="00901A61">
      <w:pPr>
        <w:pStyle w:val="BodyText"/>
        <w:rPr>
          <w:rFonts w:asciiTheme="majorHAnsi" w:hAnsiTheme="majorHAnsi" w:cstheme="majorHAnsi"/>
          <w:szCs w:val="22"/>
        </w:rPr>
      </w:pPr>
      <w:r w:rsidRPr="00170C2F">
        <w:rPr>
          <w:rFonts w:asciiTheme="majorHAnsi" w:hAnsiTheme="majorHAnsi" w:cstheme="majorHAnsi"/>
          <w:szCs w:val="22"/>
        </w:rPr>
        <w:t xml:space="preserve">The grant opportunity application period opened on </w:t>
      </w:r>
      <w:r w:rsidR="00661E08" w:rsidRPr="00170C2F">
        <w:rPr>
          <w:rFonts w:asciiTheme="majorHAnsi" w:hAnsiTheme="majorHAnsi" w:cstheme="majorHAnsi"/>
          <w:szCs w:val="22"/>
        </w:rPr>
        <w:t>28 April 2021 and closed at 9</w:t>
      </w:r>
      <w:r w:rsidR="00917349">
        <w:rPr>
          <w:rFonts w:asciiTheme="majorHAnsi" w:hAnsiTheme="majorHAnsi" w:cstheme="majorHAnsi"/>
          <w:szCs w:val="22"/>
        </w:rPr>
        <w:t>:00 PM</w:t>
      </w:r>
      <w:r w:rsidR="00661E08" w:rsidRPr="00170C2F">
        <w:rPr>
          <w:rFonts w:asciiTheme="majorHAnsi" w:hAnsiTheme="majorHAnsi" w:cstheme="majorHAnsi"/>
          <w:szCs w:val="22"/>
        </w:rPr>
        <w:t xml:space="preserve"> AEST on 15</w:t>
      </w:r>
      <w:r w:rsidR="00F856DD" w:rsidRPr="00170C2F">
        <w:rPr>
          <w:rFonts w:asciiTheme="majorHAnsi" w:hAnsiTheme="majorHAnsi" w:cstheme="majorHAnsi"/>
          <w:szCs w:val="22"/>
        </w:rPr>
        <w:t> </w:t>
      </w:r>
      <w:r w:rsidR="00661E08" w:rsidRPr="00170C2F">
        <w:rPr>
          <w:rFonts w:asciiTheme="majorHAnsi" w:hAnsiTheme="majorHAnsi" w:cstheme="majorHAnsi"/>
          <w:szCs w:val="22"/>
        </w:rPr>
        <w:t>June 2021.</w:t>
      </w:r>
    </w:p>
    <w:p w14:paraId="135A7B71" w14:textId="0462BE29" w:rsidR="00901A61" w:rsidRPr="00170C2F" w:rsidRDefault="00901A61" w:rsidP="00901A61">
      <w:pPr>
        <w:pStyle w:val="BodyText"/>
        <w:rPr>
          <w:rFonts w:asciiTheme="majorHAnsi" w:hAnsiTheme="majorHAnsi" w:cstheme="majorHAnsi"/>
          <w:szCs w:val="22"/>
        </w:rPr>
      </w:pPr>
      <w:r w:rsidRPr="00170C2F">
        <w:rPr>
          <w:rFonts w:asciiTheme="majorHAnsi" w:hAnsiTheme="majorHAnsi" w:cstheme="majorHAnsi"/>
          <w:szCs w:val="22"/>
        </w:rPr>
        <w:t xml:space="preserve">The grant opportunity received </w:t>
      </w:r>
      <w:r w:rsidR="00661E08" w:rsidRPr="00170C2F">
        <w:rPr>
          <w:rFonts w:asciiTheme="majorHAnsi" w:hAnsiTheme="majorHAnsi" w:cstheme="majorHAnsi"/>
          <w:szCs w:val="22"/>
        </w:rPr>
        <w:t>58</w:t>
      </w:r>
      <w:r w:rsidRPr="00170C2F">
        <w:rPr>
          <w:rFonts w:asciiTheme="majorHAnsi" w:hAnsiTheme="majorHAnsi" w:cstheme="majorHAnsi"/>
          <w:szCs w:val="22"/>
        </w:rPr>
        <w:t xml:space="preserve"> applications</w:t>
      </w:r>
      <w:r w:rsidR="007B377F">
        <w:rPr>
          <w:rFonts w:asciiTheme="majorHAnsi" w:hAnsiTheme="majorHAnsi" w:cstheme="majorHAnsi"/>
          <w:szCs w:val="22"/>
        </w:rPr>
        <w:t xml:space="preserve"> </w:t>
      </w:r>
      <w:r w:rsidR="00C25471">
        <w:rPr>
          <w:rFonts w:asciiTheme="majorHAnsi" w:hAnsiTheme="majorHAnsi" w:cstheme="majorHAnsi"/>
          <w:szCs w:val="22"/>
        </w:rPr>
        <w:t>and</w:t>
      </w:r>
      <w:r w:rsidR="007B377F">
        <w:rPr>
          <w:rFonts w:asciiTheme="majorHAnsi" w:hAnsiTheme="majorHAnsi" w:cstheme="majorHAnsi"/>
          <w:szCs w:val="22"/>
        </w:rPr>
        <w:t xml:space="preserve"> 55 of them were eligible </w:t>
      </w:r>
      <w:r w:rsidR="00146442">
        <w:rPr>
          <w:rFonts w:asciiTheme="majorHAnsi" w:hAnsiTheme="majorHAnsi" w:cstheme="majorHAnsi"/>
          <w:szCs w:val="22"/>
        </w:rPr>
        <w:t>for assessment</w:t>
      </w:r>
      <w:r w:rsidR="00F61E33">
        <w:rPr>
          <w:rFonts w:asciiTheme="majorHAnsi" w:hAnsiTheme="majorHAnsi" w:cstheme="majorHAnsi"/>
          <w:szCs w:val="22"/>
        </w:rPr>
        <w:t>.</w:t>
      </w:r>
      <w:r w:rsidR="009D245A">
        <w:rPr>
          <w:rFonts w:asciiTheme="majorHAnsi" w:hAnsiTheme="majorHAnsi" w:cstheme="majorHAnsi"/>
          <w:szCs w:val="22"/>
        </w:rPr>
        <w:t xml:space="preserve"> </w:t>
      </w:r>
      <w:r w:rsidRPr="00170C2F">
        <w:rPr>
          <w:rFonts w:asciiTheme="majorHAnsi" w:hAnsiTheme="majorHAnsi" w:cstheme="majorHAnsi"/>
          <w:szCs w:val="22"/>
        </w:rPr>
        <w:t xml:space="preserve">Following the </w:t>
      </w:r>
      <w:r w:rsidR="00661E08" w:rsidRPr="00170C2F">
        <w:rPr>
          <w:rFonts w:asciiTheme="majorHAnsi" w:hAnsiTheme="majorHAnsi" w:cstheme="majorHAnsi"/>
          <w:szCs w:val="22"/>
        </w:rPr>
        <w:t>Delegate’s</w:t>
      </w:r>
      <w:r w:rsidRPr="00170C2F">
        <w:rPr>
          <w:rFonts w:asciiTheme="majorHAnsi" w:hAnsiTheme="majorHAnsi" w:cstheme="majorHAnsi"/>
          <w:szCs w:val="22"/>
        </w:rPr>
        <w:t xml:space="preserve"> decision, </w:t>
      </w:r>
      <w:r w:rsidR="00661E08" w:rsidRPr="00170C2F">
        <w:rPr>
          <w:rFonts w:asciiTheme="majorHAnsi" w:hAnsiTheme="majorHAnsi" w:cstheme="majorHAnsi"/>
          <w:szCs w:val="22"/>
        </w:rPr>
        <w:t>28</w:t>
      </w:r>
      <w:r w:rsidRPr="00170C2F">
        <w:rPr>
          <w:rFonts w:asciiTheme="majorHAnsi" w:hAnsiTheme="majorHAnsi" w:cstheme="majorHAnsi"/>
          <w:szCs w:val="22"/>
        </w:rPr>
        <w:t xml:space="preserve"> applications were selec</w:t>
      </w:r>
      <w:r w:rsidR="00661E08" w:rsidRPr="00170C2F">
        <w:rPr>
          <w:rFonts w:asciiTheme="majorHAnsi" w:hAnsiTheme="majorHAnsi" w:cstheme="majorHAnsi"/>
          <w:szCs w:val="22"/>
        </w:rPr>
        <w:t xml:space="preserve">ted for funding, to a value of </w:t>
      </w:r>
      <w:r w:rsidR="00317D6A">
        <w:rPr>
          <w:rFonts w:asciiTheme="majorHAnsi" w:hAnsiTheme="majorHAnsi" w:cstheme="majorHAnsi"/>
          <w:szCs w:val="22"/>
        </w:rPr>
        <w:t>$25.278</w:t>
      </w:r>
      <w:r w:rsidR="001C1228">
        <w:rPr>
          <w:rFonts w:asciiTheme="majorHAnsi" w:hAnsiTheme="majorHAnsi" w:cstheme="majorHAnsi"/>
          <w:szCs w:val="22"/>
        </w:rPr>
        <w:t> </w:t>
      </w:r>
      <w:r w:rsidR="00317D6A">
        <w:rPr>
          <w:rFonts w:asciiTheme="majorHAnsi" w:hAnsiTheme="majorHAnsi" w:cstheme="majorHAnsi"/>
          <w:szCs w:val="22"/>
        </w:rPr>
        <w:t>million</w:t>
      </w:r>
      <w:r w:rsidR="00F61E33" w:rsidRPr="00F61E33" w:rsidDel="00F61E33">
        <w:rPr>
          <w:rFonts w:asciiTheme="majorHAnsi" w:hAnsiTheme="majorHAnsi" w:cstheme="majorHAnsi"/>
          <w:szCs w:val="22"/>
        </w:rPr>
        <w:t xml:space="preserve"> </w:t>
      </w:r>
      <w:r w:rsidR="00661E08" w:rsidRPr="00170C2F">
        <w:rPr>
          <w:rFonts w:asciiTheme="majorHAnsi" w:hAnsiTheme="majorHAnsi" w:cstheme="majorHAnsi"/>
          <w:szCs w:val="22"/>
        </w:rPr>
        <w:t>(GST exclusive)</w:t>
      </w:r>
      <w:r w:rsidR="00AC3ACE">
        <w:rPr>
          <w:rFonts w:asciiTheme="majorHAnsi" w:hAnsiTheme="majorHAnsi" w:cstheme="majorHAnsi"/>
          <w:szCs w:val="22"/>
        </w:rPr>
        <w:t xml:space="preserve"> over </w:t>
      </w:r>
      <w:r w:rsidR="00590B0A">
        <w:rPr>
          <w:rFonts w:asciiTheme="majorHAnsi" w:hAnsiTheme="majorHAnsi" w:cstheme="majorHAnsi"/>
          <w:szCs w:val="22"/>
        </w:rPr>
        <w:t xml:space="preserve">4 </w:t>
      </w:r>
      <w:r w:rsidR="00AC3ACE">
        <w:rPr>
          <w:rFonts w:asciiTheme="majorHAnsi" w:hAnsiTheme="majorHAnsi" w:cstheme="majorHAnsi"/>
          <w:szCs w:val="22"/>
        </w:rPr>
        <w:t>years</w:t>
      </w:r>
      <w:r w:rsidRPr="00170C2F">
        <w:rPr>
          <w:rFonts w:asciiTheme="majorHAnsi" w:hAnsiTheme="majorHAnsi" w:cstheme="majorHAnsi"/>
          <w:szCs w:val="22"/>
        </w:rPr>
        <w:t>.</w:t>
      </w:r>
    </w:p>
    <w:p w14:paraId="113E6A08" w14:textId="3DA36D7D" w:rsidR="00901A61" w:rsidRPr="00170C2F" w:rsidRDefault="00901A61" w:rsidP="00901A61">
      <w:pPr>
        <w:pStyle w:val="BodyText"/>
        <w:rPr>
          <w:rFonts w:asciiTheme="majorHAnsi" w:hAnsiTheme="majorHAnsi" w:cstheme="majorHAnsi"/>
          <w:szCs w:val="22"/>
        </w:rPr>
      </w:pPr>
      <w:r w:rsidRPr="00856FBB">
        <w:rPr>
          <w:rFonts w:asciiTheme="majorHAnsi" w:hAnsiTheme="majorHAnsi" w:cstheme="majorHAnsi"/>
          <w:szCs w:val="22"/>
        </w:rPr>
        <w:t>There was a strong interest in the program and successful applications were of a high standard</w:t>
      </w:r>
      <w:r w:rsidR="00675DD8" w:rsidRPr="00856FBB">
        <w:rPr>
          <w:rFonts w:asciiTheme="majorHAnsi" w:hAnsiTheme="majorHAnsi" w:cstheme="majorHAnsi"/>
          <w:szCs w:val="22"/>
        </w:rPr>
        <w:t xml:space="preserve"> and </w:t>
      </w:r>
      <w:r w:rsidR="007B377F" w:rsidRPr="00856FBB">
        <w:rPr>
          <w:rFonts w:asciiTheme="majorHAnsi" w:hAnsiTheme="majorHAnsi" w:cstheme="majorHAnsi"/>
          <w:szCs w:val="22"/>
        </w:rPr>
        <w:t>provided strong justifications in demonstrating the providers’ capacity to meet the objectives of the program and administer the scholarships</w:t>
      </w:r>
      <w:r w:rsidRPr="00856FBB">
        <w:rPr>
          <w:rFonts w:asciiTheme="majorHAnsi" w:hAnsiTheme="majorHAnsi" w:cstheme="majorHAnsi"/>
          <w:szCs w:val="22"/>
        </w:rPr>
        <w:t>. Applications were assessed according to the procedure</w:t>
      </w:r>
      <w:r w:rsidR="00F61E33" w:rsidRPr="00856FBB">
        <w:rPr>
          <w:rFonts w:asciiTheme="majorHAnsi" w:hAnsiTheme="majorHAnsi" w:cstheme="majorHAnsi"/>
          <w:szCs w:val="22"/>
        </w:rPr>
        <w:t>s</w:t>
      </w:r>
      <w:r w:rsidRPr="00856FBB">
        <w:rPr>
          <w:rFonts w:asciiTheme="majorHAnsi" w:hAnsiTheme="majorHAnsi" w:cstheme="majorHAnsi"/>
          <w:szCs w:val="22"/>
        </w:rPr>
        <w:t xml:space="preserve"> detailed in the G</w:t>
      </w:r>
      <w:r w:rsidR="004B203A" w:rsidRPr="00856FBB">
        <w:rPr>
          <w:rFonts w:asciiTheme="majorHAnsi" w:hAnsiTheme="majorHAnsi" w:cstheme="majorHAnsi"/>
          <w:szCs w:val="22"/>
        </w:rPr>
        <w:t>rant Opportunity Guidelines</w:t>
      </w:r>
      <w:r w:rsidR="00801DCD" w:rsidRPr="00856FBB">
        <w:rPr>
          <w:rFonts w:asciiTheme="majorHAnsi" w:hAnsiTheme="majorHAnsi" w:cstheme="majorHAnsi"/>
          <w:szCs w:val="22"/>
        </w:rPr>
        <w:t xml:space="preserve"> (the </w:t>
      </w:r>
      <w:r w:rsidR="00590B0A">
        <w:rPr>
          <w:rFonts w:asciiTheme="majorHAnsi" w:hAnsiTheme="majorHAnsi" w:cstheme="majorHAnsi"/>
          <w:szCs w:val="22"/>
        </w:rPr>
        <w:t>g</w:t>
      </w:r>
      <w:r w:rsidR="00590B0A" w:rsidRPr="00856FBB">
        <w:rPr>
          <w:rFonts w:asciiTheme="majorHAnsi" w:hAnsiTheme="majorHAnsi" w:cstheme="majorHAnsi"/>
          <w:szCs w:val="22"/>
        </w:rPr>
        <w:t>uidelines</w:t>
      </w:r>
      <w:r w:rsidR="00801DCD" w:rsidRPr="00856FBB">
        <w:rPr>
          <w:rFonts w:asciiTheme="majorHAnsi" w:hAnsiTheme="majorHAnsi" w:cstheme="majorHAnsi"/>
          <w:szCs w:val="22"/>
        </w:rPr>
        <w:t>)</w:t>
      </w:r>
      <w:r w:rsidRPr="00856FBB">
        <w:rPr>
          <w:rFonts w:asciiTheme="majorHAnsi" w:hAnsiTheme="majorHAnsi" w:cstheme="majorHAnsi"/>
          <w:szCs w:val="22"/>
        </w:rPr>
        <w:t xml:space="preserve"> and outlined in the </w:t>
      </w:r>
      <w:r w:rsidR="00590B0A">
        <w:rPr>
          <w:rFonts w:asciiTheme="majorHAnsi" w:hAnsiTheme="majorHAnsi" w:cstheme="majorHAnsi"/>
          <w:szCs w:val="22"/>
        </w:rPr>
        <w:t>s</w:t>
      </w:r>
      <w:r w:rsidR="00590B0A" w:rsidRPr="00856FBB">
        <w:rPr>
          <w:rFonts w:asciiTheme="majorHAnsi" w:hAnsiTheme="majorHAnsi" w:cstheme="majorHAnsi"/>
          <w:szCs w:val="22"/>
        </w:rPr>
        <w:t xml:space="preserve">election </w:t>
      </w:r>
      <w:r w:rsidR="00590B0A">
        <w:rPr>
          <w:rFonts w:asciiTheme="majorHAnsi" w:hAnsiTheme="majorHAnsi" w:cstheme="majorHAnsi"/>
          <w:szCs w:val="22"/>
        </w:rPr>
        <w:t>p</w:t>
      </w:r>
      <w:r w:rsidR="00590B0A" w:rsidRPr="00856FBB">
        <w:rPr>
          <w:rFonts w:asciiTheme="majorHAnsi" w:hAnsiTheme="majorHAnsi" w:cstheme="majorHAnsi"/>
          <w:szCs w:val="22"/>
        </w:rPr>
        <w:t xml:space="preserve">rocess </w:t>
      </w:r>
      <w:r w:rsidRPr="00856FBB">
        <w:rPr>
          <w:rFonts w:asciiTheme="majorHAnsi" w:hAnsiTheme="majorHAnsi" w:cstheme="majorHAnsi"/>
          <w:szCs w:val="22"/>
        </w:rPr>
        <w:t>below.</w:t>
      </w:r>
    </w:p>
    <w:p w14:paraId="22766F6D" w14:textId="77777777" w:rsidR="00901A61" w:rsidRPr="00170C2F" w:rsidRDefault="00901A61" w:rsidP="00901A61">
      <w:pPr>
        <w:pStyle w:val="BodyText"/>
        <w:rPr>
          <w:rFonts w:asciiTheme="majorHAnsi" w:hAnsiTheme="majorHAnsi" w:cstheme="majorHAnsi"/>
          <w:szCs w:val="22"/>
        </w:rPr>
      </w:pPr>
      <w:r w:rsidRPr="00170C2F">
        <w:rPr>
          <w:rFonts w:asciiTheme="majorHAnsi" w:hAnsiTheme="majorHAnsi" w:cstheme="majorHAnsi"/>
          <w:szCs w:val="22"/>
        </w:rPr>
        <w:t>This feedback is provided to assist grant applicants to understand what generally comprised a strong application and the content of quality responses to the assessment criteria for this grant opportunity.</w:t>
      </w:r>
    </w:p>
    <w:p w14:paraId="349D7D1E" w14:textId="77777777" w:rsidR="00901A61" w:rsidRPr="00170C2F" w:rsidRDefault="00901A61" w:rsidP="00901A61">
      <w:pPr>
        <w:pStyle w:val="BodyText"/>
        <w:rPr>
          <w:rFonts w:asciiTheme="majorHAnsi" w:hAnsiTheme="majorHAnsi" w:cstheme="majorHAnsi"/>
          <w:szCs w:val="22"/>
        </w:rPr>
      </w:pPr>
    </w:p>
    <w:p w14:paraId="18D5BD8B" w14:textId="41AC1A05" w:rsidR="00F85F98" w:rsidRPr="00170C2F" w:rsidRDefault="00355FF2" w:rsidP="00C44661">
      <w:pPr>
        <w:rPr>
          <w:rFonts w:asciiTheme="majorHAnsi" w:eastAsiaTheme="majorEastAsia" w:hAnsiTheme="majorHAnsi" w:cstheme="majorHAnsi"/>
          <w:bCs/>
          <w:color w:val="CF0A2C" w:themeColor="accent1"/>
          <w:szCs w:val="22"/>
        </w:rPr>
      </w:pPr>
      <w:r w:rsidRPr="00170C2F">
        <w:rPr>
          <w:rFonts w:asciiTheme="majorHAnsi" w:hAnsiTheme="majorHAnsi" w:cstheme="majorHAnsi"/>
          <w:szCs w:val="22"/>
        </w:rPr>
        <w:br w:type="column"/>
      </w:r>
      <w:r w:rsidR="00F85F98" w:rsidRPr="00C44661">
        <w:rPr>
          <w:rFonts w:ascii="Georgia" w:eastAsiaTheme="majorEastAsia" w:hAnsi="Georgia" w:cstheme="majorBidi"/>
          <w:bCs/>
          <w:color w:val="CF0A2C" w:themeColor="accent1"/>
          <w:sz w:val="36"/>
          <w:szCs w:val="28"/>
        </w:rPr>
        <w:lastRenderedPageBreak/>
        <w:t xml:space="preserve">Selection </w:t>
      </w:r>
      <w:r w:rsidR="00590B0A">
        <w:rPr>
          <w:rFonts w:ascii="Georgia" w:eastAsiaTheme="majorEastAsia" w:hAnsi="Georgia" w:cstheme="majorBidi"/>
          <w:bCs/>
          <w:color w:val="CF0A2C" w:themeColor="accent1"/>
          <w:sz w:val="36"/>
          <w:szCs w:val="28"/>
        </w:rPr>
        <w:t>p</w:t>
      </w:r>
      <w:r w:rsidR="00590B0A" w:rsidRPr="00C44661">
        <w:rPr>
          <w:rFonts w:ascii="Georgia" w:eastAsiaTheme="majorEastAsia" w:hAnsi="Georgia" w:cstheme="majorBidi"/>
          <w:bCs/>
          <w:color w:val="CF0A2C" w:themeColor="accent1"/>
          <w:sz w:val="36"/>
          <w:szCs w:val="28"/>
        </w:rPr>
        <w:t>rocess</w:t>
      </w:r>
    </w:p>
    <w:p w14:paraId="5AD54893" w14:textId="026F01D8" w:rsidR="00F85F98" w:rsidRPr="00170C2F" w:rsidRDefault="00F85F98" w:rsidP="00F85F98">
      <w:pPr>
        <w:pStyle w:val="BodyText"/>
        <w:rPr>
          <w:rFonts w:asciiTheme="majorHAnsi" w:hAnsiTheme="majorHAnsi" w:cstheme="majorHAnsi"/>
          <w:szCs w:val="22"/>
        </w:rPr>
      </w:pPr>
      <w:r w:rsidRPr="00170C2F">
        <w:rPr>
          <w:rFonts w:asciiTheme="majorHAnsi" w:hAnsiTheme="majorHAnsi" w:cstheme="majorHAnsi"/>
          <w:szCs w:val="22"/>
        </w:rPr>
        <w:t xml:space="preserve">The </w:t>
      </w:r>
      <w:r w:rsidR="00CB3D49" w:rsidRPr="00170C2F">
        <w:rPr>
          <w:rFonts w:asciiTheme="majorHAnsi" w:hAnsiTheme="majorHAnsi" w:cstheme="majorHAnsi"/>
          <w:szCs w:val="22"/>
        </w:rPr>
        <w:t>Department of Education, Skills and Employment</w:t>
      </w:r>
      <w:r w:rsidR="0011547A">
        <w:rPr>
          <w:rFonts w:asciiTheme="majorHAnsi" w:hAnsiTheme="majorHAnsi" w:cstheme="majorHAnsi"/>
          <w:szCs w:val="22"/>
        </w:rPr>
        <w:t xml:space="preserve"> (</w:t>
      </w:r>
      <w:r w:rsidR="00590B0A">
        <w:rPr>
          <w:rFonts w:asciiTheme="majorHAnsi" w:hAnsiTheme="majorHAnsi" w:cstheme="majorHAnsi"/>
          <w:szCs w:val="22"/>
        </w:rPr>
        <w:t>the department</w:t>
      </w:r>
      <w:r w:rsidR="0011547A">
        <w:rPr>
          <w:rFonts w:asciiTheme="majorHAnsi" w:hAnsiTheme="majorHAnsi" w:cstheme="majorHAnsi"/>
          <w:szCs w:val="22"/>
        </w:rPr>
        <w:t>)</w:t>
      </w:r>
      <w:r w:rsidR="00CB3D49" w:rsidRPr="00170C2F">
        <w:rPr>
          <w:rFonts w:asciiTheme="majorHAnsi" w:hAnsiTheme="majorHAnsi" w:cstheme="majorHAnsi"/>
          <w:szCs w:val="22"/>
        </w:rPr>
        <w:t xml:space="preserve"> </w:t>
      </w:r>
      <w:r w:rsidRPr="00170C2F">
        <w:rPr>
          <w:rFonts w:asciiTheme="majorHAnsi" w:hAnsiTheme="majorHAnsi" w:cstheme="majorHAnsi"/>
          <w:szCs w:val="22"/>
        </w:rPr>
        <w:t>used a</w:t>
      </w:r>
      <w:r w:rsidR="00CB3D49" w:rsidRPr="00170C2F">
        <w:rPr>
          <w:rFonts w:asciiTheme="majorHAnsi" w:hAnsiTheme="majorHAnsi" w:cstheme="majorHAnsi"/>
          <w:szCs w:val="22"/>
        </w:rPr>
        <w:t xml:space="preserve"> targeted competitive type</w:t>
      </w:r>
      <w:r w:rsidRPr="00170C2F">
        <w:rPr>
          <w:rFonts w:asciiTheme="majorHAnsi" w:hAnsiTheme="majorHAnsi" w:cstheme="majorHAnsi"/>
          <w:szCs w:val="22"/>
        </w:rPr>
        <w:t xml:space="preserve"> selection process to select </w:t>
      </w:r>
      <w:r w:rsidR="00CB3D49" w:rsidRPr="00170C2F">
        <w:rPr>
          <w:rFonts w:asciiTheme="majorHAnsi" w:hAnsiTheme="majorHAnsi" w:cstheme="majorHAnsi"/>
          <w:szCs w:val="22"/>
        </w:rPr>
        <w:t>28</w:t>
      </w:r>
      <w:r w:rsidRPr="00170C2F">
        <w:rPr>
          <w:rFonts w:asciiTheme="majorHAnsi" w:hAnsiTheme="majorHAnsi" w:cstheme="majorHAnsi"/>
          <w:szCs w:val="22"/>
        </w:rPr>
        <w:t xml:space="preserve"> </w:t>
      </w:r>
      <w:r w:rsidR="00CB3D49" w:rsidRPr="00170C2F">
        <w:rPr>
          <w:rFonts w:asciiTheme="majorHAnsi" w:hAnsiTheme="majorHAnsi" w:cstheme="majorHAnsi"/>
          <w:szCs w:val="22"/>
        </w:rPr>
        <w:t>provider</w:t>
      </w:r>
      <w:r w:rsidRPr="00170C2F">
        <w:rPr>
          <w:rFonts w:asciiTheme="majorHAnsi" w:hAnsiTheme="majorHAnsi" w:cstheme="majorHAnsi"/>
          <w:szCs w:val="22"/>
        </w:rPr>
        <w:t xml:space="preserve">s to deliver the </w:t>
      </w:r>
      <w:r w:rsidR="00CB3D49" w:rsidRPr="00170C2F">
        <w:rPr>
          <w:rFonts w:asciiTheme="majorHAnsi" w:hAnsiTheme="majorHAnsi" w:cstheme="majorHAnsi"/>
          <w:szCs w:val="22"/>
        </w:rPr>
        <w:t>Destination Australia Program 2022</w:t>
      </w:r>
      <w:r w:rsidR="00E7480B" w:rsidRPr="00170C2F">
        <w:rPr>
          <w:rFonts w:asciiTheme="majorHAnsi" w:hAnsiTheme="majorHAnsi" w:cstheme="majorHAnsi"/>
          <w:szCs w:val="22"/>
        </w:rPr>
        <w:t xml:space="preserve"> grant</w:t>
      </w:r>
      <w:r w:rsidRPr="00170C2F">
        <w:rPr>
          <w:rFonts w:asciiTheme="majorHAnsi" w:hAnsiTheme="majorHAnsi" w:cstheme="majorHAnsi"/>
          <w:szCs w:val="22"/>
        </w:rPr>
        <w:t xml:space="preserve">. </w:t>
      </w:r>
    </w:p>
    <w:p w14:paraId="434E0964" w14:textId="5F4C491D" w:rsidR="002B097D" w:rsidRPr="00170C2F" w:rsidRDefault="00E7480B" w:rsidP="00413429">
      <w:pPr>
        <w:pStyle w:val="BodyText"/>
        <w:spacing w:line="276" w:lineRule="auto"/>
        <w:rPr>
          <w:rFonts w:asciiTheme="majorHAnsi" w:hAnsiTheme="majorHAnsi" w:cstheme="majorHAnsi"/>
          <w:szCs w:val="22"/>
        </w:rPr>
      </w:pPr>
      <w:r w:rsidRPr="00170C2F">
        <w:rPr>
          <w:rFonts w:asciiTheme="majorHAnsi" w:hAnsiTheme="majorHAnsi" w:cstheme="majorHAnsi"/>
          <w:szCs w:val="22"/>
        </w:rPr>
        <w:t xml:space="preserve">Applications were screened for eligibility and compliance against the requirements outlined in the </w:t>
      </w:r>
      <w:r w:rsidR="00590B0A">
        <w:rPr>
          <w:rFonts w:asciiTheme="majorHAnsi" w:hAnsiTheme="majorHAnsi" w:cstheme="majorHAnsi"/>
          <w:szCs w:val="22"/>
        </w:rPr>
        <w:t>g</w:t>
      </w:r>
      <w:r w:rsidR="00590B0A" w:rsidRPr="00170C2F">
        <w:rPr>
          <w:rFonts w:asciiTheme="majorHAnsi" w:hAnsiTheme="majorHAnsi" w:cstheme="majorHAnsi"/>
          <w:szCs w:val="22"/>
        </w:rPr>
        <w:t>uidelines</w:t>
      </w:r>
      <w:r w:rsidRPr="00170C2F">
        <w:rPr>
          <w:rFonts w:asciiTheme="majorHAnsi" w:hAnsiTheme="majorHAnsi" w:cstheme="majorHAnsi"/>
          <w:szCs w:val="22"/>
        </w:rPr>
        <w:t>.</w:t>
      </w:r>
      <w:r w:rsidR="00BE6E52" w:rsidRPr="00170C2F">
        <w:rPr>
          <w:rFonts w:asciiTheme="majorHAnsi" w:hAnsiTheme="majorHAnsi" w:cstheme="majorHAnsi"/>
          <w:szCs w:val="22"/>
        </w:rPr>
        <w:t xml:space="preserve"> </w:t>
      </w:r>
      <w:r w:rsidR="002B097D" w:rsidRPr="00170C2F">
        <w:rPr>
          <w:rFonts w:asciiTheme="majorHAnsi" w:hAnsiTheme="majorHAnsi" w:cstheme="majorHAnsi"/>
          <w:szCs w:val="22"/>
        </w:rPr>
        <w:t>All eligible and compliant applications were assessed and moderated by the Community Grants Hub against the assessment criteria.</w:t>
      </w:r>
    </w:p>
    <w:p w14:paraId="23CB20F0" w14:textId="0E35E2A0" w:rsidR="00BE6E52" w:rsidRPr="00170C2F" w:rsidRDefault="00BE6E52" w:rsidP="002B097D">
      <w:pPr>
        <w:spacing w:before="40" w:after="120"/>
        <w:rPr>
          <w:rFonts w:asciiTheme="majorHAnsi" w:hAnsiTheme="majorHAnsi" w:cstheme="majorHAnsi"/>
          <w:szCs w:val="22"/>
        </w:rPr>
      </w:pPr>
      <w:r w:rsidRPr="00170C2F">
        <w:rPr>
          <w:rFonts w:asciiTheme="majorHAnsi" w:hAnsiTheme="majorHAnsi" w:cstheme="majorHAnsi"/>
          <w:szCs w:val="22"/>
        </w:rPr>
        <w:t xml:space="preserve">A Selection Advisory Panel (the </w:t>
      </w:r>
      <w:r w:rsidR="00590B0A">
        <w:rPr>
          <w:rFonts w:asciiTheme="majorHAnsi" w:hAnsiTheme="majorHAnsi" w:cstheme="majorHAnsi"/>
          <w:szCs w:val="22"/>
        </w:rPr>
        <w:t>p</w:t>
      </w:r>
      <w:r w:rsidR="00590B0A" w:rsidRPr="00170C2F">
        <w:rPr>
          <w:rFonts w:asciiTheme="majorHAnsi" w:hAnsiTheme="majorHAnsi" w:cstheme="majorHAnsi"/>
          <w:szCs w:val="22"/>
        </w:rPr>
        <w:t>anel</w:t>
      </w:r>
      <w:r w:rsidRPr="00170C2F">
        <w:rPr>
          <w:rFonts w:asciiTheme="majorHAnsi" w:hAnsiTheme="majorHAnsi" w:cstheme="majorHAnsi"/>
          <w:szCs w:val="22"/>
        </w:rPr>
        <w:t xml:space="preserve">) from </w:t>
      </w:r>
      <w:r w:rsidR="00590B0A">
        <w:rPr>
          <w:rFonts w:asciiTheme="majorHAnsi" w:hAnsiTheme="majorHAnsi" w:cstheme="majorHAnsi"/>
          <w:szCs w:val="22"/>
        </w:rPr>
        <w:t xml:space="preserve">the </w:t>
      </w:r>
      <w:r w:rsidR="005B572B">
        <w:rPr>
          <w:rFonts w:asciiTheme="majorHAnsi" w:hAnsiTheme="majorHAnsi" w:cstheme="majorHAnsi"/>
          <w:szCs w:val="22"/>
        </w:rPr>
        <w:t>department</w:t>
      </w:r>
      <w:r w:rsidRPr="00170C2F">
        <w:rPr>
          <w:rFonts w:asciiTheme="majorHAnsi" w:hAnsiTheme="majorHAnsi" w:cstheme="majorHAnsi"/>
          <w:szCs w:val="22"/>
        </w:rPr>
        <w:t xml:space="preserve">, independent of the </w:t>
      </w:r>
      <w:r w:rsidR="00FD02D5">
        <w:rPr>
          <w:rFonts w:asciiTheme="majorHAnsi" w:hAnsiTheme="majorHAnsi" w:cstheme="majorHAnsi"/>
          <w:szCs w:val="22"/>
        </w:rPr>
        <w:t xml:space="preserve">Community Grants </w:t>
      </w:r>
      <w:r w:rsidRPr="00170C2F">
        <w:rPr>
          <w:rFonts w:asciiTheme="majorHAnsi" w:hAnsiTheme="majorHAnsi" w:cstheme="majorHAnsi"/>
          <w:szCs w:val="22"/>
        </w:rPr>
        <w:t>Hub and with a mix of relevant policy, program and delivery expertise, made funding recommendations to the</w:t>
      </w:r>
      <w:r w:rsidR="008A6182">
        <w:rPr>
          <w:rFonts w:asciiTheme="majorHAnsi" w:hAnsiTheme="majorHAnsi" w:cstheme="majorHAnsi"/>
          <w:szCs w:val="22"/>
        </w:rPr>
        <w:t xml:space="preserve"> department’s</w:t>
      </w:r>
      <w:r w:rsidRPr="00170C2F">
        <w:rPr>
          <w:rFonts w:asciiTheme="majorHAnsi" w:hAnsiTheme="majorHAnsi" w:cstheme="majorHAnsi"/>
          <w:szCs w:val="22"/>
        </w:rPr>
        <w:t xml:space="preserve"> Delegate. </w:t>
      </w:r>
      <w:r w:rsidR="00421637">
        <w:rPr>
          <w:rFonts w:asciiTheme="majorHAnsi" w:hAnsiTheme="majorHAnsi" w:cstheme="majorHAnsi"/>
          <w:szCs w:val="22"/>
        </w:rPr>
        <w:t>The</w:t>
      </w:r>
      <w:r w:rsidR="00DC5D17">
        <w:rPr>
          <w:rFonts w:asciiTheme="majorHAnsi" w:hAnsiTheme="majorHAnsi" w:cstheme="majorHAnsi"/>
          <w:szCs w:val="22"/>
        </w:rPr>
        <w:t xml:space="preserve"> </w:t>
      </w:r>
      <w:r w:rsidR="00590B0A">
        <w:rPr>
          <w:rFonts w:asciiTheme="majorHAnsi" w:hAnsiTheme="majorHAnsi" w:cstheme="majorHAnsi"/>
          <w:szCs w:val="22"/>
        </w:rPr>
        <w:t>p</w:t>
      </w:r>
      <w:r w:rsidR="00421637">
        <w:rPr>
          <w:rFonts w:asciiTheme="majorHAnsi" w:hAnsiTheme="majorHAnsi" w:cstheme="majorHAnsi"/>
          <w:szCs w:val="22"/>
        </w:rPr>
        <w:t>anel was assisted by an independ</w:t>
      </w:r>
      <w:r w:rsidR="00DC5D17">
        <w:rPr>
          <w:rFonts w:asciiTheme="majorHAnsi" w:hAnsiTheme="majorHAnsi" w:cstheme="majorHAnsi"/>
          <w:szCs w:val="22"/>
        </w:rPr>
        <w:t>en</w:t>
      </w:r>
      <w:r w:rsidR="00421637">
        <w:rPr>
          <w:rFonts w:asciiTheme="majorHAnsi" w:hAnsiTheme="majorHAnsi" w:cstheme="majorHAnsi"/>
          <w:szCs w:val="22"/>
        </w:rPr>
        <w:t>t pro</w:t>
      </w:r>
      <w:r w:rsidR="00DC5D17">
        <w:rPr>
          <w:rFonts w:asciiTheme="majorHAnsi" w:hAnsiTheme="majorHAnsi" w:cstheme="majorHAnsi"/>
          <w:szCs w:val="22"/>
        </w:rPr>
        <w:t xml:space="preserve">bity adviser. </w:t>
      </w:r>
      <w:r w:rsidRPr="00170C2F">
        <w:rPr>
          <w:rFonts w:asciiTheme="majorHAnsi" w:hAnsiTheme="majorHAnsi" w:cstheme="majorHAnsi"/>
          <w:szCs w:val="22"/>
        </w:rPr>
        <w:t xml:space="preserve">The recommendations were based on the strength of responses to the assessment criteria compared to other applications and the applicant’s ability to meet the grant requirements outlined in the </w:t>
      </w:r>
      <w:r w:rsidR="00590B0A">
        <w:rPr>
          <w:rFonts w:asciiTheme="majorHAnsi" w:hAnsiTheme="majorHAnsi" w:cstheme="majorHAnsi"/>
          <w:szCs w:val="22"/>
        </w:rPr>
        <w:t>g</w:t>
      </w:r>
      <w:r w:rsidR="00590B0A" w:rsidRPr="00170C2F">
        <w:rPr>
          <w:rFonts w:asciiTheme="majorHAnsi" w:hAnsiTheme="majorHAnsi" w:cstheme="majorHAnsi"/>
          <w:szCs w:val="22"/>
        </w:rPr>
        <w:t>uidelines</w:t>
      </w:r>
      <w:r w:rsidRPr="00170C2F">
        <w:rPr>
          <w:rFonts w:asciiTheme="majorHAnsi" w:hAnsiTheme="majorHAnsi" w:cstheme="majorHAnsi"/>
          <w:szCs w:val="22"/>
        </w:rPr>
        <w:t>.</w:t>
      </w:r>
    </w:p>
    <w:p w14:paraId="42BB6856" w14:textId="4443DAB5" w:rsidR="00BE6E52" w:rsidRDefault="00BE6E52" w:rsidP="00BE6E52">
      <w:pPr>
        <w:pStyle w:val="BodyText"/>
        <w:rPr>
          <w:rFonts w:asciiTheme="majorHAnsi" w:hAnsiTheme="majorHAnsi" w:cstheme="majorHAnsi"/>
          <w:szCs w:val="22"/>
        </w:rPr>
      </w:pPr>
      <w:r w:rsidRPr="00170C2F">
        <w:rPr>
          <w:rFonts w:asciiTheme="majorHAnsi" w:hAnsiTheme="majorHAnsi" w:cstheme="majorHAnsi"/>
          <w:szCs w:val="22"/>
        </w:rPr>
        <w:t xml:space="preserve">The </w:t>
      </w:r>
      <w:r w:rsidR="00590B0A">
        <w:rPr>
          <w:rFonts w:asciiTheme="majorHAnsi" w:hAnsiTheme="majorHAnsi" w:cstheme="majorHAnsi"/>
          <w:szCs w:val="22"/>
        </w:rPr>
        <w:t>p</w:t>
      </w:r>
      <w:r w:rsidR="00590B0A" w:rsidRPr="00170C2F">
        <w:rPr>
          <w:rFonts w:asciiTheme="majorHAnsi" w:hAnsiTheme="majorHAnsi" w:cstheme="majorHAnsi"/>
          <w:szCs w:val="22"/>
        </w:rPr>
        <w:t xml:space="preserve">anel </w:t>
      </w:r>
      <w:r w:rsidRPr="00170C2F">
        <w:rPr>
          <w:rFonts w:asciiTheme="majorHAnsi" w:hAnsiTheme="majorHAnsi" w:cstheme="majorHAnsi"/>
          <w:szCs w:val="22"/>
        </w:rPr>
        <w:t xml:space="preserve">considered all applications and their assessment results, and made recommendations on applications </w:t>
      </w:r>
      <w:r w:rsidR="008A6182">
        <w:rPr>
          <w:rFonts w:asciiTheme="majorHAnsi" w:hAnsiTheme="majorHAnsi" w:cstheme="majorHAnsi"/>
          <w:szCs w:val="22"/>
        </w:rPr>
        <w:t>based on</w:t>
      </w:r>
      <w:r w:rsidR="005B28DC">
        <w:rPr>
          <w:rFonts w:asciiTheme="majorHAnsi" w:hAnsiTheme="majorHAnsi" w:cstheme="majorHAnsi"/>
          <w:szCs w:val="22"/>
        </w:rPr>
        <w:t xml:space="preserve"> the following factors</w:t>
      </w:r>
      <w:r w:rsidRPr="00170C2F">
        <w:rPr>
          <w:rFonts w:asciiTheme="majorHAnsi" w:hAnsiTheme="majorHAnsi" w:cstheme="majorHAnsi"/>
          <w:szCs w:val="22"/>
        </w:rPr>
        <w:t>:</w:t>
      </w:r>
    </w:p>
    <w:p w14:paraId="2A9E7A38" w14:textId="7A2A2FA3" w:rsidR="00D455C0" w:rsidRDefault="00D455C0" w:rsidP="000C6943">
      <w:pPr>
        <w:pStyle w:val="ListParagraph"/>
        <w:numPr>
          <w:ilvl w:val="0"/>
          <w:numId w:val="31"/>
        </w:numPr>
        <w:spacing w:before="120" w:after="120" w:line="276" w:lineRule="auto"/>
        <w:ind w:left="714" w:hanging="357"/>
        <w:rPr>
          <w:rFonts w:asciiTheme="majorHAnsi" w:hAnsiTheme="majorHAnsi" w:cstheme="majorHAnsi"/>
          <w:szCs w:val="22"/>
        </w:rPr>
      </w:pPr>
      <w:r>
        <w:rPr>
          <w:rFonts w:asciiTheme="majorHAnsi" w:hAnsiTheme="majorHAnsi" w:cstheme="majorHAnsi"/>
          <w:szCs w:val="22"/>
        </w:rPr>
        <w:t>how the application delivers on the strategic priorities of the program</w:t>
      </w:r>
    </w:p>
    <w:p w14:paraId="1CC37B0E" w14:textId="3F7270E8" w:rsidR="00D455C0" w:rsidRDefault="00D455C0" w:rsidP="000C6943">
      <w:pPr>
        <w:pStyle w:val="ListParagraph"/>
        <w:numPr>
          <w:ilvl w:val="0"/>
          <w:numId w:val="31"/>
        </w:numPr>
        <w:spacing w:before="120" w:after="120" w:line="276" w:lineRule="auto"/>
        <w:ind w:left="714" w:hanging="357"/>
        <w:rPr>
          <w:rFonts w:asciiTheme="majorHAnsi" w:hAnsiTheme="majorHAnsi" w:cstheme="majorHAnsi"/>
          <w:szCs w:val="22"/>
        </w:rPr>
      </w:pPr>
      <w:r>
        <w:rPr>
          <w:rFonts w:asciiTheme="majorHAnsi" w:hAnsiTheme="majorHAnsi" w:cstheme="majorHAnsi"/>
          <w:szCs w:val="22"/>
        </w:rPr>
        <w:t xml:space="preserve">potential benefits the </w:t>
      </w:r>
      <w:r w:rsidR="00AC3ACE">
        <w:rPr>
          <w:rFonts w:asciiTheme="majorHAnsi" w:hAnsiTheme="majorHAnsi" w:cstheme="majorHAnsi"/>
          <w:szCs w:val="22"/>
        </w:rPr>
        <w:t>scholarships can</w:t>
      </w:r>
      <w:r w:rsidR="00DC5D17">
        <w:rPr>
          <w:rFonts w:asciiTheme="majorHAnsi" w:hAnsiTheme="majorHAnsi" w:cstheme="majorHAnsi"/>
          <w:szCs w:val="22"/>
        </w:rPr>
        <w:t xml:space="preserve"> </w:t>
      </w:r>
      <w:r>
        <w:rPr>
          <w:rFonts w:asciiTheme="majorHAnsi" w:hAnsiTheme="majorHAnsi" w:cstheme="majorHAnsi"/>
          <w:szCs w:val="22"/>
        </w:rPr>
        <w:t>bring to the region</w:t>
      </w:r>
    </w:p>
    <w:p w14:paraId="12549138" w14:textId="24625551" w:rsidR="00D455C0" w:rsidRDefault="00D455C0" w:rsidP="000C6943">
      <w:pPr>
        <w:pStyle w:val="ListParagraph"/>
        <w:numPr>
          <w:ilvl w:val="0"/>
          <w:numId w:val="31"/>
        </w:numPr>
        <w:spacing w:before="120" w:after="120" w:line="276" w:lineRule="auto"/>
        <w:ind w:left="714" w:hanging="357"/>
        <w:rPr>
          <w:rFonts w:asciiTheme="majorHAnsi" w:hAnsiTheme="majorHAnsi" w:cstheme="majorHAnsi"/>
          <w:szCs w:val="22"/>
        </w:rPr>
      </w:pPr>
      <w:r>
        <w:rPr>
          <w:rFonts w:asciiTheme="majorHAnsi" w:hAnsiTheme="majorHAnsi" w:cstheme="majorHAnsi"/>
          <w:szCs w:val="22"/>
        </w:rPr>
        <w:t xml:space="preserve">support the </w:t>
      </w:r>
      <w:r w:rsidR="00AC3ACE">
        <w:rPr>
          <w:rFonts w:asciiTheme="majorHAnsi" w:hAnsiTheme="majorHAnsi" w:cstheme="majorHAnsi"/>
          <w:szCs w:val="22"/>
        </w:rPr>
        <w:t>provider</w:t>
      </w:r>
      <w:r>
        <w:rPr>
          <w:rFonts w:asciiTheme="majorHAnsi" w:hAnsiTheme="majorHAnsi" w:cstheme="majorHAnsi"/>
          <w:szCs w:val="22"/>
        </w:rPr>
        <w:t xml:space="preserve"> will offer to scholarship students</w:t>
      </w:r>
    </w:p>
    <w:p w14:paraId="5153CF9C" w14:textId="77777777" w:rsidR="00D455C0" w:rsidRPr="00170C2F" w:rsidRDefault="00EC201B" w:rsidP="000C6943">
      <w:pPr>
        <w:pStyle w:val="ListParagraph"/>
        <w:numPr>
          <w:ilvl w:val="0"/>
          <w:numId w:val="31"/>
        </w:numPr>
        <w:spacing w:before="120" w:after="120" w:line="276" w:lineRule="auto"/>
        <w:ind w:left="714" w:hanging="357"/>
        <w:rPr>
          <w:rFonts w:asciiTheme="majorHAnsi" w:hAnsiTheme="majorHAnsi" w:cstheme="majorHAnsi"/>
          <w:szCs w:val="22"/>
        </w:rPr>
      </w:pPr>
      <w:r>
        <w:rPr>
          <w:rFonts w:asciiTheme="majorHAnsi" w:hAnsiTheme="majorHAnsi" w:cstheme="majorHAnsi"/>
          <w:szCs w:val="22"/>
        </w:rPr>
        <w:t xml:space="preserve">the </w:t>
      </w:r>
      <w:r w:rsidR="00D455C0">
        <w:rPr>
          <w:rFonts w:asciiTheme="majorHAnsi" w:hAnsiTheme="majorHAnsi" w:cstheme="majorHAnsi"/>
          <w:szCs w:val="22"/>
        </w:rPr>
        <w:t xml:space="preserve">efficiency and effectiveness of the </w:t>
      </w:r>
      <w:r w:rsidR="00AC3ACE">
        <w:rPr>
          <w:rFonts w:asciiTheme="majorHAnsi" w:hAnsiTheme="majorHAnsi" w:cstheme="majorHAnsi"/>
          <w:szCs w:val="22"/>
        </w:rPr>
        <w:t>provider</w:t>
      </w:r>
      <w:r w:rsidR="00D455C0">
        <w:rPr>
          <w:rFonts w:asciiTheme="majorHAnsi" w:hAnsiTheme="majorHAnsi" w:cstheme="majorHAnsi"/>
          <w:szCs w:val="22"/>
        </w:rPr>
        <w:t xml:space="preserve"> in administering and promoting the Destination Australia scholarships.</w:t>
      </w:r>
    </w:p>
    <w:p w14:paraId="17506B57" w14:textId="39397BB8" w:rsidR="00F85F98" w:rsidRPr="00170C2F" w:rsidRDefault="00F85F98" w:rsidP="00F85F98">
      <w:pPr>
        <w:pStyle w:val="BodyText"/>
        <w:rPr>
          <w:rFonts w:asciiTheme="majorHAnsi" w:hAnsiTheme="majorHAnsi" w:cstheme="majorHAnsi"/>
          <w:szCs w:val="22"/>
        </w:rPr>
      </w:pPr>
      <w:r w:rsidRPr="00856FBB">
        <w:rPr>
          <w:rFonts w:asciiTheme="majorHAnsi" w:hAnsiTheme="majorHAnsi" w:cstheme="majorHAnsi"/>
          <w:color w:val="auto"/>
          <w:szCs w:val="22"/>
        </w:rPr>
        <w:t>Preferred applicants</w:t>
      </w:r>
      <w:r w:rsidR="00413429" w:rsidRPr="00856FBB">
        <w:rPr>
          <w:rFonts w:asciiTheme="majorHAnsi" w:hAnsiTheme="majorHAnsi" w:cstheme="majorHAnsi"/>
          <w:color w:val="auto"/>
          <w:szCs w:val="22"/>
        </w:rPr>
        <w:t xml:space="preserve"> were</w:t>
      </w:r>
      <w:r w:rsidRPr="00856FBB">
        <w:rPr>
          <w:rFonts w:asciiTheme="majorHAnsi" w:hAnsiTheme="majorHAnsi" w:cstheme="majorHAnsi"/>
          <w:color w:val="auto"/>
          <w:szCs w:val="22"/>
        </w:rPr>
        <w:t xml:space="preserve"> </w:t>
      </w:r>
      <w:r w:rsidRPr="00856FBB">
        <w:rPr>
          <w:rFonts w:asciiTheme="majorHAnsi" w:hAnsiTheme="majorHAnsi" w:cstheme="majorHAnsi"/>
          <w:szCs w:val="22"/>
        </w:rPr>
        <w:t xml:space="preserve">identified based on the strength of their responses to the selection </w:t>
      </w:r>
      <w:r w:rsidR="00E7480B" w:rsidRPr="00856FBB">
        <w:rPr>
          <w:rFonts w:asciiTheme="majorHAnsi" w:hAnsiTheme="majorHAnsi" w:cstheme="majorHAnsi"/>
          <w:szCs w:val="22"/>
        </w:rPr>
        <w:t>criteri</w:t>
      </w:r>
      <w:r w:rsidR="00806500" w:rsidRPr="00856FBB">
        <w:rPr>
          <w:rFonts w:asciiTheme="majorHAnsi" w:hAnsiTheme="majorHAnsi" w:cstheme="majorHAnsi"/>
          <w:szCs w:val="22"/>
        </w:rPr>
        <w:t>a</w:t>
      </w:r>
      <w:r w:rsidR="00E7480B" w:rsidRPr="00856FBB">
        <w:rPr>
          <w:rFonts w:asciiTheme="majorHAnsi" w:hAnsiTheme="majorHAnsi" w:cstheme="majorHAnsi"/>
          <w:szCs w:val="22"/>
        </w:rPr>
        <w:t xml:space="preserve"> </w:t>
      </w:r>
      <w:r w:rsidRPr="00856FBB">
        <w:rPr>
          <w:rFonts w:asciiTheme="majorHAnsi" w:hAnsiTheme="majorHAnsi" w:cstheme="majorHAnsi"/>
          <w:szCs w:val="22"/>
        </w:rPr>
        <w:t xml:space="preserve">and their demonstrated ability to meet the grant requirements outlined in the </w:t>
      </w:r>
      <w:r w:rsidR="00590B0A">
        <w:rPr>
          <w:rFonts w:asciiTheme="majorHAnsi" w:hAnsiTheme="majorHAnsi" w:cstheme="majorHAnsi"/>
          <w:szCs w:val="22"/>
        </w:rPr>
        <w:t>g</w:t>
      </w:r>
      <w:r w:rsidRPr="00856FBB">
        <w:rPr>
          <w:rFonts w:asciiTheme="majorHAnsi" w:hAnsiTheme="majorHAnsi" w:cstheme="majorHAnsi"/>
          <w:szCs w:val="22"/>
        </w:rPr>
        <w:t>uidelines.</w:t>
      </w:r>
    </w:p>
    <w:p w14:paraId="0332B004" w14:textId="77777777" w:rsidR="002B097D" w:rsidRPr="00170C2F" w:rsidRDefault="002B097D" w:rsidP="002B097D">
      <w:pPr>
        <w:pStyle w:val="BodyText"/>
        <w:spacing w:line="276" w:lineRule="auto"/>
        <w:rPr>
          <w:rFonts w:asciiTheme="majorHAnsi" w:eastAsiaTheme="majorEastAsia" w:hAnsiTheme="majorHAnsi" w:cstheme="majorHAnsi"/>
          <w:b/>
          <w:bCs/>
          <w:szCs w:val="22"/>
        </w:rPr>
      </w:pPr>
      <w:r w:rsidRPr="00170C2F">
        <w:rPr>
          <w:rFonts w:asciiTheme="majorHAnsi" w:eastAsiaTheme="majorEastAsia" w:hAnsiTheme="majorHAnsi" w:cstheme="majorHAnsi"/>
          <w:b/>
          <w:bCs/>
          <w:szCs w:val="22"/>
        </w:rPr>
        <w:t>General feedback</w:t>
      </w:r>
    </w:p>
    <w:p w14:paraId="4A9740E6" w14:textId="77777777" w:rsidR="002B097D" w:rsidRPr="00170C2F" w:rsidRDefault="002B097D" w:rsidP="002B097D">
      <w:pPr>
        <w:pStyle w:val="BodyText"/>
        <w:spacing w:line="276" w:lineRule="auto"/>
        <w:rPr>
          <w:rFonts w:asciiTheme="majorHAnsi" w:hAnsiTheme="majorHAnsi" w:cstheme="majorHAnsi"/>
          <w:szCs w:val="22"/>
        </w:rPr>
      </w:pPr>
      <w:r w:rsidRPr="00170C2F">
        <w:rPr>
          <w:rFonts w:asciiTheme="majorHAnsi" w:hAnsiTheme="majorHAnsi" w:cstheme="majorHAnsi"/>
          <w:szCs w:val="22"/>
        </w:rPr>
        <w:t>Applicants could have generally strengthened their applications by:</w:t>
      </w:r>
    </w:p>
    <w:p w14:paraId="27A1A148" w14:textId="19B8324E" w:rsidR="002B097D" w:rsidRPr="00170C2F" w:rsidRDefault="002B097D" w:rsidP="002B097D">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ensuring they thoroughly read </w:t>
      </w:r>
      <w:r w:rsidR="005B28DC">
        <w:rPr>
          <w:rFonts w:asciiTheme="majorHAnsi" w:hAnsiTheme="majorHAnsi" w:cstheme="majorHAnsi"/>
          <w:szCs w:val="22"/>
        </w:rPr>
        <w:t xml:space="preserve">and </w:t>
      </w:r>
      <w:r w:rsidR="00EC201B">
        <w:rPr>
          <w:rFonts w:asciiTheme="majorHAnsi" w:hAnsiTheme="majorHAnsi" w:cstheme="majorHAnsi"/>
          <w:szCs w:val="22"/>
        </w:rPr>
        <w:t xml:space="preserve">understood </w:t>
      </w:r>
      <w:r w:rsidRPr="00170C2F">
        <w:rPr>
          <w:rFonts w:asciiTheme="majorHAnsi" w:hAnsiTheme="majorHAnsi" w:cstheme="majorHAnsi"/>
          <w:szCs w:val="22"/>
        </w:rPr>
        <w:t xml:space="preserve">the </w:t>
      </w:r>
      <w:r w:rsidR="00590B0A">
        <w:rPr>
          <w:rFonts w:asciiTheme="majorHAnsi" w:hAnsiTheme="majorHAnsi" w:cstheme="majorHAnsi"/>
          <w:szCs w:val="22"/>
        </w:rPr>
        <w:t>g</w:t>
      </w:r>
      <w:r w:rsidRPr="00170C2F">
        <w:rPr>
          <w:rFonts w:asciiTheme="majorHAnsi" w:hAnsiTheme="majorHAnsi" w:cstheme="majorHAnsi"/>
          <w:szCs w:val="22"/>
        </w:rPr>
        <w:t>uidelines</w:t>
      </w:r>
      <w:r w:rsidR="00806500">
        <w:rPr>
          <w:rFonts w:asciiTheme="majorHAnsi" w:hAnsiTheme="majorHAnsi" w:cstheme="majorHAnsi"/>
          <w:szCs w:val="22"/>
        </w:rPr>
        <w:t xml:space="preserve"> published on the department’s website </w:t>
      </w:r>
    </w:p>
    <w:p w14:paraId="7EB51CF2" w14:textId="77777777" w:rsidR="002B097D" w:rsidRPr="00170C2F" w:rsidRDefault="002B097D" w:rsidP="002B097D">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ensuring all aspects of the criteria were </w:t>
      </w:r>
      <w:r w:rsidR="005B28DC">
        <w:rPr>
          <w:rFonts w:asciiTheme="majorHAnsi" w:hAnsiTheme="majorHAnsi" w:cstheme="majorHAnsi"/>
          <w:szCs w:val="22"/>
        </w:rPr>
        <w:t xml:space="preserve">clearly </w:t>
      </w:r>
      <w:r w:rsidRPr="00170C2F">
        <w:rPr>
          <w:rFonts w:asciiTheme="majorHAnsi" w:hAnsiTheme="majorHAnsi" w:cstheme="majorHAnsi"/>
          <w:szCs w:val="22"/>
        </w:rPr>
        <w:t xml:space="preserve">addressed, including </w:t>
      </w:r>
      <w:r w:rsidR="000F6535">
        <w:rPr>
          <w:rFonts w:asciiTheme="majorHAnsi" w:hAnsiTheme="majorHAnsi" w:cstheme="majorHAnsi"/>
          <w:szCs w:val="22"/>
        </w:rPr>
        <w:t>the</w:t>
      </w:r>
      <w:r w:rsidRPr="00170C2F">
        <w:rPr>
          <w:rFonts w:asciiTheme="majorHAnsi" w:hAnsiTheme="majorHAnsi" w:cstheme="majorHAnsi"/>
          <w:szCs w:val="22"/>
        </w:rPr>
        <w:t xml:space="preserve"> specific requirements</w:t>
      </w:r>
    </w:p>
    <w:p w14:paraId="05246F4C" w14:textId="5F1DD6EF" w:rsidR="002B097D" w:rsidRPr="00170C2F" w:rsidRDefault="002B097D" w:rsidP="002B097D">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demonstrating their consideration of the </w:t>
      </w:r>
      <w:r w:rsidR="005B572B">
        <w:rPr>
          <w:rFonts w:asciiTheme="majorHAnsi" w:hAnsiTheme="majorHAnsi" w:cstheme="majorHAnsi"/>
          <w:szCs w:val="22"/>
        </w:rPr>
        <w:t>g</w:t>
      </w:r>
      <w:r w:rsidR="00590B0A" w:rsidRPr="00170C2F">
        <w:rPr>
          <w:rFonts w:asciiTheme="majorHAnsi" w:hAnsiTheme="majorHAnsi" w:cstheme="majorHAnsi"/>
          <w:szCs w:val="22"/>
        </w:rPr>
        <w:t xml:space="preserve">rant </w:t>
      </w:r>
      <w:r w:rsidR="00590B0A">
        <w:rPr>
          <w:rFonts w:asciiTheme="majorHAnsi" w:hAnsiTheme="majorHAnsi" w:cstheme="majorHAnsi"/>
          <w:szCs w:val="22"/>
        </w:rPr>
        <w:t>p</w:t>
      </w:r>
      <w:r w:rsidR="00590B0A" w:rsidRPr="00170C2F">
        <w:rPr>
          <w:rFonts w:asciiTheme="majorHAnsi" w:hAnsiTheme="majorHAnsi" w:cstheme="majorHAnsi"/>
          <w:szCs w:val="22"/>
        </w:rPr>
        <w:t xml:space="preserve">rogram’s </w:t>
      </w:r>
      <w:r w:rsidRPr="00170C2F">
        <w:rPr>
          <w:rFonts w:asciiTheme="majorHAnsi" w:hAnsiTheme="majorHAnsi" w:cstheme="majorHAnsi"/>
          <w:szCs w:val="22"/>
        </w:rPr>
        <w:t>objectives</w:t>
      </w:r>
    </w:p>
    <w:p w14:paraId="61CE61FE" w14:textId="77777777" w:rsidR="002B097D" w:rsidRPr="00170C2F" w:rsidRDefault="002B097D" w:rsidP="002B097D">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only including relevant and unambiguous information</w:t>
      </w:r>
    </w:p>
    <w:p w14:paraId="45922DA2" w14:textId="77777777" w:rsidR="002B097D" w:rsidRPr="00170C2F" w:rsidRDefault="002B097D" w:rsidP="002B097D">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supporting claims with relevant, reliable and current evidence</w:t>
      </w:r>
      <w:r w:rsidR="000F6535">
        <w:rPr>
          <w:rFonts w:asciiTheme="majorHAnsi" w:hAnsiTheme="majorHAnsi" w:cstheme="majorHAnsi"/>
          <w:szCs w:val="22"/>
        </w:rPr>
        <w:t xml:space="preserve"> and examples</w:t>
      </w:r>
    </w:p>
    <w:p w14:paraId="13ED69F5" w14:textId="77777777" w:rsidR="002B097D" w:rsidRPr="00170C2F" w:rsidRDefault="000F6535" w:rsidP="00170C2F">
      <w:pPr>
        <w:pStyle w:val="ListParagraph"/>
        <w:numPr>
          <w:ilvl w:val="0"/>
          <w:numId w:val="31"/>
        </w:numPr>
        <w:spacing w:before="120" w:after="120" w:line="276" w:lineRule="auto"/>
        <w:ind w:left="714" w:hanging="357"/>
        <w:rPr>
          <w:rFonts w:asciiTheme="majorHAnsi" w:hAnsiTheme="majorHAnsi" w:cstheme="majorHAnsi"/>
          <w:szCs w:val="22"/>
        </w:rPr>
      </w:pPr>
      <w:r>
        <w:rPr>
          <w:rFonts w:asciiTheme="majorHAnsi" w:hAnsiTheme="majorHAnsi" w:cstheme="majorHAnsi"/>
          <w:szCs w:val="22"/>
        </w:rPr>
        <w:t xml:space="preserve">clearly </w:t>
      </w:r>
      <w:r w:rsidR="002B097D" w:rsidRPr="00170C2F">
        <w:rPr>
          <w:rFonts w:asciiTheme="majorHAnsi" w:hAnsiTheme="majorHAnsi" w:cstheme="majorHAnsi"/>
          <w:szCs w:val="22"/>
        </w:rPr>
        <w:t xml:space="preserve">linking </w:t>
      </w:r>
      <w:r w:rsidR="005B28DC">
        <w:rPr>
          <w:rFonts w:asciiTheme="majorHAnsi" w:hAnsiTheme="majorHAnsi" w:cstheme="majorHAnsi"/>
          <w:szCs w:val="22"/>
        </w:rPr>
        <w:t xml:space="preserve">their </w:t>
      </w:r>
      <w:r w:rsidR="002B097D" w:rsidRPr="00170C2F">
        <w:rPr>
          <w:rFonts w:asciiTheme="majorHAnsi" w:hAnsiTheme="majorHAnsi" w:cstheme="majorHAnsi"/>
          <w:szCs w:val="22"/>
        </w:rPr>
        <w:t>claims back to the policy objectives and the project description/services to be delivered.</w:t>
      </w:r>
    </w:p>
    <w:p w14:paraId="1606A822" w14:textId="77777777" w:rsidR="00793BBB" w:rsidRDefault="00793BBB" w:rsidP="00F85F98">
      <w:pPr>
        <w:pStyle w:val="Heading2"/>
        <w:spacing w:before="0"/>
        <w:rPr>
          <w:rFonts w:cstheme="majorHAnsi"/>
          <w:sz w:val="22"/>
          <w:szCs w:val="22"/>
        </w:rPr>
      </w:pPr>
    </w:p>
    <w:p w14:paraId="186CE8CF" w14:textId="77777777" w:rsidR="00C276F0" w:rsidRDefault="00C276F0">
      <w:pPr>
        <w:spacing w:line="240" w:lineRule="auto"/>
        <w:rPr>
          <w:rFonts w:asciiTheme="majorHAnsi" w:eastAsiaTheme="majorEastAsia" w:hAnsiTheme="majorHAnsi" w:cstheme="majorHAnsi"/>
          <w:b/>
          <w:bCs/>
          <w:szCs w:val="22"/>
        </w:rPr>
      </w:pPr>
      <w:r>
        <w:rPr>
          <w:rFonts w:cstheme="majorHAnsi"/>
          <w:szCs w:val="22"/>
        </w:rPr>
        <w:br w:type="page"/>
      </w:r>
    </w:p>
    <w:p w14:paraId="252C197A" w14:textId="36E55404" w:rsidR="00F85F98" w:rsidRPr="00170C2F" w:rsidRDefault="00F85F98" w:rsidP="00F85F98">
      <w:pPr>
        <w:pStyle w:val="Heading2"/>
        <w:spacing w:before="0"/>
        <w:rPr>
          <w:rFonts w:cstheme="majorHAnsi"/>
          <w:sz w:val="22"/>
          <w:szCs w:val="22"/>
        </w:rPr>
      </w:pPr>
      <w:r w:rsidRPr="00170C2F">
        <w:rPr>
          <w:rFonts w:cstheme="majorHAnsi"/>
          <w:sz w:val="22"/>
          <w:szCs w:val="22"/>
        </w:rPr>
        <w:lastRenderedPageBreak/>
        <w:t>Criterion 1</w:t>
      </w:r>
      <w:r w:rsidR="000A3A5C">
        <w:rPr>
          <w:rFonts w:cstheme="majorHAnsi"/>
          <w:sz w:val="22"/>
          <w:szCs w:val="22"/>
        </w:rPr>
        <w:t xml:space="preserve"> </w:t>
      </w:r>
      <w:r w:rsidR="00590B0A" w:rsidRPr="00471E94">
        <w:rPr>
          <w:rFonts w:cstheme="majorHAnsi"/>
          <w:sz w:val="22"/>
          <w:szCs w:val="22"/>
        </w:rPr>
        <w:t>–</w:t>
      </w:r>
      <w:r w:rsidR="00F15606" w:rsidRPr="00170C2F">
        <w:rPr>
          <w:rFonts w:cstheme="majorHAnsi"/>
          <w:sz w:val="22"/>
          <w:szCs w:val="22"/>
        </w:rPr>
        <w:t xml:space="preserve"> Strategic priorities</w:t>
      </w:r>
    </w:p>
    <w:p w14:paraId="27DA33B7" w14:textId="77777777" w:rsidR="008B58FA" w:rsidRPr="00170C2F" w:rsidRDefault="008B58FA" w:rsidP="008B58FA">
      <w:pPr>
        <w:spacing w:line="240" w:lineRule="auto"/>
        <w:jc w:val="both"/>
        <w:rPr>
          <w:rFonts w:asciiTheme="majorHAnsi" w:hAnsiTheme="majorHAnsi" w:cstheme="majorHAnsi"/>
          <w:b/>
          <w:szCs w:val="22"/>
        </w:rPr>
      </w:pPr>
      <w:r w:rsidRPr="00170C2F">
        <w:rPr>
          <w:rFonts w:asciiTheme="majorHAnsi" w:hAnsiTheme="majorHAnsi" w:cstheme="majorHAnsi"/>
          <w:b/>
          <w:szCs w:val="22"/>
        </w:rPr>
        <w:t xml:space="preserve">Describe how delivering Destination Australia scholarships will contribute to achieving your provider’s strategic priorities. </w:t>
      </w:r>
    </w:p>
    <w:p w14:paraId="78FEB783" w14:textId="77777777" w:rsidR="00F15606" w:rsidRPr="00170C2F" w:rsidRDefault="00F15606" w:rsidP="008B58FA">
      <w:pPr>
        <w:spacing w:line="240" w:lineRule="auto"/>
        <w:jc w:val="both"/>
        <w:rPr>
          <w:rFonts w:asciiTheme="majorHAnsi" w:hAnsiTheme="majorHAnsi" w:cstheme="majorHAnsi"/>
          <w:b/>
          <w:szCs w:val="22"/>
        </w:rPr>
      </w:pPr>
    </w:p>
    <w:p w14:paraId="5ED31A18" w14:textId="77777777" w:rsidR="00F15606" w:rsidRPr="00170C2F" w:rsidRDefault="00F15606" w:rsidP="00F15606">
      <w:pPr>
        <w:spacing w:line="240" w:lineRule="auto"/>
        <w:jc w:val="both"/>
        <w:rPr>
          <w:rFonts w:asciiTheme="majorHAnsi" w:hAnsiTheme="majorHAnsi" w:cstheme="majorHAnsi"/>
          <w:szCs w:val="22"/>
        </w:rPr>
      </w:pPr>
      <w:r w:rsidRPr="00170C2F">
        <w:rPr>
          <w:rFonts w:asciiTheme="majorHAnsi" w:hAnsiTheme="majorHAnsi" w:cstheme="majorHAnsi"/>
          <w:szCs w:val="22"/>
        </w:rPr>
        <w:t xml:space="preserve">When addressing the criterion, strong applications </w:t>
      </w:r>
      <w:r w:rsidR="00A56A6E">
        <w:rPr>
          <w:rFonts w:asciiTheme="majorHAnsi" w:hAnsiTheme="majorHAnsi" w:cstheme="majorHAnsi"/>
          <w:szCs w:val="22"/>
        </w:rPr>
        <w:t>described</w:t>
      </w:r>
      <w:r w:rsidRPr="00170C2F">
        <w:rPr>
          <w:rFonts w:asciiTheme="majorHAnsi" w:hAnsiTheme="majorHAnsi" w:cstheme="majorHAnsi"/>
          <w:szCs w:val="22"/>
        </w:rPr>
        <w:t>:</w:t>
      </w:r>
    </w:p>
    <w:p w14:paraId="639CEE26" w14:textId="77777777" w:rsidR="00F15606" w:rsidRPr="00F77B57" w:rsidRDefault="00F15606" w:rsidP="000C6943">
      <w:pPr>
        <w:pStyle w:val="ListParagraph"/>
        <w:numPr>
          <w:ilvl w:val="0"/>
          <w:numId w:val="31"/>
        </w:numPr>
        <w:spacing w:before="120" w:after="120" w:line="276" w:lineRule="auto"/>
        <w:ind w:left="714" w:hanging="357"/>
        <w:rPr>
          <w:rFonts w:asciiTheme="majorHAnsi" w:hAnsiTheme="majorHAnsi" w:cstheme="majorHAnsi"/>
          <w:szCs w:val="22"/>
        </w:rPr>
      </w:pPr>
      <w:r w:rsidRPr="00F77B57">
        <w:rPr>
          <w:rFonts w:asciiTheme="majorHAnsi" w:hAnsiTheme="majorHAnsi" w:cstheme="majorHAnsi"/>
          <w:szCs w:val="22"/>
        </w:rPr>
        <w:t xml:space="preserve">how scholarship students completing courses at </w:t>
      </w:r>
      <w:r w:rsidR="000F6535">
        <w:rPr>
          <w:rFonts w:asciiTheme="majorHAnsi" w:hAnsiTheme="majorHAnsi" w:cstheme="majorHAnsi"/>
          <w:szCs w:val="22"/>
        </w:rPr>
        <w:t xml:space="preserve">their </w:t>
      </w:r>
      <w:r w:rsidRPr="00F77B57">
        <w:rPr>
          <w:rFonts w:asciiTheme="majorHAnsi" w:hAnsiTheme="majorHAnsi" w:cstheme="majorHAnsi"/>
          <w:szCs w:val="22"/>
        </w:rPr>
        <w:t>regional campus will contribute to</w:t>
      </w:r>
      <w:r w:rsidR="00F77B57" w:rsidRPr="00F77B57">
        <w:rPr>
          <w:rFonts w:asciiTheme="majorHAnsi" w:hAnsiTheme="majorHAnsi" w:cstheme="majorHAnsi"/>
          <w:szCs w:val="22"/>
        </w:rPr>
        <w:t xml:space="preserve"> </w:t>
      </w:r>
      <w:r w:rsidRPr="00F77B57">
        <w:rPr>
          <w:rFonts w:asciiTheme="majorHAnsi" w:hAnsiTheme="majorHAnsi" w:cstheme="majorHAnsi"/>
          <w:szCs w:val="22"/>
        </w:rPr>
        <w:t xml:space="preserve">achieving </w:t>
      </w:r>
      <w:r w:rsidR="000F6535">
        <w:rPr>
          <w:rFonts w:asciiTheme="majorHAnsi" w:hAnsiTheme="majorHAnsi" w:cstheme="majorHAnsi"/>
          <w:szCs w:val="22"/>
        </w:rPr>
        <w:t xml:space="preserve">the provider’s </w:t>
      </w:r>
      <w:r w:rsidRPr="00F77B57">
        <w:rPr>
          <w:rFonts w:asciiTheme="majorHAnsi" w:hAnsiTheme="majorHAnsi" w:cstheme="majorHAnsi"/>
          <w:szCs w:val="22"/>
        </w:rPr>
        <w:t xml:space="preserve">strategic priorities, with a focus on detail and value-add beyond </w:t>
      </w:r>
      <w:r w:rsidR="00F77B57" w:rsidRPr="00F77B57">
        <w:rPr>
          <w:rFonts w:asciiTheme="majorHAnsi" w:hAnsiTheme="majorHAnsi" w:cstheme="majorHAnsi"/>
          <w:szCs w:val="22"/>
        </w:rPr>
        <w:t xml:space="preserve">their </w:t>
      </w:r>
      <w:r w:rsidRPr="00F77B57">
        <w:rPr>
          <w:rFonts w:asciiTheme="majorHAnsi" w:hAnsiTheme="majorHAnsi" w:cstheme="majorHAnsi"/>
          <w:szCs w:val="22"/>
        </w:rPr>
        <w:t>institution’s brand awareness</w:t>
      </w:r>
    </w:p>
    <w:p w14:paraId="16690312" w14:textId="4D790FEB" w:rsidR="00EF4CA3" w:rsidRDefault="00F15606" w:rsidP="000C6943">
      <w:pPr>
        <w:pStyle w:val="ListParagraph"/>
        <w:numPr>
          <w:ilvl w:val="0"/>
          <w:numId w:val="31"/>
        </w:numPr>
        <w:spacing w:before="120" w:after="120" w:line="276" w:lineRule="auto"/>
        <w:ind w:left="714" w:hanging="357"/>
        <w:rPr>
          <w:rFonts w:asciiTheme="majorHAnsi" w:hAnsiTheme="majorHAnsi" w:cstheme="majorHAnsi"/>
          <w:szCs w:val="22"/>
        </w:rPr>
      </w:pPr>
      <w:r w:rsidRPr="00F77B57">
        <w:rPr>
          <w:rFonts w:asciiTheme="majorHAnsi" w:hAnsiTheme="majorHAnsi" w:cstheme="majorHAnsi"/>
          <w:szCs w:val="22"/>
        </w:rPr>
        <w:t xml:space="preserve">the process </w:t>
      </w:r>
      <w:r w:rsidR="00F77B57" w:rsidRPr="00F77B57">
        <w:rPr>
          <w:rFonts w:asciiTheme="majorHAnsi" w:hAnsiTheme="majorHAnsi" w:cstheme="majorHAnsi"/>
          <w:szCs w:val="22"/>
        </w:rPr>
        <w:t>to be</w:t>
      </w:r>
      <w:r w:rsidRPr="00F77B57">
        <w:rPr>
          <w:rFonts w:asciiTheme="majorHAnsi" w:hAnsiTheme="majorHAnsi" w:cstheme="majorHAnsi"/>
          <w:szCs w:val="22"/>
        </w:rPr>
        <w:t xml:space="preserve"> use</w:t>
      </w:r>
      <w:r w:rsidR="00F77B57" w:rsidRPr="00F77B57">
        <w:rPr>
          <w:rFonts w:asciiTheme="majorHAnsi" w:hAnsiTheme="majorHAnsi" w:cstheme="majorHAnsi"/>
          <w:szCs w:val="22"/>
        </w:rPr>
        <w:t>d</w:t>
      </w:r>
      <w:r w:rsidRPr="00F77B57">
        <w:rPr>
          <w:rFonts w:asciiTheme="majorHAnsi" w:hAnsiTheme="majorHAnsi" w:cstheme="majorHAnsi"/>
          <w:szCs w:val="22"/>
        </w:rPr>
        <w:t xml:space="preserve"> to select students who meet the criteria in section 5.1.1 to receive</w:t>
      </w:r>
      <w:r w:rsidR="00F77B57" w:rsidRPr="00F77B57">
        <w:rPr>
          <w:rFonts w:asciiTheme="majorHAnsi" w:hAnsiTheme="majorHAnsi" w:cstheme="majorHAnsi"/>
          <w:szCs w:val="22"/>
        </w:rPr>
        <w:t xml:space="preserve"> </w:t>
      </w:r>
      <w:r w:rsidRPr="00F77B57">
        <w:rPr>
          <w:rFonts w:asciiTheme="majorHAnsi" w:hAnsiTheme="majorHAnsi" w:cstheme="majorHAnsi"/>
          <w:szCs w:val="22"/>
        </w:rPr>
        <w:t>scholarships and requirements under</w:t>
      </w:r>
      <w:r w:rsidR="000A3A5C">
        <w:rPr>
          <w:rFonts w:asciiTheme="majorHAnsi" w:hAnsiTheme="majorHAnsi" w:cstheme="majorHAnsi"/>
          <w:szCs w:val="22"/>
        </w:rPr>
        <w:t xml:space="preserve"> section</w:t>
      </w:r>
      <w:r w:rsidRPr="00F77B57">
        <w:rPr>
          <w:rFonts w:asciiTheme="majorHAnsi" w:hAnsiTheme="majorHAnsi" w:cstheme="majorHAnsi"/>
          <w:szCs w:val="22"/>
        </w:rPr>
        <w:t xml:space="preserve"> 5.3</w:t>
      </w:r>
      <w:r w:rsidR="004B7224">
        <w:rPr>
          <w:rFonts w:asciiTheme="majorHAnsi" w:hAnsiTheme="majorHAnsi" w:cstheme="majorHAnsi"/>
          <w:szCs w:val="22"/>
        </w:rPr>
        <w:t xml:space="preserve"> </w:t>
      </w:r>
    </w:p>
    <w:p w14:paraId="55A78628" w14:textId="77777777" w:rsidR="00793BBB" w:rsidRPr="00C276F0" w:rsidRDefault="00F15606" w:rsidP="000C6943">
      <w:pPr>
        <w:pStyle w:val="ListParagraph"/>
        <w:numPr>
          <w:ilvl w:val="0"/>
          <w:numId w:val="31"/>
        </w:numPr>
        <w:spacing w:before="120" w:after="120" w:line="276" w:lineRule="auto"/>
        <w:ind w:left="714" w:hanging="357"/>
        <w:rPr>
          <w:rFonts w:asciiTheme="majorHAnsi" w:hAnsiTheme="majorHAnsi" w:cstheme="majorHAnsi"/>
          <w:szCs w:val="22"/>
        </w:rPr>
      </w:pPr>
      <w:r w:rsidRPr="00C276F0">
        <w:rPr>
          <w:rFonts w:asciiTheme="majorHAnsi" w:hAnsiTheme="majorHAnsi" w:cstheme="majorHAnsi"/>
          <w:szCs w:val="22"/>
        </w:rPr>
        <w:t>any additional characteristics require</w:t>
      </w:r>
      <w:r w:rsidR="00F77B57" w:rsidRPr="00C276F0">
        <w:rPr>
          <w:rFonts w:asciiTheme="majorHAnsi" w:hAnsiTheme="majorHAnsi" w:cstheme="majorHAnsi"/>
          <w:szCs w:val="22"/>
        </w:rPr>
        <w:t>d</w:t>
      </w:r>
      <w:r w:rsidRPr="00C276F0">
        <w:rPr>
          <w:rFonts w:asciiTheme="majorHAnsi" w:hAnsiTheme="majorHAnsi" w:cstheme="majorHAnsi"/>
          <w:szCs w:val="22"/>
        </w:rPr>
        <w:t xml:space="preserve"> of scholarship students (for example, domestic students, international students, demonstrated financial need, high levels of academic achievement) or the course they study (for example, a particular Australian Standard Classification of Education field of education)</w:t>
      </w:r>
      <w:r w:rsidR="009D7703">
        <w:rPr>
          <w:rFonts w:asciiTheme="majorHAnsi" w:hAnsiTheme="majorHAnsi" w:cstheme="majorHAnsi"/>
          <w:szCs w:val="22"/>
        </w:rPr>
        <w:t xml:space="preserve"> </w:t>
      </w:r>
      <w:r w:rsidR="00AC3ACE">
        <w:rPr>
          <w:rFonts w:asciiTheme="majorHAnsi" w:hAnsiTheme="majorHAnsi" w:cstheme="majorHAnsi"/>
          <w:szCs w:val="22"/>
        </w:rPr>
        <w:t xml:space="preserve">or </w:t>
      </w:r>
      <w:r w:rsidR="009D7703">
        <w:rPr>
          <w:rFonts w:asciiTheme="majorHAnsi" w:hAnsiTheme="majorHAnsi" w:cstheme="majorHAnsi"/>
          <w:szCs w:val="22"/>
        </w:rPr>
        <w:t>to help address</w:t>
      </w:r>
      <w:r w:rsidRPr="00C276F0">
        <w:rPr>
          <w:rFonts w:asciiTheme="majorHAnsi" w:hAnsiTheme="majorHAnsi" w:cstheme="majorHAnsi"/>
          <w:szCs w:val="22"/>
        </w:rPr>
        <w:t xml:space="preserve"> skills shortages in </w:t>
      </w:r>
      <w:r w:rsidR="00F77B57" w:rsidRPr="00C276F0">
        <w:rPr>
          <w:rFonts w:asciiTheme="majorHAnsi" w:hAnsiTheme="majorHAnsi" w:cstheme="majorHAnsi"/>
          <w:szCs w:val="22"/>
        </w:rPr>
        <w:t xml:space="preserve">their </w:t>
      </w:r>
      <w:r w:rsidR="00793BBB" w:rsidRPr="00C276F0">
        <w:rPr>
          <w:rFonts w:asciiTheme="majorHAnsi" w:hAnsiTheme="majorHAnsi" w:cstheme="majorHAnsi"/>
          <w:szCs w:val="22"/>
        </w:rPr>
        <w:t>region or state/territory</w:t>
      </w:r>
      <w:r w:rsidR="0051318B" w:rsidRPr="00C276F0">
        <w:rPr>
          <w:rFonts w:asciiTheme="majorHAnsi" w:hAnsiTheme="majorHAnsi" w:cstheme="majorHAnsi"/>
          <w:szCs w:val="22"/>
        </w:rPr>
        <w:t>.</w:t>
      </w:r>
    </w:p>
    <w:tbl>
      <w:tblPr>
        <w:tblStyle w:val="CGHTableBanded"/>
        <w:tblpPr w:leftFromText="180" w:rightFromText="180" w:vertAnchor="text" w:horzAnchor="margin" w:tblpY="119"/>
        <w:tblW w:w="9744" w:type="dxa"/>
        <w:tblLook w:val="04A0" w:firstRow="1" w:lastRow="0" w:firstColumn="1" w:lastColumn="0" w:noHBand="0" w:noVBand="1"/>
        <w:tblCaption w:val="Table showing information on the strengths on criterion 1"/>
      </w:tblPr>
      <w:tblGrid>
        <w:gridCol w:w="4870"/>
        <w:gridCol w:w="4874"/>
      </w:tblGrid>
      <w:tr w:rsidR="00793BBB" w:rsidRPr="00170C2F" w14:paraId="28C8056B" w14:textId="77777777" w:rsidTr="00471E94">
        <w:trPr>
          <w:cnfStyle w:val="100000000000" w:firstRow="1" w:lastRow="0" w:firstColumn="0" w:lastColumn="0" w:oddVBand="0" w:evenVBand="0" w:oddHBand="0" w:evenHBand="0" w:firstRowFirstColumn="0" w:firstRowLastColumn="0" w:lastRowFirstColumn="0" w:lastRowLastColumn="0"/>
          <w:trHeight w:val="466"/>
          <w:tblHeader/>
        </w:trPr>
        <w:tc>
          <w:tcPr>
            <w:tcW w:w="4870" w:type="dxa"/>
            <w:vAlign w:val="center"/>
          </w:tcPr>
          <w:p w14:paraId="16D2845A" w14:textId="77777777" w:rsidR="00793BBB" w:rsidRPr="00170C2F" w:rsidRDefault="00793BBB" w:rsidP="00793BBB">
            <w:pPr>
              <w:spacing w:line="240" w:lineRule="auto"/>
              <w:ind w:left="57" w:right="57"/>
              <w:rPr>
                <w:rFonts w:asciiTheme="majorHAnsi" w:hAnsiTheme="majorHAnsi" w:cstheme="majorHAnsi"/>
                <w:b/>
                <w:szCs w:val="22"/>
              </w:rPr>
            </w:pPr>
            <w:r>
              <w:rPr>
                <w:rFonts w:asciiTheme="majorHAnsi" w:hAnsiTheme="majorHAnsi" w:cstheme="majorHAnsi"/>
                <w:b/>
                <w:szCs w:val="22"/>
              </w:rPr>
              <w:t>Strength</w:t>
            </w:r>
          </w:p>
        </w:tc>
        <w:tc>
          <w:tcPr>
            <w:tcW w:w="4874" w:type="dxa"/>
            <w:vAlign w:val="center"/>
          </w:tcPr>
          <w:p w14:paraId="252C1FAD" w14:textId="77777777" w:rsidR="00793BBB" w:rsidRPr="00170C2F" w:rsidRDefault="00793BBB" w:rsidP="00793BBB">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Feedback</w:t>
            </w:r>
          </w:p>
        </w:tc>
      </w:tr>
      <w:tr w:rsidR="00793BBB" w:rsidRPr="00170C2F" w14:paraId="6D6610CD" w14:textId="77777777" w:rsidTr="0056514E">
        <w:trPr>
          <w:cnfStyle w:val="000000100000" w:firstRow="0" w:lastRow="0" w:firstColumn="0" w:lastColumn="0" w:oddVBand="0" w:evenVBand="0" w:oddHBand="1" w:evenHBand="0" w:firstRowFirstColumn="0" w:firstRowLastColumn="0" w:lastRowFirstColumn="0" w:lastRowLastColumn="0"/>
          <w:trHeight w:val="6345"/>
        </w:trPr>
        <w:tc>
          <w:tcPr>
            <w:tcW w:w="4870" w:type="dxa"/>
          </w:tcPr>
          <w:p w14:paraId="1C849DFC" w14:textId="77777777" w:rsidR="00E97D1A" w:rsidRPr="00170C2F" w:rsidRDefault="00793BBB" w:rsidP="00E97D1A">
            <w:pPr>
              <w:pStyle w:val="Default"/>
              <w:spacing w:before="120" w:after="120"/>
              <w:rPr>
                <w:rFonts w:asciiTheme="majorHAnsi" w:hAnsiTheme="majorHAnsi" w:cstheme="majorHAnsi"/>
                <w:sz w:val="22"/>
                <w:szCs w:val="22"/>
              </w:rPr>
            </w:pPr>
            <w:r w:rsidRPr="00170C2F">
              <w:rPr>
                <w:rFonts w:asciiTheme="majorHAnsi" w:eastAsia="Arial" w:hAnsiTheme="majorHAnsi" w:cstheme="majorHAnsi"/>
                <w:color w:val="auto"/>
                <w:sz w:val="22"/>
                <w:szCs w:val="22"/>
              </w:rPr>
              <w:t xml:space="preserve">Strong applications clearly demonstrated </w:t>
            </w:r>
            <w:r w:rsidRPr="00170C2F">
              <w:rPr>
                <w:rFonts w:asciiTheme="majorHAnsi" w:hAnsiTheme="majorHAnsi" w:cstheme="majorHAnsi"/>
                <w:sz w:val="22"/>
                <w:szCs w:val="22"/>
              </w:rPr>
              <w:t>how scholarship students completing their courses at regional campuses would contribute to achieving</w:t>
            </w:r>
            <w:r w:rsidR="00801DCD">
              <w:rPr>
                <w:rFonts w:asciiTheme="majorHAnsi" w:hAnsiTheme="majorHAnsi" w:cstheme="majorHAnsi"/>
                <w:sz w:val="22"/>
                <w:szCs w:val="22"/>
              </w:rPr>
              <w:t xml:space="preserve"> the provider’s</w:t>
            </w:r>
            <w:r w:rsidRPr="00170C2F">
              <w:rPr>
                <w:rFonts w:asciiTheme="majorHAnsi" w:hAnsiTheme="majorHAnsi" w:cstheme="majorHAnsi"/>
                <w:sz w:val="22"/>
                <w:szCs w:val="22"/>
              </w:rPr>
              <w:t xml:space="preserve"> strategic priorities, with a focus on detail and value-add beyond the institution’s brand awareness.</w:t>
            </w:r>
          </w:p>
          <w:p w14:paraId="26AD844C" w14:textId="45EFB319" w:rsidR="00793BBB" w:rsidRPr="00170C2F" w:rsidRDefault="00793BBB" w:rsidP="00E97D1A">
            <w:pPr>
              <w:pStyle w:val="Default"/>
              <w:spacing w:before="120" w:after="120"/>
              <w:rPr>
                <w:rFonts w:asciiTheme="majorHAnsi" w:hAnsiTheme="majorHAnsi" w:cstheme="majorHAnsi"/>
                <w:sz w:val="22"/>
                <w:szCs w:val="22"/>
              </w:rPr>
            </w:pPr>
            <w:r w:rsidRPr="00170C2F">
              <w:rPr>
                <w:rFonts w:asciiTheme="majorHAnsi" w:hAnsiTheme="majorHAnsi" w:cstheme="majorHAnsi"/>
                <w:sz w:val="22"/>
                <w:szCs w:val="22"/>
              </w:rPr>
              <w:t>Strong applications clearly outlined the processes used to select students who meet the selection criteria in section</w:t>
            </w:r>
            <w:r w:rsidR="000A3A5C">
              <w:rPr>
                <w:rFonts w:asciiTheme="majorHAnsi" w:hAnsiTheme="majorHAnsi" w:cstheme="majorHAnsi"/>
                <w:sz w:val="22"/>
                <w:szCs w:val="22"/>
              </w:rPr>
              <w:t>s</w:t>
            </w:r>
            <w:r w:rsidRPr="00170C2F">
              <w:rPr>
                <w:rFonts w:asciiTheme="majorHAnsi" w:hAnsiTheme="majorHAnsi" w:cstheme="majorHAnsi"/>
                <w:sz w:val="22"/>
                <w:szCs w:val="22"/>
              </w:rPr>
              <w:t xml:space="preserve"> 5.1.1 and 5.3 of the </w:t>
            </w:r>
            <w:r w:rsidR="00882A45">
              <w:rPr>
                <w:rFonts w:asciiTheme="majorHAnsi" w:hAnsiTheme="majorHAnsi" w:cstheme="majorHAnsi"/>
                <w:sz w:val="22"/>
                <w:szCs w:val="22"/>
              </w:rPr>
              <w:t>g</w:t>
            </w:r>
            <w:r w:rsidR="00882A45" w:rsidRPr="00170C2F">
              <w:rPr>
                <w:rFonts w:asciiTheme="majorHAnsi" w:hAnsiTheme="majorHAnsi" w:cstheme="majorHAnsi"/>
                <w:sz w:val="22"/>
                <w:szCs w:val="22"/>
              </w:rPr>
              <w:t xml:space="preserve">uidelines </w:t>
            </w:r>
            <w:r w:rsidRPr="00170C2F">
              <w:rPr>
                <w:rFonts w:asciiTheme="majorHAnsi" w:hAnsiTheme="majorHAnsi" w:cstheme="majorHAnsi"/>
                <w:sz w:val="22"/>
                <w:szCs w:val="22"/>
              </w:rPr>
              <w:t>to receive scholarships.</w:t>
            </w:r>
          </w:p>
          <w:p w14:paraId="69B9107A" w14:textId="77777777" w:rsidR="00793BBB" w:rsidRPr="00170C2F" w:rsidRDefault="00793BBB" w:rsidP="00793BBB">
            <w:pPr>
              <w:pStyle w:val="Default"/>
              <w:rPr>
                <w:rFonts w:asciiTheme="majorHAnsi" w:hAnsiTheme="majorHAnsi" w:cstheme="majorHAnsi"/>
                <w:sz w:val="22"/>
                <w:szCs w:val="22"/>
              </w:rPr>
            </w:pPr>
            <w:r w:rsidRPr="00170C2F">
              <w:rPr>
                <w:rFonts w:asciiTheme="majorHAnsi" w:hAnsiTheme="majorHAnsi" w:cstheme="majorHAnsi"/>
                <w:sz w:val="22"/>
                <w:szCs w:val="22"/>
              </w:rPr>
              <w:t xml:space="preserve">Strong applications clearly outlined the additional characteristics required of scholarship students (for example, domestic students, international students, demonstrated financial need, high levels of academic achievement) or the course they study (for example, a particular Australian Standard Classification of Education field of education), </w:t>
            </w:r>
            <w:r w:rsidR="00AC3ACE">
              <w:rPr>
                <w:rFonts w:asciiTheme="majorHAnsi" w:hAnsiTheme="majorHAnsi" w:cstheme="majorHAnsi"/>
                <w:sz w:val="22"/>
                <w:szCs w:val="22"/>
              </w:rPr>
              <w:t xml:space="preserve">or to help address </w:t>
            </w:r>
            <w:r w:rsidRPr="00170C2F">
              <w:rPr>
                <w:rFonts w:asciiTheme="majorHAnsi" w:hAnsiTheme="majorHAnsi" w:cstheme="majorHAnsi"/>
                <w:sz w:val="22"/>
                <w:szCs w:val="22"/>
              </w:rPr>
              <w:t>skills shortages in the region or state/territory.</w:t>
            </w:r>
          </w:p>
          <w:p w14:paraId="7BBA1359" w14:textId="77777777" w:rsidR="00793BBB" w:rsidRPr="00170C2F" w:rsidRDefault="00793BBB" w:rsidP="00793BBB">
            <w:pPr>
              <w:spacing w:before="120" w:after="120" w:line="240" w:lineRule="auto"/>
              <w:ind w:left="113" w:right="57"/>
              <w:rPr>
                <w:rFonts w:asciiTheme="majorHAnsi" w:eastAsia="Arial" w:hAnsiTheme="majorHAnsi" w:cstheme="majorHAnsi"/>
                <w:color w:val="auto"/>
                <w:szCs w:val="22"/>
              </w:rPr>
            </w:pPr>
          </w:p>
        </w:tc>
        <w:tc>
          <w:tcPr>
            <w:tcW w:w="4874" w:type="dxa"/>
          </w:tcPr>
          <w:p w14:paraId="2C854747" w14:textId="77777777" w:rsidR="00793BBB" w:rsidRPr="00170C2F" w:rsidRDefault="00793BBB" w:rsidP="00793BBB">
            <w:pPr>
              <w:spacing w:before="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responses clearly described:</w:t>
            </w:r>
          </w:p>
          <w:p w14:paraId="100C31B5" w14:textId="39EB6D14" w:rsidR="00793BBB" w:rsidRPr="00170C2F" w:rsidRDefault="00EF4CA3" w:rsidP="00793BBB">
            <w:pPr>
              <w:pStyle w:val="Default"/>
              <w:numPr>
                <w:ilvl w:val="0"/>
                <w:numId w:val="18"/>
              </w:numPr>
              <w:spacing w:after="20"/>
              <w:rPr>
                <w:rFonts w:asciiTheme="majorHAnsi" w:hAnsiTheme="majorHAnsi" w:cstheme="majorHAnsi"/>
                <w:sz w:val="22"/>
                <w:szCs w:val="22"/>
              </w:rPr>
            </w:pPr>
            <w:r>
              <w:rPr>
                <w:rFonts w:asciiTheme="majorHAnsi" w:hAnsiTheme="majorHAnsi" w:cstheme="majorHAnsi"/>
                <w:sz w:val="22"/>
                <w:szCs w:val="22"/>
              </w:rPr>
              <w:t>h</w:t>
            </w:r>
            <w:r w:rsidR="00793BBB" w:rsidRPr="00170C2F">
              <w:rPr>
                <w:rFonts w:asciiTheme="majorHAnsi" w:hAnsiTheme="majorHAnsi" w:cstheme="majorHAnsi"/>
                <w:sz w:val="22"/>
                <w:szCs w:val="22"/>
              </w:rPr>
              <w:t xml:space="preserve">ow the award of a Destination Australia grant will enable the institution to grow student numbers </w:t>
            </w:r>
          </w:p>
          <w:p w14:paraId="3EDBA819" w14:textId="4495F0F7" w:rsidR="00793BBB" w:rsidRPr="00170C2F" w:rsidRDefault="00EF4CA3" w:rsidP="00793BBB">
            <w:pPr>
              <w:pStyle w:val="Default"/>
              <w:numPr>
                <w:ilvl w:val="0"/>
                <w:numId w:val="18"/>
              </w:numPr>
              <w:spacing w:after="20"/>
              <w:rPr>
                <w:rFonts w:asciiTheme="majorHAnsi" w:hAnsiTheme="majorHAnsi" w:cstheme="majorHAnsi"/>
                <w:sz w:val="22"/>
                <w:szCs w:val="22"/>
              </w:rPr>
            </w:pPr>
            <w:r>
              <w:rPr>
                <w:rFonts w:asciiTheme="majorHAnsi" w:hAnsiTheme="majorHAnsi" w:cstheme="majorHAnsi"/>
                <w:sz w:val="22"/>
                <w:szCs w:val="22"/>
              </w:rPr>
              <w:t>t</w:t>
            </w:r>
            <w:r w:rsidR="00793BBB" w:rsidRPr="00170C2F">
              <w:rPr>
                <w:rFonts w:asciiTheme="majorHAnsi" w:hAnsiTheme="majorHAnsi" w:cstheme="majorHAnsi"/>
                <w:sz w:val="22"/>
                <w:szCs w:val="22"/>
              </w:rPr>
              <w:t>he type of courses the institution proposed to offer scholarships</w:t>
            </w:r>
            <w:r w:rsidR="00DC5B48">
              <w:rPr>
                <w:rFonts w:asciiTheme="majorHAnsi" w:hAnsiTheme="majorHAnsi" w:cstheme="majorHAnsi"/>
                <w:sz w:val="22"/>
                <w:szCs w:val="22"/>
              </w:rPr>
              <w:t xml:space="preserve"> in</w:t>
            </w:r>
            <w:r>
              <w:rPr>
                <w:rFonts w:asciiTheme="majorHAnsi" w:hAnsiTheme="majorHAnsi" w:cstheme="majorHAnsi"/>
                <w:sz w:val="22"/>
                <w:szCs w:val="22"/>
              </w:rPr>
              <w:t>,</w:t>
            </w:r>
            <w:r w:rsidR="00793BBB" w:rsidRPr="00170C2F">
              <w:rPr>
                <w:rFonts w:asciiTheme="majorHAnsi" w:hAnsiTheme="majorHAnsi" w:cstheme="majorHAnsi"/>
                <w:sz w:val="22"/>
                <w:szCs w:val="22"/>
              </w:rPr>
              <w:t xml:space="preserve"> </w:t>
            </w:r>
            <w:r>
              <w:rPr>
                <w:rFonts w:asciiTheme="majorHAnsi" w:hAnsiTheme="majorHAnsi" w:cstheme="majorHAnsi"/>
                <w:sz w:val="22"/>
                <w:szCs w:val="22"/>
              </w:rPr>
              <w:t>t</w:t>
            </w:r>
            <w:r w:rsidR="00793BBB" w:rsidRPr="00170C2F">
              <w:rPr>
                <w:rFonts w:asciiTheme="majorHAnsi" w:hAnsiTheme="majorHAnsi" w:cstheme="majorHAnsi"/>
                <w:sz w:val="22"/>
                <w:szCs w:val="22"/>
              </w:rPr>
              <w:t>hese details included field of study and qualification level upon graduation</w:t>
            </w:r>
          </w:p>
          <w:p w14:paraId="0BCC9B88" w14:textId="00F714B2" w:rsidR="00793BBB" w:rsidRPr="00170C2F" w:rsidRDefault="0015492C" w:rsidP="00793BBB">
            <w:pPr>
              <w:pStyle w:val="Default"/>
              <w:numPr>
                <w:ilvl w:val="0"/>
                <w:numId w:val="18"/>
              </w:numPr>
              <w:spacing w:after="20"/>
              <w:rPr>
                <w:rFonts w:asciiTheme="majorHAnsi" w:hAnsiTheme="majorHAnsi" w:cstheme="majorHAnsi"/>
                <w:sz w:val="22"/>
                <w:szCs w:val="22"/>
              </w:rPr>
            </w:pPr>
            <w:r>
              <w:rPr>
                <w:rFonts w:asciiTheme="majorHAnsi" w:hAnsiTheme="majorHAnsi" w:cstheme="majorHAnsi"/>
                <w:sz w:val="22"/>
                <w:szCs w:val="22"/>
              </w:rPr>
              <w:t>r</w:t>
            </w:r>
            <w:r w:rsidR="00793BBB" w:rsidRPr="00170C2F">
              <w:rPr>
                <w:rFonts w:asciiTheme="majorHAnsi" w:hAnsiTheme="majorHAnsi" w:cstheme="majorHAnsi"/>
                <w:sz w:val="22"/>
                <w:szCs w:val="22"/>
              </w:rPr>
              <w:t>elevant aspects of the institutions strategic plan or similar, and clearly linked the proposed scholarships to this plan</w:t>
            </w:r>
          </w:p>
          <w:p w14:paraId="437758B8" w14:textId="679F538B" w:rsidR="00793BBB" w:rsidRPr="00170C2F" w:rsidRDefault="00EF4CA3" w:rsidP="00793BBB">
            <w:pPr>
              <w:pStyle w:val="Default"/>
              <w:numPr>
                <w:ilvl w:val="0"/>
                <w:numId w:val="18"/>
              </w:numPr>
              <w:spacing w:after="20"/>
              <w:rPr>
                <w:rFonts w:asciiTheme="majorHAnsi" w:hAnsiTheme="majorHAnsi" w:cstheme="majorHAnsi"/>
                <w:sz w:val="22"/>
                <w:szCs w:val="22"/>
              </w:rPr>
            </w:pPr>
            <w:r>
              <w:rPr>
                <w:rFonts w:asciiTheme="majorHAnsi" w:hAnsiTheme="majorHAnsi" w:cstheme="majorHAnsi"/>
                <w:sz w:val="22"/>
                <w:szCs w:val="22"/>
              </w:rPr>
              <w:t>h</w:t>
            </w:r>
            <w:r w:rsidRPr="00170C2F">
              <w:rPr>
                <w:rFonts w:asciiTheme="majorHAnsi" w:hAnsiTheme="majorHAnsi" w:cstheme="majorHAnsi"/>
                <w:sz w:val="22"/>
                <w:szCs w:val="22"/>
              </w:rPr>
              <w:t xml:space="preserve">ow </w:t>
            </w:r>
            <w:r w:rsidR="00793BBB" w:rsidRPr="00170C2F">
              <w:rPr>
                <w:rFonts w:asciiTheme="majorHAnsi" w:hAnsiTheme="majorHAnsi" w:cstheme="majorHAnsi"/>
                <w:sz w:val="22"/>
                <w:szCs w:val="22"/>
              </w:rPr>
              <w:t>the grant would enable students in regional areas to study locally rather than moving to city locations</w:t>
            </w:r>
          </w:p>
          <w:p w14:paraId="54935A0B" w14:textId="6654EC13" w:rsidR="00793BBB" w:rsidRPr="00170C2F" w:rsidRDefault="00EF4CA3" w:rsidP="00793BBB">
            <w:pPr>
              <w:pStyle w:val="Default"/>
              <w:numPr>
                <w:ilvl w:val="0"/>
                <w:numId w:val="18"/>
              </w:numPr>
              <w:spacing w:after="20"/>
              <w:rPr>
                <w:rFonts w:asciiTheme="majorHAnsi" w:hAnsiTheme="majorHAnsi" w:cstheme="majorHAnsi"/>
                <w:sz w:val="22"/>
                <w:szCs w:val="22"/>
              </w:rPr>
            </w:pPr>
            <w:r>
              <w:rPr>
                <w:rFonts w:asciiTheme="majorHAnsi" w:hAnsiTheme="majorHAnsi" w:cstheme="majorHAnsi"/>
                <w:sz w:val="22"/>
                <w:szCs w:val="22"/>
              </w:rPr>
              <w:t>h</w:t>
            </w:r>
            <w:r w:rsidRPr="00170C2F">
              <w:rPr>
                <w:rFonts w:asciiTheme="majorHAnsi" w:hAnsiTheme="majorHAnsi" w:cstheme="majorHAnsi"/>
                <w:sz w:val="22"/>
                <w:szCs w:val="22"/>
              </w:rPr>
              <w:t xml:space="preserve">ow </w:t>
            </w:r>
            <w:r w:rsidR="00793BBB" w:rsidRPr="00170C2F">
              <w:rPr>
                <w:rFonts w:asciiTheme="majorHAnsi" w:hAnsiTheme="majorHAnsi" w:cstheme="majorHAnsi"/>
                <w:sz w:val="22"/>
                <w:szCs w:val="22"/>
              </w:rPr>
              <w:t>the provision of a scholarship makes moving to regional areas a more attractive proposition to domestic and international students.</w:t>
            </w:r>
          </w:p>
          <w:p w14:paraId="33F2319D" w14:textId="77777777" w:rsidR="00793BBB" w:rsidRPr="00170C2F" w:rsidRDefault="00793BBB" w:rsidP="0056514E">
            <w:pPr>
              <w:pStyle w:val="Default"/>
              <w:spacing w:after="20"/>
              <w:ind w:left="720"/>
              <w:rPr>
                <w:rFonts w:asciiTheme="majorHAnsi" w:hAnsiTheme="majorHAnsi" w:cstheme="majorHAnsi"/>
                <w:sz w:val="22"/>
                <w:szCs w:val="22"/>
              </w:rPr>
            </w:pPr>
          </w:p>
        </w:tc>
      </w:tr>
    </w:tbl>
    <w:p w14:paraId="7F9F6E39" w14:textId="77777777" w:rsidR="00793BBB" w:rsidRDefault="00793BBB" w:rsidP="00793BBB">
      <w:pPr>
        <w:spacing w:line="240" w:lineRule="auto"/>
        <w:jc w:val="both"/>
        <w:rPr>
          <w:rFonts w:asciiTheme="majorHAnsi" w:hAnsiTheme="majorHAnsi" w:cstheme="majorHAnsi"/>
          <w:szCs w:val="22"/>
        </w:rPr>
      </w:pPr>
    </w:p>
    <w:p w14:paraId="3A8E4622" w14:textId="77777777" w:rsidR="00F85F98" w:rsidRPr="00170C2F" w:rsidRDefault="00F85F98" w:rsidP="00793BBB">
      <w:pPr>
        <w:pStyle w:val="Heading2"/>
        <w:rPr>
          <w:rFonts w:cstheme="majorHAnsi"/>
          <w:sz w:val="22"/>
          <w:szCs w:val="22"/>
        </w:rPr>
      </w:pPr>
      <w:r w:rsidRPr="00170C2F">
        <w:rPr>
          <w:rFonts w:cstheme="majorHAnsi"/>
          <w:sz w:val="22"/>
          <w:szCs w:val="22"/>
        </w:rPr>
        <w:lastRenderedPageBreak/>
        <w:t>Criterion 2</w:t>
      </w:r>
    </w:p>
    <w:p w14:paraId="7F2557CC" w14:textId="77777777" w:rsidR="00E3435E" w:rsidRPr="00170C2F" w:rsidRDefault="00E3435E" w:rsidP="001213E2">
      <w:pPr>
        <w:spacing w:line="240" w:lineRule="auto"/>
        <w:jc w:val="both"/>
        <w:rPr>
          <w:rFonts w:asciiTheme="majorHAnsi" w:hAnsiTheme="majorHAnsi" w:cstheme="majorHAnsi"/>
          <w:b/>
          <w:szCs w:val="22"/>
        </w:rPr>
      </w:pPr>
    </w:p>
    <w:p w14:paraId="56A617F5" w14:textId="77777777" w:rsidR="00E3435E" w:rsidRPr="00170C2F" w:rsidRDefault="00E3435E" w:rsidP="001213E2">
      <w:pPr>
        <w:spacing w:line="240" w:lineRule="auto"/>
        <w:jc w:val="both"/>
        <w:rPr>
          <w:rFonts w:asciiTheme="majorHAnsi" w:hAnsiTheme="majorHAnsi" w:cstheme="majorHAnsi"/>
          <w:b/>
          <w:szCs w:val="22"/>
        </w:rPr>
      </w:pPr>
      <w:r w:rsidRPr="00170C2F">
        <w:rPr>
          <w:rFonts w:asciiTheme="majorHAnsi" w:hAnsiTheme="majorHAnsi" w:cstheme="majorHAnsi"/>
          <w:b/>
          <w:szCs w:val="22"/>
        </w:rPr>
        <w:t>Describe how receiving Destination Australia scholarship funding will:</w:t>
      </w:r>
    </w:p>
    <w:p w14:paraId="3CF1ECBE" w14:textId="62F17EB3" w:rsidR="00E3435E" w:rsidRPr="00170C2F" w:rsidRDefault="00882A45" w:rsidP="00E3435E">
      <w:pPr>
        <w:pStyle w:val="ListParagraph"/>
        <w:numPr>
          <w:ilvl w:val="0"/>
          <w:numId w:val="20"/>
        </w:numPr>
        <w:spacing w:line="240" w:lineRule="auto"/>
        <w:jc w:val="both"/>
        <w:rPr>
          <w:rFonts w:asciiTheme="majorHAnsi" w:hAnsiTheme="majorHAnsi" w:cstheme="majorHAnsi"/>
          <w:b/>
          <w:szCs w:val="22"/>
        </w:rPr>
      </w:pPr>
      <w:r>
        <w:rPr>
          <w:rFonts w:asciiTheme="majorHAnsi" w:hAnsiTheme="majorHAnsi" w:cstheme="majorHAnsi"/>
          <w:b/>
          <w:szCs w:val="22"/>
        </w:rPr>
        <w:t>f</w:t>
      </w:r>
      <w:r w:rsidRPr="00170C2F">
        <w:rPr>
          <w:rFonts w:asciiTheme="majorHAnsi" w:hAnsiTheme="majorHAnsi" w:cstheme="majorHAnsi"/>
          <w:b/>
          <w:szCs w:val="22"/>
        </w:rPr>
        <w:t xml:space="preserve">acilitate </w:t>
      </w:r>
      <w:r w:rsidR="00E3435E" w:rsidRPr="00170C2F">
        <w:rPr>
          <w:rFonts w:asciiTheme="majorHAnsi" w:hAnsiTheme="majorHAnsi" w:cstheme="majorHAnsi"/>
          <w:b/>
          <w:szCs w:val="22"/>
        </w:rPr>
        <w:t>growth in the number of enrolled students at your regional campus</w:t>
      </w:r>
    </w:p>
    <w:p w14:paraId="28140D97" w14:textId="65968526" w:rsidR="00E3435E" w:rsidRPr="00170C2F" w:rsidRDefault="00882A45" w:rsidP="00E3435E">
      <w:pPr>
        <w:pStyle w:val="ListParagraph"/>
        <w:numPr>
          <w:ilvl w:val="0"/>
          <w:numId w:val="20"/>
        </w:numPr>
        <w:spacing w:line="240" w:lineRule="auto"/>
        <w:jc w:val="both"/>
        <w:rPr>
          <w:rFonts w:asciiTheme="majorHAnsi" w:hAnsiTheme="majorHAnsi" w:cstheme="majorHAnsi"/>
          <w:b/>
          <w:szCs w:val="22"/>
        </w:rPr>
      </w:pPr>
      <w:r>
        <w:rPr>
          <w:rFonts w:asciiTheme="majorHAnsi" w:hAnsiTheme="majorHAnsi" w:cstheme="majorHAnsi"/>
          <w:b/>
          <w:szCs w:val="22"/>
        </w:rPr>
        <w:t>b</w:t>
      </w:r>
      <w:r w:rsidRPr="00170C2F">
        <w:rPr>
          <w:rFonts w:asciiTheme="majorHAnsi" w:hAnsiTheme="majorHAnsi" w:cstheme="majorHAnsi"/>
          <w:b/>
          <w:szCs w:val="22"/>
        </w:rPr>
        <w:t xml:space="preserve">enefit </w:t>
      </w:r>
      <w:r w:rsidR="00E3435E" w:rsidRPr="00170C2F">
        <w:rPr>
          <w:rFonts w:asciiTheme="majorHAnsi" w:hAnsiTheme="majorHAnsi" w:cstheme="majorHAnsi"/>
          <w:b/>
          <w:szCs w:val="22"/>
        </w:rPr>
        <w:t>your regional community</w:t>
      </w:r>
      <w:r>
        <w:rPr>
          <w:rFonts w:asciiTheme="majorHAnsi" w:hAnsiTheme="majorHAnsi" w:cstheme="majorHAnsi"/>
          <w:b/>
          <w:szCs w:val="22"/>
        </w:rPr>
        <w:t>.</w:t>
      </w:r>
    </w:p>
    <w:p w14:paraId="245A2828" w14:textId="77777777" w:rsidR="00D83668" w:rsidRPr="00170C2F" w:rsidRDefault="00D83668" w:rsidP="00D83668">
      <w:pPr>
        <w:spacing w:line="240" w:lineRule="auto"/>
        <w:jc w:val="both"/>
        <w:rPr>
          <w:rFonts w:asciiTheme="majorHAnsi" w:hAnsiTheme="majorHAnsi" w:cstheme="majorHAnsi"/>
          <w:b/>
          <w:szCs w:val="22"/>
        </w:rPr>
      </w:pPr>
    </w:p>
    <w:p w14:paraId="31C35941" w14:textId="77777777" w:rsidR="00D83668" w:rsidRPr="00170C2F" w:rsidRDefault="00D83668" w:rsidP="00D83668">
      <w:pPr>
        <w:spacing w:line="240" w:lineRule="auto"/>
        <w:jc w:val="both"/>
        <w:rPr>
          <w:rFonts w:asciiTheme="majorHAnsi" w:hAnsiTheme="majorHAnsi" w:cstheme="majorHAnsi"/>
          <w:szCs w:val="22"/>
        </w:rPr>
      </w:pPr>
      <w:r w:rsidRPr="00170C2F">
        <w:rPr>
          <w:rFonts w:asciiTheme="majorHAnsi" w:hAnsiTheme="majorHAnsi" w:cstheme="majorHAnsi"/>
          <w:szCs w:val="22"/>
        </w:rPr>
        <w:t xml:space="preserve">When addressing the criterion, strong applications </w:t>
      </w:r>
      <w:r w:rsidR="00A56A6E">
        <w:rPr>
          <w:rFonts w:asciiTheme="majorHAnsi" w:hAnsiTheme="majorHAnsi" w:cstheme="majorHAnsi"/>
          <w:szCs w:val="22"/>
        </w:rPr>
        <w:t>described</w:t>
      </w:r>
      <w:r w:rsidRPr="00170C2F">
        <w:rPr>
          <w:rFonts w:asciiTheme="majorHAnsi" w:hAnsiTheme="majorHAnsi" w:cstheme="majorHAnsi"/>
          <w:szCs w:val="22"/>
        </w:rPr>
        <w:t xml:space="preserve">: </w:t>
      </w:r>
    </w:p>
    <w:p w14:paraId="2E43DA79" w14:textId="50819080" w:rsidR="00D83668" w:rsidRPr="000C6943" w:rsidRDefault="00D83668" w:rsidP="000C6943">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plans to leverage the award of Destination Australia scholarships to work towards increased enrolments at </w:t>
      </w:r>
      <w:r w:rsidR="00EF4CA3">
        <w:rPr>
          <w:rFonts w:asciiTheme="majorHAnsi" w:hAnsiTheme="majorHAnsi" w:cstheme="majorHAnsi"/>
          <w:szCs w:val="22"/>
        </w:rPr>
        <w:t>their</w:t>
      </w:r>
      <w:r w:rsidR="00EF4CA3" w:rsidRPr="00170C2F">
        <w:rPr>
          <w:rFonts w:asciiTheme="majorHAnsi" w:hAnsiTheme="majorHAnsi" w:cstheme="majorHAnsi"/>
          <w:szCs w:val="22"/>
        </w:rPr>
        <w:t xml:space="preserve"> </w:t>
      </w:r>
      <w:r w:rsidRPr="00170C2F">
        <w:rPr>
          <w:rFonts w:asciiTheme="majorHAnsi" w:hAnsiTheme="majorHAnsi" w:cstheme="majorHAnsi"/>
          <w:szCs w:val="22"/>
        </w:rPr>
        <w:t xml:space="preserve">regional campus </w:t>
      </w:r>
    </w:p>
    <w:p w14:paraId="7C210ED9" w14:textId="77777777" w:rsidR="00D83668" w:rsidRPr="000C6943" w:rsidRDefault="00D83668" w:rsidP="000C6943">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links with </w:t>
      </w:r>
      <w:r w:rsidR="00F77B57">
        <w:rPr>
          <w:rFonts w:asciiTheme="majorHAnsi" w:hAnsiTheme="majorHAnsi" w:cstheme="majorHAnsi"/>
          <w:szCs w:val="22"/>
        </w:rPr>
        <w:t>the</w:t>
      </w:r>
      <w:r w:rsidR="00F77B57" w:rsidRPr="00170C2F">
        <w:rPr>
          <w:rFonts w:asciiTheme="majorHAnsi" w:hAnsiTheme="majorHAnsi" w:cstheme="majorHAnsi"/>
          <w:szCs w:val="22"/>
        </w:rPr>
        <w:t xml:space="preserve"> </w:t>
      </w:r>
      <w:r w:rsidRPr="00170C2F">
        <w:rPr>
          <w:rFonts w:asciiTheme="majorHAnsi" w:hAnsiTheme="majorHAnsi" w:cstheme="majorHAnsi"/>
          <w:szCs w:val="22"/>
        </w:rPr>
        <w:t xml:space="preserve">regional community and plans to leverage these to maximise the benefits of Destination Australia scholarships beyond </w:t>
      </w:r>
      <w:r w:rsidR="00F77B57">
        <w:rPr>
          <w:rFonts w:asciiTheme="majorHAnsi" w:hAnsiTheme="majorHAnsi" w:cstheme="majorHAnsi"/>
          <w:szCs w:val="22"/>
        </w:rPr>
        <w:t>their</w:t>
      </w:r>
      <w:r w:rsidR="00F77B57" w:rsidRPr="00170C2F">
        <w:rPr>
          <w:rFonts w:asciiTheme="majorHAnsi" w:hAnsiTheme="majorHAnsi" w:cstheme="majorHAnsi"/>
          <w:szCs w:val="22"/>
        </w:rPr>
        <w:t xml:space="preserve"> </w:t>
      </w:r>
      <w:r w:rsidRPr="00170C2F">
        <w:rPr>
          <w:rFonts w:asciiTheme="majorHAnsi" w:hAnsiTheme="majorHAnsi" w:cstheme="majorHAnsi"/>
          <w:szCs w:val="22"/>
        </w:rPr>
        <w:t xml:space="preserve">campus </w:t>
      </w:r>
    </w:p>
    <w:p w14:paraId="1B439232" w14:textId="77777777" w:rsidR="00D83668" w:rsidRPr="00170C2F" w:rsidRDefault="00D83668" w:rsidP="000C6943">
      <w:pPr>
        <w:pStyle w:val="ListParagraph"/>
        <w:numPr>
          <w:ilvl w:val="0"/>
          <w:numId w:val="31"/>
        </w:numPr>
        <w:spacing w:before="120" w:after="120" w:line="276" w:lineRule="auto"/>
        <w:ind w:left="714" w:hanging="357"/>
        <w:rPr>
          <w:rFonts w:asciiTheme="majorHAnsi" w:hAnsiTheme="majorHAnsi" w:cstheme="majorHAnsi"/>
          <w:b/>
          <w:szCs w:val="22"/>
        </w:rPr>
      </w:pPr>
      <w:r w:rsidRPr="00170C2F">
        <w:rPr>
          <w:rFonts w:asciiTheme="majorHAnsi" w:hAnsiTheme="majorHAnsi" w:cstheme="majorHAnsi"/>
          <w:szCs w:val="22"/>
        </w:rPr>
        <w:t xml:space="preserve">the metrics </w:t>
      </w:r>
      <w:r w:rsidR="00F77B57">
        <w:rPr>
          <w:rFonts w:asciiTheme="majorHAnsi" w:hAnsiTheme="majorHAnsi" w:cstheme="majorHAnsi"/>
          <w:szCs w:val="22"/>
        </w:rPr>
        <w:t>to be</w:t>
      </w:r>
      <w:r w:rsidRPr="00170C2F">
        <w:rPr>
          <w:rFonts w:asciiTheme="majorHAnsi" w:hAnsiTheme="majorHAnsi" w:cstheme="majorHAnsi"/>
          <w:szCs w:val="22"/>
        </w:rPr>
        <w:t xml:space="preserve"> use</w:t>
      </w:r>
      <w:r w:rsidR="00F77B57">
        <w:rPr>
          <w:rFonts w:asciiTheme="majorHAnsi" w:hAnsiTheme="majorHAnsi" w:cstheme="majorHAnsi"/>
          <w:szCs w:val="22"/>
        </w:rPr>
        <w:t>d</w:t>
      </w:r>
      <w:r w:rsidRPr="00170C2F">
        <w:rPr>
          <w:rFonts w:asciiTheme="majorHAnsi" w:hAnsiTheme="majorHAnsi" w:cstheme="majorHAnsi"/>
          <w:szCs w:val="22"/>
        </w:rPr>
        <w:t xml:space="preserve"> to substantiate </w:t>
      </w:r>
      <w:r w:rsidR="00F77B57">
        <w:rPr>
          <w:rFonts w:asciiTheme="majorHAnsi" w:hAnsiTheme="majorHAnsi" w:cstheme="majorHAnsi"/>
          <w:szCs w:val="22"/>
        </w:rPr>
        <w:t>the</w:t>
      </w:r>
      <w:r w:rsidR="00F77B57" w:rsidRPr="00170C2F">
        <w:rPr>
          <w:rFonts w:asciiTheme="majorHAnsi" w:hAnsiTheme="majorHAnsi" w:cstheme="majorHAnsi"/>
          <w:szCs w:val="22"/>
        </w:rPr>
        <w:t xml:space="preserve"> </w:t>
      </w:r>
      <w:r w:rsidRPr="00170C2F">
        <w:rPr>
          <w:rFonts w:asciiTheme="majorHAnsi" w:hAnsiTheme="majorHAnsi" w:cstheme="majorHAnsi"/>
          <w:szCs w:val="22"/>
        </w:rPr>
        <w:t>claims above.</w:t>
      </w:r>
    </w:p>
    <w:p w14:paraId="0A4C4948" w14:textId="77777777" w:rsidR="00C23A23" w:rsidRPr="00170C2F" w:rsidRDefault="00C23A23" w:rsidP="00C23A23">
      <w:pPr>
        <w:pStyle w:val="ListParagraph"/>
        <w:spacing w:line="240" w:lineRule="auto"/>
        <w:ind w:left="781"/>
        <w:jc w:val="both"/>
        <w:rPr>
          <w:rFonts w:asciiTheme="majorHAnsi" w:hAnsiTheme="majorHAnsi" w:cstheme="majorHAnsi"/>
          <w:b/>
          <w:szCs w:val="22"/>
        </w:rPr>
      </w:pPr>
    </w:p>
    <w:tbl>
      <w:tblPr>
        <w:tblStyle w:val="CGHTableBanded"/>
        <w:tblW w:w="9995" w:type="dxa"/>
        <w:tblLook w:val="04A0" w:firstRow="1" w:lastRow="0" w:firstColumn="1" w:lastColumn="0" w:noHBand="0" w:noVBand="1"/>
        <w:tblCaption w:val="Table showing information on the strengths on criterion 2"/>
      </w:tblPr>
      <w:tblGrid>
        <w:gridCol w:w="4678"/>
        <w:gridCol w:w="5317"/>
      </w:tblGrid>
      <w:tr w:rsidR="00F85F98" w:rsidRPr="00170C2F" w14:paraId="48AF8AB5" w14:textId="77777777" w:rsidTr="00471E94">
        <w:trPr>
          <w:cnfStyle w:val="100000000000" w:firstRow="1" w:lastRow="0" w:firstColumn="0" w:lastColumn="0" w:oddVBand="0" w:evenVBand="0" w:oddHBand="0" w:evenHBand="0" w:firstRowFirstColumn="0" w:firstRowLastColumn="0" w:lastRowFirstColumn="0" w:lastRowLastColumn="0"/>
          <w:trHeight w:val="475"/>
          <w:tblHeader/>
        </w:trPr>
        <w:tc>
          <w:tcPr>
            <w:tcW w:w="4678" w:type="dxa"/>
            <w:vAlign w:val="center"/>
          </w:tcPr>
          <w:p w14:paraId="2BA3FCB7" w14:textId="77777777" w:rsidR="00F85F98" w:rsidRPr="00170C2F" w:rsidRDefault="00F85F98"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Strength</w:t>
            </w:r>
          </w:p>
        </w:tc>
        <w:tc>
          <w:tcPr>
            <w:tcW w:w="5317" w:type="dxa"/>
            <w:vAlign w:val="center"/>
          </w:tcPr>
          <w:p w14:paraId="4D22BCBD" w14:textId="77777777" w:rsidR="00F85F98" w:rsidRPr="00170C2F" w:rsidRDefault="00413429"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Feedback</w:t>
            </w:r>
          </w:p>
        </w:tc>
      </w:tr>
      <w:tr w:rsidR="00E3435E" w:rsidRPr="00170C2F" w14:paraId="3C69667C" w14:textId="77777777" w:rsidTr="0056514E">
        <w:trPr>
          <w:cnfStyle w:val="000000100000" w:firstRow="0" w:lastRow="0" w:firstColumn="0" w:lastColumn="0" w:oddVBand="0" w:evenVBand="0" w:oddHBand="1" w:evenHBand="0" w:firstRowFirstColumn="0" w:firstRowLastColumn="0" w:lastRowFirstColumn="0" w:lastRowLastColumn="0"/>
          <w:trHeight w:val="3338"/>
        </w:trPr>
        <w:tc>
          <w:tcPr>
            <w:tcW w:w="4678" w:type="dxa"/>
          </w:tcPr>
          <w:p w14:paraId="116918C0" w14:textId="77777777" w:rsidR="00793BBB" w:rsidRDefault="00E3435E" w:rsidP="00E97D1A">
            <w:pPr>
              <w:pStyle w:val="Default"/>
              <w:spacing w:before="120" w:after="120"/>
              <w:rPr>
                <w:rFonts w:asciiTheme="majorHAnsi" w:eastAsia="Arial" w:hAnsiTheme="majorHAnsi" w:cstheme="majorHAnsi"/>
                <w:color w:val="auto"/>
                <w:sz w:val="22"/>
                <w:szCs w:val="22"/>
              </w:rPr>
            </w:pPr>
            <w:r w:rsidRPr="00170C2F">
              <w:rPr>
                <w:rFonts w:asciiTheme="majorHAnsi" w:eastAsia="Arial" w:hAnsiTheme="majorHAnsi" w:cstheme="majorHAnsi"/>
                <w:color w:val="auto"/>
                <w:sz w:val="22"/>
                <w:szCs w:val="22"/>
              </w:rPr>
              <w:t xml:space="preserve">Strong applications clearly </w:t>
            </w:r>
            <w:r w:rsidR="005913D9" w:rsidRPr="00170C2F">
              <w:rPr>
                <w:rFonts w:asciiTheme="majorHAnsi" w:eastAsia="Arial" w:hAnsiTheme="majorHAnsi" w:cstheme="majorHAnsi"/>
                <w:color w:val="auto"/>
                <w:sz w:val="22"/>
                <w:szCs w:val="22"/>
              </w:rPr>
              <w:t>demonstrated</w:t>
            </w:r>
            <w:r w:rsidRPr="00170C2F">
              <w:rPr>
                <w:rFonts w:asciiTheme="majorHAnsi" w:eastAsia="Arial" w:hAnsiTheme="majorHAnsi" w:cstheme="majorHAnsi"/>
                <w:color w:val="auto"/>
                <w:sz w:val="22"/>
                <w:szCs w:val="22"/>
              </w:rPr>
              <w:t xml:space="preserve"> </w:t>
            </w:r>
            <w:r w:rsidR="005913D9" w:rsidRPr="00170C2F">
              <w:rPr>
                <w:rFonts w:asciiTheme="majorHAnsi" w:eastAsia="Arial" w:hAnsiTheme="majorHAnsi" w:cstheme="majorHAnsi"/>
                <w:color w:val="auto"/>
                <w:sz w:val="22"/>
                <w:szCs w:val="22"/>
              </w:rPr>
              <w:t xml:space="preserve">how </w:t>
            </w:r>
            <w:r w:rsidR="00D83668" w:rsidRPr="00170C2F">
              <w:rPr>
                <w:rFonts w:asciiTheme="majorHAnsi" w:eastAsia="Arial" w:hAnsiTheme="majorHAnsi" w:cstheme="majorHAnsi"/>
                <w:color w:val="auto"/>
                <w:sz w:val="22"/>
                <w:szCs w:val="22"/>
              </w:rPr>
              <w:t>t</w:t>
            </w:r>
            <w:r w:rsidRPr="00170C2F">
              <w:rPr>
                <w:rFonts w:asciiTheme="majorHAnsi" w:hAnsiTheme="majorHAnsi" w:cstheme="majorHAnsi"/>
                <w:sz w:val="22"/>
                <w:szCs w:val="22"/>
              </w:rPr>
              <w:t>he</w:t>
            </w:r>
            <w:r w:rsidR="00D83668" w:rsidRPr="00170C2F">
              <w:rPr>
                <w:rFonts w:asciiTheme="majorHAnsi" w:hAnsiTheme="majorHAnsi" w:cstheme="majorHAnsi"/>
                <w:sz w:val="22"/>
                <w:szCs w:val="22"/>
              </w:rPr>
              <w:t>ir</w:t>
            </w:r>
            <w:r w:rsidRPr="00170C2F">
              <w:rPr>
                <w:rFonts w:asciiTheme="majorHAnsi" w:hAnsiTheme="majorHAnsi" w:cstheme="majorHAnsi"/>
                <w:sz w:val="22"/>
                <w:szCs w:val="22"/>
              </w:rPr>
              <w:t xml:space="preserve"> plans to leverage </w:t>
            </w:r>
            <w:r w:rsidR="005913D9" w:rsidRPr="00170C2F">
              <w:rPr>
                <w:rFonts w:asciiTheme="majorHAnsi" w:hAnsiTheme="majorHAnsi" w:cstheme="majorHAnsi"/>
                <w:sz w:val="22"/>
                <w:szCs w:val="22"/>
              </w:rPr>
              <w:t xml:space="preserve">the award of </w:t>
            </w:r>
            <w:r w:rsidRPr="00170C2F">
              <w:rPr>
                <w:rFonts w:asciiTheme="majorHAnsi" w:hAnsiTheme="majorHAnsi" w:cstheme="majorHAnsi"/>
                <w:sz w:val="22"/>
                <w:szCs w:val="22"/>
              </w:rPr>
              <w:t>Desti</w:t>
            </w:r>
            <w:r w:rsidR="005913D9" w:rsidRPr="00170C2F">
              <w:rPr>
                <w:rFonts w:asciiTheme="majorHAnsi" w:hAnsiTheme="majorHAnsi" w:cstheme="majorHAnsi"/>
                <w:sz w:val="22"/>
                <w:szCs w:val="22"/>
              </w:rPr>
              <w:t>nation Australia scholarships would work towards increased enrolments at regional campuses.</w:t>
            </w:r>
          </w:p>
          <w:p w14:paraId="07E72CCF" w14:textId="77777777" w:rsidR="005913D9" w:rsidRPr="00170C2F" w:rsidRDefault="005913D9" w:rsidP="00E97D1A">
            <w:pPr>
              <w:pStyle w:val="Default"/>
              <w:spacing w:after="120"/>
              <w:rPr>
                <w:rFonts w:asciiTheme="majorHAnsi" w:hAnsiTheme="majorHAnsi" w:cstheme="majorHAnsi"/>
                <w:sz w:val="22"/>
                <w:szCs w:val="22"/>
              </w:rPr>
            </w:pPr>
            <w:r w:rsidRPr="00170C2F">
              <w:rPr>
                <w:rFonts w:asciiTheme="majorHAnsi" w:hAnsiTheme="majorHAnsi" w:cstheme="majorHAnsi"/>
                <w:sz w:val="22"/>
                <w:szCs w:val="22"/>
              </w:rPr>
              <w:t xml:space="preserve">Strong applications clearly </w:t>
            </w:r>
            <w:r w:rsidR="00C23A23" w:rsidRPr="00170C2F">
              <w:rPr>
                <w:rFonts w:asciiTheme="majorHAnsi" w:hAnsiTheme="majorHAnsi" w:cstheme="majorHAnsi"/>
                <w:sz w:val="22"/>
                <w:szCs w:val="22"/>
              </w:rPr>
              <w:t>demonstrated</w:t>
            </w:r>
            <w:r w:rsidRPr="00170C2F">
              <w:rPr>
                <w:rFonts w:asciiTheme="majorHAnsi" w:hAnsiTheme="majorHAnsi" w:cstheme="majorHAnsi"/>
                <w:sz w:val="22"/>
                <w:szCs w:val="22"/>
              </w:rPr>
              <w:t xml:space="preserve"> t</w:t>
            </w:r>
            <w:r w:rsidR="00E3435E" w:rsidRPr="00170C2F">
              <w:rPr>
                <w:rFonts w:asciiTheme="majorHAnsi" w:hAnsiTheme="majorHAnsi" w:cstheme="majorHAnsi"/>
                <w:sz w:val="22"/>
                <w:szCs w:val="22"/>
              </w:rPr>
              <w:t>he</w:t>
            </w:r>
            <w:r w:rsidRPr="00170C2F">
              <w:rPr>
                <w:rFonts w:asciiTheme="majorHAnsi" w:hAnsiTheme="majorHAnsi" w:cstheme="majorHAnsi"/>
                <w:sz w:val="22"/>
                <w:szCs w:val="22"/>
              </w:rPr>
              <w:t>ir</w:t>
            </w:r>
            <w:r w:rsidR="00E3435E" w:rsidRPr="00170C2F">
              <w:rPr>
                <w:rFonts w:asciiTheme="majorHAnsi" w:hAnsiTheme="majorHAnsi" w:cstheme="majorHAnsi"/>
                <w:sz w:val="22"/>
                <w:szCs w:val="22"/>
              </w:rPr>
              <w:t xml:space="preserve"> links with regional community and plans to leverage links to maximise the benefits of Destination Aus</w:t>
            </w:r>
            <w:r w:rsidRPr="00170C2F">
              <w:rPr>
                <w:rFonts w:asciiTheme="majorHAnsi" w:hAnsiTheme="majorHAnsi" w:cstheme="majorHAnsi"/>
                <w:sz w:val="22"/>
                <w:szCs w:val="22"/>
              </w:rPr>
              <w:t>tralia scholarships beyond the campus.</w:t>
            </w:r>
          </w:p>
          <w:p w14:paraId="4AAEB75F" w14:textId="77777777" w:rsidR="00E3435E" w:rsidRPr="00170C2F" w:rsidRDefault="005913D9" w:rsidP="00C276F0">
            <w:pPr>
              <w:pStyle w:val="Default"/>
              <w:rPr>
                <w:rFonts w:asciiTheme="majorHAnsi" w:eastAsia="Arial" w:hAnsiTheme="majorHAnsi" w:cstheme="majorHAnsi"/>
                <w:color w:val="auto"/>
                <w:szCs w:val="22"/>
              </w:rPr>
            </w:pPr>
            <w:r w:rsidRPr="00170C2F">
              <w:rPr>
                <w:rFonts w:asciiTheme="majorHAnsi" w:hAnsiTheme="majorHAnsi" w:cstheme="majorHAnsi"/>
                <w:sz w:val="22"/>
                <w:szCs w:val="22"/>
              </w:rPr>
              <w:t>Strong applications</w:t>
            </w:r>
            <w:r w:rsidR="00E3435E" w:rsidRPr="00170C2F">
              <w:rPr>
                <w:rFonts w:asciiTheme="majorHAnsi" w:hAnsiTheme="majorHAnsi" w:cstheme="majorHAnsi"/>
                <w:sz w:val="22"/>
                <w:szCs w:val="22"/>
              </w:rPr>
              <w:t xml:space="preserve"> </w:t>
            </w:r>
            <w:r w:rsidR="00C23A23" w:rsidRPr="00170C2F">
              <w:rPr>
                <w:rFonts w:asciiTheme="majorHAnsi" w:hAnsiTheme="majorHAnsi" w:cstheme="majorHAnsi"/>
                <w:sz w:val="22"/>
                <w:szCs w:val="22"/>
              </w:rPr>
              <w:t xml:space="preserve">provided relevant </w:t>
            </w:r>
            <w:r w:rsidR="00801DCD">
              <w:rPr>
                <w:rFonts w:asciiTheme="majorHAnsi" w:hAnsiTheme="majorHAnsi" w:cstheme="majorHAnsi"/>
                <w:sz w:val="22"/>
                <w:szCs w:val="22"/>
              </w:rPr>
              <w:t xml:space="preserve">and clear </w:t>
            </w:r>
            <w:r w:rsidR="00C23A23" w:rsidRPr="00170C2F">
              <w:rPr>
                <w:rFonts w:asciiTheme="majorHAnsi" w:hAnsiTheme="majorHAnsi" w:cstheme="majorHAnsi"/>
                <w:sz w:val="22"/>
                <w:szCs w:val="22"/>
              </w:rPr>
              <w:t>metrics to substantiate their claims</w:t>
            </w:r>
            <w:r w:rsidR="00801DCD">
              <w:rPr>
                <w:rFonts w:asciiTheme="majorHAnsi" w:hAnsiTheme="majorHAnsi" w:cstheme="majorHAnsi"/>
                <w:sz w:val="22"/>
                <w:szCs w:val="22"/>
              </w:rPr>
              <w:t xml:space="preserve"> </w:t>
            </w:r>
          </w:p>
        </w:tc>
        <w:tc>
          <w:tcPr>
            <w:tcW w:w="5317" w:type="dxa"/>
          </w:tcPr>
          <w:p w14:paraId="2BBD9DDE" w14:textId="77777777" w:rsidR="00E3435E" w:rsidRPr="00170C2F" w:rsidRDefault="00E3435E" w:rsidP="00DF5C88">
            <w:pPr>
              <w:spacing w:before="120" w:line="240" w:lineRule="auto"/>
              <w:ind w:left="113"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responses clearly described:</w:t>
            </w:r>
          </w:p>
          <w:p w14:paraId="245E05C6" w14:textId="4C4D58B6" w:rsidR="00E3435E" w:rsidRPr="00170C2F"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h</w:t>
            </w:r>
            <w:r w:rsidR="00E3435E" w:rsidRPr="00170C2F">
              <w:rPr>
                <w:rFonts w:asciiTheme="majorHAnsi" w:hAnsiTheme="majorHAnsi" w:cstheme="majorHAnsi"/>
                <w:sz w:val="22"/>
                <w:szCs w:val="22"/>
              </w:rPr>
              <w:t>ow the Destination Australia grant will enable growth in the institution as a result of new scholarships (beyond increases in student numbers) either by building on existing delivery of quality education, research and training, or developing new education, research and training capacity</w:t>
            </w:r>
          </w:p>
          <w:p w14:paraId="46103247" w14:textId="1921F764" w:rsidR="00E3435E" w:rsidRPr="00170C2F"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h</w:t>
            </w:r>
            <w:r w:rsidR="00E3435E" w:rsidRPr="00170C2F">
              <w:rPr>
                <w:rFonts w:asciiTheme="majorHAnsi" w:hAnsiTheme="majorHAnsi" w:cstheme="majorHAnsi"/>
                <w:sz w:val="22"/>
                <w:szCs w:val="22"/>
              </w:rPr>
              <w:t>ow the scholarships would attract students to specific fields of study, resulting in better industry and research partnerships to enhance the quality of education and delivery experience to the participants</w:t>
            </w:r>
          </w:p>
          <w:p w14:paraId="7665B438" w14:textId="1031BDD9" w:rsidR="00E3435E" w:rsidRPr="00170C2F"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t</w:t>
            </w:r>
            <w:r w:rsidR="00E3435E" w:rsidRPr="00170C2F">
              <w:rPr>
                <w:rFonts w:asciiTheme="majorHAnsi" w:hAnsiTheme="majorHAnsi" w:cstheme="majorHAnsi"/>
                <w:sz w:val="22"/>
                <w:szCs w:val="22"/>
              </w:rPr>
              <w:t>he linkages the institution has with its regional community (</w:t>
            </w:r>
            <w:r w:rsidR="00882A45">
              <w:rPr>
                <w:rFonts w:asciiTheme="majorHAnsi" w:hAnsiTheme="majorHAnsi" w:cstheme="majorHAnsi"/>
                <w:sz w:val="22"/>
                <w:szCs w:val="22"/>
              </w:rPr>
              <w:t>for example,</w:t>
            </w:r>
            <w:r w:rsidR="00E3435E" w:rsidRPr="00170C2F">
              <w:rPr>
                <w:rFonts w:asciiTheme="majorHAnsi" w:hAnsiTheme="majorHAnsi" w:cstheme="majorHAnsi"/>
                <w:sz w:val="22"/>
                <w:szCs w:val="22"/>
              </w:rPr>
              <w:t xml:space="preserve"> through local industry and community organisations) and how these </w:t>
            </w:r>
            <w:r>
              <w:rPr>
                <w:rFonts w:asciiTheme="majorHAnsi" w:hAnsiTheme="majorHAnsi" w:cstheme="majorHAnsi"/>
                <w:sz w:val="22"/>
                <w:szCs w:val="22"/>
              </w:rPr>
              <w:t>would</w:t>
            </w:r>
            <w:r w:rsidRPr="00170C2F">
              <w:rPr>
                <w:rFonts w:asciiTheme="majorHAnsi" w:hAnsiTheme="majorHAnsi" w:cstheme="majorHAnsi"/>
                <w:sz w:val="22"/>
                <w:szCs w:val="22"/>
              </w:rPr>
              <w:t xml:space="preserve"> </w:t>
            </w:r>
            <w:r w:rsidR="00E3435E" w:rsidRPr="00170C2F">
              <w:rPr>
                <w:rFonts w:asciiTheme="majorHAnsi" w:hAnsiTheme="majorHAnsi" w:cstheme="majorHAnsi"/>
                <w:sz w:val="22"/>
                <w:szCs w:val="22"/>
              </w:rPr>
              <w:t>be leveraged to maximise the benefits of the Destination Australia Program to the community more broadly</w:t>
            </w:r>
          </w:p>
          <w:p w14:paraId="36BFADCC" w14:textId="24E7D44D" w:rsidR="00E3435E" w:rsidRPr="00170C2F"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t</w:t>
            </w:r>
            <w:r w:rsidR="00E3435E" w:rsidRPr="00170C2F">
              <w:rPr>
                <w:rFonts w:asciiTheme="majorHAnsi" w:hAnsiTheme="majorHAnsi" w:cstheme="majorHAnsi"/>
                <w:sz w:val="22"/>
                <w:szCs w:val="22"/>
              </w:rPr>
              <w:t>he nature and scope of existing linkages with the community and industry</w:t>
            </w:r>
          </w:p>
          <w:p w14:paraId="727B42D9" w14:textId="5E29B4E8" w:rsidR="00E3435E" w:rsidRPr="00170C2F"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e</w:t>
            </w:r>
            <w:r w:rsidR="00E3435E" w:rsidRPr="00170C2F">
              <w:rPr>
                <w:rFonts w:asciiTheme="majorHAnsi" w:hAnsiTheme="majorHAnsi" w:cstheme="majorHAnsi"/>
                <w:sz w:val="22"/>
                <w:szCs w:val="22"/>
              </w:rPr>
              <w:t>xamples of how the existing community and industry linkages will be leveraged to generate benefits such as employment opportunities for local communities or tailoring of education to meet local industry needs</w:t>
            </w:r>
          </w:p>
          <w:p w14:paraId="7DC07391" w14:textId="010E15E8" w:rsidR="00E3435E" w:rsidRPr="00C276F0" w:rsidRDefault="00EF4CA3" w:rsidP="00E3435E">
            <w:pPr>
              <w:pStyle w:val="Default"/>
              <w:numPr>
                <w:ilvl w:val="0"/>
                <w:numId w:val="23"/>
              </w:numPr>
              <w:spacing w:after="20"/>
              <w:rPr>
                <w:rFonts w:asciiTheme="majorHAnsi" w:hAnsiTheme="majorHAnsi" w:cstheme="majorHAnsi"/>
                <w:sz w:val="22"/>
                <w:szCs w:val="22"/>
              </w:rPr>
            </w:pPr>
            <w:r>
              <w:rPr>
                <w:rFonts w:asciiTheme="majorHAnsi" w:hAnsiTheme="majorHAnsi" w:cstheme="majorHAnsi"/>
                <w:sz w:val="22"/>
                <w:szCs w:val="22"/>
              </w:rPr>
              <w:t>h</w:t>
            </w:r>
            <w:r w:rsidR="00E3435E" w:rsidRPr="00170C2F">
              <w:rPr>
                <w:rFonts w:asciiTheme="majorHAnsi" w:hAnsiTheme="majorHAnsi" w:cstheme="majorHAnsi"/>
                <w:sz w:val="22"/>
                <w:szCs w:val="22"/>
              </w:rPr>
              <w:t>ow linkages with local industry provides benefits to scholarship participants.</w:t>
            </w:r>
            <w:r w:rsidR="00E3435E" w:rsidRPr="00170C2F">
              <w:rPr>
                <w:rFonts w:asciiTheme="majorHAnsi" w:eastAsia="Arial" w:hAnsiTheme="majorHAnsi" w:cstheme="majorHAnsi"/>
                <w:color w:val="auto"/>
                <w:sz w:val="22"/>
                <w:szCs w:val="22"/>
              </w:rPr>
              <w:t xml:space="preserve"> </w:t>
            </w:r>
          </w:p>
          <w:p w14:paraId="5B1E81E0" w14:textId="77777777" w:rsidR="00801DCD" w:rsidRPr="00170C2F" w:rsidRDefault="00801DCD" w:rsidP="0056514E">
            <w:pPr>
              <w:pStyle w:val="Default"/>
              <w:spacing w:after="20"/>
              <w:ind w:left="720"/>
              <w:rPr>
                <w:rFonts w:asciiTheme="majorHAnsi" w:hAnsiTheme="majorHAnsi" w:cstheme="majorHAnsi"/>
                <w:sz w:val="22"/>
                <w:szCs w:val="22"/>
              </w:rPr>
            </w:pPr>
          </w:p>
        </w:tc>
      </w:tr>
    </w:tbl>
    <w:p w14:paraId="65FCCF16" w14:textId="77777777" w:rsidR="00F24CD7" w:rsidRDefault="00F24CD7" w:rsidP="00F85F98">
      <w:pPr>
        <w:pStyle w:val="Heading2"/>
        <w:spacing w:before="0"/>
        <w:rPr>
          <w:rFonts w:cstheme="majorHAnsi"/>
          <w:sz w:val="22"/>
          <w:szCs w:val="22"/>
        </w:rPr>
      </w:pPr>
    </w:p>
    <w:p w14:paraId="041AF888" w14:textId="5B25EB42" w:rsidR="00F24CD7" w:rsidRDefault="00F24CD7">
      <w:pPr>
        <w:spacing w:line="240" w:lineRule="auto"/>
        <w:rPr>
          <w:rFonts w:asciiTheme="majorHAnsi" w:eastAsiaTheme="majorEastAsia" w:hAnsiTheme="majorHAnsi" w:cstheme="majorHAnsi"/>
          <w:b/>
          <w:bCs/>
          <w:szCs w:val="22"/>
        </w:rPr>
      </w:pPr>
    </w:p>
    <w:p w14:paraId="79F6F6E2" w14:textId="2EA17BE6" w:rsidR="00F85F98" w:rsidRPr="00170C2F" w:rsidRDefault="00F85F98" w:rsidP="00F85F98">
      <w:pPr>
        <w:pStyle w:val="Heading2"/>
        <w:spacing w:before="0"/>
        <w:rPr>
          <w:rFonts w:cstheme="majorHAnsi"/>
          <w:sz w:val="22"/>
          <w:szCs w:val="22"/>
        </w:rPr>
      </w:pPr>
      <w:r w:rsidRPr="00170C2F">
        <w:rPr>
          <w:rFonts w:cstheme="majorHAnsi"/>
          <w:sz w:val="22"/>
          <w:szCs w:val="22"/>
        </w:rPr>
        <w:lastRenderedPageBreak/>
        <w:t>Criterion 3</w:t>
      </w:r>
    </w:p>
    <w:p w14:paraId="126A2E98" w14:textId="77777777" w:rsidR="00E3435E" w:rsidRPr="00170C2F" w:rsidRDefault="00E3435E" w:rsidP="001213E2">
      <w:pPr>
        <w:spacing w:line="240" w:lineRule="auto"/>
        <w:jc w:val="both"/>
        <w:rPr>
          <w:rFonts w:asciiTheme="majorHAnsi" w:hAnsiTheme="majorHAnsi" w:cstheme="majorHAnsi"/>
          <w:szCs w:val="22"/>
        </w:rPr>
      </w:pPr>
      <w:r w:rsidRPr="00170C2F">
        <w:rPr>
          <w:rFonts w:asciiTheme="majorHAnsi" w:hAnsiTheme="majorHAnsi" w:cstheme="majorHAnsi"/>
          <w:b/>
          <w:szCs w:val="22"/>
        </w:rPr>
        <w:t xml:space="preserve">Describe how you will support Destination Australia scholarship students to: </w:t>
      </w:r>
    </w:p>
    <w:p w14:paraId="0E8A45AE" w14:textId="77777777" w:rsidR="00E3435E" w:rsidRPr="00170C2F" w:rsidRDefault="00E3435E" w:rsidP="00E3435E">
      <w:pPr>
        <w:pStyle w:val="ListParagraph"/>
        <w:numPr>
          <w:ilvl w:val="0"/>
          <w:numId w:val="23"/>
        </w:numPr>
        <w:spacing w:line="240" w:lineRule="auto"/>
        <w:jc w:val="both"/>
        <w:rPr>
          <w:rFonts w:asciiTheme="majorHAnsi" w:hAnsiTheme="majorHAnsi" w:cstheme="majorHAnsi"/>
          <w:b/>
          <w:szCs w:val="22"/>
        </w:rPr>
      </w:pPr>
      <w:r w:rsidRPr="00170C2F">
        <w:rPr>
          <w:rFonts w:asciiTheme="majorHAnsi" w:hAnsiTheme="majorHAnsi" w:cstheme="majorHAnsi"/>
          <w:b/>
          <w:szCs w:val="22"/>
        </w:rPr>
        <w:t>achieve academic success and complete their course</w:t>
      </w:r>
    </w:p>
    <w:p w14:paraId="699FCA1F" w14:textId="705A1D67" w:rsidR="00E3435E" w:rsidRPr="00170C2F" w:rsidRDefault="00E3435E" w:rsidP="00E3435E">
      <w:pPr>
        <w:pStyle w:val="ListParagraph"/>
        <w:numPr>
          <w:ilvl w:val="0"/>
          <w:numId w:val="23"/>
        </w:numPr>
        <w:spacing w:line="240" w:lineRule="auto"/>
        <w:jc w:val="both"/>
        <w:rPr>
          <w:rFonts w:asciiTheme="majorHAnsi" w:hAnsiTheme="majorHAnsi" w:cstheme="majorHAnsi"/>
          <w:b/>
          <w:szCs w:val="22"/>
        </w:rPr>
      </w:pPr>
      <w:r w:rsidRPr="00170C2F">
        <w:rPr>
          <w:rFonts w:asciiTheme="majorHAnsi" w:hAnsiTheme="majorHAnsi" w:cstheme="majorHAnsi"/>
          <w:b/>
          <w:szCs w:val="22"/>
        </w:rPr>
        <w:t>become part of your regional community</w:t>
      </w:r>
      <w:r w:rsidR="00882A45">
        <w:rPr>
          <w:rFonts w:asciiTheme="majorHAnsi" w:hAnsiTheme="majorHAnsi" w:cstheme="majorHAnsi"/>
          <w:b/>
          <w:szCs w:val="22"/>
        </w:rPr>
        <w:t>.</w:t>
      </w:r>
    </w:p>
    <w:p w14:paraId="321A0405" w14:textId="77777777" w:rsidR="00E3435E" w:rsidRPr="00170C2F" w:rsidRDefault="00E3435E" w:rsidP="00E3435E">
      <w:pPr>
        <w:spacing w:line="240" w:lineRule="auto"/>
        <w:jc w:val="both"/>
        <w:rPr>
          <w:rFonts w:asciiTheme="majorHAnsi" w:hAnsiTheme="majorHAnsi" w:cstheme="majorHAnsi"/>
          <w:b/>
          <w:szCs w:val="22"/>
        </w:rPr>
      </w:pPr>
    </w:p>
    <w:p w14:paraId="2B18F7DA" w14:textId="77777777" w:rsidR="00C23A23" w:rsidRPr="00170C2F" w:rsidRDefault="005913D9" w:rsidP="00E3435E">
      <w:pPr>
        <w:spacing w:line="240" w:lineRule="auto"/>
        <w:jc w:val="both"/>
        <w:rPr>
          <w:rFonts w:asciiTheme="majorHAnsi" w:hAnsiTheme="majorHAnsi" w:cstheme="majorHAnsi"/>
          <w:szCs w:val="22"/>
        </w:rPr>
      </w:pPr>
      <w:r w:rsidRPr="00170C2F">
        <w:rPr>
          <w:rFonts w:asciiTheme="majorHAnsi" w:hAnsiTheme="majorHAnsi" w:cstheme="majorHAnsi"/>
          <w:szCs w:val="22"/>
        </w:rPr>
        <w:t xml:space="preserve">When addressing the criterion, strong applications </w:t>
      </w:r>
      <w:r w:rsidR="00A56A6E">
        <w:rPr>
          <w:rFonts w:asciiTheme="majorHAnsi" w:hAnsiTheme="majorHAnsi" w:cstheme="majorHAnsi"/>
          <w:szCs w:val="22"/>
        </w:rPr>
        <w:t>described</w:t>
      </w:r>
      <w:r w:rsidRPr="00170C2F">
        <w:rPr>
          <w:rFonts w:asciiTheme="majorHAnsi" w:hAnsiTheme="majorHAnsi" w:cstheme="majorHAnsi"/>
          <w:szCs w:val="22"/>
        </w:rPr>
        <w:t xml:space="preserve">: </w:t>
      </w:r>
    </w:p>
    <w:p w14:paraId="77E93D55" w14:textId="77777777" w:rsidR="00C23A23" w:rsidRPr="000C6943" w:rsidRDefault="005913D9" w:rsidP="000C6943">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the support services </w:t>
      </w:r>
      <w:r w:rsidR="00F77B57">
        <w:rPr>
          <w:rFonts w:asciiTheme="majorHAnsi" w:hAnsiTheme="majorHAnsi" w:cstheme="majorHAnsi"/>
          <w:szCs w:val="22"/>
        </w:rPr>
        <w:t>they</w:t>
      </w:r>
      <w:r w:rsidR="00F77B57" w:rsidRPr="00170C2F">
        <w:rPr>
          <w:rFonts w:asciiTheme="majorHAnsi" w:hAnsiTheme="majorHAnsi" w:cstheme="majorHAnsi"/>
          <w:szCs w:val="22"/>
        </w:rPr>
        <w:t xml:space="preserve"> </w:t>
      </w:r>
      <w:r w:rsidRPr="00170C2F">
        <w:rPr>
          <w:rFonts w:asciiTheme="majorHAnsi" w:hAnsiTheme="majorHAnsi" w:cstheme="majorHAnsi"/>
          <w:szCs w:val="22"/>
        </w:rPr>
        <w:t xml:space="preserve">will make available to scholarship students, including any specifically designed for those students, and how they will support scholarship students to achieve academic success and course completion </w:t>
      </w:r>
    </w:p>
    <w:p w14:paraId="49E2EF99" w14:textId="77777777" w:rsidR="00C23A23" w:rsidRPr="000C6943" w:rsidRDefault="005913D9" w:rsidP="000C6943">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how </w:t>
      </w:r>
      <w:r w:rsidR="00F77B57">
        <w:rPr>
          <w:rFonts w:asciiTheme="majorHAnsi" w:hAnsiTheme="majorHAnsi" w:cstheme="majorHAnsi"/>
          <w:szCs w:val="22"/>
        </w:rPr>
        <w:t>they</w:t>
      </w:r>
      <w:r w:rsidRPr="00170C2F">
        <w:rPr>
          <w:rFonts w:asciiTheme="majorHAnsi" w:hAnsiTheme="majorHAnsi" w:cstheme="majorHAnsi"/>
          <w:szCs w:val="22"/>
        </w:rPr>
        <w:t xml:space="preserve"> will encourage scholarship students to make use of support services </w:t>
      </w:r>
    </w:p>
    <w:p w14:paraId="220E9507" w14:textId="6A234D59" w:rsidR="00C23A23" w:rsidRPr="000C6943" w:rsidRDefault="005913D9" w:rsidP="000C6943">
      <w:pPr>
        <w:pStyle w:val="ListParagraph"/>
        <w:numPr>
          <w:ilvl w:val="0"/>
          <w:numId w:val="31"/>
        </w:numPr>
        <w:spacing w:before="120" w:after="120" w:line="276" w:lineRule="auto"/>
        <w:ind w:left="714" w:hanging="357"/>
        <w:rPr>
          <w:rFonts w:asciiTheme="majorHAnsi" w:hAnsiTheme="majorHAnsi" w:cstheme="majorHAnsi"/>
          <w:szCs w:val="22"/>
        </w:rPr>
      </w:pPr>
      <w:r w:rsidRPr="00170C2F">
        <w:rPr>
          <w:rFonts w:asciiTheme="majorHAnsi" w:hAnsiTheme="majorHAnsi" w:cstheme="majorHAnsi"/>
          <w:szCs w:val="22"/>
        </w:rPr>
        <w:t xml:space="preserve">how </w:t>
      </w:r>
      <w:r w:rsidR="00F77B57">
        <w:rPr>
          <w:rFonts w:asciiTheme="majorHAnsi" w:hAnsiTheme="majorHAnsi" w:cstheme="majorHAnsi"/>
          <w:szCs w:val="22"/>
        </w:rPr>
        <w:t>they</w:t>
      </w:r>
      <w:r w:rsidR="00F77B57" w:rsidRPr="00170C2F">
        <w:rPr>
          <w:rFonts w:asciiTheme="majorHAnsi" w:hAnsiTheme="majorHAnsi" w:cstheme="majorHAnsi"/>
          <w:szCs w:val="22"/>
        </w:rPr>
        <w:t xml:space="preserve"> </w:t>
      </w:r>
      <w:r w:rsidRPr="00170C2F">
        <w:rPr>
          <w:rFonts w:asciiTheme="majorHAnsi" w:hAnsiTheme="majorHAnsi" w:cstheme="majorHAnsi"/>
          <w:szCs w:val="22"/>
        </w:rPr>
        <w:t>facilitate engagement between scholarship stude</w:t>
      </w:r>
      <w:r w:rsidR="00C23A23" w:rsidRPr="00170C2F">
        <w:rPr>
          <w:rFonts w:asciiTheme="majorHAnsi" w:hAnsiTheme="majorHAnsi" w:cstheme="majorHAnsi"/>
          <w:szCs w:val="22"/>
        </w:rPr>
        <w:t xml:space="preserve">nts and </w:t>
      </w:r>
      <w:r w:rsidR="00EF4CA3">
        <w:rPr>
          <w:rFonts w:asciiTheme="majorHAnsi" w:hAnsiTheme="majorHAnsi" w:cstheme="majorHAnsi"/>
          <w:szCs w:val="22"/>
        </w:rPr>
        <w:t xml:space="preserve">their </w:t>
      </w:r>
      <w:r w:rsidR="00C23A23" w:rsidRPr="00170C2F">
        <w:rPr>
          <w:rFonts w:asciiTheme="majorHAnsi" w:hAnsiTheme="majorHAnsi" w:cstheme="majorHAnsi"/>
          <w:szCs w:val="22"/>
        </w:rPr>
        <w:t>regional community</w:t>
      </w:r>
    </w:p>
    <w:p w14:paraId="2477FC38" w14:textId="77777777" w:rsidR="005913D9" w:rsidRPr="00170C2F" w:rsidRDefault="005913D9" w:rsidP="000C6943">
      <w:pPr>
        <w:pStyle w:val="ListParagraph"/>
        <w:numPr>
          <w:ilvl w:val="0"/>
          <w:numId w:val="31"/>
        </w:numPr>
        <w:spacing w:before="120" w:after="120" w:line="276" w:lineRule="auto"/>
        <w:ind w:left="714" w:hanging="357"/>
        <w:rPr>
          <w:rFonts w:asciiTheme="majorHAnsi" w:hAnsiTheme="majorHAnsi" w:cstheme="majorHAnsi"/>
          <w:b/>
          <w:szCs w:val="22"/>
        </w:rPr>
      </w:pPr>
      <w:r w:rsidRPr="00170C2F">
        <w:rPr>
          <w:rFonts w:asciiTheme="majorHAnsi" w:hAnsiTheme="majorHAnsi" w:cstheme="majorHAnsi"/>
          <w:szCs w:val="22"/>
        </w:rPr>
        <w:t>the metrics use</w:t>
      </w:r>
      <w:r w:rsidR="00F77B57">
        <w:rPr>
          <w:rFonts w:asciiTheme="majorHAnsi" w:hAnsiTheme="majorHAnsi" w:cstheme="majorHAnsi"/>
          <w:szCs w:val="22"/>
        </w:rPr>
        <w:t>d</w:t>
      </w:r>
      <w:r w:rsidRPr="00170C2F">
        <w:rPr>
          <w:rFonts w:asciiTheme="majorHAnsi" w:hAnsiTheme="majorHAnsi" w:cstheme="majorHAnsi"/>
          <w:szCs w:val="22"/>
        </w:rPr>
        <w:t xml:space="preserve"> to substantiate </w:t>
      </w:r>
      <w:r w:rsidR="00F77B57">
        <w:rPr>
          <w:rFonts w:asciiTheme="majorHAnsi" w:hAnsiTheme="majorHAnsi" w:cstheme="majorHAnsi"/>
          <w:szCs w:val="22"/>
        </w:rPr>
        <w:t>their</w:t>
      </w:r>
      <w:r w:rsidR="00F77B57" w:rsidRPr="00170C2F">
        <w:rPr>
          <w:rFonts w:asciiTheme="majorHAnsi" w:hAnsiTheme="majorHAnsi" w:cstheme="majorHAnsi"/>
          <w:szCs w:val="22"/>
        </w:rPr>
        <w:t xml:space="preserve"> </w:t>
      </w:r>
      <w:r w:rsidRPr="00170C2F">
        <w:rPr>
          <w:rFonts w:asciiTheme="majorHAnsi" w:hAnsiTheme="majorHAnsi" w:cstheme="majorHAnsi"/>
          <w:szCs w:val="22"/>
        </w:rPr>
        <w:t>claims above.</w:t>
      </w:r>
    </w:p>
    <w:p w14:paraId="2A13BF8B" w14:textId="77777777" w:rsidR="00C23A23" w:rsidRPr="00170C2F" w:rsidRDefault="00C23A23" w:rsidP="00C23A23">
      <w:pPr>
        <w:pStyle w:val="ListParagraph"/>
        <w:spacing w:line="240" w:lineRule="auto"/>
        <w:jc w:val="both"/>
        <w:rPr>
          <w:rFonts w:asciiTheme="majorHAnsi" w:hAnsiTheme="majorHAnsi" w:cstheme="majorHAnsi"/>
          <w:b/>
          <w:szCs w:val="22"/>
        </w:rPr>
      </w:pPr>
    </w:p>
    <w:tbl>
      <w:tblPr>
        <w:tblStyle w:val="CGHTableBanded"/>
        <w:tblW w:w="0" w:type="auto"/>
        <w:tblLook w:val="04A0" w:firstRow="1" w:lastRow="0" w:firstColumn="1" w:lastColumn="0" w:noHBand="0" w:noVBand="1"/>
        <w:tblCaption w:val="Table showing information on the strengths on criterion 3"/>
      </w:tblPr>
      <w:tblGrid>
        <w:gridCol w:w="4817"/>
        <w:gridCol w:w="4821"/>
      </w:tblGrid>
      <w:tr w:rsidR="00F85F98" w:rsidRPr="00170C2F" w14:paraId="22ED69BA" w14:textId="77777777" w:rsidTr="00471E9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2A8111C" w14:textId="77777777" w:rsidR="00F85F98" w:rsidRPr="00170C2F" w:rsidRDefault="00F85F98"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Strength</w:t>
            </w:r>
          </w:p>
        </w:tc>
        <w:tc>
          <w:tcPr>
            <w:tcW w:w="4821" w:type="dxa"/>
            <w:vAlign w:val="center"/>
          </w:tcPr>
          <w:p w14:paraId="14A5424E" w14:textId="77777777" w:rsidR="00F85F98" w:rsidRPr="00170C2F" w:rsidRDefault="00170C2F"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Feedback</w:t>
            </w:r>
          </w:p>
        </w:tc>
      </w:tr>
      <w:tr w:rsidR="00E3435E" w:rsidRPr="00170C2F" w14:paraId="5BA60A86" w14:textId="77777777" w:rsidTr="00471E94">
        <w:trPr>
          <w:cnfStyle w:val="000000100000" w:firstRow="0" w:lastRow="0" w:firstColumn="0" w:lastColumn="0" w:oddVBand="0" w:evenVBand="0" w:oddHBand="1" w:evenHBand="0" w:firstRowFirstColumn="0" w:firstRowLastColumn="0" w:lastRowFirstColumn="0" w:lastRowLastColumn="0"/>
          <w:trHeight w:val="505"/>
        </w:trPr>
        <w:tc>
          <w:tcPr>
            <w:tcW w:w="4817" w:type="dxa"/>
          </w:tcPr>
          <w:p w14:paraId="08FDD1AD" w14:textId="77777777" w:rsidR="00C23A23" w:rsidRPr="00170C2F" w:rsidRDefault="00E3435E" w:rsidP="00714C32">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ap</w:t>
            </w:r>
            <w:r w:rsidR="00C23A23" w:rsidRPr="00170C2F">
              <w:rPr>
                <w:rFonts w:asciiTheme="majorHAnsi" w:eastAsia="Arial" w:hAnsiTheme="majorHAnsi" w:cstheme="majorHAnsi"/>
                <w:color w:val="auto"/>
                <w:szCs w:val="22"/>
              </w:rPr>
              <w:t xml:space="preserve">plications clearly </w:t>
            </w:r>
            <w:r w:rsidR="00714C32" w:rsidRPr="00170C2F">
              <w:rPr>
                <w:rFonts w:asciiTheme="majorHAnsi" w:eastAsia="Arial" w:hAnsiTheme="majorHAnsi" w:cstheme="majorHAnsi"/>
                <w:color w:val="auto"/>
                <w:szCs w:val="22"/>
              </w:rPr>
              <w:t>outlined</w:t>
            </w:r>
            <w:r w:rsidR="00C23A23" w:rsidRPr="00170C2F">
              <w:rPr>
                <w:rFonts w:asciiTheme="majorHAnsi" w:eastAsia="Arial" w:hAnsiTheme="majorHAnsi" w:cstheme="majorHAnsi"/>
                <w:color w:val="auto"/>
                <w:szCs w:val="22"/>
              </w:rPr>
              <w:t xml:space="preserve"> </w:t>
            </w:r>
            <w:r w:rsidRPr="00170C2F">
              <w:rPr>
                <w:rFonts w:asciiTheme="majorHAnsi" w:eastAsia="Arial" w:hAnsiTheme="majorHAnsi" w:cstheme="majorHAnsi"/>
                <w:color w:val="auto"/>
                <w:szCs w:val="22"/>
              </w:rPr>
              <w:t xml:space="preserve">the support services </w:t>
            </w:r>
            <w:r w:rsidR="00C23A23" w:rsidRPr="00170C2F">
              <w:rPr>
                <w:rFonts w:asciiTheme="majorHAnsi" w:eastAsia="Arial" w:hAnsiTheme="majorHAnsi" w:cstheme="majorHAnsi"/>
                <w:color w:val="auto"/>
                <w:szCs w:val="22"/>
              </w:rPr>
              <w:t>offered</w:t>
            </w:r>
            <w:r w:rsidR="00714C32" w:rsidRPr="00170C2F">
              <w:rPr>
                <w:rFonts w:asciiTheme="majorHAnsi" w:eastAsia="Arial" w:hAnsiTheme="majorHAnsi" w:cstheme="majorHAnsi"/>
                <w:color w:val="auto"/>
                <w:szCs w:val="22"/>
              </w:rPr>
              <w:t xml:space="preserve"> to scholarship students to achieve academic success and ensure course completion.</w:t>
            </w:r>
          </w:p>
          <w:p w14:paraId="0C6189CE" w14:textId="77777777" w:rsidR="00E3435E" w:rsidRPr="00170C2F" w:rsidRDefault="00714C32" w:rsidP="00714C32">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 xml:space="preserve">Strong applications clearly described </w:t>
            </w:r>
            <w:r w:rsidR="00E3435E" w:rsidRPr="00170C2F">
              <w:rPr>
                <w:rFonts w:asciiTheme="majorHAnsi" w:eastAsia="Arial" w:hAnsiTheme="majorHAnsi" w:cstheme="majorHAnsi"/>
                <w:color w:val="auto"/>
                <w:szCs w:val="22"/>
              </w:rPr>
              <w:t>how they will encourage scholarship students t</w:t>
            </w:r>
            <w:r w:rsidRPr="00170C2F">
              <w:rPr>
                <w:rFonts w:asciiTheme="majorHAnsi" w:eastAsia="Arial" w:hAnsiTheme="majorHAnsi" w:cstheme="majorHAnsi"/>
                <w:color w:val="auto"/>
                <w:szCs w:val="22"/>
              </w:rPr>
              <w:t>o make use of support services.</w:t>
            </w:r>
          </w:p>
          <w:p w14:paraId="14F060E8" w14:textId="77777777" w:rsidR="00E3435E" w:rsidRPr="00170C2F" w:rsidRDefault="00714C32" w:rsidP="00714C32">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applications</w:t>
            </w:r>
            <w:r w:rsidR="00275550" w:rsidRPr="00170C2F">
              <w:rPr>
                <w:rFonts w:asciiTheme="majorHAnsi" w:eastAsia="Arial" w:hAnsiTheme="majorHAnsi" w:cstheme="majorHAnsi"/>
                <w:color w:val="auto"/>
                <w:szCs w:val="22"/>
              </w:rPr>
              <w:t xml:space="preserve"> clearly</w:t>
            </w:r>
            <w:r w:rsidRPr="00170C2F">
              <w:rPr>
                <w:rFonts w:asciiTheme="majorHAnsi" w:eastAsia="Arial" w:hAnsiTheme="majorHAnsi" w:cstheme="majorHAnsi"/>
                <w:color w:val="auto"/>
                <w:szCs w:val="22"/>
              </w:rPr>
              <w:t xml:space="preserve"> demonstrated </w:t>
            </w:r>
            <w:r w:rsidR="00E3435E" w:rsidRPr="00170C2F">
              <w:rPr>
                <w:rFonts w:asciiTheme="majorHAnsi" w:eastAsia="Arial" w:hAnsiTheme="majorHAnsi" w:cstheme="majorHAnsi"/>
                <w:color w:val="auto"/>
                <w:szCs w:val="22"/>
              </w:rPr>
              <w:t xml:space="preserve">how they facilitate engagement between scholarship </w:t>
            </w:r>
            <w:r w:rsidRPr="00170C2F">
              <w:rPr>
                <w:rFonts w:asciiTheme="majorHAnsi" w:eastAsia="Arial" w:hAnsiTheme="majorHAnsi" w:cstheme="majorHAnsi"/>
                <w:color w:val="auto"/>
                <w:szCs w:val="22"/>
              </w:rPr>
              <w:t>students and regional community.</w:t>
            </w:r>
          </w:p>
          <w:p w14:paraId="64C2592E" w14:textId="77777777" w:rsidR="00E3435E" w:rsidRPr="00170C2F" w:rsidRDefault="00714C32" w:rsidP="00714C32">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 xml:space="preserve">Strong applications </w:t>
            </w:r>
            <w:r w:rsidR="00275550" w:rsidRPr="00170C2F">
              <w:rPr>
                <w:rFonts w:asciiTheme="majorHAnsi" w:eastAsia="Arial" w:hAnsiTheme="majorHAnsi" w:cstheme="majorHAnsi"/>
                <w:color w:val="auto"/>
                <w:szCs w:val="22"/>
              </w:rPr>
              <w:t>included</w:t>
            </w:r>
            <w:r w:rsidRPr="00170C2F">
              <w:rPr>
                <w:rFonts w:asciiTheme="majorHAnsi" w:eastAsia="Arial" w:hAnsiTheme="majorHAnsi" w:cstheme="majorHAnsi"/>
                <w:color w:val="auto"/>
                <w:szCs w:val="22"/>
              </w:rPr>
              <w:t xml:space="preserve"> relevant metrics to substantiate their claims.</w:t>
            </w:r>
          </w:p>
          <w:p w14:paraId="0EE41CB2" w14:textId="77777777" w:rsidR="00E3435E" w:rsidRPr="00170C2F" w:rsidRDefault="00E3435E" w:rsidP="00DF5C88">
            <w:pPr>
              <w:spacing w:before="120" w:after="120" w:line="240" w:lineRule="auto"/>
              <w:ind w:left="113" w:right="57"/>
              <w:rPr>
                <w:rFonts w:asciiTheme="majorHAnsi" w:eastAsia="Arial" w:hAnsiTheme="majorHAnsi" w:cstheme="majorHAnsi"/>
                <w:color w:val="auto"/>
                <w:szCs w:val="22"/>
              </w:rPr>
            </w:pPr>
          </w:p>
        </w:tc>
        <w:tc>
          <w:tcPr>
            <w:tcW w:w="4821" w:type="dxa"/>
          </w:tcPr>
          <w:p w14:paraId="602D8A1D" w14:textId="77777777" w:rsidR="00E3435E" w:rsidRPr="00170C2F" w:rsidRDefault="00E3435E" w:rsidP="00DF5C88">
            <w:pPr>
              <w:spacing w:before="120" w:line="240" w:lineRule="auto"/>
              <w:ind w:left="113"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responses clearly described:</w:t>
            </w:r>
          </w:p>
          <w:p w14:paraId="4E18763E" w14:textId="3C35B994" w:rsidR="00E3435E" w:rsidRPr="00170C2F" w:rsidRDefault="00EF4CA3"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h</w:t>
            </w:r>
            <w:r w:rsidR="00E3435E" w:rsidRPr="00170C2F">
              <w:rPr>
                <w:rFonts w:asciiTheme="majorHAnsi" w:hAnsiTheme="majorHAnsi" w:cstheme="majorHAnsi"/>
                <w:szCs w:val="22"/>
              </w:rPr>
              <w:t>ow the institution will ensure scholarship students will have access to adequate support services throughout the duration of their scholarship, including health and welfare services, career advice</w:t>
            </w:r>
            <w:r>
              <w:rPr>
                <w:rFonts w:asciiTheme="majorHAnsi" w:hAnsiTheme="majorHAnsi" w:cstheme="majorHAnsi"/>
                <w:szCs w:val="22"/>
              </w:rPr>
              <w:t xml:space="preserve"> and</w:t>
            </w:r>
            <w:r w:rsidR="00E3435E" w:rsidRPr="00170C2F">
              <w:rPr>
                <w:rFonts w:asciiTheme="majorHAnsi" w:hAnsiTheme="majorHAnsi" w:cstheme="majorHAnsi"/>
                <w:szCs w:val="22"/>
              </w:rPr>
              <w:t xml:space="preserve"> accommodation support</w:t>
            </w:r>
          </w:p>
          <w:p w14:paraId="1B7CFE18" w14:textId="1EC22DF8" w:rsidR="00E3435E" w:rsidRPr="00170C2F" w:rsidRDefault="00EF4CA3"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q</w:t>
            </w:r>
            <w:r w:rsidRPr="00170C2F">
              <w:rPr>
                <w:rFonts w:asciiTheme="majorHAnsi" w:hAnsiTheme="majorHAnsi" w:cstheme="majorHAnsi"/>
                <w:szCs w:val="22"/>
              </w:rPr>
              <w:t xml:space="preserve">uantifiable </w:t>
            </w:r>
            <w:r w:rsidR="00E3435E" w:rsidRPr="00170C2F">
              <w:rPr>
                <w:rFonts w:asciiTheme="majorHAnsi" w:hAnsiTheme="majorHAnsi" w:cstheme="majorHAnsi"/>
                <w:szCs w:val="22"/>
              </w:rPr>
              <w:t>evidence of how the institution has provided support services to international and domestic students in the past</w:t>
            </w:r>
          </w:p>
          <w:p w14:paraId="252CA2D5" w14:textId="31A62183" w:rsidR="00E3435E" w:rsidRPr="00170C2F" w:rsidRDefault="00D14042"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t</w:t>
            </w:r>
            <w:r w:rsidR="00E3435E" w:rsidRPr="00170C2F">
              <w:rPr>
                <w:rFonts w:asciiTheme="majorHAnsi" w:hAnsiTheme="majorHAnsi" w:cstheme="majorHAnsi"/>
                <w:szCs w:val="22"/>
              </w:rPr>
              <w:t xml:space="preserve">he results of internal and external surveys and comparative studies between institutions, which included current and previous provision of support services </w:t>
            </w:r>
          </w:p>
          <w:p w14:paraId="3C6F7D20" w14:textId="08AE2900" w:rsidR="00E3435E" w:rsidRPr="00170C2F" w:rsidRDefault="00D14042"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o</w:t>
            </w:r>
            <w:r w:rsidR="00E3435E" w:rsidRPr="00170C2F">
              <w:rPr>
                <w:rFonts w:asciiTheme="majorHAnsi" w:hAnsiTheme="majorHAnsi" w:cstheme="majorHAnsi"/>
                <w:szCs w:val="22"/>
              </w:rPr>
              <w:t>ther examples of the institution’s track record such as how it responded to student feedback by implementing improvements to services</w:t>
            </w:r>
          </w:p>
          <w:p w14:paraId="1C2013DD" w14:textId="467D6F46" w:rsidR="00E3435E" w:rsidRPr="00170C2F" w:rsidRDefault="00D14042"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c</w:t>
            </w:r>
            <w:r w:rsidRPr="00170C2F">
              <w:rPr>
                <w:rFonts w:asciiTheme="majorHAnsi" w:hAnsiTheme="majorHAnsi" w:cstheme="majorHAnsi"/>
                <w:szCs w:val="22"/>
              </w:rPr>
              <w:t xml:space="preserve">lear </w:t>
            </w:r>
            <w:r w:rsidR="00E3435E" w:rsidRPr="00170C2F">
              <w:rPr>
                <w:rFonts w:asciiTheme="majorHAnsi" w:hAnsiTheme="majorHAnsi" w:cstheme="majorHAnsi"/>
                <w:szCs w:val="22"/>
              </w:rPr>
              <w:t xml:space="preserve">access to the support services </w:t>
            </w:r>
            <w:r>
              <w:rPr>
                <w:rFonts w:asciiTheme="majorHAnsi" w:hAnsiTheme="majorHAnsi" w:cstheme="majorHAnsi"/>
                <w:szCs w:val="22"/>
              </w:rPr>
              <w:t>f</w:t>
            </w:r>
            <w:r w:rsidRPr="00170C2F">
              <w:rPr>
                <w:rFonts w:asciiTheme="majorHAnsi" w:hAnsiTheme="majorHAnsi" w:cstheme="majorHAnsi"/>
                <w:szCs w:val="22"/>
              </w:rPr>
              <w:t xml:space="preserve">or </w:t>
            </w:r>
            <w:r w:rsidR="00E3435E" w:rsidRPr="00170C2F">
              <w:rPr>
                <w:rFonts w:asciiTheme="majorHAnsi" w:hAnsiTheme="majorHAnsi" w:cstheme="majorHAnsi"/>
                <w:szCs w:val="22"/>
              </w:rPr>
              <w:t>example, a counsellor or accommodation officer as part of the welcoming team that are also available on an ongoing basis</w:t>
            </w:r>
          </w:p>
          <w:p w14:paraId="15A6B398" w14:textId="3421FADD" w:rsidR="00E3435E" w:rsidRPr="00170C2F" w:rsidRDefault="00D14042" w:rsidP="00E3435E">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h</w:t>
            </w:r>
            <w:r w:rsidRPr="00170C2F">
              <w:rPr>
                <w:rFonts w:asciiTheme="majorHAnsi" w:hAnsiTheme="majorHAnsi" w:cstheme="majorHAnsi"/>
                <w:szCs w:val="22"/>
              </w:rPr>
              <w:t xml:space="preserve">ow </w:t>
            </w:r>
            <w:r w:rsidR="00E3435E" w:rsidRPr="00170C2F">
              <w:rPr>
                <w:rFonts w:asciiTheme="majorHAnsi" w:hAnsiTheme="majorHAnsi" w:cstheme="majorHAnsi"/>
                <w:szCs w:val="22"/>
              </w:rPr>
              <w:t xml:space="preserve">Destination Australia </w:t>
            </w:r>
            <w:r w:rsidR="002C4D86">
              <w:rPr>
                <w:rFonts w:asciiTheme="majorHAnsi" w:hAnsiTheme="majorHAnsi" w:cstheme="majorHAnsi"/>
                <w:szCs w:val="22"/>
              </w:rPr>
              <w:t>s</w:t>
            </w:r>
            <w:r w:rsidR="002C4D86" w:rsidRPr="00170C2F">
              <w:rPr>
                <w:rFonts w:asciiTheme="majorHAnsi" w:hAnsiTheme="majorHAnsi" w:cstheme="majorHAnsi"/>
                <w:szCs w:val="22"/>
              </w:rPr>
              <w:t xml:space="preserve">cholarship </w:t>
            </w:r>
            <w:r w:rsidR="00E3435E" w:rsidRPr="00170C2F">
              <w:rPr>
                <w:rFonts w:asciiTheme="majorHAnsi" w:hAnsiTheme="majorHAnsi" w:cstheme="majorHAnsi"/>
                <w:szCs w:val="22"/>
              </w:rPr>
              <w:t>recipients would have access to support services over the life of the scholarship</w:t>
            </w:r>
          </w:p>
          <w:p w14:paraId="37448B70" w14:textId="665626D8" w:rsidR="00E3435E" w:rsidRPr="00170C2F" w:rsidRDefault="00714059" w:rsidP="00170C2F">
            <w:pPr>
              <w:pStyle w:val="ListParagraph"/>
              <w:numPr>
                <w:ilvl w:val="0"/>
                <w:numId w:val="25"/>
              </w:numPr>
              <w:spacing w:line="240" w:lineRule="auto"/>
              <w:rPr>
                <w:rFonts w:asciiTheme="majorHAnsi" w:hAnsiTheme="majorHAnsi" w:cstheme="majorHAnsi"/>
                <w:szCs w:val="22"/>
              </w:rPr>
            </w:pPr>
            <w:r>
              <w:rPr>
                <w:rFonts w:asciiTheme="majorHAnsi" w:hAnsiTheme="majorHAnsi" w:cstheme="majorHAnsi"/>
                <w:szCs w:val="22"/>
              </w:rPr>
              <w:t>t</w:t>
            </w:r>
            <w:r w:rsidR="00E3435E" w:rsidRPr="00170C2F">
              <w:rPr>
                <w:rFonts w:asciiTheme="majorHAnsi" w:hAnsiTheme="majorHAnsi" w:cstheme="majorHAnsi"/>
                <w:szCs w:val="22"/>
              </w:rPr>
              <w:t>he range of health of services available and the demonstration of how the applicant would ensure they continue to be accessible.</w:t>
            </w:r>
          </w:p>
        </w:tc>
      </w:tr>
    </w:tbl>
    <w:p w14:paraId="0BEE916C" w14:textId="77777777" w:rsidR="00FA1F45" w:rsidRPr="00170C2F" w:rsidRDefault="00FA1F45" w:rsidP="00FA1F45">
      <w:pPr>
        <w:spacing w:line="240" w:lineRule="auto"/>
        <w:rPr>
          <w:rFonts w:asciiTheme="majorHAnsi" w:hAnsiTheme="majorHAnsi" w:cstheme="majorHAnsi"/>
          <w:szCs w:val="22"/>
        </w:rPr>
      </w:pPr>
    </w:p>
    <w:p w14:paraId="5A4D8E6F" w14:textId="77777777" w:rsidR="00F85F98" w:rsidRPr="00170C2F" w:rsidRDefault="00F85F98" w:rsidP="00F85F98">
      <w:pPr>
        <w:pStyle w:val="Heading2"/>
        <w:spacing w:before="0"/>
        <w:rPr>
          <w:rFonts w:cstheme="majorHAnsi"/>
          <w:sz w:val="22"/>
          <w:szCs w:val="22"/>
        </w:rPr>
      </w:pPr>
      <w:r w:rsidRPr="00170C2F">
        <w:rPr>
          <w:rFonts w:cstheme="majorHAnsi"/>
          <w:sz w:val="22"/>
          <w:szCs w:val="22"/>
        </w:rPr>
        <w:lastRenderedPageBreak/>
        <w:t>Criterion 4</w:t>
      </w:r>
    </w:p>
    <w:p w14:paraId="6C5E2CFC" w14:textId="77777777" w:rsidR="00580C8E" w:rsidRPr="00170C2F" w:rsidRDefault="00580C8E" w:rsidP="00580C8E">
      <w:pPr>
        <w:rPr>
          <w:rFonts w:asciiTheme="majorHAnsi" w:hAnsiTheme="majorHAnsi" w:cstheme="majorHAnsi"/>
          <w:b/>
          <w:szCs w:val="22"/>
        </w:rPr>
      </w:pPr>
      <w:r w:rsidRPr="00170C2F">
        <w:rPr>
          <w:rFonts w:asciiTheme="majorHAnsi" w:hAnsiTheme="majorHAnsi" w:cstheme="majorHAnsi"/>
          <w:b/>
          <w:szCs w:val="22"/>
        </w:rPr>
        <w:t xml:space="preserve">Describe how you will administer scholarships and how you will promote the Destination Australia scholarship opportunity to prospective students. </w:t>
      </w:r>
    </w:p>
    <w:p w14:paraId="73F0B8A1" w14:textId="77777777" w:rsidR="00275550" w:rsidRPr="00170C2F" w:rsidRDefault="00275550" w:rsidP="00580C8E">
      <w:pPr>
        <w:rPr>
          <w:rFonts w:asciiTheme="majorHAnsi" w:hAnsiTheme="majorHAnsi" w:cstheme="majorHAnsi"/>
          <w:b/>
          <w:szCs w:val="22"/>
        </w:rPr>
      </w:pPr>
    </w:p>
    <w:p w14:paraId="74E7E6B4" w14:textId="77777777" w:rsidR="00275550" w:rsidRPr="00170C2F" w:rsidRDefault="00275550" w:rsidP="00580C8E">
      <w:pPr>
        <w:rPr>
          <w:rFonts w:asciiTheme="majorHAnsi" w:hAnsiTheme="majorHAnsi" w:cstheme="majorHAnsi"/>
          <w:szCs w:val="22"/>
        </w:rPr>
      </w:pPr>
      <w:r w:rsidRPr="00170C2F">
        <w:rPr>
          <w:rFonts w:asciiTheme="majorHAnsi" w:hAnsiTheme="majorHAnsi" w:cstheme="majorHAnsi"/>
          <w:szCs w:val="22"/>
        </w:rPr>
        <w:t xml:space="preserve">When addressing the criterion, strong applications </w:t>
      </w:r>
      <w:r w:rsidR="00A56A6E">
        <w:rPr>
          <w:rFonts w:asciiTheme="majorHAnsi" w:hAnsiTheme="majorHAnsi" w:cstheme="majorHAnsi"/>
          <w:szCs w:val="22"/>
        </w:rPr>
        <w:t>described</w:t>
      </w:r>
      <w:r w:rsidRPr="00170C2F">
        <w:rPr>
          <w:rFonts w:asciiTheme="majorHAnsi" w:hAnsiTheme="majorHAnsi" w:cstheme="majorHAnsi"/>
          <w:szCs w:val="22"/>
        </w:rPr>
        <w:t xml:space="preserve">: </w:t>
      </w:r>
    </w:p>
    <w:p w14:paraId="7F8A8F15" w14:textId="77777777" w:rsidR="00275550" w:rsidRPr="00170C2F" w:rsidRDefault="00275550" w:rsidP="00275550">
      <w:pPr>
        <w:pStyle w:val="ListParagraph"/>
        <w:numPr>
          <w:ilvl w:val="0"/>
          <w:numId w:val="30"/>
        </w:numPr>
        <w:rPr>
          <w:rFonts w:asciiTheme="majorHAnsi" w:hAnsiTheme="majorHAnsi" w:cstheme="majorHAnsi"/>
          <w:b/>
          <w:szCs w:val="22"/>
        </w:rPr>
      </w:pPr>
      <w:r w:rsidRPr="00170C2F">
        <w:rPr>
          <w:rFonts w:asciiTheme="majorHAnsi" w:hAnsiTheme="majorHAnsi" w:cstheme="majorHAnsi"/>
          <w:szCs w:val="22"/>
        </w:rPr>
        <w:t xml:space="preserve">processes for effectively managing scholarships, including how </w:t>
      </w:r>
      <w:r w:rsidR="00F77B57">
        <w:rPr>
          <w:rFonts w:asciiTheme="majorHAnsi" w:hAnsiTheme="majorHAnsi" w:cstheme="majorHAnsi"/>
          <w:szCs w:val="22"/>
        </w:rPr>
        <w:t>they</w:t>
      </w:r>
      <w:r w:rsidR="00F77B57" w:rsidRPr="00170C2F">
        <w:rPr>
          <w:rFonts w:asciiTheme="majorHAnsi" w:hAnsiTheme="majorHAnsi" w:cstheme="majorHAnsi"/>
          <w:szCs w:val="22"/>
        </w:rPr>
        <w:t xml:space="preserve"> </w:t>
      </w:r>
      <w:r w:rsidRPr="00170C2F">
        <w:rPr>
          <w:rFonts w:asciiTheme="majorHAnsi" w:hAnsiTheme="majorHAnsi" w:cstheme="majorHAnsi"/>
          <w:szCs w:val="22"/>
        </w:rPr>
        <w:t xml:space="preserve">will ensure scholarship students continue to meet the eligibility requirements </w:t>
      </w:r>
    </w:p>
    <w:p w14:paraId="01A01709" w14:textId="77777777" w:rsidR="00275550" w:rsidRPr="00170C2F" w:rsidRDefault="00275550" w:rsidP="00275550">
      <w:pPr>
        <w:pStyle w:val="ListParagraph"/>
        <w:numPr>
          <w:ilvl w:val="0"/>
          <w:numId w:val="30"/>
        </w:numPr>
        <w:rPr>
          <w:rFonts w:asciiTheme="majorHAnsi" w:hAnsiTheme="majorHAnsi" w:cstheme="majorHAnsi"/>
          <w:b/>
          <w:szCs w:val="22"/>
        </w:rPr>
      </w:pPr>
      <w:r w:rsidRPr="00170C2F">
        <w:rPr>
          <w:rFonts w:asciiTheme="majorHAnsi" w:hAnsiTheme="majorHAnsi" w:cstheme="majorHAnsi"/>
          <w:szCs w:val="22"/>
        </w:rPr>
        <w:t xml:space="preserve">processes for ensuring that all reporting requirements in section 12.2 for this grant opportunity will be met in accordance with legislative requirements (such as privacy) </w:t>
      </w:r>
    </w:p>
    <w:p w14:paraId="75A0783A" w14:textId="77777777" w:rsidR="00275550" w:rsidRPr="00170C2F" w:rsidRDefault="00275550" w:rsidP="00275550">
      <w:pPr>
        <w:pStyle w:val="ListParagraph"/>
        <w:numPr>
          <w:ilvl w:val="0"/>
          <w:numId w:val="30"/>
        </w:numPr>
        <w:rPr>
          <w:rFonts w:asciiTheme="majorHAnsi" w:hAnsiTheme="majorHAnsi" w:cstheme="majorHAnsi"/>
          <w:b/>
          <w:szCs w:val="22"/>
        </w:rPr>
      </w:pPr>
      <w:r w:rsidRPr="00170C2F">
        <w:rPr>
          <w:rFonts w:asciiTheme="majorHAnsi" w:hAnsiTheme="majorHAnsi" w:cstheme="majorHAnsi"/>
          <w:szCs w:val="22"/>
        </w:rPr>
        <w:t xml:space="preserve">how </w:t>
      </w:r>
      <w:r w:rsidR="00F77B57">
        <w:rPr>
          <w:rFonts w:asciiTheme="majorHAnsi" w:hAnsiTheme="majorHAnsi" w:cstheme="majorHAnsi"/>
          <w:szCs w:val="22"/>
        </w:rPr>
        <w:t>they</w:t>
      </w:r>
      <w:r w:rsidR="00F77B57" w:rsidRPr="00170C2F">
        <w:rPr>
          <w:rFonts w:asciiTheme="majorHAnsi" w:hAnsiTheme="majorHAnsi" w:cstheme="majorHAnsi"/>
          <w:szCs w:val="22"/>
        </w:rPr>
        <w:t xml:space="preserve"> </w:t>
      </w:r>
      <w:r w:rsidRPr="00170C2F">
        <w:rPr>
          <w:rFonts w:asciiTheme="majorHAnsi" w:hAnsiTheme="majorHAnsi" w:cstheme="majorHAnsi"/>
          <w:szCs w:val="22"/>
        </w:rPr>
        <w:t xml:space="preserve">will promote the Destination Australia scholarship opportunity to domestic students and to international students </w:t>
      </w:r>
    </w:p>
    <w:p w14:paraId="28313F9C" w14:textId="77777777" w:rsidR="00275550" w:rsidRPr="00170C2F" w:rsidRDefault="00275550" w:rsidP="00275550">
      <w:pPr>
        <w:pStyle w:val="ListParagraph"/>
        <w:numPr>
          <w:ilvl w:val="0"/>
          <w:numId w:val="30"/>
        </w:numPr>
        <w:rPr>
          <w:rFonts w:asciiTheme="majorHAnsi" w:hAnsiTheme="majorHAnsi" w:cstheme="majorHAnsi"/>
          <w:b/>
          <w:szCs w:val="22"/>
        </w:rPr>
      </w:pPr>
      <w:r w:rsidRPr="00170C2F">
        <w:rPr>
          <w:rFonts w:asciiTheme="majorHAnsi" w:hAnsiTheme="majorHAnsi" w:cstheme="majorHAnsi"/>
          <w:szCs w:val="22"/>
        </w:rPr>
        <w:t xml:space="preserve">how </w:t>
      </w:r>
      <w:r w:rsidR="00D31F12">
        <w:rPr>
          <w:rFonts w:asciiTheme="majorHAnsi" w:hAnsiTheme="majorHAnsi" w:cstheme="majorHAnsi"/>
          <w:szCs w:val="22"/>
        </w:rPr>
        <w:t>their</w:t>
      </w:r>
      <w:r w:rsidR="00D31F12" w:rsidRPr="00170C2F">
        <w:rPr>
          <w:rFonts w:asciiTheme="majorHAnsi" w:hAnsiTheme="majorHAnsi" w:cstheme="majorHAnsi"/>
          <w:szCs w:val="22"/>
        </w:rPr>
        <w:t xml:space="preserve"> </w:t>
      </w:r>
      <w:r w:rsidRPr="00170C2F">
        <w:rPr>
          <w:rFonts w:asciiTheme="majorHAnsi" w:hAnsiTheme="majorHAnsi" w:cstheme="majorHAnsi"/>
          <w:szCs w:val="22"/>
        </w:rPr>
        <w:t xml:space="preserve">promotion will include the benefits of studying, living and working in regional Australia, with specific reference to your regional campus </w:t>
      </w:r>
    </w:p>
    <w:p w14:paraId="04621054" w14:textId="77777777" w:rsidR="00275550" w:rsidRPr="00170C2F" w:rsidRDefault="00275550" w:rsidP="00275550">
      <w:pPr>
        <w:pStyle w:val="ListParagraph"/>
        <w:numPr>
          <w:ilvl w:val="0"/>
          <w:numId w:val="30"/>
        </w:numPr>
        <w:rPr>
          <w:rFonts w:asciiTheme="majorHAnsi" w:hAnsiTheme="majorHAnsi" w:cstheme="majorHAnsi"/>
          <w:b/>
          <w:szCs w:val="22"/>
        </w:rPr>
      </w:pPr>
      <w:r w:rsidRPr="00170C2F">
        <w:rPr>
          <w:rFonts w:asciiTheme="majorHAnsi" w:hAnsiTheme="majorHAnsi" w:cstheme="majorHAnsi"/>
          <w:szCs w:val="22"/>
        </w:rPr>
        <w:t xml:space="preserve">how </w:t>
      </w:r>
      <w:r w:rsidR="00D31F12">
        <w:rPr>
          <w:rFonts w:asciiTheme="majorHAnsi" w:hAnsiTheme="majorHAnsi" w:cstheme="majorHAnsi"/>
          <w:szCs w:val="22"/>
        </w:rPr>
        <w:t>they</w:t>
      </w:r>
      <w:r w:rsidR="00D31F12" w:rsidRPr="00170C2F">
        <w:rPr>
          <w:rFonts w:asciiTheme="majorHAnsi" w:hAnsiTheme="majorHAnsi" w:cstheme="majorHAnsi"/>
          <w:szCs w:val="22"/>
        </w:rPr>
        <w:t xml:space="preserve"> </w:t>
      </w:r>
      <w:r w:rsidRPr="00170C2F">
        <w:rPr>
          <w:rFonts w:asciiTheme="majorHAnsi" w:hAnsiTheme="majorHAnsi" w:cstheme="majorHAnsi"/>
          <w:szCs w:val="22"/>
        </w:rPr>
        <w:t>will measure the effectiveness of promotional activities.</w:t>
      </w:r>
    </w:p>
    <w:p w14:paraId="41191306" w14:textId="77777777" w:rsidR="00580C8E" w:rsidRPr="00170C2F" w:rsidRDefault="00580C8E" w:rsidP="00580C8E">
      <w:pPr>
        <w:rPr>
          <w:rFonts w:asciiTheme="majorHAnsi" w:hAnsiTheme="majorHAnsi" w:cstheme="majorHAnsi"/>
          <w:b/>
          <w:szCs w:val="22"/>
        </w:rPr>
      </w:pPr>
    </w:p>
    <w:tbl>
      <w:tblPr>
        <w:tblStyle w:val="CGHTableBanded"/>
        <w:tblW w:w="0" w:type="auto"/>
        <w:tblLook w:val="04A0" w:firstRow="1" w:lastRow="0" w:firstColumn="1" w:lastColumn="0" w:noHBand="0" w:noVBand="1"/>
        <w:tblCaption w:val="Table showing information on the strengths on criterion 4"/>
      </w:tblPr>
      <w:tblGrid>
        <w:gridCol w:w="4817"/>
        <w:gridCol w:w="4821"/>
      </w:tblGrid>
      <w:tr w:rsidR="00F85F98" w:rsidRPr="00170C2F" w14:paraId="599A0AB4" w14:textId="77777777" w:rsidTr="00471E9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9FBA2F8" w14:textId="77777777" w:rsidR="00F85F98" w:rsidRPr="00170C2F" w:rsidRDefault="00F85F98"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Strength</w:t>
            </w:r>
          </w:p>
        </w:tc>
        <w:tc>
          <w:tcPr>
            <w:tcW w:w="4821" w:type="dxa"/>
            <w:vAlign w:val="center"/>
          </w:tcPr>
          <w:p w14:paraId="45A80379" w14:textId="77777777" w:rsidR="00F85F98" w:rsidRPr="00170C2F" w:rsidRDefault="00170C2F" w:rsidP="00DF5C88">
            <w:pPr>
              <w:spacing w:line="240" w:lineRule="auto"/>
              <w:ind w:left="57" w:right="57"/>
              <w:rPr>
                <w:rFonts w:asciiTheme="majorHAnsi" w:hAnsiTheme="majorHAnsi" w:cstheme="majorHAnsi"/>
                <w:b/>
                <w:szCs w:val="22"/>
              </w:rPr>
            </w:pPr>
            <w:r w:rsidRPr="00170C2F">
              <w:rPr>
                <w:rFonts w:asciiTheme="majorHAnsi" w:hAnsiTheme="majorHAnsi" w:cstheme="majorHAnsi"/>
                <w:b/>
                <w:szCs w:val="22"/>
              </w:rPr>
              <w:t>Feedback</w:t>
            </w:r>
          </w:p>
        </w:tc>
      </w:tr>
      <w:tr w:rsidR="00580C8E" w:rsidRPr="00170C2F" w14:paraId="7A215876" w14:textId="77777777" w:rsidTr="00793BBB">
        <w:trPr>
          <w:cnfStyle w:val="000000100000" w:firstRow="0" w:lastRow="0" w:firstColumn="0" w:lastColumn="0" w:oddVBand="0" w:evenVBand="0" w:oddHBand="1" w:evenHBand="0" w:firstRowFirstColumn="0" w:firstRowLastColumn="0" w:lastRowFirstColumn="0" w:lastRowLastColumn="0"/>
          <w:trHeight w:val="54"/>
        </w:trPr>
        <w:tc>
          <w:tcPr>
            <w:tcW w:w="4817" w:type="dxa"/>
          </w:tcPr>
          <w:p w14:paraId="05997BC1" w14:textId="77777777" w:rsidR="00580C8E" w:rsidRPr="00170C2F" w:rsidRDefault="00580C8E" w:rsidP="00275550">
            <w:pPr>
              <w:spacing w:before="120" w:after="120" w:line="240" w:lineRule="auto"/>
              <w:ind w:right="57"/>
              <w:rPr>
                <w:rFonts w:asciiTheme="majorHAnsi" w:eastAsia="Arial" w:hAnsiTheme="majorHAnsi" w:cstheme="majorHAnsi"/>
                <w:color w:val="auto"/>
                <w:szCs w:val="22"/>
                <w:highlight w:val="yellow"/>
              </w:rPr>
            </w:pPr>
            <w:r w:rsidRPr="00170C2F">
              <w:rPr>
                <w:rFonts w:asciiTheme="majorHAnsi" w:eastAsia="Arial" w:hAnsiTheme="majorHAnsi" w:cstheme="majorHAnsi"/>
                <w:color w:val="auto"/>
                <w:szCs w:val="22"/>
              </w:rPr>
              <w:t>Strong ap</w:t>
            </w:r>
            <w:r w:rsidR="00275550" w:rsidRPr="00170C2F">
              <w:rPr>
                <w:rFonts w:asciiTheme="majorHAnsi" w:eastAsia="Arial" w:hAnsiTheme="majorHAnsi" w:cstheme="majorHAnsi"/>
                <w:color w:val="auto"/>
                <w:szCs w:val="22"/>
              </w:rPr>
              <w:t xml:space="preserve">plications clearly demonstrated the </w:t>
            </w:r>
            <w:r w:rsidRPr="00170C2F">
              <w:rPr>
                <w:rFonts w:asciiTheme="majorHAnsi" w:eastAsia="Arial" w:hAnsiTheme="majorHAnsi" w:cstheme="majorHAnsi"/>
                <w:color w:val="auto"/>
                <w:szCs w:val="22"/>
              </w:rPr>
              <w:t>processes for effectively managing scholarships, including how they will ensure scholarship students continue to meet the eligibility requirements</w:t>
            </w:r>
            <w:r w:rsidR="00275550" w:rsidRPr="00170C2F">
              <w:rPr>
                <w:rFonts w:asciiTheme="majorHAnsi" w:eastAsia="Arial" w:hAnsiTheme="majorHAnsi" w:cstheme="majorHAnsi"/>
                <w:color w:val="auto"/>
                <w:szCs w:val="22"/>
              </w:rPr>
              <w:t>.</w:t>
            </w:r>
          </w:p>
          <w:p w14:paraId="6C2D3EDA" w14:textId="7A927A2A" w:rsidR="00580C8E" w:rsidRPr="00170C2F" w:rsidRDefault="00275550" w:rsidP="00275550">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 xml:space="preserve">Strong applications clearly described </w:t>
            </w:r>
            <w:r w:rsidR="00793BBB" w:rsidRPr="00170C2F">
              <w:rPr>
                <w:rFonts w:asciiTheme="majorHAnsi" w:eastAsia="Arial" w:hAnsiTheme="majorHAnsi" w:cstheme="majorHAnsi"/>
                <w:color w:val="auto"/>
                <w:szCs w:val="22"/>
              </w:rPr>
              <w:t>the processes</w:t>
            </w:r>
            <w:r w:rsidR="00580C8E" w:rsidRPr="00170C2F">
              <w:rPr>
                <w:rFonts w:asciiTheme="majorHAnsi" w:eastAsia="Arial" w:hAnsiTheme="majorHAnsi" w:cstheme="majorHAnsi"/>
                <w:color w:val="auto"/>
                <w:szCs w:val="22"/>
              </w:rPr>
              <w:t xml:space="preserve"> for ensuring all reporting requirements in section 12.2 </w:t>
            </w:r>
            <w:r w:rsidRPr="00170C2F">
              <w:rPr>
                <w:rFonts w:asciiTheme="majorHAnsi" w:eastAsia="Arial" w:hAnsiTheme="majorHAnsi" w:cstheme="majorHAnsi"/>
                <w:color w:val="auto"/>
                <w:szCs w:val="22"/>
              </w:rPr>
              <w:t xml:space="preserve">of the </w:t>
            </w:r>
            <w:r w:rsidR="002C4D86">
              <w:rPr>
                <w:rFonts w:asciiTheme="majorHAnsi" w:eastAsia="Arial" w:hAnsiTheme="majorHAnsi" w:cstheme="majorHAnsi"/>
                <w:color w:val="auto"/>
                <w:szCs w:val="22"/>
              </w:rPr>
              <w:t>g</w:t>
            </w:r>
            <w:r w:rsidR="002C4D86" w:rsidRPr="00170C2F">
              <w:rPr>
                <w:rFonts w:asciiTheme="majorHAnsi" w:eastAsia="Arial" w:hAnsiTheme="majorHAnsi" w:cstheme="majorHAnsi"/>
                <w:color w:val="auto"/>
                <w:szCs w:val="22"/>
              </w:rPr>
              <w:t xml:space="preserve">uidelines </w:t>
            </w:r>
            <w:r w:rsidR="00580C8E" w:rsidRPr="00170C2F">
              <w:rPr>
                <w:rFonts w:asciiTheme="majorHAnsi" w:eastAsia="Arial" w:hAnsiTheme="majorHAnsi" w:cstheme="majorHAnsi"/>
                <w:color w:val="auto"/>
                <w:szCs w:val="22"/>
              </w:rPr>
              <w:t>will be met in accordance with legislative</w:t>
            </w:r>
            <w:r w:rsidRPr="00170C2F">
              <w:rPr>
                <w:rFonts w:asciiTheme="majorHAnsi" w:eastAsia="Arial" w:hAnsiTheme="majorHAnsi" w:cstheme="majorHAnsi"/>
                <w:color w:val="auto"/>
                <w:szCs w:val="22"/>
              </w:rPr>
              <w:t xml:space="preserve"> requirements (such as privacy).</w:t>
            </w:r>
          </w:p>
          <w:p w14:paraId="1ED123B0" w14:textId="77777777" w:rsidR="00580C8E" w:rsidRPr="00170C2F" w:rsidRDefault="00275550" w:rsidP="00275550">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 xml:space="preserve">Strong applications clearly described </w:t>
            </w:r>
            <w:r w:rsidR="00580C8E" w:rsidRPr="00170C2F">
              <w:rPr>
                <w:rFonts w:asciiTheme="majorHAnsi" w:eastAsia="Arial" w:hAnsiTheme="majorHAnsi" w:cstheme="majorHAnsi"/>
                <w:color w:val="auto"/>
                <w:szCs w:val="22"/>
              </w:rPr>
              <w:t>how they will promote the Destination Australia scholarship opportunity to domestic students and to international students</w:t>
            </w:r>
            <w:r w:rsidRPr="00170C2F">
              <w:rPr>
                <w:rFonts w:asciiTheme="majorHAnsi" w:eastAsia="Arial" w:hAnsiTheme="majorHAnsi" w:cstheme="majorHAnsi"/>
                <w:color w:val="auto"/>
                <w:szCs w:val="22"/>
              </w:rPr>
              <w:t>.</w:t>
            </w:r>
            <w:r w:rsidR="00580C8E" w:rsidRPr="00170C2F">
              <w:rPr>
                <w:rFonts w:asciiTheme="majorHAnsi" w:eastAsia="Arial" w:hAnsiTheme="majorHAnsi" w:cstheme="majorHAnsi"/>
                <w:color w:val="auto"/>
                <w:szCs w:val="22"/>
              </w:rPr>
              <w:t xml:space="preserve"> </w:t>
            </w:r>
          </w:p>
          <w:p w14:paraId="5852DF64" w14:textId="251BD713" w:rsidR="00580C8E" w:rsidRPr="00170C2F" w:rsidRDefault="00275550" w:rsidP="00275550">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applications clearly describe</w:t>
            </w:r>
            <w:r w:rsidR="00714059">
              <w:rPr>
                <w:rFonts w:asciiTheme="majorHAnsi" w:eastAsia="Arial" w:hAnsiTheme="majorHAnsi" w:cstheme="majorHAnsi"/>
                <w:color w:val="auto"/>
                <w:szCs w:val="22"/>
              </w:rPr>
              <w:t>d</w:t>
            </w:r>
            <w:r w:rsidRPr="00170C2F">
              <w:rPr>
                <w:rFonts w:asciiTheme="majorHAnsi" w:eastAsia="Arial" w:hAnsiTheme="majorHAnsi" w:cstheme="majorHAnsi"/>
                <w:color w:val="auto"/>
                <w:szCs w:val="22"/>
              </w:rPr>
              <w:t xml:space="preserve"> </w:t>
            </w:r>
            <w:r w:rsidR="00580C8E" w:rsidRPr="00170C2F">
              <w:rPr>
                <w:rFonts w:asciiTheme="majorHAnsi" w:eastAsia="Arial" w:hAnsiTheme="majorHAnsi" w:cstheme="majorHAnsi"/>
                <w:color w:val="auto"/>
                <w:szCs w:val="22"/>
              </w:rPr>
              <w:t>how their promotion will include the benefits of studying, living and working in regional Australia, with specific reference to regional campuses</w:t>
            </w:r>
            <w:r w:rsidRPr="00170C2F">
              <w:rPr>
                <w:rFonts w:asciiTheme="majorHAnsi" w:eastAsia="Arial" w:hAnsiTheme="majorHAnsi" w:cstheme="majorHAnsi"/>
                <w:color w:val="auto"/>
                <w:szCs w:val="22"/>
              </w:rPr>
              <w:t>.</w:t>
            </w:r>
          </w:p>
          <w:p w14:paraId="7E50F1F7" w14:textId="77777777" w:rsidR="00580C8E" w:rsidRPr="00170C2F" w:rsidRDefault="00275550" w:rsidP="00275550">
            <w:pPr>
              <w:spacing w:before="120" w:after="120" w:line="240" w:lineRule="auto"/>
              <w:ind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applications identified clearly h</w:t>
            </w:r>
            <w:r w:rsidR="00580C8E" w:rsidRPr="00170C2F">
              <w:rPr>
                <w:rFonts w:asciiTheme="majorHAnsi" w:eastAsia="Arial" w:hAnsiTheme="majorHAnsi" w:cstheme="majorHAnsi"/>
                <w:color w:val="auto"/>
                <w:szCs w:val="22"/>
              </w:rPr>
              <w:t xml:space="preserve">ow they will measure the effectiveness of promotional activities. </w:t>
            </w:r>
          </w:p>
          <w:p w14:paraId="025F8D7D" w14:textId="77777777" w:rsidR="00580C8E" w:rsidRPr="00170C2F" w:rsidRDefault="00580C8E" w:rsidP="00DF5C88">
            <w:pPr>
              <w:spacing w:before="120" w:after="120" w:line="240" w:lineRule="auto"/>
              <w:ind w:left="113" w:right="57"/>
              <w:rPr>
                <w:rFonts w:asciiTheme="majorHAnsi" w:eastAsia="Arial" w:hAnsiTheme="majorHAnsi" w:cstheme="majorHAnsi"/>
                <w:color w:val="auto"/>
                <w:szCs w:val="22"/>
              </w:rPr>
            </w:pPr>
          </w:p>
        </w:tc>
        <w:tc>
          <w:tcPr>
            <w:tcW w:w="4821" w:type="dxa"/>
          </w:tcPr>
          <w:p w14:paraId="26C3B886" w14:textId="77777777" w:rsidR="00580C8E" w:rsidRPr="00170C2F" w:rsidRDefault="00580C8E" w:rsidP="00DF5C88">
            <w:pPr>
              <w:spacing w:before="120" w:line="240" w:lineRule="auto"/>
              <w:ind w:left="113" w:right="57"/>
              <w:rPr>
                <w:rFonts w:asciiTheme="majorHAnsi" w:eastAsia="Arial" w:hAnsiTheme="majorHAnsi" w:cstheme="majorHAnsi"/>
                <w:color w:val="auto"/>
                <w:szCs w:val="22"/>
              </w:rPr>
            </w:pPr>
            <w:r w:rsidRPr="00170C2F">
              <w:rPr>
                <w:rFonts w:asciiTheme="majorHAnsi" w:eastAsia="Arial" w:hAnsiTheme="majorHAnsi" w:cstheme="majorHAnsi"/>
                <w:color w:val="auto"/>
                <w:szCs w:val="22"/>
              </w:rPr>
              <w:t>Strong responses clearly described:</w:t>
            </w:r>
          </w:p>
          <w:p w14:paraId="3D8AA46E" w14:textId="355C495B"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p</w:t>
            </w:r>
            <w:r w:rsidR="00580C8E" w:rsidRPr="00170C2F">
              <w:rPr>
                <w:rFonts w:asciiTheme="majorHAnsi" w:hAnsiTheme="majorHAnsi" w:cstheme="majorHAnsi"/>
                <w:sz w:val="22"/>
                <w:szCs w:val="22"/>
              </w:rPr>
              <w:t xml:space="preserve">rocesses for how the institution will promote the scholarships in line with the funding agreement </w:t>
            </w:r>
          </w:p>
          <w:p w14:paraId="0AD2DFD7" w14:textId="604E8933"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t</w:t>
            </w:r>
            <w:r w:rsidRPr="00170C2F">
              <w:rPr>
                <w:rFonts w:asciiTheme="majorHAnsi" w:hAnsiTheme="majorHAnsi" w:cstheme="majorHAnsi"/>
                <w:sz w:val="22"/>
                <w:szCs w:val="22"/>
              </w:rPr>
              <w:t xml:space="preserve">he </w:t>
            </w:r>
            <w:r w:rsidR="00580C8E" w:rsidRPr="00170C2F">
              <w:rPr>
                <w:rFonts w:asciiTheme="majorHAnsi" w:hAnsiTheme="majorHAnsi" w:cstheme="majorHAnsi"/>
                <w:sz w:val="22"/>
                <w:szCs w:val="22"/>
              </w:rPr>
              <w:t xml:space="preserve">types and methods of activities the institution would undertake to promote the scholarships and where applicable, examples of how these activities have been effective in the past </w:t>
            </w:r>
          </w:p>
          <w:p w14:paraId="56E1E058" w14:textId="4EB2C06E"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t</w:t>
            </w:r>
            <w:r w:rsidRPr="00170C2F">
              <w:rPr>
                <w:rFonts w:asciiTheme="majorHAnsi" w:hAnsiTheme="majorHAnsi" w:cstheme="majorHAnsi"/>
                <w:sz w:val="22"/>
                <w:szCs w:val="22"/>
              </w:rPr>
              <w:t xml:space="preserve">he </w:t>
            </w:r>
            <w:r w:rsidR="00580C8E" w:rsidRPr="00170C2F">
              <w:rPr>
                <w:rFonts w:asciiTheme="majorHAnsi" w:hAnsiTheme="majorHAnsi" w:cstheme="majorHAnsi"/>
                <w:sz w:val="22"/>
                <w:szCs w:val="22"/>
              </w:rPr>
              <w:t>type of students the institution proposes to attract, and the planned strategies to attract domestic and international students</w:t>
            </w:r>
          </w:p>
          <w:p w14:paraId="32687460" w14:textId="50119C16"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a</w:t>
            </w:r>
            <w:r w:rsidRPr="00170C2F">
              <w:rPr>
                <w:rFonts w:asciiTheme="majorHAnsi" w:hAnsiTheme="majorHAnsi" w:cstheme="majorHAnsi"/>
                <w:sz w:val="22"/>
                <w:szCs w:val="22"/>
              </w:rPr>
              <w:t xml:space="preserve"> </w:t>
            </w:r>
            <w:r w:rsidR="00580C8E" w:rsidRPr="00170C2F">
              <w:rPr>
                <w:rFonts w:asciiTheme="majorHAnsi" w:hAnsiTheme="majorHAnsi" w:cstheme="majorHAnsi"/>
                <w:sz w:val="22"/>
                <w:szCs w:val="22"/>
              </w:rPr>
              <w:t>proposed approach on how the institution plans to ensure students are maintaining their ongoing eligibility including, but not limited to their living circumstances</w:t>
            </w:r>
          </w:p>
          <w:p w14:paraId="6C4549A2" w14:textId="17E0C60B"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h</w:t>
            </w:r>
            <w:r w:rsidRPr="00170C2F">
              <w:rPr>
                <w:rFonts w:asciiTheme="majorHAnsi" w:hAnsiTheme="majorHAnsi" w:cstheme="majorHAnsi"/>
                <w:sz w:val="22"/>
                <w:szCs w:val="22"/>
              </w:rPr>
              <w:t xml:space="preserve">ow </w:t>
            </w:r>
            <w:r w:rsidR="00580C8E" w:rsidRPr="00170C2F">
              <w:rPr>
                <w:rFonts w:asciiTheme="majorHAnsi" w:hAnsiTheme="majorHAnsi" w:cstheme="majorHAnsi"/>
                <w:sz w:val="22"/>
                <w:szCs w:val="22"/>
              </w:rPr>
              <w:t>students will be required to provide regular evidence of residing in the regional or remote area</w:t>
            </w:r>
          </w:p>
          <w:p w14:paraId="3926C5FC" w14:textId="58BF1DF0" w:rsidR="00580C8E" w:rsidRPr="00170C2F" w:rsidRDefault="0015492C" w:rsidP="00580C8E">
            <w:pPr>
              <w:pStyle w:val="Default"/>
              <w:numPr>
                <w:ilvl w:val="0"/>
                <w:numId w:val="25"/>
              </w:numPr>
              <w:rPr>
                <w:rFonts w:asciiTheme="majorHAnsi" w:hAnsiTheme="majorHAnsi" w:cstheme="majorHAnsi"/>
                <w:sz w:val="22"/>
                <w:szCs w:val="22"/>
              </w:rPr>
            </w:pPr>
            <w:r>
              <w:rPr>
                <w:rFonts w:asciiTheme="majorHAnsi" w:hAnsiTheme="majorHAnsi" w:cstheme="majorHAnsi"/>
                <w:sz w:val="22"/>
                <w:szCs w:val="22"/>
              </w:rPr>
              <w:t>t</w:t>
            </w:r>
            <w:r w:rsidRPr="00170C2F">
              <w:rPr>
                <w:rFonts w:asciiTheme="majorHAnsi" w:hAnsiTheme="majorHAnsi" w:cstheme="majorHAnsi"/>
                <w:sz w:val="22"/>
                <w:szCs w:val="22"/>
              </w:rPr>
              <w:t xml:space="preserve">he </w:t>
            </w:r>
            <w:r w:rsidR="00580C8E" w:rsidRPr="00170C2F">
              <w:rPr>
                <w:rFonts w:asciiTheme="majorHAnsi" w:hAnsiTheme="majorHAnsi" w:cstheme="majorHAnsi"/>
                <w:sz w:val="22"/>
                <w:szCs w:val="22"/>
              </w:rPr>
              <w:t>controls the institution has in place or would adopt to ensure the funds are appropriately used</w:t>
            </w:r>
          </w:p>
          <w:p w14:paraId="1F863163" w14:textId="7FFD730B" w:rsidR="00580C8E" w:rsidRPr="00C276F0" w:rsidRDefault="0015492C" w:rsidP="00C276F0">
            <w:pPr>
              <w:pStyle w:val="Default"/>
              <w:numPr>
                <w:ilvl w:val="0"/>
                <w:numId w:val="25"/>
              </w:numPr>
              <w:rPr>
                <w:rFonts w:asciiTheme="majorHAnsi" w:eastAsia="Arial" w:hAnsiTheme="majorHAnsi" w:cstheme="majorHAnsi"/>
                <w:color w:val="auto"/>
                <w:szCs w:val="22"/>
              </w:rPr>
            </w:pPr>
            <w:r>
              <w:rPr>
                <w:rFonts w:asciiTheme="majorHAnsi" w:hAnsiTheme="majorHAnsi" w:cstheme="majorHAnsi"/>
                <w:sz w:val="22"/>
                <w:szCs w:val="22"/>
              </w:rPr>
              <w:t xml:space="preserve">relevant </w:t>
            </w:r>
            <w:r w:rsidR="00801DCD">
              <w:rPr>
                <w:rFonts w:asciiTheme="majorHAnsi" w:hAnsiTheme="majorHAnsi" w:cstheme="majorHAnsi"/>
                <w:sz w:val="22"/>
                <w:szCs w:val="22"/>
              </w:rPr>
              <w:t>e</w:t>
            </w:r>
            <w:r w:rsidR="00580C8E" w:rsidRPr="00170C2F">
              <w:rPr>
                <w:rFonts w:asciiTheme="majorHAnsi" w:hAnsiTheme="majorHAnsi" w:cstheme="majorHAnsi"/>
                <w:sz w:val="22"/>
                <w:szCs w:val="22"/>
              </w:rPr>
              <w:t>xamples or details of how the institution will use the $1,500 administration/promotions funding.</w:t>
            </w:r>
          </w:p>
        </w:tc>
      </w:tr>
    </w:tbl>
    <w:p w14:paraId="6C4B9B3A" w14:textId="77777777" w:rsidR="00FA1F45" w:rsidRDefault="00FA1F45" w:rsidP="00A24F65">
      <w:pPr>
        <w:pStyle w:val="Heading2"/>
      </w:pPr>
    </w:p>
    <w:sectPr w:rsidR="00FA1F45"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B415D" w16cid:durableId="24C75761"/>
  <w16cid:commentId w16cid:paraId="266BC0E4" w16cid:durableId="24C75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F42E" w14:textId="77777777" w:rsidR="00E32ECD" w:rsidRDefault="00E32ECD" w:rsidP="00772718">
      <w:pPr>
        <w:spacing w:line="240" w:lineRule="auto"/>
      </w:pPr>
      <w:r>
        <w:separator/>
      </w:r>
    </w:p>
  </w:endnote>
  <w:endnote w:type="continuationSeparator" w:id="0">
    <w:p w14:paraId="178390EC" w14:textId="77777777" w:rsidR="00E32ECD" w:rsidRDefault="00E32EC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ED01" w14:textId="77777777" w:rsidR="00C34D09" w:rsidRDefault="00C3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D031" w14:textId="79EAC173" w:rsidR="00A14495" w:rsidRDefault="00E13525">
    <w:pPr>
      <w:pStyle w:val="Footer"/>
    </w:pPr>
    <w:r>
      <w:fldChar w:fldCharType="begin"/>
    </w:r>
    <w:r>
      <w:instrText xml:space="preserve"> PAGE   \* MERGEFORMAT </w:instrText>
    </w:r>
    <w:r>
      <w:fldChar w:fldCharType="separate"/>
    </w:r>
    <w:r w:rsidR="00C34D09">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192B2BF2" wp14:editId="2841A4B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ACBB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52CF" w14:textId="1C4A7063" w:rsidR="00D91B18" w:rsidRDefault="00D91B18">
    <w:pPr>
      <w:pStyle w:val="Footer"/>
    </w:pPr>
    <w:r>
      <w:fldChar w:fldCharType="begin"/>
    </w:r>
    <w:r>
      <w:instrText xml:space="preserve"> PAGE   \* MERGEFORMAT </w:instrText>
    </w:r>
    <w:r>
      <w:fldChar w:fldCharType="separate"/>
    </w:r>
    <w:r w:rsidR="00C34D09">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604F" w14:textId="77777777" w:rsidR="00E32ECD" w:rsidRDefault="00E32ECD" w:rsidP="00772718">
      <w:pPr>
        <w:spacing w:line="240" w:lineRule="auto"/>
      </w:pPr>
      <w:r>
        <w:separator/>
      </w:r>
    </w:p>
  </w:footnote>
  <w:footnote w:type="continuationSeparator" w:id="0">
    <w:p w14:paraId="61A12C0D" w14:textId="77777777" w:rsidR="00E32ECD" w:rsidRDefault="00E32EC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AA59" w14:textId="77777777" w:rsidR="00C34D09" w:rsidRDefault="00C34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4D49080D"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D00BCB1" wp14:editId="0053A82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F3DA7B"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bookmarkEnd w:id="0"/>
    <w:r w:rsidR="00244B48">
      <w:rPr>
        <w:noProof/>
        <w:lang w:eastAsia="en-AU"/>
      </w:rPr>
      <w:drawing>
        <wp:anchor distT="0" distB="0" distL="114300" distR="114300" simplePos="0" relativeHeight="251663360" behindDoc="0" locked="1" layoutInCell="1" allowOverlap="1" wp14:anchorId="2467599B" wp14:editId="2BE55CF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38AF" w14:textId="77777777" w:rsidR="00D91B18" w:rsidRDefault="0016612C">
    <w:pPr>
      <w:pStyle w:val="Header"/>
    </w:pPr>
    <w:r>
      <w:rPr>
        <w:noProof/>
        <w:lang w:eastAsia="en-AU"/>
      </w:rPr>
      <w:drawing>
        <wp:anchor distT="0" distB="0" distL="114300" distR="114300" simplePos="0" relativeHeight="251673600" behindDoc="0" locked="1" layoutInCell="1" allowOverlap="1" wp14:anchorId="7958534C" wp14:editId="4C807681">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74F2247" wp14:editId="31E301D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2F651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CC98ADC" wp14:editId="0AE1154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1057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7F937DA" wp14:editId="2EE08CD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1707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5"/>
    <w:multiLevelType w:val="hybridMultilevel"/>
    <w:tmpl w:val="3110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5AE1799"/>
    <w:multiLevelType w:val="hybridMultilevel"/>
    <w:tmpl w:val="837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B03CC"/>
    <w:multiLevelType w:val="hybridMultilevel"/>
    <w:tmpl w:val="A6429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B68BE"/>
    <w:multiLevelType w:val="hybridMultilevel"/>
    <w:tmpl w:val="0F3E24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752B64"/>
    <w:multiLevelType w:val="hybridMultilevel"/>
    <w:tmpl w:val="14D6A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753BE9"/>
    <w:multiLevelType w:val="hybridMultilevel"/>
    <w:tmpl w:val="03787FC8"/>
    <w:lvl w:ilvl="0" w:tplc="1FFEDB7E">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2D506C"/>
    <w:multiLevelType w:val="hybridMultilevel"/>
    <w:tmpl w:val="27960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C34273"/>
    <w:multiLevelType w:val="hybridMultilevel"/>
    <w:tmpl w:val="E8E4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154C29"/>
    <w:multiLevelType w:val="hybridMultilevel"/>
    <w:tmpl w:val="12D2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30784"/>
    <w:multiLevelType w:val="hybridMultilevel"/>
    <w:tmpl w:val="259C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620A8"/>
    <w:multiLevelType w:val="hybridMultilevel"/>
    <w:tmpl w:val="F752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1B1671A"/>
    <w:multiLevelType w:val="hybridMultilevel"/>
    <w:tmpl w:val="4BB617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E71FAB"/>
    <w:multiLevelType w:val="hybridMultilevel"/>
    <w:tmpl w:val="7CEC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3961BD"/>
    <w:multiLevelType w:val="hybridMultilevel"/>
    <w:tmpl w:val="9A4A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1070D"/>
    <w:multiLevelType w:val="hybridMultilevel"/>
    <w:tmpl w:val="3798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4562F"/>
    <w:multiLevelType w:val="hybridMultilevel"/>
    <w:tmpl w:val="12F469C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9647028"/>
    <w:multiLevelType w:val="hybridMultilevel"/>
    <w:tmpl w:val="22DEE06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8310DF"/>
    <w:multiLevelType w:val="hybridMultilevel"/>
    <w:tmpl w:val="E80A5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6433AA"/>
    <w:multiLevelType w:val="hybridMultilevel"/>
    <w:tmpl w:val="A44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6"/>
  </w:num>
  <w:num w:numId="4">
    <w:abstractNumId w:val="20"/>
  </w:num>
  <w:num w:numId="5">
    <w:abstractNumId w:val="18"/>
  </w:num>
  <w:num w:numId="6">
    <w:abstractNumId w:val="15"/>
  </w:num>
  <w:num w:numId="7">
    <w:abstractNumId w:val="8"/>
  </w:num>
  <w:num w:numId="8">
    <w:abstractNumId w:val="27"/>
  </w:num>
  <w:num w:numId="9">
    <w:abstractNumId w:val="21"/>
  </w:num>
  <w:num w:numId="10">
    <w:abstractNumId w:val="4"/>
  </w:num>
  <w:num w:numId="11">
    <w:abstractNumId w:val="11"/>
  </w:num>
  <w:num w:numId="12">
    <w:abstractNumId w:val="4"/>
  </w:num>
  <w:num w:numId="13">
    <w:abstractNumId w:val="30"/>
  </w:num>
  <w:num w:numId="14">
    <w:abstractNumId w:val="12"/>
  </w:num>
  <w:num w:numId="15">
    <w:abstractNumId w:val="32"/>
  </w:num>
  <w:num w:numId="16">
    <w:abstractNumId w:val="2"/>
  </w:num>
  <w:num w:numId="17">
    <w:abstractNumId w:val="19"/>
  </w:num>
  <w:num w:numId="18">
    <w:abstractNumId w:val="25"/>
  </w:num>
  <w:num w:numId="19">
    <w:abstractNumId w:val="3"/>
  </w:num>
  <w:num w:numId="20">
    <w:abstractNumId w:val="31"/>
  </w:num>
  <w:num w:numId="21">
    <w:abstractNumId w:val="17"/>
  </w:num>
  <w:num w:numId="22">
    <w:abstractNumId w:val="22"/>
  </w:num>
  <w:num w:numId="23">
    <w:abstractNumId w:val="0"/>
  </w:num>
  <w:num w:numId="24">
    <w:abstractNumId w:val="28"/>
  </w:num>
  <w:num w:numId="25">
    <w:abstractNumId w:val="24"/>
  </w:num>
  <w:num w:numId="26">
    <w:abstractNumId w:val="5"/>
  </w:num>
  <w:num w:numId="27">
    <w:abstractNumId w:val="14"/>
  </w:num>
  <w:num w:numId="28">
    <w:abstractNumId w:val="26"/>
  </w:num>
  <w:num w:numId="29">
    <w:abstractNumId w:val="16"/>
  </w:num>
  <w:num w:numId="30">
    <w:abstractNumId w:val="13"/>
  </w:num>
  <w:num w:numId="31">
    <w:abstractNumId w:val="23"/>
  </w:num>
  <w:num w:numId="32">
    <w:abstractNumId w:val="9"/>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2BD4"/>
    <w:rsid w:val="00033BC3"/>
    <w:rsid w:val="00044E09"/>
    <w:rsid w:val="000455E3"/>
    <w:rsid w:val="0004784D"/>
    <w:rsid w:val="00053A00"/>
    <w:rsid w:val="000551F5"/>
    <w:rsid w:val="000767CB"/>
    <w:rsid w:val="00077D01"/>
    <w:rsid w:val="00082067"/>
    <w:rsid w:val="00095FDE"/>
    <w:rsid w:val="000A3A5C"/>
    <w:rsid w:val="000B6C00"/>
    <w:rsid w:val="000C1F06"/>
    <w:rsid w:val="000C6943"/>
    <w:rsid w:val="000D46A0"/>
    <w:rsid w:val="000F1DD1"/>
    <w:rsid w:val="000F28B8"/>
    <w:rsid w:val="000F3766"/>
    <w:rsid w:val="000F6535"/>
    <w:rsid w:val="00100880"/>
    <w:rsid w:val="00106FC4"/>
    <w:rsid w:val="00111F0C"/>
    <w:rsid w:val="0011547A"/>
    <w:rsid w:val="00120B80"/>
    <w:rsid w:val="0013161E"/>
    <w:rsid w:val="00145E2D"/>
    <w:rsid w:val="00146442"/>
    <w:rsid w:val="0015492C"/>
    <w:rsid w:val="0016612C"/>
    <w:rsid w:val="00170C2F"/>
    <w:rsid w:val="001763D4"/>
    <w:rsid w:val="00181433"/>
    <w:rsid w:val="001834DD"/>
    <w:rsid w:val="001C1228"/>
    <w:rsid w:val="001C28E6"/>
    <w:rsid w:val="001C53CE"/>
    <w:rsid w:val="001C5D96"/>
    <w:rsid w:val="001D341B"/>
    <w:rsid w:val="001E3D2B"/>
    <w:rsid w:val="001E5415"/>
    <w:rsid w:val="001E66CE"/>
    <w:rsid w:val="00204426"/>
    <w:rsid w:val="00204B41"/>
    <w:rsid w:val="00221DC2"/>
    <w:rsid w:val="00243004"/>
    <w:rsid w:val="00244B48"/>
    <w:rsid w:val="00256CDA"/>
    <w:rsid w:val="002573D5"/>
    <w:rsid w:val="00264E26"/>
    <w:rsid w:val="00275550"/>
    <w:rsid w:val="00280E74"/>
    <w:rsid w:val="002A339E"/>
    <w:rsid w:val="002A41E1"/>
    <w:rsid w:val="002B097D"/>
    <w:rsid w:val="002B6574"/>
    <w:rsid w:val="002B738E"/>
    <w:rsid w:val="002C4D86"/>
    <w:rsid w:val="002D4D48"/>
    <w:rsid w:val="002E1CCC"/>
    <w:rsid w:val="002E21D2"/>
    <w:rsid w:val="002F7118"/>
    <w:rsid w:val="002F7D3C"/>
    <w:rsid w:val="00301203"/>
    <w:rsid w:val="00302D5E"/>
    <w:rsid w:val="00305720"/>
    <w:rsid w:val="0031098A"/>
    <w:rsid w:val="003131AB"/>
    <w:rsid w:val="00317D6A"/>
    <w:rsid w:val="003217BE"/>
    <w:rsid w:val="003360ED"/>
    <w:rsid w:val="0034044F"/>
    <w:rsid w:val="00346B3A"/>
    <w:rsid w:val="00355FF2"/>
    <w:rsid w:val="00376001"/>
    <w:rsid w:val="00376621"/>
    <w:rsid w:val="003957F4"/>
    <w:rsid w:val="003A17CA"/>
    <w:rsid w:val="003B5410"/>
    <w:rsid w:val="003C0161"/>
    <w:rsid w:val="003D0647"/>
    <w:rsid w:val="003D1265"/>
    <w:rsid w:val="003D255E"/>
    <w:rsid w:val="003D3B1D"/>
    <w:rsid w:val="003D5DBE"/>
    <w:rsid w:val="003E01D1"/>
    <w:rsid w:val="00404841"/>
    <w:rsid w:val="00406493"/>
    <w:rsid w:val="00410EB6"/>
    <w:rsid w:val="0041127C"/>
    <w:rsid w:val="00412059"/>
    <w:rsid w:val="00413429"/>
    <w:rsid w:val="00421637"/>
    <w:rsid w:val="00422E02"/>
    <w:rsid w:val="00425633"/>
    <w:rsid w:val="00441E79"/>
    <w:rsid w:val="00450486"/>
    <w:rsid w:val="00454EB4"/>
    <w:rsid w:val="00461BE1"/>
    <w:rsid w:val="004709E9"/>
    <w:rsid w:val="00471E94"/>
    <w:rsid w:val="00472379"/>
    <w:rsid w:val="00483A58"/>
    <w:rsid w:val="00490618"/>
    <w:rsid w:val="004B203A"/>
    <w:rsid w:val="004B5F40"/>
    <w:rsid w:val="004B7224"/>
    <w:rsid w:val="004C1872"/>
    <w:rsid w:val="004C7D16"/>
    <w:rsid w:val="004D0860"/>
    <w:rsid w:val="004D700E"/>
    <w:rsid w:val="004D7F17"/>
    <w:rsid w:val="004E0670"/>
    <w:rsid w:val="004E7F37"/>
    <w:rsid w:val="004F31BA"/>
    <w:rsid w:val="005118E4"/>
    <w:rsid w:val="0051299F"/>
    <w:rsid w:val="0051318B"/>
    <w:rsid w:val="00526B85"/>
    <w:rsid w:val="005306A1"/>
    <w:rsid w:val="00544751"/>
    <w:rsid w:val="00553A84"/>
    <w:rsid w:val="00556690"/>
    <w:rsid w:val="00563F88"/>
    <w:rsid w:val="0056514E"/>
    <w:rsid w:val="00571E8B"/>
    <w:rsid w:val="00580C8E"/>
    <w:rsid w:val="0059000C"/>
    <w:rsid w:val="00590B0A"/>
    <w:rsid w:val="005913D9"/>
    <w:rsid w:val="005A02A1"/>
    <w:rsid w:val="005B28DC"/>
    <w:rsid w:val="005B572B"/>
    <w:rsid w:val="005B6071"/>
    <w:rsid w:val="005C120F"/>
    <w:rsid w:val="005D7A24"/>
    <w:rsid w:val="005E1395"/>
    <w:rsid w:val="00616EBA"/>
    <w:rsid w:val="00620574"/>
    <w:rsid w:val="00622B47"/>
    <w:rsid w:val="00632C08"/>
    <w:rsid w:val="00654C42"/>
    <w:rsid w:val="00661E08"/>
    <w:rsid w:val="00666CA8"/>
    <w:rsid w:val="0067074A"/>
    <w:rsid w:val="00672994"/>
    <w:rsid w:val="006730B3"/>
    <w:rsid w:val="00675DD8"/>
    <w:rsid w:val="006807C9"/>
    <w:rsid w:val="00692EFD"/>
    <w:rsid w:val="006C15C5"/>
    <w:rsid w:val="006D3DAD"/>
    <w:rsid w:val="006D4A4B"/>
    <w:rsid w:val="006E1C6A"/>
    <w:rsid w:val="006F6096"/>
    <w:rsid w:val="006F7B19"/>
    <w:rsid w:val="00705E58"/>
    <w:rsid w:val="00707E21"/>
    <w:rsid w:val="00714059"/>
    <w:rsid w:val="00714C32"/>
    <w:rsid w:val="00714F82"/>
    <w:rsid w:val="00715035"/>
    <w:rsid w:val="00716D7B"/>
    <w:rsid w:val="00721275"/>
    <w:rsid w:val="00736A76"/>
    <w:rsid w:val="00752C6B"/>
    <w:rsid w:val="00760CE6"/>
    <w:rsid w:val="00762F09"/>
    <w:rsid w:val="007719C9"/>
    <w:rsid w:val="00772718"/>
    <w:rsid w:val="00793BBB"/>
    <w:rsid w:val="007B377F"/>
    <w:rsid w:val="007C7B86"/>
    <w:rsid w:val="007D30A8"/>
    <w:rsid w:val="007D68FF"/>
    <w:rsid w:val="007F39B3"/>
    <w:rsid w:val="007F6391"/>
    <w:rsid w:val="00801DCD"/>
    <w:rsid w:val="00806500"/>
    <w:rsid w:val="00814FB1"/>
    <w:rsid w:val="00820F20"/>
    <w:rsid w:val="0082528A"/>
    <w:rsid w:val="00825754"/>
    <w:rsid w:val="00833758"/>
    <w:rsid w:val="00835210"/>
    <w:rsid w:val="0084413D"/>
    <w:rsid w:val="00844C2D"/>
    <w:rsid w:val="00845DAA"/>
    <w:rsid w:val="00851FDD"/>
    <w:rsid w:val="00856FBB"/>
    <w:rsid w:val="0087438E"/>
    <w:rsid w:val="00882A45"/>
    <w:rsid w:val="00884668"/>
    <w:rsid w:val="00895EB9"/>
    <w:rsid w:val="008A6182"/>
    <w:rsid w:val="008B2B46"/>
    <w:rsid w:val="008B58FA"/>
    <w:rsid w:val="008E05BC"/>
    <w:rsid w:val="008F17B8"/>
    <w:rsid w:val="008F3CCF"/>
    <w:rsid w:val="00901750"/>
    <w:rsid w:val="00901A61"/>
    <w:rsid w:val="00917349"/>
    <w:rsid w:val="00921840"/>
    <w:rsid w:val="00932C87"/>
    <w:rsid w:val="009331B4"/>
    <w:rsid w:val="009345F1"/>
    <w:rsid w:val="009351EF"/>
    <w:rsid w:val="00936E75"/>
    <w:rsid w:val="00944BBB"/>
    <w:rsid w:val="009547B6"/>
    <w:rsid w:val="00961072"/>
    <w:rsid w:val="0096623C"/>
    <w:rsid w:val="00977BFA"/>
    <w:rsid w:val="009A34F3"/>
    <w:rsid w:val="009B2EFC"/>
    <w:rsid w:val="009C08A5"/>
    <w:rsid w:val="009C3797"/>
    <w:rsid w:val="009C6C53"/>
    <w:rsid w:val="009D245A"/>
    <w:rsid w:val="009D7703"/>
    <w:rsid w:val="009E1A74"/>
    <w:rsid w:val="009E1C12"/>
    <w:rsid w:val="009E750F"/>
    <w:rsid w:val="009E768A"/>
    <w:rsid w:val="00A04D96"/>
    <w:rsid w:val="00A0629B"/>
    <w:rsid w:val="00A14495"/>
    <w:rsid w:val="00A16BE1"/>
    <w:rsid w:val="00A17BBF"/>
    <w:rsid w:val="00A24F65"/>
    <w:rsid w:val="00A454BF"/>
    <w:rsid w:val="00A47A69"/>
    <w:rsid w:val="00A52E3A"/>
    <w:rsid w:val="00A56A6E"/>
    <w:rsid w:val="00A814CB"/>
    <w:rsid w:val="00A90D1B"/>
    <w:rsid w:val="00AC3ACE"/>
    <w:rsid w:val="00AD70E2"/>
    <w:rsid w:val="00AF55F8"/>
    <w:rsid w:val="00AF6D43"/>
    <w:rsid w:val="00B10ABA"/>
    <w:rsid w:val="00B303E4"/>
    <w:rsid w:val="00B41742"/>
    <w:rsid w:val="00B420D4"/>
    <w:rsid w:val="00B5145A"/>
    <w:rsid w:val="00B553D7"/>
    <w:rsid w:val="00B57910"/>
    <w:rsid w:val="00B91B21"/>
    <w:rsid w:val="00B952F6"/>
    <w:rsid w:val="00BA202A"/>
    <w:rsid w:val="00BC093A"/>
    <w:rsid w:val="00BC2B00"/>
    <w:rsid w:val="00BC4ACC"/>
    <w:rsid w:val="00BC4FCC"/>
    <w:rsid w:val="00BD02F8"/>
    <w:rsid w:val="00BE6E52"/>
    <w:rsid w:val="00C13282"/>
    <w:rsid w:val="00C1488E"/>
    <w:rsid w:val="00C217A8"/>
    <w:rsid w:val="00C23A23"/>
    <w:rsid w:val="00C24AFF"/>
    <w:rsid w:val="00C25471"/>
    <w:rsid w:val="00C2575B"/>
    <w:rsid w:val="00C276F0"/>
    <w:rsid w:val="00C3263B"/>
    <w:rsid w:val="00C34D09"/>
    <w:rsid w:val="00C4188F"/>
    <w:rsid w:val="00C44661"/>
    <w:rsid w:val="00C549FD"/>
    <w:rsid w:val="00C819A4"/>
    <w:rsid w:val="00C824AE"/>
    <w:rsid w:val="00C84EA8"/>
    <w:rsid w:val="00C92998"/>
    <w:rsid w:val="00CA720A"/>
    <w:rsid w:val="00CB3D49"/>
    <w:rsid w:val="00CD0003"/>
    <w:rsid w:val="00CD5925"/>
    <w:rsid w:val="00CE557A"/>
    <w:rsid w:val="00D031B2"/>
    <w:rsid w:val="00D14042"/>
    <w:rsid w:val="00D1410C"/>
    <w:rsid w:val="00D31F12"/>
    <w:rsid w:val="00D3434A"/>
    <w:rsid w:val="00D3523C"/>
    <w:rsid w:val="00D40D16"/>
    <w:rsid w:val="00D433F8"/>
    <w:rsid w:val="00D455C0"/>
    <w:rsid w:val="00D548F0"/>
    <w:rsid w:val="00D57F79"/>
    <w:rsid w:val="00D62571"/>
    <w:rsid w:val="00D64FAC"/>
    <w:rsid w:val="00D65704"/>
    <w:rsid w:val="00D668F6"/>
    <w:rsid w:val="00D67AF1"/>
    <w:rsid w:val="00D741F9"/>
    <w:rsid w:val="00D83668"/>
    <w:rsid w:val="00D84875"/>
    <w:rsid w:val="00D87084"/>
    <w:rsid w:val="00D904F0"/>
    <w:rsid w:val="00D90716"/>
    <w:rsid w:val="00D91378"/>
    <w:rsid w:val="00D91B18"/>
    <w:rsid w:val="00D930FB"/>
    <w:rsid w:val="00D95D89"/>
    <w:rsid w:val="00DC0747"/>
    <w:rsid w:val="00DC07BF"/>
    <w:rsid w:val="00DC2647"/>
    <w:rsid w:val="00DC316D"/>
    <w:rsid w:val="00DC5B48"/>
    <w:rsid w:val="00DC5D17"/>
    <w:rsid w:val="00DD1408"/>
    <w:rsid w:val="00DD356D"/>
    <w:rsid w:val="00DD6735"/>
    <w:rsid w:val="00DD6E92"/>
    <w:rsid w:val="00DD72DE"/>
    <w:rsid w:val="00DF136A"/>
    <w:rsid w:val="00DF51FA"/>
    <w:rsid w:val="00E0448C"/>
    <w:rsid w:val="00E13525"/>
    <w:rsid w:val="00E32ECD"/>
    <w:rsid w:val="00E3435E"/>
    <w:rsid w:val="00E46CB5"/>
    <w:rsid w:val="00E47250"/>
    <w:rsid w:val="00E47ADA"/>
    <w:rsid w:val="00E61535"/>
    <w:rsid w:val="00E73F55"/>
    <w:rsid w:val="00E7480B"/>
    <w:rsid w:val="00E8246B"/>
    <w:rsid w:val="00E84012"/>
    <w:rsid w:val="00E9373C"/>
    <w:rsid w:val="00E97D1A"/>
    <w:rsid w:val="00EA0724"/>
    <w:rsid w:val="00EA6251"/>
    <w:rsid w:val="00EB6414"/>
    <w:rsid w:val="00EC201B"/>
    <w:rsid w:val="00EE5747"/>
    <w:rsid w:val="00EF3804"/>
    <w:rsid w:val="00EF4CA3"/>
    <w:rsid w:val="00EF5E05"/>
    <w:rsid w:val="00F01087"/>
    <w:rsid w:val="00F073CA"/>
    <w:rsid w:val="00F117E1"/>
    <w:rsid w:val="00F15606"/>
    <w:rsid w:val="00F227AF"/>
    <w:rsid w:val="00F24CD7"/>
    <w:rsid w:val="00F27370"/>
    <w:rsid w:val="00F33B3C"/>
    <w:rsid w:val="00F37596"/>
    <w:rsid w:val="00F40B00"/>
    <w:rsid w:val="00F40EA6"/>
    <w:rsid w:val="00F41AAB"/>
    <w:rsid w:val="00F5341C"/>
    <w:rsid w:val="00F56954"/>
    <w:rsid w:val="00F61E33"/>
    <w:rsid w:val="00F6674E"/>
    <w:rsid w:val="00F77B57"/>
    <w:rsid w:val="00F80B70"/>
    <w:rsid w:val="00F856DD"/>
    <w:rsid w:val="00F85F98"/>
    <w:rsid w:val="00F948AF"/>
    <w:rsid w:val="00FA1F45"/>
    <w:rsid w:val="00FA5A7B"/>
    <w:rsid w:val="00FB11B1"/>
    <w:rsid w:val="00FB5E6A"/>
    <w:rsid w:val="00FC1C24"/>
    <w:rsid w:val="00FD02D5"/>
    <w:rsid w:val="00FD0A25"/>
    <w:rsid w:val="00FE00E8"/>
    <w:rsid w:val="00FE2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8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Bullet Cab,CAB - List Bullet,Bulleted Para,Bullet Point,Li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Char,Dot Point Char,First level bullet point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customStyle="1" w:styleId="highlightedtextChar">
    <w:name w:val="highlighted text Char"/>
    <w:basedOn w:val="DefaultParagraphFont"/>
    <w:link w:val="highlightedtext"/>
    <w:locked/>
    <w:rsid w:val="00661E08"/>
    <w:rPr>
      <w:rFonts w:asciiTheme="minorHAnsi" w:hAnsiTheme="minorHAnsi" w:cstheme="minorBidi"/>
      <w:b/>
      <w:iCs/>
      <w:color w:val="917700" w:themeColor="accent3" w:themeShade="80"/>
      <w:sz w:val="22"/>
      <w:szCs w:val="22"/>
    </w:rPr>
  </w:style>
  <w:style w:type="paragraph" w:customStyle="1" w:styleId="highlightedtext">
    <w:name w:val="highlighted text"/>
    <w:basedOn w:val="Normal"/>
    <w:link w:val="highlightedtextChar"/>
    <w:qFormat/>
    <w:rsid w:val="00661E08"/>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243B1-0BDC-4801-8185-DDE4C178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11950</Characters>
  <Application>Microsoft Office Word</Application>
  <DocSecurity>0</DocSecurity>
  <Lines>310</Lines>
  <Paragraphs>116</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2021-11-15T03:28:00Z</dcterms:created>
  <dcterms:modified xsi:type="dcterms:W3CDTF">2021-11-15T03:30:00Z</dcterms:modified>
  <cp:category/>
</cp:coreProperties>
</file>