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F03A37" w:rsidRDefault="00F03A37" w:rsidP="00F03A37">
      <w:pPr>
        <w:rPr>
          <w:rFonts w:ascii="Georgia" w:eastAsiaTheme="majorEastAsia" w:hAnsi="Georgia" w:cstheme="majorBidi"/>
          <w:bCs/>
          <w:color w:val="CF0A2C" w:themeColor="accent1"/>
          <w:sz w:val="48"/>
          <w:szCs w:val="48"/>
        </w:rPr>
      </w:pPr>
      <w:r w:rsidRPr="00F03A37">
        <w:rPr>
          <w:rFonts w:ascii="Georgia" w:eastAsiaTheme="majorEastAsia" w:hAnsi="Georgia" w:cstheme="majorBidi"/>
          <w:bCs/>
          <w:color w:val="CF0A2C" w:themeColor="accent1"/>
          <w:sz w:val="48"/>
          <w:szCs w:val="48"/>
        </w:rPr>
        <w:t xml:space="preserve">2021 to 2024 Rural Financial Counselling Service Program </w:t>
      </w:r>
      <w:r w:rsidR="00A1214D">
        <w:rPr>
          <w:rFonts w:ascii="Georgia" w:eastAsiaTheme="majorEastAsia" w:hAnsi="Georgia" w:cstheme="majorBidi"/>
          <w:bCs/>
          <w:color w:val="CF0A2C" w:themeColor="accent1"/>
          <w:sz w:val="48"/>
          <w:szCs w:val="48"/>
        </w:rPr>
        <w:t>Grant Round</w:t>
      </w:r>
    </w:p>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sidRPr="00F03A37">
        <w:rPr>
          <w:rFonts w:asciiTheme="majorHAnsi" w:eastAsiaTheme="majorEastAsia" w:hAnsiTheme="majorHAnsi" w:cstheme="majorBidi"/>
          <w:iCs/>
          <w:sz w:val="30"/>
          <w:szCs w:val="24"/>
        </w:rPr>
        <w:t>Feedback for applicants</w:t>
      </w:r>
    </w:p>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2A6F1C" w:rsidRPr="002A6F1C" w:rsidRDefault="002A6F1C" w:rsidP="00595902">
      <w:pPr>
        <w:pStyle w:val="BodyText"/>
      </w:pPr>
      <w:r w:rsidRPr="002A6F1C">
        <w:t xml:space="preserve">The </w:t>
      </w:r>
      <w:r w:rsidR="00595902" w:rsidRPr="00595902">
        <w:t xml:space="preserve">Rural Financial Counselling Service (RFCS) </w:t>
      </w:r>
      <w:r w:rsidRPr="002A6F1C">
        <w:t>Program is an Australian Government initiative that provides free and independent financial counselling to eligible farmers, fishers, foresters and small related enterprises who are experiencing, or at risk of, financial hardship. </w:t>
      </w:r>
    </w:p>
    <w:p w:rsidR="002A6F1C" w:rsidRPr="002A6F1C" w:rsidRDefault="002A6F1C" w:rsidP="00595902">
      <w:pPr>
        <w:pStyle w:val="BodyText"/>
      </w:pPr>
      <w:r w:rsidRPr="002A6F1C">
        <w:t>The vision for the 2021 to 2024 RFCS Program is to empower clients to take control of their financial situation and cultivate financially capable primary producers that are profitable, self-reliant and resilient.</w:t>
      </w:r>
    </w:p>
    <w:p w:rsidR="00595902" w:rsidRPr="002A6F1C" w:rsidRDefault="00595902" w:rsidP="00595902">
      <w:pPr>
        <w:pStyle w:val="BodyText"/>
      </w:pPr>
      <w:r w:rsidRPr="00595902">
        <w:t>T</w:t>
      </w:r>
      <w:r w:rsidRPr="002A6F1C">
        <w:t xml:space="preserve">he Australian Government </w:t>
      </w:r>
      <w:r w:rsidRPr="00595902">
        <w:t>invited</w:t>
      </w:r>
      <w:r w:rsidRPr="002A6F1C">
        <w:t xml:space="preserve"> applications via a</w:t>
      </w:r>
      <w:r w:rsidR="00353DF2">
        <w:t xml:space="preserve"> merit-based,</w:t>
      </w:r>
      <w:r w:rsidRPr="002A6F1C">
        <w:t xml:space="preserve"> open and competitive process to deliver services under the RFCS Program in 12 predefined service regions from 2021–22 to 2023–24. Applicants </w:t>
      </w:r>
      <w:r>
        <w:t>could</w:t>
      </w:r>
      <w:r w:rsidRPr="002A6F1C">
        <w:t xml:space="preserve"> apply for more than one service region, including across different states.</w:t>
      </w:r>
    </w:p>
    <w:p w:rsidR="00F27CF5" w:rsidRPr="00F27CF5" w:rsidRDefault="00AA6DBD" w:rsidP="00F85F98">
      <w:pPr>
        <w:pStyle w:val="BodyText"/>
        <w:rPr>
          <w:highlight w:val="yellow"/>
        </w:rPr>
      </w:pPr>
      <w:r w:rsidRPr="002A6F1C">
        <w:t xml:space="preserve">Australian Government </w:t>
      </w:r>
      <w:r w:rsidRPr="00AA6DBD">
        <w:t>funding of</w:t>
      </w:r>
      <w:r w:rsidR="00944998">
        <w:t xml:space="preserve"> over $56 million </w:t>
      </w:r>
      <w:r w:rsidRPr="00AA6DBD">
        <w:t>is available for the RFCS from</w:t>
      </w:r>
      <w:r>
        <w:t xml:space="preserve"> </w:t>
      </w:r>
      <w:r w:rsidRPr="002A6F1C">
        <w:t>2021–22 to 2023–24</w:t>
      </w:r>
      <w:r>
        <w:t>. This is comprised of $</w:t>
      </w:r>
      <w:r w:rsidR="006F68BD">
        <w:t>49.96</w:t>
      </w:r>
      <w:r>
        <w:t xml:space="preserve"> million core funding as well as $</w:t>
      </w:r>
      <w:r w:rsidR="006F68BD">
        <w:t>2.6</w:t>
      </w:r>
      <w:r w:rsidR="00974E34">
        <w:t>9</w:t>
      </w:r>
      <w:r>
        <w:t xml:space="preserve"> million contingency funding and $</w:t>
      </w:r>
      <w:r w:rsidR="006F68BD">
        <w:t>3.75</w:t>
      </w:r>
      <w:r>
        <w:t xml:space="preserve"> million bushfire contingency funding.</w:t>
      </w:r>
      <w:r w:rsidRPr="00AA6DBD">
        <w:t xml:space="preserve"> </w:t>
      </w:r>
      <w:r>
        <w:t xml:space="preserve">All figures are GST </w:t>
      </w:r>
      <w:r w:rsidR="006F68BD">
        <w:t>exclusive</w:t>
      </w:r>
      <w:r>
        <w:t>.</w:t>
      </w:r>
    </w:p>
    <w:p w:rsidR="00F85F98" w:rsidRPr="005118E4" w:rsidRDefault="00F85F98" w:rsidP="00F85F98">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595902" w:rsidRPr="00F27CF5" w:rsidRDefault="008C5596" w:rsidP="008C5596">
      <w:pPr>
        <w:pStyle w:val="BodyText"/>
        <w:rPr>
          <w:rFonts w:ascii="Arial" w:eastAsia="Times New Roman" w:hAnsi="Arial" w:cs="Arial"/>
          <w:color w:val="auto"/>
          <w:szCs w:val="22"/>
        </w:rPr>
      </w:pPr>
      <w:r>
        <w:t>A</w:t>
      </w:r>
      <w:r w:rsidR="00F85F98" w:rsidRPr="002A6F1C">
        <w:t xml:space="preserve">n open selection process </w:t>
      </w:r>
      <w:r>
        <w:t xml:space="preserve">was used </w:t>
      </w:r>
      <w:r w:rsidR="00F85F98" w:rsidRPr="002A6F1C">
        <w:t>to select providers to</w:t>
      </w:r>
      <w:r w:rsidR="00F85F98" w:rsidRPr="00B06C91">
        <w:t xml:space="preserve"> deliver the </w:t>
      </w:r>
      <w:r w:rsidR="002A6F1C">
        <w:t xml:space="preserve">2021 to 2024 RFCS </w:t>
      </w:r>
      <w:r w:rsidR="00152C34">
        <w:t>P</w:t>
      </w:r>
      <w:r w:rsidR="002A6F1C">
        <w:t>rogram</w:t>
      </w:r>
      <w:r w:rsidR="00F85F98">
        <w:t xml:space="preserve">. </w:t>
      </w:r>
      <w:r w:rsidR="00595902">
        <w:rPr>
          <w:rFonts w:ascii="Arial" w:eastAsia="Times New Roman" w:hAnsi="Arial" w:cs="Arial"/>
          <w:color w:val="auto"/>
          <w:szCs w:val="22"/>
        </w:rPr>
        <w:t xml:space="preserve">The grant round opened </w:t>
      </w:r>
      <w:r w:rsidR="00F27CF5">
        <w:rPr>
          <w:rFonts w:ascii="Arial" w:eastAsia="Times New Roman" w:hAnsi="Arial" w:cs="Arial"/>
          <w:color w:val="auto"/>
          <w:szCs w:val="22"/>
        </w:rPr>
        <w:t>on 6 November</w:t>
      </w:r>
      <w:r w:rsidR="00D92C36">
        <w:rPr>
          <w:rFonts w:ascii="Arial" w:eastAsia="Times New Roman" w:hAnsi="Arial" w:cs="Arial"/>
          <w:color w:val="auto"/>
          <w:szCs w:val="22"/>
        </w:rPr>
        <w:t xml:space="preserve"> 2020</w:t>
      </w:r>
      <w:r w:rsidR="00F27CF5">
        <w:rPr>
          <w:rFonts w:ascii="Arial" w:eastAsia="Times New Roman" w:hAnsi="Arial" w:cs="Arial"/>
          <w:color w:val="auto"/>
          <w:szCs w:val="22"/>
        </w:rPr>
        <w:t xml:space="preserve"> </w:t>
      </w:r>
      <w:r w:rsidR="00595902" w:rsidRPr="000225CD">
        <w:rPr>
          <w:rFonts w:ascii="Arial" w:eastAsia="Times New Roman" w:hAnsi="Arial" w:cs="Arial"/>
          <w:color w:val="auto"/>
          <w:szCs w:val="22"/>
        </w:rPr>
        <w:t xml:space="preserve">and closed </w:t>
      </w:r>
      <w:r w:rsidR="00F27CF5">
        <w:rPr>
          <w:rFonts w:ascii="Arial" w:eastAsia="Times New Roman" w:hAnsi="Arial" w:cs="Arial"/>
          <w:color w:val="auto"/>
          <w:szCs w:val="22"/>
        </w:rPr>
        <w:t>at 11</w:t>
      </w:r>
      <w:r w:rsidR="00152C34">
        <w:rPr>
          <w:rFonts w:ascii="Arial" w:eastAsia="Times New Roman" w:hAnsi="Arial" w:cs="Arial"/>
          <w:color w:val="auto"/>
          <w:szCs w:val="22"/>
        </w:rPr>
        <w:t>:</w:t>
      </w:r>
      <w:r w:rsidR="00357283">
        <w:rPr>
          <w:rFonts w:ascii="Arial" w:eastAsia="Times New Roman" w:hAnsi="Arial" w:cs="Arial"/>
          <w:color w:val="auto"/>
          <w:szCs w:val="22"/>
        </w:rPr>
        <w:t>00</w:t>
      </w:r>
      <w:r w:rsidR="00152C34">
        <w:rPr>
          <w:rFonts w:ascii="Arial" w:eastAsia="Times New Roman" w:hAnsi="Arial" w:cs="Arial"/>
          <w:color w:val="auto"/>
          <w:szCs w:val="22"/>
        </w:rPr>
        <w:t xml:space="preserve"> PM</w:t>
      </w:r>
      <w:r w:rsidR="00F27CF5">
        <w:rPr>
          <w:rFonts w:ascii="Arial" w:eastAsia="Times New Roman" w:hAnsi="Arial" w:cs="Arial"/>
          <w:color w:val="auto"/>
          <w:szCs w:val="22"/>
        </w:rPr>
        <w:t xml:space="preserve"> AEST on </w:t>
      </w:r>
      <w:r w:rsidR="00974E34">
        <w:rPr>
          <w:rFonts w:ascii="Arial" w:eastAsia="Times New Roman" w:hAnsi="Arial" w:cs="Arial"/>
          <w:color w:val="auto"/>
          <w:szCs w:val="22"/>
        </w:rPr>
        <w:br/>
      </w:r>
      <w:r w:rsidR="00F27CF5">
        <w:rPr>
          <w:rFonts w:ascii="Arial" w:eastAsia="Times New Roman" w:hAnsi="Arial" w:cs="Arial"/>
          <w:color w:val="auto"/>
          <w:szCs w:val="22"/>
        </w:rPr>
        <w:t>11 December 2020.</w:t>
      </w:r>
      <w:r w:rsidR="00595902" w:rsidRPr="000225CD">
        <w:rPr>
          <w:rFonts w:ascii="Arial" w:eastAsia="Times New Roman" w:hAnsi="Arial" w:cs="Arial"/>
          <w:color w:val="auto"/>
          <w:szCs w:val="22"/>
        </w:rPr>
        <w:t xml:space="preserve"> </w:t>
      </w:r>
      <w:r w:rsidR="00F85F98">
        <w:t xml:space="preserve">The Community Grants Hub </w:t>
      </w:r>
      <w:r w:rsidR="00F85F98" w:rsidRPr="00AA46BC">
        <w:t xml:space="preserve">received </w:t>
      </w:r>
      <w:r w:rsidR="002A6F1C">
        <w:t>27</w:t>
      </w:r>
      <w:r w:rsidR="00F85F98">
        <w:t xml:space="preserve"> </w:t>
      </w:r>
      <w:r w:rsidR="00F85F98" w:rsidRPr="00AA46BC">
        <w:t xml:space="preserve">applications </w:t>
      </w:r>
      <w:r w:rsidR="00F85F98">
        <w:t>for funding</w:t>
      </w:r>
      <w:r w:rsidR="00F27CF5">
        <w:t>. Many applica</w:t>
      </w:r>
      <w:r w:rsidR="00D92C36">
        <w:t>nts</w:t>
      </w:r>
      <w:r w:rsidR="00F27CF5">
        <w:t xml:space="preserve"> applied for more than one service region and included options for multi-region service delivery. In total, 73 options were considered</w:t>
      </w:r>
      <w:r w:rsidR="00974E34">
        <w:t xml:space="preserve"> by the Assessment Panel</w:t>
      </w:r>
      <w:r w:rsidR="00F27CF5">
        <w:t>.</w:t>
      </w:r>
    </w:p>
    <w:p w:rsidR="00F85F98" w:rsidRDefault="00595902" w:rsidP="00F85F98">
      <w:pPr>
        <w:pStyle w:val="BodyText"/>
      </w:pPr>
      <w:r>
        <w:t>E</w:t>
      </w:r>
      <w:r w:rsidR="00F85F98">
        <w:t xml:space="preserve">ach </w:t>
      </w:r>
      <w:r w:rsidRPr="00AA46BC">
        <w:t>application</w:t>
      </w:r>
      <w:r>
        <w:t xml:space="preserve"> </w:t>
      </w:r>
      <w:r w:rsidR="00F85F98">
        <w:t xml:space="preserve">was required to address </w:t>
      </w:r>
      <w:r w:rsidR="002A6F1C">
        <w:t>5</w:t>
      </w:r>
      <w:r w:rsidR="00F85F98">
        <w:t xml:space="preserve"> </w:t>
      </w:r>
      <w:r w:rsidR="00B277A0">
        <w:t>assessment</w:t>
      </w:r>
      <w:r w:rsidR="00F85F98">
        <w:t xml:space="preserve"> criteria</w:t>
      </w:r>
      <w:r w:rsidR="00F27CF5">
        <w:t xml:space="preserve">. </w:t>
      </w:r>
      <w:r w:rsidR="00F85F98" w:rsidRPr="00716D7B">
        <w:t xml:space="preserve">Preferred applicants were identified based on the strength of their responses to the selection criteria and their demonstrated ability to meet the </w:t>
      </w:r>
      <w:r w:rsidR="00F85F98">
        <w:t xml:space="preserve">grant requirements outlined in the </w:t>
      </w:r>
      <w:r w:rsidR="006F68BD">
        <w:t>p</w:t>
      </w:r>
      <w:r w:rsidR="00F85F98">
        <w:t xml:space="preserve">rogram </w:t>
      </w:r>
      <w:r w:rsidR="006F68BD">
        <w:t>g</w:t>
      </w:r>
      <w:r w:rsidR="00F85F98">
        <w:t>uidelines.</w:t>
      </w:r>
    </w:p>
    <w:p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B277A0" w:rsidRDefault="00750FD0" w:rsidP="00F85F98">
      <w:pPr>
        <w:pStyle w:val="BodyText"/>
      </w:pPr>
      <w:r>
        <w:rPr>
          <w:color w:val="auto"/>
        </w:rPr>
        <w:t>10</w:t>
      </w:r>
      <w:r w:rsidR="008326B5" w:rsidRPr="00E23AB2">
        <w:t xml:space="preserve"> </w:t>
      </w:r>
      <w:r w:rsidR="00F85F98" w:rsidRPr="00E23AB2">
        <w:t>organisatio</w:t>
      </w:r>
      <w:r w:rsidR="002A6F1C" w:rsidRPr="00E23AB2">
        <w:t>n</w:t>
      </w:r>
      <w:r w:rsidR="00F85F98" w:rsidRPr="00E23AB2">
        <w:t xml:space="preserve">s were selected to deliver </w:t>
      </w:r>
      <w:r w:rsidR="00E23AB2" w:rsidRPr="00E23AB2">
        <w:t xml:space="preserve">the 2021 to 2024 RFCS </w:t>
      </w:r>
      <w:r w:rsidR="00B14581">
        <w:t>P</w:t>
      </w:r>
      <w:r w:rsidR="00E23AB2" w:rsidRPr="00E23AB2">
        <w:t>rogram across 12 service regions</w:t>
      </w:r>
      <w:r w:rsidR="008C5596">
        <w:t xml:space="preserve">. </w:t>
      </w:r>
      <w:r w:rsidR="00D92C36">
        <w:t>S</w:t>
      </w:r>
      <w:r w:rsidR="006F68BD">
        <w:t xml:space="preserve">ome </w:t>
      </w:r>
      <w:r w:rsidR="009709B3">
        <w:t>organisations were successful in their application to service more than one region.</w:t>
      </w:r>
    </w:p>
    <w:p w:rsidR="00F85F98" w:rsidRDefault="00B277A0" w:rsidP="00F85F98">
      <w:pPr>
        <w:pStyle w:val="BodyText"/>
        <w:rPr>
          <w:szCs w:val="22"/>
        </w:rPr>
      </w:pPr>
      <w:r>
        <w:rPr>
          <w:rFonts w:ascii="Arial" w:eastAsia="Times New Roman" w:hAnsi="Arial" w:cs="Arial"/>
          <w:color w:val="auto"/>
          <w:szCs w:val="22"/>
        </w:rPr>
        <w:t xml:space="preserve">There </w:t>
      </w:r>
      <w:r w:rsidRPr="00115D1E">
        <w:rPr>
          <w:rFonts w:ascii="Arial" w:eastAsia="Times New Roman" w:hAnsi="Arial" w:cs="Arial"/>
          <w:color w:val="auto"/>
          <w:szCs w:val="22"/>
        </w:rPr>
        <w:t>was strong interest</w:t>
      </w:r>
      <w:r w:rsidRPr="00150160">
        <w:rPr>
          <w:rFonts w:ascii="Arial" w:eastAsia="Times New Roman" w:hAnsi="Arial" w:cs="Arial"/>
          <w:color w:val="auto"/>
          <w:szCs w:val="22"/>
        </w:rPr>
        <w:t xml:space="preserve"> by stakeholders in the </w:t>
      </w:r>
      <w:r>
        <w:rPr>
          <w:rFonts w:ascii="Arial" w:eastAsia="Times New Roman" w:hAnsi="Arial" w:cs="Arial"/>
          <w:color w:val="auto"/>
          <w:szCs w:val="22"/>
        </w:rPr>
        <w:t>grant round, and</w:t>
      </w:r>
      <w:r w:rsidRPr="00150160">
        <w:rPr>
          <w:rFonts w:ascii="Arial" w:eastAsia="Times New Roman" w:hAnsi="Arial" w:cs="Arial"/>
          <w:color w:val="auto"/>
          <w:szCs w:val="22"/>
        </w:rPr>
        <w:t xml:space="preserve"> </w:t>
      </w:r>
      <w:r>
        <w:rPr>
          <w:rFonts w:ascii="Arial" w:eastAsia="Times New Roman" w:hAnsi="Arial" w:cs="Arial"/>
          <w:color w:val="auto"/>
          <w:szCs w:val="22"/>
        </w:rPr>
        <w:t>successful</w:t>
      </w:r>
      <w:r w:rsidRPr="00150160">
        <w:rPr>
          <w:rFonts w:ascii="Arial" w:eastAsia="Times New Roman" w:hAnsi="Arial" w:cs="Arial"/>
          <w:color w:val="auto"/>
          <w:szCs w:val="22"/>
        </w:rPr>
        <w:t xml:space="preserve"> applications </w:t>
      </w:r>
      <w:r>
        <w:rPr>
          <w:rFonts w:ascii="Arial" w:eastAsia="Times New Roman" w:hAnsi="Arial" w:cs="Arial"/>
          <w:color w:val="auto"/>
          <w:szCs w:val="22"/>
        </w:rPr>
        <w:t xml:space="preserve">were of a very high standard. </w:t>
      </w:r>
      <w:r w:rsidR="00F85F98" w:rsidRPr="00E23AB2">
        <w:t xml:space="preserve">The selected organisations provided strong responses to the </w:t>
      </w:r>
      <w:r>
        <w:t>assessment</w:t>
      </w:r>
      <w:r w:rsidR="00F85F98" w:rsidRPr="00E23AB2">
        <w:t xml:space="preserve"> criteria and demonstrated their ability to meet the </w:t>
      </w:r>
      <w:r w:rsidR="0034044F" w:rsidRPr="00E23AB2">
        <w:t>eligibility</w:t>
      </w:r>
      <w:r w:rsidR="00F85F98" w:rsidRPr="00E23AB2">
        <w:t xml:space="preserve"> requirements outlined in the </w:t>
      </w:r>
      <w:r w:rsidR="006F68BD">
        <w:t>p</w:t>
      </w:r>
      <w:r w:rsidR="00F85F98" w:rsidRPr="00E23AB2">
        <w:t xml:space="preserve">rogram </w:t>
      </w:r>
      <w:r w:rsidR="006F68BD">
        <w:t>g</w:t>
      </w:r>
      <w:r w:rsidR="00F85F98" w:rsidRPr="00E23AB2">
        <w:t xml:space="preserve">uidelines. </w:t>
      </w:r>
    </w:p>
    <w:p w:rsidR="00B277A0" w:rsidRDefault="00B277A0" w:rsidP="00F85F98">
      <w:pPr>
        <w:pStyle w:val="BodyText"/>
        <w:rPr>
          <w:szCs w:val="22"/>
        </w:rPr>
      </w:pPr>
      <w:r>
        <w:rPr>
          <w:szCs w:val="22"/>
        </w:rPr>
        <w:t>In general terms, unsuccessful applications contained one or more of the following issues</w:t>
      </w:r>
      <w:r w:rsidR="00B14581">
        <w:rPr>
          <w:szCs w:val="22"/>
        </w:rPr>
        <w:t>. Unsuccessful applications:</w:t>
      </w:r>
    </w:p>
    <w:p w:rsidR="00B277A0" w:rsidRPr="00B277A0" w:rsidRDefault="00B14581" w:rsidP="00B277A0">
      <w:pPr>
        <w:pStyle w:val="BodyText"/>
        <w:numPr>
          <w:ilvl w:val="0"/>
          <w:numId w:val="31"/>
        </w:numPr>
        <w:rPr>
          <w:szCs w:val="22"/>
        </w:rPr>
      </w:pPr>
      <w:r>
        <w:t>d</w:t>
      </w:r>
      <w:r w:rsidR="00B277A0">
        <w:t xml:space="preserve">id not address all aspects of the </w:t>
      </w:r>
      <w:r w:rsidR="001554BD">
        <w:t xml:space="preserve">assessment </w:t>
      </w:r>
      <w:r w:rsidR="00B277A0">
        <w:t>criteria</w:t>
      </w:r>
    </w:p>
    <w:p w:rsidR="00B277A0" w:rsidRPr="00C5685F" w:rsidRDefault="00B14581" w:rsidP="00B277A0">
      <w:pPr>
        <w:pStyle w:val="BodyText"/>
        <w:numPr>
          <w:ilvl w:val="0"/>
          <w:numId w:val="31"/>
        </w:numPr>
        <w:rPr>
          <w:szCs w:val="22"/>
        </w:rPr>
      </w:pPr>
      <w:r>
        <w:t>l</w:t>
      </w:r>
      <w:r w:rsidR="00B277A0">
        <w:t>ac</w:t>
      </w:r>
      <w:r w:rsidR="00B94A72">
        <w:t>ked</w:t>
      </w:r>
      <w:r w:rsidR="00B277A0">
        <w:t xml:space="preserve"> </w:t>
      </w:r>
      <w:r w:rsidR="00B277A0" w:rsidRPr="0020460F">
        <w:t>depth and detail</w:t>
      </w:r>
      <w:r w:rsidR="00B277A0">
        <w:t xml:space="preserve"> in responses</w:t>
      </w:r>
      <w:r w:rsidR="00B277A0" w:rsidRPr="00B277A0">
        <w:t xml:space="preserve"> </w:t>
      </w:r>
      <w:r w:rsidR="001554BD">
        <w:t xml:space="preserve">to </w:t>
      </w:r>
      <w:r w:rsidR="00B277A0">
        <w:t xml:space="preserve">the </w:t>
      </w:r>
      <w:r w:rsidR="001554BD">
        <w:t xml:space="preserve">assessment </w:t>
      </w:r>
      <w:r w:rsidR="00B277A0">
        <w:t>criteria</w:t>
      </w:r>
    </w:p>
    <w:p w:rsidR="00C5685F" w:rsidRPr="001554BD" w:rsidRDefault="00B14581" w:rsidP="00B277A0">
      <w:pPr>
        <w:pStyle w:val="BodyText"/>
        <w:numPr>
          <w:ilvl w:val="0"/>
          <w:numId w:val="31"/>
        </w:numPr>
        <w:rPr>
          <w:szCs w:val="22"/>
        </w:rPr>
      </w:pPr>
      <w:r>
        <w:rPr>
          <w:szCs w:val="22"/>
        </w:rPr>
        <w:t>contained a</w:t>
      </w:r>
      <w:r w:rsidR="00C5685F">
        <w:rPr>
          <w:szCs w:val="22"/>
        </w:rPr>
        <w:t xml:space="preserve">ssessment criteria responses </w:t>
      </w:r>
      <w:r>
        <w:rPr>
          <w:szCs w:val="22"/>
        </w:rPr>
        <w:t xml:space="preserve">there </w:t>
      </w:r>
      <w:r w:rsidR="00C5685F">
        <w:rPr>
          <w:szCs w:val="22"/>
        </w:rPr>
        <w:t>were not well structured and were difficult to follow</w:t>
      </w:r>
    </w:p>
    <w:p w:rsidR="001554BD" w:rsidRPr="001554BD" w:rsidRDefault="00B14581" w:rsidP="00B277A0">
      <w:pPr>
        <w:pStyle w:val="BodyText"/>
        <w:numPr>
          <w:ilvl w:val="0"/>
          <w:numId w:val="31"/>
        </w:numPr>
        <w:rPr>
          <w:szCs w:val="22"/>
        </w:rPr>
      </w:pPr>
      <w:r>
        <w:t>d</w:t>
      </w:r>
      <w:r w:rsidR="001554BD">
        <w:t>id not provide a</w:t>
      </w:r>
      <w:r>
        <w:t xml:space="preserve"> </w:t>
      </w:r>
      <w:r w:rsidR="001554BD">
        <w:t>fit</w:t>
      </w:r>
      <w:r w:rsidR="006F68BD">
        <w:t>-</w:t>
      </w:r>
      <w:r w:rsidR="001554BD">
        <w:t>for</w:t>
      </w:r>
      <w:r>
        <w:t>-</w:t>
      </w:r>
      <w:r w:rsidR="001554BD">
        <w:t xml:space="preserve">purpose approach </w:t>
      </w:r>
      <w:r w:rsidR="006F68BD">
        <w:t>that aligned adequately with</w:t>
      </w:r>
      <w:r w:rsidR="00DD6448">
        <w:t xml:space="preserve"> the</w:t>
      </w:r>
      <w:r w:rsidR="001554BD">
        <w:t xml:space="preserve"> RFCS program logic</w:t>
      </w:r>
    </w:p>
    <w:p w:rsidR="001554BD" w:rsidRPr="001554BD" w:rsidRDefault="00B14581" w:rsidP="001554BD">
      <w:pPr>
        <w:pStyle w:val="BodyText"/>
        <w:numPr>
          <w:ilvl w:val="0"/>
          <w:numId w:val="31"/>
        </w:numPr>
        <w:rPr>
          <w:szCs w:val="22"/>
        </w:rPr>
      </w:pPr>
      <w:r>
        <w:t>d</w:t>
      </w:r>
      <w:r w:rsidR="001554BD">
        <w:t xml:space="preserve">id not </w:t>
      </w:r>
      <w:r w:rsidR="00D80EDA">
        <w:t xml:space="preserve">demonstrate </w:t>
      </w:r>
      <w:r w:rsidR="001554BD">
        <w:t>experience in providing financial counselling, particularly to businesses</w:t>
      </w:r>
    </w:p>
    <w:p w:rsidR="001554BD" w:rsidRPr="00F27CF5" w:rsidRDefault="00B14581" w:rsidP="001554BD">
      <w:pPr>
        <w:pStyle w:val="BodyText"/>
        <w:numPr>
          <w:ilvl w:val="0"/>
          <w:numId w:val="31"/>
        </w:numPr>
        <w:rPr>
          <w:szCs w:val="22"/>
        </w:rPr>
      </w:pPr>
      <w:r>
        <w:rPr>
          <w:szCs w:val="22"/>
        </w:rPr>
        <w:t>d</w:t>
      </w:r>
      <w:r w:rsidR="001554BD">
        <w:rPr>
          <w:szCs w:val="22"/>
        </w:rPr>
        <w:t xml:space="preserve">id not </w:t>
      </w:r>
      <w:r w:rsidR="00D80EDA">
        <w:rPr>
          <w:szCs w:val="22"/>
        </w:rPr>
        <w:t xml:space="preserve">demonstrate </w:t>
      </w:r>
      <w:r w:rsidR="001554BD">
        <w:rPr>
          <w:szCs w:val="22"/>
        </w:rPr>
        <w:t xml:space="preserve">knowledge </w:t>
      </w:r>
      <w:r w:rsidR="001554BD" w:rsidRPr="00F27CF5">
        <w:rPr>
          <w:szCs w:val="22"/>
        </w:rPr>
        <w:t xml:space="preserve">of </w:t>
      </w:r>
      <w:r w:rsidR="001554BD" w:rsidRPr="00F27CF5">
        <w:t>agriculture and agribusiness financial issues</w:t>
      </w:r>
      <w:r w:rsidR="006F68BD">
        <w:t xml:space="preserve"> or did not adequately </w:t>
      </w:r>
      <w:r w:rsidR="00D80EDA">
        <w:t>outline</w:t>
      </w:r>
      <w:r w:rsidR="006F68BD">
        <w:t xml:space="preserve"> how this capability could be built</w:t>
      </w:r>
    </w:p>
    <w:p w:rsidR="001554BD" w:rsidRPr="00F27CF5" w:rsidRDefault="00B14581" w:rsidP="00F27CF5">
      <w:pPr>
        <w:pStyle w:val="BodyText"/>
        <w:numPr>
          <w:ilvl w:val="0"/>
          <w:numId w:val="31"/>
        </w:numPr>
        <w:rPr>
          <w:szCs w:val="22"/>
        </w:rPr>
      </w:pPr>
      <w:r>
        <w:t>d</w:t>
      </w:r>
      <w:r w:rsidR="001554BD" w:rsidRPr="00F27CF5">
        <w:t xml:space="preserve">id not </w:t>
      </w:r>
      <w:r w:rsidR="00F27CF5">
        <w:t>sufficiently</w:t>
      </w:r>
      <w:r w:rsidR="00D80EDA">
        <w:t xml:space="preserve"> demonstrate an</w:t>
      </w:r>
      <w:r w:rsidR="00F27CF5">
        <w:t xml:space="preserve"> </w:t>
      </w:r>
      <w:r w:rsidR="001554BD" w:rsidRPr="00F27CF5">
        <w:t>understand</w:t>
      </w:r>
      <w:r w:rsidR="00D80EDA">
        <w:t>ing of</w:t>
      </w:r>
      <w:r w:rsidR="001554BD" w:rsidRPr="00F27CF5">
        <w:t xml:space="preserve"> the client group </w:t>
      </w:r>
      <w:r w:rsidR="00357283">
        <w:t xml:space="preserve">and their needs </w:t>
      </w:r>
      <w:r w:rsidR="00F27CF5" w:rsidRPr="00F27CF5">
        <w:t xml:space="preserve">and/or have </w:t>
      </w:r>
      <w:r w:rsidR="00357283">
        <w:t>sufficient</w:t>
      </w:r>
      <w:r w:rsidR="00F27CF5" w:rsidRPr="00F27CF5">
        <w:t xml:space="preserve"> strategies </w:t>
      </w:r>
      <w:r w:rsidR="001554BD" w:rsidRPr="00F27CF5">
        <w:t>to connect or establish credibility with clients</w:t>
      </w:r>
    </w:p>
    <w:p w:rsidR="001554BD" w:rsidRPr="00B54807" w:rsidRDefault="00B14581" w:rsidP="00F85F98">
      <w:pPr>
        <w:pStyle w:val="BodyText"/>
        <w:numPr>
          <w:ilvl w:val="0"/>
          <w:numId w:val="31"/>
        </w:numPr>
        <w:rPr>
          <w:szCs w:val="22"/>
        </w:rPr>
      </w:pPr>
      <w:r>
        <w:t>d</w:t>
      </w:r>
      <w:r w:rsidR="001554BD">
        <w:t>id not contain</w:t>
      </w:r>
      <w:r w:rsidR="00B54807">
        <w:t xml:space="preserve"> any or sufficient</w:t>
      </w:r>
      <w:r w:rsidR="001554BD">
        <w:t xml:space="preserve"> risk analysis or mitigation measures to address risks</w:t>
      </w:r>
    </w:p>
    <w:p w:rsidR="00B54807" w:rsidRDefault="00B14581" w:rsidP="00F85F98">
      <w:pPr>
        <w:pStyle w:val="BodyText"/>
        <w:numPr>
          <w:ilvl w:val="0"/>
          <w:numId w:val="31"/>
        </w:numPr>
        <w:rPr>
          <w:szCs w:val="22"/>
        </w:rPr>
      </w:pPr>
      <w:r>
        <w:rPr>
          <w:szCs w:val="22"/>
        </w:rPr>
        <w:t>c</w:t>
      </w:r>
      <w:r w:rsidR="00F27CF5">
        <w:rPr>
          <w:szCs w:val="22"/>
        </w:rPr>
        <w:t xml:space="preserve">ontained </w:t>
      </w:r>
      <w:r w:rsidR="00B54807">
        <w:rPr>
          <w:szCs w:val="22"/>
        </w:rPr>
        <w:t xml:space="preserve">deployment strategies for </w:t>
      </w:r>
      <w:r w:rsidR="00357283">
        <w:rPr>
          <w:szCs w:val="22"/>
        </w:rPr>
        <w:t xml:space="preserve">financial </w:t>
      </w:r>
      <w:r w:rsidR="00B54807">
        <w:rPr>
          <w:szCs w:val="22"/>
        </w:rPr>
        <w:t xml:space="preserve">counsellors </w:t>
      </w:r>
      <w:r w:rsidR="00357283">
        <w:rPr>
          <w:szCs w:val="22"/>
        </w:rPr>
        <w:t xml:space="preserve">that </w:t>
      </w:r>
      <w:r w:rsidR="00B54807">
        <w:rPr>
          <w:szCs w:val="22"/>
        </w:rPr>
        <w:t>were not client</w:t>
      </w:r>
      <w:r w:rsidR="009E46BF">
        <w:rPr>
          <w:szCs w:val="22"/>
        </w:rPr>
        <w:t>-</w:t>
      </w:r>
      <w:r w:rsidR="00B54807">
        <w:rPr>
          <w:szCs w:val="22"/>
        </w:rPr>
        <w:t xml:space="preserve">centric </w:t>
      </w:r>
    </w:p>
    <w:p w:rsidR="00CE4A96" w:rsidRDefault="00B14581" w:rsidP="00F85F98">
      <w:pPr>
        <w:pStyle w:val="BodyText"/>
        <w:numPr>
          <w:ilvl w:val="0"/>
          <w:numId w:val="31"/>
        </w:numPr>
        <w:rPr>
          <w:szCs w:val="22"/>
        </w:rPr>
      </w:pPr>
      <w:r>
        <w:rPr>
          <w:szCs w:val="22"/>
        </w:rPr>
        <w:t>s</w:t>
      </w:r>
      <w:r w:rsidR="00D80EDA">
        <w:rPr>
          <w:szCs w:val="22"/>
        </w:rPr>
        <w:t>ubmitted</w:t>
      </w:r>
      <w:r w:rsidR="00F27CF5">
        <w:rPr>
          <w:szCs w:val="22"/>
        </w:rPr>
        <w:t xml:space="preserve"> budget proposals that were considered </w:t>
      </w:r>
      <w:r w:rsidR="00D80EDA">
        <w:rPr>
          <w:szCs w:val="22"/>
        </w:rPr>
        <w:t xml:space="preserve">as not providing </w:t>
      </w:r>
      <w:r w:rsidR="00F27CF5">
        <w:rPr>
          <w:szCs w:val="22"/>
        </w:rPr>
        <w:t xml:space="preserve">value </w:t>
      </w:r>
      <w:r w:rsidR="00D80EDA">
        <w:rPr>
          <w:szCs w:val="22"/>
        </w:rPr>
        <w:t xml:space="preserve">with </w:t>
      </w:r>
      <w:r w:rsidR="00F27CF5">
        <w:rPr>
          <w:szCs w:val="22"/>
        </w:rPr>
        <w:t>money</w:t>
      </w:r>
      <w:r w:rsidR="00C5685F">
        <w:rPr>
          <w:szCs w:val="22"/>
        </w:rPr>
        <w:t>.</w:t>
      </w:r>
    </w:p>
    <w:p w:rsidR="00B277A0" w:rsidRDefault="00357283" w:rsidP="00F85F98">
      <w:pPr>
        <w:pStyle w:val="BodyText"/>
        <w:rPr>
          <w:szCs w:val="22"/>
        </w:rPr>
      </w:pPr>
      <w:r>
        <w:t>I</w:t>
      </w:r>
      <w:r w:rsidR="00F27CF5">
        <w:t>t should be noted under a</w:t>
      </w:r>
      <w:r w:rsidR="00F27CF5" w:rsidRPr="00215C75">
        <w:t xml:space="preserve"> merit-based, open and competitive grants process, an applicant rated </w:t>
      </w:r>
      <w:r w:rsidR="00F27CF5">
        <w:t>as satisfactory for any of the assessment criteria</w:t>
      </w:r>
      <w:r w:rsidR="00F27CF5" w:rsidRPr="00215C75">
        <w:t xml:space="preserve"> may not receive funding if another applicant </w:t>
      </w:r>
      <w:r>
        <w:t xml:space="preserve">for </w:t>
      </w:r>
      <w:r w:rsidR="00D92C36">
        <w:t>the same</w:t>
      </w:r>
      <w:r w:rsidR="00FE0480">
        <w:t xml:space="preserve"> </w:t>
      </w:r>
      <w:r>
        <w:t xml:space="preserve">region </w:t>
      </w:r>
      <w:r w:rsidR="00F27CF5">
        <w:t>wa</w:t>
      </w:r>
      <w:r w:rsidR="00F27CF5" w:rsidRPr="00215C75">
        <w:t>s rated higher</w:t>
      </w:r>
      <w:r w:rsidR="00F27CF5">
        <w:t xml:space="preserve"> and demonstrated stronger capabilities against the assessment criteria, </w:t>
      </w:r>
      <w:r w:rsidR="00D80EDA">
        <w:t xml:space="preserve">including </w:t>
      </w:r>
      <w:r w:rsidR="00F27CF5">
        <w:t>risk</w:t>
      </w:r>
      <w:r w:rsidR="00D80EDA">
        <w:t xml:space="preserve"> management</w:t>
      </w:r>
      <w:r w:rsidR="00F27CF5">
        <w:t xml:space="preserve"> and overall greater value with money.</w:t>
      </w:r>
      <w:r w:rsidR="000D403B">
        <w:t xml:space="preserve"> </w:t>
      </w:r>
    </w:p>
    <w:p w:rsidR="00FF6420" w:rsidRDefault="00B277A0" w:rsidP="00F27CF5">
      <w:pPr>
        <w:pStyle w:val="Heading2"/>
        <w:spacing w:before="0"/>
      </w:pPr>
      <w:r w:rsidRPr="001554BD">
        <w:rPr>
          <w:rFonts w:ascii="Arial" w:eastAsia="Times New Roman" w:hAnsi="Arial" w:cs="Arial"/>
          <w:b w:val="0"/>
          <w:bCs w:val="0"/>
          <w:color w:val="auto"/>
          <w:sz w:val="22"/>
          <w:szCs w:val="22"/>
        </w:rPr>
        <w:t>Further detail about what constituted a strong response to each criterion is provided</w:t>
      </w:r>
      <w:r w:rsidR="001554BD" w:rsidRPr="001554BD">
        <w:rPr>
          <w:rFonts w:ascii="Arial" w:eastAsia="Times New Roman" w:hAnsi="Arial" w:cs="Arial"/>
          <w:b w:val="0"/>
          <w:bCs w:val="0"/>
          <w:color w:val="auto"/>
          <w:sz w:val="22"/>
          <w:szCs w:val="22"/>
        </w:rPr>
        <w:t xml:space="preserve"> below</w:t>
      </w:r>
      <w:r w:rsidRPr="001554BD">
        <w:rPr>
          <w:rFonts w:ascii="Arial" w:eastAsia="Times New Roman" w:hAnsi="Arial" w:cs="Arial"/>
          <w:b w:val="0"/>
          <w:bCs w:val="0"/>
          <w:color w:val="auto"/>
          <w:sz w:val="22"/>
          <w:szCs w:val="22"/>
        </w:rPr>
        <w:t>.</w:t>
      </w:r>
      <w:r w:rsidR="00454EB4">
        <w:br w:type="column"/>
      </w:r>
      <w:r w:rsidR="00F85F98">
        <w:t>Criterion 1</w:t>
      </w:r>
      <w:r w:rsidR="00D3519E">
        <w:t xml:space="preserve"> </w:t>
      </w:r>
      <w:r w:rsidR="009444D0">
        <w:t>—</w:t>
      </w:r>
      <w:r w:rsidR="00D3519E">
        <w:t xml:space="preserve"> </w:t>
      </w:r>
      <w:r w:rsidR="00FF6420" w:rsidRPr="004E12D7">
        <w:t>Case managemen</w:t>
      </w:r>
      <w:r w:rsidR="00FF6420" w:rsidRPr="00C20491">
        <w:t xml:space="preserve">t </w:t>
      </w:r>
      <w:r w:rsidR="00FF6420">
        <w:t>(25%)</w:t>
      </w:r>
    </w:p>
    <w:tbl>
      <w:tblPr>
        <w:tblStyle w:val="CGHTableBanded"/>
        <w:tblW w:w="9781" w:type="dxa"/>
        <w:tblLook w:val="04A0" w:firstRow="1" w:lastRow="0" w:firstColumn="1" w:lastColumn="0" w:noHBand="0" w:noVBand="1"/>
        <w:tblCaption w:val="Examples of strong responses to Criterion 1"/>
      </w:tblPr>
      <w:tblGrid>
        <w:gridCol w:w="4253"/>
        <w:gridCol w:w="5528"/>
      </w:tblGrid>
      <w:tr w:rsidR="00F85F98" w:rsidRPr="00D80EDA" w:rsidTr="00F71958">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F85F98" w:rsidRPr="008C5596" w:rsidRDefault="00DB4288" w:rsidP="009F1ED2">
            <w:pPr>
              <w:spacing w:line="240" w:lineRule="auto"/>
              <w:ind w:left="57" w:right="57"/>
              <w:rPr>
                <w:b/>
                <w:sz w:val="20"/>
              </w:rPr>
            </w:pPr>
            <w:r w:rsidRPr="008C5596">
              <w:rPr>
                <w:rFonts w:ascii="Arial" w:eastAsia="Arial" w:hAnsi="Arial" w:cs="Arial"/>
                <w:b/>
                <w:color w:val="auto"/>
                <w:sz w:val="20"/>
              </w:rPr>
              <w:t>Strong applications</w:t>
            </w:r>
          </w:p>
        </w:tc>
        <w:tc>
          <w:tcPr>
            <w:tcW w:w="5528" w:type="dxa"/>
            <w:vAlign w:val="center"/>
          </w:tcPr>
          <w:p w:rsidR="00F85F98" w:rsidRPr="008C5596" w:rsidRDefault="00F85F98">
            <w:pPr>
              <w:spacing w:line="240" w:lineRule="auto"/>
              <w:ind w:left="57" w:right="57"/>
              <w:rPr>
                <w:b/>
                <w:sz w:val="20"/>
              </w:rPr>
            </w:pPr>
            <w:r w:rsidRPr="008C5596">
              <w:rPr>
                <w:b/>
                <w:sz w:val="20"/>
              </w:rPr>
              <w:t>Example</w:t>
            </w:r>
            <w:r w:rsidR="00D3519E">
              <w:rPr>
                <w:b/>
                <w:sz w:val="20"/>
              </w:rPr>
              <w:t xml:space="preserve"> </w:t>
            </w:r>
            <w:r w:rsidR="009444D0">
              <w:rPr>
                <w:b/>
                <w:sz w:val="20"/>
              </w:rPr>
              <w:t>—</w:t>
            </w:r>
            <w:r w:rsidR="00D3519E">
              <w:rPr>
                <w:b/>
                <w:sz w:val="20"/>
              </w:rPr>
              <w:t xml:space="preserve"> </w:t>
            </w:r>
            <w:r w:rsidR="008C5596" w:rsidRPr="00DD6448">
              <w:rPr>
                <w:bCs/>
                <w:sz w:val="20"/>
              </w:rPr>
              <w:t>Q</w:t>
            </w:r>
            <w:r w:rsidR="00DB4288" w:rsidRPr="00DD6448">
              <w:rPr>
                <w:rFonts w:ascii="Arial" w:eastAsia="Arial" w:hAnsi="Arial"/>
                <w:bCs/>
                <w:color w:val="000000"/>
                <w:sz w:val="20"/>
              </w:rPr>
              <w:t>uality</w:t>
            </w:r>
            <w:r w:rsidR="00DB4288" w:rsidRPr="008C5596">
              <w:rPr>
                <w:rFonts w:ascii="Arial" w:eastAsia="Arial" w:hAnsi="Arial"/>
                <w:color w:val="000000"/>
                <w:sz w:val="20"/>
              </w:rPr>
              <w:t xml:space="preserve"> responses </w:t>
            </w:r>
            <w:r w:rsidR="0099337C" w:rsidRPr="008C5596">
              <w:rPr>
                <w:rFonts w:ascii="Arial" w:eastAsia="Arial" w:hAnsi="Arial" w:cs="Arial"/>
                <w:color w:val="auto"/>
                <w:sz w:val="20"/>
              </w:rPr>
              <w:t>provided</w:t>
            </w:r>
            <w:r w:rsidR="00DB4288" w:rsidRPr="008C5596">
              <w:rPr>
                <w:rFonts w:ascii="Arial" w:eastAsia="Arial" w:hAnsi="Arial"/>
                <w:color w:val="000000"/>
                <w:sz w:val="20"/>
              </w:rPr>
              <w:t>:</w:t>
            </w:r>
          </w:p>
        </w:tc>
      </w:tr>
      <w:tr w:rsidR="00F85F98" w:rsidRPr="00D80EDA"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F85F98" w:rsidRPr="008C5596" w:rsidRDefault="00DB4288" w:rsidP="009F1ED2">
            <w:pPr>
              <w:spacing w:before="120" w:after="120" w:line="240" w:lineRule="auto"/>
              <w:ind w:left="113" w:right="57"/>
              <w:rPr>
                <w:rFonts w:ascii="Arial" w:eastAsia="Arial" w:hAnsi="Arial" w:cs="Arial"/>
                <w:bCs/>
                <w:color w:val="auto"/>
                <w:sz w:val="20"/>
              </w:rPr>
            </w:pPr>
            <w:r w:rsidRPr="008C5596">
              <w:rPr>
                <w:rFonts w:ascii="Arial" w:eastAsia="Arial" w:hAnsi="Arial" w:cs="Arial"/>
                <w:bCs/>
                <w:color w:val="auto"/>
                <w:sz w:val="20"/>
              </w:rPr>
              <w:t>C</w:t>
            </w:r>
            <w:r w:rsidR="00F85F98" w:rsidRPr="008C5596">
              <w:rPr>
                <w:rFonts w:ascii="Arial" w:eastAsia="Arial" w:hAnsi="Arial" w:cs="Arial"/>
                <w:bCs/>
                <w:color w:val="auto"/>
                <w:sz w:val="20"/>
              </w:rPr>
              <w:t xml:space="preserve">learly </w:t>
            </w:r>
            <w:r w:rsidR="002437AD" w:rsidRPr="008C5596">
              <w:rPr>
                <w:bCs/>
                <w:sz w:val="20"/>
              </w:rPr>
              <w:t xml:space="preserve">outlined their case management approach and demonstrated how </w:t>
            </w:r>
            <w:r w:rsidR="000A0196" w:rsidRPr="008C5596">
              <w:rPr>
                <w:bCs/>
                <w:sz w:val="20"/>
              </w:rPr>
              <w:t>it</w:t>
            </w:r>
            <w:r w:rsidR="002437AD" w:rsidRPr="008C5596">
              <w:rPr>
                <w:bCs/>
                <w:sz w:val="20"/>
              </w:rPr>
              <w:t xml:space="preserve"> will achieve the RFCS </w:t>
            </w:r>
            <w:r w:rsidR="0010537E">
              <w:rPr>
                <w:bCs/>
                <w:sz w:val="20"/>
              </w:rPr>
              <w:t>P</w:t>
            </w:r>
            <w:r w:rsidR="002437AD" w:rsidRPr="008C5596">
              <w:rPr>
                <w:bCs/>
                <w:sz w:val="20"/>
              </w:rPr>
              <w:t>rogram objectives and client outcomes listed in the program logic</w:t>
            </w:r>
          </w:p>
        </w:tc>
        <w:tc>
          <w:tcPr>
            <w:tcW w:w="5528" w:type="dxa"/>
            <w:shd w:val="clear" w:color="auto" w:fill="DFE1DF" w:themeFill="text2"/>
            <w:vAlign w:val="center"/>
          </w:tcPr>
          <w:p w:rsidR="0099337C" w:rsidRPr="008C5596" w:rsidRDefault="003369DA" w:rsidP="008C5596">
            <w:pPr>
              <w:pStyle w:val="ListParagraph"/>
              <w:numPr>
                <w:ilvl w:val="0"/>
                <w:numId w:val="23"/>
              </w:numPr>
              <w:spacing w:after="60" w:line="240" w:lineRule="auto"/>
              <w:ind w:left="471" w:right="57"/>
              <w:contextualSpacing w:val="0"/>
              <w:rPr>
                <w:rFonts w:ascii="Arial" w:eastAsia="Arial" w:hAnsi="Arial" w:cs="Arial"/>
                <w:color w:val="auto"/>
                <w:sz w:val="20"/>
              </w:rPr>
            </w:pPr>
            <w:r w:rsidRPr="008C5596">
              <w:rPr>
                <w:rFonts w:ascii="Arial" w:eastAsia="Arial" w:hAnsi="Arial" w:cs="Arial"/>
                <w:color w:val="auto"/>
                <w:sz w:val="20"/>
              </w:rPr>
              <w:t>comprehensive</w:t>
            </w:r>
            <w:r w:rsidR="00B9653A" w:rsidRPr="008C5596">
              <w:rPr>
                <w:rFonts w:ascii="Arial" w:eastAsia="Arial" w:hAnsi="Arial" w:cs="Arial"/>
                <w:color w:val="auto"/>
                <w:sz w:val="20"/>
              </w:rPr>
              <w:t xml:space="preserve"> information </w:t>
            </w:r>
            <w:r w:rsidR="00D0424C" w:rsidRPr="008C5596">
              <w:rPr>
                <w:rFonts w:ascii="Arial" w:eastAsia="Arial" w:hAnsi="Arial" w:cs="Arial"/>
                <w:color w:val="auto"/>
                <w:sz w:val="20"/>
              </w:rPr>
              <w:t>explaining</w:t>
            </w:r>
            <w:r w:rsidR="00B9653A" w:rsidRPr="008C5596">
              <w:rPr>
                <w:rFonts w:ascii="Arial" w:eastAsia="Arial" w:hAnsi="Arial" w:cs="Arial"/>
                <w:color w:val="auto"/>
                <w:sz w:val="20"/>
              </w:rPr>
              <w:t xml:space="preserve"> </w:t>
            </w:r>
            <w:r w:rsidR="00AA6DBD" w:rsidRPr="008C5596">
              <w:rPr>
                <w:rFonts w:ascii="Arial" w:eastAsia="Arial" w:hAnsi="Arial" w:cs="Arial"/>
                <w:color w:val="auto"/>
                <w:sz w:val="20"/>
              </w:rPr>
              <w:t xml:space="preserve">the </w:t>
            </w:r>
            <w:r w:rsidR="00DD6448">
              <w:rPr>
                <w:rFonts w:ascii="Arial" w:eastAsia="Arial" w:hAnsi="Arial" w:cs="Arial"/>
                <w:color w:val="auto"/>
                <w:sz w:val="20"/>
              </w:rPr>
              <w:t xml:space="preserve">structure and </w:t>
            </w:r>
            <w:r w:rsidR="00AA6DBD" w:rsidRPr="008C5596">
              <w:rPr>
                <w:rFonts w:ascii="Arial" w:eastAsia="Arial" w:hAnsi="Arial" w:cs="Arial"/>
                <w:color w:val="auto"/>
                <w:sz w:val="20"/>
              </w:rPr>
              <w:t xml:space="preserve">steps in </w:t>
            </w:r>
            <w:r w:rsidR="00B9653A" w:rsidRPr="008C5596">
              <w:rPr>
                <w:rFonts w:ascii="Arial" w:eastAsia="Arial" w:hAnsi="Arial" w:cs="Arial"/>
                <w:color w:val="auto"/>
                <w:sz w:val="20"/>
              </w:rPr>
              <w:t>the</w:t>
            </w:r>
            <w:r w:rsidR="00AA6DBD" w:rsidRPr="008C5596">
              <w:rPr>
                <w:rFonts w:ascii="Arial" w:eastAsia="Arial" w:hAnsi="Arial" w:cs="Arial"/>
                <w:color w:val="auto"/>
                <w:sz w:val="20"/>
              </w:rPr>
              <w:t xml:space="preserve"> </w:t>
            </w:r>
            <w:r w:rsidR="00AA6DBD" w:rsidRPr="008C5596">
              <w:rPr>
                <w:bCs/>
                <w:sz w:val="20"/>
              </w:rPr>
              <w:t>case management approach</w:t>
            </w:r>
            <w:r w:rsidR="00FB0D13" w:rsidRPr="008C5596">
              <w:rPr>
                <w:bCs/>
                <w:sz w:val="20"/>
              </w:rPr>
              <w:t xml:space="preserve"> </w:t>
            </w:r>
          </w:p>
          <w:p w:rsidR="0099337C" w:rsidRPr="008C5596" w:rsidRDefault="00B30106" w:rsidP="008C5596">
            <w:pPr>
              <w:pStyle w:val="ListParagraph"/>
              <w:numPr>
                <w:ilvl w:val="0"/>
                <w:numId w:val="23"/>
              </w:numPr>
              <w:spacing w:after="60" w:line="240" w:lineRule="auto"/>
              <w:ind w:left="471" w:right="57"/>
              <w:contextualSpacing w:val="0"/>
              <w:rPr>
                <w:rFonts w:ascii="Arial" w:eastAsia="Arial" w:hAnsi="Arial" w:cs="Arial"/>
                <w:color w:val="auto"/>
                <w:sz w:val="20"/>
              </w:rPr>
            </w:pPr>
            <w:r w:rsidRPr="008C5596">
              <w:rPr>
                <w:rFonts w:eastAsia="Arial" w:cs="Arial"/>
                <w:sz w:val="20"/>
              </w:rPr>
              <w:t>evidence the approach was</w:t>
            </w:r>
            <w:r w:rsidR="0099337C" w:rsidRPr="008C5596">
              <w:rPr>
                <w:rFonts w:eastAsia="Arial" w:cs="Arial"/>
                <w:sz w:val="20"/>
              </w:rPr>
              <w:t xml:space="preserve"> targeted </w:t>
            </w:r>
            <w:r w:rsidR="00F67ACD" w:rsidRPr="008C5596">
              <w:rPr>
                <w:rFonts w:eastAsia="Arial" w:cs="Arial"/>
                <w:sz w:val="20"/>
              </w:rPr>
              <w:t>for</w:t>
            </w:r>
            <w:r w:rsidR="0099337C" w:rsidRPr="008C5596">
              <w:rPr>
                <w:rFonts w:eastAsia="Arial" w:cs="Arial"/>
                <w:sz w:val="20"/>
              </w:rPr>
              <w:t xml:space="preserve"> eligible clients with primary production (or related) businesses </w:t>
            </w:r>
          </w:p>
          <w:p w:rsidR="00470E5E" w:rsidRPr="008C5596" w:rsidRDefault="0099337C" w:rsidP="008C5596">
            <w:pPr>
              <w:pStyle w:val="ListParagraph"/>
              <w:numPr>
                <w:ilvl w:val="0"/>
                <w:numId w:val="23"/>
              </w:numPr>
              <w:spacing w:after="60" w:line="240" w:lineRule="auto"/>
              <w:ind w:left="471" w:right="57"/>
              <w:contextualSpacing w:val="0"/>
              <w:rPr>
                <w:rFonts w:ascii="Arial" w:eastAsia="Arial" w:hAnsi="Arial" w:cs="Arial"/>
                <w:color w:val="auto"/>
                <w:sz w:val="20"/>
              </w:rPr>
            </w:pPr>
            <w:r w:rsidRPr="008C5596">
              <w:rPr>
                <w:bCs/>
                <w:sz w:val="20"/>
              </w:rPr>
              <w:t>practical examples of activities included in each step</w:t>
            </w:r>
            <w:r w:rsidR="00470E5E" w:rsidRPr="008C5596">
              <w:rPr>
                <w:bCs/>
                <w:sz w:val="20"/>
              </w:rPr>
              <w:t xml:space="preserve">, expectations of clients </w:t>
            </w:r>
            <w:r w:rsidR="0028472B" w:rsidRPr="008C5596">
              <w:rPr>
                <w:bCs/>
                <w:sz w:val="20"/>
              </w:rPr>
              <w:t>and objective</w:t>
            </w:r>
            <w:r w:rsidR="000D403B" w:rsidRPr="008C5596">
              <w:rPr>
                <w:bCs/>
                <w:sz w:val="20"/>
              </w:rPr>
              <w:t>s</w:t>
            </w:r>
            <w:r w:rsidR="0028472B" w:rsidRPr="008C5596">
              <w:rPr>
                <w:bCs/>
                <w:sz w:val="20"/>
              </w:rPr>
              <w:t xml:space="preserve"> sought </w:t>
            </w:r>
          </w:p>
          <w:p w:rsidR="00C01699" w:rsidRPr="008C5596" w:rsidRDefault="003A52F3" w:rsidP="008C5596">
            <w:pPr>
              <w:pStyle w:val="ListParagraph"/>
              <w:numPr>
                <w:ilvl w:val="0"/>
                <w:numId w:val="23"/>
              </w:numPr>
              <w:spacing w:after="60" w:line="240" w:lineRule="auto"/>
              <w:ind w:left="471" w:right="57"/>
              <w:contextualSpacing w:val="0"/>
              <w:rPr>
                <w:rFonts w:ascii="Arial" w:eastAsia="Arial" w:hAnsi="Arial" w:cs="Arial"/>
                <w:color w:val="auto"/>
                <w:sz w:val="20"/>
              </w:rPr>
            </w:pPr>
            <w:r w:rsidRPr="008C5596">
              <w:rPr>
                <w:bCs/>
                <w:sz w:val="20"/>
              </w:rPr>
              <w:t xml:space="preserve">strong </w:t>
            </w:r>
            <w:r w:rsidR="00AA6DBD" w:rsidRPr="008C5596">
              <w:rPr>
                <w:bCs/>
                <w:sz w:val="20"/>
              </w:rPr>
              <w:t xml:space="preserve">linkages to the program </w:t>
            </w:r>
            <w:r w:rsidR="0010537E">
              <w:rPr>
                <w:bCs/>
                <w:sz w:val="20"/>
              </w:rPr>
              <w:t>l</w:t>
            </w:r>
            <w:r w:rsidR="00AA6DBD" w:rsidRPr="008C5596">
              <w:rPr>
                <w:bCs/>
                <w:sz w:val="20"/>
              </w:rPr>
              <w:t>ogic for each step</w:t>
            </w:r>
            <w:r w:rsidR="000A0196" w:rsidRPr="008C5596">
              <w:rPr>
                <w:bCs/>
                <w:sz w:val="20"/>
              </w:rPr>
              <w:t>, with the</w:t>
            </w:r>
            <w:r w:rsidR="00AA6DBD" w:rsidRPr="008C5596">
              <w:rPr>
                <w:bCs/>
                <w:sz w:val="20"/>
              </w:rPr>
              <w:t xml:space="preserve"> approach</w:t>
            </w:r>
            <w:r w:rsidR="0099337C" w:rsidRPr="008C5596">
              <w:rPr>
                <w:bCs/>
                <w:sz w:val="20"/>
              </w:rPr>
              <w:t xml:space="preserve"> </w:t>
            </w:r>
            <w:r w:rsidR="00B30106" w:rsidRPr="008C5596">
              <w:rPr>
                <w:bCs/>
                <w:sz w:val="20"/>
              </w:rPr>
              <w:t>tailored to</w:t>
            </w:r>
            <w:r w:rsidR="0099337C" w:rsidRPr="008C5596">
              <w:rPr>
                <w:bCs/>
                <w:sz w:val="20"/>
              </w:rPr>
              <w:t xml:space="preserve"> </w:t>
            </w:r>
            <w:r w:rsidR="00B9653A" w:rsidRPr="008C5596">
              <w:rPr>
                <w:bCs/>
                <w:sz w:val="20"/>
              </w:rPr>
              <w:t xml:space="preserve">deliver outcomes </w:t>
            </w:r>
            <w:r w:rsidR="00B30106" w:rsidRPr="008C5596">
              <w:rPr>
                <w:bCs/>
                <w:sz w:val="20"/>
              </w:rPr>
              <w:t>for</w:t>
            </w:r>
            <w:r w:rsidR="00B9653A" w:rsidRPr="008C5596">
              <w:rPr>
                <w:bCs/>
                <w:sz w:val="20"/>
              </w:rPr>
              <w:t xml:space="preserve"> the</w:t>
            </w:r>
            <w:r w:rsidR="0099337C" w:rsidRPr="008C5596">
              <w:rPr>
                <w:bCs/>
                <w:sz w:val="20"/>
              </w:rPr>
              <w:t xml:space="preserve"> refocused</w:t>
            </w:r>
            <w:r w:rsidR="00B9653A" w:rsidRPr="008C5596">
              <w:rPr>
                <w:bCs/>
                <w:sz w:val="20"/>
              </w:rPr>
              <w:t xml:space="preserve"> RFCS</w:t>
            </w:r>
            <w:r w:rsidR="0099337C" w:rsidRPr="008C5596">
              <w:rPr>
                <w:bCs/>
                <w:sz w:val="20"/>
              </w:rPr>
              <w:t xml:space="preserve"> </w:t>
            </w:r>
            <w:r w:rsidR="0010537E">
              <w:rPr>
                <w:bCs/>
                <w:sz w:val="20"/>
              </w:rPr>
              <w:t>P</w:t>
            </w:r>
            <w:r w:rsidR="0099337C" w:rsidRPr="008C5596">
              <w:rPr>
                <w:bCs/>
                <w:sz w:val="20"/>
              </w:rPr>
              <w:t>rogram</w:t>
            </w:r>
            <w:r w:rsidR="00C01699" w:rsidRPr="008C5596">
              <w:rPr>
                <w:bCs/>
                <w:sz w:val="20"/>
              </w:rPr>
              <w:t xml:space="preserve"> </w:t>
            </w:r>
          </w:p>
        </w:tc>
      </w:tr>
      <w:tr w:rsidR="002437AD" w:rsidRPr="00D80EDA"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2437AD" w:rsidRPr="008C5596" w:rsidRDefault="00DB4288" w:rsidP="008C5596">
            <w:pPr>
              <w:spacing w:before="120" w:after="120" w:line="240" w:lineRule="auto"/>
              <w:ind w:left="113" w:right="57"/>
              <w:rPr>
                <w:rFonts w:ascii="Arial" w:eastAsia="Arial" w:hAnsi="Arial" w:cs="Arial"/>
                <w:bCs/>
                <w:color w:val="auto"/>
                <w:sz w:val="20"/>
              </w:rPr>
            </w:pPr>
            <w:r w:rsidRPr="008C5596">
              <w:rPr>
                <w:rFonts w:ascii="Arial" w:eastAsia="Arial" w:hAnsi="Arial" w:cs="Arial"/>
                <w:bCs/>
                <w:color w:val="auto"/>
                <w:sz w:val="20"/>
              </w:rPr>
              <w:t>C</w:t>
            </w:r>
            <w:r w:rsidR="002437AD" w:rsidRPr="008C5596">
              <w:rPr>
                <w:rFonts w:ascii="Arial" w:eastAsia="Arial" w:hAnsi="Arial" w:cs="Arial"/>
                <w:bCs/>
                <w:color w:val="auto"/>
                <w:sz w:val="20"/>
              </w:rPr>
              <w:t>learly demonstrated how their case management approach would support</w:t>
            </w:r>
            <w:r w:rsidR="009444D0">
              <w:rPr>
                <w:rFonts w:ascii="Arial" w:eastAsia="Arial" w:hAnsi="Arial" w:cs="Arial"/>
                <w:bCs/>
                <w:color w:val="auto"/>
                <w:sz w:val="20"/>
              </w:rPr>
              <w:t xml:space="preserve"> </w:t>
            </w:r>
            <w:r w:rsidR="002437AD" w:rsidRPr="008C5596">
              <w:rPr>
                <w:rFonts w:ascii="Arial" w:eastAsia="Arial" w:hAnsi="Arial" w:cs="Arial"/>
                <w:bCs/>
                <w:color w:val="auto"/>
                <w:sz w:val="20"/>
              </w:rPr>
              <w:t>the client through the change process</w:t>
            </w:r>
            <w:r w:rsidR="009444D0">
              <w:rPr>
                <w:rFonts w:ascii="Arial" w:eastAsia="Arial" w:hAnsi="Arial" w:cs="Arial"/>
                <w:bCs/>
                <w:color w:val="auto"/>
                <w:sz w:val="20"/>
              </w:rPr>
              <w:t>,</w:t>
            </w:r>
            <w:r w:rsidRPr="008C5596">
              <w:rPr>
                <w:rFonts w:ascii="Arial" w:eastAsia="Arial" w:hAnsi="Arial" w:cs="Arial"/>
                <w:bCs/>
                <w:color w:val="auto"/>
                <w:sz w:val="20"/>
              </w:rPr>
              <w:t xml:space="preserve"> and</w:t>
            </w:r>
            <w:r w:rsidR="008C5596">
              <w:rPr>
                <w:rFonts w:ascii="Arial" w:eastAsia="Arial" w:hAnsi="Arial" w:cs="Arial"/>
                <w:bCs/>
                <w:color w:val="auto"/>
                <w:sz w:val="20"/>
              </w:rPr>
              <w:t xml:space="preserve"> </w:t>
            </w:r>
            <w:r w:rsidRPr="008C5596">
              <w:rPr>
                <w:rFonts w:ascii="Arial" w:eastAsia="Arial" w:hAnsi="Arial" w:cs="Arial"/>
                <w:bCs/>
                <w:color w:val="auto"/>
                <w:sz w:val="20"/>
              </w:rPr>
              <w:t>counsellors to establish rapport and trust with clients in challengin</w:t>
            </w:r>
            <w:r w:rsidR="0079147D" w:rsidRPr="008C5596">
              <w:rPr>
                <w:rFonts w:ascii="Arial" w:eastAsia="Arial" w:hAnsi="Arial" w:cs="Arial"/>
                <w:bCs/>
                <w:color w:val="auto"/>
                <w:sz w:val="20"/>
              </w:rPr>
              <w:t xml:space="preserve">g </w:t>
            </w:r>
            <w:r w:rsidRPr="008C5596">
              <w:rPr>
                <w:rFonts w:ascii="Arial" w:eastAsia="Arial" w:hAnsi="Arial" w:cs="Arial"/>
                <w:bCs/>
                <w:color w:val="auto"/>
                <w:sz w:val="20"/>
              </w:rPr>
              <w:t>circumstances</w:t>
            </w:r>
          </w:p>
        </w:tc>
        <w:tc>
          <w:tcPr>
            <w:tcW w:w="5528" w:type="dxa"/>
            <w:shd w:val="clear" w:color="auto" w:fill="EFF0EF" w:themeFill="background2"/>
            <w:vAlign w:val="center"/>
          </w:tcPr>
          <w:p w:rsidR="0028472B" w:rsidRPr="008C5596" w:rsidRDefault="00E23AB2" w:rsidP="008C5596">
            <w:pPr>
              <w:pStyle w:val="ListParagraph"/>
              <w:numPr>
                <w:ilvl w:val="0"/>
                <w:numId w:val="23"/>
              </w:numPr>
              <w:spacing w:after="60" w:line="240" w:lineRule="auto"/>
              <w:ind w:left="471" w:right="57"/>
              <w:contextualSpacing w:val="0"/>
              <w:rPr>
                <w:bCs/>
                <w:sz w:val="20"/>
              </w:rPr>
            </w:pPr>
            <w:r w:rsidRPr="008C5596">
              <w:rPr>
                <w:bCs/>
                <w:sz w:val="20"/>
              </w:rPr>
              <w:t>a</w:t>
            </w:r>
            <w:r w:rsidR="000D403B" w:rsidRPr="008C5596">
              <w:rPr>
                <w:bCs/>
                <w:sz w:val="20"/>
              </w:rPr>
              <w:t xml:space="preserve"> sound</w:t>
            </w:r>
            <w:r w:rsidR="0028472B" w:rsidRPr="008C5596">
              <w:rPr>
                <w:bCs/>
                <w:sz w:val="20"/>
              </w:rPr>
              <w:t xml:space="preserve"> understanding of the client</w:t>
            </w:r>
            <w:r w:rsidR="0079147D" w:rsidRPr="008C5596">
              <w:rPr>
                <w:bCs/>
                <w:sz w:val="20"/>
              </w:rPr>
              <w:t xml:space="preserve"> base and the challenges clients may be facing </w:t>
            </w:r>
          </w:p>
          <w:p w:rsidR="00E23AB2" w:rsidRPr="008C5596" w:rsidRDefault="0079147D" w:rsidP="008C5596">
            <w:pPr>
              <w:pStyle w:val="ListParagraph"/>
              <w:numPr>
                <w:ilvl w:val="0"/>
                <w:numId w:val="23"/>
              </w:numPr>
              <w:spacing w:after="60" w:line="240" w:lineRule="auto"/>
              <w:ind w:left="471" w:right="57"/>
              <w:contextualSpacing w:val="0"/>
              <w:rPr>
                <w:bCs/>
                <w:sz w:val="20"/>
              </w:rPr>
            </w:pPr>
            <w:r w:rsidRPr="008C5596">
              <w:rPr>
                <w:bCs/>
                <w:sz w:val="20"/>
              </w:rPr>
              <w:t>a structured approach to</w:t>
            </w:r>
            <w:r w:rsidR="00972A37" w:rsidRPr="008C5596">
              <w:rPr>
                <w:bCs/>
                <w:sz w:val="20"/>
              </w:rPr>
              <w:t xml:space="preserve"> support clients in</w:t>
            </w:r>
            <w:r w:rsidRPr="008C5596">
              <w:rPr>
                <w:bCs/>
                <w:sz w:val="20"/>
              </w:rPr>
              <w:t xml:space="preserve"> </w:t>
            </w:r>
            <w:r w:rsidR="00B212D4" w:rsidRPr="008C5596">
              <w:rPr>
                <w:bCs/>
                <w:sz w:val="20"/>
              </w:rPr>
              <w:t xml:space="preserve">decision making and </w:t>
            </w:r>
            <w:r w:rsidR="00972A37" w:rsidRPr="008C5596">
              <w:rPr>
                <w:bCs/>
                <w:sz w:val="20"/>
              </w:rPr>
              <w:t>encouraging</w:t>
            </w:r>
            <w:r w:rsidR="003A52F3" w:rsidRPr="008C5596">
              <w:rPr>
                <w:bCs/>
                <w:sz w:val="20"/>
              </w:rPr>
              <w:t xml:space="preserve"> </w:t>
            </w:r>
            <w:r w:rsidR="00B212D4" w:rsidRPr="008C5596">
              <w:rPr>
                <w:bCs/>
                <w:sz w:val="20"/>
              </w:rPr>
              <w:t>behavioural change</w:t>
            </w:r>
            <w:r w:rsidR="002561D4" w:rsidRPr="008C5596">
              <w:rPr>
                <w:bCs/>
                <w:sz w:val="20"/>
              </w:rPr>
              <w:t xml:space="preserve"> </w:t>
            </w:r>
            <w:r w:rsidR="00C66913" w:rsidRPr="008C5596">
              <w:rPr>
                <w:bCs/>
                <w:sz w:val="20"/>
              </w:rPr>
              <w:t>based on evidence and</w:t>
            </w:r>
            <w:r w:rsidR="00BD50EF" w:rsidRPr="008C5596">
              <w:rPr>
                <w:bCs/>
                <w:sz w:val="20"/>
              </w:rPr>
              <w:t>/or</w:t>
            </w:r>
            <w:r w:rsidR="00C66913" w:rsidRPr="008C5596">
              <w:rPr>
                <w:bCs/>
                <w:sz w:val="20"/>
              </w:rPr>
              <w:t xml:space="preserve"> established practice</w:t>
            </w:r>
          </w:p>
          <w:p w:rsidR="00C01699" w:rsidRPr="008C5596" w:rsidRDefault="00E23AB2" w:rsidP="008C5596">
            <w:pPr>
              <w:pStyle w:val="ListParagraph"/>
              <w:numPr>
                <w:ilvl w:val="0"/>
                <w:numId w:val="23"/>
              </w:numPr>
              <w:spacing w:after="60" w:line="240" w:lineRule="auto"/>
              <w:ind w:left="471" w:right="57"/>
              <w:contextualSpacing w:val="0"/>
              <w:rPr>
                <w:bCs/>
                <w:sz w:val="20"/>
              </w:rPr>
            </w:pPr>
            <w:r w:rsidRPr="008C5596">
              <w:rPr>
                <w:bCs/>
                <w:sz w:val="20"/>
              </w:rPr>
              <w:t xml:space="preserve">practical examples </w:t>
            </w:r>
            <w:r w:rsidR="00972A37" w:rsidRPr="008C5596">
              <w:rPr>
                <w:bCs/>
                <w:sz w:val="20"/>
              </w:rPr>
              <w:t xml:space="preserve">and techniques </w:t>
            </w:r>
            <w:r w:rsidR="00443CAE" w:rsidRPr="008C5596">
              <w:rPr>
                <w:bCs/>
                <w:sz w:val="20"/>
              </w:rPr>
              <w:t>used by counsellors</w:t>
            </w:r>
            <w:r w:rsidR="002561D4" w:rsidRPr="008C5596">
              <w:rPr>
                <w:bCs/>
                <w:sz w:val="20"/>
              </w:rPr>
              <w:t xml:space="preserve"> (and/or the organisation)</w:t>
            </w:r>
            <w:r w:rsidR="00443CAE" w:rsidRPr="008C5596">
              <w:rPr>
                <w:bCs/>
                <w:sz w:val="20"/>
              </w:rPr>
              <w:t xml:space="preserve"> </w:t>
            </w:r>
            <w:r w:rsidR="00B212D4" w:rsidRPr="008C5596">
              <w:rPr>
                <w:bCs/>
                <w:sz w:val="20"/>
              </w:rPr>
              <w:t>to develop</w:t>
            </w:r>
            <w:r w:rsidR="001358DA" w:rsidRPr="008C5596">
              <w:rPr>
                <w:bCs/>
                <w:sz w:val="20"/>
              </w:rPr>
              <w:t xml:space="preserve"> rapport and trust </w:t>
            </w:r>
            <w:r w:rsidR="00B212D4" w:rsidRPr="008C5596">
              <w:rPr>
                <w:bCs/>
                <w:sz w:val="20"/>
              </w:rPr>
              <w:t>with</w:t>
            </w:r>
            <w:r w:rsidR="001358DA" w:rsidRPr="008C5596">
              <w:rPr>
                <w:bCs/>
                <w:sz w:val="20"/>
              </w:rPr>
              <w:t xml:space="preserve"> clients</w:t>
            </w:r>
            <w:r w:rsidR="0067708C">
              <w:rPr>
                <w:bCs/>
                <w:sz w:val="20"/>
              </w:rPr>
              <w:t>,</w:t>
            </w:r>
            <w:r w:rsidR="00972A37" w:rsidRPr="008C5596">
              <w:rPr>
                <w:bCs/>
                <w:sz w:val="20"/>
              </w:rPr>
              <w:t xml:space="preserve"> including </w:t>
            </w:r>
            <w:r w:rsidR="00C01699" w:rsidRPr="008C5596">
              <w:rPr>
                <w:bCs/>
                <w:sz w:val="20"/>
              </w:rPr>
              <w:t xml:space="preserve">the </w:t>
            </w:r>
            <w:r w:rsidR="00972A37" w:rsidRPr="008C5596">
              <w:rPr>
                <w:bCs/>
                <w:sz w:val="20"/>
              </w:rPr>
              <w:t>setting</w:t>
            </w:r>
            <w:r w:rsidR="00C01699" w:rsidRPr="008C5596">
              <w:rPr>
                <w:bCs/>
                <w:sz w:val="20"/>
              </w:rPr>
              <w:t xml:space="preserve">, </w:t>
            </w:r>
            <w:r w:rsidR="00D0424C" w:rsidRPr="008C5596">
              <w:rPr>
                <w:bCs/>
                <w:sz w:val="20"/>
              </w:rPr>
              <w:t xml:space="preserve">choice of counsellor </w:t>
            </w:r>
            <w:r w:rsidR="00F67ACD" w:rsidRPr="008C5596">
              <w:rPr>
                <w:bCs/>
                <w:sz w:val="20"/>
              </w:rPr>
              <w:t xml:space="preserve">and </w:t>
            </w:r>
            <w:r w:rsidR="00C01699" w:rsidRPr="008C5596">
              <w:rPr>
                <w:bCs/>
                <w:sz w:val="20"/>
              </w:rPr>
              <w:t>methods to establish credibility and reduce stigma</w:t>
            </w:r>
          </w:p>
        </w:tc>
      </w:tr>
      <w:tr w:rsidR="002437AD" w:rsidRPr="00D80EDA"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2437AD" w:rsidRPr="008C5596" w:rsidRDefault="00DB4288" w:rsidP="008C5596">
            <w:pPr>
              <w:spacing w:before="120" w:after="120" w:line="240" w:lineRule="auto"/>
              <w:ind w:left="113" w:right="57"/>
              <w:rPr>
                <w:rFonts w:ascii="Arial" w:eastAsia="Arial" w:hAnsi="Arial" w:cs="Arial"/>
                <w:bCs/>
                <w:color w:val="auto"/>
                <w:sz w:val="20"/>
              </w:rPr>
            </w:pPr>
            <w:r w:rsidRPr="008C5596">
              <w:rPr>
                <w:rFonts w:ascii="Arial" w:eastAsia="Arial" w:hAnsi="Arial" w:cs="Arial"/>
                <w:bCs/>
                <w:color w:val="auto"/>
                <w:sz w:val="20"/>
              </w:rPr>
              <w:t>C</w:t>
            </w:r>
            <w:r w:rsidR="002437AD" w:rsidRPr="008C5596">
              <w:rPr>
                <w:rFonts w:ascii="Arial" w:eastAsia="Arial" w:hAnsi="Arial" w:cs="Arial"/>
                <w:bCs/>
                <w:color w:val="auto"/>
                <w:sz w:val="20"/>
              </w:rPr>
              <w:t xml:space="preserve">learly demonstrated </w:t>
            </w:r>
            <w:r w:rsidRPr="008C5596">
              <w:rPr>
                <w:rFonts w:ascii="Arial" w:eastAsia="Arial" w:hAnsi="Arial" w:cs="Arial"/>
                <w:bCs/>
                <w:color w:val="auto"/>
                <w:sz w:val="20"/>
              </w:rPr>
              <w:t xml:space="preserve">the use of </w:t>
            </w:r>
            <w:r w:rsidR="002437AD" w:rsidRPr="008C5596">
              <w:rPr>
                <w:rFonts w:ascii="Arial" w:eastAsia="Arial" w:hAnsi="Arial" w:cs="Arial"/>
                <w:bCs/>
                <w:color w:val="auto"/>
                <w:sz w:val="20"/>
              </w:rPr>
              <w:t>counselling techniques</w:t>
            </w:r>
          </w:p>
        </w:tc>
        <w:tc>
          <w:tcPr>
            <w:tcW w:w="5528" w:type="dxa"/>
            <w:shd w:val="clear" w:color="auto" w:fill="DFE1DF" w:themeFill="text2"/>
            <w:vAlign w:val="center"/>
          </w:tcPr>
          <w:p w:rsidR="00FB0D13" w:rsidRPr="008C5596" w:rsidRDefault="00FB0D13" w:rsidP="008C5596">
            <w:pPr>
              <w:pStyle w:val="ListParagraph"/>
              <w:numPr>
                <w:ilvl w:val="0"/>
                <w:numId w:val="23"/>
              </w:numPr>
              <w:spacing w:after="60" w:line="240" w:lineRule="auto"/>
              <w:ind w:left="471" w:right="57"/>
              <w:contextualSpacing w:val="0"/>
              <w:rPr>
                <w:rFonts w:eastAsia="Arial" w:cs="Arial"/>
                <w:sz w:val="20"/>
              </w:rPr>
            </w:pPr>
            <w:r w:rsidRPr="008C5596">
              <w:rPr>
                <w:rFonts w:ascii="Arial" w:eastAsia="Arial" w:hAnsi="Arial" w:cs="Arial"/>
                <w:bCs/>
                <w:sz w:val="20"/>
              </w:rPr>
              <w:t xml:space="preserve">demonstrated experience in applying counselling techniques, understanding of behavioural psychology and emotional intelligence </w:t>
            </w:r>
          </w:p>
          <w:p w:rsidR="003A52F3" w:rsidRPr="008C5596" w:rsidRDefault="003A52F3" w:rsidP="008C5596">
            <w:pPr>
              <w:pStyle w:val="ListParagraph"/>
              <w:numPr>
                <w:ilvl w:val="0"/>
                <w:numId w:val="23"/>
              </w:numPr>
              <w:spacing w:after="60" w:line="240" w:lineRule="auto"/>
              <w:ind w:left="471" w:right="57"/>
              <w:contextualSpacing w:val="0"/>
              <w:rPr>
                <w:rFonts w:eastAsia="Arial" w:cs="Arial"/>
                <w:sz w:val="20"/>
              </w:rPr>
            </w:pPr>
            <w:r w:rsidRPr="008C5596">
              <w:rPr>
                <w:rFonts w:eastAsia="Arial" w:cs="Arial"/>
                <w:sz w:val="20"/>
              </w:rPr>
              <w:t xml:space="preserve">clear identification </w:t>
            </w:r>
            <w:r w:rsidR="0028472B" w:rsidRPr="008C5596">
              <w:rPr>
                <w:rFonts w:eastAsia="Arial" w:cs="Arial"/>
                <w:sz w:val="20"/>
              </w:rPr>
              <w:t>of the specific technique</w:t>
            </w:r>
            <w:r w:rsidR="008E533A" w:rsidRPr="008C5596">
              <w:rPr>
                <w:rFonts w:eastAsia="Arial" w:cs="Arial"/>
                <w:sz w:val="20"/>
              </w:rPr>
              <w:t xml:space="preserve">s </w:t>
            </w:r>
            <w:r w:rsidR="0028472B" w:rsidRPr="008C5596">
              <w:rPr>
                <w:rFonts w:eastAsia="Arial" w:cs="Arial"/>
                <w:sz w:val="20"/>
              </w:rPr>
              <w:t xml:space="preserve">counsellors </w:t>
            </w:r>
            <w:r w:rsidR="008E533A" w:rsidRPr="008C5596">
              <w:rPr>
                <w:rFonts w:eastAsia="Arial" w:cs="Arial"/>
                <w:sz w:val="20"/>
              </w:rPr>
              <w:t>are</w:t>
            </w:r>
            <w:r w:rsidR="0028472B" w:rsidRPr="008C5596">
              <w:rPr>
                <w:rFonts w:eastAsia="Arial" w:cs="Arial"/>
                <w:sz w:val="20"/>
              </w:rPr>
              <w:t xml:space="preserve"> trained to use </w:t>
            </w:r>
            <w:r w:rsidR="00FB0D13" w:rsidRPr="008C5596">
              <w:rPr>
                <w:rFonts w:eastAsia="Arial" w:cs="Arial"/>
                <w:sz w:val="20"/>
              </w:rPr>
              <w:t xml:space="preserve">in different scenarios </w:t>
            </w:r>
          </w:p>
        </w:tc>
      </w:tr>
      <w:tr w:rsidR="00F85F98" w:rsidRPr="00D80EDA"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F85F98" w:rsidRPr="008C5596" w:rsidRDefault="00DB4288" w:rsidP="009F1ED2">
            <w:pPr>
              <w:spacing w:before="120" w:after="120" w:line="240" w:lineRule="auto"/>
              <w:ind w:left="113" w:right="57"/>
              <w:rPr>
                <w:rFonts w:ascii="Arial" w:eastAsia="Arial" w:hAnsi="Arial" w:cs="Arial"/>
                <w:bCs/>
                <w:color w:val="auto"/>
                <w:sz w:val="20"/>
              </w:rPr>
            </w:pPr>
            <w:r w:rsidRPr="008C5596">
              <w:rPr>
                <w:rFonts w:ascii="Arial" w:eastAsia="Arial" w:hAnsi="Arial" w:cs="Arial"/>
                <w:bCs/>
                <w:color w:val="auto"/>
                <w:sz w:val="20"/>
              </w:rPr>
              <w:t>C</w:t>
            </w:r>
            <w:r w:rsidR="00F85F98" w:rsidRPr="008C5596">
              <w:rPr>
                <w:rFonts w:ascii="Arial" w:eastAsia="Arial" w:hAnsi="Arial" w:cs="Arial"/>
                <w:bCs/>
                <w:color w:val="auto"/>
                <w:sz w:val="20"/>
              </w:rPr>
              <w:t xml:space="preserve">learly demonstrated </w:t>
            </w:r>
            <w:r w:rsidR="002437AD" w:rsidRPr="008C5596">
              <w:rPr>
                <w:rFonts w:ascii="Arial" w:eastAsia="Arial" w:hAnsi="Arial" w:cs="Arial"/>
                <w:bCs/>
                <w:color w:val="auto"/>
                <w:sz w:val="20"/>
              </w:rPr>
              <w:t xml:space="preserve">how </w:t>
            </w:r>
            <w:r w:rsidR="009444D0">
              <w:rPr>
                <w:rFonts w:ascii="Arial" w:eastAsia="Arial" w:hAnsi="Arial" w:cs="Arial"/>
                <w:bCs/>
                <w:color w:val="auto"/>
                <w:sz w:val="20"/>
              </w:rPr>
              <w:t xml:space="preserve">the applicant’s </w:t>
            </w:r>
            <w:r w:rsidR="002437AD" w:rsidRPr="008C5596">
              <w:rPr>
                <w:rFonts w:ascii="Arial" w:eastAsia="Arial" w:hAnsi="Arial" w:cs="Arial"/>
                <w:bCs/>
                <w:color w:val="auto"/>
                <w:sz w:val="20"/>
              </w:rPr>
              <w:t xml:space="preserve">case management approach </w:t>
            </w:r>
            <w:r w:rsidRPr="008C5596">
              <w:rPr>
                <w:rFonts w:ascii="Arial" w:eastAsia="Arial" w:hAnsi="Arial" w:cs="Arial"/>
                <w:bCs/>
                <w:color w:val="auto"/>
                <w:sz w:val="20"/>
              </w:rPr>
              <w:t xml:space="preserve">ensures clients are case managed holistically and referred to other professional services to help realise their goals </w:t>
            </w:r>
          </w:p>
        </w:tc>
        <w:tc>
          <w:tcPr>
            <w:tcW w:w="5528" w:type="dxa"/>
            <w:shd w:val="clear" w:color="auto" w:fill="EFF0EF" w:themeFill="background2"/>
            <w:vAlign w:val="center"/>
          </w:tcPr>
          <w:p w:rsidR="008E533A" w:rsidRPr="008C5596" w:rsidRDefault="009F6C0F" w:rsidP="008C5596">
            <w:pPr>
              <w:pStyle w:val="ListParagraph"/>
              <w:numPr>
                <w:ilvl w:val="0"/>
                <w:numId w:val="23"/>
              </w:numPr>
              <w:spacing w:after="60" w:line="240" w:lineRule="auto"/>
              <w:ind w:left="471" w:right="57"/>
              <w:contextualSpacing w:val="0"/>
              <w:rPr>
                <w:bCs/>
                <w:sz w:val="20"/>
              </w:rPr>
            </w:pPr>
            <w:r w:rsidRPr="008C5596">
              <w:rPr>
                <w:bCs/>
                <w:sz w:val="20"/>
              </w:rPr>
              <w:t>e</w:t>
            </w:r>
            <w:r w:rsidR="008E533A" w:rsidRPr="008C5596">
              <w:rPr>
                <w:bCs/>
                <w:sz w:val="20"/>
              </w:rPr>
              <w:t>xamples of how br</w:t>
            </w:r>
            <w:r w:rsidR="002561D4" w:rsidRPr="008C5596">
              <w:rPr>
                <w:bCs/>
                <w:sz w:val="20"/>
              </w:rPr>
              <w:t>o</w:t>
            </w:r>
            <w:r w:rsidR="008E533A" w:rsidRPr="008C5596">
              <w:rPr>
                <w:bCs/>
                <w:sz w:val="20"/>
              </w:rPr>
              <w:t xml:space="preserve">ader issues are </w:t>
            </w:r>
            <w:r w:rsidR="00BD50EF" w:rsidRPr="008C5596">
              <w:rPr>
                <w:bCs/>
                <w:sz w:val="20"/>
              </w:rPr>
              <w:t>identified,</w:t>
            </w:r>
            <w:r w:rsidR="00FB0D13" w:rsidRPr="008C5596">
              <w:rPr>
                <w:bCs/>
                <w:sz w:val="20"/>
              </w:rPr>
              <w:t xml:space="preserve"> and </w:t>
            </w:r>
            <w:r w:rsidR="008E533A" w:rsidRPr="008C5596">
              <w:rPr>
                <w:bCs/>
                <w:sz w:val="20"/>
              </w:rPr>
              <w:t xml:space="preserve">effective referrals are made </w:t>
            </w:r>
            <w:r w:rsidRPr="008C5596">
              <w:rPr>
                <w:bCs/>
                <w:sz w:val="20"/>
              </w:rPr>
              <w:t xml:space="preserve">to a variety of specialists </w:t>
            </w:r>
            <w:r w:rsidR="00D0424C" w:rsidRPr="008C5596">
              <w:rPr>
                <w:bCs/>
                <w:sz w:val="20"/>
              </w:rPr>
              <w:t>relevant to agribusiness, family, and mental health</w:t>
            </w:r>
          </w:p>
          <w:p w:rsidR="009F6C0F" w:rsidRPr="008C5596" w:rsidRDefault="00357283" w:rsidP="008C5596">
            <w:pPr>
              <w:pStyle w:val="ListParagraph"/>
              <w:numPr>
                <w:ilvl w:val="0"/>
                <w:numId w:val="23"/>
              </w:numPr>
              <w:spacing w:after="60" w:line="240" w:lineRule="auto"/>
              <w:ind w:left="471" w:right="57"/>
              <w:contextualSpacing w:val="0"/>
              <w:rPr>
                <w:bCs/>
                <w:sz w:val="20"/>
              </w:rPr>
            </w:pPr>
            <w:r w:rsidRPr="008C5596">
              <w:rPr>
                <w:bCs/>
                <w:sz w:val="20"/>
              </w:rPr>
              <w:t>strategies to support</w:t>
            </w:r>
            <w:r w:rsidR="009F6C0F" w:rsidRPr="008C5596">
              <w:rPr>
                <w:bCs/>
                <w:sz w:val="20"/>
              </w:rPr>
              <w:t xml:space="preserve"> counsellors</w:t>
            </w:r>
            <w:r w:rsidRPr="008C5596">
              <w:rPr>
                <w:bCs/>
                <w:sz w:val="20"/>
              </w:rPr>
              <w:t>, including t</w:t>
            </w:r>
            <w:r w:rsidR="00D0424C" w:rsidRPr="008C5596">
              <w:rPr>
                <w:bCs/>
                <w:sz w:val="20"/>
              </w:rPr>
              <w:t>raining, knowledge and networks</w:t>
            </w:r>
          </w:p>
        </w:tc>
      </w:tr>
      <w:tr w:rsidR="00DB4288" w:rsidRPr="00D80EDA"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DB4288" w:rsidRPr="008C5596" w:rsidRDefault="00DB4288" w:rsidP="009F1ED2">
            <w:pPr>
              <w:spacing w:before="120" w:after="120" w:line="240" w:lineRule="auto"/>
              <w:ind w:left="113" w:right="57"/>
              <w:rPr>
                <w:rFonts w:ascii="Arial" w:eastAsia="Arial" w:hAnsi="Arial" w:cs="Arial"/>
                <w:bCs/>
                <w:color w:val="auto"/>
                <w:sz w:val="20"/>
              </w:rPr>
            </w:pPr>
            <w:r w:rsidRPr="008C5596">
              <w:rPr>
                <w:rFonts w:ascii="Arial" w:eastAsia="Arial" w:hAnsi="Arial" w:cs="Arial"/>
                <w:bCs/>
                <w:color w:val="auto"/>
                <w:sz w:val="20"/>
              </w:rPr>
              <w:t>Clearly demonstrated how the applicant will monitor and review clients’ progress towards achieving the outcomes in the program logic and support them to follow through with their agreed actions</w:t>
            </w:r>
          </w:p>
        </w:tc>
        <w:tc>
          <w:tcPr>
            <w:tcW w:w="5528" w:type="dxa"/>
            <w:shd w:val="clear" w:color="auto" w:fill="DFE1DF" w:themeFill="text2"/>
            <w:vAlign w:val="center"/>
          </w:tcPr>
          <w:p w:rsidR="00B30106" w:rsidRPr="008C5596" w:rsidRDefault="003A52F3" w:rsidP="008C5596">
            <w:pPr>
              <w:pStyle w:val="ListParagraph"/>
              <w:numPr>
                <w:ilvl w:val="0"/>
                <w:numId w:val="23"/>
              </w:numPr>
              <w:spacing w:after="60" w:line="240" w:lineRule="auto"/>
              <w:ind w:left="471" w:right="57"/>
              <w:contextualSpacing w:val="0"/>
              <w:rPr>
                <w:bCs/>
                <w:sz w:val="20"/>
              </w:rPr>
            </w:pPr>
            <w:r w:rsidRPr="008C5596">
              <w:rPr>
                <w:bCs/>
                <w:sz w:val="20"/>
              </w:rPr>
              <w:t>s</w:t>
            </w:r>
            <w:r w:rsidR="002561D4" w:rsidRPr="008C5596">
              <w:rPr>
                <w:bCs/>
                <w:sz w:val="20"/>
              </w:rPr>
              <w:t>trategies</w:t>
            </w:r>
            <w:r w:rsidRPr="008C5596">
              <w:rPr>
                <w:bCs/>
                <w:sz w:val="20"/>
              </w:rPr>
              <w:t xml:space="preserve"> and evidence of established monitoring and evaluation practise</w:t>
            </w:r>
            <w:r w:rsidR="000D403B" w:rsidRPr="008C5596">
              <w:rPr>
                <w:bCs/>
                <w:sz w:val="20"/>
              </w:rPr>
              <w:t xml:space="preserve">s, linked to </w:t>
            </w:r>
            <w:r w:rsidR="00B30106" w:rsidRPr="008C5596">
              <w:rPr>
                <w:bCs/>
                <w:sz w:val="20"/>
              </w:rPr>
              <w:t xml:space="preserve">the program logic </w:t>
            </w:r>
          </w:p>
          <w:p w:rsidR="00B9074B" w:rsidRPr="008C5596" w:rsidRDefault="00B30106" w:rsidP="008C5596">
            <w:pPr>
              <w:pStyle w:val="ListParagraph"/>
              <w:numPr>
                <w:ilvl w:val="0"/>
                <w:numId w:val="23"/>
              </w:numPr>
              <w:spacing w:after="60" w:line="240" w:lineRule="auto"/>
              <w:ind w:left="471" w:right="57"/>
              <w:contextualSpacing w:val="0"/>
              <w:rPr>
                <w:bCs/>
                <w:sz w:val="20"/>
              </w:rPr>
            </w:pPr>
            <w:r w:rsidRPr="008C5596">
              <w:rPr>
                <w:bCs/>
                <w:sz w:val="20"/>
              </w:rPr>
              <w:t>practical examples of how clients are supported</w:t>
            </w:r>
            <w:r w:rsidR="00D0424C" w:rsidRPr="008C5596">
              <w:rPr>
                <w:bCs/>
                <w:sz w:val="20"/>
              </w:rPr>
              <w:t xml:space="preserve">, </w:t>
            </w:r>
            <w:r w:rsidR="007D249B" w:rsidRPr="008C5596">
              <w:rPr>
                <w:bCs/>
                <w:sz w:val="20"/>
              </w:rPr>
              <w:t>what success looks like</w:t>
            </w:r>
            <w:r w:rsidRPr="008C5596">
              <w:rPr>
                <w:bCs/>
                <w:sz w:val="20"/>
              </w:rPr>
              <w:t xml:space="preserve"> </w:t>
            </w:r>
            <w:r w:rsidR="00B9074B" w:rsidRPr="008C5596">
              <w:rPr>
                <w:bCs/>
                <w:sz w:val="20"/>
              </w:rPr>
              <w:t xml:space="preserve">and what actions are taken to assist counsellors or clients when progress is not evident, including acceptable timeframes </w:t>
            </w:r>
            <w:r w:rsidR="00D0424C" w:rsidRPr="008C5596">
              <w:rPr>
                <w:bCs/>
                <w:sz w:val="20"/>
              </w:rPr>
              <w:t>for action</w:t>
            </w:r>
          </w:p>
          <w:p w:rsidR="00B30106" w:rsidRPr="008C5596" w:rsidRDefault="00B30106" w:rsidP="008C5596">
            <w:pPr>
              <w:pStyle w:val="ListParagraph"/>
              <w:numPr>
                <w:ilvl w:val="0"/>
                <w:numId w:val="23"/>
              </w:numPr>
              <w:spacing w:after="60" w:line="240" w:lineRule="auto"/>
              <w:ind w:left="471" w:right="57"/>
              <w:contextualSpacing w:val="0"/>
              <w:rPr>
                <w:bCs/>
                <w:sz w:val="20"/>
              </w:rPr>
            </w:pPr>
            <w:r w:rsidRPr="008C5596">
              <w:rPr>
                <w:bCs/>
                <w:sz w:val="20"/>
              </w:rPr>
              <w:t>evidence of a focus on continuous improvement</w:t>
            </w:r>
          </w:p>
        </w:tc>
      </w:tr>
      <w:tr w:rsidR="00F85F98" w:rsidRPr="00D80EDA" w:rsidTr="00F71958">
        <w:trPr>
          <w:cnfStyle w:val="100000000000" w:firstRow="1" w:lastRow="0" w:firstColumn="0" w:lastColumn="0" w:oddVBand="0" w:evenVBand="0" w:oddHBand="0" w:evenHBand="0" w:firstRowFirstColumn="0" w:firstRowLastColumn="0" w:lastRowFirstColumn="0" w:lastRowLastColumn="0"/>
          <w:trHeight w:val="557"/>
          <w:tblHeader/>
        </w:trPr>
        <w:tc>
          <w:tcPr>
            <w:tcW w:w="4253" w:type="dxa"/>
            <w:shd w:val="clear" w:color="auto" w:fill="EFF0EF" w:themeFill="background2"/>
            <w:vAlign w:val="center"/>
          </w:tcPr>
          <w:p w:rsidR="00F85F98" w:rsidRPr="008C5596" w:rsidRDefault="00DB4288" w:rsidP="009F1ED2">
            <w:pPr>
              <w:spacing w:before="120" w:after="120" w:line="240" w:lineRule="auto"/>
              <w:ind w:left="113" w:right="57"/>
              <w:rPr>
                <w:rFonts w:ascii="Arial" w:eastAsia="Arial" w:hAnsi="Arial" w:cs="Arial"/>
                <w:bCs/>
                <w:color w:val="auto"/>
                <w:sz w:val="20"/>
              </w:rPr>
            </w:pPr>
            <w:r w:rsidRPr="008C5596">
              <w:rPr>
                <w:rFonts w:ascii="Arial" w:eastAsia="Arial" w:hAnsi="Arial" w:cs="Arial"/>
                <w:bCs/>
                <w:color w:val="auto"/>
                <w:sz w:val="20"/>
              </w:rPr>
              <w:t>C</w:t>
            </w:r>
            <w:r w:rsidR="00F85F98" w:rsidRPr="008C5596">
              <w:rPr>
                <w:rFonts w:ascii="Arial" w:eastAsia="Arial" w:hAnsi="Arial" w:cs="Arial"/>
                <w:bCs/>
                <w:color w:val="auto"/>
                <w:sz w:val="20"/>
              </w:rPr>
              <w:t xml:space="preserve">learly demonstrated </w:t>
            </w:r>
            <w:r w:rsidR="008E533A" w:rsidRPr="008C5596">
              <w:rPr>
                <w:rFonts w:ascii="Arial" w:eastAsia="Arial" w:hAnsi="Arial" w:cs="Arial"/>
                <w:bCs/>
                <w:color w:val="auto"/>
                <w:sz w:val="20"/>
              </w:rPr>
              <w:t>h</w:t>
            </w:r>
            <w:r w:rsidRPr="008C5596">
              <w:rPr>
                <w:rFonts w:ascii="Arial" w:eastAsia="Arial" w:hAnsi="Arial" w:cs="Arial"/>
                <w:bCs/>
                <w:color w:val="auto"/>
                <w:sz w:val="20"/>
              </w:rPr>
              <w:t xml:space="preserve">ow the applicant will ensure counsellors consistently apply their case management approach (referencing processes, policies and systems) </w:t>
            </w:r>
          </w:p>
        </w:tc>
        <w:tc>
          <w:tcPr>
            <w:tcW w:w="5528" w:type="dxa"/>
            <w:shd w:val="clear" w:color="auto" w:fill="EFF0EF" w:themeFill="background2"/>
            <w:vAlign w:val="center"/>
          </w:tcPr>
          <w:p w:rsidR="00F85F98" w:rsidRPr="008C5596" w:rsidRDefault="007D249B" w:rsidP="008C5596">
            <w:pPr>
              <w:pStyle w:val="ListParagraph"/>
              <w:numPr>
                <w:ilvl w:val="0"/>
                <w:numId w:val="23"/>
              </w:numPr>
              <w:spacing w:after="60" w:line="240" w:lineRule="auto"/>
              <w:ind w:left="471" w:right="57"/>
              <w:contextualSpacing w:val="0"/>
              <w:rPr>
                <w:bCs/>
                <w:sz w:val="20"/>
              </w:rPr>
            </w:pPr>
            <w:r w:rsidRPr="008C5596">
              <w:rPr>
                <w:bCs/>
                <w:sz w:val="20"/>
              </w:rPr>
              <w:t>detailed information</w:t>
            </w:r>
            <w:r w:rsidR="008E533A" w:rsidRPr="008C5596">
              <w:rPr>
                <w:bCs/>
                <w:sz w:val="20"/>
              </w:rPr>
              <w:t xml:space="preserve"> of relevant processes, policies and systems</w:t>
            </w:r>
            <w:r w:rsidR="000D403B" w:rsidRPr="008C5596">
              <w:rPr>
                <w:bCs/>
                <w:sz w:val="20"/>
              </w:rPr>
              <w:t xml:space="preserve"> </w:t>
            </w:r>
          </w:p>
          <w:p w:rsidR="00B30106" w:rsidRPr="008C5596" w:rsidRDefault="000D403B" w:rsidP="008C5596">
            <w:pPr>
              <w:pStyle w:val="ListParagraph"/>
              <w:numPr>
                <w:ilvl w:val="0"/>
                <w:numId w:val="23"/>
              </w:numPr>
              <w:spacing w:after="60" w:line="240" w:lineRule="auto"/>
              <w:ind w:left="471" w:right="57"/>
              <w:contextualSpacing w:val="0"/>
              <w:rPr>
                <w:bCs/>
                <w:sz w:val="20"/>
              </w:rPr>
            </w:pPr>
            <w:r w:rsidRPr="008C5596">
              <w:rPr>
                <w:bCs/>
                <w:sz w:val="20"/>
              </w:rPr>
              <w:t xml:space="preserve">practical examples of how consistency between counsellors is achieved (e.g. training, supervision, audits, </w:t>
            </w:r>
            <w:r w:rsidR="00B30106" w:rsidRPr="008C5596">
              <w:rPr>
                <w:bCs/>
                <w:sz w:val="20"/>
              </w:rPr>
              <w:t xml:space="preserve">proformas, </w:t>
            </w:r>
            <w:r w:rsidR="007D249B" w:rsidRPr="008C5596">
              <w:rPr>
                <w:bCs/>
                <w:sz w:val="20"/>
              </w:rPr>
              <w:t>time limits</w:t>
            </w:r>
            <w:r w:rsidRPr="008C5596">
              <w:rPr>
                <w:bCs/>
                <w:sz w:val="20"/>
              </w:rPr>
              <w:t>, targets)</w:t>
            </w:r>
            <w:r w:rsidR="007D249B" w:rsidRPr="008C5596">
              <w:rPr>
                <w:bCs/>
                <w:sz w:val="20"/>
              </w:rPr>
              <w:t xml:space="preserve">, </w:t>
            </w:r>
            <w:r w:rsidR="00D0424C" w:rsidRPr="008C5596">
              <w:rPr>
                <w:bCs/>
                <w:sz w:val="20"/>
              </w:rPr>
              <w:t>and how exceptions are managed</w:t>
            </w:r>
            <w:r w:rsidR="00376AAA">
              <w:rPr>
                <w:bCs/>
                <w:sz w:val="20"/>
              </w:rPr>
              <w:t>.</w:t>
            </w:r>
          </w:p>
          <w:p w:rsidR="000A0196" w:rsidRPr="008C5596" w:rsidRDefault="000A0196" w:rsidP="008C5596">
            <w:pPr>
              <w:spacing w:after="60" w:line="240" w:lineRule="auto"/>
              <w:ind w:left="111" w:right="57"/>
              <w:rPr>
                <w:bCs/>
                <w:sz w:val="20"/>
              </w:rPr>
            </w:pPr>
          </w:p>
        </w:tc>
      </w:tr>
    </w:tbl>
    <w:p w:rsidR="00F85F98" w:rsidRDefault="00A24F65" w:rsidP="00F85F98">
      <w:pPr>
        <w:pStyle w:val="Heading2"/>
        <w:spacing w:before="0"/>
      </w:pPr>
      <w:r>
        <w:br w:type="column"/>
      </w:r>
      <w:r w:rsidR="00F85F98">
        <w:t>Criterion 2</w:t>
      </w:r>
      <w:r w:rsidR="00D3519E">
        <w:t xml:space="preserve"> </w:t>
      </w:r>
      <w:r w:rsidR="009444D0">
        <w:t>—</w:t>
      </w:r>
      <w:r w:rsidR="00D3519E">
        <w:t xml:space="preserve"> </w:t>
      </w:r>
      <w:r w:rsidR="00B9074B">
        <w:t>Client engagement (25%)</w:t>
      </w:r>
    </w:p>
    <w:tbl>
      <w:tblPr>
        <w:tblStyle w:val="CGHTableBanded"/>
        <w:tblW w:w="9639" w:type="dxa"/>
        <w:tblLook w:val="04A0" w:firstRow="1" w:lastRow="0" w:firstColumn="1" w:lastColumn="0" w:noHBand="0" w:noVBand="1"/>
        <w:tblCaption w:val="Examples of strong responses to Criterion 2"/>
      </w:tblPr>
      <w:tblGrid>
        <w:gridCol w:w="4253"/>
        <w:gridCol w:w="5386"/>
      </w:tblGrid>
      <w:tr w:rsidR="009719EF" w:rsidRPr="009444D0" w:rsidTr="002C0BE8">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9719EF" w:rsidRPr="008C5596" w:rsidRDefault="009719EF" w:rsidP="002C0BE8">
            <w:pPr>
              <w:spacing w:line="240" w:lineRule="auto"/>
              <w:ind w:left="57" w:right="57"/>
              <w:rPr>
                <w:b/>
                <w:sz w:val="20"/>
              </w:rPr>
            </w:pPr>
            <w:r w:rsidRPr="008C5596">
              <w:rPr>
                <w:rFonts w:ascii="Arial" w:eastAsia="Arial" w:hAnsi="Arial" w:cs="Arial"/>
                <w:b/>
                <w:color w:val="auto"/>
                <w:sz w:val="20"/>
              </w:rPr>
              <w:t>Strong applications</w:t>
            </w:r>
          </w:p>
        </w:tc>
        <w:tc>
          <w:tcPr>
            <w:tcW w:w="5386" w:type="dxa"/>
            <w:vAlign w:val="center"/>
          </w:tcPr>
          <w:p w:rsidR="009719EF" w:rsidRPr="008C5596" w:rsidRDefault="009719EF" w:rsidP="002C0BE8">
            <w:pPr>
              <w:spacing w:line="240" w:lineRule="auto"/>
              <w:ind w:left="57" w:right="57"/>
              <w:rPr>
                <w:b/>
                <w:sz w:val="20"/>
              </w:rPr>
            </w:pPr>
            <w:r w:rsidRPr="008C5596">
              <w:rPr>
                <w:b/>
                <w:sz w:val="20"/>
              </w:rPr>
              <w:t>Example</w:t>
            </w:r>
            <w:r>
              <w:rPr>
                <w:b/>
                <w:sz w:val="20"/>
              </w:rPr>
              <w:t xml:space="preserve"> </w:t>
            </w:r>
            <w:r w:rsidRPr="008C5596">
              <w:rPr>
                <w:b/>
                <w:sz w:val="20"/>
              </w:rPr>
              <w:t>—</w:t>
            </w:r>
            <w:r>
              <w:rPr>
                <w:b/>
                <w:sz w:val="20"/>
              </w:rPr>
              <w:t xml:space="preserve"> </w:t>
            </w:r>
            <w:r w:rsidRPr="008C5596">
              <w:rPr>
                <w:rFonts w:ascii="Arial" w:eastAsia="Arial" w:hAnsi="Arial"/>
                <w:color w:val="000000"/>
                <w:sz w:val="20"/>
              </w:rPr>
              <w:t xml:space="preserve">Quality responses </w:t>
            </w:r>
            <w:r w:rsidRPr="008C5596">
              <w:rPr>
                <w:rFonts w:ascii="Arial" w:eastAsia="Arial" w:hAnsi="Arial" w:cs="Arial"/>
                <w:color w:val="auto"/>
                <w:sz w:val="20"/>
              </w:rPr>
              <w:t>provided</w:t>
            </w:r>
            <w:r w:rsidRPr="008C5596">
              <w:rPr>
                <w:rFonts w:ascii="Arial" w:eastAsia="Arial" w:hAnsi="Arial"/>
                <w:color w:val="000000"/>
                <w:sz w:val="20"/>
              </w:rPr>
              <w:t>:</w:t>
            </w:r>
          </w:p>
        </w:tc>
      </w:tr>
      <w:tr w:rsidR="009719EF" w:rsidRPr="009444D0" w:rsidTr="002C0BE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9719EF" w:rsidRPr="008C5596" w:rsidRDefault="009719EF" w:rsidP="002C0BE8">
            <w:pPr>
              <w:spacing w:before="120" w:after="120" w:line="240" w:lineRule="auto"/>
              <w:ind w:left="113" w:right="57"/>
              <w:rPr>
                <w:rFonts w:ascii="Arial" w:eastAsia="Arial" w:hAnsi="Arial" w:cs="Arial"/>
                <w:b/>
                <w:color w:val="auto"/>
                <w:sz w:val="20"/>
              </w:rPr>
            </w:pPr>
            <w:r w:rsidRPr="008C5596">
              <w:rPr>
                <w:rFonts w:ascii="Arial" w:eastAsia="Arial" w:hAnsi="Arial" w:cs="Arial"/>
                <w:bCs/>
                <w:color w:val="auto"/>
                <w:sz w:val="20"/>
              </w:rPr>
              <w:t xml:space="preserve">Clearly </w:t>
            </w:r>
            <w:r w:rsidRPr="008C5596">
              <w:rPr>
                <w:bCs/>
                <w:sz w:val="20"/>
              </w:rPr>
              <w:t xml:space="preserve">outlined </w:t>
            </w:r>
            <w:r>
              <w:rPr>
                <w:bCs/>
                <w:sz w:val="20"/>
              </w:rPr>
              <w:t>the applicant’s</w:t>
            </w:r>
            <w:r w:rsidRPr="008C5596">
              <w:rPr>
                <w:bCs/>
                <w:sz w:val="20"/>
              </w:rPr>
              <w:t xml:space="preserve"> client </w:t>
            </w:r>
            <w:r w:rsidRPr="008C5596">
              <w:rPr>
                <w:sz w:val="20"/>
              </w:rPr>
              <w:t xml:space="preserve">engagement </w:t>
            </w:r>
            <w:r w:rsidRPr="008C5596">
              <w:rPr>
                <w:bCs/>
                <w:sz w:val="20"/>
              </w:rPr>
              <w:t xml:space="preserve">approach and demonstrated how it will achieve the RFCS </w:t>
            </w:r>
            <w:r>
              <w:rPr>
                <w:bCs/>
                <w:sz w:val="20"/>
              </w:rPr>
              <w:t>P</w:t>
            </w:r>
            <w:r w:rsidRPr="008C5596">
              <w:rPr>
                <w:bCs/>
                <w:sz w:val="20"/>
              </w:rPr>
              <w:t xml:space="preserve">rogram objectives and client outcomes listed in the program logic </w:t>
            </w:r>
          </w:p>
        </w:tc>
        <w:tc>
          <w:tcPr>
            <w:tcW w:w="5386" w:type="dxa"/>
            <w:shd w:val="clear" w:color="auto" w:fill="DFE1DF" w:themeFill="text2"/>
            <w:vAlign w:val="center"/>
          </w:tcPr>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eastAsia="Arial" w:cs="Arial"/>
                <w:sz w:val="20"/>
              </w:rPr>
              <w:t>comprehensive</w:t>
            </w:r>
            <w:r w:rsidRPr="008C5596">
              <w:rPr>
                <w:rFonts w:ascii="Arial" w:eastAsia="Arial" w:hAnsi="Arial" w:cs="Arial"/>
                <w:color w:val="auto"/>
                <w:sz w:val="20"/>
              </w:rPr>
              <w:t xml:space="preserve"> information explaining the </w:t>
            </w:r>
            <w:r w:rsidRPr="008C5596">
              <w:rPr>
                <w:bCs/>
                <w:sz w:val="20"/>
              </w:rPr>
              <w:t xml:space="preserve">client </w:t>
            </w:r>
            <w:r w:rsidRPr="008C5596">
              <w:rPr>
                <w:sz w:val="20"/>
              </w:rPr>
              <w:t>engagement</w:t>
            </w:r>
            <w:r w:rsidRPr="008C5596">
              <w:rPr>
                <w:bCs/>
                <w:sz w:val="20"/>
              </w:rPr>
              <w:t xml:space="preserve"> approach to </w:t>
            </w:r>
            <w:r w:rsidRPr="008C5596">
              <w:rPr>
                <w:sz w:val="20"/>
              </w:rPr>
              <w:t>target and manage demand</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eastAsia="Arial" w:cs="Arial"/>
                <w:sz w:val="20"/>
              </w:rPr>
              <w:t xml:space="preserve">evidence the approach was appropriate for eligible clients </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bCs/>
                <w:sz w:val="20"/>
              </w:rPr>
              <w:t xml:space="preserve">strong linkages to the program logic with the approach tailored to deliver outcomes for the refocused RFCS </w:t>
            </w:r>
            <w:r>
              <w:rPr>
                <w:bCs/>
                <w:sz w:val="20"/>
              </w:rPr>
              <w:t>P</w:t>
            </w:r>
            <w:r w:rsidRPr="008C5596">
              <w:rPr>
                <w:bCs/>
                <w:sz w:val="20"/>
              </w:rPr>
              <w:t>rogram</w:t>
            </w:r>
          </w:p>
        </w:tc>
      </w:tr>
      <w:tr w:rsidR="009719EF" w:rsidRPr="009444D0" w:rsidTr="002C0BE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9719EF" w:rsidRPr="008C5596" w:rsidRDefault="009719EF" w:rsidP="002C0BE8">
            <w:pPr>
              <w:spacing w:before="120" w:after="120" w:line="240" w:lineRule="auto"/>
              <w:ind w:left="113" w:right="57"/>
              <w:rPr>
                <w:rFonts w:ascii="Arial" w:eastAsia="Arial" w:hAnsi="Arial" w:cs="Arial"/>
                <w:bCs/>
                <w:color w:val="auto"/>
                <w:sz w:val="20"/>
              </w:rPr>
            </w:pPr>
            <w:r w:rsidRPr="008C5596">
              <w:rPr>
                <w:rFonts w:ascii="Arial" w:eastAsia="Arial" w:hAnsi="Arial" w:cs="Arial"/>
                <w:bCs/>
                <w:color w:val="auto"/>
                <w:sz w:val="20"/>
              </w:rPr>
              <w:t xml:space="preserve">Clearly demonstrated how </w:t>
            </w:r>
            <w:r>
              <w:rPr>
                <w:rFonts w:ascii="Arial" w:eastAsia="Arial" w:hAnsi="Arial" w:cs="Arial"/>
                <w:bCs/>
                <w:color w:val="auto"/>
                <w:sz w:val="20"/>
              </w:rPr>
              <w:t>the applicant</w:t>
            </w:r>
            <w:r w:rsidRPr="008C5596">
              <w:rPr>
                <w:rFonts w:ascii="Arial" w:eastAsia="Arial" w:hAnsi="Arial" w:cs="Arial"/>
                <w:bCs/>
                <w:color w:val="auto"/>
                <w:sz w:val="20"/>
              </w:rPr>
              <w:t xml:space="preserve"> would strategically promote the service, considering</w:t>
            </w:r>
            <w:r>
              <w:rPr>
                <w:rFonts w:ascii="Arial" w:eastAsia="Arial" w:hAnsi="Arial" w:cs="Arial"/>
                <w:bCs/>
                <w:color w:val="auto"/>
                <w:sz w:val="20"/>
              </w:rPr>
              <w:t>:</w:t>
            </w:r>
          </w:p>
          <w:p w:rsidR="009719EF" w:rsidRPr="008C5596" w:rsidRDefault="009719EF" w:rsidP="002C0BE8">
            <w:pPr>
              <w:pStyle w:val="ListParagraph"/>
              <w:numPr>
                <w:ilvl w:val="0"/>
                <w:numId w:val="22"/>
              </w:numPr>
              <w:spacing w:before="60" w:after="60" w:line="240" w:lineRule="auto"/>
              <w:ind w:left="470" w:right="57" w:hanging="357"/>
              <w:contextualSpacing w:val="0"/>
              <w:rPr>
                <w:rFonts w:ascii="Arial" w:eastAsia="Arial" w:hAnsi="Arial" w:cs="Arial"/>
                <w:bCs/>
                <w:color w:val="auto"/>
                <w:sz w:val="20"/>
              </w:rPr>
            </w:pPr>
            <w:r w:rsidRPr="008C5596">
              <w:rPr>
                <w:rFonts w:ascii="Arial" w:eastAsia="Arial" w:hAnsi="Arial" w:cs="Arial"/>
                <w:bCs/>
                <w:color w:val="auto"/>
                <w:sz w:val="20"/>
              </w:rPr>
              <w:t>timing of promotion</w:t>
            </w:r>
          </w:p>
          <w:p w:rsidR="009719EF" w:rsidRPr="008C5596" w:rsidRDefault="009719EF" w:rsidP="002C0BE8">
            <w:pPr>
              <w:pStyle w:val="ListParagraph"/>
              <w:numPr>
                <w:ilvl w:val="0"/>
                <w:numId w:val="22"/>
              </w:numPr>
              <w:spacing w:before="60" w:after="60" w:line="240" w:lineRule="auto"/>
              <w:ind w:left="470" w:right="57" w:hanging="357"/>
              <w:contextualSpacing w:val="0"/>
              <w:rPr>
                <w:rFonts w:ascii="Arial" w:eastAsia="Arial" w:hAnsi="Arial" w:cs="Arial"/>
                <w:bCs/>
                <w:color w:val="auto"/>
                <w:sz w:val="20"/>
              </w:rPr>
            </w:pPr>
            <w:r w:rsidRPr="008C5596">
              <w:rPr>
                <w:rFonts w:ascii="Arial" w:eastAsia="Arial" w:hAnsi="Arial" w:cs="Arial"/>
                <w:bCs/>
                <w:color w:val="auto"/>
                <w:sz w:val="20"/>
              </w:rPr>
              <w:t xml:space="preserve">ability to service demand </w:t>
            </w:r>
          </w:p>
          <w:p w:rsidR="009719EF" w:rsidRPr="008C5596" w:rsidRDefault="009719EF" w:rsidP="002C0BE8">
            <w:pPr>
              <w:pStyle w:val="ListParagraph"/>
              <w:numPr>
                <w:ilvl w:val="0"/>
                <w:numId w:val="22"/>
              </w:numPr>
              <w:spacing w:before="60" w:after="60" w:line="240" w:lineRule="auto"/>
              <w:ind w:left="470" w:right="57" w:hanging="357"/>
              <w:contextualSpacing w:val="0"/>
              <w:rPr>
                <w:rFonts w:ascii="Arial" w:eastAsia="Arial" w:hAnsi="Arial" w:cs="Arial"/>
                <w:bCs/>
                <w:color w:val="auto"/>
                <w:sz w:val="20"/>
              </w:rPr>
            </w:pPr>
            <w:r w:rsidRPr="008C5596">
              <w:rPr>
                <w:rFonts w:ascii="Arial" w:eastAsia="Arial" w:hAnsi="Arial" w:cs="Arial"/>
                <w:bCs/>
                <w:color w:val="auto"/>
                <w:sz w:val="20"/>
              </w:rPr>
              <w:t>appropriate channels</w:t>
            </w:r>
          </w:p>
          <w:p w:rsidR="009719EF" w:rsidRPr="008C5596" w:rsidRDefault="009719EF" w:rsidP="002C0BE8">
            <w:pPr>
              <w:pStyle w:val="ListParagraph"/>
              <w:numPr>
                <w:ilvl w:val="0"/>
                <w:numId w:val="22"/>
              </w:numPr>
              <w:spacing w:before="60" w:after="60" w:line="240" w:lineRule="auto"/>
              <w:ind w:left="470" w:right="57" w:hanging="357"/>
              <w:contextualSpacing w:val="0"/>
              <w:rPr>
                <w:rFonts w:ascii="Arial" w:eastAsia="Arial" w:hAnsi="Arial" w:cs="Arial"/>
                <w:bCs/>
                <w:color w:val="auto"/>
                <w:sz w:val="20"/>
              </w:rPr>
            </w:pPr>
            <w:r w:rsidRPr="008C5596">
              <w:rPr>
                <w:rFonts w:ascii="Arial" w:eastAsia="Arial" w:hAnsi="Arial" w:cs="Arial"/>
                <w:bCs/>
                <w:color w:val="auto"/>
                <w:sz w:val="20"/>
              </w:rPr>
              <w:t>messaging that effectively attracts potential clients and focuses on the benefits of case management</w:t>
            </w:r>
          </w:p>
        </w:tc>
        <w:tc>
          <w:tcPr>
            <w:tcW w:w="5386" w:type="dxa"/>
            <w:shd w:val="clear" w:color="auto" w:fill="EFF0EF" w:themeFill="background2"/>
            <w:vAlign w:val="center"/>
          </w:tcPr>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eastAsia="Arial" w:cs="Arial"/>
                <w:sz w:val="20"/>
              </w:rPr>
              <w:t>strategic approaches outlining the purpose of</w:t>
            </w:r>
            <w:r>
              <w:rPr>
                <w:rFonts w:eastAsia="Arial" w:cs="Arial"/>
                <w:sz w:val="20"/>
              </w:rPr>
              <w:t>,</w:t>
            </w:r>
            <w:r w:rsidRPr="008C5596">
              <w:rPr>
                <w:rFonts w:eastAsia="Arial" w:cs="Arial"/>
                <w:sz w:val="20"/>
              </w:rPr>
              <w:t xml:space="preserve"> and approach to</w:t>
            </w:r>
            <w:r>
              <w:rPr>
                <w:rFonts w:eastAsia="Arial" w:cs="Arial"/>
                <w:sz w:val="20"/>
              </w:rPr>
              <w:t>,</w:t>
            </w:r>
            <w:r w:rsidRPr="008C5596">
              <w:rPr>
                <w:rFonts w:eastAsia="Arial" w:cs="Arial"/>
                <w:sz w:val="20"/>
              </w:rPr>
              <w:t xml:space="preserve"> promotion </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ascii="Arial" w:eastAsia="Arial" w:hAnsi="Arial" w:cs="Arial"/>
                <w:color w:val="auto"/>
                <w:sz w:val="20"/>
              </w:rPr>
              <w:t>demonstrated understanding of clients as relevant to timing of promotion (e.g. production cycles, seasons, business pressures) and messaging</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eastAsia="Arial" w:cs="Arial"/>
                <w:sz w:val="20"/>
              </w:rPr>
              <w:t>examples of key messages and channels</w:t>
            </w:r>
            <w:r>
              <w:rPr>
                <w:rFonts w:eastAsia="Arial" w:cs="Arial"/>
                <w:sz w:val="20"/>
              </w:rPr>
              <w:t>,</w:t>
            </w:r>
            <w:r w:rsidRPr="008C5596">
              <w:rPr>
                <w:rFonts w:eastAsia="Arial" w:cs="Arial"/>
                <w:sz w:val="20"/>
              </w:rPr>
              <w:t xml:space="preserve"> as well as the rationale for using these in different scenarios </w:t>
            </w:r>
            <w:r w:rsidRPr="008C5596">
              <w:rPr>
                <w:rFonts w:ascii="Arial" w:eastAsia="Arial" w:hAnsi="Arial" w:cs="Arial"/>
                <w:color w:val="auto"/>
                <w:sz w:val="20"/>
              </w:rPr>
              <w:t xml:space="preserve">to reach the right clients </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ascii="Arial" w:eastAsia="Arial" w:hAnsi="Arial" w:cs="Arial"/>
                <w:color w:val="auto"/>
                <w:sz w:val="20"/>
              </w:rPr>
              <w:t xml:space="preserve">evidence of data informing choices for promotion (including timing to ensure </w:t>
            </w:r>
            <w:r w:rsidRPr="008C5596">
              <w:rPr>
                <w:rFonts w:eastAsia="Arial" w:cs="Arial"/>
                <w:sz w:val="20"/>
              </w:rPr>
              <w:t>demand is driven when it can be serviced)</w:t>
            </w:r>
          </w:p>
        </w:tc>
      </w:tr>
      <w:tr w:rsidR="009719EF" w:rsidRPr="009444D0" w:rsidTr="002C0BE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9719EF" w:rsidRPr="008C5596" w:rsidRDefault="009719EF" w:rsidP="002C0BE8">
            <w:pPr>
              <w:spacing w:before="60" w:after="60" w:line="240" w:lineRule="auto"/>
              <w:ind w:left="113" w:right="57"/>
              <w:rPr>
                <w:rFonts w:ascii="Arial" w:eastAsia="Arial" w:hAnsi="Arial" w:cs="Arial"/>
                <w:bCs/>
                <w:color w:val="auto"/>
                <w:sz w:val="20"/>
              </w:rPr>
            </w:pPr>
            <w:r w:rsidRPr="008C5596">
              <w:rPr>
                <w:rFonts w:ascii="Arial" w:eastAsia="Arial" w:hAnsi="Arial" w:cs="Arial"/>
                <w:bCs/>
                <w:color w:val="auto"/>
                <w:sz w:val="20"/>
              </w:rPr>
              <w:t>Clearly demonstrated how the</w:t>
            </w:r>
            <w:r>
              <w:rPr>
                <w:rFonts w:ascii="Arial" w:eastAsia="Arial" w:hAnsi="Arial" w:cs="Arial"/>
                <w:bCs/>
                <w:color w:val="auto"/>
                <w:sz w:val="20"/>
              </w:rPr>
              <w:t xml:space="preserve"> applicant</w:t>
            </w:r>
            <w:r w:rsidRPr="008C5596">
              <w:rPr>
                <w:rFonts w:ascii="Arial" w:eastAsia="Arial" w:hAnsi="Arial" w:cs="Arial"/>
                <w:bCs/>
                <w:color w:val="auto"/>
                <w:sz w:val="20"/>
              </w:rPr>
              <w:t xml:space="preserve"> would implement strategies or processes </w:t>
            </w:r>
            <w:r w:rsidRPr="00AB0A09">
              <w:rPr>
                <w:rFonts w:ascii="Arial" w:eastAsia="Arial" w:hAnsi="Arial" w:cs="Arial"/>
                <w:bCs/>
                <w:color w:val="auto"/>
                <w:sz w:val="20"/>
              </w:rPr>
              <w:t>so that counsellors can maximise their time with clients who are fully engaged in case management</w:t>
            </w:r>
            <w:r>
              <w:rPr>
                <w:rFonts w:ascii="Arial" w:eastAsia="Arial" w:hAnsi="Arial" w:cs="Arial"/>
                <w:bCs/>
                <w:color w:val="auto"/>
                <w:sz w:val="20"/>
              </w:rPr>
              <w:t>, including:</w:t>
            </w:r>
          </w:p>
          <w:p w:rsidR="009719EF" w:rsidRPr="008C5596" w:rsidRDefault="009719EF" w:rsidP="002C0BE8">
            <w:pPr>
              <w:pStyle w:val="ListParagraph"/>
              <w:numPr>
                <w:ilvl w:val="0"/>
                <w:numId w:val="22"/>
              </w:numPr>
              <w:spacing w:before="60" w:after="60" w:line="240" w:lineRule="auto"/>
              <w:ind w:right="57"/>
              <w:contextualSpacing w:val="0"/>
              <w:rPr>
                <w:rFonts w:ascii="Arial" w:eastAsia="Arial" w:hAnsi="Arial" w:cs="Arial"/>
                <w:bCs/>
                <w:color w:val="auto"/>
                <w:sz w:val="20"/>
              </w:rPr>
            </w:pPr>
            <w:r w:rsidRPr="008C5596">
              <w:rPr>
                <w:rFonts w:ascii="Arial" w:eastAsia="Arial" w:hAnsi="Arial" w:cs="Arial"/>
                <w:bCs/>
                <w:color w:val="auto"/>
                <w:sz w:val="20"/>
              </w:rPr>
              <w:t>encourag</w:t>
            </w:r>
            <w:r>
              <w:rPr>
                <w:rFonts w:ascii="Arial" w:eastAsia="Arial" w:hAnsi="Arial" w:cs="Arial"/>
                <w:bCs/>
                <w:color w:val="auto"/>
                <w:sz w:val="20"/>
              </w:rPr>
              <w:t>ing</w:t>
            </w:r>
            <w:r w:rsidRPr="008C5596">
              <w:rPr>
                <w:rFonts w:ascii="Arial" w:eastAsia="Arial" w:hAnsi="Arial" w:cs="Arial"/>
                <w:bCs/>
                <w:color w:val="auto"/>
                <w:sz w:val="20"/>
              </w:rPr>
              <w:t xml:space="preserve"> clients to engage in case management</w:t>
            </w:r>
          </w:p>
          <w:p w:rsidR="009719EF" w:rsidRPr="00FE0480" w:rsidRDefault="009719EF" w:rsidP="002C0BE8">
            <w:pPr>
              <w:pStyle w:val="ListParagraph"/>
              <w:numPr>
                <w:ilvl w:val="0"/>
                <w:numId w:val="22"/>
              </w:numPr>
              <w:spacing w:before="60" w:after="60" w:line="240" w:lineRule="auto"/>
              <w:ind w:right="57"/>
              <w:contextualSpacing w:val="0"/>
              <w:rPr>
                <w:rFonts w:ascii="Arial" w:eastAsia="Arial" w:hAnsi="Arial" w:cs="Arial"/>
                <w:bCs/>
                <w:color w:val="auto"/>
                <w:sz w:val="20"/>
              </w:rPr>
            </w:pPr>
            <w:r w:rsidRPr="008C5596">
              <w:rPr>
                <w:rFonts w:ascii="Arial" w:eastAsia="Arial" w:hAnsi="Arial" w:cs="Arial"/>
                <w:bCs/>
                <w:color w:val="auto"/>
                <w:sz w:val="20"/>
              </w:rPr>
              <w:t>identify</w:t>
            </w:r>
            <w:r>
              <w:rPr>
                <w:rFonts w:ascii="Arial" w:eastAsia="Arial" w:hAnsi="Arial" w:cs="Arial"/>
                <w:bCs/>
                <w:color w:val="auto"/>
                <w:sz w:val="20"/>
              </w:rPr>
              <w:t>ing</w:t>
            </w:r>
            <w:r w:rsidRPr="008C5596">
              <w:rPr>
                <w:rFonts w:ascii="Arial" w:eastAsia="Arial" w:hAnsi="Arial" w:cs="Arial"/>
                <w:bCs/>
                <w:color w:val="auto"/>
                <w:sz w:val="20"/>
              </w:rPr>
              <w:t xml:space="preserve"> trigger points for considering if and when clients should be exited from the service</w:t>
            </w:r>
          </w:p>
        </w:tc>
        <w:tc>
          <w:tcPr>
            <w:tcW w:w="5386" w:type="dxa"/>
            <w:shd w:val="clear" w:color="auto" w:fill="DFE1DF" w:themeFill="text2"/>
          </w:tcPr>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Pr>
                <w:rFonts w:eastAsia="Arial" w:cs="Arial"/>
                <w:sz w:val="20"/>
              </w:rPr>
              <w:t xml:space="preserve">examples of </w:t>
            </w:r>
            <w:r w:rsidRPr="008C5596">
              <w:rPr>
                <w:rFonts w:eastAsia="Arial" w:cs="Arial"/>
                <w:sz w:val="20"/>
              </w:rPr>
              <w:t xml:space="preserve">identified barriers for clients engaging in case management and strategies to address these  </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Pr>
                <w:rFonts w:eastAsia="Arial" w:cs="Arial"/>
                <w:sz w:val="20"/>
              </w:rPr>
              <w:t xml:space="preserve">examples of </w:t>
            </w:r>
            <w:r w:rsidRPr="008C5596">
              <w:rPr>
                <w:rFonts w:eastAsia="Arial" w:cs="Arial"/>
                <w:sz w:val="20"/>
              </w:rPr>
              <w:t>identified specific trigger points (time</w:t>
            </w:r>
            <w:r>
              <w:rPr>
                <w:rFonts w:eastAsia="Arial" w:cs="Arial"/>
                <w:sz w:val="20"/>
              </w:rPr>
              <w:t>-</w:t>
            </w:r>
            <w:r w:rsidRPr="008C5596">
              <w:rPr>
                <w:rFonts w:eastAsia="Arial" w:cs="Arial"/>
                <w:sz w:val="20"/>
              </w:rPr>
              <w:t>/activity</w:t>
            </w:r>
            <w:r>
              <w:rPr>
                <w:rFonts w:eastAsia="Arial" w:cs="Arial"/>
                <w:sz w:val="20"/>
              </w:rPr>
              <w:t>-</w:t>
            </w:r>
            <w:r w:rsidRPr="008C5596">
              <w:rPr>
                <w:rFonts w:eastAsia="Arial" w:cs="Arial"/>
                <w:sz w:val="20"/>
              </w:rPr>
              <w:t>/outcome</w:t>
            </w:r>
            <w:r>
              <w:rPr>
                <w:rFonts w:eastAsia="Arial" w:cs="Arial"/>
                <w:sz w:val="20"/>
              </w:rPr>
              <w:t>-</w:t>
            </w:r>
            <w:r w:rsidRPr="008C5596">
              <w:rPr>
                <w:rFonts w:eastAsia="Arial" w:cs="Arial"/>
                <w:sz w:val="20"/>
              </w:rPr>
              <w:t xml:space="preserve">based) and processes to discuss potential exit from the program where a client was not ready or able to engage in case management and follow up strategies  </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ascii="Arial" w:eastAsia="Arial" w:hAnsi="Arial" w:cs="Arial"/>
                <w:color w:val="auto"/>
                <w:sz w:val="20"/>
              </w:rPr>
              <w:t>organisational strategies to ensure counsellors are focusing on the right clients where maximum value can be obtained</w:t>
            </w:r>
          </w:p>
        </w:tc>
      </w:tr>
      <w:tr w:rsidR="009719EF" w:rsidRPr="009444D0" w:rsidTr="002C0BE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9719EF" w:rsidRPr="008C5596" w:rsidRDefault="009719EF" w:rsidP="002C0BE8">
            <w:pPr>
              <w:spacing w:before="120" w:after="120" w:line="240" w:lineRule="auto"/>
              <w:ind w:left="113" w:right="57"/>
              <w:rPr>
                <w:rFonts w:ascii="Arial" w:eastAsia="Arial" w:hAnsi="Arial" w:cs="Arial"/>
                <w:bCs/>
                <w:color w:val="auto"/>
                <w:sz w:val="20"/>
              </w:rPr>
            </w:pPr>
            <w:r w:rsidRPr="008C5596">
              <w:rPr>
                <w:rFonts w:ascii="Arial" w:eastAsia="Arial" w:hAnsi="Arial" w:cs="Arial"/>
                <w:bCs/>
                <w:color w:val="auto"/>
                <w:sz w:val="20"/>
              </w:rPr>
              <w:t>Clearly outlined how the</w:t>
            </w:r>
            <w:r>
              <w:rPr>
                <w:rFonts w:ascii="Arial" w:eastAsia="Arial" w:hAnsi="Arial" w:cs="Arial"/>
                <w:bCs/>
                <w:color w:val="auto"/>
                <w:sz w:val="20"/>
              </w:rPr>
              <w:t xml:space="preserve"> applicant</w:t>
            </w:r>
            <w:r w:rsidRPr="008C5596">
              <w:rPr>
                <w:rFonts w:ascii="Arial" w:eastAsia="Arial" w:hAnsi="Arial" w:cs="Arial"/>
                <w:bCs/>
                <w:color w:val="auto"/>
                <w:sz w:val="20"/>
              </w:rPr>
              <w:t xml:space="preserve"> would ensure waiting times are kept to a minimum during times of peak demand, including how counsellor resources are managed</w:t>
            </w:r>
          </w:p>
        </w:tc>
        <w:tc>
          <w:tcPr>
            <w:tcW w:w="5386" w:type="dxa"/>
            <w:shd w:val="clear" w:color="auto" w:fill="EFF0EF" w:themeFill="background2"/>
            <w:vAlign w:val="center"/>
          </w:tcPr>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eastAsia="Arial" w:cs="Arial"/>
                <w:sz w:val="20"/>
              </w:rPr>
              <w:t>detailed information about acceptable waiting times and how wait lists are managed and minimised</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eastAsia="Arial" w:cs="Arial"/>
                <w:sz w:val="20"/>
              </w:rPr>
              <w:t>methods for allocating counsellors to clients and how workload is spread between counsellors</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eastAsia="Arial" w:cs="Arial"/>
                <w:sz w:val="20"/>
              </w:rPr>
              <w:t>practical strategies on how surges in demand would be managed within current resources</w:t>
            </w:r>
          </w:p>
        </w:tc>
      </w:tr>
      <w:tr w:rsidR="009719EF" w:rsidRPr="009444D0" w:rsidTr="002C0BE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9719EF" w:rsidRPr="008C5596" w:rsidRDefault="009719EF" w:rsidP="002C0BE8">
            <w:pPr>
              <w:spacing w:before="120" w:after="120" w:line="240" w:lineRule="auto"/>
              <w:ind w:left="113" w:right="57"/>
              <w:rPr>
                <w:sz w:val="20"/>
              </w:rPr>
            </w:pPr>
            <w:r w:rsidRPr="008C5596">
              <w:rPr>
                <w:sz w:val="20"/>
              </w:rPr>
              <w:t>Clearly demonstrated how the</w:t>
            </w:r>
            <w:r>
              <w:rPr>
                <w:sz w:val="20"/>
              </w:rPr>
              <w:t xml:space="preserve"> applicant</w:t>
            </w:r>
            <w:r w:rsidRPr="008C5596">
              <w:rPr>
                <w:sz w:val="20"/>
              </w:rPr>
              <w:t xml:space="preserve"> would triage and prioritise clients’ needs, particularly during times of peak demand</w:t>
            </w:r>
          </w:p>
          <w:p w:rsidR="009719EF" w:rsidRPr="008C5596" w:rsidRDefault="009719EF" w:rsidP="002C0BE8">
            <w:pPr>
              <w:spacing w:before="120" w:after="120" w:line="240" w:lineRule="auto"/>
              <w:ind w:left="113" w:right="57"/>
              <w:rPr>
                <w:rFonts w:ascii="Arial" w:eastAsia="Arial" w:hAnsi="Arial" w:cs="Arial"/>
                <w:bCs/>
                <w:color w:val="auto"/>
                <w:sz w:val="20"/>
              </w:rPr>
            </w:pPr>
          </w:p>
        </w:tc>
        <w:tc>
          <w:tcPr>
            <w:tcW w:w="5386" w:type="dxa"/>
            <w:shd w:val="clear" w:color="auto" w:fill="DFE1DF" w:themeFill="text2"/>
            <w:vAlign w:val="center"/>
          </w:tcPr>
          <w:p w:rsidR="009719EF" w:rsidRPr="008C5596" w:rsidRDefault="009719EF" w:rsidP="002C0BE8">
            <w:pPr>
              <w:pStyle w:val="ListParagraph"/>
              <w:numPr>
                <w:ilvl w:val="0"/>
                <w:numId w:val="23"/>
              </w:numPr>
              <w:spacing w:after="60" w:line="240" w:lineRule="auto"/>
              <w:ind w:left="470" w:right="57" w:hanging="357"/>
              <w:contextualSpacing w:val="0"/>
              <w:rPr>
                <w:bCs/>
                <w:sz w:val="20"/>
              </w:rPr>
            </w:pPr>
            <w:r w:rsidRPr="008C5596">
              <w:rPr>
                <w:bCs/>
                <w:sz w:val="20"/>
              </w:rPr>
              <w:t>demonstrated understanding of the client base and the challenges the clients may be facing or outline of how this understanding would be built</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eastAsia="Arial" w:cs="Arial"/>
                <w:sz w:val="20"/>
              </w:rPr>
              <w:t>detailed information about intake procedures (what information is collected and shared with clients)</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eastAsia="Arial" w:cs="Arial"/>
                <w:sz w:val="20"/>
              </w:rPr>
              <w:t>detailed information on how clients would be prioritised (basis for decision, decision maker) and how this might change in peak times</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eastAsia="Arial" w:cs="Arial"/>
                <w:sz w:val="20"/>
              </w:rPr>
              <w:t>clear expectations on staff responsiveness with targets expressed</w:t>
            </w:r>
          </w:p>
        </w:tc>
      </w:tr>
    </w:tbl>
    <w:p w:rsidR="009719EF" w:rsidRDefault="009719EF">
      <w:r>
        <w:br w:type="page"/>
      </w:r>
    </w:p>
    <w:tbl>
      <w:tblPr>
        <w:tblStyle w:val="CGHTableBanded"/>
        <w:tblW w:w="9639" w:type="dxa"/>
        <w:tblLook w:val="04A0" w:firstRow="1" w:lastRow="0" w:firstColumn="1" w:lastColumn="0" w:noHBand="0" w:noVBand="1"/>
        <w:tblCaption w:val="Examples of strong responses to Criterion 2"/>
      </w:tblPr>
      <w:tblGrid>
        <w:gridCol w:w="4253"/>
        <w:gridCol w:w="5386"/>
      </w:tblGrid>
      <w:tr w:rsidR="009719EF" w:rsidRPr="009444D0" w:rsidTr="002C0BE8">
        <w:trPr>
          <w:cnfStyle w:val="100000000000" w:firstRow="1" w:lastRow="0" w:firstColumn="0" w:lastColumn="0" w:oddVBand="0" w:evenVBand="0" w:oddHBand="0" w:evenHBand="0" w:firstRowFirstColumn="0" w:firstRowLastColumn="0" w:lastRowFirstColumn="0" w:lastRowLastColumn="0"/>
          <w:trHeight w:val="1812"/>
          <w:tblHeader/>
        </w:trPr>
        <w:tc>
          <w:tcPr>
            <w:tcW w:w="4253" w:type="dxa"/>
            <w:shd w:val="clear" w:color="auto" w:fill="EFF0EF" w:themeFill="background2"/>
            <w:vAlign w:val="center"/>
          </w:tcPr>
          <w:p w:rsidR="009719EF" w:rsidRPr="008C5596" w:rsidRDefault="009719EF" w:rsidP="002C0BE8">
            <w:pPr>
              <w:spacing w:before="120" w:after="120" w:line="240" w:lineRule="auto"/>
              <w:ind w:left="113" w:right="57"/>
              <w:rPr>
                <w:rFonts w:ascii="Arial" w:eastAsia="Arial" w:hAnsi="Arial" w:cs="Arial"/>
                <w:bCs/>
                <w:color w:val="auto"/>
                <w:sz w:val="20"/>
              </w:rPr>
            </w:pPr>
            <w:r w:rsidRPr="008C5596">
              <w:rPr>
                <w:rFonts w:ascii="Arial" w:eastAsia="Arial" w:hAnsi="Arial" w:cs="Arial"/>
                <w:bCs/>
                <w:color w:val="auto"/>
                <w:sz w:val="20"/>
              </w:rPr>
              <w:t>Clearly demonstrated how the</w:t>
            </w:r>
            <w:r>
              <w:rPr>
                <w:rFonts w:ascii="Arial" w:eastAsia="Arial" w:hAnsi="Arial" w:cs="Arial"/>
                <w:bCs/>
                <w:color w:val="auto"/>
                <w:sz w:val="20"/>
              </w:rPr>
              <w:t xml:space="preserve"> applicant</w:t>
            </w:r>
            <w:r w:rsidRPr="008C5596">
              <w:rPr>
                <w:rFonts w:ascii="Arial" w:eastAsia="Arial" w:hAnsi="Arial" w:cs="Arial"/>
                <w:bCs/>
                <w:color w:val="auto"/>
                <w:sz w:val="20"/>
              </w:rPr>
              <w:t xml:space="preserve"> would track and sustainably exit case managed and transactional clients </w:t>
            </w:r>
          </w:p>
        </w:tc>
        <w:tc>
          <w:tcPr>
            <w:tcW w:w="5386" w:type="dxa"/>
            <w:shd w:val="clear" w:color="auto" w:fill="EFF0EF" w:themeFill="background2"/>
            <w:vAlign w:val="center"/>
          </w:tcPr>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eastAsia="Arial" w:cs="Arial"/>
                <w:sz w:val="20"/>
              </w:rPr>
              <w:t xml:space="preserve">detailed information about how client information is managed </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bCs/>
                <w:sz w:val="20"/>
              </w:rPr>
              <w:t>evidence of established monitoring and evaluation practises (such as systematic client file reviews, supervision, data reporting)</w:t>
            </w:r>
          </w:p>
          <w:p w:rsidR="009719EF" w:rsidRPr="008C5596" w:rsidRDefault="009719EF" w:rsidP="002C0BE8">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8C5596">
              <w:rPr>
                <w:rFonts w:ascii="Arial" w:eastAsia="Arial" w:hAnsi="Arial" w:cs="Arial"/>
                <w:color w:val="auto"/>
                <w:sz w:val="20"/>
              </w:rPr>
              <w:t>detailed information about how client exit was managed in line with program objectives</w:t>
            </w:r>
          </w:p>
        </w:tc>
      </w:tr>
      <w:tr w:rsidR="009719EF" w:rsidRPr="009444D0" w:rsidTr="002C0BE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9719EF" w:rsidRPr="008C5596" w:rsidRDefault="009719EF" w:rsidP="002C0BE8">
            <w:pPr>
              <w:spacing w:before="120" w:after="120" w:line="240" w:lineRule="auto"/>
              <w:ind w:left="113" w:right="57"/>
              <w:rPr>
                <w:sz w:val="20"/>
              </w:rPr>
            </w:pPr>
            <w:r w:rsidRPr="008C5596">
              <w:rPr>
                <w:sz w:val="20"/>
              </w:rPr>
              <w:t xml:space="preserve">Clearly demonstrated how the applicant will ensure counsellors consistently apply their client engagement approach (referencing processes, policies and systems). </w:t>
            </w:r>
          </w:p>
        </w:tc>
        <w:tc>
          <w:tcPr>
            <w:tcW w:w="5386" w:type="dxa"/>
            <w:shd w:val="clear" w:color="auto" w:fill="DFE1DF" w:themeFill="text2"/>
            <w:vAlign w:val="center"/>
          </w:tcPr>
          <w:p w:rsidR="009719EF" w:rsidRPr="008C5596" w:rsidRDefault="009719EF" w:rsidP="002C0BE8">
            <w:pPr>
              <w:pStyle w:val="ListParagraph"/>
              <w:numPr>
                <w:ilvl w:val="0"/>
                <w:numId w:val="23"/>
              </w:numPr>
              <w:spacing w:after="60" w:line="240" w:lineRule="auto"/>
              <w:ind w:left="470" w:right="57" w:hanging="357"/>
              <w:contextualSpacing w:val="0"/>
              <w:rPr>
                <w:bCs/>
                <w:sz w:val="20"/>
              </w:rPr>
            </w:pPr>
            <w:r w:rsidRPr="008C5596">
              <w:rPr>
                <w:bCs/>
                <w:sz w:val="20"/>
              </w:rPr>
              <w:t xml:space="preserve">detailed information of relevant processes, policies and systems </w:t>
            </w:r>
          </w:p>
          <w:p w:rsidR="009719EF" w:rsidRPr="008C5596" w:rsidRDefault="009719EF" w:rsidP="002C0BE8">
            <w:pPr>
              <w:pStyle w:val="ListParagraph"/>
              <w:numPr>
                <w:ilvl w:val="0"/>
                <w:numId w:val="23"/>
              </w:numPr>
              <w:spacing w:after="60" w:line="240" w:lineRule="auto"/>
              <w:ind w:left="470" w:right="57" w:hanging="357"/>
              <w:contextualSpacing w:val="0"/>
              <w:rPr>
                <w:bCs/>
                <w:sz w:val="20"/>
              </w:rPr>
            </w:pPr>
            <w:r w:rsidRPr="008C5596">
              <w:rPr>
                <w:bCs/>
                <w:sz w:val="20"/>
              </w:rPr>
              <w:t>practical examples of how consistency between counsellors is achieved (e.g. training, supervision, audits, proformas, time limits, targets), and how exceptions are managed</w:t>
            </w:r>
            <w:r>
              <w:rPr>
                <w:bCs/>
                <w:sz w:val="20"/>
              </w:rPr>
              <w:t>.</w:t>
            </w:r>
          </w:p>
        </w:tc>
      </w:tr>
    </w:tbl>
    <w:p w:rsidR="00D0424C" w:rsidRDefault="00F85F98" w:rsidP="00D0424C">
      <w:pPr>
        <w:pStyle w:val="ListBullet"/>
        <w:numPr>
          <w:ilvl w:val="0"/>
          <w:numId w:val="0"/>
        </w:numPr>
        <w:spacing w:before="0" w:after="0"/>
        <w:ind w:left="360" w:hanging="360"/>
        <w:rPr>
          <w:b/>
        </w:rPr>
      </w:pPr>
      <w:r>
        <w:t xml:space="preserve"> </w:t>
      </w:r>
    </w:p>
    <w:p w:rsidR="00F85F98" w:rsidRDefault="00FA1F45" w:rsidP="00F85F98">
      <w:pPr>
        <w:pStyle w:val="Heading2"/>
        <w:spacing w:before="0"/>
      </w:pPr>
      <w:r>
        <w:br w:type="column"/>
      </w:r>
      <w:r w:rsidR="00F85F98">
        <w:t>Criterion 3</w:t>
      </w:r>
      <w:r w:rsidR="00D3519E">
        <w:t xml:space="preserve"> </w:t>
      </w:r>
      <w:r w:rsidR="009444D0">
        <w:t>—</w:t>
      </w:r>
      <w:r w:rsidR="00D3519E">
        <w:t xml:space="preserve"> </w:t>
      </w:r>
      <w:r w:rsidR="00931DC1">
        <w:t>Organisational capability (15%)</w:t>
      </w:r>
    </w:p>
    <w:tbl>
      <w:tblPr>
        <w:tblStyle w:val="CGHTableBanded"/>
        <w:tblW w:w="9639" w:type="dxa"/>
        <w:tblLook w:val="04A0" w:firstRow="1" w:lastRow="0" w:firstColumn="1" w:lastColumn="0" w:noHBand="0" w:noVBand="1"/>
        <w:tblCaption w:val="Examples of strong responses to Criterion 3"/>
      </w:tblPr>
      <w:tblGrid>
        <w:gridCol w:w="4253"/>
        <w:gridCol w:w="5386"/>
      </w:tblGrid>
      <w:tr w:rsidR="00931DC1" w:rsidRPr="00391565" w:rsidTr="00F71958">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931DC1" w:rsidRPr="008C5596" w:rsidRDefault="00931DC1" w:rsidP="009F1ED2">
            <w:pPr>
              <w:spacing w:line="240" w:lineRule="auto"/>
              <w:ind w:left="57" w:right="57"/>
              <w:rPr>
                <w:b/>
                <w:sz w:val="20"/>
              </w:rPr>
            </w:pPr>
            <w:r w:rsidRPr="008C5596">
              <w:rPr>
                <w:rFonts w:ascii="Arial" w:eastAsia="Arial" w:hAnsi="Arial" w:cs="Arial"/>
                <w:b/>
                <w:color w:val="auto"/>
                <w:sz w:val="20"/>
              </w:rPr>
              <w:t>Strong applications</w:t>
            </w:r>
          </w:p>
        </w:tc>
        <w:tc>
          <w:tcPr>
            <w:tcW w:w="5386" w:type="dxa"/>
            <w:vAlign w:val="center"/>
          </w:tcPr>
          <w:p w:rsidR="00931DC1" w:rsidRPr="008C5596" w:rsidRDefault="00931DC1">
            <w:pPr>
              <w:spacing w:line="240" w:lineRule="auto"/>
              <w:ind w:left="57" w:right="57"/>
              <w:rPr>
                <w:b/>
                <w:sz w:val="20"/>
              </w:rPr>
            </w:pPr>
            <w:r w:rsidRPr="008C5596">
              <w:rPr>
                <w:b/>
                <w:sz w:val="20"/>
              </w:rPr>
              <w:t>Example</w:t>
            </w:r>
            <w:r w:rsidR="00D3519E">
              <w:rPr>
                <w:b/>
                <w:sz w:val="20"/>
              </w:rPr>
              <w:t xml:space="preserve"> </w:t>
            </w:r>
            <w:r w:rsidR="009444D0" w:rsidRPr="008C5596">
              <w:rPr>
                <w:b/>
                <w:sz w:val="20"/>
              </w:rPr>
              <w:t>—</w:t>
            </w:r>
            <w:r w:rsidR="00D3519E">
              <w:rPr>
                <w:b/>
                <w:sz w:val="20"/>
              </w:rPr>
              <w:t xml:space="preserve"> </w:t>
            </w:r>
            <w:r w:rsidRPr="008C5596">
              <w:rPr>
                <w:rFonts w:ascii="Arial" w:eastAsia="Arial" w:hAnsi="Arial"/>
                <w:color w:val="000000"/>
                <w:sz w:val="20"/>
              </w:rPr>
              <w:t xml:space="preserve">Quality responses </w:t>
            </w:r>
            <w:r w:rsidRPr="008C5596">
              <w:rPr>
                <w:rFonts w:ascii="Arial" w:eastAsia="Arial" w:hAnsi="Arial" w:cs="Arial"/>
                <w:color w:val="auto"/>
                <w:sz w:val="20"/>
              </w:rPr>
              <w:t>provided</w:t>
            </w:r>
            <w:r w:rsidRPr="008C5596">
              <w:rPr>
                <w:rFonts w:ascii="Arial" w:eastAsia="Arial" w:hAnsi="Arial"/>
                <w:color w:val="000000"/>
                <w:sz w:val="20"/>
              </w:rPr>
              <w:t>:</w:t>
            </w:r>
          </w:p>
        </w:tc>
      </w:tr>
      <w:tr w:rsidR="00F85F98" w:rsidRPr="00391565"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F85F98" w:rsidRPr="008C5596" w:rsidRDefault="00931DC1" w:rsidP="009F1ED2">
            <w:pPr>
              <w:spacing w:before="120" w:after="120" w:line="240" w:lineRule="auto"/>
              <w:ind w:left="113" w:right="57"/>
              <w:rPr>
                <w:sz w:val="20"/>
              </w:rPr>
            </w:pPr>
            <w:r w:rsidRPr="008C5596">
              <w:rPr>
                <w:sz w:val="20"/>
              </w:rPr>
              <w:t>C</w:t>
            </w:r>
            <w:r w:rsidR="00F85F98" w:rsidRPr="008C5596">
              <w:rPr>
                <w:sz w:val="20"/>
              </w:rPr>
              <w:t>learly demonstrated</w:t>
            </w:r>
            <w:r w:rsidRPr="008C5596">
              <w:rPr>
                <w:sz w:val="20"/>
              </w:rPr>
              <w:t xml:space="preserve"> organisation</w:t>
            </w:r>
            <w:r w:rsidR="009E5EE6" w:rsidRPr="008C5596">
              <w:rPr>
                <w:sz w:val="20"/>
              </w:rPr>
              <w:t xml:space="preserve">al </w:t>
            </w:r>
            <w:r w:rsidRPr="008C5596">
              <w:rPr>
                <w:sz w:val="20"/>
              </w:rPr>
              <w:t xml:space="preserve">capability and capacity to deliver the RFCS </w:t>
            </w:r>
            <w:r w:rsidR="009E46BF">
              <w:rPr>
                <w:sz w:val="20"/>
              </w:rPr>
              <w:t>P</w:t>
            </w:r>
            <w:r w:rsidRPr="008C5596">
              <w:rPr>
                <w:sz w:val="20"/>
              </w:rPr>
              <w:t>rogram</w:t>
            </w:r>
          </w:p>
        </w:tc>
        <w:tc>
          <w:tcPr>
            <w:tcW w:w="5386" w:type="dxa"/>
            <w:shd w:val="clear" w:color="auto" w:fill="DFE1DF" w:themeFill="text2"/>
            <w:vAlign w:val="center"/>
          </w:tcPr>
          <w:p w:rsidR="00373C94" w:rsidRPr="008C5596" w:rsidRDefault="003369DA"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 xml:space="preserve">strong </w:t>
            </w:r>
            <w:r w:rsidR="009E5EE6" w:rsidRPr="008C5596">
              <w:rPr>
                <w:rFonts w:eastAsia="Arial" w:cs="Arial"/>
                <w:sz w:val="20"/>
              </w:rPr>
              <w:t xml:space="preserve">experience in delivering </w:t>
            </w:r>
            <w:r w:rsidR="00373C94" w:rsidRPr="008C5596">
              <w:rPr>
                <w:rFonts w:eastAsia="Arial" w:cs="Arial"/>
                <w:sz w:val="20"/>
              </w:rPr>
              <w:t>client-centric services in regional Australia</w:t>
            </w:r>
          </w:p>
          <w:p w:rsidR="003369DA" w:rsidRPr="008C5596" w:rsidRDefault="00CB1913"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 xml:space="preserve">evidence of strong organisational </w:t>
            </w:r>
            <w:r w:rsidR="00B8316B" w:rsidRPr="008C5596">
              <w:rPr>
                <w:rFonts w:eastAsia="Arial" w:cs="Arial"/>
                <w:sz w:val="20"/>
              </w:rPr>
              <w:t>capability</w:t>
            </w:r>
            <w:r w:rsidR="008B48CC">
              <w:rPr>
                <w:rFonts w:eastAsia="Arial" w:cs="Arial"/>
                <w:sz w:val="20"/>
              </w:rPr>
              <w:t>,</w:t>
            </w:r>
            <w:r w:rsidR="00B8316B" w:rsidRPr="008C5596">
              <w:rPr>
                <w:rFonts w:eastAsia="Arial" w:cs="Arial"/>
                <w:sz w:val="20"/>
              </w:rPr>
              <w:t xml:space="preserve"> </w:t>
            </w:r>
            <w:r w:rsidRPr="008C5596">
              <w:rPr>
                <w:rFonts w:eastAsia="Arial" w:cs="Arial"/>
                <w:sz w:val="20"/>
              </w:rPr>
              <w:t>performance</w:t>
            </w:r>
            <w:r w:rsidR="008B48CC">
              <w:rPr>
                <w:rFonts w:eastAsia="Arial" w:cs="Arial"/>
                <w:sz w:val="20"/>
              </w:rPr>
              <w:t xml:space="preserve"> and professionalism</w:t>
            </w:r>
            <w:r w:rsidRPr="008C5596">
              <w:rPr>
                <w:rFonts w:eastAsia="Arial" w:cs="Arial"/>
                <w:sz w:val="20"/>
              </w:rPr>
              <w:t xml:space="preserve"> </w:t>
            </w:r>
          </w:p>
        </w:tc>
      </w:tr>
      <w:tr w:rsidR="00F85F98" w:rsidRPr="00391565"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F85F98" w:rsidRPr="008C5596" w:rsidRDefault="00877C5A" w:rsidP="009F1ED2">
            <w:pPr>
              <w:spacing w:before="120" w:after="120" w:line="240" w:lineRule="auto"/>
              <w:ind w:left="113" w:right="57"/>
              <w:rPr>
                <w:sz w:val="20"/>
              </w:rPr>
            </w:pPr>
            <w:r w:rsidRPr="008C5596">
              <w:rPr>
                <w:sz w:val="20"/>
              </w:rPr>
              <w:t>C</w:t>
            </w:r>
            <w:r w:rsidR="00931DC1" w:rsidRPr="008C5596">
              <w:rPr>
                <w:sz w:val="20"/>
              </w:rPr>
              <w:t>learly</w:t>
            </w:r>
            <w:r w:rsidR="00F85F98" w:rsidRPr="008C5596">
              <w:rPr>
                <w:sz w:val="20"/>
              </w:rPr>
              <w:t xml:space="preserve"> </w:t>
            </w:r>
            <w:r w:rsidR="00931DC1" w:rsidRPr="008C5596">
              <w:rPr>
                <w:sz w:val="20"/>
              </w:rPr>
              <w:t>demonstrated capacity to administer grant programs, including contract, project and risk management and reporting</w:t>
            </w:r>
          </w:p>
        </w:tc>
        <w:tc>
          <w:tcPr>
            <w:tcW w:w="5386" w:type="dxa"/>
            <w:shd w:val="clear" w:color="auto" w:fill="EFF0EF" w:themeFill="background2"/>
            <w:vAlign w:val="center"/>
          </w:tcPr>
          <w:p w:rsidR="00F85F98" w:rsidRPr="008C5596" w:rsidRDefault="003369DA"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a strong track record</w:t>
            </w:r>
            <w:r w:rsidR="009E5EE6" w:rsidRPr="008C5596">
              <w:rPr>
                <w:rFonts w:eastAsia="Arial" w:cs="Arial"/>
                <w:sz w:val="20"/>
              </w:rPr>
              <w:t xml:space="preserve"> in meeting grant governance requirements </w:t>
            </w:r>
          </w:p>
          <w:p w:rsidR="009E5EE6" w:rsidRPr="008C5596" w:rsidRDefault="003369DA"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evidence of established processes</w:t>
            </w:r>
            <w:r w:rsidR="005C0FE1" w:rsidRPr="008C5596">
              <w:rPr>
                <w:rFonts w:eastAsia="Arial" w:cs="Arial"/>
                <w:sz w:val="20"/>
              </w:rPr>
              <w:t>, systems and practices and how these are used to deliver outcomes</w:t>
            </w:r>
            <w:r w:rsidR="00096B81" w:rsidRPr="008C5596">
              <w:rPr>
                <w:rFonts w:eastAsia="Arial" w:cs="Arial"/>
                <w:sz w:val="20"/>
              </w:rPr>
              <w:t xml:space="preserve"> </w:t>
            </w:r>
            <w:r w:rsidR="00096B81" w:rsidRPr="008C5596">
              <w:rPr>
                <w:sz w:val="20"/>
              </w:rPr>
              <w:t>on time and within budget</w:t>
            </w:r>
          </w:p>
        </w:tc>
      </w:tr>
      <w:tr w:rsidR="00931DC1" w:rsidRPr="00391565"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931DC1" w:rsidRPr="008C5596" w:rsidRDefault="00877C5A" w:rsidP="009F1ED2">
            <w:pPr>
              <w:spacing w:before="120" w:after="120" w:line="240" w:lineRule="auto"/>
              <w:ind w:left="113" w:right="57"/>
              <w:rPr>
                <w:sz w:val="20"/>
              </w:rPr>
            </w:pPr>
            <w:r w:rsidRPr="008C5596">
              <w:rPr>
                <w:sz w:val="20"/>
              </w:rPr>
              <w:t>Clearly outlined the plan to build</w:t>
            </w:r>
            <w:r w:rsidR="00391565">
              <w:rPr>
                <w:sz w:val="20"/>
              </w:rPr>
              <w:t xml:space="preserve">, </w:t>
            </w:r>
            <w:r w:rsidRPr="008C5596">
              <w:rPr>
                <w:sz w:val="20"/>
              </w:rPr>
              <w:t>establish</w:t>
            </w:r>
            <w:r w:rsidR="00391565">
              <w:rPr>
                <w:sz w:val="20"/>
              </w:rPr>
              <w:t xml:space="preserve">, </w:t>
            </w:r>
            <w:r w:rsidRPr="008C5596">
              <w:rPr>
                <w:sz w:val="20"/>
              </w:rPr>
              <w:t>grow</w:t>
            </w:r>
            <w:r w:rsidR="00391565">
              <w:rPr>
                <w:sz w:val="20"/>
              </w:rPr>
              <w:t xml:space="preserve"> and</w:t>
            </w:r>
            <w:r w:rsidRPr="008C5596">
              <w:rPr>
                <w:sz w:val="20"/>
              </w:rPr>
              <w:t xml:space="preserve"> sustain </w:t>
            </w:r>
            <w:r w:rsidR="00391565">
              <w:rPr>
                <w:sz w:val="20"/>
              </w:rPr>
              <w:t>a</w:t>
            </w:r>
            <w:r w:rsidR="00391565" w:rsidRPr="008C5596">
              <w:rPr>
                <w:sz w:val="20"/>
              </w:rPr>
              <w:t xml:space="preserve"> </w:t>
            </w:r>
            <w:r w:rsidRPr="008C5596">
              <w:rPr>
                <w:sz w:val="20"/>
              </w:rPr>
              <w:t>counsellor base</w:t>
            </w:r>
            <w:r w:rsidR="00391565">
              <w:rPr>
                <w:sz w:val="20"/>
              </w:rPr>
              <w:t>,</w:t>
            </w:r>
            <w:r w:rsidRPr="008C5596">
              <w:rPr>
                <w:sz w:val="20"/>
              </w:rPr>
              <w:t xml:space="preserve"> including appropriate ratio of experienced counsellors to mentor</w:t>
            </w:r>
            <w:r w:rsidR="00391565">
              <w:rPr>
                <w:sz w:val="20"/>
              </w:rPr>
              <w:t xml:space="preserve"> and</w:t>
            </w:r>
            <w:r w:rsidR="00CB63AB" w:rsidRPr="008C5596">
              <w:rPr>
                <w:sz w:val="20"/>
              </w:rPr>
              <w:t xml:space="preserve"> </w:t>
            </w:r>
            <w:r w:rsidRPr="008C5596">
              <w:rPr>
                <w:sz w:val="20"/>
              </w:rPr>
              <w:t>supervise new</w:t>
            </w:r>
            <w:r w:rsidR="00391565">
              <w:rPr>
                <w:sz w:val="20"/>
              </w:rPr>
              <w:t xml:space="preserve"> or </w:t>
            </w:r>
            <w:r w:rsidRPr="008C5596">
              <w:rPr>
                <w:sz w:val="20"/>
              </w:rPr>
              <w:t>developing staff</w:t>
            </w:r>
          </w:p>
        </w:tc>
        <w:tc>
          <w:tcPr>
            <w:tcW w:w="5386" w:type="dxa"/>
            <w:shd w:val="clear" w:color="auto" w:fill="DFE1DF" w:themeFill="text2"/>
            <w:vAlign w:val="center"/>
          </w:tcPr>
          <w:p w:rsidR="003369DA" w:rsidRPr="008C5596" w:rsidRDefault="003369DA"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 xml:space="preserve">a comprehensive plan </w:t>
            </w:r>
            <w:r w:rsidR="00CB63AB" w:rsidRPr="008C5596">
              <w:rPr>
                <w:rFonts w:eastAsia="Arial" w:cs="Arial"/>
                <w:sz w:val="20"/>
              </w:rPr>
              <w:t>for</w:t>
            </w:r>
            <w:r w:rsidRPr="008C5596">
              <w:rPr>
                <w:rFonts w:eastAsia="Arial" w:cs="Arial"/>
                <w:sz w:val="20"/>
              </w:rPr>
              <w:t xml:space="preserve"> the organisation</w:t>
            </w:r>
            <w:r w:rsidR="00CB63AB" w:rsidRPr="008C5596">
              <w:rPr>
                <w:rFonts w:eastAsia="Arial" w:cs="Arial"/>
                <w:sz w:val="20"/>
              </w:rPr>
              <w:t xml:space="preserve">’s </w:t>
            </w:r>
            <w:r w:rsidRPr="008C5596">
              <w:rPr>
                <w:rFonts w:eastAsia="Arial" w:cs="Arial"/>
                <w:sz w:val="20"/>
              </w:rPr>
              <w:t>staff</w:t>
            </w:r>
            <w:r w:rsidR="003022F8" w:rsidRPr="008C5596">
              <w:rPr>
                <w:rFonts w:eastAsia="Arial" w:cs="Arial"/>
                <w:sz w:val="20"/>
              </w:rPr>
              <w:t xml:space="preserve"> </w:t>
            </w:r>
            <w:r w:rsidR="00391565">
              <w:rPr>
                <w:rFonts w:eastAsia="Arial" w:cs="Arial"/>
                <w:sz w:val="20"/>
              </w:rPr>
              <w:t xml:space="preserve">development </w:t>
            </w:r>
            <w:r w:rsidR="003022F8" w:rsidRPr="008C5596">
              <w:rPr>
                <w:rFonts w:eastAsia="Arial" w:cs="Arial"/>
                <w:sz w:val="20"/>
              </w:rPr>
              <w:t>requirements</w:t>
            </w:r>
          </w:p>
          <w:p w:rsidR="003369DA" w:rsidRPr="008C5596" w:rsidRDefault="003369DA"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 xml:space="preserve">detailed information about </w:t>
            </w:r>
            <w:r w:rsidR="00CB63AB" w:rsidRPr="008C5596">
              <w:rPr>
                <w:rFonts w:eastAsia="Arial" w:cs="Arial"/>
                <w:sz w:val="20"/>
              </w:rPr>
              <w:t xml:space="preserve">recruitment, </w:t>
            </w:r>
            <w:r w:rsidRPr="008C5596">
              <w:rPr>
                <w:rFonts w:eastAsia="Arial" w:cs="Arial"/>
                <w:sz w:val="20"/>
              </w:rPr>
              <w:t xml:space="preserve">supervision, </w:t>
            </w:r>
            <w:r w:rsidR="00CB63AB" w:rsidRPr="008C5596">
              <w:rPr>
                <w:rFonts w:eastAsia="Arial" w:cs="Arial"/>
                <w:sz w:val="20"/>
              </w:rPr>
              <w:t>and succession planning for qualified rural financial counsellors</w:t>
            </w:r>
          </w:p>
        </w:tc>
      </w:tr>
      <w:tr w:rsidR="00931DC1" w:rsidRPr="00391565"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931DC1" w:rsidRPr="008C5596" w:rsidRDefault="00877C5A" w:rsidP="009F1ED2">
            <w:pPr>
              <w:spacing w:before="120" w:after="120" w:line="240" w:lineRule="auto"/>
              <w:ind w:left="113" w:right="57"/>
              <w:rPr>
                <w:sz w:val="20"/>
              </w:rPr>
            </w:pPr>
            <w:r w:rsidRPr="008C5596">
              <w:rPr>
                <w:sz w:val="20"/>
              </w:rPr>
              <w:t>C</w:t>
            </w:r>
            <w:r w:rsidR="00931DC1" w:rsidRPr="008C5596">
              <w:rPr>
                <w:sz w:val="20"/>
              </w:rPr>
              <w:t xml:space="preserve">learly </w:t>
            </w:r>
            <w:r w:rsidRPr="008C5596">
              <w:rPr>
                <w:sz w:val="20"/>
              </w:rPr>
              <w:t>outlined</w:t>
            </w:r>
            <w:r w:rsidR="00931DC1" w:rsidRPr="008C5596">
              <w:rPr>
                <w:sz w:val="20"/>
              </w:rPr>
              <w:t xml:space="preserve"> </w:t>
            </w:r>
            <w:r w:rsidR="00391565">
              <w:rPr>
                <w:sz w:val="20"/>
              </w:rPr>
              <w:t xml:space="preserve">the </w:t>
            </w:r>
            <w:r w:rsidRPr="008C5596">
              <w:rPr>
                <w:sz w:val="20"/>
              </w:rPr>
              <w:t>organisation’s proposed welfare and professional development strategies for counsellors and staff</w:t>
            </w:r>
          </w:p>
        </w:tc>
        <w:tc>
          <w:tcPr>
            <w:tcW w:w="5386" w:type="dxa"/>
            <w:shd w:val="clear" w:color="auto" w:fill="EFF0EF" w:themeFill="background2"/>
            <w:vAlign w:val="center"/>
          </w:tcPr>
          <w:p w:rsidR="005C0FE1" w:rsidRPr="008C5596" w:rsidRDefault="005C0FE1"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evidence of established processes</w:t>
            </w:r>
            <w:r w:rsidR="000E46DE" w:rsidRPr="008C5596">
              <w:rPr>
                <w:rFonts w:eastAsia="Arial" w:cs="Arial"/>
                <w:sz w:val="20"/>
              </w:rPr>
              <w:t xml:space="preserve"> to support staff</w:t>
            </w:r>
          </w:p>
          <w:p w:rsidR="00931DC1" w:rsidRPr="008C5596" w:rsidRDefault="000E46DE"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 xml:space="preserve">detailed strategies to address </w:t>
            </w:r>
            <w:r w:rsidRPr="008C5596">
              <w:rPr>
                <w:sz w:val="20"/>
              </w:rPr>
              <w:t>welfare and professional development needs for all staff</w:t>
            </w:r>
          </w:p>
          <w:p w:rsidR="003F7B9A" w:rsidRPr="008C5596" w:rsidRDefault="003F7B9A"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information on mandatory training requirements</w:t>
            </w:r>
          </w:p>
        </w:tc>
      </w:tr>
      <w:tr w:rsidR="00931DC1" w:rsidRPr="00391565"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931DC1" w:rsidRPr="008C5596" w:rsidRDefault="00877C5A" w:rsidP="009F1ED2">
            <w:pPr>
              <w:spacing w:before="120" w:after="120" w:line="240" w:lineRule="auto"/>
              <w:ind w:left="113" w:right="57"/>
              <w:rPr>
                <w:sz w:val="20"/>
              </w:rPr>
            </w:pPr>
            <w:r w:rsidRPr="008C5596">
              <w:rPr>
                <w:sz w:val="20"/>
              </w:rPr>
              <w:t>Clearly outlined organisation</w:t>
            </w:r>
            <w:r w:rsidR="00391565">
              <w:rPr>
                <w:sz w:val="20"/>
              </w:rPr>
              <w:t>al</w:t>
            </w:r>
            <w:r w:rsidRPr="008C5596">
              <w:rPr>
                <w:sz w:val="20"/>
              </w:rPr>
              <w:t xml:space="preserve"> policies and processes to ensure the service is accessible and appropriate to the needs of diverse clients, including those from </w:t>
            </w:r>
            <w:r w:rsidR="00391565">
              <w:rPr>
                <w:sz w:val="20"/>
              </w:rPr>
              <w:t>c</w:t>
            </w:r>
            <w:r w:rsidRPr="008C5596">
              <w:rPr>
                <w:sz w:val="20"/>
              </w:rPr>
              <w:t xml:space="preserve">ulturally and </w:t>
            </w:r>
            <w:r w:rsidR="00391565">
              <w:rPr>
                <w:sz w:val="20"/>
              </w:rPr>
              <w:t>l</w:t>
            </w:r>
            <w:r w:rsidRPr="008C5596">
              <w:rPr>
                <w:sz w:val="20"/>
              </w:rPr>
              <w:t xml:space="preserve">inguistically </w:t>
            </w:r>
            <w:r w:rsidR="00391565">
              <w:rPr>
                <w:sz w:val="20"/>
              </w:rPr>
              <w:t>d</w:t>
            </w:r>
            <w:r w:rsidRPr="008C5596">
              <w:rPr>
                <w:sz w:val="20"/>
              </w:rPr>
              <w:t>iverse backgrounds, clients with disabilities or clients in vulnerable situations</w:t>
            </w:r>
          </w:p>
        </w:tc>
        <w:tc>
          <w:tcPr>
            <w:tcW w:w="5386" w:type="dxa"/>
            <w:shd w:val="clear" w:color="auto" w:fill="DFE1DF" w:themeFill="text2"/>
            <w:vAlign w:val="center"/>
          </w:tcPr>
          <w:p w:rsidR="005C0FE1" w:rsidRPr="008C5596" w:rsidRDefault="005C0FE1"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 xml:space="preserve">demonstrated understanding of barriers to accessibility </w:t>
            </w:r>
            <w:r w:rsidR="000E46DE" w:rsidRPr="008C5596">
              <w:rPr>
                <w:rFonts w:eastAsia="Arial" w:cs="Arial"/>
                <w:sz w:val="20"/>
              </w:rPr>
              <w:t>and strategies to address these</w:t>
            </w:r>
          </w:p>
          <w:p w:rsidR="00931DC1" w:rsidRPr="008C5596" w:rsidRDefault="005C0FE1"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evidence of established policies and processes</w:t>
            </w:r>
            <w:r w:rsidR="000E46DE" w:rsidRPr="008C5596">
              <w:rPr>
                <w:rFonts w:eastAsia="Arial" w:cs="Arial"/>
                <w:sz w:val="20"/>
              </w:rPr>
              <w:t xml:space="preserve"> and/or </w:t>
            </w:r>
            <w:r w:rsidRPr="008C5596">
              <w:rPr>
                <w:rFonts w:eastAsia="Arial" w:cs="Arial"/>
                <w:sz w:val="20"/>
              </w:rPr>
              <w:t xml:space="preserve">practical examples </w:t>
            </w:r>
            <w:r w:rsidR="000E46DE" w:rsidRPr="008C5596">
              <w:rPr>
                <w:rFonts w:eastAsia="Arial" w:cs="Arial"/>
                <w:sz w:val="20"/>
              </w:rPr>
              <w:t>of appropriate</w:t>
            </w:r>
            <w:r w:rsidR="003022F8" w:rsidRPr="008C5596">
              <w:rPr>
                <w:rFonts w:eastAsia="Arial" w:cs="Arial"/>
                <w:sz w:val="20"/>
              </w:rPr>
              <w:t>ly</w:t>
            </w:r>
            <w:r w:rsidR="000E46DE" w:rsidRPr="008C5596">
              <w:rPr>
                <w:rFonts w:eastAsia="Arial" w:cs="Arial"/>
                <w:sz w:val="20"/>
              </w:rPr>
              <w:t xml:space="preserve"> tailored service delivery </w:t>
            </w:r>
          </w:p>
        </w:tc>
      </w:tr>
      <w:tr w:rsidR="00931DC1" w:rsidRPr="00391565"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931DC1" w:rsidRPr="008C5596" w:rsidRDefault="00877C5A" w:rsidP="009F1ED2">
            <w:pPr>
              <w:spacing w:before="120" w:after="120" w:line="240" w:lineRule="auto"/>
              <w:ind w:left="113" w:right="57"/>
              <w:rPr>
                <w:sz w:val="20"/>
              </w:rPr>
            </w:pPr>
            <w:r w:rsidRPr="008C5596">
              <w:rPr>
                <w:sz w:val="20"/>
              </w:rPr>
              <w:t>Clearly outlined organisation</w:t>
            </w:r>
            <w:r w:rsidR="00391565">
              <w:rPr>
                <w:sz w:val="20"/>
              </w:rPr>
              <w:t>al</w:t>
            </w:r>
            <w:r w:rsidRPr="008C5596">
              <w:rPr>
                <w:sz w:val="20"/>
              </w:rPr>
              <w:t xml:space="preserve"> systems and processes to monitor performance and continuously improve operations</w:t>
            </w:r>
          </w:p>
        </w:tc>
        <w:tc>
          <w:tcPr>
            <w:tcW w:w="5386" w:type="dxa"/>
            <w:shd w:val="clear" w:color="auto" w:fill="EFF0EF" w:themeFill="background2"/>
            <w:vAlign w:val="center"/>
          </w:tcPr>
          <w:p w:rsidR="00BA74DB" w:rsidRPr="008C5596" w:rsidRDefault="003022F8"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 xml:space="preserve">evidence of a </w:t>
            </w:r>
            <w:r w:rsidR="005C0FE1" w:rsidRPr="008C5596">
              <w:rPr>
                <w:rFonts w:eastAsia="Arial" w:cs="Arial"/>
                <w:sz w:val="20"/>
              </w:rPr>
              <w:t xml:space="preserve">strong performance management culture </w:t>
            </w:r>
          </w:p>
          <w:p w:rsidR="005C0FE1" w:rsidRPr="008C5596" w:rsidRDefault="005C0FE1"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detailed systems and processes</w:t>
            </w:r>
            <w:r w:rsidR="00BA74DB" w:rsidRPr="008C5596">
              <w:rPr>
                <w:rFonts w:eastAsia="Arial" w:cs="Arial"/>
                <w:sz w:val="20"/>
              </w:rPr>
              <w:t xml:space="preserve"> for </w:t>
            </w:r>
            <w:r w:rsidR="00BA74DB" w:rsidRPr="008C5596">
              <w:rPr>
                <w:rFonts w:cstheme="minorHAnsi"/>
                <w:sz w:val="20"/>
              </w:rPr>
              <w:t>monitoring and evaluation</w:t>
            </w:r>
          </w:p>
          <w:p w:rsidR="00931DC1" w:rsidRPr="008C5596" w:rsidRDefault="005C0FE1" w:rsidP="008C5596">
            <w:pPr>
              <w:pStyle w:val="ListParagraph"/>
              <w:numPr>
                <w:ilvl w:val="0"/>
                <w:numId w:val="23"/>
              </w:numPr>
              <w:spacing w:after="60" w:line="240" w:lineRule="auto"/>
              <w:ind w:left="470" w:right="57" w:hanging="357"/>
              <w:contextualSpacing w:val="0"/>
              <w:rPr>
                <w:rFonts w:eastAsia="Arial" w:cs="Arial"/>
                <w:sz w:val="20"/>
              </w:rPr>
            </w:pPr>
            <w:r w:rsidRPr="008C5596">
              <w:rPr>
                <w:rFonts w:eastAsia="Arial" w:cs="Arial"/>
                <w:sz w:val="20"/>
              </w:rPr>
              <w:t>evidence of continuous improvement</w:t>
            </w:r>
          </w:p>
        </w:tc>
      </w:tr>
      <w:tr w:rsidR="00BE08EF" w:rsidRPr="00391565"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BE08EF" w:rsidRPr="00875115" w:rsidRDefault="00BE08EF" w:rsidP="00751585">
            <w:pPr>
              <w:spacing w:before="120" w:after="120" w:line="240" w:lineRule="auto"/>
              <w:ind w:left="113" w:right="57"/>
              <w:rPr>
                <w:rFonts w:ascii="Calibri" w:hAnsi="Calibri"/>
                <w:color w:val="auto"/>
              </w:rPr>
            </w:pPr>
            <w:r w:rsidRPr="008C5596">
              <w:rPr>
                <w:sz w:val="20"/>
              </w:rPr>
              <w:t xml:space="preserve">Clearly outlined </w:t>
            </w:r>
            <w:r>
              <w:rPr>
                <w:sz w:val="20"/>
              </w:rPr>
              <w:t>t</w:t>
            </w:r>
            <w:r w:rsidRPr="00875115">
              <w:rPr>
                <w:sz w:val="20"/>
              </w:rPr>
              <w:t>he organisation’s processes and policies to support effective, well-informed decision-making at all levels</w:t>
            </w:r>
          </w:p>
        </w:tc>
        <w:tc>
          <w:tcPr>
            <w:tcW w:w="5386" w:type="dxa"/>
            <w:shd w:val="clear" w:color="auto" w:fill="DFE1DF" w:themeFill="text2"/>
            <w:vAlign w:val="center"/>
          </w:tcPr>
          <w:p w:rsidR="00BE08EF" w:rsidRPr="00875115" w:rsidRDefault="00BE08EF" w:rsidP="00751585">
            <w:pPr>
              <w:pStyle w:val="ListParagraph"/>
              <w:numPr>
                <w:ilvl w:val="0"/>
                <w:numId w:val="23"/>
              </w:numPr>
              <w:spacing w:after="60" w:line="240" w:lineRule="auto"/>
              <w:ind w:left="470" w:right="57" w:hanging="357"/>
              <w:contextualSpacing w:val="0"/>
              <w:rPr>
                <w:rFonts w:eastAsia="Arial" w:cs="Arial"/>
                <w:sz w:val="20"/>
              </w:rPr>
            </w:pPr>
            <w:r w:rsidRPr="008C5596">
              <w:rPr>
                <w:bCs/>
                <w:sz w:val="20"/>
              </w:rPr>
              <w:t>detailed information of relevant processes</w:t>
            </w:r>
            <w:r>
              <w:rPr>
                <w:bCs/>
                <w:sz w:val="20"/>
              </w:rPr>
              <w:t xml:space="preserve"> and</w:t>
            </w:r>
            <w:r w:rsidRPr="008C5596">
              <w:rPr>
                <w:bCs/>
                <w:sz w:val="20"/>
              </w:rPr>
              <w:t xml:space="preserve"> policies </w:t>
            </w:r>
          </w:p>
          <w:p w:rsidR="00BE08EF" w:rsidRPr="008C5596" w:rsidRDefault="00BE08EF" w:rsidP="00751585">
            <w:pPr>
              <w:pStyle w:val="ListParagraph"/>
              <w:numPr>
                <w:ilvl w:val="0"/>
                <w:numId w:val="23"/>
              </w:numPr>
              <w:spacing w:after="60" w:line="240" w:lineRule="auto"/>
              <w:ind w:left="470" w:right="57" w:hanging="357"/>
              <w:contextualSpacing w:val="0"/>
              <w:rPr>
                <w:rFonts w:eastAsia="Arial" w:cs="Arial"/>
                <w:sz w:val="20"/>
              </w:rPr>
            </w:pPr>
            <w:r w:rsidRPr="008C5596">
              <w:rPr>
                <w:bCs/>
                <w:sz w:val="20"/>
              </w:rPr>
              <w:t xml:space="preserve">practical examples of how </w:t>
            </w:r>
            <w:r>
              <w:rPr>
                <w:bCs/>
                <w:sz w:val="20"/>
              </w:rPr>
              <w:t xml:space="preserve">decision making occurs in the organisation </w:t>
            </w:r>
          </w:p>
        </w:tc>
      </w:tr>
      <w:tr w:rsidR="00877C5A" w:rsidRPr="00391565"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877C5A" w:rsidRPr="008C5596" w:rsidRDefault="00877C5A" w:rsidP="008C5596">
            <w:pPr>
              <w:spacing w:after="60" w:line="240" w:lineRule="auto"/>
              <w:ind w:left="113" w:right="57"/>
              <w:rPr>
                <w:sz w:val="20"/>
              </w:rPr>
            </w:pPr>
            <w:r w:rsidRPr="008C5596">
              <w:rPr>
                <w:sz w:val="20"/>
              </w:rPr>
              <w:t>Clearly outlined the diversity of skills and experience that board members bring to the organisation</w:t>
            </w:r>
            <w:r w:rsidR="005C0FE1" w:rsidRPr="008C5596">
              <w:rPr>
                <w:sz w:val="20"/>
              </w:rPr>
              <w:t>, including</w:t>
            </w:r>
            <w:r w:rsidR="00391565">
              <w:rPr>
                <w:sz w:val="20"/>
              </w:rPr>
              <w:t>:</w:t>
            </w:r>
            <w:r w:rsidR="005C0FE1" w:rsidRPr="008C5596">
              <w:rPr>
                <w:sz w:val="20"/>
              </w:rPr>
              <w:t xml:space="preserve"> </w:t>
            </w:r>
          </w:p>
          <w:p w:rsidR="00877C5A" w:rsidRPr="008C5596" w:rsidRDefault="00877C5A" w:rsidP="008C5596">
            <w:pPr>
              <w:pStyle w:val="ListParagraph"/>
              <w:numPr>
                <w:ilvl w:val="0"/>
                <w:numId w:val="22"/>
              </w:numPr>
              <w:spacing w:after="60" w:line="240" w:lineRule="auto"/>
              <w:ind w:right="57"/>
              <w:contextualSpacing w:val="0"/>
              <w:rPr>
                <w:rFonts w:ascii="Arial" w:eastAsia="Arial" w:hAnsi="Arial" w:cs="Arial"/>
                <w:bCs/>
                <w:color w:val="auto"/>
                <w:sz w:val="20"/>
              </w:rPr>
            </w:pPr>
            <w:r w:rsidRPr="008C5596">
              <w:rPr>
                <w:rFonts w:ascii="Arial" w:eastAsia="Arial" w:hAnsi="Arial" w:cs="Arial"/>
                <w:bCs/>
                <w:color w:val="auto"/>
                <w:sz w:val="20"/>
              </w:rPr>
              <w:t>commitment to strong corporate governance</w:t>
            </w:r>
          </w:p>
          <w:p w:rsidR="00877C5A" w:rsidRPr="008C5596" w:rsidRDefault="00877C5A" w:rsidP="008C5596">
            <w:pPr>
              <w:pStyle w:val="ListParagraph"/>
              <w:numPr>
                <w:ilvl w:val="0"/>
                <w:numId w:val="22"/>
              </w:numPr>
              <w:spacing w:after="60" w:line="240" w:lineRule="auto"/>
              <w:ind w:right="57"/>
              <w:contextualSpacing w:val="0"/>
              <w:rPr>
                <w:sz w:val="20"/>
              </w:rPr>
            </w:pPr>
            <w:r w:rsidRPr="008C5596">
              <w:rPr>
                <w:rFonts w:ascii="Arial" w:eastAsia="Arial" w:hAnsi="Arial" w:cs="Arial"/>
                <w:bCs/>
                <w:color w:val="auto"/>
                <w:sz w:val="20"/>
              </w:rPr>
              <w:t>board selection processes and maximum tenure for board members</w:t>
            </w:r>
          </w:p>
        </w:tc>
        <w:tc>
          <w:tcPr>
            <w:tcW w:w="5386" w:type="dxa"/>
            <w:shd w:val="clear" w:color="auto" w:fill="EFF0EF" w:themeFill="background2"/>
          </w:tcPr>
          <w:p w:rsidR="00877C5A" w:rsidRPr="008C5596" w:rsidRDefault="00BA74DB" w:rsidP="00A47E34">
            <w:pPr>
              <w:pStyle w:val="ListParagraph"/>
              <w:numPr>
                <w:ilvl w:val="0"/>
                <w:numId w:val="22"/>
              </w:numPr>
              <w:spacing w:after="60" w:line="240" w:lineRule="auto"/>
              <w:ind w:left="470" w:right="57" w:hanging="357"/>
              <w:contextualSpacing w:val="0"/>
              <w:rPr>
                <w:sz w:val="20"/>
              </w:rPr>
            </w:pPr>
            <w:r w:rsidRPr="008C5596">
              <w:rPr>
                <w:sz w:val="20"/>
              </w:rPr>
              <w:t xml:space="preserve">strong board membership evidencing a variety of relevant skills and experience </w:t>
            </w:r>
          </w:p>
          <w:p w:rsidR="00BA74DB" w:rsidRPr="008C5596" w:rsidRDefault="00BA74DB" w:rsidP="00A47E34">
            <w:pPr>
              <w:pStyle w:val="ListParagraph"/>
              <w:numPr>
                <w:ilvl w:val="0"/>
                <w:numId w:val="22"/>
              </w:numPr>
              <w:spacing w:after="60" w:line="240" w:lineRule="auto"/>
              <w:ind w:left="470" w:right="57" w:hanging="357"/>
              <w:contextualSpacing w:val="0"/>
              <w:rPr>
                <w:sz w:val="20"/>
              </w:rPr>
            </w:pPr>
            <w:r w:rsidRPr="008C5596">
              <w:rPr>
                <w:sz w:val="20"/>
              </w:rPr>
              <w:t xml:space="preserve">evidence of </w:t>
            </w:r>
            <w:r w:rsidR="00CB1913" w:rsidRPr="008C5596">
              <w:rPr>
                <w:sz w:val="20"/>
              </w:rPr>
              <w:t>strong corporate governance measures</w:t>
            </w:r>
          </w:p>
          <w:p w:rsidR="00BA74DB" w:rsidRPr="008C5596" w:rsidRDefault="00BA74DB" w:rsidP="00A47E34">
            <w:pPr>
              <w:pStyle w:val="ListParagraph"/>
              <w:numPr>
                <w:ilvl w:val="0"/>
                <w:numId w:val="22"/>
              </w:numPr>
              <w:spacing w:after="60" w:line="240" w:lineRule="auto"/>
              <w:ind w:left="470" w:right="57" w:hanging="357"/>
              <w:contextualSpacing w:val="0"/>
              <w:rPr>
                <w:sz w:val="20"/>
              </w:rPr>
            </w:pPr>
            <w:r w:rsidRPr="008C5596">
              <w:rPr>
                <w:sz w:val="20"/>
              </w:rPr>
              <w:t xml:space="preserve">appropriate board processes for selection </w:t>
            </w:r>
          </w:p>
          <w:p w:rsidR="00BA74DB" w:rsidRPr="008C5596" w:rsidRDefault="00BA74DB" w:rsidP="00A47E34">
            <w:pPr>
              <w:pStyle w:val="ListParagraph"/>
              <w:numPr>
                <w:ilvl w:val="0"/>
                <w:numId w:val="22"/>
              </w:numPr>
              <w:spacing w:after="60" w:line="240" w:lineRule="auto"/>
              <w:ind w:left="470" w:right="57" w:hanging="357"/>
              <w:contextualSpacing w:val="0"/>
              <w:rPr>
                <w:sz w:val="20"/>
              </w:rPr>
            </w:pPr>
            <w:r w:rsidRPr="008C5596">
              <w:rPr>
                <w:sz w:val="20"/>
              </w:rPr>
              <w:t>defined tenure periods for board members</w:t>
            </w:r>
            <w:r w:rsidR="00376AAA">
              <w:rPr>
                <w:sz w:val="20"/>
              </w:rPr>
              <w:t>.</w:t>
            </w:r>
          </w:p>
        </w:tc>
      </w:tr>
    </w:tbl>
    <w:p w:rsidR="00F85F98" w:rsidRDefault="00FA1F45" w:rsidP="00F85F98">
      <w:pPr>
        <w:pStyle w:val="Heading2"/>
        <w:spacing w:before="0"/>
      </w:pPr>
      <w:r>
        <w:br w:type="column"/>
      </w:r>
      <w:r w:rsidR="00F85F98">
        <w:t>Criterion 4</w:t>
      </w:r>
      <w:r w:rsidR="00D3519E">
        <w:t xml:space="preserve"> </w:t>
      </w:r>
      <w:r w:rsidR="009444D0">
        <w:t>—</w:t>
      </w:r>
      <w:r w:rsidR="00D3519E">
        <w:t xml:space="preserve"> </w:t>
      </w:r>
      <w:r w:rsidR="00877C5A">
        <w:t>Regional knowledge and connectedness (10%)</w:t>
      </w:r>
    </w:p>
    <w:tbl>
      <w:tblPr>
        <w:tblStyle w:val="CGHTableBanded"/>
        <w:tblW w:w="0" w:type="auto"/>
        <w:tblLook w:val="04A0" w:firstRow="1" w:lastRow="0" w:firstColumn="1" w:lastColumn="0" w:noHBand="0" w:noVBand="1"/>
        <w:tblCaption w:val="Examples of strong responses to Criterion 4"/>
      </w:tblPr>
      <w:tblGrid>
        <w:gridCol w:w="4253"/>
        <w:gridCol w:w="5385"/>
      </w:tblGrid>
      <w:tr w:rsidR="00877C5A" w:rsidRPr="00C13872" w:rsidTr="00F71958">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877C5A" w:rsidRPr="008C5596" w:rsidRDefault="00877C5A" w:rsidP="00341D56">
            <w:pPr>
              <w:spacing w:line="240" w:lineRule="auto"/>
              <w:ind w:left="57" w:right="57"/>
              <w:rPr>
                <w:b/>
                <w:sz w:val="20"/>
              </w:rPr>
            </w:pPr>
            <w:r w:rsidRPr="008C5596">
              <w:rPr>
                <w:rFonts w:ascii="Arial" w:eastAsia="Arial" w:hAnsi="Arial" w:cs="Arial"/>
                <w:b/>
                <w:color w:val="auto"/>
                <w:sz w:val="20"/>
              </w:rPr>
              <w:t>Strong applications</w:t>
            </w:r>
          </w:p>
        </w:tc>
        <w:tc>
          <w:tcPr>
            <w:tcW w:w="5385" w:type="dxa"/>
            <w:vAlign w:val="center"/>
          </w:tcPr>
          <w:p w:rsidR="00877C5A" w:rsidRPr="008C5596" w:rsidRDefault="00877C5A" w:rsidP="00341D56">
            <w:pPr>
              <w:spacing w:line="240" w:lineRule="auto"/>
              <w:ind w:left="57" w:right="57"/>
              <w:rPr>
                <w:b/>
                <w:sz w:val="20"/>
              </w:rPr>
            </w:pPr>
            <w:r w:rsidRPr="008C5596">
              <w:rPr>
                <w:b/>
                <w:sz w:val="20"/>
              </w:rPr>
              <w:t>Example</w:t>
            </w:r>
            <w:r w:rsidR="00D3519E">
              <w:rPr>
                <w:b/>
                <w:sz w:val="20"/>
              </w:rPr>
              <w:t xml:space="preserve"> </w:t>
            </w:r>
            <w:r w:rsidR="009444D0" w:rsidRPr="008C5596">
              <w:rPr>
                <w:b/>
                <w:sz w:val="20"/>
              </w:rPr>
              <w:t>—</w:t>
            </w:r>
            <w:r w:rsidR="00D3519E">
              <w:rPr>
                <w:b/>
                <w:sz w:val="20"/>
              </w:rPr>
              <w:t xml:space="preserve"> </w:t>
            </w:r>
            <w:r w:rsidRPr="008C5596">
              <w:rPr>
                <w:rFonts w:ascii="Arial" w:eastAsia="Arial" w:hAnsi="Arial"/>
                <w:color w:val="000000"/>
                <w:sz w:val="20"/>
              </w:rPr>
              <w:t xml:space="preserve">Quality responses </w:t>
            </w:r>
            <w:r w:rsidRPr="008C5596">
              <w:rPr>
                <w:rFonts w:ascii="Arial" w:eastAsia="Arial" w:hAnsi="Arial" w:cs="Arial"/>
                <w:color w:val="auto"/>
                <w:sz w:val="20"/>
              </w:rPr>
              <w:t>provided</w:t>
            </w:r>
            <w:r w:rsidRPr="008C5596">
              <w:rPr>
                <w:rFonts w:ascii="Arial" w:eastAsia="Arial" w:hAnsi="Arial"/>
                <w:color w:val="000000"/>
                <w:sz w:val="20"/>
              </w:rPr>
              <w:t>:</w:t>
            </w:r>
          </w:p>
        </w:tc>
      </w:tr>
      <w:tr w:rsidR="00F85F98" w:rsidRPr="00C13872"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F85F98" w:rsidRPr="008C5596" w:rsidRDefault="00877C5A" w:rsidP="00DF5C88">
            <w:pPr>
              <w:spacing w:before="120" w:after="120" w:line="240" w:lineRule="auto"/>
              <w:ind w:left="113" w:right="57"/>
              <w:rPr>
                <w:rFonts w:ascii="Arial" w:eastAsia="Arial" w:hAnsi="Arial" w:cs="Arial"/>
                <w:bCs/>
                <w:color w:val="auto"/>
                <w:sz w:val="20"/>
              </w:rPr>
            </w:pPr>
            <w:r w:rsidRPr="008C5596">
              <w:rPr>
                <w:rFonts w:ascii="Arial" w:eastAsia="Arial" w:hAnsi="Arial" w:cs="Arial"/>
                <w:bCs/>
                <w:color w:val="auto"/>
                <w:sz w:val="20"/>
              </w:rPr>
              <w:t>C</w:t>
            </w:r>
            <w:r w:rsidR="00F85F98" w:rsidRPr="008C5596">
              <w:rPr>
                <w:rFonts w:ascii="Arial" w:eastAsia="Arial" w:hAnsi="Arial" w:cs="Arial"/>
                <w:bCs/>
                <w:color w:val="auto"/>
                <w:sz w:val="20"/>
              </w:rPr>
              <w:t xml:space="preserve">learly demonstrated </w:t>
            </w:r>
            <w:r w:rsidRPr="008C5596">
              <w:rPr>
                <w:rFonts w:ascii="Arial" w:eastAsia="Arial" w:hAnsi="Arial" w:cs="Arial"/>
                <w:bCs/>
                <w:color w:val="auto"/>
                <w:sz w:val="20"/>
              </w:rPr>
              <w:t xml:space="preserve">the </w:t>
            </w:r>
            <w:r w:rsidRPr="008C5596">
              <w:rPr>
                <w:bCs/>
                <w:iCs/>
                <w:sz w:val="20"/>
              </w:rPr>
              <w:t>applicant’s capacity to build knowledge of the service region</w:t>
            </w:r>
            <w:r w:rsidR="00AE02E2">
              <w:rPr>
                <w:bCs/>
                <w:iCs/>
                <w:sz w:val="20"/>
              </w:rPr>
              <w:t>/</w:t>
            </w:r>
            <w:r w:rsidRPr="008C5596">
              <w:rPr>
                <w:bCs/>
                <w:iCs/>
                <w:sz w:val="20"/>
              </w:rPr>
              <w:t>s and potential clients, and how this knowledge will determine the delivery of the service (including proposed placement of counsellors in the service region)</w:t>
            </w:r>
          </w:p>
        </w:tc>
        <w:tc>
          <w:tcPr>
            <w:tcW w:w="5385" w:type="dxa"/>
            <w:shd w:val="clear" w:color="auto" w:fill="DFE1DF" w:themeFill="text2"/>
          </w:tcPr>
          <w:p w:rsidR="00CB1913" w:rsidRPr="008C5596" w:rsidRDefault="004D66F0" w:rsidP="008C5596">
            <w:pPr>
              <w:pStyle w:val="ListParagraph"/>
              <w:numPr>
                <w:ilvl w:val="0"/>
                <w:numId w:val="22"/>
              </w:numPr>
              <w:spacing w:after="60" w:line="240" w:lineRule="auto"/>
              <w:ind w:left="470" w:right="57" w:hanging="357"/>
              <w:contextualSpacing w:val="0"/>
              <w:rPr>
                <w:sz w:val="20"/>
              </w:rPr>
            </w:pPr>
            <w:r w:rsidRPr="008C5596">
              <w:rPr>
                <w:sz w:val="20"/>
              </w:rPr>
              <w:t>s</w:t>
            </w:r>
            <w:r w:rsidR="00CB1913" w:rsidRPr="008C5596">
              <w:rPr>
                <w:sz w:val="20"/>
              </w:rPr>
              <w:t xml:space="preserve">trong regional knowledge with detailed </w:t>
            </w:r>
            <w:r w:rsidR="00E70D53" w:rsidRPr="008C5596">
              <w:rPr>
                <w:sz w:val="20"/>
              </w:rPr>
              <w:t xml:space="preserve">research and </w:t>
            </w:r>
            <w:r w:rsidR="001D5691" w:rsidRPr="008C5596">
              <w:rPr>
                <w:sz w:val="20"/>
              </w:rPr>
              <w:t>a</w:t>
            </w:r>
            <w:r w:rsidR="00CB1913" w:rsidRPr="008C5596">
              <w:rPr>
                <w:sz w:val="20"/>
              </w:rPr>
              <w:t xml:space="preserve">nalysis </w:t>
            </w:r>
            <w:r w:rsidR="00E70D53" w:rsidRPr="008C5596">
              <w:rPr>
                <w:sz w:val="20"/>
              </w:rPr>
              <w:t xml:space="preserve">of local </w:t>
            </w:r>
            <w:r w:rsidR="00CB1913" w:rsidRPr="008C5596">
              <w:rPr>
                <w:sz w:val="20"/>
              </w:rPr>
              <w:t>industr</w:t>
            </w:r>
            <w:r w:rsidR="00E70D53" w:rsidRPr="008C5596">
              <w:rPr>
                <w:sz w:val="20"/>
              </w:rPr>
              <w:t>ies</w:t>
            </w:r>
            <w:r w:rsidR="001D5691" w:rsidRPr="008C5596">
              <w:rPr>
                <w:sz w:val="20"/>
              </w:rPr>
              <w:t xml:space="preserve">, </w:t>
            </w:r>
            <w:r w:rsidR="00CB1913" w:rsidRPr="008C5596">
              <w:rPr>
                <w:sz w:val="20"/>
              </w:rPr>
              <w:t xml:space="preserve">factors affecting agricultural production </w:t>
            </w:r>
            <w:r w:rsidR="001D5691" w:rsidRPr="008C5596">
              <w:rPr>
                <w:sz w:val="20"/>
              </w:rPr>
              <w:t>and/or</w:t>
            </w:r>
            <w:r w:rsidR="00CB1913" w:rsidRPr="008C5596">
              <w:rPr>
                <w:sz w:val="20"/>
              </w:rPr>
              <w:t xml:space="preserve"> driving demand</w:t>
            </w:r>
          </w:p>
          <w:p w:rsidR="001D5691" w:rsidRPr="008C5596" w:rsidRDefault="00AE02E2" w:rsidP="008C5596">
            <w:pPr>
              <w:pStyle w:val="ListParagraph"/>
              <w:numPr>
                <w:ilvl w:val="0"/>
                <w:numId w:val="22"/>
              </w:numPr>
              <w:spacing w:after="60" w:line="240" w:lineRule="auto"/>
              <w:ind w:left="470" w:right="57" w:hanging="357"/>
              <w:contextualSpacing w:val="0"/>
              <w:rPr>
                <w:sz w:val="20"/>
              </w:rPr>
            </w:pPr>
            <w:r>
              <w:rPr>
                <w:sz w:val="20"/>
              </w:rPr>
              <w:t xml:space="preserve">a </w:t>
            </w:r>
            <w:r w:rsidR="00CB1913" w:rsidRPr="008C5596">
              <w:rPr>
                <w:sz w:val="20"/>
              </w:rPr>
              <w:t>deep understanding of the client group</w:t>
            </w:r>
            <w:r w:rsidR="001D5691" w:rsidRPr="008C5596">
              <w:rPr>
                <w:sz w:val="20"/>
              </w:rPr>
              <w:t xml:space="preserve"> </w:t>
            </w:r>
          </w:p>
          <w:p w:rsidR="001D5691" w:rsidRPr="008C5596" w:rsidRDefault="001D5691" w:rsidP="008C5596">
            <w:pPr>
              <w:pStyle w:val="ListParagraph"/>
              <w:numPr>
                <w:ilvl w:val="0"/>
                <w:numId w:val="22"/>
              </w:numPr>
              <w:spacing w:after="60" w:line="240" w:lineRule="auto"/>
              <w:ind w:left="470" w:right="57" w:hanging="357"/>
              <w:contextualSpacing w:val="0"/>
              <w:rPr>
                <w:sz w:val="20"/>
              </w:rPr>
            </w:pPr>
            <w:r w:rsidRPr="008C5596">
              <w:rPr>
                <w:sz w:val="20"/>
              </w:rPr>
              <w:t>clear application of regional knowledge to proposed placement and/or type of counsellors and service delivery focus</w:t>
            </w:r>
            <w:r w:rsidR="003022F8" w:rsidRPr="008C5596">
              <w:rPr>
                <w:sz w:val="20"/>
              </w:rPr>
              <w:t xml:space="preserve"> (specialisation)</w:t>
            </w:r>
          </w:p>
          <w:p w:rsidR="00976DD0" w:rsidRPr="008C5596" w:rsidRDefault="00976DD0" w:rsidP="008C5596">
            <w:pPr>
              <w:pStyle w:val="ListParagraph"/>
              <w:numPr>
                <w:ilvl w:val="0"/>
                <w:numId w:val="22"/>
              </w:numPr>
              <w:spacing w:after="60" w:line="240" w:lineRule="auto"/>
              <w:ind w:left="470" w:right="57" w:hanging="357"/>
              <w:contextualSpacing w:val="0"/>
              <w:rPr>
                <w:sz w:val="20"/>
              </w:rPr>
            </w:pPr>
            <w:r w:rsidRPr="008C5596">
              <w:rPr>
                <w:sz w:val="20"/>
              </w:rPr>
              <w:t>methods for building or updating</w:t>
            </w:r>
            <w:r w:rsidR="00373C94" w:rsidRPr="008C5596">
              <w:rPr>
                <w:sz w:val="20"/>
              </w:rPr>
              <w:t xml:space="preserve"> regional</w:t>
            </w:r>
            <w:r w:rsidRPr="008C5596">
              <w:rPr>
                <w:sz w:val="20"/>
              </w:rPr>
              <w:t xml:space="preserve"> </w:t>
            </w:r>
            <w:r w:rsidR="00373C94" w:rsidRPr="008C5596">
              <w:rPr>
                <w:sz w:val="20"/>
              </w:rPr>
              <w:t xml:space="preserve">and agricultural </w:t>
            </w:r>
            <w:r w:rsidRPr="008C5596">
              <w:rPr>
                <w:sz w:val="20"/>
              </w:rPr>
              <w:t>knowledge</w:t>
            </w:r>
          </w:p>
        </w:tc>
      </w:tr>
      <w:tr w:rsidR="00F85F98" w:rsidRPr="00C13872"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F85F98" w:rsidRPr="008C5596" w:rsidRDefault="00877C5A" w:rsidP="00DF5C88">
            <w:pPr>
              <w:spacing w:before="120" w:after="120" w:line="240" w:lineRule="auto"/>
              <w:ind w:left="113" w:right="57"/>
              <w:rPr>
                <w:bCs/>
                <w:sz w:val="20"/>
                <w:highlight w:val="yellow"/>
              </w:rPr>
            </w:pPr>
            <w:r w:rsidRPr="008C5596">
              <w:rPr>
                <w:rFonts w:ascii="Arial" w:eastAsia="Arial" w:hAnsi="Arial" w:cs="Arial"/>
                <w:bCs/>
                <w:color w:val="auto"/>
                <w:sz w:val="20"/>
              </w:rPr>
              <w:t xml:space="preserve">Clearly outlined </w:t>
            </w:r>
            <w:r w:rsidRPr="008C5596">
              <w:rPr>
                <w:bCs/>
                <w:sz w:val="20"/>
              </w:rPr>
              <w:t>the applicant’s plan to establish an effective presence and begin operations across multiple service regions</w:t>
            </w:r>
          </w:p>
        </w:tc>
        <w:tc>
          <w:tcPr>
            <w:tcW w:w="5385" w:type="dxa"/>
            <w:shd w:val="clear" w:color="auto" w:fill="EFF0EF" w:themeFill="background2"/>
          </w:tcPr>
          <w:p w:rsidR="001D5691" w:rsidRPr="008C5596" w:rsidRDefault="001D5691" w:rsidP="008C5596">
            <w:pPr>
              <w:pStyle w:val="ListParagraph"/>
              <w:numPr>
                <w:ilvl w:val="0"/>
                <w:numId w:val="22"/>
              </w:numPr>
              <w:spacing w:after="60" w:line="240" w:lineRule="auto"/>
              <w:ind w:left="470" w:right="57" w:hanging="357"/>
              <w:contextualSpacing w:val="0"/>
              <w:rPr>
                <w:sz w:val="20"/>
              </w:rPr>
            </w:pPr>
            <w:r w:rsidRPr="008C5596">
              <w:rPr>
                <w:sz w:val="20"/>
              </w:rPr>
              <w:t xml:space="preserve">comprehensive transition plans </w:t>
            </w:r>
            <w:r w:rsidR="00976DD0" w:rsidRPr="008C5596">
              <w:rPr>
                <w:sz w:val="20"/>
              </w:rPr>
              <w:t>considering staff</w:t>
            </w:r>
            <w:r w:rsidR="00B0484A" w:rsidRPr="008C5596">
              <w:rPr>
                <w:sz w:val="20"/>
              </w:rPr>
              <w:t xml:space="preserve">, </w:t>
            </w:r>
            <w:r w:rsidR="00976DD0" w:rsidRPr="008C5596">
              <w:rPr>
                <w:sz w:val="20"/>
              </w:rPr>
              <w:t>client</w:t>
            </w:r>
            <w:r w:rsidR="00B0484A" w:rsidRPr="008C5596">
              <w:rPr>
                <w:sz w:val="20"/>
              </w:rPr>
              <w:t>s</w:t>
            </w:r>
            <w:r w:rsidR="00C13872">
              <w:rPr>
                <w:sz w:val="20"/>
              </w:rPr>
              <w:t xml:space="preserve"> and</w:t>
            </w:r>
            <w:r w:rsidR="003F57C7">
              <w:rPr>
                <w:sz w:val="20"/>
              </w:rPr>
              <w:t xml:space="preserve"> </w:t>
            </w:r>
            <w:r w:rsidR="00B0484A" w:rsidRPr="008C5596">
              <w:rPr>
                <w:sz w:val="20"/>
              </w:rPr>
              <w:t xml:space="preserve">stakeholders </w:t>
            </w:r>
          </w:p>
          <w:p w:rsidR="00976DD0" w:rsidRPr="008C5596" w:rsidRDefault="00B4252E" w:rsidP="008C5596">
            <w:pPr>
              <w:pStyle w:val="ListParagraph"/>
              <w:numPr>
                <w:ilvl w:val="0"/>
                <w:numId w:val="22"/>
              </w:numPr>
              <w:spacing w:after="60" w:line="240" w:lineRule="auto"/>
              <w:ind w:left="470" w:right="57" w:hanging="357"/>
              <w:contextualSpacing w:val="0"/>
              <w:rPr>
                <w:sz w:val="20"/>
              </w:rPr>
            </w:pPr>
            <w:r>
              <w:rPr>
                <w:sz w:val="20"/>
              </w:rPr>
              <w:t xml:space="preserve">evidence of </w:t>
            </w:r>
            <w:r w:rsidR="00976DD0" w:rsidRPr="008C5596">
              <w:rPr>
                <w:sz w:val="20"/>
              </w:rPr>
              <w:t xml:space="preserve">established regional presence </w:t>
            </w:r>
            <w:r w:rsidR="00373C94" w:rsidRPr="008C5596">
              <w:rPr>
                <w:sz w:val="20"/>
              </w:rPr>
              <w:t>and how this could be leveraged</w:t>
            </w:r>
            <w:r w:rsidR="00C13872">
              <w:rPr>
                <w:sz w:val="20"/>
              </w:rPr>
              <w:t xml:space="preserve"> or outlined how this presence could be effectively established</w:t>
            </w:r>
          </w:p>
        </w:tc>
      </w:tr>
      <w:tr w:rsidR="00877C5A" w:rsidRPr="00C13872"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877C5A" w:rsidRPr="008C5596" w:rsidRDefault="00877C5A" w:rsidP="00341D56">
            <w:pPr>
              <w:spacing w:before="120" w:after="120" w:line="240" w:lineRule="auto"/>
              <w:ind w:left="113" w:right="57"/>
              <w:rPr>
                <w:bCs/>
                <w:sz w:val="20"/>
              </w:rPr>
            </w:pPr>
            <w:r w:rsidRPr="008C5596">
              <w:rPr>
                <w:rFonts w:ascii="Arial" w:eastAsia="Arial" w:hAnsi="Arial" w:cs="Arial"/>
                <w:bCs/>
                <w:color w:val="auto"/>
                <w:sz w:val="20"/>
              </w:rPr>
              <w:t xml:space="preserve">Clearly demonstrated the </w:t>
            </w:r>
            <w:r w:rsidRPr="008C5596">
              <w:rPr>
                <w:bCs/>
                <w:iCs/>
                <w:sz w:val="20"/>
              </w:rPr>
              <w:t xml:space="preserve">applicant’s willingness and ability to build strong partnerships with </w:t>
            </w:r>
            <w:r w:rsidR="00C66913" w:rsidRPr="008C5596">
              <w:rPr>
                <w:bCs/>
                <w:iCs/>
                <w:sz w:val="20"/>
              </w:rPr>
              <w:t xml:space="preserve">relevant </w:t>
            </w:r>
            <w:r w:rsidRPr="008C5596">
              <w:rPr>
                <w:bCs/>
                <w:iCs/>
                <w:sz w:val="20"/>
              </w:rPr>
              <w:t>stakeholders to improve service delivery, client outcomes, skills of counsellors and information brokering</w:t>
            </w:r>
          </w:p>
        </w:tc>
        <w:tc>
          <w:tcPr>
            <w:tcW w:w="5385" w:type="dxa"/>
            <w:shd w:val="clear" w:color="auto" w:fill="DFE1DF" w:themeFill="text2"/>
          </w:tcPr>
          <w:p w:rsidR="00CB1913" w:rsidRPr="008C5596" w:rsidRDefault="00B4252E" w:rsidP="008C5596">
            <w:pPr>
              <w:pStyle w:val="ListParagraph"/>
              <w:numPr>
                <w:ilvl w:val="0"/>
                <w:numId w:val="22"/>
              </w:numPr>
              <w:spacing w:after="60" w:line="240" w:lineRule="auto"/>
              <w:ind w:left="470" w:right="57" w:hanging="357"/>
              <w:contextualSpacing w:val="0"/>
              <w:rPr>
                <w:sz w:val="20"/>
              </w:rPr>
            </w:pPr>
            <w:r>
              <w:rPr>
                <w:sz w:val="20"/>
              </w:rPr>
              <w:t xml:space="preserve">evidence of </w:t>
            </w:r>
            <w:r w:rsidR="00976DD0" w:rsidRPr="008C5596">
              <w:rPr>
                <w:sz w:val="20"/>
              </w:rPr>
              <w:t xml:space="preserve">established regional </w:t>
            </w:r>
            <w:r w:rsidR="00CB1913" w:rsidRPr="008C5596">
              <w:rPr>
                <w:sz w:val="20"/>
              </w:rPr>
              <w:t xml:space="preserve">partnerships, connections and networks </w:t>
            </w:r>
            <w:r w:rsidR="00976DD0" w:rsidRPr="008C5596">
              <w:rPr>
                <w:sz w:val="20"/>
              </w:rPr>
              <w:t>that could be leveraged</w:t>
            </w:r>
          </w:p>
          <w:p w:rsidR="009A617D" w:rsidRPr="008C5596" w:rsidRDefault="009A617D" w:rsidP="008C5596">
            <w:pPr>
              <w:pStyle w:val="ListParagraph"/>
              <w:numPr>
                <w:ilvl w:val="0"/>
                <w:numId w:val="22"/>
              </w:numPr>
              <w:spacing w:after="60" w:line="240" w:lineRule="auto"/>
              <w:ind w:left="470" w:right="57" w:hanging="357"/>
              <w:contextualSpacing w:val="0"/>
              <w:rPr>
                <w:sz w:val="20"/>
              </w:rPr>
            </w:pPr>
            <w:r w:rsidRPr="008C5596">
              <w:rPr>
                <w:sz w:val="20"/>
              </w:rPr>
              <w:t xml:space="preserve">knowledge of relevant stakeholders </w:t>
            </w:r>
          </w:p>
          <w:p w:rsidR="00976DD0" w:rsidRPr="008C5596" w:rsidRDefault="00976DD0" w:rsidP="008C5596">
            <w:pPr>
              <w:pStyle w:val="ListParagraph"/>
              <w:numPr>
                <w:ilvl w:val="0"/>
                <w:numId w:val="22"/>
              </w:numPr>
              <w:spacing w:after="60" w:line="240" w:lineRule="auto"/>
              <w:ind w:left="470" w:right="57" w:hanging="357"/>
              <w:contextualSpacing w:val="0"/>
              <w:rPr>
                <w:sz w:val="20"/>
              </w:rPr>
            </w:pPr>
            <w:r w:rsidRPr="008C5596">
              <w:rPr>
                <w:sz w:val="20"/>
              </w:rPr>
              <w:t xml:space="preserve">experience </w:t>
            </w:r>
            <w:r w:rsidR="00146F31" w:rsidRPr="008C5596">
              <w:rPr>
                <w:sz w:val="20"/>
              </w:rPr>
              <w:t xml:space="preserve">in </w:t>
            </w:r>
            <w:r w:rsidRPr="008C5596">
              <w:rPr>
                <w:sz w:val="20"/>
              </w:rPr>
              <w:t xml:space="preserve">stakeholder management </w:t>
            </w:r>
          </w:p>
          <w:p w:rsidR="00877C5A" w:rsidRPr="008C5596" w:rsidRDefault="00146F31" w:rsidP="008C5596">
            <w:pPr>
              <w:pStyle w:val="ListParagraph"/>
              <w:numPr>
                <w:ilvl w:val="0"/>
                <w:numId w:val="22"/>
              </w:numPr>
              <w:spacing w:after="60" w:line="240" w:lineRule="auto"/>
              <w:ind w:left="470" w:right="57" w:hanging="357"/>
              <w:contextualSpacing w:val="0"/>
              <w:rPr>
                <w:sz w:val="20"/>
              </w:rPr>
            </w:pPr>
            <w:r w:rsidRPr="008C5596">
              <w:rPr>
                <w:sz w:val="20"/>
              </w:rPr>
              <w:t>practical strategies and demonstrated outcomes</w:t>
            </w:r>
          </w:p>
        </w:tc>
      </w:tr>
      <w:tr w:rsidR="00F85F98" w:rsidRPr="00C13872" w:rsidTr="00F71958">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F85F98" w:rsidRPr="008C5596" w:rsidRDefault="00B369EE" w:rsidP="00DF5C88">
            <w:pPr>
              <w:spacing w:before="120" w:after="120" w:line="240" w:lineRule="auto"/>
              <w:ind w:left="113" w:right="57"/>
              <w:rPr>
                <w:bCs/>
                <w:sz w:val="20"/>
              </w:rPr>
            </w:pPr>
            <w:r w:rsidRPr="008C5596">
              <w:rPr>
                <w:rFonts w:ascii="Arial" w:eastAsia="Arial" w:hAnsi="Arial" w:cs="Arial"/>
                <w:bCs/>
                <w:color w:val="auto"/>
                <w:sz w:val="20"/>
              </w:rPr>
              <w:t xml:space="preserve">Clearly demonstrated the </w:t>
            </w:r>
            <w:r w:rsidRPr="008C5596">
              <w:rPr>
                <w:bCs/>
                <w:iCs/>
                <w:sz w:val="20"/>
              </w:rPr>
              <w:t xml:space="preserve">applicant’s ability to champion the RFCS </w:t>
            </w:r>
            <w:r w:rsidR="00AE02E2">
              <w:rPr>
                <w:bCs/>
                <w:iCs/>
                <w:sz w:val="20"/>
              </w:rPr>
              <w:t>P</w:t>
            </w:r>
            <w:r w:rsidRPr="008C5596">
              <w:rPr>
                <w:bCs/>
                <w:iCs/>
                <w:sz w:val="20"/>
              </w:rPr>
              <w:t>rogram’s objectives and the value of the program within the community</w:t>
            </w:r>
          </w:p>
        </w:tc>
        <w:tc>
          <w:tcPr>
            <w:tcW w:w="5385" w:type="dxa"/>
            <w:shd w:val="clear" w:color="auto" w:fill="EFF0EF" w:themeFill="background2"/>
          </w:tcPr>
          <w:p w:rsidR="00F85F98" w:rsidRPr="008C5596" w:rsidRDefault="00B4252E" w:rsidP="008C5596">
            <w:pPr>
              <w:pStyle w:val="ListParagraph"/>
              <w:numPr>
                <w:ilvl w:val="0"/>
                <w:numId w:val="22"/>
              </w:numPr>
              <w:spacing w:after="60" w:line="240" w:lineRule="auto"/>
              <w:ind w:left="470" w:right="57" w:hanging="357"/>
              <w:contextualSpacing w:val="0"/>
              <w:rPr>
                <w:sz w:val="20"/>
              </w:rPr>
            </w:pPr>
            <w:r>
              <w:rPr>
                <w:sz w:val="20"/>
              </w:rPr>
              <w:t xml:space="preserve">a </w:t>
            </w:r>
            <w:r w:rsidR="00373C94" w:rsidRPr="008C5596">
              <w:rPr>
                <w:sz w:val="20"/>
              </w:rPr>
              <w:t>strong affinity with the</w:t>
            </w:r>
            <w:r w:rsidR="00146F31" w:rsidRPr="008C5596">
              <w:rPr>
                <w:sz w:val="20"/>
              </w:rPr>
              <w:t xml:space="preserve"> program</w:t>
            </w:r>
            <w:r w:rsidR="009A617D" w:rsidRPr="008C5596">
              <w:rPr>
                <w:sz w:val="20"/>
              </w:rPr>
              <w:t xml:space="preserve"> objectives</w:t>
            </w:r>
          </w:p>
          <w:p w:rsidR="009A617D" w:rsidRPr="008C5596" w:rsidRDefault="009A617D" w:rsidP="008C5596">
            <w:pPr>
              <w:pStyle w:val="ListParagraph"/>
              <w:numPr>
                <w:ilvl w:val="0"/>
                <w:numId w:val="22"/>
              </w:numPr>
              <w:spacing w:after="60" w:line="240" w:lineRule="auto"/>
              <w:ind w:left="470" w:right="57" w:hanging="357"/>
              <w:contextualSpacing w:val="0"/>
              <w:rPr>
                <w:sz w:val="20"/>
              </w:rPr>
            </w:pPr>
            <w:r w:rsidRPr="008C5596">
              <w:rPr>
                <w:sz w:val="20"/>
              </w:rPr>
              <w:t>appropriate strategies to advocate for the program within the community</w:t>
            </w:r>
          </w:p>
          <w:p w:rsidR="009A617D" w:rsidRPr="008C5596" w:rsidRDefault="009A617D" w:rsidP="008C5596">
            <w:pPr>
              <w:pStyle w:val="ListParagraph"/>
              <w:numPr>
                <w:ilvl w:val="0"/>
                <w:numId w:val="22"/>
              </w:numPr>
              <w:spacing w:after="60" w:line="240" w:lineRule="auto"/>
              <w:ind w:left="470" w:right="57" w:hanging="357"/>
              <w:contextualSpacing w:val="0"/>
              <w:rPr>
                <w:sz w:val="20"/>
              </w:rPr>
            </w:pPr>
            <w:r w:rsidRPr="008C5596">
              <w:rPr>
                <w:sz w:val="20"/>
              </w:rPr>
              <w:t>examples of engagement and collaboration</w:t>
            </w:r>
            <w:r w:rsidR="00376AAA">
              <w:rPr>
                <w:sz w:val="20"/>
              </w:rPr>
              <w:t>.</w:t>
            </w:r>
          </w:p>
        </w:tc>
      </w:tr>
    </w:tbl>
    <w:p w:rsidR="0049422E" w:rsidRDefault="0049422E">
      <w:pPr>
        <w:spacing w:line="240" w:lineRule="auto"/>
      </w:pPr>
      <w:r>
        <w:br w:type="page"/>
      </w:r>
    </w:p>
    <w:p w:rsidR="0049422E" w:rsidRDefault="0049422E" w:rsidP="0049422E">
      <w:pPr>
        <w:pStyle w:val="Heading2"/>
        <w:spacing w:before="0"/>
      </w:pPr>
      <w:r>
        <w:t>Criterion 5</w:t>
      </w:r>
      <w:r w:rsidR="00D3519E">
        <w:t xml:space="preserve"> </w:t>
      </w:r>
      <w:r w:rsidR="009444D0">
        <w:t>—</w:t>
      </w:r>
      <w:r w:rsidR="00D3519E">
        <w:t xml:space="preserve"> </w:t>
      </w:r>
      <w:r w:rsidR="00B369EE">
        <w:t>Budget, risk and value (25%)</w:t>
      </w:r>
    </w:p>
    <w:tbl>
      <w:tblPr>
        <w:tblStyle w:val="CGHTableBanded"/>
        <w:tblW w:w="9639" w:type="dxa"/>
        <w:tblLook w:val="04A0" w:firstRow="1" w:lastRow="0" w:firstColumn="1" w:lastColumn="0" w:noHBand="0" w:noVBand="1"/>
        <w:tblCaption w:val="Examples of strong responses to Criterion 5"/>
      </w:tblPr>
      <w:tblGrid>
        <w:gridCol w:w="4253"/>
        <w:gridCol w:w="5386"/>
      </w:tblGrid>
      <w:tr w:rsidR="00B369EE" w:rsidRPr="009F1ED2" w:rsidTr="00B77612">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B369EE" w:rsidRPr="008C5596" w:rsidRDefault="00B369EE" w:rsidP="009F1ED2">
            <w:pPr>
              <w:spacing w:line="240" w:lineRule="auto"/>
              <w:ind w:left="57" w:right="57"/>
              <w:rPr>
                <w:b/>
                <w:sz w:val="20"/>
              </w:rPr>
            </w:pPr>
            <w:r w:rsidRPr="008C5596">
              <w:rPr>
                <w:rFonts w:ascii="Arial" w:eastAsia="Arial" w:hAnsi="Arial" w:cs="Arial"/>
                <w:b/>
                <w:color w:val="auto"/>
                <w:sz w:val="20"/>
              </w:rPr>
              <w:t>Strong applications</w:t>
            </w:r>
          </w:p>
        </w:tc>
        <w:tc>
          <w:tcPr>
            <w:tcW w:w="5386" w:type="dxa"/>
            <w:vAlign w:val="center"/>
          </w:tcPr>
          <w:p w:rsidR="00B369EE" w:rsidRPr="008C5596" w:rsidRDefault="00B369EE">
            <w:pPr>
              <w:spacing w:line="240" w:lineRule="auto"/>
              <w:ind w:left="57" w:right="57"/>
              <w:rPr>
                <w:b/>
                <w:sz w:val="20"/>
              </w:rPr>
            </w:pPr>
            <w:r w:rsidRPr="008C5596">
              <w:rPr>
                <w:b/>
                <w:sz w:val="20"/>
              </w:rPr>
              <w:t>Example</w:t>
            </w:r>
            <w:r w:rsidR="00D3519E">
              <w:rPr>
                <w:b/>
                <w:sz w:val="20"/>
              </w:rPr>
              <w:t xml:space="preserve"> </w:t>
            </w:r>
            <w:r w:rsidR="009444D0" w:rsidRPr="008C5596">
              <w:rPr>
                <w:b/>
                <w:sz w:val="20"/>
              </w:rPr>
              <w:t>—</w:t>
            </w:r>
            <w:r w:rsidR="00D3519E">
              <w:rPr>
                <w:b/>
                <w:sz w:val="20"/>
              </w:rPr>
              <w:t xml:space="preserve"> </w:t>
            </w:r>
            <w:r w:rsidRPr="008C5596">
              <w:rPr>
                <w:rFonts w:ascii="Arial" w:eastAsia="Arial" w:hAnsi="Arial"/>
                <w:color w:val="000000"/>
                <w:sz w:val="20"/>
              </w:rPr>
              <w:t xml:space="preserve">Quality responses </w:t>
            </w:r>
            <w:r w:rsidRPr="008C5596">
              <w:rPr>
                <w:rFonts w:ascii="Arial" w:eastAsia="Arial" w:hAnsi="Arial" w:cs="Arial"/>
                <w:color w:val="auto"/>
                <w:sz w:val="20"/>
              </w:rPr>
              <w:t>provided</w:t>
            </w:r>
            <w:r w:rsidRPr="008C5596">
              <w:rPr>
                <w:rFonts w:ascii="Arial" w:eastAsia="Arial" w:hAnsi="Arial"/>
                <w:color w:val="000000"/>
                <w:sz w:val="20"/>
              </w:rPr>
              <w:t>:</w:t>
            </w:r>
          </w:p>
        </w:tc>
      </w:tr>
      <w:tr w:rsidR="0049422E" w:rsidRPr="009F1ED2" w:rsidTr="00B77612">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49422E" w:rsidRPr="008C5596" w:rsidRDefault="00B369EE" w:rsidP="009F1ED2">
            <w:pPr>
              <w:spacing w:before="120" w:after="120" w:line="240" w:lineRule="auto"/>
              <w:ind w:left="113" w:right="57"/>
              <w:rPr>
                <w:rFonts w:eastAsia="Calibri" w:cs="Arial"/>
                <w:sz w:val="20"/>
              </w:rPr>
            </w:pPr>
            <w:r w:rsidRPr="008C5596">
              <w:rPr>
                <w:sz w:val="20"/>
              </w:rPr>
              <w:t>Clearly outlined how the</w:t>
            </w:r>
            <w:r w:rsidR="009F1ED2">
              <w:rPr>
                <w:sz w:val="20"/>
              </w:rPr>
              <w:t xml:space="preserve"> applicant</w:t>
            </w:r>
            <w:r w:rsidRPr="008C5596">
              <w:rPr>
                <w:sz w:val="20"/>
              </w:rPr>
              <w:t xml:space="preserve"> will achieve value with money while delivering the RFCS </w:t>
            </w:r>
            <w:r w:rsidR="00B4252E">
              <w:rPr>
                <w:sz w:val="20"/>
              </w:rPr>
              <w:t>P</w:t>
            </w:r>
            <w:r w:rsidRPr="008C5596">
              <w:rPr>
                <w:sz w:val="20"/>
              </w:rPr>
              <w:t>rogram in the nominated service region</w:t>
            </w:r>
            <w:r w:rsidR="00B4252E">
              <w:rPr>
                <w:sz w:val="20"/>
              </w:rPr>
              <w:t>/</w:t>
            </w:r>
            <w:r w:rsidRPr="008C5596">
              <w:rPr>
                <w:sz w:val="20"/>
              </w:rPr>
              <w:t>s</w:t>
            </w:r>
          </w:p>
        </w:tc>
        <w:tc>
          <w:tcPr>
            <w:tcW w:w="5386" w:type="dxa"/>
            <w:shd w:val="clear" w:color="auto" w:fill="DFE1DF" w:themeFill="text2"/>
            <w:vAlign w:val="center"/>
          </w:tcPr>
          <w:p w:rsidR="00E26AD0" w:rsidRPr="008C5596" w:rsidRDefault="0063215D" w:rsidP="008C5596">
            <w:pPr>
              <w:pStyle w:val="ListParagraph"/>
              <w:numPr>
                <w:ilvl w:val="0"/>
                <w:numId w:val="22"/>
              </w:numPr>
              <w:spacing w:after="60" w:line="240" w:lineRule="auto"/>
              <w:ind w:right="57"/>
              <w:contextualSpacing w:val="0"/>
              <w:rPr>
                <w:sz w:val="20"/>
              </w:rPr>
            </w:pPr>
            <w:r w:rsidRPr="008C5596">
              <w:rPr>
                <w:sz w:val="20"/>
              </w:rPr>
              <w:t>strategies or evidence to back strong claims</w:t>
            </w:r>
            <w:r w:rsidR="002A28F3" w:rsidRPr="008C5596">
              <w:rPr>
                <w:sz w:val="20"/>
              </w:rPr>
              <w:t xml:space="preserve"> </w:t>
            </w:r>
            <w:r w:rsidRPr="008C5596">
              <w:rPr>
                <w:sz w:val="20"/>
              </w:rPr>
              <w:t>to</w:t>
            </w:r>
            <w:r w:rsidR="002A28F3" w:rsidRPr="008C5596">
              <w:rPr>
                <w:sz w:val="20"/>
              </w:rPr>
              <w:t xml:space="preserve"> achiev</w:t>
            </w:r>
            <w:r w:rsidRPr="008C5596">
              <w:rPr>
                <w:sz w:val="20"/>
              </w:rPr>
              <w:t>ing</w:t>
            </w:r>
            <w:r w:rsidR="002A28F3" w:rsidRPr="008C5596">
              <w:rPr>
                <w:sz w:val="20"/>
              </w:rPr>
              <w:t xml:space="preserve"> value </w:t>
            </w:r>
            <w:r w:rsidRPr="008C5596">
              <w:rPr>
                <w:sz w:val="20"/>
              </w:rPr>
              <w:t>with</w:t>
            </w:r>
            <w:r w:rsidR="002A28F3" w:rsidRPr="008C5596">
              <w:rPr>
                <w:sz w:val="20"/>
              </w:rPr>
              <w:t xml:space="preserve"> money</w:t>
            </w:r>
            <w:r w:rsidRPr="008C5596">
              <w:rPr>
                <w:sz w:val="20"/>
              </w:rPr>
              <w:t xml:space="preserve"> </w:t>
            </w:r>
          </w:p>
          <w:p w:rsidR="00E26AD0" w:rsidRPr="008C5596" w:rsidRDefault="00E26AD0" w:rsidP="008C5596">
            <w:pPr>
              <w:pStyle w:val="ListParagraph"/>
              <w:numPr>
                <w:ilvl w:val="0"/>
                <w:numId w:val="22"/>
              </w:numPr>
              <w:spacing w:after="60" w:line="240" w:lineRule="auto"/>
              <w:ind w:right="57"/>
              <w:contextualSpacing w:val="0"/>
              <w:rPr>
                <w:sz w:val="20"/>
              </w:rPr>
            </w:pPr>
            <w:r w:rsidRPr="008C5596">
              <w:rPr>
                <w:sz w:val="20"/>
              </w:rPr>
              <w:t xml:space="preserve">clear linkages to </w:t>
            </w:r>
            <w:r w:rsidR="002A28F3" w:rsidRPr="008C5596">
              <w:rPr>
                <w:sz w:val="20"/>
              </w:rPr>
              <w:t xml:space="preserve">the RFCS </w:t>
            </w:r>
            <w:r w:rsidR="00504F9B">
              <w:rPr>
                <w:sz w:val="20"/>
              </w:rPr>
              <w:t>P</w:t>
            </w:r>
            <w:r w:rsidR="002A28F3" w:rsidRPr="008C5596">
              <w:rPr>
                <w:sz w:val="20"/>
              </w:rPr>
              <w:t xml:space="preserve">rogram </w:t>
            </w:r>
            <w:r w:rsidRPr="008C5596">
              <w:rPr>
                <w:sz w:val="20"/>
              </w:rPr>
              <w:t>outcomes</w:t>
            </w:r>
          </w:p>
        </w:tc>
      </w:tr>
      <w:tr w:rsidR="0049422E" w:rsidRPr="009F1ED2" w:rsidTr="00B77612">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49422E" w:rsidRPr="008C5596" w:rsidRDefault="00C66913" w:rsidP="009F1ED2">
            <w:pPr>
              <w:spacing w:before="120" w:after="120" w:line="240" w:lineRule="auto"/>
              <w:ind w:left="113" w:right="57"/>
              <w:rPr>
                <w:sz w:val="20"/>
              </w:rPr>
            </w:pPr>
            <w:r w:rsidRPr="008C5596">
              <w:rPr>
                <w:sz w:val="20"/>
              </w:rPr>
              <w:t>Clearly demonstrated how the</w:t>
            </w:r>
            <w:r w:rsidR="009F1ED2">
              <w:rPr>
                <w:sz w:val="20"/>
              </w:rPr>
              <w:t xml:space="preserve"> applicant</w:t>
            </w:r>
            <w:r w:rsidRPr="008C5596">
              <w:rPr>
                <w:sz w:val="20"/>
              </w:rPr>
              <w:t xml:space="preserve"> would maximise efficiencies and achieve high quality outcomes in a cost-effective way</w:t>
            </w:r>
            <w:r w:rsidR="009F1ED2">
              <w:rPr>
                <w:sz w:val="20"/>
              </w:rPr>
              <w:t>,</w:t>
            </w:r>
            <w:r w:rsidRPr="008C5596">
              <w:rPr>
                <w:sz w:val="20"/>
              </w:rPr>
              <w:t xml:space="preserve"> including a consideration of any risks identified</w:t>
            </w:r>
          </w:p>
        </w:tc>
        <w:tc>
          <w:tcPr>
            <w:tcW w:w="5386" w:type="dxa"/>
            <w:shd w:val="clear" w:color="auto" w:fill="EFF0EF" w:themeFill="background2"/>
            <w:vAlign w:val="center"/>
          </w:tcPr>
          <w:p w:rsidR="0063215D" w:rsidRPr="008C5596" w:rsidRDefault="0063215D" w:rsidP="008C5596">
            <w:pPr>
              <w:pStyle w:val="ListParagraph"/>
              <w:numPr>
                <w:ilvl w:val="0"/>
                <w:numId w:val="22"/>
              </w:numPr>
              <w:spacing w:after="60" w:line="240" w:lineRule="auto"/>
              <w:ind w:right="57"/>
              <w:contextualSpacing w:val="0"/>
              <w:rPr>
                <w:sz w:val="20"/>
              </w:rPr>
            </w:pPr>
            <w:r w:rsidRPr="008C5596">
              <w:rPr>
                <w:sz w:val="20"/>
              </w:rPr>
              <w:t xml:space="preserve">clear articulation of what high quality service and outcomes look like </w:t>
            </w:r>
          </w:p>
          <w:p w:rsidR="0063215D" w:rsidRPr="008C5596" w:rsidRDefault="0063215D" w:rsidP="008C5596">
            <w:pPr>
              <w:pStyle w:val="ListParagraph"/>
              <w:numPr>
                <w:ilvl w:val="0"/>
                <w:numId w:val="22"/>
              </w:numPr>
              <w:spacing w:after="60" w:line="240" w:lineRule="auto"/>
              <w:ind w:right="57"/>
              <w:contextualSpacing w:val="0"/>
              <w:rPr>
                <w:sz w:val="20"/>
              </w:rPr>
            </w:pPr>
            <w:r w:rsidRPr="008C5596">
              <w:rPr>
                <w:sz w:val="20"/>
              </w:rPr>
              <w:t xml:space="preserve">evidence of the quality, efficiency and effectiveness of their service offering </w:t>
            </w:r>
          </w:p>
          <w:p w:rsidR="006D314C" w:rsidRPr="008C5596" w:rsidRDefault="006D314C" w:rsidP="008C5596">
            <w:pPr>
              <w:pStyle w:val="ListParagraph"/>
              <w:numPr>
                <w:ilvl w:val="0"/>
                <w:numId w:val="22"/>
              </w:numPr>
              <w:spacing w:after="60" w:line="240" w:lineRule="auto"/>
              <w:ind w:right="57"/>
              <w:contextualSpacing w:val="0"/>
              <w:rPr>
                <w:sz w:val="20"/>
              </w:rPr>
            </w:pPr>
            <w:r w:rsidRPr="008C5596">
              <w:rPr>
                <w:sz w:val="20"/>
              </w:rPr>
              <w:t>strategies for cost effective service delivery</w:t>
            </w:r>
          </w:p>
          <w:p w:rsidR="009A617D" w:rsidRPr="008C5596" w:rsidRDefault="009A617D" w:rsidP="008C5596">
            <w:pPr>
              <w:pStyle w:val="ListParagraph"/>
              <w:numPr>
                <w:ilvl w:val="0"/>
                <w:numId w:val="22"/>
              </w:numPr>
              <w:spacing w:after="60" w:line="240" w:lineRule="auto"/>
              <w:ind w:right="57"/>
              <w:contextualSpacing w:val="0"/>
              <w:rPr>
                <w:sz w:val="20"/>
              </w:rPr>
            </w:pPr>
            <w:r w:rsidRPr="008C5596">
              <w:rPr>
                <w:sz w:val="20"/>
              </w:rPr>
              <w:t>detail</w:t>
            </w:r>
            <w:r w:rsidR="00B94A72" w:rsidRPr="008C5596">
              <w:rPr>
                <w:sz w:val="20"/>
              </w:rPr>
              <w:t>ed</w:t>
            </w:r>
            <w:r w:rsidRPr="008C5596">
              <w:rPr>
                <w:sz w:val="20"/>
              </w:rPr>
              <w:t xml:space="preserve"> risk analysis and mitigation</w:t>
            </w:r>
            <w:r w:rsidR="00B94A72" w:rsidRPr="008C5596">
              <w:rPr>
                <w:sz w:val="20"/>
              </w:rPr>
              <w:t xml:space="preserve"> strategies</w:t>
            </w:r>
            <w:r w:rsidR="001508C7" w:rsidRPr="008C5596">
              <w:rPr>
                <w:sz w:val="20"/>
              </w:rPr>
              <w:t xml:space="preserve"> considering the breadth of operations</w:t>
            </w:r>
            <w:r w:rsidR="00B94A72" w:rsidRPr="008C5596">
              <w:rPr>
                <w:sz w:val="20"/>
              </w:rPr>
              <w:t xml:space="preserve"> </w:t>
            </w:r>
            <w:r w:rsidR="0063215D" w:rsidRPr="008C5596">
              <w:rPr>
                <w:sz w:val="20"/>
              </w:rPr>
              <w:t>and reducing risks to acceptable levels</w:t>
            </w:r>
          </w:p>
        </w:tc>
      </w:tr>
      <w:tr w:rsidR="00C66913" w:rsidRPr="009F1ED2" w:rsidTr="00B77612">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C66913" w:rsidRPr="008C5596" w:rsidRDefault="00C66913" w:rsidP="009F1ED2">
            <w:pPr>
              <w:spacing w:before="120" w:after="120" w:line="240" w:lineRule="auto"/>
              <w:ind w:left="113" w:right="57"/>
              <w:rPr>
                <w:sz w:val="20"/>
              </w:rPr>
            </w:pPr>
            <w:r w:rsidRPr="008C5596">
              <w:rPr>
                <w:sz w:val="20"/>
              </w:rPr>
              <w:t>Clearly outlined a deployment approach, articulating the expected staff profile (by location), how clients will be serviced across the entire RFCS region and how fluctuating demand will be managed with a fixed, limited budget</w:t>
            </w:r>
          </w:p>
        </w:tc>
        <w:tc>
          <w:tcPr>
            <w:tcW w:w="5386" w:type="dxa"/>
            <w:shd w:val="clear" w:color="auto" w:fill="DFE1DF" w:themeFill="text2"/>
            <w:vAlign w:val="center"/>
          </w:tcPr>
          <w:p w:rsidR="00C66913" w:rsidRPr="008C5596" w:rsidRDefault="009A617D" w:rsidP="008C5596">
            <w:pPr>
              <w:pStyle w:val="ListParagraph"/>
              <w:numPr>
                <w:ilvl w:val="0"/>
                <w:numId w:val="22"/>
              </w:numPr>
              <w:spacing w:after="60" w:line="240" w:lineRule="auto"/>
              <w:ind w:right="57"/>
              <w:contextualSpacing w:val="0"/>
              <w:rPr>
                <w:sz w:val="20"/>
              </w:rPr>
            </w:pPr>
            <w:r w:rsidRPr="008C5596">
              <w:rPr>
                <w:sz w:val="20"/>
              </w:rPr>
              <w:t xml:space="preserve">detailed </w:t>
            </w:r>
            <w:r w:rsidR="00B54807" w:rsidRPr="008C5596">
              <w:rPr>
                <w:sz w:val="20"/>
              </w:rPr>
              <w:t>deployment strateg</w:t>
            </w:r>
            <w:r w:rsidR="003022F8" w:rsidRPr="008C5596">
              <w:rPr>
                <w:sz w:val="20"/>
              </w:rPr>
              <w:t>ies</w:t>
            </w:r>
            <w:r w:rsidR="00B54807" w:rsidRPr="008C5596">
              <w:rPr>
                <w:sz w:val="20"/>
              </w:rPr>
              <w:t xml:space="preserve"> for </w:t>
            </w:r>
            <w:r w:rsidR="003F4B44" w:rsidRPr="008C5596">
              <w:rPr>
                <w:sz w:val="20"/>
              </w:rPr>
              <w:t xml:space="preserve">proposed </w:t>
            </w:r>
            <w:r w:rsidR="00B54807" w:rsidRPr="008C5596">
              <w:rPr>
                <w:sz w:val="20"/>
              </w:rPr>
              <w:t xml:space="preserve">staff including </w:t>
            </w:r>
            <w:r w:rsidR="003F4B44" w:rsidRPr="008C5596">
              <w:rPr>
                <w:sz w:val="20"/>
              </w:rPr>
              <w:t xml:space="preserve">office </w:t>
            </w:r>
            <w:r w:rsidR="00B54807" w:rsidRPr="008C5596">
              <w:rPr>
                <w:sz w:val="20"/>
              </w:rPr>
              <w:t xml:space="preserve">locations </w:t>
            </w:r>
            <w:r w:rsidR="003F4B44" w:rsidRPr="008C5596">
              <w:rPr>
                <w:sz w:val="20"/>
              </w:rPr>
              <w:t>or areas</w:t>
            </w:r>
            <w:r w:rsidR="00B54807" w:rsidRPr="008C5596">
              <w:rPr>
                <w:sz w:val="20"/>
              </w:rPr>
              <w:t xml:space="preserve"> of </w:t>
            </w:r>
            <w:r w:rsidR="003F4B44" w:rsidRPr="008C5596">
              <w:rPr>
                <w:sz w:val="20"/>
              </w:rPr>
              <w:t xml:space="preserve">counsellor’s </w:t>
            </w:r>
            <w:r w:rsidR="00B54807" w:rsidRPr="008C5596">
              <w:rPr>
                <w:sz w:val="20"/>
              </w:rPr>
              <w:t>responsibility to meet client needs/demand</w:t>
            </w:r>
            <w:r w:rsidR="003F4B44" w:rsidRPr="008C5596">
              <w:rPr>
                <w:sz w:val="20"/>
              </w:rPr>
              <w:t xml:space="preserve"> including a rationale </w:t>
            </w:r>
            <w:r w:rsidR="003022F8" w:rsidRPr="008C5596">
              <w:rPr>
                <w:sz w:val="20"/>
              </w:rPr>
              <w:t>for the</w:t>
            </w:r>
            <w:r w:rsidR="003F4B44" w:rsidRPr="008C5596">
              <w:rPr>
                <w:sz w:val="20"/>
              </w:rPr>
              <w:t xml:space="preserve"> placements</w:t>
            </w:r>
          </w:p>
          <w:p w:rsidR="00B54807" w:rsidRPr="008C5596" w:rsidRDefault="00B54807" w:rsidP="008C5596">
            <w:pPr>
              <w:pStyle w:val="ListParagraph"/>
              <w:numPr>
                <w:ilvl w:val="0"/>
                <w:numId w:val="22"/>
              </w:numPr>
              <w:spacing w:after="60" w:line="240" w:lineRule="auto"/>
              <w:ind w:right="57"/>
              <w:contextualSpacing w:val="0"/>
              <w:rPr>
                <w:sz w:val="20"/>
              </w:rPr>
            </w:pPr>
            <w:r w:rsidRPr="008C5596">
              <w:rPr>
                <w:sz w:val="20"/>
              </w:rPr>
              <w:t>strategies for ensuring reach across the entire region</w:t>
            </w:r>
            <w:r w:rsidR="00F04761" w:rsidRPr="008C5596">
              <w:rPr>
                <w:sz w:val="20"/>
              </w:rPr>
              <w:t xml:space="preserve"> considering travel, technology, and counsellor mobility</w:t>
            </w:r>
          </w:p>
          <w:p w:rsidR="00B0484A" w:rsidRPr="008C5596" w:rsidRDefault="00F04761" w:rsidP="008C5596">
            <w:pPr>
              <w:pStyle w:val="ListParagraph"/>
              <w:numPr>
                <w:ilvl w:val="0"/>
                <w:numId w:val="22"/>
              </w:numPr>
              <w:spacing w:after="60" w:line="240" w:lineRule="auto"/>
              <w:ind w:right="57"/>
              <w:contextualSpacing w:val="0"/>
              <w:rPr>
                <w:sz w:val="20"/>
              </w:rPr>
            </w:pPr>
            <w:r w:rsidRPr="008C5596">
              <w:rPr>
                <w:sz w:val="20"/>
              </w:rPr>
              <w:t xml:space="preserve">agile </w:t>
            </w:r>
            <w:r w:rsidR="00B54807" w:rsidRPr="008C5596">
              <w:rPr>
                <w:sz w:val="20"/>
              </w:rPr>
              <w:t xml:space="preserve">strategies for managing fluctuating demand </w:t>
            </w:r>
            <w:r w:rsidR="003F4B44" w:rsidRPr="008C5596">
              <w:rPr>
                <w:sz w:val="20"/>
              </w:rPr>
              <w:t xml:space="preserve">within budget constraints </w:t>
            </w:r>
          </w:p>
        </w:tc>
      </w:tr>
      <w:tr w:rsidR="00C66913" w:rsidRPr="009F1ED2" w:rsidTr="00B77612">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C66913" w:rsidRPr="008C5596" w:rsidRDefault="00C66913" w:rsidP="009F1ED2">
            <w:pPr>
              <w:spacing w:before="120" w:after="120" w:line="240" w:lineRule="auto"/>
              <w:ind w:left="113" w:right="57"/>
              <w:rPr>
                <w:sz w:val="20"/>
              </w:rPr>
            </w:pPr>
            <w:r w:rsidRPr="008C5596">
              <w:rPr>
                <w:sz w:val="20"/>
              </w:rPr>
              <w:t xml:space="preserve">Clearly outlined a </w:t>
            </w:r>
            <w:r w:rsidR="00BD50EF" w:rsidRPr="008C5596">
              <w:rPr>
                <w:sz w:val="20"/>
              </w:rPr>
              <w:t>high-level</w:t>
            </w:r>
            <w:r w:rsidRPr="008C5596">
              <w:rPr>
                <w:sz w:val="20"/>
              </w:rPr>
              <w:t xml:space="preserve"> budget for core funding in 2021–22 for each service region </w:t>
            </w:r>
          </w:p>
        </w:tc>
        <w:tc>
          <w:tcPr>
            <w:tcW w:w="5386" w:type="dxa"/>
            <w:shd w:val="clear" w:color="auto" w:fill="EFF0EF" w:themeFill="background2"/>
            <w:vAlign w:val="center"/>
          </w:tcPr>
          <w:p w:rsidR="001A05AC" w:rsidRPr="008C5596" w:rsidRDefault="00F04761" w:rsidP="008C5596">
            <w:pPr>
              <w:pStyle w:val="ListParagraph"/>
              <w:numPr>
                <w:ilvl w:val="0"/>
                <w:numId w:val="22"/>
              </w:numPr>
              <w:spacing w:after="60" w:line="240" w:lineRule="auto"/>
              <w:ind w:right="57"/>
              <w:contextualSpacing w:val="0"/>
              <w:rPr>
                <w:sz w:val="20"/>
              </w:rPr>
            </w:pPr>
            <w:r w:rsidRPr="008C5596">
              <w:rPr>
                <w:sz w:val="20"/>
              </w:rPr>
              <w:t>e</w:t>
            </w:r>
            <w:r w:rsidR="00B54807" w:rsidRPr="008C5596">
              <w:rPr>
                <w:sz w:val="20"/>
              </w:rPr>
              <w:t>xpenditure in line with budget</w:t>
            </w:r>
            <w:r w:rsidR="001A05AC" w:rsidRPr="008C5596">
              <w:rPr>
                <w:sz w:val="20"/>
              </w:rPr>
              <w:t xml:space="preserve"> limits </w:t>
            </w:r>
          </w:p>
          <w:p w:rsidR="00C66913" w:rsidRPr="008C5596" w:rsidRDefault="003F4B44" w:rsidP="008C5596">
            <w:pPr>
              <w:pStyle w:val="ListParagraph"/>
              <w:numPr>
                <w:ilvl w:val="0"/>
                <w:numId w:val="22"/>
              </w:numPr>
              <w:spacing w:after="60" w:line="240" w:lineRule="auto"/>
              <w:ind w:right="57"/>
              <w:contextualSpacing w:val="0"/>
              <w:rPr>
                <w:sz w:val="20"/>
              </w:rPr>
            </w:pPr>
            <w:r w:rsidRPr="008C5596">
              <w:rPr>
                <w:sz w:val="20"/>
              </w:rPr>
              <w:t xml:space="preserve">spending focused </w:t>
            </w:r>
            <w:r w:rsidR="001A05AC" w:rsidRPr="008C5596">
              <w:rPr>
                <w:sz w:val="20"/>
              </w:rPr>
              <w:t>on client facing staff and appropriate administration and governance</w:t>
            </w:r>
            <w:r w:rsidRPr="008C5596">
              <w:rPr>
                <w:sz w:val="20"/>
              </w:rPr>
              <w:t xml:space="preserve"> requirements</w:t>
            </w:r>
            <w:r w:rsidR="0063215D" w:rsidRPr="008C5596">
              <w:rPr>
                <w:sz w:val="20"/>
              </w:rPr>
              <w:t xml:space="preserve"> </w:t>
            </w:r>
          </w:p>
        </w:tc>
      </w:tr>
      <w:tr w:rsidR="00437AD7" w:rsidRPr="009F1ED2" w:rsidTr="00B77612">
        <w:trPr>
          <w:cnfStyle w:val="100000000000" w:firstRow="1" w:lastRow="0" w:firstColumn="0" w:lastColumn="0" w:oddVBand="0" w:evenVBand="0" w:oddHBand="0" w:evenHBand="0" w:firstRowFirstColumn="0" w:firstRowLastColumn="0" w:lastRowFirstColumn="0" w:lastRowLastColumn="0"/>
          <w:trHeight w:val="1625"/>
          <w:tblHeader/>
        </w:trPr>
        <w:tc>
          <w:tcPr>
            <w:tcW w:w="4253" w:type="dxa"/>
            <w:shd w:val="clear" w:color="auto" w:fill="DFE1DF" w:themeFill="text2"/>
            <w:vAlign w:val="center"/>
          </w:tcPr>
          <w:p w:rsidR="00437AD7" w:rsidRPr="008C5596" w:rsidRDefault="00437AD7" w:rsidP="009F1ED2">
            <w:pPr>
              <w:rPr>
                <w:sz w:val="20"/>
                <w:u w:val="single"/>
              </w:rPr>
            </w:pPr>
            <w:r w:rsidRPr="008C5596">
              <w:rPr>
                <w:sz w:val="20"/>
                <w:u w:val="single"/>
              </w:rPr>
              <w:t>Applications for multiple service regions</w:t>
            </w:r>
          </w:p>
          <w:p w:rsidR="006D314C" w:rsidRPr="008C5596" w:rsidRDefault="00437AD7" w:rsidP="009F1ED2">
            <w:pPr>
              <w:spacing w:before="120" w:after="120" w:line="240" w:lineRule="auto"/>
              <w:ind w:left="113" w:right="57"/>
              <w:rPr>
                <w:sz w:val="20"/>
              </w:rPr>
            </w:pPr>
            <w:r w:rsidRPr="008C5596">
              <w:rPr>
                <w:sz w:val="20"/>
              </w:rPr>
              <w:t>Clearly outlined</w:t>
            </w:r>
            <w:r w:rsidR="00E26AD0" w:rsidRPr="008C5596">
              <w:rPr>
                <w:sz w:val="20"/>
              </w:rPr>
              <w:t>:</w:t>
            </w:r>
          </w:p>
          <w:p w:rsidR="008C24BF" w:rsidRPr="008C5596" w:rsidRDefault="00437AD7" w:rsidP="008C5596">
            <w:pPr>
              <w:pStyle w:val="ListParagraph"/>
              <w:numPr>
                <w:ilvl w:val="0"/>
                <w:numId w:val="22"/>
              </w:numPr>
              <w:spacing w:after="60" w:line="240" w:lineRule="auto"/>
              <w:ind w:left="470" w:right="57" w:hanging="357"/>
              <w:contextualSpacing w:val="0"/>
              <w:rPr>
                <w:rFonts w:ascii="Arial" w:eastAsia="Arial" w:hAnsi="Arial" w:cs="Arial"/>
                <w:bCs/>
                <w:color w:val="auto"/>
                <w:sz w:val="20"/>
              </w:rPr>
            </w:pPr>
            <w:r w:rsidRPr="008C5596">
              <w:rPr>
                <w:rFonts w:ascii="Arial" w:eastAsia="Arial" w:hAnsi="Arial" w:cs="Arial"/>
                <w:bCs/>
                <w:color w:val="auto"/>
                <w:sz w:val="20"/>
              </w:rPr>
              <w:t xml:space="preserve">budgets for various options of multi-region service delivery </w:t>
            </w:r>
          </w:p>
          <w:p w:rsidR="003022F8" w:rsidRPr="008C5596" w:rsidRDefault="003022F8" w:rsidP="008C5596">
            <w:pPr>
              <w:pStyle w:val="ListParagraph"/>
              <w:numPr>
                <w:ilvl w:val="0"/>
                <w:numId w:val="22"/>
              </w:numPr>
              <w:spacing w:after="60" w:line="240" w:lineRule="auto"/>
              <w:ind w:left="470" w:right="57" w:hanging="357"/>
              <w:contextualSpacing w:val="0"/>
              <w:rPr>
                <w:rFonts w:ascii="Arial" w:eastAsia="Arial" w:hAnsi="Arial" w:cs="Arial"/>
                <w:bCs/>
                <w:color w:val="auto"/>
                <w:sz w:val="20"/>
              </w:rPr>
            </w:pPr>
            <w:r w:rsidRPr="008C5596">
              <w:rPr>
                <w:rFonts w:ascii="Arial" w:eastAsia="Arial" w:hAnsi="Arial" w:cs="Arial"/>
                <w:bCs/>
                <w:color w:val="auto"/>
                <w:sz w:val="20"/>
              </w:rPr>
              <w:t>efficiencies gained from delivering services across multiple service regions</w:t>
            </w:r>
          </w:p>
          <w:p w:rsidR="003022F8" w:rsidRPr="008C5596" w:rsidRDefault="003022F8" w:rsidP="008C5596">
            <w:pPr>
              <w:pStyle w:val="ListParagraph"/>
              <w:numPr>
                <w:ilvl w:val="0"/>
                <w:numId w:val="22"/>
              </w:numPr>
              <w:spacing w:after="60" w:line="240" w:lineRule="auto"/>
              <w:ind w:left="470" w:right="57" w:hanging="357"/>
              <w:contextualSpacing w:val="0"/>
              <w:rPr>
                <w:sz w:val="20"/>
              </w:rPr>
            </w:pPr>
            <w:r w:rsidRPr="008C5596">
              <w:rPr>
                <w:rFonts w:ascii="Arial" w:eastAsia="Arial" w:hAnsi="Arial" w:cs="Arial"/>
                <w:bCs/>
                <w:color w:val="auto"/>
                <w:sz w:val="20"/>
              </w:rPr>
              <w:t>additional risks or challenges of servicing multiple service regions</w:t>
            </w:r>
          </w:p>
        </w:tc>
        <w:tc>
          <w:tcPr>
            <w:tcW w:w="5386" w:type="dxa"/>
            <w:shd w:val="clear" w:color="auto" w:fill="DFE1DF" w:themeFill="text2"/>
            <w:vAlign w:val="center"/>
          </w:tcPr>
          <w:p w:rsidR="001508C7" w:rsidRPr="008C5596" w:rsidRDefault="006D314C" w:rsidP="008C5596">
            <w:pPr>
              <w:pStyle w:val="ListParagraph"/>
              <w:numPr>
                <w:ilvl w:val="0"/>
                <w:numId w:val="22"/>
              </w:numPr>
              <w:spacing w:after="60" w:line="240" w:lineRule="auto"/>
              <w:ind w:right="57"/>
              <w:contextualSpacing w:val="0"/>
              <w:rPr>
                <w:sz w:val="20"/>
              </w:rPr>
            </w:pPr>
            <w:r w:rsidRPr="008C5596">
              <w:rPr>
                <w:sz w:val="20"/>
              </w:rPr>
              <w:t xml:space="preserve">clearly articulated </w:t>
            </w:r>
            <w:r w:rsidR="003F4B44" w:rsidRPr="008C5596">
              <w:rPr>
                <w:sz w:val="20"/>
              </w:rPr>
              <w:t>cost savings and expenditure</w:t>
            </w:r>
            <w:r w:rsidRPr="008C5596">
              <w:rPr>
                <w:sz w:val="20"/>
              </w:rPr>
              <w:t xml:space="preserve"> plans for different options</w:t>
            </w:r>
            <w:r w:rsidR="003F7B9A" w:rsidRPr="008C5596">
              <w:rPr>
                <w:sz w:val="20"/>
              </w:rPr>
              <w:t xml:space="preserve"> </w:t>
            </w:r>
          </w:p>
          <w:p w:rsidR="003022F8" w:rsidRPr="008C5596" w:rsidRDefault="003022F8" w:rsidP="008C5596">
            <w:pPr>
              <w:pStyle w:val="ListParagraph"/>
              <w:numPr>
                <w:ilvl w:val="0"/>
                <w:numId w:val="22"/>
              </w:numPr>
              <w:spacing w:after="60" w:line="240" w:lineRule="auto"/>
              <w:ind w:right="57"/>
              <w:contextualSpacing w:val="0"/>
              <w:rPr>
                <w:sz w:val="20"/>
              </w:rPr>
            </w:pPr>
            <w:r w:rsidRPr="008C5596">
              <w:rPr>
                <w:sz w:val="20"/>
              </w:rPr>
              <w:t xml:space="preserve">efficiencies </w:t>
            </w:r>
            <w:r w:rsidR="006D314C" w:rsidRPr="008C5596">
              <w:rPr>
                <w:sz w:val="20"/>
              </w:rPr>
              <w:t>that promoted client</w:t>
            </w:r>
            <w:r w:rsidR="009E46BF">
              <w:rPr>
                <w:sz w:val="20"/>
              </w:rPr>
              <w:t>-</w:t>
            </w:r>
            <w:r w:rsidR="006D314C" w:rsidRPr="008C5596">
              <w:rPr>
                <w:sz w:val="20"/>
              </w:rPr>
              <w:t xml:space="preserve">centric outcomes and were in line with the RFCS program guidelines and logic </w:t>
            </w:r>
          </w:p>
          <w:p w:rsidR="003022F8" w:rsidRPr="008C5596" w:rsidRDefault="003022F8" w:rsidP="008C5596">
            <w:pPr>
              <w:pStyle w:val="ListParagraph"/>
              <w:numPr>
                <w:ilvl w:val="0"/>
                <w:numId w:val="22"/>
              </w:numPr>
              <w:spacing w:after="60" w:line="240" w:lineRule="auto"/>
              <w:ind w:right="57"/>
              <w:contextualSpacing w:val="0"/>
              <w:rPr>
                <w:sz w:val="20"/>
              </w:rPr>
            </w:pPr>
            <w:r w:rsidRPr="008C5596">
              <w:rPr>
                <w:sz w:val="20"/>
              </w:rPr>
              <w:t>detailed risk analysis and mitigation strategies</w:t>
            </w:r>
            <w:r w:rsidRPr="008C5596">
              <w:rPr>
                <w:rFonts w:ascii="Arial" w:eastAsia="Arial" w:hAnsi="Arial" w:cs="Arial"/>
                <w:color w:val="auto"/>
                <w:sz w:val="20"/>
              </w:rPr>
              <w:t xml:space="preserve"> relevant to specific regions</w:t>
            </w:r>
            <w:r w:rsidR="003F7B9A" w:rsidRPr="008C5596">
              <w:rPr>
                <w:rFonts w:ascii="Arial" w:eastAsia="Arial" w:hAnsi="Arial" w:cs="Arial"/>
                <w:color w:val="auto"/>
                <w:sz w:val="20"/>
              </w:rPr>
              <w:t xml:space="preserve">/options </w:t>
            </w:r>
          </w:p>
          <w:p w:rsidR="001D3B23" w:rsidRPr="008C5596" w:rsidRDefault="003022F8" w:rsidP="008C5596">
            <w:pPr>
              <w:pStyle w:val="ListParagraph"/>
              <w:numPr>
                <w:ilvl w:val="0"/>
                <w:numId w:val="22"/>
              </w:numPr>
              <w:spacing w:after="60" w:line="240" w:lineRule="auto"/>
              <w:ind w:right="57"/>
              <w:contextualSpacing w:val="0"/>
              <w:rPr>
                <w:sz w:val="20"/>
              </w:rPr>
            </w:pPr>
            <w:r w:rsidRPr="008C5596">
              <w:rPr>
                <w:rFonts w:ascii="Arial" w:eastAsia="Arial" w:hAnsi="Arial" w:cs="Arial"/>
                <w:sz w:val="20"/>
              </w:rPr>
              <w:t xml:space="preserve">clear and comprehensive transition plans </w:t>
            </w:r>
            <w:r w:rsidRPr="008C5596">
              <w:rPr>
                <w:rFonts w:ascii="Arial" w:eastAsia="Arial" w:hAnsi="Arial" w:cs="Arial"/>
                <w:color w:val="auto"/>
                <w:sz w:val="20"/>
              </w:rPr>
              <w:t>relevant to specific regions</w:t>
            </w:r>
            <w:r w:rsidR="006D314C" w:rsidRPr="008C5596">
              <w:rPr>
                <w:rFonts w:ascii="Arial" w:eastAsia="Arial" w:hAnsi="Arial" w:cs="Arial"/>
                <w:color w:val="auto"/>
                <w:sz w:val="20"/>
              </w:rPr>
              <w:t>, their clients and stakeholders</w:t>
            </w:r>
            <w:r w:rsidR="009F1ED2">
              <w:rPr>
                <w:rFonts w:ascii="Arial" w:eastAsia="Arial" w:hAnsi="Arial" w:cs="Arial"/>
                <w:color w:val="auto"/>
                <w:sz w:val="20"/>
              </w:rPr>
              <w:t>,</w:t>
            </w:r>
            <w:r w:rsidR="001D3B23" w:rsidRPr="008C5596">
              <w:rPr>
                <w:rFonts w:ascii="Arial" w:eastAsia="Arial" w:hAnsi="Arial" w:cs="Arial"/>
                <w:color w:val="auto"/>
                <w:sz w:val="20"/>
              </w:rPr>
              <w:t xml:space="preserve"> including</w:t>
            </w:r>
            <w:r w:rsidR="003F7B9A" w:rsidRPr="008C5596">
              <w:rPr>
                <w:rFonts w:ascii="Arial" w:eastAsia="Arial" w:hAnsi="Arial" w:cs="Arial"/>
                <w:color w:val="auto"/>
                <w:sz w:val="20"/>
              </w:rPr>
              <w:t xml:space="preserve"> </w:t>
            </w:r>
            <w:r w:rsidR="001D3B23" w:rsidRPr="008C5596">
              <w:rPr>
                <w:sz w:val="20"/>
              </w:rPr>
              <w:t>strategies for</w:t>
            </w:r>
            <w:r w:rsidR="009F1ED2">
              <w:rPr>
                <w:sz w:val="20"/>
              </w:rPr>
              <w:t>:</w:t>
            </w:r>
          </w:p>
          <w:p w:rsidR="00437AD7" w:rsidRPr="008C5596" w:rsidRDefault="001D3B23" w:rsidP="008C5596">
            <w:pPr>
              <w:pStyle w:val="ListParagraph"/>
              <w:spacing w:after="60" w:line="240" w:lineRule="auto"/>
              <w:ind w:left="473" w:right="57"/>
              <w:contextualSpacing w:val="0"/>
              <w:rPr>
                <w:rFonts w:ascii="Arial" w:eastAsia="Arial" w:hAnsi="Arial" w:cs="Arial"/>
                <w:color w:val="auto"/>
                <w:sz w:val="20"/>
              </w:rPr>
            </w:pPr>
            <w:r w:rsidRPr="008C5596">
              <w:rPr>
                <w:rFonts w:ascii="Arial" w:eastAsia="Arial" w:hAnsi="Arial" w:cs="Arial"/>
                <w:color w:val="auto"/>
                <w:sz w:val="20"/>
              </w:rPr>
              <w:t xml:space="preserve">- </w:t>
            </w:r>
            <w:r w:rsidR="003F7B9A" w:rsidRPr="008C5596">
              <w:rPr>
                <w:rFonts w:ascii="Arial" w:eastAsia="Arial" w:hAnsi="Arial" w:cs="Arial"/>
                <w:color w:val="auto"/>
                <w:sz w:val="20"/>
              </w:rPr>
              <w:t xml:space="preserve">board or executive </w:t>
            </w:r>
            <w:r w:rsidRPr="008C5596">
              <w:rPr>
                <w:rFonts w:ascii="Arial" w:eastAsia="Arial" w:hAnsi="Arial" w:cs="Arial"/>
                <w:color w:val="auto"/>
                <w:sz w:val="20"/>
              </w:rPr>
              <w:t>decision making relevant</w:t>
            </w:r>
            <w:r w:rsidR="003F7B9A" w:rsidRPr="008C5596">
              <w:rPr>
                <w:rFonts w:ascii="Arial" w:eastAsia="Arial" w:hAnsi="Arial" w:cs="Arial"/>
                <w:color w:val="auto"/>
                <w:sz w:val="20"/>
              </w:rPr>
              <w:t xml:space="preserve"> </w:t>
            </w:r>
            <w:r w:rsidRPr="008C5596">
              <w:rPr>
                <w:rFonts w:ascii="Arial" w:eastAsia="Arial" w:hAnsi="Arial" w:cs="Arial"/>
                <w:color w:val="auto"/>
                <w:sz w:val="20"/>
              </w:rPr>
              <w:t>to</w:t>
            </w:r>
            <w:r w:rsidR="003F7B9A" w:rsidRPr="008C5596">
              <w:rPr>
                <w:rFonts w:ascii="Arial" w:eastAsia="Arial" w:hAnsi="Arial" w:cs="Arial"/>
                <w:color w:val="auto"/>
                <w:sz w:val="20"/>
              </w:rPr>
              <w:t xml:space="preserve"> multiple regions</w:t>
            </w:r>
            <w:r w:rsidRPr="008C5596">
              <w:rPr>
                <w:rFonts w:ascii="Arial" w:eastAsia="Arial" w:hAnsi="Arial" w:cs="Arial"/>
                <w:color w:val="auto"/>
                <w:sz w:val="20"/>
              </w:rPr>
              <w:t xml:space="preserve"> with different needs</w:t>
            </w:r>
          </w:p>
          <w:p w:rsidR="001D3B23" w:rsidRPr="008C5596" w:rsidRDefault="001D3B23" w:rsidP="008C5596">
            <w:pPr>
              <w:pStyle w:val="ListParagraph"/>
              <w:spacing w:after="60" w:line="240" w:lineRule="auto"/>
              <w:ind w:left="471" w:right="57"/>
              <w:contextualSpacing w:val="0"/>
              <w:rPr>
                <w:sz w:val="20"/>
              </w:rPr>
            </w:pPr>
            <w:r w:rsidRPr="008C5596">
              <w:rPr>
                <w:sz w:val="20"/>
              </w:rPr>
              <w:t>- staff integration</w:t>
            </w:r>
            <w:r w:rsidR="00376AAA">
              <w:rPr>
                <w:sz w:val="20"/>
              </w:rPr>
              <w:t>.</w:t>
            </w:r>
          </w:p>
        </w:tc>
      </w:tr>
    </w:tbl>
    <w:p w:rsidR="00FA1F45" w:rsidRDefault="00FA1F45" w:rsidP="00277892">
      <w:pPr>
        <w:pStyle w:val="Heading2"/>
      </w:pPr>
    </w:p>
    <w:sectPr w:rsidR="00FA1F45" w:rsidSect="00FE0480">
      <w:headerReference w:type="even" r:id="rId9"/>
      <w:headerReference w:type="default" r:id="rId10"/>
      <w:footerReference w:type="even" r:id="rId11"/>
      <w:footerReference w:type="default" r:id="rId12"/>
      <w:headerReference w:type="first" r:id="rId13"/>
      <w:footerReference w:type="first" r:id="rId14"/>
      <w:pgSz w:w="11906" w:h="16838" w:code="9"/>
      <w:pgMar w:top="2835" w:right="1134" w:bottom="1135"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1B" w:rsidRDefault="00F65C1B" w:rsidP="00772718">
      <w:pPr>
        <w:spacing w:line="240" w:lineRule="auto"/>
      </w:pPr>
      <w:r>
        <w:separator/>
      </w:r>
    </w:p>
  </w:endnote>
  <w:endnote w:type="continuationSeparator" w:id="0">
    <w:p w:rsidR="00F65C1B" w:rsidRDefault="00F65C1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45" w:rsidRDefault="00237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9719EF">
      <w:rPr>
        <w:noProof/>
      </w:rPr>
      <w:t>8</w:t>
    </w:r>
    <w:r>
      <w:fldChar w:fldCharType="end"/>
    </w:r>
    <w:r>
      <w:t xml:space="preserve">  </w:t>
    </w:r>
    <w:r w:rsidRPr="00A454BF">
      <w:t xml:space="preserve">|  </w:t>
    </w:r>
    <w:r w:rsidR="003D477D">
      <w:t>Feedback for applicants</w:t>
    </w:r>
    <w:r w:rsidR="003D477D">
      <w:tab/>
    </w:r>
    <w:r w:rsidR="003D477D">
      <w:tab/>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4A0C7143" wp14:editId="5A620615">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2B3F1"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9719EF">
      <w:rPr>
        <w:noProof/>
      </w:rPr>
      <w:t>1</w:t>
    </w:r>
    <w:r>
      <w:fldChar w:fldCharType="end"/>
    </w:r>
    <w:r>
      <w:t xml:space="preserve">  </w:t>
    </w:r>
    <w:r w:rsidRPr="00A454BF">
      <w:t xml:space="preserve">|  </w:t>
    </w:r>
    <w:r w:rsidR="003D477D">
      <w:t>Feedback for applicants</w:t>
    </w:r>
    <w:r w:rsidR="003D477D">
      <w:tab/>
    </w:r>
    <w:r w:rsidR="003D477D">
      <w:tab/>
    </w:r>
    <w:r w:rsidRPr="00A454BF">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1B" w:rsidRDefault="00F65C1B" w:rsidP="00772718">
      <w:pPr>
        <w:spacing w:line="240" w:lineRule="auto"/>
      </w:pPr>
      <w:r>
        <w:separator/>
      </w:r>
    </w:p>
  </w:footnote>
  <w:footnote w:type="continuationSeparator" w:id="0">
    <w:p w:rsidR="00F65C1B" w:rsidRDefault="00F65C1B"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45" w:rsidRDefault="00237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FC92F24" wp14:editId="44225956">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3C9DC0"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4CA093D" wp14:editId="05D15091">
          <wp:simplePos x="719138" y="647700"/>
          <wp:positionH relativeFrom="page">
            <wp:align>left</wp:align>
          </wp:positionH>
          <wp:positionV relativeFrom="page">
            <wp:align>top</wp:align>
          </wp:positionV>
          <wp:extent cx="7560000" cy="648000"/>
          <wp:effectExtent l="0" t="0" r="3175" b="0"/>
          <wp:wrapNone/>
          <wp:docPr id="89" name="Picture 89"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7D903F4C" wp14:editId="21D9477D">
          <wp:simplePos x="0" y="0"/>
          <wp:positionH relativeFrom="page">
            <wp:posOffset>4048125</wp:posOffset>
          </wp:positionH>
          <wp:positionV relativeFrom="page">
            <wp:posOffset>485775</wp:posOffset>
          </wp:positionV>
          <wp:extent cx="2793600" cy="813600"/>
          <wp:effectExtent l="0" t="0" r="6985" b="5715"/>
          <wp:wrapNone/>
          <wp:docPr id="90" name="Picture 90"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r>
      <w:rPr>
        <w:noProof/>
        <w:lang w:eastAsia="en-AU"/>
      </w:rPr>
      <mc:AlternateContent>
        <mc:Choice Requires="wpg">
          <w:drawing>
            <wp:anchor distT="0" distB="0" distL="114300" distR="114300" simplePos="0" relativeHeight="251672576" behindDoc="0" locked="1" layoutInCell="1" allowOverlap="1" wp14:anchorId="27984A12" wp14:editId="185E6F34">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64F775"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bookmarkEnd w:id="0"/>
    <w:r w:rsidR="00D91B18">
      <w:rPr>
        <w:noProof/>
        <w:lang w:eastAsia="en-AU"/>
      </w:rPr>
      <mc:AlternateContent>
        <mc:Choice Requires="wps">
          <w:drawing>
            <wp:anchor distT="0" distB="0" distL="114300" distR="114300" simplePos="0" relativeHeight="251669504" behindDoc="0" locked="1" layoutInCell="1" allowOverlap="1" wp14:anchorId="79DCEF7C" wp14:editId="2BDC60D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9BB0A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07B9DBA" wp14:editId="615EB3F2">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5686D7"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6A0B5C"/>
    <w:multiLevelType w:val="multilevel"/>
    <w:tmpl w:val="D636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B05B7"/>
    <w:multiLevelType w:val="hybridMultilevel"/>
    <w:tmpl w:val="C1C0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93AF3"/>
    <w:multiLevelType w:val="hybridMultilevel"/>
    <w:tmpl w:val="781E8C9A"/>
    <w:lvl w:ilvl="0" w:tplc="FA647308">
      <w:start w:val="1"/>
      <w:numFmt w:val="bullet"/>
      <w:lvlText w:val=""/>
      <w:lvlJc w:val="left"/>
      <w:pPr>
        <w:ind w:left="1077" w:hanging="360"/>
      </w:pPr>
      <w:rPr>
        <w:rFonts w:ascii="Symbol" w:hAnsi="Symbol" w:hint="default"/>
        <w:color w:val="DFE1DF" w:themeColor="text2"/>
      </w:rPr>
    </w:lvl>
    <w:lvl w:ilvl="1" w:tplc="FA647308">
      <w:start w:val="1"/>
      <w:numFmt w:val="bullet"/>
      <w:lvlText w:val=""/>
      <w:lvlJc w:val="left"/>
      <w:pPr>
        <w:ind w:left="1797" w:hanging="360"/>
      </w:pPr>
      <w:rPr>
        <w:rFonts w:ascii="Symbol" w:hAnsi="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9BD12E7"/>
    <w:multiLevelType w:val="multilevel"/>
    <w:tmpl w:val="B0D8F8A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644"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A95E21"/>
    <w:multiLevelType w:val="hybridMultilevel"/>
    <w:tmpl w:val="BF4447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D1D7C72"/>
    <w:multiLevelType w:val="multilevel"/>
    <w:tmpl w:val="076AC0EA"/>
    <w:lvl w:ilvl="0">
      <w:start w:val="1"/>
      <w:numFmt w:val="bullet"/>
      <w:lvlText w:val=""/>
      <w:lvlJc w:val="left"/>
      <w:pPr>
        <w:tabs>
          <w:tab w:val="num" w:pos="425"/>
        </w:tabs>
        <w:ind w:left="425" w:hanging="425"/>
      </w:pPr>
      <w:rPr>
        <w:rFonts w:ascii="Wingdings" w:hAnsi="Wingdings" w:hint="default"/>
        <w:color w:val="DFE1DF" w:themeColor="text2"/>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440C1"/>
    <w:multiLevelType w:val="hybridMultilevel"/>
    <w:tmpl w:val="D61807CE"/>
    <w:lvl w:ilvl="0" w:tplc="091E1264">
      <w:numFmt w:val="bullet"/>
      <w:lvlText w:val="-"/>
      <w:lvlJc w:val="left"/>
      <w:pPr>
        <w:ind w:left="533" w:hanging="360"/>
      </w:pPr>
      <w:rPr>
        <w:rFonts w:ascii="Arial" w:eastAsia="Arial" w:hAnsi="Arial" w:cs="Arial" w:hint="default"/>
      </w:rPr>
    </w:lvl>
    <w:lvl w:ilvl="1" w:tplc="0C090003" w:tentative="1">
      <w:start w:val="1"/>
      <w:numFmt w:val="bullet"/>
      <w:lvlText w:val="o"/>
      <w:lvlJc w:val="left"/>
      <w:pPr>
        <w:ind w:left="1253" w:hanging="360"/>
      </w:pPr>
      <w:rPr>
        <w:rFonts w:ascii="Courier New" w:hAnsi="Courier New" w:cs="Courier New" w:hint="default"/>
      </w:rPr>
    </w:lvl>
    <w:lvl w:ilvl="2" w:tplc="0C090005" w:tentative="1">
      <w:start w:val="1"/>
      <w:numFmt w:val="bullet"/>
      <w:lvlText w:val=""/>
      <w:lvlJc w:val="left"/>
      <w:pPr>
        <w:ind w:left="1973" w:hanging="360"/>
      </w:pPr>
      <w:rPr>
        <w:rFonts w:ascii="Wingdings" w:hAnsi="Wingdings" w:hint="default"/>
      </w:rPr>
    </w:lvl>
    <w:lvl w:ilvl="3" w:tplc="0C090001" w:tentative="1">
      <w:start w:val="1"/>
      <w:numFmt w:val="bullet"/>
      <w:lvlText w:val=""/>
      <w:lvlJc w:val="left"/>
      <w:pPr>
        <w:ind w:left="2693" w:hanging="360"/>
      </w:pPr>
      <w:rPr>
        <w:rFonts w:ascii="Symbol" w:hAnsi="Symbol" w:hint="default"/>
      </w:rPr>
    </w:lvl>
    <w:lvl w:ilvl="4" w:tplc="0C090003" w:tentative="1">
      <w:start w:val="1"/>
      <w:numFmt w:val="bullet"/>
      <w:lvlText w:val="o"/>
      <w:lvlJc w:val="left"/>
      <w:pPr>
        <w:ind w:left="3413" w:hanging="360"/>
      </w:pPr>
      <w:rPr>
        <w:rFonts w:ascii="Courier New" w:hAnsi="Courier New" w:cs="Courier New" w:hint="default"/>
      </w:rPr>
    </w:lvl>
    <w:lvl w:ilvl="5" w:tplc="0C090005" w:tentative="1">
      <w:start w:val="1"/>
      <w:numFmt w:val="bullet"/>
      <w:lvlText w:val=""/>
      <w:lvlJc w:val="left"/>
      <w:pPr>
        <w:ind w:left="4133" w:hanging="360"/>
      </w:pPr>
      <w:rPr>
        <w:rFonts w:ascii="Wingdings" w:hAnsi="Wingdings" w:hint="default"/>
      </w:rPr>
    </w:lvl>
    <w:lvl w:ilvl="6" w:tplc="0C090001" w:tentative="1">
      <w:start w:val="1"/>
      <w:numFmt w:val="bullet"/>
      <w:lvlText w:val=""/>
      <w:lvlJc w:val="left"/>
      <w:pPr>
        <w:ind w:left="4853" w:hanging="360"/>
      </w:pPr>
      <w:rPr>
        <w:rFonts w:ascii="Symbol" w:hAnsi="Symbol" w:hint="default"/>
      </w:rPr>
    </w:lvl>
    <w:lvl w:ilvl="7" w:tplc="0C090003" w:tentative="1">
      <w:start w:val="1"/>
      <w:numFmt w:val="bullet"/>
      <w:lvlText w:val="o"/>
      <w:lvlJc w:val="left"/>
      <w:pPr>
        <w:ind w:left="5573" w:hanging="360"/>
      </w:pPr>
      <w:rPr>
        <w:rFonts w:ascii="Courier New" w:hAnsi="Courier New" w:cs="Courier New" w:hint="default"/>
      </w:rPr>
    </w:lvl>
    <w:lvl w:ilvl="8" w:tplc="0C090005" w:tentative="1">
      <w:start w:val="1"/>
      <w:numFmt w:val="bullet"/>
      <w:lvlText w:val=""/>
      <w:lvlJc w:val="left"/>
      <w:pPr>
        <w:ind w:left="6293" w:hanging="360"/>
      </w:pPr>
      <w:rPr>
        <w:rFonts w:ascii="Wingdings" w:hAnsi="Wingdings" w:hint="default"/>
      </w:rPr>
    </w:lvl>
  </w:abstractNum>
  <w:abstractNum w:abstractNumId="13" w15:restartNumberingAfterBreak="0">
    <w:nsid w:val="32DE36E8"/>
    <w:multiLevelType w:val="hybridMultilevel"/>
    <w:tmpl w:val="3348DC0A"/>
    <w:lvl w:ilvl="0" w:tplc="E07A4270">
      <w:numFmt w:val="bullet"/>
      <w:lvlText w:val="-"/>
      <w:lvlJc w:val="left"/>
      <w:pPr>
        <w:ind w:left="533" w:hanging="360"/>
      </w:pPr>
      <w:rPr>
        <w:rFonts w:ascii="Arial" w:eastAsia="Arial" w:hAnsi="Arial" w:cs="Arial" w:hint="default"/>
        <w:color w:val="auto"/>
      </w:rPr>
    </w:lvl>
    <w:lvl w:ilvl="1" w:tplc="0C090003" w:tentative="1">
      <w:start w:val="1"/>
      <w:numFmt w:val="bullet"/>
      <w:lvlText w:val="o"/>
      <w:lvlJc w:val="left"/>
      <w:pPr>
        <w:ind w:left="1253" w:hanging="360"/>
      </w:pPr>
      <w:rPr>
        <w:rFonts w:ascii="Courier New" w:hAnsi="Courier New" w:cs="Courier New" w:hint="default"/>
      </w:rPr>
    </w:lvl>
    <w:lvl w:ilvl="2" w:tplc="0C090005" w:tentative="1">
      <w:start w:val="1"/>
      <w:numFmt w:val="bullet"/>
      <w:lvlText w:val=""/>
      <w:lvlJc w:val="left"/>
      <w:pPr>
        <w:ind w:left="1973" w:hanging="360"/>
      </w:pPr>
      <w:rPr>
        <w:rFonts w:ascii="Wingdings" w:hAnsi="Wingdings" w:hint="default"/>
      </w:rPr>
    </w:lvl>
    <w:lvl w:ilvl="3" w:tplc="0C090001" w:tentative="1">
      <w:start w:val="1"/>
      <w:numFmt w:val="bullet"/>
      <w:lvlText w:val=""/>
      <w:lvlJc w:val="left"/>
      <w:pPr>
        <w:ind w:left="2693" w:hanging="360"/>
      </w:pPr>
      <w:rPr>
        <w:rFonts w:ascii="Symbol" w:hAnsi="Symbol" w:hint="default"/>
      </w:rPr>
    </w:lvl>
    <w:lvl w:ilvl="4" w:tplc="0C090003" w:tentative="1">
      <w:start w:val="1"/>
      <w:numFmt w:val="bullet"/>
      <w:lvlText w:val="o"/>
      <w:lvlJc w:val="left"/>
      <w:pPr>
        <w:ind w:left="3413" w:hanging="360"/>
      </w:pPr>
      <w:rPr>
        <w:rFonts w:ascii="Courier New" w:hAnsi="Courier New" w:cs="Courier New" w:hint="default"/>
      </w:rPr>
    </w:lvl>
    <w:lvl w:ilvl="5" w:tplc="0C090005" w:tentative="1">
      <w:start w:val="1"/>
      <w:numFmt w:val="bullet"/>
      <w:lvlText w:val=""/>
      <w:lvlJc w:val="left"/>
      <w:pPr>
        <w:ind w:left="4133" w:hanging="360"/>
      </w:pPr>
      <w:rPr>
        <w:rFonts w:ascii="Wingdings" w:hAnsi="Wingdings" w:hint="default"/>
      </w:rPr>
    </w:lvl>
    <w:lvl w:ilvl="6" w:tplc="0C090001" w:tentative="1">
      <w:start w:val="1"/>
      <w:numFmt w:val="bullet"/>
      <w:lvlText w:val=""/>
      <w:lvlJc w:val="left"/>
      <w:pPr>
        <w:ind w:left="4853" w:hanging="360"/>
      </w:pPr>
      <w:rPr>
        <w:rFonts w:ascii="Symbol" w:hAnsi="Symbol" w:hint="default"/>
      </w:rPr>
    </w:lvl>
    <w:lvl w:ilvl="7" w:tplc="0C090003" w:tentative="1">
      <w:start w:val="1"/>
      <w:numFmt w:val="bullet"/>
      <w:lvlText w:val="o"/>
      <w:lvlJc w:val="left"/>
      <w:pPr>
        <w:ind w:left="5573" w:hanging="360"/>
      </w:pPr>
      <w:rPr>
        <w:rFonts w:ascii="Courier New" w:hAnsi="Courier New" w:cs="Courier New" w:hint="default"/>
      </w:rPr>
    </w:lvl>
    <w:lvl w:ilvl="8" w:tplc="0C090005" w:tentative="1">
      <w:start w:val="1"/>
      <w:numFmt w:val="bullet"/>
      <w:lvlText w:val=""/>
      <w:lvlJc w:val="left"/>
      <w:pPr>
        <w:ind w:left="6293" w:hanging="360"/>
      </w:pPr>
      <w:rPr>
        <w:rFonts w:ascii="Wingdings" w:hAnsi="Wingdings" w:hint="default"/>
      </w:rPr>
    </w:lvl>
  </w:abstractNum>
  <w:abstractNum w:abstractNumId="14" w15:restartNumberingAfterBreak="0">
    <w:nsid w:val="33AE55B3"/>
    <w:multiLevelType w:val="hybridMultilevel"/>
    <w:tmpl w:val="631A5118"/>
    <w:lvl w:ilvl="0" w:tplc="ACFCB1BE">
      <w:start w:val="20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C77DB"/>
    <w:multiLevelType w:val="hybridMultilevel"/>
    <w:tmpl w:val="A768E3FE"/>
    <w:lvl w:ilvl="0" w:tplc="0C090003">
      <w:start w:val="1"/>
      <w:numFmt w:val="bullet"/>
      <w:lvlText w:val="o"/>
      <w:lvlJc w:val="left"/>
      <w:pPr>
        <w:ind w:left="717" w:hanging="360"/>
      </w:pPr>
      <w:rPr>
        <w:rFonts w:ascii="Courier New" w:hAnsi="Courier New" w:cs="Courier New" w:hint="default"/>
        <w:color w:val="DFE1DF" w:themeColor="text2"/>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2661714"/>
    <w:multiLevelType w:val="multilevel"/>
    <w:tmpl w:val="29621BFC"/>
    <w:lvl w:ilvl="0">
      <w:start w:val="1"/>
      <w:numFmt w:val="bullet"/>
      <w:lvlText w:val=""/>
      <w:lvlJc w:val="left"/>
      <w:pPr>
        <w:tabs>
          <w:tab w:val="num" w:pos="425"/>
        </w:tabs>
        <w:ind w:left="425" w:hanging="425"/>
      </w:pPr>
      <w:rPr>
        <w:rFonts w:ascii="Wingdings" w:hAnsi="Wingdings" w:hint="default"/>
        <w:color w:val="DFE1DF" w:themeColor="text2"/>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45A03F82"/>
    <w:multiLevelType w:val="hybridMultilevel"/>
    <w:tmpl w:val="32A8B39E"/>
    <w:lvl w:ilvl="0" w:tplc="0C090005">
      <w:start w:val="1"/>
      <w:numFmt w:val="bullet"/>
      <w:lvlText w:val=""/>
      <w:lvlJc w:val="left"/>
      <w:pPr>
        <w:ind w:left="473" w:hanging="360"/>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48B34762"/>
    <w:multiLevelType w:val="hybridMultilevel"/>
    <w:tmpl w:val="BADCFFEA"/>
    <w:lvl w:ilvl="0" w:tplc="2E8C3B06">
      <w:numFmt w:val="bullet"/>
      <w:lvlText w:val="-"/>
      <w:lvlJc w:val="left"/>
      <w:pPr>
        <w:ind w:left="473" w:hanging="360"/>
      </w:pPr>
      <w:rPr>
        <w:rFonts w:ascii="Arial" w:eastAsia="Arial"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1" w15:restartNumberingAfterBreak="0">
    <w:nsid w:val="4A4752AD"/>
    <w:multiLevelType w:val="hybridMultilevel"/>
    <w:tmpl w:val="DE446EA2"/>
    <w:lvl w:ilvl="0" w:tplc="ACFCB1BE">
      <w:start w:val="202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64362F"/>
    <w:multiLevelType w:val="hybridMultilevel"/>
    <w:tmpl w:val="3C74BA54"/>
    <w:lvl w:ilvl="0" w:tplc="0C090005">
      <w:start w:val="1"/>
      <w:numFmt w:val="bullet"/>
      <w:lvlText w:val=""/>
      <w:lvlJc w:val="left"/>
      <w:pPr>
        <w:ind w:left="473" w:hanging="360"/>
      </w:pPr>
      <w:rPr>
        <w:rFonts w:ascii="Wingdings" w:hAnsi="Wingdings"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4C2645C"/>
    <w:multiLevelType w:val="hybridMultilevel"/>
    <w:tmpl w:val="DF905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6827A6"/>
    <w:multiLevelType w:val="multilevel"/>
    <w:tmpl w:val="AAC0174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2714DE4"/>
    <w:multiLevelType w:val="hybridMultilevel"/>
    <w:tmpl w:val="9D844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585866"/>
    <w:multiLevelType w:val="hybridMultilevel"/>
    <w:tmpl w:val="0B948848"/>
    <w:lvl w:ilvl="0" w:tplc="1446022C">
      <w:numFmt w:val="bullet"/>
      <w:lvlText w:val="-"/>
      <w:lvlJc w:val="left"/>
      <w:pPr>
        <w:ind w:left="708" w:hanging="360"/>
      </w:pPr>
      <w:rPr>
        <w:rFonts w:ascii="Arial" w:eastAsia="Arial" w:hAnsi="Arial" w:cs="Aria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31" w15:restartNumberingAfterBreak="0">
    <w:nsid w:val="76710E69"/>
    <w:multiLevelType w:val="hybridMultilevel"/>
    <w:tmpl w:val="F52C3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A3529"/>
    <w:multiLevelType w:val="hybridMultilevel"/>
    <w:tmpl w:val="D0E8D0E2"/>
    <w:lvl w:ilvl="0" w:tplc="1446022C">
      <w:numFmt w:val="bullet"/>
      <w:lvlText w:val="-"/>
      <w:lvlJc w:val="left"/>
      <w:pPr>
        <w:ind w:left="533" w:hanging="360"/>
      </w:pPr>
      <w:rPr>
        <w:rFonts w:ascii="Arial" w:eastAsia="Arial" w:hAnsi="Arial" w:cs="Arial" w:hint="default"/>
      </w:rPr>
    </w:lvl>
    <w:lvl w:ilvl="1" w:tplc="0C090003" w:tentative="1">
      <w:start w:val="1"/>
      <w:numFmt w:val="bullet"/>
      <w:lvlText w:val="o"/>
      <w:lvlJc w:val="left"/>
      <w:pPr>
        <w:ind w:left="1253" w:hanging="360"/>
      </w:pPr>
      <w:rPr>
        <w:rFonts w:ascii="Courier New" w:hAnsi="Courier New" w:cs="Courier New" w:hint="default"/>
      </w:rPr>
    </w:lvl>
    <w:lvl w:ilvl="2" w:tplc="0C090005" w:tentative="1">
      <w:start w:val="1"/>
      <w:numFmt w:val="bullet"/>
      <w:lvlText w:val=""/>
      <w:lvlJc w:val="left"/>
      <w:pPr>
        <w:ind w:left="1973" w:hanging="360"/>
      </w:pPr>
      <w:rPr>
        <w:rFonts w:ascii="Wingdings" w:hAnsi="Wingdings" w:hint="default"/>
      </w:rPr>
    </w:lvl>
    <w:lvl w:ilvl="3" w:tplc="0C090001" w:tentative="1">
      <w:start w:val="1"/>
      <w:numFmt w:val="bullet"/>
      <w:lvlText w:val=""/>
      <w:lvlJc w:val="left"/>
      <w:pPr>
        <w:ind w:left="2693" w:hanging="360"/>
      </w:pPr>
      <w:rPr>
        <w:rFonts w:ascii="Symbol" w:hAnsi="Symbol" w:hint="default"/>
      </w:rPr>
    </w:lvl>
    <w:lvl w:ilvl="4" w:tplc="0C090003" w:tentative="1">
      <w:start w:val="1"/>
      <w:numFmt w:val="bullet"/>
      <w:lvlText w:val="o"/>
      <w:lvlJc w:val="left"/>
      <w:pPr>
        <w:ind w:left="3413" w:hanging="360"/>
      </w:pPr>
      <w:rPr>
        <w:rFonts w:ascii="Courier New" w:hAnsi="Courier New" w:cs="Courier New" w:hint="default"/>
      </w:rPr>
    </w:lvl>
    <w:lvl w:ilvl="5" w:tplc="0C090005" w:tentative="1">
      <w:start w:val="1"/>
      <w:numFmt w:val="bullet"/>
      <w:lvlText w:val=""/>
      <w:lvlJc w:val="left"/>
      <w:pPr>
        <w:ind w:left="4133" w:hanging="360"/>
      </w:pPr>
      <w:rPr>
        <w:rFonts w:ascii="Wingdings" w:hAnsi="Wingdings" w:hint="default"/>
      </w:rPr>
    </w:lvl>
    <w:lvl w:ilvl="6" w:tplc="0C090001" w:tentative="1">
      <w:start w:val="1"/>
      <w:numFmt w:val="bullet"/>
      <w:lvlText w:val=""/>
      <w:lvlJc w:val="left"/>
      <w:pPr>
        <w:ind w:left="4853" w:hanging="360"/>
      </w:pPr>
      <w:rPr>
        <w:rFonts w:ascii="Symbol" w:hAnsi="Symbol" w:hint="default"/>
      </w:rPr>
    </w:lvl>
    <w:lvl w:ilvl="7" w:tplc="0C090003" w:tentative="1">
      <w:start w:val="1"/>
      <w:numFmt w:val="bullet"/>
      <w:lvlText w:val="o"/>
      <w:lvlJc w:val="left"/>
      <w:pPr>
        <w:ind w:left="5573" w:hanging="360"/>
      </w:pPr>
      <w:rPr>
        <w:rFonts w:ascii="Courier New" w:hAnsi="Courier New" w:cs="Courier New" w:hint="default"/>
      </w:rPr>
    </w:lvl>
    <w:lvl w:ilvl="8" w:tplc="0C090005" w:tentative="1">
      <w:start w:val="1"/>
      <w:numFmt w:val="bullet"/>
      <w:lvlText w:val=""/>
      <w:lvlJc w:val="left"/>
      <w:pPr>
        <w:ind w:left="6293" w:hanging="360"/>
      </w:pPr>
      <w:rPr>
        <w:rFonts w:ascii="Wingdings" w:hAnsi="Wingdings" w:hint="default"/>
      </w:rPr>
    </w:lvl>
  </w:abstractNum>
  <w:abstractNum w:abstractNumId="33" w15:restartNumberingAfterBreak="0">
    <w:nsid w:val="7AC76874"/>
    <w:multiLevelType w:val="hybridMultilevel"/>
    <w:tmpl w:val="5A388EEE"/>
    <w:lvl w:ilvl="0" w:tplc="E2E4D964">
      <w:numFmt w:val="bullet"/>
      <w:lvlText w:val="-"/>
      <w:lvlJc w:val="left"/>
      <w:pPr>
        <w:ind w:left="473" w:hanging="360"/>
      </w:pPr>
      <w:rPr>
        <w:rFonts w:ascii="Arial" w:eastAsia="Arial"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0"/>
  </w:num>
  <w:num w:numId="2">
    <w:abstractNumId w:val="28"/>
  </w:num>
  <w:num w:numId="3">
    <w:abstractNumId w:val="6"/>
  </w:num>
  <w:num w:numId="4">
    <w:abstractNumId w:val="17"/>
  </w:num>
  <w:num w:numId="5">
    <w:abstractNumId w:val="16"/>
  </w:num>
  <w:num w:numId="6">
    <w:abstractNumId w:val="11"/>
  </w:num>
  <w:num w:numId="7">
    <w:abstractNumId w:val="8"/>
  </w:num>
  <w:num w:numId="8">
    <w:abstractNumId w:val="27"/>
  </w:num>
  <w:num w:numId="9">
    <w:abstractNumId w:val="23"/>
  </w:num>
  <w:num w:numId="10">
    <w:abstractNumId w:val="3"/>
  </w:num>
  <w:num w:numId="11">
    <w:abstractNumId w:val="9"/>
  </w:num>
  <w:num w:numId="12">
    <w:abstractNumId w:val="3"/>
  </w:num>
  <w:num w:numId="13">
    <w:abstractNumId w:val="29"/>
  </w:num>
  <w:num w:numId="14">
    <w:abstractNumId w:val="1"/>
  </w:num>
  <w:num w:numId="15">
    <w:abstractNumId w:val="5"/>
  </w:num>
  <w:num w:numId="16">
    <w:abstractNumId w:val="15"/>
  </w:num>
  <w:num w:numId="17">
    <w:abstractNumId w:val="4"/>
  </w:num>
  <w:num w:numId="18">
    <w:abstractNumId w:val="24"/>
  </w:num>
  <w:num w:numId="19">
    <w:abstractNumId w:val="14"/>
  </w:num>
  <w:num w:numId="20">
    <w:abstractNumId w:val="21"/>
  </w:num>
  <w:num w:numId="21">
    <w:abstractNumId w:val="31"/>
  </w:num>
  <w:num w:numId="22">
    <w:abstractNumId w:val="22"/>
  </w:num>
  <w:num w:numId="23">
    <w:abstractNumId w:val="19"/>
  </w:num>
  <w:num w:numId="24">
    <w:abstractNumId w:val="2"/>
  </w:num>
  <w:num w:numId="25">
    <w:abstractNumId w:val="10"/>
  </w:num>
  <w:num w:numId="26">
    <w:abstractNumId w:val="18"/>
  </w:num>
  <w:num w:numId="27">
    <w:abstractNumId w:val="25"/>
  </w:num>
  <w:num w:numId="28">
    <w:abstractNumId w:val="13"/>
  </w:num>
  <w:num w:numId="29">
    <w:abstractNumId w:val="12"/>
  </w:num>
  <w:num w:numId="30">
    <w:abstractNumId w:val="26"/>
  </w:num>
  <w:num w:numId="31">
    <w:abstractNumId w:val="7"/>
  </w:num>
  <w:num w:numId="32">
    <w:abstractNumId w:val="32"/>
  </w:num>
  <w:num w:numId="33">
    <w:abstractNumId w:val="30"/>
  </w:num>
  <w:num w:numId="34">
    <w:abstractNumId w:val="3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45A"/>
    <w:rsid w:val="00004A79"/>
    <w:rsid w:val="00007DE9"/>
    <w:rsid w:val="00015AE4"/>
    <w:rsid w:val="0003018E"/>
    <w:rsid w:val="00033BC3"/>
    <w:rsid w:val="00044E09"/>
    <w:rsid w:val="0004784D"/>
    <w:rsid w:val="00053A00"/>
    <w:rsid w:val="00096B81"/>
    <w:rsid w:val="000A0196"/>
    <w:rsid w:val="000B6C00"/>
    <w:rsid w:val="000C1F06"/>
    <w:rsid w:val="000D403B"/>
    <w:rsid w:val="000E46DE"/>
    <w:rsid w:val="000E77CA"/>
    <w:rsid w:val="000F1DD1"/>
    <w:rsid w:val="000F28B8"/>
    <w:rsid w:val="000F3766"/>
    <w:rsid w:val="00100880"/>
    <w:rsid w:val="0010537E"/>
    <w:rsid w:val="00106FC4"/>
    <w:rsid w:val="00111F0C"/>
    <w:rsid w:val="00120B80"/>
    <w:rsid w:val="0013391F"/>
    <w:rsid w:val="001358DA"/>
    <w:rsid w:val="00145E2D"/>
    <w:rsid w:val="00146F31"/>
    <w:rsid w:val="001508C7"/>
    <w:rsid w:val="00152C34"/>
    <w:rsid w:val="001554BD"/>
    <w:rsid w:val="0016612C"/>
    <w:rsid w:val="001763D4"/>
    <w:rsid w:val="00181433"/>
    <w:rsid w:val="001834DD"/>
    <w:rsid w:val="001A05AC"/>
    <w:rsid w:val="001C53CE"/>
    <w:rsid w:val="001C5D96"/>
    <w:rsid w:val="001D341B"/>
    <w:rsid w:val="001D3B23"/>
    <w:rsid w:val="001D5691"/>
    <w:rsid w:val="001E3D2B"/>
    <w:rsid w:val="001E66CE"/>
    <w:rsid w:val="00221544"/>
    <w:rsid w:val="00221DC2"/>
    <w:rsid w:val="00237545"/>
    <w:rsid w:val="00240592"/>
    <w:rsid w:val="00243004"/>
    <w:rsid w:val="002437AD"/>
    <w:rsid w:val="00244B48"/>
    <w:rsid w:val="002561D4"/>
    <w:rsid w:val="002573D5"/>
    <w:rsid w:val="00264E26"/>
    <w:rsid w:val="00277892"/>
    <w:rsid w:val="00280E74"/>
    <w:rsid w:val="0028472B"/>
    <w:rsid w:val="002A28F3"/>
    <w:rsid w:val="002A40ED"/>
    <w:rsid w:val="002A41E1"/>
    <w:rsid w:val="002A6F1C"/>
    <w:rsid w:val="002B02C9"/>
    <w:rsid w:val="002B6574"/>
    <w:rsid w:val="002C23C3"/>
    <w:rsid w:val="002D2E54"/>
    <w:rsid w:val="002D4D48"/>
    <w:rsid w:val="002E1CCC"/>
    <w:rsid w:val="002E21D2"/>
    <w:rsid w:val="002F2296"/>
    <w:rsid w:val="002F7D3C"/>
    <w:rsid w:val="003022F8"/>
    <w:rsid w:val="00305720"/>
    <w:rsid w:val="0031098A"/>
    <w:rsid w:val="003131AB"/>
    <w:rsid w:val="003217BE"/>
    <w:rsid w:val="00326FF5"/>
    <w:rsid w:val="003369DA"/>
    <w:rsid w:val="0034044F"/>
    <w:rsid w:val="00353DF2"/>
    <w:rsid w:val="00355FF2"/>
    <w:rsid w:val="00357283"/>
    <w:rsid w:val="00373C94"/>
    <w:rsid w:val="00376AAA"/>
    <w:rsid w:val="00391565"/>
    <w:rsid w:val="00396B06"/>
    <w:rsid w:val="003A17CA"/>
    <w:rsid w:val="003A52F3"/>
    <w:rsid w:val="003D0647"/>
    <w:rsid w:val="003D1265"/>
    <w:rsid w:val="003D255E"/>
    <w:rsid w:val="003D3B1D"/>
    <w:rsid w:val="003D477D"/>
    <w:rsid w:val="003D5DBE"/>
    <w:rsid w:val="003F4B44"/>
    <w:rsid w:val="003F57C7"/>
    <w:rsid w:val="003F7B9A"/>
    <w:rsid w:val="00404841"/>
    <w:rsid w:val="00412059"/>
    <w:rsid w:val="00424D97"/>
    <w:rsid w:val="00425633"/>
    <w:rsid w:val="00437AD7"/>
    <w:rsid w:val="00441E79"/>
    <w:rsid w:val="00443CAE"/>
    <w:rsid w:val="00450486"/>
    <w:rsid w:val="00454EB4"/>
    <w:rsid w:val="004709E9"/>
    <w:rsid w:val="00470E5E"/>
    <w:rsid w:val="00472379"/>
    <w:rsid w:val="00483A58"/>
    <w:rsid w:val="00490618"/>
    <w:rsid w:val="0049422E"/>
    <w:rsid w:val="004B5F40"/>
    <w:rsid w:val="004C7D16"/>
    <w:rsid w:val="004D66F0"/>
    <w:rsid w:val="004D700E"/>
    <w:rsid w:val="004D7F17"/>
    <w:rsid w:val="004E0670"/>
    <w:rsid w:val="004E7F37"/>
    <w:rsid w:val="004F31BA"/>
    <w:rsid w:val="00504F9B"/>
    <w:rsid w:val="005118E4"/>
    <w:rsid w:val="0051299F"/>
    <w:rsid w:val="00517D82"/>
    <w:rsid w:val="00526B85"/>
    <w:rsid w:val="005306A1"/>
    <w:rsid w:val="00544751"/>
    <w:rsid w:val="00571DA0"/>
    <w:rsid w:val="0059000C"/>
    <w:rsid w:val="00595902"/>
    <w:rsid w:val="005A02A1"/>
    <w:rsid w:val="005B6071"/>
    <w:rsid w:val="005C0FE1"/>
    <w:rsid w:val="005D7A24"/>
    <w:rsid w:val="00607994"/>
    <w:rsid w:val="00611761"/>
    <w:rsid w:val="00616EBA"/>
    <w:rsid w:val="00622B47"/>
    <w:rsid w:val="0063215D"/>
    <w:rsid w:val="00632C08"/>
    <w:rsid w:val="00635AB7"/>
    <w:rsid w:val="00654C42"/>
    <w:rsid w:val="00665E19"/>
    <w:rsid w:val="0067074A"/>
    <w:rsid w:val="00672994"/>
    <w:rsid w:val="0067708C"/>
    <w:rsid w:val="00692EFD"/>
    <w:rsid w:val="006C15C5"/>
    <w:rsid w:val="006C4F33"/>
    <w:rsid w:val="006D314C"/>
    <w:rsid w:val="006D3DAD"/>
    <w:rsid w:val="006F50C8"/>
    <w:rsid w:val="006F68BD"/>
    <w:rsid w:val="006F7B19"/>
    <w:rsid w:val="00707E21"/>
    <w:rsid w:val="00716D7B"/>
    <w:rsid w:val="00736A76"/>
    <w:rsid w:val="00750FD0"/>
    <w:rsid w:val="00752C6B"/>
    <w:rsid w:val="00760CE6"/>
    <w:rsid w:val="00762F09"/>
    <w:rsid w:val="007719C9"/>
    <w:rsid w:val="00772718"/>
    <w:rsid w:val="0078124F"/>
    <w:rsid w:val="0079147D"/>
    <w:rsid w:val="007C42E0"/>
    <w:rsid w:val="007D249B"/>
    <w:rsid w:val="007D30A8"/>
    <w:rsid w:val="00814FB1"/>
    <w:rsid w:val="00820F20"/>
    <w:rsid w:val="0082528A"/>
    <w:rsid w:val="00825754"/>
    <w:rsid w:val="008326B5"/>
    <w:rsid w:val="00833758"/>
    <w:rsid w:val="00833BE6"/>
    <w:rsid w:val="00835210"/>
    <w:rsid w:val="0084413D"/>
    <w:rsid w:val="00844C2D"/>
    <w:rsid w:val="00851FDD"/>
    <w:rsid w:val="0087438E"/>
    <w:rsid w:val="00877C5A"/>
    <w:rsid w:val="00884668"/>
    <w:rsid w:val="008B2B46"/>
    <w:rsid w:val="008B48CC"/>
    <w:rsid w:val="008C24BF"/>
    <w:rsid w:val="008C3FC9"/>
    <w:rsid w:val="008C5596"/>
    <w:rsid w:val="008E05BC"/>
    <w:rsid w:val="008E533A"/>
    <w:rsid w:val="008F17B8"/>
    <w:rsid w:val="008F3CCF"/>
    <w:rsid w:val="00921840"/>
    <w:rsid w:val="00931DC1"/>
    <w:rsid w:val="00932C87"/>
    <w:rsid w:val="009331B4"/>
    <w:rsid w:val="009345F1"/>
    <w:rsid w:val="00936AE3"/>
    <w:rsid w:val="009444D0"/>
    <w:rsid w:val="00944998"/>
    <w:rsid w:val="00944BBB"/>
    <w:rsid w:val="009547B6"/>
    <w:rsid w:val="00954E85"/>
    <w:rsid w:val="00961072"/>
    <w:rsid w:val="0096623C"/>
    <w:rsid w:val="009709B3"/>
    <w:rsid w:val="009719EF"/>
    <w:rsid w:val="00972A37"/>
    <w:rsid w:val="00974E34"/>
    <w:rsid w:val="00976DD0"/>
    <w:rsid w:val="0099337C"/>
    <w:rsid w:val="009A617D"/>
    <w:rsid w:val="009B2904"/>
    <w:rsid w:val="009C6C53"/>
    <w:rsid w:val="009E46BF"/>
    <w:rsid w:val="009E5EE6"/>
    <w:rsid w:val="009E750F"/>
    <w:rsid w:val="009F1ED2"/>
    <w:rsid w:val="009F6C0F"/>
    <w:rsid w:val="00A04D96"/>
    <w:rsid w:val="00A0629B"/>
    <w:rsid w:val="00A1214D"/>
    <w:rsid w:val="00A14495"/>
    <w:rsid w:val="00A16BE1"/>
    <w:rsid w:val="00A24F65"/>
    <w:rsid w:val="00A454BF"/>
    <w:rsid w:val="00A47E34"/>
    <w:rsid w:val="00A52E3A"/>
    <w:rsid w:val="00A814CB"/>
    <w:rsid w:val="00A90D1B"/>
    <w:rsid w:val="00AA6DBD"/>
    <w:rsid w:val="00AD70E2"/>
    <w:rsid w:val="00AE02E2"/>
    <w:rsid w:val="00AF55F8"/>
    <w:rsid w:val="00B0484A"/>
    <w:rsid w:val="00B10ABA"/>
    <w:rsid w:val="00B14581"/>
    <w:rsid w:val="00B212D4"/>
    <w:rsid w:val="00B277A0"/>
    <w:rsid w:val="00B30106"/>
    <w:rsid w:val="00B303E4"/>
    <w:rsid w:val="00B369EE"/>
    <w:rsid w:val="00B420D4"/>
    <w:rsid w:val="00B4252E"/>
    <w:rsid w:val="00B4492A"/>
    <w:rsid w:val="00B54807"/>
    <w:rsid w:val="00B57910"/>
    <w:rsid w:val="00B77612"/>
    <w:rsid w:val="00B8316B"/>
    <w:rsid w:val="00B9074B"/>
    <w:rsid w:val="00B91B21"/>
    <w:rsid w:val="00B94A72"/>
    <w:rsid w:val="00B952F6"/>
    <w:rsid w:val="00B9653A"/>
    <w:rsid w:val="00BA202A"/>
    <w:rsid w:val="00BA74DB"/>
    <w:rsid w:val="00BC093A"/>
    <w:rsid w:val="00BC2B00"/>
    <w:rsid w:val="00BC4ACC"/>
    <w:rsid w:val="00BC4FCC"/>
    <w:rsid w:val="00BD02F8"/>
    <w:rsid w:val="00BD50EF"/>
    <w:rsid w:val="00BD6CCD"/>
    <w:rsid w:val="00BE08EF"/>
    <w:rsid w:val="00BE4BCA"/>
    <w:rsid w:val="00C01699"/>
    <w:rsid w:val="00C027E1"/>
    <w:rsid w:val="00C040AD"/>
    <w:rsid w:val="00C13872"/>
    <w:rsid w:val="00C1488E"/>
    <w:rsid w:val="00C217A8"/>
    <w:rsid w:val="00C34F5F"/>
    <w:rsid w:val="00C40859"/>
    <w:rsid w:val="00C4188F"/>
    <w:rsid w:val="00C5685F"/>
    <w:rsid w:val="00C66913"/>
    <w:rsid w:val="00C819A4"/>
    <w:rsid w:val="00C824AE"/>
    <w:rsid w:val="00C84EA8"/>
    <w:rsid w:val="00C92998"/>
    <w:rsid w:val="00CA720A"/>
    <w:rsid w:val="00CB104D"/>
    <w:rsid w:val="00CB1913"/>
    <w:rsid w:val="00CB63AB"/>
    <w:rsid w:val="00CD0003"/>
    <w:rsid w:val="00CD5925"/>
    <w:rsid w:val="00CE4A96"/>
    <w:rsid w:val="00CE557A"/>
    <w:rsid w:val="00D031B2"/>
    <w:rsid w:val="00D03671"/>
    <w:rsid w:val="00D0424C"/>
    <w:rsid w:val="00D1410C"/>
    <w:rsid w:val="00D16489"/>
    <w:rsid w:val="00D3519E"/>
    <w:rsid w:val="00D40D16"/>
    <w:rsid w:val="00D548F0"/>
    <w:rsid w:val="00D57F79"/>
    <w:rsid w:val="00D64FAC"/>
    <w:rsid w:val="00D65704"/>
    <w:rsid w:val="00D668F6"/>
    <w:rsid w:val="00D80EDA"/>
    <w:rsid w:val="00D84875"/>
    <w:rsid w:val="00D904F0"/>
    <w:rsid w:val="00D91378"/>
    <w:rsid w:val="00D91B18"/>
    <w:rsid w:val="00D92C36"/>
    <w:rsid w:val="00D930FB"/>
    <w:rsid w:val="00D95D89"/>
    <w:rsid w:val="00DB4288"/>
    <w:rsid w:val="00DC0747"/>
    <w:rsid w:val="00DC2647"/>
    <w:rsid w:val="00DC4B1C"/>
    <w:rsid w:val="00DD1408"/>
    <w:rsid w:val="00DD356D"/>
    <w:rsid w:val="00DD6448"/>
    <w:rsid w:val="00DD6735"/>
    <w:rsid w:val="00DF136A"/>
    <w:rsid w:val="00DF51FA"/>
    <w:rsid w:val="00E0448C"/>
    <w:rsid w:val="00E13525"/>
    <w:rsid w:val="00E23AB2"/>
    <w:rsid w:val="00E26AD0"/>
    <w:rsid w:val="00E47250"/>
    <w:rsid w:val="00E47ADA"/>
    <w:rsid w:val="00E61535"/>
    <w:rsid w:val="00E70D53"/>
    <w:rsid w:val="00E73F55"/>
    <w:rsid w:val="00E8246B"/>
    <w:rsid w:val="00E84012"/>
    <w:rsid w:val="00E9373C"/>
    <w:rsid w:val="00EA0724"/>
    <w:rsid w:val="00EA3275"/>
    <w:rsid w:val="00EA6251"/>
    <w:rsid w:val="00EB6414"/>
    <w:rsid w:val="00EE5747"/>
    <w:rsid w:val="00EF3804"/>
    <w:rsid w:val="00EF5E05"/>
    <w:rsid w:val="00F03A37"/>
    <w:rsid w:val="00F04761"/>
    <w:rsid w:val="00F13AB8"/>
    <w:rsid w:val="00F20B23"/>
    <w:rsid w:val="00F227AF"/>
    <w:rsid w:val="00F27370"/>
    <w:rsid w:val="00F27CF5"/>
    <w:rsid w:val="00F40B00"/>
    <w:rsid w:val="00F5341C"/>
    <w:rsid w:val="00F56954"/>
    <w:rsid w:val="00F65C1B"/>
    <w:rsid w:val="00F67ACD"/>
    <w:rsid w:val="00F67D4A"/>
    <w:rsid w:val="00F71958"/>
    <w:rsid w:val="00F85F98"/>
    <w:rsid w:val="00F948AF"/>
    <w:rsid w:val="00FA1F45"/>
    <w:rsid w:val="00FA5A7B"/>
    <w:rsid w:val="00FB0D13"/>
    <w:rsid w:val="00FB11B1"/>
    <w:rsid w:val="00FE00E8"/>
    <w:rsid w:val="00FE0480"/>
    <w:rsid w:val="00FE6965"/>
    <w:rsid w:val="00FF22A1"/>
    <w:rsid w:val="00FF6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CAB - List Bullet,List Bullet Cab"/>
    <w:basedOn w:val="Normal"/>
    <w:uiPriority w:val="99"/>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CAB - List Bullet Char,List Bullet Cab Char"/>
    <w:basedOn w:val="DefaultParagraphFont"/>
    <w:uiPriority w:val="99"/>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2A6F1C"/>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ListBullet">
    <w:name w:val="List Bullet"/>
    <w:basedOn w:val="Normal"/>
    <w:uiPriority w:val="99"/>
    <w:qFormat/>
    <w:rsid w:val="00FF6420"/>
    <w:pPr>
      <w:numPr>
        <w:numId w:val="15"/>
      </w:numPr>
      <w:spacing w:before="40" w:after="80"/>
    </w:pPr>
    <w:rPr>
      <w:rFonts w:ascii="Arial" w:eastAsia="Times New Roman" w:hAnsi="Arial"/>
      <w:iCs/>
      <w:color w:val="auto"/>
      <w:sz w:val="20"/>
    </w:rPr>
  </w:style>
  <w:style w:type="paragraph" w:styleId="CommentSubject">
    <w:name w:val="annotation subject"/>
    <w:basedOn w:val="CommentText"/>
    <w:next w:val="CommentText"/>
    <w:link w:val="CommentSubjectChar"/>
    <w:uiPriority w:val="99"/>
    <w:semiHidden/>
    <w:unhideWhenUsed/>
    <w:rsid w:val="0063215D"/>
    <w:rPr>
      <w:b/>
      <w:bCs/>
    </w:rPr>
  </w:style>
  <w:style w:type="character" w:customStyle="1" w:styleId="CommentSubjectChar">
    <w:name w:val="Comment Subject Char"/>
    <w:basedOn w:val="CommentTextChar"/>
    <w:link w:val="CommentSubject"/>
    <w:uiPriority w:val="99"/>
    <w:semiHidden/>
    <w:rsid w:val="0063215D"/>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6515">
      <w:bodyDiv w:val="1"/>
      <w:marLeft w:val="0"/>
      <w:marRight w:val="0"/>
      <w:marTop w:val="0"/>
      <w:marBottom w:val="0"/>
      <w:divBdr>
        <w:top w:val="none" w:sz="0" w:space="0" w:color="auto"/>
        <w:left w:val="none" w:sz="0" w:space="0" w:color="auto"/>
        <w:bottom w:val="none" w:sz="0" w:space="0" w:color="auto"/>
        <w:right w:val="none" w:sz="0" w:space="0" w:color="auto"/>
      </w:divBdr>
    </w:div>
    <w:div w:id="15851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135D2-5152-4726-A138-9888F3FC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2669</Words>
  <Characters>15215</Characters>
  <Application>Microsoft Office Word</Application>
  <DocSecurity>0</DocSecurity>
  <Lines>126</Lines>
  <Paragraphs>35</Paragraphs>
  <ScaleCrop>false</ScaleCrop>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2021-04-27T22:22:00Z</dcterms:created>
  <dcterms:modified xsi:type="dcterms:W3CDTF">2021-04-27T22:22:00Z</dcterms:modified>
</cp:coreProperties>
</file>