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Georgia" w:eastAsiaTheme="majorEastAsia" w:hAnsi="Georgia" w:cstheme="majorBidi"/>
          <w:color w:val="CF0A2C" w:themeColor="accent1"/>
          <w:kern w:val="28"/>
          <w:sz w:val="72"/>
          <w:szCs w:val="52"/>
        </w:rPr>
        <w:alias w:val="Title"/>
        <w:tag w:val=""/>
        <w:id w:val="686947816"/>
        <w:placeholder>
          <w:docPart w:val="C77FF93772B0460E96E551467BAC0A8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370A4A7A" w14:textId="5840D911" w:rsidR="00F85F98" w:rsidRPr="00D74E8E" w:rsidRDefault="00D74E8E" w:rsidP="00F85F98">
          <w:pPr>
            <w:spacing w:after="140" w:line="1000" w:lineRule="exact"/>
            <w:contextualSpacing/>
            <w:rPr>
              <w:rFonts w:ascii="Georgia" w:eastAsiaTheme="majorEastAsia" w:hAnsi="Georgia" w:cstheme="majorBidi"/>
              <w:color w:val="CF0A2C" w:themeColor="accent1"/>
              <w:kern w:val="28"/>
              <w:sz w:val="72"/>
              <w:szCs w:val="52"/>
            </w:rPr>
          </w:pPr>
          <w:r>
            <w:rPr>
              <w:rFonts w:ascii="Georgia" w:eastAsiaTheme="majorEastAsia" w:hAnsi="Georgia" w:cstheme="majorBidi"/>
              <w:color w:val="CF0A2C" w:themeColor="accent1"/>
              <w:kern w:val="28"/>
              <w:sz w:val="72"/>
              <w:szCs w:val="52"/>
            </w:rPr>
            <w:t>Intercountry Adoptee and Family Support Service</w:t>
          </w:r>
        </w:p>
      </w:sdtContent>
    </w:sdt>
    <w:sdt>
      <w:sdtPr>
        <w:rPr>
          <w:rFonts w:asciiTheme="majorHAnsi" w:eastAsiaTheme="majorEastAsia" w:hAnsiTheme="majorHAnsi" w:cstheme="majorBidi"/>
          <w:iCs/>
          <w:sz w:val="30"/>
          <w:szCs w:val="24"/>
        </w:rPr>
        <w:alias w:val="Subtitle"/>
        <w:tag w:val=""/>
        <w:id w:val="-179897277"/>
        <w:placeholder>
          <w:docPart w:val="1AF4CA6354A642418EAAC32AF9DD815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14:paraId="20D80210" w14:textId="77777777" w:rsidR="00F85F98" w:rsidRPr="00F85F98" w:rsidRDefault="00F85F98" w:rsidP="00F85F98">
          <w:pPr>
            <w:numPr>
              <w:ilvl w:val="1"/>
              <w:numId w:val="0"/>
            </w:numPr>
            <w:pBdr>
              <w:bottom w:val="single" w:sz="4" w:space="22" w:color="000000" w:themeColor="text1"/>
            </w:pBdr>
            <w:spacing w:before="120" w:after="280" w:line="400" w:lineRule="atLeast"/>
            <w:rPr>
              <w:rFonts w:asciiTheme="majorHAnsi" w:eastAsiaTheme="majorEastAsia" w:hAnsiTheme="majorHAnsi" w:cstheme="majorBidi"/>
              <w:iCs/>
              <w:sz w:val="30"/>
              <w:szCs w:val="24"/>
            </w:rPr>
          </w:pPr>
          <w:r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>Feedback for applicants</w:t>
          </w:r>
        </w:p>
      </w:sdtContent>
    </w:sdt>
    <w:p w14:paraId="19D3EE31" w14:textId="77777777" w:rsidR="00F85F98" w:rsidRPr="00F85F98" w:rsidRDefault="00F85F98" w:rsidP="00F10E56">
      <w:pPr>
        <w:spacing w:before="360" w:after="240" w:line="360" w:lineRule="atLeast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F85F98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Overview</w:t>
      </w:r>
    </w:p>
    <w:p w14:paraId="10885B90" w14:textId="2A8E2C86" w:rsidR="000F68F5" w:rsidRPr="001D38E4" w:rsidRDefault="00D43AEF" w:rsidP="007F1687">
      <w:pPr>
        <w:pStyle w:val="BodyText"/>
        <w:rPr>
          <w:color w:val="auto"/>
        </w:rPr>
      </w:pPr>
      <w:r w:rsidRPr="001D38E4">
        <w:rPr>
          <w:color w:val="auto"/>
        </w:rPr>
        <w:t xml:space="preserve">The </w:t>
      </w:r>
      <w:r w:rsidR="000F68F5" w:rsidRPr="001D38E4">
        <w:rPr>
          <w:color w:val="auto"/>
        </w:rPr>
        <w:t>Intercountry Adoptee and Family Support Service (ICAFSS) i</w:t>
      </w:r>
      <w:r w:rsidR="000F68F5" w:rsidRPr="001D38E4">
        <w:rPr>
          <w:rFonts w:ascii="Helvetica" w:hAnsi="Helvetica"/>
          <w:color w:val="auto"/>
          <w:shd w:val="clear" w:color="auto" w:fill="FFFFFF"/>
        </w:rPr>
        <w:t xml:space="preserve">s a free, national </w:t>
      </w:r>
      <w:r w:rsidR="001D38E4" w:rsidRPr="001D38E4">
        <w:rPr>
          <w:rFonts w:ascii="Helvetica" w:hAnsi="Helvetica"/>
          <w:color w:val="auto"/>
          <w:shd w:val="clear" w:color="auto" w:fill="FFFFFF"/>
        </w:rPr>
        <w:t>intercountry adoption-specific support service, which provides therapeutic care, com</w:t>
      </w:r>
      <w:r w:rsidR="00BF6F52">
        <w:rPr>
          <w:rFonts w:ascii="Helvetica" w:hAnsi="Helvetica"/>
          <w:color w:val="auto"/>
          <w:shd w:val="clear" w:color="auto" w:fill="FFFFFF"/>
        </w:rPr>
        <w:t>munity capacity building and a S</w:t>
      </w:r>
      <w:r w:rsidR="001D38E4" w:rsidRPr="001D38E4">
        <w:rPr>
          <w:rFonts w:ascii="Helvetica" w:hAnsi="Helvetica"/>
          <w:color w:val="auto"/>
          <w:shd w:val="clear" w:color="auto" w:fill="FFFFFF"/>
        </w:rPr>
        <w:t xml:space="preserve">mall </w:t>
      </w:r>
      <w:r w:rsidR="00BF6F52">
        <w:rPr>
          <w:rFonts w:ascii="Helvetica" w:hAnsi="Helvetica"/>
          <w:color w:val="auto"/>
          <w:shd w:val="clear" w:color="auto" w:fill="FFFFFF"/>
        </w:rPr>
        <w:t>G</w:t>
      </w:r>
      <w:r w:rsidR="001D38E4" w:rsidRPr="001D38E4">
        <w:rPr>
          <w:rFonts w:ascii="Helvetica" w:hAnsi="Helvetica"/>
          <w:color w:val="auto"/>
          <w:shd w:val="clear" w:color="auto" w:fill="FFFFFF"/>
        </w:rPr>
        <w:t xml:space="preserve">rants and </w:t>
      </w:r>
      <w:r w:rsidR="00BF6F52">
        <w:rPr>
          <w:rFonts w:ascii="Helvetica" w:hAnsi="Helvetica"/>
          <w:color w:val="auto"/>
          <w:shd w:val="clear" w:color="auto" w:fill="FFFFFF"/>
        </w:rPr>
        <w:t>B</w:t>
      </w:r>
      <w:r w:rsidR="001D38E4" w:rsidRPr="001D38E4">
        <w:rPr>
          <w:rFonts w:ascii="Helvetica" w:hAnsi="Helvetica"/>
          <w:color w:val="auto"/>
          <w:shd w:val="clear" w:color="auto" w:fill="FFFFFF"/>
        </w:rPr>
        <w:t xml:space="preserve">ursaries </w:t>
      </w:r>
      <w:r w:rsidR="00BF6F52">
        <w:rPr>
          <w:rFonts w:ascii="Helvetica" w:hAnsi="Helvetica"/>
          <w:color w:val="auto"/>
          <w:shd w:val="clear" w:color="auto" w:fill="FFFFFF"/>
        </w:rPr>
        <w:t>P</w:t>
      </w:r>
      <w:r w:rsidR="001D38E4" w:rsidRPr="001D38E4">
        <w:rPr>
          <w:rFonts w:ascii="Helvetica" w:hAnsi="Helvetica"/>
          <w:color w:val="auto"/>
          <w:shd w:val="clear" w:color="auto" w:fill="FFFFFF"/>
        </w:rPr>
        <w:t>rogram.</w:t>
      </w:r>
      <w:r w:rsidR="0019725E">
        <w:rPr>
          <w:rFonts w:ascii="Helvetica" w:hAnsi="Helvetica"/>
          <w:color w:val="auto"/>
          <w:shd w:val="clear" w:color="auto" w:fill="FFFFFF"/>
        </w:rPr>
        <w:t xml:space="preserve"> </w:t>
      </w:r>
      <w:r w:rsidR="001D38E4" w:rsidRPr="001D38E4">
        <w:rPr>
          <w:rFonts w:ascii="Helvetica" w:hAnsi="Helvetica"/>
          <w:color w:val="auto"/>
          <w:shd w:val="clear" w:color="auto" w:fill="FFFFFF"/>
        </w:rPr>
        <w:t xml:space="preserve">The </w:t>
      </w:r>
      <w:r w:rsidR="000F68F5" w:rsidRPr="001D38E4">
        <w:rPr>
          <w:rFonts w:ascii="Helvetica" w:hAnsi="Helvetica"/>
          <w:color w:val="auto"/>
          <w:shd w:val="clear" w:color="auto" w:fill="FFFFFF"/>
        </w:rPr>
        <w:t xml:space="preserve">service </w:t>
      </w:r>
      <w:r w:rsidR="001D38E4" w:rsidRPr="001D38E4">
        <w:rPr>
          <w:rFonts w:ascii="Helvetica" w:hAnsi="Helvetica"/>
          <w:color w:val="auto"/>
          <w:shd w:val="clear" w:color="auto" w:fill="FFFFFF"/>
        </w:rPr>
        <w:t xml:space="preserve">is available to young and adult adoptees, adoptive parents and families (including siblings) and prospective adoptive parents. The ICAFSS also provides </w:t>
      </w:r>
      <w:r w:rsidR="000F68F5" w:rsidRPr="001D38E4">
        <w:rPr>
          <w:rFonts w:ascii="Helvetica" w:hAnsi="Helvetica"/>
          <w:color w:val="auto"/>
          <w:shd w:val="clear" w:color="auto" w:fill="FFFFFF"/>
        </w:rPr>
        <w:t xml:space="preserve">post-adoption support </w:t>
      </w:r>
      <w:r w:rsidR="001D38E4" w:rsidRPr="001D38E4">
        <w:rPr>
          <w:rFonts w:ascii="Helvetica" w:hAnsi="Helvetica"/>
          <w:color w:val="auto"/>
          <w:shd w:val="clear" w:color="auto" w:fill="FFFFFF"/>
        </w:rPr>
        <w:t xml:space="preserve">for </w:t>
      </w:r>
      <w:r w:rsidR="000F68F5" w:rsidRPr="001D38E4">
        <w:rPr>
          <w:rFonts w:ascii="Helvetica" w:hAnsi="Helvetica"/>
          <w:color w:val="auto"/>
          <w:shd w:val="clear" w:color="auto" w:fill="FFFFFF"/>
        </w:rPr>
        <w:t>families formed by expatriate adoptions</w:t>
      </w:r>
      <w:r w:rsidR="001D38E4">
        <w:rPr>
          <w:rFonts w:ascii="Helvetica" w:hAnsi="Helvetica"/>
          <w:color w:val="auto"/>
          <w:shd w:val="clear" w:color="auto" w:fill="FFFFFF"/>
        </w:rPr>
        <w:t xml:space="preserve"> and </w:t>
      </w:r>
      <w:r w:rsidR="001D38E4" w:rsidRPr="001D38E4">
        <w:rPr>
          <w:rFonts w:ascii="Helvetica" w:hAnsi="Helvetica"/>
          <w:color w:val="auto"/>
          <w:shd w:val="clear" w:color="auto" w:fill="FFFFFF"/>
        </w:rPr>
        <w:t xml:space="preserve">support </w:t>
      </w:r>
      <w:r w:rsidR="009318F8">
        <w:rPr>
          <w:rFonts w:ascii="Helvetica" w:hAnsi="Helvetica"/>
          <w:color w:val="auto"/>
          <w:shd w:val="clear" w:color="auto" w:fill="FFFFFF"/>
        </w:rPr>
        <w:t>to </w:t>
      </w:r>
      <w:r w:rsidR="001D38E4" w:rsidRPr="001D38E4">
        <w:rPr>
          <w:rFonts w:ascii="Helvetica" w:hAnsi="Helvetica"/>
          <w:color w:val="auto"/>
          <w:shd w:val="clear" w:color="auto" w:fill="FFFFFF"/>
        </w:rPr>
        <w:t>partners and children of adoptees where their need for support relates to the adoptee’s experience of intercountry adoption.</w:t>
      </w:r>
    </w:p>
    <w:p w14:paraId="0499C480" w14:textId="1FEA1594" w:rsidR="007F1687" w:rsidRPr="00D74E8E" w:rsidRDefault="00D74E8E" w:rsidP="007F1687">
      <w:pPr>
        <w:pStyle w:val="BodyText"/>
        <w:rPr>
          <w:color w:val="auto"/>
        </w:rPr>
      </w:pPr>
      <w:r>
        <w:rPr>
          <w:color w:val="auto"/>
        </w:rPr>
        <w:t xml:space="preserve">Funding </w:t>
      </w:r>
      <w:r w:rsidR="00974674">
        <w:rPr>
          <w:color w:val="auto"/>
        </w:rPr>
        <w:t xml:space="preserve">of </w:t>
      </w:r>
      <w:r>
        <w:rPr>
          <w:color w:val="auto"/>
        </w:rPr>
        <w:t>u</w:t>
      </w:r>
      <w:r w:rsidR="007F1687" w:rsidRPr="00D74E8E">
        <w:rPr>
          <w:color w:val="auto"/>
        </w:rPr>
        <w:t xml:space="preserve">p to </w:t>
      </w:r>
      <w:r w:rsidR="000F68F5" w:rsidRPr="00D74E8E">
        <w:rPr>
          <w:color w:val="auto"/>
        </w:rPr>
        <w:t>$4</w:t>
      </w:r>
      <w:r w:rsidR="00CD7B7B">
        <w:rPr>
          <w:color w:val="auto"/>
        </w:rPr>
        <w:t>.</w:t>
      </w:r>
      <w:r w:rsidR="000F68F5" w:rsidRPr="00D74E8E">
        <w:rPr>
          <w:color w:val="auto"/>
        </w:rPr>
        <w:t>75</w:t>
      </w:r>
      <w:r w:rsidR="00CD7B7B">
        <w:rPr>
          <w:color w:val="auto"/>
        </w:rPr>
        <w:t xml:space="preserve"> million</w:t>
      </w:r>
      <w:r w:rsidR="001D38E4">
        <w:rPr>
          <w:color w:val="auto"/>
        </w:rPr>
        <w:t> (GST exclusive),</w:t>
      </w:r>
      <w:r w:rsidR="000F68F5" w:rsidRPr="00D74E8E">
        <w:rPr>
          <w:color w:val="auto"/>
        </w:rPr>
        <w:t xml:space="preserve"> </w:t>
      </w:r>
      <w:r w:rsidR="00D43AEF" w:rsidRPr="00D74E8E">
        <w:rPr>
          <w:color w:val="auto"/>
        </w:rPr>
        <w:t>plus $50,000</w:t>
      </w:r>
      <w:r w:rsidR="001D38E4">
        <w:rPr>
          <w:color w:val="auto"/>
        </w:rPr>
        <w:t xml:space="preserve"> (GST exclusive) </w:t>
      </w:r>
      <w:r w:rsidR="00D43AEF" w:rsidRPr="00D74E8E">
        <w:rPr>
          <w:color w:val="auto"/>
        </w:rPr>
        <w:t>transition funding</w:t>
      </w:r>
      <w:r w:rsidR="00974674">
        <w:rPr>
          <w:color w:val="auto"/>
        </w:rPr>
        <w:t>,</w:t>
      </w:r>
      <w:r w:rsidR="00D43AEF">
        <w:rPr>
          <w:color w:val="auto"/>
        </w:rPr>
        <w:t xml:space="preserve"> </w:t>
      </w:r>
      <w:proofErr w:type="gramStart"/>
      <w:r w:rsidR="009318F8">
        <w:rPr>
          <w:color w:val="auto"/>
        </w:rPr>
        <w:t>was</w:t>
      </w:r>
      <w:proofErr w:type="gramEnd"/>
      <w:r w:rsidR="009318F8">
        <w:rPr>
          <w:color w:val="auto"/>
        </w:rPr>
        <w:t> </w:t>
      </w:r>
      <w:r w:rsidR="001D38E4">
        <w:rPr>
          <w:color w:val="auto"/>
        </w:rPr>
        <w:t xml:space="preserve">available </w:t>
      </w:r>
      <w:r w:rsidR="007F1687" w:rsidRPr="00D74E8E">
        <w:rPr>
          <w:color w:val="auto"/>
        </w:rPr>
        <w:t xml:space="preserve">over </w:t>
      </w:r>
      <w:r w:rsidR="001D38E4">
        <w:rPr>
          <w:color w:val="auto"/>
        </w:rPr>
        <w:t xml:space="preserve">a period of </w:t>
      </w:r>
      <w:r w:rsidR="000F68F5" w:rsidRPr="00D74E8E">
        <w:rPr>
          <w:color w:val="auto"/>
        </w:rPr>
        <w:t>5</w:t>
      </w:r>
      <w:r w:rsidR="007F1687" w:rsidRPr="00D74E8E">
        <w:rPr>
          <w:color w:val="auto"/>
        </w:rPr>
        <w:t xml:space="preserve"> </w:t>
      </w:r>
      <w:r w:rsidR="008B3233" w:rsidRPr="00D74E8E">
        <w:rPr>
          <w:color w:val="auto"/>
        </w:rPr>
        <w:t>y</w:t>
      </w:r>
      <w:r w:rsidR="00974674">
        <w:rPr>
          <w:color w:val="auto"/>
        </w:rPr>
        <w:t>ears</w:t>
      </w:r>
      <w:r w:rsidR="007F1687" w:rsidRPr="00D74E8E">
        <w:rPr>
          <w:color w:val="auto"/>
        </w:rPr>
        <w:t xml:space="preserve"> </w:t>
      </w:r>
      <w:r w:rsidR="001D38E4">
        <w:rPr>
          <w:color w:val="auto"/>
        </w:rPr>
        <w:t>from 1 </w:t>
      </w:r>
      <w:r w:rsidR="000F68F5" w:rsidRPr="00D74E8E">
        <w:rPr>
          <w:color w:val="auto"/>
        </w:rPr>
        <w:t>July</w:t>
      </w:r>
      <w:r w:rsidR="001D38E4">
        <w:rPr>
          <w:color w:val="auto"/>
        </w:rPr>
        <w:t> </w:t>
      </w:r>
      <w:r w:rsidR="000F68F5" w:rsidRPr="00D74E8E">
        <w:rPr>
          <w:color w:val="auto"/>
        </w:rPr>
        <w:t>2021</w:t>
      </w:r>
      <w:r w:rsidR="007F1687" w:rsidRPr="00D74E8E">
        <w:rPr>
          <w:color w:val="auto"/>
        </w:rPr>
        <w:t xml:space="preserve"> </w:t>
      </w:r>
      <w:r w:rsidR="001D38E4">
        <w:rPr>
          <w:color w:val="auto"/>
        </w:rPr>
        <w:t>to 30 </w:t>
      </w:r>
      <w:r w:rsidR="000F68F5" w:rsidRPr="00D74E8E">
        <w:rPr>
          <w:color w:val="auto"/>
        </w:rPr>
        <w:t>June</w:t>
      </w:r>
      <w:r w:rsidR="001D38E4">
        <w:rPr>
          <w:color w:val="auto"/>
        </w:rPr>
        <w:t> </w:t>
      </w:r>
      <w:r w:rsidR="000F68F5" w:rsidRPr="00D74E8E">
        <w:rPr>
          <w:color w:val="auto"/>
        </w:rPr>
        <w:t>2026</w:t>
      </w:r>
      <w:r w:rsidR="007F1687" w:rsidRPr="00D74E8E">
        <w:rPr>
          <w:color w:val="auto"/>
        </w:rPr>
        <w:t xml:space="preserve">. </w:t>
      </w:r>
    </w:p>
    <w:p w14:paraId="207D7535" w14:textId="31BB27A4" w:rsidR="007F1687" w:rsidRDefault="007F1687" w:rsidP="007F1687">
      <w:pPr>
        <w:pStyle w:val="BodyText"/>
      </w:pPr>
      <w:r w:rsidRPr="00D74E8E">
        <w:rPr>
          <w:color w:val="auto"/>
        </w:rPr>
        <w:t xml:space="preserve">The application period opened on </w:t>
      </w:r>
      <w:r w:rsidR="000F68F5" w:rsidRPr="00D74E8E">
        <w:rPr>
          <w:color w:val="auto"/>
        </w:rPr>
        <w:t>2 October 2020</w:t>
      </w:r>
      <w:r w:rsidRPr="00D74E8E">
        <w:rPr>
          <w:color w:val="auto"/>
        </w:rPr>
        <w:t xml:space="preserve"> and closed on </w:t>
      </w:r>
      <w:r w:rsidR="000F68F5" w:rsidRPr="00D74E8E">
        <w:rPr>
          <w:color w:val="auto"/>
        </w:rPr>
        <w:t>13 November 2020</w:t>
      </w:r>
      <w:r w:rsidRPr="00D74E8E">
        <w:rPr>
          <w:color w:val="auto"/>
        </w:rPr>
        <w:t xml:space="preserve">. </w:t>
      </w:r>
    </w:p>
    <w:p w14:paraId="6FB341C3" w14:textId="2CB57901" w:rsidR="00480D54" w:rsidRPr="003766F5" w:rsidRDefault="00D74E8E" w:rsidP="00480D54">
      <w:pPr>
        <w:spacing w:before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 per </w:t>
      </w:r>
      <w:r w:rsidR="00CD7B7B" w:rsidRPr="00F63BAC">
        <w:rPr>
          <w:rFonts w:asciiTheme="majorHAnsi" w:hAnsiTheme="majorHAnsi" w:cstheme="majorHAnsi"/>
        </w:rPr>
        <w:t>s</w:t>
      </w:r>
      <w:r w:rsidRPr="00F63BAC">
        <w:rPr>
          <w:rFonts w:asciiTheme="majorHAnsi" w:hAnsiTheme="majorHAnsi" w:cstheme="majorHAnsi"/>
        </w:rPr>
        <w:t>ection 9.1</w:t>
      </w:r>
      <w:r>
        <w:rPr>
          <w:rFonts w:asciiTheme="majorHAnsi" w:hAnsiTheme="majorHAnsi" w:cstheme="majorHAnsi"/>
        </w:rPr>
        <w:t xml:space="preserve"> of </w:t>
      </w:r>
      <w:r w:rsidR="00D615E2" w:rsidRPr="00D615E2">
        <w:rPr>
          <w:rFonts w:asciiTheme="majorHAnsi" w:hAnsiTheme="majorHAnsi" w:cstheme="majorHAnsi"/>
        </w:rPr>
        <w:t xml:space="preserve">the </w:t>
      </w:r>
      <w:hyperlink r:id="rId9" w:history="1">
        <w:r w:rsidR="00D615E2" w:rsidRPr="00D615E2">
          <w:rPr>
            <w:rStyle w:val="Hyperlink"/>
            <w:rFonts w:asciiTheme="majorHAnsi" w:hAnsiTheme="majorHAnsi" w:cstheme="majorHAnsi"/>
          </w:rPr>
          <w:t>Grant Opportunity Guidelines</w:t>
        </w:r>
      </w:hyperlink>
      <w:r>
        <w:rPr>
          <w:rFonts w:asciiTheme="majorHAnsi" w:hAnsiTheme="majorHAnsi" w:cstheme="majorHAnsi"/>
        </w:rPr>
        <w:t>, individual feedback will not be provided</w:t>
      </w:r>
      <w:r w:rsidR="00D615E2">
        <w:rPr>
          <w:rFonts w:asciiTheme="majorHAnsi" w:hAnsiTheme="majorHAnsi" w:cstheme="majorHAnsi"/>
        </w:rPr>
        <w:t xml:space="preserve"> for this grant opportunity. </w:t>
      </w:r>
      <w:r w:rsidR="00480D54" w:rsidRPr="003766F5">
        <w:rPr>
          <w:rFonts w:asciiTheme="majorHAnsi" w:hAnsiTheme="majorHAnsi" w:cstheme="majorHAnsi"/>
        </w:rPr>
        <w:t>This feedback</w:t>
      </w:r>
      <w:r w:rsidR="00D615E2">
        <w:rPr>
          <w:rFonts w:asciiTheme="majorHAnsi" w:hAnsiTheme="majorHAnsi" w:cstheme="majorHAnsi"/>
        </w:rPr>
        <w:t xml:space="preserve"> summary has been provided to assist</w:t>
      </w:r>
      <w:r w:rsidR="00480D54" w:rsidRPr="003766F5">
        <w:rPr>
          <w:rFonts w:asciiTheme="majorHAnsi" w:hAnsiTheme="majorHAnsi" w:cstheme="majorHAnsi"/>
        </w:rPr>
        <w:t xml:space="preserve"> grant applicants </w:t>
      </w:r>
      <w:r w:rsidR="00482D8B">
        <w:rPr>
          <w:rFonts w:asciiTheme="majorHAnsi" w:hAnsiTheme="majorHAnsi" w:cstheme="majorHAnsi"/>
        </w:rPr>
        <w:t xml:space="preserve">to </w:t>
      </w:r>
      <w:r w:rsidR="00480D54" w:rsidRPr="003766F5">
        <w:rPr>
          <w:rFonts w:asciiTheme="majorHAnsi" w:hAnsiTheme="majorHAnsi" w:cstheme="majorHAnsi"/>
        </w:rPr>
        <w:t xml:space="preserve">understand what </w:t>
      </w:r>
      <w:r w:rsidR="00480D54">
        <w:rPr>
          <w:rFonts w:asciiTheme="majorHAnsi" w:hAnsiTheme="majorHAnsi" w:cstheme="majorHAnsi"/>
        </w:rPr>
        <w:t>made</w:t>
      </w:r>
      <w:r w:rsidR="00480D54" w:rsidRPr="003766F5">
        <w:rPr>
          <w:rFonts w:asciiTheme="majorHAnsi" w:hAnsiTheme="majorHAnsi" w:cstheme="majorHAnsi"/>
        </w:rPr>
        <w:t xml:space="preserve"> a strong applic</w:t>
      </w:r>
      <w:r w:rsidR="009318F8">
        <w:rPr>
          <w:rFonts w:asciiTheme="majorHAnsi" w:hAnsiTheme="majorHAnsi" w:cstheme="majorHAnsi"/>
        </w:rPr>
        <w:t>ation for this grant round, and </w:t>
      </w:r>
      <w:r w:rsidR="00480D54" w:rsidRPr="003766F5">
        <w:rPr>
          <w:rFonts w:asciiTheme="majorHAnsi" w:hAnsiTheme="majorHAnsi" w:cstheme="majorHAnsi"/>
        </w:rPr>
        <w:t xml:space="preserve">how to strengthen future applications. </w:t>
      </w:r>
    </w:p>
    <w:p w14:paraId="72658120" w14:textId="3107B6C3" w:rsidR="00F85F98" w:rsidRPr="005118E4" w:rsidRDefault="00F85F98" w:rsidP="00F10E56">
      <w:pPr>
        <w:pStyle w:val="BodyText"/>
        <w:spacing w:before="360" w:after="240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5118E4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 xml:space="preserve">Selection </w:t>
      </w:r>
      <w: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P</w:t>
      </w:r>
      <w:r w:rsidRPr="005118E4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rocess</w:t>
      </w:r>
    </w:p>
    <w:p w14:paraId="292C872D" w14:textId="01D9689D" w:rsidR="00480D54" w:rsidRDefault="00480D54" w:rsidP="00F85F98">
      <w:pPr>
        <w:pStyle w:val="BodyText"/>
      </w:pPr>
      <w:r w:rsidRPr="00D74E8E">
        <w:t>An</w:t>
      </w:r>
      <w:r w:rsidR="00F85F98" w:rsidRPr="00D74E8E">
        <w:t xml:space="preserve"> open</w:t>
      </w:r>
      <w:r w:rsidR="00507BD8" w:rsidRPr="00D74E8E">
        <w:t xml:space="preserve"> competitive</w:t>
      </w:r>
      <w:r w:rsidR="0040404A">
        <w:t xml:space="preserve"> grant process was used</w:t>
      </w:r>
      <w:r>
        <w:t xml:space="preserve">, </w:t>
      </w:r>
      <w:r w:rsidR="00507BD8">
        <w:t>allowing a range of organisations that met the eligibility criteria to apply</w:t>
      </w:r>
      <w:r w:rsidR="00507BD8" w:rsidRPr="00D72498">
        <w:rPr>
          <w:szCs w:val="22"/>
        </w:rPr>
        <w:t>.</w:t>
      </w:r>
    </w:p>
    <w:p w14:paraId="373D7522" w14:textId="303367CC" w:rsidR="00480D54" w:rsidRDefault="00480D54" w:rsidP="00F85F98">
      <w:pPr>
        <w:pStyle w:val="BodyText"/>
      </w:pPr>
      <w:r>
        <w:t xml:space="preserve">Applications were </w:t>
      </w:r>
      <w:r w:rsidR="0040404A">
        <w:t xml:space="preserve">reviewed for compliance against the </w:t>
      </w:r>
      <w:r>
        <w:t xml:space="preserve">eligibility </w:t>
      </w:r>
      <w:r w:rsidR="0040404A">
        <w:t xml:space="preserve">criteria and requirements detailed in the </w:t>
      </w:r>
      <w:r w:rsidR="0040404A" w:rsidRPr="00974674">
        <w:t>Grant Opportunity Guidelines</w:t>
      </w:r>
      <w:r w:rsidRPr="007B23FA">
        <w:t>, i</w:t>
      </w:r>
      <w:r w:rsidR="001D0064">
        <w:t xml:space="preserve">ncluding </w:t>
      </w:r>
      <w:r w:rsidRPr="007B23FA">
        <w:t xml:space="preserve">provision of the </w:t>
      </w:r>
      <w:r w:rsidR="002F4587">
        <w:t xml:space="preserve">Project Plan (including simple budget). </w:t>
      </w:r>
    </w:p>
    <w:p w14:paraId="07F81EB6" w14:textId="48EFE9D0" w:rsidR="00845491" w:rsidRDefault="00845491" w:rsidP="00845491">
      <w:pPr>
        <w:pStyle w:val="BodyText"/>
      </w:pPr>
      <w:r w:rsidRPr="003766F5">
        <w:t>All eligible and compliant applications were assessed ag</w:t>
      </w:r>
      <w:r w:rsidRPr="008C1E01">
        <w:t>ainst the</w:t>
      </w:r>
      <w:r w:rsidR="008C1E01" w:rsidRPr="008C1E01">
        <w:t xml:space="preserve"> </w:t>
      </w:r>
      <w:r w:rsidR="00CD7B7B">
        <w:t>5</w:t>
      </w:r>
      <w:r w:rsidR="00CD7B7B" w:rsidRPr="008C1E01">
        <w:t xml:space="preserve"> </w:t>
      </w:r>
      <w:r w:rsidRPr="007B23FA">
        <w:t xml:space="preserve">equally weighted </w:t>
      </w:r>
      <w:r w:rsidR="00507BD8" w:rsidRPr="007B23FA">
        <w:t>assessment</w:t>
      </w:r>
      <w:r w:rsidRPr="007B23FA">
        <w:t xml:space="preserve"> criteria</w:t>
      </w:r>
      <w:r w:rsidRPr="008C1E01">
        <w:t xml:space="preserve">. </w:t>
      </w:r>
    </w:p>
    <w:p w14:paraId="14C657F3" w14:textId="36E9B139" w:rsidR="008C1E01" w:rsidRDefault="00845491" w:rsidP="00845491">
      <w:pPr>
        <w:pStyle w:val="BodyText"/>
      </w:pPr>
      <w:r w:rsidRPr="003766F5">
        <w:t xml:space="preserve">Following assessment, </w:t>
      </w:r>
      <w:r w:rsidR="008C1E01">
        <w:t>a Selection Advisory Panel (the Panel)</w:t>
      </w:r>
      <w:r w:rsidR="00CD7B7B">
        <w:t>,</w:t>
      </w:r>
      <w:r w:rsidR="008C1E01">
        <w:t xml:space="preserve"> with a mix of relevant policy, program and delivery expertise from the Department of Social Services</w:t>
      </w:r>
      <w:r w:rsidR="00CD7B7B">
        <w:t>,</w:t>
      </w:r>
      <w:r w:rsidR="008C1E01">
        <w:t xml:space="preserve"> met with an Expert Advisory Group of </w:t>
      </w:r>
      <w:r w:rsidR="00460D2F">
        <w:t>individuals</w:t>
      </w:r>
      <w:r w:rsidR="008C1E01">
        <w:t xml:space="preserve"> with lived exper</w:t>
      </w:r>
      <w:r w:rsidR="007B23FA">
        <w:t xml:space="preserve">ience of </w:t>
      </w:r>
      <w:r w:rsidR="0040404A">
        <w:t>i</w:t>
      </w:r>
      <w:r w:rsidR="007B23FA">
        <w:t xml:space="preserve">ntercountry </w:t>
      </w:r>
      <w:r w:rsidR="0040404A">
        <w:t>a</w:t>
      </w:r>
      <w:r w:rsidR="007B23FA">
        <w:t>doption.</w:t>
      </w:r>
      <w:r w:rsidR="0019725E">
        <w:t xml:space="preserve"> </w:t>
      </w:r>
      <w:r w:rsidR="007B23FA">
        <w:t>T</w:t>
      </w:r>
      <w:r w:rsidR="008C1E01">
        <w:t>he Panel</w:t>
      </w:r>
      <w:r w:rsidR="007B23FA">
        <w:t xml:space="preserve"> then</w:t>
      </w:r>
      <w:r w:rsidR="008C1E01">
        <w:t xml:space="preserve"> interviewed suitable applicants, before making</w:t>
      </w:r>
      <w:r w:rsidR="007B23FA">
        <w:t xml:space="preserve"> the</w:t>
      </w:r>
      <w:r w:rsidR="008C1E01">
        <w:t xml:space="preserve"> final </w:t>
      </w:r>
      <w:r w:rsidR="007B23FA">
        <w:t>recommendation to the delegate</w:t>
      </w:r>
      <w:r w:rsidR="008C1E01">
        <w:t xml:space="preserve">. </w:t>
      </w:r>
    </w:p>
    <w:p w14:paraId="4704416D" w14:textId="3E409752" w:rsidR="003A2016" w:rsidRDefault="00845491" w:rsidP="002B23F2">
      <w:pPr>
        <w:pStyle w:val="BodyText"/>
      </w:pPr>
      <w:r w:rsidRPr="003766F5">
        <w:lastRenderedPageBreak/>
        <w:t xml:space="preserve">The </w:t>
      </w:r>
      <w:r w:rsidR="007B23FA">
        <w:t>successful applicant</w:t>
      </w:r>
      <w:r w:rsidRPr="003766F5">
        <w:t xml:space="preserve"> </w:t>
      </w:r>
      <w:r w:rsidR="00073587">
        <w:t>was</w:t>
      </w:r>
      <w:r w:rsidR="00665DFF">
        <w:t xml:space="preserve"> determined</w:t>
      </w:r>
      <w:r w:rsidR="00073587">
        <w:t xml:space="preserve"> </w:t>
      </w:r>
      <w:r w:rsidRPr="003766F5">
        <w:t xml:space="preserve">based on the strength of their responses to the </w:t>
      </w:r>
      <w:r w:rsidR="00073587">
        <w:t>assessment</w:t>
      </w:r>
      <w:r w:rsidR="00073587" w:rsidRPr="003766F5">
        <w:t xml:space="preserve"> </w:t>
      </w:r>
      <w:r w:rsidRPr="003766F5">
        <w:t>criteria</w:t>
      </w:r>
      <w:r w:rsidR="006A6A1A">
        <w:t xml:space="preserve"> </w:t>
      </w:r>
      <w:r w:rsidR="006A6A1A" w:rsidRPr="006A6A1A">
        <w:t>and input from the Expert Advisory Group</w:t>
      </w:r>
      <w:r w:rsidR="006A6A1A">
        <w:t>,</w:t>
      </w:r>
      <w:r w:rsidR="006A6A1A" w:rsidRPr="006A6A1A">
        <w:t xml:space="preserve"> </w:t>
      </w:r>
      <w:r w:rsidR="006A6A1A">
        <w:t>consistent with</w:t>
      </w:r>
      <w:r w:rsidR="00073587">
        <w:t xml:space="preserve"> the grant selection process (</w:t>
      </w:r>
      <w:r w:rsidR="00CD7B7B" w:rsidRPr="00F63BAC">
        <w:t>s</w:t>
      </w:r>
      <w:r w:rsidR="00073587" w:rsidRPr="00F63BAC">
        <w:t>ections 6 and 8</w:t>
      </w:r>
      <w:r w:rsidR="00073587">
        <w:rPr>
          <w:i/>
        </w:rPr>
        <w:t xml:space="preserve"> </w:t>
      </w:r>
      <w:r w:rsidR="00073587">
        <w:t xml:space="preserve">of the </w:t>
      </w:r>
      <w:r w:rsidR="00073587" w:rsidRPr="00974674">
        <w:rPr>
          <w:rFonts w:cs="Arial"/>
          <w:szCs w:val="22"/>
        </w:rPr>
        <w:t>Grant Opportunity Guidelines</w:t>
      </w:r>
      <w:r w:rsidR="00073587" w:rsidRPr="00974674">
        <w:t>)</w:t>
      </w:r>
      <w:r w:rsidRPr="00974674">
        <w:rPr>
          <w:rFonts w:cs="Arial"/>
          <w:szCs w:val="22"/>
        </w:rPr>
        <w:t>.</w:t>
      </w:r>
      <w:r w:rsidRPr="003766F5">
        <w:t xml:space="preserve"> </w:t>
      </w:r>
    </w:p>
    <w:p w14:paraId="574F727A" w14:textId="6930FEE5" w:rsidR="009F5E6B" w:rsidRPr="005118E4" w:rsidRDefault="00F10E56" w:rsidP="00F10E56">
      <w:pPr>
        <w:pStyle w:val="BodyText"/>
        <w:spacing w:before="360" w:after="240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General Feedback</w:t>
      </w:r>
    </w:p>
    <w:p w14:paraId="63356969" w14:textId="77777777" w:rsidR="00F10E56" w:rsidRPr="002B23F2" w:rsidRDefault="00F10E56" w:rsidP="00F10E56">
      <w:pPr>
        <w:spacing w:before="120" w:after="140"/>
        <w:rPr>
          <w:rFonts w:asciiTheme="majorHAnsi" w:eastAsiaTheme="majorEastAsia" w:hAnsiTheme="majorHAnsi" w:cstheme="majorBidi"/>
          <w:iCs/>
          <w:sz w:val="30"/>
          <w:szCs w:val="24"/>
        </w:rPr>
      </w:pPr>
      <w:r w:rsidRPr="002B23F2">
        <w:rPr>
          <w:rFonts w:asciiTheme="majorHAnsi" w:eastAsiaTheme="majorEastAsia" w:hAnsiTheme="majorHAnsi" w:cstheme="majorBidi"/>
          <w:iCs/>
          <w:sz w:val="30"/>
          <w:szCs w:val="24"/>
        </w:rPr>
        <w:t>Strong Responses:</w:t>
      </w:r>
      <w:bookmarkStart w:id="0" w:name="_GoBack"/>
      <w:bookmarkEnd w:id="0"/>
    </w:p>
    <w:p w14:paraId="4638C39C" w14:textId="109D3636" w:rsidR="004F5A6A" w:rsidRPr="005F2A69" w:rsidRDefault="00F10E56" w:rsidP="00D42533">
      <w:pPr>
        <w:pStyle w:val="ListParagraph"/>
        <w:numPr>
          <w:ilvl w:val="0"/>
          <w:numId w:val="22"/>
        </w:numPr>
        <w:spacing w:before="120" w:after="140"/>
        <w:rPr>
          <w:rFonts w:cs="Arial"/>
          <w:b/>
          <w:szCs w:val="22"/>
        </w:rPr>
      </w:pPr>
      <w:r w:rsidRPr="009F5E6B">
        <w:rPr>
          <w:rFonts w:cs="Arial"/>
          <w:szCs w:val="22"/>
        </w:rPr>
        <w:t>Clearly</w:t>
      </w:r>
      <w:r w:rsidRPr="009F5E6B">
        <w:rPr>
          <w:rFonts w:eastAsia="Arial"/>
          <w:szCs w:val="22"/>
        </w:rPr>
        <w:t xml:space="preserve"> </w:t>
      </w:r>
      <w:r w:rsidRPr="009F5E6B">
        <w:rPr>
          <w:rFonts w:cs="Arial"/>
          <w:szCs w:val="22"/>
        </w:rPr>
        <w:t xml:space="preserve">demonstrated experience in </w:t>
      </w:r>
      <w:r w:rsidR="005064E9">
        <w:rPr>
          <w:rFonts w:cs="Arial"/>
          <w:szCs w:val="22"/>
        </w:rPr>
        <w:t xml:space="preserve">delivering </w:t>
      </w:r>
      <w:r w:rsidR="00C568AE">
        <w:rPr>
          <w:rFonts w:cs="Arial"/>
          <w:szCs w:val="22"/>
        </w:rPr>
        <w:t xml:space="preserve">required </w:t>
      </w:r>
      <w:r w:rsidRPr="00456C57">
        <w:rPr>
          <w:rFonts w:cs="Arial"/>
          <w:szCs w:val="22"/>
        </w:rPr>
        <w:t>therapeutic</w:t>
      </w:r>
      <w:r w:rsidRPr="009F5E6B">
        <w:rPr>
          <w:rFonts w:cs="Arial"/>
          <w:szCs w:val="22"/>
        </w:rPr>
        <w:t xml:space="preserve"> approaches</w:t>
      </w:r>
      <w:r w:rsidR="00964A47">
        <w:rPr>
          <w:rFonts w:cs="Arial"/>
          <w:szCs w:val="22"/>
        </w:rPr>
        <w:t xml:space="preserve">, including case management, </w:t>
      </w:r>
      <w:r w:rsidR="00964A47" w:rsidRPr="005F2A69">
        <w:rPr>
          <w:rFonts w:cs="Arial"/>
          <w:szCs w:val="22"/>
        </w:rPr>
        <w:t>psychoeducation, and counselling</w:t>
      </w:r>
      <w:r w:rsidRPr="005F2A69">
        <w:rPr>
          <w:rFonts w:cs="Arial"/>
          <w:szCs w:val="22"/>
        </w:rPr>
        <w:t xml:space="preserve"> (</w:t>
      </w:r>
      <w:r w:rsidR="00CD7B7B" w:rsidRPr="00F63BAC">
        <w:rPr>
          <w:rFonts w:cs="Arial"/>
          <w:szCs w:val="22"/>
        </w:rPr>
        <w:t>s</w:t>
      </w:r>
      <w:r w:rsidRPr="00F63BAC">
        <w:rPr>
          <w:rFonts w:cs="Arial"/>
          <w:szCs w:val="22"/>
        </w:rPr>
        <w:t>ection 5.1</w:t>
      </w:r>
      <w:r w:rsidR="00CD7B7B">
        <w:rPr>
          <w:rFonts w:cs="Arial"/>
          <w:szCs w:val="22"/>
        </w:rPr>
        <w:t xml:space="preserve"> </w:t>
      </w:r>
      <w:r w:rsidRPr="005F2A69">
        <w:rPr>
          <w:rFonts w:cs="Arial"/>
          <w:szCs w:val="22"/>
        </w:rPr>
        <w:t>of the Grant Opportunity Guidelines)</w:t>
      </w:r>
    </w:p>
    <w:p w14:paraId="4197658C" w14:textId="20DE5920" w:rsidR="00B63448" w:rsidRPr="005F2A69" w:rsidRDefault="004F5A6A" w:rsidP="00D42533">
      <w:pPr>
        <w:pStyle w:val="ListParagraph"/>
        <w:numPr>
          <w:ilvl w:val="0"/>
          <w:numId w:val="22"/>
        </w:numPr>
        <w:spacing w:before="120" w:after="140"/>
        <w:rPr>
          <w:rFonts w:cs="Arial"/>
          <w:b/>
          <w:szCs w:val="22"/>
        </w:rPr>
      </w:pPr>
      <w:r w:rsidRPr="005F2A69">
        <w:rPr>
          <w:rFonts w:cs="Arial"/>
          <w:szCs w:val="22"/>
        </w:rPr>
        <w:t xml:space="preserve">Proposed </w:t>
      </w:r>
      <w:r w:rsidR="00B63448" w:rsidRPr="005F2A69">
        <w:rPr>
          <w:rFonts w:cs="Arial"/>
          <w:szCs w:val="22"/>
        </w:rPr>
        <w:t xml:space="preserve">therapeutic services </w:t>
      </w:r>
      <w:r w:rsidRPr="005F2A69">
        <w:rPr>
          <w:rFonts w:cs="Arial"/>
          <w:szCs w:val="22"/>
        </w:rPr>
        <w:t xml:space="preserve">that were </w:t>
      </w:r>
      <w:r w:rsidR="000113BB" w:rsidRPr="005F2A69">
        <w:rPr>
          <w:rFonts w:cs="Arial"/>
          <w:szCs w:val="22"/>
        </w:rPr>
        <w:t>intercountry adoption</w:t>
      </w:r>
      <w:r w:rsidR="000113BB" w:rsidRPr="005F2A69">
        <w:rPr>
          <w:rFonts w:cs="Arial"/>
          <w:szCs w:val="22"/>
        </w:rPr>
        <w:noBreakHyphen/>
        <w:t xml:space="preserve">aware, trauma-informed, </w:t>
      </w:r>
      <w:r w:rsidR="00B63448" w:rsidRPr="005F2A69">
        <w:rPr>
          <w:rFonts w:cs="Arial"/>
          <w:szCs w:val="22"/>
        </w:rPr>
        <w:t>strengths</w:t>
      </w:r>
      <w:r w:rsidR="00CD7B7B">
        <w:rPr>
          <w:rFonts w:cs="Arial"/>
          <w:szCs w:val="22"/>
        </w:rPr>
        <w:t>-</w:t>
      </w:r>
      <w:r w:rsidR="00B63448" w:rsidRPr="005F2A69">
        <w:rPr>
          <w:rFonts w:cs="Arial"/>
          <w:szCs w:val="22"/>
        </w:rPr>
        <w:t xml:space="preserve">based, </w:t>
      </w:r>
      <w:r w:rsidR="00EF4084" w:rsidRPr="005F2A69">
        <w:rPr>
          <w:rFonts w:cs="Arial"/>
          <w:szCs w:val="22"/>
        </w:rPr>
        <w:t>incorporate</w:t>
      </w:r>
      <w:r w:rsidR="005064E9" w:rsidRPr="005F2A69">
        <w:rPr>
          <w:rFonts w:cs="Arial"/>
          <w:szCs w:val="22"/>
        </w:rPr>
        <w:t>d</w:t>
      </w:r>
      <w:r w:rsidR="00EF4084" w:rsidRPr="005F2A69">
        <w:rPr>
          <w:rFonts w:cs="Arial"/>
          <w:szCs w:val="22"/>
        </w:rPr>
        <w:t xml:space="preserve"> </w:t>
      </w:r>
      <w:r w:rsidR="005064E9" w:rsidRPr="005F2A69">
        <w:rPr>
          <w:rFonts w:cs="Arial"/>
          <w:szCs w:val="22"/>
        </w:rPr>
        <w:t xml:space="preserve">an </w:t>
      </w:r>
      <w:r w:rsidR="00EF4084" w:rsidRPr="005F2A69">
        <w:rPr>
          <w:rFonts w:cs="Arial"/>
          <w:szCs w:val="22"/>
        </w:rPr>
        <w:t>understanding of</w:t>
      </w:r>
      <w:r w:rsidR="005064E9" w:rsidRPr="005F2A69">
        <w:rPr>
          <w:rFonts w:cs="Arial"/>
          <w:szCs w:val="22"/>
        </w:rPr>
        <w:t> </w:t>
      </w:r>
      <w:r w:rsidR="00B63448" w:rsidRPr="005F2A69">
        <w:rPr>
          <w:rFonts w:cs="Arial"/>
          <w:szCs w:val="22"/>
        </w:rPr>
        <w:t>grief, loss</w:t>
      </w:r>
      <w:r w:rsidR="00EF4084" w:rsidRPr="005F2A69">
        <w:rPr>
          <w:rFonts w:cs="Arial"/>
          <w:szCs w:val="22"/>
        </w:rPr>
        <w:t>, identity</w:t>
      </w:r>
      <w:r w:rsidR="00B63448" w:rsidRPr="005F2A69">
        <w:rPr>
          <w:rFonts w:cs="Arial"/>
          <w:szCs w:val="22"/>
        </w:rPr>
        <w:t xml:space="preserve"> and racism</w:t>
      </w:r>
      <w:r w:rsidR="00EF4084" w:rsidRPr="005F2A69">
        <w:rPr>
          <w:rFonts w:cs="Arial"/>
          <w:szCs w:val="22"/>
        </w:rPr>
        <w:t>, and</w:t>
      </w:r>
      <w:r w:rsidR="009318F8">
        <w:rPr>
          <w:rFonts w:cs="Arial"/>
          <w:szCs w:val="22"/>
        </w:rPr>
        <w:t> </w:t>
      </w:r>
      <w:r w:rsidR="005064E9" w:rsidRPr="005F2A69">
        <w:rPr>
          <w:rFonts w:cs="Arial"/>
          <w:szCs w:val="22"/>
        </w:rPr>
        <w:t xml:space="preserve">accounted for differing needs </w:t>
      </w:r>
      <w:r w:rsidR="00EF4084" w:rsidRPr="005F2A69">
        <w:rPr>
          <w:rFonts w:cs="Arial"/>
          <w:szCs w:val="22"/>
        </w:rPr>
        <w:t>across</w:t>
      </w:r>
      <w:r w:rsidR="005064E9" w:rsidRPr="005F2A69">
        <w:rPr>
          <w:rFonts w:cs="Arial"/>
          <w:szCs w:val="22"/>
        </w:rPr>
        <w:t xml:space="preserve"> adoptees’ and adoptive families’ </w:t>
      </w:r>
      <w:r w:rsidR="00EF4084" w:rsidRPr="005F2A69">
        <w:rPr>
          <w:rFonts w:cs="Arial"/>
          <w:szCs w:val="22"/>
        </w:rPr>
        <w:t>life stages</w:t>
      </w:r>
    </w:p>
    <w:p w14:paraId="265DBF00" w14:textId="69409C14" w:rsidR="005064E9" w:rsidRPr="005F2A69" w:rsidRDefault="00EF4084" w:rsidP="00EF4084">
      <w:pPr>
        <w:pStyle w:val="ListParagraph"/>
        <w:numPr>
          <w:ilvl w:val="0"/>
          <w:numId w:val="22"/>
        </w:numPr>
        <w:spacing w:before="120" w:after="140"/>
        <w:rPr>
          <w:rFonts w:cs="Arial"/>
          <w:b/>
          <w:szCs w:val="22"/>
        </w:rPr>
      </w:pPr>
      <w:r w:rsidRPr="005F2A69">
        <w:rPr>
          <w:rFonts w:cs="Arial"/>
          <w:szCs w:val="22"/>
        </w:rPr>
        <w:t xml:space="preserve">Proposed therapeutic approaches that </w:t>
      </w:r>
      <w:r w:rsidR="00665DFF" w:rsidRPr="005F2A69">
        <w:rPr>
          <w:rFonts w:cs="Arial"/>
          <w:szCs w:val="22"/>
        </w:rPr>
        <w:t>were</w:t>
      </w:r>
      <w:r w:rsidRPr="005F2A69">
        <w:rPr>
          <w:rFonts w:cs="Arial"/>
          <w:szCs w:val="22"/>
        </w:rPr>
        <w:t xml:space="preserve"> informed by clinical best-practice principles and intercountry adoption</w:t>
      </w:r>
      <w:r w:rsidR="005064E9" w:rsidRPr="005F2A69">
        <w:rPr>
          <w:rFonts w:cs="Arial"/>
          <w:szCs w:val="22"/>
        </w:rPr>
        <w:t>-</w:t>
      </w:r>
      <w:r w:rsidRPr="005F2A69">
        <w:rPr>
          <w:rFonts w:cs="Arial"/>
          <w:szCs w:val="22"/>
        </w:rPr>
        <w:t>related research</w:t>
      </w:r>
    </w:p>
    <w:p w14:paraId="4FB8A874" w14:textId="6EB08D0B" w:rsidR="00EF4084" w:rsidRPr="005F2A69" w:rsidRDefault="005064E9" w:rsidP="00EF4084">
      <w:pPr>
        <w:pStyle w:val="ListParagraph"/>
        <w:numPr>
          <w:ilvl w:val="0"/>
          <w:numId w:val="22"/>
        </w:numPr>
        <w:spacing w:before="120" w:after="140"/>
        <w:rPr>
          <w:rFonts w:cs="Arial"/>
          <w:b/>
          <w:szCs w:val="22"/>
        </w:rPr>
      </w:pPr>
      <w:r w:rsidRPr="005F2A69">
        <w:rPr>
          <w:rFonts w:cs="Arial"/>
          <w:szCs w:val="22"/>
        </w:rPr>
        <w:t xml:space="preserve">Included </w:t>
      </w:r>
      <w:r w:rsidR="00EF4084" w:rsidRPr="005F2A69">
        <w:rPr>
          <w:rFonts w:cs="Arial"/>
          <w:szCs w:val="22"/>
        </w:rPr>
        <w:t xml:space="preserve">provision </w:t>
      </w:r>
      <w:r w:rsidRPr="005F2A69">
        <w:rPr>
          <w:rFonts w:cs="Arial"/>
          <w:szCs w:val="22"/>
        </w:rPr>
        <w:t xml:space="preserve">of services </w:t>
      </w:r>
      <w:r w:rsidR="000113BB" w:rsidRPr="005F2A69">
        <w:rPr>
          <w:rFonts w:cs="Arial"/>
          <w:szCs w:val="22"/>
        </w:rPr>
        <w:t xml:space="preserve">through </w:t>
      </w:r>
      <w:r w:rsidR="00EF4084" w:rsidRPr="005F2A69">
        <w:rPr>
          <w:rFonts w:cs="Arial"/>
          <w:szCs w:val="22"/>
        </w:rPr>
        <w:t>face-to-face</w:t>
      </w:r>
      <w:r w:rsidR="000113BB" w:rsidRPr="005F2A69">
        <w:rPr>
          <w:rFonts w:cs="Arial"/>
          <w:szCs w:val="22"/>
        </w:rPr>
        <w:t xml:space="preserve"> and online</w:t>
      </w:r>
      <w:r w:rsidR="009318F8">
        <w:rPr>
          <w:rFonts w:cs="Arial"/>
          <w:szCs w:val="22"/>
        </w:rPr>
        <w:t xml:space="preserve"> platforms (e.g. webinars, e</w:t>
      </w:r>
      <w:r w:rsidR="009318F8">
        <w:rPr>
          <w:rFonts w:cs="Arial"/>
          <w:szCs w:val="22"/>
        </w:rPr>
        <w:noBreakHyphen/>
      </w:r>
      <w:r w:rsidR="00EF4084" w:rsidRPr="005F2A69">
        <w:rPr>
          <w:rFonts w:cs="Arial"/>
          <w:szCs w:val="22"/>
        </w:rPr>
        <w:t xml:space="preserve">learning modules) by appropriately qualified </w:t>
      </w:r>
      <w:r w:rsidR="000113BB" w:rsidRPr="005F2A69">
        <w:rPr>
          <w:rFonts w:cs="Arial"/>
          <w:szCs w:val="22"/>
        </w:rPr>
        <w:t>staff</w:t>
      </w:r>
      <w:r w:rsidR="00EF4084" w:rsidRPr="005F2A69">
        <w:rPr>
          <w:rFonts w:cs="Arial"/>
          <w:szCs w:val="22"/>
        </w:rPr>
        <w:t xml:space="preserve"> (e.g. social workers, psychologists and counsellors)</w:t>
      </w:r>
    </w:p>
    <w:p w14:paraId="123C225B" w14:textId="0FFED67D" w:rsidR="00EF4084" w:rsidRPr="005F2A69" w:rsidRDefault="00040735" w:rsidP="004F5A6A">
      <w:pPr>
        <w:pStyle w:val="ListParagraph"/>
        <w:numPr>
          <w:ilvl w:val="0"/>
          <w:numId w:val="22"/>
        </w:numPr>
        <w:spacing w:before="120" w:after="180"/>
        <w:rPr>
          <w:rFonts w:cs="Arial"/>
          <w:b/>
          <w:szCs w:val="22"/>
        </w:rPr>
      </w:pPr>
      <w:r w:rsidRPr="005F2A69">
        <w:rPr>
          <w:rFonts w:cs="Arial"/>
          <w:szCs w:val="22"/>
        </w:rPr>
        <w:t xml:space="preserve">Proposed a range of </w:t>
      </w:r>
      <w:r w:rsidR="00EF4084" w:rsidRPr="005F2A69">
        <w:rPr>
          <w:rFonts w:cs="Arial"/>
          <w:szCs w:val="22"/>
        </w:rPr>
        <w:t xml:space="preserve">targeted strategies to promote </w:t>
      </w:r>
      <w:r w:rsidRPr="005F2A69">
        <w:rPr>
          <w:rFonts w:cs="Arial"/>
          <w:szCs w:val="22"/>
        </w:rPr>
        <w:t xml:space="preserve">the </w:t>
      </w:r>
      <w:r w:rsidR="00EF4084" w:rsidRPr="005F2A69">
        <w:rPr>
          <w:rFonts w:cs="Arial"/>
          <w:szCs w:val="22"/>
        </w:rPr>
        <w:t>ICAFSS</w:t>
      </w:r>
      <w:r w:rsidRPr="005F2A69">
        <w:rPr>
          <w:rFonts w:cs="Arial"/>
          <w:szCs w:val="22"/>
        </w:rPr>
        <w:t xml:space="preserve">, including </w:t>
      </w:r>
      <w:r w:rsidR="00EF4084" w:rsidRPr="005F2A69">
        <w:rPr>
          <w:rFonts w:cs="Arial"/>
          <w:szCs w:val="22"/>
        </w:rPr>
        <w:t>through stakeholder engagement, social engagement and strong social media presence</w:t>
      </w:r>
    </w:p>
    <w:p w14:paraId="3672194F" w14:textId="652B2614" w:rsidR="00964A47" w:rsidRPr="004F5A6A" w:rsidRDefault="00040735" w:rsidP="00040735">
      <w:pPr>
        <w:pStyle w:val="ListParagraph"/>
        <w:numPr>
          <w:ilvl w:val="0"/>
          <w:numId w:val="22"/>
        </w:numPr>
        <w:spacing w:before="120" w:after="140"/>
        <w:rPr>
          <w:rFonts w:cs="Arial"/>
          <w:b/>
          <w:szCs w:val="22"/>
        </w:rPr>
      </w:pPr>
      <w:r w:rsidRPr="005F2A69">
        <w:rPr>
          <w:rFonts w:cs="Arial"/>
          <w:szCs w:val="22"/>
        </w:rPr>
        <w:t>Provided examples of experience in, and/or clear planning for, successfully implementing and delivering large national programs of a similar nature</w:t>
      </w:r>
      <w:r w:rsidR="00CD7B7B">
        <w:rPr>
          <w:rFonts w:cs="Arial"/>
          <w:szCs w:val="22"/>
        </w:rPr>
        <w:t xml:space="preserve">, including </w:t>
      </w:r>
      <w:r w:rsidRPr="005F2A69">
        <w:rPr>
          <w:rFonts w:cs="Arial"/>
          <w:szCs w:val="22"/>
        </w:rPr>
        <w:t xml:space="preserve">a demonstrated </w:t>
      </w:r>
      <w:r w:rsidR="009318F8">
        <w:rPr>
          <w:rFonts w:cs="Arial"/>
          <w:szCs w:val="22"/>
        </w:rPr>
        <w:t>capacity to </w:t>
      </w:r>
      <w:r w:rsidRPr="005F2A69">
        <w:rPr>
          <w:rFonts w:cs="Arial"/>
          <w:szCs w:val="22"/>
        </w:rPr>
        <w:t xml:space="preserve">provide </w:t>
      </w:r>
      <w:r w:rsidR="00D42533" w:rsidRPr="005F2A69">
        <w:rPr>
          <w:rFonts w:cs="Arial"/>
          <w:szCs w:val="22"/>
        </w:rPr>
        <w:t xml:space="preserve">online access for </w:t>
      </w:r>
      <w:r w:rsidRPr="005F2A69">
        <w:rPr>
          <w:rFonts w:cs="Arial"/>
          <w:szCs w:val="22"/>
        </w:rPr>
        <w:t xml:space="preserve">client </w:t>
      </w:r>
      <w:r w:rsidR="00D42533" w:rsidRPr="005F2A69">
        <w:rPr>
          <w:rFonts w:cs="Arial"/>
          <w:szCs w:val="22"/>
        </w:rPr>
        <w:t>engagement</w:t>
      </w:r>
      <w:r w:rsidR="00D42533">
        <w:rPr>
          <w:rFonts w:cs="Arial"/>
          <w:szCs w:val="22"/>
        </w:rPr>
        <w:t xml:space="preserve"> regardless of </w:t>
      </w:r>
      <w:r>
        <w:rPr>
          <w:rFonts w:cs="Arial"/>
          <w:szCs w:val="22"/>
        </w:rPr>
        <w:t>location</w:t>
      </w:r>
    </w:p>
    <w:p w14:paraId="6979BAC7" w14:textId="4360B33E" w:rsidR="008A6018" w:rsidRPr="004F5A6A" w:rsidRDefault="007C7445">
      <w:pPr>
        <w:pStyle w:val="ListParagraph"/>
        <w:numPr>
          <w:ilvl w:val="0"/>
          <w:numId w:val="22"/>
        </w:numPr>
        <w:spacing w:before="120" w:after="180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Proposed </w:t>
      </w:r>
      <w:r w:rsidR="00456C57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 xml:space="preserve">capacity </w:t>
      </w:r>
      <w:r w:rsidR="00BF6F52">
        <w:rPr>
          <w:rFonts w:cs="Arial"/>
          <w:szCs w:val="22"/>
        </w:rPr>
        <w:t xml:space="preserve">building </w:t>
      </w:r>
      <w:r w:rsidR="00456C57">
        <w:rPr>
          <w:rFonts w:cs="Arial"/>
          <w:szCs w:val="22"/>
        </w:rPr>
        <w:t xml:space="preserve">approach </w:t>
      </w:r>
      <w:r w:rsidR="00BF6F52">
        <w:rPr>
          <w:rFonts w:cs="Arial"/>
          <w:szCs w:val="22"/>
        </w:rPr>
        <w:t>and a S</w:t>
      </w:r>
      <w:r>
        <w:rPr>
          <w:rFonts w:cs="Arial"/>
          <w:szCs w:val="22"/>
        </w:rPr>
        <w:t xml:space="preserve">mall </w:t>
      </w:r>
      <w:r w:rsidR="00BF6F52">
        <w:rPr>
          <w:rFonts w:cs="Arial"/>
          <w:szCs w:val="22"/>
        </w:rPr>
        <w:t>G</w:t>
      </w:r>
      <w:r>
        <w:rPr>
          <w:rFonts w:cs="Arial"/>
          <w:szCs w:val="22"/>
        </w:rPr>
        <w:t xml:space="preserve">rants and </w:t>
      </w:r>
      <w:r w:rsidR="00BF6F52">
        <w:rPr>
          <w:rFonts w:cs="Arial"/>
          <w:szCs w:val="22"/>
        </w:rPr>
        <w:t>B</w:t>
      </w:r>
      <w:r>
        <w:rPr>
          <w:rFonts w:cs="Arial"/>
          <w:szCs w:val="22"/>
        </w:rPr>
        <w:t xml:space="preserve">ursaries </w:t>
      </w:r>
      <w:r w:rsidR="00BF6F52">
        <w:rPr>
          <w:rFonts w:cs="Arial"/>
          <w:szCs w:val="22"/>
        </w:rPr>
        <w:t>Program</w:t>
      </w:r>
      <w:r>
        <w:rPr>
          <w:rFonts w:cs="Arial"/>
          <w:szCs w:val="22"/>
        </w:rPr>
        <w:t xml:space="preserve"> that would be </w:t>
      </w:r>
      <w:r w:rsidR="00F10E56" w:rsidRPr="009F5E6B">
        <w:rPr>
          <w:rFonts w:cs="Arial"/>
          <w:szCs w:val="22"/>
        </w:rPr>
        <w:t>co</w:t>
      </w:r>
      <w:r w:rsidR="00A268D0">
        <w:rPr>
          <w:rFonts w:cs="Arial"/>
          <w:szCs w:val="22"/>
        </w:rPr>
        <w:noBreakHyphen/>
      </w:r>
      <w:r w:rsidR="00F10E56" w:rsidRPr="009F5E6B">
        <w:rPr>
          <w:rFonts w:cs="Arial"/>
          <w:szCs w:val="22"/>
        </w:rPr>
        <w:t xml:space="preserve">designed </w:t>
      </w:r>
      <w:r>
        <w:rPr>
          <w:rFonts w:cs="Arial"/>
          <w:szCs w:val="22"/>
        </w:rPr>
        <w:t xml:space="preserve">and managed with those with </w:t>
      </w:r>
      <w:r w:rsidR="00F10E56" w:rsidRPr="009F5E6B">
        <w:rPr>
          <w:rFonts w:cs="Arial"/>
          <w:szCs w:val="22"/>
        </w:rPr>
        <w:t xml:space="preserve">lived experience </w:t>
      </w:r>
      <w:r>
        <w:rPr>
          <w:rFonts w:cs="Arial"/>
          <w:szCs w:val="22"/>
        </w:rPr>
        <w:t>of intercountry adoption</w:t>
      </w:r>
    </w:p>
    <w:p w14:paraId="7F59FE63" w14:textId="14CAB25D" w:rsidR="00964A47" w:rsidRPr="004F5A6A" w:rsidRDefault="00964A47" w:rsidP="004F5A6A">
      <w:pPr>
        <w:pStyle w:val="ListParagraph"/>
        <w:numPr>
          <w:ilvl w:val="0"/>
          <w:numId w:val="22"/>
        </w:numPr>
        <w:spacing w:before="120" w:after="140"/>
        <w:rPr>
          <w:rFonts w:cs="Arial"/>
          <w:b/>
          <w:szCs w:val="22"/>
        </w:rPr>
      </w:pPr>
      <w:r>
        <w:rPr>
          <w:rFonts w:cs="Arial"/>
          <w:szCs w:val="22"/>
        </w:rPr>
        <w:t>Ele</w:t>
      </w:r>
      <w:r w:rsidR="008A6018">
        <w:rPr>
          <w:rFonts w:cs="Arial"/>
          <w:szCs w:val="22"/>
        </w:rPr>
        <w:t>v</w:t>
      </w:r>
      <w:r>
        <w:rPr>
          <w:rFonts w:cs="Arial"/>
          <w:szCs w:val="22"/>
        </w:rPr>
        <w:t>ated the involvement of people with lived experience of intercountry adoption in their approach to delivering the ICAFSS</w:t>
      </w:r>
      <w:r w:rsidRPr="009F5E6B">
        <w:rPr>
          <w:rFonts w:cs="Arial"/>
          <w:szCs w:val="22"/>
        </w:rPr>
        <w:t xml:space="preserve">, including </w:t>
      </w:r>
      <w:r>
        <w:rPr>
          <w:rFonts w:cs="Arial"/>
          <w:szCs w:val="22"/>
        </w:rPr>
        <w:t xml:space="preserve">use of </w:t>
      </w:r>
      <w:r w:rsidR="00665DFF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>lived experience reference group (or similar) to guide priorities</w:t>
      </w:r>
      <w:r w:rsidR="00D42533">
        <w:rPr>
          <w:rFonts w:cs="Arial"/>
          <w:szCs w:val="22"/>
        </w:rPr>
        <w:t xml:space="preserve"> and advise </w:t>
      </w:r>
      <w:r w:rsidR="00665DFF">
        <w:rPr>
          <w:rFonts w:cs="Arial"/>
          <w:szCs w:val="22"/>
        </w:rPr>
        <w:t>decision-making</w:t>
      </w:r>
    </w:p>
    <w:p w14:paraId="7BF57DB5" w14:textId="3F29580D" w:rsidR="00F10E56" w:rsidRPr="00962E22" w:rsidRDefault="00F10E56">
      <w:pPr>
        <w:pStyle w:val="ListParagraph"/>
        <w:numPr>
          <w:ilvl w:val="0"/>
          <w:numId w:val="22"/>
        </w:numPr>
        <w:spacing w:before="120" w:after="140"/>
        <w:rPr>
          <w:rFonts w:cs="Arial"/>
          <w:b/>
          <w:szCs w:val="22"/>
        </w:rPr>
      </w:pPr>
      <w:r w:rsidRPr="009F5E6B">
        <w:rPr>
          <w:rFonts w:cs="Arial"/>
          <w:szCs w:val="22"/>
        </w:rPr>
        <w:t xml:space="preserve">Demonstrated experience in delivering services </w:t>
      </w:r>
      <w:r w:rsidR="007C7445">
        <w:rPr>
          <w:rFonts w:cs="Arial"/>
          <w:szCs w:val="22"/>
        </w:rPr>
        <w:t xml:space="preserve">to a diverse range of </w:t>
      </w:r>
      <w:r w:rsidRPr="009F5E6B">
        <w:rPr>
          <w:rFonts w:cs="Arial"/>
          <w:szCs w:val="22"/>
        </w:rPr>
        <w:t>people</w:t>
      </w:r>
      <w:r w:rsidR="007C7445">
        <w:rPr>
          <w:rFonts w:cs="Arial"/>
          <w:szCs w:val="22"/>
        </w:rPr>
        <w:t>, including those</w:t>
      </w:r>
      <w:r w:rsidRPr="009F5E6B">
        <w:rPr>
          <w:rFonts w:cs="Arial"/>
          <w:szCs w:val="22"/>
        </w:rPr>
        <w:t xml:space="preserve"> with physical and intellectual disability</w:t>
      </w:r>
      <w:r w:rsidR="008A6018">
        <w:rPr>
          <w:rFonts w:cs="Arial"/>
          <w:szCs w:val="22"/>
        </w:rPr>
        <w:t xml:space="preserve">, detailing </w:t>
      </w:r>
      <w:r w:rsidR="00665DFF">
        <w:rPr>
          <w:rFonts w:cs="Arial"/>
          <w:szCs w:val="22"/>
        </w:rPr>
        <w:t>face-to-face</w:t>
      </w:r>
      <w:r w:rsidR="008A6018">
        <w:rPr>
          <w:rFonts w:cs="Arial"/>
          <w:szCs w:val="22"/>
        </w:rPr>
        <w:t>, phone and online accessibility</w:t>
      </w:r>
    </w:p>
    <w:p w14:paraId="2B10E44C" w14:textId="3023C264" w:rsidR="008A6018" w:rsidRPr="004F5A6A" w:rsidRDefault="00F10E56">
      <w:pPr>
        <w:pStyle w:val="ListParagraph"/>
        <w:numPr>
          <w:ilvl w:val="0"/>
          <w:numId w:val="22"/>
        </w:numPr>
        <w:spacing w:before="120" w:after="140"/>
        <w:rPr>
          <w:rFonts w:cs="Arial"/>
          <w:b/>
          <w:szCs w:val="22"/>
        </w:rPr>
      </w:pPr>
      <w:r w:rsidRPr="009F5E6B">
        <w:rPr>
          <w:rFonts w:cs="Arial"/>
          <w:szCs w:val="22"/>
        </w:rPr>
        <w:t xml:space="preserve">Demonstrated experience </w:t>
      </w:r>
      <w:r w:rsidR="007C7445">
        <w:rPr>
          <w:rFonts w:cs="Arial"/>
          <w:szCs w:val="22"/>
        </w:rPr>
        <w:t xml:space="preserve">in </w:t>
      </w:r>
      <w:r w:rsidR="00A268D0">
        <w:rPr>
          <w:rFonts w:cs="Arial"/>
          <w:szCs w:val="22"/>
        </w:rPr>
        <w:t>running</w:t>
      </w:r>
      <w:r w:rsidRPr="009F5E6B">
        <w:rPr>
          <w:rFonts w:cs="Arial"/>
          <w:szCs w:val="22"/>
        </w:rPr>
        <w:t xml:space="preserve"> </w:t>
      </w:r>
      <w:r w:rsidR="00A268D0">
        <w:rPr>
          <w:rFonts w:cs="Arial"/>
          <w:szCs w:val="22"/>
        </w:rPr>
        <w:t>mentor, peer and</w:t>
      </w:r>
      <w:r w:rsidR="00361045">
        <w:rPr>
          <w:rFonts w:cs="Arial"/>
          <w:szCs w:val="22"/>
        </w:rPr>
        <w:t>/or</w:t>
      </w:r>
      <w:r w:rsidR="00A268D0">
        <w:rPr>
          <w:rFonts w:cs="Arial"/>
          <w:szCs w:val="22"/>
        </w:rPr>
        <w:t xml:space="preserve"> group supports </w:t>
      </w:r>
      <w:r w:rsidRPr="009F5E6B">
        <w:rPr>
          <w:rFonts w:cs="Arial"/>
          <w:szCs w:val="22"/>
        </w:rPr>
        <w:t xml:space="preserve">to assist </w:t>
      </w:r>
      <w:r w:rsidR="007C7445">
        <w:rPr>
          <w:rFonts w:cs="Arial"/>
          <w:szCs w:val="22"/>
        </w:rPr>
        <w:t>clients</w:t>
      </w:r>
      <w:r w:rsidR="00A268D0">
        <w:rPr>
          <w:rFonts w:cs="Arial"/>
          <w:szCs w:val="22"/>
        </w:rPr>
        <w:t xml:space="preserve">, </w:t>
      </w:r>
      <w:r w:rsidR="00665DFF">
        <w:rPr>
          <w:rFonts w:cs="Arial"/>
          <w:szCs w:val="22"/>
        </w:rPr>
        <w:t>as well as consideration of</w:t>
      </w:r>
      <w:r w:rsidRPr="009F5E6B">
        <w:rPr>
          <w:rFonts w:cs="Arial"/>
          <w:szCs w:val="22"/>
        </w:rPr>
        <w:t xml:space="preserve"> </w:t>
      </w:r>
      <w:r w:rsidR="00361045">
        <w:rPr>
          <w:rFonts w:cs="Arial"/>
          <w:szCs w:val="22"/>
        </w:rPr>
        <w:t xml:space="preserve">how these supports </w:t>
      </w:r>
      <w:r w:rsidR="00665DFF">
        <w:rPr>
          <w:rFonts w:cs="Arial"/>
          <w:szCs w:val="22"/>
        </w:rPr>
        <w:t>would</w:t>
      </w:r>
      <w:r w:rsidR="00361045">
        <w:rPr>
          <w:rFonts w:cs="Arial"/>
          <w:szCs w:val="22"/>
        </w:rPr>
        <w:t xml:space="preserve"> be engaged</w:t>
      </w:r>
      <w:r w:rsidR="00A268D0">
        <w:rPr>
          <w:rFonts w:cs="Arial"/>
          <w:szCs w:val="22"/>
        </w:rPr>
        <w:t xml:space="preserve"> across an adoptee’s life</w:t>
      </w:r>
    </w:p>
    <w:p w14:paraId="38AFDE33" w14:textId="6B65528F" w:rsidR="00BF6F52" w:rsidRPr="004F5A6A" w:rsidRDefault="00F10E56">
      <w:pPr>
        <w:pStyle w:val="ListParagraph"/>
        <w:numPr>
          <w:ilvl w:val="0"/>
          <w:numId w:val="22"/>
        </w:numPr>
        <w:spacing w:before="120" w:after="140"/>
        <w:rPr>
          <w:rFonts w:cs="Arial"/>
          <w:b/>
          <w:szCs w:val="22"/>
        </w:rPr>
      </w:pPr>
      <w:r w:rsidRPr="009F5E6B">
        <w:rPr>
          <w:rFonts w:cs="Arial"/>
          <w:szCs w:val="22"/>
        </w:rPr>
        <w:t xml:space="preserve">Proposed </w:t>
      </w:r>
      <w:r w:rsidR="00BF6F52">
        <w:rPr>
          <w:rFonts w:cs="Arial"/>
          <w:szCs w:val="22"/>
        </w:rPr>
        <w:t>well-considered and detailed approach</w:t>
      </w:r>
      <w:r w:rsidR="00665DFF">
        <w:rPr>
          <w:rFonts w:cs="Arial"/>
          <w:szCs w:val="22"/>
        </w:rPr>
        <w:t>es</w:t>
      </w:r>
      <w:r w:rsidR="00BF6F52">
        <w:rPr>
          <w:rFonts w:cs="Arial"/>
          <w:szCs w:val="22"/>
        </w:rPr>
        <w:t xml:space="preserve"> to </w:t>
      </w:r>
      <w:r w:rsidRPr="009F5E6B">
        <w:rPr>
          <w:rFonts w:cs="Arial"/>
          <w:szCs w:val="22"/>
        </w:rPr>
        <w:t xml:space="preserve">promotion </w:t>
      </w:r>
      <w:r w:rsidR="00BF6F52">
        <w:rPr>
          <w:rFonts w:cs="Arial"/>
          <w:szCs w:val="22"/>
        </w:rPr>
        <w:t xml:space="preserve">of the ICAFSS, including specific promotion of the </w:t>
      </w:r>
      <w:r w:rsidRPr="009F5E6B">
        <w:rPr>
          <w:rFonts w:cs="Arial"/>
          <w:szCs w:val="22"/>
        </w:rPr>
        <w:t>Small Grants and Bursaries Program</w:t>
      </w:r>
      <w:r w:rsidR="00A268D0">
        <w:rPr>
          <w:rFonts w:cs="Arial"/>
          <w:szCs w:val="22"/>
        </w:rPr>
        <w:t xml:space="preserve"> </w:t>
      </w:r>
      <w:r w:rsidR="00835DF0">
        <w:rPr>
          <w:rFonts w:cs="Arial"/>
          <w:szCs w:val="22"/>
        </w:rPr>
        <w:t>(e.g. a</w:t>
      </w:r>
      <w:r w:rsidR="00A268D0">
        <w:rPr>
          <w:rFonts w:cs="Arial"/>
          <w:szCs w:val="22"/>
        </w:rPr>
        <w:t>pproache</w:t>
      </w:r>
      <w:r w:rsidR="00361045">
        <w:rPr>
          <w:rFonts w:cs="Arial"/>
          <w:szCs w:val="22"/>
        </w:rPr>
        <w:t xml:space="preserve">s included, but were not limited to, use of multiple online platforms and direct engagement </w:t>
      </w:r>
      <w:r w:rsidR="00BF6F52">
        <w:rPr>
          <w:rFonts w:cs="Arial"/>
          <w:szCs w:val="22"/>
        </w:rPr>
        <w:t xml:space="preserve">with the intercountry adoption community and </w:t>
      </w:r>
      <w:r w:rsidR="00361045">
        <w:rPr>
          <w:rFonts w:cs="Arial"/>
          <w:szCs w:val="22"/>
        </w:rPr>
        <w:t>allied health professionals</w:t>
      </w:r>
      <w:r w:rsidR="00835DF0">
        <w:rPr>
          <w:rFonts w:cs="Arial"/>
          <w:szCs w:val="22"/>
        </w:rPr>
        <w:t>)</w:t>
      </w:r>
    </w:p>
    <w:p w14:paraId="41DCE274" w14:textId="291D1A08" w:rsidR="00F10E56" w:rsidRPr="004F5A6A" w:rsidRDefault="00BF6F52" w:rsidP="00F10E56">
      <w:pPr>
        <w:pStyle w:val="ListParagraph"/>
        <w:numPr>
          <w:ilvl w:val="0"/>
          <w:numId w:val="22"/>
        </w:numPr>
        <w:spacing w:before="120" w:after="140"/>
        <w:rPr>
          <w:rFonts w:cs="Arial"/>
          <w:b/>
          <w:szCs w:val="22"/>
        </w:rPr>
      </w:pPr>
      <w:r>
        <w:rPr>
          <w:rFonts w:cs="Arial"/>
          <w:szCs w:val="22"/>
        </w:rPr>
        <w:t>P</w:t>
      </w:r>
      <w:r w:rsidR="00F10E56" w:rsidRPr="009F5E6B">
        <w:rPr>
          <w:rFonts w:cs="Arial"/>
          <w:szCs w:val="22"/>
        </w:rPr>
        <w:t xml:space="preserve">rovided examples of experience managing comparable programs </w:t>
      </w:r>
      <w:r w:rsidR="002E47C6">
        <w:rPr>
          <w:rFonts w:cs="Arial"/>
          <w:szCs w:val="22"/>
        </w:rPr>
        <w:t xml:space="preserve">and demonstrated </w:t>
      </w:r>
      <w:r w:rsidR="00F10E56" w:rsidRPr="009F5E6B">
        <w:rPr>
          <w:rFonts w:cs="Arial"/>
          <w:szCs w:val="22"/>
        </w:rPr>
        <w:t xml:space="preserve">transferrable </w:t>
      </w:r>
      <w:r w:rsidR="002E47C6">
        <w:rPr>
          <w:rFonts w:cs="Arial"/>
          <w:szCs w:val="22"/>
        </w:rPr>
        <w:t xml:space="preserve">organisational and staff knowledge and </w:t>
      </w:r>
      <w:r w:rsidR="00F10E56" w:rsidRPr="009F5E6B">
        <w:rPr>
          <w:rFonts w:cs="Arial"/>
          <w:szCs w:val="22"/>
        </w:rPr>
        <w:t>skills</w:t>
      </w:r>
      <w:r w:rsidR="002E47C6">
        <w:rPr>
          <w:rFonts w:cs="Arial"/>
          <w:szCs w:val="22"/>
        </w:rPr>
        <w:t xml:space="preserve"> relevant to intercountry adoption</w:t>
      </w:r>
    </w:p>
    <w:p w14:paraId="325CC2BB" w14:textId="2DC40652" w:rsidR="00665DFF" w:rsidRPr="00665DFF" w:rsidRDefault="00665DFF">
      <w:pPr>
        <w:pStyle w:val="ListParagraph"/>
        <w:numPr>
          <w:ilvl w:val="0"/>
          <w:numId w:val="22"/>
        </w:numPr>
        <w:spacing w:before="120" w:after="140"/>
        <w:rPr>
          <w:rFonts w:cs="Arial"/>
          <w:szCs w:val="22"/>
        </w:rPr>
      </w:pPr>
      <w:r>
        <w:rPr>
          <w:rFonts w:cs="Arial"/>
          <w:szCs w:val="22"/>
        </w:rPr>
        <w:t xml:space="preserve">Demonstrated ability to engage staff with </w:t>
      </w:r>
      <w:r w:rsidRPr="00665DFF">
        <w:rPr>
          <w:rFonts w:cs="Arial"/>
          <w:szCs w:val="22"/>
        </w:rPr>
        <w:t xml:space="preserve">lived experience of intercountry adoption </w:t>
      </w:r>
      <w:r>
        <w:rPr>
          <w:rFonts w:cs="Arial"/>
          <w:szCs w:val="22"/>
        </w:rPr>
        <w:t xml:space="preserve">and/or with </w:t>
      </w:r>
      <w:r w:rsidRPr="00665DFF">
        <w:rPr>
          <w:rFonts w:cs="Arial"/>
          <w:szCs w:val="22"/>
        </w:rPr>
        <w:t>similar experiences or cultural background of those with lived expe</w:t>
      </w:r>
      <w:r>
        <w:rPr>
          <w:rFonts w:cs="Arial"/>
          <w:szCs w:val="22"/>
        </w:rPr>
        <w:t>rience of intercountry adoption, along with having bilingual capability</w:t>
      </w:r>
    </w:p>
    <w:p w14:paraId="6EE48BBB" w14:textId="4DE0F567" w:rsidR="00665DFF" w:rsidRDefault="00B63448">
      <w:pPr>
        <w:pStyle w:val="ListParagraph"/>
        <w:numPr>
          <w:ilvl w:val="0"/>
          <w:numId w:val="22"/>
        </w:numPr>
        <w:spacing w:before="120" w:after="140"/>
        <w:rPr>
          <w:rFonts w:cs="Arial"/>
          <w:szCs w:val="22"/>
        </w:rPr>
      </w:pPr>
      <w:r>
        <w:rPr>
          <w:rFonts w:cs="Arial"/>
          <w:szCs w:val="22"/>
        </w:rPr>
        <w:t>Demonstrated strong organisational governance</w:t>
      </w:r>
      <w:r w:rsidR="00665DFF">
        <w:rPr>
          <w:rFonts w:cs="Arial"/>
          <w:szCs w:val="22"/>
        </w:rPr>
        <w:t xml:space="preserve"> structures</w:t>
      </w:r>
      <w:r>
        <w:rPr>
          <w:rFonts w:cs="Arial"/>
          <w:szCs w:val="22"/>
        </w:rPr>
        <w:t>, with necessary policies and procedures in place, including robust complaints and client triage processes</w:t>
      </w:r>
    </w:p>
    <w:p w14:paraId="010FBDB1" w14:textId="51FDD4A4" w:rsidR="00F10E56" w:rsidRPr="00F10E56" w:rsidRDefault="00665DFF" w:rsidP="00665DFF">
      <w:pPr>
        <w:spacing w:before="120" w:after="140"/>
        <w:rPr>
          <w:rFonts w:asciiTheme="majorHAnsi" w:eastAsiaTheme="majorEastAsia" w:hAnsiTheme="majorHAnsi" w:cstheme="majorBidi"/>
          <w:iCs/>
          <w:sz w:val="30"/>
          <w:szCs w:val="24"/>
        </w:rPr>
      </w:pPr>
      <w:r w:rsidRPr="00665DFF">
        <w:rPr>
          <w:rFonts w:cs="Arial"/>
          <w:szCs w:val="22"/>
        </w:rPr>
        <w:br w:type="column"/>
      </w:r>
      <w:r w:rsidR="00F10E56" w:rsidRPr="00F10E56">
        <w:rPr>
          <w:rFonts w:asciiTheme="majorHAnsi" w:eastAsiaTheme="majorEastAsia" w:hAnsiTheme="majorHAnsi" w:cstheme="majorBidi"/>
          <w:iCs/>
          <w:sz w:val="30"/>
          <w:szCs w:val="24"/>
        </w:rPr>
        <w:lastRenderedPageBreak/>
        <w:t>Limited Responses:</w:t>
      </w:r>
    </w:p>
    <w:p w14:paraId="53ECE613" w14:textId="2F60B8DF" w:rsidR="00F10E56" w:rsidRPr="009F5E6B" w:rsidRDefault="0039616D" w:rsidP="00F10E56">
      <w:pPr>
        <w:pStyle w:val="ListParagraph"/>
        <w:numPr>
          <w:ilvl w:val="0"/>
          <w:numId w:val="22"/>
        </w:numPr>
        <w:spacing w:before="120" w:after="140"/>
        <w:rPr>
          <w:rFonts w:cs="Arial"/>
          <w:b/>
          <w:szCs w:val="22"/>
        </w:rPr>
      </w:pPr>
      <w:r>
        <w:rPr>
          <w:rFonts w:cs="Arial"/>
          <w:szCs w:val="22"/>
        </w:rPr>
        <w:t>Did not de</w:t>
      </w:r>
      <w:r w:rsidR="00F10E56" w:rsidRPr="009F5E6B">
        <w:rPr>
          <w:rFonts w:cs="Arial"/>
          <w:szCs w:val="22"/>
        </w:rPr>
        <w:t>m</w:t>
      </w:r>
      <w:r>
        <w:rPr>
          <w:rFonts w:cs="Arial"/>
          <w:szCs w:val="22"/>
        </w:rPr>
        <w:t>onstrate</w:t>
      </w:r>
      <w:r w:rsidR="00F10E56" w:rsidRPr="009F5E6B">
        <w:rPr>
          <w:rFonts w:cs="Arial"/>
          <w:szCs w:val="22"/>
        </w:rPr>
        <w:t xml:space="preserve"> a </w:t>
      </w:r>
      <w:r>
        <w:rPr>
          <w:rFonts w:cs="Arial"/>
          <w:szCs w:val="22"/>
        </w:rPr>
        <w:t xml:space="preserve">sufficient </w:t>
      </w:r>
      <w:r w:rsidR="0082086B">
        <w:rPr>
          <w:rFonts w:cs="Arial"/>
          <w:szCs w:val="22"/>
        </w:rPr>
        <w:t xml:space="preserve">understanding of </w:t>
      </w:r>
      <w:r w:rsidR="00F10E56" w:rsidRPr="009F5E6B">
        <w:rPr>
          <w:rFonts w:cs="Arial"/>
          <w:szCs w:val="22"/>
        </w:rPr>
        <w:t xml:space="preserve">the </w:t>
      </w:r>
      <w:r w:rsidR="0082086B">
        <w:rPr>
          <w:rFonts w:cs="Arial"/>
          <w:szCs w:val="22"/>
        </w:rPr>
        <w:t>i</w:t>
      </w:r>
      <w:r w:rsidR="00F10E56" w:rsidRPr="009F5E6B">
        <w:rPr>
          <w:rFonts w:cs="Arial"/>
          <w:szCs w:val="22"/>
        </w:rPr>
        <w:t xml:space="preserve">ntercountry </w:t>
      </w:r>
      <w:r w:rsidR="0082086B">
        <w:rPr>
          <w:rFonts w:cs="Arial"/>
          <w:szCs w:val="22"/>
        </w:rPr>
        <w:t>a</w:t>
      </w:r>
      <w:r w:rsidR="00F10E56" w:rsidRPr="009F5E6B">
        <w:rPr>
          <w:rFonts w:cs="Arial"/>
          <w:szCs w:val="22"/>
        </w:rPr>
        <w:t>doption community and</w:t>
      </w:r>
      <w:r>
        <w:rPr>
          <w:rFonts w:cs="Arial"/>
          <w:szCs w:val="22"/>
        </w:rPr>
        <w:t>/or</w:t>
      </w:r>
      <w:r w:rsidR="009318F8">
        <w:rPr>
          <w:rFonts w:cs="Arial"/>
          <w:szCs w:val="22"/>
        </w:rPr>
        <w:t> </w:t>
      </w:r>
      <w:r w:rsidR="00F10E56" w:rsidRPr="009F5E6B">
        <w:rPr>
          <w:rFonts w:cs="Arial"/>
          <w:szCs w:val="22"/>
        </w:rPr>
        <w:t xml:space="preserve">did not acknowledge the unique challenges </w:t>
      </w:r>
      <w:r w:rsidR="0082086B">
        <w:rPr>
          <w:rFonts w:cs="Arial"/>
          <w:szCs w:val="22"/>
        </w:rPr>
        <w:t>commonly experienced by</w:t>
      </w:r>
      <w:r w:rsidR="00F10E56" w:rsidRPr="009F5E6B">
        <w:rPr>
          <w:rFonts w:cs="Arial"/>
          <w:szCs w:val="22"/>
        </w:rPr>
        <w:t xml:space="preserve"> </w:t>
      </w:r>
      <w:r w:rsidR="0082086B">
        <w:rPr>
          <w:rFonts w:cs="Arial"/>
          <w:szCs w:val="22"/>
        </w:rPr>
        <w:t>ad</w:t>
      </w:r>
      <w:r>
        <w:rPr>
          <w:rFonts w:cs="Arial"/>
          <w:szCs w:val="22"/>
        </w:rPr>
        <w:t>optees, adoptive </w:t>
      </w:r>
      <w:r w:rsidR="0082086B">
        <w:rPr>
          <w:rFonts w:cs="Arial"/>
          <w:szCs w:val="22"/>
        </w:rPr>
        <w:t>families and prospective adoptive parents</w:t>
      </w:r>
    </w:p>
    <w:p w14:paraId="42433847" w14:textId="3889CF26" w:rsidR="00F10E56" w:rsidRPr="009F5E6B" w:rsidRDefault="00F10E56" w:rsidP="00F10E56">
      <w:pPr>
        <w:pStyle w:val="ListParagraph"/>
        <w:numPr>
          <w:ilvl w:val="0"/>
          <w:numId w:val="22"/>
        </w:numPr>
        <w:spacing w:before="120" w:after="140"/>
        <w:rPr>
          <w:rFonts w:cs="Arial"/>
          <w:b/>
          <w:szCs w:val="22"/>
        </w:rPr>
      </w:pPr>
      <w:r w:rsidRPr="009F5E6B">
        <w:rPr>
          <w:rFonts w:cs="Arial"/>
          <w:szCs w:val="22"/>
        </w:rPr>
        <w:t xml:space="preserve">Failed to propose </w:t>
      </w:r>
      <w:r w:rsidR="0082086B">
        <w:rPr>
          <w:rFonts w:cs="Arial"/>
          <w:szCs w:val="22"/>
        </w:rPr>
        <w:t xml:space="preserve">a means through which capacity building and the Small Grants and Bursaries Program would be informed and guided by people with lived experience of intercountry adoption </w:t>
      </w:r>
      <w:r w:rsidRPr="009F5E6B">
        <w:rPr>
          <w:rFonts w:cs="Arial"/>
          <w:szCs w:val="22"/>
        </w:rPr>
        <w:t xml:space="preserve">or insufficiently </w:t>
      </w:r>
      <w:r w:rsidR="0082086B">
        <w:rPr>
          <w:rFonts w:cs="Arial"/>
          <w:szCs w:val="22"/>
        </w:rPr>
        <w:t xml:space="preserve">outlined or restricted the </w:t>
      </w:r>
      <w:r w:rsidRPr="009F5E6B">
        <w:rPr>
          <w:rFonts w:cs="Arial"/>
          <w:szCs w:val="22"/>
        </w:rPr>
        <w:t xml:space="preserve">role </w:t>
      </w:r>
      <w:r w:rsidR="0082086B">
        <w:rPr>
          <w:rFonts w:cs="Arial"/>
          <w:szCs w:val="22"/>
        </w:rPr>
        <w:t xml:space="preserve">that </w:t>
      </w:r>
      <w:r w:rsidRPr="009F5E6B">
        <w:rPr>
          <w:rFonts w:cs="Arial"/>
          <w:szCs w:val="22"/>
        </w:rPr>
        <w:t xml:space="preserve">the </w:t>
      </w:r>
      <w:r w:rsidR="0082086B">
        <w:rPr>
          <w:rFonts w:cs="Arial"/>
          <w:szCs w:val="22"/>
        </w:rPr>
        <w:t xml:space="preserve">intercountry adoption </w:t>
      </w:r>
      <w:r w:rsidRPr="009F5E6B">
        <w:rPr>
          <w:rFonts w:cs="Arial"/>
          <w:szCs w:val="22"/>
        </w:rPr>
        <w:t xml:space="preserve">community would </w:t>
      </w:r>
      <w:r w:rsidR="0082086B">
        <w:rPr>
          <w:rFonts w:cs="Arial"/>
          <w:szCs w:val="22"/>
        </w:rPr>
        <w:t xml:space="preserve">play </w:t>
      </w:r>
      <w:r w:rsidRPr="009F5E6B">
        <w:rPr>
          <w:rFonts w:cs="Arial"/>
          <w:szCs w:val="22"/>
        </w:rPr>
        <w:t xml:space="preserve">in </w:t>
      </w:r>
      <w:r w:rsidR="000F00A8">
        <w:rPr>
          <w:rFonts w:cs="Arial"/>
          <w:szCs w:val="22"/>
        </w:rPr>
        <w:t>guiding the priorities of</w:t>
      </w:r>
      <w:r w:rsidRPr="009F5E6B">
        <w:rPr>
          <w:rFonts w:cs="Arial"/>
          <w:szCs w:val="22"/>
        </w:rPr>
        <w:t xml:space="preserve"> the service</w:t>
      </w:r>
    </w:p>
    <w:p w14:paraId="23023772" w14:textId="19DCB667" w:rsidR="008F696D" w:rsidRPr="00EC3597" w:rsidRDefault="008F696D" w:rsidP="008F696D">
      <w:pPr>
        <w:pStyle w:val="ListParagraph"/>
        <w:numPr>
          <w:ilvl w:val="0"/>
          <w:numId w:val="22"/>
        </w:numPr>
        <w:spacing w:before="120" w:after="140"/>
        <w:rPr>
          <w:rFonts w:asciiTheme="majorHAnsi" w:hAnsiTheme="majorHAnsi" w:cstheme="majorHAnsi"/>
        </w:rPr>
      </w:pPr>
      <w:r w:rsidRPr="00EC3597">
        <w:rPr>
          <w:rFonts w:cs="Arial"/>
          <w:szCs w:val="22"/>
        </w:rPr>
        <w:t>Proposed limited options for community capacity building,</w:t>
      </w:r>
      <w:r w:rsidR="009318F8">
        <w:rPr>
          <w:rFonts w:cs="Arial"/>
          <w:szCs w:val="22"/>
        </w:rPr>
        <w:t xml:space="preserve"> including a lack of variety in </w:t>
      </w:r>
      <w:r w:rsidRPr="00EC3597">
        <w:rPr>
          <w:rFonts w:cs="Arial"/>
          <w:szCs w:val="22"/>
        </w:rPr>
        <w:t>proposed activities</w:t>
      </w:r>
    </w:p>
    <w:p w14:paraId="67DB4709" w14:textId="434E5FD7" w:rsidR="008F696D" w:rsidRPr="002B23F2" w:rsidRDefault="008F696D" w:rsidP="00F10E56">
      <w:pPr>
        <w:pStyle w:val="ListParagraph"/>
        <w:numPr>
          <w:ilvl w:val="0"/>
          <w:numId w:val="22"/>
        </w:numPr>
        <w:spacing w:before="120" w:after="140"/>
        <w:rPr>
          <w:rFonts w:cs="Arial"/>
          <w:b/>
          <w:szCs w:val="22"/>
        </w:rPr>
      </w:pPr>
      <w:r w:rsidRPr="00EC3597">
        <w:rPr>
          <w:rFonts w:cs="Arial"/>
          <w:szCs w:val="22"/>
        </w:rPr>
        <w:t xml:space="preserve">Did not sufficiently demonstrate how </w:t>
      </w:r>
      <w:r>
        <w:rPr>
          <w:rFonts w:cs="Arial"/>
          <w:szCs w:val="22"/>
        </w:rPr>
        <w:t>they would establish and/or manage</w:t>
      </w:r>
      <w:r w:rsidRPr="00EC3597">
        <w:rPr>
          <w:rFonts w:cs="Arial"/>
          <w:szCs w:val="22"/>
        </w:rPr>
        <w:t xml:space="preserve"> the Small Grants and Bursaries Program</w:t>
      </w:r>
      <w:r>
        <w:rPr>
          <w:rFonts w:cs="Arial"/>
          <w:szCs w:val="22"/>
        </w:rPr>
        <w:t>, including provision of relevant prior experience in assessing and selecting grant recipients and managing reporting for similar programs</w:t>
      </w:r>
    </w:p>
    <w:p w14:paraId="55D236F4" w14:textId="017EB2A8" w:rsidR="00933527" w:rsidRPr="00933527" w:rsidRDefault="00F10E56" w:rsidP="00F10E56">
      <w:pPr>
        <w:pStyle w:val="ListParagraph"/>
        <w:numPr>
          <w:ilvl w:val="0"/>
          <w:numId w:val="22"/>
        </w:numPr>
        <w:spacing w:before="120" w:after="140"/>
        <w:rPr>
          <w:rFonts w:cs="Arial"/>
          <w:b/>
          <w:szCs w:val="22"/>
        </w:rPr>
      </w:pPr>
      <w:r w:rsidRPr="009F5E6B">
        <w:rPr>
          <w:rFonts w:cs="Arial"/>
          <w:szCs w:val="22"/>
        </w:rPr>
        <w:t>Did not successfully demonstrate how their experience delivering services to target communities</w:t>
      </w:r>
      <w:r w:rsidR="00610C09">
        <w:rPr>
          <w:rFonts w:cs="Arial"/>
          <w:szCs w:val="22"/>
        </w:rPr>
        <w:t xml:space="preserve"> </w:t>
      </w:r>
      <w:r w:rsidRPr="009F5E6B">
        <w:rPr>
          <w:rFonts w:cs="Arial"/>
          <w:szCs w:val="22"/>
        </w:rPr>
        <w:t xml:space="preserve">would be transferrable </w:t>
      </w:r>
      <w:r w:rsidR="0082086B">
        <w:rPr>
          <w:rFonts w:cs="Arial"/>
          <w:szCs w:val="22"/>
        </w:rPr>
        <w:t xml:space="preserve">to </w:t>
      </w:r>
      <w:r w:rsidR="00610C09">
        <w:rPr>
          <w:rFonts w:cs="Arial"/>
          <w:szCs w:val="22"/>
        </w:rPr>
        <w:t>the intercountry adoption community</w:t>
      </w:r>
    </w:p>
    <w:p w14:paraId="27D2C4C6" w14:textId="52AF4A5D" w:rsidR="00F10E56" w:rsidRPr="009F5E6B" w:rsidRDefault="00933527" w:rsidP="00F10E56">
      <w:pPr>
        <w:pStyle w:val="ListParagraph"/>
        <w:numPr>
          <w:ilvl w:val="0"/>
          <w:numId w:val="22"/>
        </w:numPr>
        <w:spacing w:before="120" w:after="140"/>
        <w:rPr>
          <w:rFonts w:cs="Arial"/>
          <w:b/>
          <w:szCs w:val="22"/>
        </w:rPr>
      </w:pPr>
      <w:r>
        <w:rPr>
          <w:rFonts w:cs="Arial"/>
          <w:szCs w:val="22"/>
        </w:rPr>
        <w:t>D</w:t>
      </w:r>
      <w:r w:rsidR="00610C09">
        <w:rPr>
          <w:rFonts w:cs="Arial"/>
          <w:szCs w:val="22"/>
        </w:rPr>
        <w:t xml:space="preserve">id not demonstrate an understanding of the distinct needs </w:t>
      </w:r>
      <w:r w:rsidR="00F740C4">
        <w:rPr>
          <w:rFonts w:cs="Arial"/>
          <w:szCs w:val="22"/>
        </w:rPr>
        <w:t xml:space="preserve">of </w:t>
      </w:r>
      <w:r w:rsidR="0082086B">
        <w:rPr>
          <w:rFonts w:cs="Arial"/>
          <w:szCs w:val="22"/>
        </w:rPr>
        <w:t>adoptees, adoptive families and prospective adoptive parents</w:t>
      </w:r>
      <w:r w:rsidR="00610C09">
        <w:rPr>
          <w:rFonts w:cs="Arial"/>
          <w:szCs w:val="22"/>
        </w:rPr>
        <w:t>, as opposed to other communities they had worked with</w:t>
      </w:r>
      <w:r>
        <w:rPr>
          <w:rFonts w:cs="Arial"/>
          <w:szCs w:val="22"/>
        </w:rPr>
        <w:t>, where skills transfer was detailed</w:t>
      </w:r>
      <w:r w:rsidR="00835DF0">
        <w:rPr>
          <w:rFonts w:cs="Arial"/>
          <w:szCs w:val="22"/>
        </w:rPr>
        <w:t>)</w:t>
      </w:r>
    </w:p>
    <w:p w14:paraId="3895ED28" w14:textId="577D6654" w:rsidR="00835DF0" w:rsidRPr="00933527" w:rsidRDefault="00610C09" w:rsidP="00F10E56">
      <w:pPr>
        <w:pStyle w:val="ListParagraph"/>
        <w:numPr>
          <w:ilvl w:val="0"/>
          <w:numId w:val="22"/>
        </w:numPr>
        <w:spacing w:before="120" w:after="140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Did not demonstrate the </w:t>
      </w:r>
      <w:r w:rsidR="00F10E56" w:rsidRPr="009F5E6B">
        <w:rPr>
          <w:rFonts w:cs="Arial"/>
          <w:szCs w:val="22"/>
        </w:rPr>
        <w:t xml:space="preserve">capacity to deliver the services Australia-wide </w:t>
      </w:r>
    </w:p>
    <w:p w14:paraId="5BD3B69F" w14:textId="10A00332" w:rsidR="00F10E56" w:rsidRPr="009F5E6B" w:rsidRDefault="00835DF0" w:rsidP="00F10E56">
      <w:pPr>
        <w:pStyle w:val="ListParagraph"/>
        <w:numPr>
          <w:ilvl w:val="0"/>
          <w:numId w:val="22"/>
        </w:numPr>
        <w:spacing w:before="120" w:after="140"/>
        <w:rPr>
          <w:rFonts w:cs="Arial"/>
          <w:b/>
          <w:szCs w:val="22"/>
        </w:rPr>
      </w:pPr>
      <w:r>
        <w:rPr>
          <w:rFonts w:cs="Arial"/>
          <w:szCs w:val="22"/>
        </w:rPr>
        <w:t>F</w:t>
      </w:r>
      <w:r w:rsidR="00F10E56" w:rsidRPr="009F5E6B">
        <w:rPr>
          <w:rFonts w:cs="Arial"/>
          <w:szCs w:val="22"/>
        </w:rPr>
        <w:t>ailed to propose a suitable model for the delivery of face-to-face services</w:t>
      </w:r>
      <w:r w:rsidR="00610C09">
        <w:rPr>
          <w:rFonts w:cs="Arial"/>
          <w:szCs w:val="22"/>
        </w:rPr>
        <w:t xml:space="preserve"> nationally or in </w:t>
      </w:r>
      <w:r w:rsidR="00F10E56" w:rsidRPr="009F5E6B">
        <w:rPr>
          <w:rFonts w:cs="Arial"/>
          <w:szCs w:val="22"/>
        </w:rPr>
        <w:t>regional areas</w:t>
      </w:r>
    </w:p>
    <w:p w14:paraId="051B6882" w14:textId="60A58A33" w:rsidR="00FA1F45" w:rsidRPr="00974674" w:rsidRDefault="00F10E56" w:rsidP="002B23F2">
      <w:pPr>
        <w:pStyle w:val="ListParagraph"/>
        <w:numPr>
          <w:ilvl w:val="0"/>
          <w:numId w:val="22"/>
        </w:numPr>
        <w:spacing w:before="120" w:after="140"/>
        <w:rPr>
          <w:rFonts w:asciiTheme="majorHAnsi" w:hAnsiTheme="majorHAnsi" w:cstheme="majorHAnsi"/>
        </w:rPr>
      </w:pPr>
      <w:r w:rsidRPr="009F5E6B">
        <w:rPr>
          <w:rFonts w:cs="Arial"/>
          <w:szCs w:val="22"/>
        </w:rPr>
        <w:t>Provided limited details on</w:t>
      </w:r>
      <w:r w:rsidR="00610C09">
        <w:rPr>
          <w:rFonts w:cs="Arial"/>
          <w:szCs w:val="22"/>
        </w:rPr>
        <w:t xml:space="preserve"> the</w:t>
      </w:r>
      <w:r w:rsidRPr="009F5E6B">
        <w:rPr>
          <w:rFonts w:cs="Arial"/>
          <w:szCs w:val="22"/>
        </w:rPr>
        <w:t xml:space="preserve"> proposed use of technology to support the delivery of the service, including lack of evidence to demonstrate experience in using this technology </w:t>
      </w:r>
      <w:r w:rsidR="00610C09">
        <w:rPr>
          <w:rFonts w:cs="Arial"/>
          <w:szCs w:val="22"/>
        </w:rPr>
        <w:t>or</w:t>
      </w:r>
      <w:r w:rsidR="009318F8">
        <w:rPr>
          <w:rFonts w:cs="Arial"/>
          <w:szCs w:val="22"/>
        </w:rPr>
        <w:t> </w:t>
      </w:r>
      <w:r w:rsidRPr="009F5E6B">
        <w:rPr>
          <w:rFonts w:cs="Arial"/>
          <w:szCs w:val="22"/>
        </w:rPr>
        <w:t xml:space="preserve">platforms to </w:t>
      </w:r>
      <w:r w:rsidR="00610C09">
        <w:rPr>
          <w:rFonts w:cs="Arial"/>
          <w:szCs w:val="22"/>
        </w:rPr>
        <w:t>provide therapeutic support</w:t>
      </w:r>
    </w:p>
    <w:sectPr w:rsidR="00FA1F45" w:rsidRPr="00974674" w:rsidSect="00D91B1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31BD2" w14:textId="77777777" w:rsidR="005F0C93" w:rsidRDefault="005F0C93" w:rsidP="00772718">
      <w:pPr>
        <w:spacing w:line="240" w:lineRule="auto"/>
      </w:pPr>
      <w:r>
        <w:separator/>
      </w:r>
    </w:p>
  </w:endnote>
  <w:endnote w:type="continuationSeparator" w:id="0">
    <w:p w14:paraId="3B0C5F5F" w14:textId="77777777" w:rsidR="005F0C93" w:rsidRDefault="005F0C93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BBE24" w14:textId="5C6307F2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63BAC">
      <w:rPr>
        <w:noProof/>
      </w:rPr>
      <w:t>3</w:t>
    </w:r>
    <w:r>
      <w:fldChar w:fldCharType="end"/>
    </w:r>
    <w:r>
      <w:t xml:space="preserve">  </w:t>
    </w:r>
    <w:proofErr w:type="gramStart"/>
    <w:r w:rsidRPr="00A454BF">
      <w:t xml:space="preserve">|  </w:t>
    </w:r>
    <w:r w:rsidR="00F63BAC">
      <w:t>Feedback</w:t>
    </w:r>
    <w:proofErr w:type="gramEnd"/>
    <w:r w:rsidR="00F63BAC">
      <w:t xml:space="preserve"> for applicants </w:t>
    </w:r>
    <w:r w:rsidR="00F63BAC">
      <w:tab/>
    </w:r>
    <w:r w:rsidR="00F63BAC">
      <w:tab/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B732FFE" wp14:editId="4D04F77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D41BE9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C55B0" w14:textId="410C4477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63BAC">
      <w:rPr>
        <w:noProof/>
      </w:rPr>
      <w:t>1</w:t>
    </w:r>
    <w:r>
      <w:fldChar w:fldCharType="end"/>
    </w:r>
    <w:r>
      <w:t xml:space="preserve">  </w:t>
    </w:r>
    <w:proofErr w:type="gramStart"/>
    <w:r w:rsidRPr="00A454BF">
      <w:t xml:space="preserve">|  </w:t>
    </w:r>
    <w:r w:rsidR="00F63BAC">
      <w:t>Feedback</w:t>
    </w:r>
    <w:proofErr w:type="gramEnd"/>
    <w:r w:rsidR="00F63BAC">
      <w:t xml:space="preserve"> for applicants </w:t>
    </w:r>
    <w:r w:rsidR="00F63BAC">
      <w:tab/>
    </w:r>
    <w:r w:rsidR="00F63BAC">
      <w:tab/>
    </w:r>
    <w:r w:rsidRPr="00A454BF">
      <w:t>Community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8EF07" w14:textId="77777777" w:rsidR="005F0C93" w:rsidRDefault="005F0C93" w:rsidP="00772718">
      <w:pPr>
        <w:spacing w:line="240" w:lineRule="auto"/>
      </w:pPr>
      <w:r>
        <w:separator/>
      </w:r>
    </w:p>
  </w:footnote>
  <w:footnote w:type="continuationSeparator" w:id="0">
    <w:p w14:paraId="4B0452AB" w14:textId="77777777" w:rsidR="005F0C93" w:rsidRDefault="005F0C93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B276" w14:textId="77777777"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44A90CD" wp14:editId="791DBBE3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B63D02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4882F621" wp14:editId="63291E10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A0CE0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52977CE8" wp14:editId="189FABD9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09055F6" wp14:editId="7C3E85B2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A479A1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059BFAE0" wp14:editId="4BF40491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7D8AA6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6B601A6C" wp14:editId="60E282B7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A2A4E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2E7"/>
    <w:multiLevelType w:val="multilevel"/>
    <w:tmpl w:val="00FC2C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9CF5B0B"/>
    <w:multiLevelType w:val="hybridMultilevel"/>
    <w:tmpl w:val="14E01D3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546BF"/>
    <w:multiLevelType w:val="hybridMultilevel"/>
    <w:tmpl w:val="6F4C1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7994256"/>
    <w:multiLevelType w:val="hybridMultilevel"/>
    <w:tmpl w:val="2ECA4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1302D"/>
    <w:multiLevelType w:val="hybridMultilevel"/>
    <w:tmpl w:val="7B8647E6"/>
    <w:lvl w:ilvl="0" w:tplc="895E5204">
      <w:start w:val="1"/>
      <w:numFmt w:val="bullet"/>
      <w:lvlText w:val="-"/>
      <w:lvlJc w:val="left"/>
      <w:pPr>
        <w:ind w:left="833" w:hanging="360"/>
      </w:pPr>
      <w:rPr>
        <w:rFonts w:ascii="Sitka Small" w:hAnsi="Sitka Smal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46949"/>
    <w:multiLevelType w:val="hybridMultilevel"/>
    <w:tmpl w:val="E36C3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3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4EE2E44"/>
    <w:multiLevelType w:val="hybridMultilevel"/>
    <w:tmpl w:val="DA16FFCE"/>
    <w:lvl w:ilvl="0" w:tplc="0F98A0D6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AE139B"/>
    <w:multiLevelType w:val="hybridMultilevel"/>
    <w:tmpl w:val="C3C25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9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F591C"/>
    <w:multiLevelType w:val="hybridMultilevel"/>
    <w:tmpl w:val="B26AFA3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13"/>
  </w:num>
  <w:num w:numId="5">
    <w:abstractNumId w:val="12"/>
  </w:num>
  <w:num w:numId="6">
    <w:abstractNumId w:val="9"/>
  </w:num>
  <w:num w:numId="7">
    <w:abstractNumId w:val="5"/>
  </w:num>
  <w:num w:numId="8">
    <w:abstractNumId w:val="16"/>
  </w:num>
  <w:num w:numId="9">
    <w:abstractNumId w:val="15"/>
  </w:num>
  <w:num w:numId="10">
    <w:abstractNumId w:val="1"/>
  </w:num>
  <w:num w:numId="11">
    <w:abstractNumId w:val="7"/>
  </w:num>
  <w:num w:numId="12">
    <w:abstractNumId w:val="1"/>
  </w:num>
  <w:num w:numId="13">
    <w:abstractNumId w:val="19"/>
  </w:num>
  <w:num w:numId="14">
    <w:abstractNumId w:val="20"/>
  </w:num>
  <w:num w:numId="15">
    <w:abstractNumId w:val="11"/>
  </w:num>
  <w:num w:numId="16">
    <w:abstractNumId w:val="6"/>
  </w:num>
  <w:num w:numId="17">
    <w:abstractNumId w:val="8"/>
  </w:num>
  <w:num w:numId="18">
    <w:abstractNumId w:val="17"/>
  </w:num>
  <w:num w:numId="19">
    <w:abstractNumId w:val="3"/>
  </w:num>
  <w:num w:numId="20">
    <w:abstractNumId w:val="10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A79"/>
    <w:rsid w:val="00007DE9"/>
    <w:rsid w:val="000113BB"/>
    <w:rsid w:val="00015AE4"/>
    <w:rsid w:val="0003018E"/>
    <w:rsid w:val="00033BC3"/>
    <w:rsid w:val="00040735"/>
    <w:rsid w:val="00044E09"/>
    <w:rsid w:val="0004784D"/>
    <w:rsid w:val="00053A00"/>
    <w:rsid w:val="00056CBC"/>
    <w:rsid w:val="000606BF"/>
    <w:rsid w:val="00066FA3"/>
    <w:rsid w:val="00073587"/>
    <w:rsid w:val="00077D6F"/>
    <w:rsid w:val="000A1B6E"/>
    <w:rsid w:val="000B6C00"/>
    <w:rsid w:val="000C1F06"/>
    <w:rsid w:val="000F00A8"/>
    <w:rsid w:val="000F1DD1"/>
    <w:rsid w:val="000F28B8"/>
    <w:rsid w:val="000F3766"/>
    <w:rsid w:val="000F68F5"/>
    <w:rsid w:val="00100880"/>
    <w:rsid w:val="00106FC4"/>
    <w:rsid w:val="00111F0C"/>
    <w:rsid w:val="00120B80"/>
    <w:rsid w:val="00145E2D"/>
    <w:rsid w:val="0016415C"/>
    <w:rsid w:val="0016612C"/>
    <w:rsid w:val="00166181"/>
    <w:rsid w:val="001763D4"/>
    <w:rsid w:val="00181433"/>
    <w:rsid w:val="001834DD"/>
    <w:rsid w:val="0019725E"/>
    <w:rsid w:val="001C0E37"/>
    <w:rsid w:val="001C53CE"/>
    <w:rsid w:val="001C5D96"/>
    <w:rsid w:val="001D0064"/>
    <w:rsid w:val="001D341B"/>
    <w:rsid w:val="001D38E4"/>
    <w:rsid w:val="001E3D2B"/>
    <w:rsid w:val="001E66CE"/>
    <w:rsid w:val="00221DC2"/>
    <w:rsid w:val="00234216"/>
    <w:rsid w:val="00243004"/>
    <w:rsid w:val="00244B48"/>
    <w:rsid w:val="002573D5"/>
    <w:rsid w:val="00264E26"/>
    <w:rsid w:val="00275C57"/>
    <w:rsid w:val="00280E74"/>
    <w:rsid w:val="002A41E1"/>
    <w:rsid w:val="002B23F2"/>
    <w:rsid w:val="002B6242"/>
    <w:rsid w:val="002B6574"/>
    <w:rsid w:val="002C1F56"/>
    <w:rsid w:val="002D4D48"/>
    <w:rsid w:val="002D6B1D"/>
    <w:rsid w:val="002E1CCC"/>
    <w:rsid w:val="002E21D2"/>
    <w:rsid w:val="002E3E0B"/>
    <w:rsid w:val="002E47C6"/>
    <w:rsid w:val="002F4587"/>
    <w:rsid w:val="002F7D3C"/>
    <w:rsid w:val="00305720"/>
    <w:rsid w:val="0031098A"/>
    <w:rsid w:val="003131AB"/>
    <w:rsid w:val="003217BE"/>
    <w:rsid w:val="0034044F"/>
    <w:rsid w:val="00355FF2"/>
    <w:rsid w:val="00361045"/>
    <w:rsid w:val="003706AF"/>
    <w:rsid w:val="0039616D"/>
    <w:rsid w:val="003A17CA"/>
    <w:rsid w:val="003A2016"/>
    <w:rsid w:val="003D0647"/>
    <w:rsid w:val="003D1265"/>
    <w:rsid w:val="003D255E"/>
    <w:rsid w:val="003D3B1D"/>
    <w:rsid w:val="003D5DBE"/>
    <w:rsid w:val="0040404A"/>
    <w:rsid w:val="00404841"/>
    <w:rsid w:val="00412059"/>
    <w:rsid w:val="0041281F"/>
    <w:rsid w:val="00425633"/>
    <w:rsid w:val="00441E79"/>
    <w:rsid w:val="00450486"/>
    <w:rsid w:val="00454EB4"/>
    <w:rsid w:val="00456C57"/>
    <w:rsid w:val="00460D2F"/>
    <w:rsid w:val="004709E9"/>
    <w:rsid w:val="00472379"/>
    <w:rsid w:val="00480D54"/>
    <w:rsid w:val="00482D8B"/>
    <w:rsid w:val="00483A58"/>
    <w:rsid w:val="00484BF8"/>
    <w:rsid w:val="00490618"/>
    <w:rsid w:val="004B5F40"/>
    <w:rsid w:val="004C7D16"/>
    <w:rsid w:val="004D700E"/>
    <w:rsid w:val="004D7A07"/>
    <w:rsid w:val="004D7F17"/>
    <w:rsid w:val="004E0670"/>
    <w:rsid w:val="004E7F37"/>
    <w:rsid w:val="004F31BA"/>
    <w:rsid w:val="004F5A6A"/>
    <w:rsid w:val="005064E9"/>
    <w:rsid w:val="00507BD8"/>
    <w:rsid w:val="005118E4"/>
    <w:rsid w:val="0051299F"/>
    <w:rsid w:val="00526B85"/>
    <w:rsid w:val="005306A1"/>
    <w:rsid w:val="00544751"/>
    <w:rsid w:val="0059000C"/>
    <w:rsid w:val="005A02A1"/>
    <w:rsid w:val="005A3302"/>
    <w:rsid w:val="005B6071"/>
    <w:rsid w:val="005D7A24"/>
    <w:rsid w:val="005E097E"/>
    <w:rsid w:val="005F0C93"/>
    <w:rsid w:val="005F2A69"/>
    <w:rsid w:val="00610C09"/>
    <w:rsid w:val="00616EBA"/>
    <w:rsid w:val="00622B47"/>
    <w:rsid w:val="00632C08"/>
    <w:rsid w:val="00654C42"/>
    <w:rsid w:val="00665DFF"/>
    <w:rsid w:val="0067074A"/>
    <w:rsid w:val="00672994"/>
    <w:rsid w:val="00685E0C"/>
    <w:rsid w:val="00692EFD"/>
    <w:rsid w:val="006A6A1A"/>
    <w:rsid w:val="006C15C5"/>
    <w:rsid w:val="006D3DAD"/>
    <w:rsid w:val="006F7B19"/>
    <w:rsid w:val="00707E21"/>
    <w:rsid w:val="00716D7B"/>
    <w:rsid w:val="00736A76"/>
    <w:rsid w:val="00737C2D"/>
    <w:rsid w:val="00752C6B"/>
    <w:rsid w:val="00760CE6"/>
    <w:rsid w:val="00762F09"/>
    <w:rsid w:val="007719C9"/>
    <w:rsid w:val="00772718"/>
    <w:rsid w:val="007A5326"/>
    <w:rsid w:val="007B23FA"/>
    <w:rsid w:val="007C7445"/>
    <w:rsid w:val="007D30A8"/>
    <w:rsid w:val="007F1687"/>
    <w:rsid w:val="007F614A"/>
    <w:rsid w:val="00814FB1"/>
    <w:rsid w:val="0082086B"/>
    <w:rsid w:val="00820F20"/>
    <w:rsid w:val="0082528A"/>
    <w:rsid w:val="00825754"/>
    <w:rsid w:val="00833758"/>
    <w:rsid w:val="00835210"/>
    <w:rsid w:val="00835DF0"/>
    <w:rsid w:val="0084413D"/>
    <w:rsid w:val="00844C2D"/>
    <w:rsid w:val="00845491"/>
    <w:rsid w:val="00845AD4"/>
    <w:rsid w:val="00851FDD"/>
    <w:rsid w:val="0087438E"/>
    <w:rsid w:val="00884668"/>
    <w:rsid w:val="008A5D53"/>
    <w:rsid w:val="008A6018"/>
    <w:rsid w:val="008A749A"/>
    <w:rsid w:val="008B2B46"/>
    <w:rsid w:val="008B3233"/>
    <w:rsid w:val="008B700B"/>
    <w:rsid w:val="008C1E01"/>
    <w:rsid w:val="008D5750"/>
    <w:rsid w:val="008E05BC"/>
    <w:rsid w:val="008F17B8"/>
    <w:rsid w:val="008F3CCF"/>
    <w:rsid w:val="008F696D"/>
    <w:rsid w:val="0091168E"/>
    <w:rsid w:val="00921840"/>
    <w:rsid w:val="009318F8"/>
    <w:rsid w:val="00932C87"/>
    <w:rsid w:val="009331B4"/>
    <w:rsid w:val="00933527"/>
    <w:rsid w:val="009345F1"/>
    <w:rsid w:val="00936B11"/>
    <w:rsid w:val="00944BBB"/>
    <w:rsid w:val="009547B6"/>
    <w:rsid w:val="00961072"/>
    <w:rsid w:val="00962E22"/>
    <w:rsid w:val="00964A47"/>
    <w:rsid w:val="0096623C"/>
    <w:rsid w:val="00974674"/>
    <w:rsid w:val="009C6C53"/>
    <w:rsid w:val="009D0C98"/>
    <w:rsid w:val="009D34C1"/>
    <w:rsid w:val="009E750F"/>
    <w:rsid w:val="009F5E6B"/>
    <w:rsid w:val="00A04D96"/>
    <w:rsid w:val="00A0629B"/>
    <w:rsid w:val="00A11264"/>
    <w:rsid w:val="00A14495"/>
    <w:rsid w:val="00A16BE1"/>
    <w:rsid w:val="00A24F65"/>
    <w:rsid w:val="00A268D0"/>
    <w:rsid w:val="00A4300D"/>
    <w:rsid w:val="00A454BF"/>
    <w:rsid w:val="00A52E3A"/>
    <w:rsid w:val="00A814CB"/>
    <w:rsid w:val="00A853D6"/>
    <w:rsid w:val="00A90D1B"/>
    <w:rsid w:val="00AD70E2"/>
    <w:rsid w:val="00AF55F8"/>
    <w:rsid w:val="00B10ABA"/>
    <w:rsid w:val="00B303E4"/>
    <w:rsid w:val="00B420D4"/>
    <w:rsid w:val="00B57910"/>
    <w:rsid w:val="00B63448"/>
    <w:rsid w:val="00B876D6"/>
    <w:rsid w:val="00B91B21"/>
    <w:rsid w:val="00B952F6"/>
    <w:rsid w:val="00BA202A"/>
    <w:rsid w:val="00BB3164"/>
    <w:rsid w:val="00BC093A"/>
    <w:rsid w:val="00BC2B00"/>
    <w:rsid w:val="00BC48B3"/>
    <w:rsid w:val="00BC4ACC"/>
    <w:rsid w:val="00BC4FCC"/>
    <w:rsid w:val="00BD02F8"/>
    <w:rsid w:val="00BF6F52"/>
    <w:rsid w:val="00C1488E"/>
    <w:rsid w:val="00C1511E"/>
    <w:rsid w:val="00C217A8"/>
    <w:rsid w:val="00C33858"/>
    <w:rsid w:val="00C34DE7"/>
    <w:rsid w:val="00C4188F"/>
    <w:rsid w:val="00C51EE5"/>
    <w:rsid w:val="00C568AE"/>
    <w:rsid w:val="00C819A4"/>
    <w:rsid w:val="00C824AE"/>
    <w:rsid w:val="00C84EA8"/>
    <w:rsid w:val="00C92998"/>
    <w:rsid w:val="00CA720A"/>
    <w:rsid w:val="00CD0003"/>
    <w:rsid w:val="00CD5925"/>
    <w:rsid w:val="00CD7B7B"/>
    <w:rsid w:val="00CE557A"/>
    <w:rsid w:val="00D031B2"/>
    <w:rsid w:val="00D1410C"/>
    <w:rsid w:val="00D40D16"/>
    <w:rsid w:val="00D42533"/>
    <w:rsid w:val="00D43AEF"/>
    <w:rsid w:val="00D54704"/>
    <w:rsid w:val="00D548F0"/>
    <w:rsid w:val="00D57F79"/>
    <w:rsid w:val="00D615E2"/>
    <w:rsid w:val="00D64FAC"/>
    <w:rsid w:val="00D65704"/>
    <w:rsid w:val="00D668F6"/>
    <w:rsid w:val="00D74E8E"/>
    <w:rsid w:val="00D84875"/>
    <w:rsid w:val="00D904F0"/>
    <w:rsid w:val="00D91378"/>
    <w:rsid w:val="00D91B18"/>
    <w:rsid w:val="00D930FB"/>
    <w:rsid w:val="00D95D89"/>
    <w:rsid w:val="00DC0747"/>
    <w:rsid w:val="00DC2647"/>
    <w:rsid w:val="00DD1408"/>
    <w:rsid w:val="00DD356D"/>
    <w:rsid w:val="00DD6735"/>
    <w:rsid w:val="00DE3AA6"/>
    <w:rsid w:val="00DE418E"/>
    <w:rsid w:val="00DF136A"/>
    <w:rsid w:val="00DF51FA"/>
    <w:rsid w:val="00E0448C"/>
    <w:rsid w:val="00E04B12"/>
    <w:rsid w:val="00E13525"/>
    <w:rsid w:val="00E362C7"/>
    <w:rsid w:val="00E40D5C"/>
    <w:rsid w:val="00E47250"/>
    <w:rsid w:val="00E47ADA"/>
    <w:rsid w:val="00E56344"/>
    <w:rsid w:val="00E61535"/>
    <w:rsid w:val="00E702BF"/>
    <w:rsid w:val="00E73F55"/>
    <w:rsid w:val="00E8246B"/>
    <w:rsid w:val="00E84012"/>
    <w:rsid w:val="00E9029B"/>
    <w:rsid w:val="00E9373C"/>
    <w:rsid w:val="00EA0724"/>
    <w:rsid w:val="00EA6251"/>
    <w:rsid w:val="00EB6414"/>
    <w:rsid w:val="00EC30A1"/>
    <w:rsid w:val="00EC3597"/>
    <w:rsid w:val="00EE5747"/>
    <w:rsid w:val="00EF3804"/>
    <w:rsid w:val="00EF4084"/>
    <w:rsid w:val="00EF5E05"/>
    <w:rsid w:val="00F05289"/>
    <w:rsid w:val="00F10E56"/>
    <w:rsid w:val="00F227AF"/>
    <w:rsid w:val="00F27370"/>
    <w:rsid w:val="00F40B00"/>
    <w:rsid w:val="00F5341C"/>
    <w:rsid w:val="00F56954"/>
    <w:rsid w:val="00F63BAC"/>
    <w:rsid w:val="00F740C4"/>
    <w:rsid w:val="00F85F98"/>
    <w:rsid w:val="00F948AF"/>
    <w:rsid w:val="00FA1F45"/>
    <w:rsid w:val="00FA5226"/>
    <w:rsid w:val="00FA5A7B"/>
    <w:rsid w:val="00FB11B1"/>
    <w:rsid w:val="00FE00E8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C24683"/>
  <w15:docId w15:val="{17D20CDB-059C-4C2B-A8D5-88ABCDD3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491"/>
    <w:rPr>
      <w:rFonts w:asciiTheme="minorHAnsi" w:hAnsiTheme="minorHAnsi"/>
      <w:b/>
      <w:bCs/>
      <w:color w:val="000000" w:themeColor="text1"/>
    </w:rPr>
  </w:style>
  <w:style w:type="table" w:styleId="GridTable4-Accent6">
    <w:name w:val="Grid Table 4 Accent 6"/>
    <w:basedOn w:val="TableNormal"/>
    <w:uiPriority w:val="49"/>
    <w:rsid w:val="00BB3164"/>
    <w:rPr>
      <w:rFonts w:ascii="Times New Roman" w:eastAsia="Times New Roman" w:hAnsi="Times New Roman"/>
      <w:lang w:eastAsia="en-AU"/>
    </w:rPr>
    <w:tblPr>
      <w:tblStyleRowBandSize w:val="1"/>
      <w:tblStyleColBandSize w:val="1"/>
      <w:tblBorders>
        <w:top w:val="single" w:sz="4" w:space="0" w:color="F5F6F5" w:themeColor="accent6" w:themeTint="99"/>
        <w:left w:val="single" w:sz="4" w:space="0" w:color="F5F6F5" w:themeColor="accent6" w:themeTint="99"/>
        <w:bottom w:val="single" w:sz="4" w:space="0" w:color="F5F6F5" w:themeColor="accent6" w:themeTint="99"/>
        <w:right w:val="single" w:sz="4" w:space="0" w:color="F5F6F5" w:themeColor="accent6" w:themeTint="99"/>
        <w:insideH w:val="single" w:sz="4" w:space="0" w:color="F5F6F5" w:themeColor="accent6" w:themeTint="99"/>
        <w:insideV w:val="single" w:sz="4" w:space="0" w:color="F5F6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F0EF" w:themeColor="accent6"/>
          <w:left w:val="single" w:sz="4" w:space="0" w:color="EFF0EF" w:themeColor="accent6"/>
          <w:bottom w:val="single" w:sz="4" w:space="0" w:color="EFF0EF" w:themeColor="accent6"/>
          <w:right w:val="single" w:sz="4" w:space="0" w:color="EFF0EF" w:themeColor="accent6"/>
          <w:insideH w:val="nil"/>
          <w:insideV w:val="nil"/>
        </w:tcBorders>
        <w:shd w:val="clear" w:color="auto" w:fill="EFF0EF" w:themeFill="accent6"/>
      </w:tcPr>
    </w:tblStylePr>
    <w:tblStylePr w:type="lastRow">
      <w:rPr>
        <w:b/>
        <w:bCs/>
      </w:rPr>
      <w:tblPr/>
      <w:tcPr>
        <w:tcBorders>
          <w:top w:val="double" w:sz="4" w:space="0" w:color="EFF0E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CFB" w:themeFill="accent6" w:themeFillTint="33"/>
      </w:tcPr>
    </w:tblStylePr>
    <w:tblStylePr w:type="band1Horz">
      <w:tblPr/>
      <w:tcPr>
        <w:shd w:val="clear" w:color="auto" w:fill="FBFCFB" w:themeFill="accent6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D006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E418E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ommunitygrants.gov.au/sites/default/files/documents/10_2020/icafss-grant-opportunity-guideline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Fact%20sheet%20template%20-%20orange%20(Exter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7FF93772B0460E96E551467BAC0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F5D68-7551-4284-A505-512FD80B9FA7}"/>
      </w:docPartPr>
      <w:docPartBody>
        <w:p w:rsidR="006424F2" w:rsidRDefault="00605577" w:rsidP="00605577">
          <w:pPr>
            <w:pStyle w:val="C77FF93772B0460E96E551467BAC0A8C"/>
          </w:pPr>
          <w:r>
            <w:t>[Title]</w:t>
          </w:r>
        </w:p>
      </w:docPartBody>
    </w:docPart>
    <w:docPart>
      <w:docPartPr>
        <w:name w:val="1AF4CA6354A642418EAAC32AF9DD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17B5A-B017-4602-989C-7DF2EAD55800}"/>
      </w:docPartPr>
      <w:docPartBody>
        <w:p w:rsidR="006424F2" w:rsidRDefault="00605577" w:rsidP="00605577">
          <w:pPr>
            <w:pStyle w:val="1AF4CA6354A642418EAAC32AF9DD8158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4F"/>
    <w:rsid w:val="0000163B"/>
    <w:rsid w:val="000B42E0"/>
    <w:rsid w:val="000D2E1F"/>
    <w:rsid w:val="001645F6"/>
    <w:rsid w:val="00190F4F"/>
    <w:rsid w:val="00273C33"/>
    <w:rsid w:val="004E4BE1"/>
    <w:rsid w:val="004E70C6"/>
    <w:rsid w:val="005718F0"/>
    <w:rsid w:val="005975A3"/>
    <w:rsid w:val="00605577"/>
    <w:rsid w:val="006424F2"/>
    <w:rsid w:val="006646A6"/>
    <w:rsid w:val="006A450B"/>
    <w:rsid w:val="00730936"/>
    <w:rsid w:val="008B580D"/>
    <w:rsid w:val="00B255EC"/>
    <w:rsid w:val="00BF41F1"/>
    <w:rsid w:val="00D07D58"/>
    <w:rsid w:val="00DF5D77"/>
    <w:rsid w:val="00E30915"/>
    <w:rsid w:val="00E47BB7"/>
    <w:rsid w:val="00EE70AF"/>
    <w:rsid w:val="00F44C44"/>
    <w:rsid w:val="00F5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5CEFF8598D4348A6AFB8F4000E0626">
    <w:name w:val="CC5CEFF8598D4348A6AFB8F4000E0626"/>
  </w:style>
  <w:style w:type="paragraph" w:customStyle="1" w:styleId="1F86413E11EC461E885960059A060817">
    <w:name w:val="1F86413E11EC461E885960059A060817"/>
  </w:style>
  <w:style w:type="paragraph" w:customStyle="1" w:styleId="D30B9F959D2148E187AE500D22BD5A4E">
    <w:name w:val="D30B9F959D2148E187AE500D22BD5A4E"/>
    <w:rsid w:val="00605577"/>
  </w:style>
  <w:style w:type="paragraph" w:customStyle="1" w:styleId="AE43076D95174273AEBFD9D7DC0444AF">
    <w:name w:val="AE43076D95174273AEBFD9D7DC0444AF"/>
    <w:rsid w:val="00605577"/>
  </w:style>
  <w:style w:type="paragraph" w:customStyle="1" w:styleId="FEC168293B5F4FF3A66E0008F832CCBE">
    <w:name w:val="FEC168293B5F4FF3A66E0008F832CCBE"/>
    <w:rsid w:val="00605577"/>
  </w:style>
  <w:style w:type="paragraph" w:customStyle="1" w:styleId="16D7A56F61A44511A088C868C2F243F0">
    <w:name w:val="16D7A56F61A44511A088C868C2F243F0"/>
    <w:rsid w:val="00605577"/>
  </w:style>
  <w:style w:type="paragraph" w:customStyle="1" w:styleId="C77FF93772B0460E96E551467BAC0A8C">
    <w:name w:val="C77FF93772B0460E96E551467BAC0A8C"/>
    <w:rsid w:val="00605577"/>
  </w:style>
  <w:style w:type="paragraph" w:customStyle="1" w:styleId="1AF4CA6354A642418EAAC32AF9DD8158">
    <w:name w:val="1AF4CA6354A642418EAAC32AF9DD8158"/>
    <w:rsid w:val="00605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5CBF2A-39C4-4903-A2C3-7AFB7760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273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Intercountry Adoptee and Family Support Service</vt:lpstr>
    </vt:vector>
  </TitlesOfParts>
  <Company>Community Grants Hub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Intercountry Adoptee and Family Support Service</dc:title>
  <dc:subject>Feedback for applicants</dc:subject>
  <dc:creator>LONG, Andrew</dc:creator>
  <cp:lastModifiedBy>NGUYEN, Tricia</cp:lastModifiedBy>
  <cp:revision>18</cp:revision>
  <cp:lastPrinted>2021-02-16T02:53:00Z</cp:lastPrinted>
  <dcterms:created xsi:type="dcterms:W3CDTF">2021-02-10T02:09:00Z</dcterms:created>
  <dcterms:modified xsi:type="dcterms:W3CDTF">2021-02-16T02:53:00Z</dcterms:modified>
</cp:coreProperties>
</file>