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697DE9" w14:textId="77777777" w:rsidR="005316BE" w:rsidRDefault="005316BE" w:rsidP="00537B50">
      <w:pPr>
        <w:spacing w:before="0" w:after="0"/>
        <w:ind w:left="-850"/>
      </w:pPr>
      <w:bookmarkStart w:id="0" w:name="_GoBack"/>
      <w:bookmarkEnd w:id="0"/>
    </w:p>
    <w:p w14:paraId="051040D2" w14:textId="77777777" w:rsidR="00C80192" w:rsidRPr="00F0373D" w:rsidRDefault="00D20713" w:rsidP="00C80192">
      <w:pPr>
        <w:pStyle w:val="Title"/>
        <w:rPr>
          <w:color w:val="005A70"/>
        </w:rPr>
      </w:pPr>
      <w:r w:rsidRPr="00F0373D">
        <w:rPr>
          <w:color w:val="005A70"/>
        </w:rPr>
        <w:t>Feedback for Applicants</w:t>
      </w:r>
    </w:p>
    <w:p w14:paraId="5B935E5A" w14:textId="77777777" w:rsidR="00C80192" w:rsidRPr="00754D44" w:rsidRDefault="00EB59AA" w:rsidP="00C80192">
      <w:pPr>
        <w:pStyle w:val="Subtitle"/>
      </w:pPr>
      <w:r>
        <w:t>Seniors Connected – Village Hubs National Grants Manager</w:t>
      </w:r>
    </w:p>
    <w:p w14:paraId="3F978706" w14:textId="77777777" w:rsidR="00C80192" w:rsidRPr="00F0373D" w:rsidRDefault="00D20713" w:rsidP="00C80192">
      <w:pPr>
        <w:pStyle w:val="Heading1"/>
        <w:rPr>
          <w:color w:val="005A70"/>
        </w:rPr>
      </w:pPr>
      <w:r w:rsidRPr="00F0373D">
        <w:rPr>
          <w:color w:val="005A70"/>
        </w:rPr>
        <w:t>Overview</w:t>
      </w:r>
    </w:p>
    <w:p w14:paraId="3323D356" w14:textId="77777777" w:rsidR="00EB59AA" w:rsidRDefault="00EB59AA" w:rsidP="00EB59AA">
      <w:bookmarkStart w:id="1" w:name="_Toc391890681"/>
      <w:r>
        <w:t>The purpose of this grant is to engage a suitable organisation or consortia to manage the selection and administration of the grants to other organisations that will operate Village Hubs.</w:t>
      </w:r>
    </w:p>
    <w:p w14:paraId="006F6223" w14:textId="7E920A84" w:rsidR="00EB59AA" w:rsidRDefault="00EB59AA" w:rsidP="00EB59AA">
      <w:r>
        <w:t xml:space="preserve">The successful Village Hubs National Grants Manager will assist the Australian Government establish at least </w:t>
      </w:r>
      <w:r w:rsidR="00505F1C">
        <w:t xml:space="preserve">10 </w:t>
      </w:r>
      <w:r>
        <w:t>additional Village Hubs in various locations across Australia, targeting older Australians aged 55 years and over (or Indigenous Australians aged 50 or over) living in their community.</w:t>
      </w:r>
    </w:p>
    <w:p w14:paraId="4C148EAA" w14:textId="77777777" w:rsidR="00EB59AA" w:rsidRDefault="00EB59AA" w:rsidP="00EB59AA">
      <w:r>
        <w:t>A number of Village Hubs already exist in Australia and overseas, demonstrating how this model can bring older Australians together through a range of social, physical, learning, arts and cultural activities. Village Hubs aim to address loneliness, build community connection and offer a network of informal community support.</w:t>
      </w:r>
    </w:p>
    <w:p w14:paraId="4BB1E135" w14:textId="77777777" w:rsidR="00342476" w:rsidRDefault="00EB59AA" w:rsidP="00EB59AA">
      <w:r>
        <w:t>The Seniors Connected Village Hub projects will be evaluated to determine the effectiveness of the model to build a long-term sustainable community-led initiative.</w:t>
      </w:r>
    </w:p>
    <w:p w14:paraId="02197E35" w14:textId="7A39038D" w:rsidR="008A3507" w:rsidRDefault="008A3507" w:rsidP="008A3507">
      <w:r>
        <w:t xml:space="preserve">The application period opened on </w:t>
      </w:r>
      <w:r w:rsidR="00EB59AA">
        <w:t>8 October 2020</w:t>
      </w:r>
      <w:r w:rsidRPr="008A3507">
        <w:t xml:space="preserve"> </w:t>
      </w:r>
      <w:r>
        <w:t xml:space="preserve">and closed on </w:t>
      </w:r>
      <w:r w:rsidR="00EB59AA">
        <w:t>4 November 2020</w:t>
      </w:r>
      <w:r>
        <w:t xml:space="preserve">. Up to </w:t>
      </w:r>
      <w:r w:rsidRPr="00EB59AA">
        <w:t>$</w:t>
      </w:r>
      <w:r w:rsidR="00EB59AA">
        <w:t>4.7</w:t>
      </w:r>
      <w:r w:rsidR="00EB59AA" w:rsidRPr="00EB59AA">
        <w:t xml:space="preserve"> million</w:t>
      </w:r>
      <w:r>
        <w:t xml:space="preserve"> (GST exclusive) over </w:t>
      </w:r>
      <w:r w:rsidR="00505F1C">
        <w:t xml:space="preserve">4 </w:t>
      </w:r>
      <w:r>
        <w:t>years is available for this grant opportunity</w:t>
      </w:r>
      <w:r w:rsidR="00EB59AA">
        <w:t xml:space="preserve"> (this includes $3.9 million for the Village Hubs Grants Fund)</w:t>
      </w:r>
      <w:r>
        <w:t xml:space="preserve">, starting from </w:t>
      </w:r>
      <w:r w:rsidR="00EB59AA">
        <w:t>February 2021</w:t>
      </w:r>
      <w:r>
        <w:t xml:space="preserve"> and finishing in </w:t>
      </w:r>
      <w:r w:rsidR="00EB59AA">
        <w:t>30 June 2021</w:t>
      </w:r>
      <w:r>
        <w:t xml:space="preserve">. A total of </w:t>
      </w:r>
      <w:r w:rsidR="00EB59AA">
        <w:t xml:space="preserve">29 </w:t>
      </w:r>
      <w:r>
        <w:t xml:space="preserve">applications were received, of which </w:t>
      </w:r>
      <w:r w:rsidR="00EB59AA">
        <w:t xml:space="preserve">26 </w:t>
      </w:r>
      <w:r>
        <w:t xml:space="preserve">were eligible, making the </w:t>
      </w:r>
      <w:r w:rsidR="0051175A">
        <w:t xml:space="preserve">assessment of the most suitable applications </w:t>
      </w:r>
      <w:r w:rsidR="00EB05C5" w:rsidRPr="0051175A">
        <w:t>highly</w:t>
      </w:r>
      <w:r w:rsidRPr="0051175A">
        <w:t xml:space="preserve"> competitive. </w:t>
      </w:r>
      <w:r>
        <w:t xml:space="preserve">After assessment, </w:t>
      </w:r>
      <w:r w:rsidR="0051175A">
        <w:t>and ranking of the most suitable applications, one application was selected for the total amount of $4</w:t>
      </w:r>
      <w:r w:rsidR="003420B4">
        <w:t>.7</w:t>
      </w:r>
      <w:r w:rsidR="0051175A">
        <w:t xml:space="preserve"> million (as per section </w:t>
      </w:r>
      <w:r w:rsidR="00505F1C">
        <w:t xml:space="preserve">3 </w:t>
      </w:r>
      <w:r w:rsidR="0051175A">
        <w:t>of the Grant Opportunity Guidelines)</w:t>
      </w:r>
      <w:r>
        <w:t xml:space="preserve">. </w:t>
      </w:r>
    </w:p>
    <w:p w14:paraId="270B6377" w14:textId="77777777" w:rsidR="008A3507" w:rsidRDefault="008A3507" w:rsidP="008A3507">
      <w:r>
        <w:t xml:space="preserve">The feedback provided below on behalf of the Department of Social Services is to help grant applicants understand what generally comprised stronger and weaker responses to the assessment criteria for this grant </w:t>
      </w:r>
      <w:r w:rsidR="00024729">
        <w:t>opportunity</w:t>
      </w:r>
      <w:r>
        <w:t>, and how to strengthen future applications.</w:t>
      </w:r>
    </w:p>
    <w:p w14:paraId="7AF38626" w14:textId="77777777" w:rsidR="008A3507" w:rsidRDefault="008A3507" w:rsidP="008A3507">
      <w:r>
        <w:t>Future grant opportunities may be available for this program. You can find out about new gra</w:t>
      </w:r>
      <w:r w:rsidR="00024729">
        <w:t xml:space="preserve">nt opportunities </w:t>
      </w:r>
      <w:r w:rsidR="00024729" w:rsidRPr="00024729">
        <w:rPr>
          <w:rFonts w:asciiTheme="minorHAnsi" w:hAnsiTheme="minorHAnsi" w:cstheme="minorHAnsi"/>
        </w:rPr>
        <w:t xml:space="preserve">on </w:t>
      </w:r>
      <w:hyperlink r:id="rId8" w:history="1">
        <w:r w:rsidR="00024729" w:rsidRPr="00024729">
          <w:rPr>
            <w:rStyle w:val="Hyperlink"/>
            <w:rFonts w:asciiTheme="minorHAnsi" w:hAnsiTheme="minorHAnsi" w:cstheme="minorHAnsi"/>
          </w:rPr>
          <w:t>GrantConnect</w:t>
        </w:r>
      </w:hyperlink>
      <w:r w:rsidR="00E317FE" w:rsidRPr="001F0CAB">
        <w:t>.</w:t>
      </w:r>
    </w:p>
    <w:bookmarkEnd w:id="1"/>
    <w:p w14:paraId="6B6E604E" w14:textId="434AE1EF" w:rsidR="00C80192" w:rsidRPr="00F0373D" w:rsidRDefault="00C217A2" w:rsidP="00C80192">
      <w:pPr>
        <w:pStyle w:val="Heading1"/>
        <w:rPr>
          <w:color w:val="005A70"/>
        </w:rPr>
      </w:pPr>
      <w:r>
        <w:rPr>
          <w:color w:val="005A70"/>
        </w:rPr>
        <w:t>Selection p</w:t>
      </w:r>
      <w:r w:rsidR="00D20713" w:rsidRPr="00F0373D">
        <w:rPr>
          <w:color w:val="005A70"/>
        </w:rPr>
        <w:t>rocess</w:t>
      </w:r>
    </w:p>
    <w:p w14:paraId="04717DF6" w14:textId="77777777" w:rsidR="00024729" w:rsidRPr="00024729" w:rsidRDefault="00024729" w:rsidP="00024729">
      <w:pPr>
        <w:pStyle w:val="BodyText"/>
        <w:spacing w:line="276" w:lineRule="auto"/>
        <w:rPr>
          <w:rFonts w:ascii="Arial" w:hAnsi="Arial" w:cs="Arial"/>
          <w:sz w:val="24"/>
          <w:szCs w:val="24"/>
        </w:rPr>
      </w:pPr>
      <w:r w:rsidRPr="00EB05C5">
        <w:rPr>
          <w:rFonts w:ascii="Arial" w:hAnsi="Arial" w:cs="Arial"/>
          <w:color w:val="auto"/>
          <w:sz w:val="24"/>
          <w:szCs w:val="24"/>
        </w:rPr>
        <w:t>An open</w:t>
      </w:r>
      <w:r>
        <w:rPr>
          <w:rFonts w:ascii="Arial" w:hAnsi="Arial" w:cs="Arial"/>
          <w:color w:val="auto"/>
          <w:sz w:val="24"/>
          <w:szCs w:val="24"/>
        </w:rPr>
        <w:t xml:space="preserve"> </w:t>
      </w:r>
      <w:r w:rsidRPr="00024729">
        <w:rPr>
          <w:rFonts w:ascii="Arial" w:hAnsi="Arial" w:cs="Arial"/>
          <w:color w:val="auto"/>
          <w:sz w:val="24"/>
          <w:szCs w:val="24"/>
        </w:rPr>
        <w:t xml:space="preserve">competitive selection process was undertaken, allowing a range of organisations that met the </w:t>
      </w:r>
      <w:r w:rsidRPr="00024729">
        <w:rPr>
          <w:rFonts w:ascii="Arial" w:hAnsi="Arial" w:cs="Arial"/>
          <w:sz w:val="24"/>
          <w:szCs w:val="24"/>
        </w:rPr>
        <w:t>eligibility criteria to apply.</w:t>
      </w:r>
    </w:p>
    <w:p w14:paraId="10F9EFF5" w14:textId="013FE32B" w:rsidR="00024729" w:rsidRPr="00024729" w:rsidRDefault="00024729" w:rsidP="00024729">
      <w:pPr>
        <w:pStyle w:val="BodyText"/>
        <w:spacing w:line="276" w:lineRule="auto"/>
        <w:rPr>
          <w:rFonts w:ascii="Arial" w:hAnsi="Arial" w:cs="Arial"/>
          <w:sz w:val="24"/>
          <w:szCs w:val="24"/>
        </w:rPr>
      </w:pPr>
      <w:r w:rsidRPr="00024729">
        <w:rPr>
          <w:rFonts w:ascii="Arial" w:hAnsi="Arial" w:cs="Arial"/>
          <w:sz w:val="24"/>
          <w:szCs w:val="24"/>
        </w:rPr>
        <w:t xml:space="preserve">Applications were first screened for eligibility and compliance against the requirements outlined in the Grant Opportunity </w:t>
      </w:r>
      <w:r w:rsidRPr="00076A17">
        <w:rPr>
          <w:rFonts w:ascii="Arial" w:hAnsi="Arial" w:cs="Arial"/>
          <w:sz w:val="24"/>
          <w:szCs w:val="24"/>
        </w:rPr>
        <w:t xml:space="preserve">Guidelines, including </w:t>
      </w:r>
      <w:r w:rsidR="006703C4" w:rsidRPr="00076A17">
        <w:rPr>
          <w:rFonts w:ascii="Arial" w:hAnsi="Arial" w:cs="Arial"/>
          <w:sz w:val="24"/>
          <w:szCs w:val="24"/>
        </w:rPr>
        <w:t xml:space="preserve">entity types, late applications, multiple </w:t>
      </w:r>
      <w:r w:rsidR="006703C4" w:rsidRPr="00076A17">
        <w:rPr>
          <w:rFonts w:ascii="Arial" w:hAnsi="Arial" w:cs="Arial"/>
          <w:sz w:val="24"/>
          <w:szCs w:val="24"/>
        </w:rPr>
        <w:lastRenderedPageBreak/>
        <w:t>applications</w:t>
      </w:r>
      <w:r w:rsidRPr="00076A17">
        <w:rPr>
          <w:rFonts w:ascii="Arial" w:hAnsi="Arial" w:cs="Arial"/>
          <w:sz w:val="24"/>
          <w:szCs w:val="24"/>
        </w:rPr>
        <w:t>.</w:t>
      </w:r>
      <w:r w:rsidRPr="00076A17">
        <w:rPr>
          <w:rFonts w:ascii="Arial" w:hAnsi="Arial" w:cs="Arial"/>
          <w:color w:val="FF0000"/>
          <w:sz w:val="24"/>
          <w:szCs w:val="24"/>
        </w:rPr>
        <w:t xml:space="preserve"> </w:t>
      </w:r>
      <w:r w:rsidRPr="00076A17">
        <w:rPr>
          <w:rFonts w:ascii="Arial" w:hAnsi="Arial" w:cs="Arial"/>
          <w:sz w:val="24"/>
          <w:szCs w:val="24"/>
        </w:rPr>
        <w:t>All eligible</w:t>
      </w:r>
      <w:r w:rsidRPr="00024729">
        <w:rPr>
          <w:rFonts w:ascii="Arial" w:hAnsi="Arial" w:cs="Arial"/>
          <w:sz w:val="24"/>
          <w:szCs w:val="24"/>
        </w:rPr>
        <w:t xml:space="preserve"> and compliant applications were then assessed and moderated by the </w:t>
      </w:r>
      <w:r>
        <w:rPr>
          <w:rFonts w:ascii="Arial" w:hAnsi="Arial" w:cs="Arial"/>
          <w:sz w:val="24"/>
          <w:szCs w:val="24"/>
        </w:rPr>
        <w:t xml:space="preserve">Department of Social Services </w:t>
      </w:r>
      <w:r w:rsidRPr="00024729">
        <w:rPr>
          <w:rFonts w:ascii="Arial" w:hAnsi="Arial" w:cs="Arial"/>
          <w:sz w:val="24"/>
          <w:szCs w:val="24"/>
        </w:rPr>
        <w:t xml:space="preserve">against </w:t>
      </w:r>
      <w:r w:rsidRPr="00B9108A">
        <w:rPr>
          <w:rFonts w:ascii="Arial" w:hAnsi="Arial" w:cs="Arial"/>
          <w:sz w:val="24"/>
          <w:szCs w:val="24"/>
        </w:rPr>
        <w:t xml:space="preserve">the </w:t>
      </w:r>
      <w:r w:rsidR="00505F1C">
        <w:rPr>
          <w:sz w:val="24"/>
          <w:szCs w:val="24"/>
        </w:rPr>
        <w:t>3</w:t>
      </w:r>
      <w:r w:rsidR="00505F1C" w:rsidRPr="00B9108A">
        <w:rPr>
          <w:sz w:val="24"/>
          <w:szCs w:val="24"/>
        </w:rPr>
        <w:t xml:space="preserve"> </w:t>
      </w:r>
      <w:r w:rsidRPr="00B9108A">
        <w:rPr>
          <w:rFonts w:ascii="Arial" w:hAnsi="Arial" w:cs="Arial"/>
          <w:sz w:val="24"/>
          <w:szCs w:val="24"/>
        </w:rPr>
        <w:t>assessment</w:t>
      </w:r>
      <w:r w:rsidRPr="00024729">
        <w:rPr>
          <w:rFonts w:ascii="Arial" w:hAnsi="Arial" w:cs="Arial"/>
          <w:sz w:val="24"/>
          <w:szCs w:val="24"/>
        </w:rPr>
        <w:t xml:space="preserve"> criteria.</w:t>
      </w:r>
    </w:p>
    <w:p w14:paraId="5F773636" w14:textId="77777777" w:rsidR="00024729" w:rsidRPr="00024729" w:rsidRDefault="00024729" w:rsidP="00024729">
      <w:pPr>
        <w:pStyle w:val="BodyText"/>
        <w:spacing w:line="276" w:lineRule="auto"/>
        <w:rPr>
          <w:rFonts w:ascii="Arial" w:hAnsi="Arial" w:cs="Arial"/>
          <w:sz w:val="24"/>
          <w:szCs w:val="24"/>
        </w:rPr>
      </w:pPr>
      <w:r w:rsidRPr="00024729">
        <w:rPr>
          <w:rFonts w:ascii="Arial" w:hAnsi="Arial" w:cs="Arial"/>
          <w:sz w:val="24"/>
          <w:szCs w:val="24"/>
        </w:rPr>
        <w:t xml:space="preserve">A </w:t>
      </w:r>
      <w:r w:rsidR="003420B4">
        <w:rPr>
          <w:rFonts w:ascii="Arial" w:hAnsi="Arial" w:cs="Arial"/>
          <w:sz w:val="24"/>
          <w:szCs w:val="24"/>
        </w:rPr>
        <w:t xml:space="preserve">Department of Social Services </w:t>
      </w:r>
      <w:r w:rsidRPr="00024729">
        <w:rPr>
          <w:rFonts w:ascii="Arial" w:hAnsi="Arial" w:cs="Arial"/>
          <w:sz w:val="24"/>
          <w:szCs w:val="24"/>
        </w:rPr>
        <w:t>Selection Advisory Panel</w:t>
      </w:r>
      <w:r w:rsidR="0051175A">
        <w:rPr>
          <w:rFonts w:ascii="Arial" w:hAnsi="Arial" w:cs="Arial"/>
          <w:sz w:val="24"/>
          <w:szCs w:val="24"/>
        </w:rPr>
        <w:t>,</w:t>
      </w:r>
      <w:r w:rsidR="001F0CAB">
        <w:rPr>
          <w:rFonts w:ascii="Arial" w:hAnsi="Arial" w:cs="Arial"/>
          <w:sz w:val="24"/>
          <w:szCs w:val="24"/>
        </w:rPr>
        <w:t xml:space="preserve"> </w:t>
      </w:r>
      <w:r w:rsidRPr="00024729">
        <w:rPr>
          <w:rFonts w:ascii="Arial" w:hAnsi="Arial" w:cs="Arial"/>
          <w:sz w:val="24"/>
          <w:szCs w:val="24"/>
        </w:rPr>
        <w:t xml:space="preserve">with a mix of relevant policy, program and delivery expertise made funding recommendations to the </w:t>
      </w:r>
      <w:r w:rsidR="00B9108A">
        <w:rPr>
          <w:rFonts w:ascii="Arial" w:hAnsi="Arial" w:cs="Arial"/>
          <w:sz w:val="24"/>
          <w:szCs w:val="24"/>
        </w:rPr>
        <w:t>Department of Social Services’</w:t>
      </w:r>
      <w:r w:rsidRPr="00024729">
        <w:rPr>
          <w:rFonts w:ascii="Arial" w:hAnsi="Arial" w:cs="Arial"/>
          <w:sz w:val="24"/>
          <w:szCs w:val="24"/>
        </w:rPr>
        <w:t xml:space="preserve"> </w:t>
      </w:r>
      <w:r w:rsidR="00B9108A" w:rsidRPr="00024729">
        <w:rPr>
          <w:rFonts w:ascii="Arial" w:hAnsi="Arial" w:cs="Arial"/>
          <w:sz w:val="24"/>
          <w:szCs w:val="24"/>
        </w:rPr>
        <w:t>De</w:t>
      </w:r>
      <w:r w:rsidR="00B9108A">
        <w:rPr>
          <w:rFonts w:ascii="Arial" w:hAnsi="Arial" w:cs="Arial"/>
          <w:sz w:val="24"/>
          <w:szCs w:val="24"/>
        </w:rPr>
        <w:t>cision Maker</w:t>
      </w:r>
      <w:r w:rsidRPr="00024729">
        <w:rPr>
          <w:rFonts w:ascii="Arial" w:hAnsi="Arial" w:cs="Arial"/>
          <w:color w:val="auto"/>
          <w:sz w:val="24"/>
          <w:szCs w:val="24"/>
        </w:rPr>
        <w:t>.</w:t>
      </w:r>
      <w:r w:rsidRPr="00024729">
        <w:rPr>
          <w:rFonts w:ascii="Arial" w:hAnsi="Arial" w:cs="Arial"/>
          <w:color w:val="FF0000"/>
          <w:sz w:val="24"/>
          <w:szCs w:val="24"/>
        </w:rPr>
        <w:t xml:space="preserve"> </w:t>
      </w:r>
      <w:r w:rsidRPr="007846F0">
        <w:rPr>
          <w:rFonts w:ascii="Arial" w:hAnsi="Arial" w:cs="Arial"/>
          <w:color w:val="auto"/>
          <w:sz w:val="24"/>
          <w:szCs w:val="24"/>
        </w:rPr>
        <w:t xml:space="preserve">The </w:t>
      </w:r>
      <w:r w:rsidRPr="00024729">
        <w:rPr>
          <w:rFonts w:ascii="Arial" w:hAnsi="Arial" w:cs="Arial"/>
          <w:sz w:val="24"/>
          <w:szCs w:val="24"/>
        </w:rPr>
        <w:t>recommendations were based on the strength of responses to the assessment criteria and the applicant’s ability to meet the grant requirements outlined in the Grant Opportunity Guidelines.</w:t>
      </w:r>
    </w:p>
    <w:p w14:paraId="7B6795E6" w14:textId="77777777" w:rsidR="00024729" w:rsidRPr="00024729" w:rsidRDefault="00024729" w:rsidP="00024729">
      <w:pPr>
        <w:pStyle w:val="CommentText"/>
        <w:spacing w:line="276" w:lineRule="auto"/>
        <w:rPr>
          <w:rFonts w:ascii="Arial" w:hAnsi="Arial" w:cs="Arial"/>
          <w:sz w:val="24"/>
          <w:szCs w:val="24"/>
        </w:rPr>
      </w:pPr>
      <w:r w:rsidRPr="00024729">
        <w:rPr>
          <w:rFonts w:ascii="Arial" w:hAnsi="Arial" w:cs="Arial"/>
          <w:sz w:val="24"/>
          <w:szCs w:val="24"/>
        </w:rPr>
        <w:t>The Selection Advisory Panel considered all applications and their assessment results and made recommendations on applications having regard to:</w:t>
      </w:r>
    </w:p>
    <w:p w14:paraId="4FEE820E" w14:textId="77777777" w:rsidR="00024729" w:rsidRPr="00024729" w:rsidRDefault="00024729" w:rsidP="003A1BC3">
      <w:pPr>
        <w:pStyle w:val="ListParagraph"/>
        <w:numPr>
          <w:ilvl w:val="0"/>
          <w:numId w:val="3"/>
        </w:numPr>
        <w:spacing w:after="120" w:line="276" w:lineRule="auto"/>
        <w:ind w:left="714" w:hanging="357"/>
        <w:rPr>
          <w:rFonts w:cs="Arial"/>
        </w:rPr>
      </w:pPr>
      <w:r w:rsidRPr="00024729">
        <w:rPr>
          <w:rFonts w:cs="Arial"/>
        </w:rPr>
        <w:t>whether the project, or any of its elements did not align with the program objectives</w:t>
      </w:r>
    </w:p>
    <w:p w14:paraId="0C002356" w14:textId="77777777" w:rsidR="00024729" w:rsidRPr="00024729" w:rsidRDefault="00024729" w:rsidP="003A1BC3">
      <w:pPr>
        <w:pStyle w:val="ListParagraph"/>
        <w:numPr>
          <w:ilvl w:val="0"/>
          <w:numId w:val="3"/>
        </w:numPr>
        <w:spacing w:after="120" w:line="276" w:lineRule="auto"/>
        <w:ind w:left="714" w:hanging="357"/>
        <w:rPr>
          <w:rFonts w:cs="Arial"/>
        </w:rPr>
      </w:pPr>
      <w:r w:rsidRPr="00024729">
        <w:rPr>
          <w:rFonts w:cs="Arial"/>
        </w:rPr>
        <w:t>value for money</w:t>
      </w:r>
    </w:p>
    <w:p w14:paraId="7C586252" w14:textId="77777777" w:rsidR="00024729" w:rsidRDefault="00024729" w:rsidP="003A1BC3">
      <w:pPr>
        <w:pStyle w:val="ListParagraph"/>
        <w:numPr>
          <w:ilvl w:val="0"/>
          <w:numId w:val="3"/>
        </w:numPr>
        <w:spacing w:after="120" w:line="276" w:lineRule="auto"/>
        <w:ind w:left="714" w:hanging="357"/>
        <w:rPr>
          <w:rFonts w:cs="Arial"/>
        </w:rPr>
      </w:pPr>
      <w:r w:rsidRPr="00024729">
        <w:rPr>
          <w:rFonts w:cs="Arial"/>
        </w:rPr>
        <w:t>conformance with eligibility criteria</w:t>
      </w:r>
    </w:p>
    <w:p w14:paraId="65C0D9F3" w14:textId="77777777" w:rsidR="00024729" w:rsidRPr="00024729" w:rsidRDefault="00024729" w:rsidP="003A1BC3">
      <w:pPr>
        <w:pStyle w:val="ListParagraph"/>
        <w:numPr>
          <w:ilvl w:val="0"/>
          <w:numId w:val="3"/>
        </w:numPr>
        <w:spacing w:after="120" w:line="276" w:lineRule="auto"/>
        <w:ind w:left="714" w:hanging="357"/>
        <w:rPr>
          <w:rFonts w:cs="Arial"/>
        </w:rPr>
      </w:pPr>
      <w:r w:rsidRPr="00024729">
        <w:rPr>
          <w:rFonts w:cs="Arial"/>
        </w:rPr>
        <w:t>service provider mix</w:t>
      </w:r>
    </w:p>
    <w:p w14:paraId="32762A5A" w14:textId="77777777" w:rsidR="00024729" w:rsidRPr="00024729" w:rsidRDefault="00024729" w:rsidP="003A1BC3">
      <w:pPr>
        <w:pStyle w:val="ListParagraph"/>
        <w:numPr>
          <w:ilvl w:val="0"/>
          <w:numId w:val="3"/>
        </w:numPr>
        <w:spacing w:after="120" w:line="276" w:lineRule="auto"/>
        <w:ind w:left="714" w:hanging="357"/>
        <w:rPr>
          <w:rFonts w:cs="Arial"/>
        </w:rPr>
      </w:pPr>
      <w:r w:rsidRPr="00024729">
        <w:rPr>
          <w:rFonts w:cs="Arial"/>
        </w:rPr>
        <w:t>how the services and/or project will be delivered.</w:t>
      </w:r>
    </w:p>
    <w:p w14:paraId="7A4387D2" w14:textId="77777777" w:rsidR="00024729" w:rsidRPr="00024729" w:rsidRDefault="00024729" w:rsidP="00024729">
      <w:pPr>
        <w:spacing w:after="120" w:line="276" w:lineRule="auto"/>
        <w:rPr>
          <w:rFonts w:cs="Arial"/>
        </w:rPr>
      </w:pPr>
      <w:r w:rsidRPr="00024729">
        <w:rPr>
          <w:rFonts w:cs="Arial"/>
        </w:rPr>
        <w:t xml:space="preserve">The </w:t>
      </w:r>
      <w:r w:rsidR="00B9108A">
        <w:rPr>
          <w:rFonts w:cs="Arial"/>
        </w:rPr>
        <w:t>Department of Social Services’</w:t>
      </w:r>
      <w:r w:rsidR="00B9108A" w:rsidRPr="00024729">
        <w:rPr>
          <w:rFonts w:cs="Arial"/>
        </w:rPr>
        <w:t xml:space="preserve"> De</w:t>
      </w:r>
      <w:r w:rsidR="00B9108A">
        <w:rPr>
          <w:rFonts w:cs="Arial"/>
        </w:rPr>
        <w:t>cision Maker</w:t>
      </w:r>
      <w:r w:rsidR="00B9108A" w:rsidRPr="00024729">
        <w:rPr>
          <w:rFonts w:cs="Arial"/>
        </w:rPr>
        <w:t xml:space="preserve"> </w:t>
      </w:r>
      <w:r w:rsidR="00B9108A">
        <w:rPr>
          <w:rFonts w:cs="Arial"/>
        </w:rPr>
        <w:t>a</w:t>
      </w:r>
      <w:r w:rsidRPr="00024729">
        <w:rPr>
          <w:rFonts w:cs="Arial"/>
        </w:rPr>
        <w:t>pprove</w:t>
      </w:r>
      <w:r w:rsidR="00B9108A">
        <w:rPr>
          <w:rFonts w:cs="Arial"/>
        </w:rPr>
        <w:t>d</w:t>
      </w:r>
      <w:r w:rsidRPr="00024729">
        <w:rPr>
          <w:rFonts w:cs="Arial"/>
        </w:rPr>
        <w:t xml:space="preserve"> funding to the successful grant recipient.</w:t>
      </w:r>
    </w:p>
    <w:p w14:paraId="0BBE8E49" w14:textId="77777777" w:rsidR="00B9108A" w:rsidRDefault="00024729" w:rsidP="00B9108A">
      <w:pPr>
        <w:pStyle w:val="BodyText"/>
        <w:spacing w:line="276" w:lineRule="auto"/>
        <w:rPr>
          <w:rFonts w:ascii="Arial" w:eastAsia="Times New Roman" w:hAnsi="Arial" w:cs="Arial"/>
          <w:color w:val="auto"/>
          <w:sz w:val="24"/>
          <w:szCs w:val="24"/>
        </w:rPr>
      </w:pPr>
      <w:r w:rsidRPr="00024729">
        <w:rPr>
          <w:rFonts w:ascii="Arial" w:eastAsia="Times New Roman" w:hAnsi="Arial" w:cs="Arial"/>
          <w:color w:val="auto"/>
          <w:sz w:val="24"/>
          <w:szCs w:val="24"/>
        </w:rPr>
        <w:t>The successful applicants proposed activities that were eligible, appropriate and considered effective for achieving the program objectives. They demonstrated their suitability for public funding, value for money and met all of the eligibility requirements in the Grant Opportunity Guidelines.</w:t>
      </w:r>
    </w:p>
    <w:p w14:paraId="286537E6" w14:textId="77777777" w:rsidR="00B9108A" w:rsidRPr="00F0373D" w:rsidRDefault="00B9108A" w:rsidP="00B9108A">
      <w:pPr>
        <w:pStyle w:val="Heading1"/>
        <w:rPr>
          <w:color w:val="005A70"/>
        </w:rPr>
      </w:pPr>
      <w:r w:rsidRPr="00F0373D">
        <w:rPr>
          <w:color w:val="005A70"/>
        </w:rPr>
        <w:t>General feedback</w:t>
      </w:r>
    </w:p>
    <w:p w14:paraId="4E1E40EE" w14:textId="77777777" w:rsidR="00B9108A" w:rsidRPr="00B9108A" w:rsidRDefault="00B9108A" w:rsidP="00B9108A">
      <w:pPr>
        <w:pStyle w:val="BodyText"/>
        <w:spacing w:line="276" w:lineRule="auto"/>
        <w:rPr>
          <w:rFonts w:cstheme="minorHAnsi"/>
          <w:sz w:val="24"/>
          <w:szCs w:val="24"/>
        </w:rPr>
      </w:pPr>
      <w:r w:rsidRPr="00B9108A">
        <w:rPr>
          <w:rFonts w:cstheme="minorHAnsi"/>
          <w:sz w:val="24"/>
          <w:szCs w:val="24"/>
        </w:rPr>
        <w:t>Applicants could have generally strengthened their application by:</w:t>
      </w:r>
    </w:p>
    <w:p w14:paraId="79ADC426" w14:textId="77777777" w:rsidR="00B9108A" w:rsidRPr="00B9108A" w:rsidRDefault="00B9108A" w:rsidP="003A1BC3">
      <w:pPr>
        <w:pStyle w:val="ListParagraph"/>
        <w:numPr>
          <w:ilvl w:val="0"/>
          <w:numId w:val="3"/>
        </w:numPr>
        <w:spacing w:after="120" w:line="276" w:lineRule="auto"/>
        <w:ind w:left="714" w:hanging="357"/>
        <w:rPr>
          <w:rFonts w:asciiTheme="minorHAnsi" w:hAnsiTheme="minorHAnsi" w:cstheme="minorHAnsi"/>
        </w:rPr>
      </w:pPr>
      <w:r w:rsidRPr="00B9108A">
        <w:rPr>
          <w:rFonts w:asciiTheme="minorHAnsi" w:hAnsiTheme="minorHAnsi" w:cstheme="minorHAnsi"/>
        </w:rPr>
        <w:t>ensuring they thoroughly read the Grant Opportunity Guidelines</w:t>
      </w:r>
    </w:p>
    <w:p w14:paraId="1A4ACFE8" w14:textId="77777777" w:rsidR="00B9108A" w:rsidRPr="00B9108A" w:rsidRDefault="00B9108A" w:rsidP="003A1BC3">
      <w:pPr>
        <w:pStyle w:val="ListParagraph"/>
        <w:numPr>
          <w:ilvl w:val="0"/>
          <w:numId w:val="3"/>
        </w:numPr>
        <w:spacing w:after="120" w:line="276" w:lineRule="auto"/>
        <w:ind w:left="714" w:hanging="357"/>
        <w:rPr>
          <w:rFonts w:asciiTheme="minorHAnsi" w:hAnsiTheme="minorHAnsi" w:cstheme="minorHAnsi"/>
        </w:rPr>
      </w:pPr>
      <w:r w:rsidRPr="00B9108A">
        <w:rPr>
          <w:rFonts w:asciiTheme="minorHAnsi" w:hAnsiTheme="minorHAnsi" w:cstheme="minorHAnsi"/>
        </w:rPr>
        <w:t>ensuring all aspects of the criteria were addressed</w:t>
      </w:r>
    </w:p>
    <w:p w14:paraId="4316B28D" w14:textId="4B2C3DCA" w:rsidR="00B9108A" w:rsidRPr="00B9108A" w:rsidRDefault="00B9108A" w:rsidP="003A1BC3">
      <w:pPr>
        <w:pStyle w:val="ListParagraph"/>
        <w:numPr>
          <w:ilvl w:val="0"/>
          <w:numId w:val="3"/>
        </w:numPr>
        <w:spacing w:after="120" w:line="276" w:lineRule="auto"/>
        <w:ind w:left="714" w:hanging="357"/>
        <w:rPr>
          <w:rFonts w:asciiTheme="minorHAnsi" w:hAnsiTheme="minorHAnsi" w:cstheme="minorHAnsi"/>
        </w:rPr>
      </w:pPr>
      <w:r w:rsidRPr="00B9108A">
        <w:rPr>
          <w:rFonts w:asciiTheme="minorHAnsi" w:hAnsiTheme="minorHAnsi" w:cstheme="minorHAnsi"/>
        </w:rPr>
        <w:t xml:space="preserve">demonstrating their consideration of the </w:t>
      </w:r>
      <w:r w:rsidR="00505F1C">
        <w:rPr>
          <w:rFonts w:asciiTheme="minorHAnsi" w:hAnsiTheme="minorHAnsi" w:cstheme="minorHAnsi"/>
        </w:rPr>
        <w:t>g</w:t>
      </w:r>
      <w:r w:rsidRPr="00B9108A">
        <w:rPr>
          <w:rFonts w:asciiTheme="minorHAnsi" w:hAnsiTheme="minorHAnsi" w:cstheme="minorHAnsi"/>
        </w:rPr>
        <w:t xml:space="preserve">rant </w:t>
      </w:r>
      <w:r w:rsidR="00505F1C">
        <w:rPr>
          <w:rFonts w:asciiTheme="minorHAnsi" w:hAnsiTheme="minorHAnsi" w:cstheme="minorHAnsi"/>
        </w:rPr>
        <w:t>p</w:t>
      </w:r>
      <w:r w:rsidRPr="00B9108A">
        <w:rPr>
          <w:rFonts w:asciiTheme="minorHAnsi" w:hAnsiTheme="minorHAnsi" w:cstheme="minorHAnsi"/>
        </w:rPr>
        <w:t>rogram’s objectives</w:t>
      </w:r>
    </w:p>
    <w:p w14:paraId="58CC98B3" w14:textId="77777777" w:rsidR="00B9108A" w:rsidRPr="00B9108A" w:rsidRDefault="00B9108A" w:rsidP="003A1BC3">
      <w:pPr>
        <w:pStyle w:val="ListParagraph"/>
        <w:numPr>
          <w:ilvl w:val="0"/>
          <w:numId w:val="3"/>
        </w:numPr>
        <w:spacing w:after="120" w:line="276" w:lineRule="auto"/>
        <w:ind w:left="714" w:hanging="357"/>
        <w:rPr>
          <w:rFonts w:asciiTheme="minorHAnsi" w:hAnsiTheme="minorHAnsi" w:cstheme="minorHAnsi"/>
        </w:rPr>
      </w:pPr>
      <w:r w:rsidRPr="00B9108A">
        <w:rPr>
          <w:rFonts w:asciiTheme="minorHAnsi" w:hAnsiTheme="minorHAnsi" w:cstheme="minorHAnsi"/>
        </w:rPr>
        <w:t>only including relevant information that is not ambiguous</w:t>
      </w:r>
    </w:p>
    <w:p w14:paraId="3C0ADDD3" w14:textId="77777777" w:rsidR="00940813" w:rsidRDefault="00B9108A" w:rsidP="001B3349">
      <w:pPr>
        <w:pStyle w:val="ListParagraph"/>
        <w:numPr>
          <w:ilvl w:val="0"/>
          <w:numId w:val="3"/>
        </w:numPr>
        <w:spacing w:after="120" w:line="276" w:lineRule="auto"/>
        <w:ind w:left="714" w:hanging="357"/>
        <w:rPr>
          <w:rFonts w:asciiTheme="minorHAnsi" w:hAnsiTheme="minorHAnsi" w:cstheme="minorHAnsi"/>
        </w:rPr>
      </w:pPr>
      <w:r w:rsidRPr="00940813">
        <w:rPr>
          <w:rFonts w:asciiTheme="minorHAnsi" w:hAnsiTheme="minorHAnsi" w:cstheme="minorHAnsi"/>
        </w:rPr>
        <w:t>supporting claims with relevant, reliable and current evidence</w:t>
      </w:r>
      <w:r w:rsidR="001F2C51" w:rsidRPr="00940813">
        <w:rPr>
          <w:rFonts w:asciiTheme="minorHAnsi" w:hAnsiTheme="minorHAnsi" w:cstheme="minorHAnsi"/>
        </w:rPr>
        <w:t xml:space="preserve"> </w:t>
      </w:r>
      <w:r w:rsidRPr="00940813">
        <w:rPr>
          <w:rFonts w:cstheme="minorHAnsi"/>
        </w:rPr>
        <w:t xml:space="preserve">linking claims back to the policy objectives and the </w:t>
      </w:r>
      <w:r w:rsidR="00076A17" w:rsidRPr="00940813">
        <w:rPr>
          <w:rFonts w:cstheme="minorHAnsi"/>
        </w:rPr>
        <w:t>Village Hubs National Grant</w:t>
      </w:r>
      <w:r w:rsidR="0051175A">
        <w:rPr>
          <w:rFonts w:cstheme="minorHAnsi"/>
        </w:rPr>
        <w:t>s</w:t>
      </w:r>
      <w:r w:rsidR="00076A17" w:rsidRPr="00940813">
        <w:rPr>
          <w:rFonts w:cstheme="minorHAnsi"/>
        </w:rPr>
        <w:t xml:space="preserve"> Manager Activity</w:t>
      </w:r>
      <w:r w:rsidRPr="00940813">
        <w:rPr>
          <w:rFonts w:cstheme="minorHAnsi"/>
        </w:rPr>
        <w:t xml:space="preserve"> to be delivered.</w:t>
      </w:r>
    </w:p>
    <w:p w14:paraId="07ECB67B" w14:textId="77777777" w:rsidR="00940813" w:rsidRDefault="00940813">
      <w:pPr>
        <w:spacing w:before="0" w:after="0" w:line="240" w:lineRule="auto"/>
        <w:rPr>
          <w:rFonts w:asciiTheme="minorHAnsi" w:hAnsiTheme="minorHAnsi" w:cstheme="minorHAnsi"/>
        </w:rPr>
      </w:pPr>
      <w:r>
        <w:rPr>
          <w:rFonts w:asciiTheme="minorHAnsi" w:hAnsiTheme="minorHAnsi" w:cstheme="minorHAnsi"/>
        </w:rPr>
        <w:br w:type="page"/>
      </w:r>
    </w:p>
    <w:p w14:paraId="1F214375" w14:textId="77777777" w:rsidR="002705E7" w:rsidRPr="00F0373D" w:rsidRDefault="00B9108A" w:rsidP="003D745F">
      <w:pPr>
        <w:pStyle w:val="Heading2"/>
        <w:rPr>
          <w:color w:val="005A70"/>
        </w:rPr>
      </w:pPr>
      <w:r w:rsidRPr="00F0373D">
        <w:rPr>
          <w:color w:val="005A70"/>
        </w:rPr>
        <w:lastRenderedPageBreak/>
        <w:t>Criterion 1</w:t>
      </w:r>
    </w:p>
    <w:tbl>
      <w:tblPr>
        <w:tblStyle w:val="GridTable4-Accent6"/>
        <w:tblW w:w="0" w:type="auto"/>
        <w:tblBorders>
          <w:top w:val="single" w:sz="4" w:space="0" w:color="00838A"/>
          <w:left w:val="single" w:sz="4" w:space="0" w:color="00838A"/>
          <w:bottom w:val="single" w:sz="4" w:space="0" w:color="00838A"/>
          <w:right w:val="single" w:sz="4" w:space="0" w:color="00838A"/>
          <w:insideH w:val="single" w:sz="4" w:space="0" w:color="00838A"/>
          <w:insideV w:val="single" w:sz="4" w:space="0" w:color="00838A"/>
        </w:tblBorders>
        <w:tblLook w:val="04A0" w:firstRow="1" w:lastRow="0" w:firstColumn="1" w:lastColumn="0" w:noHBand="0" w:noVBand="1"/>
        <w:tblCaption w:val="Criterion 1 Feedback"/>
      </w:tblPr>
      <w:tblGrid>
        <w:gridCol w:w="9911"/>
      </w:tblGrid>
      <w:tr w:rsidR="003D745F" w:rsidRPr="003D745F" w14:paraId="72FF6540" w14:textId="77777777" w:rsidTr="00505F1C">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9911" w:type="dxa"/>
          </w:tcPr>
          <w:p w14:paraId="5A25B0E0" w14:textId="6971E3A0" w:rsidR="003D745F" w:rsidRPr="003D745F" w:rsidRDefault="005B1172" w:rsidP="005B3EE6">
            <w:pPr>
              <w:rPr>
                <w:b w:val="0"/>
                <w:color w:val="auto"/>
              </w:rPr>
            </w:pPr>
            <w:r w:rsidRPr="005B1172">
              <w:rPr>
                <w:color w:val="auto"/>
              </w:rPr>
              <w:t>Demonstrate your understanding of the need for the funded activity to the specified target group</w:t>
            </w:r>
            <w:r w:rsidR="00505F1C">
              <w:rPr>
                <w:color w:val="auto"/>
              </w:rPr>
              <w:t>.</w:t>
            </w:r>
          </w:p>
        </w:tc>
      </w:tr>
      <w:tr w:rsidR="003D745F" w:rsidRPr="003D745F" w14:paraId="008F3369" w14:textId="77777777" w:rsidTr="00C217A2">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9911" w:type="dxa"/>
            <w:shd w:val="clear" w:color="auto" w:fill="DFF4F3"/>
          </w:tcPr>
          <w:p w14:paraId="4ADC4D53" w14:textId="77777777" w:rsidR="003D745F" w:rsidRPr="003D745F" w:rsidRDefault="003D745F" w:rsidP="005B3EE6">
            <w:pPr>
              <w:rPr>
                <w:b w:val="0"/>
              </w:rPr>
            </w:pPr>
            <w:r w:rsidRPr="00C217A2">
              <w:rPr>
                <w:rFonts w:eastAsia="Arial" w:cs="Arial"/>
                <w:color w:val="auto"/>
              </w:rPr>
              <w:t>Successful applications clearly:</w:t>
            </w:r>
          </w:p>
        </w:tc>
      </w:tr>
      <w:tr w:rsidR="003D745F" w:rsidRPr="003D745F" w14:paraId="69F433E5" w14:textId="77777777" w:rsidTr="00C217A2">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9911" w:type="dxa"/>
            <w:shd w:val="clear" w:color="auto" w:fill="auto"/>
          </w:tcPr>
          <w:p w14:paraId="10B3F6D9" w14:textId="77777777" w:rsidR="005B1172" w:rsidRPr="00C217A2" w:rsidRDefault="005B1172" w:rsidP="005B1172">
            <w:pPr>
              <w:pStyle w:val="ListBullet"/>
              <w:numPr>
                <w:ilvl w:val="0"/>
                <w:numId w:val="0"/>
              </w:numPr>
              <w:rPr>
                <w:rFonts w:eastAsia="Arial"/>
                <w:b w:val="0"/>
                <w:color w:val="auto"/>
              </w:rPr>
            </w:pPr>
            <w:r w:rsidRPr="00C217A2">
              <w:rPr>
                <w:rFonts w:eastAsia="Arial"/>
                <w:b w:val="0"/>
                <w:color w:val="auto"/>
              </w:rPr>
              <w:t>Demonstrated an expert knowledge and understanding of all of the following:</w:t>
            </w:r>
          </w:p>
          <w:p w14:paraId="6311A30C" w14:textId="77777777" w:rsidR="005B1172" w:rsidRPr="00C217A2" w:rsidRDefault="005B1172" w:rsidP="005B1172">
            <w:pPr>
              <w:pStyle w:val="ListBullet"/>
              <w:rPr>
                <w:rFonts w:eastAsia="Arial"/>
                <w:b w:val="0"/>
                <w:color w:val="auto"/>
              </w:rPr>
            </w:pPr>
            <w:r w:rsidRPr="00C217A2">
              <w:rPr>
                <w:rFonts w:eastAsia="Arial"/>
                <w:b w:val="0"/>
                <w:color w:val="auto"/>
              </w:rPr>
              <w:t>mental health issues associated with loneliness and social isolation in the older Australian population, with a particular focus on older Australians living in the community</w:t>
            </w:r>
          </w:p>
          <w:p w14:paraId="36A8DBE3" w14:textId="77777777" w:rsidR="005B1172" w:rsidRPr="00C217A2" w:rsidRDefault="005B1172" w:rsidP="005B1172">
            <w:pPr>
              <w:pStyle w:val="ListBullet"/>
              <w:rPr>
                <w:rFonts w:eastAsia="Arial"/>
                <w:b w:val="0"/>
                <w:color w:val="auto"/>
              </w:rPr>
            </w:pPr>
            <w:r w:rsidRPr="00C217A2">
              <w:rPr>
                <w:rFonts w:eastAsia="Arial"/>
                <w:b w:val="0"/>
                <w:color w:val="auto"/>
              </w:rPr>
              <w:t>how the Village Hubs model can support older Australians living in the community to achieve positive mental health outcomes by alleviating loneliness and social isolation, and complement other services in the community such as clinical mental health treatment and other aged care services</w:t>
            </w:r>
          </w:p>
          <w:p w14:paraId="0708716E" w14:textId="77777777" w:rsidR="003D745F" w:rsidRPr="003D745F" w:rsidRDefault="005B1172" w:rsidP="005B1172">
            <w:pPr>
              <w:pStyle w:val="ListBullet"/>
              <w:rPr>
                <w:rFonts w:eastAsia="Arial"/>
                <w:b w:val="0"/>
              </w:rPr>
            </w:pPr>
            <w:r w:rsidRPr="00C217A2">
              <w:rPr>
                <w:rFonts w:eastAsia="Arial"/>
                <w:b w:val="0"/>
                <w:color w:val="auto"/>
              </w:rPr>
              <w:t>delivering services to Indigenous Australians in a culturally safe and appropriate way where relevant.</w:t>
            </w:r>
          </w:p>
        </w:tc>
      </w:tr>
      <w:tr w:rsidR="003D745F" w:rsidRPr="003D745F" w14:paraId="036B8948" w14:textId="77777777" w:rsidTr="00C217A2">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9911" w:type="dxa"/>
            <w:shd w:val="clear" w:color="auto" w:fill="DFF4F3"/>
          </w:tcPr>
          <w:p w14:paraId="5877B51A" w14:textId="77777777" w:rsidR="003D745F" w:rsidRPr="003D745F" w:rsidRDefault="003D745F" w:rsidP="005B3EE6">
            <w:pPr>
              <w:rPr>
                <w:szCs w:val="20"/>
              </w:rPr>
            </w:pPr>
            <w:r w:rsidRPr="00C217A2">
              <w:rPr>
                <w:color w:val="auto"/>
              </w:rPr>
              <w:t>Stronger responses clearly</w:t>
            </w:r>
            <w:r w:rsidR="00076A17" w:rsidRPr="00C217A2">
              <w:rPr>
                <w:color w:val="auto"/>
              </w:rPr>
              <w:t xml:space="preserve"> demonstrated</w:t>
            </w:r>
            <w:r w:rsidRPr="00C217A2">
              <w:rPr>
                <w:color w:val="auto"/>
              </w:rPr>
              <w:t>:</w:t>
            </w:r>
          </w:p>
        </w:tc>
      </w:tr>
      <w:tr w:rsidR="003D745F" w:rsidRPr="003D745F" w14:paraId="24A4B15D" w14:textId="77777777" w:rsidTr="00C217A2">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9911" w:type="dxa"/>
            <w:shd w:val="clear" w:color="auto" w:fill="auto"/>
          </w:tcPr>
          <w:p w14:paraId="4F7E32AC" w14:textId="12F78AA8" w:rsidR="005B1172" w:rsidRPr="00C217A2" w:rsidRDefault="00505F1C" w:rsidP="005B1172">
            <w:pPr>
              <w:pStyle w:val="ListBullet"/>
              <w:rPr>
                <w:rFonts w:eastAsia="Arial"/>
                <w:b w:val="0"/>
                <w:color w:val="auto"/>
              </w:rPr>
            </w:pPr>
            <w:r w:rsidRPr="00C217A2">
              <w:rPr>
                <w:rFonts w:eastAsia="Arial"/>
                <w:b w:val="0"/>
                <w:color w:val="auto"/>
              </w:rPr>
              <w:t>e</w:t>
            </w:r>
            <w:r w:rsidR="005B1172" w:rsidRPr="00C217A2">
              <w:rPr>
                <w:rFonts w:eastAsia="Arial"/>
                <w:b w:val="0"/>
                <w:color w:val="auto"/>
              </w:rPr>
              <w:t>xpert knowledge and understanding of the mental health issues associated with loneliness and social isolation in the older Australian population, with a particular focus on older Australians living in the community</w:t>
            </w:r>
          </w:p>
          <w:p w14:paraId="376ACE12" w14:textId="323208F8" w:rsidR="003D745F" w:rsidRPr="00C217A2" w:rsidRDefault="00505F1C" w:rsidP="005B1172">
            <w:pPr>
              <w:pStyle w:val="ListBullet"/>
              <w:rPr>
                <w:rFonts w:eastAsia="Arial"/>
                <w:b w:val="0"/>
                <w:color w:val="auto"/>
              </w:rPr>
            </w:pPr>
            <w:r w:rsidRPr="00C217A2">
              <w:rPr>
                <w:rFonts w:eastAsia="Arial"/>
                <w:b w:val="0"/>
                <w:color w:val="auto"/>
              </w:rPr>
              <w:t>e</w:t>
            </w:r>
            <w:r w:rsidR="005B1172" w:rsidRPr="00C217A2">
              <w:rPr>
                <w:rFonts w:eastAsia="Arial"/>
                <w:b w:val="0"/>
                <w:color w:val="auto"/>
              </w:rPr>
              <w:t>xpert knowledge and understanding of the Village Hubs model and how it can support older Aust</w:t>
            </w:r>
            <w:r w:rsidR="00076A17" w:rsidRPr="00C217A2">
              <w:rPr>
                <w:rFonts w:eastAsia="Arial"/>
                <w:b w:val="0"/>
                <w:color w:val="auto"/>
              </w:rPr>
              <w:t>ralians living in the community</w:t>
            </w:r>
          </w:p>
          <w:p w14:paraId="17705D5C" w14:textId="384ED4E5" w:rsidR="00E05785" w:rsidRPr="00C217A2" w:rsidRDefault="00505F1C" w:rsidP="00E05785">
            <w:pPr>
              <w:pStyle w:val="ListBullet"/>
              <w:rPr>
                <w:rFonts w:eastAsia="Arial"/>
                <w:b w:val="0"/>
                <w:color w:val="auto"/>
              </w:rPr>
            </w:pPr>
            <w:r w:rsidRPr="00C217A2">
              <w:rPr>
                <w:rFonts w:eastAsia="Arial"/>
                <w:b w:val="0"/>
                <w:color w:val="auto"/>
              </w:rPr>
              <w:t>m</w:t>
            </w:r>
            <w:r w:rsidR="00E05785" w:rsidRPr="00C217A2">
              <w:rPr>
                <w:rFonts w:eastAsia="Arial"/>
                <w:b w:val="0"/>
                <w:color w:val="auto"/>
              </w:rPr>
              <w:t>ade a strong case for how Village Hubs can complement other services in the community such as clinical mental health treatment and other aged care services</w:t>
            </w:r>
          </w:p>
          <w:p w14:paraId="4CBA5D93" w14:textId="434A32ED" w:rsidR="00076A17" w:rsidRPr="003D745F" w:rsidRDefault="00505F1C" w:rsidP="00076A17">
            <w:pPr>
              <w:pStyle w:val="ListBullet"/>
              <w:rPr>
                <w:rFonts w:eastAsia="Arial"/>
                <w:b w:val="0"/>
              </w:rPr>
            </w:pPr>
            <w:r w:rsidRPr="00C217A2">
              <w:rPr>
                <w:rFonts w:eastAsia="Arial"/>
                <w:b w:val="0"/>
                <w:color w:val="auto"/>
              </w:rPr>
              <w:t>e</w:t>
            </w:r>
            <w:r w:rsidR="00076A17" w:rsidRPr="00C217A2">
              <w:rPr>
                <w:rFonts w:eastAsia="Arial"/>
                <w:b w:val="0"/>
                <w:color w:val="auto"/>
              </w:rPr>
              <w:t>xpert knowledge and understanding of delivering services to Indigenous Australians in a culturally safe and appropriate way.</w:t>
            </w:r>
          </w:p>
        </w:tc>
      </w:tr>
      <w:tr w:rsidR="003D745F" w:rsidRPr="003D745F" w14:paraId="5331492A" w14:textId="77777777" w:rsidTr="00C217A2">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9911" w:type="dxa"/>
            <w:shd w:val="clear" w:color="auto" w:fill="DFF4F3"/>
          </w:tcPr>
          <w:p w14:paraId="5D34F1E8" w14:textId="77777777" w:rsidR="003D745F" w:rsidRPr="003D745F" w:rsidRDefault="003D745F" w:rsidP="00E05785">
            <w:pPr>
              <w:rPr>
                <w:rFonts w:eastAsia="Arial" w:cs="Arial"/>
              </w:rPr>
            </w:pPr>
            <w:r w:rsidRPr="00C217A2">
              <w:rPr>
                <w:rFonts w:eastAsia="Arial" w:cs="Arial"/>
                <w:color w:val="auto"/>
              </w:rPr>
              <w:t>Weaker responses did not:</w:t>
            </w:r>
          </w:p>
        </w:tc>
      </w:tr>
      <w:tr w:rsidR="003D745F" w:rsidRPr="003D745F" w14:paraId="138BD61B" w14:textId="77777777" w:rsidTr="00C217A2">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9911" w:type="dxa"/>
            <w:shd w:val="clear" w:color="auto" w:fill="auto"/>
          </w:tcPr>
          <w:p w14:paraId="24D0C213" w14:textId="1511E479" w:rsidR="00E05785" w:rsidRPr="00C217A2" w:rsidRDefault="00505F1C" w:rsidP="00E05785">
            <w:pPr>
              <w:pStyle w:val="ListBullet"/>
              <w:rPr>
                <w:rFonts w:eastAsia="Arial"/>
                <w:b w:val="0"/>
                <w:color w:val="auto"/>
              </w:rPr>
            </w:pPr>
            <w:r w:rsidRPr="00C217A2">
              <w:rPr>
                <w:rFonts w:eastAsia="Arial"/>
                <w:b w:val="0"/>
                <w:color w:val="auto"/>
              </w:rPr>
              <w:t>c</w:t>
            </w:r>
            <w:r w:rsidR="00E05785" w:rsidRPr="00C217A2">
              <w:rPr>
                <w:rFonts w:eastAsia="Arial"/>
                <w:b w:val="0"/>
                <w:color w:val="auto"/>
              </w:rPr>
              <w:t>learly demonstrate an expert knowledge and understanding of the mental health issues associated with loneliness and social isolation in the older Australian population, with a particular focus on older Australians living in the community</w:t>
            </w:r>
          </w:p>
          <w:p w14:paraId="77B2295E" w14:textId="667CAB6A" w:rsidR="00E05785" w:rsidRPr="00C217A2" w:rsidRDefault="00505F1C" w:rsidP="00E05785">
            <w:pPr>
              <w:pStyle w:val="ListBullet"/>
              <w:ind w:left="533"/>
              <w:rPr>
                <w:rFonts w:eastAsia="Arial"/>
                <w:b w:val="0"/>
                <w:color w:val="auto"/>
              </w:rPr>
            </w:pPr>
            <w:r w:rsidRPr="00C217A2">
              <w:rPr>
                <w:rFonts w:eastAsia="Arial"/>
                <w:b w:val="0"/>
                <w:color w:val="auto"/>
              </w:rPr>
              <w:t>c</w:t>
            </w:r>
            <w:r w:rsidR="00E05785" w:rsidRPr="00C217A2">
              <w:rPr>
                <w:rFonts w:eastAsia="Arial"/>
                <w:b w:val="0"/>
                <w:color w:val="auto"/>
              </w:rPr>
              <w:t>learly demonstrate an expert knowledge and understanding of the Village Hubs model and how it can support older Australians living in the community, and complement other services in the community such as clinical mental health treatment and other aged care services</w:t>
            </w:r>
          </w:p>
          <w:p w14:paraId="08E9EC85" w14:textId="4EB8A110" w:rsidR="00E05785" w:rsidRPr="00C217A2" w:rsidRDefault="00505F1C" w:rsidP="00E05785">
            <w:pPr>
              <w:pStyle w:val="ListBullet"/>
              <w:rPr>
                <w:rFonts w:eastAsia="Arial"/>
                <w:b w:val="0"/>
                <w:color w:val="auto"/>
              </w:rPr>
            </w:pPr>
            <w:r w:rsidRPr="00C217A2">
              <w:rPr>
                <w:rFonts w:eastAsia="Arial"/>
                <w:b w:val="0"/>
                <w:color w:val="auto"/>
              </w:rPr>
              <w:t>c</w:t>
            </w:r>
            <w:r w:rsidR="00E05785" w:rsidRPr="00C217A2">
              <w:rPr>
                <w:rFonts w:eastAsia="Arial"/>
                <w:b w:val="0"/>
                <w:color w:val="auto"/>
              </w:rPr>
              <w:t>learly demonstrate an expert knowledge and understanding of delivering services to Indigenous Australians in a culturally safe and appropriate way</w:t>
            </w:r>
          </w:p>
          <w:p w14:paraId="1123570D" w14:textId="77777777" w:rsidR="00E05785" w:rsidRPr="00C217A2" w:rsidRDefault="00E05785" w:rsidP="00E05785">
            <w:pPr>
              <w:pStyle w:val="ListBullet"/>
              <w:numPr>
                <w:ilvl w:val="0"/>
                <w:numId w:val="0"/>
              </w:numPr>
              <w:ind w:left="533"/>
              <w:rPr>
                <w:rFonts w:eastAsia="Arial"/>
                <w:b w:val="0"/>
                <w:color w:val="auto"/>
              </w:rPr>
            </w:pPr>
            <w:r w:rsidRPr="00C217A2">
              <w:rPr>
                <w:rFonts w:eastAsia="Arial"/>
                <w:b w:val="0"/>
                <w:color w:val="auto"/>
              </w:rPr>
              <w:t>OR</w:t>
            </w:r>
          </w:p>
          <w:p w14:paraId="13CF520F" w14:textId="1C07C5F2" w:rsidR="003D745F" w:rsidRPr="00E05785" w:rsidRDefault="00505F1C" w:rsidP="00E05785">
            <w:pPr>
              <w:pStyle w:val="ListBullet"/>
              <w:ind w:left="533"/>
              <w:rPr>
                <w:rFonts w:eastAsia="Arial"/>
                <w:b w:val="0"/>
              </w:rPr>
            </w:pPr>
            <w:r w:rsidRPr="00C217A2">
              <w:rPr>
                <w:rFonts w:eastAsia="Arial"/>
                <w:b w:val="0"/>
                <w:color w:val="auto"/>
              </w:rPr>
              <w:t>a</w:t>
            </w:r>
            <w:r w:rsidR="00E05785" w:rsidRPr="00C217A2">
              <w:rPr>
                <w:rFonts w:eastAsia="Arial"/>
                <w:b w:val="0"/>
                <w:color w:val="auto"/>
              </w:rPr>
              <w:t>lign with the objectives of the Village Hubs National Grant</w:t>
            </w:r>
            <w:r w:rsidR="0051175A" w:rsidRPr="00C217A2">
              <w:rPr>
                <w:rFonts w:eastAsia="Arial"/>
                <w:b w:val="0"/>
                <w:color w:val="auto"/>
              </w:rPr>
              <w:t>s</w:t>
            </w:r>
            <w:r w:rsidR="00E05785" w:rsidRPr="00C217A2">
              <w:rPr>
                <w:rFonts w:eastAsia="Arial"/>
                <w:b w:val="0"/>
                <w:color w:val="auto"/>
              </w:rPr>
              <w:t xml:space="preserve"> Manager Activity. </w:t>
            </w:r>
          </w:p>
        </w:tc>
      </w:tr>
    </w:tbl>
    <w:p w14:paraId="691CDF8F" w14:textId="6AD85D49" w:rsidR="00C217A2" w:rsidRPr="00C217A2" w:rsidRDefault="00B55903" w:rsidP="00C217A2">
      <w:pPr>
        <w:pStyle w:val="Heading2"/>
        <w:rPr>
          <w:color w:val="005A70"/>
        </w:rPr>
      </w:pPr>
      <w:r w:rsidRPr="00F0373D">
        <w:rPr>
          <w:color w:val="005A70"/>
        </w:rPr>
        <w:lastRenderedPageBreak/>
        <w:t xml:space="preserve">Criterion </w:t>
      </w:r>
      <w:r>
        <w:rPr>
          <w:color w:val="005A70"/>
        </w:rPr>
        <w:t>2</w:t>
      </w:r>
    </w:p>
    <w:tbl>
      <w:tblPr>
        <w:tblStyle w:val="GridTable4-Accent6"/>
        <w:tblpPr w:leftFromText="181" w:rightFromText="181" w:vertAnchor="text" w:horzAnchor="page" w:tblpXSpec="center" w:tblpY="1"/>
        <w:tblW w:w="0" w:type="auto"/>
        <w:tblBorders>
          <w:top w:val="single" w:sz="4" w:space="0" w:color="00838A"/>
          <w:left w:val="single" w:sz="4" w:space="0" w:color="00838A"/>
          <w:bottom w:val="single" w:sz="4" w:space="0" w:color="00838A"/>
          <w:right w:val="single" w:sz="4" w:space="0" w:color="00838A"/>
          <w:insideH w:val="single" w:sz="4" w:space="0" w:color="00838A"/>
          <w:insideV w:val="single" w:sz="4" w:space="0" w:color="00838A"/>
        </w:tblBorders>
        <w:tblLook w:val="04A0" w:firstRow="1" w:lastRow="0" w:firstColumn="1" w:lastColumn="0" w:noHBand="0" w:noVBand="1"/>
        <w:tblCaption w:val="Criterion 2 Feedback"/>
      </w:tblPr>
      <w:tblGrid>
        <w:gridCol w:w="9911"/>
      </w:tblGrid>
      <w:tr w:rsidR="00C217A2" w:rsidRPr="003D745F" w14:paraId="6687CB2B" w14:textId="77777777" w:rsidTr="00C217A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911" w:type="dxa"/>
          </w:tcPr>
          <w:p w14:paraId="421CD0EC" w14:textId="77777777" w:rsidR="00C217A2" w:rsidRPr="003D745F" w:rsidRDefault="00C217A2" w:rsidP="00C217A2">
            <w:pPr>
              <w:rPr>
                <w:b w:val="0"/>
                <w:color w:val="auto"/>
              </w:rPr>
            </w:pPr>
            <w:r w:rsidRPr="005B1172">
              <w:rPr>
                <w:color w:val="auto"/>
              </w:rPr>
              <w:t>Describe how you will achieve the activity objectives for all stakeholders</w:t>
            </w:r>
            <w:r>
              <w:rPr>
                <w:color w:val="auto"/>
              </w:rPr>
              <w:t>.</w:t>
            </w:r>
          </w:p>
        </w:tc>
      </w:tr>
      <w:tr w:rsidR="00C217A2" w:rsidRPr="003D745F" w14:paraId="07A8A10C" w14:textId="77777777" w:rsidTr="00C217A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911" w:type="dxa"/>
            <w:shd w:val="clear" w:color="auto" w:fill="DFF4F3"/>
          </w:tcPr>
          <w:p w14:paraId="028A1DDF" w14:textId="77777777" w:rsidR="00C217A2" w:rsidRPr="003D745F" w:rsidRDefault="00C217A2" w:rsidP="00C217A2">
            <w:pPr>
              <w:rPr>
                <w:b w:val="0"/>
              </w:rPr>
            </w:pPr>
            <w:r w:rsidRPr="00C217A2">
              <w:rPr>
                <w:rFonts w:eastAsia="Arial" w:cs="Arial"/>
                <w:color w:val="auto"/>
              </w:rPr>
              <w:t>Successful applications clearly:</w:t>
            </w:r>
          </w:p>
        </w:tc>
      </w:tr>
      <w:tr w:rsidR="00C217A2" w:rsidRPr="003D745F" w14:paraId="68676611" w14:textId="77777777" w:rsidTr="00C217A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911" w:type="dxa"/>
            <w:shd w:val="clear" w:color="auto" w:fill="auto"/>
          </w:tcPr>
          <w:p w14:paraId="6B370334" w14:textId="77777777" w:rsidR="00C217A2" w:rsidRPr="00C217A2" w:rsidRDefault="00C217A2" w:rsidP="00C217A2">
            <w:pPr>
              <w:pStyle w:val="ListBullet"/>
              <w:numPr>
                <w:ilvl w:val="0"/>
                <w:numId w:val="0"/>
              </w:numPr>
              <w:ind w:left="173"/>
              <w:rPr>
                <w:rFonts w:eastAsia="Arial"/>
                <w:b w:val="0"/>
                <w:color w:val="auto"/>
              </w:rPr>
            </w:pPr>
            <w:r w:rsidRPr="00C217A2">
              <w:rPr>
                <w:rFonts w:eastAsia="Arial"/>
                <w:b w:val="0"/>
                <w:color w:val="auto"/>
              </w:rPr>
              <w:t>Addressed requirements in section 2.2 of the Grant Opportunity Guidelines and demonstrated the following:</w:t>
            </w:r>
          </w:p>
          <w:p w14:paraId="3882DB6A" w14:textId="77777777" w:rsidR="00C217A2" w:rsidRPr="00C217A2" w:rsidRDefault="00C217A2" w:rsidP="00C217A2">
            <w:pPr>
              <w:pStyle w:val="ListBullet"/>
              <w:rPr>
                <w:rFonts w:eastAsia="Arial"/>
                <w:b w:val="0"/>
                <w:color w:val="auto"/>
              </w:rPr>
            </w:pPr>
            <w:r w:rsidRPr="00C217A2">
              <w:rPr>
                <w:rFonts w:eastAsia="Arial"/>
                <w:b w:val="0"/>
                <w:color w:val="auto"/>
              </w:rPr>
              <w:t>experience in developing, delivering and managing similar/relevant services; working collaboratively with other government and non-government agencies to ensure quality service delivery, including already established relationships with relevant organisations in the community sector</w:t>
            </w:r>
          </w:p>
          <w:p w14:paraId="0F28540B" w14:textId="77777777" w:rsidR="00C217A2" w:rsidRPr="00C217A2" w:rsidRDefault="00C217A2" w:rsidP="00C217A2">
            <w:pPr>
              <w:pStyle w:val="ListBullet"/>
              <w:rPr>
                <w:rFonts w:eastAsia="Arial"/>
                <w:b w:val="0"/>
                <w:color w:val="auto"/>
              </w:rPr>
            </w:pPr>
            <w:r w:rsidRPr="00C217A2">
              <w:rPr>
                <w:rFonts w:eastAsia="Arial"/>
                <w:b w:val="0"/>
                <w:color w:val="auto"/>
              </w:rPr>
              <w:t>how their selection and assessment process to establish the new Village Hubs (refer to section 2.2 of the Grant Opportunity Guidelines) will be developed in consultation with the department and incorporate good grants administration practice including coverage of the key principles of the Commonwealth Grants Rules and Guidelines (CGRGs)</w:t>
            </w:r>
          </w:p>
          <w:p w14:paraId="192CD801" w14:textId="77777777" w:rsidR="00C217A2" w:rsidRPr="003D745F" w:rsidRDefault="00C217A2" w:rsidP="00C217A2">
            <w:pPr>
              <w:pStyle w:val="ListBullet"/>
              <w:rPr>
                <w:rFonts w:eastAsia="Arial"/>
                <w:b w:val="0"/>
              </w:rPr>
            </w:pPr>
            <w:r w:rsidRPr="00C217A2">
              <w:rPr>
                <w:rFonts w:eastAsia="Arial"/>
                <w:b w:val="0"/>
                <w:color w:val="auto"/>
              </w:rPr>
              <w:t>how they will encourage and support individual Village Hubs towards long-term financial sustainability.</w:t>
            </w:r>
          </w:p>
        </w:tc>
      </w:tr>
      <w:tr w:rsidR="00C217A2" w:rsidRPr="003D745F" w14:paraId="270C382A" w14:textId="77777777" w:rsidTr="00C217A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911" w:type="dxa"/>
            <w:shd w:val="clear" w:color="auto" w:fill="DFF4F3"/>
          </w:tcPr>
          <w:p w14:paraId="61C393DC" w14:textId="77777777" w:rsidR="00C217A2" w:rsidRPr="003D745F" w:rsidRDefault="00C217A2" w:rsidP="00C217A2">
            <w:pPr>
              <w:rPr>
                <w:szCs w:val="20"/>
              </w:rPr>
            </w:pPr>
            <w:r w:rsidRPr="00C217A2">
              <w:rPr>
                <w:color w:val="auto"/>
              </w:rPr>
              <w:t>Stronger responses clearly:</w:t>
            </w:r>
          </w:p>
        </w:tc>
      </w:tr>
      <w:tr w:rsidR="00C217A2" w:rsidRPr="003D745F" w14:paraId="72CEE1FF" w14:textId="77777777" w:rsidTr="00C217A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911" w:type="dxa"/>
            <w:shd w:val="clear" w:color="auto" w:fill="auto"/>
          </w:tcPr>
          <w:p w14:paraId="1AD3638D" w14:textId="77777777" w:rsidR="00C217A2" w:rsidRPr="00C217A2" w:rsidRDefault="00C217A2" w:rsidP="00C217A2">
            <w:pPr>
              <w:pStyle w:val="ListBullet"/>
              <w:rPr>
                <w:rFonts w:eastAsia="Arial"/>
                <w:b w:val="0"/>
                <w:color w:val="auto"/>
              </w:rPr>
            </w:pPr>
            <w:r w:rsidRPr="00C217A2">
              <w:rPr>
                <w:rFonts w:eastAsia="Arial"/>
                <w:b w:val="0"/>
                <w:color w:val="auto"/>
              </w:rPr>
              <w:t>demonstrated experience in developing, delivering and managing similar/relevant on-funding services collaboratively with other government and non-government agencies to ensure quality service delivery</w:t>
            </w:r>
          </w:p>
          <w:p w14:paraId="3A9EC5DB" w14:textId="77777777" w:rsidR="00C217A2" w:rsidRPr="00C217A2" w:rsidRDefault="00C217A2" w:rsidP="00C217A2">
            <w:pPr>
              <w:pStyle w:val="ListBullet"/>
              <w:rPr>
                <w:rFonts w:eastAsia="Arial"/>
                <w:b w:val="0"/>
                <w:color w:val="auto"/>
              </w:rPr>
            </w:pPr>
            <w:r w:rsidRPr="00C217A2">
              <w:rPr>
                <w:rFonts w:eastAsia="Arial"/>
                <w:b w:val="0"/>
                <w:color w:val="auto"/>
              </w:rPr>
              <w:t>demonstrated established relationships with relevant organisations in the community sector</w:t>
            </w:r>
          </w:p>
          <w:p w14:paraId="78192DC9" w14:textId="77777777" w:rsidR="00C217A2" w:rsidRPr="00C217A2" w:rsidRDefault="00C217A2" w:rsidP="00C217A2">
            <w:pPr>
              <w:pStyle w:val="ListBullet"/>
              <w:rPr>
                <w:rFonts w:eastAsia="Arial"/>
                <w:b w:val="0"/>
                <w:color w:val="auto"/>
              </w:rPr>
            </w:pPr>
            <w:r w:rsidRPr="00C217A2">
              <w:rPr>
                <w:rFonts w:eastAsia="Arial"/>
                <w:b w:val="0"/>
                <w:color w:val="auto"/>
              </w:rPr>
              <w:t>described an appropriate selection and assessment process to establish the new Village Hubs in consultation with the Department of Social Services  and in line with section 2.2 of the Grant Opportunity Guidelines</w:t>
            </w:r>
          </w:p>
          <w:p w14:paraId="78FE5FF1" w14:textId="77777777" w:rsidR="00C217A2" w:rsidRPr="00C217A2" w:rsidRDefault="00C217A2" w:rsidP="00C217A2">
            <w:pPr>
              <w:pStyle w:val="ListBullet"/>
              <w:rPr>
                <w:rFonts w:eastAsia="Arial"/>
                <w:b w:val="0"/>
                <w:color w:val="auto"/>
              </w:rPr>
            </w:pPr>
            <w:r w:rsidRPr="00C217A2">
              <w:rPr>
                <w:rFonts w:eastAsia="Arial"/>
                <w:b w:val="0"/>
                <w:color w:val="auto"/>
              </w:rPr>
              <w:t>demonstrated expertise with grants administration with appropriate systems and risk management processes cover the key principles of the CGRGs</w:t>
            </w:r>
          </w:p>
          <w:p w14:paraId="51B39E5B" w14:textId="77777777" w:rsidR="00C217A2" w:rsidRPr="003D745F" w:rsidRDefault="00C217A2" w:rsidP="00C217A2">
            <w:pPr>
              <w:pStyle w:val="ListBullet"/>
              <w:rPr>
                <w:rFonts w:eastAsia="Arial"/>
                <w:b w:val="0"/>
              </w:rPr>
            </w:pPr>
            <w:r w:rsidRPr="00C217A2">
              <w:rPr>
                <w:rFonts w:eastAsia="Arial"/>
                <w:b w:val="0"/>
                <w:color w:val="auto"/>
              </w:rPr>
              <w:t>made a strong case for how, as the National Grants Manager, the organisation will support individual Hubs towards long-term financial sustainability.</w:t>
            </w:r>
          </w:p>
        </w:tc>
      </w:tr>
    </w:tbl>
    <w:p w14:paraId="653DAA86" w14:textId="77777777" w:rsidR="00C217A2" w:rsidRDefault="00C217A2">
      <w:r>
        <w:rPr>
          <w:b/>
          <w:bCs/>
        </w:rPr>
        <w:br w:type="page"/>
      </w:r>
    </w:p>
    <w:tbl>
      <w:tblPr>
        <w:tblStyle w:val="GridTable4-Accent6"/>
        <w:tblpPr w:leftFromText="181" w:rightFromText="181" w:horzAnchor="page" w:tblpXSpec="center" w:tblpYSpec="top"/>
        <w:tblW w:w="0" w:type="auto"/>
        <w:tblBorders>
          <w:top w:val="single" w:sz="4" w:space="0" w:color="00838A"/>
          <w:left w:val="single" w:sz="4" w:space="0" w:color="00838A"/>
          <w:bottom w:val="single" w:sz="4" w:space="0" w:color="00838A"/>
          <w:right w:val="single" w:sz="4" w:space="0" w:color="00838A"/>
          <w:insideH w:val="single" w:sz="4" w:space="0" w:color="00838A"/>
          <w:insideV w:val="single" w:sz="4" w:space="0" w:color="00838A"/>
        </w:tblBorders>
        <w:tblLook w:val="04A0" w:firstRow="1" w:lastRow="0" w:firstColumn="1" w:lastColumn="0" w:noHBand="0" w:noVBand="1"/>
        <w:tblCaption w:val="Criterion 2 Feedback"/>
      </w:tblPr>
      <w:tblGrid>
        <w:gridCol w:w="9911"/>
      </w:tblGrid>
      <w:tr w:rsidR="00C217A2" w:rsidRPr="003D745F" w14:paraId="54158AEC" w14:textId="77777777" w:rsidTr="00C217A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911" w:type="dxa"/>
            <w:shd w:val="clear" w:color="auto" w:fill="DFF4F3"/>
          </w:tcPr>
          <w:p w14:paraId="05C0E4C8" w14:textId="1E34A8D5" w:rsidR="00C217A2" w:rsidRPr="003D745F" w:rsidRDefault="00C217A2" w:rsidP="00C217A2">
            <w:pPr>
              <w:rPr>
                <w:rFonts w:eastAsia="Arial" w:cs="Arial"/>
              </w:rPr>
            </w:pPr>
            <w:r w:rsidRPr="00C217A2">
              <w:rPr>
                <w:rFonts w:eastAsia="Arial" w:cs="Arial"/>
                <w:color w:val="auto"/>
              </w:rPr>
              <w:lastRenderedPageBreak/>
              <w:t>Weaker responses did not:</w:t>
            </w:r>
          </w:p>
        </w:tc>
      </w:tr>
      <w:tr w:rsidR="00C217A2" w:rsidRPr="003D745F" w14:paraId="1E1532F1" w14:textId="77777777" w:rsidTr="00C217A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911" w:type="dxa"/>
            <w:shd w:val="clear" w:color="auto" w:fill="auto"/>
          </w:tcPr>
          <w:p w14:paraId="597F5766" w14:textId="77777777" w:rsidR="00C217A2" w:rsidRPr="00C217A2" w:rsidRDefault="00C217A2" w:rsidP="00C217A2">
            <w:pPr>
              <w:pStyle w:val="ListBullet"/>
              <w:rPr>
                <w:rFonts w:eastAsia="Arial"/>
                <w:b w:val="0"/>
                <w:color w:val="auto"/>
              </w:rPr>
            </w:pPr>
            <w:r w:rsidRPr="00C217A2">
              <w:rPr>
                <w:rFonts w:eastAsia="Arial"/>
                <w:b w:val="0"/>
                <w:color w:val="auto"/>
              </w:rPr>
              <w:t>clearly demonstrated experience in developing, delivering and managing similar/relevant on-funding services, supported by evidence</w:t>
            </w:r>
          </w:p>
          <w:p w14:paraId="0548D1D4" w14:textId="77777777" w:rsidR="00C217A2" w:rsidRPr="00C217A2" w:rsidRDefault="00C217A2" w:rsidP="00C217A2">
            <w:pPr>
              <w:pStyle w:val="ListBullet"/>
              <w:rPr>
                <w:rFonts w:eastAsia="Arial"/>
                <w:b w:val="0"/>
                <w:color w:val="auto"/>
              </w:rPr>
            </w:pPr>
            <w:r w:rsidRPr="00C217A2">
              <w:rPr>
                <w:rFonts w:eastAsia="Arial"/>
                <w:b w:val="0"/>
                <w:color w:val="auto"/>
              </w:rPr>
              <w:t>clearly describe an appropriate selection and assessment process to establish the new Village Hubs in line with section 2.2 of the GOGs, in consultation with the Department of Social Services</w:t>
            </w:r>
          </w:p>
          <w:p w14:paraId="55A66976" w14:textId="77777777" w:rsidR="00C217A2" w:rsidRPr="00C217A2" w:rsidRDefault="00C217A2" w:rsidP="00C217A2">
            <w:pPr>
              <w:pStyle w:val="ListBullet"/>
              <w:numPr>
                <w:ilvl w:val="0"/>
                <w:numId w:val="0"/>
              </w:numPr>
              <w:ind w:left="533"/>
              <w:rPr>
                <w:rFonts w:eastAsia="Arial"/>
                <w:b w:val="0"/>
                <w:color w:val="auto"/>
              </w:rPr>
            </w:pPr>
            <w:r w:rsidRPr="00C217A2">
              <w:rPr>
                <w:rFonts w:eastAsia="Arial"/>
                <w:b w:val="0"/>
                <w:color w:val="auto"/>
              </w:rPr>
              <w:t>OR</w:t>
            </w:r>
          </w:p>
          <w:p w14:paraId="6C28BD97" w14:textId="77777777" w:rsidR="00C217A2" w:rsidRPr="00C217A2" w:rsidRDefault="00C217A2" w:rsidP="00C217A2">
            <w:pPr>
              <w:pStyle w:val="ListBullet"/>
              <w:rPr>
                <w:rFonts w:eastAsia="Arial"/>
                <w:b w:val="0"/>
                <w:color w:val="auto"/>
              </w:rPr>
            </w:pPr>
            <w:r w:rsidRPr="00C217A2">
              <w:rPr>
                <w:rFonts w:eastAsia="Arial"/>
                <w:b w:val="0"/>
                <w:color w:val="auto"/>
              </w:rPr>
              <w:t>clearly described how, as the National Grants Manager, the organisation will support individual Hubs towards long-term financial sustainability.</w:t>
            </w:r>
          </w:p>
          <w:p w14:paraId="71FE2F02" w14:textId="77777777" w:rsidR="00C217A2" w:rsidRPr="00C217A2" w:rsidRDefault="00C217A2" w:rsidP="00C217A2">
            <w:pPr>
              <w:pStyle w:val="ListBullet"/>
              <w:numPr>
                <w:ilvl w:val="0"/>
                <w:numId w:val="0"/>
              </w:numPr>
              <w:ind w:left="173"/>
              <w:rPr>
                <w:rFonts w:eastAsia="Arial"/>
                <w:b w:val="0"/>
                <w:color w:val="auto"/>
              </w:rPr>
            </w:pPr>
            <w:r w:rsidRPr="00C217A2">
              <w:rPr>
                <w:rFonts w:eastAsia="Arial"/>
                <w:b w:val="0"/>
                <w:color w:val="auto"/>
              </w:rPr>
              <w:t>In a limited number of responses:</w:t>
            </w:r>
          </w:p>
          <w:p w14:paraId="3F5E41F5" w14:textId="77777777" w:rsidR="00C217A2" w:rsidRPr="005019FD" w:rsidRDefault="00C217A2" w:rsidP="00C217A2">
            <w:pPr>
              <w:pStyle w:val="ListBullet"/>
              <w:ind w:left="533"/>
              <w:rPr>
                <w:rFonts w:eastAsia="Arial"/>
                <w:b w:val="0"/>
              </w:rPr>
            </w:pPr>
            <w:r w:rsidRPr="00C217A2">
              <w:rPr>
                <w:rFonts w:eastAsia="Arial"/>
                <w:b w:val="0"/>
                <w:color w:val="auto"/>
              </w:rPr>
              <w:t>Proposals had a narrow focus, small coverage area, or proposed supporting a cohort not aligned with the Activity objectives.</w:t>
            </w:r>
          </w:p>
        </w:tc>
      </w:tr>
    </w:tbl>
    <w:p w14:paraId="1FC95AE5" w14:textId="77777777" w:rsidR="00B55903" w:rsidRPr="00F0373D" w:rsidRDefault="00B55903" w:rsidP="00B55903">
      <w:pPr>
        <w:pStyle w:val="Heading2"/>
        <w:rPr>
          <w:color w:val="005A70"/>
        </w:rPr>
      </w:pPr>
      <w:r w:rsidRPr="00F0373D">
        <w:rPr>
          <w:color w:val="005A70"/>
        </w:rPr>
        <w:lastRenderedPageBreak/>
        <w:t xml:space="preserve">Criterion </w:t>
      </w:r>
      <w:r>
        <w:rPr>
          <w:color w:val="005A70"/>
        </w:rPr>
        <w:t>3</w:t>
      </w:r>
    </w:p>
    <w:tbl>
      <w:tblPr>
        <w:tblStyle w:val="GridTable4-Accent6"/>
        <w:tblW w:w="0" w:type="auto"/>
        <w:tblBorders>
          <w:top w:val="single" w:sz="4" w:space="0" w:color="00838A"/>
          <w:left w:val="single" w:sz="4" w:space="0" w:color="00838A"/>
          <w:bottom w:val="single" w:sz="4" w:space="0" w:color="00838A"/>
          <w:right w:val="single" w:sz="4" w:space="0" w:color="00838A"/>
          <w:insideH w:val="single" w:sz="4" w:space="0" w:color="00838A"/>
          <w:insideV w:val="single" w:sz="4" w:space="0" w:color="00838A"/>
        </w:tblBorders>
        <w:tblLook w:val="04A0" w:firstRow="1" w:lastRow="0" w:firstColumn="1" w:lastColumn="0" w:noHBand="0" w:noVBand="1"/>
        <w:tblCaption w:val="Criterion 3 Feedback"/>
      </w:tblPr>
      <w:tblGrid>
        <w:gridCol w:w="9911"/>
      </w:tblGrid>
      <w:tr w:rsidR="00B55903" w:rsidRPr="003D745F" w14:paraId="39B58046" w14:textId="77777777" w:rsidTr="00C217A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911" w:type="dxa"/>
          </w:tcPr>
          <w:p w14:paraId="0AB0BFAA" w14:textId="662E2D6C" w:rsidR="00B55903" w:rsidRPr="003D745F" w:rsidRDefault="005B1172" w:rsidP="00B05D32">
            <w:pPr>
              <w:rPr>
                <w:b w:val="0"/>
                <w:color w:val="auto"/>
              </w:rPr>
            </w:pPr>
            <w:r w:rsidRPr="005B1172">
              <w:rPr>
                <w:color w:val="auto"/>
              </w:rPr>
              <w:t>Demonstrate your organisation’s capacity and your staff capabilities to deliver the activity objectives</w:t>
            </w:r>
            <w:r w:rsidR="00505F1C">
              <w:rPr>
                <w:color w:val="auto"/>
              </w:rPr>
              <w:t>.</w:t>
            </w:r>
          </w:p>
        </w:tc>
      </w:tr>
      <w:tr w:rsidR="00B55903" w:rsidRPr="003D745F" w14:paraId="390CFD46" w14:textId="77777777" w:rsidTr="00C217A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911" w:type="dxa"/>
            <w:shd w:val="clear" w:color="auto" w:fill="DFF4F3"/>
          </w:tcPr>
          <w:p w14:paraId="0306DB05" w14:textId="77777777" w:rsidR="00B55903" w:rsidRPr="003D745F" w:rsidRDefault="00B55903" w:rsidP="00B05D32">
            <w:pPr>
              <w:rPr>
                <w:b w:val="0"/>
              </w:rPr>
            </w:pPr>
            <w:r w:rsidRPr="00C217A2">
              <w:rPr>
                <w:rFonts w:eastAsia="Arial" w:cs="Arial"/>
                <w:color w:val="auto"/>
              </w:rPr>
              <w:t>Successful applications clearly:</w:t>
            </w:r>
          </w:p>
        </w:tc>
      </w:tr>
      <w:tr w:rsidR="00B55903" w:rsidRPr="003D745F" w14:paraId="0C5D8156" w14:textId="77777777" w:rsidTr="00C217A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911" w:type="dxa"/>
            <w:shd w:val="clear" w:color="auto" w:fill="auto"/>
          </w:tcPr>
          <w:p w14:paraId="425D3196" w14:textId="77777777" w:rsidR="005B1172" w:rsidRPr="00C217A2" w:rsidRDefault="005B1172" w:rsidP="005B1172">
            <w:pPr>
              <w:pStyle w:val="ListBullet"/>
              <w:numPr>
                <w:ilvl w:val="0"/>
                <w:numId w:val="0"/>
              </w:numPr>
              <w:ind w:left="533" w:hanging="360"/>
              <w:rPr>
                <w:rFonts w:eastAsia="Arial"/>
                <w:b w:val="0"/>
                <w:color w:val="auto"/>
              </w:rPr>
            </w:pPr>
            <w:r w:rsidRPr="00C217A2">
              <w:rPr>
                <w:rFonts w:eastAsia="Arial"/>
                <w:b w:val="0"/>
                <w:color w:val="auto"/>
              </w:rPr>
              <w:t>Demonstrated all of the following:</w:t>
            </w:r>
          </w:p>
          <w:p w14:paraId="0C441918" w14:textId="5F7290EC" w:rsidR="005B1172" w:rsidRPr="00C217A2" w:rsidRDefault="005B1172" w:rsidP="005B1172">
            <w:pPr>
              <w:pStyle w:val="ListBullet"/>
              <w:rPr>
                <w:rFonts w:eastAsia="Arial"/>
                <w:b w:val="0"/>
                <w:color w:val="auto"/>
              </w:rPr>
            </w:pPr>
            <w:r w:rsidRPr="00C217A2">
              <w:rPr>
                <w:rFonts w:eastAsia="Arial"/>
                <w:b w:val="0"/>
                <w:color w:val="auto"/>
              </w:rPr>
              <w:t>your organisation’s capacity to administer the Village Hubs Grants Fund, (undertaking selection, on-funding and oversight of at least 10 new Village Hubs), including:</w:t>
            </w:r>
          </w:p>
          <w:p w14:paraId="2B8359C7" w14:textId="77777777" w:rsidR="005B1172" w:rsidRPr="00C217A2" w:rsidRDefault="005B1172" w:rsidP="005B1172">
            <w:pPr>
              <w:pStyle w:val="ListBullet"/>
              <w:numPr>
                <w:ilvl w:val="1"/>
                <w:numId w:val="2"/>
              </w:numPr>
              <w:rPr>
                <w:rFonts w:eastAsia="Arial"/>
                <w:b w:val="0"/>
                <w:color w:val="auto"/>
              </w:rPr>
            </w:pPr>
            <w:r w:rsidRPr="00C217A2">
              <w:rPr>
                <w:rFonts w:eastAsia="Arial"/>
                <w:b w:val="0"/>
                <w:color w:val="auto"/>
              </w:rPr>
              <w:t>appropriate management, financial and administration systems</w:t>
            </w:r>
          </w:p>
          <w:p w14:paraId="6917F9A3" w14:textId="77777777" w:rsidR="005B1172" w:rsidRPr="00C217A2" w:rsidRDefault="005B1172" w:rsidP="005B1172">
            <w:pPr>
              <w:pStyle w:val="ListBullet"/>
              <w:numPr>
                <w:ilvl w:val="1"/>
                <w:numId w:val="2"/>
              </w:numPr>
              <w:rPr>
                <w:rFonts w:eastAsia="Arial"/>
                <w:b w:val="0"/>
                <w:color w:val="auto"/>
              </w:rPr>
            </w:pPr>
            <w:r w:rsidRPr="00C217A2">
              <w:rPr>
                <w:rFonts w:eastAsia="Arial"/>
                <w:b w:val="0"/>
                <w:color w:val="auto"/>
              </w:rPr>
              <w:t>facilitating outcomes measurement and reporting</w:t>
            </w:r>
          </w:p>
          <w:p w14:paraId="57D0D3F4" w14:textId="77777777" w:rsidR="005B1172" w:rsidRPr="00C217A2" w:rsidRDefault="005B1172" w:rsidP="005B1172">
            <w:pPr>
              <w:pStyle w:val="ListBullet"/>
              <w:numPr>
                <w:ilvl w:val="1"/>
                <w:numId w:val="2"/>
              </w:numPr>
              <w:rPr>
                <w:rFonts w:eastAsia="Arial"/>
                <w:b w:val="0"/>
                <w:color w:val="auto"/>
              </w:rPr>
            </w:pPr>
            <w:r w:rsidRPr="00C217A2">
              <w:rPr>
                <w:rFonts w:eastAsia="Arial"/>
                <w:b w:val="0"/>
                <w:color w:val="auto"/>
              </w:rPr>
              <w:t>a statement regarding your organisation’s financial viability to undertake this activity</w:t>
            </w:r>
          </w:p>
          <w:p w14:paraId="01602D82" w14:textId="77777777" w:rsidR="005B1172" w:rsidRPr="00C217A2" w:rsidRDefault="005B1172" w:rsidP="005B1172">
            <w:pPr>
              <w:pStyle w:val="ListBullet"/>
              <w:numPr>
                <w:ilvl w:val="1"/>
                <w:numId w:val="2"/>
              </w:numPr>
              <w:rPr>
                <w:rFonts w:eastAsia="Arial"/>
                <w:b w:val="0"/>
                <w:color w:val="auto"/>
              </w:rPr>
            </w:pPr>
            <w:r w:rsidRPr="00C217A2">
              <w:rPr>
                <w:rFonts w:eastAsia="Arial"/>
                <w:b w:val="0"/>
                <w:color w:val="auto"/>
              </w:rPr>
              <w:t>knowledge and understanding of the PGPA Act and the CGRGs, and capability to meet the reporting and performance requirements necessary to ensure compliance</w:t>
            </w:r>
          </w:p>
          <w:p w14:paraId="61BE7CFC" w14:textId="77777777" w:rsidR="005B1172" w:rsidRPr="00C217A2" w:rsidRDefault="005B1172" w:rsidP="005B1172">
            <w:pPr>
              <w:pStyle w:val="ListBullet"/>
              <w:numPr>
                <w:ilvl w:val="1"/>
                <w:numId w:val="2"/>
              </w:numPr>
              <w:rPr>
                <w:rFonts w:eastAsia="Arial"/>
                <w:b w:val="0"/>
                <w:color w:val="auto"/>
              </w:rPr>
            </w:pPr>
            <w:r w:rsidRPr="00C217A2">
              <w:rPr>
                <w:rFonts w:eastAsia="Arial"/>
                <w:b w:val="0"/>
                <w:color w:val="auto"/>
              </w:rPr>
              <w:t>risk mitigation and management associated with fraud and conflict of interest, including relationship management with grant recipients and sector experts.</w:t>
            </w:r>
          </w:p>
          <w:p w14:paraId="63CDC88E" w14:textId="77777777" w:rsidR="005B1172" w:rsidRPr="00C217A2" w:rsidRDefault="005B1172" w:rsidP="005B1172">
            <w:pPr>
              <w:pStyle w:val="ListBullet"/>
              <w:rPr>
                <w:rFonts w:eastAsia="Arial"/>
                <w:b w:val="0"/>
                <w:color w:val="auto"/>
              </w:rPr>
            </w:pPr>
            <w:r w:rsidRPr="00C217A2">
              <w:rPr>
                <w:rFonts w:eastAsia="Arial"/>
                <w:b w:val="0"/>
                <w:color w:val="auto"/>
              </w:rPr>
              <w:t>how your organisation, as the National Grants Manager, would use existing infrastructure to allow for efficient implementation and oversight of the new Village Hubs</w:t>
            </w:r>
          </w:p>
          <w:p w14:paraId="6893E24D" w14:textId="77777777" w:rsidR="00B55903" w:rsidRPr="005B1172" w:rsidRDefault="005B1172" w:rsidP="005B1172">
            <w:pPr>
              <w:pStyle w:val="ListBullet"/>
              <w:ind w:left="533"/>
              <w:rPr>
                <w:rFonts w:eastAsia="Arial"/>
                <w:b w:val="0"/>
              </w:rPr>
            </w:pPr>
            <w:r w:rsidRPr="00C217A2">
              <w:rPr>
                <w:rFonts w:eastAsia="Arial"/>
                <w:b w:val="0"/>
                <w:color w:val="auto"/>
              </w:rPr>
              <w:t>the relevant experience, qualifications and skills of the members of your organisation to assist in delivering the Village Hubs Activity.</w:t>
            </w:r>
          </w:p>
        </w:tc>
      </w:tr>
      <w:tr w:rsidR="00B55903" w:rsidRPr="003D745F" w14:paraId="3E3C560C" w14:textId="77777777" w:rsidTr="00C217A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911" w:type="dxa"/>
            <w:shd w:val="clear" w:color="auto" w:fill="DFF4F3"/>
          </w:tcPr>
          <w:p w14:paraId="7A378027" w14:textId="77777777" w:rsidR="00B55903" w:rsidRPr="003D745F" w:rsidRDefault="00B55903" w:rsidP="00B05D32">
            <w:pPr>
              <w:rPr>
                <w:szCs w:val="20"/>
              </w:rPr>
            </w:pPr>
            <w:r w:rsidRPr="00C217A2">
              <w:rPr>
                <w:color w:val="auto"/>
              </w:rPr>
              <w:t>Stronger responses clearly</w:t>
            </w:r>
            <w:r w:rsidR="00076A17" w:rsidRPr="00C217A2">
              <w:rPr>
                <w:color w:val="auto"/>
              </w:rPr>
              <w:t xml:space="preserve"> demonstrated</w:t>
            </w:r>
            <w:r w:rsidRPr="00C217A2">
              <w:rPr>
                <w:color w:val="auto"/>
              </w:rPr>
              <w:t>:</w:t>
            </w:r>
          </w:p>
        </w:tc>
      </w:tr>
      <w:tr w:rsidR="00B55903" w:rsidRPr="003D745F" w14:paraId="7D5C94BB" w14:textId="77777777" w:rsidTr="00C217A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911" w:type="dxa"/>
            <w:shd w:val="clear" w:color="auto" w:fill="auto"/>
          </w:tcPr>
          <w:p w14:paraId="2BBDEA32" w14:textId="18C64792" w:rsidR="005374FC" w:rsidRPr="00C217A2" w:rsidRDefault="00505F1C" w:rsidP="005374FC">
            <w:pPr>
              <w:pStyle w:val="ListBullet"/>
              <w:rPr>
                <w:rFonts w:eastAsia="Arial"/>
                <w:b w:val="0"/>
                <w:color w:val="auto"/>
              </w:rPr>
            </w:pPr>
            <w:r w:rsidRPr="00C217A2">
              <w:rPr>
                <w:rFonts w:eastAsia="Arial"/>
                <w:b w:val="0"/>
                <w:color w:val="auto"/>
              </w:rPr>
              <w:t>d</w:t>
            </w:r>
            <w:r w:rsidR="005374FC" w:rsidRPr="00C217A2">
              <w:rPr>
                <w:rFonts w:eastAsia="Arial"/>
                <w:b w:val="0"/>
                <w:color w:val="auto"/>
              </w:rPr>
              <w:t>emonstrated experience and capacity to administer the Vill</w:t>
            </w:r>
            <w:r w:rsidR="003420B4" w:rsidRPr="00C217A2">
              <w:rPr>
                <w:rFonts w:eastAsia="Arial"/>
                <w:b w:val="0"/>
                <w:color w:val="auto"/>
              </w:rPr>
              <w:t>age Hubs Grants Fund (selection and</w:t>
            </w:r>
            <w:r w:rsidR="005374FC" w:rsidRPr="00C217A2">
              <w:rPr>
                <w:rFonts w:eastAsia="Arial"/>
                <w:b w:val="0"/>
                <w:color w:val="auto"/>
              </w:rPr>
              <w:t xml:space="preserve"> on-funding)</w:t>
            </w:r>
            <w:r w:rsidR="005019FD" w:rsidRPr="00C217A2">
              <w:rPr>
                <w:rFonts w:eastAsia="Arial"/>
                <w:b w:val="0"/>
                <w:color w:val="auto"/>
              </w:rPr>
              <w:t>, supported by relevant evidence</w:t>
            </w:r>
          </w:p>
          <w:p w14:paraId="2FCE3FDB" w14:textId="671D43FF" w:rsidR="007B784F" w:rsidRPr="00C217A2" w:rsidRDefault="00505F1C" w:rsidP="005374FC">
            <w:pPr>
              <w:pStyle w:val="ListBullet"/>
              <w:rPr>
                <w:rFonts w:eastAsia="Arial"/>
                <w:b w:val="0"/>
                <w:color w:val="auto"/>
              </w:rPr>
            </w:pPr>
            <w:r w:rsidRPr="00C217A2">
              <w:rPr>
                <w:rFonts w:eastAsia="Arial"/>
                <w:b w:val="0"/>
                <w:color w:val="auto"/>
              </w:rPr>
              <w:t>d</w:t>
            </w:r>
            <w:r w:rsidR="007B784F" w:rsidRPr="00C217A2">
              <w:rPr>
                <w:rFonts w:eastAsia="Arial"/>
                <w:b w:val="0"/>
                <w:color w:val="auto"/>
              </w:rPr>
              <w:t>emonstrated experience and understanding of the importance of the CGRGs with systems and processes to meet the reporting and performance requirements necessary to ensure compliance</w:t>
            </w:r>
          </w:p>
          <w:p w14:paraId="1674772C" w14:textId="29A2D12F" w:rsidR="007B784F" w:rsidRPr="00C217A2" w:rsidRDefault="00505F1C" w:rsidP="005374FC">
            <w:pPr>
              <w:pStyle w:val="ListBullet"/>
              <w:rPr>
                <w:rFonts w:eastAsia="Arial"/>
                <w:b w:val="0"/>
                <w:color w:val="auto"/>
              </w:rPr>
            </w:pPr>
            <w:r w:rsidRPr="00C217A2">
              <w:rPr>
                <w:rFonts w:eastAsia="Arial"/>
                <w:b w:val="0"/>
                <w:color w:val="auto"/>
              </w:rPr>
              <w:t>d</w:t>
            </w:r>
            <w:r w:rsidR="007B784F" w:rsidRPr="00C217A2">
              <w:rPr>
                <w:rFonts w:eastAsia="Arial"/>
                <w:b w:val="0"/>
                <w:color w:val="auto"/>
              </w:rPr>
              <w:t>emonstrated national reach, relevant experience and capacity to assume the role of National Grants Manager, overseeing the establishment of at least 10 new Village Hubs in communities across Australia</w:t>
            </w:r>
          </w:p>
          <w:p w14:paraId="0D0C98D2" w14:textId="7FFA6585" w:rsidR="005374FC" w:rsidRPr="00C217A2" w:rsidRDefault="00505F1C" w:rsidP="005374FC">
            <w:pPr>
              <w:pStyle w:val="ListBullet"/>
              <w:ind w:left="533"/>
              <w:rPr>
                <w:rFonts w:eastAsia="Arial"/>
                <w:b w:val="0"/>
                <w:color w:val="auto"/>
              </w:rPr>
            </w:pPr>
            <w:r w:rsidRPr="00C217A2">
              <w:rPr>
                <w:rFonts w:eastAsia="Arial"/>
                <w:b w:val="0"/>
                <w:color w:val="auto"/>
              </w:rPr>
              <w:t>d</w:t>
            </w:r>
            <w:r w:rsidR="005374FC" w:rsidRPr="00C217A2">
              <w:rPr>
                <w:rFonts w:eastAsia="Arial"/>
                <w:b w:val="0"/>
                <w:color w:val="auto"/>
              </w:rPr>
              <w:t>emonstrate</w:t>
            </w:r>
            <w:r w:rsidR="005019FD" w:rsidRPr="00C217A2">
              <w:rPr>
                <w:rFonts w:eastAsia="Arial"/>
                <w:b w:val="0"/>
                <w:color w:val="auto"/>
              </w:rPr>
              <w:t xml:space="preserve">d preparedness to leverage </w:t>
            </w:r>
            <w:r w:rsidR="005374FC" w:rsidRPr="00C217A2">
              <w:rPr>
                <w:rFonts w:eastAsia="Arial"/>
                <w:b w:val="0"/>
                <w:color w:val="auto"/>
              </w:rPr>
              <w:t xml:space="preserve">existing infrastructure </w:t>
            </w:r>
            <w:r w:rsidR="00E872A2" w:rsidRPr="00C217A2">
              <w:rPr>
                <w:rFonts w:eastAsia="Arial"/>
                <w:b w:val="0"/>
                <w:color w:val="auto"/>
              </w:rPr>
              <w:t>to</w:t>
            </w:r>
            <w:r w:rsidR="005374FC" w:rsidRPr="00C217A2">
              <w:rPr>
                <w:rFonts w:eastAsia="Arial"/>
                <w:b w:val="0"/>
                <w:color w:val="auto"/>
              </w:rPr>
              <w:t xml:space="preserve"> allow for efficient implementation and oversight of the Village Hubs, including how the V</w:t>
            </w:r>
            <w:r w:rsidR="005B1172" w:rsidRPr="00C217A2">
              <w:rPr>
                <w:rFonts w:eastAsia="Arial"/>
                <w:b w:val="0"/>
                <w:color w:val="auto"/>
              </w:rPr>
              <w:t xml:space="preserve">illage Hub Grant Manager role </w:t>
            </w:r>
            <w:r w:rsidR="005374FC" w:rsidRPr="00C217A2">
              <w:rPr>
                <w:rFonts w:eastAsia="Arial"/>
                <w:b w:val="0"/>
                <w:color w:val="auto"/>
              </w:rPr>
              <w:t xml:space="preserve">would be integrated </w:t>
            </w:r>
            <w:r w:rsidR="005B1172" w:rsidRPr="00C217A2">
              <w:rPr>
                <w:rFonts w:eastAsia="Arial"/>
                <w:b w:val="0"/>
                <w:color w:val="auto"/>
              </w:rPr>
              <w:t>into their core business</w:t>
            </w:r>
          </w:p>
          <w:p w14:paraId="374F6EDB" w14:textId="44159002" w:rsidR="00B55903" w:rsidRPr="005374FC" w:rsidRDefault="00505F1C" w:rsidP="005019FD">
            <w:pPr>
              <w:pStyle w:val="ListBullet"/>
              <w:rPr>
                <w:rFonts w:eastAsia="Arial"/>
                <w:b w:val="0"/>
              </w:rPr>
            </w:pPr>
            <w:r w:rsidRPr="00C217A2">
              <w:rPr>
                <w:rFonts w:eastAsia="Arial"/>
                <w:b w:val="0"/>
                <w:color w:val="auto"/>
              </w:rPr>
              <w:t>c</w:t>
            </w:r>
            <w:r w:rsidR="005374FC" w:rsidRPr="00C217A2">
              <w:rPr>
                <w:rFonts w:eastAsia="Arial"/>
                <w:b w:val="0"/>
                <w:color w:val="auto"/>
              </w:rPr>
              <w:t xml:space="preserve">learly described the </w:t>
            </w:r>
            <w:r w:rsidR="005019FD" w:rsidRPr="00C217A2">
              <w:rPr>
                <w:rFonts w:eastAsia="Arial"/>
                <w:b w:val="0"/>
                <w:color w:val="auto"/>
              </w:rPr>
              <w:t xml:space="preserve">details of relevant </w:t>
            </w:r>
            <w:r w:rsidR="005374FC" w:rsidRPr="00C217A2">
              <w:rPr>
                <w:rFonts w:eastAsia="Arial"/>
                <w:b w:val="0"/>
                <w:color w:val="auto"/>
              </w:rPr>
              <w:t xml:space="preserve">members of the organisation that have </w:t>
            </w:r>
            <w:r w:rsidR="005019FD" w:rsidRPr="00C217A2">
              <w:rPr>
                <w:rFonts w:eastAsia="Arial"/>
                <w:b w:val="0"/>
                <w:color w:val="auto"/>
              </w:rPr>
              <w:t xml:space="preserve">the </w:t>
            </w:r>
            <w:r w:rsidR="005374FC" w:rsidRPr="00C217A2">
              <w:rPr>
                <w:rFonts w:eastAsia="Arial"/>
                <w:b w:val="0"/>
                <w:color w:val="auto"/>
              </w:rPr>
              <w:t>experience, qualifications and skills to assist in delivering the Village Hubs Activity.</w:t>
            </w:r>
          </w:p>
        </w:tc>
      </w:tr>
    </w:tbl>
    <w:p w14:paraId="6F8D63CA" w14:textId="77777777" w:rsidR="00C217A2" w:rsidRDefault="00C217A2">
      <w:r>
        <w:rPr>
          <w:b/>
          <w:bCs/>
        </w:rPr>
        <w:br w:type="page"/>
      </w:r>
    </w:p>
    <w:tbl>
      <w:tblPr>
        <w:tblStyle w:val="GridTable4-Accent6"/>
        <w:tblW w:w="0" w:type="auto"/>
        <w:tblBorders>
          <w:top w:val="single" w:sz="4" w:space="0" w:color="00838A"/>
          <w:left w:val="single" w:sz="4" w:space="0" w:color="00838A"/>
          <w:bottom w:val="single" w:sz="4" w:space="0" w:color="00838A"/>
          <w:right w:val="single" w:sz="4" w:space="0" w:color="00838A"/>
          <w:insideH w:val="single" w:sz="4" w:space="0" w:color="00838A"/>
          <w:insideV w:val="single" w:sz="4" w:space="0" w:color="00838A"/>
        </w:tblBorders>
        <w:tblLook w:val="04A0" w:firstRow="1" w:lastRow="0" w:firstColumn="1" w:lastColumn="0" w:noHBand="0" w:noVBand="1"/>
        <w:tblCaption w:val="Criterion 3 Feedback"/>
      </w:tblPr>
      <w:tblGrid>
        <w:gridCol w:w="9911"/>
      </w:tblGrid>
      <w:tr w:rsidR="00B55903" w:rsidRPr="003D745F" w14:paraId="4355AC83" w14:textId="77777777" w:rsidTr="00C217A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911" w:type="dxa"/>
            <w:shd w:val="clear" w:color="auto" w:fill="DFF4F3"/>
          </w:tcPr>
          <w:p w14:paraId="63C2CD95" w14:textId="1417C92C" w:rsidR="00B55903" w:rsidRPr="003D745F" w:rsidRDefault="00E039BF" w:rsidP="00E039BF">
            <w:pPr>
              <w:rPr>
                <w:rFonts w:eastAsia="Arial" w:cs="Arial"/>
              </w:rPr>
            </w:pPr>
            <w:r w:rsidRPr="00C217A2">
              <w:rPr>
                <w:rFonts w:eastAsia="Arial" w:cs="Arial"/>
                <w:color w:val="auto"/>
              </w:rPr>
              <w:lastRenderedPageBreak/>
              <w:t>Weaker responses did not</w:t>
            </w:r>
            <w:r w:rsidR="00B55903" w:rsidRPr="00C217A2">
              <w:rPr>
                <w:rFonts w:eastAsia="Arial" w:cs="Arial"/>
                <w:color w:val="auto"/>
              </w:rPr>
              <w:t>:</w:t>
            </w:r>
          </w:p>
        </w:tc>
      </w:tr>
      <w:tr w:rsidR="00B55903" w:rsidRPr="003D745F" w14:paraId="7C64FFAC" w14:textId="77777777" w:rsidTr="00C217A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911" w:type="dxa"/>
            <w:shd w:val="clear" w:color="auto" w:fill="auto"/>
          </w:tcPr>
          <w:p w14:paraId="48C80032" w14:textId="5B613EA9" w:rsidR="00E039BF" w:rsidRPr="00C217A2" w:rsidRDefault="00505F1C" w:rsidP="00E039BF">
            <w:pPr>
              <w:pStyle w:val="ListBullet"/>
              <w:rPr>
                <w:rFonts w:eastAsia="Arial"/>
                <w:b w:val="0"/>
                <w:color w:val="auto"/>
              </w:rPr>
            </w:pPr>
            <w:r w:rsidRPr="00C217A2">
              <w:rPr>
                <w:rFonts w:eastAsia="Arial"/>
                <w:b w:val="0"/>
                <w:color w:val="auto"/>
              </w:rPr>
              <w:t>c</w:t>
            </w:r>
            <w:r w:rsidR="00E039BF" w:rsidRPr="00C217A2">
              <w:rPr>
                <w:rFonts w:eastAsia="Arial"/>
                <w:b w:val="0"/>
                <w:color w:val="auto"/>
              </w:rPr>
              <w:t>learly demonstrate capacity to administer the Village Hubs Grants Fund (selection, on-funding and oversight of at least 10 Village Hubs)</w:t>
            </w:r>
          </w:p>
          <w:p w14:paraId="3BBC5981" w14:textId="6DFE5F43" w:rsidR="005019FD" w:rsidRPr="00C217A2" w:rsidRDefault="00505F1C" w:rsidP="00FE5C06">
            <w:pPr>
              <w:pStyle w:val="ListBullet"/>
              <w:rPr>
                <w:rFonts w:eastAsia="Arial"/>
                <w:b w:val="0"/>
                <w:color w:val="auto"/>
              </w:rPr>
            </w:pPr>
            <w:r w:rsidRPr="00C217A2">
              <w:rPr>
                <w:rFonts w:eastAsia="Arial"/>
                <w:b w:val="0"/>
                <w:color w:val="auto"/>
              </w:rPr>
              <w:t>c</w:t>
            </w:r>
            <w:r w:rsidR="005019FD" w:rsidRPr="00C217A2">
              <w:rPr>
                <w:rFonts w:eastAsia="Arial"/>
                <w:b w:val="0"/>
                <w:color w:val="auto"/>
              </w:rPr>
              <w:t>learly demonstrate how</w:t>
            </w:r>
            <w:r w:rsidR="00E039BF" w:rsidRPr="00C217A2">
              <w:rPr>
                <w:rFonts w:eastAsia="Arial"/>
                <w:b w:val="0"/>
                <w:color w:val="auto"/>
              </w:rPr>
              <w:t xml:space="preserve"> existing infrastructure would allow for efficient implementation and oversight of the Village Hubs</w:t>
            </w:r>
          </w:p>
          <w:p w14:paraId="43C26D73" w14:textId="77777777" w:rsidR="00FE5C06" w:rsidRPr="00C217A2" w:rsidRDefault="00FE5C06" w:rsidP="00FE5C06">
            <w:pPr>
              <w:pStyle w:val="ListBullet"/>
              <w:numPr>
                <w:ilvl w:val="0"/>
                <w:numId w:val="0"/>
              </w:numPr>
              <w:ind w:left="533"/>
              <w:rPr>
                <w:rFonts w:eastAsia="Arial"/>
                <w:b w:val="0"/>
                <w:color w:val="auto"/>
              </w:rPr>
            </w:pPr>
            <w:r w:rsidRPr="00C217A2">
              <w:rPr>
                <w:rFonts w:eastAsia="Arial"/>
                <w:b w:val="0"/>
                <w:color w:val="auto"/>
              </w:rPr>
              <w:t>OR</w:t>
            </w:r>
          </w:p>
          <w:p w14:paraId="14EDA87A" w14:textId="5299726B" w:rsidR="00FE5C06" w:rsidRPr="00FE5C06" w:rsidRDefault="00505F1C" w:rsidP="00FE5C06">
            <w:pPr>
              <w:pStyle w:val="ListBullet"/>
              <w:numPr>
                <w:ilvl w:val="0"/>
                <w:numId w:val="6"/>
              </w:numPr>
              <w:rPr>
                <w:rFonts w:eastAsia="Arial"/>
                <w:b w:val="0"/>
              </w:rPr>
            </w:pPr>
            <w:r w:rsidRPr="00C217A2">
              <w:rPr>
                <w:rFonts w:eastAsia="Arial"/>
                <w:b w:val="0"/>
                <w:color w:val="auto"/>
              </w:rPr>
              <w:t>p</w:t>
            </w:r>
            <w:r w:rsidR="00FE5C06" w:rsidRPr="00C217A2">
              <w:rPr>
                <w:rFonts w:eastAsia="Arial"/>
                <w:b w:val="0"/>
                <w:color w:val="auto"/>
              </w:rPr>
              <w:t>rovide sufficient information of relevant members of the organisation to demonstrate they have the experience, qualifications and skills to assist in delivering the Village Hubs Activity.</w:t>
            </w:r>
          </w:p>
        </w:tc>
      </w:tr>
    </w:tbl>
    <w:p w14:paraId="49B161E5" w14:textId="77777777" w:rsidR="00B55903" w:rsidRDefault="00B55903" w:rsidP="002705E7">
      <w:pPr>
        <w:pStyle w:val="BodyText"/>
        <w:rPr>
          <w:b/>
          <w:sz w:val="32"/>
          <w:highlight w:val="lightGray"/>
        </w:rPr>
      </w:pPr>
    </w:p>
    <w:sectPr w:rsidR="00B55903" w:rsidSect="00B9108A">
      <w:headerReference w:type="even" r:id="rId9"/>
      <w:headerReference w:type="default" r:id="rId10"/>
      <w:footerReference w:type="even" r:id="rId11"/>
      <w:footerReference w:type="default" r:id="rId12"/>
      <w:headerReference w:type="first" r:id="rId13"/>
      <w:footerReference w:type="first" r:id="rId14"/>
      <w:pgSz w:w="11906" w:h="16838" w:code="9"/>
      <w:pgMar w:top="568" w:right="1134" w:bottom="1134" w:left="851" w:header="0" w:footer="4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E6D663" w14:textId="77777777" w:rsidR="00DC0499" w:rsidRDefault="00DC0499">
      <w:r>
        <w:separator/>
      </w:r>
    </w:p>
  </w:endnote>
  <w:endnote w:type="continuationSeparator" w:id="0">
    <w:p w14:paraId="31BB475E" w14:textId="77777777" w:rsidR="00DC0499" w:rsidRDefault="00DC0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33CB6F" w14:textId="77777777" w:rsidR="007C74DE" w:rsidRDefault="007C74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4D2510" w14:textId="3C0A2F0A" w:rsidR="007846F0" w:rsidRDefault="009A0BAD">
    <w:pPr>
      <w:pStyle w:val="Footer"/>
    </w:pPr>
    <w:r>
      <w:t>Feedback for Applicants</w:t>
    </w:r>
    <w:r>
      <w:tab/>
    </w:r>
    <w:r>
      <w:fldChar w:fldCharType="begin"/>
    </w:r>
    <w:r>
      <w:instrText xml:space="preserve"> PAGE   \* MERGEFORMAT </w:instrText>
    </w:r>
    <w:r>
      <w:fldChar w:fldCharType="separate"/>
    </w:r>
    <w:r w:rsidR="007C74DE">
      <w:rPr>
        <w:noProof/>
      </w:rPr>
      <w:t>4</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788A13" w14:textId="20A9D662" w:rsidR="007846F0" w:rsidRDefault="009A0BAD">
    <w:pPr>
      <w:pStyle w:val="Footer"/>
    </w:pPr>
    <w:r>
      <w:t>Feedback for Applicants</w:t>
    </w:r>
    <w:r>
      <w:tab/>
    </w:r>
    <w:r>
      <w:fldChar w:fldCharType="begin"/>
    </w:r>
    <w:r>
      <w:instrText xml:space="preserve"> PAGE   \* MERGEFORMAT </w:instrText>
    </w:r>
    <w:r>
      <w:fldChar w:fldCharType="separate"/>
    </w:r>
    <w:r w:rsidR="007C74DE">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55BEA2" w14:textId="77777777" w:rsidR="00DC0499" w:rsidRDefault="00DC0499">
      <w:r>
        <w:separator/>
      </w:r>
    </w:p>
  </w:footnote>
  <w:footnote w:type="continuationSeparator" w:id="0">
    <w:p w14:paraId="0C7F54DA" w14:textId="77777777" w:rsidR="00DC0499" w:rsidRDefault="00DC04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BE6ABB" w14:textId="77777777" w:rsidR="007C74DE" w:rsidRDefault="007C74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E976C" w14:textId="77777777" w:rsidR="007C74DE" w:rsidRDefault="007C74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5473" w14:textId="77777777" w:rsidR="00142F3E" w:rsidRDefault="00F0373D" w:rsidP="00F0373D">
    <w:pPr>
      <w:pStyle w:val="Header"/>
      <w:ind w:left="-426"/>
    </w:pPr>
    <w:r>
      <w:rPr>
        <w:noProof/>
      </w:rPr>
      <w:drawing>
        <wp:inline distT="0" distB="0" distL="0" distR="0" wp14:anchorId="2EB4B94C" wp14:editId="7F1D6B61">
          <wp:extent cx="6709559" cy="1282037"/>
          <wp:effectExtent l="0" t="0" r="0" b="0"/>
          <wp:docPr id="1" name="Picture 1" descr="Australian Government, Department of Social Servi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S Portrait Factsheet h orange.jpg"/>
                  <pic:cNvPicPr/>
                </pic:nvPicPr>
                <pic:blipFill>
                  <a:blip r:embed="rId1">
                    <a:extLst>
                      <a:ext uri="{28A0092B-C50C-407E-A947-70E740481C1C}">
                        <a14:useLocalDpi xmlns:a14="http://schemas.microsoft.com/office/drawing/2010/main" val="0"/>
                      </a:ext>
                    </a:extLst>
                  </a:blip>
                  <a:stretch>
                    <a:fillRect/>
                  </a:stretch>
                </pic:blipFill>
                <pic:spPr>
                  <a:xfrm>
                    <a:off x="0" y="0"/>
                    <a:ext cx="6740389" cy="128792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2CCA0A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156537F"/>
    <w:multiLevelType w:val="hybridMultilevel"/>
    <w:tmpl w:val="CD4EBB02"/>
    <w:lvl w:ilvl="0" w:tplc="B5FAC41A">
      <w:start w:val="1"/>
      <w:numFmt w:val="bullet"/>
      <w:pStyle w:val="ListBullet"/>
      <w:lvlText w:val=""/>
      <w:lvlJc w:val="left"/>
      <w:pPr>
        <w:ind w:left="53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 w15:restartNumberingAfterBreak="0">
    <w:nsid w:val="52D7597F"/>
    <w:multiLevelType w:val="hybridMultilevel"/>
    <w:tmpl w:val="446E8E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57F817F1"/>
    <w:multiLevelType w:val="hybridMultilevel"/>
    <w:tmpl w:val="6910E3EA"/>
    <w:lvl w:ilvl="0" w:tplc="B3623AD0">
      <w:numFmt w:val="bullet"/>
      <w:pStyle w:val="Tablebullet"/>
      <w:lvlText w:val="•"/>
      <w:lvlJc w:val="left"/>
      <w:pPr>
        <w:ind w:left="36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01230D8"/>
    <w:multiLevelType w:val="hybridMultilevel"/>
    <w:tmpl w:val="37DA2DAC"/>
    <w:lvl w:ilvl="0" w:tplc="0C090001">
      <w:start w:val="1"/>
      <w:numFmt w:val="bullet"/>
      <w:lvlText w:val=""/>
      <w:lvlJc w:val="left"/>
      <w:pPr>
        <w:ind w:left="530" w:hanging="360"/>
      </w:pPr>
      <w:rPr>
        <w:rFonts w:ascii="Symbol" w:hAnsi="Symbol" w:hint="default"/>
      </w:rPr>
    </w:lvl>
    <w:lvl w:ilvl="1" w:tplc="0C090003" w:tentative="1">
      <w:start w:val="1"/>
      <w:numFmt w:val="bullet"/>
      <w:lvlText w:val="o"/>
      <w:lvlJc w:val="left"/>
      <w:pPr>
        <w:ind w:left="1250" w:hanging="360"/>
      </w:pPr>
      <w:rPr>
        <w:rFonts w:ascii="Courier New" w:hAnsi="Courier New" w:cs="Courier New" w:hint="default"/>
      </w:rPr>
    </w:lvl>
    <w:lvl w:ilvl="2" w:tplc="0C090005" w:tentative="1">
      <w:start w:val="1"/>
      <w:numFmt w:val="bullet"/>
      <w:lvlText w:val=""/>
      <w:lvlJc w:val="left"/>
      <w:pPr>
        <w:ind w:left="1970" w:hanging="360"/>
      </w:pPr>
      <w:rPr>
        <w:rFonts w:ascii="Wingdings" w:hAnsi="Wingdings" w:hint="default"/>
      </w:rPr>
    </w:lvl>
    <w:lvl w:ilvl="3" w:tplc="0C090001" w:tentative="1">
      <w:start w:val="1"/>
      <w:numFmt w:val="bullet"/>
      <w:lvlText w:val=""/>
      <w:lvlJc w:val="left"/>
      <w:pPr>
        <w:ind w:left="2690" w:hanging="360"/>
      </w:pPr>
      <w:rPr>
        <w:rFonts w:ascii="Symbol" w:hAnsi="Symbol" w:hint="default"/>
      </w:rPr>
    </w:lvl>
    <w:lvl w:ilvl="4" w:tplc="0C090003" w:tentative="1">
      <w:start w:val="1"/>
      <w:numFmt w:val="bullet"/>
      <w:lvlText w:val="o"/>
      <w:lvlJc w:val="left"/>
      <w:pPr>
        <w:ind w:left="3410" w:hanging="360"/>
      </w:pPr>
      <w:rPr>
        <w:rFonts w:ascii="Courier New" w:hAnsi="Courier New" w:cs="Courier New" w:hint="default"/>
      </w:rPr>
    </w:lvl>
    <w:lvl w:ilvl="5" w:tplc="0C090005" w:tentative="1">
      <w:start w:val="1"/>
      <w:numFmt w:val="bullet"/>
      <w:lvlText w:val=""/>
      <w:lvlJc w:val="left"/>
      <w:pPr>
        <w:ind w:left="4130" w:hanging="360"/>
      </w:pPr>
      <w:rPr>
        <w:rFonts w:ascii="Wingdings" w:hAnsi="Wingdings" w:hint="default"/>
      </w:rPr>
    </w:lvl>
    <w:lvl w:ilvl="6" w:tplc="0C090001" w:tentative="1">
      <w:start w:val="1"/>
      <w:numFmt w:val="bullet"/>
      <w:lvlText w:val=""/>
      <w:lvlJc w:val="left"/>
      <w:pPr>
        <w:ind w:left="4850" w:hanging="360"/>
      </w:pPr>
      <w:rPr>
        <w:rFonts w:ascii="Symbol" w:hAnsi="Symbol" w:hint="default"/>
      </w:rPr>
    </w:lvl>
    <w:lvl w:ilvl="7" w:tplc="0C090003" w:tentative="1">
      <w:start w:val="1"/>
      <w:numFmt w:val="bullet"/>
      <w:lvlText w:val="o"/>
      <w:lvlJc w:val="left"/>
      <w:pPr>
        <w:ind w:left="5570" w:hanging="360"/>
      </w:pPr>
      <w:rPr>
        <w:rFonts w:ascii="Courier New" w:hAnsi="Courier New" w:cs="Courier New" w:hint="default"/>
      </w:rPr>
    </w:lvl>
    <w:lvl w:ilvl="8" w:tplc="0C090005" w:tentative="1">
      <w:start w:val="1"/>
      <w:numFmt w:val="bullet"/>
      <w:lvlText w:val=""/>
      <w:lvlJc w:val="left"/>
      <w:pPr>
        <w:ind w:left="629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0"/>
  </w:num>
  <w:num w:numId="6">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removePersonalInformation/>
  <w:removeDateAndTime/>
  <w:stylePaneFormatFilter w:val="3828" w:allStyles="0" w:customStyles="0" w:latentStyles="0" w:stylesInUse="1" w:headingStyles="1" w:numberingStyles="0" w:tableStyles="0" w:directFormattingOnRuns="0" w:directFormattingOnParagraphs="0" w:directFormattingOnNumbering="0"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713"/>
    <w:rsid w:val="00002C18"/>
    <w:rsid w:val="00010549"/>
    <w:rsid w:val="00012F84"/>
    <w:rsid w:val="00013F99"/>
    <w:rsid w:val="00024729"/>
    <w:rsid w:val="00025376"/>
    <w:rsid w:val="00027B26"/>
    <w:rsid w:val="0003104E"/>
    <w:rsid w:val="00031195"/>
    <w:rsid w:val="00032861"/>
    <w:rsid w:val="00035CA1"/>
    <w:rsid w:val="0003679F"/>
    <w:rsid w:val="000435BB"/>
    <w:rsid w:val="00045CCD"/>
    <w:rsid w:val="00047524"/>
    <w:rsid w:val="00047ACD"/>
    <w:rsid w:val="000505B2"/>
    <w:rsid w:val="00050E5B"/>
    <w:rsid w:val="000547EF"/>
    <w:rsid w:val="00054B89"/>
    <w:rsid w:val="00067CD0"/>
    <w:rsid w:val="00076A17"/>
    <w:rsid w:val="0007743C"/>
    <w:rsid w:val="00080F2E"/>
    <w:rsid w:val="00081CEB"/>
    <w:rsid w:val="00083791"/>
    <w:rsid w:val="00086E3C"/>
    <w:rsid w:val="00087B2C"/>
    <w:rsid w:val="00087DBD"/>
    <w:rsid w:val="00090570"/>
    <w:rsid w:val="00090753"/>
    <w:rsid w:val="00096F54"/>
    <w:rsid w:val="00097BFF"/>
    <w:rsid w:val="000A669D"/>
    <w:rsid w:val="000A66A8"/>
    <w:rsid w:val="000B3D39"/>
    <w:rsid w:val="000C014D"/>
    <w:rsid w:val="000D0178"/>
    <w:rsid w:val="000D4703"/>
    <w:rsid w:val="000D693C"/>
    <w:rsid w:val="000E12D4"/>
    <w:rsid w:val="00104669"/>
    <w:rsid w:val="00110028"/>
    <w:rsid w:val="00116EDF"/>
    <w:rsid w:val="00124B26"/>
    <w:rsid w:val="00130C4E"/>
    <w:rsid w:val="00131B54"/>
    <w:rsid w:val="001354B7"/>
    <w:rsid w:val="001404FA"/>
    <w:rsid w:val="001413C5"/>
    <w:rsid w:val="00142956"/>
    <w:rsid w:val="00143502"/>
    <w:rsid w:val="00144494"/>
    <w:rsid w:val="00144868"/>
    <w:rsid w:val="00157709"/>
    <w:rsid w:val="00167330"/>
    <w:rsid w:val="00167CF4"/>
    <w:rsid w:val="001709C1"/>
    <w:rsid w:val="00176E61"/>
    <w:rsid w:val="00185F6A"/>
    <w:rsid w:val="001943DD"/>
    <w:rsid w:val="00195374"/>
    <w:rsid w:val="001A127F"/>
    <w:rsid w:val="001A1F53"/>
    <w:rsid w:val="001A3CA4"/>
    <w:rsid w:val="001A3EA4"/>
    <w:rsid w:val="001B3AEC"/>
    <w:rsid w:val="001B5000"/>
    <w:rsid w:val="001B6F28"/>
    <w:rsid w:val="001B74E2"/>
    <w:rsid w:val="001D4585"/>
    <w:rsid w:val="001D5D54"/>
    <w:rsid w:val="001E41C8"/>
    <w:rsid w:val="001F0CAB"/>
    <w:rsid w:val="001F2C51"/>
    <w:rsid w:val="001F3AD7"/>
    <w:rsid w:val="001F45EB"/>
    <w:rsid w:val="00207630"/>
    <w:rsid w:val="00213082"/>
    <w:rsid w:val="0021714E"/>
    <w:rsid w:val="00222187"/>
    <w:rsid w:val="00222C8D"/>
    <w:rsid w:val="00222E33"/>
    <w:rsid w:val="00227B95"/>
    <w:rsid w:val="0023523A"/>
    <w:rsid w:val="002353DF"/>
    <w:rsid w:val="00235F71"/>
    <w:rsid w:val="0025272A"/>
    <w:rsid w:val="002705E7"/>
    <w:rsid w:val="00271922"/>
    <w:rsid w:val="0027204E"/>
    <w:rsid w:val="00273412"/>
    <w:rsid w:val="00273FA6"/>
    <w:rsid w:val="00274ACF"/>
    <w:rsid w:val="00285F1B"/>
    <w:rsid w:val="00295831"/>
    <w:rsid w:val="00296F1B"/>
    <w:rsid w:val="002A6DF5"/>
    <w:rsid w:val="002D00B0"/>
    <w:rsid w:val="002D2E16"/>
    <w:rsid w:val="002F19EF"/>
    <w:rsid w:val="00302415"/>
    <w:rsid w:val="0030693C"/>
    <w:rsid w:val="003102F6"/>
    <w:rsid w:val="00313304"/>
    <w:rsid w:val="00313C48"/>
    <w:rsid w:val="00314D15"/>
    <w:rsid w:val="003162AD"/>
    <w:rsid w:val="00321148"/>
    <w:rsid w:val="00321798"/>
    <w:rsid w:val="00325F44"/>
    <w:rsid w:val="00326976"/>
    <w:rsid w:val="003311D7"/>
    <w:rsid w:val="00332B8B"/>
    <w:rsid w:val="003420B4"/>
    <w:rsid w:val="00342476"/>
    <w:rsid w:val="00347104"/>
    <w:rsid w:val="0035213F"/>
    <w:rsid w:val="003555D2"/>
    <w:rsid w:val="00363DF3"/>
    <w:rsid w:val="003656B1"/>
    <w:rsid w:val="0037056B"/>
    <w:rsid w:val="00377173"/>
    <w:rsid w:val="003774DA"/>
    <w:rsid w:val="00392557"/>
    <w:rsid w:val="003945C0"/>
    <w:rsid w:val="003A06C2"/>
    <w:rsid w:val="003A1BC3"/>
    <w:rsid w:val="003B6D2E"/>
    <w:rsid w:val="003C430D"/>
    <w:rsid w:val="003C7404"/>
    <w:rsid w:val="003D3C5A"/>
    <w:rsid w:val="003D404A"/>
    <w:rsid w:val="003D745F"/>
    <w:rsid w:val="003E6FDA"/>
    <w:rsid w:val="003F3072"/>
    <w:rsid w:val="00401A2A"/>
    <w:rsid w:val="004103D7"/>
    <w:rsid w:val="0041307C"/>
    <w:rsid w:val="004167B4"/>
    <w:rsid w:val="00430D7E"/>
    <w:rsid w:val="00433B04"/>
    <w:rsid w:val="00440BD3"/>
    <w:rsid w:val="00446F93"/>
    <w:rsid w:val="00453343"/>
    <w:rsid w:val="004649E2"/>
    <w:rsid w:val="00464E8C"/>
    <w:rsid w:val="00466D36"/>
    <w:rsid w:val="00467185"/>
    <w:rsid w:val="0047050C"/>
    <w:rsid w:val="00475504"/>
    <w:rsid w:val="00480F21"/>
    <w:rsid w:val="00484FED"/>
    <w:rsid w:val="00487723"/>
    <w:rsid w:val="00495AF1"/>
    <w:rsid w:val="004A203F"/>
    <w:rsid w:val="004D44E8"/>
    <w:rsid w:val="004F775C"/>
    <w:rsid w:val="004F77BF"/>
    <w:rsid w:val="005015E4"/>
    <w:rsid w:val="005019FD"/>
    <w:rsid w:val="0050291D"/>
    <w:rsid w:val="00505F1C"/>
    <w:rsid w:val="0050697E"/>
    <w:rsid w:val="0051175A"/>
    <w:rsid w:val="00524B3C"/>
    <w:rsid w:val="005300B9"/>
    <w:rsid w:val="005315A9"/>
    <w:rsid w:val="005316BE"/>
    <w:rsid w:val="00532B56"/>
    <w:rsid w:val="005374FC"/>
    <w:rsid w:val="00537B50"/>
    <w:rsid w:val="00540AD0"/>
    <w:rsid w:val="0054322A"/>
    <w:rsid w:val="00543923"/>
    <w:rsid w:val="005519C9"/>
    <w:rsid w:val="005523D1"/>
    <w:rsid w:val="00554A9C"/>
    <w:rsid w:val="00557624"/>
    <w:rsid w:val="0056023E"/>
    <w:rsid w:val="005658EF"/>
    <w:rsid w:val="005822A3"/>
    <w:rsid w:val="0059070B"/>
    <w:rsid w:val="00594445"/>
    <w:rsid w:val="005B1172"/>
    <w:rsid w:val="005B1225"/>
    <w:rsid w:val="005C09F4"/>
    <w:rsid w:val="005C561A"/>
    <w:rsid w:val="005C5B93"/>
    <w:rsid w:val="005C66FF"/>
    <w:rsid w:val="005C785A"/>
    <w:rsid w:val="005D03CA"/>
    <w:rsid w:val="005D45AB"/>
    <w:rsid w:val="005E4662"/>
    <w:rsid w:val="005F093F"/>
    <w:rsid w:val="005F214A"/>
    <w:rsid w:val="005F4329"/>
    <w:rsid w:val="005F6BD6"/>
    <w:rsid w:val="00601C99"/>
    <w:rsid w:val="00607597"/>
    <w:rsid w:val="006255E4"/>
    <w:rsid w:val="006325E2"/>
    <w:rsid w:val="00641020"/>
    <w:rsid w:val="006410C1"/>
    <w:rsid w:val="00647F05"/>
    <w:rsid w:val="006530EF"/>
    <w:rsid w:val="00654D06"/>
    <w:rsid w:val="00661536"/>
    <w:rsid w:val="006678ED"/>
    <w:rsid w:val="00667CCF"/>
    <w:rsid w:val="006703C4"/>
    <w:rsid w:val="0067233D"/>
    <w:rsid w:val="006745AE"/>
    <w:rsid w:val="00675BEF"/>
    <w:rsid w:val="00676AF3"/>
    <w:rsid w:val="00676D10"/>
    <w:rsid w:val="00680F71"/>
    <w:rsid w:val="00682A53"/>
    <w:rsid w:val="0069174B"/>
    <w:rsid w:val="00693FA1"/>
    <w:rsid w:val="006B05E3"/>
    <w:rsid w:val="006B09BC"/>
    <w:rsid w:val="006B42A0"/>
    <w:rsid w:val="006B4E59"/>
    <w:rsid w:val="006C3402"/>
    <w:rsid w:val="006C3622"/>
    <w:rsid w:val="006C395C"/>
    <w:rsid w:val="006C45D4"/>
    <w:rsid w:val="006E1F3C"/>
    <w:rsid w:val="006E6073"/>
    <w:rsid w:val="006F7300"/>
    <w:rsid w:val="00703C09"/>
    <w:rsid w:val="00712300"/>
    <w:rsid w:val="00720739"/>
    <w:rsid w:val="00721695"/>
    <w:rsid w:val="0072348D"/>
    <w:rsid w:val="007242B4"/>
    <w:rsid w:val="00725FB2"/>
    <w:rsid w:val="00730C64"/>
    <w:rsid w:val="007322AF"/>
    <w:rsid w:val="00735477"/>
    <w:rsid w:val="00736DCA"/>
    <w:rsid w:val="00742399"/>
    <w:rsid w:val="007457E8"/>
    <w:rsid w:val="0074640C"/>
    <w:rsid w:val="0075003D"/>
    <w:rsid w:val="00751B37"/>
    <w:rsid w:val="00754D44"/>
    <w:rsid w:val="00767B7E"/>
    <w:rsid w:val="007746A9"/>
    <w:rsid w:val="007846F0"/>
    <w:rsid w:val="00785465"/>
    <w:rsid w:val="00787656"/>
    <w:rsid w:val="007A67EA"/>
    <w:rsid w:val="007B15AF"/>
    <w:rsid w:val="007B784F"/>
    <w:rsid w:val="007B7E83"/>
    <w:rsid w:val="007C1631"/>
    <w:rsid w:val="007C636F"/>
    <w:rsid w:val="007C74DE"/>
    <w:rsid w:val="007D0EF8"/>
    <w:rsid w:val="007D39EB"/>
    <w:rsid w:val="00800A4D"/>
    <w:rsid w:val="00802E3B"/>
    <w:rsid w:val="008131E7"/>
    <w:rsid w:val="00813711"/>
    <w:rsid w:val="00814279"/>
    <w:rsid w:val="008263C2"/>
    <w:rsid w:val="00842959"/>
    <w:rsid w:val="008451FE"/>
    <w:rsid w:val="008466A1"/>
    <w:rsid w:val="00846C1D"/>
    <w:rsid w:val="00851758"/>
    <w:rsid w:val="00856D5A"/>
    <w:rsid w:val="008609EB"/>
    <w:rsid w:val="00862D6D"/>
    <w:rsid w:val="008653E0"/>
    <w:rsid w:val="008657FB"/>
    <w:rsid w:val="00871D4F"/>
    <w:rsid w:val="00872731"/>
    <w:rsid w:val="00874FB3"/>
    <w:rsid w:val="00880BE3"/>
    <w:rsid w:val="00882588"/>
    <w:rsid w:val="00895792"/>
    <w:rsid w:val="008A3507"/>
    <w:rsid w:val="008A3738"/>
    <w:rsid w:val="008A384C"/>
    <w:rsid w:val="008A6981"/>
    <w:rsid w:val="008B645B"/>
    <w:rsid w:val="008B67B8"/>
    <w:rsid w:val="008B774D"/>
    <w:rsid w:val="008C123E"/>
    <w:rsid w:val="008C340A"/>
    <w:rsid w:val="008C3ED0"/>
    <w:rsid w:val="008C5585"/>
    <w:rsid w:val="008C5E94"/>
    <w:rsid w:val="008D4E4B"/>
    <w:rsid w:val="008E6E9D"/>
    <w:rsid w:val="008F09E3"/>
    <w:rsid w:val="008F1897"/>
    <w:rsid w:val="008F4774"/>
    <w:rsid w:val="008F68F7"/>
    <w:rsid w:val="008F7480"/>
    <w:rsid w:val="009037B6"/>
    <w:rsid w:val="00906CBE"/>
    <w:rsid w:val="00906FFA"/>
    <w:rsid w:val="00910384"/>
    <w:rsid w:val="009139C0"/>
    <w:rsid w:val="009161C8"/>
    <w:rsid w:val="009164AD"/>
    <w:rsid w:val="00922289"/>
    <w:rsid w:val="00936F46"/>
    <w:rsid w:val="00940813"/>
    <w:rsid w:val="0094271E"/>
    <w:rsid w:val="00943142"/>
    <w:rsid w:val="00943A29"/>
    <w:rsid w:val="0095197E"/>
    <w:rsid w:val="00952AB2"/>
    <w:rsid w:val="009551E0"/>
    <w:rsid w:val="00955801"/>
    <w:rsid w:val="0095654E"/>
    <w:rsid w:val="00956F3C"/>
    <w:rsid w:val="0095779B"/>
    <w:rsid w:val="0096485D"/>
    <w:rsid w:val="009900F0"/>
    <w:rsid w:val="00991769"/>
    <w:rsid w:val="00994E9F"/>
    <w:rsid w:val="00996931"/>
    <w:rsid w:val="009A0BAD"/>
    <w:rsid w:val="009A0F18"/>
    <w:rsid w:val="009A4CD8"/>
    <w:rsid w:val="009A6AFA"/>
    <w:rsid w:val="009B3ED1"/>
    <w:rsid w:val="009C07EC"/>
    <w:rsid w:val="009C206F"/>
    <w:rsid w:val="009C433C"/>
    <w:rsid w:val="009D051C"/>
    <w:rsid w:val="009D28B7"/>
    <w:rsid w:val="009D7E1A"/>
    <w:rsid w:val="009E2162"/>
    <w:rsid w:val="009F2F95"/>
    <w:rsid w:val="00A006EB"/>
    <w:rsid w:val="00A03709"/>
    <w:rsid w:val="00A06C77"/>
    <w:rsid w:val="00A10147"/>
    <w:rsid w:val="00A13D26"/>
    <w:rsid w:val="00A146A5"/>
    <w:rsid w:val="00A17411"/>
    <w:rsid w:val="00A2223D"/>
    <w:rsid w:val="00A223EF"/>
    <w:rsid w:val="00A34A74"/>
    <w:rsid w:val="00A35351"/>
    <w:rsid w:val="00A42ADE"/>
    <w:rsid w:val="00A522E6"/>
    <w:rsid w:val="00A60693"/>
    <w:rsid w:val="00A61146"/>
    <w:rsid w:val="00A6496E"/>
    <w:rsid w:val="00A67728"/>
    <w:rsid w:val="00A81A4F"/>
    <w:rsid w:val="00A82E14"/>
    <w:rsid w:val="00A901E9"/>
    <w:rsid w:val="00A9762C"/>
    <w:rsid w:val="00AA4067"/>
    <w:rsid w:val="00AB1A5B"/>
    <w:rsid w:val="00AC0A54"/>
    <w:rsid w:val="00AC125E"/>
    <w:rsid w:val="00AC39A6"/>
    <w:rsid w:val="00AC45DF"/>
    <w:rsid w:val="00AC474D"/>
    <w:rsid w:val="00AC4DFD"/>
    <w:rsid w:val="00AC58FD"/>
    <w:rsid w:val="00AC60CD"/>
    <w:rsid w:val="00AD60E6"/>
    <w:rsid w:val="00AD793A"/>
    <w:rsid w:val="00AE457D"/>
    <w:rsid w:val="00AE5956"/>
    <w:rsid w:val="00AE619F"/>
    <w:rsid w:val="00AF0028"/>
    <w:rsid w:val="00AF373A"/>
    <w:rsid w:val="00AF7EFE"/>
    <w:rsid w:val="00B03BEE"/>
    <w:rsid w:val="00B049AA"/>
    <w:rsid w:val="00B0517E"/>
    <w:rsid w:val="00B056E2"/>
    <w:rsid w:val="00B11314"/>
    <w:rsid w:val="00B1192C"/>
    <w:rsid w:val="00B138E3"/>
    <w:rsid w:val="00B143B5"/>
    <w:rsid w:val="00B20B5C"/>
    <w:rsid w:val="00B23267"/>
    <w:rsid w:val="00B25891"/>
    <w:rsid w:val="00B27149"/>
    <w:rsid w:val="00B40D26"/>
    <w:rsid w:val="00B4451B"/>
    <w:rsid w:val="00B51316"/>
    <w:rsid w:val="00B55903"/>
    <w:rsid w:val="00B61AB2"/>
    <w:rsid w:val="00B72D62"/>
    <w:rsid w:val="00B76920"/>
    <w:rsid w:val="00B843C8"/>
    <w:rsid w:val="00B9108A"/>
    <w:rsid w:val="00B951E2"/>
    <w:rsid w:val="00B96F37"/>
    <w:rsid w:val="00BA607C"/>
    <w:rsid w:val="00BB3E2A"/>
    <w:rsid w:val="00BC16F5"/>
    <w:rsid w:val="00BC287D"/>
    <w:rsid w:val="00BC4A76"/>
    <w:rsid w:val="00BD32E5"/>
    <w:rsid w:val="00BD7ADD"/>
    <w:rsid w:val="00BE41C3"/>
    <w:rsid w:val="00BE530A"/>
    <w:rsid w:val="00BE6767"/>
    <w:rsid w:val="00BE68D7"/>
    <w:rsid w:val="00BF0784"/>
    <w:rsid w:val="00BF7763"/>
    <w:rsid w:val="00C02ED3"/>
    <w:rsid w:val="00C04D5E"/>
    <w:rsid w:val="00C217A2"/>
    <w:rsid w:val="00C24EA2"/>
    <w:rsid w:val="00C24F70"/>
    <w:rsid w:val="00C25D5B"/>
    <w:rsid w:val="00C325C4"/>
    <w:rsid w:val="00C33479"/>
    <w:rsid w:val="00C47BA2"/>
    <w:rsid w:val="00C612DC"/>
    <w:rsid w:val="00C622CB"/>
    <w:rsid w:val="00C64D15"/>
    <w:rsid w:val="00C74F74"/>
    <w:rsid w:val="00C7554B"/>
    <w:rsid w:val="00C80192"/>
    <w:rsid w:val="00C83E31"/>
    <w:rsid w:val="00C916A4"/>
    <w:rsid w:val="00CA2A52"/>
    <w:rsid w:val="00CA2B15"/>
    <w:rsid w:val="00CA6490"/>
    <w:rsid w:val="00CB05BE"/>
    <w:rsid w:val="00CB5744"/>
    <w:rsid w:val="00CB7022"/>
    <w:rsid w:val="00CD1937"/>
    <w:rsid w:val="00CE214C"/>
    <w:rsid w:val="00CE6858"/>
    <w:rsid w:val="00CF50BE"/>
    <w:rsid w:val="00CF553B"/>
    <w:rsid w:val="00CF6A52"/>
    <w:rsid w:val="00CF7CCE"/>
    <w:rsid w:val="00D03583"/>
    <w:rsid w:val="00D117B4"/>
    <w:rsid w:val="00D169F7"/>
    <w:rsid w:val="00D20713"/>
    <w:rsid w:val="00D21382"/>
    <w:rsid w:val="00D26D01"/>
    <w:rsid w:val="00D270AB"/>
    <w:rsid w:val="00D33DA3"/>
    <w:rsid w:val="00D45D9D"/>
    <w:rsid w:val="00D4723B"/>
    <w:rsid w:val="00D55EE8"/>
    <w:rsid w:val="00D5785A"/>
    <w:rsid w:val="00D64C48"/>
    <w:rsid w:val="00D731C4"/>
    <w:rsid w:val="00D76BB8"/>
    <w:rsid w:val="00D81BAA"/>
    <w:rsid w:val="00D85BE0"/>
    <w:rsid w:val="00D87C1A"/>
    <w:rsid w:val="00D87F42"/>
    <w:rsid w:val="00D87FD7"/>
    <w:rsid w:val="00D92167"/>
    <w:rsid w:val="00D9502B"/>
    <w:rsid w:val="00D97047"/>
    <w:rsid w:val="00D97108"/>
    <w:rsid w:val="00DC0499"/>
    <w:rsid w:val="00DC5665"/>
    <w:rsid w:val="00DD46FC"/>
    <w:rsid w:val="00DD4F44"/>
    <w:rsid w:val="00DD5B58"/>
    <w:rsid w:val="00DD5D8B"/>
    <w:rsid w:val="00DE0F9E"/>
    <w:rsid w:val="00DE5D76"/>
    <w:rsid w:val="00E039BF"/>
    <w:rsid w:val="00E04C8D"/>
    <w:rsid w:val="00E05785"/>
    <w:rsid w:val="00E128D8"/>
    <w:rsid w:val="00E30D45"/>
    <w:rsid w:val="00E317FE"/>
    <w:rsid w:val="00E42FE4"/>
    <w:rsid w:val="00E46FAA"/>
    <w:rsid w:val="00E50FB5"/>
    <w:rsid w:val="00E5750B"/>
    <w:rsid w:val="00E60E2E"/>
    <w:rsid w:val="00E63A24"/>
    <w:rsid w:val="00E65D1B"/>
    <w:rsid w:val="00E67913"/>
    <w:rsid w:val="00E71A2D"/>
    <w:rsid w:val="00E8698A"/>
    <w:rsid w:val="00E872A2"/>
    <w:rsid w:val="00E923F2"/>
    <w:rsid w:val="00EA31CC"/>
    <w:rsid w:val="00EB05C5"/>
    <w:rsid w:val="00EB14DF"/>
    <w:rsid w:val="00EB2B64"/>
    <w:rsid w:val="00EB3A07"/>
    <w:rsid w:val="00EB4143"/>
    <w:rsid w:val="00EB4728"/>
    <w:rsid w:val="00EB59AA"/>
    <w:rsid w:val="00EC207A"/>
    <w:rsid w:val="00EC3F31"/>
    <w:rsid w:val="00ED1E6B"/>
    <w:rsid w:val="00ED3C91"/>
    <w:rsid w:val="00ED4112"/>
    <w:rsid w:val="00EF1347"/>
    <w:rsid w:val="00EF2BEB"/>
    <w:rsid w:val="00F01129"/>
    <w:rsid w:val="00F0373D"/>
    <w:rsid w:val="00F03D93"/>
    <w:rsid w:val="00F03D9E"/>
    <w:rsid w:val="00F227BF"/>
    <w:rsid w:val="00F374B2"/>
    <w:rsid w:val="00F40AFC"/>
    <w:rsid w:val="00F43553"/>
    <w:rsid w:val="00F4730E"/>
    <w:rsid w:val="00F50A92"/>
    <w:rsid w:val="00F53F24"/>
    <w:rsid w:val="00F62908"/>
    <w:rsid w:val="00F63341"/>
    <w:rsid w:val="00F7536E"/>
    <w:rsid w:val="00F81F93"/>
    <w:rsid w:val="00F839A8"/>
    <w:rsid w:val="00F86F1B"/>
    <w:rsid w:val="00F91E60"/>
    <w:rsid w:val="00F92A21"/>
    <w:rsid w:val="00F92E9B"/>
    <w:rsid w:val="00F944AB"/>
    <w:rsid w:val="00F95814"/>
    <w:rsid w:val="00FA01D9"/>
    <w:rsid w:val="00FA031C"/>
    <w:rsid w:val="00FB13C1"/>
    <w:rsid w:val="00FB420B"/>
    <w:rsid w:val="00FC1C5F"/>
    <w:rsid w:val="00FC5A4D"/>
    <w:rsid w:val="00FC5C0C"/>
    <w:rsid w:val="00FC64EF"/>
    <w:rsid w:val="00FD2673"/>
    <w:rsid w:val="00FE22FA"/>
    <w:rsid w:val="00FE26C9"/>
    <w:rsid w:val="00FE2A29"/>
    <w:rsid w:val="00FE5C06"/>
    <w:rsid w:val="00FF3801"/>
    <w:rsid w:val="00FF5B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BBC7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2" w:qFormat="1"/>
    <w:lsdException w:name="heading 2" w:uiPriority="2" w:qFormat="1"/>
    <w:lsdException w:name="heading 3" w:qFormat="1"/>
    <w:lsdException w:name="heading 6" w:semiHidden="1" w:unhideWhenUsed="1"/>
    <w:lsdException w:name="heading 7" w:semiHidden="1" w:unhideWhenUsed="1"/>
    <w:lsdException w:name="heading 8" w:semiHidden="1" w:unhideWhenUsed="1"/>
    <w:lsdException w:name="heading 9" w:semiHidden="1" w:uiPriority="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6AFA"/>
    <w:pPr>
      <w:spacing w:before="120" w:after="180" w:line="280" w:lineRule="atLeast"/>
    </w:pPr>
    <w:rPr>
      <w:rFonts w:ascii="Arial" w:hAnsi="Arial"/>
      <w:spacing w:val="4"/>
      <w:sz w:val="24"/>
      <w:szCs w:val="24"/>
    </w:rPr>
  </w:style>
  <w:style w:type="paragraph" w:styleId="Heading1">
    <w:name w:val="heading 1"/>
    <w:basedOn w:val="Normal"/>
    <w:next w:val="Normal"/>
    <w:link w:val="Heading1Char"/>
    <w:uiPriority w:val="2"/>
    <w:qFormat/>
    <w:rsid w:val="00872731"/>
    <w:pPr>
      <w:keepNext/>
      <w:keepLines/>
      <w:spacing w:before="240" w:line="240" w:lineRule="auto"/>
      <w:contextualSpacing/>
      <w:outlineLvl w:val="0"/>
    </w:pPr>
    <w:rPr>
      <w:rFonts w:ascii="Georgia" w:hAnsi="Georgia" w:cs="Arial"/>
      <w:bCs/>
      <w:color w:val="275D38"/>
      <w:kern w:val="32"/>
      <w:sz w:val="36"/>
      <w:szCs w:val="32"/>
    </w:rPr>
  </w:style>
  <w:style w:type="paragraph" w:styleId="Heading2">
    <w:name w:val="heading 2"/>
    <w:basedOn w:val="Normal"/>
    <w:next w:val="Normal"/>
    <w:link w:val="Heading2Char"/>
    <w:uiPriority w:val="2"/>
    <w:qFormat/>
    <w:rsid w:val="00872731"/>
    <w:pPr>
      <w:keepNext/>
      <w:keepLines/>
      <w:spacing w:before="240" w:line="240" w:lineRule="auto"/>
      <w:contextualSpacing/>
      <w:outlineLvl w:val="1"/>
    </w:pPr>
    <w:rPr>
      <w:rFonts w:ascii="Georgia" w:hAnsi="Georgia" w:cs="Arial"/>
      <w:bCs/>
      <w:iCs/>
      <w:color w:val="275D38"/>
      <w:sz w:val="32"/>
      <w:szCs w:val="28"/>
    </w:rPr>
  </w:style>
  <w:style w:type="paragraph" w:styleId="Heading3">
    <w:name w:val="heading 3"/>
    <w:basedOn w:val="Normal"/>
    <w:next w:val="Normal"/>
    <w:link w:val="Heading3Char"/>
    <w:uiPriority w:val="2"/>
    <w:qFormat/>
    <w:rsid w:val="008D4E4B"/>
    <w:pPr>
      <w:keepNext/>
      <w:keepLines/>
      <w:spacing w:before="240" w:line="240" w:lineRule="auto"/>
      <w:contextualSpacing/>
      <w:outlineLvl w:val="2"/>
    </w:pPr>
    <w:rPr>
      <w:rFonts w:ascii="Georgia" w:hAnsi="Georgia" w:cs="Arial"/>
      <w:bCs/>
      <w:sz w:val="28"/>
      <w:szCs w:val="26"/>
    </w:rPr>
  </w:style>
  <w:style w:type="paragraph" w:styleId="Heading4">
    <w:name w:val="heading 4"/>
    <w:basedOn w:val="Normal"/>
    <w:next w:val="Normal"/>
    <w:link w:val="Heading4Char"/>
    <w:uiPriority w:val="2"/>
    <w:unhideWhenUsed/>
    <w:rsid w:val="00BD7ADD"/>
    <w:pPr>
      <w:keepNext/>
      <w:keepLines/>
      <w:contextualSpacing/>
      <w:outlineLvl w:val="3"/>
    </w:pPr>
    <w:rPr>
      <w:b/>
      <w:lang w:val="en-US"/>
    </w:rPr>
  </w:style>
  <w:style w:type="paragraph" w:styleId="Heading5">
    <w:name w:val="heading 5"/>
    <w:basedOn w:val="Heading4"/>
    <w:next w:val="Normal"/>
    <w:link w:val="Heading5Char"/>
    <w:uiPriority w:val="2"/>
    <w:unhideWhenUsed/>
    <w:rsid w:val="00E50FB5"/>
    <w:pPr>
      <w:outlineLvl w:val="4"/>
    </w:pPr>
    <w:rPr>
      <w:b w:val="0"/>
    </w:rPr>
  </w:style>
  <w:style w:type="paragraph" w:styleId="Heading6">
    <w:name w:val="heading 6"/>
    <w:basedOn w:val="Heading1"/>
    <w:next w:val="Normal"/>
    <w:link w:val="Heading6Char"/>
    <w:uiPriority w:val="2"/>
    <w:unhideWhenUsed/>
    <w:rsid w:val="008D4E4B"/>
    <w:pPr>
      <w:spacing w:before="120"/>
      <w:outlineLvl w:val="5"/>
    </w:pPr>
    <w:rPr>
      <w:rFonts w:asciiTheme="minorHAnsi" w:eastAsiaTheme="majorEastAsia" w:hAnsiTheme="minorHAnsi" w:cstheme="majorBidi"/>
      <w:iCs/>
      <w:color w:val="auto"/>
      <w:sz w:val="22"/>
    </w:rPr>
  </w:style>
  <w:style w:type="paragraph" w:styleId="Heading7">
    <w:name w:val="heading 7"/>
    <w:basedOn w:val="Normal"/>
    <w:next w:val="Normal"/>
    <w:link w:val="Heading7Char"/>
    <w:uiPriority w:val="2"/>
    <w:unhideWhenUsed/>
    <w:rsid w:val="008D4E4B"/>
    <w:pPr>
      <w:keepNext/>
      <w:keepLines/>
      <w:outlineLvl w:val="6"/>
    </w:pPr>
    <w:rPr>
      <w:rFonts w:asciiTheme="minorHAnsi" w:eastAsiaTheme="majorEastAsia" w:hAnsiTheme="minorHAnsi" w:cstheme="majorBidi"/>
      <w:iCs/>
    </w:rPr>
  </w:style>
  <w:style w:type="paragraph" w:styleId="Heading8">
    <w:name w:val="heading 8"/>
    <w:basedOn w:val="Normal"/>
    <w:next w:val="Normal"/>
    <w:link w:val="Heading8Char"/>
    <w:uiPriority w:val="2"/>
    <w:unhideWhenUsed/>
    <w:rsid w:val="008D4E4B"/>
    <w:pPr>
      <w:keepNext/>
      <w:keepLines/>
      <w:outlineLvl w:val="7"/>
    </w:pPr>
    <w:rPr>
      <w:rFonts w:asciiTheme="minorHAnsi" w:eastAsiaTheme="majorEastAsia" w:hAnsiTheme="minorHAnsi" w:cstheme="majorBidi"/>
      <w:szCs w:val="20"/>
    </w:rPr>
  </w:style>
  <w:style w:type="paragraph" w:styleId="Heading9">
    <w:name w:val="heading 9"/>
    <w:basedOn w:val="Normal"/>
    <w:next w:val="Normal"/>
    <w:link w:val="Heading9Char"/>
    <w:uiPriority w:val="2"/>
    <w:semiHidden/>
    <w:unhideWhenUsed/>
    <w:rsid w:val="008D4E4B"/>
    <w:pPr>
      <w:keepNext/>
      <w:keepLines/>
      <w:outlineLvl w:val="8"/>
    </w:pPr>
    <w:rPr>
      <w:rFonts w:asciiTheme="minorHAnsi" w:eastAsiaTheme="majorEastAsia" w:hAnsiTheme="minorHAnsi"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D44E8"/>
    <w:pPr>
      <w:tabs>
        <w:tab w:val="center" w:pos="4513"/>
        <w:tab w:val="right" w:pos="9026"/>
      </w:tabs>
      <w:spacing w:before="0" w:after="0" w:line="240" w:lineRule="auto"/>
    </w:pPr>
  </w:style>
  <w:style w:type="paragraph" w:styleId="Title">
    <w:name w:val="Title"/>
    <w:basedOn w:val="Normal"/>
    <w:link w:val="TitleChar"/>
    <w:uiPriority w:val="99"/>
    <w:qFormat/>
    <w:rsid w:val="00872731"/>
    <w:pPr>
      <w:spacing w:before="240" w:line="240" w:lineRule="auto"/>
      <w:contextualSpacing/>
      <w:outlineLvl w:val="0"/>
    </w:pPr>
    <w:rPr>
      <w:rFonts w:ascii="Georgia" w:hAnsi="Georgia" w:cs="Arial"/>
      <w:bCs/>
      <w:color w:val="275D38"/>
      <w:spacing w:val="0"/>
      <w:kern w:val="28"/>
      <w:sz w:val="72"/>
      <w:szCs w:val="32"/>
    </w:rPr>
  </w:style>
  <w:style w:type="paragraph" w:styleId="ListBullet">
    <w:name w:val="List Bullet"/>
    <w:basedOn w:val="Normal"/>
    <w:uiPriority w:val="1"/>
    <w:qFormat/>
    <w:rsid w:val="008D4E4B"/>
    <w:pPr>
      <w:numPr>
        <w:numId w:val="2"/>
      </w:numPr>
      <w:tabs>
        <w:tab w:val="left" w:pos="170"/>
      </w:tabs>
    </w:pPr>
  </w:style>
  <w:style w:type="paragraph" w:styleId="Footer">
    <w:name w:val="footer"/>
    <w:basedOn w:val="Normal"/>
    <w:link w:val="FooterChar"/>
    <w:uiPriority w:val="99"/>
    <w:rsid w:val="00E50FB5"/>
    <w:pPr>
      <w:tabs>
        <w:tab w:val="right" w:pos="10433"/>
      </w:tabs>
      <w:spacing w:before="0" w:after="0" w:line="240" w:lineRule="auto"/>
    </w:pPr>
    <w:rPr>
      <w:sz w:val="18"/>
    </w:rPr>
  </w:style>
  <w:style w:type="paragraph" w:customStyle="1" w:styleId="Smalltext">
    <w:name w:val="Small text"/>
    <w:basedOn w:val="Normal"/>
    <w:rsid w:val="004D44E8"/>
    <w:pPr>
      <w:spacing w:before="0" w:after="240" w:line="240" w:lineRule="auto"/>
      <w:ind w:left="142" w:hanging="142"/>
      <w:jc w:val="right"/>
    </w:pPr>
    <w:rPr>
      <w:sz w:val="12"/>
      <w:szCs w:val="16"/>
      <w:lang w:val="en-US"/>
    </w:rPr>
  </w:style>
  <w:style w:type="character" w:styleId="Hyperlink">
    <w:name w:val="Hyperlink"/>
    <w:basedOn w:val="DefaultParagraphFont"/>
    <w:uiPriority w:val="99"/>
    <w:rsid w:val="006678ED"/>
    <w:rPr>
      <w:rFonts w:ascii="Arial" w:hAnsi="Arial"/>
      <w:b w:val="0"/>
      <w:color w:val="0000FF"/>
      <w:u w:val="single"/>
    </w:rPr>
  </w:style>
  <w:style w:type="character" w:customStyle="1" w:styleId="Heading5Char">
    <w:name w:val="Heading 5 Char"/>
    <w:basedOn w:val="DefaultParagraphFont"/>
    <w:link w:val="Heading5"/>
    <w:uiPriority w:val="2"/>
    <w:rsid w:val="00E50FB5"/>
    <w:rPr>
      <w:rFonts w:ascii="Arial" w:hAnsi="Arial"/>
      <w:szCs w:val="24"/>
      <w:lang w:val="en-US"/>
    </w:rPr>
  </w:style>
  <w:style w:type="table" w:styleId="TableGrid">
    <w:name w:val="Table Grid"/>
    <w:basedOn w:val="TableNormal"/>
    <w:rsid w:val="00E65D1B"/>
    <w:rPr>
      <w:rFonts w:ascii="Arial" w:hAnsi="Arial"/>
      <w:sz w:val="24"/>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95197E"/>
    <w:pPr>
      <w:spacing w:before="0"/>
    </w:pPr>
    <w:rPr>
      <w:sz w:val="16"/>
      <w:szCs w:val="20"/>
    </w:rPr>
  </w:style>
  <w:style w:type="character" w:customStyle="1" w:styleId="FootnoteTextChar">
    <w:name w:val="Footnote Text Char"/>
    <w:basedOn w:val="DefaultParagraphFont"/>
    <w:link w:val="FootnoteText"/>
    <w:rsid w:val="0095197E"/>
    <w:rPr>
      <w:rFonts w:ascii="Arial" w:hAnsi="Arial"/>
      <w:sz w:val="16"/>
    </w:rPr>
  </w:style>
  <w:style w:type="paragraph" w:customStyle="1" w:styleId="Pullouttext">
    <w:name w:val="Pullout text"/>
    <w:next w:val="Normal"/>
    <w:link w:val="PullouttextChar"/>
    <w:uiPriority w:val="3"/>
    <w:qFormat/>
    <w:rsid w:val="00872731"/>
    <w:pPr>
      <w:spacing w:before="120" w:after="120"/>
      <w:ind w:left="397"/>
      <w:contextualSpacing/>
    </w:pPr>
    <w:rPr>
      <w:rFonts w:ascii="Georgia" w:hAnsi="Georgia" w:cs="Arial"/>
      <w:bCs/>
      <w:iCs/>
      <w:color w:val="275D38"/>
      <w:sz w:val="24"/>
      <w:szCs w:val="28"/>
    </w:rPr>
  </w:style>
  <w:style w:type="character" w:customStyle="1" w:styleId="Heading2Char">
    <w:name w:val="Heading 2 Char"/>
    <w:basedOn w:val="DefaultParagraphFont"/>
    <w:link w:val="Heading2"/>
    <w:uiPriority w:val="2"/>
    <w:rsid w:val="00872731"/>
    <w:rPr>
      <w:rFonts w:ascii="Georgia" w:hAnsi="Georgia" w:cs="Arial"/>
      <w:bCs/>
      <w:iCs/>
      <w:color w:val="275D38"/>
      <w:spacing w:val="4"/>
      <w:sz w:val="32"/>
      <w:szCs w:val="28"/>
    </w:rPr>
  </w:style>
  <w:style w:type="character" w:customStyle="1" w:styleId="PullouttextChar">
    <w:name w:val="Pullout text Char"/>
    <w:basedOn w:val="Heading2Char"/>
    <w:link w:val="Pullouttext"/>
    <w:uiPriority w:val="3"/>
    <w:rsid w:val="00872731"/>
    <w:rPr>
      <w:rFonts w:ascii="Georgia" w:hAnsi="Georgia" w:cs="Arial"/>
      <w:bCs/>
      <w:iCs/>
      <w:color w:val="275D38"/>
      <w:spacing w:val="4"/>
      <w:sz w:val="24"/>
      <w:szCs w:val="28"/>
    </w:rPr>
  </w:style>
  <w:style w:type="paragraph" w:customStyle="1" w:styleId="TableText">
    <w:name w:val="Table Text"/>
    <w:basedOn w:val="Normal"/>
    <w:uiPriority w:val="3"/>
    <w:qFormat/>
    <w:rsid w:val="005F6BD6"/>
    <w:pPr>
      <w:spacing w:before="40" w:after="40"/>
    </w:pPr>
  </w:style>
  <w:style w:type="paragraph" w:customStyle="1" w:styleId="Tablebullet">
    <w:name w:val="Table bullet"/>
    <w:basedOn w:val="TableText"/>
    <w:uiPriority w:val="3"/>
    <w:qFormat/>
    <w:rsid w:val="00F40AFC"/>
    <w:pPr>
      <w:numPr>
        <w:numId w:val="1"/>
      </w:numPr>
      <w:ind w:left="170" w:hanging="170"/>
    </w:pPr>
    <w:rPr>
      <w:szCs w:val="18"/>
    </w:rPr>
  </w:style>
  <w:style w:type="character" w:customStyle="1" w:styleId="Heading9Char">
    <w:name w:val="Heading 9 Char"/>
    <w:basedOn w:val="DefaultParagraphFont"/>
    <w:link w:val="Heading9"/>
    <w:uiPriority w:val="2"/>
    <w:semiHidden/>
    <w:rsid w:val="008D4E4B"/>
    <w:rPr>
      <w:rFonts w:asciiTheme="minorHAnsi" w:eastAsiaTheme="majorEastAsia" w:hAnsiTheme="minorHAnsi" w:cstheme="majorBidi"/>
      <w:iCs/>
      <w:spacing w:val="4"/>
      <w:sz w:val="22"/>
    </w:rPr>
  </w:style>
  <w:style w:type="character" w:customStyle="1" w:styleId="Heading6Char">
    <w:name w:val="Heading 6 Char"/>
    <w:basedOn w:val="DefaultParagraphFont"/>
    <w:link w:val="Heading6"/>
    <w:uiPriority w:val="2"/>
    <w:rsid w:val="008D4E4B"/>
    <w:rPr>
      <w:rFonts w:asciiTheme="minorHAnsi" w:eastAsiaTheme="majorEastAsia" w:hAnsiTheme="minorHAnsi" w:cstheme="majorBidi"/>
      <w:bCs/>
      <w:iCs/>
      <w:spacing w:val="4"/>
      <w:kern w:val="32"/>
      <w:sz w:val="22"/>
      <w:szCs w:val="32"/>
    </w:rPr>
  </w:style>
  <w:style w:type="character" w:customStyle="1" w:styleId="Heading7Char">
    <w:name w:val="Heading 7 Char"/>
    <w:basedOn w:val="DefaultParagraphFont"/>
    <w:link w:val="Heading7"/>
    <w:uiPriority w:val="2"/>
    <w:rsid w:val="008D4E4B"/>
    <w:rPr>
      <w:rFonts w:asciiTheme="minorHAnsi" w:eastAsiaTheme="majorEastAsia" w:hAnsiTheme="minorHAnsi" w:cstheme="majorBidi"/>
      <w:iCs/>
      <w:spacing w:val="4"/>
      <w:sz w:val="22"/>
      <w:szCs w:val="24"/>
    </w:rPr>
  </w:style>
  <w:style w:type="character" w:customStyle="1" w:styleId="Heading1Char">
    <w:name w:val="Heading 1 Char"/>
    <w:basedOn w:val="DefaultParagraphFont"/>
    <w:link w:val="Heading1"/>
    <w:uiPriority w:val="2"/>
    <w:rsid w:val="00872731"/>
    <w:rPr>
      <w:rFonts w:ascii="Georgia" w:hAnsi="Georgia" w:cs="Arial"/>
      <w:bCs/>
      <w:color w:val="275D38"/>
      <w:spacing w:val="4"/>
      <w:kern w:val="32"/>
      <w:sz w:val="36"/>
      <w:szCs w:val="32"/>
    </w:rPr>
  </w:style>
  <w:style w:type="character" w:customStyle="1" w:styleId="Heading3Char">
    <w:name w:val="Heading 3 Char"/>
    <w:basedOn w:val="DefaultParagraphFont"/>
    <w:link w:val="Heading3"/>
    <w:uiPriority w:val="2"/>
    <w:rsid w:val="008D4E4B"/>
    <w:rPr>
      <w:rFonts w:ascii="Georgia" w:hAnsi="Georgia" w:cs="Arial"/>
      <w:bCs/>
      <w:spacing w:val="4"/>
      <w:sz w:val="28"/>
      <w:szCs w:val="26"/>
    </w:rPr>
  </w:style>
  <w:style w:type="character" w:customStyle="1" w:styleId="Heading4Char">
    <w:name w:val="Heading 4 Char"/>
    <w:basedOn w:val="DefaultParagraphFont"/>
    <w:link w:val="Heading4"/>
    <w:uiPriority w:val="2"/>
    <w:rsid w:val="00557624"/>
    <w:rPr>
      <w:rFonts w:ascii="Arial" w:hAnsi="Arial"/>
      <w:b/>
      <w:szCs w:val="24"/>
      <w:lang w:val="en-US"/>
    </w:rPr>
  </w:style>
  <w:style w:type="character" w:customStyle="1" w:styleId="HeaderChar">
    <w:name w:val="Header Char"/>
    <w:basedOn w:val="DefaultParagraphFont"/>
    <w:link w:val="Header"/>
    <w:rsid w:val="004D44E8"/>
    <w:rPr>
      <w:rFonts w:ascii="Arial" w:hAnsi="Arial"/>
      <w:szCs w:val="24"/>
    </w:rPr>
  </w:style>
  <w:style w:type="character" w:customStyle="1" w:styleId="TitleChar">
    <w:name w:val="Title Char"/>
    <w:basedOn w:val="DefaultParagraphFont"/>
    <w:link w:val="Title"/>
    <w:uiPriority w:val="99"/>
    <w:rsid w:val="00872731"/>
    <w:rPr>
      <w:rFonts w:ascii="Georgia" w:hAnsi="Georgia" w:cs="Arial"/>
      <w:bCs/>
      <w:color w:val="275D38"/>
      <w:kern w:val="28"/>
      <w:sz w:val="72"/>
      <w:szCs w:val="32"/>
    </w:rPr>
  </w:style>
  <w:style w:type="character" w:customStyle="1" w:styleId="FooterChar">
    <w:name w:val="Footer Char"/>
    <w:basedOn w:val="DefaultParagraphFont"/>
    <w:link w:val="Footer"/>
    <w:uiPriority w:val="99"/>
    <w:rsid w:val="00E50FB5"/>
    <w:rPr>
      <w:rFonts w:ascii="Arial" w:hAnsi="Arial"/>
      <w:sz w:val="18"/>
      <w:szCs w:val="24"/>
    </w:rPr>
  </w:style>
  <w:style w:type="character" w:customStyle="1" w:styleId="Heading8Char">
    <w:name w:val="Heading 8 Char"/>
    <w:basedOn w:val="DefaultParagraphFont"/>
    <w:link w:val="Heading8"/>
    <w:uiPriority w:val="2"/>
    <w:rsid w:val="008D4E4B"/>
    <w:rPr>
      <w:rFonts w:asciiTheme="minorHAnsi" w:eastAsiaTheme="majorEastAsia" w:hAnsiTheme="minorHAnsi" w:cstheme="majorBidi"/>
      <w:spacing w:val="4"/>
      <w:sz w:val="22"/>
    </w:rPr>
  </w:style>
  <w:style w:type="paragraph" w:styleId="Subtitle">
    <w:name w:val="Subtitle"/>
    <w:basedOn w:val="Normal"/>
    <w:next w:val="Normal"/>
    <w:link w:val="SubtitleChar"/>
    <w:uiPriority w:val="99"/>
    <w:qFormat/>
    <w:rsid w:val="004F77BF"/>
    <w:pPr>
      <w:numPr>
        <w:ilvl w:val="1"/>
      </w:numPr>
      <w:spacing w:before="0" w:after="600" w:line="240" w:lineRule="auto"/>
      <w:contextualSpacing/>
    </w:pPr>
    <w:rPr>
      <w:rFonts w:asciiTheme="majorHAnsi" w:eastAsiaTheme="majorEastAsia" w:hAnsiTheme="majorHAnsi" w:cstheme="majorBidi"/>
      <w:iCs/>
      <w:color w:val="000000" w:themeColor="text1"/>
      <w:sz w:val="36"/>
    </w:rPr>
  </w:style>
  <w:style w:type="character" w:customStyle="1" w:styleId="SubtitleChar">
    <w:name w:val="Subtitle Char"/>
    <w:basedOn w:val="DefaultParagraphFont"/>
    <w:link w:val="Subtitle"/>
    <w:uiPriority w:val="99"/>
    <w:rsid w:val="004F77BF"/>
    <w:rPr>
      <w:rFonts w:asciiTheme="majorHAnsi" w:eastAsiaTheme="majorEastAsia" w:hAnsiTheme="majorHAnsi" w:cstheme="majorBidi"/>
      <w:iCs/>
      <w:color w:val="000000" w:themeColor="text1"/>
      <w:spacing w:val="4"/>
      <w:sz w:val="36"/>
      <w:szCs w:val="24"/>
    </w:rPr>
  </w:style>
  <w:style w:type="paragraph" w:styleId="BalloonText">
    <w:name w:val="Balloon Text"/>
    <w:basedOn w:val="Normal"/>
    <w:link w:val="BalloonTextChar"/>
    <w:rsid w:val="00DD5B58"/>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sid w:val="00DD5B58"/>
    <w:rPr>
      <w:rFonts w:ascii="Tahoma" w:hAnsi="Tahoma" w:cs="Tahoma"/>
      <w:spacing w:val="4"/>
      <w:sz w:val="16"/>
      <w:szCs w:val="16"/>
    </w:rPr>
  </w:style>
  <w:style w:type="character" w:styleId="Strong">
    <w:name w:val="Strong"/>
    <w:aliases w:val="Bold"/>
    <w:basedOn w:val="DefaultParagraphFont"/>
    <w:uiPriority w:val="22"/>
    <w:qFormat/>
    <w:rsid w:val="00AE457D"/>
    <w:rPr>
      <w:rFonts w:ascii="Arial" w:hAnsi="Arial"/>
      <w:b/>
      <w:bCs/>
      <w:sz w:val="22"/>
    </w:rPr>
  </w:style>
  <w:style w:type="paragraph" w:styleId="ListParagraph">
    <w:name w:val="List Paragraph"/>
    <w:aliases w:val="List Paragraph11,Recommendation,Bullet Points,NFP GP Bulleted List,Bullet point,#List Paragraph,L,List Paragraph*"/>
    <w:basedOn w:val="Normal"/>
    <w:uiPriority w:val="34"/>
    <w:qFormat/>
    <w:rsid w:val="00C80192"/>
    <w:pPr>
      <w:ind w:left="720"/>
      <w:contextualSpacing/>
    </w:pPr>
  </w:style>
  <w:style w:type="table" w:styleId="TableClassic2">
    <w:name w:val="Table Classic 2"/>
    <w:basedOn w:val="TableNormal"/>
    <w:rsid w:val="00E65D1B"/>
    <w:pPr>
      <w:spacing w:before="120" w:after="180" w:line="280" w:lineRule="atLeast"/>
    </w:pPr>
    <w:rPr>
      <w:rFonts w:ascii="Arial" w:hAnsi="Arial"/>
      <w:sz w:val="24"/>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3Deffects1">
    <w:name w:val="Table 3D effects 1"/>
    <w:basedOn w:val="TableNormal"/>
    <w:rsid w:val="00E65D1B"/>
    <w:pPr>
      <w:spacing w:before="120" w:after="180" w:line="280" w:lineRule="atLeast"/>
    </w:pPr>
    <w:rPr>
      <w:rFonts w:asciiTheme="minorHAnsi" w:hAnsiTheme="minorHAnsi"/>
      <w:sz w:val="24"/>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65D1B"/>
    <w:pPr>
      <w:spacing w:before="120" w:after="180" w:line="280" w:lineRule="atLeast"/>
    </w:pPr>
    <w:rPr>
      <w:rFonts w:ascii="Arial" w:hAnsi="Arial"/>
      <w:sz w:val="24"/>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65D1B"/>
    <w:pPr>
      <w:spacing w:before="120" w:after="180" w:line="280" w:lineRule="atLeast"/>
    </w:pPr>
    <w:rPr>
      <w:rFonts w:ascii="Arial" w:hAnsi="Arial"/>
      <w:sz w:val="24"/>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3">
    <w:name w:val="Table Classic 3"/>
    <w:basedOn w:val="TableNormal"/>
    <w:rsid w:val="00E65D1B"/>
    <w:pPr>
      <w:spacing w:before="120" w:after="180" w:line="280" w:lineRule="atLeast"/>
    </w:pPr>
    <w:rPr>
      <w:rFonts w:ascii="Arial" w:hAnsi="Arial"/>
      <w:color w:val="000080"/>
      <w:sz w:val="24"/>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65D1B"/>
    <w:pPr>
      <w:spacing w:before="120" w:after="180" w:line="280" w:lineRule="atLeast"/>
    </w:pPr>
    <w:rPr>
      <w:rFonts w:ascii="Arial" w:hAnsi="Arial"/>
      <w:sz w:val="24"/>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65D1B"/>
    <w:pPr>
      <w:spacing w:before="120" w:after="180" w:line="280" w:lineRule="atLeast"/>
    </w:pPr>
    <w:rPr>
      <w:rFonts w:ascii="Arial" w:hAnsi="Arial"/>
      <w:color w:val="FFFFFF"/>
      <w:sz w:val="24"/>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ColorfulList">
    <w:name w:val="Colorful List"/>
    <w:basedOn w:val="TableNormal"/>
    <w:uiPriority w:val="72"/>
    <w:rsid w:val="00E65D1B"/>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5F9719" w:themeFill="accent2" w:themeFillShade="CC"/>
      </w:tcPr>
    </w:tblStylePr>
    <w:tblStylePr w:type="lastRow">
      <w:rPr>
        <w:b/>
        <w:bCs/>
        <w:color w:val="5F971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2">
    <w:name w:val="Colorful List Accent 2"/>
    <w:basedOn w:val="TableNormal"/>
    <w:uiPriority w:val="72"/>
    <w:rsid w:val="00E65D1B"/>
    <w:rPr>
      <w:color w:val="000000" w:themeColor="text1"/>
    </w:rPr>
    <w:tblPr>
      <w:tblStyleRowBandSize w:val="1"/>
      <w:tblStyleColBandSize w:val="1"/>
    </w:tblPr>
    <w:tcPr>
      <w:shd w:val="clear" w:color="auto" w:fill="F1FBE6" w:themeFill="accent2" w:themeFillTint="19"/>
    </w:tcPr>
    <w:tblStylePr w:type="firstRow">
      <w:rPr>
        <w:b/>
        <w:bCs/>
        <w:color w:val="FFFFFF" w:themeColor="background1"/>
      </w:rPr>
      <w:tblPr/>
      <w:tcPr>
        <w:tcBorders>
          <w:bottom w:val="single" w:sz="12" w:space="0" w:color="FFFFFF" w:themeColor="background1"/>
        </w:tcBorders>
        <w:shd w:val="clear" w:color="auto" w:fill="5F9719" w:themeFill="accent2" w:themeFillShade="CC"/>
      </w:tcPr>
    </w:tblStylePr>
    <w:tblStylePr w:type="lastRow">
      <w:rPr>
        <w:b/>
        <w:bCs/>
        <w:color w:val="5F971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EF4C1" w:themeFill="accent2" w:themeFillTint="3F"/>
      </w:tcPr>
    </w:tblStylePr>
    <w:tblStylePr w:type="band1Horz">
      <w:tblPr/>
      <w:tcPr>
        <w:shd w:val="clear" w:color="auto" w:fill="E4F6CD" w:themeFill="accent2" w:themeFillTint="33"/>
      </w:tcPr>
    </w:tblStylePr>
  </w:style>
  <w:style w:type="paragraph" w:styleId="BodyText">
    <w:name w:val="Body Text"/>
    <w:link w:val="BodyTextChar"/>
    <w:qFormat/>
    <w:rsid w:val="00024729"/>
    <w:pPr>
      <w:spacing w:before="120" w:after="140" w:line="280" w:lineRule="atLeast"/>
    </w:pPr>
    <w:rPr>
      <w:rFonts w:asciiTheme="minorHAnsi" w:eastAsiaTheme="minorHAnsi" w:hAnsiTheme="minorHAnsi"/>
      <w:color w:val="000000" w:themeColor="text1"/>
      <w:sz w:val="22"/>
      <w:lang w:eastAsia="en-US"/>
    </w:rPr>
  </w:style>
  <w:style w:type="character" w:customStyle="1" w:styleId="BodyTextChar">
    <w:name w:val="Body Text Char"/>
    <w:basedOn w:val="DefaultParagraphFont"/>
    <w:link w:val="BodyText"/>
    <w:rsid w:val="00024729"/>
    <w:rPr>
      <w:rFonts w:asciiTheme="minorHAnsi" w:eastAsiaTheme="minorHAnsi" w:hAnsiTheme="minorHAnsi"/>
      <w:color w:val="000000" w:themeColor="text1"/>
      <w:sz w:val="22"/>
      <w:lang w:eastAsia="en-US"/>
    </w:rPr>
  </w:style>
  <w:style w:type="paragraph" w:styleId="CommentText">
    <w:name w:val="annotation text"/>
    <w:basedOn w:val="Normal"/>
    <w:link w:val="CommentTextChar"/>
    <w:uiPriority w:val="99"/>
    <w:unhideWhenUsed/>
    <w:rsid w:val="00024729"/>
    <w:pPr>
      <w:spacing w:before="0" w:after="0" w:line="240" w:lineRule="auto"/>
    </w:pPr>
    <w:rPr>
      <w:rFonts w:asciiTheme="minorHAnsi" w:eastAsiaTheme="minorHAnsi" w:hAnsiTheme="minorHAnsi"/>
      <w:color w:val="000000" w:themeColor="text1"/>
      <w:spacing w:val="0"/>
      <w:sz w:val="20"/>
      <w:szCs w:val="20"/>
      <w:lang w:eastAsia="en-US"/>
    </w:rPr>
  </w:style>
  <w:style w:type="character" w:customStyle="1" w:styleId="CommentTextChar">
    <w:name w:val="Comment Text Char"/>
    <w:basedOn w:val="DefaultParagraphFont"/>
    <w:link w:val="CommentText"/>
    <w:uiPriority w:val="99"/>
    <w:rsid w:val="00024729"/>
    <w:rPr>
      <w:rFonts w:asciiTheme="minorHAnsi" w:eastAsiaTheme="minorHAnsi" w:hAnsiTheme="minorHAnsi"/>
      <w:color w:val="000000" w:themeColor="text1"/>
      <w:lang w:eastAsia="en-US"/>
    </w:rPr>
  </w:style>
  <w:style w:type="numbering" w:customStyle="1" w:styleId="Numbers">
    <w:name w:val="Numbers"/>
    <w:basedOn w:val="NoList"/>
    <w:uiPriority w:val="99"/>
    <w:rsid w:val="00B9108A"/>
    <w:pPr>
      <w:numPr>
        <w:numId w:val="4"/>
      </w:numPr>
    </w:pPr>
  </w:style>
  <w:style w:type="paragraph" w:customStyle="1" w:styleId="Numbers1">
    <w:name w:val="Numbers 1"/>
    <w:basedOn w:val="Heading3"/>
    <w:uiPriority w:val="9"/>
    <w:qFormat/>
    <w:rsid w:val="00B9108A"/>
    <w:pPr>
      <w:numPr>
        <w:numId w:val="4"/>
      </w:numPr>
      <w:spacing w:before="400" w:after="120" w:line="280" w:lineRule="atLeast"/>
      <w:contextualSpacing w:val="0"/>
    </w:pPr>
    <w:rPr>
      <w:rFonts w:asciiTheme="majorHAnsi" w:eastAsiaTheme="majorEastAsia" w:hAnsiTheme="majorHAnsi" w:cstheme="majorBidi"/>
      <w:b/>
      <w:color w:val="000000" w:themeColor="text1"/>
      <w:spacing w:val="0"/>
      <w:sz w:val="22"/>
      <w:szCs w:val="20"/>
      <w:lang w:eastAsia="en-US"/>
    </w:rPr>
  </w:style>
  <w:style w:type="paragraph" w:customStyle="1" w:styleId="Numbers2">
    <w:name w:val="Numbers 2"/>
    <w:basedOn w:val="BodyText"/>
    <w:uiPriority w:val="9"/>
    <w:qFormat/>
    <w:rsid w:val="00B9108A"/>
    <w:pPr>
      <w:numPr>
        <w:ilvl w:val="1"/>
        <w:numId w:val="4"/>
      </w:numPr>
    </w:pPr>
  </w:style>
  <w:style w:type="paragraph" w:customStyle="1" w:styleId="Numbers3">
    <w:name w:val="Numbers 3"/>
    <w:basedOn w:val="BodyText"/>
    <w:uiPriority w:val="9"/>
    <w:qFormat/>
    <w:rsid w:val="00B9108A"/>
    <w:pPr>
      <w:numPr>
        <w:ilvl w:val="2"/>
        <w:numId w:val="4"/>
      </w:numPr>
    </w:pPr>
  </w:style>
  <w:style w:type="character" w:styleId="CommentReference">
    <w:name w:val="annotation reference"/>
    <w:basedOn w:val="DefaultParagraphFont"/>
    <w:uiPriority w:val="99"/>
    <w:semiHidden/>
    <w:unhideWhenUsed/>
    <w:rsid w:val="00B9108A"/>
    <w:rPr>
      <w:sz w:val="16"/>
      <w:szCs w:val="16"/>
    </w:rPr>
  </w:style>
  <w:style w:type="paragraph" w:customStyle="1" w:styleId="Boxed2Text">
    <w:name w:val="Boxed 2 Text"/>
    <w:basedOn w:val="Normal"/>
    <w:qFormat/>
    <w:rsid w:val="00B9108A"/>
    <w:pPr>
      <w:pBdr>
        <w:top w:val="single" w:sz="4" w:space="14" w:color="BBBADB"/>
        <w:left w:val="single" w:sz="4" w:space="14" w:color="BBBADB"/>
        <w:bottom w:val="single" w:sz="4" w:space="14" w:color="BBBADB"/>
        <w:right w:val="single" w:sz="4" w:space="14" w:color="BBBADB"/>
      </w:pBdr>
      <w:shd w:val="clear" w:color="auto" w:fill="BBBADB"/>
      <w:suppressAutoHyphens/>
      <w:spacing w:before="180" w:after="60"/>
      <w:ind w:left="284" w:right="284"/>
    </w:pPr>
    <w:rPr>
      <w:rFonts w:eastAsia="Arial"/>
      <w:spacing w:val="0"/>
      <w:sz w:val="22"/>
      <w:szCs w:val="22"/>
      <w:lang w:eastAsia="en-US"/>
    </w:rPr>
  </w:style>
  <w:style w:type="table" w:customStyle="1" w:styleId="CGHTableBanded">
    <w:name w:val="CGH Table Banded"/>
    <w:basedOn w:val="TableNormal"/>
    <w:uiPriority w:val="99"/>
    <w:rsid w:val="00B9108A"/>
    <w:rPr>
      <w:rFonts w:asciiTheme="minorHAnsi" w:eastAsiaTheme="minorHAnsi" w:hAnsiTheme="minorHAnsi"/>
      <w:lang w:eastAsia="en-US"/>
    </w:rPr>
    <w:tblPr>
      <w:tblStyleRowBandSize w:val="1"/>
      <w:tblBorders>
        <w:insideH w:val="single" w:sz="4" w:space="0" w:color="FFFFFF"/>
        <w:insideV w:val="single" w:sz="4" w:space="0" w:color="FFFFFF"/>
      </w:tblBorders>
      <w:tblCellMar>
        <w:left w:w="0" w:type="dxa"/>
        <w:right w:w="0" w:type="dxa"/>
      </w:tblCellMar>
    </w:tblPr>
    <w:tcPr>
      <w:shd w:val="clear" w:color="auto" w:fill="EFF0EF"/>
    </w:tcPr>
    <w:tblStylePr w:type="firstRow">
      <w:tblPr/>
      <w:tcPr>
        <w:tcBorders>
          <w:top w:val="nil"/>
          <w:left w:val="nil"/>
          <w:bottom w:val="single" w:sz="6" w:space="0" w:color="FFFFFF"/>
          <w:right w:val="nil"/>
          <w:insideH w:val="nil"/>
          <w:insideV w:val="single" w:sz="4" w:space="0" w:color="FFFFFF"/>
          <w:tl2br w:val="nil"/>
          <w:tr2bl w:val="nil"/>
        </w:tcBorders>
        <w:shd w:val="clear" w:color="auto" w:fill="FFD923"/>
      </w:tcPr>
    </w:tblStylePr>
    <w:tblStylePr w:type="band1Horz">
      <w:tblPr/>
      <w:tcPr>
        <w:shd w:val="clear" w:color="auto" w:fill="DFE1DF"/>
      </w:tcPr>
    </w:tblStylePr>
  </w:style>
  <w:style w:type="table" w:styleId="GridTable4-Accent3">
    <w:name w:val="Grid Table 4 Accent 3"/>
    <w:basedOn w:val="TableNormal"/>
    <w:uiPriority w:val="49"/>
    <w:rsid w:val="00A6496E"/>
    <w:tblPr>
      <w:tblStyleRowBandSize w:val="1"/>
      <w:tblStyleColBandSize w:val="1"/>
      <w:tblBorders>
        <w:top w:val="single" w:sz="4" w:space="0" w:color="DAEDB8" w:themeColor="accent3" w:themeTint="99"/>
        <w:left w:val="single" w:sz="4" w:space="0" w:color="DAEDB8" w:themeColor="accent3" w:themeTint="99"/>
        <w:bottom w:val="single" w:sz="4" w:space="0" w:color="DAEDB8" w:themeColor="accent3" w:themeTint="99"/>
        <w:right w:val="single" w:sz="4" w:space="0" w:color="DAEDB8" w:themeColor="accent3" w:themeTint="99"/>
        <w:insideH w:val="single" w:sz="4" w:space="0" w:color="DAEDB8" w:themeColor="accent3" w:themeTint="99"/>
        <w:insideV w:val="single" w:sz="4" w:space="0" w:color="DAEDB8" w:themeColor="accent3" w:themeTint="99"/>
      </w:tblBorders>
    </w:tblPr>
    <w:tblStylePr w:type="firstRow">
      <w:rPr>
        <w:b/>
        <w:bCs/>
        <w:color w:val="FFFFFF" w:themeColor="background1"/>
      </w:rPr>
      <w:tblPr/>
      <w:tcPr>
        <w:tcBorders>
          <w:top w:val="single" w:sz="4" w:space="0" w:color="C2E189" w:themeColor="accent3"/>
          <w:left w:val="single" w:sz="4" w:space="0" w:color="C2E189" w:themeColor="accent3"/>
          <w:bottom w:val="single" w:sz="4" w:space="0" w:color="C2E189" w:themeColor="accent3"/>
          <w:right w:val="single" w:sz="4" w:space="0" w:color="C2E189" w:themeColor="accent3"/>
          <w:insideH w:val="nil"/>
          <w:insideV w:val="nil"/>
        </w:tcBorders>
        <w:shd w:val="clear" w:color="auto" w:fill="C2E189" w:themeFill="accent3"/>
      </w:tcPr>
    </w:tblStylePr>
    <w:tblStylePr w:type="lastRow">
      <w:rPr>
        <w:b/>
        <w:bCs/>
      </w:rPr>
      <w:tblPr/>
      <w:tcPr>
        <w:tcBorders>
          <w:top w:val="double" w:sz="4" w:space="0" w:color="C2E189" w:themeColor="accent3"/>
        </w:tcBorders>
      </w:tcPr>
    </w:tblStylePr>
    <w:tblStylePr w:type="firstCol">
      <w:rPr>
        <w:b/>
        <w:bCs/>
      </w:rPr>
    </w:tblStylePr>
    <w:tblStylePr w:type="lastCol">
      <w:rPr>
        <w:b/>
        <w:bCs/>
      </w:rPr>
    </w:tblStylePr>
    <w:tblStylePr w:type="band1Vert">
      <w:tblPr/>
      <w:tcPr>
        <w:shd w:val="clear" w:color="auto" w:fill="F2F9E7" w:themeFill="accent3" w:themeFillTint="33"/>
      </w:tcPr>
    </w:tblStylePr>
    <w:tblStylePr w:type="band1Horz">
      <w:tblPr/>
      <w:tcPr>
        <w:shd w:val="clear" w:color="auto" w:fill="F2F9E7" w:themeFill="accent3" w:themeFillTint="33"/>
      </w:tcPr>
    </w:tblStylePr>
  </w:style>
  <w:style w:type="paragraph" w:styleId="CommentSubject">
    <w:name w:val="annotation subject"/>
    <w:basedOn w:val="CommentText"/>
    <w:next w:val="CommentText"/>
    <w:link w:val="CommentSubjectChar"/>
    <w:semiHidden/>
    <w:unhideWhenUsed/>
    <w:rsid w:val="00F91E60"/>
    <w:pPr>
      <w:spacing w:before="120" w:after="180"/>
    </w:pPr>
    <w:rPr>
      <w:rFonts w:ascii="Arial" w:eastAsia="Times New Roman" w:hAnsi="Arial"/>
      <w:b/>
      <w:bCs/>
      <w:color w:val="auto"/>
      <w:spacing w:val="4"/>
      <w:lang w:eastAsia="en-AU"/>
    </w:rPr>
  </w:style>
  <w:style w:type="character" w:customStyle="1" w:styleId="CommentSubjectChar">
    <w:name w:val="Comment Subject Char"/>
    <w:basedOn w:val="CommentTextChar"/>
    <w:link w:val="CommentSubject"/>
    <w:semiHidden/>
    <w:rsid w:val="00F91E60"/>
    <w:rPr>
      <w:rFonts w:ascii="Arial" w:eastAsiaTheme="minorHAnsi" w:hAnsi="Arial"/>
      <w:b/>
      <w:bCs/>
      <w:color w:val="000000" w:themeColor="text1"/>
      <w:spacing w:val="4"/>
      <w:lang w:eastAsia="en-US"/>
    </w:rPr>
  </w:style>
  <w:style w:type="table" w:styleId="GridTable4-Accent6">
    <w:name w:val="Grid Table 4 Accent 6"/>
    <w:basedOn w:val="TableNormal"/>
    <w:uiPriority w:val="49"/>
    <w:rsid w:val="00D270AB"/>
    <w:tblPr>
      <w:tblStyleRowBandSize w:val="1"/>
      <w:tblStyleColBandSize w:val="1"/>
      <w:tblBorders>
        <w:top w:val="single" w:sz="4" w:space="0" w:color="DAEDB8" w:themeColor="accent6" w:themeTint="99"/>
        <w:left w:val="single" w:sz="4" w:space="0" w:color="DAEDB8" w:themeColor="accent6" w:themeTint="99"/>
        <w:bottom w:val="single" w:sz="4" w:space="0" w:color="DAEDB8" w:themeColor="accent6" w:themeTint="99"/>
        <w:right w:val="single" w:sz="4" w:space="0" w:color="DAEDB8" w:themeColor="accent6" w:themeTint="99"/>
        <w:insideH w:val="single" w:sz="4" w:space="0" w:color="DAEDB8" w:themeColor="accent6" w:themeTint="99"/>
        <w:insideV w:val="single" w:sz="4" w:space="0" w:color="DAEDB8" w:themeColor="accent6" w:themeTint="99"/>
      </w:tblBorders>
    </w:tblPr>
    <w:tblStylePr w:type="firstRow">
      <w:rPr>
        <w:b/>
        <w:bCs/>
        <w:color w:val="FFFFFF" w:themeColor="background1"/>
      </w:rPr>
      <w:tblPr/>
      <w:tcPr>
        <w:shd w:val="clear" w:color="auto" w:fill="00838A"/>
      </w:tcPr>
    </w:tblStylePr>
    <w:tblStylePr w:type="lastRow">
      <w:rPr>
        <w:b/>
        <w:bCs/>
      </w:rPr>
      <w:tblPr/>
      <w:tcPr>
        <w:tcBorders>
          <w:top w:val="double" w:sz="4" w:space="0" w:color="C2E189" w:themeColor="accent6"/>
        </w:tcBorders>
      </w:tcPr>
    </w:tblStylePr>
    <w:tblStylePr w:type="firstCol">
      <w:rPr>
        <w:b/>
        <w:bCs/>
      </w:rPr>
    </w:tblStylePr>
    <w:tblStylePr w:type="lastCol">
      <w:rPr>
        <w:b/>
        <w:bCs/>
      </w:rPr>
    </w:tblStylePr>
    <w:tblStylePr w:type="band1Vert">
      <w:tblPr/>
      <w:tcPr>
        <w:shd w:val="clear" w:color="auto" w:fill="F2F9E7" w:themeFill="accent6" w:themeFillTint="33"/>
      </w:tcPr>
    </w:tblStylePr>
    <w:tblStylePr w:type="band1Horz">
      <w:tblPr/>
      <w:tcPr>
        <w:shd w:val="clear" w:color="auto" w:fill="DFF4F3"/>
      </w:tcPr>
    </w:tblStylePr>
  </w:style>
  <w:style w:type="table" w:styleId="GridTable4-Accent5">
    <w:name w:val="Grid Table 4 Accent 5"/>
    <w:basedOn w:val="TableNormal"/>
    <w:uiPriority w:val="49"/>
    <w:rsid w:val="003D745F"/>
    <w:tblPr>
      <w:tblStyleRowBandSize w:val="1"/>
      <w:tblStyleColBandSize w:val="1"/>
      <w:tblBorders>
        <w:top w:val="single" w:sz="4" w:space="0" w:color="AFE66A" w:themeColor="accent5" w:themeTint="99"/>
        <w:left w:val="single" w:sz="4" w:space="0" w:color="AFE66A" w:themeColor="accent5" w:themeTint="99"/>
        <w:bottom w:val="single" w:sz="4" w:space="0" w:color="AFE66A" w:themeColor="accent5" w:themeTint="99"/>
        <w:right w:val="single" w:sz="4" w:space="0" w:color="AFE66A" w:themeColor="accent5" w:themeTint="99"/>
        <w:insideH w:val="single" w:sz="4" w:space="0" w:color="AFE66A" w:themeColor="accent5" w:themeTint="99"/>
        <w:insideV w:val="single" w:sz="4" w:space="0" w:color="AFE66A" w:themeColor="accent5" w:themeTint="99"/>
      </w:tblBorders>
    </w:tblPr>
    <w:tblStylePr w:type="firstRow">
      <w:rPr>
        <w:b/>
        <w:bCs/>
        <w:color w:val="FFFFFF" w:themeColor="background1"/>
      </w:rPr>
      <w:tblPr/>
      <w:tcPr>
        <w:tcBorders>
          <w:top w:val="single" w:sz="4" w:space="0" w:color="78BE20" w:themeColor="accent5"/>
          <w:left w:val="single" w:sz="4" w:space="0" w:color="78BE20" w:themeColor="accent5"/>
          <w:bottom w:val="single" w:sz="4" w:space="0" w:color="78BE20" w:themeColor="accent5"/>
          <w:right w:val="single" w:sz="4" w:space="0" w:color="78BE20" w:themeColor="accent5"/>
          <w:insideH w:val="nil"/>
          <w:insideV w:val="nil"/>
        </w:tcBorders>
        <w:shd w:val="clear" w:color="auto" w:fill="78BE20" w:themeFill="accent5"/>
      </w:tcPr>
    </w:tblStylePr>
    <w:tblStylePr w:type="lastRow">
      <w:rPr>
        <w:b/>
        <w:bCs/>
      </w:rPr>
      <w:tblPr/>
      <w:tcPr>
        <w:tcBorders>
          <w:top w:val="double" w:sz="4" w:space="0" w:color="78BE20" w:themeColor="accent5"/>
        </w:tcBorders>
      </w:tcPr>
    </w:tblStylePr>
    <w:tblStylePr w:type="firstCol">
      <w:rPr>
        <w:b/>
        <w:bCs/>
      </w:rPr>
    </w:tblStylePr>
    <w:tblStylePr w:type="lastCol">
      <w:rPr>
        <w:b/>
        <w:bCs/>
      </w:rPr>
    </w:tblStylePr>
    <w:tblStylePr w:type="band1Vert">
      <w:tblPr/>
      <w:tcPr>
        <w:shd w:val="clear" w:color="auto" w:fill="E4F6CD" w:themeFill="accent5" w:themeFillTint="33"/>
      </w:tcPr>
    </w:tblStylePr>
    <w:tblStylePr w:type="band1Horz">
      <w:tblPr/>
      <w:tcPr>
        <w:shd w:val="clear" w:color="auto" w:fill="E4F6CD" w:themeFill="accent5" w:themeFillTint="33"/>
      </w:tcPr>
    </w:tblStylePr>
  </w:style>
  <w:style w:type="table" w:styleId="GridTable4-Accent2">
    <w:name w:val="Grid Table 4 Accent 2"/>
    <w:basedOn w:val="TableNormal"/>
    <w:uiPriority w:val="49"/>
    <w:rsid w:val="003D745F"/>
    <w:tblPr>
      <w:tblStyleRowBandSize w:val="1"/>
      <w:tblStyleColBandSize w:val="1"/>
      <w:tblBorders>
        <w:top w:val="single" w:sz="4" w:space="0" w:color="AFE66A" w:themeColor="accent2" w:themeTint="99"/>
        <w:left w:val="single" w:sz="4" w:space="0" w:color="AFE66A" w:themeColor="accent2" w:themeTint="99"/>
        <w:bottom w:val="single" w:sz="4" w:space="0" w:color="AFE66A" w:themeColor="accent2" w:themeTint="99"/>
        <w:right w:val="single" w:sz="4" w:space="0" w:color="AFE66A" w:themeColor="accent2" w:themeTint="99"/>
        <w:insideH w:val="single" w:sz="4" w:space="0" w:color="AFE66A" w:themeColor="accent2" w:themeTint="99"/>
        <w:insideV w:val="single" w:sz="4" w:space="0" w:color="AFE66A" w:themeColor="accent2" w:themeTint="99"/>
      </w:tblBorders>
    </w:tblPr>
    <w:tblStylePr w:type="firstRow">
      <w:rPr>
        <w:b/>
        <w:bCs/>
        <w:color w:val="FFFFFF" w:themeColor="background1"/>
      </w:rPr>
      <w:tblPr/>
      <w:tcPr>
        <w:tcBorders>
          <w:top w:val="single" w:sz="4" w:space="0" w:color="78BE20" w:themeColor="accent2"/>
          <w:left w:val="single" w:sz="4" w:space="0" w:color="78BE20" w:themeColor="accent2"/>
          <w:bottom w:val="single" w:sz="4" w:space="0" w:color="78BE20" w:themeColor="accent2"/>
          <w:right w:val="single" w:sz="4" w:space="0" w:color="78BE20" w:themeColor="accent2"/>
          <w:insideH w:val="nil"/>
          <w:insideV w:val="nil"/>
        </w:tcBorders>
        <w:shd w:val="clear" w:color="auto" w:fill="78BE20" w:themeFill="accent2"/>
      </w:tcPr>
    </w:tblStylePr>
    <w:tblStylePr w:type="lastRow">
      <w:rPr>
        <w:b/>
        <w:bCs/>
      </w:rPr>
      <w:tblPr/>
      <w:tcPr>
        <w:tcBorders>
          <w:top w:val="double" w:sz="4" w:space="0" w:color="78BE20" w:themeColor="accent2"/>
        </w:tcBorders>
      </w:tcPr>
    </w:tblStylePr>
    <w:tblStylePr w:type="firstCol">
      <w:rPr>
        <w:b/>
        <w:bCs/>
      </w:rPr>
    </w:tblStylePr>
    <w:tblStylePr w:type="lastCol">
      <w:rPr>
        <w:b/>
        <w:bCs/>
      </w:rPr>
    </w:tblStylePr>
    <w:tblStylePr w:type="band1Vert">
      <w:tblPr/>
      <w:tcPr>
        <w:shd w:val="clear" w:color="auto" w:fill="E4F6CD" w:themeFill="accent2" w:themeFillTint="33"/>
      </w:tcPr>
    </w:tblStylePr>
    <w:tblStylePr w:type="band1Horz">
      <w:tblPr/>
      <w:tcPr>
        <w:shd w:val="clear" w:color="auto" w:fill="E4F6CD"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321943">
      <w:bodyDiv w:val="1"/>
      <w:marLeft w:val="0"/>
      <w:marRight w:val="0"/>
      <w:marTop w:val="0"/>
      <w:marBottom w:val="0"/>
      <w:divBdr>
        <w:top w:val="none" w:sz="0" w:space="0" w:color="auto"/>
        <w:left w:val="none" w:sz="0" w:space="0" w:color="auto"/>
        <w:bottom w:val="none" w:sz="0" w:space="0" w:color="auto"/>
        <w:right w:val="none" w:sz="0" w:space="0" w:color="auto"/>
      </w:divBdr>
    </w:div>
    <w:div w:id="1148010834">
      <w:bodyDiv w:val="1"/>
      <w:marLeft w:val="0"/>
      <w:marRight w:val="0"/>
      <w:marTop w:val="0"/>
      <w:marBottom w:val="0"/>
      <w:divBdr>
        <w:top w:val="none" w:sz="0" w:space="0" w:color="auto"/>
        <w:left w:val="none" w:sz="0" w:space="0" w:color="auto"/>
        <w:bottom w:val="none" w:sz="0" w:space="0" w:color="auto"/>
        <w:right w:val="none" w:sz="0" w:space="0" w:color="auto"/>
      </w:divBdr>
      <w:divsChild>
        <w:div w:id="1844661882">
          <w:marLeft w:val="1800"/>
          <w:marRight w:val="1800"/>
          <w:marTop w:val="0"/>
          <w:marBottom w:val="0"/>
          <w:divBdr>
            <w:top w:val="none" w:sz="0" w:space="0" w:color="auto"/>
            <w:left w:val="none" w:sz="0" w:space="0" w:color="auto"/>
            <w:bottom w:val="none" w:sz="0" w:space="0" w:color="auto"/>
            <w:right w:val="none" w:sz="0" w:space="0" w:color="auto"/>
          </w:divBdr>
          <w:divsChild>
            <w:div w:id="63815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862347">
      <w:bodyDiv w:val="1"/>
      <w:marLeft w:val="0"/>
      <w:marRight w:val="0"/>
      <w:marTop w:val="0"/>
      <w:marBottom w:val="0"/>
      <w:divBdr>
        <w:top w:val="none" w:sz="0" w:space="0" w:color="auto"/>
        <w:left w:val="none" w:sz="0" w:space="0" w:color="auto"/>
        <w:bottom w:val="none" w:sz="0" w:space="0" w:color="auto"/>
        <w:right w:val="none" w:sz="0" w:space="0" w:color="auto"/>
      </w:divBdr>
    </w:div>
    <w:div w:id="1468741093">
      <w:bodyDiv w:val="1"/>
      <w:marLeft w:val="0"/>
      <w:marRight w:val="0"/>
      <w:marTop w:val="0"/>
      <w:marBottom w:val="0"/>
      <w:divBdr>
        <w:top w:val="none" w:sz="0" w:space="0" w:color="auto"/>
        <w:left w:val="none" w:sz="0" w:space="0" w:color="auto"/>
        <w:bottom w:val="none" w:sz="0" w:space="0" w:color="auto"/>
        <w:right w:val="none" w:sz="0" w:space="0" w:color="auto"/>
      </w:divBdr>
    </w:div>
    <w:div w:id="205738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rants.gov.au/?event=public.hom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DSS Green">
  <a:themeElements>
    <a:clrScheme name="DSS Green">
      <a:dk1>
        <a:sysClr val="windowText" lastClr="000000"/>
      </a:dk1>
      <a:lt1>
        <a:sysClr val="window" lastClr="FFFFFF"/>
      </a:lt1>
      <a:dk2>
        <a:srgbClr val="000000"/>
      </a:dk2>
      <a:lt2>
        <a:srgbClr val="F8F8F8"/>
      </a:lt2>
      <a:accent1>
        <a:srgbClr val="275D38"/>
      </a:accent1>
      <a:accent2>
        <a:srgbClr val="78BE20"/>
      </a:accent2>
      <a:accent3>
        <a:srgbClr val="C2E189"/>
      </a:accent3>
      <a:accent4>
        <a:srgbClr val="275D38"/>
      </a:accent4>
      <a:accent5>
        <a:srgbClr val="78BE20"/>
      </a:accent5>
      <a:accent6>
        <a:srgbClr val="C2E189"/>
      </a:accent6>
      <a:hlink>
        <a:srgbClr val="0000FF"/>
      </a:hlink>
      <a:folHlink>
        <a:srgbClr val="000000"/>
      </a:folHlink>
    </a:clrScheme>
    <a:fontScheme name="Stronger Relationships">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D65089-28C3-492D-921A-808E38765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1615</Words>
  <Characters>9963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2021-02-03T04:18:00Z</dcterms:created>
  <dcterms:modified xsi:type="dcterms:W3CDTF">2021-02-03T04:18:00Z</dcterms:modified>
</cp:coreProperties>
</file>