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heme="minorHAnsi"/>
          <w:b/>
          <w:bCs/>
          <w:color w:val="CF0A2C" w:themeColor="accent1"/>
          <w:sz w:val="36"/>
          <w:szCs w:val="2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625C95" w:rsidRDefault="000E4EAA" w:rsidP="00625C95">
          <w:pPr>
            <w:spacing w:line="240" w:lineRule="auto"/>
            <w:contextualSpacing/>
            <w:rPr>
              <w:rFonts w:eastAsia="Times New Roman" w:cstheme="minorHAnsi"/>
              <w:b/>
              <w:bCs/>
              <w:color w:val="CF0A2C" w:themeColor="accent1"/>
              <w:sz w:val="36"/>
              <w:szCs w:val="28"/>
            </w:rPr>
          </w:pPr>
          <w:r w:rsidRPr="000E4EAA">
            <w:rPr>
              <w:rFonts w:eastAsia="Times New Roman" w:cstheme="minorHAnsi"/>
              <w:b/>
              <w:bCs/>
              <w:color w:val="CF0A2C" w:themeColor="accent1"/>
              <w:sz w:val="36"/>
              <w:szCs w:val="28"/>
            </w:rPr>
            <w:t>Murray</w:t>
          </w:r>
          <w:r w:rsidR="00416570">
            <w:rPr>
              <w:rFonts w:eastAsia="Times New Roman" w:cstheme="minorHAnsi"/>
              <w:b/>
              <w:bCs/>
              <w:color w:val="CF0A2C" w:themeColor="accent1"/>
              <w:sz w:val="36"/>
              <w:szCs w:val="28"/>
            </w:rPr>
            <w:t>–</w:t>
          </w:r>
          <w:r w:rsidRPr="000E4EAA">
            <w:rPr>
              <w:rFonts w:eastAsia="Times New Roman" w:cstheme="minorHAnsi"/>
              <w:b/>
              <w:bCs/>
              <w:color w:val="CF0A2C" w:themeColor="accent1"/>
              <w:sz w:val="36"/>
              <w:szCs w:val="28"/>
            </w:rPr>
            <w:t>Darling Basin Economic Development Program</w:t>
          </w:r>
          <w:r>
            <w:rPr>
              <w:rFonts w:eastAsia="Times New Roman" w:cstheme="minorHAnsi"/>
              <w:b/>
              <w:bCs/>
              <w:color w:val="CF0A2C" w:themeColor="accent1"/>
              <w:sz w:val="36"/>
              <w:szCs w:val="28"/>
            </w:rPr>
            <w:t xml:space="preserve"> Round 2</w:t>
          </w:r>
        </w:p>
      </w:sdtContent>
    </w:sdt>
    <w:sdt>
      <w:sdtPr>
        <w:rPr>
          <w:rFonts w:ascii="Arial" w:hAnsi="Arial" w:cs="Arial"/>
          <w:color w:val="000000"/>
          <w:sz w:val="24"/>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A96EF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625C95">
            <w:rPr>
              <w:rFonts w:ascii="Arial" w:hAnsi="Arial" w:cs="Arial"/>
              <w:color w:val="000000"/>
              <w:sz w:val="24"/>
              <w:szCs w:val="24"/>
            </w:rPr>
            <w:t xml:space="preserve">General </w:t>
          </w:r>
          <w:r w:rsidR="00A412BD">
            <w:rPr>
              <w:rFonts w:ascii="Arial" w:hAnsi="Arial" w:cs="Arial"/>
              <w:color w:val="000000"/>
              <w:sz w:val="24"/>
              <w:szCs w:val="24"/>
            </w:rPr>
            <w:t>f</w:t>
          </w:r>
          <w:r w:rsidRPr="00625C95">
            <w:rPr>
              <w:rFonts w:ascii="Arial" w:hAnsi="Arial" w:cs="Arial"/>
              <w:color w:val="000000"/>
              <w:sz w:val="24"/>
              <w:szCs w:val="24"/>
            </w:rPr>
            <w:t xml:space="preserve">eedback for </w:t>
          </w:r>
          <w:r>
            <w:rPr>
              <w:rFonts w:ascii="Arial" w:hAnsi="Arial" w:cs="Arial"/>
              <w:color w:val="000000"/>
              <w:sz w:val="24"/>
              <w:szCs w:val="24"/>
            </w:rPr>
            <w:t>a</w:t>
          </w:r>
          <w:r w:rsidRPr="00625C95">
            <w:rPr>
              <w:rFonts w:ascii="Arial" w:hAnsi="Arial" w:cs="Arial"/>
              <w:color w:val="000000"/>
              <w:sz w:val="24"/>
              <w:szCs w:val="24"/>
            </w:rPr>
            <w:t>pplicants</w:t>
          </w:r>
        </w:p>
      </w:sdtContent>
    </w:sdt>
    <w:p w:rsidR="00DE6D07"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Summary</w:t>
      </w:r>
    </w:p>
    <w:p w:rsidR="00321C8B" w:rsidRDefault="000E4EAA"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I</w:t>
      </w:r>
      <w:r w:rsidRPr="00150160">
        <w:rPr>
          <w:rFonts w:ascii="Arial" w:eastAsia="Times New Roman" w:hAnsi="Arial" w:cs="Arial"/>
          <w:color w:val="auto"/>
          <w:szCs w:val="22"/>
        </w:rPr>
        <w:t>nterest in</w:t>
      </w:r>
      <w:r>
        <w:rPr>
          <w:rFonts w:ascii="Arial" w:eastAsia="Times New Roman" w:hAnsi="Arial" w:cs="Arial"/>
          <w:color w:val="auto"/>
          <w:szCs w:val="22"/>
        </w:rPr>
        <w:t xml:space="preserve"> the second round of the Murray</w:t>
      </w:r>
      <w:r w:rsidR="007009DB">
        <w:rPr>
          <w:rFonts w:ascii="Arial" w:eastAsia="Times New Roman" w:hAnsi="Arial" w:cs="Arial"/>
          <w:color w:val="auto"/>
          <w:szCs w:val="22"/>
        </w:rPr>
        <w:t>–</w:t>
      </w:r>
      <w:r>
        <w:rPr>
          <w:rFonts w:ascii="Arial" w:eastAsia="Times New Roman" w:hAnsi="Arial" w:cs="Arial"/>
          <w:color w:val="auto"/>
          <w:szCs w:val="22"/>
        </w:rPr>
        <w:t>Darling Basin Economic Development Program</w:t>
      </w:r>
      <w:r w:rsidRPr="00150160">
        <w:rPr>
          <w:rFonts w:ascii="Arial" w:eastAsia="Times New Roman" w:hAnsi="Arial" w:cs="Arial"/>
          <w:color w:val="auto"/>
          <w:szCs w:val="22"/>
        </w:rPr>
        <w:t xml:space="preserve"> </w:t>
      </w:r>
      <w:r w:rsidR="007009DB">
        <w:rPr>
          <w:rFonts w:ascii="Arial" w:eastAsia="Times New Roman" w:hAnsi="Arial" w:cs="Arial"/>
          <w:color w:val="auto"/>
          <w:szCs w:val="22"/>
        </w:rPr>
        <w:t xml:space="preserve">(the program) </w:t>
      </w:r>
      <w:r>
        <w:rPr>
          <w:rFonts w:ascii="Arial" w:eastAsia="Times New Roman" w:hAnsi="Arial" w:cs="Arial"/>
          <w:color w:val="auto"/>
          <w:szCs w:val="22"/>
        </w:rPr>
        <w:t>was high</w:t>
      </w:r>
      <w:r w:rsidR="007009DB">
        <w:rPr>
          <w:rFonts w:ascii="Arial" w:eastAsia="Times New Roman" w:hAnsi="Arial" w:cs="Arial"/>
          <w:color w:val="auto"/>
          <w:szCs w:val="22"/>
        </w:rPr>
        <w:t>,</w:t>
      </w:r>
      <w:r>
        <w:rPr>
          <w:rFonts w:ascii="Arial" w:eastAsia="Times New Roman" w:hAnsi="Arial" w:cs="Arial"/>
          <w:color w:val="auto"/>
          <w:szCs w:val="22"/>
        </w:rPr>
        <w:t xml:space="preserve"> </w:t>
      </w:r>
      <w:r w:rsidR="005B1BB6">
        <w:rPr>
          <w:rFonts w:ascii="Arial" w:eastAsia="Times New Roman" w:hAnsi="Arial" w:cs="Arial"/>
          <w:color w:val="auto"/>
          <w:szCs w:val="22"/>
        </w:rPr>
        <w:t>and t</w:t>
      </w:r>
      <w:r w:rsidRPr="00150160">
        <w:rPr>
          <w:rFonts w:ascii="Arial" w:eastAsia="Times New Roman" w:hAnsi="Arial" w:cs="Arial"/>
          <w:color w:val="auto"/>
          <w:szCs w:val="22"/>
        </w:rPr>
        <w:t xml:space="preserve">his </w:t>
      </w:r>
      <w:r>
        <w:rPr>
          <w:rFonts w:ascii="Arial" w:eastAsia="Times New Roman" w:hAnsi="Arial" w:cs="Arial"/>
          <w:color w:val="auto"/>
          <w:szCs w:val="22"/>
        </w:rPr>
        <w:t xml:space="preserve">resulted in a highly competitive round and </w:t>
      </w:r>
      <w:r w:rsidR="00D67AFA">
        <w:rPr>
          <w:rFonts w:ascii="Arial" w:eastAsia="Times New Roman" w:hAnsi="Arial" w:cs="Arial"/>
          <w:color w:val="auto"/>
          <w:szCs w:val="22"/>
        </w:rPr>
        <w:t xml:space="preserve">the </w:t>
      </w:r>
      <w:r>
        <w:rPr>
          <w:rFonts w:ascii="Arial" w:eastAsia="Times New Roman" w:hAnsi="Arial" w:cs="Arial"/>
          <w:color w:val="auto"/>
          <w:szCs w:val="22"/>
        </w:rPr>
        <w:t>full</w:t>
      </w:r>
      <w:r w:rsidR="00195636">
        <w:rPr>
          <w:rFonts w:ascii="Arial" w:eastAsia="Times New Roman" w:hAnsi="Arial" w:cs="Arial"/>
          <w:color w:val="auto"/>
          <w:szCs w:val="22"/>
        </w:rPr>
        <w:t xml:space="preserve"> allocation of program funding.</w:t>
      </w:r>
    </w:p>
    <w:p w:rsidR="00A8096F" w:rsidRDefault="00686F39"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 xml:space="preserve">Following eligibility and compliance screens and </w:t>
      </w:r>
      <w:r w:rsidR="00321C8B">
        <w:rPr>
          <w:rFonts w:ascii="Arial" w:eastAsia="Times New Roman" w:hAnsi="Arial" w:cs="Arial"/>
          <w:color w:val="auto"/>
          <w:szCs w:val="22"/>
        </w:rPr>
        <w:t>assessment</w:t>
      </w:r>
      <w:r>
        <w:rPr>
          <w:rFonts w:ascii="Arial" w:eastAsia="Times New Roman" w:hAnsi="Arial" w:cs="Arial"/>
          <w:color w:val="auto"/>
          <w:szCs w:val="22"/>
        </w:rPr>
        <w:t xml:space="preserve"> of eligible and compliant applications</w:t>
      </w:r>
      <w:r w:rsidR="00321C8B" w:rsidRPr="00307603">
        <w:rPr>
          <w:rFonts w:ascii="Arial" w:eastAsia="Times New Roman" w:hAnsi="Arial" w:cs="Arial"/>
          <w:color w:val="auto"/>
          <w:szCs w:val="22"/>
        </w:rPr>
        <w:t xml:space="preserve">, </w:t>
      </w:r>
      <w:r w:rsidR="00D67AFA" w:rsidRPr="00307603">
        <w:rPr>
          <w:rFonts w:ascii="Arial" w:eastAsia="Times New Roman" w:hAnsi="Arial" w:cs="Arial"/>
          <w:color w:val="auto"/>
          <w:szCs w:val="22"/>
        </w:rPr>
        <w:t xml:space="preserve">27 </w:t>
      </w:r>
      <w:r w:rsidR="00321C8B" w:rsidRPr="00307603">
        <w:rPr>
          <w:rFonts w:ascii="Arial" w:eastAsia="Times New Roman" w:hAnsi="Arial" w:cs="Arial"/>
          <w:color w:val="auto"/>
          <w:szCs w:val="22"/>
        </w:rPr>
        <w:t xml:space="preserve">organisations were selected to deliver </w:t>
      </w:r>
      <w:r w:rsidR="00D67AFA" w:rsidRPr="00307603">
        <w:rPr>
          <w:rFonts w:ascii="Arial" w:eastAsia="Times New Roman" w:hAnsi="Arial" w:cs="Arial"/>
          <w:color w:val="auto"/>
          <w:szCs w:val="22"/>
        </w:rPr>
        <w:t xml:space="preserve">32 </w:t>
      </w:r>
      <w:r w:rsidR="00321C8B" w:rsidRPr="00307603">
        <w:rPr>
          <w:rFonts w:ascii="Arial" w:eastAsia="Times New Roman" w:hAnsi="Arial" w:cs="Arial"/>
          <w:color w:val="auto"/>
          <w:szCs w:val="22"/>
        </w:rPr>
        <w:t>projects under the program. The selected projects propose diverse activities to promote economic activity and enhance community resilience</w:t>
      </w:r>
      <w:r w:rsidR="00FB7E62" w:rsidRPr="00307603">
        <w:rPr>
          <w:rFonts w:ascii="Arial" w:eastAsia="Times New Roman" w:hAnsi="Arial" w:cs="Arial"/>
          <w:color w:val="auto"/>
          <w:szCs w:val="22"/>
        </w:rPr>
        <w:t xml:space="preserve"> to manage current and future economic challenges and changes </w:t>
      </w:r>
      <w:r w:rsidR="00321C8B" w:rsidRPr="00307603">
        <w:rPr>
          <w:rFonts w:ascii="Arial" w:eastAsia="Times New Roman" w:hAnsi="Arial" w:cs="Arial"/>
          <w:color w:val="auto"/>
          <w:szCs w:val="22"/>
        </w:rPr>
        <w:t xml:space="preserve">across 29 of the 31 eligible communities. The projects cover various sectors including aged care, </w:t>
      </w:r>
      <w:r w:rsidR="000C3648" w:rsidRPr="00307603">
        <w:rPr>
          <w:rFonts w:ascii="Arial" w:eastAsia="Times New Roman" w:hAnsi="Arial" w:cs="Arial"/>
          <w:color w:val="auto"/>
          <w:szCs w:val="22"/>
        </w:rPr>
        <w:t xml:space="preserve">hospitality, </w:t>
      </w:r>
      <w:r w:rsidR="00321C8B" w:rsidRPr="00307603">
        <w:rPr>
          <w:rFonts w:ascii="Arial" w:eastAsia="Times New Roman" w:hAnsi="Arial" w:cs="Arial"/>
          <w:color w:val="auto"/>
          <w:szCs w:val="22"/>
        </w:rPr>
        <w:t>tourism, capacity building and leadership,</w:t>
      </w:r>
      <w:r w:rsidR="00F00C4B" w:rsidRPr="00307603">
        <w:rPr>
          <w:rFonts w:ascii="Arial" w:eastAsia="Times New Roman" w:hAnsi="Arial" w:cs="Arial"/>
          <w:color w:val="auto"/>
          <w:szCs w:val="22"/>
        </w:rPr>
        <w:t xml:space="preserve"> revitalisation </w:t>
      </w:r>
      <w:r w:rsidR="00321C8B" w:rsidRPr="00307603">
        <w:rPr>
          <w:rFonts w:ascii="Arial" w:eastAsia="Times New Roman" w:hAnsi="Arial" w:cs="Arial"/>
          <w:color w:val="auto"/>
          <w:szCs w:val="22"/>
        </w:rPr>
        <w:t>and Indigenous cultural preservation</w:t>
      </w:r>
      <w:r w:rsidR="00A8096F">
        <w:rPr>
          <w:rFonts w:ascii="Arial" w:eastAsia="Times New Roman" w:hAnsi="Arial" w:cs="Arial"/>
          <w:color w:val="auto"/>
          <w:szCs w:val="22"/>
        </w:rPr>
        <w:t>.</w:t>
      </w:r>
    </w:p>
    <w:p w:rsidR="000E4EAA" w:rsidRDefault="000E4EAA" w:rsidP="00994C3E">
      <w:pPr>
        <w:spacing w:before="120" w:after="240" w:line="220" w:lineRule="atLeast"/>
        <w:rPr>
          <w:rFonts w:ascii="Arial" w:eastAsia="Times New Roman" w:hAnsi="Arial" w:cs="Arial"/>
          <w:color w:val="auto"/>
          <w:szCs w:val="22"/>
        </w:rPr>
      </w:pPr>
      <w:r w:rsidRPr="00307603">
        <w:rPr>
          <w:rFonts w:ascii="Arial" w:eastAsia="Times New Roman" w:hAnsi="Arial" w:cs="Arial"/>
          <w:color w:val="auto"/>
          <w:szCs w:val="22"/>
        </w:rPr>
        <w:t xml:space="preserve">A list of the </w:t>
      </w:r>
      <w:r w:rsidR="00D67AFA" w:rsidRPr="00307603">
        <w:rPr>
          <w:rFonts w:ascii="Arial" w:eastAsia="Times New Roman" w:hAnsi="Arial" w:cs="Arial"/>
          <w:color w:val="auto"/>
          <w:szCs w:val="22"/>
        </w:rPr>
        <w:t xml:space="preserve">32 </w:t>
      </w:r>
      <w:r w:rsidRPr="00307603">
        <w:rPr>
          <w:rFonts w:ascii="Arial" w:eastAsia="Times New Roman" w:hAnsi="Arial" w:cs="Arial"/>
          <w:color w:val="auto"/>
          <w:szCs w:val="22"/>
        </w:rPr>
        <w:t>successful</w:t>
      </w:r>
      <w:r w:rsidRPr="00A239A4">
        <w:rPr>
          <w:rFonts w:ascii="Arial" w:eastAsia="Times New Roman" w:hAnsi="Arial" w:cs="Arial"/>
          <w:color w:val="auto"/>
          <w:szCs w:val="22"/>
        </w:rPr>
        <w:t xml:space="preserve"> projects can be found</w:t>
      </w:r>
      <w:r>
        <w:rPr>
          <w:rFonts w:ascii="Arial" w:eastAsia="Times New Roman" w:hAnsi="Arial" w:cs="Arial"/>
          <w:color w:val="auto"/>
          <w:szCs w:val="22"/>
        </w:rPr>
        <w:t xml:space="preserve"> on the </w:t>
      </w:r>
      <w:hyperlink r:id="rId9" w:history="1">
        <w:r w:rsidR="004E146D">
          <w:rPr>
            <w:rStyle w:val="Hyperlink"/>
            <w:rFonts w:ascii="Arial" w:eastAsia="Times New Roman" w:hAnsi="Arial" w:cs="Arial"/>
            <w:szCs w:val="22"/>
          </w:rPr>
          <w:t xml:space="preserve">Department of </w:t>
        </w:r>
        <w:r w:rsidR="004E146D">
          <w:rPr>
            <w:rStyle w:val="Hyperlink"/>
            <w:rFonts w:ascii="Arial" w:eastAsia="Times New Roman" w:hAnsi="Arial" w:cs="Arial"/>
            <w:szCs w:val="22"/>
          </w:rPr>
          <w:t>A</w:t>
        </w:r>
        <w:r w:rsidR="004E146D">
          <w:rPr>
            <w:rStyle w:val="Hyperlink"/>
            <w:rFonts w:ascii="Arial" w:eastAsia="Times New Roman" w:hAnsi="Arial" w:cs="Arial"/>
            <w:szCs w:val="22"/>
          </w:rPr>
          <w:t>griculture, Water and the Environment website</w:t>
        </w:r>
      </w:hyperlink>
      <w:r w:rsidRPr="00A239A4">
        <w:rPr>
          <w:rFonts w:ascii="Arial" w:eastAsia="Times New Roman" w:hAnsi="Arial" w:cs="Arial"/>
          <w:color w:val="auto"/>
          <w:szCs w:val="22"/>
        </w:rPr>
        <w:t>.</w:t>
      </w:r>
    </w:p>
    <w:p w:rsidR="00994C3E" w:rsidRDefault="00104389" w:rsidP="00A52535">
      <w:pPr>
        <w:spacing w:before="120" w:after="240" w:line="240" w:lineRule="auto"/>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well-written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0E4EAA" w:rsidRPr="000E4EAA">
        <w:rPr>
          <w:rFonts w:ascii="Arial" w:eastAsia="Times New Roman" w:hAnsi="Arial" w:cs="Arial"/>
          <w:color w:val="auto"/>
          <w:szCs w:val="22"/>
        </w:rPr>
        <w:t xml:space="preserve"> </w:t>
      </w:r>
      <w:r w:rsidR="000E4EAA">
        <w:rPr>
          <w:rFonts w:ascii="Arial" w:eastAsia="Times New Roman" w:hAnsi="Arial" w:cs="Arial"/>
          <w:color w:val="auto"/>
          <w:szCs w:val="22"/>
        </w:rPr>
        <w:t>under the program and clearly demonstrated how they would contribute to the program outcomes</w:t>
      </w:r>
      <w:r w:rsidR="000E4EAA" w:rsidRPr="00150160">
        <w:rPr>
          <w:rFonts w:ascii="Arial" w:eastAsia="Times New Roman" w:hAnsi="Arial" w:cs="Arial"/>
          <w:color w:val="auto"/>
          <w:szCs w:val="22"/>
        </w:rPr>
        <w:t xml:space="preserve"> </w:t>
      </w:r>
      <w:r w:rsidR="000E4EAA">
        <w:rPr>
          <w:rFonts w:ascii="Arial" w:eastAsia="Times New Roman" w:hAnsi="Arial" w:cs="Arial"/>
          <w:color w:val="auto"/>
          <w:szCs w:val="22"/>
        </w:rPr>
        <w:t>and represent</w:t>
      </w:r>
      <w:r w:rsidR="000E4EAA" w:rsidRPr="00150160">
        <w:rPr>
          <w:rFonts w:ascii="Arial" w:eastAsia="Times New Roman" w:hAnsi="Arial" w:cs="Arial"/>
          <w:color w:val="auto"/>
          <w:szCs w:val="22"/>
        </w:rPr>
        <w:t xml:space="preserve"> value </w:t>
      </w:r>
      <w:r w:rsidR="000E4EAA">
        <w:rPr>
          <w:rFonts w:ascii="Arial" w:eastAsia="Times New Roman" w:hAnsi="Arial" w:cs="Arial"/>
          <w:color w:val="auto"/>
          <w:szCs w:val="22"/>
        </w:rPr>
        <w:t>with relevant</w:t>
      </w:r>
      <w:r w:rsidR="000E4EAA" w:rsidRPr="00150160">
        <w:rPr>
          <w:rFonts w:ascii="Arial" w:eastAsia="Times New Roman" w:hAnsi="Arial" w:cs="Arial"/>
          <w:color w:val="auto"/>
          <w:szCs w:val="22"/>
        </w:rPr>
        <w:t xml:space="preserve"> money</w:t>
      </w:r>
      <w:r w:rsidR="000E4EAA" w:rsidRPr="001836FF">
        <w:rPr>
          <w:rFonts w:ascii="Arial" w:eastAsia="Times New Roman" w:hAnsi="Arial" w:cs="Arial"/>
          <w:color w:val="auto"/>
          <w:szCs w:val="22"/>
        </w:rPr>
        <w:t xml:space="preserve"> </w:t>
      </w:r>
      <w:r w:rsidR="000E4EAA" w:rsidRPr="00150160">
        <w:rPr>
          <w:rFonts w:ascii="Arial" w:eastAsia="Times New Roman" w:hAnsi="Arial" w:cs="Arial"/>
          <w:color w:val="auto"/>
          <w:szCs w:val="22"/>
        </w:rPr>
        <w:t>as outlined in the Grant Opportunity Guidelines</w:t>
      </w:r>
      <w:r w:rsidR="00EF529C">
        <w:rPr>
          <w:rFonts w:ascii="Arial" w:eastAsia="Times New Roman" w:hAnsi="Arial" w:cs="Arial"/>
          <w:color w:val="auto"/>
          <w:szCs w:val="22"/>
        </w:rPr>
        <w:t>.</w:t>
      </w:r>
    </w:p>
    <w:p w:rsidR="00343839" w:rsidRDefault="000E4EAA"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 xml:space="preserve">This document provides </w:t>
      </w:r>
      <w:r w:rsidRPr="00150160">
        <w:rPr>
          <w:rFonts w:ascii="Arial" w:eastAsia="Times New Roman" w:hAnsi="Arial" w:cs="Arial"/>
          <w:color w:val="auto"/>
          <w:szCs w:val="22"/>
        </w:rPr>
        <w:t xml:space="preserve">feedback </w:t>
      </w:r>
      <w:r>
        <w:rPr>
          <w:rFonts w:ascii="Arial" w:eastAsia="Times New Roman" w:hAnsi="Arial" w:cs="Arial"/>
          <w:color w:val="auto"/>
          <w:szCs w:val="22"/>
        </w:rPr>
        <w:t xml:space="preserve">to applicants </w:t>
      </w:r>
      <w:r w:rsidRPr="00150160">
        <w:rPr>
          <w:rFonts w:ascii="Arial" w:eastAsia="Times New Roman" w:hAnsi="Arial" w:cs="Arial"/>
          <w:color w:val="auto"/>
          <w:szCs w:val="22"/>
        </w:rPr>
        <w:t xml:space="preserve">on how </w:t>
      </w:r>
      <w:r>
        <w:rPr>
          <w:rFonts w:ascii="Arial" w:eastAsia="Times New Roman" w:hAnsi="Arial" w:cs="Arial"/>
          <w:color w:val="auto"/>
          <w:szCs w:val="22"/>
        </w:rPr>
        <w:t>applica</w:t>
      </w:r>
      <w:r w:rsidRPr="00150160">
        <w:rPr>
          <w:rFonts w:ascii="Arial" w:eastAsia="Times New Roman" w:hAnsi="Arial" w:cs="Arial"/>
          <w:color w:val="auto"/>
          <w:szCs w:val="22"/>
        </w:rPr>
        <w:t>t</w:t>
      </w:r>
      <w:r>
        <w:rPr>
          <w:rFonts w:ascii="Arial" w:eastAsia="Times New Roman" w:hAnsi="Arial" w:cs="Arial"/>
          <w:color w:val="auto"/>
          <w:szCs w:val="22"/>
        </w:rPr>
        <w:t>ion</w:t>
      </w:r>
      <w:r w:rsidRPr="00150160">
        <w:rPr>
          <w:rFonts w:ascii="Arial" w:eastAsia="Times New Roman" w:hAnsi="Arial" w:cs="Arial"/>
          <w:color w:val="auto"/>
          <w:szCs w:val="22"/>
        </w:rPr>
        <w:t>s c</w:t>
      </w:r>
      <w:r>
        <w:rPr>
          <w:rFonts w:ascii="Arial" w:eastAsia="Times New Roman" w:hAnsi="Arial" w:cs="Arial"/>
          <w:color w:val="auto"/>
          <w:szCs w:val="22"/>
        </w:rPr>
        <w:t xml:space="preserve">ould have been strengthened. </w:t>
      </w:r>
      <w:r w:rsidRPr="00B314E7">
        <w:rPr>
          <w:rFonts w:ascii="Arial" w:eastAsia="Times New Roman" w:hAnsi="Arial" w:cs="Arial"/>
          <w:color w:val="auto"/>
          <w:szCs w:val="22"/>
        </w:rPr>
        <w:t>Unsuccessful applicants are encouraged</w:t>
      </w:r>
      <w:r>
        <w:rPr>
          <w:rFonts w:ascii="Arial" w:eastAsia="Times New Roman" w:hAnsi="Arial" w:cs="Arial"/>
          <w:color w:val="auto"/>
          <w:szCs w:val="22"/>
        </w:rPr>
        <w:t xml:space="preserve"> to</w:t>
      </w:r>
      <w:r w:rsidRPr="00B314E7">
        <w:rPr>
          <w:rFonts w:ascii="Arial" w:eastAsia="Times New Roman" w:hAnsi="Arial" w:cs="Arial"/>
          <w:color w:val="auto"/>
          <w:szCs w:val="22"/>
        </w:rPr>
        <w:t xml:space="preserve"> consider how this </w:t>
      </w:r>
      <w:r>
        <w:rPr>
          <w:rFonts w:ascii="Arial" w:eastAsia="Times New Roman" w:hAnsi="Arial" w:cs="Arial"/>
          <w:color w:val="auto"/>
          <w:szCs w:val="22"/>
        </w:rPr>
        <w:t xml:space="preserve">feedback </w:t>
      </w:r>
      <w:r w:rsidRPr="00B314E7">
        <w:rPr>
          <w:rFonts w:ascii="Arial" w:eastAsia="Times New Roman" w:hAnsi="Arial" w:cs="Arial"/>
          <w:color w:val="auto"/>
          <w:szCs w:val="22"/>
        </w:rPr>
        <w:t>applies to their application and</w:t>
      </w:r>
      <w:r>
        <w:rPr>
          <w:rFonts w:ascii="Arial" w:eastAsia="Times New Roman" w:hAnsi="Arial" w:cs="Arial"/>
          <w:color w:val="auto"/>
          <w:szCs w:val="22"/>
        </w:rPr>
        <w:t>,</w:t>
      </w:r>
      <w:r w:rsidRPr="00B314E7">
        <w:rPr>
          <w:rFonts w:ascii="Arial" w:eastAsia="Times New Roman" w:hAnsi="Arial" w:cs="Arial"/>
          <w:color w:val="auto"/>
          <w:szCs w:val="22"/>
        </w:rPr>
        <w:t xml:space="preserve"> </w:t>
      </w:r>
      <w:r>
        <w:rPr>
          <w:rFonts w:ascii="Arial" w:eastAsia="Times New Roman" w:hAnsi="Arial" w:cs="Arial"/>
          <w:color w:val="auto"/>
          <w:szCs w:val="22"/>
        </w:rPr>
        <w:t xml:space="preserve">should they wish to apply for any grant funding in the future, are also </w:t>
      </w:r>
      <w:r w:rsidRPr="00197294">
        <w:rPr>
          <w:rFonts w:ascii="Arial" w:eastAsia="Times New Roman" w:hAnsi="Arial" w:cs="Arial"/>
          <w:color w:val="auto"/>
          <w:szCs w:val="22"/>
        </w:rPr>
        <w:t>encouraged to use this information to maximise their chances of gaining funding</w:t>
      </w:r>
      <w:r>
        <w:rPr>
          <w:rFonts w:ascii="Arial" w:eastAsia="Times New Roman" w:hAnsi="Arial" w:cs="Arial"/>
          <w:color w:val="auto"/>
          <w:szCs w:val="22"/>
        </w:rPr>
        <w:t xml:space="preserve"> in other programs</w:t>
      </w:r>
      <w:r w:rsidR="007009DB">
        <w:rPr>
          <w:rFonts w:ascii="Arial" w:eastAsia="Times New Roman" w:hAnsi="Arial" w:cs="Arial"/>
          <w:color w:val="auto"/>
          <w:szCs w:val="22"/>
        </w:rPr>
        <w:t>.</w:t>
      </w:r>
    </w:p>
    <w:p w:rsidR="000D0EB9"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rsidR="00AA2262" w:rsidRPr="00A8096F" w:rsidRDefault="000E4EAA" w:rsidP="00A52535">
      <w:pPr>
        <w:spacing w:before="120" w:after="240" w:line="240" w:lineRule="auto"/>
        <w:rPr>
          <w:rFonts w:ascii="Arial" w:eastAsia="Times New Roman" w:hAnsi="Arial" w:cs="Arial"/>
          <w:color w:val="auto"/>
          <w:szCs w:val="22"/>
        </w:rPr>
      </w:pPr>
      <w:r w:rsidRPr="000E4EAA">
        <w:rPr>
          <w:rFonts w:ascii="Arial" w:eastAsia="Times New Roman" w:hAnsi="Arial" w:cs="Arial"/>
          <w:color w:val="auto"/>
          <w:szCs w:val="22"/>
        </w:rPr>
        <w:t xml:space="preserve">The </w:t>
      </w:r>
      <w:r w:rsidR="00AA2262">
        <w:rPr>
          <w:rFonts w:ascii="Arial" w:eastAsia="Times New Roman" w:hAnsi="Arial" w:cs="Arial"/>
          <w:color w:val="auto"/>
          <w:szCs w:val="22"/>
        </w:rPr>
        <w:t>Murray</w:t>
      </w:r>
      <w:r w:rsidR="007009DB">
        <w:rPr>
          <w:rFonts w:ascii="Arial" w:eastAsia="Times New Roman" w:hAnsi="Arial" w:cs="Arial"/>
          <w:color w:val="auto"/>
          <w:szCs w:val="22"/>
        </w:rPr>
        <w:t>–</w:t>
      </w:r>
      <w:r w:rsidR="00AA2262">
        <w:rPr>
          <w:rFonts w:ascii="Arial" w:eastAsia="Times New Roman" w:hAnsi="Arial" w:cs="Arial"/>
          <w:color w:val="auto"/>
          <w:szCs w:val="22"/>
        </w:rPr>
        <w:t>Dar</w:t>
      </w:r>
      <w:r w:rsidR="007009DB">
        <w:rPr>
          <w:rFonts w:ascii="Arial" w:eastAsia="Times New Roman" w:hAnsi="Arial" w:cs="Arial"/>
          <w:color w:val="auto"/>
          <w:szCs w:val="22"/>
        </w:rPr>
        <w:t>l</w:t>
      </w:r>
      <w:r w:rsidR="00AA2262">
        <w:rPr>
          <w:rFonts w:ascii="Arial" w:eastAsia="Times New Roman" w:hAnsi="Arial" w:cs="Arial"/>
          <w:color w:val="auto"/>
          <w:szCs w:val="22"/>
        </w:rPr>
        <w:t xml:space="preserve">ing Basin Economic Development Program </w:t>
      </w:r>
      <w:r w:rsidRPr="000E4EAA">
        <w:rPr>
          <w:rFonts w:ascii="Arial" w:eastAsia="Times New Roman" w:hAnsi="Arial" w:cs="Arial"/>
          <w:color w:val="auto"/>
          <w:szCs w:val="22"/>
        </w:rPr>
        <w:t xml:space="preserve">was announced by </w:t>
      </w:r>
      <w:r w:rsidR="00D63946">
        <w:rPr>
          <w:rFonts w:ascii="Arial" w:eastAsia="Times New Roman" w:hAnsi="Arial" w:cs="Arial"/>
          <w:color w:val="auto"/>
          <w:szCs w:val="22"/>
        </w:rPr>
        <w:t xml:space="preserve">the </w:t>
      </w:r>
      <w:r w:rsidRPr="000E4EAA">
        <w:rPr>
          <w:rFonts w:ascii="Arial" w:eastAsia="Times New Roman" w:hAnsi="Arial" w:cs="Arial"/>
          <w:color w:val="auto"/>
          <w:szCs w:val="22"/>
        </w:rPr>
        <w:t>the</w:t>
      </w:r>
      <w:r w:rsidR="00AA2262">
        <w:rPr>
          <w:rFonts w:ascii="Arial" w:eastAsia="Times New Roman" w:hAnsi="Arial" w:cs="Arial"/>
          <w:color w:val="auto"/>
          <w:szCs w:val="22"/>
        </w:rPr>
        <w:t>n</w:t>
      </w:r>
      <w:r w:rsidRPr="000E4EAA">
        <w:rPr>
          <w:rFonts w:ascii="Arial" w:eastAsia="Times New Roman" w:hAnsi="Arial" w:cs="Arial"/>
          <w:color w:val="auto"/>
          <w:szCs w:val="22"/>
        </w:rPr>
        <w:t xml:space="preserve"> Minister for Agriculture and Water Resources on 7</w:t>
      </w:r>
      <w:r w:rsidR="00AA2262">
        <w:rPr>
          <w:rFonts w:ascii="Arial" w:eastAsia="Times New Roman" w:hAnsi="Arial" w:cs="Arial"/>
          <w:color w:val="auto"/>
          <w:szCs w:val="22"/>
        </w:rPr>
        <w:t> </w:t>
      </w:r>
      <w:r w:rsidRPr="000E4EAA">
        <w:rPr>
          <w:rFonts w:ascii="Arial" w:eastAsia="Times New Roman" w:hAnsi="Arial" w:cs="Arial"/>
          <w:color w:val="auto"/>
          <w:szCs w:val="22"/>
        </w:rPr>
        <w:t>May</w:t>
      </w:r>
      <w:r w:rsidR="00AA2262">
        <w:rPr>
          <w:rFonts w:ascii="Arial" w:eastAsia="Times New Roman" w:hAnsi="Arial" w:cs="Arial"/>
          <w:color w:val="auto"/>
          <w:szCs w:val="22"/>
        </w:rPr>
        <w:t> </w:t>
      </w:r>
      <w:r w:rsidRPr="000E4EAA">
        <w:rPr>
          <w:rFonts w:ascii="Arial" w:eastAsia="Times New Roman" w:hAnsi="Arial" w:cs="Arial"/>
          <w:color w:val="auto"/>
          <w:szCs w:val="22"/>
        </w:rPr>
        <w:t>2018, as part of the Basin Plan Commitments Package</w:t>
      </w:r>
      <w:r w:rsidR="00AA2262" w:rsidRPr="00A8096F">
        <w:rPr>
          <w:rFonts w:ascii="Arial" w:eastAsia="Times New Roman" w:hAnsi="Arial" w:cs="Arial"/>
          <w:color w:val="auto"/>
          <w:szCs w:val="22"/>
        </w:rPr>
        <w:t>, to support those communities identified as impacted by water recovery under the Murray</w:t>
      </w:r>
      <w:r w:rsidR="007009DB" w:rsidRPr="00A8096F">
        <w:rPr>
          <w:rFonts w:ascii="Arial" w:eastAsia="Times New Roman" w:hAnsi="Arial" w:cs="Arial"/>
          <w:color w:val="auto"/>
          <w:szCs w:val="22"/>
        </w:rPr>
        <w:t>–</w:t>
      </w:r>
      <w:r w:rsidR="00AA2262" w:rsidRPr="00A8096F">
        <w:rPr>
          <w:rFonts w:ascii="Arial" w:eastAsia="Times New Roman" w:hAnsi="Arial" w:cs="Arial"/>
          <w:color w:val="auto"/>
          <w:szCs w:val="22"/>
        </w:rPr>
        <w:t>Darling Basin Plan (the Basin Plan).</w:t>
      </w:r>
    </w:p>
    <w:p w:rsidR="00AA2262" w:rsidRDefault="00AA2262"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 xml:space="preserve">The first round of the program identified </w:t>
      </w:r>
      <w:r w:rsidRPr="00A8096F">
        <w:rPr>
          <w:rFonts w:ascii="Arial" w:eastAsia="Times New Roman" w:hAnsi="Arial" w:cs="Arial"/>
          <w:color w:val="auto"/>
          <w:szCs w:val="22"/>
        </w:rPr>
        <w:t xml:space="preserve">15 Basin communities as ‘most impacted’ by water recovery activities under the Basin Plan (as defined by Murray–Darling Basin Authority (MDBA) research) and </w:t>
      </w:r>
      <w:r w:rsidR="00D2640C" w:rsidRPr="00A8096F">
        <w:rPr>
          <w:rFonts w:ascii="Arial" w:eastAsia="Times New Roman" w:hAnsi="Arial" w:cs="Arial"/>
          <w:color w:val="auto"/>
          <w:szCs w:val="22"/>
        </w:rPr>
        <w:t xml:space="preserve">therefore </w:t>
      </w:r>
      <w:r w:rsidRPr="00A8096F">
        <w:rPr>
          <w:rFonts w:ascii="Arial" w:eastAsia="Times New Roman" w:hAnsi="Arial" w:cs="Arial"/>
          <w:color w:val="auto"/>
          <w:szCs w:val="22"/>
        </w:rPr>
        <w:t>eligible for funding.</w:t>
      </w:r>
    </w:p>
    <w:p w:rsidR="00AA2262" w:rsidRDefault="00AA2262" w:rsidP="00760C83">
      <w:pPr>
        <w:keepNext/>
        <w:spacing w:before="120" w:after="240" w:line="240" w:lineRule="auto"/>
        <w:rPr>
          <w:rFonts w:ascii="Arial" w:eastAsia="Times New Roman" w:hAnsi="Arial" w:cs="Arial"/>
          <w:color w:val="auto"/>
          <w:szCs w:val="22"/>
        </w:rPr>
      </w:pPr>
      <w:r>
        <w:rPr>
          <w:rFonts w:ascii="Arial" w:eastAsia="Times New Roman" w:hAnsi="Arial" w:cs="Arial"/>
          <w:color w:val="auto"/>
          <w:szCs w:val="22"/>
        </w:rPr>
        <w:lastRenderedPageBreak/>
        <w:t>The second round identified 31</w:t>
      </w:r>
      <w:r w:rsidRPr="007400F2">
        <w:rPr>
          <w:rFonts w:ascii="Arial" w:eastAsia="Times New Roman" w:hAnsi="Arial" w:cs="Arial"/>
          <w:color w:val="auto"/>
          <w:szCs w:val="22"/>
        </w:rPr>
        <w:t xml:space="preserve"> communities </w:t>
      </w:r>
      <w:r>
        <w:rPr>
          <w:rFonts w:ascii="Arial" w:eastAsia="Times New Roman" w:hAnsi="Arial" w:cs="Arial"/>
          <w:color w:val="auto"/>
          <w:szCs w:val="22"/>
        </w:rPr>
        <w:t>as eligible for funding, including those:</w:t>
      </w:r>
    </w:p>
    <w:p w:rsidR="00AA2262" w:rsidRPr="00303BDE" w:rsidRDefault="00AA2262" w:rsidP="00303BDE">
      <w:pPr>
        <w:pStyle w:val="TableBullets1"/>
      </w:pPr>
      <w:r w:rsidRPr="00303BDE">
        <w:t>moderately impacted by Basin Plan water recovery activities as identified through MDBA research</w:t>
      </w:r>
    </w:p>
    <w:p w:rsidR="00AA2262" w:rsidRPr="00303BDE" w:rsidRDefault="00AA2262" w:rsidP="00303BDE">
      <w:pPr>
        <w:pStyle w:val="TableBullets1"/>
      </w:pPr>
      <w:r w:rsidRPr="00303BDE">
        <w:t xml:space="preserve">expected to experience some Basin Plan impacts due to the proposed acquisition of water entitlements, including A Class licences, in the lower Darling and Barwon-Darling as part of the Australian Government’s response to the Independent assessment of the 2018-19 fish deaths in the lower Darling Final Report </w:t>
      </w:r>
    </w:p>
    <w:p w:rsidR="00AA2262" w:rsidRPr="00303BDE" w:rsidRDefault="00AA2262" w:rsidP="00303BDE">
      <w:pPr>
        <w:pStyle w:val="TableBullets1"/>
      </w:pPr>
      <w:r w:rsidRPr="00303BDE">
        <w:t>identified through 2019 election commitments.</w:t>
      </w:r>
    </w:p>
    <w:p w:rsidR="00A8096F" w:rsidRDefault="00AA2262" w:rsidP="00303BDE">
      <w:pPr>
        <w:spacing w:before="240" w:after="240" w:line="240" w:lineRule="auto"/>
        <w:rPr>
          <w:rFonts w:ascii="Arial" w:eastAsia="Times New Roman" w:hAnsi="Arial" w:cs="Arial"/>
          <w:color w:val="auto"/>
          <w:szCs w:val="22"/>
        </w:rPr>
      </w:pPr>
      <w:r w:rsidRPr="00A8096F">
        <w:rPr>
          <w:rFonts w:ascii="Arial" w:eastAsia="Times New Roman" w:hAnsi="Arial" w:cs="Arial"/>
          <w:color w:val="auto"/>
          <w:szCs w:val="22"/>
        </w:rPr>
        <w:t>The communities eligible for funding under Round 1 of the program were not eligible for funding under Round 2.</w:t>
      </w:r>
    </w:p>
    <w:p w:rsidR="000E4EAA" w:rsidRPr="000E4EAA" w:rsidRDefault="00AA2262"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The 31 communities</w:t>
      </w:r>
      <w:r w:rsidR="000E4EAA">
        <w:rPr>
          <w:rFonts w:ascii="Arial" w:eastAsia="Times New Roman" w:hAnsi="Arial" w:cs="Arial"/>
          <w:color w:val="auto"/>
          <w:szCs w:val="22"/>
        </w:rPr>
        <w:t xml:space="preserve"> identified by the </w:t>
      </w:r>
      <w:r w:rsidR="000E4EAA" w:rsidRPr="000E4EAA">
        <w:rPr>
          <w:rFonts w:ascii="Arial" w:eastAsia="Times New Roman" w:hAnsi="Arial" w:cs="Arial"/>
          <w:color w:val="auto"/>
          <w:szCs w:val="22"/>
        </w:rPr>
        <w:t>Department of Agriculture</w:t>
      </w:r>
      <w:r>
        <w:rPr>
          <w:rFonts w:ascii="Arial" w:eastAsia="Times New Roman" w:hAnsi="Arial" w:cs="Arial"/>
          <w:color w:val="auto"/>
          <w:szCs w:val="22"/>
        </w:rPr>
        <w:t xml:space="preserve">, </w:t>
      </w:r>
      <w:r w:rsidR="000E4EAA" w:rsidRPr="000E4EAA">
        <w:rPr>
          <w:rFonts w:ascii="Arial" w:eastAsia="Times New Roman" w:hAnsi="Arial" w:cs="Arial"/>
          <w:color w:val="auto"/>
          <w:szCs w:val="22"/>
        </w:rPr>
        <w:t xml:space="preserve">Water </w:t>
      </w:r>
      <w:r>
        <w:rPr>
          <w:rFonts w:ascii="Arial" w:eastAsia="Times New Roman" w:hAnsi="Arial" w:cs="Arial"/>
          <w:color w:val="auto"/>
          <w:szCs w:val="22"/>
        </w:rPr>
        <w:t xml:space="preserve">and the Environment </w:t>
      </w:r>
      <w:r w:rsidR="000E4EAA" w:rsidRPr="000E4EAA">
        <w:rPr>
          <w:rFonts w:ascii="Arial" w:eastAsia="Times New Roman" w:hAnsi="Arial" w:cs="Arial"/>
          <w:color w:val="auto"/>
          <w:szCs w:val="22"/>
        </w:rPr>
        <w:t>(</w:t>
      </w:r>
      <w:r w:rsidR="00F00C4B">
        <w:rPr>
          <w:rFonts w:ascii="Arial" w:eastAsia="Times New Roman" w:hAnsi="Arial" w:cs="Arial"/>
          <w:color w:val="auto"/>
          <w:szCs w:val="22"/>
        </w:rPr>
        <w:t xml:space="preserve">DAWE, </w:t>
      </w:r>
      <w:r w:rsidR="000E4EAA" w:rsidRPr="000E4EAA">
        <w:rPr>
          <w:rFonts w:ascii="Arial" w:eastAsia="Times New Roman" w:hAnsi="Arial" w:cs="Arial"/>
          <w:color w:val="auto"/>
          <w:szCs w:val="22"/>
        </w:rPr>
        <w:t>the department) as</w:t>
      </w:r>
      <w:r w:rsidR="000E4EAA">
        <w:rPr>
          <w:rFonts w:ascii="Arial" w:eastAsia="Times New Roman" w:hAnsi="Arial" w:cs="Arial"/>
          <w:color w:val="auto"/>
          <w:szCs w:val="22"/>
        </w:rPr>
        <w:t xml:space="preserve"> eligible for the program</w:t>
      </w:r>
      <w:r>
        <w:rPr>
          <w:rFonts w:ascii="Arial" w:eastAsia="Times New Roman" w:hAnsi="Arial" w:cs="Arial"/>
          <w:color w:val="auto"/>
          <w:szCs w:val="22"/>
        </w:rPr>
        <w:t xml:space="preserve"> in Round 2</w:t>
      </w:r>
      <w:r w:rsidR="006564F7">
        <w:rPr>
          <w:rFonts w:ascii="Arial" w:eastAsia="Times New Roman" w:hAnsi="Arial" w:cs="Arial"/>
          <w:color w:val="auto"/>
          <w:szCs w:val="22"/>
        </w:rPr>
        <w:t xml:space="preserve"> a</w:t>
      </w:r>
      <w:r w:rsidR="00D2640C">
        <w:rPr>
          <w:rFonts w:ascii="Arial" w:eastAsia="Times New Roman" w:hAnsi="Arial" w:cs="Arial"/>
          <w:color w:val="auto"/>
          <w:szCs w:val="22"/>
        </w:rPr>
        <w:t>re</w:t>
      </w:r>
      <w:r w:rsidR="000E4EAA" w:rsidRPr="000E4EAA">
        <w:rPr>
          <w:rFonts w:ascii="Arial" w:eastAsia="Times New Roman" w:hAnsi="Arial" w:cs="Arial"/>
          <w:color w:val="auto"/>
          <w:szCs w:val="22"/>
        </w:rPr>
        <w:t>:</w:t>
      </w:r>
    </w:p>
    <w:tbl>
      <w:tblPr>
        <w:tblStyle w:val="TableGrid1"/>
        <w:tblW w:w="9344" w:type="dxa"/>
        <w:tblLook w:val="04A0" w:firstRow="1" w:lastRow="0" w:firstColumn="1" w:lastColumn="0" w:noHBand="0" w:noVBand="1"/>
        <w:tblCaption w:val="Communities identified by the Department of Agriculture, Water and the Environment"/>
        <w:tblDescription w:val="Communities identified by the Department of Agriculture, Water and the Environment"/>
      </w:tblPr>
      <w:tblGrid>
        <w:gridCol w:w="3114"/>
        <w:gridCol w:w="3115"/>
        <w:gridCol w:w="3115"/>
      </w:tblGrid>
      <w:tr w:rsidR="00940352" w:rsidRPr="00A260B4" w:rsidTr="00EC12CB">
        <w:trPr>
          <w:trHeight w:val="471"/>
          <w:tblHeader/>
        </w:trPr>
        <w:tc>
          <w:tcPr>
            <w:tcW w:w="9344" w:type="dxa"/>
            <w:gridSpan w:val="3"/>
            <w:shd w:val="clear" w:color="auto" w:fill="FFD923"/>
            <w:vAlign w:val="center"/>
          </w:tcPr>
          <w:p w:rsidR="00940352" w:rsidRPr="00A260B4" w:rsidRDefault="00940352" w:rsidP="00A260B4">
            <w:pPr>
              <w:spacing w:line="240" w:lineRule="auto"/>
              <w:ind w:left="57" w:right="57"/>
              <w:jc w:val="center"/>
              <w:rPr>
                <w:rFonts w:ascii="Arial" w:eastAsia="Arial" w:hAnsi="Arial" w:cs="Times New Roman"/>
                <w:b/>
                <w:color w:val="000000"/>
              </w:rPr>
            </w:pPr>
            <w:r w:rsidRPr="00A260B4">
              <w:rPr>
                <w:rFonts w:ascii="Arial" w:eastAsia="Arial" w:hAnsi="Arial" w:cs="Times New Roman"/>
                <w:b/>
                <w:color w:val="000000"/>
              </w:rPr>
              <w:t>Queensland / New South Wales</w:t>
            </w:r>
          </w:p>
        </w:tc>
      </w:tr>
      <w:tr w:rsidR="00FC1346" w:rsidRPr="00940352" w:rsidTr="004A3369">
        <w:trPr>
          <w:trHeight w:val="35"/>
        </w:trPr>
        <w:tc>
          <w:tcPr>
            <w:tcW w:w="9344" w:type="dxa"/>
            <w:gridSpan w:val="3"/>
          </w:tcPr>
          <w:p w:rsidR="00FC1346" w:rsidRPr="00940352" w:rsidRDefault="00FC1346" w:rsidP="00760C83">
            <w:pPr>
              <w:spacing w:before="60" w:after="120" w:line="240" w:lineRule="auto"/>
              <w:ind w:left="113" w:right="57"/>
              <w:rPr>
                <w:rFonts w:ascii="Arial" w:hAnsi="Arial" w:cs="Arial"/>
              </w:rPr>
            </w:pPr>
            <w:r w:rsidRPr="00760C83">
              <w:rPr>
                <w:rFonts w:ascii="Arial" w:eastAsia="Arial" w:hAnsi="Arial" w:cs="Arial"/>
                <w:color w:val="auto"/>
              </w:rPr>
              <w:t>Mungindi</w:t>
            </w:r>
          </w:p>
        </w:tc>
      </w:tr>
      <w:tr w:rsidR="00940352" w:rsidRPr="00A260B4" w:rsidTr="00A260B4">
        <w:trPr>
          <w:trHeight w:val="471"/>
        </w:trPr>
        <w:tc>
          <w:tcPr>
            <w:tcW w:w="9344" w:type="dxa"/>
            <w:gridSpan w:val="3"/>
            <w:shd w:val="clear" w:color="auto" w:fill="FFD923"/>
            <w:vAlign w:val="center"/>
          </w:tcPr>
          <w:p w:rsidR="00940352" w:rsidRPr="00A260B4" w:rsidRDefault="00940352" w:rsidP="00A260B4">
            <w:pPr>
              <w:spacing w:line="240" w:lineRule="auto"/>
              <w:ind w:left="57" w:right="57"/>
              <w:jc w:val="center"/>
              <w:rPr>
                <w:rFonts w:ascii="Arial" w:eastAsia="Arial" w:hAnsi="Arial" w:cs="Times New Roman"/>
                <w:b/>
                <w:color w:val="000000"/>
              </w:rPr>
            </w:pPr>
            <w:r w:rsidRPr="00A260B4">
              <w:rPr>
                <w:rFonts w:ascii="Arial" w:eastAsia="Arial" w:hAnsi="Arial" w:cs="Times New Roman"/>
                <w:b/>
                <w:color w:val="000000"/>
              </w:rPr>
              <w:t>New South Wales</w:t>
            </w:r>
          </w:p>
        </w:tc>
      </w:tr>
      <w:tr w:rsidR="00940352" w:rsidRPr="00940352" w:rsidTr="00545D78">
        <w:trPr>
          <w:trHeight w:val="468"/>
        </w:trPr>
        <w:tc>
          <w:tcPr>
            <w:tcW w:w="3114"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Berrigan-Finley</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Brewarrina</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Bourke</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Coomealla</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Deniboota</w:t>
            </w:r>
          </w:p>
          <w:p w:rsidR="00940352" w:rsidRPr="00940352" w:rsidRDefault="00940352" w:rsidP="00760C83">
            <w:pPr>
              <w:spacing w:before="60" w:after="120" w:line="240" w:lineRule="auto"/>
              <w:ind w:left="113" w:right="57"/>
              <w:rPr>
                <w:rFonts w:ascii="Arial" w:hAnsi="Arial" w:cs="Arial"/>
              </w:rPr>
            </w:pPr>
            <w:r w:rsidRPr="00760C83">
              <w:rPr>
                <w:rFonts w:ascii="Arial" w:eastAsia="Arial" w:hAnsi="Arial" w:cs="Arial"/>
                <w:color w:val="auto"/>
              </w:rPr>
              <w:t>Denimein</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Hay</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Menindee</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Moree</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Narromine</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Trangie</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Walgett</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Wee Waa</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Wentworth</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West Berriquin</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Wilcannia</w:t>
            </w:r>
          </w:p>
        </w:tc>
      </w:tr>
      <w:tr w:rsidR="00940352" w:rsidRPr="00A260B4" w:rsidTr="00A260B4">
        <w:trPr>
          <w:trHeight w:val="471"/>
        </w:trPr>
        <w:tc>
          <w:tcPr>
            <w:tcW w:w="9344" w:type="dxa"/>
            <w:gridSpan w:val="3"/>
            <w:shd w:val="clear" w:color="auto" w:fill="FFD923"/>
            <w:vAlign w:val="center"/>
          </w:tcPr>
          <w:p w:rsidR="00940352" w:rsidRPr="00A260B4" w:rsidRDefault="00940352" w:rsidP="00A260B4">
            <w:pPr>
              <w:spacing w:line="240" w:lineRule="auto"/>
              <w:ind w:left="57" w:right="57"/>
              <w:jc w:val="center"/>
              <w:rPr>
                <w:rFonts w:ascii="Arial" w:eastAsia="Arial" w:hAnsi="Arial" w:cs="Times New Roman"/>
                <w:b/>
                <w:color w:val="000000"/>
              </w:rPr>
            </w:pPr>
            <w:r w:rsidRPr="00A260B4">
              <w:rPr>
                <w:rFonts w:ascii="Arial" w:eastAsia="Arial" w:hAnsi="Arial" w:cs="Times New Roman"/>
                <w:b/>
                <w:color w:val="000000"/>
              </w:rPr>
              <w:t>New South Wales / Victoria</w:t>
            </w:r>
          </w:p>
        </w:tc>
      </w:tr>
      <w:tr w:rsidR="00940352" w:rsidRPr="00940352" w:rsidTr="006208FF">
        <w:trPr>
          <w:trHeight w:val="351"/>
        </w:trPr>
        <w:tc>
          <w:tcPr>
            <w:tcW w:w="3114"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Cullulleraine</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Kerang-Cohuna</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Swan Hill</w:t>
            </w:r>
          </w:p>
        </w:tc>
      </w:tr>
      <w:tr w:rsidR="00940352" w:rsidRPr="00A260B4" w:rsidTr="00A260B4">
        <w:trPr>
          <w:trHeight w:val="471"/>
        </w:trPr>
        <w:tc>
          <w:tcPr>
            <w:tcW w:w="9344" w:type="dxa"/>
            <w:gridSpan w:val="3"/>
            <w:shd w:val="clear" w:color="auto" w:fill="FFD923"/>
            <w:vAlign w:val="center"/>
          </w:tcPr>
          <w:p w:rsidR="00940352" w:rsidRPr="00A260B4" w:rsidRDefault="00940352" w:rsidP="00A260B4">
            <w:pPr>
              <w:spacing w:line="240" w:lineRule="auto"/>
              <w:ind w:left="57" w:right="57"/>
              <w:jc w:val="center"/>
              <w:rPr>
                <w:rFonts w:ascii="Arial" w:eastAsia="Arial" w:hAnsi="Arial" w:cs="Times New Roman"/>
                <w:b/>
                <w:color w:val="000000"/>
              </w:rPr>
            </w:pPr>
            <w:r w:rsidRPr="00A260B4">
              <w:rPr>
                <w:rFonts w:ascii="Arial" w:eastAsia="Arial" w:hAnsi="Arial" w:cs="Times New Roman"/>
                <w:b/>
                <w:color w:val="000000"/>
              </w:rPr>
              <w:t>Victoria</w:t>
            </w:r>
          </w:p>
        </w:tc>
      </w:tr>
      <w:tr w:rsidR="00940352" w:rsidRPr="00940352" w:rsidTr="006E48E7">
        <w:trPr>
          <w:trHeight w:val="583"/>
        </w:trPr>
        <w:tc>
          <w:tcPr>
            <w:tcW w:w="3114"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Cobram</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Kyabram-Tatura</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Mildura</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Pyramid Hill-Boort</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Shepparton Irrigation Area</w:t>
            </w:r>
          </w:p>
        </w:tc>
      </w:tr>
      <w:tr w:rsidR="00940352" w:rsidRPr="00A260B4" w:rsidTr="00A260B4">
        <w:trPr>
          <w:trHeight w:val="471"/>
        </w:trPr>
        <w:tc>
          <w:tcPr>
            <w:tcW w:w="9344" w:type="dxa"/>
            <w:gridSpan w:val="3"/>
            <w:shd w:val="clear" w:color="auto" w:fill="FFD923"/>
            <w:vAlign w:val="center"/>
          </w:tcPr>
          <w:p w:rsidR="00940352" w:rsidRPr="00A260B4" w:rsidRDefault="00940352" w:rsidP="00A260B4">
            <w:pPr>
              <w:spacing w:line="240" w:lineRule="auto"/>
              <w:ind w:left="57" w:right="57"/>
              <w:jc w:val="center"/>
              <w:rPr>
                <w:rFonts w:ascii="Arial" w:eastAsia="Arial" w:hAnsi="Arial" w:cs="Times New Roman"/>
                <w:b/>
                <w:color w:val="000000"/>
              </w:rPr>
            </w:pPr>
            <w:r w:rsidRPr="00A260B4">
              <w:rPr>
                <w:rFonts w:ascii="Arial" w:eastAsia="Arial" w:hAnsi="Arial" w:cs="Times New Roman"/>
                <w:b/>
                <w:color w:val="000000"/>
              </w:rPr>
              <w:t>South Australia</w:t>
            </w:r>
          </w:p>
        </w:tc>
      </w:tr>
      <w:tr w:rsidR="00940352" w:rsidRPr="00940352" w:rsidTr="001811FD">
        <w:trPr>
          <w:trHeight w:val="701"/>
        </w:trPr>
        <w:tc>
          <w:tcPr>
            <w:tcW w:w="3114"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Blanchetown</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Mannum</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Morgan</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Murray Bridge</w:t>
            </w:r>
          </w:p>
        </w:tc>
        <w:tc>
          <w:tcPr>
            <w:tcW w:w="3115" w:type="dxa"/>
          </w:tcPr>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 xml:space="preserve">Tailem Bend </w:t>
            </w:r>
          </w:p>
          <w:p w:rsidR="00940352" w:rsidRPr="00760C83" w:rsidRDefault="00940352" w:rsidP="00760C83">
            <w:pPr>
              <w:spacing w:before="60" w:after="120" w:line="240" w:lineRule="auto"/>
              <w:ind w:left="113" w:right="57"/>
              <w:rPr>
                <w:rFonts w:ascii="Arial" w:eastAsia="Arial" w:hAnsi="Arial" w:cs="Arial"/>
                <w:color w:val="auto"/>
              </w:rPr>
            </w:pPr>
            <w:r w:rsidRPr="00760C83">
              <w:rPr>
                <w:rFonts w:ascii="Arial" w:eastAsia="Arial" w:hAnsi="Arial" w:cs="Arial"/>
                <w:color w:val="auto"/>
              </w:rPr>
              <w:t>Waikerie</w:t>
            </w:r>
          </w:p>
        </w:tc>
      </w:tr>
    </w:tbl>
    <w:p w:rsidR="000E4EAA" w:rsidRPr="00962B84" w:rsidRDefault="000E4EAA" w:rsidP="00A52535">
      <w:pPr>
        <w:spacing w:before="120" w:after="240" w:line="240" w:lineRule="auto"/>
        <w:rPr>
          <w:rFonts w:ascii="Arial" w:eastAsia="Times New Roman" w:hAnsi="Arial" w:cs="Arial"/>
          <w:color w:val="auto"/>
          <w:szCs w:val="22"/>
        </w:rPr>
      </w:pPr>
      <w:r w:rsidRPr="00962B84">
        <w:rPr>
          <w:rFonts w:ascii="Arial" w:eastAsia="Times New Roman" w:hAnsi="Arial" w:cs="Arial"/>
          <w:color w:val="auto"/>
          <w:szCs w:val="22"/>
        </w:rPr>
        <w:t xml:space="preserve">The objective of the program is to assist eligible communities to undertake economic development projects to respond to the impact of water recovery activities under the Basin Plan. The outputs of </w:t>
      </w:r>
      <w:r w:rsidRPr="00962B84">
        <w:rPr>
          <w:rFonts w:ascii="Arial" w:eastAsia="Times New Roman" w:hAnsi="Arial" w:cs="Arial"/>
          <w:color w:val="auto"/>
          <w:szCs w:val="22"/>
        </w:rPr>
        <w:lastRenderedPageBreak/>
        <w:t>the program are the number of jobs created as a result of the economic development projects and the number of projects supporting activities continu</w:t>
      </w:r>
      <w:r w:rsidR="00237C0C">
        <w:rPr>
          <w:rFonts w:ascii="Arial" w:eastAsia="Times New Roman" w:hAnsi="Arial" w:cs="Arial"/>
          <w:color w:val="auto"/>
          <w:szCs w:val="22"/>
        </w:rPr>
        <w:t>ing</w:t>
      </w:r>
      <w:r w:rsidR="008438BB">
        <w:rPr>
          <w:rFonts w:ascii="Arial" w:eastAsia="Times New Roman" w:hAnsi="Arial" w:cs="Arial"/>
          <w:color w:val="auto"/>
          <w:szCs w:val="22"/>
        </w:rPr>
        <w:t xml:space="preserve"> after the end of the projects.</w:t>
      </w:r>
    </w:p>
    <w:p w:rsidR="000E4EAA" w:rsidRPr="00962B84" w:rsidRDefault="000E4EAA" w:rsidP="00760C83">
      <w:pPr>
        <w:keepNext/>
        <w:spacing w:before="120" w:after="240" w:line="240" w:lineRule="auto"/>
        <w:rPr>
          <w:rFonts w:ascii="Arial" w:eastAsia="Times New Roman" w:hAnsi="Arial" w:cs="Arial"/>
          <w:color w:val="auto"/>
          <w:szCs w:val="22"/>
        </w:rPr>
      </w:pPr>
      <w:r w:rsidRPr="00962B84">
        <w:rPr>
          <w:rFonts w:ascii="Arial" w:eastAsia="Times New Roman" w:hAnsi="Arial" w:cs="Arial"/>
          <w:color w:val="auto"/>
          <w:szCs w:val="22"/>
        </w:rPr>
        <w:t xml:space="preserve">The </w:t>
      </w:r>
      <w:r w:rsidR="00D2640C">
        <w:rPr>
          <w:rFonts w:ascii="Arial" w:eastAsia="Times New Roman" w:hAnsi="Arial" w:cs="Arial"/>
          <w:color w:val="auto"/>
          <w:szCs w:val="22"/>
        </w:rPr>
        <w:t>intended outcomes of the program are to</w:t>
      </w:r>
      <w:r w:rsidR="008438BB">
        <w:rPr>
          <w:rFonts w:ascii="Arial" w:eastAsia="Times New Roman" w:hAnsi="Arial" w:cs="Arial"/>
          <w:color w:val="auto"/>
          <w:szCs w:val="22"/>
        </w:rPr>
        <w:t>:</w:t>
      </w:r>
    </w:p>
    <w:p w:rsidR="000E4EAA" w:rsidRPr="00AA2262" w:rsidRDefault="000E4EAA" w:rsidP="00A52535">
      <w:pPr>
        <w:numPr>
          <w:ilvl w:val="0"/>
          <w:numId w:val="12"/>
        </w:numPr>
        <w:spacing w:before="120" w:after="240" w:line="220" w:lineRule="atLeast"/>
        <w:ind w:left="419" w:hanging="357"/>
      </w:pPr>
      <w:r w:rsidRPr="00AA2262">
        <w:t>increas</w:t>
      </w:r>
      <w:r w:rsidR="00D2640C">
        <w:t>e</w:t>
      </w:r>
      <w:r w:rsidRPr="00AA2262">
        <w:t xml:space="preserve"> the capacity of communities to diversify and strengthen local economies</w:t>
      </w:r>
    </w:p>
    <w:p w:rsidR="000E4EAA" w:rsidRPr="00AA2262" w:rsidRDefault="000E4EAA" w:rsidP="00A52535">
      <w:pPr>
        <w:numPr>
          <w:ilvl w:val="0"/>
          <w:numId w:val="12"/>
        </w:numPr>
        <w:spacing w:before="120" w:after="240" w:line="220" w:lineRule="atLeast"/>
        <w:ind w:left="419" w:hanging="357"/>
      </w:pPr>
      <w:r w:rsidRPr="00AA2262">
        <w:t>enhanc</w:t>
      </w:r>
      <w:r w:rsidR="00D2640C">
        <w:t>e</w:t>
      </w:r>
      <w:r w:rsidRPr="00AA2262">
        <w:t xml:space="preserve"> the resilience of communities to manage current and future economic challenges and changes</w:t>
      </w:r>
      <w:r w:rsidR="00585A02">
        <w:t>, and</w:t>
      </w:r>
    </w:p>
    <w:p w:rsidR="000E4EAA" w:rsidRPr="00AA2262" w:rsidRDefault="000E4EAA" w:rsidP="00A52535">
      <w:pPr>
        <w:numPr>
          <w:ilvl w:val="0"/>
          <w:numId w:val="12"/>
        </w:numPr>
        <w:spacing w:before="120" w:after="240" w:line="220" w:lineRule="atLeast"/>
        <w:ind w:left="419" w:hanging="357"/>
      </w:pPr>
      <w:r w:rsidRPr="00AA2262">
        <w:t>increas</w:t>
      </w:r>
      <w:r w:rsidR="00D2640C">
        <w:t>e</w:t>
      </w:r>
      <w:r w:rsidRPr="00AA2262">
        <w:t xml:space="preserve"> opportunities for employment within communities.</w:t>
      </w:r>
    </w:p>
    <w:p w:rsidR="00AF7F13" w:rsidRPr="00AF7F13" w:rsidRDefault="00AF7F13" w:rsidP="00A52535">
      <w:pPr>
        <w:spacing w:before="120" w:after="240" w:line="240" w:lineRule="auto"/>
        <w:rPr>
          <w:rFonts w:ascii="Arial" w:eastAsia="Times New Roman" w:hAnsi="Arial" w:cs="Arial"/>
          <w:color w:val="auto"/>
          <w:szCs w:val="22"/>
        </w:rPr>
      </w:pPr>
      <w:r w:rsidRPr="00DF6AAD">
        <w:rPr>
          <w:rFonts w:ascii="Arial" w:eastAsia="Times New Roman" w:hAnsi="Arial" w:cs="Arial"/>
          <w:color w:val="auto"/>
          <w:szCs w:val="22"/>
        </w:rPr>
        <w:t xml:space="preserve">The </w:t>
      </w:r>
      <w:r w:rsidR="001952E2">
        <w:rPr>
          <w:rFonts w:ascii="Arial" w:eastAsia="Times New Roman" w:hAnsi="Arial" w:cs="Arial"/>
          <w:color w:val="auto"/>
          <w:szCs w:val="22"/>
        </w:rPr>
        <w:t>p</w:t>
      </w:r>
      <w:r w:rsidR="006011C5">
        <w:rPr>
          <w:rFonts w:ascii="Arial" w:eastAsia="Times New Roman" w:hAnsi="Arial" w:cs="Arial"/>
          <w:color w:val="auto"/>
          <w:szCs w:val="22"/>
        </w:rPr>
        <w:t>rogram</w:t>
      </w:r>
      <w:r>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w:t>
      </w:r>
      <w:r w:rsidR="00966D37" w:rsidRPr="00A8096F">
        <w:rPr>
          <w:rFonts w:ascii="Arial" w:eastAsia="Times New Roman" w:hAnsi="Arial" w:cs="Arial"/>
          <w:color w:val="auto"/>
          <w:szCs w:val="22"/>
        </w:rPr>
        <w:t xml:space="preserve">DAWE </w:t>
      </w:r>
      <w:r w:rsidRPr="00150160">
        <w:rPr>
          <w:rFonts w:ascii="Arial" w:eastAsia="Times New Roman" w:hAnsi="Arial" w:cs="Arial"/>
          <w:color w:val="auto"/>
          <w:szCs w:val="22"/>
        </w:rPr>
        <w:t>under a Whole of Australian Government initiative to streamline grant processes across agencies.</w:t>
      </w:r>
    </w:p>
    <w:p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rsidR="00A8096F" w:rsidRDefault="00906717"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 xml:space="preserve">Projects were selected through an open </w:t>
      </w:r>
      <w:r w:rsidRPr="00150160">
        <w:rPr>
          <w:rFonts w:ascii="Arial" w:eastAsia="Times New Roman" w:hAnsi="Arial" w:cs="Arial"/>
          <w:color w:val="auto"/>
          <w:szCs w:val="22"/>
        </w:rPr>
        <w:t>competitive process.</w:t>
      </w:r>
    </w:p>
    <w:p w:rsidR="00906717" w:rsidRDefault="00906717" w:rsidP="00760C83">
      <w:pPr>
        <w:keepNext/>
        <w:spacing w:before="120" w:after="240" w:line="240" w:lineRule="auto"/>
        <w:rPr>
          <w:rFonts w:ascii="Arial" w:eastAsia="Times New Roman" w:hAnsi="Arial" w:cs="Arial"/>
          <w:color w:val="auto"/>
          <w:szCs w:val="22"/>
        </w:rPr>
      </w:pPr>
      <w:r>
        <w:rPr>
          <w:rFonts w:ascii="Arial" w:eastAsia="Times New Roman" w:hAnsi="Arial" w:cs="Arial"/>
          <w:color w:val="auto"/>
          <w:szCs w:val="22"/>
        </w:rPr>
        <w:t xml:space="preserve">The </w:t>
      </w:r>
      <w:r w:rsidR="00686F39">
        <w:rPr>
          <w:rFonts w:ascii="Arial" w:eastAsia="Times New Roman" w:hAnsi="Arial" w:cs="Arial"/>
          <w:color w:val="auto"/>
          <w:szCs w:val="22"/>
        </w:rPr>
        <w:t>submitted</w:t>
      </w:r>
      <w:r>
        <w:rPr>
          <w:rFonts w:ascii="Arial" w:eastAsia="Times New Roman" w:hAnsi="Arial" w:cs="Arial"/>
          <w:color w:val="auto"/>
          <w:szCs w:val="22"/>
        </w:rPr>
        <w:t xml:space="preserve"> a</w:t>
      </w:r>
      <w:r w:rsidR="003118AA" w:rsidRPr="003118AA">
        <w:rPr>
          <w:rFonts w:ascii="Arial" w:eastAsia="Times New Roman" w:hAnsi="Arial" w:cs="Arial"/>
          <w:color w:val="auto"/>
          <w:szCs w:val="22"/>
        </w:rPr>
        <w:t xml:space="preserve">pplications were screened for </w:t>
      </w:r>
      <w:r>
        <w:rPr>
          <w:rFonts w:ascii="Arial" w:eastAsia="Times New Roman" w:hAnsi="Arial" w:cs="Arial"/>
          <w:color w:val="auto"/>
          <w:szCs w:val="22"/>
        </w:rPr>
        <w:t xml:space="preserve">initial </w:t>
      </w:r>
      <w:r w:rsidR="003118AA" w:rsidRPr="003118AA">
        <w:rPr>
          <w:rFonts w:ascii="Arial" w:eastAsia="Times New Roman" w:hAnsi="Arial" w:cs="Arial"/>
          <w:color w:val="auto"/>
          <w:szCs w:val="22"/>
        </w:rPr>
        <w:t>eligibility and compliance against the requirements outlined in the</w:t>
      </w:r>
      <w:r w:rsidR="003118AA" w:rsidRPr="00A8096F">
        <w:rPr>
          <w:rFonts w:ascii="Arial" w:eastAsia="Times New Roman" w:hAnsi="Arial" w:cs="Arial"/>
          <w:color w:val="auto"/>
          <w:szCs w:val="22"/>
        </w:rPr>
        <w:t xml:space="preserve"> </w:t>
      </w:r>
      <w:r w:rsidR="003118AA" w:rsidRPr="003118AA">
        <w:rPr>
          <w:rFonts w:ascii="Arial" w:eastAsia="Times New Roman" w:hAnsi="Arial" w:cs="Arial"/>
          <w:color w:val="auto"/>
          <w:szCs w:val="22"/>
        </w:rPr>
        <w:t>Grant Opportunity Guidelines</w:t>
      </w:r>
      <w:r w:rsidR="00237C0C">
        <w:rPr>
          <w:rFonts w:ascii="Arial" w:eastAsia="Times New Roman" w:hAnsi="Arial" w:cs="Arial"/>
          <w:color w:val="auto"/>
          <w:szCs w:val="22"/>
        </w:rPr>
        <w:t>,</w:t>
      </w:r>
      <w:r w:rsidR="007D5349">
        <w:rPr>
          <w:rFonts w:ascii="Arial" w:eastAsia="Times New Roman" w:hAnsi="Arial" w:cs="Arial"/>
          <w:color w:val="auto"/>
          <w:szCs w:val="22"/>
        </w:rPr>
        <w:t xml:space="preserve"> </w:t>
      </w:r>
      <w:r>
        <w:rPr>
          <w:rFonts w:ascii="Arial" w:eastAsia="Times New Roman" w:hAnsi="Arial" w:cs="Arial"/>
          <w:color w:val="auto"/>
          <w:szCs w:val="22"/>
        </w:rPr>
        <w:t xml:space="preserve">and </w:t>
      </w:r>
      <w:r w:rsidR="00686F39">
        <w:rPr>
          <w:rFonts w:ascii="Arial" w:eastAsia="Times New Roman" w:hAnsi="Arial" w:cs="Arial"/>
          <w:color w:val="auto"/>
          <w:szCs w:val="22"/>
        </w:rPr>
        <w:t>those</w:t>
      </w:r>
      <w:r>
        <w:rPr>
          <w:rFonts w:ascii="Arial" w:eastAsia="Times New Roman" w:hAnsi="Arial" w:cs="Arial"/>
          <w:color w:val="auto"/>
          <w:szCs w:val="22"/>
        </w:rPr>
        <w:t xml:space="preserve"> applications passed were provided to the Selection Advisory Panel </w:t>
      </w:r>
      <w:r w:rsidR="00F00C4B">
        <w:rPr>
          <w:rFonts w:ascii="Arial" w:eastAsia="Times New Roman" w:hAnsi="Arial" w:cs="Arial"/>
          <w:color w:val="auto"/>
          <w:szCs w:val="22"/>
        </w:rPr>
        <w:t>(</w:t>
      </w:r>
      <w:r w:rsidR="00FB7E62">
        <w:rPr>
          <w:rFonts w:ascii="Arial" w:eastAsia="Times New Roman" w:hAnsi="Arial" w:cs="Arial"/>
          <w:color w:val="auto"/>
          <w:szCs w:val="22"/>
        </w:rPr>
        <w:t>the panel</w:t>
      </w:r>
      <w:r w:rsidR="00F00C4B">
        <w:rPr>
          <w:rFonts w:ascii="Arial" w:eastAsia="Times New Roman" w:hAnsi="Arial" w:cs="Arial"/>
          <w:color w:val="auto"/>
          <w:szCs w:val="22"/>
        </w:rPr>
        <w:t xml:space="preserve">) </w:t>
      </w:r>
      <w:r>
        <w:rPr>
          <w:rFonts w:ascii="Arial" w:eastAsia="Times New Roman" w:hAnsi="Arial" w:cs="Arial"/>
          <w:color w:val="auto"/>
          <w:szCs w:val="22"/>
        </w:rPr>
        <w:t>for assessment against the three selection criteria:</w:t>
      </w:r>
    </w:p>
    <w:p w:rsidR="00906717" w:rsidRDefault="00906717" w:rsidP="00760C83">
      <w:pPr>
        <w:spacing w:before="120" w:after="240" w:line="240" w:lineRule="auto"/>
        <w:ind w:left="720"/>
        <w:rPr>
          <w:rFonts w:ascii="Arial" w:eastAsia="Times New Roman" w:hAnsi="Arial" w:cs="Arial"/>
          <w:color w:val="auto"/>
          <w:szCs w:val="22"/>
        </w:rPr>
      </w:pPr>
      <w:r>
        <w:rPr>
          <w:rFonts w:ascii="Arial" w:eastAsia="Times New Roman" w:hAnsi="Arial" w:cs="Arial"/>
          <w:color w:val="auto"/>
          <w:szCs w:val="22"/>
        </w:rPr>
        <w:t>Criterion 1 – Economic benefits</w:t>
      </w:r>
      <w:r w:rsidR="00585A02">
        <w:rPr>
          <w:rFonts w:ascii="Arial" w:eastAsia="Times New Roman" w:hAnsi="Arial" w:cs="Arial"/>
          <w:color w:val="auto"/>
          <w:szCs w:val="22"/>
        </w:rPr>
        <w:t xml:space="preserve"> (weighting of 40%)</w:t>
      </w:r>
    </w:p>
    <w:p w:rsidR="00906717" w:rsidRPr="00703E41" w:rsidRDefault="00906717" w:rsidP="00760C83">
      <w:pPr>
        <w:spacing w:before="120" w:after="240" w:line="240" w:lineRule="auto"/>
        <w:ind w:left="720"/>
        <w:rPr>
          <w:rFonts w:ascii="Arial" w:eastAsia="Times New Roman" w:hAnsi="Arial" w:cs="Arial"/>
          <w:color w:val="auto"/>
          <w:szCs w:val="22"/>
        </w:rPr>
      </w:pPr>
      <w:r w:rsidRPr="00703E41">
        <w:rPr>
          <w:rFonts w:ascii="Arial" w:eastAsia="Times New Roman" w:hAnsi="Arial" w:cs="Arial"/>
          <w:color w:val="auto"/>
          <w:szCs w:val="22"/>
        </w:rPr>
        <w:t xml:space="preserve">Criterion 2 – Community support and benefit </w:t>
      </w:r>
      <w:r w:rsidR="00585A02">
        <w:rPr>
          <w:rFonts w:ascii="Arial" w:eastAsia="Times New Roman" w:hAnsi="Arial" w:cs="Arial"/>
          <w:color w:val="auto"/>
          <w:szCs w:val="22"/>
        </w:rPr>
        <w:t>(weighting of 30%)</w:t>
      </w:r>
    </w:p>
    <w:p w:rsidR="00906717" w:rsidRDefault="00906717" w:rsidP="00760C83">
      <w:pPr>
        <w:spacing w:before="120" w:after="240" w:line="240" w:lineRule="auto"/>
        <w:ind w:left="720"/>
        <w:rPr>
          <w:rFonts w:ascii="Arial" w:eastAsia="Times New Roman" w:hAnsi="Arial" w:cs="Arial"/>
          <w:color w:val="auto"/>
          <w:szCs w:val="22"/>
        </w:rPr>
      </w:pPr>
      <w:r>
        <w:rPr>
          <w:rFonts w:ascii="Arial" w:eastAsia="Times New Roman" w:hAnsi="Arial" w:cs="Arial"/>
          <w:color w:val="auto"/>
          <w:szCs w:val="22"/>
        </w:rPr>
        <w:t>Criterion 3 –</w:t>
      </w:r>
      <w:r w:rsidRPr="00703E41">
        <w:rPr>
          <w:rFonts w:ascii="Arial" w:eastAsia="Times New Roman" w:hAnsi="Arial" w:cs="Arial"/>
          <w:color w:val="auto"/>
          <w:szCs w:val="22"/>
        </w:rPr>
        <w:t xml:space="preserve"> Organisational capability</w:t>
      </w:r>
      <w:r w:rsidR="00585A02">
        <w:rPr>
          <w:rFonts w:ascii="Arial" w:eastAsia="Times New Roman" w:hAnsi="Arial" w:cs="Arial"/>
          <w:color w:val="auto"/>
          <w:szCs w:val="22"/>
        </w:rPr>
        <w:t xml:space="preserve"> (weighting of 30%)</w:t>
      </w:r>
      <w:r w:rsidR="00F00C4B">
        <w:rPr>
          <w:rFonts w:ascii="Arial" w:eastAsia="Times New Roman" w:hAnsi="Arial" w:cs="Arial"/>
          <w:color w:val="auto"/>
          <w:szCs w:val="22"/>
        </w:rPr>
        <w:t>.</w:t>
      </w:r>
    </w:p>
    <w:p w:rsidR="003118AA" w:rsidRDefault="003118AA" w:rsidP="00A52535">
      <w:pPr>
        <w:spacing w:before="120" w:after="240" w:line="240" w:lineRule="auto"/>
        <w:rPr>
          <w:rFonts w:ascii="Arial" w:eastAsia="Times New Roman" w:hAnsi="Arial" w:cs="Arial"/>
          <w:color w:val="auto"/>
          <w:szCs w:val="22"/>
        </w:rPr>
      </w:pPr>
      <w:r w:rsidRPr="003118AA">
        <w:rPr>
          <w:rFonts w:ascii="Arial" w:eastAsia="Times New Roman" w:hAnsi="Arial" w:cs="Arial"/>
          <w:color w:val="auto"/>
          <w:szCs w:val="22"/>
        </w:rPr>
        <w:t xml:space="preserve">The </w:t>
      </w:r>
      <w:r w:rsidR="00FB7E62">
        <w:rPr>
          <w:rFonts w:ascii="Arial" w:eastAsia="Times New Roman" w:hAnsi="Arial" w:cs="Arial"/>
          <w:color w:val="auto"/>
          <w:szCs w:val="22"/>
        </w:rPr>
        <w:t>panel</w:t>
      </w:r>
      <w:r w:rsidR="00FB7E62" w:rsidRPr="003118AA">
        <w:rPr>
          <w:rFonts w:ascii="Arial" w:eastAsia="Times New Roman" w:hAnsi="Arial" w:cs="Arial"/>
          <w:color w:val="auto"/>
          <w:szCs w:val="22"/>
        </w:rPr>
        <w:t xml:space="preserve"> </w:t>
      </w:r>
      <w:r w:rsidRPr="003118AA">
        <w:rPr>
          <w:rFonts w:ascii="Arial" w:eastAsia="Times New Roman" w:hAnsi="Arial" w:cs="Arial"/>
          <w:color w:val="auto"/>
          <w:szCs w:val="22"/>
        </w:rPr>
        <w:t xml:space="preserve">comprised </w:t>
      </w:r>
      <w:r w:rsidR="00906717">
        <w:rPr>
          <w:rFonts w:ascii="Arial" w:eastAsia="Times New Roman" w:hAnsi="Arial" w:cs="Arial"/>
          <w:color w:val="auto"/>
          <w:szCs w:val="22"/>
        </w:rPr>
        <w:t xml:space="preserve">a </w:t>
      </w:r>
      <w:r w:rsidRPr="003118AA">
        <w:rPr>
          <w:rFonts w:ascii="Arial" w:eastAsia="Times New Roman" w:hAnsi="Arial" w:cs="Arial"/>
          <w:color w:val="auto"/>
          <w:szCs w:val="22"/>
        </w:rPr>
        <w:t xml:space="preserve">Chair </w:t>
      </w:r>
      <w:r w:rsidR="00906717">
        <w:rPr>
          <w:rFonts w:ascii="Arial" w:eastAsia="Times New Roman" w:hAnsi="Arial" w:cs="Arial"/>
          <w:color w:val="auto"/>
          <w:szCs w:val="22"/>
        </w:rPr>
        <w:t xml:space="preserve">from </w:t>
      </w:r>
      <w:r w:rsidR="00F00C4B">
        <w:rPr>
          <w:rFonts w:ascii="Arial" w:eastAsia="Times New Roman" w:hAnsi="Arial" w:cs="Arial"/>
          <w:color w:val="auto"/>
          <w:szCs w:val="22"/>
        </w:rPr>
        <w:t xml:space="preserve">DAWE, </w:t>
      </w:r>
      <w:r w:rsidR="00FB7E62">
        <w:rPr>
          <w:rFonts w:ascii="Arial" w:eastAsia="Times New Roman" w:hAnsi="Arial" w:cs="Arial"/>
          <w:color w:val="auto"/>
          <w:szCs w:val="22"/>
        </w:rPr>
        <w:t>another</w:t>
      </w:r>
      <w:r w:rsidR="00906717">
        <w:rPr>
          <w:rFonts w:ascii="Arial" w:eastAsia="Times New Roman" w:hAnsi="Arial" w:cs="Arial"/>
          <w:color w:val="auto"/>
          <w:szCs w:val="22"/>
        </w:rPr>
        <w:t xml:space="preserve"> </w:t>
      </w:r>
      <w:r w:rsidR="00FB7E62" w:rsidRPr="003118AA">
        <w:rPr>
          <w:rFonts w:ascii="Arial" w:eastAsia="Times New Roman" w:hAnsi="Arial" w:cs="Arial"/>
          <w:color w:val="auto"/>
          <w:szCs w:val="22"/>
        </w:rPr>
        <w:t xml:space="preserve">member </w:t>
      </w:r>
      <w:r w:rsidR="00FB7E62" w:rsidRPr="00A8096F">
        <w:rPr>
          <w:rFonts w:ascii="Arial" w:eastAsia="Times New Roman" w:hAnsi="Arial" w:cs="Arial"/>
          <w:color w:val="auto"/>
          <w:szCs w:val="22"/>
        </w:rPr>
        <w:t>from</w:t>
      </w:r>
      <w:r w:rsidR="008E1230">
        <w:rPr>
          <w:rFonts w:ascii="Arial" w:eastAsia="Times New Roman" w:hAnsi="Arial" w:cs="Arial"/>
          <w:color w:val="auto"/>
          <w:szCs w:val="22"/>
        </w:rPr>
        <w:t xml:space="preserve"> the department</w:t>
      </w:r>
      <w:r w:rsidR="00F00C4B">
        <w:rPr>
          <w:rFonts w:ascii="Arial" w:eastAsia="Times New Roman" w:hAnsi="Arial" w:cs="Arial"/>
          <w:color w:val="auto"/>
          <w:szCs w:val="22"/>
        </w:rPr>
        <w:t xml:space="preserve"> and </w:t>
      </w:r>
      <w:r w:rsidR="00FB7E62">
        <w:rPr>
          <w:rFonts w:ascii="Arial" w:eastAsia="Times New Roman" w:hAnsi="Arial" w:cs="Arial"/>
          <w:color w:val="auto"/>
          <w:szCs w:val="22"/>
        </w:rPr>
        <w:t xml:space="preserve">two </w:t>
      </w:r>
      <w:r w:rsidR="00F00C4B">
        <w:rPr>
          <w:rFonts w:ascii="Arial" w:eastAsia="Times New Roman" w:hAnsi="Arial" w:cs="Arial"/>
          <w:color w:val="auto"/>
          <w:szCs w:val="22"/>
        </w:rPr>
        <w:t>member</w:t>
      </w:r>
      <w:r w:rsidR="00FB7E62">
        <w:rPr>
          <w:rFonts w:ascii="Arial" w:eastAsia="Times New Roman" w:hAnsi="Arial" w:cs="Arial"/>
          <w:color w:val="auto"/>
          <w:szCs w:val="22"/>
        </w:rPr>
        <w:t>s</w:t>
      </w:r>
      <w:r w:rsidR="00F00C4B">
        <w:rPr>
          <w:rFonts w:ascii="Arial" w:eastAsia="Times New Roman" w:hAnsi="Arial" w:cs="Arial"/>
          <w:color w:val="auto"/>
          <w:szCs w:val="22"/>
        </w:rPr>
        <w:t xml:space="preserve"> from the MDBA</w:t>
      </w:r>
      <w:r w:rsidRPr="003118AA">
        <w:rPr>
          <w:rFonts w:ascii="Arial" w:eastAsia="Times New Roman" w:hAnsi="Arial" w:cs="Arial"/>
          <w:color w:val="auto"/>
          <w:szCs w:val="22"/>
        </w:rPr>
        <w:t>.</w:t>
      </w:r>
      <w:r w:rsidR="008E1230">
        <w:rPr>
          <w:rFonts w:ascii="Arial" w:eastAsia="Times New Roman" w:hAnsi="Arial" w:cs="Arial"/>
          <w:color w:val="auto"/>
          <w:szCs w:val="22"/>
        </w:rPr>
        <w:t xml:space="preserve"> </w:t>
      </w:r>
      <w:r w:rsidR="008E1230" w:rsidRPr="008E1230">
        <w:rPr>
          <w:rFonts w:ascii="Arial" w:eastAsia="Times New Roman" w:hAnsi="Arial" w:cs="Arial"/>
          <w:color w:val="auto"/>
          <w:szCs w:val="22"/>
        </w:rPr>
        <w:t xml:space="preserve">The </w:t>
      </w:r>
      <w:r w:rsidR="00FB7E62">
        <w:rPr>
          <w:rFonts w:ascii="Arial" w:eastAsia="Times New Roman" w:hAnsi="Arial" w:cs="Arial"/>
          <w:color w:val="auto"/>
          <w:szCs w:val="22"/>
        </w:rPr>
        <w:t>panel</w:t>
      </w:r>
      <w:r w:rsidR="00FB7E62" w:rsidRPr="008E1230">
        <w:rPr>
          <w:rFonts w:ascii="Arial" w:eastAsia="Times New Roman" w:hAnsi="Arial" w:cs="Arial"/>
          <w:color w:val="auto"/>
          <w:szCs w:val="22"/>
        </w:rPr>
        <w:t xml:space="preserve"> </w:t>
      </w:r>
      <w:r w:rsidR="008E1230" w:rsidRPr="008E1230">
        <w:rPr>
          <w:rFonts w:ascii="Arial" w:eastAsia="Times New Roman" w:hAnsi="Arial" w:cs="Arial"/>
          <w:color w:val="auto"/>
          <w:szCs w:val="22"/>
        </w:rPr>
        <w:t xml:space="preserve">assessed the </w:t>
      </w:r>
      <w:r w:rsidR="00686F39">
        <w:rPr>
          <w:rFonts w:ascii="Arial" w:eastAsia="Times New Roman" w:hAnsi="Arial" w:cs="Arial"/>
          <w:color w:val="auto"/>
          <w:szCs w:val="22"/>
        </w:rPr>
        <w:t>eligible and complaint</w:t>
      </w:r>
      <w:r w:rsidR="00686F39" w:rsidRPr="008E1230">
        <w:rPr>
          <w:rFonts w:ascii="Arial" w:eastAsia="Times New Roman" w:hAnsi="Arial" w:cs="Arial"/>
          <w:color w:val="auto"/>
          <w:szCs w:val="22"/>
        </w:rPr>
        <w:t xml:space="preserve"> </w:t>
      </w:r>
      <w:r w:rsidR="008E1230" w:rsidRPr="008E1230">
        <w:rPr>
          <w:rFonts w:ascii="Arial" w:eastAsia="Times New Roman" w:hAnsi="Arial" w:cs="Arial"/>
          <w:color w:val="auto"/>
          <w:szCs w:val="22"/>
        </w:rPr>
        <w:t>applications, making final selections based on the strength of</w:t>
      </w:r>
      <w:r w:rsidR="008E1230">
        <w:rPr>
          <w:rFonts w:ascii="Arial" w:eastAsia="Times New Roman" w:hAnsi="Arial" w:cs="Arial"/>
          <w:color w:val="auto"/>
          <w:szCs w:val="22"/>
        </w:rPr>
        <w:t xml:space="preserve"> the</w:t>
      </w:r>
      <w:r w:rsidR="008E1230" w:rsidRPr="008E1230">
        <w:rPr>
          <w:rFonts w:ascii="Arial" w:eastAsia="Times New Roman" w:hAnsi="Arial" w:cs="Arial"/>
          <w:color w:val="auto"/>
          <w:szCs w:val="22"/>
        </w:rPr>
        <w:t xml:space="preserve"> applicant</w:t>
      </w:r>
      <w:r w:rsidR="008E1230">
        <w:rPr>
          <w:rFonts w:ascii="Arial" w:eastAsia="Times New Roman" w:hAnsi="Arial" w:cs="Arial"/>
          <w:color w:val="auto"/>
          <w:szCs w:val="22"/>
        </w:rPr>
        <w:t>s’</w:t>
      </w:r>
      <w:r w:rsidR="008E1230" w:rsidRPr="008E1230">
        <w:rPr>
          <w:rFonts w:ascii="Arial" w:eastAsia="Times New Roman" w:hAnsi="Arial" w:cs="Arial"/>
          <w:color w:val="auto"/>
          <w:szCs w:val="22"/>
        </w:rPr>
        <w:t xml:space="preserve"> responses to the assessment criteria, </w:t>
      </w:r>
      <w:r w:rsidR="007009DB">
        <w:rPr>
          <w:rFonts w:ascii="Arial" w:eastAsia="Times New Roman" w:hAnsi="Arial" w:cs="Arial"/>
          <w:color w:val="auto"/>
          <w:szCs w:val="22"/>
        </w:rPr>
        <w:t xml:space="preserve">and </w:t>
      </w:r>
      <w:r w:rsidR="008E1230" w:rsidRPr="008E1230">
        <w:rPr>
          <w:rFonts w:ascii="Arial" w:eastAsia="Times New Roman" w:hAnsi="Arial" w:cs="Arial"/>
          <w:color w:val="auto"/>
          <w:szCs w:val="22"/>
        </w:rPr>
        <w:t>their demonstrated ability to meet the requirements of the Grant Opportunity Guidelines.</w:t>
      </w:r>
    </w:p>
    <w:p w:rsidR="008E1230" w:rsidRPr="003118AA" w:rsidRDefault="008E1230" w:rsidP="00A52535">
      <w:pPr>
        <w:spacing w:before="120" w:after="240" w:line="240" w:lineRule="auto"/>
        <w:rPr>
          <w:rFonts w:ascii="Arial" w:eastAsia="Times New Roman" w:hAnsi="Arial" w:cs="Arial"/>
          <w:color w:val="auto"/>
          <w:szCs w:val="22"/>
        </w:rPr>
      </w:pPr>
      <w:r w:rsidRPr="008E1230">
        <w:rPr>
          <w:rFonts w:ascii="Arial" w:eastAsia="Times New Roman" w:hAnsi="Arial" w:cs="Arial"/>
          <w:color w:val="auto"/>
          <w:szCs w:val="22"/>
        </w:rPr>
        <w:t xml:space="preserve">The process </w:t>
      </w:r>
      <w:r>
        <w:rPr>
          <w:rFonts w:ascii="Arial" w:eastAsia="Times New Roman" w:hAnsi="Arial" w:cs="Arial"/>
          <w:color w:val="auto"/>
          <w:szCs w:val="22"/>
        </w:rPr>
        <w:t xml:space="preserve">of the </w:t>
      </w:r>
      <w:r w:rsidR="00070C27">
        <w:rPr>
          <w:rFonts w:ascii="Arial" w:eastAsia="Times New Roman" w:hAnsi="Arial" w:cs="Arial"/>
          <w:color w:val="auto"/>
          <w:szCs w:val="22"/>
        </w:rPr>
        <w:t xml:space="preserve">panel </w:t>
      </w:r>
      <w:r w:rsidRPr="008E1230">
        <w:rPr>
          <w:rFonts w:ascii="Arial" w:eastAsia="Times New Roman" w:hAnsi="Arial" w:cs="Arial"/>
          <w:color w:val="auto"/>
          <w:szCs w:val="22"/>
        </w:rPr>
        <w:t xml:space="preserve">involved a number of phases to </w:t>
      </w:r>
      <w:r w:rsidR="00F00C4B">
        <w:rPr>
          <w:rFonts w:ascii="Arial" w:eastAsia="Times New Roman" w:hAnsi="Arial" w:cs="Arial"/>
          <w:color w:val="auto"/>
          <w:szCs w:val="22"/>
        </w:rPr>
        <w:t>obtain</w:t>
      </w:r>
      <w:r w:rsidRPr="008E1230">
        <w:rPr>
          <w:rFonts w:ascii="Arial" w:eastAsia="Times New Roman" w:hAnsi="Arial" w:cs="Arial"/>
          <w:color w:val="auto"/>
          <w:szCs w:val="22"/>
        </w:rPr>
        <w:t xml:space="preserve"> an </w:t>
      </w:r>
      <w:r>
        <w:rPr>
          <w:rFonts w:ascii="Arial" w:eastAsia="Times New Roman" w:hAnsi="Arial" w:cs="Arial"/>
          <w:color w:val="auto"/>
          <w:szCs w:val="22"/>
        </w:rPr>
        <w:t>agreed</w:t>
      </w:r>
      <w:r w:rsidRPr="008E1230">
        <w:rPr>
          <w:rFonts w:ascii="Arial" w:eastAsia="Times New Roman" w:hAnsi="Arial" w:cs="Arial"/>
          <w:color w:val="auto"/>
          <w:szCs w:val="22"/>
        </w:rPr>
        <w:t xml:space="preserve"> order of merit for applications </w:t>
      </w:r>
      <w:r>
        <w:rPr>
          <w:rFonts w:ascii="Arial" w:eastAsia="Times New Roman" w:hAnsi="Arial" w:cs="Arial"/>
          <w:color w:val="auto"/>
          <w:szCs w:val="22"/>
        </w:rPr>
        <w:t xml:space="preserve">with a </w:t>
      </w:r>
      <w:r w:rsidRPr="008E1230">
        <w:rPr>
          <w:rFonts w:ascii="Arial" w:eastAsia="Times New Roman" w:hAnsi="Arial" w:cs="Arial"/>
          <w:color w:val="auto"/>
          <w:szCs w:val="22"/>
        </w:rPr>
        <w:t>balance of projects</w:t>
      </w:r>
      <w:r>
        <w:rPr>
          <w:rFonts w:ascii="Arial" w:eastAsia="Times New Roman" w:hAnsi="Arial" w:cs="Arial"/>
          <w:color w:val="auto"/>
          <w:szCs w:val="22"/>
        </w:rPr>
        <w:t xml:space="preserve"> </w:t>
      </w:r>
      <w:r w:rsidRPr="008E1230">
        <w:rPr>
          <w:rFonts w:ascii="Arial" w:eastAsia="Times New Roman" w:hAnsi="Arial" w:cs="Arial"/>
          <w:color w:val="auto"/>
          <w:szCs w:val="22"/>
        </w:rPr>
        <w:t xml:space="preserve">across the </w:t>
      </w:r>
      <w:r>
        <w:rPr>
          <w:rFonts w:ascii="Arial" w:eastAsia="Times New Roman" w:hAnsi="Arial" w:cs="Arial"/>
          <w:color w:val="auto"/>
          <w:szCs w:val="22"/>
        </w:rPr>
        <w:t>31 i</w:t>
      </w:r>
      <w:r w:rsidRPr="008E1230">
        <w:rPr>
          <w:rFonts w:ascii="Arial" w:eastAsia="Times New Roman" w:hAnsi="Arial" w:cs="Arial"/>
          <w:color w:val="auto"/>
          <w:szCs w:val="22"/>
        </w:rPr>
        <w:t>dentified communities</w:t>
      </w:r>
      <w:r>
        <w:rPr>
          <w:rFonts w:ascii="Arial" w:eastAsia="Times New Roman" w:hAnsi="Arial" w:cs="Arial"/>
          <w:color w:val="auto"/>
          <w:szCs w:val="22"/>
        </w:rPr>
        <w:t xml:space="preserve">, noting </w:t>
      </w:r>
      <w:r w:rsidRPr="008E1230">
        <w:rPr>
          <w:rFonts w:ascii="Arial" w:eastAsia="Times New Roman" w:hAnsi="Arial" w:cs="Arial"/>
          <w:color w:val="auto"/>
          <w:szCs w:val="22"/>
        </w:rPr>
        <w:t>a notional allocation of around $450,000 (GST exclusive) of funding to each</w:t>
      </w:r>
      <w:r>
        <w:rPr>
          <w:rFonts w:ascii="Arial" w:eastAsia="Times New Roman" w:hAnsi="Arial" w:cs="Arial"/>
          <w:color w:val="auto"/>
          <w:szCs w:val="22"/>
        </w:rPr>
        <w:t xml:space="preserve"> community.</w:t>
      </w:r>
    </w:p>
    <w:p w:rsidR="006564F7" w:rsidRDefault="003118AA" w:rsidP="00760C83">
      <w:pPr>
        <w:keepNext/>
        <w:spacing w:before="120" w:after="240" w:line="240" w:lineRule="auto"/>
        <w:rPr>
          <w:rFonts w:ascii="Arial" w:eastAsia="Times New Roman" w:hAnsi="Arial" w:cs="Arial"/>
          <w:color w:val="auto"/>
          <w:szCs w:val="22"/>
        </w:rPr>
      </w:pPr>
      <w:r w:rsidRPr="003118AA">
        <w:rPr>
          <w:rFonts w:ascii="Arial" w:eastAsia="Times New Roman" w:hAnsi="Arial" w:cs="Arial"/>
          <w:color w:val="auto"/>
          <w:szCs w:val="22"/>
        </w:rPr>
        <w:t xml:space="preserve">To do this, the </w:t>
      </w:r>
      <w:r w:rsidR="00070C27">
        <w:rPr>
          <w:rFonts w:ascii="Arial" w:eastAsia="Times New Roman" w:hAnsi="Arial" w:cs="Arial"/>
          <w:color w:val="auto"/>
          <w:szCs w:val="22"/>
        </w:rPr>
        <w:t>panel</w:t>
      </w:r>
      <w:r w:rsidRPr="003118AA">
        <w:rPr>
          <w:rFonts w:ascii="Arial" w:eastAsia="Times New Roman" w:hAnsi="Arial" w:cs="Arial"/>
          <w:color w:val="auto"/>
          <w:szCs w:val="22"/>
        </w:rPr>
        <w:t xml:space="preserve"> considered</w:t>
      </w:r>
      <w:r w:rsidR="001962A5">
        <w:rPr>
          <w:rFonts w:ascii="Arial" w:eastAsia="Times New Roman" w:hAnsi="Arial" w:cs="Arial"/>
          <w:color w:val="auto"/>
          <w:szCs w:val="22"/>
        </w:rPr>
        <w:t xml:space="preserve"> the application on its merits based on</w:t>
      </w:r>
      <w:r w:rsidRPr="003118AA">
        <w:rPr>
          <w:rFonts w:ascii="Arial" w:eastAsia="Times New Roman" w:hAnsi="Arial" w:cs="Arial"/>
          <w:color w:val="auto"/>
          <w:szCs w:val="22"/>
        </w:rPr>
        <w:t>:</w:t>
      </w:r>
    </w:p>
    <w:p w:rsidR="001962A5" w:rsidRPr="00A52535" w:rsidRDefault="001962A5" w:rsidP="00303BDE">
      <w:pPr>
        <w:pStyle w:val="TableBullets1"/>
      </w:pPr>
      <w:r w:rsidRPr="00A52535">
        <w:t>how well it meets the criteria</w:t>
      </w:r>
    </w:p>
    <w:p w:rsidR="001962A5" w:rsidRPr="00A52535" w:rsidRDefault="001962A5" w:rsidP="00303BDE">
      <w:pPr>
        <w:pStyle w:val="TableBullets1"/>
      </w:pPr>
      <w:r w:rsidRPr="00A52535" w:rsidDel="00B52810">
        <w:t>how it compares to other applications</w:t>
      </w:r>
      <w:r w:rsidRPr="00A52535">
        <w:t>, and</w:t>
      </w:r>
    </w:p>
    <w:p w:rsidR="001962A5" w:rsidRPr="00A52535" w:rsidRDefault="001962A5" w:rsidP="00303BDE">
      <w:pPr>
        <w:pStyle w:val="TableBullets1"/>
      </w:pPr>
      <w:r w:rsidRPr="00A52535">
        <w:t>whether it provides value with relevant money.</w:t>
      </w:r>
    </w:p>
    <w:p w:rsidR="00A8096F" w:rsidRDefault="001962A5" w:rsidP="00760C83">
      <w:pPr>
        <w:keepNext/>
        <w:spacing w:before="240" w:after="240" w:line="240" w:lineRule="auto"/>
        <w:rPr>
          <w:rFonts w:ascii="Arial" w:eastAsia="Times New Roman" w:hAnsi="Arial" w:cs="Arial"/>
          <w:color w:val="auto"/>
          <w:szCs w:val="22"/>
        </w:rPr>
      </w:pPr>
      <w:r w:rsidRPr="00A8096F">
        <w:rPr>
          <w:rFonts w:ascii="Arial" w:eastAsia="Times New Roman" w:hAnsi="Arial" w:cs="Arial"/>
          <w:color w:val="auto"/>
          <w:szCs w:val="22"/>
        </w:rPr>
        <w:lastRenderedPageBreak/>
        <w:t xml:space="preserve">When assessing the extent to which the application represents value with relevant money, the selection advisory panel </w:t>
      </w:r>
      <w:r w:rsidR="00D63946">
        <w:rPr>
          <w:rFonts w:ascii="Arial" w:eastAsia="Times New Roman" w:hAnsi="Arial" w:cs="Arial"/>
          <w:color w:val="auto"/>
          <w:szCs w:val="22"/>
        </w:rPr>
        <w:t>had</w:t>
      </w:r>
      <w:r w:rsidRPr="00A8096F">
        <w:rPr>
          <w:rFonts w:ascii="Arial" w:eastAsia="Times New Roman" w:hAnsi="Arial" w:cs="Arial"/>
          <w:color w:val="auto"/>
          <w:szCs w:val="22"/>
        </w:rPr>
        <w:t xml:space="preserve"> regard to: </w:t>
      </w:r>
    </w:p>
    <w:p w:rsidR="001962A5" w:rsidRPr="001962A5" w:rsidRDefault="001962A5" w:rsidP="00303BDE">
      <w:pPr>
        <w:pStyle w:val="TableBullets1"/>
      </w:pPr>
      <w:r w:rsidRPr="001962A5">
        <w:t>the overall objective/s to be achieved in providing the grant</w:t>
      </w:r>
    </w:p>
    <w:p w:rsidR="001962A5" w:rsidRPr="001962A5" w:rsidRDefault="001962A5" w:rsidP="00303BDE">
      <w:pPr>
        <w:pStyle w:val="TableBullets1"/>
      </w:pPr>
      <w:r w:rsidRPr="001962A5">
        <w:t>the relative value of the grant sought</w:t>
      </w:r>
    </w:p>
    <w:p w:rsidR="001962A5" w:rsidRPr="001962A5" w:rsidRDefault="001962A5" w:rsidP="00303BDE">
      <w:pPr>
        <w:pStyle w:val="TableBullets1"/>
      </w:pPr>
      <w:r w:rsidRPr="001962A5">
        <w:t>the extent to which the geographic location of the application matches identified communities</w:t>
      </w:r>
    </w:p>
    <w:p w:rsidR="001962A5" w:rsidRPr="001962A5" w:rsidRDefault="001962A5" w:rsidP="00303BDE">
      <w:pPr>
        <w:pStyle w:val="TableBullets1"/>
      </w:pPr>
      <w:r w:rsidRPr="001962A5">
        <w:t>the extent to which the evidence in the application demonstrates it will contribute to meeting the program outcomes/objectives</w:t>
      </w:r>
    </w:p>
    <w:p w:rsidR="001962A5" w:rsidRPr="001962A5" w:rsidRDefault="001962A5" w:rsidP="00303BDE">
      <w:pPr>
        <w:pStyle w:val="TableBullets1"/>
      </w:pPr>
      <w:r w:rsidRPr="001962A5">
        <w:t>how the grant activities will target economic development in the identified communities</w:t>
      </w:r>
      <w:r>
        <w:t>, and</w:t>
      </w:r>
      <w:r w:rsidRPr="001962A5">
        <w:t xml:space="preserve"> </w:t>
      </w:r>
    </w:p>
    <w:p w:rsidR="00585A02" w:rsidRPr="00585A02" w:rsidRDefault="003118AA" w:rsidP="00303BDE">
      <w:pPr>
        <w:pStyle w:val="TableBullets1"/>
        <w:rPr>
          <w:rFonts w:ascii="Arial" w:eastAsia="Times New Roman" w:hAnsi="Arial" w:cs="Arial"/>
          <w:color w:val="auto"/>
        </w:rPr>
      </w:pPr>
      <w:r w:rsidRPr="003118AA">
        <w:t xml:space="preserve">the distribution of projects across </w:t>
      </w:r>
      <w:r w:rsidR="008E1230">
        <w:t>the 31 eligible communities</w:t>
      </w:r>
      <w:r w:rsidR="00F00C4B">
        <w:t>.</w:t>
      </w:r>
    </w:p>
    <w:p w:rsidR="00585A02" w:rsidRDefault="00585A02" w:rsidP="00760C83">
      <w:pPr>
        <w:keepNext/>
        <w:spacing w:before="240" w:after="240" w:line="240" w:lineRule="auto"/>
        <w:rPr>
          <w:rFonts w:ascii="Arial" w:eastAsia="Times New Roman" w:hAnsi="Arial" w:cs="Arial"/>
          <w:color w:val="auto"/>
          <w:szCs w:val="22"/>
        </w:rPr>
      </w:pPr>
      <w:r>
        <w:rPr>
          <w:rFonts w:ascii="Arial" w:eastAsia="Times New Roman" w:hAnsi="Arial" w:cs="Arial"/>
          <w:color w:val="auto"/>
          <w:szCs w:val="22"/>
        </w:rPr>
        <w:t>The phases of ranking projects were as follows:</w:t>
      </w:r>
    </w:p>
    <w:p w:rsidR="00585A02" w:rsidRPr="00224CBF" w:rsidRDefault="00585A02" w:rsidP="00303BDE">
      <w:pPr>
        <w:pStyle w:val="TableBullets1"/>
      </w:pPr>
      <w:r w:rsidRPr="00224CBF">
        <w:t>Phase 1: ranking of all eligible applications into an order of merit.</w:t>
      </w:r>
    </w:p>
    <w:p w:rsidR="00585A02" w:rsidRPr="00224CBF" w:rsidRDefault="00585A02" w:rsidP="00303BDE">
      <w:pPr>
        <w:pStyle w:val="TableBullets1"/>
      </w:pPr>
      <w:r w:rsidRPr="00224CBF">
        <w:t>Phase 2: assigning the highest ranked projects equal to or under $450,000 (GST exclusive) in the order of merit to each identified community until the notional allocation of $450,000 (GST exclusive) is reached for each community.</w:t>
      </w:r>
    </w:p>
    <w:p w:rsidR="00585A02" w:rsidRPr="00224CBF" w:rsidRDefault="00585A02" w:rsidP="00303BDE">
      <w:pPr>
        <w:pStyle w:val="TableBullets1"/>
      </w:pPr>
      <w:r w:rsidRPr="00224CBF">
        <w:t>Phase 3: assigning remaining funding available after phase 2 to the highest ranked projects according to the order of merit, until available program funding has been exhausted and all notional allocations have been met.</w:t>
      </w:r>
    </w:p>
    <w:p w:rsidR="003118AA" w:rsidRPr="00EC114F" w:rsidRDefault="00906717" w:rsidP="00303BDE">
      <w:pPr>
        <w:spacing w:before="240" w:after="240" w:line="240" w:lineRule="auto"/>
        <w:rPr>
          <w:rFonts w:ascii="Arial" w:eastAsia="Times New Roman" w:hAnsi="Arial" w:cs="Arial"/>
          <w:color w:val="auto"/>
          <w:szCs w:val="22"/>
        </w:rPr>
      </w:pPr>
      <w:r>
        <w:rPr>
          <w:rFonts w:ascii="Arial" w:eastAsia="Times New Roman" w:hAnsi="Arial" w:cs="Arial"/>
          <w:color w:val="auto"/>
          <w:szCs w:val="22"/>
        </w:rPr>
        <w:t>The decision to award grant funding to projects was made by the Hon. Keith Pitt MP,</w:t>
      </w:r>
      <w:r w:rsidRPr="001836FF">
        <w:rPr>
          <w:rFonts w:ascii="Arial" w:eastAsia="Times New Roman" w:hAnsi="Arial" w:cs="Arial"/>
          <w:color w:val="auto"/>
          <w:szCs w:val="22"/>
        </w:rPr>
        <w:t xml:space="preserve"> </w:t>
      </w:r>
      <w:r>
        <w:rPr>
          <w:rFonts w:ascii="Arial" w:eastAsia="Times New Roman" w:hAnsi="Arial" w:cs="Arial"/>
          <w:color w:val="auto"/>
          <w:szCs w:val="22"/>
        </w:rPr>
        <w:t>Minister for R</w:t>
      </w:r>
      <w:r w:rsidRPr="00906717">
        <w:rPr>
          <w:rFonts w:ascii="Arial" w:eastAsia="Times New Roman" w:hAnsi="Arial" w:cs="Arial"/>
          <w:color w:val="auto"/>
          <w:szCs w:val="22"/>
        </w:rPr>
        <w:t>esources, Water and Northern Australia</w:t>
      </w:r>
      <w:r>
        <w:rPr>
          <w:rFonts w:ascii="Arial" w:eastAsia="Times New Roman" w:hAnsi="Arial" w:cs="Arial"/>
          <w:color w:val="auto"/>
          <w:szCs w:val="22"/>
        </w:rPr>
        <w:t xml:space="preserve"> based on the recommendations of the </w:t>
      </w:r>
      <w:r w:rsidR="00FB7E62">
        <w:rPr>
          <w:rFonts w:ascii="Arial" w:eastAsia="Times New Roman" w:hAnsi="Arial" w:cs="Arial"/>
          <w:color w:val="auto"/>
          <w:szCs w:val="22"/>
        </w:rPr>
        <w:t>panel</w:t>
      </w:r>
      <w:r>
        <w:rPr>
          <w:rFonts w:ascii="Arial" w:eastAsia="Times New Roman" w:hAnsi="Arial" w:cs="Arial"/>
          <w:color w:val="auto"/>
          <w:szCs w:val="22"/>
        </w:rPr>
        <w:t>.</w:t>
      </w:r>
    </w:p>
    <w:p w:rsidR="00F75493" w:rsidRPr="00346B12" w:rsidRDefault="00D559CA" w:rsidP="00A8096F">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rsidR="000C3648" w:rsidRPr="00196578" w:rsidRDefault="000C3648" w:rsidP="00A52535">
      <w:pPr>
        <w:spacing w:before="120" w:after="240" w:line="240" w:lineRule="auto"/>
        <w:rPr>
          <w:rFonts w:ascii="Arial" w:eastAsia="Times New Roman" w:hAnsi="Arial" w:cs="Arial"/>
          <w:color w:val="auto"/>
          <w:szCs w:val="22"/>
        </w:rPr>
      </w:pPr>
      <w:r w:rsidRPr="00196578">
        <w:rPr>
          <w:rFonts w:ascii="Arial" w:eastAsia="Times New Roman" w:hAnsi="Arial" w:cs="Arial"/>
          <w:color w:val="auto"/>
          <w:szCs w:val="22"/>
        </w:rPr>
        <w:t>Detail</w:t>
      </w:r>
      <w:r w:rsidR="00102284" w:rsidRPr="00196578">
        <w:rPr>
          <w:rFonts w:ascii="Arial" w:eastAsia="Times New Roman" w:hAnsi="Arial" w:cs="Arial"/>
          <w:color w:val="auto"/>
          <w:szCs w:val="22"/>
        </w:rPr>
        <w:t>s</w:t>
      </w:r>
      <w:r w:rsidRPr="00196578">
        <w:rPr>
          <w:rFonts w:ascii="Arial" w:eastAsia="Times New Roman" w:hAnsi="Arial" w:cs="Arial"/>
          <w:color w:val="auto"/>
          <w:szCs w:val="22"/>
        </w:rPr>
        <w:t xml:space="preserve"> about what made a strong response to each</w:t>
      </w:r>
      <w:r w:rsidR="00102284" w:rsidRPr="00196578">
        <w:rPr>
          <w:rFonts w:ascii="Arial" w:eastAsia="Times New Roman" w:hAnsi="Arial" w:cs="Arial"/>
          <w:color w:val="auto"/>
          <w:szCs w:val="22"/>
        </w:rPr>
        <w:t xml:space="preserve"> </w:t>
      </w:r>
      <w:r w:rsidR="00D63946">
        <w:rPr>
          <w:rFonts w:ascii="Arial" w:eastAsia="Times New Roman" w:hAnsi="Arial" w:cs="Arial"/>
          <w:color w:val="auto"/>
          <w:szCs w:val="22"/>
        </w:rPr>
        <w:t>assessment</w:t>
      </w:r>
      <w:r w:rsidRPr="00196578">
        <w:rPr>
          <w:rFonts w:ascii="Arial" w:eastAsia="Times New Roman" w:hAnsi="Arial" w:cs="Arial"/>
          <w:color w:val="auto"/>
          <w:szCs w:val="22"/>
        </w:rPr>
        <w:t xml:space="preserve"> criterion is provided in the </w:t>
      </w:r>
      <w:r w:rsidR="00D63946" w:rsidRPr="00196578">
        <w:rPr>
          <w:rFonts w:ascii="Arial" w:eastAsia="Times New Roman" w:hAnsi="Arial" w:cs="Arial"/>
          <w:color w:val="auto"/>
          <w:szCs w:val="22"/>
        </w:rPr>
        <w:t xml:space="preserve">Criteria specific feedback </w:t>
      </w:r>
      <w:r w:rsidR="00D63946">
        <w:rPr>
          <w:rFonts w:ascii="Arial" w:eastAsia="Times New Roman" w:hAnsi="Arial" w:cs="Arial"/>
          <w:color w:val="auto"/>
          <w:szCs w:val="22"/>
        </w:rPr>
        <w:t>section below.</w:t>
      </w:r>
    </w:p>
    <w:p w:rsidR="00A007EE" w:rsidRPr="00196578" w:rsidRDefault="00A007EE" w:rsidP="00A52535">
      <w:pPr>
        <w:spacing w:before="120" w:after="240" w:line="240" w:lineRule="auto"/>
        <w:rPr>
          <w:rFonts w:ascii="Arial" w:eastAsia="Times New Roman" w:hAnsi="Arial" w:cs="Arial"/>
          <w:color w:val="auto"/>
          <w:szCs w:val="22"/>
        </w:rPr>
      </w:pPr>
      <w:r w:rsidRPr="00196578">
        <w:rPr>
          <w:rFonts w:ascii="Arial" w:eastAsia="Times New Roman" w:hAnsi="Arial" w:cs="Arial"/>
          <w:color w:val="auto"/>
          <w:szCs w:val="22"/>
        </w:rPr>
        <w:t xml:space="preserve">Successful applicants proposed activities </w:t>
      </w:r>
      <w:r w:rsidR="00237C0C">
        <w:rPr>
          <w:rFonts w:ascii="Arial" w:eastAsia="Times New Roman" w:hAnsi="Arial" w:cs="Arial"/>
          <w:color w:val="auto"/>
          <w:szCs w:val="22"/>
        </w:rPr>
        <w:t>which</w:t>
      </w:r>
      <w:r w:rsidRPr="00196578">
        <w:rPr>
          <w:rFonts w:ascii="Arial" w:eastAsia="Times New Roman" w:hAnsi="Arial" w:cs="Arial"/>
          <w:color w:val="auto"/>
          <w:szCs w:val="22"/>
        </w:rPr>
        <w:t xml:space="preserve"> were eligible, appropriate and considered effective for achieving the program objectives. They demonstrated their suitability for public funding, value </w:t>
      </w:r>
      <w:r w:rsidR="00321C8B" w:rsidRPr="00196578">
        <w:rPr>
          <w:rFonts w:ascii="Arial" w:eastAsia="Times New Roman" w:hAnsi="Arial" w:cs="Arial"/>
          <w:color w:val="auto"/>
          <w:szCs w:val="22"/>
        </w:rPr>
        <w:t xml:space="preserve">with relevant </w:t>
      </w:r>
      <w:r w:rsidRPr="00196578">
        <w:rPr>
          <w:rFonts w:ascii="Arial" w:eastAsia="Times New Roman" w:hAnsi="Arial" w:cs="Arial"/>
          <w:color w:val="auto"/>
          <w:szCs w:val="22"/>
        </w:rPr>
        <w:t xml:space="preserve">money and met the requirements outlined in </w:t>
      </w:r>
      <w:r w:rsidR="007D5349" w:rsidRPr="00196578">
        <w:rPr>
          <w:rFonts w:ascii="Arial" w:eastAsia="Times New Roman" w:hAnsi="Arial" w:cs="Arial"/>
          <w:color w:val="auto"/>
          <w:szCs w:val="22"/>
        </w:rPr>
        <w:t xml:space="preserve">the </w:t>
      </w:r>
      <w:r w:rsidR="00AF28B2" w:rsidRPr="00196578">
        <w:rPr>
          <w:rFonts w:ascii="Arial" w:eastAsia="Times New Roman" w:hAnsi="Arial" w:cs="Arial"/>
          <w:color w:val="auto"/>
          <w:szCs w:val="22"/>
        </w:rPr>
        <w:t>Grant Opportunity Guidelines</w:t>
      </w:r>
      <w:r w:rsidRPr="00196578">
        <w:rPr>
          <w:rFonts w:ascii="Arial" w:eastAsia="Times New Roman" w:hAnsi="Arial" w:cs="Arial"/>
          <w:color w:val="auto"/>
          <w:szCs w:val="22"/>
        </w:rPr>
        <w:t xml:space="preserve">. </w:t>
      </w:r>
      <w:r w:rsidR="00321C8B" w:rsidRPr="00196578">
        <w:rPr>
          <w:rFonts w:ascii="Arial" w:eastAsia="Times New Roman" w:hAnsi="Arial" w:cs="Arial"/>
          <w:color w:val="auto"/>
          <w:szCs w:val="22"/>
        </w:rPr>
        <w:t>Successful a</w:t>
      </w:r>
      <w:r w:rsidRPr="00196578">
        <w:rPr>
          <w:rFonts w:ascii="Arial" w:eastAsia="Times New Roman" w:hAnsi="Arial" w:cs="Arial"/>
          <w:color w:val="auto"/>
          <w:szCs w:val="22"/>
        </w:rPr>
        <w:t>pplications included strong responses to all assessment criteria.</w:t>
      </w:r>
    </w:p>
    <w:p w:rsidR="000044D2" w:rsidRPr="00150160" w:rsidRDefault="00A007EE" w:rsidP="00A52535">
      <w:pPr>
        <w:spacing w:before="120" w:after="240" w:line="240" w:lineRule="auto"/>
        <w:rPr>
          <w:rFonts w:ascii="Arial" w:eastAsia="Times New Roman" w:hAnsi="Arial" w:cs="Arial"/>
          <w:color w:val="auto"/>
          <w:szCs w:val="22"/>
        </w:rPr>
      </w:pPr>
      <w:r w:rsidRPr="00196578">
        <w:rPr>
          <w:rFonts w:ascii="Arial" w:eastAsia="Times New Roman" w:hAnsi="Arial" w:cs="Arial"/>
          <w:color w:val="auto"/>
          <w:szCs w:val="22"/>
        </w:rPr>
        <w:t>The</w:t>
      </w:r>
      <w:r w:rsidR="00F75493" w:rsidRPr="00196578">
        <w:rPr>
          <w:rFonts w:ascii="Arial" w:eastAsia="Times New Roman" w:hAnsi="Arial" w:cs="Arial"/>
          <w:color w:val="auto"/>
          <w:szCs w:val="22"/>
        </w:rPr>
        <w:t xml:space="preserve"> feedback</w:t>
      </w:r>
      <w:r w:rsidRPr="00196578">
        <w:rPr>
          <w:rFonts w:ascii="Arial" w:eastAsia="Times New Roman" w:hAnsi="Arial" w:cs="Arial"/>
          <w:color w:val="auto"/>
          <w:szCs w:val="22"/>
        </w:rPr>
        <w:t xml:space="preserve"> is based on the information</w:t>
      </w:r>
      <w:r w:rsidR="007F330D" w:rsidRPr="00196578">
        <w:rPr>
          <w:rFonts w:ascii="Arial" w:eastAsia="Times New Roman" w:hAnsi="Arial" w:cs="Arial"/>
          <w:color w:val="auto"/>
          <w:szCs w:val="22"/>
        </w:rPr>
        <w:t xml:space="preserve"> provided by the</w:t>
      </w:r>
      <w:r w:rsidR="007B2B49" w:rsidRPr="00196578">
        <w:rPr>
          <w:rFonts w:ascii="Arial" w:eastAsia="Times New Roman" w:hAnsi="Arial" w:cs="Arial"/>
          <w:color w:val="auto"/>
          <w:szCs w:val="22"/>
        </w:rPr>
        <w:t xml:space="preserve"> </w:t>
      </w:r>
      <w:r w:rsidR="00070C27" w:rsidRPr="00196578">
        <w:rPr>
          <w:rFonts w:ascii="Arial" w:eastAsia="Times New Roman" w:hAnsi="Arial" w:cs="Arial"/>
          <w:color w:val="auto"/>
          <w:szCs w:val="22"/>
        </w:rPr>
        <w:t xml:space="preserve">panel </w:t>
      </w:r>
      <w:r w:rsidR="007B2B49" w:rsidRPr="00196578">
        <w:rPr>
          <w:rFonts w:ascii="Arial" w:eastAsia="Times New Roman" w:hAnsi="Arial" w:cs="Arial"/>
          <w:color w:val="auto"/>
          <w:szCs w:val="22"/>
        </w:rPr>
        <w:t>and</w:t>
      </w:r>
      <w:r w:rsidR="007F330D" w:rsidRPr="00196578">
        <w:rPr>
          <w:rFonts w:ascii="Arial" w:eastAsia="Times New Roman" w:hAnsi="Arial" w:cs="Arial"/>
          <w:color w:val="auto"/>
          <w:szCs w:val="22"/>
        </w:rPr>
        <w:t xml:space="preserve"> </w:t>
      </w:r>
      <w:r w:rsidR="00F75493" w:rsidRPr="00196578">
        <w:rPr>
          <w:rFonts w:ascii="Arial" w:eastAsia="Times New Roman" w:hAnsi="Arial" w:cs="Arial"/>
          <w:color w:val="auto"/>
          <w:szCs w:val="22"/>
        </w:rPr>
        <w:t xml:space="preserve">assessment team </w:t>
      </w:r>
      <w:r w:rsidR="00820CB3" w:rsidRPr="00196578">
        <w:rPr>
          <w:rFonts w:ascii="Arial" w:eastAsia="Times New Roman" w:hAnsi="Arial" w:cs="Arial"/>
          <w:color w:val="auto"/>
          <w:szCs w:val="22"/>
        </w:rPr>
        <w:t>during the fu</w:t>
      </w:r>
      <w:r w:rsidR="0014659B" w:rsidRPr="00196578">
        <w:rPr>
          <w:rFonts w:ascii="Arial" w:eastAsia="Times New Roman" w:hAnsi="Arial" w:cs="Arial"/>
          <w:color w:val="auto"/>
          <w:szCs w:val="22"/>
        </w:rPr>
        <w:t>nding round</w:t>
      </w:r>
      <w:r w:rsidR="00F75493" w:rsidRPr="00196578">
        <w:rPr>
          <w:rFonts w:ascii="Arial" w:eastAsia="Times New Roman" w:hAnsi="Arial" w:cs="Arial"/>
          <w:color w:val="auto"/>
          <w:szCs w:val="22"/>
        </w:rPr>
        <w:t>.</w:t>
      </w:r>
    </w:p>
    <w:p w:rsidR="00F75493" w:rsidRPr="00A260B4" w:rsidRDefault="00F75493" w:rsidP="00760C83">
      <w:pPr>
        <w:pStyle w:val="Heading2"/>
        <w:rPr>
          <w:rStyle w:val="Strong"/>
        </w:rPr>
      </w:pPr>
      <w:r w:rsidRPr="00A260B4">
        <w:rPr>
          <w:rStyle w:val="Strong"/>
        </w:rPr>
        <w:t>Writing and providing details</w:t>
      </w:r>
    </w:p>
    <w:p w:rsidR="00210A2F" w:rsidRDefault="00210A2F" w:rsidP="00A52535">
      <w:pPr>
        <w:spacing w:before="120" w:after="240" w:line="240" w:lineRule="auto"/>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sidR="0048304A">
        <w:rPr>
          <w:rFonts w:ascii="Arial" w:eastAsia="Times New Roman" w:hAnsi="Arial" w:cs="Arial"/>
          <w:color w:val="auto"/>
          <w:szCs w:val="22"/>
        </w:rPr>
        <w:t>needed to</w:t>
      </w:r>
      <w:r w:rsidR="0048304A" w:rsidRPr="00192E42">
        <w:rPr>
          <w:rFonts w:ascii="Arial" w:eastAsia="Times New Roman" w:hAnsi="Arial" w:cs="Arial"/>
          <w:color w:val="auto"/>
          <w:szCs w:val="22"/>
        </w:rPr>
        <w:t xml:space="preserve"> </w:t>
      </w:r>
      <w:r w:rsidRPr="00192E42">
        <w:rPr>
          <w:rFonts w:ascii="Arial" w:eastAsia="Times New Roman" w:hAnsi="Arial" w:cs="Arial"/>
          <w:color w:val="auto"/>
          <w:szCs w:val="22"/>
        </w:rPr>
        <w:t>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 xml:space="preserve">t </w:t>
      </w:r>
      <w:r w:rsidR="0048304A">
        <w:rPr>
          <w:rFonts w:ascii="Arial" w:eastAsia="Times New Roman" w:hAnsi="Arial" w:cs="Arial"/>
          <w:color w:val="auto"/>
          <w:szCs w:val="22"/>
        </w:rPr>
        <w:t>wa</w:t>
      </w:r>
      <w:r w:rsidR="00D00A89">
        <w:rPr>
          <w:rFonts w:ascii="Arial" w:eastAsia="Times New Roman" w:hAnsi="Arial" w:cs="Arial"/>
          <w:color w:val="auto"/>
          <w:szCs w:val="22"/>
        </w:rPr>
        <w:t>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00A89">
        <w:rPr>
          <w:rFonts w:ascii="Arial" w:eastAsia="Times New Roman" w:hAnsi="Arial" w:cs="Arial"/>
          <w:color w:val="auto"/>
          <w:szCs w:val="22"/>
        </w:rPr>
        <w:t xml:space="preserve">. The </w:t>
      </w:r>
      <w:r w:rsidR="003B722F">
        <w:rPr>
          <w:rFonts w:ascii="Arial" w:eastAsia="Times New Roman" w:hAnsi="Arial" w:cs="Arial"/>
          <w:color w:val="auto"/>
          <w:szCs w:val="22"/>
        </w:rPr>
        <w:t xml:space="preserve">proper and discerning </w:t>
      </w:r>
      <w:r w:rsidR="00D00A89">
        <w:rPr>
          <w:rFonts w:ascii="Arial" w:eastAsia="Times New Roman" w:hAnsi="Arial" w:cs="Arial"/>
          <w:color w:val="auto"/>
          <w:szCs w:val="22"/>
        </w:rPr>
        <w:t>use of sub-h</w:t>
      </w:r>
      <w:r>
        <w:rPr>
          <w:rFonts w:ascii="Arial" w:eastAsia="Times New Roman" w:hAnsi="Arial" w:cs="Arial"/>
          <w:color w:val="auto"/>
          <w:szCs w:val="22"/>
        </w:rPr>
        <w:t xml:space="preserve">eadings and dot points </w:t>
      </w:r>
      <w:r w:rsidR="003B722F">
        <w:rPr>
          <w:rFonts w:ascii="Arial" w:eastAsia="Times New Roman" w:hAnsi="Arial" w:cs="Arial"/>
          <w:color w:val="auto"/>
          <w:szCs w:val="22"/>
        </w:rPr>
        <w:t xml:space="preserve">in some applications </w:t>
      </w:r>
      <w:r w:rsidR="00B70FFF">
        <w:rPr>
          <w:rFonts w:ascii="Arial" w:eastAsia="Times New Roman" w:hAnsi="Arial" w:cs="Arial"/>
          <w:color w:val="auto"/>
          <w:szCs w:val="22"/>
        </w:rPr>
        <w:t>assist</w:t>
      </w:r>
      <w:r w:rsidR="0048304A">
        <w:rPr>
          <w:rFonts w:ascii="Arial" w:eastAsia="Times New Roman" w:hAnsi="Arial" w:cs="Arial"/>
          <w:color w:val="auto"/>
          <w:szCs w:val="22"/>
        </w:rPr>
        <w:t xml:space="preserve">ed in </w:t>
      </w:r>
      <w:r w:rsidR="00B70FFF">
        <w:rPr>
          <w:rFonts w:ascii="Arial" w:eastAsia="Times New Roman" w:hAnsi="Arial" w:cs="Arial"/>
          <w:color w:val="auto"/>
          <w:szCs w:val="22"/>
        </w:rPr>
        <w:t>improv</w:t>
      </w:r>
      <w:r w:rsidR="0048304A">
        <w:rPr>
          <w:rFonts w:ascii="Arial" w:eastAsia="Times New Roman" w:hAnsi="Arial" w:cs="Arial"/>
          <w:color w:val="auto"/>
          <w:szCs w:val="22"/>
        </w:rPr>
        <w:t>ing</w:t>
      </w:r>
      <w:r w:rsidR="00B70FFF">
        <w:rPr>
          <w:rFonts w:ascii="Arial" w:eastAsia="Times New Roman" w:hAnsi="Arial" w:cs="Arial"/>
          <w:color w:val="auto"/>
          <w:szCs w:val="22"/>
        </w:rPr>
        <w:t xml:space="preserve"> the</w:t>
      </w:r>
      <w:r w:rsidR="003B722F">
        <w:rPr>
          <w:rFonts w:ascii="Arial" w:eastAsia="Times New Roman" w:hAnsi="Arial" w:cs="Arial"/>
          <w:color w:val="auto"/>
          <w:szCs w:val="22"/>
        </w:rPr>
        <w:t>ir</w:t>
      </w:r>
      <w:r w:rsidR="00B70FFF">
        <w:rPr>
          <w:rFonts w:ascii="Arial" w:eastAsia="Times New Roman" w:hAnsi="Arial" w:cs="Arial"/>
          <w:color w:val="auto"/>
          <w:szCs w:val="22"/>
        </w:rPr>
        <w:t xml:space="preserve"> readability</w:t>
      </w:r>
      <w:r w:rsidR="00F75493" w:rsidRPr="00150160">
        <w:rPr>
          <w:rFonts w:ascii="Arial" w:eastAsia="Times New Roman" w:hAnsi="Arial" w:cs="Arial"/>
          <w:color w:val="auto"/>
          <w:szCs w:val="22"/>
        </w:rPr>
        <w:t>.</w:t>
      </w:r>
    </w:p>
    <w:p w:rsidR="003B722F" w:rsidRPr="00A8096F" w:rsidRDefault="00F75493" w:rsidP="00A52535">
      <w:pPr>
        <w:spacing w:before="120" w:after="240" w:line="240" w:lineRule="auto"/>
        <w:rPr>
          <w:rFonts w:ascii="Arial" w:eastAsia="Times New Roman" w:hAnsi="Arial" w:cs="Arial"/>
          <w:color w:val="auto"/>
          <w:szCs w:val="22"/>
        </w:rPr>
      </w:pPr>
      <w:r w:rsidRPr="00150160">
        <w:rPr>
          <w:rFonts w:ascii="Arial" w:eastAsia="Times New Roman" w:hAnsi="Arial" w:cs="Arial"/>
          <w:color w:val="auto"/>
          <w:szCs w:val="22"/>
        </w:rPr>
        <w:lastRenderedPageBreak/>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w:t>
      </w:r>
      <w:r w:rsidR="003B722F">
        <w:rPr>
          <w:rFonts w:ascii="Arial" w:eastAsia="Times New Roman" w:hAnsi="Arial" w:cs="Arial"/>
          <w:color w:val="auto"/>
          <w:szCs w:val="22"/>
        </w:rPr>
        <w:t xml:space="preserve">either </w:t>
      </w:r>
      <w:r w:rsidRPr="00150160">
        <w:rPr>
          <w:rFonts w:ascii="Arial" w:eastAsia="Times New Roman" w:hAnsi="Arial" w:cs="Arial"/>
          <w:color w:val="auto"/>
          <w:szCs w:val="22"/>
        </w:rPr>
        <w:t>too</w:t>
      </w:r>
      <w:r w:rsidR="00AF28B2">
        <w:rPr>
          <w:rFonts w:ascii="Arial" w:eastAsia="Times New Roman" w:hAnsi="Arial" w:cs="Arial"/>
          <w:color w:val="auto"/>
          <w:szCs w:val="22"/>
        </w:rPr>
        <w:t xml:space="preserve"> little</w:t>
      </w:r>
      <w:r w:rsidRPr="00150160">
        <w:rPr>
          <w:rFonts w:ascii="Arial" w:eastAsia="Times New Roman" w:hAnsi="Arial" w:cs="Arial"/>
          <w:color w:val="auto"/>
          <w:szCs w:val="22"/>
        </w:rPr>
        <w:t xml:space="preserve"> detail on the </w:t>
      </w:r>
      <w:r w:rsidR="000044D2">
        <w:rPr>
          <w:rFonts w:ascii="Arial" w:eastAsia="Times New Roman" w:hAnsi="Arial" w:cs="Arial"/>
          <w:color w:val="auto"/>
          <w:szCs w:val="22"/>
        </w:rPr>
        <w:t>proposed project</w:t>
      </w:r>
      <w:r w:rsidR="003B722F">
        <w:rPr>
          <w:rFonts w:ascii="Arial" w:eastAsia="Times New Roman" w:hAnsi="Arial" w:cs="Arial"/>
          <w:color w:val="auto"/>
          <w:szCs w:val="22"/>
        </w:rPr>
        <w:t xml:space="preserve"> or too little </w:t>
      </w:r>
      <w:r w:rsidR="003B722F" w:rsidRPr="00A8096F">
        <w:rPr>
          <w:rFonts w:ascii="Arial" w:eastAsia="Times New Roman" w:hAnsi="Arial" w:cs="Arial"/>
          <w:color w:val="auto"/>
          <w:szCs w:val="22"/>
        </w:rPr>
        <w:t>relevant</w:t>
      </w:r>
      <w:r w:rsidR="003B722F">
        <w:rPr>
          <w:rFonts w:ascii="Arial" w:eastAsia="Times New Roman" w:hAnsi="Arial" w:cs="Arial"/>
          <w:color w:val="auto"/>
          <w:szCs w:val="22"/>
        </w:rPr>
        <w:t xml:space="preserve"> detail</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78466E">
        <w:rPr>
          <w:rFonts w:ascii="Arial" w:eastAsia="Times New Roman" w:hAnsi="Arial" w:cs="Arial"/>
          <w:color w:val="auto"/>
          <w:szCs w:val="22"/>
        </w:rPr>
        <w:t xml:space="preserve">applications often lacked sufficient </w:t>
      </w:r>
      <w:r w:rsidR="003B722F">
        <w:rPr>
          <w:rFonts w:ascii="Arial" w:eastAsia="Times New Roman" w:hAnsi="Arial" w:cs="Arial"/>
          <w:color w:val="auto"/>
          <w:szCs w:val="22"/>
        </w:rPr>
        <w:t xml:space="preserve">relevant </w:t>
      </w:r>
      <w:r w:rsidRPr="0078466E">
        <w:rPr>
          <w:rFonts w:ascii="Arial" w:eastAsia="Times New Roman" w:hAnsi="Arial" w:cs="Arial"/>
          <w:color w:val="auto"/>
          <w:szCs w:val="22"/>
        </w:rPr>
        <w:t xml:space="preserve">detail </w:t>
      </w:r>
      <w:r w:rsidR="000044D2" w:rsidRPr="0078466E">
        <w:rPr>
          <w:rFonts w:ascii="Arial" w:eastAsia="Times New Roman" w:hAnsi="Arial" w:cs="Arial"/>
          <w:color w:val="auto"/>
          <w:szCs w:val="22"/>
        </w:rPr>
        <w:t>to</w:t>
      </w:r>
      <w:r w:rsidR="00D41087">
        <w:rPr>
          <w:rFonts w:ascii="Arial" w:eastAsia="Times New Roman" w:hAnsi="Arial" w:cs="Arial"/>
          <w:color w:val="auto"/>
          <w:szCs w:val="22"/>
        </w:rPr>
        <w:t xml:space="preserve"> describe</w:t>
      </w:r>
      <w:r w:rsidR="003B722F">
        <w:rPr>
          <w:rFonts w:ascii="Arial" w:eastAsia="Times New Roman" w:hAnsi="Arial" w:cs="Arial"/>
          <w:color w:val="auto"/>
          <w:szCs w:val="22"/>
        </w:rPr>
        <w:t xml:space="preserve"> </w:t>
      </w:r>
      <w:r w:rsidR="003B722F" w:rsidRPr="00A8096F">
        <w:rPr>
          <w:rFonts w:ascii="Arial" w:eastAsia="Times New Roman" w:hAnsi="Arial" w:cs="Arial"/>
          <w:color w:val="auto"/>
          <w:szCs w:val="22"/>
        </w:rPr>
        <w:t>h</w:t>
      </w:r>
      <w:r w:rsidR="0048304A" w:rsidRPr="00A8096F">
        <w:rPr>
          <w:rFonts w:ascii="Arial" w:eastAsia="Times New Roman" w:hAnsi="Arial" w:cs="Arial"/>
          <w:color w:val="auto"/>
          <w:szCs w:val="22"/>
        </w:rPr>
        <w:t xml:space="preserve">ow the </w:t>
      </w:r>
      <w:r w:rsidR="008874DC" w:rsidRPr="00A8096F">
        <w:rPr>
          <w:rFonts w:ascii="Arial" w:eastAsia="Times New Roman" w:hAnsi="Arial" w:cs="Arial"/>
          <w:color w:val="auto"/>
          <w:szCs w:val="22"/>
        </w:rPr>
        <w:t xml:space="preserve">grant activity </w:t>
      </w:r>
      <w:r w:rsidR="0048304A" w:rsidRPr="00A8096F">
        <w:rPr>
          <w:rFonts w:ascii="Arial" w:eastAsia="Times New Roman" w:hAnsi="Arial" w:cs="Arial"/>
          <w:color w:val="auto"/>
          <w:szCs w:val="22"/>
        </w:rPr>
        <w:t xml:space="preserve">would meet the </w:t>
      </w:r>
      <w:r w:rsidR="00D63946">
        <w:rPr>
          <w:rFonts w:ascii="Arial" w:eastAsia="Times New Roman" w:hAnsi="Arial" w:cs="Arial"/>
          <w:color w:val="auto"/>
          <w:szCs w:val="22"/>
        </w:rPr>
        <w:t>assessment</w:t>
      </w:r>
      <w:r w:rsidR="0048304A" w:rsidRPr="00A8096F">
        <w:rPr>
          <w:rFonts w:ascii="Arial" w:eastAsia="Times New Roman" w:hAnsi="Arial" w:cs="Arial"/>
          <w:color w:val="auto"/>
          <w:szCs w:val="22"/>
        </w:rPr>
        <w:t xml:space="preserve"> criteria and therefore the objectives</w:t>
      </w:r>
      <w:r w:rsidR="003B722F" w:rsidRPr="00A8096F">
        <w:rPr>
          <w:rFonts w:ascii="Arial" w:eastAsia="Times New Roman" w:hAnsi="Arial" w:cs="Arial"/>
          <w:color w:val="auto"/>
          <w:szCs w:val="22"/>
        </w:rPr>
        <w:t xml:space="preserve"> and outcomes</w:t>
      </w:r>
      <w:r w:rsidR="0048304A" w:rsidRPr="00A8096F">
        <w:rPr>
          <w:rFonts w:ascii="Arial" w:eastAsia="Times New Roman" w:hAnsi="Arial" w:cs="Arial"/>
          <w:color w:val="auto"/>
          <w:szCs w:val="22"/>
        </w:rPr>
        <w:t xml:space="preserve"> of the program. A</w:t>
      </w:r>
      <w:r w:rsidRPr="00A8096F">
        <w:rPr>
          <w:rFonts w:ascii="Arial" w:eastAsia="Times New Roman" w:hAnsi="Arial" w:cs="Arial"/>
          <w:color w:val="auto"/>
          <w:szCs w:val="22"/>
        </w:rPr>
        <w:t xml:space="preserve">pplications </w:t>
      </w:r>
      <w:r w:rsidR="00237C0C">
        <w:rPr>
          <w:rFonts w:ascii="Arial" w:eastAsia="Times New Roman" w:hAnsi="Arial" w:cs="Arial"/>
          <w:color w:val="auto"/>
          <w:szCs w:val="22"/>
        </w:rPr>
        <w:t>which</w:t>
      </w:r>
      <w:r w:rsidRPr="00A8096F">
        <w:rPr>
          <w:rFonts w:ascii="Arial" w:eastAsia="Times New Roman" w:hAnsi="Arial" w:cs="Arial"/>
          <w:color w:val="auto"/>
          <w:szCs w:val="22"/>
        </w:rPr>
        <w:t xml:space="preserve"> provided limited or no details about </w:t>
      </w:r>
      <w:r w:rsidR="0048304A" w:rsidRPr="00A8096F">
        <w:rPr>
          <w:rFonts w:ascii="Arial" w:eastAsia="Times New Roman" w:hAnsi="Arial" w:cs="Arial"/>
          <w:color w:val="auto"/>
          <w:szCs w:val="22"/>
        </w:rPr>
        <w:t>how</w:t>
      </w:r>
      <w:r w:rsidR="007B2B49" w:rsidRPr="00A8096F">
        <w:rPr>
          <w:rFonts w:ascii="Arial" w:eastAsia="Times New Roman" w:hAnsi="Arial" w:cs="Arial"/>
          <w:color w:val="auto"/>
          <w:szCs w:val="22"/>
        </w:rPr>
        <w:t xml:space="preserve"> </w:t>
      </w:r>
      <w:r w:rsidRPr="00A8096F">
        <w:rPr>
          <w:rFonts w:ascii="Arial" w:eastAsia="Times New Roman" w:hAnsi="Arial" w:cs="Arial"/>
          <w:color w:val="auto"/>
          <w:szCs w:val="22"/>
        </w:rPr>
        <w:t xml:space="preserve">project activities </w:t>
      </w:r>
      <w:r w:rsidR="0048304A" w:rsidRPr="00A8096F">
        <w:rPr>
          <w:rFonts w:ascii="Arial" w:eastAsia="Times New Roman" w:hAnsi="Arial" w:cs="Arial"/>
          <w:color w:val="auto"/>
          <w:szCs w:val="22"/>
        </w:rPr>
        <w:t xml:space="preserve">would deliver on program outcomes, outputs and objectives </w:t>
      </w:r>
      <w:r w:rsidRPr="00A8096F">
        <w:rPr>
          <w:rFonts w:ascii="Arial" w:eastAsia="Times New Roman" w:hAnsi="Arial" w:cs="Arial"/>
          <w:color w:val="auto"/>
          <w:szCs w:val="22"/>
        </w:rPr>
        <w:t>generally did not score well</w:t>
      </w:r>
      <w:r w:rsidR="008874DC" w:rsidRPr="00A8096F">
        <w:rPr>
          <w:rFonts w:ascii="Arial" w:eastAsia="Times New Roman" w:hAnsi="Arial" w:cs="Arial"/>
          <w:color w:val="auto"/>
          <w:szCs w:val="22"/>
        </w:rPr>
        <w:t>.</w:t>
      </w:r>
      <w:r w:rsidR="0078466E" w:rsidRPr="00A8096F">
        <w:rPr>
          <w:rFonts w:ascii="Arial" w:eastAsia="Times New Roman" w:hAnsi="Arial" w:cs="Arial"/>
          <w:color w:val="auto"/>
          <w:szCs w:val="22"/>
        </w:rPr>
        <w:t xml:space="preserve"> </w:t>
      </w:r>
      <w:r w:rsidR="009462F1" w:rsidRPr="00A8096F">
        <w:rPr>
          <w:rFonts w:ascii="Arial" w:eastAsia="Times New Roman" w:hAnsi="Arial" w:cs="Arial"/>
          <w:color w:val="auto"/>
          <w:szCs w:val="22"/>
        </w:rPr>
        <w:t>Higher scoring</w:t>
      </w:r>
      <w:r w:rsidR="000044D2" w:rsidRPr="00A8096F">
        <w:rPr>
          <w:rFonts w:ascii="Arial" w:eastAsia="Times New Roman" w:hAnsi="Arial" w:cs="Arial"/>
          <w:color w:val="auto"/>
          <w:szCs w:val="22"/>
        </w:rPr>
        <w:t xml:space="preserve"> applications </w:t>
      </w:r>
      <w:r w:rsidR="00F73307" w:rsidRPr="00A8096F">
        <w:rPr>
          <w:rFonts w:ascii="Arial" w:eastAsia="Times New Roman" w:hAnsi="Arial" w:cs="Arial"/>
          <w:color w:val="auto"/>
          <w:szCs w:val="22"/>
        </w:rPr>
        <w:t xml:space="preserve">clearly articulated </w:t>
      </w:r>
      <w:r w:rsidR="003B722F" w:rsidRPr="00A8096F">
        <w:rPr>
          <w:rFonts w:ascii="Arial" w:eastAsia="Times New Roman" w:hAnsi="Arial" w:cs="Arial"/>
          <w:color w:val="auto"/>
          <w:szCs w:val="22"/>
        </w:rPr>
        <w:t xml:space="preserve">exactly how well the grant activity would meet the </w:t>
      </w:r>
      <w:r w:rsidR="00D63946">
        <w:rPr>
          <w:rFonts w:ascii="Arial" w:eastAsia="Times New Roman" w:hAnsi="Arial" w:cs="Arial"/>
          <w:color w:val="auto"/>
          <w:szCs w:val="22"/>
        </w:rPr>
        <w:t xml:space="preserve">assessment </w:t>
      </w:r>
      <w:r w:rsidR="003B722F" w:rsidRPr="00A8096F">
        <w:rPr>
          <w:rFonts w:ascii="Arial" w:eastAsia="Times New Roman" w:hAnsi="Arial" w:cs="Arial"/>
          <w:color w:val="auto"/>
          <w:szCs w:val="22"/>
        </w:rPr>
        <w:t>criteria and why this method of achieving program objectives and outcomes was better than others</w:t>
      </w:r>
      <w:r w:rsidR="000044D2" w:rsidRPr="00A8096F">
        <w:rPr>
          <w:rFonts w:ascii="Arial" w:eastAsia="Times New Roman" w:hAnsi="Arial" w:cs="Arial"/>
          <w:color w:val="auto"/>
          <w:szCs w:val="22"/>
        </w:rPr>
        <w:t>.</w:t>
      </w:r>
    </w:p>
    <w:p w:rsidR="00F75493" w:rsidRPr="00A260B4" w:rsidRDefault="00F75493" w:rsidP="00760C83">
      <w:pPr>
        <w:pStyle w:val="Heading2"/>
        <w:rPr>
          <w:rStyle w:val="Strong"/>
        </w:rPr>
      </w:pPr>
      <w:r w:rsidRPr="00A260B4">
        <w:rPr>
          <w:rStyle w:val="Strong"/>
        </w:rPr>
        <w:t>Contribution towards program outcomes</w:t>
      </w:r>
      <w:r w:rsidR="00AF28B2" w:rsidRPr="00A260B4">
        <w:rPr>
          <w:rStyle w:val="Strong"/>
        </w:rPr>
        <w:t xml:space="preserve"> and demonstration of community benefit</w:t>
      </w:r>
    </w:p>
    <w:p w:rsidR="00AF28B2" w:rsidRDefault="00AF28B2"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These Australian Government grants are funded by public money and s</w:t>
      </w:r>
      <w:r w:rsidRPr="00531A76">
        <w:rPr>
          <w:rFonts w:ascii="Arial" w:eastAsia="Times New Roman" w:hAnsi="Arial" w:cs="Arial"/>
          <w:color w:val="auto"/>
          <w:szCs w:val="22"/>
        </w:rPr>
        <w:t xml:space="preserve">uitable projects </w:t>
      </w:r>
      <w:r>
        <w:rPr>
          <w:rFonts w:ascii="Arial" w:eastAsia="Times New Roman" w:hAnsi="Arial" w:cs="Arial"/>
          <w:color w:val="auto"/>
          <w:szCs w:val="22"/>
        </w:rPr>
        <w:t>were</w:t>
      </w:r>
      <w:r w:rsidRPr="00531A76">
        <w:rPr>
          <w:rFonts w:ascii="Arial" w:eastAsia="Times New Roman" w:hAnsi="Arial" w:cs="Arial"/>
          <w:color w:val="auto"/>
          <w:szCs w:val="22"/>
        </w:rPr>
        <w:t xml:space="preserve"> selected on th</w:t>
      </w:r>
      <w:r>
        <w:rPr>
          <w:rFonts w:ascii="Arial" w:eastAsia="Times New Roman" w:hAnsi="Arial" w:cs="Arial"/>
          <w:color w:val="auto"/>
          <w:szCs w:val="22"/>
        </w:rPr>
        <w:t>e basis they will deliver economic</w:t>
      </w:r>
      <w:r w:rsidRPr="00531A76">
        <w:rPr>
          <w:rFonts w:ascii="Arial" w:eastAsia="Times New Roman" w:hAnsi="Arial" w:cs="Arial"/>
          <w:color w:val="auto"/>
          <w:szCs w:val="22"/>
        </w:rPr>
        <w:t xml:space="preserve"> benefit</w:t>
      </w:r>
      <w:r>
        <w:rPr>
          <w:rFonts w:ascii="Arial" w:eastAsia="Times New Roman" w:hAnsi="Arial" w:cs="Arial"/>
          <w:color w:val="auto"/>
          <w:szCs w:val="22"/>
        </w:rPr>
        <w:t>s across the eligible Basin communities.</w:t>
      </w:r>
      <w:r w:rsidRPr="00531A76">
        <w:rPr>
          <w:rFonts w:ascii="Arial" w:eastAsia="Times New Roman" w:hAnsi="Arial" w:cs="Arial"/>
          <w:color w:val="auto"/>
          <w:szCs w:val="22"/>
        </w:rPr>
        <w:t xml:space="preserve"> </w:t>
      </w:r>
    </w:p>
    <w:p w:rsidR="00AF28B2" w:rsidRDefault="00AF28B2" w:rsidP="00760C83">
      <w:pPr>
        <w:keepNext/>
        <w:spacing w:before="120" w:after="240" w:line="240" w:lineRule="auto"/>
        <w:rPr>
          <w:rFonts w:ascii="Arial" w:eastAsia="Times New Roman" w:hAnsi="Arial" w:cs="Arial"/>
          <w:color w:val="auto"/>
          <w:szCs w:val="22"/>
        </w:rPr>
      </w:pPr>
      <w:r>
        <w:rPr>
          <w:rFonts w:ascii="Arial" w:eastAsia="Times New Roman" w:hAnsi="Arial" w:cs="Arial"/>
          <w:color w:val="auto"/>
          <w:szCs w:val="22"/>
        </w:rPr>
        <w:t>A</w:t>
      </w:r>
      <w:r w:rsidR="00FF69B0">
        <w:rPr>
          <w:rFonts w:ascii="Arial" w:eastAsia="Times New Roman" w:hAnsi="Arial" w:cs="Arial"/>
          <w:color w:val="auto"/>
          <w:szCs w:val="22"/>
        </w:rPr>
        <w:t>pplication</w:t>
      </w:r>
      <w:r w:rsidR="00C41D6C">
        <w:rPr>
          <w:rFonts w:ascii="Arial" w:eastAsia="Times New Roman" w:hAnsi="Arial" w:cs="Arial"/>
          <w:color w:val="auto"/>
          <w:szCs w:val="22"/>
        </w:rPr>
        <w:t>s</w:t>
      </w:r>
      <w:r w:rsidR="00FF69B0">
        <w:rPr>
          <w:rFonts w:ascii="Arial" w:eastAsia="Times New Roman" w:hAnsi="Arial" w:cs="Arial"/>
          <w:color w:val="auto"/>
          <w:szCs w:val="22"/>
        </w:rPr>
        <w:t xml:space="preserve"> needed to</w:t>
      </w:r>
      <w:r w:rsidR="009462F1" w:rsidRPr="009462F1">
        <w:rPr>
          <w:rFonts w:ascii="Arial" w:eastAsia="Times New Roman" w:hAnsi="Arial" w:cs="Arial"/>
          <w:color w:val="auto"/>
          <w:szCs w:val="22"/>
        </w:rPr>
        <w:t xml:space="preserve"> clearly demonstrate </w:t>
      </w:r>
      <w:r w:rsidR="00FF69B0">
        <w:rPr>
          <w:rFonts w:ascii="Arial" w:eastAsia="Times New Roman" w:hAnsi="Arial" w:cs="Arial"/>
          <w:color w:val="auto"/>
          <w:szCs w:val="22"/>
        </w:rPr>
        <w:t>the project would</w:t>
      </w:r>
      <w:r>
        <w:rPr>
          <w:rFonts w:ascii="Arial" w:eastAsia="Times New Roman" w:hAnsi="Arial" w:cs="Arial"/>
          <w:color w:val="auto"/>
          <w:szCs w:val="22"/>
        </w:rPr>
        <w:t>:</w:t>
      </w:r>
    </w:p>
    <w:p w:rsidR="00AF28B2" w:rsidRPr="00224CBF" w:rsidRDefault="00AF28B2" w:rsidP="00303BDE">
      <w:pPr>
        <w:pStyle w:val="TableBullets1"/>
      </w:pPr>
      <w:r w:rsidRPr="00224CBF">
        <w:t xml:space="preserve">deliver the program objective of helping eligible communities undertake economic development projects to respond to the impact of water recovery activities under the Basin Plan. The </w:t>
      </w:r>
      <w:r w:rsidR="008438BB">
        <w:t>projects needed to assist with:</w:t>
      </w:r>
    </w:p>
    <w:p w:rsidR="00AF28B2" w:rsidRPr="00224CBF" w:rsidRDefault="00AF28B2" w:rsidP="00A260B4">
      <w:pPr>
        <w:pStyle w:val="TableBullets2"/>
        <w:numPr>
          <w:ilvl w:val="7"/>
          <w:numId w:val="25"/>
        </w:numPr>
      </w:pPr>
      <w:r w:rsidRPr="00224CBF">
        <w:t>increasing the capacity of communities to diversify</w:t>
      </w:r>
      <w:r w:rsidR="00BC4D8F">
        <w:t xml:space="preserve"> and strengthen local economies</w:t>
      </w:r>
    </w:p>
    <w:p w:rsidR="00AF28B2" w:rsidRPr="00224CBF" w:rsidRDefault="00AF28B2" w:rsidP="00A260B4">
      <w:pPr>
        <w:pStyle w:val="TableBullets2"/>
        <w:numPr>
          <w:ilvl w:val="7"/>
          <w:numId w:val="25"/>
        </w:numPr>
      </w:pPr>
      <w:r w:rsidRPr="00224CBF">
        <w:t xml:space="preserve">enhancing the resilience of communities to manage current and future </w:t>
      </w:r>
      <w:r w:rsidR="00BC4D8F">
        <w:t>economic challenges and changes</w:t>
      </w:r>
    </w:p>
    <w:p w:rsidR="00AF28B2" w:rsidRPr="00224CBF" w:rsidRDefault="00AF28B2" w:rsidP="00A260B4">
      <w:pPr>
        <w:pStyle w:val="TableBullets2"/>
        <w:numPr>
          <w:ilvl w:val="7"/>
          <w:numId w:val="25"/>
        </w:numPr>
      </w:pPr>
      <w:r w:rsidRPr="00224CBF">
        <w:t>increasing opportunities fo</w:t>
      </w:r>
      <w:r w:rsidR="00BC4D8F">
        <w:t>r employment within communities</w:t>
      </w:r>
    </w:p>
    <w:p w:rsidR="00AF28B2" w:rsidRPr="00224CBF" w:rsidRDefault="00AF28B2" w:rsidP="00303BDE">
      <w:pPr>
        <w:pStyle w:val="TableBullets1"/>
      </w:pPr>
      <w:proofErr w:type="gramStart"/>
      <w:r w:rsidRPr="00224CBF">
        <w:t>deliver</w:t>
      </w:r>
      <w:proofErr w:type="gramEnd"/>
      <w:r w:rsidRPr="00224CBF">
        <w:t xml:space="preserve"> the program outputs</w:t>
      </w:r>
      <w:r w:rsidR="007B2B49" w:rsidRPr="00224CBF">
        <w:t>,</w:t>
      </w:r>
      <w:r w:rsidRPr="00224CBF">
        <w:t xml:space="preserve"> especially through the number of jobs created because of the economic development project and </w:t>
      </w:r>
      <w:r w:rsidR="003B722F" w:rsidRPr="00224CBF">
        <w:t xml:space="preserve">the </w:t>
      </w:r>
      <w:r w:rsidRPr="00224CBF">
        <w:t>activities continu</w:t>
      </w:r>
      <w:r w:rsidR="00237C0C">
        <w:t>ing</w:t>
      </w:r>
      <w:r w:rsidR="00BC4D8F">
        <w:t xml:space="preserve"> after the end of the project.</w:t>
      </w:r>
    </w:p>
    <w:p w:rsidR="00AF28B2" w:rsidRPr="00A8096F" w:rsidRDefault="00AF28B2" w:rsidP="00303BDE">
      <w:pPr>
        <w:spacing w:before="240" w:after="240" w:line="240" w:lineRule="auto"/>
        <w:rPr>
          <w:rFonts w:ascii="Arial" w:eastAsia="Times New Roman" w:hAnsi="Arial" w:cs="Arial"/>
          <w:color w:val="auto"/>
          <w:szCs w:val="22"/>
        </w:rPr>
      </w:pPr>
      <w:r w:rsidRPr="00500F04">
        <w:rPr>
          <w:rFonts w:ascii="Arial" w:eastAsia="Times New Roman" w:hAnsi="Arial" w:cs="Arial"/>
          <w:color w:val="auto"/>
          <w:szCs w:val="22"/>
        </w:rPr>
        <w:t xml:space="preserve">Low scoring applications often lacked sufficient </w:t>
      </w:r>
      <w:r w:rsidR="00BF3226">
        <w:rPr>
          <w:rFonts w:ascii="Arial" w:eastAsia="Times New Roman" w:hAnsi="Arial" w:cs="Arial"/>
          <w:color w:val="auto"/>
          <w:szCs w:val="22"/>
        </w:rPr>
        <w:t xml:space="preserve">relevant </w:t>
      </w:r>
      <w:r w:rsidRPr="00500F04">
        <w:rPr>
          <w:rFonts w:ascii="Arial" w:eastAsia="Times New Roman" w:hAnsi="Arial" w:cs="Arial"/>
          <w:color w:val="auto"/>
          <w:szCs w:val="22"/>
        </w:rPr>
        <w:t xml:space="preserve">detail </w:t>
      </w:r>
      <w:r w:rsidR="00BF3226">
        <w:rPr>
          <w:rFonts w:ascii="Arial" w:eastAsia="Times New Roman" w:hAnsi="Arial" w:cs="Arial"/>
          <w:color w:val="auto"/>
          <w:szCs w:val="22"/>
        </w:rPr>
        <w:t xml:space="preserve">and evidence </w:t>
      </w:r>
      <w:r w:rsidRPr="00500F04">
        <w:rPr>
          <w:rFonts w:ascii="Arial" w:eastAsia="Times New Roman" w:hAnsi="Arial" w:cs="Arial"/>
          <w:color w:val="auto"/>
          <w:szCs w:val="22"/>
        </w:rPr>
        <w:t xml:space="preserve">to describe </w:t>
      </w:r>
      <w:r w:rsidRPr="00A8096F">
        <w:rPr>
          <w:rFonts w:ascii="Arial" w:eastAsia="Times New Roman" w:hAnsi="Arial" w:cs="Arial"/>
          <w:color w:val="auto"/>
          <w:szCs w:val="22"/>
        </w:rPr>
        <w:t>project outcomes and activities and how the project will directly contribute towards the program outcomes, deliver community benefits and provide value with relevant money. Applications</w:t>
      </w:r>
      <w:r w:rsidR="00391AE7">
        <w:rPr>
          <w:rFonts w:ascii="Arial" w:eastAsia="Times New Roman" w:hAnsi="Arial" w:cs="Arial"/>
          <w:color w:val="auto"/>
          <w:szCs w:val="22"/>
        </w:rPr>
        <w:t>,</w:t>
      </w:r>
      <w:r w:rsidRPr="00A8096F">
        <w:rPr>
          <w:rFonts w:ascii="Arial" w:eastAsia="Times New Roman" w:hAnsi="Arial" w:cs="Arial"/>
          <w:color w:val="auto"/>
          <w:szCs w:val="22"/>
        </w:rPr>
        <w:t xml:space="preserve"> </w:t>
      </w:r>
      <w:r w:rsidR="00237C0C">
        <w:rPr>
          <w:rFonts w:ascii="Arial" w:eastAsia="Times New Roman" w:hAnsi="Arial" w:cs="Arial"/>
          <w:color w:val="auto"/>
          <w:szCs w:val="22"/>
        </w:rPr>
        <w:t>which</w:t>
      </w:r>
      <w:r w:rsidRPr="00A8096F">
        <w:rPr>
          <w:rFonts w:ascii="Arial" w:eastAsia="Times New Roman" w:hAnsi="Arial" w:cs="Arial"/>
          <w:color w:val="auto"/>
          <w:szCs w:val="22"/>
        </w:rPr>
        <w:t xml:space="preserve"> provided limited details about project activities generally</w:t>
      </w:r>
      <w:r w:rsidR="00391AE7">
        <w:rPr>
          <w:rFonts w:ascii="Arial" w:eastAsia="Times New Roman" w:hAnsi="Arial" w:cs="Arial"/>
          <w:color w:val="auto"/>
          <w:szCs w:val="22"/>
        </w:rPr>
        <w:t>,</w:t>
      </w:r>
      <w:r w:rsidRPr="00A8096F">
        <w:rPr>
          <w:rFonts w:ascii="Arial" w:eastAsia="Times New Roman" w:hAnsi="Arial" w:cs="Arial"/>
          <w:color w:val="auto"/>
          <w:szCs w:val="22"/>
        </w:rPr>
        <w:t xml:space="preserve"> did not score well. Higher scoring applications more clearly articulated the project activities and what they would deliver</w:t>
      </w:r>
      <w:r w:rsidR="00BF3226" w:rsidRPr="00A8096F">
        <w:rPr>
          <w:rFonts w:ascii="Arial" w:eastAsia="Times New Roman" w:hAnsi="Arial" w:cs="Arial"/>
          <w:color w:val="auto"/>
          <w:szCs w:val="22"/>
        </w:rPr>
        <w:t>, making stronger arguments, backed with some evidence, for the proposition they put forward</w:t>
      </w:r>
      <w:r w:rsidRPr="00A8096F">
        <w:rPr>
          <w:rFonts w:ascii="Arial" w:eastAsia="Times New Roman" w:hAnsi="Arial" w:cs="Arial"/>
          <w:color w:val="auto"/>
          <w:szCs w:val="22"/>
        </w:rPr>
        <w:t>.</w:t>
      </w:r>
    </w:p>
    <w:p w:rsidR="00AF28B2" w:rsidRPr="00531A76" w:rsidRDefault="00AF28B2" w:rsidP="00A52535">
      <w:pPr>
        <w:spacing w:before="120" w:after="240" w:line="240" w:lineRule="auto"/>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BF3226">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applications </w:t>
      </w:r>
      <w:r w:rsidR="00BF3226">
        <w:rPr>
          <w:rFonts w:ascii="Arial" w:eastAsia="Times New Roman" w:hAnsi="Arial" w:cs="Arial"/>
          <w:color w:val="auto"/>
          <w:szCs w:val="22"/>
        </w:rPr>
        <w:t>could have more</w:t>
      </w:r>
      <w:r w:rsidRPr="00150160">
        <w:rPr>
          <w:rFonts w:ascii="Arial" w:eastAsia="Times New Roman" w:hAnsi="Arial" w:cs="Arial"/>
          <w:color w:val="auto"/>
          <w:szCs w:val="22"/>
        </w:rPr>
        <w:t xml:space="preserve"> </w:t>
      </w:r>
      <w:r>
        <w:rPr>
          <w:rFonts w:ascii="Arial" w:eastAsia="Times New Roman" w:hAnsi="Arial" w:cs="Arial"/>
          <w:color w:val="auto"/>
          <w:szCs w:val="22"/>
        </w:rPr>
        <w:t>clearly articulate</w:t>
      </w:r>
      <w:r w:rsidR="00BF3226">
        <w:rPr>
          <w:rFonts w:ascii="Arial" w:eastAsia="Times New Roman" w:hAnsi="Arial" w:cs="Arial"/>
          <w:color w:val="auto"/>
          <w:szCs w:val="22"/>
        </w:rPr>
        <w:t>d</w:t>
      </w:r>
      <w:r>
        <w:rPr>
          <w:rFonts w:ascii="Arial" w:eastAsia="Times New Roman" w:hAnsi="Arial" w:cs="Arial"/>
          <w:color w:val="auto"/>
          <w:szCs w:val="22"/>
        </w:rPr>
        <w:t xml:space="preserve"> how</w:t>
      </w:r>
      <w:r w:rsidRPr="00150160">
        <w:rPr>
          <w:rFonts w:ascii="Arial" w:eastAsia="Times New Roman" w:hAnsi="Arial" w:cs="Arial"/>
          <w:color w:val="auto"/>
          <w:szCs w:val="22"/>
        </w:rPr>
        <w:t xml:space="preserve"> their project </w:t>
      </w:r>
      <w:r>
        <w:rPr>
          <w:rFonts w:ascii="Arial" w:eastAsia="Times New Roman" w:hAnsi="Arial" w:cs="Arial"/>
          <w:color w:val="auto"/>
          <w:szCs w:val="22"/>
        </w:rPr>
        <w:t xml:space="preserve">would contribute to program outcomes and </w:t>
      </w:r>
      <w:r w:rsidR="00BF3226">
        <w:rPr>
          <w:rFonts w:ascii="Arial" w:eastAsia="Times New Roman" w:hAnsi="Arial" w:cs="Arial"/>
          <w:color w:val="auto"/>
          <w:szCs w:val="22"/>
        </w:rPr>
        <w:t>provided more and better</w:t>
      </w:r>
      <w:r w:rsidRPr="00531A76">
        <w:rPr>
          <w:rFonts w:ascii="Arial" w:eastAsia="Times New Roman" w:hAnsi="Arial" w:cs="Arial"/>
          <w:color w:val="auto"/>
          <w:szCs w:val="22"/>
        </w:rPr>
        <w:t xml:space="preserve"> information on the numbers of jobs to be created</w:t>
      </w:r>
      <w:r>
        <w:rPr>
          <w:rFonts w:ascii="Arial" w:eastAsia="Times New Roman" w:hAnsi="Arial" w:cs="Arial"/>
          <w:color w:val="auto"/>
          <w:szCs w:val="22"/>
        </w:rPr>
        <w:t>.</w:t>
      </w:r>
      <w:r w:rsidR="00BF3226">
        <w:rPr>
          <w:rFonts w:ascii="Arial" w:eastAsia="Times New Roman" w:hAnsi="Arial" w:cs="Arial"/>
          <w:color w:val="auto"/>
          <w:szCs w:val="22"/>
        </w:rPr>
        <w:t xml:space="preserve"> Generally speaking, applications made reasonable arguments for the ongoing economic development activities that would be created by projects, although here too</w:t>
      </w:r>
      <w:r w:rsidR="00391AE7">
        <w:rPr>
          <w:rFonts w:ascii="Arial" w:eastAsia="Times New Roman" w:hAnsi="Arial" w:cs="Arial"/>
          <w:color w:val="auto"/>
          <w:szCs w:val="22"/>
        </w:rPr>
        <w:t>,</w:t>
      </w:r>
      <w:r w:rsidR="00BF3226">
        <w:rPr>
          <w:rFonts w:ascii="Arial" w:eastAsia="Times New Roman" w:hAnsi="Arial" w:cs="Arial"/>
          <w:color w:val="auto"/>
          <w:szCs w:val="22"/>
        </w:rPr>
        <w:t xml:space="preserve"> there</w:t>
      </w:r>
      <w:r w:rsidR="00BC4D8F">
        <w:rPr>
          <w:rFonts w:ascii="Arial" w:eastAsia="Times New Roman" w:hAnsi="Arial" w:cs="Arial"/>
          <w:color w:val="auto"/>
          <w:szCs w:val="22"/>
        </w:rPr>
        <w:t xml:space="preserve"> was room for some improvement.</w:t>
      </w:r>
    </w:p>
    <w:p w:rsidR="00F75493" w:rsidRPr="00150160" w:rsidRDefault="00F75493" w:rsidP="00760C83">
      <w:pPr>
        <w:keepNext/>
        <w:spacing w:before="120" w:after="240" w:line="240" w:lineRule="auto"/>
        <w:rPr>
          <w:rFonts w:ascii="Arial" w:eastAsia="Times New Roman" w:hAnsi="Arial" w:cs="Arial"/>
          <w:color w:val="auto"/>
          <w:szCs w:val="22"/>
        </w:rPr>
      </w:pPr>
      <w:r w:rsidRPr="00150160">
        <w:rPr>
          <w:rFonts w:ascii="Arial" w:eastAsia="Times New Roman" w:hAnsi="Arial" w:cs="Arial"/>
          <w:color w:val="auto"/>
          <w:szCs w:val="22"/>
        </w:rPr>
        <w:t>In particular,</w:t>
      </w:r>
      <w:r w:rsidR="00205B47">
        <w:rPr>
          <w:rFonts w:ascii="Arial" w:eastAsia="Times New Roman" w:hAnsi="Arial" w:cs="Arial"/>
          <w:color w:val="auto"/>
          <w:szCs w:val="22"/>
        </w:rPr>
        <w:t xml:space="preserve"> in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43803">
        <w:rPr>
          <w:rFonts w:ascii="Arial" w:eastAsia="Times New Roman" w:hAnsi="Arial" w:cs="Arial"/>
          <w:color w:val="auto"/>
          <w:szCs w:val="22"/>
        </w:rPr>
        <w:t>relevance</w:t>
      </w:r>
      <w:r w:rsidRPr="006B5DC6">
        <w:rPr>
          <w:rFonts w:ascii="Arial" w:eastAsia="Times New Roman" w:hAnsi="Arial" w:cs="Arial"/>
          <w:color w:val="auto"/>
          <w:szCs w:val="22"/>
        </w:rPr>
        <w:t xml:space="preserve"> with</w:t>
      </w:r>
      <w:r w:rsidRPr="00150160">
        <w:rPr>
          <w:rFonts w:ascii="Arial" w:eastAsia="Times New Roman" w:hAnsi="Arial" w:cs="Arial"/>
          <w:color w:val="auto"/>
          <w:szCs w:val="22"/>
        </w:rPr>
        <w:t xml:space="preserve"> the program</w:t>
      </w:r>
      <w:r w:rsidR="00BF3226">
        <w:rPr>
          <w:rFonts w:ascii="Arial" w:eastAsia="Times New Roman" w:hAnsi="Arial" w:cs="Arial"/>
          <w:color w:val="auto"/>
          <w:szCs w:val="22"/>
        </w:rPr>
        <w:t xml:space="preserve"> should there be any future rounds</w:t>
      </w:r>
      <w:r w:rsidRPr="00150160">
        <w:rPr>
          <w:rFonts w:ascii="Arial" w:eastAsia="Times New Roman" w:hAnsi="Arial" w:cs="Arial"/>
          <w:color w:val="auto"/>
          <w:szCs w:val="22"/>
        </w:rPr>
        <w:t>, applicants should consider:</w:t>
      </w:r>
    </w:p>
    <w:p w:rsidR="00F73307" w:rsidRPr="00224CBF" w:rsidRDefault="000044D2" w:rsidP="00303BDE">
      <w:pPr>
        <w:pStyle w:val="TableBullets1"/>
      </w:pPr>
      <w:r w:rsidRPr="00224CBF">
        <w:t xml:space="preserve">checking the </w:t>
      </w:r>
      <w:r w:rsidR="00AF28B2" w:rsidRPr="00224CBF">
        <w:t xml:space="preserve">Grant Opportunity Guidelines </w:t>
      </w:r>
      <w:r w:rsidRPr="00224CBF">
        <w:t xml:space="preserve">to </w:t>
      </w:r>
      <w:r w:rsidR="000F257D" w:rsidRPr="00224CBF">
        <w:t>ensure the proposed project is a good fit for the program</w:t>
      </w:r>
    </w:p>
    <w:p w:rsidR="00F73307" w:rsidRPr="00224CBF" w:rsidRDefault="00446217" w:rsidP="00303BDE">
      <w:pPr>
        <w:pStyle w:val="TableBullets1"/>
      </w:pPr>
      <w:r w:rsidRPr="00224CBF">
        <w:t xml:space="preserve">ensuring </w:t>
      </w:r>
      <w:r w:rsidR="000044D2" w:rsidRPr="00224CBF">
        <w:t xml:space="preserve">the application clearly </w:t>
      </w:r>
      <w:r w:rsidR="00FE20EB" w:rsidRPr="00224CBF">
        <w:t>demonstrate</w:t>
      </w:r>
      <w:r w:rsidR="000044D2" w:rsidRPr="00224CBF">
        <w:t>s</w:t>
      </w:r>
      <w:r w:rsidR="00FE20EB" w:rsidRPr="00224CBF">
        <w:t xml:space="preserve"> how </w:t>
      </w:r>
      <w:r w:rsidR="00092F03" w:rsidRPr="00224CBF">
        <w:t>the</w:t>
      </w:r>
      <w:r w:rsidR="002A745D" w:rsidRPr="00224CBF">
        <w:t xml:space="preserve"> proposed project meets </w:t>
      </w:r>
      <w:r w:rsidR="00AF28B2" w:rsidRPr="00224CBF">
        <w:t xml:space="preserve">the </w:t>
      </w:r>
      <w:r w:rsidR="00630AD6" w:rsidRPr="00224CBF">
        <w:t>program</w:t>
      </w:r>
      <w:r w:rsidR="00AF28B2" w:rsidRPr="00224CBF">
        <w:t>’s</w:t>
      </w:r>
      <w:r w:rsidR="00FE20EB" w:rsidRPr="00224CBF">
        <w:t xml:space="preserve"> outcomes</w:t>
      </w:r>
      <w:r w:rsidR="00FB3199" w:rsidRPr="00224CBF">
        <w:t xml:space="preserve"> and</w:t>
      </w:r>
      <w:r w:rsidR="00092F03" w:rsidRPr="00224CBF">
        <w:t xml:space="preserve"> </w:t>
      </w:r>
      <w:r w:rsidR="00AF28B2" w:rsidRPr="00224CBF">
        <w:t xml:space="preserve">linking </w:t>
      </w:r>
      <w:r w:rsidR="00FE20EB" w:rsidRPr="00224CBF">
        <w:t>project activities to th</w:t>
      </w:r>
      <w:r w:rsidR="00BF3226" w:rsidRPr="00224CBF">
        <w:t>ose</w:t>
      </w:r>
      <w:r w:rsidR="00A33C01" w:rsidRPr="00224CBF">
        <w:t xml:space="preserve"> </w:t>
      </w:r>
      <w:r w:rsidR="00FE20EB" w:rsidRPr="00224CBF">
        <w:t>outcomes</w:t>
      </w:r>
    </w:p>
    <w:p w:rsidR="00D131DD" w:rsidRPr="00224CBF" w:rsidRDefault="00AF28B2" w:rsidP="00303BDE">
      <w:pPr>
        <w:pStyle w:val="TableBullets1"/>
      </w:pPr>
      <w:r w:rsidRPr="00224CBF">
        <w:lastRenderedPageBreak/>
        <w:t xml:space="preserve">demonstrating the </w:t>
      </w:r>
      <w:r w:rsidR="00BF3226" w:rsidRPr="00224CBF">
        <w:t>reasons this</w:t>
      </w:r>
      <w:r w:rsidRPr="00224CBF">
        <w:t xml:space="preserve"> project </w:t>
      </w:r>
      <w:r w:rsidR="00BF3226" w:rsidRPr="00224CBF">
        <w:t xml:space="preserve">is </w:t>
      </w:r>
      <w:r w:rsidR="00BF5FB9" w:rsidRPr="00224CBF">
        <w:t>the best possible use of taxpayer’s funds to deliver benefits to the identified community/ies</w:t>
      </w:r>
      <w:r w:rsidR="00C91993" w:rsidRPr="00224CBF">
        <w:t>.</w:t>
      </w:r>
    </w:p>
    <w:p w:rsidR="00F75493" w:rsidRPr="00A260B4" w:rsidRDefault="00F75493" w:rsidP="00760C83">
      <w:pPr>
        <w:pStyle w:val="Heading2"/>
        <w:rPr>
          <w:rStyle w:val="Strong"/>
        </w:rPr>
      </w:pPr>
      <w:r w:rsidRPr="00A260B4">
        <w:rPr>
          <w:rStyle w:val="Strong"/>
        </w:rPr>
        <w:t>Capacity to deliver</w:t>
      </w:r>
    </w:p>
    <w:p w:rsidR="00F75493" w:rsidRPr="002F2295" w:rsidRDefault="00656772" w:rsidP="00760C83">
      <w:pPr>
        <w:keepNext/>
        <w:spacing w:before="120" w:after="240" w:line="240" w:lineRule="auto"/>
        <w:rPr>
          <w:rFonts w:ascii="Arial" w:eastAsia="Times New Roman" w:hAnsi="Arial" w:cs="Arial"/>
          <w:color w:val="auto"/>
          <w:szCs w:val="22"/>
        </w:rPr>
      </w:pPr>
      <w:r>
        <w:rPr>
          <w:rFonts w:ascii="Arial" w:eastAsia="Times New Roman" w:hAnsi="Arial" w:cs="Arial"/>
          <w:color w:val="auto"/>
          <w:szCs w:val="22"/>
        </w:rPr>
        <w:t>Low scoring applications</w:t>
      </w:r>
      <w:r w:rsidR="00390AFC" w:rsidRPr="002F2295">
        <w:rPr>
          <w:rFonts w:ascii="Arial" w:eastAsia="Times New Roman" w:hAnsi="Arial" w:cs="Arial"/>
          <w:color w:val="auto"/>
          <w:szCs w:val="22"/>
        </w:rPr>
        <w:t xml:space="preserve"> commonly did not strongly demonstrate </w:t>
      </w:r>
      <w:r>
        <w:rPr>
          <w:rFonts w:ascii="Arial" w:eastAsia="Times New Roman" w:hAnsi="Arial" w:cs="Arial"/>
          <w:color w:val="auto"/>
          <w:szCs w:val="22"/>
        </w:rPr>
        <w:t>the applicants</w:t>
      </w:r>
      <w:r w:rsidRPr="002F2295">
        <w:rPr>
          <w:rFonts w:ascii="Arial" w:eastAsia="Times New Roman" w:hAnsi="Arial" w:cs="Arial"/>
          <w:color w:val="auto"/>
          <w:szCs w:val="22"/>
        </w:rPr>
        <w:t xml:space="preserve"> </w:t>
      </w:r>
      <w:r>
        <w:rPr>
          <w:rFonts w:ascii="Arial" w:eastAsia="Times New Roman" w:hAnsi="Arial" w:cs="Arial"/>
          <w:color w:val="auto"/>
          <w:szCs w:val="22"/>
        </w:rPr>
        <w:t>had</w:t>
      </w:r>
      <w:r w:rsidRPr="002F2295">
        <w:rPr>
          <w:rFonts w:ascii="Arial" w:eastAsia="Times New Roman" w:hAnsi="Arial" w:cs="Arial"/>
          <w:color w:val="auto"/>
          <w:szCs w:val="22"/>
        </w:rPr>
        <w:t xml:space="preserve"> </w:t>
      </w:r>
      <w:r w:rsidR="00FE20EB" w:rsidRPr="002F2295">
        <w:rPr>
          <w:rFonts w:ascii="Arial" w:eastAsia="Times New Roman" w:hAnsi="Arial" w:cs="Arial"/>
          <w:color w:val="auto"/>
          <w:szCs w:val="22"/>
        </w:rPr>
        <w:t>the capacity to</w:t>
      </w:r>
      <w:r w:rsidR="001978B0">
        <w:rPr>
          <w:rFonts w:ascii="Arial" w:eastAsia="Times New Roman" w:hAnsi="Arial" w:cs="Arial"/>
          <w:color w:val="auto"/>
          <w:szCs w:val="22"/>
        </w:rPr>
        <w:t xml:space="preserve"> successfully </w:t>
      </w:r>
      <w:r w:rsidR="00FE20EB" w:rsidRPr="002F2295">
        <w:rPr>
          <w:rFonts w:ascii="Arial" w:eastAsia="Times New Roman" w:hAnsi="Arial" w:cs="Arial"/>
          <w:color w:val="auto"/>
          <w:szCs w:val="22"/>
        </w:rPr>
        <w:t>deliver the project</w:t>
      </w:r>
      <w:r w:rsidR="009462F1" w:rsidRPr="002F2295">
        <w:rPr>
          <w:rFonts w:ascii="Arial" w:eastAsia="Times New Roman" w:hAnsi="Arial" w:cs="Arial"/>
          <w:color w:val="auto"/>
          <w:szCs w:val="22"/>
        </w:rPr>
        <w:t xml:space="preserve">. </w:t>
      </w:r>
      <w:r w:rsidR="00AF28B2">
        <w:rPr>
          <w:rFonts w:ascii="Arial" w:eastAsia="Times New Roman" w:hAnsi="Arial" w:cs="Arial"/>
          <w:color w:val="auto"/>
          <w:szCs w:val="22"/>
        </w:rPr>
        <w:t>It was important to</w:t>
      </w:r>
      <w:r w:rsidR="00F75493" w:rsidRPr="002F2295">
        <w:rPr>
          <w:rFonts w:ascii="Arial" w:eastAsia="Times New Roman" w:hAnsi="Arial" w:cs="Arial"/>
          <w:color w:val="auto"/>
          <w:szCs w:val="22"/>
        </w:rPr>
        <w:t>:</w:t>
      </w:r>
    </w:p>
    <w:p w:rsidR="00F73307" w:rsidRPr="00224CBF" w:rsidRDefault="00AF28B2" w:rsidP="00303BDE">
      <w:pPr>
        <w:pStyle w:val="TableBullets1"/>
      </w:pPr>
      <w:r w:rsidRPr="00224CBF">
        <w:t xml:space="preserve">demonstrate an applicant’s ability to deliver projects of the </w:t>
      </w:r>
      <w:r w:rsidR="00BF5FB9" w:rsidRPr="00224CBF">
        <w:t xml:space="preserve">nature, </w:t>
      </w:r>
      <w:r w:rsidRPr="00224CBF">
        <w:t>size and complexity outlined in their proposal</w:t>
      </w:r>
    </w:p>
    <w:p w:rsidR="00BF5FB9" w:rsidRPr="00224CBF" w:rsidRDefault="006E1AA2" w:rsidP="00303BDE">
      <w:pPr>
        <w:pStyle w:val="TableBullets1"/>
      </w:pPr>
      <w:r>
        <w:t xml:space="preserve">ensure </w:t>
      </w:r>
      <w:r w:rsidR="00AF28B2" w:rsidRPr="00224CBF">
        <w:t>appropriate governance structures are in place</w:t>
      </w:r>
    </w:p>
    <w:p w:rsidR="00F73307" w:rsidRPr="00224CBF" w:rsidRDefault="00BF5FB9" w:rsidP="00303BDE">
      <w:pPr>
        <w:pStyle w:val="TableBullets1"/>
      </w:pPr>
      <w:r w:rsidRPr="00224CBF">
        <w:t>ensure the applicant knew what good governance looked like and could realise that through its project</w:t>
      </w:r>
    </w:p>
    <w:p w:rsidR="00BF5FB9" w:rsidRPr="00224CBF" w:rsidRDefault="00BF5FB9" w:rsidP="00303BDE">
      <w:pPr>
        <w:pStyle w:val="TableBullets1"/>
      </w:pPr>
      <w:r w:rsidRPr="00224CBF">
        <w:t>ensure the project was adequately resourced and explain how those delivering the project were well qualified and suitable to do so</w:t>
      </w:r>
    </w:p>
    <w:p w:rsidR="00AF28B2" w:rsidRPr="00224CBF" w:rsidRDefault="00AF28B2" w:rsidP="00303BDE">
      <w:pPr>
        <w:pStyle w:val="TableBullets1"/>
      </w:pPr>
      <w:proofErr w:type="gramStart"/>
      <w:r w:rsidRPr="00224CBF">
        <w:t>clearly</w:t>
      </w:r>
      <w:proofErr w:type="gramEnd"/>
      <w:r w:rsidRPr="00224CBF">
        <w:t xml:space="preserve"> describe the roles and responsibilities of different organisations involved in the project (including projec</w:t>
      </w:r>
      <w:r w:rsidR="00BC4D8F">
        <w:t>t partners or co-contributors).</w:t>
      </w:r>
    </w:p>
    <w:p w:rsidR="00AF28B2" w:rsidRPr="00A260B4" w:rsidRDefault="00AF28B2" w:rsidP="00760C83">
      <w:pPr>
        <w:pStyle w:val="Heading2"/>
        <w:rPr>
          <w:rStyle w:val="Strong"/>
        </w:rPr>
      </w:pPr>
      <w:r w:rsidRPr="00A260B4">
        <w:rPr>
          <w:rStyle w:val="Strong"/>
        </w:rPr>
        <w:t>Ineligible activities and budget items</w:t>
      </w:r>
    </w:p>
    <w:p w:rsidR="00AF28B2" w:rsidRPr="00150160" w:rsidRDefault="00656772" w:rsidP="00A52535">
      <w:pPr>
        <w:spacing w:before="120" w:after="240" w:line="240" w:lineRule="auto"/>
        <w:rPr>
          <w:rFonts w:ascii="Arial" w:eastAsia="Times New Roman" w:hAnsi="Arial" w:cs="Arial"/>
          <w:color w:val="auto"/>
          <w:szCs w:val="22"/>
        </w:rPr>
      </w:pPr>
      <w:r>
        <w:rPr>
          <w:rFonts w:ascii="Arial" w:eastAsia="Times New Roman" w:hAnsi="Arial" w:cs="Arial"/>
          <w:color w:val="auto"/>
          <w:szCs w:val="22"/>
        </w:rPr>
        <w:t>Several</w:t>
      </w:r>
      <w:r w:rsidR="00AF28B2" w:rsidRPr="00150160">
        <w:rPr>
          <w:rFonts w:ascii="Arial" w:eastAsia="Times New Roman" w:hAnsi="Arial" w:cs="Arial"/>
          <w:color w:val="auto"/>
          <w:szCs w:val="22"/>
        </w:rPr>
        <w:t xml:space="preserve"> </w:t>
      </w:r>
      <w:r w:rsidR="00AF28B2">
        <w:rPr>
          <w:rFonts w:ascii="Arial" w:eastAsia="Times New Roman" w:hAnsi="Arial" w:cs="Arial"/>
          <w:color w:val="auto"/>
          <w:szCs w:val="22"/>
        </w:rPr>
        <w:t>applications</w:t>
      </w:r>
      <w:r w:rsidR="00AF28B2" w:rsidRPr="00150160">
        <w:rPr>
          <w:rFonts w:ascii="Arial" w:eastAsia="Times New Roman" w:hAnsi="Arial" w:cs="Arial"/>
          <w:color w:val="auto"/>
          <w:szCs w:val="22"/>
        </w:rPr>
        <w:t xml:space="preserve"> included ineligible budget items</w:t>
      </w:r>
      <w:r w:rsidR="00AF28B2">
        <w:rPr>
          <w:rFonts w:ascii="Arial" w:eastAsia="Times New Roman" w:hAnsi="Arial" w:cs="Arial"/>
          <w:color w:val="auto"/>
          <w:szCs w:val="22"/>
        </w:rPr>
        <w:t xml:space="preserve"> or </w:t>
      </w:r>
      <w:r w:rsidRPr="00150160">
        <w:rPr>
          <w:rFonts w:ascii="Arial" w:eastAsia="Times New Roman" w:hAnsi="Arial" w:cs="Arial"/>
          <w:color w:val="auto"/>
          <w:szCs w:val="22"/>
        </w:rPr>
        <w:t>activities</w:t>
      </w:r>
      <w:r>
        <w:rPr>
          <w:rFonts w:ascii="Arial" w:eastAsia="Times New Roman" w:hAnsi="Arial" w:cs="Arial"/>
          <w:color w:val="auto"/>
          <w:szCs w:val="22"/>
        </w:rPr>
        <w:t xml:space="preserve">, including </w:t>
      </w:r>
      <w:r w:rsidR="00AF28B2">
        <w:rPr>
          <w:rFonts w:ascii="Arial" w:eastAsia="Times New Roman" w:hAnsi="Arial" w:cs="Arial"/>
          <w:color w:val="auto"/>
          <w:szCs w:val="22"/>
        </w:rPr>
        <w:t xml:space="preserve">activities </w:t>
      </w:r>
      <w:r w:rsidR="00391AE7">
        <w:rPr>
          <w:rFonts w:ascii="Arial" w:eastAsia="Times New Roman" w:hAnsi="Arial" w:cs="Arial"/>
          <w:color w:val="auto"/>
          <w:szCs w:val="22"/>
        </w:rPr>
        <w:t>which</w:t>
      </w:r>
      <w:r w:rsidR="00AF28B2">
        <w:rPr>
          <w:rFonts w:ascii="Arial" w:eastAsia="Times New Roman" w:hAnsi="Arial" w:cs="Arial"/>
          <w:color w:val="auto"/>
          <w:szCs w:val="22"/>
        </w:rPr>
        <w:t xml:space="preserve"> </w:t>
      </w:r>
      <w:r w:rsidR="00BF5FB9">
        <w:rPr>
          <w:rFonts w:ascii="Arial" w:eastAsia="Times New Roman" w:hAnsi="Arial" w:cs="Arial"/>
          <w:color w:val="auto"/>
          <w:szCs w:val="22"/>
        </w:rPr>
        <w:t>were the responsibility of other Government agencies</w:t>
      </w:r>
      <w:r w:rsidR="00AF28B2">
        <w:rPr>
          <w:rFonts w:ascii="Arial" w:eastAsia="Times New Roman" w:hAnsi="Arial" w:cs="Arial"/>
          <w:color w:val="auto"/>
          <w:szCs w:val="22"/>
        </w:rPr>
        <w:t xml:space="preserve">. A full list of ineligible items and activities can be found at </w:t>
      </w:r>
      <w:r w:rsidR="00BC4D8F">
        <w:rPr>
          <w:rFonts w:ascii="Arial" w:eastAsia="Times New Roman" w:hAnsi="Arial" w:cs="Arial"/>
          <w:color w:val="auto"/>
          <w:szCs w:val="22"/>
        </w:rPr>
        <w:t>s</w:t>
      </w:r>
      <w:r w:rsidR="00AF28B2">
        <w:rPr>
          <w:rFonts w:ascii="Arial" w:eastAsia="Times New Roman" w:hAnsi="Arial" w:cs="Arial"/>
          <w:color w:val="auto"/>
          <w:szCs w:val="22"/>
        </w:rPr>
        <w:t>ection 5.4 of the Grant Opportunity Guidelines. In particular, there were unsuccessful applications that included:</w:t>
      </w:r>
    </w:p>
    <w:p w:rsidR="00AF28B2" w:rsidRPr="00224CBF" w:rsidRDefault="00AF28B2" w:rsidP="00303BDE">
      <w:pPr>
        <w:pStyle w:val="TableBullets1"/>
      </w:pPr>
      <w:r w:rsidRPr="00224CBF">
        <w:t xml:space="preserve">research and development </w:t>
      </w:r>
      <w:r w:rsidR="009B5794" w:rsidRPr="00224CBF">
        <w:t>projects</w:t>
      </w:r>
    </w:p>
    <w:p w:rsidR="009B5794" w:rsidRPr="00224CBF" w:rsidRDefault="00AF28B2" w:rsidP="00303BDE">
      <w:pPr>
        <w:pStyle w:val="TableBullets1"/>
      </w:pPr>
      <w:r w:rsidRPr="00224CBF">
        <w:t xml:space="preserve">activities </w:t>
      </w:r>
      <w:r w:rsidR="00391AE7">
        <w:t>which</w:t>
      </w:r>
      <w:r w:rsidR="00B8449B" w:rsidRPr="00224CBF">
        <w:t xml:space="preserve"> </w:t>
      </w:r>
      <w:r w:rsidR="009B5794" w:rsidRPr="00224CBF">
        <w:t>we</w:t>
      </w:r>
      <w:r w:rsidR="00B8449B" w:rsidRPr="00224CBF">
        <w:t xml:space="preserve">re the primary responsibility of </w:t>
      </w:r>
      <w:r w:rsidRPr="00224CBF">
        <w:t>local government authorities</w:t>
      </w:r>
    </w:p>
    <w:p w:rsidR="00E511FB" w:rsidRPr="00224CBF" w:rsidRDefault="009B5794" w:rsidP="00303BDE">
      <w:pPr>
        <w:pStyle w:val="TableBullets1"/>
      </w:pPr>
      <w:proofErr w:type="gramStart"/>
      <w:r w:rsidRPr="00224CBF">
        <w:t>projects</w:t>
      </w:r>
      <w:proofErr w:type="gramEnd"/>
      <w:r w:rsidRPr="00224CBF">
        <w:t xml:space="preserve"> that benefitted only private individuals/enterprises</w:t>
      </w:r>
      <w:r w:rsidR="00656772" w:rsidRPr="00224CBF">
        <w:t>.</w:t>
      </w:r>
    </w:p>
    <w:p w:rsidR="00295CE9" w:rsidRDefault="00E511FB" w:rsidP="00760C83">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t>Criteria s</w:t>
      </w:r>
      <w:r w:rsidR="00755D9B">
        <w:rPr>
          <w:rFonts w:asciiTheme="minorHAnsi" w:eastAsia="Times New Roman" w:hAnsiTheme="minorHAnsi" w:cstheme="minorHAnsi"/>
          <w:bCs/>
        </w:rPr>
        <w:t>pecific feedback</w:t>
      </w:r>
    </w:p>
    <w:p w:rsidR="000C3648" w:rsidRPr="00A260B4" w:rsidRDefault="007F330D" w:rsidP="00760C83">
      <w:pPr>
        <w:pStyle w:val="Heading2"/>
        <w:rPr>
          <w:rStyle w:val="Strong"/>
        </w:rPr>
      </w:pPr>
      <w:r w:rsidRPr="00A260B4">
        <w:rPr>
          <w:rStyle w:val="Strong"/>
        </w:rPr>
        <w:t>Criterion 1</w:t>
      </w:r>
      <w:r w:rsidR="009C33EE" w:rsidRPr="00A260B4">
        <w:rPr>
          <w:rStyle w:val="Strong"/>
        </w:rPr>
        <w:t xml:space="preserve"> </w:t>
      </w:r>
      <w:r w:rsidRPr="00A260B4">
        <w:rPr>
          <w:rStyle w:val="Strong"/>
        </w:rPr>
        <w:t>–</w:t>
      </w:r>
      <w:r w:rsidR="000C3648" w:rsidRPr="00A260B4">
        <w:rPr>
          <w:rStyle w:val="Strong"/>
        </w:rPr>
        <w:t xml:space="preserve"> Economic benefits</w:t>
      </w:r>
    </w:p>
    <w:p w:rsidR="000C3648" w:rsidRPr="000C3648" w:rsidRDefault="000C3648" w:rsidP="00760C83">
      <w:pPr>
        <w:keepNext/>
        <w:spacing w:before="120" w:after="240" w:line="240" w:lineRule="auto"/>
        <w:rPr>
          <w:rFonts w:ascii="Arial" w:eastAsia="Times New Roman" w:hAnsi="Arial" w:cs="Arial"/>
          <w:color w:val="auto"/>
          <w:szCs w:val="22"/>
        </w:rPr>
      </w:pPr>
      <w:r w:rsidRPr="000C3648">
        <w:rPr>
          <w:rFonts w:ascii="Arial" w:eastAsia="Times New Roman" w:hAnsi="Arial" w:cs="Arial"/>
          <w:color w:val="auto"/>
          <w:szCs w:val="22"/>
        </w:rPr>
        <w:t xml:space="preserve">In responding to this </w:t>
      </w:r>
      <w:r w:rsidR="006E1AA2" w:rsidRPr="000C3648">
        <w:rPr>
          <w:rFonts w:ascii="Arial" w:eastAsia="Times New Roman" w:hAnsi="Arial" w:cs="Arial"/>
          <w:color w:val="auto"/>
          <w:szCs w:val="22"/>
        </w:rPr>
        <w:t>criterion,</w:t>
      </w:r>
      <w:r w:rsidRPr="000C3648">
        <w:rPr>
          <w:rFonts w:ascii="Arial" w:eastAsia="Times New Roman" w:hAnsi="Arial" w:cs="Arial"/>
          <w:color w:val="auto"/>
          <w:szCs w:val="22"/>
        </w:rPr>
        <w:t xml:space="preserve"> applicants were to describe the project in detail, identify which community it related to, specify the location of the activities, and describe how it will deliver economic benefits that address the impacts of water recovery on the community. Economic benefits ma</w:t>
      </w:r>
      <w:r w:rsidR="00755D9B">
        <w:rPr>
          <w:rFonts w:ascii="Arial" w:eastAsia="Times New Roman" w:hAnsi="Arial" w:cs="Arial"/>
          <w:color w:val="auto"/>
          <w:szCs w:val="22"/>
        </w:rPr>
        <w:t>y include how the project will:</w:t>
      </w:r>
    </w:p>
    <w:p w:rsidR="000C3648" w:rsidRPr="00224CBF" w:rsidRDefault="000C3648" w:rsidP="00303BDE">
      <w:pPr>
        <w:pStyle w:val="TableBullets1"/>
      </w:pPr>
      <w:r w:rsidRPr="00224CBF">
        <w:t>diversify and strengthen an</w:t>
      </w:r>
      <w:r w:rsidR="00755D9B">
        <w:t xml:space="preserve"> identified community’s economy</w:t>
      </w:r>
    </w:p>
    <w:p w:rsidR="000C3648" w:rsidRPr="00224CBF" w:rsidRDefault="000C3648" w:rsidP="00303BDE">
      <w:pPr>
        <w:pStyle w:val="TableBullets1"/>
      </w:pPr>
      <w:r w:rsidRPr="00224CBF">
        <w:t>enhance resilience of the community to manage current and future econ</w:t>
      </w:r>
      <w:r w:rsidR="00755D9B">
        <w:t>omic challenges and changes, and</w:t>
      </w:r>
    </w:p>
    <w:p w:rsidR="007F330D" w:rsidRPr="00224CBF" w:rsidRDefault="000C3648" w:rsidP="00303BDE">
      <w:pPr>
        <w:pStyle w:val="TableBullets1"/>
      </w:pPr>
      <w:proofErr w:type="gramStart"/>
      <w:r w:rsidRPr="00224CBF">
        <w:t>increase</w:t>
      </w:r>
      <w:proofErr w:type="gramEnd"/>
      <w:r w:rsidRPr="00224CBF">
        <w:t xml:space="preserve"> opportunities within the community for employment.</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4819"/>
        <w:gridCol w:w="4820"/>
      </w:tblGrid>
      <w:tr w:rsidR="000D0EB9" w:rsidRPr="00856F79" w:rsidTr="00B1655C">
        <w:trPr>
          <w:cnfStyle w:val="100000000000" w:firstRow="1" w:lastRow="0" w:firstColumn="0" w:lastColumn="0" w:oddVBand="0" w:evenVBand="0" w:oddHBand="0" w:evenHBand="0" w:firstRowFirstColumn="0" w:firstRowLastColumn="0" w:lastRowFirstColumn="0" w:lastRowLastColumn="0"/>
          <w:trHeight w:val="472"/>
          <w:tblHeader/>
        </w:trPr>
        <w:tc>
          <w:tcPr>
            <w:tcW w:w="4819"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0C3648" w:rsidP="003162AA">
            <w:pPr>
              <w:spacing w:line="240" w:lineRule="auto"/>
              <w:ind w:left="57" w:right="57"/>
              <w:rPr>
                <w:rFonts w:ascii="Arial" w:eastAsia="Arial" w:hAnsi="Arial"/>
                <w:b/>
                <w:color w:val="000000"/>
                <w:szCs w:val="22"/>
              </w:rPr>
            </w:pPr>
            <w:r>
              <w:rPr>
                <w:rFonts w:ascii="Arial" w:eastAsia="Arial" w:hAnsi="Arial"/>
                <w:b/>
                <w:color w:val="000000"/>
                <w:szCs w:val="22"/>
              </w:rPr>
              <w:lastRenderedPageBreak/>
              <w:t>Quality application responses:</w:t>
            </w:r>
          </w:p>
        </w:tc>
        <w:tc>
          <w:tcPr>
            <w:tcW w:w="4820"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B1655C" w:rsidP="00C157F0">
            <w:pPr>
              <w:spacing w:line="240" w:lineRule="auto"/>
              <w:ind w:left="57" w:right="57"/>
              <w:rPr>
                <w:rFonts w:ascii="Arial" w:eastAsia="Arial" w:hAnsi="Arial"/>
                <w:b/>
                <w:color w:val="000000"/>
                <w:szCs w:val="22"/>
              </w:rPr>
            </w:pPr>
            <w:r>
              <w:rPr>
                <w:rFonts w:ascii="Arial" w:eastAsia="Arial" w:hAnsi="Arial"/>
                <w:b/>
                <w:color w:val="000000"/>
                <w:szCs w:val="22"/>
              </w:rPr>
              <w:t>Areas for improvement:</w:t>
            </w:r>
          </w:p>
        </w:tc>
      </w:tr>
      <w:tr w:rsidR="000D0EB9" w:rsidRPr="00856F79" w:rsidTr="00B1655C">
        <w:trPr>
          <w:cnfStyle w:val="000000100000" w:firstRow="0" w:lastRow="0" w:firstColumn="0" w:lastColumn="0" w:oddVBand="0" w:evenVBand="0" w:oddHBand="1" w:evenHBand="0" w:firstRowFirstColumn="0" w:firstRowLastColumn="0" w:lastRowFirstColumn="0" w:lastRowLastColumn="0"/>
        </w:trPr>
        <w:tc>
          <w:tcPr>
            <w:tcW w:w="4819" w:type="dxa"/>
            <w:tcBorders>
              <w:top w:val="single" w:sz="4" w:space="0" w:color="auto"/>
              <w:left w:val="single" w:sz="4" w:space="0" w:color="auto"/>
              <w:bottom w:val="single" w:sz="4" w:space="0" w:color="auto"/>
              <w:right w:val="single" w:sz="4" w:space="0" w:color="auto"/>
            </w:tcBorders>
            <w:shd w:val="clear" w:color="auto" w:fill="auto"/>
          </w:tcPr>
          <w:p w:rsidR="000C3648" w:rsidRPr="007175BB" w:rsidRDefault="000C3648" w:rsidP="00303BDE">
            <w:pPr>
              <w:pStyle w:val="TableBullets1"/>
            </w:pPr>
            <w:r>
              <w:t xml:space="preserve">identified an </w:t>
            </w:r>
            <w:r w:rsidRPr="007175BB">
              <w:t xml:space="preserve">eligible </w:t>
            </w:r>
            <w:r>
              <w:t xml:space="preserve">community or </w:t>
            </w:r>
            <w:r w:rsidR="00755D9B">
              <w:t>communities</w:t>
            </w:r>
          </w:p>
          <w:p w:rsidR="000C3648" w:rsidRPr="007175BB" w:rsidRDefault="000C3648" w:rsidP="00303BDE">
            <w:pPr>
              <w:pStyle w:val="TableBullets1"/>
            </w:pPr>
            <w:r w:rsidRPr="007175BB">
              <w:t>defined the project</w:t>
            </w:r>
            <w:r w:rsidR="00815371">
              <w:t xml:space="preserve"> well</w:t>
            </w:r>
            <w:r>
              <w:t>, including its scope</w:t>
            </w:r>
          </w:p>
          <w:p w:rsidR="000C3648" w:rsidRPr="00303BDE" w:rsidRDefault="000C3648" w:rsidP="00303BDE">
            <w:pPr>
              <w:pStyle w:val="TableBullets1"/>
              <w:rPr>
                <w:rFonts w:cstheme="minorHAnsi"/>
              </w:rPr>
            </w:pPr>
            <w:r w:rsidRPr="007175BB">
              <w:t>outlined how the project w</w:t>
            </w:r>
            <w:r w:rsidR="00815371">
              <w:t>ould</w:t>
            </w:r>
            <w:r w:rsidRPr="007175BB">
              <w:t xml:space="preserve"> deliver </w:t>
            </w:r>
            <w:r>
              <w:t xml:space="preserve">outcomes sought by </w:t>
            </w:r>
            <w:r w:rsidRPr="007175BB">
              <w:t>the Murray</w:t>
            </w:r>
            <w:r w:rsidR="007B2B49">
              <w:t>–</w:t>
            </w:r>
            <w:r w:rsidRPr="007175BB">
              <w:t xml:space="preserve">Darling Basin Economic Development Program </w:t>
            </w:r>
            <w:r w:rsidRPr="00303BDE">
              <w:rPr>
                <w:rFonts w:cstheme="minorHAnsi"/>
              </w:rPr>
              <w:t>Round 2</w:t>
            </w:r>
            <w:r w:rsidR="00344467" w:rsidRPr="00303BDE">
              <w:rPr>
                <w:rFonts w:cstheme="minorHAnsi"/>
              </w:rPr>
              <w:t>, specifically</w:t>
            </w:r>
            <w:r w:rsidR="009652A6" w:rsidRPr="00303BDE">
              <w:rPr>
                <w:rFonts w:cstheme="minorHAnsi"/>
              </w:rPr>
              <w:t>:</w:t>
            </w:r>
          </w:p>
          <w:p w:rsidR="00656772" w:rsidRPr="00303BDE" w:rsidRDefault="00656772"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detail</w:t>
            </w:r>
            <w:r w:rsidR="00344467" w:rsidRPr="00303BDE">
              <w:rPr>
                <w:rFonts w:eastAsia="Arial" w:cstheme="minorHAnsi"/>
                <w:color w:val="auto"/>
              </w:rPr>
              <w:t>ing</w:t>
            </w:r>
            <w:r w:rsidRPr="00303BDE">
              <w:rPr>
                <w:rFonts w:eastAsia="Arial" w:cstheme="minorHAnsi"/>
                <w:color w:val="auto"/>
              </w:rPr>
              <w:t xml:space="preserve"> how the project will contribute to economic development and how this will deliver benefits to the broader community</w:t>
            </w:r>
          </w:p>
          <w:p w:rsidR="000C3648" w:rsidRPr="00303BDE" w:rsidRDefault="000C3648"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list</w:t>
            </w:r>
            <w:r w:rsidR="00344467" w:rsidRPr="00303BDE">
              <w:rPr>
                <w:rFonts w:eastAsia="Arial" w:cstheme="minorHAnsi"/>
                <w:color w:val="auto"/>
              </w:rPr>
              <w:t xml:space="preserve">ing </w:t>
            </w:r>
            <w:r w:rsidRPr="00303BDE">
              <w:rPr>
                <w:rFonts w:eastAsia="Arial" w:cstheme="minorHAnsi"/>
                <w:color w:val="auto"/>
              </w:rPr>
              <w:t xml:space="preserve">the activities and how these will deliver the program’s outcomes </w:t>
            </w:r>
          </w:p>
          <w:p w:rsidR="000C3648" w:rsidRPr="00303BDE" w:rsidRDefault="000C3648"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articulat</w:t>
            </w:r>
            <w:r w:rsidR="00344467" w:rsidRPr="00303BDE">
              <w:rPr>
                <w:rFonts w:eastAsia="Arial" w:cstheme="minorHAnsi"/>
                <w:color w:val="auto"/>
              </w:rPr>
              <w:t>ing</w:t>
            </w:r>
            <w:r w:rsidRPr="00303BDE">
              <w:rPr>
                <w:rFonts w:eastAsia="Arial" w:cstheme="minorHAnsi"/>
                <w:color w:val="auto"/>
              </w:rPr>
              <w:t xml:space="preserve"> how the activity will enhance an existing industry, generate opportunities for a new industry, link with and / or complement</w:t>
            </w:r>
            <w:r w:rsidR="00755D9B">
              <w:rPr>
                <w:rFonts w:eastAsia="Arial" w:cstheme="minorHAnsi"/>
                <w:color w:val="auto"/>
              </w:rPr>
              <w:t xml:space="preserve"> other activities in the region</w:t>
            </w:r>
          </w:p>
          <w:p w:rsidR="00344467" w:rsidRPr="00303BDE" w:rsidRDefault="00344467"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describing how the activities would be conducted to deliver the outco</w:t>
            </w:r>
            <w:r w:rsidR="00755D9B">
              <w:rPr>
                <w:rFonts w:eastAsia="Arial" w:cstheme="minorHAnsi"/>
                <w:color w:val="auto"/>
              </w:rPr>
              <w:t>mes</w:t>
            </w:r>
          </w:p>
          <w:p w:rsidR="000C3648" w:rsidRPr="00303BDE" w:rsidRDefault="000C3648"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outlin</w:t>
            </w:r>
            <w:r w:rsidR="00344467" w:rsidRPr="00303BDE">
              <w:rPr>
                <w:rFonts w:eastAsia="Arial" w:cstheme="minorHAnsi"/>
                <w:color w:val="auto"/>
              </w:rPr>
              <w:t>ing</w:t>
            </w:r>
            <w:r w:rsidRPr="00303BDE">
              <w:rPr>
                <w:rFonts w:eastAsia="Arial" w:cstheme="minorHAnsi"/>
                <w:color w:val="auto"/>
              </w:rPr>
              <w:t xml:space="preserve"> the employment opportunities to be created / what impacts would be realised in the community</w:t>
            </w:r>
          </w:p>
          <w:p w:rsidR="00706490" w:rsidRDefault="000C3648" w:rsidP="00303BDE">
            <w:pPr>
              <w:pStyle w:val="TableBullets1"/>
            </w:pPr>
            <w:r w:rsidRPr="000C3648">
              <w:t>stated additional benefits</w:t>
            </w:r>
          </w:p>
          <w:p w:rsidR="00706490" w:rsidRDefault="00706490" w:rsidP="00303BDE">
            <w:pPr>
              <w:pStyle w:val="TableBullets1"/>
            </w:pPr>
            <w:r>
              <w:t>articulated innovative and original projects</w:t>
            </w:r>
          </w:p>
          <w:p w:rsidR="00815371" w:rsidRDefault="00815371" w:rsidP="00303BDE">
            <w:pPr>
              <w:pStyle w:val="TableBullets1"/>
            </w:pPr>
            <w:r>
              <w:t>demonstrated projects that were adapting to changing circumstances and providing the community with options for its future</w:t>
            </w:r>
          </w:p>
          <w:p w:rsidR="00815371" w:rsidRDefault="00815371" w:rsidP="00303BDE">
            <w:pPr>
              <w:pStyle w:val="TableBullets1"/>
            </w:pPr>
            <w:r>
              <w:t>provided solid examples of diversification and</w:t>
            </w:r>
            <w:r w:rsidR="00755D9B">
              <w:t xml:space="preserve"> </w:t>
            </w:r>
            <w:r>
              <w:t>/</w:t>
            </w:r>
            <w:r w:rsidR="00755D9B">
              <w:t xml:space="preserve"> </w:t>
            </w:r>
            <w:r>
              <w:t>or strengthening of the local economy through the project</w:t>
            </w:r>
          </w:p>
          <w:p w:rsidR="009C33EE" w:rsidRPr="00344467" w:rsidRDefault="00815371" w:rsidP="00303BDE">
            <w:pPr>
              <w:pStyle w:val="TableBullets1"/>
            </w:pPr>
            <w:r>
              <w:t>illustrated how the community would be made more resilient</w:t>
            </w:r>
            <w:r w:rsidR="009652A6">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C3648" w:rsidRPr="00303BDE" w:rsidRDefault="000C3648" w:rsidP="000C3648">
            <w:pPr>
              <w:spacing w:before="60" w:after="120" w:line="240" w:lineRule="auto"/>
              <w:ind w:left="113" w:right="57"/>
              <w:rPr>
                <w:rFonts w:ascii="Arial" w:eastAsia="Arial" w:hAnsi="Arial" w:cs="Arial"/>
                <w:color w:val="auto"/>
              </w:rPr>
            </w:pPr>
            <w:r w:rsidRPr="00303BDE">
              <w:rPr>
                <w:rFonts w:ascii="Arial" w:eastAsia="Arial" w:hAnsi="Arial" w:cs="Arial"/>
                <w:color w:val="auto"/>
              </w:rPr>
              <w:t>Generally, applicants could have strengthened their responses to Criterion 1 by providing:</w:t>
            </w:r>
          </w:p>
          <w:p w:rsidR="000C3648" w:rsidRPr="00303BDE" w:rsidRDefault="000C3648" w:rsidP="00303BDE">
            <w:pPr>
              <w:pStyle w:val="TableBullets1"/>
              <w:rPr>
                <w:rFonts w:ascii="Arial" w:eastAsia="Arial" w:hAnsi="Arial" w:cs="Arial"/>
                <w:color w:val="auto"/>
              </w:rPr>
            </w:pPr>
            <w:r w:rsidRPr="00303BDE">
              <w:rPr>
                <w:rFonts w:ascii="Arial" w:eastAsia="Arial" w:hAnsi="Arial" w:cs="Arial"/>
                <w:color w:val="auto"/>
              </w:rPr>
              <w:t>further detail about how the proposed activity delivers clear achievements against the program outcomes - diversifies and/or strengthens a community’</w:t>
            </w:r>
            <w:r w:rsidR="007B2B49" w:rsidRPr="00303BDE">
              <w:rPr>
                <w:rFonts w:ascii="Arial" w:eastAsia="Arial" w:hAnsi="Arial" w:cs="Arial"/>
                <w:color w:val="auto"/>
              </w:rPr>
              <w:t>s</w:t>
            </w:r>
            <w:r w:rsidRPr="00303BDE">
              <w:rPr>
                <w:rFonts w:ascii="Arial" w:eastAsia="Arial" w:hAnsi="Arial" w:cs="Arial"/>
                <w:color w:val="auto"/>
              </w:rPr>
              <w:t xml:space="preserve"> economy, enhances a community’s resilience and increases employment opportunities</w:t>
            </w:r>
          </w:p>
          <w:p w:rsidR="000C3648" w:rsidRPr="00303BDE" w:rsidRDefault="000C3648" w:rsidP="00303BDE">
            <w:pPr>
              <w:pStyle w:val="TableBullets1"/>
              <w:rPr>
                <w:rFonts w:ascii="Arial" w:eastAsia="Arial" w:hAnsi="Arial" w:cs="Arial"/>
                <w:color w:val="auto"/>
              </w:rPr>
            </w:pPr>
            <w:r w:rsidRPr="00303BDE">
              <w:rPr>
                <w:rFonts w:ascii="Arial" w:eastAsia="Arial" w:hAnsi="Arial" w:cs="Arial"/>
                <w:color w:val="auto"/>
              </w:rPr>
              <w:t>more detailed information about how the activity delivers benefits to the broader community</w:t>
            </w:r>
          </w:p>
          <w:p w:rsidR="00822DC5" w:rsidRPr="00303BDE" w:rsidRDefault="000C3648" w:rsidP="00970AE0">
            <w:pPr>
              <w:pStyle w:val="TableBullets1"/>
              <w:rPr>
                <w:rFonts w:ascii="Arial" w:eastAsia="Arial" w:hAnsi="Arial" w:cs="Arial"/>
                <w:color w:val="auto"/>
              </w:rPr>
            </w:pPr>
            <w:r w:rsidRPr="00303BDE">
              <w:rPr>
                <w:rFonts w:ascii="Arial" w:eastAsia="Arial" w:hAnsi="Arial" w:cs="Arial"/>
                <w:color w:val="auto"/>
              </w:rPr>
              <w:t>further details about the type of the activities, project methodology and how the project will deliver the program’s intended outcomes (the attachment ‘project proposal’ was, in part, intended for applicants to provide sufficient level of detail they felt could not be provided in the word-limited application form).</w:t>
            </w:r>
          </w:p>
        </w:tc>
      </w:tr>
    </w:tbl>
    <w:p w:rsidR="00B1655C" w:rsidRPr="00A260B4" w:rsidRDefault="000D0EB9" w:rsidP="00760C83">
      <w:pPr>
        <w:pStyle w:val="Heading2"/>
        <w:rPr>
          <w:rStyle w:val="Strong"/>
        </w:rPr>
      </w:pPr>
      <w:r w:rsidRPr="00A260B4">
        <w:rPr>
          <w:rStyle w:val="Strong"/>
        </w:rPr>
        <w:lastRenderedPageBreak/>
        <w:t>Criterion 2</w:t>
      </w:r>
      <w:r w:rsidR="00023016" w:rsidRPr="00A260B4">
        <w:rPr>
          <w:rStyle w:val="Strong"/>
        </w:rPr>
        <w:t xml:space="preserve"> </w:t>
      </w:r>
      <w:r w:rsidR="00B1655C" w:rsidRPr="00A260B4">
        <w:rPr>
          <w:rStyle w:val="Strong"/>
        </w:rPr>
        <w:t>– Community support and benefit</w:t>
      </w:r>
    </w:p>
    <w:p w:rsidR="00B1655C" w:rsidRPr="00A8096F" w:rsidRDefault="00B1655C" w:rsidP="00760C83">
      <w:pPr>
        <w:keepNext/>
        <w:spacing w:before="120" w:after="240" w:line="240" w:lineRule="auto"/>
        <w:rPr>
          <w:rFonts w:ascii="Arial" w:eastAsia="Times New Roman" w:hAnsi="Arial" w:cs="Arial"/>
          <w:color w:val="auto"/>
          <w:szCs w:val="22"/>
        </w:rPr>
      </w:pPr>
      <w:r w:rsidRPr="00A8096F">
        <w:rPr>
          <w:rFonts w:ascii="Arial" w:eastAsia="Times New Roman" w:hAnsi="Arial" w:cs="Arial"/>
          <w:color w:val="auto"/>
          <w:szCs w:val="22"/>
        </w:rPr>
        <w:t>In responding to this criterion, applicants were to describe how the project will provide support for and benefit to the community, as opposed to only individuals or enterprises within the community. The community must also support projects. These two elements may be evidenced by:</w:t>
      </w:r>
    </w:p>
    <w:p w:rsidR="00B1655C" w:rsidRPr="00224CBF" w:rsidRDefault="00B1655C" w:rsidP="00224CBF">
      <w:pPr>
        <w:numPr>
          <w:ilvl w:val="0"/>
          <w:numId w:val="12"/>
        </w:numPr>
        <w:spacing w:before="120" w:after="140"/>
      </w:pPr>
      <w:r w:rsidRPr="00224CBF">
        <w:t xml:space="preserve">a description of the linkages to relevant local economic development strategies, including the plans, priorities or challenges outlined in any relevant local, </w:t>
      </w:r>
      <w:r w:rsidR="00344467" w:rsidRPr="00224CBF">
        <w:t>st</w:t>
      </w:r>
      <w:r w:rsidRPr="00224CBF">
        <w:t>ate or Australian Government policies or other documentation that demonstrate the project is a strategic priority</w:t>
      </w:r>
    </w:p>
    <w:p w:rsidR="00B1655C" w:rsidRPr="00224CBF" w:rsidRDefault="00B1655C" w:rsidP="00224CBF">
      <w:pPr>
        <w:numPr>
          <w:ilvl w:val="0"/>
          <w:numId w:val="12"/>
        </w:numPr>
        <w:spacing w:before="120" w:after="140"/>
      </w:pPr>
      <w:r w:rsidRPr="00224CBF">
        <w:t>an analysis of the public benefit</w:t>
      </w:r>
    </w:p>
    <w:p w:rsidR="007F330D" w:rsidRPr="00224CBF" w:rsidRDefault="00344467" w:rsidP="00224CBF">
      <w:pPr>
        <w:numPr>
          <w:ilvl w:val="0"/>
          <w:numId w:val="12"/>
        </w:numPr>
        <w:spacing w:before="120" w:after="140"/>
      </w:pPr>
      <w:r w:rsidRPr="00224CBF">
        <w:t xml:space="preserve">recent </w:t>
      </w:r>
      <w:r w:rsidR="00B1655C" w:rsidRPr="00224CBF">
        <w:t>written support from key stakeholders</w:t>
      </w:r>
      <w:r w:rsidRPr="00224CBF">
        <w:t xml:space="preserve"> for the project</w:t>
      </w:r>
      <w:r w:rsidR="00B1655C" w:rsidRPr="00224CBF">
        <w:t>, including but not limited to relevant local governments, community stakeholders and Indigenous communities (up to five written letters of support</w:t>
      </w:r>
      <w:r w:rsidRPr="00224CBF">
        <w:t xml:space="preserve"> could be included</w:t>
      </w:r>
      <w:r w:rsidR="00B1655C" w:rsidRPr="00224CBF">
        <w:t>).</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4819"/>
        <w:gridCol w:w="4820"/>
      </w:tblGrid>
      <w:tr w:rsidR="00B1655C" w:rsidRPr="00303BDE" w:rsidTr="00B1655C">
        <w:trPr>
          <w:cnfStyle w:val="100000000000" w:firstRow="1" w:lastRow="0" w:firstColumn="0" w:lastColumn="0" w:oddVBand="0" w:evenVBand="0" w:oddHBand="0" w:evenHBand="0" w:firstRowFirstColumn="0" w:firstRowLastColumn="0" w:lastRowFirstColumn="0" w:lastRowLastColumn="0"/>
          <w:trHeight w:val="461"/>
          <w:tblHeader/>
        </w:trPr>
        <w:tc>
          <w:tcPr>
            <w:tcW w:w="4819" w:type="dxa"/>
            <w:tcBorders>
              <w:top w:val="single" w:sz="4" w:space="0" w:color="auto"/>
              <w:left w:val="single" w:sz="4" w:space="0" w:color="auto"/>
              <w:bottom w:val="single" w:sz="4" w:space="0" w:color="auto"/>
              <w:right w:val="single" w:sz="4" w:space="0" w:color="auto"/>
            </w:tcBorders>
            <w:vAlign w:val="center"/>
          </w:tcPr>
          <w:p w:rsidR="00B1655C" w:rsidRPr="00BE1A18" w:rsidRDefault="00B1655C" w:rsidP="00B1655C">
            <w:pPr>
              <w:spacing w:line="240" w:lineRule="auto"/>
              <w:ind w:left="57" w:right="57"/>
              <w:rPr>
                <w:rFonts w:ascii="Arial" w:eastAsia="Arial" w:hAnsi="Arial"/>
                <w:b/>
                <w:color w:val="000000"/>
                <w:szCs w:val="22"/>
              </w:rPr>
            </w:pPr>
            <w:r>
              <w:rPr>
                <w:rFonts w:ascii="Arial" w:eastAsia="Arial" w:hAnsi="Arial"/>
                <w:b/>
                <w:color w:val="000000"/>
                <w:szCs w:val="22"/>
              </w:rPr>
              <w:t>Quality application responses:</w:t>
            </w:r>
          </w:p>
        </w:tc>
        <w:tc>
          <w:tcPr>
            <w:tcW w:w="4820" w:type="dxa"/>
            <w:tcBorders>
              <w:top w:val="single" w:sz="4" w:space="0" w:color="auto"/>
              <w:left w:val="single" w:sz="4" w:space="0" w:color="auto"/>
              <w:bottom w:val="single" w:sz="4" w:space="0" w:color="auto"/>
              <w:right w:val="single" w:sz="4" w:space="0" w:color="auto"/>
            </w:tcBorders>
            <w:vAlign w:val="center"/>
          </w:tcPr>
          <w:p w:rsidR="00B1655C" w:rsidRPr="00BE1A18" w:rsidRDefault="00B1655C" w:rsidP="00B1655C">
            <w:pPr>
              <w:spacing w:line="240" w:lineRule="auto"/>
              <w:ind w:left="57" w:right="57"/>
              <w:rPr>
                <w:rFonts w:ascii="Arial" w:eastAsia="Arial" w:hAnsi="Arial"/>
                <w:b/>
                <w:color w:val="000000"/>
                <w:szCs w:val="22"/>
              </w:rPr>
            </w:pPr>
            <w:r>
              <w:rPr>
                <w:rFonts w:ascii="Arial" w:eastAsia="Arial" w:hAnsi="Arial"/>
                <w:b/>
                <w:color w:val="000000"/>
                <w:szCs w:val="22"/>
              </w:rPr>
              <w:t>Areas for improvement</w:t>
            </w:r>
          </w:p>
        </w:tc>
      </w:tr>
      <w:tr w:rsidR="006B2CDE" w:rsidRPr="00A177A3" w:rsidTr="00B1655C">
        <w:trPr>
          <w:cnfStyle w:val="000000100000" w:firstRow="0" w:lastRow="0" w:firstColumn="0" w:lastColumn="0" w:oddVBand="0" w:evenVBand="0" w:oddHBand="1" w:evenHBand="0" w:firstRowFirstColumn="0" w:firstRowLastColumn="0" w:lastRowFirstColumn="0" w:lastRowLastColumn="0"/>
          <w:trHeight w:val="1226"/>
        </w:trPr>
        <w:tc>
          <w:tcPr>
            <w:tcW w:w="4819" w:type="dxa"/>
            <w:tcBorders>
              <w:top w:val="single" w:sz="4" w:space="0" w:color="auto"/>
              <w:left w:val="single" w:sz="4" w:space="0" w:color="auto"/>
              <w:bottom w:val="single" w:sz="4" w:space="0" w:color="auto"/>
              <w:right w:val="single" w:sz="4" w:space="0" w:color="auto"/>
            </w:tcBorders>
            <w:shd w:val="clear" w:color="auto" w:fill="auto"/>
          </w:tcPr>
          <w:p w:rsidR="00B1655C" w:rsidRPr="00B1655C" w:rsidRDefault="00B1655C" w:rsidP="00303BDE">
            <w:pPr>
              <w:pStyle w:val="TableBullets1"/>
              <w:rPr>
                <w:b/>
                <w:color w:val="000000"/>
                <w:szCs w:val="22"/>
              </w:rPr>
            </w:pPr>
            <w:r w:rsidRPr="00236A43">
              <w:t xml:space="preserve">explicitly </w:t>
            </w:r>
            <w:r>
              <w:t>linked to strategies relevant to the community</w:t>
            </w:r>
          </w:p>
          <w:p w:rsidR="006B2CDE" w:rsidRPr="00B1655C" w:rsidRDefault="00B1655C" w:rsidP="00303BDE">
            <w:pPr>
              <w:pStyle w:val="TableBullets1"/>
              <w:rPr>
                <w:b/>
                <w:color w:val="000000"/>
                <w:szCs w:val="22"/>
              </w:rPr>
            </w:pPr>
            <w:r w:rsidRPr="00B1655C">
              <w:t>considered the community needs and the benefits to a wide range of community and interest groups outside of the immediate project personnel and</w:t>
            </w:r>
            <w:r w:rsidR="00344467">
              <w:t xml:space="preserve"> </w:t>
            </w:r>
            <w:r w:rsidRPr="00B1655C">
              <w:t>/</w:t>
            </w:r>
            <w:r w:rsidR="00344467">
              <w:t xml:space="preserve"> </w:t>
            </w:r>
            <w:r w:rsidRPr="00B1655C">
              <w:t>or organisations</w:t>
            </w:r>
          </w:p>
          <w:p w:rsidR="00344467" w:rsidRDefault="00344467" w:rsidP="00303BDE">
            <w:pPr>
              <w:pStyle w:val="TableBullets1"/>
            </w:pPr>
            <w:r>
              <w:t>made the connection on how the project w</w:t>
            </w:r>
            <w:r w:rsidR="009E3298">
              <w:t>ould</w:t>
            </w:r>
            <w:r>
              <w:t xml:space="preserve"> support or address relevant challenges or priorities in relevant local </w:t>
            </w:r>
            <w:r w:rsidR="00661512">
              <w:t>economic development strategies</w:t>
            </w:r>
          </w:p>
          <w:p w:rsidR="00344467" w:rsidRPr="00B1655C" w:rsidRDefault="00344467" w:rsidP="00303BDE">
            <w:pPr>
              <w:pStyle w:val="TableBullets1"/>
              <w:rPr>
                <w:b/>
                <w:color w:val="000000"/>
                <w:szCs w:val="22"/>
              </w:rPr>
            </w:pPr>
            <w:r w:rsidRPr="00781D43">
              <w:t xml:space="preserve">identified and articulated the benefit of the project to the community, what benefit the project </w:t>
            </w:r>
            <w:r w:rsidR="009E3298">
              <w:t>wa</w:t>
            </w:r>
            <w:r w:rsidRPr="00781D43">
              <w:t>s to deliver and how this w</w:t>
            </w:r>
            <w:r w:rsidR="009E3298">
              <w:t>ould</w:t>
            </w:r>
            <w:r w:rsidRPr="00781D43">
              <w:t xml:space="preserve"> be realised</w:t>
            </w:r>
          </w:p>
          <w:p w:rsidR="00070C27" w:rsidRPr="00070C27" w:rsidRDefault="00B1655C" w:rsidP="00303BDE">
            <w:pPr>
              <w:pStyle w:val="TableBullets1"/>
              <w:rPr>
                <w:b/>
                <w:color w:val="000000"/>
                <w:szCs w:val="22"/>
              </w:rPr>
            </w:pPr>
            <w:r w:rsidRPr="00B1655C">
              <w:t>provided evidence of support from relevant stakeholders and community members, includ</w:t>
            </w:r>
            <w:r w:rsidR="00661512">
              <w:t>ing from Indigenous communities</w:t>
            </w:r>
          </w:p>
          <w:p w:rsidR="00B1655C" w:rsidRPr="00B1655C" w:rsidRDefault="00B1655C" w:rsidP="00303BDE">
            <w:pPr>
              <w:pStyle w:val="TableBullets1"/>
              <w:rPr>
                <w:b/>
                <w:color w:val="000000"/>
                <w:szCs w:val="22"/>
              </w:rPr>
            </w:pPr>
            <w:proofErr w:type="gramStart"/>
            <w:r w:rsidRPr="00B1655C">
              <w:t>provided</w:t>
            </w:r>
            <w:proofErr w:type="gramEnd"/>
            <w:r w:rsidRPr="00B1655C">
              <w:t xml:space="preserve"> letters of support from a broad cross-section of the community or noted that these letters (and </w:t>
            </w:r>
            <w:r w:rsidR="006E1AA2" w:rsidRPr="00B1655C">
              <w:t>whom</w:t>
            </w:r>
            <w:r w:rsidRPr="00B1655C">
              <w:t xml:space="preserve"> </w:t>
            </w:r>
            <w:r w:rsidR="009E3298">
              <w:t xml:space="preserve">they would be </w:t>
            </w:r>
            <w:r w:rsidRPr="00B1655C">
              <w:t>from) were available upon request</w:t>
            </w:r>
            <w:r w:rsidR="009652A6">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B1655C" w:rsidRPr="00B1655C" w:rsidRDefault="00B1655C" w:rsidP="00B1655C">
            <w:pPr>
              <w:spacing w:before="60" w:after="120" w:line="240" w:lineRule="auto"/>
              <w:ind w:left="113" w:right="57"/>
              <w:rPr>
                <w:rFonts w:ascii="Arial" w:eastAsia="Arial" w:hAnsi="Arial" w:cs="Arial"/>
                <w:color w:val="auto"/>
              </w:rPr>
            </w:pPr>
            <w:r w:rsidRPr="00B1655C">
              <w:rPr>
                <w:rFonts w:ascii="Arial" w:eastAsia="Arial" w:hAnsi="Arial" w:cs="Arial"/>
                <w:color w:val="auto"/>
              </w:rPr>
              <w:t>Generally, applicants could have strengthened their responses to Criterion 2 by:</w:t>
            </w:r>
          </w:p>
          <w:p w:rsidR="00B1655C" w:rsidRPr="00B1655C" w:rsidRDefault="00970AE0" w:rsidP="00303BDE">
            <w:pPr>
              <w:pStyle w:val="TableBullets1"/>
            </w:pPr>
            <w:r>
              <w:t>demonstrating</w:t>
            </w:r>
            <w:r w:rsidR="00B1655C" w:rsidRPr="00B1655C">
              <w:t xml:space="preserve"> the project is a priority for the community</w:t>
            </w:r>
          </w:p>
          <w:p w:rsidR="00B1655C" w:rsidRPr="00B1655C" w:rsidRDefault="00B1655C" w:rsidP="00303BDE">
            <w:pPr>
              <w:pStyle w:val="TableBullets1"/>
            </w:pPr>
            <w:r w:rsidRPr="00B1655C">
              <w:t>providing clear evidence the project supports and brings benefits to the community broadly</w:t>
            </w:r>
          </w:p>
          <w:p w:rsidR="00815371" w:rsidRDefault="00B1655C" w:rsidP="00303BDE">
            <w:pPr>
              <w:pStyle w:val="TableBullets1"/>
            </w:pPr>
            <w:r w:rsidRPr="00B1655C">
              <w:t xml:space="preserve">evidencing support from a broad cross-section of the community, </w:t>
            </w:r>
            <w:r w:rsidR="00344467">
              <w:t>not only</w:t>
            </w:r>
            <w:r w:rsidRPr="00B1655C">
              <w:t xml:space="preserve"> those organisations directly involved in the project</w:t>
            </w:r>
          </w:p>
          <w:p w:rsidR="00815371" w:rsidRDefault="00815371" w:rsidP="00303BDE">
            <w:pPr>
              <w:pStyle w:val="TableBullets1"/>
            </w:pPr>
            <w:r>
              <w:t xml:space="preserve">not attaching form letters where the text has been </w:t>
            </w:r>
            <w:r w:rsidR="00307603">
              <w:t>provided by the applicant for</w:t>
            </w:r>
            <w:r>
              <w:t xml:space="preserve"> </w:t>
            </w:r>
            <w:r w:rsidR="00307603">
              <w:t>signing by multiple supporters of the project</w:t>
            </w:r>
          </w:p>
          <w:p w:rsidR="00815371" w:rsidRDefault="00815371" w:rsidP="00303BDE">
            <w:pPr>
              <w:pStyle w:val="TableBullets1"/>
            </w:pPr>
            <w:proofErr w:type="gramStart"/>
            <w:r>
              <w:t>providing</w:t>
            </w:r>
            <w:proofErr w:type="gramEnd"/>
            <w:r>
              <w:t xml:space="preserve"> a wider cross section of </w:t>
            </w:r>
            <w:r w:rsidR="009E3298">
              <w:t xml:space="preserve">community </w:t>
            </w:r>
            <w:r>
              <w:t>letters of support than the local members</w:t>
            </w:r>
            <w:r w:rsidR="009E3298">
              <w:t xml:space="preserve"> of Parliament, including from Indigenous groups</w:t>
            </w:r>
            <w:r w:rsidR="00661512">
              <w:t xml:space="preserve"> and grass roots organisations.</w:t>
            </w:r>
          </w:p>
          <w:p w:rsidR="006B2CDE" w:rsidRDefault="006B2CDE" w:rsidP="009E3298">
            <w:pPr>
              <w:spacing w:before="60" w:after="120" w:line="240" w:lineRule="auto"/>
              <w:ind w:left="470" w:right="57"/>
              <w:rPr>
                <w:rFonts w:ascii="Arial" w:eastAsia="Arial" w:hAnsi="Arial" w:cs="Arial"/>
                <w:color w:val="auto"/>
              </w:rPr>
            </w:pPr>
          </w:p>
        </w:tc>
      </w:tr>
    </w:tbl>
    <w:p w:rsidR="007F330D" w:rsidRPr="00A260B4" w:rsidRDefault="00EB4121" w:rsidP="00760C83">
      <w:pPr>
        <w:pStyle w:val="Heading2"/>
        <w:rPr>
          <w:rStyle w:val="Strong"/>
        </w:rPr>
      </w:pPr>
      <w:r w:rsidRPr="00A260B4">
        <w:rPr>
          <w:rStyle w:val="Strong"/>
        </w:rPr>
        <w:lastRenderedPageBreak/>
        <w:t xml:space="preserve">Criterion 3 </w:t>
      </w:r>
      <w:r w:rsidR="007F330D" w:rsidRPr="00A260B4">
        <w:rPr>
          <w:rStyle w:val="Strong"/>
        </w:rPr>
        <w:t>–</w:t>
      </w:r>
      <w:r w:rsidRPr="00A260B4">
        <w:rPr>
          <w:rStyle w:val="Strong"/>
        </w:rPr>
        <w:t xml:space="preserve"> </w:t>
      </w:r>
      <w:r w:rsidR="00B1655C" w:rsidRPr="00A260B4">
        <w:rPr>
          <w:rStyle w:val="Strong"/>
        </w:rPr>
        <w:t>Organisational capability</w:t>
      </w:r>
    </w:p>
    <w:p w:rsidR="00B1655C" w:rsidRPr="00A8096F" w:rsidRDefault="00B1655C" w:rsidP="00760C83">
      <w:pPr>
        <w:keepNext/>
        <w:spacing w:before="120" w:after="240" w:line="240" w:lineRule="auto"/>
        <w:rPr>
          <w:rFonts w:ascii="Arial" w:eastAsia="Times New Roman" w:hAnsi="Arial" w:cs="Arial"/>
          <w:color w:val="auto"/>
          <w:szCs w:val="22"/>
        </w:rPr>
      </w:pPr>
      <w:r w:rsidRPr="00A8096F">
        <w:rPr>
          <w:rFonts w:ascii="Arial" w:eastAsia="Times New Roman" w:hAnsi="Arial" w:cs="Arial"/>
          <w:color w:val="auto"/>
          <w:szCs w:val="22"/>
        </w:rPr>
        <w:t xml:space="preserve">In responding to this criterion, </w:t>
      </w:r>
      <w:r w:rsidR="00217B4A" w:rsidRPr="00A8096F">
        <w:rPr>
          <w:rFonts w:ascii="Arial" w:eastAsia="Times New Roman" w:hAnsi="Arial" w:cs="Arial"/>
          <w:color w:val="auto"/>
          <w:szCs w:val="22"/>
        </w:rPr>
        <w:t>applicants were to describe how they will manage and deliver the project, including their financial control systems and project management arrangements. Applicants</w:t>
      </w:r>
      <w:r w:rsidRPr="00A8096F">
        <w:rPr>
          <w:rFonts w:ascii="Arial" w:eastAsia="Times New Roman" w:hAnsi="Arial" w:cs="Arial"/>
          <w:color w:val="auto"/>
          <w:szCs w:val="22"/>
        </w:rPr>
        <w:t xml:space="preserve"> were to include:</w:t>
      </w:r>
    </w:p>
    <w:p w:rsidR="00B1655C" w:rsidRPr="00224CBF" w:rsidRDefault="00B1655C" w:rsidP="00224CBF">
      <w:pPr>
        <w:numPr>
          <w:ilvl w:val="0"/>
          <w:numId w:val="12"/>
        </w:numPr>
        <w:spacing w:before="120" w:after="140"/>
      </w:pPr>
      <w:r w:rsidRPr="00224CBF">
        <w:t>a detailed itemised budget, including contingency allowances, in the template provided</w:t>
      </w:r>
    </w:p>
    <w:p w:rsidR="00B1655C" w:rsidRPr="00224CBF" w:rsidRDefault="00B1655C" w:rsidP="00224CBF">
      <w:pPr>
        <w:numPr>
          <w:ilvl w:val="0"/>
          <w:numId w:val="12"/>
        </w:numPr>
        <w:spacing w:before="120" w:after="140"/>
      </w:pPr>
      <w:r w:rsidRPr="00224CBF">
        <w:t>details of your proposed governance arrangements and how you will manage the project</w:t>
      </w:r>
    </w:p>
    <w:p w:rsidR="00B1655C" w:rsidRPr="00224CBF" w:rsidRDefault="00B1655C" w:rsidP="00224CBF">
      <w:pPr>
        <w:numPr>
          <w:ilvl w:val="0"/>
          <w:numId w:val="12"/>
        </w:numPr>
        <w:spacing w:before="120" w:after="140"/>
      </w:pPr>
      <w:r w:rsidRPr="00224CBF">
        <w:t>a summary of your plan to deliver the project,</w:t>
      </w:r>
      <w:r w:rsidR="00217B4A" w:rsidRPr="00224CBF">
        <w:t xml:space="preserve"> in the form of a detailed project plan, </w:t>
      </w:r>
      <w:r w:rsidRPr="00224CBF">
        <w:t>including subcontracting arrangements</w:t>
      </w:r>
    </w:p>
    <w:p w:rsidR="00B1655C" w:rsidRPr="00224CBF" w:rsidRDefault="00B1655C" w:rsidP="00224CBF">
      <w:pPr>
        <w:numPr>
          <w:ilvl w:val="0"/>
          <w:numId w:val="12"/>
        </w:numPr>
        <w:spacing w:before="120" w:after="140"/>
      </w:pPr>
      <w:r w:rsidRPr="00224CBF">
        <w:t>a description of the experience of the personnel who will be delivering and managing the project/s.</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4817"/>
        <w:gridCol w:w="4817"/>
      </w:tblGrid>
      <w:tr w:rsidR="00B1655C" w:rsidRPr="00303BDE" w:rsidTr="00B1655C">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Borders>
              <w:top w:val="single" w:sz="4" w:space="0" w:color="auto"/>
              <w:left w:val="single" w:sz="4" w:space="0" w:color="auto"/>
              <w:bottom w:val="single" w:sz="4" w:space="0" w:color="auto"/>
              <w:right w:val="single" w:sz="4" w:space="0" w:color="auto"/>
            </w:tcBorders>
            <w:vAlign w:val="center"/>
          </w:tcPr>
          <w:p w:rsidR="00B1655C" w:rsidRPr="00303BDE" w:rsidRDefault="00B1655C" w:rsidP="00B1655C">
            <w:pPr>
              <w:spacing w:line="240" w:lineRule="auto"/>
              <w:ind w:left="57" w:right="57"/>
              <w:rPr>
                <w:rFonts w:ascii="Arial" w:eastAsia="Arial" w:hAnsi="Arial"/>
                <w:b/>
                <w:color w:val="000000"/>
                <w:szCs w:val="22"/>
              </w:rPr>
            </w:pPr>
            <w:bookmarkStart w:id="0" w:name="_Hlk39490938"/>
            <w:r>
              <w:rPr>
                <w:rFonts w:ascii="Arial" w:eastAsia="Arial" w:hAnsi="Arial"/>
                <w:b/>
                <w:color w:val="000000"/>
                <w:szCs w:val="22"/>
              </w:rPr>
              <w:t>Quality application responses:</w:t>
            </w:r>
          </w:p>
        </w:tc>
        <w:tc>
          <w:tcPr>
            <w:tcW w:w="4817" w:type="dxa"/>
            <w:tcBorders>
              <w:top w:val="single" w:sz="4" w:space="0" w:color="auto"/>
              <w:left w:val="single" w:sz="4" w:space="0" w:color="auto"/>
              <w:bottom w:val="single" w:sz="4" w:space="0" w:color="auto"/>
              <w:right w:val="single" w:sz="4" w:space="0" w:color="auto"/>
            </w:tcBorders>
            <w:vAlign w:val="center"/>
          </w:tcPr>
          <w:p w:rsidR="00B1655C" w:rsidRPr="00303BDE" w:rsidRDefault="00B1655C" w:rsidP="00B1655C">
            <w:pPr>
              <w:spacing w:line="240" w:lineRule="auto"/>
              <w:ind w:left="57" w:right="57"/>
              <w:rPr>
                <w:rFonts w:ascii="Arial" w:eastAsia="Arial" w:hAnsi="Arial"/>
                <w:b/>
                <w:color w:val="000000"/>
                <w:szCs w:val="22"/>
              </w:rPr>
            </w:pPr>
            <w:r>
              <w:rPr>
                <w:rFonts w:ascii="Arial" w:eastAsia="Arial" w:hAnsi="Arial"/>
                <w:b/>
                <w:color w:val="000000"/>
                <w:szCs w:val="22"/>
              </w:rPr>
              <w:t>Areas for improvement</w:t>
            </w:r>
          </w:p>
        </w:tc>
      </w:tr>
      <w:tr w:rsidR="00EB4121" w:rsidRPr="00A177A3" w:rsidTr="00B1655C">
        <w:trPr>
          <w:cnfStyle w:val="000000100000" w:firstRow="0" w:lastRow="0" w:firstColumn="0" w:lastColumn="0" w:oddVBand="0" w:evenVBand="0" w:oddHBand="1" w:evenHBand="0" w:firstRowFirstColumn="0" w:firstRowLastColumn="0" w:lastRowFirstColumn="0" w:lastRowLastColumn="0"/>
          <w:trHeight w:val="830"/>
        </w:trPr>
        <w:tc>
          <w:tcPr>
            <w:tcW w:w="4817" w:type="dxa"/>
            <w:tcBorders>
              <w:top w:val="single" w:sz="4" w:space="0" w:color="auto"/>
              <w:left w:val="single" w:sz="4" w:space="0" w:color="auto"/>
              <w:bottom w:val="single" w:sz="4" w:space="0" w:color="auto"/>
              <w:right w:val="single" w:sz="4" w:space="0" w:color="auto"/>
            </w:tcBorders>
            <w:shd w:val="clear" w:color="auto" w:fill="auto"/>
          </w:tcPr>
          <w:p w:rsidR="00EB4121" w:rsidRDefault="00B1655C" w:rsidP="00303BDE">
            <w:pPr>
              <w:pStyle w:val="TableBullets1"/>
            </w:pPr>
            <w:r w:rsidRPr="00B1655C">
              <w:t xml:space="preserve">included a </w:t>
            </w:r>
            <w:r w:rsidR="009E3298">
              <w:t xml:space="preserve">sufficiently </w:t>
            </w:r>
            <w:r w:rsidRPr="00B1655C">
              <w:t>detailed budget</w:t>
            </w:r>
          </w:p>
          <w:p w:rsidR="00B1655C" w:rsidRPr="00303BDE" w:rsidRDefault="00B1655C"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identified project costs to a level appropriate to the size and scope of the project</w:t>
            </w:r>
          </w:p>
          <w:p w:rsidR="00B1655C" w:rsidRPr="00303BDE" w:rsidRDefault="00B1655C"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identified financial contributions – amount and to which items – from other organisations</w:t>
            </w:r>
          </w:p>
          <w:p w:rsidR="00217B4A" w:rsidRDefault="00217B4A" w:rsidP="00303BDE">
            <w:pPr>
              <w:pStyle w:val="TableBullets1"/>
            </w:pPr>
            <w:r w:rsidRPr="00FE221A">
              <w:t>outlined the governance arrangements of the project</w:t>
            </w:r>
          </w:p>
          <w:p w:rsidR="00217B4A" w:rsidRPr="00A260B4" w:rsidRDefault="00217B4A" w:rsidP="00A260B4">
            <w:pPr>
              <w:pStyle w:val="TableBullets2"/>
            </w:pPr>
            <w:r w:rsidRPr="00A260B4">
              <w:t>demonstrat</w:t>
            </w:r>
            <w:r w:rsidR="009E3298" w:rsidRPr="00A260B4">
              <w:t>ed</w:t>
            </w:r>
            <w:r w:rsidRPr="00A260B4">
              <w:t xml:space="preserve"> the applicant ha</w:t>
            </w:r>
            <w:r w:rsidR="009E3298" w:rsidRPr="00A260B4">
              <w:t>d</w:t>
            </w:r>
            <w:r w:rsidRPr="00A260B4">
              <w:t xml:space="preserve"> adequate relevant experience to deliver the proposed project</w:t>
            </w:r>
          </w:p>
          <w:p w:rsidR="00B1655C" w:rsidRPr="00A260B4" w:rsidRDefault="00B1655C" w:rsidP="00A260B4">
            <w:pPr>
              <w:pStyle w:val="TableBullets2"/>
            </w:pPr>
            <w:r w:rsidRPr="00A260B4">
              <w:t>outlin</w:t>
            </w:r>
            <w:r w:rsidR="009E3298" w:rsidRPr="00A260B4">
              <w:t>ed</w:t>
            </w:r>
            <w:r w:rsidRPr="00A260B4">
              <w:t xml:space="preserve"> the organisation’s history in administering projects of the size</w:t>
            </w:r>
            <w:r w:rsidR="009E3298" w:rsidRPr="00A260B4">
              <w:t xml:space="preserve"> and type</w:t>
            </w:r>
            <w:r w:rsidRPr="00A260B4">
              <w:t xml:space="preserve"> proposed</w:t>
            </w:r>
          </w:p>
          <w:p w:rsidR="00730371" w:rsidRPr="00A260B4" w:rsidRDefault="00730371" w:rsidP="00A260B4">
            <w:pPr>
              <w:pStyle w:val="TableBullets2"/>
            </w:pPr>
            <w:r w:rsidRPr="00A260B4">
              <w:t>ensur</w:t>
            </w:r>
            <w:r w:rsidR="009E3298" w:rsidRPr="00A260B4">
              <w:t>ed</w:t>
            </w:r>
            <w:r w:rsidRPr="00A260B4">
              <w:t xml:space="preserve"> partner organisations’ activities</w:t>
            </w:r>
            <w:r w:rsidR="009E3298" w:rsidRPr="00A260B4">
              <w:t xml:space="preserve"> we</w:t>
            </w:r>
            <w:r w:rsidR="00661512">
              <w:t>re well coordinated</w:t>
            </w:r>
          </w:p>
          <w:p w:rsidR="00B1655C" w:rsidRPr="00A260B4" w:rsidRDefault="00FE221A" w:rsidP="00A260B4">
            <w:pPr>
              <w:pStyle w:val="TableBullets2"/>
            </w:pPr>
            <w:r w:rsidRPr="00A260B4">
              <w:t>demonstrat</w:t>
            </w:r>
            <w:r w:rsidR="009E3298" w:rsidRPr="00A260B4">
              <w:t>ed</w:t>
            </w:r>
            <w:r w:rsidRPr="00A260B4">
              <w:t xml:space="preserve"> the applicant </w:t>
            </w:r>
            <w:r w:rsidR="009E3298" w:rsidRPr="00A260B4">
              <w:t>wa</w:t>
            </w:r>
            <w:r w:rsidRPr="00A260B4">
              <w:t>s adequately equipped to deliver a project of the complexity proposed and achieve a positive outcome</w:t>
            </w:r>
          </w:p>
          <w:p w:rsidR="00FE221A" w:rsidRPr="00D26E0C" w:rsidRDefault="00FE221A" w:rsidP="00303BDE">
            <w:pPr>
              <w:pStyle w:val="TableBullets1"/>
            </w:pPr>
            <w:r w:rsidRPr="00D26E0C">
              <w:t>evidenced the applicant ha</w:t>
            </w:r>
            <w:r w:rsidR="009E3298">
              <w:t>d</w:t>
            </w:r>
            <w:r w:rsidRPr="00D26E0C">
              <w:t xml:space="preserve"> relevant processes</w:t>
            </w:r>
            <w:r w:rsidR="00661512">
              <w:t xml:space="preserve"> in place to ensure the project</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w</w:t>
            </w:r>
            <w:r w:rsidR="009E3298" w:rsidRPr="00303BDE">
              <w:rPr>
                <w:rFonts w:eastAsia="Arial" w:cstheme="minorHAnsi"/>
                <w:color w:val="auto"/>
              </w:rPr>
              <w:t>ould</w:t>
            </w:r>
            <w:r w:rsidRPr="00303BDE">
              <w:rPr>
                <w:rFonts w:eastAsia="Arial" w:cstheme="minorHAnsi"/>
                <w:color w:val="auto"/>
              </w:rPr>
              <w:t xml:space="preserve"> be well managed</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timelines w</w:t>
            </w:r>
            <w:r w:rsidR="009E3298" w:rsidRPr="00303BDE">
              <w:rPr>
                <w:rFonts w:eastAsia="Arial" w:cstheme="minorHAnsi"/>
                <w:color w:val="auto"/>
              </w:rPr>
              <w:t>ould</w:t>
            </w:r>
            <w:r w:rsidRPr="00303BDE">
              <w:rPr>
                <w:rFonts w:eastAsia="Arial" w:cstheme="minorHAnsi"/>
                <w:color w:val="auto"/>
              </w:rPr>
              <w:t xml:space="preserve"> be met</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w</w:t>
            </w:r>
            <w:r w:rsidR="009E3298" w:rsidRPr="00303BDE">
              <w:rPr>
                <w:rFonts w:eastAsia="Arial" w:cstheme="minorHAnsi"/>
                <w:color w:val="auto"/>
              </w:rPr>
              <w:t>ould</w:t>
            </w:r>
            <w:r w:rsidRPr="00303BDE">
              <w:rPr>
                <w:rFonts w:eastAsia="Arial" w:cstheme="minorHAnsi"/>
                <w:color w:val="auto"/>
              </w:rPr>
              <w:t xml:space="preserve"> be staffed with suitably skilled personnel</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finances w</w:t>
            </w:r>
            <w:r w:rsidR="009E3298" w:rsidRPr="00303BDE">
              <w:rPr>
                <w:rFonts w:eastAsia="Arial" w:cstheme="minorHAnsi"/>
                <w:color w:val="auto"/>
              </w:rPr>
              <w:t>ould</w:t>
            </w:r>
            <w:r w:rsidRPr="00303BDE">
              <w:rPr>
                <w:rFonts w:eastAsia="Arial" w:cstheme="minorHAnsi"/>
                <w:color w:val="auto"/>
              </w:rPr>
              <w:t xml:space="preserve"> be monitored accurately </w:t>
            </w:r>
          </w:p>
          <w:p w:rsidR="00730371" w:rsidRPr="00303BDE" w:rsidRDefault="009E3298"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would</w:t>
            </w:r>
            <w:r w:rsidR="00FE221A" w:rsidRPr="00303BDE">
              <w:rPr>
                <w:rFonts w:eastAsia="Arial" w:cstheme="minorHAnsi"/>
                <w:color w:val="auto"/>
              </w:rPr>
              <w:t xml:space="preserve"> be reported properly</w:t>
            </w:r>
          </w:p>
          <w:p w:rsidR="00730371" w:rsidRPr="00730371" w:rsidRDefault="00730371" w:rsidP="00303BDE">
            <w:pPr>
              <w:pStyle w:val="TableBullets1"/>
            </w:pPr>
            <w:r>
              <w:lastRenderedPageBreak/>
              <w:t xml:space="preserve">provided details on any proposed sub-contracting arrangements and the skills and expertise </w:t>
            </w:r>
            <w:r w:rsidR="009E3298">
              <w:t xml:space="preserve">to be </w:t>
            </w:r>
            <w:r>
              <w:t>b</w:t>
            </w:r>
            <w:r w:rsidR="007B2B49">
              <w:t>r</w:t>
            </w:r>
            <w:r>
              <w:t>ought in to deliver the project</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detail</w:t>
            </w:r>
            <w:r w:rsidR="009E3298" w:rsidRPr="00303BDE">
              <w:rPr>
                <w:rFonts w:eastAsia="Arial" w:cstheme="minorHAnsi"/>
                <w:color w:val="auto"/>
              </w:rPr>
              <w:t>ed</w:t>
            </w:r>
            <w:r w:rsidRPr="00303BDE">
              <w:rPr>
                <w:rFonts w:eastAsia="Arial" w:cstheme="minorHAnsi"/>
                <w:color w:val="auto"/>
              </w:rPr>
              <w:t xml:space="preserve"> the way in which relevant partnerships w</w:t>
            </w:r>
            <w:r w:rsidR="009E3298" w:rsidRPr="00303BDE">
              <w:rPr>
                <w:rFonts w:eastAsia="Arial" w:cstheme="minorHAnsi"/>
                <w:color w:val="auto"/>
              </w:rPr>
              <w:t>ould</w:t>
            </w:r>
            <w:r w:rsidRPr="00303BDE">
              <w:rPr>
                <w:rFonts w:eastAsia="Arial" w:cstheme="minorHAnsi"/>
                <w:color w:val="auto"/>
              </w:rPr>
              <w:t xml:space="preserve"> operate both administratively and practically, and explain</w:t>
            </w:r>
            <w:r w:rsidR="009E3298" w:rsidRPr="00303BDE">
              <w:rPr>
                <w:rFonts w:eastAsia="Arial" w:cstheme="minorHAnsi"/>
                <w:color w:val="auto"/>
              </w:rPr>
              <w:t>ed</w:t>
            </w:r>
            <w:r w:rsidRPr="00303BDE">
              <w:rPr>
                <w:rFonts w:eastAsia="Arial" w:cstheme="minorHAnsi"/>
                <w:color w:val="auto"/>
              </w:rPr>
              <w:t xml:space="preserve"> the role of each organisation partner and </w:t>
            </w:r>
            <w:r w:rsidR="00EE1F53" w:rsidRPr="00303BDE">
              <w:rPr>
                <w:rFonts w:eastAsia="Arial" w:cstheme="minorHAnsi"/>
                <w:color w:val="auto"/>
              </w:rPr>
              <w:t>the</w:t>
            </w:r>
            <w:r w:rsidRPr="00303BDE">
              <w:rPr>
                <w:rFonts w:eastAsia="Arial" w:cstheme="minorHAnsi"/>
                <w:color w:val="auto"/>
              </w:rPr>
              <w:t xml:space="preserve"> activities they would be responsible for </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evidenc</w:t>
            </w:r>
            <w:r w:rsidR="009E3298" w:rsidRPr="00303BDE">
              <w:rPr>
                <w:rFonts w:eastAsia="Arial" w:cstheme="minorHAnsi"/>
                <w:color w:val="auto"/>
              </w:rPr>
              <w:t>ed</w:t>
            </w:r>
            <w:r w:rsidRPr="00303BDE">
              <w:rPr>
                <w:rFonts w:eastAsia="Arial" w:cstheme="minorHAnsi"/>
                <w:color w:val="auto"/>
              </w:rPr>
              <w:t xml:space="preserve"> the applicants</w:t>
            </w:r>
            <w:r w:rsidR="009E3298" w:rsidRPr="00303BDE">
              <w:rPr>
                <w:rFonts w:eastAsia="Arial" w:cstheme="minorHAnsi"/>
                <w:color w:val="auto"/>
              </w:rPr>
              <w:t xml:space="preserve">’ ability to </w:t>
            </w:r>
            <w:r w:rsidRPr="00303BDE">
              <w:rPr>
                <w:rFonts w:eastAsia="Arial" w:cstheme="minorHAnsi"/>
                <w:color w:val="auto"/>
              </w:rPr>
              <w:t>work collaboratively with partner organisations in their project</w:t>
            </w:r>
          </w:p>
          <w:p w:rsidR="00730371" w:rsidRDefault="00730371" w:rsidP="00303BDE">
            <w:pPr>
              <w:pStyle w:val="TableBullets1"/>
            </w:pPr>
            <w:r w:rsidRPr="00730371">
              <w:t>detailed the applicant ha</w:t>
            </w:r>
            <w:r w:rsidR="009E3298">
              <w:t>d</w:t>
            </w:r>
            <w:r w:rsidRPr="00730371">
              <w:t xml:space="preserve"> </w:t>
            </w:r>
            <w:r>
              <w:t xml:space="preserve">personnel with </w:t>
            </w:r>
            <w:r w:rsidRPr="00730371">
              <w:t>the required technical knowledge</w:t>
            </w:r>
            <w:r>
              <w:t xml:space="preserve"> and</w:t>
            </w:r>
            <w:r w:rsidRPr="00730371">
              <w:t xml:space="preserve"> skills to be able to deliver the proposed project</w:t>
            </w:r>
          </w:p>
          <w:p w:rsidR="00FE221A" w:rsidRPr="00730371" w:rsidRDefault="00730371" w:rsidP="00970AE0">
            <w:pPr>
              <w:pStyle w:val="TableBullets2"/>
              <w:rPr>
                <w:rFonts w:ascii="Arial" w:hAnsi="Arial" w:cs="Arial"/>
              </w:rPr>
            </w:pPr>
            <w:proofErr w:type="gramStart"/>
            <w:r w:rsidRPr="00303BDE">
              <w:t>outlin</w:t>
            </w:r>
            <w:r w:rsidR="009E3298" w:rsidRPr="00303BDE">
              <w:t>ed</w:t>
            </w:r>
            <w:proofErr w:type="gramEnd"/>
            <w:r w:rsidRPr="00303BDE">
              <w:t xml:space="preserve"> their expertise or access to the relevant expertise required to deliver the project</w:t>
            </w:r>
            <w:r w:rsidR="009652A6" w:rsidRPr="00303BDE">
              <w:t>.</w:t>
            </w:r>
          </w:p>
        </w:tc>
        <w:tc>
          <w:tcPr>
            <w:tcW w:w="4817" w:type="dxa"/>
            <w:tcBorders>
              <w:top w:val="single" w:sz="4" w:space="0" w:color="auto"/>
              <w:left w:val="single" w:sz="4" w:space="0" w:color="auto"/>
              <w:bottom w:val="single" w:sz="4" w:space="0" w:color="auto"/>
              <w:right w:val="single" w:sz="4" w:space="0" w:color="auto"/>
            </w:tcBorders>
            <w:shd w:val="clear" w:color="auto" w:fill="auto"/>
          </w:tcPr>
          <w:p w:rsidR="00FE221A" w:rsidRPr="00FE221A" w:rsidRDefault="00FE221A" w:rsidP="00FE221A">
            <w:pPr>
              <w:spacing w:before="60" w:after="120" w:line="240" w:lineRule="auto"/>
              <w:ind w:left="113" w:right="57"/>
              <w:rPr>
                <w:rFonts w:ascii="Arial" w:eastAsia="Arial" w:hAnsi="Arial" w:cs="Arial"/>
                <w:color w:val="auto"/>
              </w:rPr>
            </w:pPr>
            <w:r w:rsidRPr="00FE221A">
              <w:rPr>
                <w:rFonts w:ascii="Arial" w:eastAsia="Arial" w:hAnsi="Arial" w:cs="Arial"/>
                <w:color w:val="auto"/>
              </w:rPr>
              <w:lastRenderedPageBreak/>
              <w:t>Generally, applicants could have strengthened their responses to Criterion 3 by:</w:t>
            </w:r>
          </w:p>
          <w:p w:rsidR="00FE221A" w:rsidRPr="00FE221A" w:rsidRDefault="00FE221A" w:rsidP="00A260B4">
            <w:pPr>
              <w:pStyle w:val="TableBullets1"/>
            </w:pPr>
            <w:r w:rsidRPr="00FE221A">
              <w:t xml:space="preserve">including a budget with </w:t>
            </w:r>
            <w:r w:rsidR="002A71DE">
              <w:t xml:space="preserve">sufficient number and detailed line items </w:t>
            </w:r>
            <w:r w:rsidR="007B2B49">
              <w:t xml:space="preserve">of </w:t>
            </w:r>
            <w:r w:rsidRPr="00FE221A">
              <w:t xml:space="preserve">requested funding that was sourced from industry information – </w:t>
            </w:r>
            <w:r w:rsidR="009E3298">
              <w:t>many</w:t>
            </w:r>
            <w:r w:rsidRPr="00FE221A">
              <w:t xml:space="preserve"> applications required more detailed budgets</w:t>
            </w:r>
          </w:p>
          <w:p w:rsidR="00FE221A" w:rsidRPr="00FE221A" w:rsidRDefault="00FE221A" w:rsidP="00A260B4">
            <w:pPr>
              <w:pStyle w:val="TableBullets1"/>
            </w:pPr>
            <w:r w:rsidRPr="00FE221A">
              <w:t>providing detailed information and evidence that the applicant ha</w:t>
            </w:r>
            <w:r w:rsidR="009E3298">
              <w:t>d</w:t>
            </w:r>
            <w:r w:rsidRPr="00FE221A">
              <w:t xml:space="preserve"> the required technical knowledge, skills and systems in place to be able to deliver the proposed project and achieve a positive outcome</w:t>
            </w:r>
          </w:p>
          <w:p w:rsidR="00FE221A" w:rsidRPr="00FE221A" w:rsidRDefault="00FE221A" w:rsidP="00A260B4">
            <w:pPr>
              <w:pStyle w:val="TableBullets1"/>
            </w:pPr>
            <w:r w:rsidRPr="00FE221A">
              <w:t>providing detailed information on how the project w</w:t>
            </w:r>
            <w:r w:rsidR="00F41765">
              <w:t>ould</w:t>
            </w:r>
            <w:r w:rsidRPr="00FE221A">
              <w:t xml:space="preserve"> be managed and governance arrangements to manage, coordinate and implement project activities</w:t>
            </w:r>
          </w:p>
          <w:p w:rsidR="00FE221A" w:rsidRPr="00FE221A" w:rsidRDefault="00FE221A" w:rsidP="00A260B4">
            <w:pPr>
              <w:pStyle w:val="TableBullets1"/>
            </w:pPr>
            <w:r w:rsidRPr="00FE221A">
              <w:t>explaining capacity constraints where the same personnel were identified to be involved in multiple projects</w:t>
            </w:r>
          </w:p>
          <w:p w:rsidR="00FA3251" w:rsidRPr="00B1655C" w:rsidRDefault="00FE221A" w:rsidP="00A260B4">
            <w:pPr>
              <w:pStyle w:val="TableBullets1"/>
              <w:rPr>
                <w:rFonts w:ascii="Arial" w:hAnsi="Arial" w:cs="Arial"/>
              </w:rPr>
            </w:pPr>
            <w:r w:rsidRPr="00FE221A">
              <w:rPr>
                <w:rFonts w:ascii="Arial" w:hAnsi="Arial" w:cs="Arial"/>
              </w:rPr>
              <w:t>providing evidence they can work collaboratively with partners in this project and manage sub-contracting arrangement</w:t>
            </w:r>
            <w:r w:rsidR="007B2B49">
              <w:rPr>
                <w:rFonts w:ascii="Arial" w:hAnsi="Arial" w:cs="Arial"/>
              </w:rPr>
              <w:t>s</w:t>
            </w:r>
            <w:r w:rsidR="00F41765">
              <w:rPr>
                <w:rFonts w:ascii="Arial" w:hAnsi="Arial" w:cs="Arial"/>
              </w:rPr>
              <w:t xml:space="preserve"> to successful conclusions.</w:t>
            </w:r>
          </w:p>
        </w:tc>
      </w:tr>
    </w:tbl>
    <w:bookmarkEnd w:id="0"/>
    <w:p w:rsidR="00FE221A" w:rsidRPr="00A260B4" w:rsidRDefault="00FE221A" w:rsidP="00760C83">
      <w:pPr>
        <w:pStyle w:val="Heading2"/>
        <w:rPr>
          <w:rStyle w:val="Strong"/>
        </w:rPr>
      </w:pPr>
      <w:r w:rsidRPr="00A260B4">
        <w:rPr>
          <w:rStyle w:val="Strong"/>
        </w:rPr>
        <w:t>Attachments</w:t>
      </w:r>
    </w:p>
    <w:p w:rsidR="00FE221A" w:rsidRPr="00A52535" w:rsidRDefault="00FE221A" w:rsidP="00760C83">
      <w:pPr>
        <w:keepNext/>
        <w:spacing w:before="120" w:after="240" w:line="240" w:lineRule="auto"/>
        <w:rPr>
          <w:rFonts w:ascii="Arial" w:eastAsia="Times New Roman" w:hAnsi="Arial" w:cs="Arial"/>
          <w:color w:val="auto"/>
          <w:szCs w:val="22"/>
        </w:rPr>
      </w:pPr>
      <w:r w:rsidRPr="00A52535">
        <w:rPr>
          <w:rFonts w:ascii="Arial" w:eastAsia="Times New Roman" w:hAnsi="Arial" w:cs="Arial"/>
          <w:color w:val="auto"/>
          <w:szCs w:val="22"/>
        </w:rPr>
        <w:t>Applicants were to attach the following documentation to the application for it to be considered compliant and for it to proceed to assessment:</w:t>
      </w:r>
    </w:p>
    <w:p w:rsidR="00FE221A" w:rsidRPr="00224CBF" w:rsidRDefault="00FE221A" w:rsidP="00224CBF">
      <w:pPr>
        <w:numPr>
          <w:ilvl w:val="0"/>
          <w:numId w:val="12"/>
        </w:numPr>
        <w:spacing w:before="120" w:after="140"/>
      </w:pPr>
      <w:r w:rsidRPr="00224CBF">
        <w:t>a project proposal</w:t>
      </w:r>
    </w:p>
    <w:p w:rsidR="00FE221A" w:rsidRPr="00224CBF" w:rsidRDefault="00FE221A" w:rsidP="00224CBF">
      <w:pPr>
        <w:numPr>
          <w:ilvl w:val="0"/>
          <w:numId w:val="12"/>
        </w:numPr>
        <w:spacing w:before="120" w:after="140"/>
      </w:pPr>
      <w:r w:rsidRPr="00224CBF">
        <w:t>a project budget</w:t>
      </w:r>
    </w:p>
    <w:p w:rsidR="00FE221A" w:rsidRPr="00224CBF" w:rsidRDefault="00FE221A" w:rsidP="00224CBF">
      <w:pPr>
        <w:numPr>
          <w:ilvl w:val="0"/>
          <w:numId w:val="12"/>
        </w:numPr>
        <w:spacing w:before="120" w:after="140"/>
      </w:pPr>
      <w:r w:rsidRPr="00224CBF">
        <w:t>copies of written support or an indication that this would be provided on request</w:t>
      </w:r>
      <w:r w:rsidR="009652A6" w:rsidRPr="00224CBF">
        <w:t>.</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4817"/>
        <w:gridCol w:w="4817"/>
      </w:tblGrid>
      <w:tr w:rsidR="00FE221A" w:rsidRPr="00A177A3" w:rsidTr="002056A3">
        <w:trPr>
          <w:cnfStyle w:val="100000000000" w:firstRow="1" w:lastRow="0" w:firstColumn="0" w:lastColumn="0" w:oddVBand="0" w:evenVBand="0" w:oddHBand="0" w:evenHBand="0" w:firstRowFirstColumn="0" w:firstRowLastColumn="0" w:lastRowFirstColumn="0" w:lastRowLastColumn="0"/>
          <w:trHeight w:val="472"/>
          <w:tblHeader/>
        </w:trPr>
        <w:tc>
          <w:tcPr>
            <w:tcW w:w="4817" w:type="dxa"/>
            <w:tcBorders>
              <w:top w:val="single" w:sz="4" w:space="0" w:color="auto"/>
              <w:left w:val="single" w:sz="4" w:space="0" w:color="auto"/>
              <w:bottom w:val="single" w:sz="4" w:space="0" w:color="auto"/>
              <w:right w:val="single" w:sz="4" w:space="0" w:color="auto"/>
            </w:tcBorders>
            <w:vAlign w:val="center"/>
          </w:tcPr>
          <w:p w:rsidR="00FE221A" w:rsidRPr="00A177A3" w:rsidRDefault="00FE221A" w:rsidP="002056A3">
            <w:pPr>
              <w:spacing w:line="240" w:lineRule="auto"/>
              <w:ind w:left="57" w:right="57"/>
              <w:rPr>
                <w:rFonts w:ascii="Arial" w:eastAsia="Arial" w:hAnsi="Arial"/>
                <w:b/>
                <w:color w:val="000000"/>
              </w:rPr>
            </w:pPr>
            <w:r>
              <w:rPr>
                <w:rFonts w:ascii="Arial" w:eastAsia="Arial" w:hAnsi="Arial"/>
                <w:b/>
                <w:color w:val="000000"/>
                <w:szCs w:val="22"/>
              </w:rPr>
              <w:t>Quality application responses:</w:t>
            </w:r>
          </w:p>
        </w:tc>
        <w:tc>
          <w:tcPr>
            <w:tcW w:w="4817" w:type="dxa"/>
            <w:tcBorders>
              <w:top w:val="single" w:sz="4" w:space="0" w:color="auto"/>
              <w:left w:val="single" w:sz="4" w:space="0" w:color="auto"/>
              <w:bottom w:val="single" w:sz="4" w:space="0" w:color="auto"/>
              <w:right w:val="single" w:sz="4" w:space="0" w:color="auto"/>
            </w:tcBorders>
            <w:vAlign w:val="center"/>
          </w:tcPr>
          <w:p w:rsidR="00FE221A" w:rsidRPr="00A177A3" w:rsidRDefault="00FE221A" w:rsidP="002056A3">
            <w:pPr>
              <w:spacing w:line="240" w:lineRule="auto"/>
              <w:ind w:left="57" w:right="57"/>
              <w:rPr>
                <w:rFonts w:ascii="Arial" w:eastAsia="Arial" w:hAnsi="Arial"/>
                <w:b/>
                <w:color w:val="000000"/>
              </w:rPr>
            </w:pPr>
            <w:r>
              <w:rPr>
                <w:rFonts w:ascii="Arial" w:eastAsia="Arial" w:hAnsi="Arial"/>
                <w:b/>
                <w:color w:val="000000"/>
                <w:szCs w:val="22"/>
              </w:rPr>
              <w:t>Areas for improvement</w:t>
            </w:r>
          </w:p>
        </w:tc>
      </w:tr>
      <w:tr w:rsidR="00FE221A" w:rsidRPr="00A177A3" w:rsidTr="002056A3">
        <w:trPr>
          <w:cnfStyle w:val="000000100000" w:firstRow="0" w:lastRow="0" w:firstColumn="0" w:lastColumn="0" w:oddVBand="0" w:evenVBand="0" w:oddHBand="1" w:evenHBand="0" w:firstRowFirstColumn="0" w:firstRowLastColumn="0" w:lastRowFirstColumn="0" w:lastRowLastColumn="0"/>
          <w:trHeight w:val="830"/>
        </w:trPr>
        <w:tc>
          <w:tcPr>
            <w:tcW w:w="4817" w:type="dxa"/>
            <w:tcBorders>
              <w:top w:val="single" w:sz="4" w:space="0" w:color="auto"/>
              <w:left w:val="single" w:sz="4" w:space="0" w:color="auto"/>
              <w:bottom w:val="single" w:sz="4" w:space="0" w:color="auto"/>
              <w:right w:val="single" w:sz="4" w:space="0" w:color="auto"/>
            </w:tcBorders>
            <w:shd w:val="clear" w:color="auto" w:fill="auto"/>
          </w:tcPr>
          <w:p w:rsidR="00FE221A" w:rsidRPr="00FE221A" w:rsidRDefault="00FE221A" w:rsidP="00303BDE">
            <w:pPr>
              <w:pStyle w:val="TableBullets1"/>
              <w:rPr>
                <w:rFonts w:cs="Arial"/>
                <w:color w:val="auto"/>
              </w:rPr>
            </w:pPr>
            <w:r w:rsidRPr="00B672A5">
              <w:t>attached a project proposal</w:t>
            </w:r>
            <w:r w:rsidR="00F0574D">
              <w:t xml:space="preserve"> that</w:t>
            </w:r>
            <w:r>
              <w:t>:</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provid</w:t>
            </w:r>
            <w:r w:rsidR="00F0574D" w:rsidRPr="00303BDE">
              <w:rPr>
                <w:rFonts w:eastAsia="Arial" w:cstheme="minorHAnsi"/>
                <w:color w:val="auto"/>
              </w:rPr>
              <w:t xml:space="preserve">ed </w:t>
            </w:r>
            <w:r w:rsidRPr="00303BDE">
              <w:rPr>
                <w:rFonts w:eastAsia="Arial" w:cstheme="minorHAnsi"/>
                <w:color w:val="auto"/>
              </w:rPr>
              <w:t>additional information to complement that provided in the application form (e.g. relating to governance arrangements, and against the selection criteria)</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outlin</w:t>
            </w:r>
            <w:r w:rsidR="00F0574D" w:rsidRPr="00303BDE">
              <w:rPr>
                <w:rFonts w:eastAsia="Arial" w:cstheme="minorHAnsi"/>
                <w:color w:val="auto"/>
              </w:rPr>
              <w:t>ed</w:t>
            </w:r>
            <w:r w:rsidRPr="00303BDE">
              <w:rPr>
                <w:rFonts w:eastAsia="Arial" w:cstheme="minorHAnsi"/>
                <w:color w:val="auto"/>
              </w:rPr>
              <w:t xml:space="preserve"> </w:t>
            </w:r>
            <w:r w:rsidR="00F0574D" w:rsidRPr="00303BDE">
              <w:rPr>
                <w:rFonts w:eastAsia="Arial" w:cstheme="minorHAnsi"/>
                <w:color w:val="auto"/>
              </w:rPr>
              <w:t>a suitable</w:t>
            </w:r>
            <w:r w:rsidRPr="00303BDE">
              <w:rPr>
                <w:rFonts w:eastAsia="Arial" w:cstheme="minorHAnsi"/>
                <w:color w:val="auto"/>
              </w:rPr>
              <w:t xml:space="preserve"> plan for the project including activities, tasks, deliverables, key milestones and timeframes</w:t>
            </w:r>
          </w:p>
          <w:p w:rsidR="002A71DE" w:rsidRPr="00303BDE" w:rsidRDefault="002A71DE"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demonstrat</w:t>
            </w:r>
            <w:r w:rsidR="00F0574D" w:rsidRPr="00303BDE">
              <w:rPr>
                <w:rFonts w:eastAsia="Arial" w:cstheme="minorHAnsi"/>
                <w:color w:val="auto"/>
              </w:rPr>
              <w:t>ed</w:t>
            </w:r>
            <w:r w:rsidRPr="00303BDE">
              <w:rPr>
                <w:rFonts w:eastAsia="Arial" w:cstheme="minorHAnsi"/>
                <w:color w:val="auto"/>
              </w:rPr>
              <w:t xml:space="preserve"> an understanding and consideration of</w:t>
            </w:r>
            <w:r w:rsidR="00FE221A" w:rsidRPr="00303BDE">
              <w:rPr>
                <w:rFonts w:eastAsia="Arial" w:cstheme="minorHAnsi"/>
                <w:color w:val="auto"/>
              </w:rPr>
              <w:t xml:space="preserve"> risks associated with delivering the grant activities, and</w:t>
            </w:r>
            <w:r w:rsidR="00F0574D" w:rsidRPr="00303BDE">
              <w:rPr>
                <w:rFonts w:eastAsia="Arial" w:cstheme="minorHAnsi"/>
                <w:color w:val="auto"/>
              </w:rPr>
              <w:t xml:space="preserve"> </w:t>
            </w:r>
            <w:r w:rsidRPr="00303BDE">
              <w:rPr>
                <w:rFonts w:eastAsia="Arial" w:cstheme="minorHAnsi"/>
                <w:color w:val="auto"/>
              </w:rPr>
              <w:lastRenderedPageBreak/>
              <w:t>stipulat</w:t>
            </w:r>
            <w:r w:rsidR="00F0574D" w:rsidRPr="00303BDE">
              <w:rPr>
                <w:rFonts w:eastAsia="Arial" w:cstheme="minorHAnsi"/>
                <w:color w:val="auto"/>
              </w:rPr>
              <w:t>ed</w:t>
            </w:r>
            <w:r w:rsidRPr="00303BDE">
              <w:rPr>
                <w:rFonts w:eastAsia="Arial" w:cstheme="minorHAnsi"/>
                <w:color w:val="auto"/>
              </w:rPr>
              <w:t xml:space="preserve"> the processes to be put in place to ensure management and mitigation of identified risks</w:t>
            </w:r>
          </w:p>
          <w:p w:rsidR="00FE221A" w:rsidRDefault="00FE221A" w:rsidP="00303BDE">
            <w:pPr>
              <w:pStyle w:val="TableBullets1"/>
              <w:rPr>
                <w:rFonts w:cs="Arial"/>
                <w:color w:val="auto"/>
              </w:rPr>
            </w:pPr>
            <w:r w:rsidRPr="00B672A5">
              <w:t>attached a project budget</w:t>
            </w:r>
            <w:r w:rsidRPr="00B672A5">
              <w:rPr>
                <w:rFonts w:cs="Arial"/>
                <w:color w:val="auto"/>
              </w:rPr>
              <w:t xml:space="preserve"> </w:t>
            </w:r>
          </w:p>
          <w:p w:rsidR="00FE221A" w:rsidRPr="00303BDE" w:rsidRDefault="00FE221A" w:rsidP="00303BDE">
            <w:pPr>
              <w:pStyle w:val="ListParagraph"/>
              <w:numPr>
                <w:ilvl w:val="1"/>
                <w:numId w:val="18"/>
              </w:numPr>
              <w:spacing w:before="40" w:after="120" w:line="240" w:lineRule="auto"/>
              <w:ind w:left="709" w:right="142" w:hanging="284"/>
              <w:rPr>
                <w:rFonts w:eastAsia="Arial" w:cstheme="minorHAnsi"/>
                <w:color w:val="auto"/>
              </w:rPr>
            </w:pPr>
            <w:r w:rsidRPr="00303BDE">
              <w:rPr>
                <w:rFonts w:eastAsia="Arial" w:cstheme="minorHAnsi"/>
                <w:color w:val="auto"/>
              </w:rPr>
              <w:t xml:space="preserve">refer to specific feedback for Criterion 3 </w:t>
            </w:r>
            <w:r w:rsidR="00730371" w:rsidRPr="00303BDE">
              <w:rPr>
                <w:rFonts w:eastAsia="Arial" w:cstheme="minorHAnsi"/>
                <w:color w:val="auto"/>
              </w:rPr>
              <w:br/>
            </w:r>
            <w:r w:rsidRPr="00303BDE">
              <w:rPr>
                <w:rFonts w:eastAsia="Arial" w:cstheme="minorHAnsi"/>
                <w:color w:val="auto"/>
              </w:rPr>
              <w:t>– Organisation capability</w:t>
            </w:r>
          </w:p>
          <w:p w:rsidR="00FE221A" w:rsidRPr="00FE221A" w:rsidRDefault="00FE221A" w:rsidP="00303BDE">
            <w:pPr>
              <w:pStyle w:val="TableBullets1"/>
              <w:rPr>
                <w:rFonts w:cs="Arial"/>
                <w:color w:val="auto"/>
              </w:rPr>
            </w:pPr>
            <w:r>
              <w:t>i</w:t>
            </w:r>
            <w:r w:rsidRPr="00B672A5">
              <w:t>ncluded copies of written support</w:t>
            </w:r>
          </w:p>
          <w:p w:rsidR="00FE221A" w:rsidRPr="00FE221A" w:rsidRDefault="00FE221A" w:rsidP="00A260B4">
            <w:pPr>
              <w:pStyle w:val="TableBullets2"/>
              <w:rPr>
                <w:rFonts w:ascii="Arial" w:hAnsi="Arial" w:cs="Arial"/>
              </w:rPr>
            </w:pPr>
            <w:r w:rsidRPr="00303BDE">
              <w:t xml:space="preserve">refer to specific feedback for Criterion 2 </w:t>
            </w:r>
            <w:r w:rsidR="00730371" w:rsidRPr="00303BDE">
              <w:br/>
            </w:r>
            <w:r w:rsidRPr="00303BDE">
              <w:t>– Community support and benefit</w:t>
            </w:r>
          </w:p>
        </w:tc>
        <w:tc>
          <w:tcPr>
            <w:tcW w:w="4817" w:type="dxa"/>
            <w:tcBorders>
              <w:top w:val="single" w:sz="4" w:space="0" w:color="auto"/>
              <w:left w:val="single" w:sz="4" w:space="0" w:color="auto"/>
              <w:bottom w:val="single" w:sz="4" w:space="0" w:color="auto"/>
              <w:right w:val="single" w:sz="4" w:space="0" w:color="auto"/>
            </w:tcBorders>
            <w:shd w:val="clear" w:color="auto" w:fill="auto"/>
          </w:tcPr>
          <w:p w:rsidR="00FE221A" w:rsidRPr="00FE221A" w:rsidRDefault="00FE221A" w:rsidP="00FE221A">
            <w:pPr>
              <w:spacing w:before="60" w:after="120" w:line="240" w:lineRule="auto"/>
              <w:ind w:left="113" w:right="57"/>
              <w:rPr>
                <w:rFonts w:ascii="Arial" w:eastAsia="Arial" w:hAnsi="Arial" w:cs="Arial"/>
                <w:color w:val="auto"/>
              </w:rPr>
            </w:pPr>
            <w:r w:rsidRPr="00FE221A">
              <w:rPr>
                <w:rFonts w:ascii="Arial" w:eastAsia="Arial" w:hAnsi="Arial" w:cs="Arial"/>
                <w:color w:val="auto"/>
              </w:rPr>
              <w:lastRenderedPageBreak/>
              <w:t>Generally, applicants could have strengthened their responses by:</w:t>
            </w:r>
          </w:p>
          <w:p w:rsidR="00FE221A" w:rsidRPr="00FE221A" w:rsidRDefault="00FE221A" w:rsidP="00303BDE">
            <w:pPr>
              <w:pStyle w:val="TableBullets1"/>
            </w:pPr>
            <w:r w:rsidRPr="00FE221A">
              <w:t>providing detailed evidence the proposed project w</w:t>
            </w:r>
            <w:r w:rsidR="00F0574D">
              <w:t>ould</w:t>
            </w:r>
            <w:r w:rsidRPr="00FE221A">
              <w:t xml:space="preserve"> identify and engage with relevant stakeholders and incorporate and provide benefit to a wide range of community and interest groups outside of the immediate project personnel and/or organisations</w:t>
            </w:r>
            <w:bookmarkStart w:id="1" w:name="_GoBack"/>
            <w:bookmarkEnd w:id="1"/>
          </w:p>
          <w:p w:rsidR="00FE221A" w:rsidRPr="00FE221A" w:rsidRDefault="00FE221A" w:rsidP="00303BDE">
            <w:pPr>
              <w:pStyle w:val="TableBullets1"/>
            </w:pPr>
            <w:r w:rsidRPr="00FE221A">
              <w:lastRenderedPageBreak/>
              <w:t>avoiding cutting and pasting from the main application, and including more</w:t>
            </w:r>
            <w:r w:rsidR="00F0574D">
              <w:t xml:space="preserve"> and better</w:t>
            </w:r>
            <w:r w:rsidRPr="00FE221A">
              <w:t xml:space="preserve"> details on the project </w:t>
            </w:r>
          </w:p>
          <w:p w:rsidR="00FE221A" w:rsidRPr="00FE221A" w:rsidRDefault="00FE221A" w:rsidP="00303BDE">
            <w:pPr>
              <w:pStyle w:val="TableBullets1"/>
            </w:pPr>
            <w:r w:rsidRPr="00FE221A">
              <w:t xml:space="preserve">explaining how the applicant will coordinate the interests, needs and valuable contributions of all stakeholders, including people from diverse or minority backgrounds </w:t>
            </w:r>
          </w:p>
          <w:p w:rsidR="00FE221A" w:rsidRPr="00B1655C" w:rsidRDefault="00FE221A" w:rsidP="00970AE0">
            <w:pPr>
              <w:pStyle w:val="TableBullets1"/>
              <w:rPr>
                <w:rFonts w:ascii="Arial" w:hAnsi="Arial" w:cs="Arial"/>
              </w:rPr>
            </w:pPr>
            <w:proofErr w:type="gramStart"/>
            <w:r w:rsidRPr="00FE221A">
              <w:rPr>
                <w:rFonts w:ascii="Arial" w:hAnsi="Arial" w:cs="Arial"/>
              </w:rPr>
              <w:t>outlining</w:t>
            </w:r>
            <w:proofErr w:type="gramEnd"/>
            <w:r w:rsidRPr="00FE221A">
              <w:rPr>
                <w:rFonts w:ascii="Arial" w:hAnsi="Arial" w:cs="Arial"/>
              </w:rPr>
              <w:t xml:space="preserve"> the applicant identified and understood </w:t>
            </w:r>
            <w:r w:rsidR="00F0574D">
              <w:rPr>
                <w:rFonts w:ascii="Arial" w:hAnsi="Arial" w:cs="Arial"/>
              </w:rPr>
              <w:t xml:space="preserve">project </w:t>
            </w:r>
            <w:r w:rsidRPr="00FE221A">
              <w:rPr>
                <w:rFonts w:ascii="Arial" w:hAnsi="Arial" w:cs="Arial"/>
              </w:rPr>
              <w:t xml:space="preserve">risks and that processes </w:t>
            </w:r>
            <w:r w:rsidR="00F0574D">
              <w:rPr>
                <w:rFonts w:ascii="Arial" w:hAnsi="Arial" w:cs="Arial"/>
              </w:rPr>
              <w:t>we</w:t>
            </w:r>
            <w:r w:rsidRPr="00FE221A">
              <w:rPr>
                <w:rFonts w:ascii="Arial" w:hAnsi="Arial" w:cs="Arial"/>
              </w:rPr>
              <w:t>re in place to manage and mitigate the identified risks</w:t>
            </w:r>
            <w:r w:rsidR="00F0574D">
              <w:rPr>
                <w:rFonts w:ascii="Arial" w:hAnsi="Arial" w:cs="Arial"/>
              </w:rPr>
              <w:t>.</w:t>
            </w:r>
          </w:p>
        </w:tc>
      </w:tr>
    </w:tbl>
    <w:p w:rsidR="00EC114F" w:rsidRPr="0084087C" w:rsidRDefault="00EC114F" w:rsidP="00760C83">
      <w:pPr>
        <w:pStyle w:val="Heading1"/>
        <w:pageBreakBefore/>
        <w:numPr>
          <w:ilvl w:val="0"/>
          <w:numId w:val="0"/>
        </w:numPr>
        <w:ind w:left="454" w:hanging="454"/>
        <w:rPr>
          <w:rFonts w:asciiTheme="minorHAnsi" w:eastAsia="Times New Roman" w:hAnsiTheme="minorHAnsi" w:cstheme="minorHAnsi"/>
          <w:bCs/>
        </w:rPr>
      </w:pPr>
      <w:r w:rsidRPr="0084087C">
        <w:rPr>
          <w:rFonts w:asciiTheme="minorHAnsi" w:eastAsia="Times New Roman" w:hAnsiTheme="minorHAnsi" w:cstheme="minorHAnsi"/>
          <w:bCs/>
        </w:rPr>
        <w:lastRenderedPageBreak/>
        <w:t xml:space="preserve">Individual feedback </w:t>
      </w:r>
    </w:p>
    <w:p w:rsidR="00EC114F" w:rsidRPr="00A52535" w:rsidRDefault="00EC114F" w:rsidP="00A52535">
      <w:pPr>
        <w:spacing w:before="120" w:after="240" w:line="220" w:lineRule="atLeast"/>
        <w:rPr>
          <w:rFonts w:ascii="Arial" w:eastAsia="Times New Roman" w:hAnsi="Arial" w:cs="Arial"/>
          <w:color w:val="auto"/>
          <w:szCs w:val="22"/>
        </w:rPr>
      </w:pPr>
      <w:r w:rsidRPr="00A52535">
        <w:rPr>
          <w:rFonts w:ascii="Arial" w:eastAsia="Times New Roman" w:hAnsi="Arial" w:cs="Arial"/>
          <w:color w:val="auto"/>
          <w:szCs w:val="22"/>
        </w:rPr>
        <w:t xml:space="preserve">Individual feedback is available to applicants by contacting the Community Grants Hub </w:t>
      </w:r>
      <w:r w:rsidR="007B2B49" w:rsidRPr="00A52535">
        <w:rPr>
          <w:rFonts w:ascii="Arial" w:eastAsia="Times New Roman" w:hAnsi="Arial" w:cs="Arial"/>
          <w:color w:val="auto"/>
          <w:szCs w:val="22"/>
        </w:rPr>
        <w:t xml:space="preserve">(the Hub) </w:t>
      </w:r>
      <w:r w:rsidRPr="00A52535">
        <w:rPr>
          <w:rFonts w:ascii="Arial" w:eastAsia="Times New Roman" w:hAnsi="Arial" w:cs="Arial"/>
          <w:color w:val="auto"/>
          <w:szCs w:val="22"/>
        </w:rPr>
        <w:t>(phone</w:t>
      </w:r>
      <w:r w:rsidR="007B2B49" w:rsidRPr="00A52535">
        <w:rPr>
          <w:rFonts w:ascii="Arial" w:eastAsia="Times New Roman" w:hAnsi="Arial" w:cs="Arial"/>
          <w:color w:val="auto"/>
          <w:szCs w:val="22"/>
        </w:rPr>
        <w:t>:</w:t>
      </w:r>
      <w:r w:rsidRPr="00A52535">
        <w:rPr>
          <w:rFonts w:ascii="Arial" w:eastAsia="Times New Roman" w:hAnsi="Arial" w:cs="Arial"/>
          <w:color w:val="auto"/>
          <w:szCs w:val="22"/>
        </w:rPr>
        <w:t>1800 020 283 or email</w:t>
      </w:r>
      <w:r w:rsidR="007B2B49" w:rsidRPr="00A52535">
        <w:rPr>
          <w:rFonts w:ascii="Arial" w:eastAsia="Times New Roman" w:hAnsi="Arial" w:cs="Arial"/>
          <w:color w:val="auto"/>
          <w:szCs w:val="22"/>
        </w:rPr>
        <w:t>:</w:t>
      </w:r>
      <w:r w:rsidR="00A52535">
        <w:rPr>
          <w:rFonts w:ascii="Arial" w:eastAsia="Times New Roman" w:hAnsi="Arial" w:cs="Arial"/>
          <w:color w:val="auto"/>
          <w:szCs w:val="22"/>
        </w:rPr>
        <w:t xml:space="preserve"> </w:t>
      </w:r>
      <w:hyperlink r:id="rId10" w:history="1">
        <w:r w:rsidR="00307603" w:rsidRPr="00582129">
          <w:rPr>
            <w:rStyle w:val="Hyperlink"/>
          </w:rPr>
          <w:t>support@communitygrants.gov.au</w:t>
        </w:r>
      </w:hyperlink>
      <w:r w:rsidRPr="00EC08A4">
        <w:t xml:space="preserve">) within </w:t>
      </w:r>
      <w:r w:rsidRPr="00BB65BC">
        <w:rPr>
          <w:b/>
        </w:rPr>
        <w:t>40 business days</w:t>
      </w:r>
      <w:r w:rsidRPr="00EC08A4">
        <w:t xml:space="preserve"> of having received the outcome notification letter. Please include in the request your legal entity name, application ID and the project activity title. </w:t>
      </w:r>
      <w:r w:rsidRPr="00EC08A4">
        <w:rPr>
          <w:rFonts w:eastAsia="Calibri" w:cstheme="minorHAnsi"/>
          <w:color w:val="auto"/>
          <w:szCs w:val="22"/>
        </w:rPr>
        <w:t>The Hub will endeavour to respond to your request within 30 business</w:t>
      </w:r>
      <w:r>
        <w:rPr>
          <w:rFonts w:eastAsia="Calibri" w:cstheme="minorHAnsi"/>
          <w:color w:val="auto"/>
          <w:szCs w:val="22"/>
        </w:rPr>
        <w:t xml:space="preserve"> </w:t>
      </w:r>
      <w:r w:rsidRPr="008344FE">
        <w:rPr>
          <w:rFonts w:eastAsia="Calibri" w:cstheme="minorHAnsi"/>
          <w:color w:val="auto"/>
          <w:szCs w:val="22"/>
        </w:rPr>
        <w:t>days</w:t>
      </w:r>
      <w:r>
        <w:rPr>
          <w:rFonts w:eastAsia="Calibri" w:cstheme="minorHAnsi"/>
          <w:color w:val="auto"/>
          <w:szCs w:val="22"/>
        </w:rPr>
        <w:t xml:space="preserve"> from the date of the request for feedback</w:t>
      </w:r>
      <w:r>
        <w:t>.</w:t>
      </w:r>
    </w:p>
    <w:sectPr w:rsidR="00EC114F" w:rsidRPr="00A52535"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AD" w:rsidRDefault="00C324AD" w:rsidP="00772718">
      <w:pPr>
        <w:spacing w:line="240" w:lineRule="auto"/>
      </w:pPr>
      <w:r>
        <w:separator/>
      </w:r>
    </w:p>
  </w:endnote>
  <w:endnote w:type="continuationSeparator" w:id="0">
    <w:p w:rsidR="00C324AD" w:rsidRDefault="00C324A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866C0A">
      <w:rPr>
        <w:noProof/>
      </w:rPr>
      <w:t>12</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56192" behindDoc="0" locked="1" layoutInCell="1" allowOverlap="1" wp14:anchorId="481282B1" wp14:editId="092C9965">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2D084"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BC4D8F">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AD" w:rsidRDefault="00C324AD" w:rsidP="00772718">
      <w:pPr>
        <w:spacing w:line="240" w:lineRule="auto"/>
      </w:pPr>
      <w:r>
        <w:separator/>
      </w:r>
    </w:p>
  </w:footnote>
  <w:footnote w:type="continuationSeparator" w:id="0">
    <w:p w:rsidR="00C324AD" w:rsidRDefault="00C324A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0FADF3DF" wp14:editId="1F7166D7">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43F9D"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5C82FBC1" wp14:editId="2800F70D">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w:drawing>
        <wp:anchor distT="0" distB="0" distL="114300" distR="114300" simplePos="0" relativeHeight="251660288" behindDoc="0" locked="1" layoutInCell="1" allowOverlap="1" wp14:anchorId="0F056A0C" wp14:editId="5DC2043B">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77293C46" wp14:editId="03FA3867">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0FD11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31527B58" wp14:editId="4452B41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A687B4"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33D39705" wp14:editId="57556B4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6DB58"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3CF0F0B"/>
    <w:multiLevelType w:val="multilevel"/>
    <w:tmpl w:val="8228C812"/>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o"/>
      <w:lvlJc w:val="left"/>
      <w:pPr>
        <w:ind w:left="567" w:hanging="227"/>
      </w:pPr>
      <w:rPr>
        <w:rFonts w:ascii="Courier New" w:hAnsi="Courier New" w:cs="Courier New"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E5A2D28"/>
    <w:multiLevelType w:val="hybridMultilevel"/>
    <w:tmpl w:val="485C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F6A2378"/>
    <w:multiLevelType w:val="hybridMultilevel"/>
    <w:tmpl w:val="E6DA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06B4C8A"/>
    <w:multiLevelType w:val="hybridMultilevel"/>
    <w:tmpl w:val="018CAC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52792A7B"/>
    <w:multiLevelType w:val="hybridMultilevel"/>
    <w:tmpl w:val="C608C47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A4425AA"/>
    <w:multiLevelType w:val="hybridMultilevel"/>
    <w:tmpl w:val="63CC031C"/>
    <w:lvl w:ilvl="0" w:tplc="0C090001">
      <w:start w:val="1"/>
      <w:numFmt w:val="bullet"/>
      <w:lvlText w:val=""/>
      <w:lvlJc w:val="left"/>
      <w:pPr>
        <w:ind w:left="720" w:hanging="360"/>
      </w:pPr>
      <w:rPr>
        <w:rFonts w:ascii="Symbol" w:hAnsi="Symbol" w:hint="default"/>
      </w:rPr>
    </w:lvl>
    <w:lvl w:ilvl="1" w:tplc="EBCEBE4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1D16DC"/>
    <w:multiLevelType w:val="hybridMultilevel"/>
    <w:tmpl w:val="6B622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9"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77914A0C"/>
    <w:multiLevelType w:val="hybridMultilevel"/>
    <w:tmpl w:val="E822066A"/>
    <w:lvl w:ilvl="0" w:tplc="0C090001">
      <w:start w:val="1"/>
      <w:numFmt w:val="bullet"/>
      <w:lvlText w:val=""/>
      <w:lvlJc w:val="left"/>
      <w:pPr>
        <w:ind w:left="720" w:hanging="360"/>
      </w:pPr>
      <w:rPr>
        <w:rFonts w:ascii="Symbol" w:hAnsi="Symbol" w:hint="default"/>
      </w:rPr>
    </w:lvl>
    <w:lvl w:ilvl="1" w:tplc="83828BC2">
      <w:start w:val="1"/>
      <w:numFmt w:val="bullet"/>
      <w:pStyle w:val="TableBullets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10"/>
  </w:num>
  <w:num w:numId="5">
    <w:abstractNumId w:val="3"/>
  </w:num>
  <w:num w:numId="6">
    <w:abstractNumId w:val="19"/>
  </w:num>
  <w:num w:numId="7">
    <w:abstractNumId w:val="17"/>
  </w:num>
  <w:num w:numId="8">
    <w:abstractNumId w:val="15"/>
  </w:num>
  <w:num w:numId="9">
    <w:abstractNumId w:val="1"/>
  </w:num>
  <w:num w:numId="10">
    <w:abstractNumId w:val="7"/>
  </w:num>
  <w:num w:numId="11">
    <w:abstractNumId w:val="9"/>
  </w:num>
  <w:num w:numId="12">
    <w:abstractNumId w:val="6"/>
  </w:num>
  <w:num w:numId="13">
    <w:abstractNumId w:val="5"/>
  </w:num>
  <w:num w:numId="14">
    <w:abstractNumId w:val="16"/>
  </w:num>
  <w:num w:numId="15">
    <w:abstractNumId w:val="0"/>
  </w:num>
  <w:num w:numId="16">
    <w:abstractNumId w:val="8"/>
  </w:num>
  <w:num w:numId="17">
    <w:abstractNumId w:val="13"/>
  </w:num>
  <w:num w:numId="18">
    <w:abstractNumId w:val="20"/>
  </w:num>
  <w:num w:numId="19">
    <w:abstractNumId w:val="12"/>
  </w:num>
  <w:num w:numId="20">
    <w:abstractNumId w:val="14"/>
  </w:num>
  <w:num w:numId="21">
    <w:abstractNumId w:val="4"/>
  </w:num>
  <w:num w:numId="22">
    <w:abstractNumId w:val="4"/>
  </w:num>
  <w:num w:numId="23">
    <w:abstractNumId w:val="7"/>
  </w:num>
  <w:num w:numId="24">
    <w:abstractNumId w:val="4"/>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22B9E"/>
    <w:rsid w:val="00023016"/>
    <w:rsid w:val="00027482"/>
    <w:rsid w:val="0003018E"/>
    <w:rsid w:val="00031D4F"/>
    <w:rsid w:val="00031FDC"/>
    <w:rsid w:val="00033547"/>
    <w:rsid w:val="00033BC3"/>
    <w:rsid w:val="00034E5F"/>
    <w:rsid w:val="00044E09"/>
    <w:rsid w:val="0004784D"/>
    <w:rsid w:val="0005020E"/>
    <w:rsid w:val="00053A00"/>
    <w:rsid w:val="00053C7A"/>
    <w:rsid w:val="00062AF7"/>
    <w:rsid w:val="00063DD0"/>
    <w:rsid w:val="00065156"/>
    <w:rsid w:val="00066489"/>
    <w:rsid w:val="00070C27"/>
    <w:rsid w:val="00072433"/>
    <w:rsid w:val="00073764"/>
    <w:rsid w:val="00073A5C"/>
    <w:rsid w:val="0007778C"/>
    <w:rsid w:val="000800F4"/>
    <w:rsid w:val="00081EB4"/>
    <w:rsid w:val="00091B9D"/>
    <w:rsid w:val="00092F03"/>
    <w:rsid w:val="00094CF6"/>
    <w:rsid w:val="000B2964"/>
    <w:rsid w:val="000B4208"/>
    <w:rsid w:val="000B6C00"/>
    <w:rsid w:val="000C0671"/>
    <w:rsid w:val="000C1F06"/>
    <w:rsid w:val="000C3648"/>
    <w:rsid w:val="000D0579"/>
    <w:rsid w:val="000D0EB9"/>
    <w:rsid w:val="000D16D3"/>
    <w:rsid w:val="000D3BBD"/>
    <w:rsid w:val="000E4EAA"/>
    <w:rsid w:val="000E7DCF"/>
    <w:rsid w:val="000F1DD1"/>
    <w:rsid w:val="000F257D"/>
    <w:rsid w:val="000F28B8"/>
    <w:rsid w:val="000F3766"/>
    <w:rsid w:val="000F515D"/>
    <w:rsid w:val="000F57B2"/>
    <w:rsid w:val="00100880"/>
    <w:rsid w:val="00102284"/>
    <w:rsid w:val="001024F7"/>
    <w:rsid w:val="00104194"/>
    <w:rsid w:val="00104389"/>
    <w:rsid w:val="00106FC4"/>
    <w:rsid w:val="0011132E"/>
    <w:rsid w:val="00111F0C"/>
    <w:rsid w:val="00113403"/>
    <w:rsid w:val="00120B80"/>
    <w:rsid w:val="00130B81"/>
    <w:rsid w:val="00132915"/>
    <w:rsid w:val="001331C7"/>
    <w:rsid w:val="00145E2D"/>
    <w:rsid w:val="0014659B"/>
    <w:rsid w:val="00146BD1"/>
    <w:rsid w:val="00150160"/>
    <w:rsid w:val="0015362E"/>
    <w:rsid w:val="001564E2"/>
    <w:rsid w:val="001565F6"/>
    <w:rsid w:val="00164EDF"/>
    <w:rsid w:val="0016612C"/>
    <w:rsid w:val="00166366"/>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636"/>
    <w:rsid w:val="00195BE7"/>
    <w:rsid w:val="001962A5"/>
    <w:rsid w:val="00196578"/>
    <w:rsid w:val="00197294"/>
    <w:rsid w:val="001978B0"/>
    <w:rsid w:val="001A58FE"/>
    <w:rsid w:val="001B159A"/>
    <w:rsid w:val="001B41E3"/>
    <w:rsid w:val="001B67F8"/>
    <w:rsid w:val="001B7998"/>
    <w:rsid w:val="001B7AD0"/>
    <w:rsid w:val="001C16E2"/>
    <w:rsid w:val="001C2C9B"/>
    <w:rsid w:val="001C41B4"/>
    <w:rsid w:val="001C53CE"/>
    <w:rsid w:val="001C5D96"/>
    <w:rsid w:val="001C6BD1"/>
    <w:rsid w:val="001C701C"/>
    <w:rsid w:val="001C7AD3"/>
    <w:rsid w:val="001D2486"/>
    <w:rsid w:val="001D2D74"/>
    <w:rsid w:val="001D341B"/>
    <w:rsid w:val="001D50B1"/>
    <w:rsid w:val="001D6D55"/>
    <w:rsid w:val="001E3D2B"/>
    <w:rsid w:val="001E4329"/>
    <w:rsid w:val="001E66CE"/>
    <w:rsid w:val="001F09A5"/>
    <w:rsid w:val="001F2BF8"/>
    <w:rsid w:val="00205772"/>
    <w:rsid w:val="00205B47"/>
    <w:rsid w:val="00207C16"/>
    <w:rsid w:val="00210A2F"/>
    <w:rsid w:val="00213095"/>
    <w:rsid w:val="002158D1"/>
    <w:rsid w:val="00217B4A"/>
    <w:rsid w:val="00221DC2"/>
    <w:rsid w:val="00222E26"/>
    <w:rsid w:val="0022344A"/>
    <w:rsid w:val="00224C37"/>
    <w:rsid w:val="00224CBF"/>
    <w:rsid w:val="00225D7F"/>
    <w:rsid w:val="00231B64"/>
    <w:rsid w:val="00237C0C"/>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B8B"/>
    <w:rsid w:val="00290BCD"/>
    <w:rsid w:val="00293A8D"/>
    <w:rsid w:val="002947F9"/>
    <w:rsid w:val="00294B81"/>
    <w:rsid w:val="00295CE9"/>
    <w:rsid w:val="002A4156"/>
    <w:rsid w:val="002A41E1"/>
    <w:rsid w:val="002A510A"/>
    <w:rsid w:val="002A71DE"/>
    <w:rsid w:val="002A745D"/>
    <w:rsid w:val="002B633C"/>
    <w:rsid w:val="002B6574"/>
    <w:rsid w:val="002C3AB2"/>
    <w:rsid w:val="002C4179"/>
    <w:rsid w:val="002C52A4"/>
    <w:rsid w:val="002D0127"/>
    <w:rsid w:val="002D4008"/>
    <w:rsid w:val="002D4D48"/>
    <w:rsid w:val="002D6388"/>
    <w:rsid w:val="002D6931"/>
    <w:rsid w:val="002E00BA"/>
    <w:rsid w:val="002E012D"/>
    <w:rsid w:val="002E1CCC"/>
    <w:rsid w:val="002E21D2"/>
    <w:rsid w:val="002E2F29"/>
    <w:rsid w:val="002E46B8"/>
    <w:rsid w:val="002E5A61"/>
    <w:rsid w:val="002F03CC"/>
    <w:rsid w:val="002F2295"/>
    <w:rsid w:val="002F5763"/>
    <w:rsid w:val="002F7D3C"/>
    <w:rsid w:val="003037F7"/>
    <w:rsid w:val="00303BDE"/>
    <w:rsid w:val="00305720"/>
    <w:rsid w:val="00306267"/>
    <w:rsid w:val="00307603"/>
    <w:rsid w:val="0031098A"/>
    <w:rsid w:val="003111A7"/>
    <w:rsid w:val="003118AA"/>
    <w:rsid w:val="0031204D"/>
    <w:rsid w:val="003131AB"/>
    <w:rsid w:val="003162AA"/>
    <w:rsid w:val="00320C67"/>
    <w:rsid w:val="003217BE"/>
    <w:rsid w:val="00321C8B"/>
    <w:rsid w:val="0032411D"/>
    <w:rsid w:val="003251CC"/>
    <w:rsid w:val="003300C7"/>
    <w:rsid w:val="003313BA"/>
    <w:rsid w:val="003315F3"/>
    <w:rsid w:val="003329A5"/>
    <w:rsid w:val="00332FC1"/>
    <w:rsid w:val="00334D04"/>
    <w:rsid w:val="00334DC7"/>
    <w:rsid w:val="0034044F"/>
    <w:rsid w:val="00342269"/>
    <w:rsid w:val="00343839"/>
    <w:rsid w:val="00344467"/>
    <w:rsid w:val="00344E24"/>
    <w:rsid w:val="00346B12"/>
    <w:rsid w:val="00355FF2"/>
    <w:rsid w:val="00357DF2"/>
    <w:rsid w:val="00363B03"/>
    <w:rsid w:val="00372EE9"/>
    <w:rsid w:val="00380479"/>
    <w:rsid w:val="0038068A"/>
    <w:rsid w:val="00382ECE"/>
    <w:rsid w:val="003831F0"/>
    <w:rsid w:val="003839B9"/>
    <w:rsid w:val="00390AFC"/>
    <w:rsid w:val="00391AE7"/>
    <w:rsid w:val="003921F5"/>
    <w:rsid w:val="0039591B"/>
    <w:rsid w:val="00395D3C"/>
    <w:rsid w:val="00397BC4"/>
    <w:rsid w:val="003A17CA"/>
    <w:rsid w:val="003A1B1D"/>
    <w:rsid w:val="003A1BAF"/>
    <w:rsid w:val="003A3191"/>
    <w:rsid w:val="003A389F"/>
    <w:rsid w:val="003A7148"/>
    <w:rsid w:val="003B06E1"/>
    <w:rsid w:val="003B35C9"/>
    <w:rsid w:val="003B4E9C"/>
    <w:rsid w:val="003B5E95"/>
    <w:rsid w:val="003B722F"/>
    <w:rsid w:val="003C0679"/>
    <w:rsid w:val="003D0647"/>
    <w:rsid w:val="003D1132"/>
    <w:rsid w:val="003D1265"/>
    <w:rsid w:val="003D255E"/>
    <w:rsid w:val="003D274D"/>
    <w:rsid w:val="003D3B1D"/>
    <w:rsid w:val="003D5678"/>
    <w:rsid w:val="003D5DBE"/>
    <w:rsid w:val="003D6079"/>
    <w:rsid w:val="003E2315"/>
    <w:rsid w:val="003E37C5"/>
    <w:rsid w:val="003F09D6"/>
    <w:rsid w:val="003F1645"/>
    <w:rsid w:val="003F25F3"/>
    <w:rsid w:val="00404841"/>
    <w:rsid w:val="00404D00"/>
    <w:rsid w:val="00412059"/>
    <w:rsid w:val="00413640"/>
    <w:rsid w:val="00416570"/>
    <w:rsid w:val="00421A24"/>
    <w:rsid w:val="00422AB9"/>
    <w:rsid w:val="00423713"/>
    <w:rsid w:val="00424926"/>
    <w:rsid w:val="00424F4F"/>
    <w:rsid w:val="00425633"/>
    <w:rsid w:val="00426F36"/>
    <w:rsid w:val="00427A2E"/>
    <w:rsid w:val="00432641"/>
    <w:rsid w:val="004341FF"/>
    <w:rsid w:val="00441E79"/>
    <w:rsid w:val="004428FD"/>
    <w:rsid w:val="00444ECD"/>
    <w:rsid w:val="00445A32"/>
    <w:rsid w:val="00446217"/>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04A"/>
    <w:rsid w:val="00483A58"/>
    <w:rsid w:val="004868C2"/>
    <w:rsid w:val="004873E8"/>
    <w:rsid w:val="00490618"/>
    <w:rsid w:val="00492003"/>
    <w:rsid w:val="00493178"/>
    <w:rsid w:val="00493E0C"/>
    <w:rsid w:val="004964D0"/>
    <w:rsid w:val="004A0077"/>
    <w:rsid w:val="004A7058"/>
    <w:rsid w:val="004B05FE"/>
    <w:rsid w:val="004B0B5B"/>
    <w:rsid w:val="004B2929"/>
    <w:rsid w:val="004B4449"/>
    <w:rsid w:val="004B55D5"/>
    <w:rsid w:val="004B5F40"/>
    <w:rsid w:val="004C2477"/>
    <w:rsid w:val="004C2A2C"/>
    <w:rsid w:val="004C47AD"/>
    <w:rsid w:val="004C7D16"/>
    <w:rsid w:val="004D5AF1"/>
    <w:rsid w:val="004D6E73"/>
    <w:rsid w:val="004D700E"/>
    <w:rsid w:val="004D72B5"/>
    <w:rsid w:val="004D7F17"/>
    <w:rsid w:val="004E0670"/>
    <w:rsid w:val="004E123B"/>
    <w:rsid w:val="004E146D"/>
    <w:rsid w:val="004E1AAE"/>
    <w:rsid w:val="004E67C2"/>
    <w:rsid w:val="004E7F37"/>
    <w:rsid w:val="004F1A2E"/>
    <w:rsid w:val="004F31BA"/>
    <w:rsid w:val="005012DE"/>
    <w:rsid w:val="005027EA"/>
    <w:rsid w:val="00510012"/>
    <w:rsid w:val="0051057A"/>
    <w:rsid w:val="005108E5"/>
    <w:rsid w:val="005118E4"/>
    <w:rsid w:val="0051299F"/>
    <w:rsid w:val="00513F66"/>
    <w:rsid w:val="00514E1B"/>
    <w:rsid w:val="00515185"/>
    <w:rsid w:val="00517BA0"/>
    <w:rsid w:val="00521391"/>
    <w:rsid w:val="00522DAD"/>
    <w:rsid w:val="005251CF"/>
    <w:rsid w:val="00525ECC"/>
    <w:rsid w:val="00526B85"/>
    <w:rsid w:val="00526BF0"/>
    <w:rsid w:val="00530560"/>
    <w:rsid w:val="005306A1"/>
    <w:rsid w:val="0053550A"/>
    <w:rsid w:val="00536475"/>
    <w:rsid w:val="00537C38"/>
    <w:rsid w:val="00544751"/>
    <w:rsid w:val="0055317C"/>
    <w:rsid w:val="0055343E"/>
    <w:rsid w:val="00557244"/>
    <w:rsid w:val="0056260A"/>
    <w:rsid w:val="00566721"/>
    <w:rsid w:val="00570825"/>
    <w:rsid w:val="005769E5"/>
    <w:rsid w:val="00582083"/>
    <w:rsid w:val="00582D93"/>
    <w:rsid w:val="00585A02"/>
    <w:rsid w:val="0059000C"/>
    <w:rsid w:val="005938EA"/>
    <w:rsid w:val="0059519E"/>
    <w:rsid w:val="00596B3A"/>
    <w:rsid w:val="00596DBB"/>
    <w:rsid w:val="005A02A1"/>
    <w:rsid w:val="005A4D08"/>
    <w:rsid w:val="005A63AE"/>
    <w:rsid w:val="005B1BB6"/>
    <w:rsid w:val="005B3AC7"/>
    <w:rsid w:val="005B4BCA"/>
    <w:rsid w:val="005B6071"/>
    <w:rsid w:val="005C5100"/>
    <w:rsid w:val="005C7DDE"/>
    <w:rsid w:val="005D7594"/>
    <w:rsid w:val="005D7A24"/>
    <w:rsid w:val="005D7F06"/>
    <w:rsid w:val="005E2422"/>
    <w:rsid w:val="00600152"/>
    <w:rsid w:val="006011C5"/>
    <w:rsid w:val="00603CDA"/>
    <w:rsid w:val="00603D95"/>
    <w:rsid w:val="00604ED5"/>
    <w:rsid w:val="006062DC"/>
    <w:rsid w:val="006129CE"/>
    <w:rsid w:val="00612F90"/>
    <w:rsid w:val="00616EBA"/>
    <w:rsid w:val="00622B47"/>
    <w:rsid w:val="00625C95"/>
    <w:rsid w:val="00625EFC"/>
    <w:rsid w:val="00630AD6"/>
    <w:rsid w:val="00632BF6"/>
    <w:rsid w:val="00632C08"/>
    <w:rsid w:val="00633A27"/>
    <w:rsid w:val="00641CF2"/>
    <w:rsid w:val="00654C42"/>
    <w:rsid w:val="00655952"/>
    <w:rsid w:val="0065598C"/>
    <w:rsid w:val="006564F7"/>
    <w:rsid w:val="00656772"/>
    <w:rsid w:val="00660361"/>
    <w:rsid w:val="00661512"/>
    <w:rsid w:val="00665BD7"/>
    <w:rsid w:val="00666A01"/>
    <w:rsid w:val="0067074A"/>
    <w:rsid w:val="00672994"/>
    <w:rsid w:val="006732CE"/>
    <w:rsid w:val="00673B45"/>
    <w:rsid w:val="00681310"/>
    <w:rsid w:val="00682BBA"/>
    <w:rsid w:val="00686F39"/>
    <w:rsid w:val="006910DE"/>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1AA2"/>
    <w:rsid w:val="006E24DC"/>
    <w:rsid w:val="006E49FB"/>
    <w:rsid w:val="006E4A9D"/>
    <w:rsid w:val="006F35CF"/>
    <w:rsid w:val="006F375B"/>
    <w:rsid w:val="006F6BEE"/>
    <w:rsid w:val="006F7B19"/>
    <w:rsid w:val="007009DB"/>
    <w:rsid w:val="00702F57"/>
    <w:rsid w:val="00706490"/>
    <w:rsid w:val="00707E21"/>
    <w:rsid w:val="0071294C"/>
    <w:rsid w:val="00713439"/>
    <w:rsid w:val="00715715"/>
    <w:rsid w:val="00716D7B"/>
    <w:rsid w:val="00720986"/>
    <w:rsid w:val="00720DC4"/>
    <w:rsid w:val="00722F1F"/>
    <w:rsid w:val="007234C6"/>
    <w:rsid w:val="00725712"/>
    <w:rsid w:val="00730371"/>
    <w:rsid w:val="00736A76"/>
    <w:rsid w:val="00746CB5"/>
    <w:rsid w:val="007506FA"/>
    <w:rsid w:val="00752C6B"/>
    <w:rsid w:val="00753D0C"/>
    <w:rsid w:val="00755D9B"/>
    <w:rsid w:val="00760C83"/>
    <w:rsid w:val="00760CE6"/>
    <w:rsid w:val="00762F09"/>
    <w:rsid w:val="00771218"/>
    <w:rsid w:val="007719C9"/>
    <w:rsid w:val="00772718"/>
    <w:rsid w:val="00776963"/>
    <w:rsid w:val="00776A60"/>
    <w:rsid w:val="0078466E"/>
    <w:rsid w:val="00786D4F"/>
    <w:rsid w:val="00794F55"/>
    <w:rsid w:val="007A0011"/>
    <w:rsid w:val="007B2B49"/>
    <w:rsid w:val="007B5D45"/>
    <w:rsid w:val="007B7FCE"/>
    <w:rsid w:val="007C1A27"/>
    <w:rsid w:val="007D1D65"/>
    <w:rsid w:val="007D30A8"/>
    <w:rsid w:val="007D5349"/>
    <w:rsid w:val="007D724D"/>
    <w:rsid w:val="007E0FC0"/>
    <w:rsid w:val="007F1BC7"/>
    <w:rsid w:val="007F31FF"/>
    <w:rsid w:val="007F330D"/>
    <w:rsid w:val="007F3459"/>
    <w:rsid w:val="007F3535"/>
    <w:rsid w:val="007F6FC4"/>
    <w:rsid w:val="00801565"/>
    <w:rsid w:val="00803A69"/>
    <w:rsid w:val="008060C3"/>
    <w:rsid w:val="00814FB1"/>
    <w:rsid w:val="0081537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36BDF"/>
    <w:rsid w:val="0084087C"/>
    <w:rsid w:val="00841F3C"/>
    <w:rsid w:val="008438BB"/>
    <w:rsid w:val="0084413D"/>
    <w:rsid w:val="00844C2D"/>
    <w:rsid w:val="00847E84"/>
    <w:rsid w:val="00850312"/>
    <w:rsid w:val="00851FDD"/>
    <w:rsid w:val="00853D31"/>
    <w:rsid w:val="008619E0"/>
    <w:rsid w:val="008648C1"/>
    <w:rsid w:val="008666B2"/>
    <w:rsid w:val="00866C0A"/>
    <w:rsid w:val="00871888"/>
    <w:rsid w:val="008737C8"/>
    <w:rsid w:val="0087438E"/>
    <w:rsid w:val="00875645"/>
    <w:rsid w:val="00875DF8"/>
    <w:rsid w:val="0087791C"/>
    <w:rsid w:val="00882668"/>
    <w:rsid w:val="008839FF"/>
    <w:rsid w:val="00884668"/>
    <w:rsid w:val="008874AF"/>
    <w:rsid w:val="008874DC"/>
    <w:rsid w:val="008915B2"/>
    <w:rsid w:val="00893395"/>
    <w:rsid w:val="00897BE8"/>
    <w:rsid w:val="008A1B6B"/>
    <w:rsid w:val="008B0295"/>
    <w:rsid w:val="008B13FC"/>
    <w:rsid w:val="008B2B46"/>
    <w:rsid w:val="008B2BFA"/>
    <w:rsid w:val="008B7A17"/>
    <w:rsid w:val="008C5224"/>
    <w:rsid w:val="008D0FA0"/>
    <w:rsid w:val="008D1524"/>
    <w:rsid w:val="008D6A9B"/>
    <w:rsid w:val="008E0298"/>
    <w:rsid w:val="008E05BC"/>
    <w:rsid w:val="008E1230"/>
    <w:rsid w:val="008E2E66"/>
    <w:rsid w:val="008F0C90"/>
    <w:rsid w:val="008F17B8"/>
    <w:rsid w:val="008F1863"/>
    <w:rsid w:val="008F1AFF"/>
    <w:rsid w:val="008F1DC2"/>
    <w:rsid w:val="008F3CCF"/>
    <w:rsid w:val="008F3D20"/>
    <w:rsid w:val="008F72D1"/>
    <w:rsid w:val="00900396"/>
    <w:rsid w:val="009006FB"/>
    <w:rsid w:val="0090175A"/>
    <w:rsid w:val="00906717"/>
    <w:rsid w:val="00906EBC"/>
    <w:rsid w:val="00921840"/>
    <w:rsid w:val="00924155"/>
    <w:rsid w:val="00926610"/>
    <w:rsid w:val="00927427"/>
    <w:rsid w:val="00932C87"/>
    <w:rsid w:val="009331B4"/>
    <w:rsid w:val="009345F1"/>
    <w:rsid w:val="00934E9B"/>
    <w:rsid w:val="00935394"/>
    <w:rsid w:val="00940352"/>
    <w:rsid w:val="00944BBB"/>
    <w:rsid w:val="009462F1"/>
    <w:rsid w:val="00947673"/>
    <w:rsid w:val="009500A5"/>
    <w:rsid w:val="00951C1A"/>
    <w:rsid w:val="009527EB"/>
    <w:rsid w:val="009547B6"/>
    <w:rsid w:val="00961072"/>
    <w:rsid w:val="0096497E"/>
    <w:rsid w:val="00965208"/>
    <w:rsid w:val="009652A6"/>
    <w:rsid w:val="0096623C"/>
    <w:rsid w:val="00966D37"/>
    <w:rsid w:val="0097065C"/>
    <w:rsid w:val="00970AE0"/>
    <w:rsid w:val="009730C4"/>
    <w:rsid w:val="009764AD"/>
    <w:rsid w:val="009852D7"/>
    <w:rsid w:val="00986D5E"/>
    <w:rsid w:val="00990A0D"/>
    <w:rsid w:val="00994C3E"/>
    <w:rsid w:val="009A1AEB"/>
    <w:rsid w:val="009A4E30"/>
    <w:rsid w:val="009B52E3"/>
    <w:rsid w:val="009B5794"/>
    <w:rsid w:val="009B5A45"/>
    <w:rsid w:val="009C13C1"/>
    <w:rsid w:val="009C33EE"/>
    <w:rsid w:val="009C5496"/>
    <w:rsid w:val="009C6C53"/>
    <w:rsid w:val="009D4D65"/>
    <w:rsid w:val="009E05D2"/>
    <w:rsid w:val="009E1182"/>
    <w:rsid w:val="009E2AB6"/>
    <w:rsid w:val="009E3298"/>
    <w:rsid w:val="009E5733"/>
    <w:rsid w:val="009E750F"/>
    <w:rsid w:val="009E7F5C"/>
    <w:rsid w:val="009F065A"/>
    <w:rsid w:val="009F7EC9"/>
    <w:rsid w:val="00A007EE"/>
    <w:rsid w:val="00A00C85"/>
    <w:rsid w:val="00A022DC"/>
    <w:rsid w:val="00A04D96"/>
    <w:rsid w:val="00A0629B"/>
    <w:rsid w:val="00A06EFC"/>
    <w:rsid w:val="00A075B9"/>
    <w:rsid w:val="00A10957"/>
    <w:rsid w:val="00A14495"/>
    <w:rsid w:val="00A16BE1"/>
    <w:rsid w:val="00A23D46"/>
    <w:rsid w:val="00A24F65"/>
    <w:rsid w:val="00A260B4"/>
    <w:rsid w:val="00A26792"/>
    <w:rsid w:val="00A31A68"/>
    <w:rsid w:val="00A33C01"/>
    <w:rsid w:val="00A34B50"/>
    <w:rsid w:val="00A412BD"/>
    <w:rsid w:val="00A43B49"/>
    <w:rsid w:val="00A447F8"/>
    <w:rsid w:val="00A454BF"/>
    <w:rsid w:val="00A52535"/>
    <w:rsid w:val="00A52E3A"/>
    <w:rsid w:val="00A53EEC"/>
    <w:rsid w:val="00A54997"/>
    <w:rsid w:val="00A5623F"/>
    <w:rsid w:val="00A56A23"/>
    <w:rsid w:val="00A622EE"/>
    <w:rsid w:val="00A6372B"/>
    <w:rsid w:val="00A66452"/>
    <w:rsid w:val="00A707F2"/>
    <w:rsid w:val="00A736F7"/>
    <w:rsid w:val="00A738B6"/>
    <w:rsid w:val="00A8096F"/>
    <w:rsid w:val="00A814CB"/>
    <w:rsid w:val="00A849E2"/>
    <w:rsid w:val="00A90D1B"/>
    <w:rsid w:val="00A93FC8"/>
    <w:rsid w:val="00A96810"/>
    <w:rsid w:val="00A96EF4"/>
    <w:rsid w:val="00AA2262"/>
    <w:rsid w:val="00AA45B2"/>
    <w:rsid w:val="00AA4A02"/>
    <w:rsid w:val="00AA5034"/>
    <w:rsid w:val="00AB2AD3"/>
    <w:rsid w:val="00AB6913"/>
    <w:rsid w:val="00AC0F02"/>
    <w:rsid w:val="00AC282B"/>
    <w:rsid w:val="00AC4E35"/>
    <w:rsid w:val="00AD1265"/>
    <w:rsid w:val="00AD70E2"/>
    <w:rsid w:val="00AD73C1"/>
    <w:rsid w:val="00AF28B2"/>
    <w:rsid w:val="00AF542D"/>
    <w:rsid w:val="00AF55F8"/>
    <w:rsid w:val="00AF5920"/>
    <w:rsid w:val="00AF6116"/>
    <w:rsid w:val="00AF6E1D"/>
    <w:rsid w:val="00AF7F13"/>
    <w:rsid w:val="00B02784"/>
    <w:rsid w:val="00B05FAF"/>
    <w:rsid w:val="00B10ABA"/>
    <w:rsid w:val="00B11E13"/>
    <w:rsid w:val="00B14C28"/>
    <w:rsid w:val="00B1655C"/>
    <w:rsid w:val="00B23C58"/>
    <w:rsid w:val="00B303E4"/>
    <w:rsid w:val="00B314E7"/>
    <w:rsid w:val="00B321FA"/>
    <w:rsid w:val="00B34004"/>
    <w:rsid w:val="00B4002B"/>
    <w:rsid w:val="00B420D4"/>
    <w:rsid w:val="00B46434"/>
    <w:rsid w:val="00B51758"/>
    <w:rsid w:val="00B51A1E"/>
    <w:rsid w:val="00B54B03"/>
    <w:rsid w:val="00B57910"/>
    <w:rsid w:val="00B70FFF"/>
    <w:rsid w:val="00B8449B"/>
    <w:rsid w:val="00B91B21"/>
    <w:rsid w:val="00B92AC6"/>
    <w:rsid w:val="00B9436E"/>
    <w:rsid w:val="00B952F6"/>
    <w:rsid w:val="00BA202A"/>
    <w:rsid w:val="00BA24FF"/>
    <w:rsid w:val="00BA6371"/>
    <w:rsid w:val="00BB154D"/>
    <w:rsid w:val="00BB5805"/>
    <w:rsid w:val="00BB766F"/>
    <w:rsid w:val="00BC093A"/>
    <w:rsid w:val="00BC2B00"/>
    <w:rsid w:val="00BC4ACC"/>
    <w:rsid w:val="00BC4D8F"/>
    <w:rsid w:val="00BC4FCC"/>
    <w:rsid w:val="00BD02F8"/>
    <w:rsid w:val="00BD1D38"/>
    <w:rsid w:val="00BE1A18"/>
    <w:rsid w:val="00BE1E09"/>
    <w:rsid w:val="00BE623E"/>
    <w:rsid w:val="00BF3226"/>
    <w:rsid w:val="00BF5FB9"/>
    <w:rsid w:val="00BF6C9D"/>
    <w:rsid w:val="00C111A1"/>
    <w:rsid w:val="00C12F57"/>
    <w:rsid w:val="00C1353C"/>
    <w:rsid w:val="00C14193"/>
    <w:rsid w:val="00C1488E"/>
    <w:rsid w:val="00C157F0"/>
    <w:rsid w:val="00C16253"/>
    <w:rsid w:val="00C16A52"/>
    <w:rsid w:val="00C205D9"/>
    <w:rsid w:val="00C217A8"/>
    <w:rsid w:val="00C248E7"/>
    <w:rsid w:val="00C24913"/>
    <w:rsid w:val="00C324AD"/>
    <w:rsid w:val="00C33510"/>
    <w:rsid w:val="00C34B34"/>
    <w:rsid w:val="00C4188F"/>
    <w:rsid w:val="00C41D6C"/>
    <w:rsid w:val="00C4313F"/>
    <w:rsid w:val="00C57947"/>
    <w:rsid w:val="00C62704"/>
    <w:rsid w:val="00C64820"/>
    <w:rsid w:val="00C66B2B"/>
    <w:rsid w:val="00C70797"/>
    <w:rsid w:val="00C73B24"/>
    <w:rsid w:val="00C751F3"/>
    <w:rsid w:val="00C763D6"/>
    <w:rsid w:val="00C806A3"/>
    <w:rsid w:val="00C819A4"/>
    <w:rsid w:val="00C824AE"/>
    <w:rsid w:val="00C82FD6"/>
    <w:rsid w:val="00C84EA8"/>
    <w:rsid w:val="00C91993"/>
    <w:rsid w:val="00C924BF"/>
    <w:rsid w:val="00C92998"/>
    <w:rsid w:val="00C92ABF"/>
    <w:rsid w:val="00C967AF"/>
    <w:rsid w:val="00CA1AC0"/>
    <w:rsid w:val="00CA720A"/>
    <w:rsid w:val="00CB1600"/>
    <w:rsid w:val="00CB531C"/>
    <w:rsid w:val="00CB59BC"/>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22FEA"/>
    <w:rsid w:val="00D23395"/>
    <w:rsid w:val="00D24D59"/>
    <w:rsid w:val="00D257B6"/>
    <w:rsid w:val="00D2640C"/>
    <w:rsid w:val="00D26CED"/>
    <w:rsid w:val="00D275DA"/>
    <w:rsid w:val="00D27F03"/>
    <w:rsid w:val="00D35642"/>
    <w:rsid w:val="00D359DB"/>
    <w:rsid w:val="00D36C4B"/>
    <w:rsid w:val="00D40D16"/>
    <w:rsid w:val="00D41087"/>
    <w:rsid w:val="00D43803"/>
    <w:rsid w:val="00D4593C"/>
    <w:rsid w:val="00D51733"/>
    <w:rsid w:val="00D5402B"/>
    <w:rsid w:val="00D548F0"/>
    <w:rsid w:val="00D559CA"/>
    <w:rsid w:val="00D56344"/>
    <w:rsid w:val="00D56B26"/>
    <w:rsid w:val="00D57F79"/>
    <w:rsid w:val="00D61AF8"/>
    <w:rsid w:val="00D62404"/>
    <w:rsid w:val="00D63946"/>
    <w:rsid w:val="00D64FAC"/>
    <w:rsid w:val="00D65704"/>
    <w:rsid w:val="00D65A37"/>
    <w:rsid w:val="00D668F6"/>
    <w:rsid w:val="00D67AFA"/>
    <w:rsid w:val="00D74395"/>
    <w:rsid w:val="00D84100"/>
    <w:rsid w:val="00D84875"/>
    <w:rsid w:val="00D904F0"/>
    <w:rsid w:val="00D91378"/>
    <w:rsid w:val="00D91B18"/>
    <w:rsid w:val="00D92CEA"/>
    <w:rsid w:val="00D930FB"/>
    <w:rsid w:val="00D935AF"/>
    <w:rsid w:val="00D947C3"/>
    <w:rsid w:val="00D95D89"/>
    <w:rsid w:val="00DA31CE"/>
    <w:rsid w:val="00DA365F"/>
    <w:rsid w:val="00DB138E"/>
    <w:rsid w:val="00DB15C9"/>
    <w:rsid w:val="00DB1A91"/>
    <w:rsid w:val="00DB514C"/>
    <w:rsid w:val="00DC0747"/>
    <w:rsid w:val="00DC0F4A"/>
    <w:rsid w:val="00DC2647"/>
    <w:rsid w:val="00DC6053"/>
    <w:rsid w:val="00DD1408"/>
    <w:rsid w:val="00DD19CB"/>
    <w:rsid w:val="00DD20ED"/>
    <w:rsid w:val="00DD356D"/>
    <w:rsid w:val="00DD6735"/>
    <w:rsid w:val="00DE6D07"/>
    <w:rsid w:val="00DE6ECB"/>
    <w:rsid w:val="00DE77F8"/>
    <w:rsid w:val="00DF136A"/>
    <w:rsid w:val="00DF51FA"/>
    <w:rsid w:val="00DF6AAD"/>
    <w:rsid w:val="00DF6E57"/>
    <w:rsid w:val="00E006F4"/>
    <w:rsid w:val="00E031B8"/>
    <w:rsid w:val="00E0448C"/>
    <w:rsid w:val="00E066B0"/>
    <w:rsid w:val="00E13525"/>
    <w:rsid w:val="00E154A8"/>
    <w:rsid w:val="00E15516"/>
    <w:rsid w:val="00E244FF"/>
    <w:rsid w:val="00E27E1E"/>
    <w:rsid w:val="00E3256F"/>
    <w:rsid w:val="00E4025D"/>
    <w:rsid w:val="00E40D59"/>
    <w:rsid w:val="00E434E6"/>
    <w:rsid w:val="00E45BE0"/>
    <w:rsid w:val="00E47250"/>
    <w:rsid w:val="00E47ADA"/>
    <w:rsid w:val="00E511FB"/>
    <w:rsid w:val="00E61535"/>
    <w:rsid w:val="00E62CAB"/>
    <w:rsid w:val="00E6592D"/>
    <w:rsid w:val="00E73F55"/>
    <w:rsid w:val="00E7540B"/>
    <w:rsid w:val="00E75AD7"/>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6251"/>
    <w:rsid w:val="00EB1B40"/>
    <w:rsid w:val="00EB4121"/>
    <w:rsid w:val="00EB448C"/>
    <w:rsid w:val="00EB6414"/>
    <w:rsid w:val="00EB7FF6"/>
    <w:rsid w:val="00EC03EE"/>
    <w:rsid w:val="00EC114F"/>
    <w:rsid w:val="00EC12CB"/>
    <w:rsid w:val="00EC27FB"/>
    <w:rsid w:val="00EC3DF8"/>
    <w:rsid w:val="00ED558F"/>
    <w:rsid w:val="00ED60F8"/>
    <w:rsid w:val="00ED7A4C"/>
    <w:rsid w:val="00EE0E90"/>
    <w:rsid w:val="00EE1F53"/>
    <w:rsid w:val="00EE2510"/>
    <w:rsid w:val="00EE5747"/>
    <w:rsid w:val="00EE75C9"/>
    <w:rsid w:val="00EF188F"/>
    <w:rsid w:val="00EF3804"/>
    <w:rsid w:val="00EF529C"/>
    <w:rsid w:val="00EF575D"/>
    <w:rsid w:val="00EF5E05"/>
    <w:rsid w:val="00F002FD"/>
    <w:rsid w:val="00F00C4B"/>
    <w:rsid w:val="00F0574D"/>
    <w:rsid w:val="00F11F82"/>
    <w:rsid w:val="00F1330B"/>
    <w:rsid w:val="00F15250"/>
    <w:rsid w:val="00F2115C"/>
    <w:rsid w:val="00F220F1"/>
    <w:rsid w:val="00F227AF"/>
    <w:rsid w:val="00F26454"/>
    <w:rsid w:val="00F27370"/>
    <w:rsid w:val="00F2772A"/>
    <w:rsid w:val="00F27BCD"/>
    <w:rsid w:val="00F30C97"/>
    <w:rsid w:val="00F34AF4"/>
    <w:rsid w:val="00F35692"/>
    <w:rsid w:val="00F37267"/>
    <w:rsid w:val="00F40B00"/>
    <w:rsid w:val="00F41765"/>
    <w:rsid w:val="00F420DC"/>
    <w:rsid w:val="00F44C8A"/>
    <w:rsid w:val="00F452B5"/>
    <w:rsid w:val="00F46044"/>
    <w:rsid w:val="00F5341C"/>
    <w:rsid w:val="00F56321"/>
    <w:rsid w:val="00F56954"/>
    <w:rsid w:val="00F64378"/>
    <w:rsid w:val="00F73307"/>
    <w:rsid w:val="00F75493"/>
    <w:rsid w:val="00F81DAA"/>
    <w:rsid w:val="00F85F98"/>
    <w:rsid w:val="00F92E6C"/>
    <w:rsid w:val="00F948AF"/>
    <w:rsid w:val="00F9531C"/>
    <w:rsid w:val="00F96A34"/>
    <w:rsid w:val="00FA1F45"/>
    <w:rsid w:val="00FA3251"/>
    <w:rsid w:val="00FA35DC"/>
    <w:rsid w:val="00FA5A7B"/>
    <w:rsid w:val="00FB11B1"/>
    <w:rsid w:val="00FB3199"/>
    <w:rsid w:val="00FB7E62"/>
    <w:rsid w:val="00FC1346"/>
    <w:rsid w:val="00FC2B7F"/>
    <w:rsid w:val="00FC5531"/>
    <w:rsid w:val="00FD00F8"/>
    <w:rsid w:val="00FD0274"/>
    <w:rsid w:val="00FD7BC3"/>
    <w:rsid w:val="00FE00E8"/>
    <w:rsid w:val="00FE04D3"/>
    <w:rsid w:val="00FE20EB"/>
    <w:rsid w:val="00FE221A"/>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8C960"/>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ListParagraph"/>
    <w:uiPriority w:val="20"/>
    <w:qFormat/>
    <w:rsid w:val="00A260B4"/>
    <w:pPr>
      <w:numPr>
        <w:ilvl w:val="1"/>
        <w:numId w:val="18"/>
      </w:numPr>
      <w:spacing w:before="40" w:after="120" w:line="240" w:lineRule="auto"/>
      <w:ind w:left="709" w:right="142" w:hanging="284"/>
    </w:pPr>
    <w:rPr>
      <w:rFonts w:eastAsia="Arial" w:cstheme="minorHAnsi"/>
      <w:color w:val="auto"/>
    </w:rPr>
  </w:style>
  <w:style w:type="paragraph" w:customStyle="1" w:styleId="TableBullets1">
    <w:name w:val="Table Bullets 1"/>
    <w:basedOn w:val="TableText"/>
    <w:uiPriority w:val="20"/>
    <w:qFormat/>
    <w:rsid w:val="00303BDE"/>
    <w:pPr>
      <w:numPr>
        <w:ilvl w:val="6"/>
        <w:numId w:val="1"/>
      </w:numPr>
      <w:spacing w:after="120"/>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A260B4"/>
    <w:rPr>
      <w:rFonts w:eastAsia="Arial"/>
      <w:szCs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customStyle="1" w:styleId="UnresolvedMention1">
    <w:name w:val="Unresolved Mention1"/>
    <w:basedOn w:val="DefaultParagraphFont"/>
    <w:uiPriority w:val="99"/>
    <w:semiHidden/>
    <w:unhideWhenUsed/>
    <w:rsid w:val="000E4EAA"/>
    <w:rPr>
      <w:color w:val="605E5C"/>
      <w:shd w:val="clear" w:color="auto" w:fill="E1DFDD"/>
    </w:rPr>
  </w:style>
  <w:style w:type="table" w:customStyle="1" w:styleId="TableGrid1">
    <w:name w:val="Table Grid1"/>
    <w:basedOn w:val="TableNormal"/>
    <w:next w:val="TableGrid"/>
    <w:uiPriority w:val="59"/>
    <w:rsid w:val="0094035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7"/>
    <w:rsid w:val="001962A5"/>
    <w:rPr>
      <w:sz w:val="16"/>
    </w:rPr>
  </w:style>
  <w:style w:type="paragraph" w:styleId="ListBullet">
    <w:name w:val="List Bullet"/>
    <w:basedOn w:val="Normal"/>
    <w:uiPriority w:val="99"/>
    <w:rsid w:val="001962A5"/>
    <w:pPr>
      <w:numPr>
        <w:numId w:val="21"/>
      </w:numPr>
      <w:spacing w:before="40" w:after="80"/>
    </w:pPr>
    <w:rPr>
      <w:rFonts w:ascii="Arial" w:eastAsia="Times New Roman" w:hAnsi="Arial"/>
      <w:iCs/>
      <w:color w:val="auto"/>
      <w:sz w:val="20"/>
    </w:rPr>
  </w:style>
  <w:style w:type="character" w:styleId="FootnoteReference">
    <w:name w:val="footnote reference"/>
    <w:basedOn w:val="DefaultParagraphFont"/>
    <w:uiPriority w:val="99"/>
    <w:rsid w:val="001962A5"/>
    <w:rPr>
      <w:rFonts w:cs="Times New Roman"/>
      <w:vertAlign w:val="superscript"/>
    </w:rPr>
  </w:style>
  <w:style w:type="character" w:customStyle="1" w:styleId="UnresolvedMention2">
    <w:name w:val="Unresolved Mention2"/>
    <w:basedOn w:val="DefaultParagraphFont"/>
    <w:uiPriority w:val="99"/>
    <w:semiHidden/>
    <w:unhideWhenUsed/>
    <w:rsid w:val="00307603"/>
    <w:rPr>
      <w:color w:val="605E5C"/>
      <w:shd w:val="clear" w:color="auto" w:fill="E1DFDD"/>
    </w:rPr>
  </w:style>
  <w:style w:type="character" w:styleId="FollowedHyperlink">
    <w:name w:val="FollowedHyperlink"/>
    <w:basedOn w:val="DefaultParagraphFont"/>
    <w:uiPriority w:val="99"/>
    <w:semiHidden/>
    <w:unhideWhenUsed/>
    <w:rsid w:val="005B4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s://www.agriculture.gov.au/water/mdb/programs/basin-wide/edpgra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A11AD"/>
    <w:rsid w:val="001F1F4A"/>
    <w:rsid w:val="0021012C"/>
    <w:rsid w:val="002134EA"/>
    <w:rsid w:val="002A1BC5"/>
    <w:rsid w:val="002C47E4"/>
    <w:rsid w:val="002F0AC9"/>
    <w:rsid w:val="0033310B"/>
    <w:rsid w:val="003F3F0B"/>
    <w:rsid w:val="004405A0"/>
    <w:rsid w:val="004A2604"/>
    <w:rsid w:val="004C4552"/>
    <w:rsid w:val="004D047B"/>
    <w:rsid w:val="00546877"/>
    <w:rsid w:val="00562BE0"/>
    <w:rsid w:val="00605577"/>
    <w:rsid w:val="006424F2"/>
    <w:rsid w:val="00671A11"/>
    <w:rsid w:val="006F25DE"/>
    <w:rsid w:val="007633C2"/>
    <w:rsid w:val="00806ED5"/>
    <w:rsid w:val="008776F5"/>
    <w:rsid w:val="00883053"/>
    <w:rsid w:val="008A5A26"/>
    <w:rsid w:val="008C12E5"/>
    <w:rsid w:val="008E7B28"/>
    <w:rsid w:val="00912B40"/>
    <w:rsid w:val="00956087"/>
    <w:rsid w:val="00975D8C"/>
    <w:rsid w:val="00980B6E"/>
    <w:rsid w:val="009963F3"/>
    <w:rsid w:val="00A2224C"/>
    <w:rsid w:val="00A81537"/>
    <w:rsid w:val="00AD393D"/>
    <w:rsid w:val="00B068AD"/>
    <w:rsid w:val="00B4136B"/>
    <w:rsid w:val="00B60803"/>
    <w:rsid w:val="00B64844"/>
    <w:rsid w:val="00BD5B08"/>
    <w:rsid w:val="00C14706"/>
    <w:rsid w:val="00D40FAE"/>
    <w:rsid w:val="00D41612"/>
    <w:rsid w:val="00D96DB2"/>
    <w:rsid w:val="00DB7554"/>
    <w:rsid w:val="00DB797D"/>
    <w:rsid w:val="00E538EE"/>
    <w:rsid w:val="00EE112D"/>
    <w:rsid w:val="00F23885"/>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731232ED055B46F4B6F2215E6D45679B">
    <w:name w:val="731232ED055B46F4B6F2215E6D45679B"/>
    <w:rsid w:val="004A26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7B416F-4064-4E2C-A4AF-9FFAFE36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Murray–Darling Basin Economic Development Program Round 2</vt:lpstr>
    </vt:vector>
  </TitlesOfParts>
  <Company>Community Grants Hub</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Economic Development Program Round 2</dc:title>
  <dc:subject>General feedback for applicants</dc:subject>
  <dc:creator>LONG, Andrew</dc:creator>
  <cp:lastModifiedBy>DONATH, Kristen</cp:lastModifiedBy>
  <cp:revision>8</cp:revision>
  <cp:lastPrinted>2019-04-05T01:31:00Z</cp:lastPrinted>
  <dcterms:created xsi:type="dcterms:W3CDTF">2020-08-20T02:23:00Z</dcterms:created>
  <dcterms:modified xsi:type="dcterms:W3CDTF">2020-08-21T02:18:00Z</dcterms:modified>
</cp:coreProperties>
</file>