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0C931" w14:textId="77777777" w:rsidR="00C80192" w:rsidRPr="00F0373D" w:rsidRDefault="00D20713" w:rsidP="008B1B10">
      <w:pPr>
        <w:pStyle w:val="Title"/>
        <w:spacing w:before="720"/>
        <w:rPr>
          <w:color w:val="005A70"/>
        </w:rPr>
      </w:pPr>
      <w:r w:rsidRPr="00F0373D">
        <w:rPr>
          <w:color w:val="005A70"/>
        </w:rPr>
        <w:t>Feedback for Applicants</w:t>
      </w:r>
    </w:p>
    <w:p w14:paraId="00832C87" w14:textId="4B5FCE8D" w:rsidR="00C80192" w:rsidRPr="00143431" w:rsidRDefault="009F20A4" w:rsidP="00C80192">
      <w:pPr>
        <w:pStyle w:val="Subtitle"/>
      </w:pPr>
      <w:r w:rsidRPr="00143431">
        <w:t>National Disability Conference Initiative</w:t>
      </w:r>
      <w:r w:rsidR="008C6157">
        <w:t xml:space="preserve"> 2020-21</w:t>
      </w:r>
    </w:p>
    <w:p w14:paraId="434FF4B6" w14:textId="77777777" w:rsidR="00C80192" w:rsidRPr="00143431" w:rsidRDefault="00D20713" w:rsidP="00C80192">
      <w:pPr>
        <w:pStyle w:val="Heading1"/>
        <w:rPr>
          <w:color w:val="005A70"/>
        </w:rPr>
      </w:pPr>
      <w:r w:rsidRPr="00143431">
        <w:rPr>
          <w:color w:val="005A70"/>
        </w:rPr>
        <w:t>Overview</w:t>
      </w:r>
    </w:p>
    <w:p w14:paraId="294E9FCC" w14:textId="7A97D128" w:rsidR="00855619" w:rsidRPr="00143431" w:rsidRDefault="00855619" w:rsidP="00855619">
      <w:bookmarkStart w:id="0" w:name="_Toc391890681"/>
      <w:r w:rsidRPr="00143431">
        <w:t>The National Disability Conference Initiative (NDCI) is delivered as part of the</w:t>
      </w:r>
      <w:r w:rsidR="005B347B">
        <w:t xml:space="preserve"> Department of Social Services </w:t>
      </w:r>
      <w:r w:rsidRPr="00143431">
        <w:t>Disability and Carer Support component, under Outcome 3.1 Disability, Mental Health and Carers Program.</w:t>
      </w:r>
    </w:p>
    <w:p w14:paraId="4855122D" w14:textId="21D87161" w:rsidR="00855619" w:rsidRDefault="00855619" w:rsidP="00855619">
      <w:r w:rsidRPr="00143431">
        <w:t>The Disability, Mental Health and Carers Program provides support and community-based initiatives for people with disability or mental illness and for carers so they can develop their capabilities and actively participate in community and economic life.</w:t>
      </w:r>
    </w:p>
    <w:p w14:paraId="334D92D3" w14:textId="436A9E18" w:rsidR="008C6157" w:rsidRPr="00143431" w:rsidRDefault="008C6157" w:rsidP="00855619">
      <w:r>
        <w:t>NDCI 2020-21 provide</w:t>
      </w:r>
      <w:r w:rsidR="00636C10">
        <w:t>s</w:t>
      </w:r>
      <w:r w:rsidRPr="008C6157">
        <w:t xml:space="preserve"> grants to conference organisers to help people with disability participate in nationa</w:t>
      </w:r>
      <w:r>
        <w:t>lly-focused, disability-related</w:t>
      </w:r>
      <w:r w:rsidRPr="008C6157">
        <w:t xml:space="preserve"> conferences held in Australia. Grants support eligible conference organisers to provide accessibility measures that will maximise the inclusion and participation of people with disability at their conference.</w:t>
      </w:r>
    </w:p>
    <w:p w14:paraId="02A7239D" w14:textId="0714D820" w:rsidR="00855619" w:rsidRPr="00143431" w:rsidRDefault="00855619" w:rsidP="00855619">
      <w:r w:rsidRPr="00143431">
        <w:t>The exp</w:t>
      </w:r>
      <w:r w:rsidR="008F3561">
        <w:t>ected outcomes of the NDCI are:</w:t>
      </w:r>
    </w:p>
    <w:p w14:paraId="610DFAA7" w14:textId="77777777" w:rsidR="00855619" w:rsidRPr="00143431" w:rsidRDefault="00855619" w:rsidP="00855619">
      <w:pPr>
        <w:numPr>
          <w:ilvl w:val="0"/>
          <w:numId w:val="8"/>
        </w:numPr>
      </w:pPr>
      <w:r w:rsidRPr="00143431">
        <w:t xml:space="preserve">Enabling people with disability greater opportunities to participate in all areas of Australian life by assisting them and their </w:t>
      </w:r>
      <w:proofErr w:type="spellStart"/>
      <w:r w:rsidRPr="00143431">
        <w:t>carers</w:t>
      </w:r>
      <w:proofErr w:type="spellEnd"/>
      <w:r w:rsidRPr="00143431">
        <w:t xml:space="preserve"> with the costs of attending disability related conferences that might otherwise be inaccessible to them.</w:t>
      </w:r>
    </w:p>
    <w:p w14:paraId="7434CA30" w14:textId="77520E41" w:rsidR="00855619" w:rsidRPr="00143431" w:rsidRDefault="00855619" w:rsidP="00D20713">
      <w:pPr>
        <w:numPr>
          <w:ilvl w:val="0"/>
          <w:numId w:val="8"/>
        </w:numPr>
      </w:pPr>
      <w:r w:rsidRPr="00143431">
        <w:t>Greater participation and inclusion of people with disability at nationally-focused, disability-re</w:t>
      </w:r>
      <w:r w:rsidR="008F3561">
        <w:t>lated conferences in Australia.</w:t>
      </w:r>
    </w:p>
    <w:p w14:paraId="575B2CE5" w14:textId="38EEC68D" w:rsidR="008A3507" w:rsidRPr="00143431" w:rsidRDefault="008A3507" w:rsidP="008A3507">
      <w:r w:rsidRPr="00143431">
        <w:t xml:space="preserve">The application period opened on </w:t>
      </w:r>
      <w:r w:rsidR="009F20A4" w:rsidRPr="00143431">
        <w:t>19 November 2019</w:t>
      </w:r>
      <w:r w:rsidRPr="00143431">
        <w:t xml:space="preserve"> and closed on </w:t>
      </w:r>
      <w:r w:rsidR="009F20A4" w:rsidRPr="00143431">
        <w:t>7 January 2020</w:t>
      </w:r>
      <w:r w:rsidRPr="00143431">
        <w:t xml:space="preserve">. Up to </w:t>
      </w:r>
      <w:r w:rsidR="009F20A4" w:rsidRPr="00143431">
        <w:t>$315,000</w:t>
      </w:r>
      <w:r w:rsidRPr="00143431">
        <w:t xml:space="preserve"> (GST exclusive) over </w:t>
      </w:r>
      <w:r w:rsidR="009F20A4" w:rsidRPr="00143431">
        <w:t>one year</w:t>
      </w:r>
      <w:r w:rsidRPr="00143431">
        <w:t xml:space="preserve"> is available for this grant opportunity, starting from </w:t>
      </w:r>
      <w:r w:rsidR="009F20A4" w:rsidRPr="00143431">
        <w:t>1 July 2020</w:t>
      </w:r>
      <w:r w:rsidRPr="00143431">
        <w:t xml:space="preserve"> and finishing in </w:t>
      </w:r>
      <w:r w:rsidR="009F20A4" w:rsidRPr="00143431">
        <w:t>30 June 2021</w:t>
      </w:r>
      <w:r w:rsidRPr="00143431">
        <w:t xml:space="preserve">. A total of </w:t>
      </w:r>
      <w:r w:rsidR="00B718A9" w:rsidRPr="00143431">
        <w:t>64</w:t>
      </w:r>
      <w:r w:rsidRPr="00143431">
        <w:t xml:space="preserve"> applications were received, of which </w:t>
      </w:r>
      <w:r w:rsidR="00B718A9" w:rsidRPr="00143431">
        <w:t>59</w:t>
      </w:r>
      <w:r w:rsidRPr="00143431">
        <w:t xml:space="preserve"> were eligible, making the selection of successful grant recipients competitive. After assessment, </w:t>
      </w:r>
      <w:r w:rsidR="00B718A9" w:rsidRPr="00143431">
        <w:t>32</w:t>
      </w:r>
      <w:r w:rsidRPr="00143431">
        <w:t xml:space="preserve"> applications were selected for funding, totalling </w:t>
      </w:r>
      <w:r w:rsidR="00B718A9" w:rsidRPr="00143431">
        <w:t>just over $314,000 (GST exclusive).</w:t>
      </w:r>
    </w:p>
    <w:p w14:paraId="5FD62023" w14:textId="3FE17328" w:rsidR="008A3507" w:rsidRPr="00143431" w:rsidRDefault="008A3507" w:rsidP="008A3507">
      <w:r w:rsidRPr="00143431">
        <w:t xml:space="preserve">The feedback provided below on behalf of the Department of Social Services is to help grant applicants understand what generally comprised stronger and weaker responses to the assessment criteria for this grant </w:t>
      </w:r>
      <w:r w:rsidR="00024729" w:rsidRPr="00143431">
        <w:t>opportunity</w:t>
      </w:r>
      <w:r w:rsidRPr="00143431">
        <w:t>, and how to strengthen future applications.</w:t>
      </w:r>
      <w:bookmarkStart w:id="1" w:name="_GoBack"/>
      <w:bookmarkEnd w:id="1"/>
    </w:p>
    <w:p w14:paraId="349BBB7A" w14:textId="3BF396A5" w:rsidR="008A3507" w:rsidRPr="00143431" w:rsidRDefault="008A3507" w:rsidP="008A3507">
      <w:r w:rsidRPr="00143431">
        <w:t>You can find out about new gra</w:t>
      </w:r>
      <w:r w:rsidR="00024729" w:rsidRPr="00143431">
        <w:t xml:space="preserve">nt opportunities </w:t>
      </w:r>
      <w:r w:rsidR="00024729" w:rsidRPr="00143431">
        <w:rPr>
          <w:rFonts w:asciiTheme="minorHAnsi" w:hAnsiTheme="minorHAnsi" w:cstheme="minorHAnsi"/>
        </w:rPr>
        <w:t xml:space="preserve">on </w:t>
      </w:r>
      <w:hyperlink r:id="rId8" w:history="1">
        <w:r w:rsidR="00024729" w:rsidRPr="00143431">
          <w:rPr>
            <w:rStyle w:val="Hyperlink"/>
            <w:rFonts w:asciiTheme="minorHAnsi" w:hAnsiTheme="minorHAnsi" w:cstheme="minorHAnsi"/>
          </w:rPr>
          <w:t>GrantCon</w:t>
        </w:r>
        <w:r w:rsidR="00024729" w:rsidRPr="00143431">
          <w:rPr>
            <w:rStyle w:val="Hyperlink"/>
            <w:rFonts w:asciiTheme="minorHAnsi" w:hAnsiTheme="minorHAnsi" w:cstheme="minorHAnsi"/>
          </w:rPr>
          <w:t>n</w:t>
        </w:r>
        <w:r w:rsidR="00024729" w:rsidRPr="00143431">
          <w:rPr>
            <w:rStyle w:val="Hyperlink"/>
            <w:rFonts w:asciiTheme="minorHAnsi" w:hAnsiTheme="minorHAnsi" w:cstheme="minorHAnsi"/>
          </w:rPr>
          <w:t>e</w:t>
        </w:r>
        <w:r w:rsidR="00024729" w:rsidRPr="00143431">
          <w:rPr>
            <w:rStyle w:val="Hyperlink"/>
            <w:rFonts w:asciiTheme="minorHAnsi" w:hAnsiTheme="minorHAnsi" w:cstheme="minorHAnsi"/>
          </w:rPr>
          <w:t>ct.</w:t>
        </w:r>
      </w:hyperlink>
    </w:p>
    <w:bookmarkEnd w:id="0"/>
    <w:p w14:paraId="55740C37" w14:textId="77777777" w:rsidR="00C80192" w:rsidRPr="00143431" w:rsidRDefault="00D20713" w:rsidP="00C80192">
      <w:pPr>
        <w:pStyle w:val="Heading1"/>
        <w:rPr>
          <w:color w:val="005A70"/>
        </w:rPr>
      </w:pPr>
      <w:r w:rsidRPr="00143431">
        <w:rPr>
          <w:color w:val="005A70"/>
        </w:rPr>
        <w:lastRenderedPageBreak/>
        <w:t>Selection Process</w:t>
      </w:r>
    </w:p>
    <w:p w14:paraId="60056C1A" w14:textId="6682A601" w:rsidR="00024729" w:rsidRPr="00024729" w:rsidRDefault="00024729" w:rsidP="00024729">
      <w:pPr>
        <w:pStyle w:val="BodyText"/>
        <w:spacing w:line="276" w:lineRule="auto"/>
        <w:rPr>
          <w:rFonts w:ascii="Arial" w:hAnsi="Arial" w:cs="Arial"/>
          <w:sz w:val="24"/>
          <w:szCs w:val="24"/>
        </w:rPr>
      </w:pPr>
      <w:r w:rsidRPr="00143431">
        <w:rPr>
          <w:rFonts w:ascii="Arial" w:hAnsi="Arial" w:cs="Arial"/>
          <w:color w:val="auto"/>
          <w:sz w:val="24"/>
          <w:szCs w:val="24"/>
        </w:rPr>
        <w:t xml:space="preserve">An </w:t>
      </w:r>
      <w:r w:rsidR="009F20A4" w:rsidRPr="00143431">
        <w:rPr>
          <w:rFonts w:ascii="Arial" w:hAnsi="Arial" w:cs="Arial"/>
          <w:color w:val="auto"/>
          <w:sz w:val="24"/>
          <w:szCs w:val="24"/>
        </w:rPr>
        <w:t>open</w:t>
      </w:r>
      <w:r w:rsidRPr="00143431">
        <w:rPr>
          <w:rFonts w:ascii="Arial" w:hAnsi="Arial" w:cs="Arial"/>
          <w:color w:val="auto"/>
          <w:sz w:val="24"/>
          <w:szCs w:val="24"/>
        </w:rPr>
        <w:t xml:space="preserve"> competitive selection process was undertaken, allowing a range of organisations that met the </w:t>
      </w:r>
      <w:r w:rsidRPr="00143431">
        <w:rPr>
          <w:rFonts w:ascii="Arial" w:hAnsi="Arial" w:cs="Arial"/>
          <w:sz w:val="24"/>
          <w:szCs w:val="24"/>
        </w:rPr>
        <w:t>eligibility criteria to apply.</w:t>
      </w:r>
    </w:p>
    <w:p w14:paraId="309CADCC" w14:textId="078259AD" w:rsidR="00855619" w:rsidRPr="00133E8C" w:rsidRDefault="00024729" w:rsidP="00855619">
      <w:pPr>
        <w:pStyle w:val="BodyText"/>
        <w:spacing w:line="276" w:lineRule="auto"/>
        <w:rPr>
          <w:rFonts w:cstheme="minorHAnsi"/>
          <w:sz w:val="24"/>
          <w:szCs w:val="24"/>
        </w:rPr>
      </w:pPr>
      <w:r w:rsidRPr="00024729">
        <w:rPr>
          <w:rFonts w:ascii="Arial" w:hAnsi="Arial" w:cs="Arial"/>
          <w:sz w:val="24"/>
          <w:szCs w:val="24"/>
        </w:rPr>
        <w:t>Applications were first screened for eligibility and compliance against the requirements outlined in the Grant Opportunity Guidelines</w:t>
      </w:r>
      <w:r w:rsidR="00143431">
        <w:rPr>
          <w:rFonts w:ascii="Arial" w:hAnsi="Arial" w:cs="Arial"/>
          <w:sz w:val="24"/>
          <w:szCs w:val="24"/>
        </w:rPr>
        <w:t xml:space="preserve">. </w:t>
      </w:r>
      <w:r w:rsidR="00394A5A">
        <w:rPr>
          <w:rFonts w:ascii="Arial" w:hAnsi="Arial" w:cs="Arial"/>
          <w:sz w:val="24"/>
          <w:szCs w:val="24"/>
        </w:rPr>
        <w:t xml:space="preserve">As per section 4.1, </w:t>
      </w:r>
      <w:r w:rsidR="00394A5A">
        <w:rPr>
          <w:rFonts w:cstheme="minorHAnsi"/>
          <w:sz w:val="24"/>
          <w:szCs w:val="24"/>
        </w:rPr>
        <w:t>t</w:t>
      </w:r>
      <w:r w:rsidR="00B718A9" w:rsidRPr="00133E8C">
        <w:rPr>
          <w:rFonts w:cstheme="minorHAnsi"/>
          <w:sz w:val="24"/>
          <w:szCs w:val="24"/>
        </w:rPr>
        <w:t>o be eligible applicants</w:t>
      </w:r>
      <w:r w:rsidR="00855619" w:rsidRPr="00133E8C">
        <w:rPr>
          <w:rFonts w:cstheme="minorHAnsi"/>
          <w:sz w:val="24"/>
          <w:szCs w:val="24"/>
        </w:rPr>
        <w:t xml:space="preserve"> </w:t>
      </w:r>
      <w:r w:rsidR="009B4AD6" w:rsidRPr="00133E8C">
        <w:rPr>
          <w:rFonts w:cstheme="minorHAnsi"/>
          <w:sz w:val="24"/>
          <w:szCs w:val="24"/>
        </w:rPr>
        <w:t>were required to</w:t>
      </w:r>
      <w:r w:rsidR="00855619" w:rsidRPr="00133E8C">
        <w:rPr>
          <w:rFonts w:cstheme="minorHAnsi"/>
          <w:sz w:val="24"/>
          <w:szCs w:val="24"/>
        </w:rPr>
        <w:t xml:space="preserve"> be:</w:t>
      </w:r>
    </w:p>
    <w:p w14:paraId="05C4348B" w14:textId="77777777" w:rsidR="00855619" w:rsidRPr="00133E8C" w:rsidRDefault="00855619" w:rsidP="00C96FC4">
      <w:pPr>
        <w:pStyle w:val="BodyText"/>
        <w:numPr>
          <w:ilvl w:val="2"/>
          <w:numId w:val="11"/>
        </w:numPr>
        <w:spacing w:line="276" w:lineRule="auto"/>
        <w:rPr>
          <w:rFonts w:cstheme="minorHAnsi"/>
          <w:iCs/>
          <w:sz w:val="24"/>
          <w:szCs w:val="24"/>
        </w:rPr>
      </w:pPr>
      <w:r w:rsidRPr="00133E8C">
        <w:rPr>
          <w:rFonts w:cstheme="minorHAnsi"/>
          <w:iCs/>
          <w:sz w:val="24"/>
          <w:szCs w:val="24"/>
        </w:rPr>
        <w:t>the conference organiser</w:t>
      </w:r>
    </w:p>
    <w:p w14:paraId="53206C45" w14:textId="77777777" w:rsidR="00855619" w:rsidRPr="00133E8C" w:rsidRDefault="00855619" w:rsidP="00C96FC4">
      <w:pPr>
        <w:pStyle w:val="BodyText"/>
        <w:numPr>
          <w:ilvl w:val="2"/>
          <w:numId w:val="11"/>
        </w:numPr>
        <w:spacing w:line="276" w:lineRule="auto"/>
        <w:rPr>
          <w:rFonts w:cstheme="minorHAnsi"/>
          <w:iCs/>
          <w:sz w:val="24"/>
          <w:szCs w:val="24"/>
        </w:rPr>
      </w:pPr>
      <w:r w:rsidRPr="00133E8C">
        <w:rPr>
          <w:rFonts w:cstheme="minorHAnsi"/>
          <w:iCs/>
          <w:sz w:val="24"/>
          <w:szCs w:val="24"/>
        </w:rPr>
        <w:t>holding the conference in the 2020-21 financial year, and</w:t>
      </w:r>
    </w:p>
    <w:p w14:paraId="1DE6809D" w14:textId="77777777" w:rsidR="00855619" w:rsidRPr="00133E8C" w:rsidRDefault="00855619" w:rsidP="00C96FC4">
      <w:pPr>
        <w:pStyle w:val="BodyText"/>
        <w:numPr>
          <w:ilvl w:val="2"/>
          <w:numId w:val="11"/>
        </w:numPr>
        <w:spacing w:line="276" w:lineRule="auto"/>
        <w:rPr>
          <w:rFonts w:cstheme="minorHAnsi"/>
          <w:iCs/>
          <w:sz w:val="24"/>
          <w:szCs w:val="24"/>
        </w:rPr>
      </w:pPr>
      <w:r w:rsidRPr="00133E8C">
        <w:rPr>
          <w:rFonts w:cstheme="minorHAnsi"/>
          <w:iCs/>
          <w:sz w:val="24"/>
          <w:szCs w:val="24"/>
        </w:rPr>
        <w:t>one of the following entity types:</w:t>
      </w:r>
    </w:p>
    <w:p w14:paraId="2EE0CFF1" w14:textId="77777777" w:rsidR="00855619" w:rsidRPr="00133E8C" w:rsidRDefault="00855619" w:rsidP="00C96FC4">
      <w:pPr>
        <w:pStyle w:val="BodyText"/>
        <w:numPr>
          <w:ilvl w:val="4"/>
          <w:numId w:val="9"/>
        </w:numPr>
        <w:spacing w:line="276" w:lineRule="auto"/>
        <w:rPr>
          <w:rFonts w:cstheme="minorHAnsi"/>
          <w:iCs/>
          <w:sz w:val="24"/>
          <w:szCs w:val="24"/>
        </w:rPr>
      </w:pPr>
      <w:r w:rsidRPr="00133E8C">
        <w:rPr>
          <w:rFonts w:cstheme="minorHAnsi"/>
          <w:iCs/>
          <w:sz w:val="24"/>
          <w:szCs w:val="24"/>
        </w:rPr>
        <w:t xml:space="preserve">Indigenous Corporation </w:t>
      </w:r>
    </w:p>
    <w:p w14:paraId="01962047" w14:textId="5AAF5225" w:rsidR="00855619" w:rsidRPr="00133E8C" w:rsidRDefault="00855619" w:rsidP="00C96FC4">
      <w:pPr>
        <w:pStyle w:val="BodyText"/>
        <w:numPr>
          <w:ilvl w:val="4"/>
          <w:numId w:val="9"/>
        </w:numPr>
        <w:spacing w:line="276" w:lineRule="auto"/>
        <w:rPr>
          <w:rFonts w:cstheme="minorHAnsi"/>
          <w:iCs/>
          <w:sz w:val="24"/>
          <w:szCs w:val="24"/>
        </w:rPr>
      </w:pPr>
      <w:r w:rsidRPr="00133E8C">
        <w:rPr>
          <w:rFonts w:cstheme="minorHAnsi"/>
          <w:iCs/>
          <w:sz w:val="24"/>
          <w:szCs w:val="24"/>
        </w:rPr>
        <w:t xml:space="preserve">Company </w:t>
      </w:r>
    </w:p>
    <w:p w14:paraId="77610175" w14:textId="77777777" w:rsidR="00855619" w:rsidRPr="00133E8C" w:rsidRDefault="00855619" w:rsidP="00C96FC4">
      <w:pPr>
        <w:pStyle w:val="BodyText"/>
        <w:numPr>
          <w:ilvl w:val="4"/>
          <w:numId w:val="9"/>
        </w:numPr>
        <w:spacing w:line="276" w:lineRule="auto"/>
        <w:rPr>
          <w:rFonts w:cstheme="minorHAnsi"/>
          <w:iCs/>
          <w:sz w:val="24"/>
          <w:szCs w:val="24"/>
        </w:rPr>
      </w:pPr>
      <w:r w:rsidRPr="00133E8C">
        <w:rPr>
          <w:rFonts w:cstheme="minorHAnsi"/>
          <w:iCs/>
          <w:sz w:val="24"/>
          <w:szCs w:val="24"/>
        </w:rPr>
        <w:t>Cooperative</w:t>
      </w:r>
    </w:p>
    <w:p w14:paraId="5F81D226" w14:textId="77777777" w:rsidR="00855619" w:rsidRPr="00133E8C" w:rsidRDefault="00855619" w:rsidP="00C96FC4">
      <w:pPr>
        <w:pStyle w:val="BodyText"/>
        <w:numPr>
          <w:ilvl w:val="4"/>
          <w:numId w:val="9"/>
        </w:numPr>
        <w:spacing w:line="276" w:lineRule="auto"/>
        <w:rPr>
          <w:rFonts w:cstheme="minorHAnsi"/>
          <w:iCs/>
          <w:sz w:val="24"/>
          <w:szCs w:val="24"/>
        </w:rPr>
      </w:pPr>
      <w:r w:rsidRPr="00133E8C">
        <w:rPr>
          <w:rFonts w:cstheme="minorHAnsi"/>
          <w:iCs/>
          <w:sz w:val="24"/>
          <w:szCs w:val="24"/>
        </w:rPr>
        <w:t>Incorporated Association</w:t>
      </w:r>
    </w:p>
    <w:p w14:paraId="1267EFB9" w14:textId="12EF3D4C" w:rsidR="00855619" w:rsidRPr="00133E8C" w:rsidRDefault="00855619" w:rsidP="00C96FC4">
      <w:pPr>
        <w:pStyle w:val="BodyText"/>
        <w:numPr>
          <w:ilvl w:val="4"/>
          <w:numId w:val="9"/>
        </w:numPr>
        <w:spacing w:line="276" w:lineRule="auto"/>
        <w:rPr>
          <w:rFonts w:cstheme="minorHAnsi"/>
          <w:iCs/>
          <w:sz w:val="24"/>
          <w:szCs w:val="24"/>
        </w:rPr>
      </w:pPr>
      <w:r w:rsidRPr="00133E8C">
        <w:rPr>
          <w:rFonts w:cstheme="minorHAnsi"/>
          <w:iCs/>
          <w:sz w:val="24"/>
          <w:szCs w:val="24"/>
        </w:rPr>
        <w:t>Partnership</w:t>
      </w:r>
    </w:p>
    <w:p w14:paraId="38643F9C" w14:textId="77777777" w:rsidR="00855619" w:rsidRPr="00133E8C" w:rsidRDefault="00855619" w:rsidP="00C96FC4">
      <w:pPr>
        <w:pStyle w:val="BodyText"/>
        <w:numPr>
          <w:ilvl w:val="4"/>
          <w:numId w:val="9"/>
        </w:numPr>
        <w:spacing w:line="276" w:lineRule="auto"/>
        <w:rPr>
          <w:rFonts w:cstheme="minorHAnsi"/>
          <w:iCs/>
          <w:sz w:val="24"/>
          <w:szCs w:val="24"/>
        </w:rPr>
      </w:pPr>
      <w:r w:rsidRPr="00133E8C">
        <w:rPr>
          <w:rFonts w:cstheme="minorHAnsi"/>
          <w:iCs/>
          <w:sz w:val="24"/>
          <w:szCs w:val="24"/>
        </w:rPr>
        <w:t>Statutory Entity</w:t>
      </w:r>
    </w:p>
    <w:p w14:paraId="78E90E5F" w14:textId="7F0F36A4" w:rsidR="00855619" w:rsidRPr="00133E8C" w:rsidRDefault="00855619" w:rsidP="00C96FC4">
      <w:pPr>
        <w:pStyle w:val="BodyText"/>
        <w:numPr>
          <w:ilvl w:val="4"/>
          <w:numId w:val="9"/>
        </w:numPr>
        <w:spacing w:line="276" w:lineRule="auto"/>
        <w:rPr>
          <w:rFonts w:cstheme="minorHAnsi"/>
          <w:iCs/>
          <w:sz w:val="24"/>
          <w:szCs w:val="24"/>
        </w:rPr>
      </w:pPr>
      <w:r w:rsidRPr="00133E8C">
        <w:rPr>
          <w:rFonts w:cstheme="minorHAnsi"/>
          <w:iCs/>
          <w:sz w:val="24"/>
          <w:szCs w:val="24"/>
        </w:rPr>
        <w:t>Trustee on behalf of a Trust</w:t>
      </w:r>
    </w:p>
    <w:p w14:paraId="1FD95663" w14:textId="77777777" w:rsidR="00855619" w:rsidRPr="00133E8C" w:rsidRDefault="00855619" w:rsidP="00C96FC4">
      <w:pPr>
        <w:pStyle w:val="BodyText"/>
        <w:numPr>
          <w:ilvl w:val="4"/>
          <w:numId w:val="9"/>
        </w:numPr>
        <w:spacing w:line="276" w:lineRule="auto"/>
        <w:rPr>
          <w:rFonts w:cstheme="minorHAnsi"/>
          <w:iCs/>
          <w:sz w:val="24"/>
          <w:szCs w:val="24"/>
        </w:rPr>
      </w:pPr>
      <w:r w:rsidRPr="00133E8C">
        <w:rPr>
          <w:rFonts w:cstheme="minorHAnsi"/>
          <w:iCs/>
          <w:sz w:val="24"/>
          <w:szCs w:val="24"/>
        </w:rPr>
        <w:t>Unincorporated Association.</w:t>
      </w:r>
    </w:p>
    <w:p w14:paraId="4B10FE48" w14:textId="3E580CD1" w:rsidR="00024729" w:rsidRPr="00024729" w:rsidRDefault="00024729" w:rsidP="00024729">
      <w:pPr>
        <w:pStyle w:val="BodyText"/>
        <w:spacing w:line="276" w:lineRule="auto"/>
        <w:rPr>
          <w:rFonts w:ascii="Arial" w:hAnsi="Arial" w:cs="Arial"/>
          <w:sz w:val="24"/>
          <w:szCs w:val="24"/>
        </w:rPr>
      </w:pPr>
      <w:r w:rsidRPr="00143431">
        <w:rPr>
          <w:rFonts w:ascii="Arial" w:hAnsi="Arial" w:cs="Arial"/>
          <w:sz w:val="24"/>
          <w:szCs w:val="24"/>
        </w:rPr>
        <w:t xml:space="preserve">All eligible and compliant applications were then assessed and moderated by the Department of Social Services against the </w:t>
      </w:r>
      <w:r w:rsidR="009F20A4" w:rsidRPr="00143431">
        <w:rPr>
          <w:sz w:val="24"/>
          <w:szCs w:val="24"/>
        </w:rPr>
        <w:t>three</w:t>
      </w:r>
      <w:r w:rsidR="00B9108A" w:rsidRPr="00143431">
        <w:rPr>
          <w:sz w:val="24"/>
          <w:szCs w:val="24"/>
        </w:rPr>
        <w:t xml:space="preserve"> </w:t>
      </w:r>
      <w:r w:rsidRPr="00143431">
        <w:rPr>
          <w:rFonts w:ascii="Arial" w:hAnsi="Arial" w:cs="Arial"/>
          <w:sz w:val="24"/>
          <w:szCs w:val="24"/>
        </w:rPr>
        <w:t>assessment</w:t>
      </w:r>
      <w:r w:rsidRPr="00024729">
        <w:rPr>
          <w:rFonts w:ascii="Arial" w:hAnsi="Arial" w:cs="Arial"/>
          <w:sz w:val="24"/>
          <w:szCs w:val="24"/>
        </w:rPr>
        <w:t xml:space="preserve"> criteria.</w:t>
      </w:r>
    </w:p>
    <w:p w14:paraId="65F7EC04" w14:textId="77777777" w:rsidR="00024729" w:rsidRPr="00024729" w:rsidRDefault="00024729" w:rsidP="00024729">
      <w:pPr>
        <w:pStyle w:val="BodyText"/>
        <w:spacing w:line="276" w:lineRule="auto"/>
        <w:rPr>
          <w:rFonts w:ascii="Arial" w:hAnsi="Arial" w:cs="Arial"/>
          <w:sz w:val="24"/>
          <w:szCs w:val="24"/>
        </w:rPr>
      </w:pPr>
      <w:r w:rsidRPr="00024729">
        <w:rPr>
          <w:rFonts w:ascii="Arial" w:hAnsi="Arial" w:cs="Arial"/>
          <w:sz w:val="24"/>
          <w:szCs w:val="24"/>
        </w:rPr>
        <w:t xml:space="preserve">A </w:t>
      </w:r>
      <w:r w:rsidR="00B9108A">
        <w:rPr>
          <w:rFonts w:ascii="Arial" w:hAnsi="Arial" w:cs="Arial"/>
          <w:sz w:val="24"/>
          <w:szCs w:val="24"/>
        </w:rPr>
        <w:t>Department of Social Services</w:t>
      </w:r>
      <w:r w:rsidR="00B9108A" w:rsidRPr="00024729">
        <w:rPr>
          <w:rFonts w:ascii="Arial" w:hAnsi="Arial" w:cs="Arial"/>
          <w:sz w:val="24"/>
          <w:szCs w:val="24"/>
        </w:rPr>
        <w:t xml:space="preserve"> </w:t>
      </w:r>
      <w:r w:rsidRPr="00024729">
        <w:rPr>
          <w:rFonts w:ascii="Arial" w:hAnsi="Arial" w:cs="Arial"/>
          <w:sz w:val="24"/>
          <w:szCs w:val="24"/>
        </w:rPr>
        <w:t xml:space="preserve">Selection Advisory Panel, with a mix of relevant policy, program and delivery expertise, </w:t>
      </w:r>
      <w:r w:rsidRPr="002705E7">
        <w:rPr>
          <w:rFonts w:ascii="Arial" w:hAnsi="Arial" w:cs="Arial"/>
          <w:sz w:val="24"/>
          <w:szCs w:val="24"/>
        </w:rPr>
        <w:t>then</w:t>
      </w:r>
      <w:r w:rsidRPr="00024729">
        <w:rPr>
          <w:rFonts w:ascii="Arial" w:hAnsi="Arial" w:cs="Arial"/>
          <w:sz w:val="24"/>
          <w:szCs w:val="24"/>
        </w:rPr>
        <w:t xml:space="preserve"> made funding recommendations to the </w:t>
      </w:r>
      <w:r w:rsidR="00B9108A">
        <w:rPr>
          <w:rFonts w:ascii="Arial" w:hAnsi="Arial" w:cs="Arial"/>
          <w:sz w:val="24"/>
          <w:szCs w:val="24"/>
        </w:rPr>
        <w:t>Department of Social Services’</w:t>
      </w:r>
      <w:r w:rsidRPr="00024729">
        <w:rPr>
          <w:rFonts w:ascii="Arial" w:hAnsi="Arial" w:cs="Arial"/>
          <w:sz w:val="24"/>
          <w:szCs w:val="24"/>
        </w:rPr>
        <w:t xml:space="preserve"> </w:t>
      </w:r>
      <w:r w:rsidR="00B9108A" w:rsidRPr="00024729">
        <w:rPr>
          <w:rFonts w:ascii="Arial" w:hAnsi="Arial" w:cs="Arial"/>
          <w:sz w:val="24"/>
          <w:szCs w:val="24"/>
        </w:rPr>
        <w:t>De</w:t>
      </w:r>
      <w:r w:rsidR="00B9108A">
        <w:rPr>
          <w:rFonts w:ascii="Arial" w:hAnsi="Arial" w:cs="Arial"/>
          <w:sz w:val="24"/>
          <w:szCs w:val="24"/>
        </w:rPr>
        <w:t>cision Maker</w:t>
      </w:r>
      <w:r w:rsidRPr="00024729">
        <w:rPr>
          <w:rFonts w:ascii="Arial" w:hAnsi="Arial" w:cs="Arial"/>
          <w:color w:val="auto"/>
          <w:sz w:val="24"/>
          <w:szCs w:val="24"/>
        </w:rPr>
        <w:t>.</w:t>
      </w:r>
      <w:r w:rsidRPr="008F3561">
        <w:rPr>
          <w:rFonts w:ascii="Arial" w:hAnsi="Arial" w:cs="Arial"/>
          <w:color w:val="auto"/>
          <w:sz w:val="24"/>
          <w:szCs w:val="24"/>
        </w:rPr>
        <w:t xml:space="preserve"> </w:t>
      </w:r>
      <w:r w:rsidRPr="00024729">
        <w:rPr>
          <w:rFonts w:ascii="Arial" w:hAnsi="Arial" w:cs="Arial"/>
          <w:sz w:val="24"/>
          <w:szCs w:val="24"/>
        </w:rPr>
        <w:t>The recommendations were based on the strength of responses to the assessment criteria and the applicant’s ability to meet the grant requirements outlined in the Grant Opportunity Guidelines.</w:t>
      </w:r>
    </w:p>
    <w:p w14:paraId="732649D0" w14:textId="77777777" w:rsidR="00024729" w:rsidRPr="00024729" w:rsidRDefault="00024729" w:rsidP="00024729">
      <w:pPr>
        <w:pStyle w:val="CommentText"/>
        <w:spacing w:line="276" w:lineRule="auto"/>
        <w:rPr>
          <w:rFonts w:ascii="Arial" w:hAnsi="Arial" w:cs="Arial"/>
          <w:sz w:val="24"/>
          <w:szCs w:val="24"/>
        </w:rPr>
      </w:pPr>
      <w:r w:rsidRPr="00024729">
        <w:rPr>
          <w:rFonts w:ascii="Arial" w:hAnsi="Arial" w:cs="Arial"/>
          <w:sz w:val="24"/>
          <w:szCs w:val="24"/>
        </w:rPr>
        <w:t>The Selection Advisory Panel considered all applications and their assessment results and made recommendations on applications having regard to:</w:t>
      </w:r>
    </w:p>
    <w:p w14:paraId="1EEAB424" w14:textId="77777777" w:rsidR="00024729" w:rsidRPr="008F3561" w:rsidRDefault="00024729" w:rsidP="008F3561">
      <w:pPr>
        <w:pStyle w:val="ListParagraph"/>
        <w:numPr>
          <w:ilvl w:val="0"/>
          <w:numId w:val="3"/>
        </w:numPr>
        <w:spacing w:after="120" w:line="276" w:lineRule="auto"/>
        <w:ind w:left="714" w:hanging="357"/>
        <w:rPr>
          <w:rFonts w:cs="Arial"/>
        </w:rPr>
      </w:pPr>
      <w:r w:rsidRPr="008F3561">
        <w:rPr>
          <w:rFonts w:cs="Arial"/>
        </w:rPr>
        <w:t>whether the project, or any of its elements did not align with the program objectives</w:t>
      </w:r>
    </w:p>
    <w:p w14:paraId="2D0D7B0F" w14:textId="77777777" w:rsidR="00024729" w:rsidRPr="008F3561" w:rsidRDefault="00024729" w:rsidP="008F3561">
      <w:pPr>
        <w:pStyle w:val="ListParagraph"/>
        <w:numPr>
          <w:ilvl w:val="0"/>
          <w:numId w:val="3"/>
        </w:numPr>
        <w:spacing w:after="120" w:line="276" w:lineRule="auto"/>
        <w:ind w:left="714" w:hanging="357"/>
        <w:rPr>
          <w:rFonts w:cs="Arial"/>
        </w:rPr>
      </w:pPr>
      <w:r w:rsidRPr="008F3561">
        <w:rPr>
          <w:rFonts w:cs="Arial"/>
        </w:rPr>
        <w:t>value for money</w:t>
      </w:r>
    </w:p>
    <w:p w14:paraId="40D1E88E" w14:textId="6CD70E7E" w:rsidR="00024729" w:rsidRPr="008F3561" w:rsidRDefault="00024729" w:rsidP="008F3561">
      <w:pPr>
        <w:pStyle w:val="ListParagraph"/>
        <w:numPr>
          <w:ilvl w:val="0"/>
          <w:numId w:val="3"/>
        </w:numPr>
        <w:spacing w:after="120" w:line="276" w:lineRule="auto"/>
        <w:ind w:left="714" w:hanging="357"/>
        <w:rPr>
          <w:rFonts w:cs="Arial"/>
        </w:rPr>
      </w:pPr>
      <w:r w:rsidRPr="008F3561">
        <w:rPr>
          <w:rFonts w:cs="Arial"/>
        </w:rPr>
        <w:t>conformance with eligibility criteria</w:t>
      </w:r>
    </w:p>
    <w:p w14:paraId="4FD35664" w14:textId="77777777" w:rsidR="00024729" w:rsidRPr="008F3561" w:rsidRDefault="00024729" w:rsidP="008F3561">
      <w:pPr>
        <w:pStyle w:val="ListParagraph"/>
        <w:numPr>
          <w:ilvl w:val="0"/>
          <w:numId w:val="3"/>
        </w:numPr>
        <w:spacing w:after="120" w:line="276" w:lineRule="auto"/>
        <w:ind w:left="714" w:hanging="357"/>
        <w:rPr>
          <w:rFonts w:cs="Arial"/>
        </w:rPr>
      </w:pPr>
      <w:proofErr w:type="gramStart"/>
      <w:r w:rsidRPr="008F3561">
        <w:rPr>
          <w:rFonts w:cs="Arial"/>
        </w:rPr>
        <w:t>how</w:t>
      </w:r>
      <w:proofErr w:type="gramEnd"/>
      <w:r w:rsidRPr="008F3561">
        <w:rPr>
          <w:rFonts w:cs="Arial"/>
        </w:rPr>
        <w:t xml:space="preserve"> the services and/or project will be delivered.</w:t>
      </w:r>
    </w:p>
    <w:p w14:paraId="7A4BE0C3" w14:textId="52DFFDEC" w:rsidR="00B219C2" w:rsidRPr="008E4987" w:rsidRDefault="00024729" w:rsidP="00B9108A">
      <w:pPr>
        <w:pStyle w:val="BodyText"/>
        <w:spacing w:line="276" w:lineRule="auto"/>
        <w:rPr>
          <w:rFonts w:ascii="Arial" w:hAnsi="Arial" w:cs="Arial"/>
          <w:sz w:val="24"/>
          <w:szCs w:val="24"/>
        </w:rPr>
      </w:pPr>
      <w:r w:rsidRPr="008E4987">
        <w:rPr>
          <w:rFonts w:ascii="Arial" w:hAnsi="Arial" w:cs="Arial"/>
          <w:sz w:val="24"/>
          <w:szCs w:val="24"/>
        </w:rPr>
        <w:t xml:space="preserve">The </w:t>
      </w:r>
      <w:r w:rsidR="00B9108A" w:rsidRPr="008E4987">
        <w:rPr>
          <w:rFonts w:ascii="Arial" w:hAnsi="Arial" w:cs="Arial"/>
          <w:sz w:val="24"/>
          <w:szCs w:val="24"/>
        </w:rPr>
        <w:t>Department of Social Services’ Decision Maker a</w:t>
      </w:r>
      <w:r w:rsidRPr="008E4987">
        <w:rPr>
          <w:rFonts w:ascii="Arial" w:hAnsi="Arial" w:cs="Arial"/>
          <w:sz w:val="24"/>
          <w:szCs w:val="24"/>
        </w:rPr>
        <w:t>pprove</w:t>
      </w:r>
      <w:r w:rsidR="00B9108A" w:rsidRPr="008E4987">
        <w:rPr>
          <w:rFonts w:ascii="Arial" w:hAnsi="Arial" w:cs="Arial"/>
          <w:sz w:val="24"/>
          <w:szCs w:val="24"/>
        </w:rPr>
        <w:t>d</w:t>
      </w:r>
      <w:r w:rsidRPr="008E4987">
        <w:rPr>
          <w:rFonts w:ascii="Arial" w:hAnsi="Arial" w:cs="Arial"/>
          <w:sz w:val="24"/>
          <w:szCs w:val="24"/>
        </w:rPr>
        <w:t xml:space="preserve"> funding to the successful grant recipients.</w:t>
      </w:r>
    </w:p>
    <w:p w14:paraId="771DBC39" w14:textId="0FDBB217" w:rsidR="00B9108A" w:rsidRDefault="00024729" w:rsidP="00B9108A">
      <w:pPr>
        <w:pStyle w:val="BodyText"/>
        <w:spacing w:line="276" w:lineRule="auto"/>
        <w:rPr>
          <w:rFonts w:ascii="Arial" w:eastAsia="Times New Roman" w:hAnsi="Arial" w:cs="Arial"/>
          <w:color w:val="auto"/>
          <w:sz w:val="24"/>
          <w:szCs w:val="24"/>
        </w:rPr>
      </w:pPr>
      <w:r w:rsidRPr="00024729">
        <w:rPr>
          <w:rFonts w:ascii="Arial" w:eastAsia="Times New Roman" w:hAnsi="Arial" w:cs="Arial"/>
          <w:color w:val="auto"/>
          <w:sz w:val="24"/>
          <w:szCs w:val="24"/>
        </w:rPr>
        <w:t>The successful applicants proposed activities that were eligible, appropriate and considered effective for achieving the program objectives. They demonstrated their suitability for public funding, value for money and met all of the eligibility requirements in the Grant Opportunity Guidelines.</w:t>
      </w:r>
    </w:p>
    <w:p w14:paraId="4ACADF4D" w14:textId="77777777" w:rsidR="00B9108A" w:rsidRPr="00F0373D" w:rsidRDefault="00B9108A" w:rsidP="00B9108A">
      <w:pPr>
        <w:pStyle w:val="Heading1"/>
        <w:rPr>
          <w:color w:val="005A70"/>
        </w:rPr>
      </w:pPr>
      <w:r w:rsidRPr="00F0373D">
        <w:rPr>
          <w:color w:val="005A70"/>
        </w:rPr>
        <w:lastRenderedPageBreak/>
        <w:t>General feedback</w:t>
      </w:r>
    </w:p>
    <w:p w14:paraId="63E56BE8" w14:textId="77777777" w:rsidR="00B9108A" w:rsidRPr="00B9108A" w:rsidRDefault="00B9108A" w:rsidP="00B9108A">
      <w:pPr>
        <w:pStyle w:val="BodyText"/>
        <w:spacing w:line="276" w:lineRule="auto"/>
        <w:rPr>
          <w:rFonts w:cstheme="minorHAnsi"/>
          <w:sz w:val="24"/>
          <w:szCs w:val="24"/>
        </w:rPr>
      </w:pPr>
      <w:r w:rsidRPr="00B9108A">
        <w:rPr>
          <w:rFonts w:cstheme="minorHAnsi"/>
          <w:sz w:val="24"/>
          <w:szCs w:val="24"/>
        </w:rPr>
        <w:t>Applicants could have generally strengthened their application by:</w:t>
      </w:r>
    </w:p>
    <w:p w14:paraId="73698270" w14:textId="77777777" w:rsidR="00B9108A" w:rsidRPr="00B9108A" w:rsidRDefault="00B9108A" w:rsidP="003A1BC3">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ensuring they thoroughly read the Grant Opportunity Guidelines</w:t>
      </w:r>
    </w:p>
    <w:p w14:paraId="31BDF6C1" w14:textId="77777777" w:rsidR="00B9108A" w:rsidRPr="00B9108A" w:rsidRDefault="00B9108A" w:rsidP="003A1BC3">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ensuring all aspects of the criteria were addressed</w:t>
      </w:r>
    </w:p>
    <w:p w14:paraId="5FB00B86" w14:textId="77777777" w:rsidR="00B9108A" w:rsidRPr="00B9108A" w:rsidRDefault="00B9108A" w:rsidP="003A1BC3">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demonstrating their consideration of the Grant Program’s objectives</w:t>
      </w:r>
    </w:p>
    <w:p w14:paraId="7FB70378" w14:textId="77777777" w:rsidR="00B9108A" w:rsidRPr="00B9108A" w:rsidRDefault="00B9108A" w:rsidP="003A1BC3">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only including relevant information that is not ambiguous</w:t>
      </w:r>
    </w:p>
    <w:p w14:paraId="2FA26D57" w14:textId="2E589FA2" w:rsidR="00B9108A" w:rsidRPr="001F2C51" w:rsidRDefault="00B9108A" w:rsidP="008B1B10">
      <w:pPr>
        <w:pStyle w:val="ListParagraph"/>
        <w:numPr>
          <w:ilvl w:val="0"/>
          <w:numId w:val="3"/>
        </w:numPr>
        <w:spacing w:after="600" w:line="276" w:lineRule="auto"/>
        <w:ind w:left="714" w:hanging="357"/>
        <w:rPr>
          <w:rFonts w:asciiTheme="minorHAnsi" w:hAnsiTheme="minorHAnsi" w:cstheme="minorHAnsi"/>
        </w:rPr>
      </w:pPr>
      <w:proofErr w:type="gramStart"/>
      <w:r w:rsidRPr="00B9108A">
        <w:rPr>
          <w:rFonts w:asciiTheme="minorHAnsi" w:hAnsiTheme="minorHAnsi" w:cstheme="minorHAnsi"/>
        </w:rPr>
        <w:t>supporting</w:t>
      </w:r>
      <w:proofErr w:type="gramEnd"/>
      <w:r w:rsidRPr="00B9108A">
        <w:rPr>
          <w:rFonts w:asciiTheme="minorHAnsi" w:hAnsiTheme="minorHAnsi" w:cstheme="minorHAnsi"/>
        </w:rPr>
        <w:t xml:space="preserve"> claims with relevant, reliable and current evidence</w:t>
      </w:r>
      <w:r w:rsidR="001F2C51">
        <w:rPr>
          <w:rFonts w:asciiTheme="minorHAnsi" w:hAnsiTheme="minorHAnsi" w:cstheme="minorHAnsi"/>
        </w:rPr>
        <w:t xml:space="preserve"> </w:t>
      </w:r>
      <w:r w:rsidRPr="001F2C51">
        <w:rPr>
          <w:rFonts w:cstheme="minorHAnsi"/>
        </w:rPr>
        <w:t xml:space="preserve">linking claims back to the policy objectives and the </w:t>
      </w:r>
      <w:r w:rsidR="008830BC">
        <w:rPr>
          <w:rFonts w:cstheme="minorHAnsi"/>
        </w:rPr>
        <w:t xml:space="preserve">activity </w:t>
      </w:r>
      <w:r w:rsidRPr="001F2C51">
        <w:rPr>
          <w:rFonts w:cstheme="minorHAnsi"/>
        </w:rPr>
        <w:t>to be delivered.</w:t>
      </w:r>
    </w:p>
    <w:p w14:paraId="3B33978A" w14:textId="6F86FAD1" w:rsidR="002705E7" w:rsidRPr="00F0373D" w:rsidRDefault="00B9108A" w:rsidP="003D745F">
      <w:pPr>
        <w:pStyle w:val="Heading2"/>
        <w:rPr>
          <w:color w:val="005A70"/>
        </w:rPr>
      </w:pPr>
      <w:r w:rsidRPr="00F0373D">
        <w:rPr>
          <w:color w:val="005A70"/>
        </w:rPr>
        <w:t>Criterion 1</w:t>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Criterion 1"/>
        <w:tblDescription w:val="The table provides information on successful applications and stronger stronger and weaker responses to criterion 1."/>
      </w:tblPr>
      <w:tblGrid>
        <w:gridCol w:w="9911"/>
      </w:tblGrid>
      <w:tr w:rsidR="003D745F" w:rsidRPr="003D745F" w14:paraId="06D084AE" w14:textId="77777777" w:rsidTr="003948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tcPr>
          <w:p w14:paraId="0AE1784B" w14:textId="0D36A762" w:rsidR="003D745F" w:rsidRPr="004E4174" w:rsidRDefault="00671AAB" w:rsidP="005B3EE6">
            <w:r w:rsidRPr="00671AAB">
              <w:t xml:space="preserve">Demonstrate the need for assistance for people with disability to participate in your conference. </w:t>
            </w:r>
          </w:p>
        </w:tc>
      </w:tr>
      <w:tr w:rsidR="003D745F" w:rsidRPr="003D745F" w14:paraId="00AD2509" w14:textId="77777777" w:rsidTr="00D2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Pr>
          <w:p w14:paraId="087EB9DE" w14:textId="694FEB95" w:rsidR="003D745F" w:rsidRPr="003D745F" w:rsidRDefault="003D745F" w:rsidP="005B3EE6">
            <w:pPr>
              <w:rPr>
                <w:b w:val="0"/>
              </w:rPr>
            </w:pPr>
            <w:r>
              <w:rPr>
                <w:rFonts w:eastAsia="Arial" w:cs="Arial"/>
              </w:rPr>
              <w:t>Successful</w:t>
            </w:r>
            <w:r w:rsidRPr="003D745F">
              <w:rPr>
                <w:rFonts w:eastAsia="Arial" w:cs="Arial"/>
              </w:rPr>
              <w:t xml:space="preserve"> applications clearly:</w:t>
            </w:r>
          </w:p>
        </w:tc>
      </w:tr>
      <w:tr w:rsidR="003D745F" w:rsidRPr="003D745F" w14:paraId="44BC6628" w14:textId="77777777" w:rsidTr="00D270AB">
        <w:tc>
          <w:tcPr>
            <w:cnfStyle w:val="001000000000" w:firstRow="0" w:lastRow="0" w:firstColumn="1" w:lastColumn="0" w:oddVBand="0" w:evenVBand="0" w:oddHBand="0" w:evenHBand="0" w:firstRowFirstColumn="0" w:firstRowLastColumn="0" w:lastRowFirstColumn="0" w:lastRowLastColumn="0"/>
            <w:tcW w:w="9911" w:type="dxa"/>
          </w:tcPr>
          <w:p w14:paraId="26A2C546" w14:textId="3BD97161" w:rsidR="00671AAB" w:rsidRPr="00671AAB" w:rsidRDefault="00EF7F3F" w:rsidP="00671AAB">
            <w:pPr>
              <w:pStyle w:val="ListBullet"/>
              <w:ind w:left="533"/>
              <w:rPr>
                <w:b w:val="0"/>
                <w:spacing w:val="0"/>
              </w:rPr>
            </w:pPr>
            <w:r>
              <w:rPr>
                <w:b w:val="0"/>
              </w:rPr>
              <w:t>D</w:t>
            </w:r>
            <w:r w:rsidR="00671AAB" w:rsidRPr="00671AAB">
              <w:rPr>
                <w:b w:val="0"/>
              </w:rPr>
              <w:t>emonstrated how the conference is disability</w:t>
            </w:r>
            <w:r w:rsidR="00671AAB" w:rsidRPr="00671AAB">
              <w:rPr>
                <w:b w:val="0"/>
              </w:rPr>
              <w:noBreakHyphen/>
              <w:t>related</w:t>
            </w:r>
            <w:r>
              <w:rPr>
                <w:b w:val="0"/>
              </w:rPr>
              <w:t>.</w:t>
            </w:r>
          </w:p>
          <w:p w14:paraId="4D76CA5F" w14:textId="58C0654C" w:rsidR="00671AAB" w:rsidRPr="00671AAB" w:rsidRDefault="00EF7F3F" w:rsidP="00671AAB">
            <w:pPr>
              <w:pStyle w:val="ListBullet"/>
              <w:ind w:left="533"/>
              <w:rPr>
                <w:b w:val="0"/>
              </w:rPr>
            </w:pPr>
            <w:r>
              <w:rPr>
                <w:b w:val="0"/>
              </w:rPr>
              <w:t>E</w:t>
            </w:r>
            <w:r w:rsidR="00671AAB" w:rsidRPr="00671AAB">
              <w:rPr>
                <w:b w:val="0"/>
              </w:rPr>
              <w:t>xplained the benefit of the conference to the disability cohort (e.g. rare disability type with limited opportunities to share knowledge and experience).</w:t>
            </w:r>
          </w:p>
          <w:p w14:paraId="71FE52D3" w14:textId="1FDF5900" w:rsidR="003D745F" w:rsidRPr="00671AAB" w:rsidRDefault="00EF7F3F" w:rsidP="00671AAB">
            <w:pPr>
              <w:pStyle w:val="ListBullet"/>
              <w:ind w:left="533"/>
              <w:rPr>
                <w:rFonts w:eastAsia="Arial"/>
                <w:b w:val="0"/>
              </w:rPr>
            </w:pPr>
            <w:r>
              <w:rPr>
                <w:b w:val="0"/>
              </w:rPr>
              <w:t>D</w:t>
            </w:r>
            <w:r w:rsidR="00671AAB" w:rsidRPr="00671AAB">
              <w:rPr>
                <w:b w:val="0"/>
              </w:rPr>
              <w:t>emonstrated how the conference has a national focus</w:t>
            </w:r>
            <w:r>
              <w:rPr>
                <w:b w:val="0"/>
              </w:rPr>
              <w:t>.</w:t>
            </w:r>
          </w:p>
        </w:tc>
      </w:tr>
      <w:tr w:rsidR="003D745F" w:rsidRPr="003D745F" w14:paraId="67AD8BA1" w14:textId="77777777" w:rsidTr="00D2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Pr>
          <w:p w14:paraId="0AA7EFF7" w14:textId="30127F02" w:rsidR="003D745F" w:rsidRPr="003D745F" w:rsidRDefault="003D745F" w:rsidP="005B3EE6">
            <w:pPr>
              <w:rPr>
                <w:szCs w:val="20"/>
              </w:rPr>
            </w:pPr>
            <w:r w:rsidRPr="003D745F">
              <w:t>Stronger responses clearly</w:t>
            </w:r>
            <w:r w:rsidR="004E4174">
              <w:t xml:space="preserve"> described how</w:t>
            </w:r>
            <w:r w:rsidRPr="003D745F">
              <w:t>:</w:t>
            </w:r>
          </w:p>
        </w:tc>
      </w:tr>
      <w:tr w:rsidR="003D745F" w:rsidRPr="003D745F" w14:paraId="7823DA6E" w14:textId="77777777" w:rsidTr="00D270AB">
        <w:tc>
          <w:tcPr>
            <w:cnfStyle w:val="001000000000" w:firstRow="0" w:lastRow="0" w:firstColumn="1" w:lastColumn="0" w:oddVBand="0" w:evenVBand="0" w:oddHBand="0" w:evenHBand="0" w:firstRowFirstColumn="0" w:firstRowLastColumn="0" w:lastRowFirstColumn="0" w:lastRowLastColumn="0"/>
            <w:tcW w:w="9911" w:type="dxa"/>
          </w:tcPr>
          <w:p w14:paraId="22AFC595" w14:textId="761D327A" w:rsidR="003D745F" w:rsidRPr="008830BC" w:rsidRDefault="00EF7F3F" w:rsidP="008830BC">
            <w:pPr>
              <w:pStyle w:val="ListBullet"/>
              <w:rPr>
                <w:rFonts w:eastAsia="Arial"/>
                <w:b w:val="0"/>
              </w:rPr>
            </w:pPr>
            <w:r>
              <w:rPr>
                <w:rFonts w:eastAsia="Arial"/>
                <w:b w:val="0"/>
              </w:rPr>
              <w:t>A</w:t>
            </w:r>
            <w:r w:rsidR="008830BC" w:rsidRPr="008830BC">
              <w:rPr>
                <w:rFonts w:eastAsia="Arial"/>
                <w:b w:val="0"/>
              </w:rPr>
              <w:t xml:space="preserve">t least half of the schedule </w:t>
            </w:r>
            <w:r w:rsidR="00B30CDA">
              <w:rPr>
                <w:rFonts w:eastAsia="Arial"/>
                <w:b w:val="0"/>
              </w:rPr>
              <w:t xml:space="preserve">will </w:t>
            </w:r>
            <w:r w:rsidR="008830BC" w:rsidRPr="008830BC">
              <w:rPr>
                <w:rFonts w:eastAsia="Arial"/>
                <w:b w:val="0"/>
              </w:rPr>
              <w:t>focus on people with disability and issues that affect the lifetime wellbeing and social participation of people with disability.</w:t>
            </w:r>
          </w:p>
          <w:p w14:paraId="6B8527E6" w14:textId="4EA69602" w:rsidR="008830BC" w:rsidRPr="008830BC" w:rsidRDefault="00EF7F3F" w:rsidP="004E4174">
            <w:pPr>
              <w:pStyle w:val="ListBullet"/>
              <w:rPr>
                <w:rFonts w:eastAsia="Arial"/>
                <w:b w:val="0"/>
              </w:rPr>
            </w:pPr>
            <w:r>
              <w:rPr>
                <w:rFonts w:eastAsia="Arial"/>
                <w:b w:val="0"/>
              </w:rPr>
              <w:t>T</w:t>
            </w:r>
            <w:r w:rsidR="008830BC" w:rsidRPr="008830BC">
              <w:rPr>
                <w:rFonts w:eastAsia="Arial"/>
                <w:b w:val="0"/>
              </w:rPr>
              <w:t>he conference will focus on disability issues that impact people with disability across the country and will help progress the rights and opportunities of people with disability in Australia.</w:t>
            </w:r>
          </w:p>
          <w:p w14:paraId="5A418066" w14:textId="76745FB1" w:rsidR="008830BC" w:rsidRDefault="00EF7F3F" w:rsidP="008830BC">
            <w:pPr>
              <w:pStyle w:val="ListBullet"/>
              <w:rPr>
                <w:rFonts w:eastAsia="Arial"/>
                <w:b w:val="0"/>
              </w:rPr>
            </w:pPr>
            <w:r>
              <w:rPr>
                <w:rFonts w:eastAsia="Arial"/>
                <w:b w:val="0"/>
              </w:rPr>
              <w:t>I</w:t>
            </w:r>
            <w:r w:rsidR="008830BC" w:rsidRPr="008830BC">
              <w:rPr>
                <w:rFonts w:eastAsia="Arial"/>
                <w:b w:val="0"/>
              </w:rPr>
              <w:t>nterest will be sought from across Australia from people with disability interested in p</w:t>
            </w:r>
            <w:r w:rsidR="008830BC">
              <w:rPr>
                <w:rFonts w:eastAsia="Arial"/>
                <w:b w:val="0"/>
              </w:rPr>
              <w:t>articipating in the conference.</w:t>
            </w:r>
          </w:p>
          <w:p w14:paraId="0F20CB4C" w14:textId="04C02469" w:rsidR="004E4174" w:rsidRPr="008830BC" w:rsidRDefault="004E4174" w:rsidP="004E4174">
            <w:pPr>
              <w:pStyle w:val="ListBullet"/>
              <w:numPr>
                <w:ilvl w:val="0"/>
                <w:numId w:val="0"/>
              </w:numPr>
              <w:ind w:left="530"/>
              <w:rPr>
                <w:rFonts w:eastAsia="Arial"/>
                <w:b w:val="0"/>
              </w:rPr>
            </w:pPr>
          </w:p>
        </w:tc>
      </w:tr>
      <w:tr w:rsidR="003D745F" w:rsidRPr="003D745F" w14:paraId="4363DFCE" w14:textId="77777777" w:rsidTr="00D2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Pr>
          <w:p w14:paraId="127F942B" w14:textId="5BBF12FC" w:rsidR="003D745F" w:rsidRPr="003D745F" w:rsidRDefault="00A0202A" w:rsidP="005B3EE6">
            <w:pPr>
              <w:rPr>
                <w:rFonts w:eastAsia="Arial" w:cs="Arial"/>
              </w:rPr>
            </w:pPr>
            <w:r>
              <w:rPr>
                <w:rFonts w:eastAsia="Arial" w:cs="Arial"/>
              </w:rPr>
              <w:t>Weaker responses did not</w:t>
            </w:r>
            <w:r w:rsidR="003D745F" w:rsidRPr="003D745F">
              <w:rPr>
                <w:rFonts w:eastAsia="Arial" w:cs="Arial"/>
              </w:rPr>
              <w:t>:</w:t>
            </w:r>
          </w:p>
        </w:tc>
      </w:tr>
      <w:tr w:rsidR="003D745F" w:rsidRPr="003D745F" w14:paraId="567EB4C0" w14:textId="77777777" w:rsidTr="00D270AB">
        <w:tc>
          <w:tcPr>
            <w:cnfStyle w:val="001000000000" w:firstRow="0" w:lastRow="0" w:firstColumn="1" w:lastColumn="0" w:oddVBand="0" w:evenVBand="0" w:oddHBand="0" w:evenHBand="0" w:firstRowFirstColumn="0" w:firstRowLastColumn="0" w:lastRowFirstColumn="0" w:lastRowLastColumn="0"/>
            <w:tcW w:w="9911" w:type="dxa"/>
          </w:tcPr>
          <w:p w14:paraId="5B8D2D77" w14:textId="45DB33F3" w:rsidR="00907624" w:rsidRDefault="00143431" w:rsidP="00A0202A">
            <w:pPr>
              <w:pStyle w:val="ListBullet"/>
              <w:rPr>
                <w:rFonts w:eastAsia="Arial"/>
                <w:b w:val="0"/>
              </w:rPr>
            </w:pPr>
            <w:r>
              <w:rPr>
                <w:rFonts w:eastAsia="Arial"/>
                <w:b w:val="0"/>
              </w:rPr>
              <w:t>P</w:t>
            </w:r>
            <w:r w:rsidR="00A0202A">
              <w:rPr>
                <w:rFonts w:eastAsia="Arial"/>
                <w:b w:val="0"/>
              </w:rPr>
              <w:t>rovide details/evidence of how the</w:t>
            </w:r>
            <w:r w:rsidR="00A0202A" w:rsidRPr="00A0202A">
              <w:rPr>
                <w:rFonts w:eastAsia="Arial"/>
                <w:b w:val="0"/>
              </w:rPr>
              <w:t xml:space="preserve"> conference will attract participants from </w:t>
            </w:r>
            <w:r w:rsidR="00A0202A">
              <w:rPr>
                <w:rFonts w:eastAsia="Arial"/>
                <w:b w:val="0"/>
              </w:rPr>
              <w:t>across Australia</w:t>
            </w:r>
            <w:r w:rsidR="00122A06">
              <w:rPr>
                <w:rFonts w:eastAsia="Arial"/>
                <w:b w:val="0"/>
              </w:rPr>
              <w:t xml:space="preserve"> </w:t>
            </w:r>
            <w:r w:rsidR="00B30CDA">
              <w:rPr>
                <w:rFonts w:eastAsia="Arial"/>
                <w:b w:val="0"/>
              </w:rPr>
              <w:t>(</w:t>
            </w:r>
            <w:r w:rsidR="00C50CCD">
              <w:rPr>
                <w:rFonts w:eastAsia="Arial"/>
                <w:b w:val="0"/>
              </w:rPr>
              <w:t>rather than being restricted to participants in a particular region, state or territory</w:t>
            </w:r>
            <w:r w:rsidR="00B30CDA">
              <w:rPr>
                <w:rFonts w:eastAsia="Arial"/>
                <w:b w:val="0"/>
              </w:rPr>
              <w:t>)</w:t>
            </w:r>
            <w:r w:rsidR="00C50CCD">
              <w:rPr>
                <w:rFonts w:eastAsia="Arial"/>
                <w:b w:val="0"/>
              </w:rPr>
              <w:t>.</w:t>
            </w:r>
          </w:p>
          <w:p w14:paraId="2966595B" w14:textId="59267A2A" w:rsidR="00A0202A" w:rsidRPr="00F74728" w:rsidRDefault="00143431" w:rsidP="00B30CDA">
            <w:pPr>
              <w:pStyle w:val="ListBullet"/>
              <w:rPr>
                <w:rFonts w:eastAsia="Arial"/>
                <w:b w:val="0"/>
              </w:rPr>
            </w:pPr>
            <w:r>
              <w:rPr>
                <w:rFonts w:eastAsia="Arial"/>
                <w:b w:val="0"/>
              </w:rPr>
              <w:t>C</w:t>
            </w:r>
            <w:r w:rsidR="00907624">
              <w:rPr>
                <w:rFonts w:eastAsia="Arial"/>
                <w:b w:val="0"/>
              </w:rPr>
              <w:t xml:space="preserve">learly demonstrate </w:t>
            </w:r>
            <w:r w:rsidR="008830BC" w:rsidRPr="00907624">
              <w:rPr>
                <w:rFonts w:eastAsia="Arial"/>
                <w:b w:val="0"/>
              </w:rPr>
              <w:t xml:space="preserve">the conference will focus on disability issues that impact people with disability </w:t>
            </w:r>
            <w:r w:rsidR="00B30CDA">
              <w:rPr>
                <w:rFonts w:eastAsia="Arial"/>
                <w:b w:val="0"/>
              </w:rPr>
              <w:t>nationally,</w:t>
            </w:r>
            <w:r w:rsidR="008830BC" w:rsidRPr="00907624">
              <w:rPr>
                <w:rFonts w:eastAsia="Arial"/>
                <w:b w:val="0"/>
              </w:rPr>
              <w:t xml:space="preserve"> </w:t>
            </w:r>
            <w:r w:rsidR="00C50CCD">
              <w:rPr>
                <w:rFonts w:eastAsia="Arial"/>
                <w:b w:val="0"/>
              </w:rPr>
              <w:t xml:space="preserve">rather than </w:t>
            </w:r>
            <w:r w:rsidR="00B30CDA">
              <w:rPr>
                <w:rFonts w:eastAsia="Arial"/>
                <w:b w:val="0"/>
              </w:rPr>
              <w:t xml:space="preserve">impacting those only </w:t>
            </w:r>
            <w:r w:rsidR="00C50CCD">
              <w:rPr>
                <w:rFonts w:eastAsia="Arial"/>
                <w:b w:val="0"/>
              </w:rPr>
              <w:t>in a particular region, state or territory.</w:t>
            </w:r>
          </w:p>
        </w:tc>
      </w:tr>
    </w:tbl>
    <w:p w14:paraId="1E24923F" w14:textId="27C99E0E" w:rsidR="00671AAB" w:rsidRPr="00F0373D" w:rsidRDefault="00671AAB" w:rsidP="00671AAB">
      <w:pPr>
        <w:pStyle w:val="Heading2"/>
        <w:rPr>
          <w:color w:val="005A70"/>
        </w:rPr>
      </w:pPr>
      <w:r>
        <w:rPr>
          <w:color w:val="005A70"/>
        </w:rPr>
        <w:lastRenderedPageBreak/>
        <w:t>Criterion 2</w:t>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Criterion 2"/>
        <w:tblDescription w:val="The table provides information on successful applications and stronger stronger and weaker responses to criterion 2."/>
      </w:tblPr>
      <w:tblGrid>
        <w:gridCol w:w="9911"/>
      </w:tblGrid>
      <w:tr w:rsidR="00671AAB" w:rsidRPr="003D745F" w14:paraId="49CC7091" w14:textId="77777777" w:rsidTr="003948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tcPr>
          <w:p w14:paraId="58F4FE4B" w14:textId="5D70C65E" w:rsidR="00671AAB" w:rsidRPr="00671AAB" w:rsidRDefault="00671AAB" w:rsidP="00E42E14">
            <w:r w:rsidRPr="00671AAB">
              <w:t xml:space="preserve">Demonstrate your organisation’s capacity and your staff capability to deliver the NDCI objectives. </w:t>
            </w:r>
          </w:p>
        </w:tc>
      </w:tr>
      <w:tr w:rsidR="00671AAB" w:rsidRPr="003D745F" w14:paraId="08F06CB9" w14:textId="77777777" w:rsidTr="00E42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Pr>
          <w:p w14:paraId="4307450A" w14:textId="77777777" w:rsidR="00671AAB" w:rsidRPr="003D745F" w:rsidRDefault="00671AAB" w:rsidP="00E42E14">
            <w:pPr>
              <w:rPr>
                <w:b w:val="0"/>
              </w:rPr>
            </w:pPr>
            <w:r>
              <w:rPr>
                <w:rFonts w:eastAsia="Arial" w:cs="Arial"/>
              </w:rPr>
              <w:t>Successful</w:t>
            </w:r>
            <w:r w:rsidRPr="003D745F">
              <w:rPr>
                <w:rFonts w:eastAsia="Arial" w:cs="Arial"/>
              </w:rPr>
              <w:t xml:space="preserve"> applications clearly:</w:t>
            </w:r>
          </w:p>
        </w:tc>
      </w:tr>
      <w:tr w:rsidR="00671AAB" w:rsidRPr="003D745F" w14:paraId="51EB278D" w14:textId="77777777" w:rsidTr="00E42E14">
        <w:tc>
          <w:tcPr>
            <w:cnfStyle w:val="001000000000" w:firstRow="0" w:lastRow="0" w:firstColumn="1" w:lastColumn="0" w:oddVBand="0" w:evenVBand="0" w:oddHBand="0" w:evenHBand="0" w:firstRowFirstColumn="0" w:firstRowLastColumn="0" w:lastRowFirstColumn="0" w:lastRowLastColumn="0"/>
            <w:tcW w:w="9911" w:type="dxa"/>
          </w:tcPr>
          <w:p w14:paraId="7E88E43A" w14:textId="320A9617" w:rsidR="00671AAB" w:rsidRPr="00671AAB" w:rsidRDefault="00907624" w:rsidP="00671AAB">
            <w:pPr>
              <w:pStyle w:val="ListBullet"/>
              <w:rPr>
                <w:b w:val="0"/>
              </w:rPr>
            </w:pPr>
            <w:r>
              <w:rPr>
                <w:b w:val="0"/>
              </w:rPr>
              <w:t>D</w:t>
            </w:r>
            <w:r w:rsidR="00671AAB" w:rsidRPr="00671AAB">
              <w:rPr>
                <w:b w:val="0"/>
              </w:rPr>
              <w:t>emonstrate</w:t>
            </w:r>
            <w:r w:rsidR="00671AAB">
              <w:rPr>
                <w:b w:val="0"/>
              </w:rPr>
              <w:t>d</w:t>
            </w:r>
            <w:r w:rsidR="008823D5">
              <w:rPr>
                <w:b w:val="0"/>
              </w:rPr>
              <w:t xml:space="preserve"> the</w:t>
            </w:r>
            <w:r w:rsidR="00671AAB" w:rsidRPr="00671AAB">
              <w:rPr>
                <w:b w:val="0"/>
              </w:rPr>
              <w:t xml:space="preserve"> organisation’s experience in administering grants including appropriate governance structure and skilled staff</w:t>
            </w:r>
            <w:r w:rsidR="008823D5">
              <w:rPr>
                <w:b w:val="0"/>
              </w:rPr>
              <w:t>.</w:t>
            </w:r>
          </w:p>
          <w:p w14:paraId="26BA3E0C" w14:textId="12CE1063" w:rsidR="00671AAB" w:rsidRPr="00671AAB" w:rsidRDefault="00907624" w:rsidP="00671AAB">
            <w:pPr>
              <w:pStyle w:val="ListBullet"/>
              <w:rPr>
                <w:b w:val="0"/>
              </w:rPr>
            </w:pPr>
            <w:r>
              <w:rPr>
                <w:b w:val="0"/>
              </w:rPr>
              <w:t>D</w:t>
            </w:r>
            <w:r w:rsidR="00671AAB" w:rsidRPr="00671AAB">
              <w:rPr>
                <w:b w:val="0"/>
              </w:rPr>
              <w:t>emonstrate</w:t>
            </w:r>
            <w:r w:rsidR="00671AAB">
              <w:rPr>
                <w:b w:val="0"/>
              </w:rPr>
              <w:t>d</w:t>
            </w:r>
            <w:r w:rsidR="00671AAB" w:rsidRPr="00671AAB">
              <w:rPr>
                <w:b w:val="0"/>
              </w:rPr>
              <w:t xml:space="preserve"> the relevant experience, qualifications a</w:t>
            </w:r>
            <w:r w:rsidR="00AF165C">
              <w:rPr>
                <w:b w:val="0"/>
              </w:rPr>
              <w:t>nd skills of the members of the</w:t>
            </w:r>
            <w:r w:rsidR="00671AAB" w:rsidRPr="00671AAB">
              <w:rPr>
                <w:b w:val="0"/>
              </w:rPr>
              <w:t xml:space="preserve"> organisation in delivering the project including experience in developing and delivering conferences and consulting with stakehold</w:t>
            </w:r>
            <w:r w:rsidR="00671AAB">
              <w:rPr>
                <w:b w:val="0"/>
              </w:rPr>
              <w:t>ers.</w:t>
            </w:r>
          </w:p>
        </w:tc>
      </w:tr>
      <w:tr w:rsidR="00671AAB" w:rsidRPr="003D745F" w14:paraId="0B1B42B3" w14:textId="77777777" w:rsidTr="00E42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Pr>
          <w:p w14:paraId="45593A38" w14:textId="77777777" w:rsidR="00671AAB" w:rsidRPr="003D745F" w:rsidRDefault="00671AAB" w:rsidP="00E42E14">
            <w:pPr>
              <w:rPr>
                <w:szCs w:val="20"/>
              </w:rPr>
            </w:pPr>
            <w:r w:rsidRPr="003D745F">
              <w:t>Stronger responses clearly:</w:t>
            </w:r>
          </w:p>
        </w:tc>
      </w:tr>
      <w:tr w:rsidR="00671AAB" w:rsidRPr="003D745F" w14:paraId="6D07C074" w14:textId="77777777" w:rsidTr="00E42E14">
        <w:tc>
          <w:tcPr>
            <w:cnfStyle w:val="001000000000" w:firstRow="0" w:lastRow="0" w:firstColumn="1" w:lastColumn="0" w:oddVBand="0" w:evenVBand="0" w:oddHBand="0" w:evenHBand="0" w:firstRowFirstColumn="0" w:firstRowLastColumn="0" w:lastRowFirstColumn="0" w:lastRowLastColumn="0"/>
            <w:tcW w:w="9911" w:type="dxa"/>
          </w:tcPr>
          <w:p w14:paraId="206DFBAD" w14:textId="10F2003E" w:rsidR="00671AAB" w:rsidRDefault="00907624" w:rsidP="008830BC">
            <w:pPr>
              <w:pStyle w:val="ListBullet"/>
              <w:rPr>
                <w:rFonts w:eastAsia="Arial"/>
                <w:b w:val="0"/>
              </w:rPr>
            </w:pPr>
            <w:r>
              <w:rPr>
                <w:rFonts w:eastAsia="Arial"/>
                <w:b w:val="0"/>
              </w:rPr>
              <w:t>D</w:t>
            </w:r>
            <w:r w:rsidR="008830BC" w:rsidRPr="008830BC">
              <w:rPr>
                <w:rFonts w:eastAsia="Arial"/>
                <w:b w:val="0"/>
              </w:rPr>
              <w:t>escrib</w:t>
            </w:r>
            <w:r>
              <w:rPr>
                <w:rFonts w:eastAsia="Arial"/>
                <w:b w:val="0"/>
              </w:rPr>
              <w:t>e</w:t>
            </w:r>
            <w:r w:rsidR="00D2561B">
              <w:rPr>
                <w:rFonts w:eastAsia="Arial"/>
                <w:b w:val="0"/>
              </w:rPr>
              <w:t>d</w:t>
            </w:r>
            <w:r w:rsidR="008830BC" w:rsidRPr="008830BC">
              <w:rPr>
                <w:rFonts w:eastAsia="Arial"/>
                <w:b w:val="0"/>
              </w:rPr>
              <w:t xml:space="preserve"> the organisation’s experience in managing grants, explaining the type of grants delivered and how the contractual requirements were successfully handled.</w:t>
            </w:r>
          </w:p>
          <w:p w14:paraId="2FDA8407" w14:textId="408E9975" w:rsidR="008830BC" w:rsidRPr="003D745F" w:rsidRDefault="00907624" w:rsidP="008830BC">
            <w:pPr>
              <w:pStyle w:val="ListBullet"/>
              <w:rPr>
                <w:rFonts w:eastAsia="Arial"/>
                <w:b w:val="0"/>
              </w:rPr>
            </w:pPr>
            <w:r>
              <w:rPr>
                <w:rFonts w:eastAsia="Arial"/>
                <w:b w:val="0"/>
              </w:rPr>
              <w:t>Describe</w:t>
            </w:r>
            <w:r w:rsidR="00D2561B">
              <w:rPr>
                <w:rFonts w:eastAsia="Arial"/>
                <w:b w:val="0"/>
              </w:rPr>
              <w:t>d</w:t>
            </w:r>
            <w:r w:rsidR="008830BC" w:rsidRPr="008830BC">
              <w:rPr>
                <w:rFonts w:eastAsia="Arial"/>
                <w:b w:val="0"/>
              </w:rPr>
              <w:t xml:space="preserve"> relevant skills</w:t>
            </w:r>
            <w:r w:rsidR="007E5A31">
              <w:rPr>
                <w:rFonts w:eastAsia="Arial"/>
                <w:b w:val="0"/>
              </w:rPr>
              <w:t xml:space="preserve">, </w:t>
            </w:r>
            <w:r w:rsidR="008830BC" w:rsidRPr="008830BC">
              <w:rPr>
                <w:rFonts w:eastAsia="Arial"/>
                <w:b w:val="0"/>
              </w:rPr>
              <w:t xml:space="preserve">qualifications </w:t>
            </w:r>
            <w:r w:rsidR="007E5A31">
              <w:rPr>
                <w:rFonts w:eastAsia="Arial"/>
                <w:b w:val="0"/>
              </w:rPr>
              <w:t xml:space="preserve">and experience </w:t>
            </w:r>
            <w:r w:rsidR="008830BC" w:rsidRPr="008830BC">
              <w:rPr>
                <w:rFonts w:eastAsia="Arial"/>
                <w:b w:val="0"/>
              </w:rPr>
              <w:t>of individuals who have a key role in organising the conference.</w:t>
            </w:r>
          </w:p>
        </w:tc>
      </w:tr>
      <w:tr w:rsidR="00671AAB" w:rsidRPr="003D745F" w14:paraId="0B2C3FA7" w14:textId="77777777" w:rsidTr="00E42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Pr>
          <w:p w14:paraId="5D6F2005" w14:textId="77777777" w:rsidR="00671AAB" w:rsidRPr="003D745F" w:rsidRDefault="00671AAB" w:rsidP="00E42E14">
            <w:pPr>
              <w:rPr>
                <w:rFonts w:eastAsia="Arial" w:cs="Arial"/>
              </w:rPr>
            </w:pPr>
            <w:r w:rsidRPr="003D745F">
              <w:rPr>
                <w:rFonts w:eastAsia="Arial" w:cs="Arial"/>
              </w:rPr>
              <w:t>Weaker responses did not clearly:</w:t>
            </w:r>
          </w:p>
        </w:tc>
      </w:tr>
      <w:tr w:rsidR="00671AAB" w:rsidRPr="003D745F" w14:paraId="0477F109" w14:textId="77777777" w:rsidTr="00E42E14">
        <w:tc>
          <w:tcPr>
            <w:cnfStyle w:val="001000000000" w:firstRow="0" w:lastRow="0" w:firstColumn="1" w:lastColumn="0" w:oddVBand="0" w:evenVBand="0" w:oddHBand="0" w:evenHBand="0" w:firstRowFirstColumn="0" w:firstRowLastColumn="0" w:lastRowFirstColumn="0" w:lastRowLastColumn="0"/>
            <w:tcW w:w="9911" w:type="dxa"/>
          </w:tcPr>
          <w:p w14:paraId="5CD8309D" w14:textId="77FEB8F9" w:rsidR="00671AAB" w:rsidRDefault="008830BC" w:rsidP="000B6413">
            <w:pPr>
              <w:pStyle w:val="ListBullet"/>
              <w:rPr>
                <w:rFonts w:eastAsia="Arial"/>
                <w:b w:val="0"/>
              </w:rPr>
            </w:pPr>
            <w:r w:rsidRPr="000B6413">
              <w:rPr>
                <w:rFonts w:eastAsia="Arial"/>
                <w:b w:val="0"/>
              </w:rPr>
              <w:t xml:space="preserve">Provide examples of previous experience at delivering </w:t>
            </w:r>
            <w:r w:rsidR="00420FA8">
              <w:rPr>
                <w:rFonts w:eastAsia="Arial"/>
                <w:b w:val="0"/>
              </w:rPr>
              <w:t xml:space="preserve">grants, or </w:t>
            </w:r>
            <w:r w:rsidRPr="000B6413">
              <w:rPr>
                <w:rFonts w:eastAsia="Arial"/>
                <w:b w:val="0"/>
              </w:rPr>
              <w:t>similar</w:t>
            </w:r>
            <w:r w:rsidR="00420FA8">
              <w:rPr>
                <w:rFonts w:eastAsia="Arial"/>
                <w:b w:val="0"/>
              </w:rPr>
              <w:t>/</w:t>
            </w:r>
            <w:r w:rsidRPr="000B6413">
              <w:rPr>
                <w:rFonts w:eastAsia="Arial"/>
                <w:b w:val="0"/>
              </w:rPr>
              <w:t>related types of activities.</w:t>
            </w:r>
          </w:p>
          <w:p w14:paraId="3B92A95C" w14:textId="3B04A28B" w:rsidR="00420FA8" w:rsidRPr="00420FA8" w:rsidRDefault="00420FA8" w:rsidP="00420FA8">
            <w:pPr>
              <w:pStyle w:val="ListBullet"/>
              <w:rPr>
                <w:rFonts w:eastAsia="Arial"/>
              </w:rPr>
            </w:pPr>
            <w:r>
              <w:rPr>
                <w:rFonts w:eastAsia="Arial"/>
                <w:b w:val="0"/>
              </w:rPr>
              <w:t>Describe</w:t>
            </w:r>
            <w:r w:rsidRPr="000B6413">
              <w:rPr>
                <w:rFonts w:eastAsia="Arial"/>
                <w:b w:val="0"/>
              </w:rPr>
              <w:t xml:space="preserve"> the relevant skills and expertise that would be available to ensure successful delivery of the conference.</w:t>
            </w:r>
          </w:p>
        </w:tc>
      </w:tr>
    </w:tbl>
    <w:p w14:paraId="212AE27B" w14:textId="4322EDE8" w:rsidR="00671AAB" w:rsidRPr="00F0373D" w:rsidRDefault="00671AAB" w:rsidP="005B347B">
      <w:pPr>
        <w:pStyle w:val="Heading2"/>
        <w:spacing w:before="840"/>
        <w:rPr>
          <w:color w:val="005A70"/>
        </w:rPr>
      </w:pPr>
      <w:r>
        <w:rPr>
          <w:color w:val="005A70"/>
        </w:rPr>
        <w:t>Criterion 3</w:t>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Criterion 3"/>
        <w:tblDescription w:val="The table provides information on what was clearly detailed and demonstrated in successful applications for criterion 3."/>
      </w:tblPr>
      <w:tblGrid>
        <w:gridCol w:w="9911"/>
      </w:tblGrid>
      <w:tr w:rsidR="00671AAB" w:rsidRPr="003D745F" w14:paraId="65A905ED" w14:textId="77777777" w:rsidTr="003948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tcPr>
          <w:p w14:paraId="053F3A37" w14:textId="5A0D4698" w:rsidR="00671AAB" w:rsidRPr="00671AAB" w:rsidRDefault="00671AAB" w:rsidP="00671AAB">
            <w:r w:rsidRPr="00671AAB">
              <w:t xml:space="preserve">Demonstrate how grant funding will be used to provide value for money. </w:t>
            </w:r>
          </w:p>
        </w:tc>
      </w:tr>
      <w:tr w:rsidR="00671AAB" w:rsidRPr="003D745F" w14:paraId="03744B22" w14:textId="77777777" w:rsidTr="00E42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Pr>
          <w:p w14:paraId="20554CE9" w14:textId="77777777" w:rsidR="00671AAB" w:rsidRPr="003D745F" w:rsidRDefault="00671AAB" w:rsidP="00E42E14">
            <w:pPr>
              <w:rPr>
                <w:b w:val="0"/>
              </w:rPr>
            </w:pPr>
            <w:r>
              <w:rPr>
                <w:rFonts w:eastAsia="Arial" w:cs="Arial"/>
              </w:rPr>
              <w:t>Successful</w:t>
            </w:r>
            <w:r w:rsidRPr="003D745F">
              <w:rPr>
                <w:rFonts w:eastAsia="Arial" w:cs="Arial"/>
              </w:rPr>
              <w:t xml:space="preserve"> applications clearly:</w:t>
            </w:r>
          </w:p>
        </w:tc>
      </w:tr>
      <w:tr w:rsidR="00671AAB" w:rsidRPr="003D745F" w14:paraId="7D12B43B" w14:textId="77777777" w:rsidTr="00E42E14">
        <w:tc>
          <w:tcPr>
            <w:cnfStyle w:val="001000000000" w:firstRow="0" w:lastRow="0" w:firstColumn="1" w:lastColumn="0" w:oddVBand="0" w:evenVBand="0" w:oddHBand="0" w:evenHBand="0" w:firstRowFirstColumn="0" w:firstRowLastColumn="0" w:lastRowFirstColumn="0" w:lastRowLastColumn="0"/>
            <w:tcW w:w="9911" w:type="dxa"/>
          </w:tcPr>
          <w:p w14:paraId="69416446" w14:textId="1C9E0F0A" w:rsidR="00671AAB" w:rsidRPr="00671AAB" w:rsidRDefault="00143431" w:rsidP="00671AAB">
            <w:pPr>
              <w:pStyle w:val="ListBullet"/>
              <w:rPr>
                <w:b w:val="0"/>
              </w:rPr>
            </w:pPr>
            <w:r>
              <w:rPr>
                <w:b w:val="0"/>
              </w:rPr>
              <w:t>D</w:t>
            </w:r>
            <w:r w:rsidR="00671AAB" w:rsidRPr="00671AAB">
              <w:rPr>
                <w:b w:val="0"/>
              </w:rPr>
              <w:t>etail</w:t>
            </w:r>
            <w:r w:rsidR="00671AAB">
              <w:rPr>
                <w:b w:val="0"/>
              </w:rPr>
              <w:t>ed</w:t>
            </w:r>
            <w:r w:rsidR="00671AAB" w:rsidRPr="00671AAB">
              <w:rPr>
                <w:b w:val="0"/>
              </w:rPr>
              <w:t xml:space="preserve"> complementary sources of funding or assistance</w:t>
            </w:r>
            <w:r w:rsidR="00AF165C">
              <w:rPr>
                <w:b w:val="0"/>
              </w:rPr>
              <w:t>.</w:t>
            </w:r>
          </w:p>
          <w:p w14:paraId="0CB0B024" w14:textId="1C9734F7" w:rsidR="00671AAB" w:rsidRPr="00671AAB" w:rsidRDefault="00143431" w:rsidP="00671AAB">
            <w:pPr>
              <w:pStyle w:val="ListBullet"/>
              <w:rPr>
                <w:b w:val="0"/>
              </w:rPr>
            </w:pPr>
            <w:r>
              <w:rPr>
                <w:b w:val="0"/>
              </w:rPr>
              <w:t>D</w:t>
            </w:r>
            <w:r w:rsidR="00671AAB" w:rsidRPr="00671AAB">
              <w:rPr>
                <w:b w:val="0"/>
              </w:rPr>
              <w:t>emonstrate</w:t>
            </w:r>
            <w:r w:rsidR="00671AAB">
              <w:rPr>
                <w:b w:val="0"/>
              </w:rPr>
              <w:t>d</w:t>
            </w:r>
            <w:r w:rsidR="00671AAB" w:rsidRPr="00671AAB">
              <w:rPr>
                <w:b w:val="0"/>
              </w:rPr>
              <w:t xml:space="preserve"> how conference learnings will be disseminated more broadly and provide benefits to the target group</w:t>
            </w:r>
            <w:r w:rsidR="00AF165C">
              <w:rPr>
                <w:b w:val="0"/>
              </w:rPr>
              <w:t>.</w:t>
            </w:r>
          </w:p>
          <w:p w14:paraId="1B8FF766" w14:textId="5EB704C0" w:rsidR="00671AAB" w:rsidRPr="00671AAB" w:rsidRDefault="00143431" w:rsidP="00671AAB">
            <w:pPr>
              <w:pStyle w:val="ListBullet"/>
              <w:rPr>
                <w:b w:val="0"/>
              </w:rPr>
            </w:pPr>
            <w:r>
              <w:rPr>
                <w:b w:val="0"/>
              </w:rPr>
              <w:t>D</w:t>
            </w:r>
            <w:r w:rsidR="00671AAB" w:rsidRPr="00671AAB">
              <w:rPr>
                <w:b w:val="0"/>
              </w:rPr>
              <w:t>etail</w:t>
            </w:r>
            <w:r w:rsidR="00671AAB">
              <w:rPr>
                <w:b w:val="0"/>
              </w:rPr>
              <w:t>ed</w:t>
            </w:r>
            <w:r w:rsidR="00671AAB" w:rsidRPr="00671AAB">
              <w:rPr>
                <w:b w:val="0"/>
              </w:rPr>
              <w:t xml:space="preserve"> the specific ways grant funds will be used to assist people with disability to participate in the conference (for example travel, accommodation, live cap</w:t>
            </w:r>
            <w:r w:rsidR="00671AAB">
              <w:rPr>
                <w:b w:val="0"/>
              </w:rPr>
              <w:t>tioning, accessible materials).</w:t>
            </w:r>
          </w:p>
        </w:tc>
      </w:tr>
    </w:tbl>
    <w:p w14:paraId="0286D0A6" w14:textId="77777777" w:rsidR="005B347B" w:rsidRDefault="005B347B">
      <w:pPr>
        <w:spacing w:before="0" w:after="0" w:line="240" w:lineRule="auto"/>
        <w:rPr>
          <w:rFonts w:asciiTheme="minorHAnsi" w:eastAsia="Arial" w:hAnsiTheme="minorHAnsi" w:cs="Arial"/>
          <w:bCs/>
          <w:color w:val="000000" w:themeColor="text1"/>
          <w:spacing w:val="0"/>
          <w:sz w:val="22"/>
          <w:szCs w:val="20"/>
          <w:lang w:eastAsia="en-US"/>
        </w:rPr>
      </w:pPr>
      <w:r>
        <w:rPr>
          <w:rFonts w:eastAsia="Arial" w:cs="Arial"/>
          <w:bCs/>
        </w:rPr>
        <w:br w:type="page"/>
      </w:r>
    </w:p>
    <w:tbl>
      <w:tblPr>
        <w:tblStyle w:val="GridTable4-Accent6"/>
        <w:tblW w:w="0" w:type="auto"/>
        <w:tblBorders>
          <w:top w:val="single" w:sz="4" w:space="0" w:color="00838A"/>
          <w:left w:val="single" w:sz="4" w:space="0" w:color="00838A"/>
          <w:bottom w:val="single" w:sz="4" w:space="0" w:color="00838A"/>
          <w:right w:val="single" w:sz="4" w:space="0" w:color="00838A"/>
          <w:insideH w:val="single" w:sz="4" w:space="0" w:color="00838A"/>
          <w:insideV w:val="single" w:sz="4" w:space="0" w:color="00838A"/>
        </w:tblBorders>
        <w:tblLook w:val="04A0" w:firstRow="1" w:lastRow="0" w:firstColumn="1" w:lastColumn="0" w:noHBand="0" w:noVBand="1"/>
        <w:tblCaption w:val="Criterion 3"/>
        <w:tblDescription w:val="The table provides information on stronger and weaker responses to criterion 3."/>
      </w:tblPr>
      <w:tblGrid>
        <w:gridCol w:w="9911"/>
      </w:tblGrid>
      <w:tr w:rsidR="005B347B" w:rsidRPr="003D745F" w14:paraId="3C7FFEB0" w14:textId="77777777" w:rsidTr="005B34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11" w:type="dxa"/>
          </w:tcPr>
          <w:p w14:paraId="08FF12C7" w14:textId="68FE4A9B" w:rsidR="005B347B" w:rsidRPr="003D745F" w:rsidRDefault="005B347B" w:rsidP="0016444A">
            <w:pPr>
              <w:rPr>
                <w:szCs w:val="20"/>
              </w:rPr>
            </w:pPr>
            <w:r w:rsidRPr="00671AAB">
              <w:lastRenderedPageBreak/>
              <w:t>Demonstrate how grant funding will be used to provide value for money.</w:t>
            </w:r>
          </w:p>
        </w:tc>
      </w:tr>
      <w:tr w:rsidR="005B347B" w:rsidRPr="003D745F" w14:paraId="71D9DDE9" w14:textId="77777777" w:rsidTr="00164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Pr>
          <w:p w14:paraId="0D0E1F77" w14:textId="3937848E" w:rsidR="005B347B" w:rsidRPr="003D745F" w:rsidRDefault="005B347B" w:rsidP="005B347B">
            <w:pPr>
              <w:rPr>
                <w:rFonts w:eastAsia="Arial"/>
                <w:b w:val="0"/>
              </w:rPr>
            </w:pPr>
            <w:r w:rsidRPr="005B347B">
              <w:rPr>
                <w:rFonts w:eastAsia="Arial" w:cs="Arial"/>
              </w:rPr>
              <w:t>Stronger responses clearly:</w:t>
            </w:r>
          </w:p>
        </w:tc>
      </w:tr>
      <w:tr w:rsidR="005B347B" w:rsidRPr="003D745F" w14:paraId="24147A49" w14:textId="77777777" w:rsidTr="0016444A">
        <w:tc>
          <w:tcPr>
            <w:cnfStyle w:val="001000000000" w:firstRow="0" w:lastRow="0" w:firstColumn="1" w:lastColumn="0" w:oddVBand="0" w:evenVBand="0" w:oddHBand="0" w:evenHBand="0" w:firstRowFirstColumn="0" w:firstRowLastColumn="0" w:lastRowFirstColumn="0" w:lastRowLastColumn="0"/>
            <w:tcW w:w="9911" w:type="dxa"/>
          </w:tcPr>
          <w:p w14:paraId="155EA3AB" w14:textId="77777777" w:rsidR="005B347B" w:rsidRPr="00B718A9" w:rsidRDefault="005B347B" w:rsidP="005B347B">
            <w:pPr>
              <w:pStyle w:val="ListBullet"/>
              <w:rPr>
                <w:rFonts w:eastAsia="Arial"/>
              </w:rPr>
            </w:pPr>
            <w:r>
              <w:rPr>
                <w:rFonts w:eastAsia="Arial"/>
                <w:b w:val="0"/>
              </w:rPr>
              <w:t>Explained</w:t>
            </w:r>
            <w:r w:rsidRPr="00B718A9">
              <w:rPr>
                <w:rFonts w:eastAsia="Arial"/>
                <w:b w:val="0"/>
              </w:rPr>
              <w:t xml:space="preserve"> complementary sources of funding or assistance and how it will be used to conduct the conference.</w:t>
            </w:r>
          </w:p>
          <w:p w14:paraId="6AB98905" w14:textId="77777777" w:rsidR="005B347B" w:rsidRPr="00B718A9" w:rsidRDefault="005B347B" w:rsidP="005B347B">
            <w:pPr>
              <w:pStyle w:val="ListBullet"/>
              <w:rPr>
                <w:rFonts w:eastAsia="Arial"/>
              </w:rPr>
            </w:pPr>
            <w:r>
              <w:rPr>
                <w:rFonts w:eastAsia="Arial"/>
                <w:b w:val="0"/>
              </w:rPr>
              <w:t>D</w:t>
            </w:r>
            <w:r w:rsidRPr="00B718A9">
              <w:rPr>
                <w:rFonts w:eastAsia="Arial"/>
                <w:b w:val="0"/>
              </w:rPr>
              <w:t>etailed specific ways conference learnings will be disseminated more broadly</w:t>
            </w:r>
            <w:r>
              <w:rPr>
                <w:rFonts w:eastAsia="Arial"/>
                <w:b w:val="0"/>
              </w:rPr>
              <w:t xml:space="preserve"> and the benefits to the target group, for example through organisation websites, audio/visual recordings of conference proceedings to assist people unable to attend conferences in person, newsletters, articles etc.</w:t>
            </w:r>
          </w:p>
          <w:p w14:paraId="46722579" w14:textId="6ACA83F8" w:rsidR="005B347B" w:rsidRDefault="005B347B" w:rsidP="005B347B">
            <w:pPr>
              <w:pStyle w:val="ListBullet"/>
              <w:rPr>
                <w:rFonts w:eastAsia="Arial"/>
              </w:rPr>
            </w:pPr>
            <w:r>
              <w:rPr>
                <w:rFonts w:eastAsia="Arial"/>
                <w:b w:val="0"/>
              </w:rPr>
              <w:t>D</w:t>
            </w:r>
            <w:r w:rsidRPr="00B718A9">
              <w:rPr>
                <w:rFonts w:eastAsia="Arial"/>
                <w:b w:val="0"/>
              </w:rPr>
              <w:t>etailed the specific ways grant funds will be used</w:t>
            </w:r>
            <w:r>
              <w:rPr>
                <w:rFonts w:eastAsia="Arial"/>
                <w:b w:val="0"/>
              </w:rPr>
              <w:t>, for example through</w:t>
            </w:r>
            <w:r w:rsidRPr="00B718A9">
              <w:rPr>
                <w:rFonts w:eastAsia="Arial"/>
                <w:b w:val="0"/>
              </w:rPr>
              <w:t xml:space="preserve"> providing a proposed budget showing the</w:t>
            </w:r>
            <w:r>
              <w:rPr>
                <w:rFonts w:eastAsia="Arial"/>
                <w:b w:val="0"/>
              </w:rPr>
              <w:t xml:space="preserve"> breakdown of</w:t>
            </w:r>
            <w:r w:rsidRPr="00B718A9">
              <w:rPr>
                <w:rFonts w:eastAsia="Arial"/>
                <w:b w:val="0"/>
              </w:rPr>
              <w:t xml:space="preserve"> costs of the assistance to be provided.</w:t>
            </w:r>
          </w:p>
        </w:tc>
      </w:tr>
      <w:tr w:rsidR="005B347B" w:rsidRPr="003D745F" w14:paraId="371BA27E" w14:textId="77777777" w:rsidTr="00164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Pr>
          <w:p w14:paraId="4E233100" w14:textId="77777777" w:rsidR="005B347B" w:rsidRPr="003D745F" w:rsidRDefault="005B347B" w:rsidP="0016444A">
            <w:pPr>
              <w:rPr>
                <w:rFonts w:eastAsia="Arial" w:cs="Arial"/>
              </w:rPr>
            </w:pPr>
            <w:r w:rsidRPr="003D745F">
              <w:rPr>
                <w:rFonts w:eastAsia="Arial" w:cs="Arial"/>
              </w:rPr>
              <w:t>Weaker responses did not clearly:</w:t>
            </w:r>
          </w:p>
        </w:tc>
      </w:tr>
      <w:tr w:rsidR="005B347B" w:rsidRPr="003D745F" w14:paraId="5BFA4A0A" w14:textId="77777777" w:rsidTr="0016444A">
        <w:tc>
          <w:tcPr>
            <w:cnfStyle w:val="001000000000" w:firstRow="0" w:lastRow="0" w:firstColumn="1" w:lastColumn="0" w:oddVBand="0" w:evenVBand="0" w:oddHBand="0" w:evenHBand="0" w:firstRowFirstColumn="0" w:firstRowLastColumn="0" w:lastRowFirstColumn="0" w:lastRowLastColumn="0"/>
            <w:tcW w:w="9911" w:type="dxa"/>
            <w:shd w:val="clear" w:color="auto" w:fill="auto"/>
          </w:tcPr>
          <w:p w14:paraId="3A359F47" w14:textId="77777777" w:rsidR="005B347B" w:rsidRPr="00B718A9" w:rsidRDefault="005B347B" w:rsidP="0016444A">
            <w:pPr>
              <w:pStyle w:val="ListBullet"/>
              <w:rPr>
                <w:rFonts w:eastAsia="Arial"/>
                <w:b w:val="0"/>
              </w:rPr>
            </w:pPr>
            <w:r>
              <w:rPr>
                <w:rFonts w:eastAsia="Arial"/>
                <w:b w:val="0"/>
              </w:rPr>
              <w:t>Explain how the conference learnings will be shared with the broader target group</w:t>
            </w:r>
            <w:r w:rsidRPr="00B718A9">
              <w:rPr>
                <w:rFonts w:eastAsia="Arial"/>
                <w:b w:val="0"/>
              </w:rPr>
              <w:t xml:space="preserve">. </w:t>
            </w:r>
          </w:p>
          <w:p w14:paraId="362C4906" w14:textId="77777777" w:rsidR="005B347B" w:rsidRPr="003D745F" w:rsidRDefault="005B347B" w:rsidP="0016444A">
            <w:pPr>
              <w:pStyle w:val="ListBullet"/>
              <w:rPr>
                <w:rFonts w:eastAsia="Arial"/>
                <w:b w:val="0"/>
              </w:rPr>
            </w:pPr>
            <w:r>
              <w:rPr>
                <w:rFonts w:eastAsia="Arial"/>
                <w:b w:val="0"/>
              </w:rPr>
              <w:t>D</w:t>
            </w:r>
            <w:r w:rsidRPr="00B718A9">
              <w:rPr>
                <w:rFonts w:eastAsia="Arial"/>
                <w:b w:val="0"/>
              </w:rPr>
              <w:t>etail specific ways grant funds will be used to assist people with disability t</w:t>
            </w:r>
            <w:r>
              <w:rPr>
                <w:rFonts w:eastAsia="Arial"/>
                <w:b w:val="0"/>
              </w:rPr>
              <w:t>o attend or participate in the conference.</w:t>
            </w:r>
          </w:p>
        </w:tc>
      </w:tr>
    </w:tbl>
    <w:p w14:paraId="1FBDDADC" w14:textId="77777777" w:rsidR="002705E7" w:rsidRPr="002705E7" w:rsidRDefault="002705E7" w:rsidP="005B347B">
      <w:pPr>
        <w:pStyle w:val="BodyText"/>
        <w:rPr>
          <w:rFonts w:eastAsia="Arial" w:cs="Arial"/>
          <w:bCs/>
        </w:rPr>
      </w:pPr>
    </w:p>
    <w:sectPr w:rsidR="002705E7" w:rsidRPr="002705E7" w:rsidSect="00B9108A">
      <w:footerReference w:type="default" r:id="rId9"/>
      <w:headerReference w:type="first" r:id="rId10"/>
      <w:pgSz w:w="11906" w:h="16838" w:code="9"/>
      <w:pgMar w:top="568"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E530D" w14:textId="77777777" w:rsidR="002A4718" w:rsidRDefault="002A4718">
      <w:r>
        <w:separator/>
      </w:r>
    </w:p>
  </w:endnote>
  <w:endnote w:type="continuationSeparator" w:id="0">
    <w:p w14:paraId="052F4868" w14:textId="77777777" w:rsidR="002A4718" w:rsidRDefault="002A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138097"/>
      <w:docPartObj>
        <w:docPartGallery w:val="Page Numbers (Bottom of Page)"/>
        <w:docPartUnique/>
      </w:docPartObj>
    </w:sdtPr>
    <w:sdtEndPr>
      <w:rPr>
        <w:noProof/>
      </w:rPr>
    </w:sdtEndPr>
    <w:sdtContent>
      <w:p w14:paraId="2497F8B1" w14:textId="005EDC37" w:rsidR="0073179C" w:rsidRDefault="0073179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685269B" w14:textId="77777777" w:rsidR="0073179C" w:rsidRDefault="00731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B20CA" w14:textId="77777777" w:rsidR="002A4718" w:rsidRDefault="002A4718">
      <w:r>
        <w:separator/>
      </w:r>
    </w:p>
  </w:footnote>
  <w:footnote w:type="continuationSeparator" w:id="0">
    <w:p w14:paraId="53441A7B" w14:textId="77777777" w:rsidR="002A4718" w:rsidRDefault="002A4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9B0C" w14:textId="558D7455" w:rsidR="00142F3E" w:rsidRDefault="00F0373D" w:rsidP="00F0373D">
    <w:pPr>
      <w:pStyle w:val="Header"/>
      <w:ind w:left="-426"/>
    </w:pPr>
    <w:r>
      <w:rPr>
        <w:noProof/>
      </w:rPr>
      <w:drawing>
        <wp:inline distT="0" distB="0" distL="0" distR="0" wp14:anchorId="2EB4B94C" wp14:editId="7F1D6B61">
          <wp:extent cx="6709559" cy="1282037"/>
          <wp:effectExtent l="0" t="0" r="0"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
                    <a:extLst>
                      <a:ext uri="{28A0092B-C50C-407E-A947-70E740481C1C}">
                        <a14:useLocalDpi xmlns:a14="http://schemas.microsoft.com/office/drawing/2010/main" val="0"/>
                      </a:ext>
                    </a:extLst>
                  </a:blip>
                  <a:stretch>
                    <a:fillRect/>
                  </a:stretch>
                </pic:blipFill>
                <pic:spPr>
                  <a:xfrm>
                    <a:off x="0" y="0"/>
                    <a:ext cx="6740389" cy="1287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68E2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3A65ACE"/>
    <w:multiLevelType w:val="multilevel"/>
    <w:tmpl w:val="82DC970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7865DDA"/>
    <w:multiLevelType w:val="multilevel"/>
    <w:tmpl w:val="C984572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264F90"/>
        <w:sz w:val="24"/>
        <w:szCs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EE35DE"/>
    <w:multiLevelType w:val="multilevel"/>
    <w:tmpl w:val="82DC970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1"/>
  </w:num>
  <w:num w:numId="6">
    <w:abstractNumId w:val="1"/>
  </w:num>
  <w:num w:numId="7">
    <w:abstractNumId w:val="1"/>
  </w:num>
  <w:num w:numId="8">
    <w:abstractNumId w:val="8"/>
  </w:num>
  <w:num w:numId="9">
    <w:abstractNumId w:val="7"/>
  </w:num>
  <w:num w:numId="10">
    <w:abstractNumId w:val="3"/>
  </w:num>
  <w:num w:numId="11">
    <w:abstractNumId w:val="4"/>
  </w:num>
  <w:num w:numId="12">
    <w:abstractNumId w:val="1"/>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13"/>
    <w:rsid w:val="00002C18"/>
    <w:rsid w:val="00010549"/>
    <w:rsid w:val="00012F84"/>
    <w:rsid w:val="00013F99"/>
    <w:rsid w:val="0002472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6F54"/>
    <w:rsid w:val="00097BFF"/>
    <w:rsid w:val="000A669D"/>
    <w:rsid w:val="000A66A8"/>
    <w:rsid w:val="000B3D39"/>
    <w:rsid w:val="000B6413"/>
    <w:rsid w:val="000C014D"/>
    <w:rsid w:val="000D0178"/>
    <w:rsid w:val="000D4703"/>
    <w:rsid w:val="000D693C"/>
    <w:rsid w:val="000D693E"/>
    <w:rsid w:val="000E12D4"/>
    <w:rsid w:val="00104669"/>
    <w:rsid w:val="00110028"/>
    <w:rsid w:val="00116EDF"/>
    <w:rsid w:val="00122A06"/>
    <w:rsid w:val="00124B26"/>
    <w:rsid w:val="00130C4E"/>
    <w:rsid w:val="00131B54"/>
    <w:rsid w:val="00133E8C"/>
    <w:rsid w:val="001354B7"/>
    <w:rsid w:val="001404FA"/>
    <w:rsid w:val="001413C5"/>
    <w:rsid w:val="00142956"/>
    <w:rsid w:val="00143431"/>
    <w:rsid w:val="00143502"/>
    <w:rsid w:val="00144494"/>
    <w:rsid w:val="00144868"/>
    <w:rsid w:val="00157709"/>
    <w:rsid w:val="00167330"/>
    <w:rsid w:val="00167CF4"/>
    <w:rsid w:val="001709C1"/>
    <w:rsid w:val="00185F6A"/>
    <w:rsid w:val="001943DD"/>
    <w:rsid w:val="00195374"/>
    <w:rsid w:val="001A127F"/>
    <w:rsid w:val="001A1F53"/>
    <w:rsid w:val="001A3CA4"/>
    <w:rsid w:val="001A3EA4"/>
    <w:rsid w:val="001B3AEC"/>
    <w:rsid w:val="001B5000"/>
    <w:rsid w:val="001B6F28"/>
    <w:rsid w:val="001D4585"/>
    <w:rsid w:val="001D5D54"/>
    <w:rsid w:val="001E41C8"/>
    <w:rsid w:val="001F2C51"/>
    <w:rsid w:val="001F3AD7"/>
    <w:rsid w:val="001F45EB"/>
    <w:rsid w:val="00207630"/>
    <w:rsid w:val="00213082"/>
    <w:rsid w:val="0021714E"/>
    <w:rsid w:val="00222187"/>
    <w:rsid w:val="00222C8D"/>
    <w:rsid w:val="00222E33"/>
    <w:rsid w:val="00227B95"/>
    <w:rsid w:val="0023523A"/>
    <w:rsid w:val="002353DF"/>
    <w:rsid w:val="00235F71"/>
    <w:rsid w:val="00247F7D"/>
    <w:rsid w:val="002505FD"/>
    <w:rsid w:val="0025272A"/>
    <w:rsid w:val="002705E7"/>
    <w:rsid w:val="00271922"/>
    <w:rsid w:val="0027204E"/>
    <w:rsid w:val="00273412"/>
    <w:rsid w:val="00273FA6"/>
    <w:rsid w:val="00274ACF"/>
    <w:rsid w:val="00285F1B"/>
    <w:rsid w:val="00295831"/>
    <w:rsid w:val="00296F1B"/>
    <w:rsid w:val="002A4718"/>
    <w:rsid w:val="002A6DF5"/>
    <w:rsid w:val="002D00B0"/>
    <w:rsid w:val="002D2E16"/>
    <w:rsid w:val="002E16D9"/>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81411"/>
    <w:rsid w:val="00392557"/>
    <w:rsid w:val="003945C0"/>
    <w:rsid w:val="003948C4"/>
    <w:rsid w:val="00394A5A"/>
    <w:rsid w:val="003A06C2"/>
    <w:rsid w:val="003A1BC3"/>
    <w:rsid w:val="003B6D2E"/>
    <w:rsid w:val="003C430D"/>
    <w:rsid w:val="003C7404"/>
    <w:rsid w:val="003D3C5A"/>
    <w:rsid w:val="003D404A"/>
    <w:rsid w:val="003D4CED"/>
    <w:rsid w:val="003D512A"/>
    <w:rsid w:val="003D745F"/>
    <w:rsid w:val="003E6FDA"/>
    <w:rsid w:val="003F3072"/>
    <w:rsid w:val="00401A2A"/>
    <w:rsid w:val="004103D7"/>
    <w:rsid w:val="0041307C"/>
    <w:rsid w:val="004167B4"/>
    <w:rsid w:val="00420FA8"/>
    <w:rsid w:val="00430D7E"/>
    <w:rsid w:val="00433B04"/>
    <w:rsid w:val="00434071"/>
    <w:rsid w:val="00440BD3"/>
    <w:rsid w:val="004447A5"/>
    <w:rsid w:val="00446F93"/>
    <w:rsid w:val="00453343"/>
    <w:rsid w:val="004649E2"/>
    <w:rsid w:val="00464E8C"/>
    <w:rsid w:val="00466D36"/>
    <w:rsid w:val="00467185"/>
    <w:rsid w:val="0047050C"/>
    <w:rsid w:val="00475504"/>
    <w:rsid w:val="00480F21"/>
    <w:rsid w:val="00484FED"/>
    <w:rsid w:val="00487723"/>
    <w:rsid w:val="00495AF1"/>
    <w:rsid w:val="004B0A6E"/>
    <w:rsid w:val="004D10E3"/>
    <w:rsid w:val="004D44E8"/>
    <w:rsid w:val="004E4174"/>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37CF"/>
    <w:rsid w:val="005658EF"/>
    <w:rsid w:val="005822A3"/>
    <w:rsid w:val="0059070B"/>
    <w:rsid w:val="00594445"/>
    <w:rsid w:val="005B1225"/>
    <w:rsid w:val="005B347B"/>
    <w:rsid w:val="005C09F4"/>
    <w:rsid w:val="005C561A"/>
    <w:rsid w:val="005C5B93"/>
    <w:rsid w:val="005C66FF"/>
    <w:rsid w:val="005C785A"/>
    <w:rsid w:val="005D03CA"/>
    <w:rsid w:val="005D45AB"/>
    <w:rsid w:val="005E4662"/>
    <w:rsid w:val="005F093F"/>
    <w:rsid w:val="005F214A"/>
    <w:rsid w:val="005F4329"/>
    <w:rsid w:val="005F6BD6"/>
    <w:rsid w:val="00601C99"/>
    <w:rsid w:val="00607597"/>
    <w:rsid w:val="006255E4"/>
    <w:rsid w:val="006325E2"/>
    <w:rsid w:val="00636C10"/>
    <w:rsid w:val="00641020"/>
    <w:rsid w:val="006410C1"/>
    <w:rsid w:val="00647F05"/>
    <w:rsid w:val="006511A8"/>
    <w:rsid w:val="006530EF"/>
    <w:rsid w:val="00654D06"/>
    <w:rsid w:val="00661536"/>
    <w:rsid w:val="006678ED"/>
    <w:rsid w:val="00667CCF"/>
    <w:rsid w:val="00671AAB"/>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348D"/>
    <w:rsid w:val="007242B4"/>
    <w:rsid w:val="00725FB2"/>
    <w:rsid w:val="00730C64"/>
    <w:rsid w:val="0073179C"/>
    <w:rsid w:val="007322AF"/>
    <w:rsid w:val="00735477"/>
    <w:rsid w:val="00736DCA"/>
    <w:rsid w:val="00742399"/>
    <w:rsid w:val="007457E8"/>
    <w:rsid w:val="0074640C"/>
    <w:rsid w:val="0075003D"/>
    <w:rsid w:val="00751B37"/>
    <w:rsid w:val="00754D44"/>
    <w:rsid w:val="0076444C"/>
    <w:rsid w:val="00767B7E"/>
    <w:rsid w:val="007746A9"/>
    <w:rsid w:val="00785465"/>
    <w:rsid w:val="00787656"/>
    <w:rsid w:val="007939D4"/>
    <w:rsid w:val="007A67EA"/>
    <w:rsid w:val="007B15AF"/>
    <w:rsid w:val="007B7E83"/>
    <w:rsid w:val="007C1631"/>
    <w:rsid w:val="007C636F"/>
    <w:rsid w:val="007D0EF8"/>
    <w:rsid w:val="007D39EB"/>
    <w:rsid w:val="007D62A7"/>
    <w:rsid w:val="007E5A31"/>
    <w:rsid w:val="00800A4D"/>
    <w:rsid w:val="00802E3B"/>
    <w:rsid w:val="008131E7"/>
    <w:rsid w:val="00813711"/>
    <w:rsid w:val="00814279"/>
    <w:rsid w:val="008263C2"/>
    <w:rsid w:val="00842959"/>
    <w:rsid w:val="008451FE"/>
    <w:rsid w:val="008466A1"/>
    <w:rsid w:val="00846C1D"/>
    <w:rsid w:val="00851758"/>
    <w:rsid w:val="00855619"/>
    <w:rsid w:val="00856D5A"/>
    <w:rsid w:val="008609EB"/>
    <w:rsid w:val="00862D6D"/>
    <w:rsid w:val="008653E0"/>
    <w:rsid w:val="008657FB"/>
    <w:rsid w:val="00871D4F"/>
    <w:rsid w:val="00872731"/>
    <w:rsid w:val="00874FB3"/>
    <w:rsid w:val="00880BE3"/>
    <w:rsid w:val="008823D5"/>
    <w:rsid w:val="00882588"/>
    <w:rsid w:val="008830BC"/>
    <w:rsid w:val="00895792"/>
    <w:rsid w:val="008A3507"/>
    <w:rsid w:val="008A3738"/>
    <w:rsid w:val="008A384C"/>
    <w:rsid w:val="008A6981"/>
    <w:rsid w:val="008B1B10"/>
    <w:rsid w:val="008B645B"/>
    <w:rsid w:val="008B67B8"/>
    <w:rsid w:val="008B774D"/>
    <w:rsid w:val="008C123E"/>
    <w:rsid w:val="008C3ED0"/>
    <w:rsid w:val="008C5585"/>
    <w:rsid w:val="008C5E94"/>
    <w:rsid w:val="008C6157"/>
    <w:rsid w:val="008D4E4B"/>
    <w:rsid w:val="008E4987"/>
    <w:rsid w:val="008E6E9D"/>
    <w:rsid w:val="008F1897"/>
    <w:rsid w:val="008F3561"/>
    <w:rsid w:val="008F4774"/>
    <w:rsid w:val="008F68F7"/>
    <w:rsid w:val="008F7480"/>
    <w:rsid w:val="009037B6"/>
    <w:rsid w:val="00906CBE"/>
    <w:rsid w:val="00906FFA"/>
    <w:rsid w:val="00907624"/>
    <w:rsid w:val="00910384"/>
    <w:rsid w:val="009139C0"/>
    <w:rsid w:val="009161C8"/>
    <w:rsid w:val="009164AD"/>
    <w:rsid w:val="00922289"/>
    <w:rsid w:val="00936F46"/>
    <w:rsid w:val="0094271E"/>
    <w:rsid w:val="00943142"/>
    <w:rsid w:val="00943A29"/>
    <w:rsid w:val="0095197E"/>
    <w:rsid w:val="00952A25"/>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B4AD6"/>
    <w:rsid w:val="009C07EC"/>
    <w:rsid w:val="009C206F"/>
    <w:rsid w:val="009C433C"/>
    <w:rsid w:val="009D28B7"/>
    <w:rsid w:val="009D7E1A"/>
    <w:rsid w:val="009E2162"/>
    <w:rsid w:val="009E33B9"/>
    <w:rsid w:val="009F20A4"/>
    <w:rsid w:val="009F2F95"/>
    <w:rsid w:val="00A006EB"/>
    <w:rsid w:val="00A0202A"/>
    <w:rsid w:val="00A03709"/>
    <w:rsid w:val="00A06C77"/>
    <w:rsid w:val="00A10147"/>
    <w:rsid w:val="00A13D26"/>
    <w:rsid w:val="00A146A5"/>
    <w:rsid w:val="00A17411"/>
    <w:rsid w:val="00A2223D"/>
    <w:rsid w:val="00A223EF"/>
    <w:rsid w:val="00A34A74"/>
    <w:rsid w:val="00A35351"/>
    <w:rsid w:val="00A42ADE"/>
    <w:rsid w:val="00A60693"/>
    <w:rsid w:val="00A61146"/>
    <w:rsid w:val="00A6496E"/>
    <w:rsid w:val="00A67728"/>
    <w:rsid w:val="00A81A4F"/>
    <w:rsid w:val="00A82E14"/>
    <w:rsid w:val="00A901E9"/>
    <w:rsid w:val="00A9762C"/>
    <w:rsid w:val="00AA4067"/>
    <w:rsid w:val="00AB1A5B"/>
    <w:rsid w:val="00AB34F1"/>
    <w:rsid w:val="00AC0A54"/>
    <w:rsid w:val="00AC125E"/>
    <w:rsid w:val="00AC45DF"/>
    <w:rsid w:val="00AC474D"/>
    <w:rsid w:val="00AC4DFD"/>
    <w:rsid w:val="00AC58FD"/>
    <w:rsid w:val="00AC60CD"/>
    <w:rsid w:val="00AD60E6"/>
    <w:rsid w:val="00AD793A"/>
    <w:rsid w:val="00AE457D"/>
    <w:rsid w:val="00AE5956"/>
    <w:rsid w:val="00AE619F"/>
    <w:rsid w:val="00AF165C"/>
    <w:rsid w:val="00AF373A"/>
    <w:rsid w:val="00AF7EFE"/>
    <w:rsid w:val="00B03BEE"/>
    <w:rsid w:val="00B049AA"/>
    <w:rsid w:val="00B0517E"/>
    <w:rsid w:val="00B056E2"/>
    <w:rsid w:val="00B069D2"/>
    <w:rsid w:val="00B11314"/>
    <w:rsid w:val="00B1192C"/>
    <w:rsid w:val="00B138E3"/>
    <w:rsid w:val="00B20B5C"/>
    <w:rsid w:val="00B219C2"/>
    <w:rsid w:val="00B23267"/>
    <w:rsid w:val="00B25891"/>
    <w:rsid w:val="00B27149"/>
    <w:rsid w:val="00B30CDA"/>
    <w:rsid w:val="00B40D26"/>
    <w:rsid w:val="00B4451B"/>
    <w:rsid w:val="00B51316"/>
    <w:rsid w:val="00B718A9"/>
    <w:rsid w:val="00B72D62"/>
    <w:rsid w:val="00B76920"/>
    <w:rsid w:val="00B843C8"/>
    <w:rsid w:val="00B9108A"/>
    <w:rsid w:val="00B951E2"/>
    <w:rsid w:val="00B96F37"/>
    <w:rsid w:val="00BA607C"/>
    <w:rsid w:val="00BB3E2A"/>
    <w:rsid w:val="00BC16F5"/>
    <w:rsid w:val="00BC287D"/>
    <w:rsid w:val="00BC4A76"/>
    <w:rsid w:val="00BD32E5"/>
    <w:rsid w:val="00BD7ADD"/>
    <w:rsid w:val="00BE41C3"/>
    <w:rsid w:val="00BE6767"/>
    <w:rsid w:val="00BE68D7"/>
    <w:rsid w:val="00BF0784"/>
    <w:rsid w:val="00BF7763"/>
    <w:rsid w:val="00C02ED3"/>
    <w:rsid w:val="00C031FF"/>
    <w:rsid w:val="00C04D5E"/>
    <w:rsid w:val="00C24EA2"/>
    <w:rsid w:val="00C24F70"/>
    <w:rsid w:val="00C25D5B"/>
    <w:rsid w:val="00C325C4"/>
    <w:rsid w:val="00C33479"/>
    <w:rsid w:val="00C45C87"/>
    <w:rsid w:val="00C47BA2"/>
    <w:rsid w:val="00C50CCD"/>
    <w:rsid w:val="00C612DC"/>
    <w:rsid w:val="00C622CB"/>
    <w:rsid w:val="00C64D15"/>
    <w:rsid w:val="00C74F74"/>
    <w:rsid w:val="00C7554B"/>
    <w:rsid w:val="00C80192"/>
    <w:rsid w:val="00C83E31"/>
    <w:rsid w:val="00C916A4"/>
    <w:rsid w:val="00C96FC4"/>
    <w:rsid w:val="00CA2A52"/>
    <w:rsid w:val="00CA2B15"/>
    <w:rsid w:val="00CA3849"/>
    <w:rsid w:val="00CA6490"/>
    <w:rsid w:val="00CB05BE"/>
    <w:rsid w:val="00CB5744"/>
    <w:rsid w:val="00CB7022"/>
    <w:rsid w:val="00CC7377"/>
    <w:rsid w:val="00CD1937"/>
    <w:rsid w:val="00CE214C"/>
    <w:rsid w:val="00CE6858"/>
    <w:rsid w:val="00CF50BE"/>
    <w:rsid w:val="00CF553B"/>
    <w:rsid w:val="00CF6A52"/>
    <w:rsid w:val="00CF7CCE"/>
    <w:rsid w:val="00D03583"/>
    <w:rsid w:val="00D117B4"/>
    <w:rsid w:val="00D169F7"/>
    <w:rsid w:val="00D20713"/>
    <w:rsid w:val="00D21382"/>
    <w:rsid w:val="00D2561B"/>
    <w:rsid w:val="00D26D01"/>
    <w:rsid w:val="00D270AB"/>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B58"/>
    <w:rsid w:val="00DD5D8B"/>
    <w:rsid w:val="00DE0F9E"/>
    <w:rsid w:val="00DE5D76"/>
    <w:rsid w:val="00E04C8D"/>
    <w:rsid w:val="00E128D8"/>
    <w:rsid w:val="00E30D45"/>
    <w:rsid w:val="00E42FE4"/>
    <w:rsid w:val="00E46FAA"/>
    <w:rsid w:val="00E50FB5"/>
    <w:rsid w:val="00E5750B"/>
    <w:rsid w:val="00E60E2E"/>
    <w:rsid w:val="00E63A24"/>
    <w:rsid w:val="00E65D1B"/>
    <w:rsid w:val="00E67913"/>
    <w:rsid w:val="00E71A2D"/>
    <w:rsid w:val="00E8698A"/>
    <w:rsid w:val="00E923F2"/>
    <w:rsid w:val="00EA31CC"/>
    <w:rsid w:val="00EA380F"/>
    <w:rsid w:val="00EB14DF"/>
    <w:rsid w:val="00EB2B64"/>
    <w:rsid w:val="00EB3A07"/>
    <w:rsid w:val="00EB4143"/>
    <w:rsid w:val="00EB4728"/>
    <w:rsid w:val="00EC207A"/>
    <w:rsid w:val="00EC3F31"/>
    <w:rsid w:val="00ED3C91"/>
    <w:rsid w:val="00ED4112"/>
    <w:rsid w:val="00EF1347"/>
    <w:rsid w:val="00EF2BEB"/>
    <w:rsid w:val="00EF611B"/>
    <w:rsid w:val="00EF7F3F"/>
    <w:rsid w:val="00F01129"/>
    <w:rsid w:val="00F0373D"/>
    <w:rsid w:val="00F03D93"/>
    <w:rsid w:val="00F03D9E"/>
    <w:rsid w:val="00F227BF"/>
    <w:rsid w:val="00F374B2"/>
    <w:rsid w:val="00F40AFC"/>
    <w:rsid w:val="00F43553"/>
    <w:rsid w:val="00F4730E"/>
    <w:rsid w:val="00F50A92"/>
    <w:rsid w:val="00F53F24"/>
    <w:rsid w:val="00F63341"/>
    <w:rsid w:val="00F74434"/>
    <w:rsid w:val="00F74728"/>
    <w:rsid w:val="00F7536E"/>
    <w:rsid w:val="00F81F93"/>
    <w:rsid w:val="00F839A8"/>
    <w:rsid w:val="00F86F1B"/>
    <w:rsid w:val="00F91E60"/>
    <w:rsid w:val="00F92A21"/>
    <w:rsid w:val="00F92E9B"/>
    <w:rsid w:val="00F95814"/>
    <w:rsid w:val="00F960D7"/>
    <w:rsid w:val="00FA01D9"/>
    <w:rsid w:val="00FA031C"/>
    <w:rsid w:val="00FB13C1"/>
    <w:rsid w:val="00FB420B"/>
    <w:rsid w:val="00FC1C5F"/>
    <w:rsid w:val="00FC5A4D"/>
    <w:rsid w:val="00FC5C0C"/>
    <w:rsid w:val="00FC64EF"/>
    <w:rsid w:val="00FD2673"/>
    <w:rsid w:val="00FD7EF0"/>
    <w:rsid w:val="00FE22FA"/>
    <w:rsid w:val="00FE26C9"/>
    <w:rsid w:val="00FE2A29"/>
    <w:rsid w:val="00FF3801"/>
    <w:rsid w:val="00FF5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83C57"/>
  <w15:docId w15:val="{0D9177D8-965A-4494-929F-AD33058C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72731"/>
    <w:pPr>
      <w:keepNext/>
      <w:keepLines/>
      <w:spacing w:before="24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872731"/>
    <w:pPr>
      <w:keepNext/>
      <w:keepLines/>
      <w:spacing w:before="240" w:line="240" w:lineRule="auto"/>
      <w:contextualSpacing/>
      <w:outlineLvl w:val="1"/>
    </w:pPr>
    <w:rPr>
      <w:rFonts w:ascii="Georgia" w:hAnsi="Georgia" w:cs="Arial"/>
      <w:bCs/>
      <w:iCs/>
      <w:color w:val="275D3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872731"/>
    <w:pPr>
      <w:spacing w:before="240" w:line="240" w:lineRule="auto"/>
      <w:contextualSpacing/>
      <w:outlineLvl w:val="0"/>
    </w:pPr>
    <w:rPr>
      <w:rFonts w:ascii="Georgia" w:hAnsi="Georgia" w:cs="Arial"/>
      <w:bCs/>
      <w:color w:val="275D38"/>
      <w:spacing w:val="0"/>
      <w:kern w:val="28"/>
      <w:sz w:val="72"/>
      <w:szCs w:val="32"/>
    </w:rPr>
  </w:style>
  <w:style w:type="paragraph" w:styleId="ListBullet">
    <w:name w:val="List Bullet"/>
    <w:basedOn w:val="Normal"/>
    <w:uiPriority w:val="1"/>
    <w:qFormat/>
    <w:rsid w:val="008D4E4B"/>
    <w:pPr>
      <w:numPr>
        <w:numId w:val="2"/>
      </w:numPr>
      <w:tabs>
        <w:tab w:val="left" w:pos="170"/>
      </w:tabs>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E65D1B"/>
    <w:rPr>
      <w:rFonts w:ascii="Arial" w:hAnsi="Arial"/>
      <w:sz w:val="24"/>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72731"/>
    <w:pPr>
      <w:spacing w:before="120" w:after="120"/>
      <w:ind w:left="397"/>
      <w:contextualSpacing/>
    </w:pPr>
    <w:rPr>
      <w:rFonts w:ascii="Georgia" w:hAnsi="Georgia" w:cs="Arial"/>
      <w:bCs/>
      <w:iCs/>
      <w:color w:val="275D38"/>
      <w:sz w:val="24"/>
      <w:szCs w:val="28"/>
    </w:rPr>
  </w:style>
  <w:style w:type="character" w:customStyle="1" w:styleId="Heading2Char">
    <w:name w:val="Heading 2 Char"/>
    <w:basedOn w:val="DefaultParagraphFont"/>
    <w:link w:val="Heading2"/>
    <w:uiPriority w:val="2"/>
    <w:rsid w:val="00872731"/>
    <w:rPr>
      <w:rFonts w:ascii="Georgia" w:hAnsi="Georgia" w:cs="Arial"/>
      <w:bCs/>
      <w:iCs/>
      <w:color w:val="275D38"/>
      <w:spacing w:val="4"/>
      <w:sz w:val="32"/>
      <w:szCs w:val="28"/>
    </w:rPr>
  </w:style>
  <w:style w:type="character" w:customStyle="1" w:styleId="PullouttextChar">
    <w:name w:val="Pullout text Char"/>
    <w:basedOn w:val="Heading2Char"/>
    <w:link w:val="Pullouttext"/>
    <w:uiPriority w:val="3"/>
    <w:rsid w:val="00872731"/>
    <w:rPr>
      <w:rFonts w:ascii="Georgia" w:hAnsi="Georgia" w:cs="Arial"/>
      <w:bCs/>
      <w:iCs/>
      <w:color w:val="275D3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72731"/>
    <w:rPr>
      <w:rFonts w:ascii="Georgia" w:hAnsi="Georgia" w:cs="Arial"/>
      <w:bCs/>
      <w:color w:val="275D3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872731"/>
    <w:rPr>
      <w:rFonts w:ascii="Georgia" w:hAnsi="Georgia" w:cs="Arial"/>
      <w:bCs/>
      <w:color w:val="275D3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DD5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5B58"/>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1,Recommendation,Bullet Points,NFP GP Bulleted List,Bullet point,#List Paragraph,L,List Paragraph*"/>
    <w:basedOn w:val="Normal"/>
    <w:uiPriority w:val="34"/>
    <w:qFormat/>
    <w:rsid w:val="00C80192"/>
    <w:pPr>
      <w:ind w:left="720"/>
      <w:contextualSpacing/>
    </w:pPr>
  </w:style>
  <w:style w:type="table" w:styleId="TableClassic2">
    <w:name w:val="Table Classic 2"/>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E65D1B"/>
    <w:pPr>
      <w:spacing w:before="120" w:after="180" w:line="280" w:lineRule="atLeast"/>
    </w:pPr>
    <w:rPr>
      <w:rFonts w:asciiTheme="minorHAnsi" w:hAnsiTheme="minorHAnsi"/>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5D1B"/>
    <w:pPr>
      <w:spacing w:before="120" w:after="180" w:line="280" w:lineRule="atLeast"/>
    </w:pPr>
    <w:rPr>
      <w:rFonts w:ascii="Arial" w:hAnsi="Arial"/>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E65D1B"/>
    <w:pPr>
      <w:spacing w:before="120" w:after="180" w:line="280" w:lineRule="atLeast"/>
    </w:pPr>
    <w:rPr>
      <w:rFonts w:ascii="Arial" w:hAnsi="Arial"/>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5D1B"/>
    <w:pPr>
      <w:spacing w:before="120" w:after="180" w:line="280" w:lineRule="atLeast"/>
    </w:pPr>
    <w:rPr>
      <w:rFonts w:ascii="Arial" w:hAnsi="Arial"/>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5D1B"/>
    <w:pPr>
      <w:spacing w:before="120" w:after="180" w:line="280" w:lineRule="atLeast"/>
    </w:pPr>
    <w:rPr>
      <w:rFonts w:ascii="Arial" w:hAnsi="Arial"/>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fulList">
    <w:name w:val="Colorful List"/>
    <w:basedOn w:val="TableNormal"/>
    <w:uiPriority w:val="72"/>
    <w:rsid w:val="00E65D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rsid w:val="00E65D1B"/>
    <w:rPr>
      <w:color w:val="000000" w:themeColor="text1"/>
    </w:rPr>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paragraph" w:styleId="BodyText">
    <w:name w:val="Body Text"/>
    <w:link w:val="BodyTextChar"/>
    <w:qFormat/>
    <w:rsid w:val="00024729"/>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024729"/>
    <w:rPr>
      <w:rFonts w:asciiTheme="minorHAnsi" w:eastAsiaTheme="minorHAnsi" w:hAnsiTheme="minorHAnsi"/>
      <w:color w:val="000000" w:themeColor="text1"/>
      <w:sz w:val="22"/>
      <w:lang w:eastAsia="en-US"/>
    </w:rPr>
  </w:style>
  <w:style w:type="paragraph" w:styleId="CommentText">
    <w:name w:val="annotation text"/>
    <w:basedOn w:val="Normal"/>
    <w:link w:val="CommentTextChar"/>
    <w:uiPriority w:val="99"/>
    <w:unhideWhenUsed/>
    <w:rsid w:val="00024729"/>
    <w:pPr>
      <w:spacing w:before="0" w:after="0" w:line="240" w:lineRule="auto"/>
    </w:pPr>
    <w:rPr>
      <w:rFonts w:asciiTheme="minorHAnsi" w:eastAsiaTheme="minorHAnsi" w:hAnsiTheme="minorHAnsi"/>
      <w:color w:val="000000" w:themeColor="text1"/>
      <w:spacing w:val="0"/>
      <w:sz w:val="20"/>
      <w:szCs w:val="20"/>
      <w:lang w:eastAsia="en-US"/>
    </w:rPr>
  </w:style>
  <w:style w:type="character" w:customStyle="1" w:styleId="CommentTextChar">
    <w:name w:val="Comment Text Char"/>
    <w:basedOn w:val="DefaultParagraphFont"/>
    <w:link w:val="CommentText"/>
    <w:uiPriority w:val="99"/>
    <w:rsid w:val="00024729"/>
    <w:rPr>
      <w:rFonts w:asciiTheme="minorHAnsi" w:eastAsiaTheme="minorHAnsi" w:hAnsiTheme="minorHAnsi"/>
      <w:color w:val="000000" w:themeColor="text1"/>
      <w:lang w:eastAsia="en-US"/>
    </w:rPr>
  </w:style>
  <w:style w:type="numbering" w:customStyle="1" w:styleId="Numbers">
    <w:name w:val="Numbers"/>
    <w:basedOn w:val="NoList"/>
    <w:uiPriority w:val="99"/>
    <w:rsid w:val="00B9108A"/>
    <w:pPr>
      <w:numPr>
        <w:numId w:val="4"/>
      </w:numPr>
    </w:pPr>
  </w:style>
  <w:style w:type="paragraph" w:customStyle="1" w:styleId="Numbers1">
    <w:name w:val="Numbers 1"/>
    <w:basedOn w:val="Heading3"/>
    <w:uiPriority w:val="9"/>
    <w:qFormat/>
    <w:rsid w:val="00B9108A"/>
    <w:pPr>
      <w:numPr>
        <w:numId w:val="4"/>
      </w:numPr>
      <w:spacing w:before="400" w:after="120" w:line="280" w:lineRule="atLeast"/>
      <w:contextualSpacing w:val="0"/>
    </w:pPr>
    <w:rPr>
      <w:rFonts w:asciiTheme="majorHAnsi" w:eastAsiaTheme="majorEastAsia" w:hAnsiTheme="majorHAnsi" w:cstheme="majorBidi"/>
      <w:b/>
      <w:color w:val="000000" w:themeColor="text1"/>
      <w:spacing w:val="0"/>
      <w:sz w:val="22"/>
      <w:szCs w:val="20"/>
      <w:lang w:eastAsia="en-US"/>
    </w:rPr>
  </w:style>
  <w:style w:type="paragraph" w:customStyle="1" w:styleId="Numbers2">
    <w:name w:val="Numbers 2"/>
    <w:basedOn w:val="BodyText"/>
    <w:uiPriority w:val="9"/>
    <w:qFormat/>
    <w:rsid w:val="00B9108A"/>
    <w:pPr>
      <w:numPr>
        <w:ilvl w:val="1"/>
        <w:numId w:val="4"/>
      </w:numPr>
    </w:pPr>
  </w:style>
  <w:style w:type="paragraph" w:customStyle="1" w:styleId="Numbers3">
    <w:name w:val="Numbers 3"/>
    <w:basedOn w:val="BodyText"/>
    <w:uiPriority w:val="9"/>
    <w:qFormat/>
    <w:rsid w:val="00B9108A"/>
    <w:pPr>
      <w:numPr>
        <w:ilvl w:val="2"/>
        <w:numId w:val="4"/>
      </w:numPr>
    </w:pPr>
  </w:style>
  <w:style w:type="character" w:styleId="CommentReference">
    <w:name w:val="annotation reference"/>
    <w:basedOn w:val="DefaultParagraphFont"/>
    <w:uiPriority w:val="99"/>
    <w:semiHidden/>
    <w:unhideWhenUsed/>
    <w:rsid w:val="00B9108A"/>
    <w:rPr>
      <w:sz w:val="16"/>
      <w:szCs w:val="16"/>
    </w:rPr>
  </w:style>
  <w:style w:type="paragraph" w:customStyle="1" w:styleId="Boxed2Text">
    <w:name w:val="Boxed 2 Text"/>
    <w:basedOn w:val="Normal"/>
    <w:qFormat/>
    <w:rsid w:val="00B9108A"/>
    <w:pPr>
      <w:pBdr>
        <w:top w:val="single" w:sz="4" w:space="14" w:color="BBBADB"/>
        <w:left w:val="single" w:sz="4" w:space="14" w:color="BBBADB"/>
        <w:bottom w:val="single" w:sz="4" w:space="14" w:color="BBBADB"/>
        <w:right w:val="single" w:sz="4" w:space="14" w:color="BBBADB"/>
      </w:pBdr>
      <w:shd w:val="clear" w:color="auto" w:fill="BBBADB"/>
      <w:suppressAutoHyphens/>
      <w:spacing w:before="180" w:after="60"/>
      <w:ind w:left="284" w:right="284"/>
    </w:pPr>
    <w:rPr>
      <w:rFonts w:eastAsia="Arial"/>
      <w:spacing w:val="0"/>
      <w:sz w:val="22"/>
      <w:szCs w:val="22"/>
      <w:lang w:eastAsia="en-US"/>
    </w:rPr>
  </w:style>
  <w:style w:type="table" w:customStyle="1" w:styleId="CGHTableBanded">
    <w:name w:val="CGH Table Banded"/>
    <w:basedOn w:val="TableNormal"/>
    <w:uiPriority w:val="99"/>
    <w:rsid w:val="00B9108A"/>
    <w:rPr>
      <w:rFonts w:asciiTheme="minorHAnsi" w:eastAsiaTheme="minorHAnsi" w:hAnsiTheme="minorHAnsi"/>
      <w:lang w:eastAsia="en-US"/>
    </w:rPr>
    <w:tblPr>
      <w:tblStyleRowBandSize w:val="1"/>
      <w:tblBorders>
        <w:insideH w:val="single" w:sz="4" w:space="0" w:color="FFFFFF"/>
        <w:insideV w:val="single" w:sz="4" w:space="0" w:color="FFFFFF"/>
      </w:tblBorders>
      <w:tblCellMar>
        <w:left w:w="0" w:type="dxa"/>
        <w:right w:w="0" w:type="dxa"/>
      </w:tblCellMar>
    </w:tblPr>
    <w:tcPr>
      <w:shd w:val="clear" w:color="auto" w:fill="EFF0EF"/>
    </w:tcPr>
    <w:tblStylePr w:type="firstRow">
      <w:tblPr/>
      <w:tcPr>
        <w:tcBorders>
          <w:top w:val="nil"/>
          <w:left w:val="nil"/>
          <w:bottom w:val="single" w:sz="6" w:space="0" w:color="FFFFFF"/>
          <w:right w:val="nil"/>
          <w:insideH w:val="nil"/>
          <w:insideV w:val="single" w:sz="4" w:space="0" w:color="FFFFFF"/>
          <w:tl2br w:val="nil"/>
          <w:tr2bl w:val="nil"/>
        </w:tcBorders>
        <w:shd w:val="clear" w:color="auto" w:fill="FFD923"/>
      </w:tcPr>
    </w:tblStylePr>
    <w:tblStylePr w:type="band1Horz">
      <w:tblPr/>
      <w:tcPr>
        <w:shd w:val="clear" w:color="auto" w:fill="DFE1DF"/>
      </w:tcPr>
    </w:tblStylePr>
  </w:style>
  <w:style w:type="table" w:styleId="GridTable4-Accent3">
    <w:name w:val="Grid Table 4 Accent 3"/>
    <w:basedOn w:val="TableNormal"/>
    <w:uiPriority w:val="49"/>
    <w:rsid w:val="00A6496E"/>
    <w:tblPr>
      <w:tblStyleRowBandSize w:val="1"/>
      <w:tblStyleColBandSize w:val="1"/>
      <w:tblBorders>
        <w:top w:val="single" w:sz="4" w:space="0" w:color="DAEDB8" w:themeColor="accent3" w:themeTint="99"/>
        <w:left w:val="single" w:sz="4" w:space="0" w:color="DAEDB8" w:themeColor="accent3" w:themeTint="99"/>
        <w:bottom w:val="single" w:sz="4" w:space="0" w:color="DAEDB8" w:themeColor="accent3" w:themeTint="99"/>
        <w:right w:val="single" w:sz="4" w:space="0" w:color="DAEDB8" w:themeColor="accent3" w:themeTint="99"/>
        <w:insideH w:val="single" w:sz="4" w:space="0" w:color="DAEDB8" w:themeColor="accent3" w:themeTint="99"/>
        <w:insideV w:val="single" w:sz="4" w:space="0" w:color="DAEDB8" w:themeColor="accent3" w:themeTint="99"/>
      </w:tblBorders>
    </w:tblPr>
    <w:tblStylePr w:type="firstRow">
      <w:rPr>
        <w:b/>
        <w:bCs/>
        <w:color w:val="FFFFFF" w:themeColor="background1"/>
      </w:rPr>
      <w:tblPr/>
      <w:tcPr>
        <w:tcBorders>
          <w:top w:val="single" w:sz="4" w:space="0" w:color="C2E189" w:themeColor="accent3"/>
          <w:left w:val="single" w:sz="4" w:space="0" w:color="C2E189" w:themeColor="accent3"/>
          <w:bottom w:val="single" w:sz="4" w:space="0" w:color="C2E189" w:themeColor="accent3"/>
          <w:right w:val="single" w:sz="4" w:space="0" w:color="C2E189" w:themeColor="accent3"/>
          <w:insideH w:val="nil"/>
          <w:insideV w:val="nil"/>
        </w:tcBorders>
        <w:shd w:val="clear" w:color="auto" w:fill="C2E189" w:themeFill="accent3"/>
      </w:tcPr>
    </w:tblStylePr>
    <w:tblStylePr w:type="lastRow">
      <w:rPr>
        <w:b/>
        <w:bCs/>
      </w:rPr>
      <w:tblPr/>
      <w:tcPr>
        <w:tcBorders>
          <w:top w:val="double" w:sz="4" w:space="0" w:color="C2E189" w:themeColor="accent3"/>
        </w:tcBorders>
      </w:tcPr>
    </w:tblStylePr>
    <w:tblStylePr w:type="firstCol">
      <w:rPr>
        <w:b/>
        <w:bCs/>
      </w:rPr>
    </w:tblStylePr>
    <w:tblStylePr w:type="lastCol">
      <w:rPr>
        <w:b/>
        <w:bCs/>
      </w:rPr>
    </w:tblStylePr>
    <w:tblStylePr w:type="band1Vert">
      <w:tblPr/>
      <w:tcPr>
        <w:shd w:val="clear" w:color="auto" w:fill="F2F9E7" w:themeFill="accent3" w:themeFillTint="33"/>
      </w:tcPr>
    </w:tblStylePr>
    <w:tblStylePr w:type="band1Horz">
      <w:tblPr/>
      <w:tcPr>
        <w:shd w:val="clear" w:color="auto" w:fill="F2F9E7" w:themeFill="accent3" w:themeFillTint="33"/>
      </w:tcPr>
    </w:tblStylePr>
  </w:style>
  <w:style w:type="paragraph" w:styleId="CommentSubject">
    <w:name w:val="annotation subject"/>
    <w:basedOn w:val="CommentText"/>
    <w:next w:val="CommentText"/>
    <w:link w:val="CommentSubjectChar"/>
    <w:semiHidden/>
    <w:unhideWhenUsed/>
    <w:rsid w:val="00F91E60"/>
    <w:pPr>
      <w:spacing w:before="120" w:after="180"/>
    </w:pPr>
    <w:rPr>
      <w:rFonts w:ascii="Arial" w:eastAsia="Times New Roman" w:hAnsi="Arial"/>
      <w:b/>
      <w:bCs/>
      <w:color w:val="auto"/>
      <w:spacing w:val="4"/>
      <w:lang w:eastAsia="en-AU"/>
    </w:rPr>
  </w:style>
  <w:style w:type="character" w:customStyle="1" w:styleId="CommentSubjectChar">
    <w:name w:val="Comment Subject Char"/>
    <w:basedOn w:val="CommentTextChar"/>
    <w:link w:val="CommentSubject"/>
    <w:semiHidden/>
    <w:rsid w:val="00F91E60"/>
    <w:rPr>
      <w:rFonts w:ascii="Arial" w:eastAsiaTheme="minorHAnsi" w:hAnsi="Arial"/>
      <w:b/>
      <w:bCs/>
      <w:color w:val="000000" w:themeColor="text1"/>
      <w:spacing w:val="4"/>
      <w:lang w:eastAsia="en-US"/>
    </w:rPr>
  </w:style>
  <w:style w:type="table" w:styleId="GridTable4-Accent6">
    <w:name w:val="Grid Table 4 Accent 6"/>
    <w:basedOn w:val="TableNormal"/>
    <w:uiPriority w:val="49"/>
    <w:rsid w:val="00D270AB"/>
    <w:tblPr>
      <w:tblStyleRowBandSize w:val="1"/>
      <w:tblStyleColBandSize w:val="1"/>
      <w:tblBorders>
        <w:top w:val="single" w:sz="4" w:space="0" w:color="DAEDB8" w:themeColor="accent6" w:themeTint="99"/>
        <w:left w:val="single" w:sz="4" w:space="0" w:color="DAEDB8" w:themeColor="accent6" w:themeTint="99"/>
        <w:bottom w:val="single" w:sz="4" w:space="0" w:color="DAEDB8" w:themeColor="accent6" w:themeTint="99"/>
        <w:right w:val="single" w:sz="4" w:space="0" w:color="DAEDB8" w:themeColor="accent6" w:themeTint="99"/>
        <w:insideH w:val="single" w:sz="4" w:space="0" w:color="DAEDB8" w:themeColor="accent6" w:themeTint="99"/>
        <w:insideV w:val="single" w:sz="4" w:space="0" w:color="DAEDB8" w:themeColor="accent6" w:themeTint="99"/>
      </w:tblBorders>
    </w:tblPr>
    <w:tblStylePr w:type="firstRow">
      <w:rPr>
        <w:b/>
        <w:bCs/>
        <w:color w:val="FFFFFF" w:themeColor="background1"/>
      </w:rPr>
      <w:tblPr/>
      <w:tcPr>
        <w:shd w:val="clear" w:color="auto" w:fill="00838A"/>
      </w:tcPr>
    </w:tblStylePr>
    <w:tblStylePr w:type="lastRow">
      <w:rPr>
        <w:b/>
        <w:bCs/>
      </w:rPr>
      <w:tblPr/>
      <w:tcPr>
        <w:tcBorders>
          <w:top w:val="double" w:sz="4" w:space="0" w:color="C2E189" w:themeColor="accent6"/>
        </w:tcBorders>
      </w:tcPr>
    </w:tblStylePr>
    <w:tblStylePr w:type="firstCol">
      <w:rPr>
        <w:b/>
        <w:bCs/>
      </w:rPr>
    </w:tblStylePr>
    <w:tblStylePr w:type="lastCol">
      <w:rPr>
        <w:b/>
        <w:bCs/>
      </w:rPr>
    </w:tblStylePr>
    <w:tblStylePr w:type="band1Vert">
      <w:tblPr/>
      <w:tcPr>
        <w:shd w:val="clear" w:color="auto" w:fill="F2F9E7" w:themeFill="accent6" w:themeFillTint="33"/>
      </w:tcPr>
    </w:tblStylePr>
    <w:tblStylePr w:type="band1Horz">
      <w:tblPr/>
      <w:tcPr>
        <w:shd w:val="clear" w:color="auto" w:fill="DFF4F3"/>
      </w:tcPr>
    </w:tblStylePr>
  </w:style>
  <w:style w:type="table" w:styleId="GridTable4-Accent5">
    <w:name w:val="Grid Table 4 Accent 5"/>
    <w:basedOn w:val="TableNormal"/>
    <w:uiPriority w:val="49"/>
    <w:rsid w:val="003D745F"/>
    <w:tblPr>
      <w:tblStyleRowBandSize w:val="1"/>
      <w:tblStyleColBandSize w:val="1"/>
      <w:tblBorders>
        <w:top w:val="single" w:sz="4" w:space="0" w:color="AFE66A" w:themeColor="accent5" w:themeTint="99"/>
        <w:left w:val="single" w:sz="4" w:space="0" w:color="AFE66A" w:themeColor="accent5" w:themeTint="99"/>
        <w:bottom w:val="single" w:sz="4" w:space="0" w:color="AFE66A" w:themeColor="accent5" w:themeTint="99"/>
        <w:right w:val="single" w:sz="4" w:space="0" w:color="AFE66A" w:themeColor="accent5" w:themeTint="99"/>
        <w:insideH w:val="single" w:sz="4" w:space="0" w:color="AFE66A" w:themeColor="accent5" w:themeTint="99"/>
        <w:insideV w:val="single" w:sz="4" w:space="0" w:color="AFE66A" w:themeColor="accent5" w:themeTint="99"/>
      </w:tblBorders>
    </w:tblPr>
    <w:tblStylePr w:type="firstRow">
      <w:rPr>
        <w:b/>
        <w:bCs/>
        <w:color w:val="FFFFFF" w:themeColor="background1"/>
      </w:rPr>
      <w:tblPr/>
      <w:tcPr>
        <w:tcBorders>
          <w:top w:val="single" w:sz="4" w:space="0" w:color="78BE20" w:themeColor="accent5"/>
          <w:left w:val="single" w:sz="4" w:space="0" w:color="78BE20" w:themeColor="accent5"/>
          <w:bottom w:val="single" w:sz="4" w:space="0" w:color="78BE20" w:themeColor="accent5"/>
          <w:right w:val="single" w:sz="4" w:space="0" w:color="78BE20" w:themeColor="accent5"/>
          <w:insideH w:val="nil"/>
          <w:insideV w:val="nil"/>
        </w:tcBorders>
        <w:shd w:val="clear" w:color="auto" w:fill="78BE20" w:themeFill="accent5"/>
      </w:tcPr>
    </w:tblStylePr>
    <w:tblStylePr w:type="lastRow">
      <w:rPr>
        <w:b/>
        <w:bCs/>
      </w:rPr>
      <w:tblPr/>
      <w:tcPr>
        <w:tcBorders>
          <w:top w:val="double" w:sz="4" w:space="0" w:color="78BE20" w:themeColor="accent5"/>
        </w:tcBorders>
      </w:tcPr>
    </w:tblStylePr>
    <w:tblStylePr w:type="firstCol">
      <w:rPr>
        <w:b/>
        <w:bCs/>
      </w:rPr>
    </w:tblStylePr>
    <w:tblStylePr w:type="lastCol">
      <w:rPr>
        <w:b/>
        <w:bCs/>
      </w:rPr>
    </w:tblStylePr>
    <w:tblStylePr w:type="band1Vert">
      <w:tblPr/>
      <w:tcPr>
        <w:shd w:val="clear" w:color="auto" w:fill="E4F6CD" w:themeFill="accent5" w:themeFillTint="33"/>
      </w:tcPr>
    </w:tblStylePr>
    <w:tblStylePr w:type="band1Horz">
      <w:tblPr/>
      <w:tcPr>
        <w:shd w:val="clear" w:color="auto" w:fill="E4F6CD" w:themeFill="accent5" w:themeFillTint="33"/>
      </w:tcPr>
    </w:tblStylePr>
  </w:style>
  <w:style w:type="table" w:styleId="GridTable4-Accent2">
    <w:name w:val="Grid Table 4 Accent 2"/>
    <w:basedOn w:val="TableNormal"/>
    <w:uiPriority w:val="49"/>
    <w:rsid w:val="003D745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insideV w:val="nil"/>
        </w:tcBorders>
        <w:shd w:val="clear" w:color="auto" w:fill="78BE20" w:themeFill="accent2"/>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character" w:styleId="FootnoteReference">
    <w:name w:val="footnote reference"/>
    <w:basedOn w:val="DefaultParagraphFont"/>
    <w:uiPriority w:val="99"/>
    <w:rsid w:val="00855619"/>
    <w:rPr>
      <w:rFonts w:cs="Times New Roman"/>
      <w:vertAlign w:val="superscript"/>
    </w:rPr>
  </w:style>
  <w:style w:type="character" w:styleId="FollowedHyperlink">
    <w:name w:val="FollowedHyperlink"/>
    <w:basedOn w:val="DefaultParagraphFont"/>
    <w:uiPriority w:val="99"/>
    <w:semiHidden/>
    <w:unhideWhenUsed/>
    <w:rsid w:val="008F3561"/>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468780">
      <w:bodyDiv w:val="1"/>
      <w:marLeft w:val="0"/>
      <w:marRight w:val="0"/>
      <w:marTop w:val="0"/>
      <w:marBottom w:val="0"/>
      <w:divBdr>
        <w:top w:val="none" w:sz="0" w:space="0" w:color="auto"/>
        <w:left w:val="none" w:sz="0" w:space="0" w:color="auto"/>
        <w:bottom w:val="none" w:sz="0" w:space="0" w:color="auto"/>
        <w:right w:val="none" w:sz="0" w:space="0" w:color="auto"/>
      </w:divBdr>
    </w:div>
    <w:div w:id="433985294">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5320421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35250785">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au/?event=public.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Green.dotx" TargetMode="External"/></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5F1A-19A8-443A-AE08-F5354969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Green</Template>
  <TotalTime>75</TotalTime>
  <Pages>5</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LONG, Andrew</dc:creator>
  <cp:lastModifiedBy>DONATH, Kristen</cp:lastModifiedBy>
  <cp:revision>9</cp:revision>
  <cp:lastPrinted>2014-08-12T05:56:00Z</cp:lastPrinted>
  <dcterms:created xsi:type="dcterms:W3CDTF">2020-07-03T01:34:00Z</dcterms:created>
  <dcterms:modified xsi:type="dcterms:W3CDTF">2020-07-15T02:09:00Z</dcterms:modified>
</cp:coreProperties>
</file>