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D664" w14:textId="77777777" w:rsidR="001E3D2B" w:rsidRPr="00D5132D" w:rsidRDefault="00665CDA" w:rsidP="00944BBB">
      <w:pPr>
        <w:pStyle w:val="Title"/>
        <w:rPr>
          <w:sz w:val="56"/>
        </w:rPr>
      </w:pPr>
      <w:bookmarkStart w:id="0" w:name="_GoBack"/>
      <w:bookmarkEnd w:id="0"/>
      <w:r w:rsidRPr="00665CDA">
        <w:rPr>
          <w:i/>
          <w:sz w:val="56"/>
        </w:rPr>
        <w:t xml:space="preserve">Saluting Their Service </w:t>
      </w:r>
      <w:r w:rsidR="00EC6559">
        <w:rPr>
          <w:sz w:val="56"/>
        </w:rPr>
        <w:t>Commemorations Program</w:t>
      </w:r>
    </w:p>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141A7F3" w14:textId="77777777" w:rsidR="00E47250" w:rsidRDefault="00132C32" w:rsidP="00E47250">
          <w:pPr>
            <w:pStyle w:val="Subtitle"/>
          </w:pPr>
          <w:r>
            <w:t>General f</w:t>
          </w:r>
          <w:r w:rsidR="001F48F7">
            <w:t>eedback for applicants</w:t>
          </w:r>
        </w:p>
      </w:sdtContent>
    </w:sdt>
    <w:p w14:paraId="6ED4E539" w14:textId="77777777" w:rsidR="00CF33BB" w:rsidRPr="00DA0E19" w:rsidRDefault="002A6D54" w:rsidP="00DA0E19">
      <w:pPr>
        <w:pStyle w:val="Heading1"/>
      </w:pPr>
      <w:r w:rsidRPr="00DA0E19">
        <w:t xml:space="preserve">Overview </w:t>
      </w:r>
    </w:p>
    <w:p w14:paraId="786AB4A3" w14:textId="77777777" w:rsidR="000E3AF6" w:rsidRDefault="000E3AF6" w:rsidP="000E3AF6">
      <w:pPr>
        <w:spacing w:line="276" w:lineRule="auto"/>
        <w:rPr>
          <w:color w:val="auto"/>
        </w:rPr>
      </w:pPr>
      <w:r w:rsidRPr="000E3AF6">
        <w:rPr>
          <w:color w:val="auto"/>
        </w:rPr>
        <w:t xml:space="preserve">The </w:t>
      </w:r>
      <w:r w:rsidRPr="000E3AF6">
        <w:rPr>
          <w:i/>
          <w:color w:val="auto"/>
        </w:rPr>
        <w:t>Saluting Their Service</w:t>
      </w:r>
      <w:r>
        <w:rPr>
          <w:color w:val="auto"/>
        </w:rPr>
        <w:t xml:space="preserve"> (STS) Commemorations P</w:t>
      </w:r>
      <w:r w:rsidRPr="000E3AF6">
        <w:rPr>
          <w:color w:val="auto"/>
        </w:rPr>
        <w:t>rogram is designed to preserve Australia’s wartime heritage and to involve people throughout the nation in a wide range of projects and activities that highlight the service and sacrifice of Australia’s service personnel in wars, conflicts and peace operations, and promote appreciation and understanding of the role that those who served hav</w:t>
      </w:r>
      <w:r w:rsidR="008630DC">
        <w:rPr>
          <w:color w:val="auto"/>
        </w:rPr>
        <w:t>e played in shaping the nation.</w:t>
      </w:r>
    </w:p>
    <w:p w14:paraId="30A0D803" w14:textId="77777777" w:rsidR="000E3AF6" w:rsidRPr="000E3AF6" w:rsidRDefault="000E3AF6" w:rsidP="000E3AF6">
      <w:pPr>
        <w:spacing w:line="276" w:lineRule="auto"/>
        <w:rPr>
          <w:color w:val="auto"/>
        </w:rPr>
      </w:pPr>
    </w:p>
    <w:p w14:paraId="258BBC3D" w14:textId="77777777" w:rsidR="000E3AF6" w:rsidRDefault="000E3AF6" w:rsidP="000E3AF6">
      <w:pPr>
        <w:spacing w:line="276" w:lineRule="auto"/>
        <w:rPr>
          <w:color w:val="auto"/>
        </w:rPr>
      </w:pPr>
      <w:r w:rsidRPr="000E3AF6">
        <w:rPr>
          <w:color w:val="auto"/>
        </w:rPr>
        <w:t>The objective of the program is to acknowledge and commemorate those who served Australia and its allies in wars, conflicts and peace op</w:t>
      </w:r>
      <w:r w:rsidR="008630DC">
        <w:rPr>
          <w:color w:val="auto"/>
        </w:rPr>
        <w:t>erations.</w:t>
      </w:r>
    </w:p>
    <w:p w14:paraId="7CC13F22" w14:textId="77777777" w:rsidR="000E3AF6" w:rsidRPr="000E3AF6" w:rsidRDefault="000E3AF6" w:rsidP="000E3AF6">
      <w:pPr>
        <w:spacing w:line="276" w:lineRule="auto"/>
        <w:rPr>
          <w:color w:val="auto"/>
        </w:rPr>
      </w:pPr>
    </w:p>
    <w:p w14:paraId="1C9FE66D" w14:textId="77777777" w:rsidR="000E3AF6" w:rsidRDefault="000E3AF6" w:rsidP="000E3AF6">
      <w:pPr>
        <w:spacing w:line="276" w:lineRule="auto"/>
        <w:rPr>
          <w:color w:val="auto"/>
        </w:rPr>
      </w:pPr>
      <w:r w:rsidRPr="000E3AF6">
        <w:rPr>
          <w:color w:val="auto"/>
        </w:rPr>
        <w:t xml:space="preserve">There are two categories of grants available under the program: </w:t>
      </w:r>
    </w:p>
    <w:p w14:paraId="3D57ACCE" w14:textId="77777777" w:rsidR="000E3AF6" w:rsidRDefault="000E3AF6" w:rsidP="000E3AF6">
      <w:pPr>
        <w:spacing w:line="276" w:lineRule="auto"/>
        <w:rPr>
          <w:color w:val="auto"/>
        </w:rPr>
      </w:pPr>
    </w:p>
    <w:p w14:paraId="678D2011" w14:textId="77777777" w:rsidR="000E3AF6" w:rsidRPr="000E3AF6" w:rsidRDefault="000E3AF6" w:rsidP="000E3AF6">
      <w:pPr>
        <w:pStyle w:val="ListParagraph"/>
        <w:numPr>
          <w:ilvl w:val="0"/>
          <w:numId w:val="26"/>
        </w:numPr>
        <w:spacing w:line="276" w:lineRule="auto"/>
        <w:rPr>
          <w:b/>
          <w:color w:val="auto"/>
        </w:rPr>
      </w:pPr>
      <w:r w:rsidRPr="000E3AF6">
        <w:rPr>
          <w:b/>
          <w:color w:val="auto"/>
        </w:rPr>
        <w:t>Community Commemorative Grants</w:t>
      </w:r>
    </w:p>
    <w:p w14:paraId="2C142616" w14:textId="77777777" w:rsidR="000E3AF6" w:rsidRPr="000E3AF6" w:rsidRDefault="00791C88" w:rsidP="00132C32">
      <w:pPr>
        <w:spacing w:line="276" w:lineRule="auto"/>
        <w:ind w:left="720"/>
        <w:rPr>
          <w:color w:val="auto"/>
        </w:rPr>
      </w:pPr>
      <w:r>
        <w:rPr>
          <w:color w:val="auto"/>
        </w:rPr>
        <w:t>Grants up to a maximum of $10</w:t>
      </w:r>
      <w:r w:rsidR="000E3AF6" w:rsidRPr="000E3AF6">
        <w:rPr>
          <w:color w:val="auto"/>
        </w:rPr>
        <w:t>,000 available for local, communit</w:t>
      </w:r>
      <w:r w:rsidR="008630DC">
        <w:rPr>
          <w:color w:val="auto"/>
        </w:rPr>
        <w:t>y-based projects and activities.</w:t>
      </w:r>
    </w:p>
    <w:p w14:paraId="1C05E1C7" w14:textId="77777777" w:rsidR="000E3AF6" w:rsidRPr="000E3AF6" w:rsidRDefault="000E3AF6" w:rsidP="000E3AF6">
      <w:pPr>
        <w:spacing w:line="276" w:lineRule="auto"/>
        <w:rPr>
          <w:color w:val="auto"/>
        </w:rPr>
      </w:pPr>
    </w:p>
    <w:p w14:paraId="28B34338" w14:textId="77777777" w:rsidR="000E3AF6" w:rsidRPr="000E3AF6" w:rsidRDefault="000E3AF6" w:rsidP="000E3AF6">
      <w:pPr>
        <w:pStyle w:val="ListParagraph"/>
        <w:numPr>
          <w:ilvl w:val="0"/>
          <w:numId w:val="26"/>
        </w:numPr>
        <w:spacing w:line="276" w:lineRule="auto"/>
        <w:rPr>
          <w:b/>
          <w:color w:val="auto"/>
        </w:rPr>
      </w:pPr>
      <w:r w:rsidRPr="000E3AF6">
        <w:rPr>
          <w:b/>
          <w:color w:val="auto"/>
        </w:rPr>
        <w:t>Major Commemorative Grants</w:t>
      </w:r>
    </w:p>
    <w:p w14:paraId="00269077" w14:textId="77777777" w:rsidR="000E3AF6" w:rsidRDefault="000E3AF6" w:rsidP="00791C88">
      <w:pPr>
        <w:spacing w:line="276" w:lineRule="auto"/>
        <w:ind w:left="720"/>
        <w:rPr>
          <w:color w:val="auto"/>
        </w:rPr>
      </w:pPr>
      <w:r w:rsidRPr="000E3AF6">
        <w:rPr>
          <w:color w:val="auto"/>
        </w:rPr>
        <w:t>G</w:t>
      </w:r>
      <w:r w:rsidR="00791C88" w:rsidRPr="00791C88">
        <w:rPr>
          <w:color w:val="auto"/>
        </w:rPr>
        <w:t>rants between $10,001 and $150,000 are available for major commemorative projects and activities that are significant from a national, state, territory and/or regional perspective.</w:t>
      </w:r>
    </w:p>
    <w:p w14:paraId="6280E5E4" w14:textId="77777777" w:rsidR="00791C88" w:rsidRPr="000E3AF6" w:rsidRDefault="00791C88" w:rsidP="00791C88">
      <w:pPr>
        <w:spacing w:line="276" w:lineRule="auto"/>
        <w:ind w:left="720"/>
        <w:rPr>
          <w:color w:val="auto"/>
        </w:rPr>
      </w:pPr>
    </w:p>
    <w:p w14:paraId="060052AB" w14:textId="77777777" w:rsidR="000E3AF6" w:rsidRDefault="000E3AF6" w:rsidP="000E3AF6">
      <w:pPr>
        <w:pStyle w:val="Default"/>
        <w:spacing w:line="276" w:lineRule="auto"/>
        <w:rPr>
          <w:rFonts w:asciiTheme="minorHAnsi" w:hAnsiTheme="minorHAnsi" w:cs="Times New Roman"/>
          <w:color w:val="auto"/>
          <w:sz w:val="22"/>
          <w:szCs w:val="20"/>
        </w:rPr>
      </w:pPr>
      <w:r w:rsidRPr="000E3AF6">
        <w:rPr>
          <w:rFonts w:asciiTheme="minorHAnsi" w:hAnsiTheme="minorHAnsi" w:cs="Times New Roman"/>
          <w:color w:val="auto"/>
          <w:sz w:val="22"/>
          <w:szCs w:val="20"/>
        </w:rPr>
        <w:t xml:space="preserve">The intended outcomes of the grant opportunity are to: </w:t>
      </w:r>
    </w:p>
    <w:p w14:paraId="55702F21" w14:textId="77777777" w:rsidR="000E3AF6" w:rsidRDefault="000E3AF6" w:rsidP="000E3AF6">
      <w:pPr>
        <w:pStyle w:val="Default"/>
        <w:numPr>
          <w:ilvl w:val="0"/>
          <w:numId w:val="27"/>
        </w:numPr>
        <w:spacing w:line="276" w:lineRule="auto"/>
        <w:rPr>
          <w:rFonts w:asciiTheme="minorHAnsi" w:hAnsiTheme="minorHAnsi" w:cs="Times New Roman"/>
          <w:color w:val="auto"/>
          <w:sz w:val="22"/>
          <w:szCs w:val="20"/>
        </w:rPr>
      </w:pPr>
      <w:r w:rsidRPr="000E3AF6">
        <w:rPr>
          <w:rFonts w:asciiTheme="minorHAnsi" w:hAnsiTheme="minorHAnsi" w:cs="Times New Roman"/>
          <w:color w:val="auto"/>
          <w:sz w:val="22"/>
          <w:szCs w:val="20"/>
        </w:rPr>
        <w:t xml:space="preserve">provide funding for local community-based commemorative projects and activities that directly commemorate the involvement, service and sacrifice of Australia’s service personnel in wars, conflicts and peace operations, and </w:t>
      </w:r>
    </w:p>
    <w:p w14:paraId="4BCCE9FE" w14:textId="77777777" w:rsidR="00665CDA" w:rsidRPr="000E3AF6" w:rsidRDefault="000E3AF6" w:rsidP="005C1D21">
      <w:pPr>
        <w:pStyle w:val="Default"/>
        <w:numPr>
          <w:ilvl w:val="0"/>
          <w:numId w:val="27"/>
        </w:numPr>
        <w:spacing w:line="276" w:lineRule="auto"/>
        <w:rPr>
          <w:rFonts w:asciiTheme="minorHAnsi" w:hAnsiTheme="minorHAnsi" w:cs="Times New Roman"/>
          <w:color w:val="auto"/>
          <w:sz w:val="22"/>
          <w:szCs w:val="20"/>
        </w:rPr>
      </w:pPr>
      <w:r w:rsidRPr="000E3AF6">
        <w:rPr>
          <w:rFonts w:asciiTheme="minorHAnsi" w:hAnsiTheme="minorHAnsi" w:cs="Times New Roman"/>
          <w:color w:val="auto"/>
          <w:sz w:val="22"/>
          <w:szCs w:val="20"/>
        </w:rPr>
        <w:t>involve people throughout the nation in a wide range of projects and activities that highlight the service and sacrifice of Australia’s service personnel in wars, conflicts and peace operations and promote appreciation and understanding of the roles that those who served have played in s</w:t>
      </w:r>
      <w:r w:rsidR="008630DC">
        <w:rPr>
          <w:rFonts w:asciiTheme="minorHAnsi" w:hAnsiTheme="minorHAnsi" w:cs="Times New Roman"/>
          <w:color w:val="auto"/>
          <w:sz w:val="22"/>
          <w:szCs w:val="20"/>
        </w:rPr>
        <w:t>haping the nation.</w:t>
      </w:r>
    </w:p>
    <w:p w14:paraId="0F39896C" w14:textId="77777777" w:rsidR="00CF33BB" w:rsidRDefault="00AB2C99" w:rsidP="005C1D21">
      <w:pPr>
        <w:pStyle w:val="Heading1"/>
      </w:pPr>
      <w:r w:rsidRPr="005C1D21">
        <w:lastRenderedPageBreak/>
        <w:t>Selection results</w:t>
      </w:r>
    </w:p>
    <w:p w14:paraId="2D59A70A" w14:textId="77777777" w:rsidR="001F48F7" w:rsidRPr="00555149" w:rsidRDefault="001F48F7" w:rsidP="00555149">
      <w:r>
        <w:t xml:space="preserve">The application period </w:t>
      </w:r>
      <w:r w:rsidR="002972BA">
        <w:t xml:space="preserve">for </w:t>
      </w:r>
      <w:r w:rsidR="007E3C35">
        <w:t xml:space="preserve">Batch </w:t>
      </w:r>
      <w:r w:rsidR="00791C88">
        <w:t>3</w:t>
      </w:r>
      <w:r w:rsidR="007E3C35">
        <w:t xml:space="preserve"> of </w:t>
      </w:r>
      <w:r w:rsidR="002972BA">
        <w:t xml:space="preserve">the STS grant opportunity </w:t>
      </w:r>
      <w:r>
        <w:t xml:space="preserve">opened on </w:t>
      </w:r>
      <w:r w:rsidR="00791C88">
        <w:t>7 November</w:t>
      </w:r>
      <w:r w:rsidR="007E3C35">
        <w:t xml:space="preserve"> 2019 and closed on</w:t>
      </w:r>
      <w:r w:rsidR="00791C88">
        <w:t xml:space="preserve"> 31 March 2020</w:t>
      </w:r>
      <w:r w:rsidR="001D7B59">
        <w:t xml:space="preserve">. </w:t>
      </w:r>
      <w:r w:rsidR="001D7B59" w:rsidRPr="00905F99">
        <w:t>There was a strong response from organisations and community</w:t>
      </w:r>
      <w:r w:rsidR="007E3C35">
        <w:t xml:space="preserve"> groups across Australia</w:t>
      </w:r>
      <w:r w:rsidR="00034C08">
        <w:t>, a</w:t>
      </w:r>
      <w:r>
        <w:t xml:space="preserve"> total of </w:t>
      </w:r>
      <w:r w:rsidR="00791C88">
        <w:t>366</w:t>
      </w:r>
      <w:r w:rsidR="00555149">
        <w:t xml:space="preserve"> </w:t>
      </w:r>
      <w:r>
        <w:t xml:space="preserve">applications were received </w:t>
      </w:r>
      <w:r w:rsidRPr="00F1325B">
        <w:t xml:space="preserve">and </w:t>
      </w:r>
      <w:r w:rsidR="003C2AF4">
        <w:t>of these, 1</w:t>
      </w:r>
      <w:r w:rsidR="00791C88">
        <w:t>77</w:t>
      </w:r>
      <w:r w:rsidR="00F1325B" w:rsidRPr="00F1325B">
        <w:t xml:space="preserve"> </w:t>
      </w:r>
      <w:r w:rsidR="003C2AF4">
        <w:t>were approved by the Hon Darren Chester MP, Minister for Veterans’ Affairs</w:t>
      </w:r>
      <w:r>
        <w:t>.</w:t>
      </w:r>
    </w:p>
    <w:p w14:paraId="6369E3F3" w14:textId="77777777" w:rsidR="00AB2C99" w:rsidRPr="00B86A5C" w:rsidRDefault="00AB2C99" w:rsidP="00DA0E19">
      <w:pPr>
        <w:pStyle w:val="Heading1"/>
      </w:pPr>
      <w:r w:rsidRPr="00B86A5C">
        <w:t>Selection process</w:t>
      </w:r>
    </w:p>
    <w:p w14:paraId="705ADFC1" w14:textId="77777777" w:rsidR="001F48F7" w:rsidRDefault="001F48F7" w:rsidP="00F56A09">
      <w:r>
        <w:t xml:space="preserve">The Hub </w:t>
      </w:r>
      <w:r w:rsidR="007E3C35">
        <w:t xml:space="preserve">and Department of Veterans’ Affairs (DVA) </w:t>
      </w:r>
      <w:r>
        <w:t xml:space="preserve">administered an </w:t>
      </w:r>
      <w:r w:rsidRPr="001F48F7">
        <w:t>open competitive</w:t>
      </w:r>
      <w:r w:rsidR="007E3C35">
        <w:t xml:space="preserve"> process</w:t>
      </w:r>
      <w:r w:rsidRPr="001F48F7">
        <w:t xml:space="preserve">. ‘Open competitive’ </w:t>
      </w:r>
      <w:r w:rsidR="001A5E9A">
        <w:t>funding rounds have open and closed nominated dates, with eligible applications being assessed against th</w:t>
      </w:r>
      <w:r w:rsidR="008630DC">
        <w:t>e nominated selection criteria.</w:t>
      </w:r>
    </w:p>
    <w:p w14:paraId="6946E054" w14:textId="77777777" w:rsidR="001F48F7" w:rsidRDefault="001F48F7" w:rsidP="00F56A09">
      <w:pPr>
        <w:rPr>
          <w:color w:val="00B0F0"/>
        </w:rPr>
      </w:pPr>
    </w:p>
    <w:p w14:paraId="5F18E209" w14:textId="77777777" w:rsidR="00FC7F03" w:rsidRDefault="00FC7F03" w:rsidP="001F48F7">
      <w:pPr>
        <w:rPr>
          <w:rFonts w:ascii="Arial" w:eastAsia="Times New Roman" w:hAnsi="Arial" w:cs="Arial"/>
          <w:color w:val="FF0000"/>
          <w:szCs w:val="22"/>
        </w:rPr>
      </w:pPr>
      <w:r w:rsidRPr="00FC7F03">
        <w:rPr>
          <w:rFonts w:ascii="Arial" w:eastAsia="Times New Roman" w:hAnsi="Arial" w:cs="Arial"/>
          <w:color w:val="auto"/>
          <w:szCs w:val="22"/>
        </w:rPr>
        <w:t xml:space="preserve">All applications that passed the initial eligibility </w:t>
      </w:r>
      <w:r w:rsidR="00AD6C0C">
        <w:rPr>
          <w:rFonts w:ascii="Arial" w:eastAsia="Times New Roman" w:hAnsi="Arial" w:cs="Arial"/>
          <w:color w:val="auto"/>
          <w:szCs w:val="22"/>
        </w:rPr>
        <w:t xml:space="preserve">and </w:t>
      </w:r>
      <w:r w:rsidR="00AD6C0C" w:rsidRPr="00FC7F03">
        <w:rPr>
          <w:rFonts w:ascii="Arial" w:eastAsia="Times New Roman" w:hAnsi="Arial" w:cs="Arial"/>
          <w:color w:val="auto"/>
          <w:szCs w:val="22"/>
        </w:rPr>
        <w:t xml:space="preserve">compliance </w:t>
      </w:r>
      <w:r w:rsidRPr="00FC7F03">
        <w:rPr>
          <w:rFonts w:ascii="Arial" w:eastAsia="Times New Roman" w:hAnsi="Arial" w:cs="Arial"/>
          <w:color w:val="auto"/>
          <w:szCs w:val="22"/>
        </w:rPr>
        <w:t>checks were assessed against the assessment criteria</w:t>
      </w:r>
      <w:r>
        <w:rPr>
          <w:rFonts w:ascii="Arial" w:eastAsia="Times New Roman" w:hAnsi="Arial" w:cs="Arial"/>
          <w:color w:val="auto"/>
          <w:szCs w:val="22"/>
        </w:rPr>
        <w:t xml:space="preserve"> and eligibility of activities and expenditure</w:t>
      </w:r>
      <w:r w:rsidRPr="00FC7F03">
        <w:rPr>
          <w:rFonts w:ascii="Arial" w:eastAsia="Times New Roman" w:hAnsi="Arial" w:cs="Arial"/>
          <w:color w:val="auto"/>
          <w:szCs w:val="22"/>
        </w:rPr>
        <w:t xml:space="preserve">. Following preliminary assessment by the </w:t>
      </w:r>
      <w:r w:rsidR="007E3C35">
        <w:rPr>
          <w:rFonts w:ascii="Arial" w:eastAsia="Times New Roman" w:hAnsi="Arial" w:cs="Arial"/>
          <w:color w:val="auto"/>
          <w:szCs w:val="22"/>
        </w:rPr>
        <w:t>DVA</w:t>
      </w:r>
      <w:r w:rsidRPr="00FC7F03">
        <w:rPr>
          <w:rFonts w:ascii="Arial" w:eastAsia="Times New Roman" w:hAnsi="Arial" w:cs="Arial"/>
          <w:color w:val="auto"/>
          <w:szCs w:val="22"/>
        </w:rPr>
        <w:t>, all outcomes were referred the</w:t>
      </w:r>
      <w:r w:rsidRPr="00FC7F03">
        <w:rPr>
          <w:rFonts w:ascii="Arial" w:hAnsi="Arial" w:cs="Arial"/>
          <w:color w:val="auto"/>
        </w:rPr>
        <w:t xml:space="preserve"> Commemorative Grants Advisory Committee (CGAC).</w:t>
      </w:r>
    </w:p>
    <w:p w14:paraId="58A46635" w14:textId="77777777" w:rsidR="00FC7F03" w:rsidRDefault="00FC7F03" w:rsidP="001F48F7">
      <w:pPr>
        <w:rPr>
          <w:rFonts w:ascii="Arial" w:eastAsia="Times New Roman" w:hAnsi="Arial" w:cs="Arial"/>
          <w:color w:val="FF0000"/>
          <w:szCs w:val="22"/>
        </w:rPr>
      </w:pPr>
    </w:p>
    <w:p w14:paraId="35F1F185" w14:textId="77777777" w:rsidR="001F48F7" w:rsidRPr="00FC7F03" w:rsidRDefault="001F48F7" w:rsidP="001F48F7">
      <w:pPr>
        <w:rPr>
          <w:rFonts w:ascii="Arial" w:eastAsia="Times New Roman" w:hAnsi="Arial" w:cs="Arial"/>
          <w:color w:val="FF0000"/>
          <w:szCs w:val="22"/>
        </w:rPr>
      </w:pPr>
      <w:r w:rsidRPr="00BE61F9">
        <w:rPr>
          <w:color w:val="auto"/>
        </w:rPr>
        <w:t>In making their recommendations,</w:t>
      </w:r>
      <w:r w:rsidRPr="00BE61F9">
        <w:t xml:space="preserve"> the </w:t>
      </w:r>
      <w:r w:rsidR="007E3C35">
        <w:rPr>
          <w:color w:val="auto"/>
        </w:rPr>
        <w:t>CGAC</w:t>
      </w:r>
      <w:r w:rsidRPr="00BE61F9">
        <w:rPr>
          <w:color w:val="auto"/>
        </w:rPr>
        <w:t xml:space="preserve"> considered </w:t>
      </w:r>
      <w:r w:rsidRPr="00BE61F9">
        <w:t xml:space="preserve">whether the application provided </w:t>
      </w:r>
      <w:r w:rsidRPr="00BE61F9">
        <w:rPr>
          <w:i/>
        </w:rPr>
        <w:t>value with</w:t>
      </w:r>
      <w:r w:rsidRPr="00BE61F9">
        <w:t xml:space="preserve"> </w:t>
      </w:r>
      <w:r w:rsidRPr="00BE61F9">
        <w:rPr>
          <w:rStyle w:val="Emphasis"/>
        </w:rPr>
        <w:t>relevant money</w:t>
      </w:r>
      <w:r w:rsidRPr="00BE61F9">
        <w:rPr>
          <w:rStyle w:val="FootnoteReference"/>
          <w:i/>
          <w:iCs/>
        </w:rPr>
        <w:footnoteReference w:customMarkFollows="1" w:id="1"/>
        <w:t>1</w:t>
      </w:r>
      <w:r w:rsidRPr="00BE61F9">
        <w:rPr>
          <w:rStyle w:val="Emphasis"/>
        </w:rPr>
        <w:t xml:space="preserve">, </w:t>
      </w:r>
      <w:r w:rsidR="00BE61F9" w:rsidRPr="00BE61F9">
        <w:rPr>
          <w:rStyle w:val="Emphasis"/>
          <w:i w:val="0"/>
        </w:rPr>
        <w:t>having regard to</w:t>
      </w:r>
      <w:r w:rsidRPr="00BE61F9">
        <w:rPr>
          <w:rStyle w:val="Emphasis"/>
          <w:i w:val="0"/>
        </w:rPr>
        <w:t>:</w:t>
      </w:r>
    </w:p>
    <w:p w14:paraId="1DCB553C" w14:textId="77777777" w:rsidR="001F48F7" w:rsidRPr="00555149" w:rsidRDefault="00BE61F9" w:rsidP="001F48F7">
      <w:pPr>
        <w:pStyle w:val="ListParagraph"/>
        <w:numPr>
          <w:ilvl w:val="0"/>
          <w:numId w:val="24"/>
        </w:numPr>
      </w:pPr>
      <w:r w:rsidRPr="00555149">
        <w:t xml:space="preserve">the </w:t>
      </w:r>
      <w:r w:rsidR="001F48F7" w:rsidRPr="00555149">
        <w:t xml:space="preserve">overall objective/s to be </w:t>
      </w:r>
      <w:r w:rsidR="008630DC">
        <w:t>achieved in providing the grant</w:t>
      </w:r>
    </w:p>
    <w:p w14:paraId="1C919114" w14:textId="77777777" w:rsidR="00BE61F9" w:rsidRPr="00555149" w:rsidRDefault="00BE61F9" w:rsidP="001F48F7">
      <w:pPr>
        <w:pStyle w:val="ListParagraph"/>
        <w:numPr>
          <w:ilvl w:val="0"/>
          <w:numId w:val="24"/>
        </w:numPr>
      </w:pPr>
      <w:r w:rsidRPr="00555149">
        <w:t>the relative value of the grant sought</w:t>
      </w:r>
    </w:p>
    <w:p w14:paraId="17775B2C" w14:textId="77777777" w:rsidR="00555149" w:rsidRPr="00555149" w:rsidRDefault="00BE61F9" w:rsidP="00BE61F9">
      <w:pPr>
        <w:pStyle w:val="ListParagraph"/>
        <w:numPr>
          <w:ilvl w:val="0"/>
          <w:numId w:val="24"/>
        </w:numPr>
      </w:pPr>
      <w:r w:rsidRPr="00555149">
        <w:t xml:space="preserve">the extent to which the evidence in the application </w:t>
      </w:r>
      <w:r w:rsidR="001F48F7" w:rsidRPr="00555149">
        <w:rPr>
          <w:rFonts w:cstheme="minorHAnsi"/>
          <w:szCs w:val="22"/>
        </w:rPr>
        <w:t xml:space="preserve">demonstrates that it will contribute to </w:t>
      </w:r>
      <w:r w:rsidR="00555149" w:rsidRPr="00555149">
        <w:rPr>
          <w:rFonts w:cstheme="minorHAnsi"/>
          <w:szCs w:val="22"/>
        </w:rPr>
        <w:t>meeting the outcomes/objectives</w:t>
      </w:r>
    </w:p>
    <w:p w14:paraId="58F17595" w14:textId="77777777" w:rsidR="001F48F7" w:rsidRPr="00555149" w:rsidRDefault="00555149" w:rsidP="00BE61F9">
      <w:pPr>
        <w:pStyle w:val="ListParagraph"/>
        <w:numPr>
          <w:ilvl w:val="0"/>
          <w:numId w:val="24"/>
        </w:numPr>
      </w:pPr>
      <w:r w:rsidRPr="00555149">
        <w:rPr>
          <w:rFonts w:cstheme="minorHAnsi"/>
          <w:szCs w:val="22"/>
        </w:rPr>
        <w:t>how the grant activities will target groups or individuals</w:t>
      </w:r>
      <w:r w:rsidR="008630DC">
        <w:rPr>
          <w:rFonts w:cstheme="minorHAnsi"/>
          <w:szCs w:val="22"/>
        </w:rPr>
        <w:t>.</w:t>
      </w:r>
      <w:r w:rsidR="001F48F7" w:rsidRPr="00555149">
        <w:rPr>
          <w:rFonts w:cstheme="minorHAnsi"/>
          <w:szCs w:val="22"/>
        </w:rPr>
        <w:br/>
      </w:r>
    </w:p>
    <w:p w14:paraId="4238C3B9" w14:textId="77777777" w:rsidR="007E3C35" w:rsidRDefault="007E3C35" w:rsidP="007E3C35">
      <w:r w:rsidRPr="007E3C35">
        <w:t xml:space="preserve">The CGAC </w:t>
      </w:r>
      <w:r w:rsidR="003C2AF4">
        <w:t>was</w:t>
      </w:r>
      <w:r w:rsidRPr="007E3C35">
        <w:t xml:space="preserve"> chaired by the Repatriation Commissioner of the DVA and comprise</w:t>
      </w:r>
      <w:r w:rsidR="003C2AF4">
        <w:t>d</w:t>
      </w:r>
      <w:r w:rsidRPr="007E3C35">
        <w:t xml:space="preserve"> representatives from the Returned Services League of Australia, the Australian Local Government Association, the Australian War Memorial an</w:t>
      </w:r>
      <w:r w:rsidR="003C2AF4">
        <w:t>d policy staff within</w:t>
      </w:r>
      <w:r>
        <w:t xml:space="preserve"> DVA. </w:t>
      </w:r>
    </w:p>
    <w:p w14:paraId="16B96DF2" w14:textId="77777777" w:rsidR="007E3C35" w:rsidRDefault="007E3C35" w:rsidP="007E3C35"/>
    <w:p w14:paraId="62BB994E" w14:textId="77777777" w:rsidR="007E3C35" w:rsidRDefault="003C2AF4" w:rsidP="007E3C35">
      <w:r>
        <w:t>The CGAC mad</w:t>
      </w:r>
      <w:r w:rsidR="007E3C35" w:rsidRPr="007E3C35">
        <w:t>e funding recommendations to the Minis</w:t>
      </w:r>
      <w:r>
        <w:t>ter for Veterans’ Affairs, who was</w:t>
      </w:r>
      <w:r w:rsidR="007E3C35" w:rsidRPr="007E3C35">
        <w:t xml:space="preserve"> the final decision maker.</w:t>
      </w:r>
    </w:p>
    <w:p w14:paraId="51F52E9C" w14:textId="77777777" w:rsidR="00601EB6" w:rsidRPr="00EC6559" w:rsidRDefault="007E3C35" w:rsidP="00EC6559">
      <w:pPr>
        <w:pStyle w:val="Heading1"/>
      </w:pPr>
      <w:r>
        <w:t>G</w:t>
      </w:r>
      <w:r w:rsidR="0001493D">
        <w:t xml:space="preserve">eneral feedback </w:t>
      </w:r>
    </w:p>
    <w:p w14:paraId="4609F861" w14:textId="6BACB6B9" w:rsidR="008630DC" w:rsidRDefault="00132C32" w:rsidP="001F48F7">
      <w:pPr>
        <w:pStyle w:val="BodyText"/>
      </w:pPr>
      <w:r>
        <w:t>I</w:t>
      </w:r>
      <w:r w:rsidR="007E3C35">
        <w:t xml:space="preserve">n </w:t>
      </w:r>
      <w:r w:rsidR="00B67F73">
        <w:t>Batch 3</w:t>
      </w:r>
      <w:r w:rsidR="007E3C35">
        <w:t>,</w:t>
      </w:r>
      <w:r w:rsidR="004F5342">
        <w:t xml:space="preserve"> t</w:t>
      </w:r>
      <w:r w:rsidR="001F48F7">
        <w:t xml:space="preserve">he successful applicants proposed activities that were </w:t>
      </w:r>
      <w:r w:rsidR="001F48F7" w:rsidRPr="009E1703">
        <w:t xml:space="preserve">eligible, appropriate and considered effective for achieving the program objectives. Successful applicants demonstrated strong alignment to the aim of the grant to </w:t>
      </w:r>
      <w:r w:rsidR="009E1703" w:rsidRPr="009E1703">
        <w:t>acknowledge and commemorate those who served Australia and its allies in wars, conflicts and peace operations</w:t>
      </w:r>
      <w:r w:rsidR="008630DC">
        <w:t>.</w:t>
      </w:r>
    </w:p>
    <w:p w14:paraId="078A75B0" w14:textId="77777777" w:rsidR="008630DC" w:rsidRDefault="008630DC">
      <w:pPr>
        <w:spacing w:line="240" w:lineRule="auto"/>
      </w:pPr>
      <w:r>
        <w:br w:type="page"/>
      </w:r>
    </w:p>
    <w:p w14:paraId="65D1893F" w14:textId="77777777" w:rsidR="001F48F7" w:rsidRPr="009E1703" w:rsidRDefault="001F48F7" w:rsidP="001F48F7">
      <w:pPr>
        <w:pStyle w:val="BodyText"/>
      </w:pPr>
      <w:r w:rsidRPr="009E1703">
        <w:lastRenderedPageBreak/>
        <w:t>Applicants that were unsuccessful could have strengthened their application by ensuring their proposed project:</w:t>
      </w:r>
    </w:p>
    <w:p w14:paraId="328B2B73" w14:textId="77777777" w:rsidR="001F48F7" w:rsidRPr="009E1703" w:rsidRDefault="001F48F7" w:rsidP="009E1703">
      <w:pPr>
        <w:pStyle w:val="BodyText"/>
        <w:numPr>
          <w:ilvl w:val="0"/>
          <w:numId w:val="25"/>
        </w:numPr>
      </w:pPr>
      <w:r w:rsidRPr="009E1703">
        <w:t xml:space="preserve">meets the aim of the grant to </w:t>
      </w:r>
      <w:r w:rsidR="009E1703" w:rsidRPr="009E1703">
        <w:t xml:space="preserve">acknowledge and commemorate those who served Australia and its allies in wars, conflicts and peace operations </w:t>
      </w:r>
    </w:p>
    <w:p w14:paraId="200EB465" w14:textId="77777777" w:rsidR="001F48F7" w:rsidRPr="009E1703" w:rsidRDefault="001F48F7" w:rsidP="001F48F7">
      <w:pPr>
        <w:pStyle w:val="BodyText"/>
        <w:numPr>
          <w:ilvl w:val="0"/>
          <w:numId w:val="25"/>
        </w:numPr>
      </w:pPr>
      <w:r w:rsidRPr="009E1703">
        <w:t>is eligible (as per section 5 of the Grant Opportunity Guidelines)</w:t>
      </w:r>
    </w:p>
    <w:p w14:paraId="6F2B4375" w14:textId="77777777" w:rsidR="009E1703" w:rsidRPr="009E1703" w:rsidRDefault="009E1703" w:rsidP="001F48F7">
      <w:pPr>
        <w:pStyle w:val="BodyText"/>
        <w:numPr>
          <w:ilvl w:val="0"/>
          <w:numId w:val="25"/>
        </w:numPr>
      </w:pPr>
      <w:r w:rsidRPr="009E1703">
        <w:t>represents value with relevant money</w:t>
      </w:r>
    </w:p>
    <w:p w14:paraId="69C7C541" w14:textId="77777777" w:rsidR="001F48F7" w:rsidRDefault="009E1703" w:rsidP="001F48F7">
      <w:pPr>
        <w:pStyle w:val="BodyText"/>
        <w:numPr>
          <w:ilvl w:val="0"/>
          <w:numId w:val="25"/>
        </w:numPr>
      </w:pPr>
      <w:r w:rsidRPr="009E1703">
        <w:t>has sufficient detail in the</w:t>
      </w:r>
      <w:r>
        <w:t xml:space="preserve"> application to ascertain sco</w:t>
      </w:r>
      <w:r w:rsidR="002972BA">
        <w:t>pe and relevance of the project</w:t>
      </w:r>
      <w:r w:rsidR="00532393">
        <w:t>.</w:t>
      </w:r>
    </w:p>
    <w:p w14:paraId="2FE7423B" w14:textId="77777777" w:rsidR="009E1703" w:rsidRDefault="009E1703" w:rsidP="009E1703">
      <w:pPr>
        <w:pStyle w:val="BodyText"/>
      </w:pPr>
    </w:p>
    <w:p w14:paraId="55E48F53" w14:textId="77777777" w:rsidR="001F48F7" w:rsidRPr="001F48F7" w:rsidRDefault="001F48F7" w:rsidP="001F48F7">
      <w:pPr>
        <w:pStyle w:val="Heading1"/>
        <w:spacing w:before="0"/>
      </w:pPr>
      <w:r>
        <w:t>Guidance for future STS grant applications</w:t>
      </w:r>
    </w:p>
    <w:p w14:paraId="3C5B3E57" w14:textId="77777777" w:rsidR="001F48F7" w:rsidRDefault="001F48F7" w:rsidP="001F48F7">
      <w:pPr>
        <w:rPr>
          <w:rFonts w:eastAsia="Times New Roman" w:cstheme="minorHAnsi"/>
          <w:color w:val="auto"/>
          <w:szCs w:val="22"/>
          <w:lang w:eastAsia="en-AU"/>
        </w:rPr>
      </w:pPr>
      <w:r>
        <w:rPr>
          <w:rFonts w:eastAsia="Times New Roman" w:cstheme="minorHAnsi"/>
          <w:color w:val="auto"/>
          <w:szCs w:val="22"/>
          <w:lang w:eastAsia="en-AU"/>
        </w:rPr>
        <w:t>The following</w:t>
      </w:r>
      <w:r w:rsidRPr="0001493D">
        <w:rPr>
          <w:rFonts w:eastAsia="Times New Roman" w:cstheme="minorHAnsi"/>
          <w:color w:val="auto"/>
          <w:szCs w:val="22"/>
          <w:lang w:eastAsia="en-AU"/>
        </w:rPr>
        <w:t xml:space="preserve"> guidance</w:t>
      </w:r>
      <w:r>
        <w:rPr>
          <w:rFonts w:eastAsia="Times New Roman" w:cstheme="minorHAnsi"/>
          <w:color w:val="auto"/>
          <w:szCs w:val="22"/>
          <w:lang w:eastAsia="en-AU"/>
        </w:rPr>
        <w:t xml:space="preserve"> may assist applicants</w:t>
      </w:r>
      <w:r w:rsidRPr="0001493D">
        <w:rPr>
          <w:rFonts w:eastAsia="Times New Roman" w:cstheme="minorHAnsi"/>
          <w:color w:val="auto"/>
          <w:szCs w:val="22"/>
          <w:lang w:eastAsia="en-AU"/>
        </w:rPr>
        <w:t xml:space="preserve"> in completing applications for </w:t>
      </w:r>
      <w:r>
        <w:rPr>
          <w:rFonts w:eastAsia="Times New Roman" w:cstheme="minorHAnsi"/>
          <w:color w:val="auto"/>
          <w:szCs w:val="22"/>
          <w:lang w:eastAsia="en-AU"/>
        </w:rPr>
        <w:t>STS g</w:t>
      </w:r>
      <w:r w:rsidRPr="0001493D">
        <w:rPr>
          <w:rFonts w:eastAsia="Times New Roman" w:cstheme="minorHAnsi"/>
          <w:color w:val="auto"/>
          <w:szCs w:val="22"/>
          <w:lang w:eastAsia="en-AU"/>
        </w:rPr>
        <w:t>rant funding.</w:t>
      </w:r>
    </w:p>
    <w:p w14:paraId="13736B9F" w14:textId="77777777" w:rsidR="001F48F7" w:rsidRDefault="001F48F7" w:rsidP="001F48F7">
      <w:pPr>
        <w:pStyle w:val="Heading2"/>
      </w:pPr>
      <w:r>
        <w:t>Read the supporting information before applying</w:t>
      </w:r>
    </w:p>
    <w:p w14:paraId="4DF46856" w14:textId="77777777" w:rsidR="001F48F7" w:rsidRDefault="001F48F7" w:rsidP="001F48F7">
      <w:pPr>
        <w:pStyle w:val="BodyText"/>
        <w:numPr>
          <w:ilvl w:val="0"/>
          <w:numId w:val="11"/>
        </w:numPr>
      </w:pPr>
      <w:r>
        <w:t>It is important to read all available information provided about STS grants when applyi</w:t>
      </w:r>
      <w:r w:rsidR="00132C32">
        <w:t>ng for funding, especially the grant o</w:t>
      </w:r>
      <w:r>
        <w:t xml:space="preserve">pportunity documentation provided on the Hub’s </w:t>
      </w:r>
      <w:hyperlink r:id="rId9" w:history="1">
        <w:r w:rsidRPr="00653414">
          <w:rPr>
            <w:rStyle w:val="Hyperlink"/>
          </w:rPr>
          <w:t>website</w:t>
        </w:r>
      </w:hyperlink>
      <w:r>
        <w:t xml:space="preserve">. </w:t>
      </w:r>
    </w:p>
    <w:p w14:paraId="34538036" w14:textId="77777777" w:rsidR="001F48F7" w:rsidRDefault="00132C32" w:rsidP="001F48F7">
      <w:pPr>
        <w:pStyle w:val="BodyText"/>
        <w:numPr>
          <w:ilvl w:val="0"/>
          <w:numId w:val="11"/>
        </w:numPr>
      </w:pPr>
      <w:r>
        <w:t>The grant o</w:t>
      </w:r>
      <w:r w:rsidR="001F48F7">
        <w:t>pportunity documentation is specific to each STS round and contains important information about the purpose of the program, eligibility and compliance requirements, eligible items, timeframes and how to apply.</w:t>
      </w:r>
    </w:p>
    <w:p w14:paraId="026A70B6" w14:textId="77777777" w:rsidR="001F48F7" w:rsidRPr="001F48F7" w:rsidRDefault="00132C32" w:rsidP="001F48F7">
      <w:pPr>
        <w:numPr>
          <w:ilvl w:val="0"/>
          <w:numId w:val="9"/>
        </w:numPr>
        <w:spacing w:after="240" w:line="240" w:lineRule="auto"/>
        <w:ind w:left="714" w:hanging="357"/>
        <w:rPr>
          <w:rFonts w:eastAsia="Times New Roman" w:cstheme="minorHAnsi"/>
          <w:color w:val="auto"/>
          <w:szCs w:val="22"/>
          <w:lang w:eastAsia="en-AU"/>
        </w:rPr>
      </w:pPr>
      <w:r>
        <w:rPr>
          <w:szCs w:val="22"/>
        </w:rPr>
        <w:t>The application f</w:t>
      </w:r>
      <w:r w:rsidR="001F48F7" w:rsidRPr="00A030BA">
        <w:rPr>
          <w:szCs w:val="22"/>
        </w:rPr>
        <w:t>orm includes helpful information and details on questions relating to eligibility, priority for funding, and mandatory information required by the Hub</w:t>
      </w:r>
      <w:r w:rsidR="001F48F7">
        <w:rPr>
          <w:szCs w:val="22"/>
        </w:rPr>
        <w:t xml:space="preserve"> and DVA</w:t>
      </w:r>
      <w:r w:rsidR="001F48F7" w:rsidRPr="00A030BA">
        <w:rPr>
          <w:szCs w:val="22"/>
        </w:rPr>
        <w:t xml:space="preserve"> for the selection process. </w:t>
      </w:r>
    </w:p>
    <w:p w14:paraId="4872A878" w14:textId="77777777" w:rsidR="001F48F7" w:rsidRPr="009C0D83" w:rsidRDefault="001F48F7" w:rsidP="001F48F7">
      <w:pPr>
        <w:pStyle w:val="Heading2"/>
      </w:pPr>
      <w:r>
        <w:t xml:space="preserve">Eligibility and compliance </w:t>
      </w:r>
    </w:p>
    <w:p w14:paraId="71B5DFD5" w14:textId="77777777" w:rsidR="00197D4E" w:rsidRDefault="000A1FD1" w:rsidP="00197D4E">
      <w:pPr>
        <w:pStyle w:val="Bullets1"/>
        <w:ind w:left="567"/>
        <w:rPr>
          <w:color w:val="auto"/>
          <w:lang w:eastAsia="en-AU"/>
        </w:rPr>
      </w:pPr>
      <w:r w:rsidRPr="00AD6C0C">
        <w:rPr>
          <w:color w:val="auto"/>
          <w:lang w:eastAsia="en-AU"/>
        </w:rPr>
        <w:t xml:space="preserve">It is important to read the </w:t>
      </w:r>
      <w:r w:rsidR="00AD54EB" w:rsidRPr="00AD6C0C">
        <w:rPr>
          <w:color w:val="auto"/>
          <w:lang w:eastAsia="en-AU"/>
        </w:rPr>
        <w:t>G</w:t>
      </w:r>
      <w:r w:rsidR="00AD6C0C">
        <w:rPr>
          <w:color w:val="auto"/>
          <w:lang w:eastAsia="en-AU"/>
        </w:rPr>
        <w:t>rant Opportunity Guidelines (G</w:t>
      </w:r>
      <w:r w:rsidR="00AD54EB" w:rsidRPr="00AD6C0C">
        <w:rPr>
          <w:color w:val="auto"/>
          <w:lang w:eastAsia="en-AU"/>
        </w:rPr>
        <w:t>OG</w:t>
      </w:r>
      <w:r w:rsidR="00AD6C0C">
        <w:rPr>
          <w:color w:val="auto"/>
          <w:lang w:eastAsia="en-AU"/>
        </w:rPr>
        <w:t>)</w:t>
      </w:r>
      <w:r w:rsidRPr="00AD6C0C">
        <w:rPr>
          <w:color w:val="auto"/>
          <w:lang w:eastAsia="en-AU"/>
        </w:rPr>
        <w:t xml:space="preserve"> </w:t>
      </w:r>
      <w:r w:rsidR="00D5132D" w:rsidRPr="00AD6C0C">
        <w:rPr>
          <w:color w:val="auto"/>
          <w:lang w:eastAsia="en-AU"/>
        </w:rPr>
        <w:t xml:space="preserve">to understand eligibility requirements. </w:t>
      </w:r>
      <w:r w:rsidR="008C649C" w:rsidRPr="00AD6C0C">
        <w:rPr>
          <w:color w:val="auto"/>
          <w:lang w:eastAsia="en-AU"/>
        </w:rPr>
        <w:t>Grant funding</w:t>
      </w:r>
      <w:r w:rsidR="00A63F2D" w:rsidRPr="00AD6C0C">
        <w:rPr>
          <w:color w:val="auto"/>
          <w:lang w:eastAsia="en-AU"/>
        </w:rPr>
        <w:t xml:space="preserve"> is only available for eligible </w:t>
      </w:r>
      <w:r w:rsidR="009065DC" w:rsidRPr="00AD6C0C">
        <w:rPr>
          <w:color w:val="auto"/>
          <w:lang w:eastAsia="en-AU"/>
        </w:rPr>
        <w:t>projects/activities</w:t>
      </w:r>
      <w:r w:rsidR="008C649C" w:rsidRPr="00AD6C0C">
        <w:rPr>
          <w:color w:val="auto"/>
          <w:lang w:eastAsia="en-AU"/>
        </w:rPr>
        <w:t xml:space="preserve"> </w:t>
      </w:r>
      <w:r w:rsidR="00AD54EB" w:rsidRPr="00AD6C0C">
        <w:rPr>
          <w:color w:val="auto"/>
          <w:lang w:eastAsia="en-AU"/>
        </w:rPr>
        <w:t xml:space="preserve">as </w:t>
      </w:r>
      <w:r w:rsidR="008C649C" w:rsidRPr="00AD6C0C">
        <w:rPr>
          <w:color w:val="auto"/>
          <w:lang w:eastAsia="en-AU"/>
        </w:rPr>
        <w:t xml:space="preserve">outlined in the </w:t>
      </w:r>
      <w:r w:rsidR="00AD54EB" w:rsidRPr="00AD6C0C">
        <w:rPr>
          <w:color w:val="auto"/>
          <w:lang w:eastAsia="en-AU"/>
        </w:rPr>
        <w:t>GOG</w:t>
      </w:r>
      <w:r w:rsidR="008C649C" w:rsidRPr="00AD6C0C">
        <w:rPr>
          <w:color w:val="auto"/>
          <w:lang w:eastAsia="en-AU"/>
        </w:rPr>
        <w:t xml:space="preserve">. </w:t>
      </w:r>
    </w:p>
    <w:p w14:paraId="6958CFDC" w14:textId="77777777" w:rsidR="00AD6C0C" w:rsidRDefault="00AD6C0C" w:rsidP="00197D4E">
      <w:pPr>
        <w:pStyle w:val="Bullets1"/>
        <w:ind w:left="567"/>
        <w:rPr>
          <w:color w:val="auto"/>
          <w:lang w:eastAsia="en-AU"/>
        </w:rPr>
      </w:pPr>
      <w:r>
        <w:rPr>
          <w:color w:val="auto"/>
          <w:lang w:eastAsia="en-AU"/>
        </w:rPr>
        <w:t>To be eligible your grant activity must:</w:t>
      </w:r>
    </w:p>
    <w:p w14:paraId="0F2B10E7" w14:textId="77777777" w:rsidR="00AD6C0C" w:rsidRDefault="00AD6C0C" w:rsidP="00AD6C0C">
      <w:pPr>
        <w:pStyle w:val="Bullets2"/>
        <w:rPr>
          <w:lang w:eastAsia="en-AU"/>
        </w:rPr>
      </w:pPr>
      <w:r>
        <w:rPr>
          <w:lang w:eastAsia="en-AU"/>
        </w:rPr>
        <w:t xml:space="preserve">Be a local, </w:t>
      </w:r>
      <w:r w:rsidRPr="00AD6C0C">
        <w:rPr>
          <w:lang w:eastAsia="en-AU"/>
        </w:rPr>
        <w:t>community-based project or activity to a maximum of $</w:t>
      </w:r>
      <w:r w:rsidR="00780348">
        <w:rPr>
          <w:lang w:eastAsia="en-AU"/>
        </w:rPr>
        <w:t>10</w:t>
      </w:r>
      <w:r w:rsidRPr="00AD6C0C">
        <w:rPr>
          <w:lang w:eastAsia="en-AU"/>
        </w:rPr>
        <w:t>,000 that directly commemorates the involvement, service and sacrifice of Australia’s service personnel</w:t>
      </w:r>
    </w:p>
    <w:p w14:paraId="02342991" w14:textId="77777777" w:rsidR="002972BA" w:rsidRDefault="002972BA" w:rsidP="002972BA">
      <w:pPr>
        <w:pStyle w:val="Bullets2"/>
        <w:numPr>
          <w:ilvl w:val="0"/>
          <w:numId w:val="0"/>
        </w:numPr>
        <w:ind w:left="680"/>
        <w:rPr>
          <w:lang w:eastAsia="en-AU"/>
        </w:rPr>
      </w:pPr>
      <w:r>
        <w:rPr>
          <w:lang w:eastAsia="en-AU"/>
        </w:rPr>
        <w:t>OR</w:t>
      </w:r>
    </w:p>
    <w:p w14:paraId="262B4345" w14:textId="77777777" w:rsidR="00773FBB" w:rsidRDefault="00773FBB" w:rsidP="00773FBB">
      <w:pPr>
        <w:pStyle w:val="Bullets2"/>
        <w:rPr>
          <w:lang w:eastAsia="en-AU"/>
        </w:rPr>
      </w:pPr>
      <w:r>
        <w:rPr>
          <w:lang w:eastAsia="en-AU"/>
        </w:rPr>
        <w:t xml:space="preserve">Be a major project </w:t>
      </w:r>
      <w:r w:rsidRPr="00773FBB">
        <w:rPr>
          <w:lang w:eastAsia="en-AU"/>
        </w:rPr>
        <w:t>or activity</w:t>
      </w:r>
      <w:r w:rsidR="00780348">
        <w:rPr>
          <w:lang w:eastAsia="en-AU"/>
        </w:rPr>
        <w:t xml:space="preserve"> between $10,001 and $150,000</w:t>
      </w:r>
      <w:r w:rsidRPr="00773FBB">
        <w:rPr>
          <w:lang w:eastAsia="en-AU"/>
        </w:rPr>
        <w:t xml:space="preserve"> that is signi</w:t>
      </w:r>
      <w:r w:rsidR="00780348">
        <w:rPr>
          <w:lang w:eastAsia="en-AU"/>
        </w:rPr>
        <w:t>ficant from a national, state,</w:t>
      </w:r>
      <w:r w:rsidRPr="00773FBB">
        <w:rPr>
          <w:lang w:eastAsia="en-AU"/>
        </w:rPr>
        <w:t xml:space="preserve"> territory</w:t>
      </w:r>
      <w:r w:rsidR="00780348">
        <w:rPr>
          <w:lang w:eastAsia="en-AU"/>
        </w:rPr>
        <w:t xml:space="preserve"> or regional</w:t>
      </w:r>
      <w:r w:rsidRPr="00773FBB">
        <w:rPr>
          <w:lang w:eastAsia="en-AU"/>
        </w:rPr>
        <w:t xml:space="preserve"> perspective that will contribute to Australia’s understanding of its wartime heritage.</w:t>
      </w:r>
      <w:r>
        <w:rPr>
          <w:lang w:eastAsia="en-AU"/>
        </w:rPr>
        <w:t xml:space="preserve"> For a project to be considered significant, its focus should be wider than the local community and be available to a larger audience.</w:t>
      </w:r>
    </w:p>
    <w:p w14:paraId="64C06C42" w14:textId="77777777" w:rsidR="00AB34B3" w:rsidRPr="00AB34B3" w:rsidRDefault="00773FBB" w:rsidP="00AB34B3">
      <w:pPr>
        <w:pStyle w:val="Bullets1"/>
        <w:ind w:left="567"/>
        <w:rPr>
          <w:color w:val="auto"/>
          <w:lang w:eastAsia="en-AU"/>
        </w:rPr>
      </w:pPr>
      <w:r>
        <w:rPr>
          <w:color w:val="auto"/>
          <w:lang w:eastAsia="en-AU"/>
        </w:rPr>
        <w:t xml:space="preserve">You </w:t>
      </w:r>
      <w:r w:rsidRPr="00773FBB">
        <w:rPr>
          <w:color w:val="auto"/>
          <w:lang w:eastAsia="en-AU"/>
        </w:rPr>
        <w:t>can only spend grant funding on eligible grant activities, including</w:t>
      </w:r>
      <w:r>
        <w:rPr>
          <w:color w:val="auto"/>
          <w:lang w:eastAsia="en-AU"/>
        </w:rPr>
        <w:t>:</w:t>
      </w:r>
    </w:p>
    <w:p w14:paraId="450607AD" w14:textId="77777777" w:rsidR="00AB34B3" w:rsidRPr="00AB34B3" w:rsidRDefault="00AB34B3" w:rsidP="00AB34B3">
      <w:pPr>
        <w:pStyle w:val="Bullets2"/>
        <w:rPr>
          <w:lang w:eastAsia="en-AU"/>
        </w:rPr>
      </w:pPr>
      <w:r w:rsidRPr="00AB34B3">
        <w:rPr>
          <w:lang w:eastAsia="en-AU"/>
        </w:rPr>
        <w:t xml:space="preserve">Additions to, or restoration of, existing war or peace memorials, honour boards/rolls or plaques. </w:t>
      </w:r>
    </w:p>
    <w:p w14:paraId="136160AD" w14:textId="77777777" w:rsidR="00AB34B3" w:rsidRPr="00AB34B3" w:rsidRDefault="00AB34B3" w:rsidP="00AB34B3">
      <w:pPr>
        <w:pStyle w:val="Bullets2"/>
        <w:rPr>
          <w:lang w:eastAsia="en-AU"/>
        </w:rPr>
      </w:pPr>
      <w:r w:rsidRPr="00AB34B3">
        <w:rPr>
          <w:lang w:eastAsia="en-AU"/>
        </w:rPr>
        <w:lastRenderedPageBreak/>
        <w:t xml:space="preserve">Commemorative events for significant anniversaries of wars, conflicts or peace operations (a significant anniversary is defined as ending in a 5 or 0). </w:t>
      </w:r>
    </w:p>
    <w:p w14:paraId="19C684BF" w14:textId="77777777" w:rsidR="00AB34B3" w:rsidRPr="00AB34B3" w:rsidRDefault="00AB34B3" w:rsidP="00AB34B3">
      <w:pPr>
        <w:pStyle w:val="Bullets2"/>
        <w:rPr>
          <w:lang w:eastAsia="en-AU"/>
        </w:rPr>
      </w:pPr>
      <w:r w:rsidRPr="00AB34B3">
        <w:rPr>
          <w:lang w:eastAsia="en-AU"/>
        </w:rPr>
        <w:t xml:space="preserve">Construction of a new war or peace memorial, honour board/roll or plaque. </w:t>
      </w:r>
    </w:p>
    <w:p w14:paraId="6FDF5A31" w14:textId="77777777" w:rsidR="00AB34B3" w:rsidRPr="00AB34B3" w:rsidRDefault="00AB34B3" w:rsidP="00AB34B3">
      <w:pPr>
        <w:pStyle w:val="Bullets2"/>
        <w:rPr>
          <w:lang w:eastAsia="en-AU"/>
        </w:rPr>
      </w:pPr>
      <w:r w:rsidRPr="00AB34B3">
        <w:rPr>
          <w:lang w:eastAsia="en-AU"/>
        </w:rPr>
        <w:t xml:space="preserve">Digital content development (e.g. documentary, podcast, website or application). </w:t>
      </w:r>
    </w:p>
    <w:p w14:paraId="6693FC97" w14:textId="77777777" w:rsidR="00AB34B3" w:rsidRPr="00AB34B3" w:rsidRDefault="00AB34B3" w:rsidP="00AB34B3">
      <w:pPr>
        <w:pStyle w:val="Bullets2"/>
        <w:rPr>
          <w:lang w:eastAsia="en-AU"/>
        </w:rPr>
      </w:pPr>
      <w:r w:rsidRPr="00AB34B3">
        <w:rPr>
          <w:lang w:eastAsia="en-AU"/>
        </w:rPr>
        <w:t xml:space="preserve">Display and/or restoration of wartime memorabilia. </w:t>
      </w:r>
    </w:p>
    <w:p w14:paraId="564E112F" w14:textId="77777777" w:rsidR="00AB34B3" w:rsidRPr="00AB34B3" w:rsidRDefault="00AB34B3" w:rsidP="00AB34B3">
      <w:pPr>
        <w:pStyle w:val="Bullets2"/>
        <w:rPr>
          <w:lang w:eastAsia="en-AU"/>
        </w:rPr>
      </w:pPr>
      <w:r w:rsidRPr="00AB34B3">
        <w:rPr>
          <w:lang w:eastAsia="en-AU"/>
        </w:rPr>
        <w:t xml:space="preserve">Flagpole supply and/or installation – maximum of $2,000 per project. </w:t>
      </w:r>
    </w:p>
    <w:p w14:paraId="0BF61A3C" w14:textId="77777777" w:rsidR="00AB34B3" w:rsidRPr="00AB34B3" w:rsidRDefault="00AB34B3" w:rsidP="00AB34B3">
      <w:pPr>
        <w:pStyle w:val="Bullets2"/>
        <w:rPr>
          <w:lang w:eastAsia="en-AU"/>
        </w:rPr>
      </w:pPr>
      <w:r w:rsidRPr="00AB34B3">
        <w:rPr>
          <w:lang w:eastAsia="en-AU"/>
        </w:rPr>
        <w:t xml:space="preserve">Immersive and interactive experiences (e.g. memorial walks). </w:t>
      </w:r>
    </w:p>
    <w:p w14:paraId="7B592152" w14:textId="77777777" w:rsidR="00AB34B3" w:rsidRPr="00AB34B3" w:rsidRDefault="00AB34B3" w:rsidP="00AB34B3">
      <w:pPr>
        <w:pStyle w:val="Bullets2"/>
        <w:rPr>
          <w:lang w:eastAsia="en-AU"/>
        </w:rPr>
      </w:pPr>
      <w:r w:rsidRPr="00AB34B3">
        <w:rPr>
          <w:lang w:eastAsia="en-AU"/>
        </w:rPr>
        <w:t xml:space="preserve">Publications (e.g. unit histories, local wartime histories and letters from service personnel) where similar works have not previously been published. </w:t>
      </w:r>
    </w:p>
    <w:p w14:paraId="25604977" w14:textId="77777777" w:rsidR="00AB34B3" w:rsidRPr="00AB34B3" w:rsidRDefault="00AB34B3" w:rsidP="00AB34B3">
      <w:pPr>
        <w:pStyle w:val="Bullets2"/>
        <w:rPr>
          <w:lang w:eastAsia="en-AU"/>
        </w:rPr>
      </w:pPr>
      <w:r w:rsidRPr="00AB34B3">
        <w:rPr>
          <w:lang w:eastAsia="en-AU"/>
        </w:rPr>
        <w:t xml:space="preserve">Public awareness and/or cultural activities. </w:t>
      </w:r>
    </w:p>
    <w:p w14:paraId="79EF2BAD" w14:textId="77777777" w:rsidR="0082439D" w:rsidRPr="00773FBB" w:rsidRDefault="00AB34B3" w:rsidP="00AB34B3">
      <w:pPr>
        <w:pStyle w:val="Bullets2"/>
        <w:rPr>
          <w:lang w:eastAsia="en-AU"/>
        </w:rPr>
      </w:pPr>
      <w:r w:rsidRPr="00AB34B3">
        <w:rPr>
          <w:lang w:eastAsia="en-AU"/>
        </w:rPr>
        <w:t>School initiatives and/or educational activities – including memorial gardens (which must include a co</w:t>
      </w:r>
      <w:r>
        <w:rPr>
          <w:lang w:eastAsia="en-AU"/>
        </w:rPr>
        <w:t xml:space="preserve">mmemorative plaque or plinth). </w:t>
      </w:r>
    </w:p>
    <w:p w14:paraId="676B76B1" w14:textId="77777777" w:rsidR="00773FBB" w:rsidRDefault="00AB34B3" w:rsidP="00773FBB">
      <w:pPr>
        <w:pStyle w:val="Bullets2"/>
        <w:numPr>
          <w:ilvl w:val="0"/>
          <w:numId w:val="17"/>
        </w:numPr>
        <w:rPr>
          <w:color w:val="auto"/>
          <w:lang w:eastAsia="en-AU"/>
        </w:rPr>
      </w:pPr>
      <w:r>
        <w:rPr>
          <w:color w:val="auto"/>
          <w:lang w:eastAsia="en-AU"/>
        </w:rPr>
        <w:t>Projects/i</w:t>
      </w:r>
      <w:r w:rsidR="007F2D33">
        <w:rPr>
          <w:color w:val="auto"/>
          <w:lang w:eastAsia="en-AU"/>
        </w:rPr>
        <w:t>tems n</w:t>
      </w:r>
      <w:r w:rsidR="00DC75A8" w:rsidRPr="00773FBB">
        <w:rPr>
          <w:color w:val="auto"/>
          <w:lang w:eastAsia="en-AU"/>
        </w:rPr>
        <w:t>ot eligible</w:t>
      </w:r>
      <w:r w:rsidR="0082439D" w:rsidRPr="00773FBB">
        <w:rPr>
          <w:color w:val="auto"/>
          <w:lang w:eastAsia="en-AU"/>
        </w:rPr>
        <w:t xml:space="preserve"> for funding include:</w:t>
      </w:r>
    </w:p>
    <w:p w14:paraId="20B56568" w14:textId="77777777" w:rsidR="00AB34B3" w:rsidRPr="00AB34B3" w:rsidRDefault="00AB34B3" w:rsidP="00AB34B3">
      <w:pPr>
        <w:pStyle w:val="Bullets2"/>
        <w:ind w:left="720"/>
        <w:rPr>
          <w:color w:val="auto"/>
          <w:lang w:eastAsia="en-AU"/>
        </w:rPr>
      </w:pPr>
      <w:r w:rsidRPr="00AB34B3">
        <w:rPr>
          <w:color w:val="auto"/>
          <w:lang w:eastAsia="en-AU"/>
        </w:rPr>
        <w:t>Are commemorative events on national commemorative days, such as Anzac Day, Remembrance Day, Vietnam Veterans Day or National Service Day (except where the event relates to a significant anniversary which is defined as ending in a 5 or 0).</w:t>
      </w:r>
    </w:p>
    <w:p w14:paraId="69FFF8FB" w14:textId="77777777" w:rsidR="00AB34B3" w:rsidRPr="00AB34B3" w:rsidRDefault="00AB34B3" w:rsidP="00AB34B3">
      <w:pPr>
        <w:pStyle w:val="Bullets2"/>
        <w:ind w:left="720"/>
        <w:rPr>
          <w:color w:val="auto"/>
          <w:lang w:eastAsia="en-AU"/>
        </w:rPr>
      </w:pPr>
      <w:r w:rsidRPr="00AB34B3">
        <w:rPr>
          <w:color w:val="auto"/>
          <w:lang w:eastAsia="en-AU"/>
        </w:rPr>
        <w:t>Are exclusively for research</w:t>
      </w:r>
    </w:p>
    <w:p w14:paraId="1BFFA9D9" w14:textId="77777777" w:rsidR="00AB34B3" w:rsidRPr="00AB34B3" w:rsidRDefault="00AB34B3" w:rsidP="00AB34B3">
      <w:pPr>
        <w:pStyle w:val="Bullets2"/>
        <w:ind w:left="720"/>
        <w:rPr>
          <w:color w:val="auto"/>
          <w:lang w:eastAsia="en-AU"/>
        </w:rPr>
      </w:pPr>
      <w:r w:rsidRPr="00AB34B3">
        <w:rPr>
          <w:color w:val="auto"/>
          <w:lang w:eastAsia="en-AU"/>
        </w:rPr>
        <w:t>Are of a commercial nature or are for profit</w:t>
      </w:r>
    </w:p>
    <w:p w14:paraId="3A23BC8E" w14:textId="77777777" w:rsidR="00AB34B3" w:rsidRPr="00AB34B3" w:rsidRDefault="00AB34B3" w:rsidP="00AB34B3">
      <w:pPr>
        <w:pStyle w:val="Bullets2"/>
        <w:ind w:left="720"/>
        <w:rPr>
          <w:color w:val="auto"/>
          <w:lang w:eastAsia="en-AU"/>
        </w:rPr>
      </w:pPr>
      <w:r w:rsidRPr="00AB34B3">
        <w:rPr>
          <w:color w:val="auto"/>
          <w:lang w:eastAsia="en-AU"/>
        </w:rPr>
        <w:t>Are sporting events</w:t>
      </w:r>
    </w:p>
    <w:p w14:paraId="08055B72" w14:textId="77777777" w:rsidR="00AB34B3" w:rsidRPr="00AB34B3" w:rsidRDefault="00AB34B3" w:rsidP="00AB34B3">
      <w:pPr>
        <w:pStyle w:val="Bullets2"/>
        <w:ind w:left="720"/>
        <w:rPr>
          <w:color w:val="auto"/>
          <w:lang w:eastAsia="en-AU"/>
        </w:rPr>
      </w:pPr>
      <w:r w:rsidRPr="00AB34B3">
        <w:rPr>
          <w:color w:val="auto"/>
          <w:lang w:eastAsia="en-AU"/>
        </w:rPr>
        <w:t>Are undertaken outside of Australia</w:t>
      </w:r>
    </w:p>
    <w:p w14:paraId="5091DF4F" w14:textId="77777777" w:rsidR="00AB34B3" w:rsidRPr="00AB34B3" w:rsidRDefault="00AB34B3" w:rsidP="00AB34B3">
      <w:pPr>
        <w:pStyle w:val="Bullets2"/>
        <w:ind w:left="720"/>
        <w:rPr>
          <w:color w:val="auto"/>
          <w:lang w:eastAsia="en-AU"/>
        </w:rPr>
      </w:pPr>
      <w:r w:rsidRPr="00AB34B3">
        <w:rPr>
          <w:color w:val="auto"/>
          <w:lang w:eastAsia="en-AU"/>
        </w:rPr>
        <w:t>Commemorate individuals</w:t>
      </w:r>
    </w:p>
    <w:p w14:paraId="0730AAB3" w14:textId="77777777" w:rsidR="00AB34B3" w:rsidRPr="00AB34B3" w:rsidRDefault="00AB34B3" w:rsidP="00AB34B3">
      <w:pPr>
        <w:pStyle w:val="Bullets2"/>
        <w:ind w:left="720"/>
        <w:rPr>
          <w:color w:val="auto"/>
          <w:lang w:eastAsia="en-AU"/>
        </w:rPr>
      </w:pPr>
      <w:r w:rsidRPr="00AB34B3">
        <w:rPr>
          <w:color w:val="auto"/>
          <w:lang w:eastAsia="en-AU"/>
        </w:rPr>
        <w:t>Commemorate training, enlistment or graduation of Australian service personnel</w:t>
      </w:r>
    </w:p>
    <w:p w14:paraId="71115610" w14:textId="77777777" w:rsidR="00AB34B3" w:rsidRPr="00AB34B3" w:rsidRDefault="00AB34B3" w:rsidP="00AB34B3">
      <w:pPr>
        <w:pStyle w:val="Bullets2"/>
        <w:ind w:left="720"/>
        <w:rPr>
          <w:color w:val="auto"/>
          <w:lang w:eastAsia="en-AU"/>
        </w:rPr>
      </w:pPr>
      <w:r w:rsidRPr="00AB34B3">
        <w:rPr>
          <w:color w:val="auto"/>
          <w:lang w:eastAsia="en-AU"/>
        </w:rPr>
        <w:t>Commemorate the formation, anniversary or membership of associations or ex-service organisations</w:t>
      </w:r>
    </w:p>
    <w:p w14:paraId="411F9721" w14:textId="77777777" w:rsidR="00AB34B3" w:rsidRPr="00AB34B3" w:rsidRDefault="00AB34B3" w:rsidP="00AB34B3">
      <w:pPr>
        <w:pStyle w:val="Bullets2"/>
        <w:ind w:left="720"/>
        <w:rPr>
          <w:color w:val="auto"/>
          <w:lang w:eastAsia="en-AU"/>
        </w:rPr>
      </w:pPr>
      <w:r w:rsidRPr="00AB34B3">
        <w:rPr>
          <w:color w:val="auto"/>
          <w:lang w:eastAsia="en-AU"/>
        </w:rPr>
        <w:t>Commemorate the post war deaths of service personnel</w:t>
      </w:r>
    </w:p>
    <w:p w14:paraId="73F59571" w14:textId="77777777" w:rsidR="00AB34B3" w:rsidRDefault="00AB34B3" w:rsidP="00AB34B3">
      <w:pPr>
        <w:pStyle w:val="Bullets2"/>
        <w:ind w:left="720"/>
        <w:rPr>
          <w:color w:val="auto"/>
          <w:lang w:eastAsia="en-AU"/>
        </w:rPr>
      </w:pPr>
      <w:r w:rsidRPr="00AB34B3">
        <w:rPr>
          <w:color w:val="auto"/>
          <w:lang w:eastAsia="en-AU"/>
        </w:rPr>
        <w:t>Exclusively commemora</w:t>
      </w:r>
      <w:r>
        <w:rPr>
          <w:color w:val="auto"/>
          <w:lang w:eastAsia="en-AU"/>
        </w:rPr>
        <w:t>te animals</w:t>
      </w:r>
    </w:p>
    <w:p w14:paraId="2F7302B1" w14:textId="77777777" w:rsidR="00AB34B3" w:rsidRDefault="00AB34B3" w:rsidP="00AB34B3">
      <w:pPr>
        <w:pStyle w:val="Bullets2"/>
        <w:ind w:left="720"/>
        <w:rPr>
          <w:color w:val="auto"/>
          <w:lang w:eastAsia="en-AU"/>
        </w:rPr>
      </w:pPr>
      <w:r w:rsidRPr="00AB34B3">
        <w:rPr>
          <w:color w:val="auto"/>
          <w:lang w:eastAsia="en-AU"/>
        </w:rPr>
        <w:t>Capital expendi</w:t>
      </w:r>
      <w:r>
        <w:rPr>
          <w:color w:val="auto"/>
          <w:lang w:eastAsia="en-AU"/>
        </w:rPr>
        <w:t>ture for the purchase of assets</w:t>
      </w:r>
    </w:p>
    <w:p w14:paraId="6A3B16D7" w14:textId="77777777" w:rsidR="00AB34B3" w:rsidRDefault="00AB34B3" w:rsidP="00AB34B3">
      <w:pPr>
        <w:pStyle w:val="Bullets2"/>
        <w:ind w:left="720"/>
        <w:rPr>
          <w:color w:val="auto"/>
          <w:lang w:eastAsia="en-AU"/>
        </w:rPr>
      </w:pPr>
      <w:r w:rsidRPr="00AB34B3">
        <w:rPr>
          <w:color w:val="auto"/>
          <w:lang w:eastAsia="en-AU"/>
        </w:rPr>
        <w:t xml:space="preserve">Approval costs related to the project </w:t>
      </w:r>
    </w:p>
    <w:p w14:paraId="77E82E70" w14:textId="77777777" w:rsidR="00AB34B3" w:rsidRDefault="00AB34B3" w:rsidP="00AB34B3">
      <w:pPr>
        <w:pStyle w:val="Bullets2"/>
        <w:ind w:left="720"/>
        <w:rPr>
          <w:color w:val="auto"/>
          <w:lang w:eastAsia="en-AU"/>
        </w:rPr>
      </w:pPr>
      <w:r>
        <w:rPr>
          <w:color w:val="auto"/>
          <w:lang w:eastAsia="en-AU"/>
        </w:rPr>
        <w:t>Catering and refreshments</w:t>
      </w:r>
    </w:p>
    <w:p w14:paraId="214A73F4" w14:textId="77777777" w:rsidR="00AB34B3" w:rsidRDefault="00AB34B3" w:rsidP="00AB34B3">
      <w:pPr>
        <w:pStyle w:val="Bullets2"/>
        <w:ind w:left="720"/>
        <w:rPr>
          <w:color w:val="auto"/>
          <w:lang w:eastAsia="en-AU"/>
        </w:rPr>
      </w:pPr>
      <w:r w:rsidRPr="00AB34B3">
        <w:rPr>
          <w:color w:val="auto"/>
          <w:lang w:eastAsia="en-AU"/>
        </w:rPr>
        <w:t>Contingencies or miscellaneous costs</w:t>
      </w:r>
    </w:p>
    <w:p w14:paraId="404F1575" w14:textId="77777777" w:rsidR="00AB34B3" w:rsidRDefault="00AB34B3" w:rsidP="00AB34B3">
      <w:pPr>
        <w:pStyle w:val="Bullets2"/>
        <w:ind w:left="720"/>
        <w:rPr>
          <w:color w:val="auto"/>
          <w:lang w:eastAsia="en-AU"/>
        </w:rPr>
      </w:pPr>
      <w:r>
        <w:rPr>
          <w:color w:val="auto"/>
          <w:lang w:eastAsia="en-AU"/>
        </w:rPr>
        <w:t>Construction of or fit out, alterations and/or extensions to premises that are not considered commemorative</w:t>
      </w:r>
    </w:p>
    <w:p w14:paraId="34F6FDB9" w14:textId="77777777" w:rsidR="00AB34B3" w:rsidRDefault="00AB34B3" w:rsidP="00AB34B3">
      <w:pPr>
        <w:pStyle w:val="Bullets2"/>
        <w:ind w:left="720"/>
        <w:rPr>
          <w:color w:val="auto"/>
          <w:lang w:eastAsia="en-AU"/>
        </w:rPr>
      </w:pPr>
      <w:r w:rsidRPr="00AB34B3">
        <w:rPr>
          <w:color w:val="auto"/>
          <w:lang w:eastAsia="en-AU"/>
        </w:rPr>
        <w:t>Costs incurred in the preparation of a grant appli</w:t>
      </w:r>
      <w:r>
        <w:rPr>
          <w:color w:val="auto"/>
          <w:lang w:eastAsia="en-AU"/>
        </w:rPr>
        <w:t>cation or related documentation</w:t>
      </w:r>
    </w:p>
    <w:p w14:paraId="02708258" w14:textId="77777777" w:rsidR="00AB34B3" w:rsidRDefault="00AB34B3" w:rsidP="00AB34B3">
      <w:pPr>
        <w:pStyle w:val="Bullets2"/>
        <w:ind w:left="720"/>
        <w:rPr>
          <w:color w:val="auto"/>
          <w:lang w:eastAsia="en-AU"/>
        </w:rPr>
      </w:pPr>
      <w:r w:rsidRPr="00AB34B3">
        <w:rPr>
          <w:color w:val="auto"/>
          <w:lang w:eastAsia="en-AU"/>
        </w:rPr>
        <w:t>Educational materials where DVA already provide</w:t>
      </w:r>
      <w:r>
        <w:rPr>
          <w:color w:val="auto"/>
          <w:lang w:eastAsia="en-AU"/>
        </w:rPr>
        <w:t>s similar resources for schools</w:t>
      </w:r>
    </w:p>
    <w:p w14:paraId="31451F2B" w14:textId="77777777" w:rsidR="00AB34B3" w:rsidRDefault="00AB34B3" w:rsidP="00AB34B3">
      <w:pPr>
        <w:pStyle w:val="Bullets2"/>
        <w:ind w:left="720"/>
        <w:rPr>
          <w:color w:val="auto"/>
          <w:lang w:eastAsia="en-AU"/>
        </w:rPr>
      </w:pPr>
      <w:r w:rsidRPr="00AB34B3">
        <w:rPr>
          <w:color w:val="auto"/>
          <w:lang w:eastAsia="en-AU"/>
        </w:rPr>
        <w:lastRenderedPageBreak/>
        <w:t>Eligible ite</w:t>
      </w:r>
      <w:r>
        <w:rPr>
          <w:color w:val="auto"/>
          <w:lang w:eastAsia="en-AU"/>
        </w:rPr>
        <w:t>ms already purchased or ordered</w:t>
      </w:r>
    </w:p>
    <w:p w14:paraId="43C98D1D" w14:textId="77777777" w:rsidR="00AB34B3" w:rsidRDefault="00AB34B3" w:rsidP="00AB34B3">
      <w:pPr>
        <w:pStyle w:val="Bullets2"/>
        <w:ind w:left="720"/>
        <w:rPr>
          <w:color w:val="auto"/>
          <w:lang w:eastAsia="en-AU"/>
        </w:rPr>
      </w:pPr>
      <w:r w:rsidRPr="00AB34B3">
        <w:rPr>
          <w:color w:val="auto"/>
          <w:lang w:eastAsia="en-AU"/>
        </w:rPr>
        <w:t>Entertainmen</w:t>
      </w:r>
      <w:r>
        <w:rPr>
          <w:color w:val="auto"/>
          <w:lang w:eastAsia="en-AU"/>
        </w:rPr>
        <w:t>t not of a commemorative nature</w:t>
      </w:r>
    </w:p>
    <w:p w14:paraId="26376FDF" w14:textId="77777777" w:rsidR="00AB34B3" w:rsidRDefault="00AB34B3" w:rsidP="00AB34B3">
      <w:pPr>
        <w:pStyle w:val="Bullets2"/>
        <w:ind w:left="720"/>
        <w:rPr>
          <w:color w:val="auto"/>
          <w:lang w:eastAsia="en-AU"/>
        </w:rPr>
      </w:pPr>
      <w:r w:rsidRPr="00AB34B3">
        <w:rPr>
          <w:color w:val="auto"/>
          <w:lang w:eastAsia="en-AU"/>
        </w:rPr>
        <w:t>Fireworks</w:t>
      </w:r>
    </w:p>
    <w:p w14:paraId="37CB8BCA" w14:textId="77777777" w:rsidR="00AB34B3" w:rsidRDefault="00AB34B3" w:rsidP="00AB34B3">
      <w:pPr>
        <w:pStyle w:val="Bullets2"/>
        <w:ind w:left="720"/>
        <w:rPr>
          <w:color w:val="auto"/>
          <w:lang w:eastAsia="en-AU"/>
        </w:rPr>
      </w:pPr>
      <w:r w:rsidRPr="00AB34B3">
        <w:rPr>
          <w:color w:val="auto"/>
          <w:lang w:eastAsia="en-AU"/>
        </w:rPr>
        <w:t>General ongoing administration costs of an organisation (e.g. electri</w:t>
      </w:r>
      <w:r>
        <w:rPr>
          <w:color w:val="auto"/>
          <w:lang w:eastAsia="en-AU"/>
        </w:rPr>
        <w:t>city, phone and rent)</w:t>
      </w:r>
    </w:p>
    <w:p w14:paraId="16BE8CB1" w14:textId="77777777" w:rsidR="00AB34B3" w:rsidRDefault="00AB34B3" w:rsidP="00AB34B3">
      <w:pPr>
        <w:pStyle w:val="Bullets2"/>
        <w:ind w:left="720"/>
        <w:rPr>
          <w:color w:val="auto"/>
          <w:lang w:eastAsia="en-AU"/>
        </w:rPr>
      </w:pPr>
      <w:r w:rsidRPr="00AB34B3">
        <w:rPr>
          <w:color w:val="auto"/>
          <w:lang w:eastAsia="en-AU"/>
        </w:rPr>
        <w:t>Ongoing expenditure (e.g. website</w:t>
      </w:r>
      <w:r>
        <w:rPr>
          <w:color w:val="auto"/>
          <w:lang w:eastAsia="en-AU"/>
        </w:rPr>
        <w:t xml:space="preserve"> hosting, memorial maintenance)</w:t>
      </w:r>
    </w:p>
    <w:p w14:paraId="272820A5" w14:textId="77777777" w:rsidR="00AB34B3" w:rsidRDefault="00AB34B3" w:rsidP="00AB34B3">
      <w:pPr>
        <w:pStyle w:val="Bullets2"/>
        <w:ind w:left="720"/>
        <w:rPr>
          <w:color w:val="auto"/>
          <w:lang w:eastAsia="en-AU"/>
        </w:rPr>
      </w:pPr>
      <w:r w:rsidRPr="00AB34B3">
        <w:rPr>
          <w:color w:val="auto"/>
          <w:lang w:eastAsia="en-AU"/>
        </w:rPr>
        <w:t>Purchase of m</w:t>
      </w:r>
      <w:r>
        <w:rPr>
          <w:color w:val="auto"/>
          <w:lang w:eastAsia="en-AU"/>
        </w:rPr>
        <w:t>emorabilia or military hardware</w:t>
      </w:r>
    </w:p>
    <w:p w14:paraId="49791236" w14:textId="55BF61CF" w:rsidR="00AB34B3" w:rsidRPr="00AB34B3" w:rsidRDefault="00AB34B3" w:rsidP="00AB34B3">
      <w:pPr>
        <w:pStyle w:val="Bullets2"/>
        <w:ind w:left="720"/>
        <w:rPr>
          <w:color w:val="auto"/>
          <w:lang w:eastAsia="en-AU"/>
        </w:rPr>
      </w:pPr>
      <w:r w:rsidRPr="00AB34B3">
        <w:rPr>
          <w:color w:val="auto"/>
          <w:lang w:eastAsia="en-AU"/>
        </w:rPr>
        <w:t xml:space="preserve">Salaries/wages </w:t>
      </w:r>
    </w:p>
    <w:p w14:paraId="44BC8B44" w14:textId="77777777" w:rsidR="00532393" w:rsidRPr="00773FBB" w:rsidRDefault="00532393" w:rsidP="00532393">
      <w:pPr>
        <w:pStyle w:val="Bullets1"/>
        <w:numPr>
          <w:ilvl w:val="0"/>
          <w:numId w:val="0"/>
        </w:numPr>
        <w:rPr>
          <w:lang w:eastAsia="en-AU"/>
        </w:rPr>
      </w:pPr>
      <w:r w:rsidRPr="00E12227">
        <w:rPr>
          <w:lang w:eastAsia="en-AU"/>
        </w:rPr>
        <w:t>These are not definitive lists of eligib</w:t>
      </w:r>
      <w:r w:rsidR="00E12227" w:rsidRPr="00E12227">
        <w:rPr>
          <w:lang w:eastAsia="en-AU"/>
        </w:rPr>
        <w:t>le and not eligible expenditure. Not all expenditure on your project may be eligible for grant funding. The program delegate makes the final decision on what is eligible expenditure and may give additional guidance on eligible expenditure if required.</w:t>
      </w:r>
    </w:p>
    <w:sectPr w:rsidR="00532393" w:rsidRPr="00773FBB" w:rsidSect="00D5132D">
      <w:headerReference w:type="default" r:id="rId10"/>
      <w:footerReference w:type="default" r:id="rId11"/>
      <w:headerReference w:type="first" r:id="rId12"/>
      <w:footerReference w:type="first" r:id="rId13"/>
      <w:pgSz w:w="11906" w:h="16838" w:code="9"/>
      <w:pgMar w:top="2127"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08BE5" w14:textId="77777777" w:rsidR="0081327B" w:rsidRDefault="0081327B" w:rsidP="00772718">
      <w:pPr>
        <w:spacing w:line="240" w:lineRule="auto"/>
      </w:pPr>
      <w:r>
        <w:separator/>
      </w:r>
    </w:p>
  </w:endnote>
  <w:endnote w:type="continuationSeparator" w:id="0">
    <w:p w14:paraId="233E6B4F" w14:textId="77777777" w:rsidR="0081327B" w:rsidRDefault="0081327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F6E0" w14:textId="0EE17083" w:rsidR="00A14495" w:rsidRDefault="00E13525">
    <w:pPr>
      <w:pStyle w:val="Footer"/>
    </w:pPr>
    <w:r>
      <w:fldChar w:fldCharType="begin"/>
    </w:r>
    <w:r>
      <w:instrText xml:space="preserve"> PAGE   \* MERGEFORMAT </w:instrText>
    </w:r>
    <w:r>
      <w:fldChar w:fldCharType="separate"/>
    </w:r>
    <w:r w:rsidR="000F7C21">
      <w:rPr>
        <w:noProof/>
      </w:rPr>
      <w:t>5</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2E9850B7" wp14:editId="245D4ED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B0CF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D477" w14:textId="031C8270" w:rsidR="00D91B18" w:rsidRDefault="00D91B18">
    <w:pPr>
      <w:pStyle w:val="Footer"/>
    </w:pPr>
    <w:r>
      <w:fldChar w:fldCharType="begin"/>
    </w:r>
    <w:r>
      <w:instrText xml:space="preserve"> PAGE   \* MERGEFORMAT </w:instrText>
    </w:r>
    <w:r>
      <w:fldChar w:fldCharType="separate"/>
    </w:r>
    <w:r w:rsidR="000F7C21">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645E" w14:textId="77777777" w:rsidR="0081327B" w:rsidRDefault="0081327B" w:rsidP="00772718">
      <w:pPr>
        <w:spacing w:line="240" w:lineRule="auto"/>
      </w:pPr>
      <w:r>
        <w:separator/>
      </w:r>
    </w:p>
  </w:footnote>
  <w:footnote w:type="continuationSeparator" w:id="0">
    <w:p w14:paraId="230BDCC9" w14:textId="77777777" w:rsidR="0081327B" w:rsidRDefault="0081327B" w:rsidP="00772718">
      <w:pPr>
        <w:spacing w:line="240" w:lineRule="auto"/>
      </w:pPr>
      <w:r>
        <w:continuationSeparator/>
      </w:r>
    </w:p>
  </w:footnote>
  <w:footnote w:id="1">
    <w:p w14:paraId="48F2F446" w14:textId="77777777" w:rsidR="001F48F7" w:rsidRPr="00E100D0" w:rsidRDefault="001F48F7" w:rsidP="001F48F7">
      <w:pPr>
        <w:pStyle w:val="FootnoteText"/>
      </w:pPr>
      <w:r>
        <w:rPr>
          <w:rStyle w:val="FootnoteReference"/>
        </w:rPr>
        <w:t>1</w:t>
      </w:r>
      <w:r w:rsidRPr="0078577C">
        <w:t xml:space="preserve"> </w:t>
      </w:r>
      <w:r w:rsidRPr="0015676D">
        <w:t>‘value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E240" w14:textId="77777777" w:rsidR="00A14495" w:rsidRDefault="00244B48">
    <w:pPr>
      <w:pStyle w:val="Header"/>
    </w:pPr>
    <w:r>
      <w:rPr>
        <w:noProof/>
        <w:lang w:eastAsia="en-AU"/>
      </w:rPr>
      <w:drawing>
        <wp:anchor distT="0" distB="0" distL="114300" distR="114300" simplePos="0" relativeHeight="251663360" behindDoc="0" locked="1" layoutInCell="1" allowOverlap="1" wp14:anchorId="2F4B2906" wp14:editId="71719CC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AA1D" w14:textId="77777777" w:rsidR="00D91B18" w:rsidRDefault="0016612C">
    <w:pPr>
      <w:pStyle w:val="Header"/>
    </w:pPr>
    <w:r>
      <w:rPr>
        <w:noProof/>
        <w:lang w:eastAsia="en-AU"/>
      </w:rPr>
      <w:drawing>
        <wp:anchor distT="0" distB="0" distL="114300" distR="114300" simplePos="0" relativeHeight="251673600" behindDoc="0" locked="1" layoutInCell="1" allowOverlap="1" wp14:anchorId="2AA5E665" wp14:editId="39848031">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B36A6ED" wp14:editId="6AAEA4B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263D9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E3490"/>
    <w:multiLevelType w:val="hybridMultilevel"/>
    <w:tmpl w:val="51A0E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258E5"/>
    <w:multiLevelType w:val="hybridMultilevel"/>
    <w:tmpl w:val="F4F4BE76"/>
    <w:lvl w:ilvl="0" w:tplc="9EEC60F2">
      <w:start w:val="1"/>
      <w:numFmt w:val="decimal"/>
      <w:lvlText w:val="%1."/>
      <w:lvlJc w:val="left"/>
      <w:pPr>
        <w:ind w:left="1515" w:hanging="43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044DE"/>
    <w:multiLevelType w:val="hybridMultilevel"/>
    <w:tmpl w:val="6CF0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329A7"/>
    <w:multiLevelType w:val="hybridMultilevel"/>
    <w:tmpl w:val="55F62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C44E2"/>
    <w:multiLevelType w:val="hybridMultilevel"/>
    <w:tmpl w:val="CCFA2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145235C"/>
    <w:multiLevelType w:val="hybridMultilevel"/>
    <w:tmpl w:val="6382EB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5DE0D09"/>
    <w:multiLevelType w:val="hybridMultilevel"/>
    <w:tmpl w:val="705E361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B857791"/>
    <w:multiLevelType w:val="hybridMultilevel"/>
    <w:tmpl w:val="805E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2D24EA"/>
    <w:multiLevelType w:val="hybridMultilevel"/>
    <w:tmpl w:val="C21E6D78"/>
    <w:lvl w:ilvl="0" w:tplc="0C090001">
      <w:start w:val="1"/>
      <w:numFmt w:val="bullet"/>
      <w:lvlText w:val=""/>
      <w:lvlJc w:val="left"/>
      <w:pPr>
        <w:ind w:left="1515" w:hanging="435"/>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755E75D5"/>
    <w:multiLevelType w:val="hybridMultilevel"/>
    <w:tmpl w:val="587E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16"/>
  </w:num>
  <w:num w:numId="5">
    <w:abstractNumId w:val="13"/>
  </w:num>
  <w:num w:numId="6">
    <w:abstractNumId w:val="1"/>
  </w:num>
  <w:num w:numId="7">
    <w:abstractNumId w:val="4"/>
  </w:num>
  <w:num w:numId="8">
    <w:abstractNumId w:val="6"/>
  </w:num>
  <w:num w:numId="9">
    <w:abstractNumId w:val="8"/>
  </w:num>
  <w:num w:numId="10">
    <w:abstractNumId w:val="14"/>
  </w:num>
  <w:num w:numId="11">
    <w:abstractNumId w:val="9"/>
  </w:num>
  <w:num w:numId="12">
    <w:abstractNumId w:val="10"/>
  </w:num>
  <w:num w:numId="13">
    <w:abstractNumId w:val="24"/>
  </w:num>
  <w:num w:numId="14">
    <w:abstractNumId w:val="23"/>
  </w:num>
  <w:num w:numId="15">
    <w:abstractNumId w:val="12"/>
  </w:num>
  <w:num w:numId="16">
    <w:abstractNumId w:val="22"/>
  </w:num>
  <w:num w:numId="17">
    <w:abstractNumId w:val="7"/>
  </w:num>
  <w:num w:numId="18">
    <w:abstractNumId w:val="15"/>
  </w:num>
  <w:num w:numId="19">
    <w:abstractNumId w:val="21"/>
  </w:num>
  <w:num w:numId="20">
    <w:abstractNumId w:val="17"/>
  </w:num>
  <w:num w:numId="21">
    <w:abstractNumId w:val="3"/>
  </w:num>
  <w:num w:numId="22">
    <w:abstractNumId w:val="20"/>
  </w:num>
  <w:num w:numId="23">
    <w:abstractNumId w:val="7"/>
  </w:num>
  <w:num w:numId="24">
    <w:abstractNumId w:val="19"/>
  </w:num>
  <w:num w:numId="25">
    <w:abstractNumId w:val="2"/>
  </w:num>
  <w:num w:numId="26">
    <w:abstractNumId w:val="11"/>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7DE9"/>
    <w:rsid w:val="0001493D"/>
    <w:rsid w:val="00015AE4"/>
    <w:rsid w:val="0003018E"/>
    <w:rsid w:val="00033BC3"/>
    <w:rsid w:val="00033F02"/>
    <w:rsid w:val="00034C08"/>
    <w:rsid w:val="0004161C"/>
    <w:rsid w:val="00044E09"/>
    <w:rsid w:val="00046F04"/>
    <w:rsid w:val="0004784D"/>
    <w:rsid w:val="00053A00"/>
    <w:rsid w:val="00071318"/>
    <w:rsid w:val="00075A81"/>
    <w:rsid w:val="00093DBF"/>
    <w:rsid w:val="000A1FD1"/>
    <w:rsid w:val="000B0CF9"/>
    <w:rsid w:val="000B3087"/>
    <w:rsid w:val="000B6C00"/>
    <w:rsid w:val="000C1F06"/>
    <w:rsid w:val="000E1F46"/>
    <w:rsid w:val="000E3AF6"/>
    <w:rsid w:val="000F1DD1"/>
    <w:rsid w:val="000F28B8"/>
    <w:rsid w:val="000F3766"/>
    <w:rsid w:val="000F7C21"/>
    <w:rsid w:val="00106FC4"/>
    <w:rsid w:val="001115F5"/>
    <w:rsid w:val="00111F0C"/>
    <w:rsid w:val="00123148"/>
    <w:rsid w:val="001262AD"/>
    <w:rsid w:val="00132C32"/>
    <w:rsid w:val="001410D2"/>
    <w:rsid w:val="00145E2D"/>
    <w:rsid w:val="00152D05"/>
    <w:rsid w:val="0016612C"/>
    <w:rsid w:val="001763D4"/>
    <w:rsid w:val="00181433"/>
    <w:rsid w:val="001834DD"/>
    <w:rsid w:val="00191564"/>
    <w:rsid w:val="00197D4E"/>
    <w:rsid w:val="001A5E9A"/>
    <w:rsid w:val="001C53CE"/>
    <w:rsid w:val="001C5D96"/>
    <w:rsid w:val="001D17D2"/>
    <w:rsid w:val="001D341B"/>
    <w:rsid w:val="001D4080"/>
    <w:rsid w:val="001D7B59"/>
    <w:rsid w:val="001D7C62"/>
    <w:rsid w:val="001E3D2B"/>
    <w:rsid w:val="001E66CE"/>
    <w:rsid w:val="001F48F7"/>
    <w:rsid w:val="001F5B7F"/>
    <w:rsid w:val="00221DC2"/>
    <w:rsid w:val="00221F1A"/>
    <w:rsid w:val="00223FD4"/>
    <w:rsid w:val="00226628"/>
    <w:rsid w:val="002343EB"/>
    <w:rsid w:val="00244B48"/>
    <w:rsid w:val="00256E3C"/>
    <w:rsid w:val="002573D5"/>
    <w:rsid w:val="00264E26"/>
    <w:rsid w:val="00280E74"/>
    <w:rsid w:val="00286F81"/>
    <w:rsid w:val="002970E1"/>
    <w:rsid w:val="002972BA"/>
    <w:rsid w:val="002A41E1"/>
    <w:rsid w:val="002A6D54"/>
    <w:rsid w:val="002B6574"/>
    <w:rsid w:val="002B6789"/>
    <w:rsid w:val="002B6C0F"/>
    <w:rsid w:val="002D4D48"/>
    <w:rsid w:val="002D7595"/>
    <w:rsid w:val="002E21D2"/>
    <w:rsid w:val="002F20BD"/>
    <w:rsid w:val="002F7D3C"/>
    <w:rsid w:val="00305720"/>
    <w:rsid w:val="00305EC6"/>
    <w:rsid w:val="00310B6B"/>
    <w:rsid w:val="003131AB"/>
    <w:rsid w:val="003217BE"/>
    <w:rsid w:val="003352E5"/>
    <w:rsid w:val="0034081D"/>
    <w:rsid w:val="0036354E"/>
    <w:rsid w:val="003A0726"/>
    <w:rsid w:val="003C2AF4"/>
    <w:rsid w:val="003C4342"/>
    <w:rsid w:val="003C5E0F"/>
    <w:rsid w:val="003D0647"/>
    <w:rsid w:val="003D1265"/>
    <w:rsid w:val="003D3B1D"/>
    <w:rsid w:val="003D5DBE"/>
    <w:rsid w:val="00404841"/>
    <w:rsid w:val="00411419"/>
    <w:rsid w:val="00412059"/>
    <w:rsid w:val="00417D3F"/>
    <w:rsid w:val="00420A24"/>
    <w:rsid w:val="00425633"/>
    <w:rsid w:val="00441684"/>
    <w:rsid w:val="00441E79"/>
    <w:rsid w:val="00450486"/>
    <w:rsid w:val="004709E9"/>
    <w:rsid w:val="00471851"/>
    <w:rsid w:val="004775F1"/>
    <w:rsid w:val="00482A30"/>
    <w:rsid w:val="00483A58"/>
    <w:rsid w:val="00494CC0"/>
    <w:rsid w:val="00495C4D"/>
    <w:rsid w:val="004B370D"/>
    <w:rsid w:val="004B5F40"/>
    <w:rsid w:val="004C0F7E"/>
    <w:rsid w:val="004C7D16"/>
    <w:rsid w:val="004D0733"/>
    <w:rsid w:val="004D700E"/>
    <w:rsid w:val="004D7F17"/>
    <w:rsid w:val="004E0670"/>
    <w:rsid w:val="004E4DEB"/>
    <w:rsid w:val="004E7F37"/>
    <w:rsid w:val="004F31BA"/>
    <w:rsid w:val="004F5342"/>
    <w:rsid w:val="0051299F"/>
    <w:rsid w:val="00515CBF"/>
    <w:rsid w:val="0052059B"/>
    <w:rsid w:val="005220C4"/>
    <w:rsid w:val="00526B85"/>
    <w:rsid w:val="00526C81"/>
    <w:rsid w:val="005306A1"/>
    <w:rsid w:val="00532393"/>
    <w:rsid w:val="00532AB6"/>
    <w:rsid w:val="00533B8A"/>
    <w:rsid w:val="005343BF"/>
    <w:rsid w:val="00550D85"/>
    <w:rsid w:val="00555149"/>
    <w:rsid w:val="00556936"/>
    <w:rsid w:val="005746AC"/>
    <w:rsid w:val="005829CC"/>
    <w:rsid w:val="0058371E"/>
    <w:rsid w:val="0058656B"/>
    <w:rsid w:val="0059000C"/>
    <w:rsid w:val="005A02A1"/>
    <w:rsid w:val="005C1D21"/>
    <w:rsid w:val="005D45DD"/>
    <w:rsid w:val="005D7A24"/>
    <w:rsid w:val="005E5465"/>
    <w:rsid w:val="00601EB6"/>
    <w:rsid w:val="006150C9"/>
    <w:rsid w:val="00616EBA"/>
    <w:rsid w:val="00620898"/>
    <w:rsid w:val="006236CE"/>
    <w:rsid w:val="00631475"/>
    <w:rsid w:val="00632C08"/>
    <w:rsid w:val="00636FF5"/>
    <w:rsid w:val="00645C1D"/>
    <w:rsid w:val="00646343"/>
    <w:rsid w:val="00653414"/>
    <w:rsid w:val="00654C42"/>
    <w:rsid w:val="00665CDA"/>
    <w:rsid w:val="0067074A"/>
    <w:rsid w:val="00672994"/>
    <w:rsid w:val="006A213A"/>
    <w:rsid w:val="006C15C5"/>
    <w:rsid w:val="006C3FFE"/>
    <w:rsid w:val="006C60DE"/>
    <w:rsid w:val="006D3DAD"/>
    <w:rsid w:val="006D5E78"/>
    <w:rsid w:val="006F5ACE"/>
    <w:rsid w:val="006F7B19"/>
    <w:rsid w:val="0071730A"/>
    <w:rsid w:val="0073166F"/>
    <w:rsid w:val="00732A51"/>
    <w:rsid w:val="00736A76"/>
    <w:rsid w:val="007469F0"/>
    <w:rsid w:val="00752C6B"/>
    <w:rsid w:val="00760CE6"/>
    <w:rsid w:val="00770994"/>
    <w:rsid w:val="007719C9"/>
    <w:rsid w:val="00772718"/>
    <w:rsid w:val="00773FBB"/>
    <w:rsid w:val="00780348"/>
    <w:rsid w:val="0078342D"/>
    <w:rsid w:val="00791C88"/>
    <w:rsid w:val="007C188A"/>
    <w:rsid w:val="007D30A8"/>
    <w:rsid w:val="007D34C4"/>
    <w:rsid w:val="007E0FC5"/>
    <w:rsid w:val="007E3C35"/>
    <w:rsid w:val="007F1F2E"/>
    <w:rsid w:val="007F2D33"/>
    <w:rsid w:val="0081327B"/>
    <w:rsid w:val="00814FB1"/>
    <w:rsid w:val="00820F20"/>
    <w:rsid w:val="0082439D"/>
    <w:rsid w:val="0082528A"/>
    <w:rsid w:val="00825754"/>
    <w:rsid w:val="00826B06"/>
    <w:rsid w:val="00835210"/>
    <w:rsid w:val="00844C2D"/>
    <w:rsid w:val="00847C5E"/>
    <w:rsid w:val="00854F10"/>
    <w:rsid w:val="00857603"/>
    <w:rsid w:val="008630DC"/>
    <w:rsid w:val="00864697"/>
    <w:rsid w:val="008677F1"/>
    <w:rsid w:val="0087438E"/>
    <w:rsid w:val="00884668"/>
    <w:rsid w:val="008933AB"/>
    <w:rsid w:val="008954FA"/>
    <w:rsid w:val="008A406E"/>
    <w:rsid w:val="008B2B46"/>
    <w:rsid w:val="008C0A93"/>
    <w:rsid w:val="008C649C"/>
    <w:rsid w:val="008E05BC"/>
    <w:rsid w:val="008F3CCF"/>
    <w:rsid w:val="00905E4B"/>
    <w:rsid w:val="00905F99"/>
    <w:rsid w:val="009065DC"/>
    <w:rsid w:val="00921840"/>
    <w:rsid w:val="00932C87"/>
    <w:rsid w:val="009331B4"/>
    <w:rsid w:val="009345F1"/>
    <w:rsid w:val="0094339E"/>
    <w:rsid w:val="00944BBB"/>
    <w:rsid w:val="009547B6"/>
    <w:rsid w:val="00961072"/>
    <w:rsid w:val="00983225"/>
    <w:rsid w:val="00986B71"/>
    <w:rsid w:val="00992836"/>
    <w:rsid w:val="009A249D"/>
    <w:rsid w:val="009B256A"/>
    <w:rsid w:val="009B6094"/>
    <w:rsid w:val="009C507D"/>
    <w:rsid w:val="009D2444"/>
    <w:rsid w:val="009D42B6"/>
    <w:rsid w:val="009E1703"/>
    <w:rsid w:val="009E750F"/>
    <w:rsid w:val="009F6CFB"/>
    <w:rsid w:val="009F77A0"/>
    <w:rsid w:val="00A04D96"/>
    <w:rsid w:val="00A0629B"/>
    <w:rsid w:val="00A14495"/>
    <w:rsid w:val="00A16BE1"/>
    <w:rsid w:val="00A2346C"/>
    <w:rsid w:val="00A25A6C"/>
    <w:rsid w:val="00A30A0F"/>
    <w:rsid w:val="00A442F6"/>
    <w:rsid w:val="00A454BF"/>
    <w:rsid w:val="00A50881"/>
    <w:rsid w:val="00A526F7"/>
    <w:rsid w:val="00A52E3A"/>
    <w:rsid w:val="00A63F2D"/>
    <w:rsid w:val="00A814CB"/>
    <w:rsid w:val="00A815AE"/>
    <w:rsid w:val="00A87758"/>
    <w:rsid w:val="00A90D1B"/>
    <w:rsid w:val="00A96BC7"/>
    <w:rsid w:val="00AB2C99"/>
    <w:rsid w:val="00AB34B3"/>
    <w:rsid w:val="00AC0AC3"/>
    <w:rsid w:val="00AC3BB9"/>
    <w:rsid w:val="00AC5AAB"/>
    <w:rsid w:val="00AD3F59"/>
    <w:rsid w:val="00AD54EB"/>
    <w:rsid w:val="00AD6C0C"/>
    <w:rsid w:val="00AE1FFD"/>
    <w:rsid w:val="00AF55F8"/>
    <w:rsid w:val="00B032FF"/>
    <w:rsid w:val="00B0688A"/>
    <w:rsid w:val="00B10ABA"/>
    <w:rsid w:val="00B12B6C"/>
    <w:rsid w:val="00B21FEA"/>
    <w:rsid w:val="00B36EFF"/>
    <w:rsid w:val="00B420D4"/>
    <w:rsid w:val="00B57910"/>
    <w:rsid w:val="00B67F73"/>
    <w:rsid w:val="00B747F7"/>
    <w:rsid w:val="00B76944"/>
    <w:rsid w:val="00B86A5C"/>
    <w:rsid w:val="00B952F6"/>
    <w:rsid w:val="00BA0D54"/>
    <w:rsid w:val="00BA4B7A"/>
    <w:rsid w:val="00BB19FA"/>
    <w:rsid w:val="00BC093A"/>
    <w:rsid w:val="00BC4ACC"/>
    <w:rsid w:val="00BC4FCC"/>
    <w:rsid w:val="00BD02F8"/>
    <w:rsid w:val="00BE61F9"/>
    <w:rsid w:val="00C065F8"/>
    <w:rsid w:val="00C15642"/>
    <w:rsid w:val="00C217A8"/>
    <w:rsid w:val="00C3123F"/>
    <w:rsid w:val="00C362DE"/>
    <w:rsid w:val="00C4188F"/>
    <w:rsid w:val="00C531EE"/>
    <w:rsid w:val="00C75B3B"/>
    <w:rsid w:val="00C819A4"/>
    <w:rsid w:val="00C824AE"/>
    <w:rsid w:val="00C84EA8"/>
    <w:rsid w:val="00C914F3"/>
    <w:rsid w:val="00C92998"/>
    <w:rsid w:val="00CA3E47"/>
    <w:rsid w:val="00CA720A"/>
    <w:rsid w:val="00CB0986"/>
    <w:rsid w:val="00CC77A6"/>
    <w:rsid w:val="00CD5925"/>
    <w:rsid w:val="00CE557A"/>
    <w:rsid w:val="00CF33BB"/>
    <w:rsid w:val="00CF45F3"/>
    <w:rsid w:val="00D01239"/>
    <w:rsid w:val="00D031B2"/>
    <w:rsid w:val="00D04EA9"/>
    <w:rsid w:val="00D1410C"/>
    <w:rsid w:val="00D40D16"/>
    <w:rsid w:val="00D5132D"/>
    <w:rsid w:val="00D548F0"/>
    <w:rsid w:val="00D57F43"/>
    <w:rsid w:val="00D57F79"/>
    <w:rsid w:val="00D613FC"/>
    <w:rsid w:val="00D64034"/>
    <w:rsid w:val="00D64FAC"/>
    <w:rsid w:val="00D65704"/>
    <w:rsid w:val="00D668F6"/>
    <w:rsid w:val="00D81764"/>
    <w:rsid w:val="00D81AB2"/>
    <w:rsid w:val="00D82DF9"/>
    <w:rsid w:val="00D84875"/>
    <w:rsid w:val="00D904F0"/>
    <w:rsid w:val="00D91378"/>
    <w:rsid w:val="00D91B18"/>
    <w:rsid w:val="00D9307B"/>
    <w:rsid w:val="00D94DF8"/>
    <w:rsid w:val="00DA0E19"/>
    <w:rsid w:val="00DB0991"/>
    <w:rsid w:val="00DC0747"/>
    <w:rsid w:val="00DC0AC8"/>
    <w:rsid w:val="00DC2647"/>
    <w:rsid w:val="00DC5484"/>
    <w:rsid w:val="00DC75A8"/>
    <w:rsid w:val="00DD1408"/>
    <w:rsid w:val="00DD356D"/>
    <w:rsid w:val="00DD6735"/>
    <w:rsid w:val="00DE137E"/>
    <w:rsid w:val="00DE3EF6"/>
    <w:rsid w:val="00DF136A"/>
    <w:rsid w:val="00E0448C"/>
    <w:rsid w:val="00E04CA2"/>
    <w:rsid w:val="00E12227"/>
    <w:rsid w:val="00E13525"/>
    <w:rsid w:val="00E23B0E"/>
    <w:rsid w:val="00E47250"/>
    <w:rsid w:val="00E52C00"/>
    <w:rsid w:val="00E61535"/>
    <w:rsid w:val="00E66B6F"/>
    <w:rsid w:val="00E84012"/>
    <w:rsid w:val="00E841A9"/>
    <w:rsid w:val="00E90B70"/>
    <w:rsid w:val="00E9373C"/>
    <w:rsid w:val="00EA0724"/>
    <w:rsid w:val="00EA6251"/>
    <w:rsid w:val="00EB6414"/>
    <w:rsid w:val="00EC6559"/>
    <w:rsid w:val="00ED126A"/>
    <w:rsid w:val="00ED3184"/>
    <w:rsid w:val="00EE278C"/>
    <w:rsid w:val="00EE5747"/>
    <w:rsid w:val="00EF3804"/>
    <w:rsid w:val="00EF5E05"/>
    <w:rsid w:val="00F03810"/>
    <w:rsid w:val="00F042DE"/>
    <w:rsid w:val="00F1325B"/>
    <w:rsid w:val="00F227AF"/>
    <w:rsid w:val="00F27370"/>
    <w:rsid w:val="00F36072"/>
    <w:rsid w:val="00F40B00"/>
    <w:rsid w:val="00F41DFE"/>
    <w:rsid w:val="00F5341C"/>
    <w:rsid w:val="00F56954"/>
    <w:rsid w:val="00F56A06"/>
    <w:rsid w:val="00F56A09"/>
    <w:rsid w:val="00F627DC"/>
    <w:rsid w:val="00F875C2"/>
    <w:rsid w:val="00F948AF"/>
    <w:rsid w:val="00F9632B"/>
    <w:rsid w:val="00FA2FCF"/>
    <w:rsid w:val="00FA5A7B"/>
    <w:rsid w:val="00FB11B1"/>
    <w:rsid w:val="00FB29B0"/>
    <w:rsid w:val="00FB7DFA"/>
    <w:rsid w:val="00FC2192"/>
    <w:rsid w:val="00FC231A"/>
    <w:rsid w:val="00FC2556"/>
    <w:rsid w:val="00FC2BD7"/>
    <w:rsid w:val="00FC7803"/>
    <w:rsid w:val="00FC7F03"/>
    <w:rsid w:val="00FD2018"/>
    <w:rsid w:val="00FD31D6"/>
    <w:rsid w:val="00FE00E8"/>
    <w:rsid w:val="00FE634C"/>
    <w:rsid w:val="00FF0C5A"/>
    <w:rsid w:val="00FF4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B7A35"/>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
    <w:basedOn w:val="Normal"/>
    <w:link w:val="ListParagraphChar"/>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FF0C5A"/>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1F48F7"/>
    <w:rPr>
      <w:rFonts w:asciiTheme="minorHAnsi" w:hAnsiTheme="minorHAnsi"/>
      <w:color w:val="000000" w:themeColor="text1"/>
      <w:sz w:val="22"/>
    </w:rPr>
  </w:style>
  <w:style w:type="character" w:styleId="FootnoteReference">
    <w:name w:val="footnote reference"/>
    <w:basedOn w:val="DefaultParagraphFont"/>
    <w:uiPriority w:val="99"/>
    <w:semiHidden/>
    <w:unhideWhenUsed/>
    <w:rsid w:val="001F48F7"/>
    <w:rPr>
      <w:vertAlign w:val="superscript"/>
    </w:rPr>
  </w:style>
  <w:style w:type="character" w:styleId="Emphasis">
    <w:name w:val="Emphasis"/>
    <w:basedOn w:val="DefaultParagraphFont"/>
    <w:uiPriority w:val="99"/>
    <w:qFormat/>
    <w:rsid w:val="001F48F7"/>
    <w:rPr>
      <w:i/>
      <w:iCs/>
    </w:rPr>
  </w:style>
  <w:style w:type="character" w:styleId="FollowedHyperlink">
    <w:name w:val="FollowedHyperlink"/>
    <w:basedOn w:val="DefaultParagraphFont"/>
    <w:uiPriority w:val="99"/>
    <w:semiHidden/>
    <w:unhideWhenUsed/>
    <w:rsid w:val="00132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448">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71669"/>
    <w:rsid w:val="0018253C"/>
    <w:rsid w:val="00210828"/>
    <w:rsid w:val="002113F2"/>
    <w:rsid w:val="005814BF"/>
    <w:rsid w:val="005A1DE9"/>
    <w:rsid w:val="00630029"/>
    <w:rsid w:val="00763AFA"/>
    <w:rsid w:val="0076791E"/>
    <w:rsid w:val="00774785"/>
    <w:rsid w:val="00790987"/>
    <w:rsid w:val="007915D0"/>
    <w:rsid w:val="007919F8"/>
    <w:rsid w:val="00864221"/>
    <w:rsid w:val="009765BC"/>
    <w:rsid w:val="00A105E9"/>
    <w:rsid w:val="00A451E4"/>
    <w:rsid w:val="00C76C1C"/>
    <w:rsid w:val="00C77752"/>
    <w:rsid w:val="00C9567F"/>
    <w:rsid w:val="00CE0441"/>
    <w:rsid w:val="00EC072D"/>
    <w:rsid w:val="00F426C8"/>
    <w:rsid w:val="00F8656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9E4451-3973-4D8B-981E-A8644ADA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Saluting Their Service Commemorations Program –  
Community Commemorative Grants</vt:lpstr>
    </vt:vector>
  </TitlesOfParts>
  <Company>Community Grants Hub</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Commemorations Program –  
Community Commemorative Grants</dc:title>
  <dc:subject>General feedback for applicants</dc:subject>
  <dc:creator>TAYLOR, Megan</dc:creator>
  <cp:lastModifiedBy>DONATH, Kristen</cp:lastModifiedBy>
  <cp:revision>2</cp:revision>
  <dcterms:created xsi:type="dcterms:W3CDTF">2020-06-15T00:09:00Z</dcterms:created>
  <dcterms:modified xsi:type="dcterms:W3CDTF">2020-06-15T00:09:00Z</dcterms:modified>
</cp:coreProperties>
</file>