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C76" w:rsidRDefault="00EC2C76" w:rsidP="00EC2C76">
      <w:pPr>
        <w:pStyle w:val="Default"/>
      </w:pPr>
    </w:p>
    <w:p w:rsidR="00EC2C76" w:rsidRPr="001100A9" w:rsidRDefault="00EC2C76" w:rsidP="00EC2C76">
      <w:pPr>
        <w:spacing w:line="276" w:lineRule="auto"/>
        <w:rPr>
          <w:sz w:val="72"/>
          <w:szCs w:val="72"/>
        </w:rPr>
      </w:pPr>
      <w:r>
        <w:t xml:space="preserve"> </w:t>
      </w:r>
      <w:r w:rsidRPr="001100A9">
        <w:rPr>
          <w:rFonts w:ascii="Georgia" w:eastAsiaTheme="majorEastAsia" w:hAnsi="Georgia" w:cstheme="majorBidi"/>
          <w:bCs/>
          <w:color w:val="CF0A2C" w:themeColor="accent1"/>
          <w:sz w:val="72"/>
          <w:szCs w:val="72"/>
        </w:rPr>
        <w:t xml:space="preserve">Destination Australia </w:t>
      </w:r>
    </w:p>
    <w:p w:rsidR="00F85F98" w:rsidRPr="00F85F98" w:rsidRDefault="00584B9B" w:rsidP="00EC2C76">
      <w:pPr>
        <w:numPr>
          <w:ilvl w:val="1"/>
          <w:numId w:val="0"/>
        </w:numPr>
        <w:pBdr>
          <w:bottom w:val="single" w:sz="4" w:space="22" w:color="000000" w:themeColor="text1"/>
        </w:pBdr>
        <w:spacing w:before="120" w:after="280" w:line="276" w:lineRule="auto"/>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242AE8">
            <w:rPr>
              <w:rFonts w:asciiTheme="majorHAnsi" w:eastAsiaTheme="majorEastAsia" w:hAnsiTheme="majorHAnsi" w:cstheme="majorBidi"/>
              <w:iCs/>
              <w:sz w:val="30"/>
              <w:szCs w:val="24"/>
            </w:rPr>
            <w:t>General Feedback for Applicants</w:t>
          </w:r>
        </w:sdtContent>
      </w:sdt>
    </w:p>
    <w:p w:rsidR="00F85F98" w:rsidRPr="00F85F98" w:rsidRDefault="00F85F98" w:rsidP="00820517">
      <w:pPr>
        <w:spacing w:line="276" w:lineRule="auto"/>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EC2C76" w:rsidRPr="001C523C" w:rsidRDefault="00EC2C76" w:rsidP="0076438E">
      <w:pPr>
        <w:pStyle w:val="Default"/>
        <w:jc w:val="both"/>
        <w:rPr>
          <w:rFonts w:asciiTheme="minorHAnsi" w:eastAsia="Times New Roman" w:hAnsiTheme="minorHAnsi" w:cstheme="minorHAnsi"/>
          <w:color w:val="auto"/>
          <w:sz w:val="22"/>
          <w:szCs w:val="22"/>
          <w:lang w:eastAsia="en-AU"/>
        </w:rPr>
      </w:pPr>
      <w:r w:rsidRPr="001C523C">
        <w:rPr>
          <w:rFonts w:asciiTheme="minorHAnsi" w:eastAsia="Times New Roman" w:hAnsiTheme="minorHAnsi" w:cstheme="minorHAnsi"/>
          <w:color w:val="auto"/>
          <w:sz w:val="22"/>
          <w:szCs w:val="22"/>
          <w:lang w:eastAsia="en-AU"/>
        </w:rPr>
        <w:t>The Destination Australia Program</w:t>
      </w:r>
      <w:r w:rsidR="000C2973" w:rsidRPr="001C523C">
        <w:rPr>
          <w:rFonts w:asciiTheme="minorHAnsi" w:eastAsia="Times New Roman" w:hAnsiTheme="minorHAnsi" w:cstheme="minorHAnsi"/>
          <w:color w:val="auto"/>
          <w:sz w:val="22"/>
          <w:szCs w:val="22"/>
          <w:lang w:eastAsia="en-AU"/>
        </w:rPr>
        <w:t xml:space="preserve"> is</w:t>
      </w:r>
      <w:r w:rsidRPr="001C523C">
        <w:rPr>
          <w:rFonts w:asciiTheme="minorHAnsi" w:eastAsia="Times New Roman" w:hAnsiTheme="minorHAnsi" w:cstheme="minorHAnsi"/>
          <w:color w:val="auto"/>
          <w:sz w:val="22"/>
          <w:szCs w:val="22"/>
          <w:lang w:eastAsia="en-AU"/>
        </w:rPr>
        <w:t xml:space="preserve"> a targeted competitive grant </w:t>
      </w:r>
      <w:r w:rsidR="000C2973" w:rsidRPr="001C523C">
        <w:rPr>
          <w:rFonts w:asciiTheme="minorHAnsi" w:eastAsia="Times New Roman" w:hAnsiTheme="minorHAnsi" w:cstheme="minorHAnsi"/>
          <w:color w:val="auto"/>
          <w:sz w:val="22"/>
          <w:szCs w:val="22"/>
          <w:lang w:eastAsia="en-AU"/>
        </w:rPr>
        <w:t>round, announced</w:t>
      </w:r>
      <w:r w:rsidRPr="001C523C">
        <w:rPr>
          <w:rFonts w:asciiTheme="minorHAnsi" w:eastAsia="Times New Roman" w:hAnsiTheme="minorHAnsi" w:cstheme="minorHAnsi"/>
          <w:color w:val="auto"/>
          <w:sz w:val="22"/>
          <w:szCs w:val="22"/>
          <w:lang w:eastAsia="en-AU"/>
        </w:rPr>
        <w:t xml:space="preserve"> as part of the Planning for Australia’s Future Population on 20 March 2019. The program aligns with the National Strategy for International Education 2025. </w:t>
      </w:r>
    </w:p>
    <w:p w:rsidR="00A70F21" w:rsidRPr="001C523C" w:rsidRDefault="00EC2C76" w:rsidP="0076438E">
      <w:pPr>
        <w:pStyle w:val="NormalWeb"/>
        <w:spacing w:after="0"/>
        <w:jc w:val="both"/>
        <w:rPr>
          <w:rFonts w:asciiTheme="minorHAnsi" w:hAnsiTheme="minorHAnsi" w:cstheme="minorHAnsi"/>
          <w:sz w:val="22"/>
          <w:szCs w:val="22"/>
        </w:rPr>
      </w:pPr>
      <w:r w:rsidRPr="001C523C">
        <w:rPr>
          <w:rFonts w:asciiTheme="minorHAnsi" w:hAnsiTheme="minorHAnsi" w:cstheme="minorHAnsi"/>
          <w:sz w:val="22"/>
          <w:szCs w:val="22"/>
        </w:rPr>
        <w:t xml:space="preserve">Destination Australia is funded under the Department of Education’s Outcome 2.7 – International Education Support. The objective of Outcome 2.7 is to support the sustainable growth of Australia’s high quality international education, training and research through strong government-to-government engagement, strategic policy and legislation. </w:t>
      </w:r>
    </w:p>
    <w:p w:rsidR="00EB643F" w:rsidRDefault="00EB643F" w:rsidP="0076438E">
      <w:pPr>
        <w:spacing w:line="240" w:lineRule="auto"/>
        <w:jc w:val="both"/>
        <w:rPr>
          <w:rFonts w:cstheme="minorHAnsi"/>
          <w:color w:val="auto"/>
          <w:szCs w:val="22"/>
        </w:rPr>
      </w:pPr>
    </w:p>
    <w:p w:rsidR="001024D3" w:rsidRPr="001C523C" w:rsidRDefault="001024D3" w:rsidP="0076438E">
      <w:pPr>
        <w:spacing w:line="240" w:lineRule="auto"/>
        <w:jc w:val="both"/>
        <w:rPr>
          <w:rFonts w:cstheme="minorHAnsi"/>
          <w:color w:val="auto"/>
          <w:szCs w:val="22"/>
        </w:rPr>
      </w:pPr>
      <w:r w:rsidRPr="001C523C">
        <w:rPr>
          <w:rFonts w:cstheme="minorHAnsi"/>
          <w:color w:val="auto"/>
          <w:szCs w:val="22"/>
        </w:rPr>
        <w:t xml:space="preserve">The objective of the grant opportunity is to attract and support international and domestic students to study in regional Australia, to grow and develop regional Australian tertiary education providers and offer students a high quality learning experience. </w:t>
      </w:r>
    </w:p>
    <w:p w:rsidR="00D845C6" w:rsidRPr="001C523C" w:rsidRDefault="00D845C6" w:rsidP="0076438E">
      <w:pPr>
        <w:spacing w:line="240" w:lineRule="auto"/>
        <w:jc w:val="both"/>
        <w:rPr>
          <w:rFonts w:cstheme="minorHAnsi"/>
          <w:color w:val="auto"/>
          <w:szCs w:val="22"/>
        </w:rPr>
      </w:pPr>
    </w:p>
    <w:p w:rsidR="00103217" w:rsidRPr="001C523C" w:rsidRDefault="001024D3" w:rsidP="0076438E">
      <w:pPr>
        <w:spacing w:line="240" w:lineRule="auto"/>
        <w:jc w:val="both"/>
        <w:rPr>
          <w:rFonts w:cstheme="minorHAnsi"/>
          <w:color w:val="auto"/>
          <w:szCs w:val="22"/>
        </w:rPr>
      </w:pPr>
      <w:r w:rsidRPr="001C523C">
        <w:rPr>
          <w:rFonts w:cstheme="minorHAnsi"/>
          <w:color w:val="auto"/>
          <w:szCs w:val="22"/>
        </w:rPr>
        <w:t xml:space="preserve">The program will provide grants to eligible Australian tertiary education providers to allocate, administer and promote scholarships for international and domestic students studying in regional Australia. </w:t>
      </w:r>
    </w:p>
    <w:p w:rsidR="00A56CC6" w:rsidRDefault="00A56CC6" w:rsidP="00103217">
      <w:pPr>
        <w:autoSpaceDE w:val="0"/>
        <w:autoSpaceDN w:val="0"/>
        <w:adjustRightInd w:val="0"/>
        <w:spacing w:line="240" w:lineRule="auto"/>
        <w:rPr>
          <w:rFonts w:cstheme="minorHAnsi"/>
          <w:b/>
          <w:bCs/>
          <w:color w:val="000000"/>
          <w:szCs w:val="22"/>
        </w:rPr>
      </w:pPr>
    </w:p>
    <w:p w:rsidR="00711312" w:rsidRDefault="00711312" w:rsidP="0076438E">
      <w:pPr>
        <w:spacing w:line="240" w:lineRule="auto"/>
        <w:jc w:val="both"/>
        <w:rPr>
          <w:rFonts w:cstheme="minorHAnsi"/>
          <w:color w:val="auto"/>
          <w:szCs w:val="22"/>
        </w:rPr>
      </w:pPr>
    </w:p>
    <w:p w:rsidR="002F6A8F" w:rsidRPr="00D845C6" w:rsidRDefault="002F6A8F" w:rsidP="002F6A8F">
      <w:pPr>
        <w:spacing w:line="276" w:lineRule="auto"/>
        <w:rPr>
          <w:rFonts w:ascii="Georgia" w:hAnsi="Georgia"/>
          <w:color w:val="FF0000"/>
          <w:sz w:val="36"/>
          <w:szCs w:val="36"/>
        </w:rPr>
      </w:pPr>
      <w:r>
        <w:rPr>
          <w:rFonts w:ascii="Georgia" w:hAnsi="Georgia"/>
          <w:color w:val="FF0000"/>
          <w:sz w:val="36"/>
          <w:szCs w:val="36"/>
        </w:rPr>
        <w:t>Selection Results</w:t>
      </w:r>
    </w:p>
    <w:p w:rsidR="002F6A8F" w:rsidRPr="001C523C" w:rsidRDefault="002F6A8F" w:rsidP="002F6A8F">
      <w:pPr>
        <w:spacing w:line="240" w:lineRule="auto"/>
        <w:jc w:val="both"/>
        <w:rPr>
          <w:rFonts w:cstheme="minorHAnsi"/>
          <w:color w:val="auto"/>
          <w:szCs w:val="22"/>
        </w:rPr>
      </w:pPr>
      <w:r w:rsidRPr="001C523C">
        <w:rPr>
          <w:rFonts w:cstheme="minorHAnsi"/>
          <w:color w:val="auto"/>
          <w:szCs w:val="22"/>
        </w:rPr>
        <w:t xml:space="preserve">The application period opened on 19 August 2019 and closed at 11pm AEST on 12 September 2019. The Australian Government announced a total of $93.7 million (GST exclusive) over four years for the Destination Australia Program. </w:t>
      </w:r>
    </w:p>
    <w:p w:rsidR="002F6A8F" w:rsidRPr="001C523C" w:rsidRDefault="002F6A8F" w:rsidP="002F6A8F">
      <w:pPr>
        <w:spacing w:line="240" w:lineRule="auto"/>
        <w:jc w:val="both"/>
        <w:rPr>
          <w:rFonts w:cstheme="minorHAnsi"/>
          <w:color w:val="auto"/>
          <w:szCs w:val="22"/>
        </w:rPr>
      </w:pPr>
    </w:p>
    <w:p w:rsidR="002F6A8F" w:rsidRPr="001C523C" w:rsidRDefault="001C523C" w:rsidP="002F6A8F">
      <w:pPr>
        <w:spacing w:line="240" w:lineRule="auto"/>
        <w:jc w:val="both"/>
        <w:rPr>
          <w:rFonts w:cstheme="minorHAnsi"/>
          <w:color w:val="auto"/>
          <w:szCs w:val="22"/>
        </w:rPr>
      </w:pPr>
      <w:r w:rsidRPr="001C523C">
        <w:rPr>
          <w:rFonts w:cstheme="minorHAnsi"/>
          <w:color w:val="auto"/>
          <w:szCs w:val="22"/>
        </w:rPr>
        <w:t>A total of 69</w:t>
      </w:r>
      <w:r w:rsidR="002F6A8F" w:rsidRPr="001C523C">
        <w:rPr>
          <w:rFonts w:cstheme="minorHAnsi"/>
          <w:color w:val="auto"/>
          <w:szCs w:val="22"/>
        </w:rPr>
        <w:t xml:space="preserve"> applications were received,</w:t>
      </w:r>
      <w:r w:rsidR="003B3036">
        <w:rPr>
          <w:rFonts w:cstheme="minorHAnsi"/>
          <w:color w:val="auto"/>
          <w:szCs w:val="22"/>
        </w:rPr>
        <w:t xml:space="preserve"> </w:t>
      </w:r>
      <w:r w:rsidR="00EB643F">
        <w:rPr>
          <w:rFonts w:cstheme="minorHAnsi"/>
          <w:color w:val="auto"/>
          <w:szCs w:val="22"/>
        </w:rPr>
        <w:t>there were seven</w:t>
      </w:r>
      <w:r w:rsidR="003B3036">
        <w:rPr>
          <w:rFonts w:cstheme="minorHAnsi"/>
          <w:color w:val="auto"/>
          <w:szCs w:val="22"/>
        </w:rPr>
        <w:t xml:space="preserve"> applicant requested withdrawals</w:t>
      </w:r>
      <w:r w:rsidR="002F6A8F" w:rsidRPr="001C523C">
        <w:rPr>
          <w:rFonts w:cstheme="minorHAnsi"/>
          <w:color w:val="auto"/>
          <w:szCs w:val="22"/>
        </w:rPr>
        <w:t xml:space="preserve"> which </w:t>
      </w:r>
      <w:r w:rsidR="00EB643F">
        <w:rPr>
          <w:rFonts w:cstheme="minorHAnsi"/>
          <w:color w:val="auto"/>
          <w:szCs w:val="22"/>
        </w:rPr>
        <w:t xml:space="preserve">resulted with </w:t>
      </w:r>
      <w:r w:rsidR="002F6A8F" w:rsidRPr="001C523C">
        <w:rPr>
          <w:rFonts w:cstheme="minorHAnsi"/>
          <w:color w:val="auto"/>
          <w:szCs w:val="22"/>
        </w:rPr>
        <w:t>62</w:t>
      </w:r>
      <w:r w:rsidR="00EB643F">
        <w:rPr>
          <w:rFonts w:cstheme="minorHAnsi"/>
          <w:color w:val="auto"/>
          <w:szCs w:val="22"/>
        </w:rPr>
        <w:t xml:space="preserve"> applications </w:t>
      </w:r>
      <w:r w:rsidR="002F6A8F" w:rsidRPr="001C523C">
        <w:rPr>
          <w:rFonts w:cstheme="minorHAnsi"/>
          <w:color w:val="auto"/>
          <w:szCs w:val="22"/>
        </w:rPr>
        <w:t xml:space="preserve">assessed. After assessment, 35 applications </w:t>
      </w:r>
      <w:r w:rsidR="002F6A8F" w:rsidRPr="001C523C">
        <w:rPr>
          <w:rFonts w:eastAsia="Times New Roman" w:cstheme="minorHAnsi"/>
          <w:color w:val="auto"/>
          <w:szCs w:val="22"/>
        </w:rPr>
        <w:t>were successful in receiving funding</w:t>
      </w:r>
      <w:r w:rsidR="00094574">
        <w:rPr>
          <w:rFonts w:eastAsia="Times New Roman" w:cstheme="minorHAnsi"/>
          <w:color w:val="auto"/>
          <w:szCs w:val="22"/>
        </w:rPr>
        <w:t xml:space="preserve"> </w:t>
      </w:r>
      <w:r w:rsidR="00094574">
        <w:rPr>
          <w:rFonts w:cstheme="minorHAnsi"/>
          <w:color w:val="auto"/>
          <w:szCs w:val="22"/>
        </w:rPr>
        <w:t xml:space="preserve">of </w:t>
      </w:r>
      <w:r w:rsidR="00333A60">
        <w:rPr>
          <w:rFonts w:cstheme="minorHAnsi"/>
          <w:color w:val="auto"/>
          <w:szCs w:val="22"/>
        </w:rPr>
        <w:t>$49.995</w:t>
      </w:r>
      <w:r w:rsidR="00094574" w:rsidRPr="00333A60">
        <w:rPr>
          <w:rFonts w:cstheme="minorHAnsi"/>
          <w:color w:val="auto"/>
          <w:szCs w:val="22"/>
        </w:rPr>
        <w:t xml:space="preserve">m </w:t>
      </w:r>
      <w:r w:rsidR="002F6A8F" w:rsidRPr="00333A60">
        <w:rPr>
          <w:rFonts w:cstheme="minorHAnsi"/>
          <w:color w:val="auto"/>
          <w:szCs w:val="22"/>
        </w:rPr>
        <w:t>(GST exclusive).</w:t>
      </w:r>
      <w:r w:rsidR="002F6A8F" w:rsidRPr="001C523C">
        <w:rPr>
          <w:rFonts w:cstheme="minorHAnsi"/>
          <w:color w:val="auto"/>
          <w:szCs w:val="22"/>
        </w:rPr>
        <w:t xml:space="preserve"> Successful applicants may have received less funding than requested.</w:t>
      </w:r>
    </w:p>
    <w:p w:rsidR="002F6A8F" w:rsidRPr="001C523C" w:rsidRDefault="002F6A8F" w:rsidP="0076438E">
      <w:pPr>
        <w:spacing w:line="240" w:lineRule="auto"/>
        <w:jc w:val="both"/>
        <w:rPr>
          <w:rFonts w:cstheme="minorHAnsi"/>
          <w:color w:val="auto"/>
          <w:szCs w:val="22"/>
        </w:rPr>
      </w:pPr>
    </w:p>
    <w:p w:rsidR="00480712" w:rsidRPr="00480712" w:rsidRDefault="00480712" w:rsidP="00480712">
      <w:pPr>
        <w:spacing w:line="276" w:lineRule="auto"/>
        <w:rPr>
          <w:color w:val="auto"/>
        </w:rPr>
      </w:pPr>
    </w:p>
    <w:p w:rsidR="00F85F98" w:rsidRPr="005118E4" w:rsidRDefault="00F85F98" w:rsidP="00D87B28">
      <w:pPr>
        <w:pStyle w:val="BodyText"/>
        <w:spacing w:before="0" w:after="0" w:line="276" w:lineRule="auto"/>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rsidR="0027045B" w:rsidRPr="001C523C" w:rsidRDefault="00144A70" w:rsidP="0076438E">
      <w:pPr>
        <w:pStyle w:val="BodyText"/>
        <w:spacing w:line="276" w:lineRule="auto"/>
        <w:jc w:val="both"/>
        <w:rPr>
          <w:szCs w:val="22"/>
        </w:rPr>
      </w:pPr>
      <w:r>
        <w:rPr>
          <w:color w:val="auto"/>
          <w:szCs w:val="22"/>
        </w:rPr>
        <w:t>A</w:t>
      </w:r>
      <w:r w:rsidR="001C523C" w:rsidRPr="001C523C">
        <w:rPr>
          <w:color w:val="auto"/>
          <w:szCs w:val="22"/>
        </w:rPr>
        <w:t xml:space="preserve"> targeted</w:t>
      </w:r>
      <w:r w:rsidR="00711312" w:rsidRPr="001C523C">
        <w:rPr>
          <w:color w:val="auto"/>
          <w:szCs w:val="22"/>
        </w:rPr>
        <w:t xml:space="preserve"> competitive selection process</w:t>
      </w:r>
      <w:r>
        <w:rPr>
          <w:color w:val="auto"/>
          <w:szCs w:val="22"/>
        </w:rPr>
        <w:t xml:space="preserve"> was undertaken, allowing </w:t>
      </w:r>
      <w:r w:rsidRPr="001C523C">
        <w:rPr>
          <w:rFonts w:cstheme="minorHAnsi"/>
          <w:color w:val="auto"/>
          <w:szCs w:val="22"/>
        </w:rPr>
        <w:t>Australian tertiary education providers</w:t>
      </w:r>
      <w:r>
        <w:rPr>
          <w:rFonts w:cstheme="minorHAnsi"/>
          <w:color w:val="auto"/>
          <w:szCs w:val="22"/>
        </w:rPr>
        <w:t xml:space="preserve"> that met the eligibility criteria to apply</w:t>
      </w:r>
      <w:r w:rsidR="00711312" w:rsidRPr="001C523C">
        <w:rPr>
          <w:color w:val="auto"/>
          <w:szCs w:val="22"/>
        </w:rPr>
        <w:t xml:space="preserve">. Targeted competitive funding rounds are open to a small number of potential grantees based on the specialised requirements of the grant activity under consideration. </w:t>
      </w:r>
    </w:p>
    <w:p w:rsidR="00AD7570" w:rsidRPr="001C523C" w:rsidRDefault="00AD7570" w:rsidP="0076438E">
      <w:pPr>
        <w:pStyle w:val="BodyText"/>
        <w:spacing w:line="276" w:lineRule="auto"/>
        <w:jc w:val="both"/>
        <w:rPr>
          <w:szCs w:val="22"/>
        </w:rPr>
      </w:pPr>
    </w:p>
    <w:p w:rsidR="00AD7570" w:rsidRDefault="00B66B3F" w:rsidP="0076438E">
      <w:pPr>
        <w:pStyle w:val="BodyText"/>
        <w:spacing w:line="276" w:lineRule="auto"/>
        <w:jc w:val="both"/>
        <w:rPr>
          <w:szCs w:val="22"/>
        </w:rPr>
      </w:pPr>
      <w:r>
        <w:rPr>
          <w:noProof/>
          <w:lang w:eastAsia="en-AU"/>
        </w:rPr>
        <w:lastRenderedPageBreak/>
        <w:drawing>
          <wp:inline distT="0" distB="0" distL="0" distR="0" wp14:anchorId="7B4F6B44" wp14:editId="30D30139">
            <wp:extent cx="6120130" cy="1334770"/>
            <wp:effectExtent l="0" t="0" r="0" b="0"/>
            <wp:docPr id="78" name="Picture 78" title="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1334770"/>
                    </a:xfrm>
                    <a:prstGeom prst="rect">
                      <a:avLst/>
                    </a:prstGeom>
                  </pic:spPr>
                </pic:pic>
              </a:graphicData>
            </a:graphic>
          </wp:inline>
        </w:drawing>
      </w:r>
    </w:p>
    <w:p w:rsidR="00AD7570" w:rsidRDefault="00AD7570" w:rsidP="0076438E">
      <w:pPr>
        <w:pStyle w:val="BodyText"/>
        <w:spacing w:line="276" w:lineRule="auto"/>
        <w:jc w:val="both"/>
      </w:pPr>
    </w:p>
    <w:p w:rsidR="00017C44" w:rsidRDefault="00480D54" w:rsidP="0076438E">
      <w:pPr>
        <w:pStyle w:val="BodyText"/>
        <w:spacing w:line="276" w:lineRule="auto"/>
        <w:jc w:val="both"/>
        <w:rPr>
          <w:szCs w:val="22"/>
        </w:rPr>
      </w:pPr>
      <w:r w:rsidRPr="001C523C">
        <w:rPr>
          <w:szCs w:val="22"/>
        </w:rPr>
        <w:t xml:space="preserve">Applications </w:t>
      </w:r>
      <w:r w:rsidR="009B4723" w:rsidRPr="001C523C">
        <w:rPr>
          <w:szCs w:val="22"/>
        </w:rPr>
        <w:t>underwent</w:t>
      </w:r>
      <w:r w:rsidRPr="001C523C">
        <w:rPr>
          <w:szCs w:val="22"/>
        </w:rPr>
        <w:t xml:space="preserve"> eligibility and compliance </w:t>
      </w:r>
      <w:r w:rsidR="009B4723" w:rsidRPr="001C523C">
        <w:rPr>
          <w:szCs w:val="22"/>
        </w:rPr>
        <w:t xml:space="preserve">checks </w:t>
      </w:r>
      <w:r w:rsidRPr="001C523C">
        <w:rPr>
          <w:szCs w:val="22"/>
        </w:rPr>
        <w:t>against the requirements outlined in the Grant Opportunity Guidelines</w:t>
      </w:r>
      <w:r w:rsidR="00913614" w:rsidRPr="001C523C">
        <w:rPr>
          <w:szCs w:val="22"/>
        </w:rPr>
        <w:t xml:space="preserve">. </w:t>
      </w:r>
      <w:r w:rsidR="00FB2F12" w:rsidRPr="001C523C">
        <w:rPr>
          <w:szCs w:val="22"/>
        </w:rPr>
        <w:t>T</w:t>
      </w:r>
      <w:r w:rsidR="003E5A65" w:rsidRPr="001C523C">
        <w:rPr>
          <w:szCs w:val="22"/>
        </w:rPr>
        <w:t xml:space="preserve">he </w:t>
      </w:r>
      <w:r w:rsidR="0051104D">
        <w:rPr>
          <w:szCs w:val="22"/>
        </w:rPr>
        <w:t xml:space="preserve">Community Grants </w:t>
      </w:r>
      <w:r w:rsidR="003E5A65" w:rsidRPr="001C523C">
        <w:rPr>
          <w:szCs w:val="22"/>
        </w:rPr>
        <w:t>Hub</w:t>
      </w:r>
      <w:r w:rsidR="0051104D">
        <w:rPr>
          <w:szCs w:val="22"/>
        </w:rPr>
        <w:t xml:space="preserve"> (the Hub)</w:t>
      </w:r>
      <w:r w:rsidR="00FB2F12" w:rsidRPr="001C523C">
        <w:rPr>
          <w:szCs w:val="22"/>
        </w:rPr>
        <w:t xml:space="preserve"> did a </w:t>
      </w:r>
      <w:r w:rsidR="009B4723" w:rsidRPr="001C523C">
        <w:rPr>
          <w:szCs w:val="22"/>
        </w:rPr>
        <w:t>p</w:t>
      </w:r>
      <w:r w:rsidR="00FB2F12" w:rsidRPr="001C523C">
        <w:rPr>
          <w:szCs w:val="22"/>
        </w:rPr>
        <w:t>reliminary assessment of all eligible and compliant applications</w:t>
      </w:r>
      <w:r w:rsidR="003E5A65" w:rsidRPr="001C523C">
        <w:rPr>
          <w:szCs w:val="22"/>
        </w:rPr>
        <w:t xml:space="preserve"> </w:t>
      </w:r>
      <w:r w:rsidR="00845491" w:rsidRPr="001C523C">
        <w:rPr>
          <w:szCs w:val="22"/>
        </w:rPr>
        <w:t>against the</w:t>
      </w:r>
      <w:r w:rsidR="00913614" w:rsidRPr="001C523C">
        <w:rPr>
          <w:szCs w:val="22"/>
        </w:rPr>
        <w:t xml:space="preserve"> assessment criteria for the element </w:t>
      </w:r>
      <w:r w:rsidR="006C0C20" w:rsidRPr="001C523C">
        <w:rPr>
          <w:szCs w:val="22"/>
        </w:rPr>
        <w:t xml:space="preserve">for which they </w:t>
      </w:r>
      <w:r w:rsidR="00913614" w:rsidRPr="001C523C">
        <w:rPr>
          <w:szCs w:val="22"/>
        </w:rPr>
        <w:t>applied</w:t>
      </w:r>
      <w:r w:rsidR="00FD2623">
        <w:rPr>
          <w:szCs w:val="22"/>
        </w:rPr>
        <w:t>.</w:t>
      </w:r>
    </w:p>
    <w:p w:rsidR="002313F4" w:rsidRPr="00CA0AA2" w:rsidRDefault="00F30051" w:rsidP="0076438E">
      <w:pPr>
        <w:pStyle w:val="BodyText"/>
        <w:spacing w:line="276" w:lineRule="auto"/>
        <w:jc w:val="both"/>
        <w:rPr>
          <w:szCs w:val="22"/>
        </w:rPr>
      </w:pPr>
      <w:r w:rsidRPr="001C523C">
        <w:rPr>
          <w:szCs w:val="22"/>
        </w:rPr>
        <w:t>A</w:t>
      </w:r>
      <w:r w:rsidR="00845491" w:rsidRPr="001C523C">
        <w:rPr>
          <w:szCs w:val="22"/>
        </w:rPr>
        <w:t xml:space="preserve"> Selection Advisory Panel (the Panel)</w:t>
      </w:r>
      <w:r w:rsidR="006C0C20" w:rsidRPr="001C523C">
        <w:rPr>
          <w:szCs w:val="22"/>
        </w:rPr>
        <w:t xml:space="preserve"> from the Department of Education</w:t>
      </w:r>
      <w:r w:rsidR="006262AE" w:rsidRPr="001C523C">
        <w:rPr>
          <w:szCs w:val="22"/>
        </w:rPr>
        <w:t>,</w:t>
      </w:r>
      <w:r w:rsidR="003E5A65" w:rsidRPr="001C523C">
        <w:rPr>
          <w:szCs w:val="22"/>
        </w:rPr>
        <w:t xml:space="preserve"> independent of the Hub</w:t>
      </w:r>
      <w:r w:rsidR="006C0C20" w:rsidRPr="001C523C">
        <w:rPr>
          <w:szCs w:val="22"/>
        </w:rPr>
        <w:t xml:space="preserve"> and</w:t>
      </w:r>
      <w:r w:rsidR="00845491" w:rsidRPr="001C523C">
        <w:rPr>
          <w:szCs w:val="22"/>
        </w:rPr>
        <w:t xml:space="preserve"> </w:t>
      </w:r>
      <w:r w:rsidR="00507BD8" w:rsidRPr="001C523C">
        <w:rPr>
          <w:szCs w:val="22"/>
        </w:rPr>
        <w:t>with a mix of relevant policy, program and delivery expertise</w:t>
      </w:r>
      <w:r w:rsidR="003E5A65" w:rsidRPr="001C523C">
        <w:rPr>
          <w:szCs w:val="22"/>
        </w:rPr>
        <w:t>,</w:t>
      </w:r>
      <w:r w:rsidR="00507BD8" w:rsidRPr="001C523C">
        <w:rPr>
          <w:szCs w:val="22"/>
        </w:rPr>
        <w:t xml:space="preserve"> </w:t>
      </w:r>
      <w:r w:rsidRPr="001C523C">
        <w:rPr>
          <w:szCs w:val="22"/>
        </w:rPr>
        <w:t xml:space="preserve">then </w:t>
      </w:r>
      <w:r w:rsidR="00507BD8" w:rsidRPr="001C523C">
        <w:rPr>
          <w:szCs w:val="22"/>
        </w:rPr>
        <w:t>made funding recommendations</w:t>
      </w:r>
      <w:r w:rsidR="0027045B" w:rsidRPr="001C523C">
        <w:rPr>
          <w:szCs w:val="22"/>
        </w:rPr>
        <w:t xml:space="preserve"> to the </w:t>
      </w:r>
      <w:r w:rsidR="00913614" w:rsidRPr="001C523C">
        <w:rPr>
          <w:szCs w:val="22"/>
        </w:rPr>
        <w:t xml:space="preserve">Department of Education’s </w:t>
      </w:r>
      <w:r w:rsidR="00D000C3" w:rsidRPr="001C523C">
        <w:rPr>
          <w:szCs w:val="22"/>
        </w:rPr>
        <w:t>Delegate</w:t>
      </w:r>
      <w:r w:rsidR="00507BD8" w:rsidRPr="001C523C">
        <w:rPr>
          <w:color w:val="auto"/>
          <w:szCs w:val="22"/>
        </w:rPr>
        <w:t>.</w:t>
      </w:r>
      <w:r w:rsidR="00507BD8" w:rsidRPr="001C523C">
        <w:rPr>
          <w:color w:val="FF0000"/>
          <w:szCs w:val="22"/>
        </w:rPr>
        <w:t xml:space="preserve"> </w:t>
      </w:r>
    </w:p>
    <w:p w:rsidR="0025529D" w:rsidRPr="001C523C" w:rsidRDefault="0025529D" w:rsidP="0076438E">
      <w:pPr>
        <w:spacing w:before="120" w:after="120" w:line="276" w:lineRule="auto"/>
        <w:jc w:val="both"/>
        <w:rPr>
          <w:color w:val="auto"/>
          <w:szCs w:val="22"/>
        </w:rPr>
      </w:pPr>
      <w:r w:rsidRPr="00C5212D">
        <w:rPr>
          <w:rFonts w:ascii="Arial" w:eastAsia="Times New Roman" w:hAnsi="Arial" w:cs="Arial"/>
          <w:color w:val="auto"/>
          <w:szCs w:val="22"/>
        </w:rPr>
        <w:t xml:space="preserve">The </w:t>
      </w:r>
      <w:r w:rsidR="00A56CC6" w:rsidRPr="00C5212D">
        <w:rPr>
          <w:rFonts w:ascii="Arial" w:eastAsia="Times New Roman" w:hAnsi="Arial" w:cs="Arial"/>
          <w:color w:val="auto"/>
          <w:szCs w:val="22"/>
        </w:rPr>
        <w:t>Minister</w:t>
      </w:r>
      <w:r w:rsidR="008F6399" w:rsidRPr="00C5212D">
        <w:rPr>
          <w:rFonts w:ascii="Arial" w:eastAsia="Times New Roman" w:hAnsi="Arial" w:cs="Arial"/>
          <w:color w:val="auto"/>
          <w:szCs w:val="22"/>
        </w:rPr>
        <w:t xml:space="preserve">, </w:t>
      </w:r>
      <w:r w:rsidR="0014336B" w:rsidRPr="00C5212D">
        <w:rPr>
          <w:rFonts w:ascii="Arial" w:eastAsia="Times New Roman" w:hAnsi="Arial" w:cs="Arial"/>
          <w:color w:val="auto"/>
          <w:szCs w:val="22"/>
        </w:rPr>
        <w:t>Department of Education</w:t>
      </w:r>
      <w:r w:rsidR="006C0C20" w:rsidRPr="00C5212D">
        <w:rPr>
          <w:rFonts w:ascii="Arial" w:eastAsia="Times New Roman" w:hAnsi="Arial" w:cs="Arial"/>
          <w:color w:val="auto"/>
          <w:szCs w:val="22"/>
        </w:rPr>
        <w:t>,</w:t>
      </w:r>
      <w:r w:rsidRPr="00C5212D">
        <w:rPr>
          <w:color w:val="auto"/>
          <w:szCs w:val="22"/>
        </w:rPr>
        <w:t xml:space="preserve"> </w:t>
      </w:r>
      <w:r w:rsidRPr="00C5212D">
        <w:rPr>
          <w:rFonts w:asciiTheme="majorHAnsi" w:hAnsiTheme="majorHAnsi" w:cstheme="majorHAnsi"/>
          <w:color w:val="auto"/>
          <w:szCs w:val="22"/>
        </w:rPr>
        <w:t>made the</w:t>
      </w:r>
      <w:r w:rsidR="0014336B" w:rsidRPr="00C5212D">
        <w:rPr>
          <w:rFonts w:asciiTheme="majorHAnsi" w:hAnsiTheme="majorHAnsi" w:cstheme="majorHAnsi"/>
          <w:color w:val="auto"/>
          <w:szCs w:val="22"/>
        </w:rPr>
        <w:t xml:space="preserve"> final</w:t>
      </w:r>
      <w:r w:rsidRPr="00C5212D">
        <w:rPr>
          <w:rFonts w:asciiTheme="majorHAnsi" w:hAnsiTheme="majorHAnsi" w:cstheme="majorHAnsi"/>
          <w:color w:val="auto"/>
          <w:szCs w:val="22"/>
        </w:rPr>
        <w:t xml:space="preserve"> decision to approve the funding to the successful grant recipients.</w:t>
      </w:r>
    </w:p>
    <w:p w:rsidR="00017C44" w:rsidRPr="00D845C6" w:rsidRDefault="00017C44" w:rsidP="00017C44">
      <w:pPr>
        <w:spacing w:line="276" w:lineRule="auto"/>
        <w:rPr>
          <w:rFonts w:ascii="Georgia" w:hAnsi="Georgia"/>
          <w:color w:val="FF0000"/>
          <w:sz w:val="36"/>
          <w:szCs w:val="36"/>
        </w:rPr>
      </w:pPr>
      <w:r w:rsidRPr="00D845C6">
        <w:rPr>
          <w:rFonts w:ascii="Georgia" w:hAnsi="Georgia"/>
          <w:color w:val="FF0000"/>
          <w:sz w:val="36"/>
          <w:szCs w:val="36"/>
        </w:rPr>
        <w:t>General feedback</w:t>
      </w:r>
    </w:p>
    <w:p w:rsidR="003B3036" w:rsidRPr="001C523C" w:rsidRDefault="003B3036" w:rsidP="003B3036">
      <w:pPr>
        <w:pStyle w:val="BodyText"/>
        <w:spacing w:line="276" w:lineRule="auto"/>
        <w:jc w:val="both"/>
        <w:rPr>
          <w:rFonts w:ascii="Arial" w:eastAsia="Times New Roman" w:hAnsi="Arial" w:cs="Arial"/>
          <w:color w:val="auto"/>
          <w:szCs w:val="22"/>
        </w:rPr>
      </w:pPr>
      <w:r w:rsidRPr="001C523C">
        <w:rPr>
          <w:rFonts w:ascii="Arial" w:eastAsia="Times New Roman" w:hAnsi="Arial" w:cs="Arial"/>
          <w:color w:val="auto"/>
          <w:szCs w:val="22"/>
        </w:rPr>
        <w:t>The successful applicants proposed activities were eligible, appropriate and considered effective for achieving the program objectives. They demonstrated their suitability for public funding, value for money and met all of the eligibility requirements in the Grant Opportunity Guidelines.</w:t>
      </w:r>
      <w:r w:rsidR="00EB643F">
        <w:rPr>
          <w:rFonts w:ascii="Arial" w:eastAsia="Times New Roman" w:hAnsi="Arial" w:cs="Arial"/>
          <w:color w:val="auto"/>
          <w:szCs w:val="22"/>
        </w:rPr>
        <w:t xml:space="preserve"> </w:t>
      </w:r>
      <w:r w:rsidR="00017C44" w:rsidRPr="001C523C">
        <w:rPr>
          <w:color w:val="auto"/>
          <w:szCs w:val="22"/>
        </w:rPr>
        <w:t xml:space="preserve">The feedback provided below on behalf of the Department of Education is to help grant applicants understand what strong applications addressed and how to strengthen future applications. </w:t>
      </w:r>
    </w:p>
    <w:p w:rsidR="00017C44" w:rsidRPr="001C523C" w:rsidRDefault="00017C44" w:rsidP="00017C44">
      <w:pPr>
        <w:spacing w:line="240" w:lineRule="auto"/>
        <w:rPr>
          <w:color w:val="auto"/>
          <w:szCs w:val="22"/>
        </w:rPr>
      </w:pPr>
    </w:p>
    <w:p w:rsidR="00017C44" w:rsidRPr="001C523C" w:rsidRDefault="00CA0AA2" w:rsidP="00017C44">
      <w:pPr>
        <w:pStyle w:val="BodyText"/>
        <w:spacing w:line="276" w:lineRule="auto"/>
        <w:jc w:val="both"/>
        <w:rPr>
          <w:szCs w:val="22"/>
        </w:rPr>
      </w:pPr>
      <w:r>
        <w:rPr>
          <w:szCs w:val="22"/>
        </w:rPr>
        <w:t>The following is general feedback that is relevant to all</w:t>
      </w:r>
      <w:r w:rsidRPr="001C523C">
        <w:rPr>
          <w:szCs w:val="22"/>
        </w:rPr>
        <w:t xml:space="preserve"> </w:t>
      </w:r>
      <w:r w:rsidR="00877E66">
        <w:rPr>
          <w:szCs w:val="22"/>
        </w:rPr>
        <w:t>applications</w:t>
      </w:r>
      <w:r w:rsidR="00D85BD6">
        <w:rPr>
          <w:szCs w:val="22"/>
        </w:rPr>
        <w:t>. Strong applicants supported their application by addressing</w:t>
      </w:r>
      <w:r w:rsidR="00877E66">
        <w:rPr>
          <w:szCs w:val="22"/>
        </w:rPr>
        <w:t>:</w:t>
      </w:r>
    </w:p>
    <w:p w:rsidR="0030446C" w:rsidRDefault="008E106B" w:rsidP="00017C44">
      <w:pPr>
        <w:pStyle w:val="ListParagraph"/>
        <w:numPr>
          <w:ilvl w:val="0"/>
          <w:numId w:val="7"/>
        </w:numPr>
        <w:spacing w:before="120" w:after="120" w:line="276" w:lineRule="auto"/>
        <w:ind w:left="714" w:hanging="357"/>
        <w:jc w:val="both"/>
        <w:rPr>
          <w:rFonts w:ascii="Arial" w:hAnsi="Arial" w:cs="Arial"/>
          <w:szCs w:val="22"/>
        </w:rPr>
      </w:pPr>
      <w:r>
        <w:rPr>
          <w:rFonts w:ascii="Arial" w:hAnsi="Arial" w:cs="Arial"/>
          <w:szCs w:val="22"/>
        </w:rPr>
        <w:t>T</w:t>
      </w:r>
      <w:r w:rsidR="0030446C">
        <w:rPr>
          <w:rFonts w:ascii="Arial" w:hAnsi="Arial" w:cs="Arial"/>
          <w:szCs w:val="22"/>
        </w:rPr>
        <w:t>he strategic priorities of the institution</w:t>
      </w:r>
      <w:r w:rsidR="00877E66">
        <w:rPr>
          <w:rFonts w:ascii="Arial" w:hAnsi="Arial" w:cs="Arial"/>
          <w:szCs w:val="22"/>
        </w:rPr>
        <w:t xml:space="preserve"> </w:t>
      </w:r>
      <w:r w:rsidR="002B3374">
        <w:rPr>
          <w:rFonts w:ascii="Arial" w:hAnsi="Arial" w:cs="Arial"/>
          <w:szCs w:val="22"/>
        </w:rPr>
        <w:t>–</w:t>
      </w:r>
      <w:r w:rsidR="00877E66">
        <w:rPr>
          <w:rFonts w:ascii="Arial" w:hAnsi="Arial" w:cs="Arial"/>
          <w:szCs w:val="22"/>
        </w:rPr>
        <w:t xml:space="preserve"> </w:t>
      </w:r>
      <w:r w:rsidR="002B3374">
        <w:rPr>
          <w:rFonts w:ascii="Arial" w:hAnsi="Arial" w:cs="Arial"/>
          <w:szCs w:val="22"/>
        </w:rPr>
        <w:t xml:space="preserve">providing </w:t>
      </w:r>
      <w:r w:rsidR="00877E66">
        <w:rPr>
          <w:rFonts w:ascii="Arial" w:hAnsi="Arial" w:cs="Arial"/>
          <w:szCs w:val="22"/>
        </w:rPr>
        <w:t xml:space="preserve">specific details on how the scholarship program would contribute towards the strategic priorities of the institution. </w:t>
      </w:r>
    </w:p>
    <w:p w:rsidR="00B93090" w:rsidRDefault="00B93090" w:rsidP="00017C44">
      <w:pPr>
        <w:pStyle w:val="ListParagraph"/>
        <w:numPr>
          <w:ilvl w:val="0"/>
          <w:numId w:val="7"/>
        </w:numPr>
        <w:spacing w:before="120" w:after="120" w:line="276" w:lineRule="auto"/>
        <w:ind w:left="714" w:hanging="357"/>
        <w:jc w:val="both"/>
        <w:rPr>
          <w:rFonts w:ascii="Arial" w:hAnsi="Arial" w:cs="Arial"/>
          <w:szCs w:val="22"/>
        </w:rPr>
      </w:pPr>
      <w:r>
        <w:rPr>
          <w:rFonts w:ascii="Arial" w:hAnsi="Arial" w:cs="Arial"/>
          <w:szCs w:val="22"/>
        </w:rPr>
        <w:t xml:space="preserve">Eligibility – </w:t>
      </w:r>
      <w:r w:rsidR="002B3374">
        <w:rPr>
          <w:rFonts w:ascii="Arial" w:hAnsi="Arial" w:cs="Arial"/>
          <w:szCs w:val="22"/>
        </w:rPr>
        <w:t>providing s</w:t>
      </w:r>
      <w:r w:rsidR="00D85BD6">
        <w:rPr>
          <w:rFonts w:ascii="Arial" w:hAnsi="Arial" w:cs="Arial"/>
          <w:szCs w:val="22"/>
        </w:rPr>
        <w:t>trong evidence to address student eligibility for the duration of the scholarship program</w:t>
      </w:r>
      <w:r w:rsidR="0094095C">
        <w:rPr>
          <w:rFonts w:ascii="Arial" w:hAnsi="Arial" w:cs="Arial"/>
          <w:szCs w:val="22"/>
        </w:rPr>
        <w:t>.</w:t>
      </w:r>
    </w:p>
    <w:p w:rsidR="00017C44" w:rsidRPr="001C523C" w:rsidRDefault="008E106B" w:rsidP="00017C44">
      <w:pPr>
        <w:pStyle w:val="ListParagraph"/>
        <w:numPr>
          <w:ilvl w:val="0"/>
          <w:numId w:val="7"/>
        </w:numPr>
        <w:spacing w:before="120" w:after="120" w:line="276" w:lineRule="auto"/>
        <w:ind w:left="714" w:hanging="357"/>
        <w:jc w:val="both"/>
        <w:rPr>
          <w:rFonts w:ascii="Arial" w:hAnsi="Arial" w:cs="Arial"/>
          <w:szCs w:val="22"/>
        </w:rPr>
      </w:pPr>
      <w:r>
        <w:rPr>
          <w:rFonts w:ascii="Arial" w:hAnsi="Arial" w:cs="Arial"/>
          <w:szCs w:val="22"/>
        </w:rPr>
        <w:t>S</w:t>
      </w:r>
      <w:r w:rsidR="00017C44" w:rsidRPr="001C523C">
        <w:rPr>
          <w:rFonts w:ascii="Arial" w:hAnsi="Arial" w:cs="Arial"/>
          <w:szCs w:val="22"/>
        </w:rPr>
        <w:t xml:space="preserve">ustainable growth of Australia’s high quality international and domestic education </w:t>
      </w:r>
      <w:r w:rsidR="004C4223">
        <w:rPr>
          <w:rFonts w:ascii="Arial" w:hAnsi="Arial" w:cs="Arial"/>
          <w:szCs w:val="22"/>
        </w:rPr>
        <w:t>providers</w:t>
      </w:r>
      <w:r w:rsidR="00CA0AA2">
        <w:rPr>
          <w:rFonts w:ascii="Arial" w:hAnsi="Arial" w:cs="Arial"/>
          <w:szCs w:val="22"/>
        </w:rPr>
        <w:t>–</w:t>
      </w:r>
      <w:r w:rsidR="002B3374">
        <w:rPr>
          <w:rFonts w:ascii="Arial" w:hAnsi="Arial" w:cs="Arial"/>
          <w:szCs w:val="22"/>
        </w:rPr>
        <w:t xml:space="preserve"> providing</w:t>
      </w:r>
      <w:r w:rsidR="00D85BD6">
        <w:rPr>
          <w:rFonts w:ascii="Arial" w:hAnsi="Arial" w:cs="Arial"/>
          <w:szCs w:val="22"/>
        </w:rPr>
        <w:t xml:space="preserve"> strong </w:t>
      </w:r>
      <w:r w:rsidR="00877E66">
        <w:rPr>
          <w:rFonts w:ascii="Arial" w:hAnsi="Arial" w:cs="Arial"/>
          <w:szCs w:val="22"/>
        </w:rPr>
        <w:t>evidence to describe how the award of Destination Australia would enable the institution to grow student numbers and build on existing quality delivery of education, research and training</w:t>
      </w:r>
      <w:r w:rsidR="00D7608A">
        <w:rPr>
          <w:rFonts w:ascii="Arial" w:hAnsi="Arial" w:cs="Arial"/>
          <w:szCs w:val="22"/>
        </w:rPr>
        <w:t xml:space="preserve"> within the institution and community. </w:t>
      </w:r>
    </w:p>
    <w:p w:rsidR="00017C44" w:rsidRPr="001C523C" w:rsidRDefault="008E106B" w:rsidP="00017C44">
      <w:pPr>
        <w:pStyle w:val="ListParagraph"/>
        <w:numPr>
          <w:ilvl w:val="0"/>
          <w:numId w:val="7"/>
        </w:numPr>
        <w:spacing w:before="120" w:after="120" w:line="276" w:lineRule="auto"/>
        <w:ind w:left="714" w:hanging="357"/>
        <w:jc w:val="both"/>
        <w:rPr>
          <w:rFonts w:ascii="Arial" w:hAnsi="Arial" w:cs="Arial"/>
          <w:szCs w:val="22"/>
        </w:rPr>
      </w:pPr>
      <w:r>
        <w:rPr>
          <w:rFonts w:ascii="Arial" w:hAnsi="Arial" w:cs="Arial"/>
          <w:szCs w:val="22"/>
        </w:rPr>
        <w:t>Growth of student numbers</w:t>
      </w:r>
      <w:r w:rsidR="00D7608A">
        <w:rPr>
          <w:rFonts w:ascii="Arial" w:hAnsi="Arial" w:cs="Arial"/>
          <w:szCs w:val="22"/>
        </w:rPr>
        <w:t xml:space="preserve"> –</w:t>
      </w:r>
      <w:r w:rsidR="00D85BD6">
        <w:rPr>
          <w:rFonts w:ascii="Arial" w:hAnsi="Arial" w:cs="Arial"/>
          <w:szCs w:val="22"/>
        </w:rPr>
        <w:t xml:space="preserve"> </w:t>
      </w:r>
      <w:r w:rsidR="002B3374">
        <w:rPr>
          <w:rFonts w:ascii="Arial" w:hAnsi="Arial" w:cs="Arial"/>
          <w:szCs w:val="22"/>
        </w:rPr>
        <w:t xml:space="preserve">providing </w:t>
      </w:r>
      <w:r w:rsidR="00D85BD6">
        <w:rPr>
          <w:rFonts w:ascii="Arial" w:hAnsi="Arial" w:cs="Arial"/>
          <w:szCs w:val="22"/>
        </w:rPr>
        <w:t>specific</w:t>
      </w:r>
      <w:r w:rsidR="00D7608A">
        <w:rPr>
          <w:rFonts w:ascii="Arial" w:hAnsi="Arial" w:cs="Arial"/>
          <w:szCs w:val="22"/>
        </w:rPr>
        <w:t xml:space="preserve"> evidence to explain how the scholarship would enable growth in the institution including how to attract high-achieving new students.</w:t>
      </w:r>
    </w:p>
    <w:p w:rsidR="00017C44" w:rsidRPr="001C523C" w:rsidRDefault="004C4223" w:rsidP="00017C44">
      <w:pPr>
        <w:pStyle w:val="ListParagraph"/>
        <w:numPr>
          <w:ilvl w:val="0"/>
          <w:numId w:val="7"/>
        </w:numPr>
        <w:spacing w:before="120" w:after="120" w:line="276" w:lineRule="auto"/>
        <w:ind w:left="714" w:hanging="357"/>
        <w:jc w:val="both"/>
        <w:rPr>
          <w:rFonts w:ascii="Arial" w:hAnsi="Arial" w:cs="Arial"/>
          <w:szCs w:val="22"/>
        </w:rPr>
      </w:pPr>
      <w:r>
        <w:rPr>
          <w:rFonts w:ascii="Arial" w:hAnsi="Arial" w:cs="Arial"/>
          <w:szCs w:val="22"/>
        </w:rPr>
        <w:t>L</w:t>
      </w:r>
      <w:r w:rsidR="00017C44" w:rsidRPr="001C523C">
        <w:rPr>
          <w:rFonts w:ascii="Arial" w:hAnsi="Arial" w:cs="Arial"/>
          <w:szCs w:val="22"/>
        </w:rPr>
        <w:t>inkages institutions have with regional communities</w:t>
      </w:r>
      <w:r w:rsidR="00D85BD6">
        <w:rPr>
          <w:rFonts w:ascii="Arial" w:hAnsi="Arial" w:cs="Arial"/>
          <w:szCs w:val="22"/>
        </w:rPr>
        <w:t xml:space="preserve"> </w:t>
      </w:r>
      <w:r w:rsidR="002B3374">
        <w:rPr>
          <w:rFonts w:ascii="Arial" w:hAnsi="Arial" w:cs="Arial"/>
          <w:szCs w:val="22"/>
        </w:rPr>
        <w:t>–</w:t>
      </w:r>
      <w:r w:rsidR="00017C44" w:rsidRPr="001C523C">
        <w:rPr>
          <w:rFonts w:ascii="Arial" w:hAnsi="Arial" w:cs="Arial"/>
          <w:szCs w:val="22"/>
        </w:rPr>
        <w:t xml:space="preserve"> </w:t>
      </w:r>
      <w:r w:rsidR="002B3374">
        <w:rPr>
          <w:rFonts w:ascii="Arial" w:hAnsi="Arial" w:cs="Arial"/>
          <w:szCs w:val="22"/>
        </w:rPr>
        <w:t xml:space="preserve">providing </w:t>
      </w:r>
      <w:r w:rsidR="00D85BD6">
        <w:rPr>
          <w:rFonts w:ascii="Arial" w:hAnsi="Arial" w:cs="Arial"/>
          <w:szCs w:val="22"/>
        </w:rPr>
        <w:t>strong evidence to address s</w:t>
      </w:r>
      <w:r w:rsidR="00D7608A">
        <w:rPr>
          <w:rFonts w:ascii="Arial" w:hAnsi="Arial" w:cs="Arial"/>
          <w:szCs w:val="22"/>
        </w:rPr>
        <w:t xml:space="preserve">pecific details on how linkages the institution has with its regional community could be </w:t>
      </w:r>
      <w:r w:rsidR="00D7608A">
        <w:rPr>
          <w:rFonts w:ascii="Arial" w:hAnsi="Arial" w:cs="Arial"/>
          <w:szCs w:val="22"/>
        </w:rPr>
        <w:lastRenderedPageBreak/>
        <w:t>leveraged to maximise the benefits of the scholarship program to the community more broadly.</w:t>
      </w:r>
    </w:p>
    <w:p w:rsidR="00017C44" w:rsidRDefault="008E106B" w:rsidP="00017C44">
      <w:pPr>
        <w:pStyle w:val="ListParagraph"/>
        <w:numPr>
          <w:ilvl w:val="0"/>
          <w:numId w:val="7"/>
        </w:numPr>
        <w:spacing w:before="120" w:after="120" w:line="276" w:lineRule="auto"/>
        <w:ind w:left="714" w:hanging="357"/>
        <w:jc w:val="both"/>
        <w:rPr>
          <w:rFonts w:ascii="Arial" w:hAnsi="Arial" w:cs="Arial"/>
          <w:szCs w:val="22"/>
        </w:rPr>
      </w:pPr>
      <w:r>
        <w:rPr>
          <w:rFonts w:ascii="Arial" w:hAnsi="Arial" w:cs="Arial"/>
          <w:szCs w:val="22"/>
        </w:rPr>
        <w:t xml:space="preserve">Capacity and Capability </w:t>
      </w:r>
      <w:r w:rsidR="00D85BD6">
        <w:rPr>
          <w:rFonts w:ascii="Arial" w:hAnsi="Arial" w:cs="Arial"/>
          <w:szCs w:val="22"/>
        </w:rPr>
        <w:t>–</w:t>
      </w:r>
      <w:r w:rsidR="002B3374">
        <w:rPr>
          <w:rFonts w:ascii="Arial" w:hAnsi="Arial" w:cs="Arial"/>
          <w:szCs w:val="22"/>
        </w:rPr>
        <w:t xml:space="preserve"> providing</w:t>
      </w:r>
      <w:r w:rsidR="004C4223">
        <w:rPr>
          <w:rFonts w:ascii="Arial" w:hAnsi="Arial" w:cs="Arial"/>
          <w:szCs w:val="22"/>
        </w:rPr>
        <w:t xml:space="preserve"> </w:t>
      </w:r>
      <w:r w:rsidR="00D85BD6">
        <w:rPr>
          <w:rFonts w:ascii="Arial" w:hAnsi="Arial" w:cs="Arial"/>
          <w:szCs w:val="22"/>
        </w:rPr>
        <w:t>strong evidence to</w:t>
      </w:r>
      <w:r w:rsidR="007E4177">
        <w:rPr>
          <w:rFonts w:ascii="Arial" w:hAnsi="Arial" w:cs="Arial"/>
          <w:szCs w:val="22"/>
        </w:rPr>
        <w:t xml:space="preserve"> describe the institutions track record in </w:t>
      </w:r>
      <w:r w:rsidR="00A51182">
        <w:rPr>
          <w:rFonts w:ascii="Arial" w:hAnsi="Arial" w:cs="Arial"/>
          <w:szCs w:val="22"/>
        </w:rPr>
        <w:t>the type of support services</w:t>
      </w:r>
      <w:r w:rsidR="007E4177">
        <w:rPr>
          <w:rFonts w:ascii="Arial" w:hAnsi="Arial" w:cs="Arial"/>
          <w:szCs w:val="22"/>
        </w:rPr>
        <w:t xml:space="preserve"> offered</w:t>
      </w:r>
      <w:r w:rsidR="00A51182">
        <w:rPr>
          <w:rFonts w:ascii="Arial" w:hAnsi="Arial" w:cs="Arial"/>
          <w:szCs w:val="22"/>
        </w:rPr>
        <w:t xml:space="preserve"> to both international and domestic students</w:t>
      </w:r>
      <w:r w:rsidR="007E4177">
        <w:rPr>
          <w:rFonts w:ascii="Arial" w:hAnsi="Arial" w:cs="Arial"/>
          <w:szCs w:val="22"/>
        </w:rPr>
        <w:t>.</w:t>
      </w:r>
    </w:p>
    <w:p w:rsidR="00B93090" w:rsidRPr="001C523C" w:rsidRDefault="00B93090" w:rsidP="00017C44">
      <w:pPr>
        <w:pStyle w:val="ListParagraph"/>
        <w:numPr>
          <w:ilvl w:val="0"/>
          <w:numId w:val="7"/>
        </w:numPr>
        <w:spacing w:before="120" w:after="120" w:line="276" w:lineRule="auto"/>
        <w:ind w:left="714" w:hanging="357"/>
        <w:jc w:val="both"/>
        <w:rPr>
          <w:rFonts w:ascii="Arial" w:hAnsi="Arial" w:cs="Arial"/>
          <w:szCs w:val="22"/>
        </w:rPr>
      </w:pPr>
      <w:r>
        <w:rPr>
          <w:rFonts w:ascii="Arial" w:hAnsi="Arial" w:cs="Arial"/>
          <w:szCs w:val="22"/>
        </w:rPr>
        <w:t>Support Services –</w:t>
      </w:r>
      <w:r w:rsidR="002B3374">
        <w:rPr>
          <w:rFonts w:ascii="Arial" w:hAnsi="Arial" w:cs="Arial"/>
          <w:szCs w:val="22"/>
        </w:rPr>
        <w:t xml:space="preserve"> providing</w:t>
      </w:r>
      <w:r>
        <w:rPr>
          <w:rFonts w:ascii="Arial" w:hAnsi="Arial" w:cs="Arial"/>
          <w:szCs w:val="22"/>
        </w:rPr>
        <w:t xml:space="preserve"> </w:t>
      </w:r>
      <w:r w:rsidR="00D85BD6">
        <w:rPr>
          <w:rFonts w:ascii="Arial" w:hAnsi="Arial" w:cs="Arial"/>
          <w:szCs w:val="22"/>
        </w:rPr>
        <w:t>specific e</w:t>
      </w:r>
      <w:r>
        <w:rPr>
          <w:rFonts w:ascii="Arial" w:hAnsi="Arial" w:cs="Arial"/>
          <w:szCs w:val="22"/>
        </w:rPr>
        <w:t>vidence to demonstrate how scholarship recipients could access and utilise adequate support services throughout the duration of the scholarship.</w:t>
      </w:r>
    </w:p>
    <w:p w:rsidR="00017C44" w:rsidRPr="001C523C" w:rsidRDefault="008E106B" w:rsidP="00017C44">
      <w:pPr>
        <w:pStyle w:val="ListParagraph"/>
        <w:numPr>
          <w:ilvl w:val="0"/>
          <w:numId w:val="7"/>
        </w:numPr>
        <w:spacing w:before="120" w:after="120" w:line="276" w:lineRule="auto"/>
        <w:ind w:left="714" w:hanging="357"/>
        <w:jc w:val="both"/>
        <w:rPr>
          <w:rFonts w:ascii="Arial" w:hAnsi="Arial" w:cs="Arial"/>
          <w:szCs w:val="22"/>
        </w:rPr>
      </w:pPr>
      <w:r>
        <w:rPr>
          <w:rFonts w:ascii="Arial" w:hAnsi="Arial" w:cs="Arial"/>
          <w:szCs w:val="22"/>
        </w:rPr>
        <w:t>Promotion</w:t>
      </w:r>
      <w:r w:rsidR="00017C44" w:rsidRPr="001C523C">
        <w:rPr>
          <w:rFonts w:ascii="Arial" w:hAnsi="Arial" w:cs="Arial"/>
          <w:szCs w:val="22"/>
        </w:rPr>
        <w:t xml:space="preserve"> and market</w:t>
      </w:r>
      <w:r>
        <w:rPr>
          <w:rFonts w:ascii="Arial" w:hAnsi="Arial" w:cs="Arial"/>
          <w:szCs w:val="22"/>
        </w:rPr>
        <w:t>ing</w:t>
      </w:r>
      <w:r w:rsidR="00017C44" w:rsidRPr="001C523C">
        <w:rPr>
          <w:rFonts w:ascii="Arial" w:hAnsi="Arial" w:cs="Arial"/>
          <w:szCs w:val="22"/>
        </w:rPr>
        <w:t xml:space="preserve"> the scholarship program </w:t>
      </w:r>
      <w:r w:rsidR="00D7608A">
        <w:rPr>
          <w:rFonts w:ascii="Arial" w:hAnsi="Arial" w:cs="Arial"/>
          <w:szCs w:val="22"/>
        </w:rPr>
        <w:t>–</w:t>
      </w:r>
      <w:r w:rsidR="002B3374">
        <w:rPr>
          <w:rFonts w:ascii="Arial" w:hAnsi="Arial" w:cs="Arial"/>
          <w:szCs w:val="22"/>
        </w:rPr>
        <w:t xml:space="preserve"> providing </w:t>
      </w:r>
      <w:r w:rsidR="00A51182">
        <w:rPr>
          <w:rFonts w:ascii="Arial" w:hAnsi="Arial" w:cs="Arial"/>
          <w:szCs w:val="22"/>
        </w:rPr>
        <w:t>strong evidence to demonstrate how the institution will promote</w:t>
      </w:r>
      <w:r>
        <w:rPr>
          <w:rFonts w:ascii="Arial" w:hAnsi="Arial" w:cs="Arial"/>
          <w:szCs w:val="22"/>
        </w:rPr>
        <w:t xml:space="preserve"> and market</w:t>
      </w:r>
      <w:r w:rsidR="00A51182">
        <w:rPr>
          <w:rFonts w:ascii="Arial" w:hAnsi="Arial" w:cs="Arial"/>
          <w:szCs w:val="22"/>
        </w:rPr>
        <w:t xml:space="preserve"> the scholarships in line with the funding agreement.</w:t>
      </w:r>
    </w:p>
    <w:p w:rsidR="00017C44" w:rsidRDefault="008E106B" w:rsidP="00017C44">
      <w:pPr>
        <w:pStyle w:val="ListParagraph"/>
        <w:numPr>
          <w:ilvl w:val="0"/>
          <w:numId w:val="7"/>
        </w:numPr>
        <w:spacing w:before="120" w:after="120" w:line="276" w:lineRule="auto"/>
        <w:ind w:left="714" w:hanging="357"/>
        <w:jc w:val="both"/>
        <w:rPr>
          <w:rFonts w:ascii="Arial" w:hAnsi="Arial" w:cs="Arial"/>
          <w:szCs w:val="22"/>
        </w:rPr>
      </w:pPr>
      <w:r>
        <w:rPr>
          <w:rFonts w:ascii="Arial" w:hAnsi="Arial" w:cs="Arial"/>
          <w:szCs w:val="22"/>
        </w:rPr>
        <w:t>S</w:t>
      </w:r>
      <w:r w:rsidR="00017C44" w:rsidRPr="001C523C">
        <w:rPr>
          <w:rFonts w:ascii="Arial" w:hAnsi="Arial" w:cs="Arial"/>
          <w:szCs w:val="22"/>
        </w:rPr>
        <w:t>upport</w:t>
      </w:r>
      <w:r w:rsidR="00D87BD8">
        <w:rPr>
          <w:rFonts w:ascii="Arial" w:hAnsi="Arial" w:cs="Arial"/>
          <w:szCs w:val="22"/>
        </w:rPr>
        <w:t>ing</w:t>
      </w:r>
      <w:r w:rsidR="00017C44" w:rsidRPr="001C523C">
        <w:rPr>
          <w:rFonts w:ascii="Arial" w:hAnsi="Arial" w:cs="Arial"/>
          <w:szCs w:val="22"/>
        </w:rPr>
        <w:t xml:space="preserve"> claims with relevant, reliable and current evidence</w:t>
      </w:r>
      <w:r w:rsidR="00A51182">
        <w:rPr>
          <w:rFonts w:ascii="Arial" w:hAnsi="Arial" w:cs="Arial"/>
          <w:szCs w:val="22"/>
        </w:rPr>
        <w:t xml:space="preserve"> –</w:t>
      </w:r>
      <w:r w:rsidR="00D85BD6">
        <w:rPr>
          <w:rFonts w:ascii="Arial" w:hAnsi="Arial" w:cs="Arial"/>
          <w:szCs w:val="22"/>
        </w:rPr>
        <w:t xml:space="preserve"> </w:t>
      </w:r>
      <w:r w:rsidR="002B3374">
        <w:rPr>
          <w:rFonts w:ascii="Arial" w:hAnsi="Arial" w:cs="Arial"/>
          <w:szCs w:val="22"/>
        </w:rPr>
        <w:t>providing</w:t>
      </w:r>
      <w:r>
        <w:rPr>
          <w:rFonts w:ascii="Arial" w:hAnsi="Arial" w:cs="Arial"/>
          <w:szCs w:val="22"/>
        </w:rPr>
        <w:t xml:space="preserve"> strong evidence to support claims in line with Program objectives. </w:t>
      </w:r>
    </w:p>
    <w:p w:rsidR="00BE199C" w:rsidRPr="00BE199C" w:rsidRDefault="00A55FE3" w:rsidP="00BE199C">
      <w:pPr>
        <w:pStyle w:val="ListParagraph"/>
        <w:numPr>
          <w:ilvl w:val="0"/>
          <w:numId w:val="7"/>
        </w:numPr>
        <w:spacing w:before="120" w:after="120" w:line="276" w:lineRule="auto"/>
        <w:ind w:left="714" w:hanging="357"/>
        <w:jc w:val="both"/>
        <w:rPr>
          <w:rFonts w:ascii="Arial" w:hAnsi="Arial" w:cs="Arial"/>
          <w:szCs w:val="22"/>
        </w:rPr>
      </w:pPr>
      <w:r>
        <w:rPr>
          <w:rFonts w:ascii="Arial" w:hAnsi="Arial" w:cs="Arial"/>
          <w:szCs w:val="22"/>
        </w:rPr>
        <w:t>E</w:t>
      </w:r>
      <w:r w:rsidR="00BE199C" w:rsidRPr="00BE199C">
        <w:rPr>
          <w:rFonts w:ascii="Arial" w:hAnsi="Arial" w:cs="Arial"/>
          <w:szCs w:val="22"/>
        </w:rPr>
        <w:t xml:space="preserve">nsuring all aspects of the assessment criteria were addressed, including using the character count available to provide sufficient detail when responding. </w:t>
      </w:r>
    </w:p>
    <w:p w:rsidR="00BE199C" w:rsidRPr="00BE199C" w:rsidRDefault="00686A24" w:rsidP="00BE199C">
      <w:pPr>
        <w:pStyle w:val="ListParagraph"/>
        <w:numPr>
          <w:ilvl w:val="0"/>
          <w:numId w:val="7"/>
        </w:numPr>
        <w:spacing w:before="120" w:after="120" w:line="276" w:lineRule="auto"/>
        <w:ind w:left="714" w:hanging="357"/>
        <w:jc w:val="both"/>
        <w:rPr>
          <w:rFonts w:ascii="Arial" w:hAnsi="Arial" w:cs="Arial"/>
          <w:szCs w:val="22"/>
        </w:rPr>
      </w:pPr>
      <w:r>
        <w:rPr>
          <w:rFonts w:ascii="Arial" w:hAnsi="Arial" w:cs="Arial"/>
          <w:szCs w:val="22"/>
        </w:rPr>
        <w:t>L</w:t>
      </w:r>
      <w:r w:rsidR="00BE199C" w:rsidRPr="00BE199C">
        <w:rPr>
          <w:rFonts w:ascii="Arial" w:hAnsi="Arial" w:cs="Arial"/>
          <w:szCs w:val="22"/>
        </w:rPr>
        <w:t>inking claims made back to the policy objectives and the project description/ services to be delivered</w:t>
      </w:r>
      <w:r w:rsidR="0094095C">
        <w:rPr>
          <w:rFonts w:ascii="Arial" w:hAnsi="Arial" w:cs="Arial"/>
          <w:szCs w:val="22"/>
        </w:rPr>
        <w:t>.</w:t>
      </w:r>
      <w:r w:rsidR="00BE199C" w:rsidRPr="00BE199C">
        <w:rPr>
          <w:rFonts w:ascii="Arial" w:hAnsi="Arial" w:cs="Arial"/>
          <w:szCs w:val="22"/>
        </w:rPr>
        <w:t xml:space="preserve"> </w:t>
      </w:r>
    </w:p>
    <w:p w:rsidR="00BE199C" w:rsidRPr="00BE199C" w:rsidRDefault="001A039B" w:rsidP="00BE199C">
      <w:pPr>
        <w:pStyle w:val="ListParagraph"/>
        <w:numPr>
          <w:ilvl w:val="0"/>
          <w:numId w:val="7"/>
        </w:numPr>
        <w:spacing w:before="120" w:after="120" w:line="276" w:lineRule="auto"/>
        <w:ind w:left="714" w:hanging="357"/>
        <w:jc w:val="both"/>
        <w:rPr>
          <w:rFonts w:ascii="Arial" w:hAnsi="Arial" w:cs="Arial"/>
          <w:szCs w:val="22"/>
        </w:rPr>
      </w:pPr>
      <w:r>
        <w:rPr>
          <w:rFonts w:ascii="Arial" w:hAnsi="Arial" w:cs="Arial"/>
          <w:szCs w:val="22"/>
        </w:rPr>
        <w:t>C</w:t>
      </w:r>
      <w:r w:rsidR="00BE199C" w:rsidRPr="00BE199C">
        <w:rPr>
          <w:rFonts w:ascii="Arial" w:hAnsi="Arial" w:cs="Arial"/>
          <w:szCs w:val="22"/>
        </w:rPr>
        <w:t>learly demonstrating the need for the activity in the specific geographic area being targeted</w:t>
      </w:r>
      <w:r w:rsidR="0094095C">
        <w:rPr>
          <w:rFonts w:ascii="Arial" w:hAnsi="Arial" w:cs="Arial"/>
          <w:szCs w:val="22"/>
        </w:rPr>
        <w:t>.</w:t>
      </w:r>
      <w:bookmarkStart w:id="0" w:name="_GoBack"/>
      <w:bookmarkEnd w:id="0"/>
      <w:r w:rsidR="00BE199C" w:rsidRPr="00BE199C">
        <w:rPr>
          <w:rFonts w:ascii="Arial" w:hAnsi="Arial" w:cs="Arial"/>
          <w:szCs w:val="22"/>
        </w:rPr>
        <w:t xml:space="preserve"> </w:t>
      </w:r>
    </w:p>
    <w:p w:rsidR="00BE199C" w:rsidRPr="00BE199C" w:rsidRDefault="001A039B" w:rsidP="00BE199C">
      <w:pPr>
        <w:pStyle w:val="ListParagraph"/>
        <w:numPr>
          <w:ilvl w:val="0"/>
          <w:numId w:val="7"/>
        </w:numPr>
        <w:spacing w:before="120" w:after="120" w:line="276" w:lineRule="auto"/>
        <w:ind w:left="714" w:hanging="357"/>
        <w:jc w:val="both"/>
        <w:rPr>
          <w:rFonts w:ascii="Arial" w:hAnsi="Arial" w:cs="Arial"/>
          <w:szCs w:val="22"/>
        </w:rPr>
      </w:pPr>
      <w:r>
        <w:rPr>
          <w:rFonts w:ascii="Arial" w:hAnsi="Arial" w:cs="Arial"/>
          <w:szCs w:val="22"/>
        </w:rPr>
        <w:t>P</w:t>
      </w:r>
      <w:r w:rsidR="00BE199C" w:rsidRPr="00BE199C">
        <w:rPr>
          <w:rFonts w:ascii="Arial" w:hAnsi="Arial" w:cs="Arial"/>
          <w:szCs w:val="22"/>
        </w:rPr>
        <w:t xml:space="preserve">roviding evidence </w:t>
      </w:r>
      <w:r w:rsidR="001169C7">
        <w:rPr>
          <w:rFonts w:ascii="Arial" w:hAnsi="Arial" w:cs="Arial"/>
          <w:szCs w:val="22"/>
        </w:rPr>
        <w:t>to demonstrate the</w:t>
      </w:r>
      <w:r w:rsidR="00BE199C">
        <w:rPr>
          <w:rFonts w:ascii="Arial" w:hAnsi="Arial" w:cs="Arial"/>
          <w:szCs w:val="22"/>
        </w:rPr>
        <w:t xml:space="preserve"> institution has the</w:t>
      </w:r>
      <w:r w:rsidR="00BE199C" w:rsidRPr="00BE199C">
        <w:rPr>
          <w:rFonts w:ascii="Arial" w:hAnsi="Arial" w:cs="Arial"/>
          <w:szCs w:val="22"/>
        </w:rPr>
        <w:t xml:space="preserve"> relevant skills and expertise to ensu</w:t>
      </w:r>
      <w:r w:rsidR="00BE199C">
        <w:rPr>
          <w:rFonts w:ascii="Arial" w:hAnsi="Arial" w:cs="Arial"/>
          <w:szCs w:val="22"/>
        </w:rPr>
        <w:t xml:space="preserve">re successful project delivery for the number of scholarships requested. </w:t>
      </w:r>
    </w:p>
    <w:p w:rsidR="00D11E93" w:rsidRPr="00D11E93" w:rsidRDefault="00D11E93" w:rsidP="00D11E93">
      <w:pPr>
        <w:spacing w:line="276" w:lineRule="auto"/>
        <w:rPr>
          <w:rFonts w:ascii="Georgia" w:hAnsi="Georgia"/>
          <w:color w:val="FF0000"/>
          <w:sz w:val="36"/>
          <w:szCs w:val="36"/>
        </w:rPr>
      </w:pPr>
    </w:p>
    <w:p w:rsidR="00D11E93" w:rsidRPr="00D11E93" w:rsidRDefault="00D11E93" w:rsidP="00D11E93">
      <w:pPr>
        <w:spacing w:line="276" w:lineRule="auto"/>
        <w:rPr>
          <w:rFonts w:ascii="Georgia" w:hAnsi="Georgia"/>
          <w:color w:val="FF0000"/>
          <w:sz w:val="36"/>
          <w:szCs w:val="36"/>
        </w:rPr>
      </w:pPr>
      <w:r w:rsidRPr="00D11E93">
        <w:rPr>
          <w:rFonts w:ascii="Georgia" w:hAnsi="Georgia"/>
          <w:color w:val="FF0000"/>
          <w:sz w:val="36"/>
          <w:szCs w:val="36"/>
        </w:rPr>
        <w:t xml:space="preserve">Guidance for future </w:t>
      </w:r>
      <w:r>
        <w:rPr>
          <w:rFonts w:ascii="Georgia" w:hAnsi="Georgia"/>
          <w:color w:val="FF0000"/>
          <w:sz w:val="36"/>
          <w:szCs w:val="36"/>
        </w:rPr>
        <w:t>Destination Australia</w:t>
      </w:r>
      <w:r w:rsidRPr="00D11E93">
        <w:rPr>
          <w:rFonts w:ascii="Georgia" w:hAnsi="Georgia"/>
          <w:color w:val="FF0000"/>
          <w:sz w:val="36"/>
          <w:szCs w:val="36"/>
        </w:rPr>
        <w:t xml:space="preserve"> grant applications </w:t>
      </w:r>
    </w:p>
    <w:p w:rsidR="00D11E93" w:rsidRPr="001C523C" w:rsidRDefault="00D11E93" w:rsidP="00D11E93">
      <w:pPr>
        <w:autoSpaceDE w:val="0"/>
        <w:autoSpaceDN w:val="0"/>
        <w:adjustRightInd w:val="0"/>
        <w:spacing w:line="240" w:lineRule="auto"/>
        <w:rPr>
          <w:rFonts w:ascii="Arial" w:hAnsi="Arial" w:cs="Arial"/>
          <w:color w:val="000000"/>
          <w:szCs w:val="22"/>
        </w:rPr>
      </w:pPr>
      <w:r w:rsidRPr="001C523C">
        <w:rPr>
          <w:rFonts w:ascii="Arial" w:hAnsi="Arial" w:cs="Arial"/>
          <w:color w:val="000000"/>
          <w:szCs w:val="22"/>
        </w:rPr>
        <w:t xml:space="preserve">The following guidance may assist applicants in completing applications for Destination Australia grant funding. </w:t>
      </w:r>
    </w:p>
    <w:p w:rsidR="00D11E93" w:rsidRPr="00D11E93" w:rsidRDefault="00D11E93" w:rsidP="00D11E93">
      <w:pPr>
        <w:autoSpaceDE w:val="0"/>
        <w:autoSpaceDN w:val="0"/>
        <w:adjustRightInd w:val="0"/>
        <w:spacing w:line="240" w:lineRule="auto"/>
        <w:rPr>
          <w:rFonts w:ascii="Georgia" w:hAnsi="Georgia" w:cs="Georgia"/>
          <w:color w:val="000000"/>
          <w:szCs w:val="22"/>
        </w:rPr>
      </w:pPr>
    </w:p>
    <w:p w:rsidR="00D11E93" w:rsidRDefault="00D11E93" w:rsidP="00D11E93">
      <w:pPr>
        <w:autoSpaceDE w:val="0"/>
        <w:autoSpaceDN w:val="0"/>
        <w:adjustRightInd w:val="0"/>
        <w:spacing w:line="240" w:lineRule="auto"/>
        <w:rPr>
          <w:rFonts w:ascii="Arial" w:hAnsi="Arial" w:cs="Arial"/>
          <w:b/>
          <w:bCs/>
          <w:color w:val="000000"/>
          <w:sz w:val="23"/>
          <w:szCs w:val="23"/>
        </w:rPr>
      </w:pPr>
      <w:r w:rsidRPr="00D11E93">
        <w:rPr>
          <w:rFonts w:ascii="Arial" w:hAnsi="Arial" w:cs="Arial"/>
          <w:b/>
          <w:bCs/>
          <w:color w:val="000000"/>
          <w:sz w:val="23"/>
          <w:szCs w:val="23"/>
        </w:rPr>
        <w:t xml:space="preserve">Read the supporting information before applying </w:t>
      </w:r>
    </w:p>
    <w:p w:rsidR="00D11E93" w:rsidRPr="00D11E93" w:rsidRDefault="00D11E93" w:rsidP="00D11E93">
      <w:pPr>
        <w:autoSpaceDE w:val="0"/>
        <w:autoSpaceDN w:val="0"/>
        <w:adjustRightInd w:val="0"/>
        <w:spacing w:line="240" w:lineRule="auto"/>
        <w:rPr>
          <w:rFonts w:ascii="Georgia" w:hAnsi="Georgia" w:cs="Georgia"/>
          <w:color w:val="000000"/>
          <w:sz w:val="23"/>
          <w:szCs w:val="23"/>
        </w:rPr>
      </w:pPr>
    </w:p>
    <w:p w:rsidR="00D11E93" w:rsidRPr="001C523C" w:rsidRDefault="00D11E93" w:rsidP="00D11E93">
      <w:pPr>
        <w:pStyle w:val="ListParagraph"/>
        <w:numPr>
          <w:ilvl w:val="0"/>
          <w:numId w:val="23"/>
        </w:numPr>
        <w:autoSpaceDE w:val="0"/>
        <w:autoSpaceDN w:val="0"/>
        <w:adjustRightInd w:val="0"/>
        <w:spacing w:after="180" w:line="276" w:lineRule="auto"/>
        <w:rPr>
          <w:rFonts w:ascii="Arial" w:hAnsi="Arial" w:cs="Arial"/>
          <w:color w:val="000000"/>
          <w:szCs w:val="22"/>
        </w:rPr>
      </w:pPr>
      <w:r w:rsidRPr="001C523C">
        <w:rPr>
          <w:rFonts w:ascii="Arial" w:hAnsi="Arial" w:cs="Arial"/>
          <w:color w:val="000000"/>
          <w:szCs w:val="22"/>
        </w:rPr>
        <w:t xml:space="preserve">It is important to read all available information provided about Destination Australia grants when applying for funding, especially the Grant Opportunity documentation provided on the Hub’s website. </w:t>
      </w:r>
    </w:p>
    <w:p w:rsidR="00D11E93" w:rsidRPr="001C523C" w:rsidRDefault="00D11E93" w:rsidP="00D11E93">
      <w:pPr>
        <w:pStyle w:val="ListParagraph"/>
        <w:numPr>
          <w:ilvl w:val="0"/>
          <w:numId w:val="23"/>
        </w:numPr>
        <w:autoSpaceDE w:val="0"/>
        <w:autoSpaceDN w:val="0"/>
        <w:adjustRightInd w:val="0"/>
        <w:spacing w:after="180" w:line="276" w:lineRule="auto"/>
        <w:rPr>
          <w:rFonts w:ascii="Arial" w:hAnsi="Arial" w:cs="Arial"/>
          <w:color w:val="000000"/>
          <w:szCs w:val="22"/>
        </w:rPr>
      </w:pPr>
      <w:r w:rsidRPr="001C523C">
        <w:rPr>
          <w:rFonts w:ascii="Arial" w:hAnsi="Arial" w:cs="Arial"/>
          <w:color w:val="000000"/>
          <w:szCs w:val="22"/>
        </w:rPr>
        <w:t xml:space="preserve">The Grant Opportunity documentation is specific to Destination Australia grant round and contains important information about the purpose of the program, eligibility and compliance requirements, timeframes, and how to apply. </w:t>
      </w:r>
    </w:p>
    <w:p w:rsidR="003B3036" w:rsidRDefault="00D11E93" w:rsidP="003B3036">
      <w:pPr>
        <w:pStyle w:val="ListParagraph"/>
        <w:numPr>
          <w:ilvl w:val="0"/>
          <w:numId w:val="23"/>
        </w:numPr>
        <w:autoSpaceDE w:val="0"/>
        <w:autoSpaceDN w:val="0"/>
        <w:adjustRightInd w:val="0"/>
        <w:spacing w:after="180" w:line="276" w:lineRule="auto"/>
        <w:rPr>
          <w:rFonts w:ascii="Arial" w:hAnsi="Arial" w:cs="Arial"/>
          <w:color w:val="000000"/>
          <w:szCs w:val="22"/>
        </w:rPr>
      </w:pPr>
      <w:r w:rsidRPr="001C523C">
        <w:rPr>
          <w:rFonts w:ascii="Arial" w:hAnsi="Arial" w:cs="Arial"/>
          <w:color w:val="000000"/>
          <w:szCs w:val="22"/>
        </w:rPr>
        <w:t xml:space="preserve">The Application Form includes helpful information and details on questions relating to mandatory information required by the Hub and Department of Education for the selection process. </w:t>
      </w:r>
    </w:p>
    <w:p w:rsidR="003B3036" w:rsidRPr="003B3036" w:rsidRDefault="003B3036" w:rsidP="003B3036">
      <w:pPr>
        <w:pStyle w:val="ListParagraph"/>
        <w:numPr>
          <w:ilvl w:val="0"/>
          <w:numId w:val="23"/>
        </w:numPr>
        <w:autoSpaceDE w:val="0"/>
        <w:autoSpaceDN w:val="0"/>
        <w:adjustRightInd w:val="0"/>
        <w:spacing w:after="180" w:line="276" w:lineRule="auto"/>
        <w:rPr>
          <w:rFonts w:ascii="Arial" w:hAnsi="Arial" w:cs="Arial"/>
          <w:color w:val="000000"/>
          <w:szCs w:val="22"/>
        </w:rPr>
      </w:pPr>
      <w:r w:rsidRPr="003B3036">
        <w:rPr>
          <w:rFonts w:cstheme="minorHAnsi"/>
          <w:color w:val="auto"/>
        </w:rPr>
        <w:t xml:space="preserve">Future grant opportunities may be available for this program. You can find out about new grant opportunities on </w:t>
      </w:r>
      <w:hyperlink r:id="rId10" w:history="1">
        <w:r w:rsidRPr="003B3036">
          <w:rPr>
            <w:rFonts w:cstheme="minorHAnsi"/>
            <w:color w:val="auto"/>
          </w:rPr>
          <w:t>Grant Connect</w:t>
        </w:r>
      </w:hyperlink>
      <w:r w:rsidRPr="003B3036">
        <w:rPr>
          <w:rFonts w:cstheme="minorHAnsi"/>
          <w:color w:val="auto"/>
        </w:rPr>
        <w:t>.</w:t>
      </w:r>
    </w:p>
    <w:p w:rsidR="00D13C21" w:rsidRPr="00BE199C" w:rsidRDefault="00D13C21" w:rsidP="00D13C21">
      <w:pPr>
        <w:pStyle w:val="ListParagraph"/>
        <w:numPr>
          <w:ilvl w:val="0"/>
          <w:numId w:val="23"/>
        </w:numPr>
        <w:spacing w:before="120" w:after="120" w:line="276" w:lineRule="auto"/>
        <w:jc w:val="both"/>
        <w:rPr>
          <w:rFonts w:ascii="Arial" w:hAnsi="Arial" w:cs="Arial"/>
          <w:szCs w:val="22"/>
        </w:rPr>
      </w:pPr>
      <w:r>
        <w:rPr>
          <w:rFonts w:ascii="Arial" w:hAnsi="Arial" w:cs="Arial"/>
          <w:szCs w:val="22"/>
        </w:rPr>
        <w:t>Applicants cannot propose a grant activity that is ineligible for funding (for example, scholarship programs that begin after the grant activity year).</w:t>
      </w:r>
    </w:p>
    <w:p w:rsidR="00395D02" w:rsidRDefault="00395D02" w:rsidP="00A40083">
      <w:pPr>
        <w:pStyle w:val="BodyText"/>
        <w:spacing w:line="276" w:lineRule="auto"/>
      </w:pPr>
    </w:p>
    <w:sectPr w:rsidR="00395D02" w:rsidSect="00D91B18">
      <w:headerReference w:type="default"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B9B" w:rsidRDefault="00584B9B" w:rsidP="00772718">
      <w:pPr>
        <w:spacing w:line="240" w:lineRule="auto"/>
      </w:pPr>
      <w:r>
        <w:separator/>
      </w:r>
    </w:p>
  </w:endnote>
  <w:endnote w:type="continuationSeparator" w:id="0">
    <w:p w:rsidR="00584B9B" w:rsidRDefault="00584B9B" w:rsidP="00772718">
      <w:pPr>
        <w:spacing w:line="240" w:lineRule="auto"/>
      </w:pPr>
      <w:r>
        <w:continuationSeparator/>
      </w:r>
    </w:p>
  </w:endnote>
  <w:endnote w:type="continuationNotice" w:id="1">
    <w:p w:rsidR="00584B9B" w:rsidRDefault="00584B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94095C">
      <w:rPr>
        <w:noProof/>
      </w:rPr>
      <w:t>3</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60633359" wp14:editId="58B5BD77">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81398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94095C">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B9B" w:rsidRDefault="00584B9B" w:rsidP="00772718">
      <w:pPr>
        <w:spacing w:line="240" w:lineRule="auto"/>
      </w:pPr>
      <w:r>
        <w:separator/>
      </w:r>
    </w:p>
  </w:footnote>
  <w:footnote w:type="continuationSeparator" w:id="0">
    <w:p w:rsidR="00584B9B" w:rsidRDefault="00584B9B" w:rsidP="00772718">
      <w:pPr>
        <w:spacing w:line="240" w:lineRule="auto"/>
      </w:pPr>
      <w:r>
        <w:continuationSeparator/>
      </w:r>
    </w:p>
  </w:footnote>
  <w:footnote w:type="continuationNotice" w:id="1">
    <w:p w:rsidR="00584B9B" w:rsidRDefault="00584B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02C87EE" wp14:editId="5767907F">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2C0390"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3B1F4C93" wp14:editId="3AC98795">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4F3259CB" wp14:editId="59AB993C">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2722807E" wp14:editId="71A8389D">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1169C3"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5D90CCE1" wp14:editId="1710B8AB">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EB0C2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789454B" wp14:editId="683451E5">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053D1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054E"/>
    <w:multiLevelType w:val="hybridMultilevel"/>
    <w:tmpl w:val="63729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516C7E"/>
    <w:multiLevelType w:val="multilevel"/>
    <w:tmpl w:val="C95C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F341DC3"/>
    <w:multiLevelType w:val="hybridMultilevel"/>
    <w:tmpl w:val="F2229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916491"/>
    <w:multiLevelType w:val="hybridMultilevel"/>
    <w:tmpl w:val="673E53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3EBE3379"/>
    <w:multiLevelType w:val="multilevel"/>
    <w:tmpl w:val="BBE85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01D4A2B"/>
    <w:multiLevelType w:val="hybridMultilevel"/>
    <w:tmpl w:val="0C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52B65DAB"/>
    <w:multiLevelType w:val="hybridMultilevel"/>
    <w:tmpl w:val="D5F01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FD0034C"/>
    <w:multiLevelType w:val="hybridMultilevel"/>
    <w:tmpl w:val="656A2C0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62EF276C"/>
    <w:multiLevelType w:val="hybridMultilevel"/>
    <w:tmpl w:val="37960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CA09B4"/>
    <w:multiLevelType w:val="multilevel"/>
    <w:tmpl w:val="054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565980"/>
    <w:multiLevelType w:val="hybridMultilevel"/>
    <w:tmpl w:val="B9662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7" w15:restartNumberingAfterBreak="0">
    <w:nsid w:val="7C297960"/>
    <w:multiLevelType w:val="hybridMultilevel"/>
    <w:tmpl w:val="4C1643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CF46DC1"/>
    <w:multiLevelType w:val="hybridMultilevel"/>
    <w:tmpl w:val="B7466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9"/>
  </w:num>
  <w:num w:numId="4">
    <w:abstractNumId w:val="6"/>
  </w:num>
  <w:num w:numId="5">
    <w:abstractNumId w:val="1"/>
  </w:num>
  <w:num w:numId="6">
    <w:abstractNumId w:val="12"/>
  </w:num>
  <w:num w:numId="7">
    <w:abstractNumId w:val="11"/>
  </w:num>
  <w:num w:numId="8">
    <w:abstractNumId w:val="10"/>
  </w:num>
  <w:num w:numId="9">
    <w:abstractNumId w:val="5"/>
  </w:num>
  <w:num w:numId="10">
    <w:abstractNumId w:val="4"/>
  </w:num>
  <w:num w:numId="11">
    <w:abstractNumId w:val="14"/>
  </w:num>
  <w:num w:numId="12">
    <w:abstractNumId w:val="2"/>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17"/>
  </w:num>
  <w:num w:numId="23">
    <w:abstractNumId w:val="0"/>
  </w:num>
  <w:num w:numId="24">
    <w:abstractNumId w:val="18"/>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17C44"/>
    <w:rsid w:val="00020BB9"/>
    <w:rsid w:val="0003018E"/>
    <w:rsid w:val="00033BC3"/>
    <w:rsid w:val="00043290"/>
    <w:rsid w:val="00044E09"/>
    <w:rsid w:val="0004784D"/>
    <w:rsid w:val="000506D3"/>
    <w:rsid w:val="00053A00"/>
    <w:rsid w:val="00054AC6"/>
    <w:rsid w:val="00066FA3"/>
    <w:rsid w:val="00067A24"/>
    <w:rsid w:val="00082A21"/>
    <w:rsid w:val="00094574"/>
    <w:rsid w:val="00097E93"/>
    <w:rsid w:val="000A065A"/>
    <w:rsid w:val="000A52F0"/>
    <w:rsid w:val="000A5F6A"/>
    <w:rsid w:val="000A7E1E"/>
    <w:rsid w:val="000B55BD"/>
    <w:rsid w:val="000B6C00"/>
    <w:rsid w:val="000B6F4C"/>
    <w:rsid w:val="000C1F06"/>
    <w:rsid w:val="000C2973"/>
    <w:rsid w:val="000E4A62"/>
    <w:rsid w:val="000E5B24"/>
    <w:rsid w:val="000F1DD1"/>
    <w:rsid w:val="000F28B8"/>
    <w:rsid w:val="000F3766"/>
    <w:rsid w:val="000F3988"/>
    <w:rsid w:val="000F77B1"/>
    <w:rsid w:val="000F7883"/>
    <w:rsid w:val="00100642"/>
    <w:rsid w:val="00100880"/>
    <w:rsid w:val="001024D3"/>
    <w:rsid w:val="0010265A"/>
    <w:rsid w:val="00103217"/>
    <w:rsid w:val="00103C33"/>
    <w:rsid w:val="00106FC4"/>
    <w:rsid w:val="001100A9"/>
    <w:rsid w:val="00111F0C"/>
    <w:rsid w:val="001169C7"/>
    <w:rsid w:val="00120B80"/>
    <w:rsid w:val="00123B24"/>
    <w:rsid w:val="00125E28"/>
    <w:rsid w:val="00135605"/>
    <w:rsid w:val="0014336B"/>
    <w:rsid w:val="00144A70"/>
    <w:rsid w:val="00145E2D"/>
    <w:rsid w:val="00155BBC"/>
    <w:rsid w:val="00157FAF"/>
    <w:rsid w:val="0016612C"/>
    <w:rsid w:val="001763D4"/>
    <w:rsid w:val="00181433"/>
    <w:rsid w:val="001834DD"/>
    <w:rsid w:val="00184C54"/>
    <w:rsid w:val="0019165E"/>
    <w:rsid w:val="001A039B"/>
    <w:rsid w:val="001A24B7"/>
    <w:rsid w:val="001B6411"/>
    <w:rsid w:val="001C0E37"/>
    <w:rsid w:val="001C523C"/>
    <w:rsid w:val="001C53CE"/>
    <w:rsid w:val="001C5D96"/>
    <w:rsid w:val="001D341B"/>
    <w:rsid w:val="001E0565"/>
    <w:rsid w:val="001E3D2B"/>
    <w:rsid w:val="001E66CE"/>
    <w:rsid w:val="001F714E"/>
    <w:rsid w:val="001F7592"/>
    <w:rsid w:val="00204C04"/>
    <w:rsid w:val="002132B2"/>
    <w:rsid w:val="00221DC2"/>
    <w:rsid w:val="002256F7"/>
    <w:rsid w:val="002274DA"/>
    <w:rsid w:val="002313F4"/>
    <w:rsid w:val="00234216"/>
    <w:rsid w:val="00237BDC"/>
    <w:rsid w:val="00242AE8"/>
    <w:rsid w:val="00243004"/>
    <w:rsid w:val="00243FF8"/>
    <w:rsid w:val="00244B48"/>
    <w:rsid w:val="0025498C"/>
    <w:rsid w:val="0025529D"/>
    <w:rsid w:val="002573D5"/>
    <w:rsid w:val="0026272E"/>
    <w:rsid w:val="00264A49"/>
    <w:rsid w:val="00264E26"/>
    <w:rsid w:val="0027045B"/>
    <w:rsid w:val="00272529"/>
    <w:rsid w:val="00275F97"/>
    <w:rsid w:val="00280E74"/>
    <w:rsid w:val="002908F4"/>
    <w:rsid w:val="00292166"/>
    <w:rsid w:val="002A0DFB"/>
    <w:rsid w:val="002A41E1"/>
    <w:rsid w:val="002B3374"/>
    <w:rsid w:val="002B6242"/>
    <w:rsid w:val="002B6574"/>
    <w:rsid w:val="002D4D48"/>
    <w:rsid w:val="002D56D0"/>
    <w:rsid w:val="002E1CCC"/>
    <w:rsid w:val="002E21D2"/>
    <w:rsid w:val="002E4EE3"/>
    <w:rsid w:val="002F6A8F"/>
    <w:rsid w:val="002F7D3C"/>
    <w:rsid w:val="003035D3"/>
    <w:rsid w:val="0030446C"/>
    <w:rsid w:val="00305720"/>
    <w:rsid w:val="0030663B"/>
    <w:rsid w:val="0031098A"/>
    <w:rsid w:val="00312FBA"/>
    <w:rsid w:val="003131AB"/>
    <w:rsid w:val="00313C2C"/>
    <w:rsid w:val="003144CE"/>
    <w:rsid w:val="00314E2A"/>
    <w:rsid w:val="003217BE"/>
    <w:rsid w:val="0033300E"/>
    <w:rsid w:val="00333280"/>
    <w:rsid w:val="00333A60"/>
    <w:rsid w:val="0034044F"/>
    <w:rsid w:val="003428C0"/>
    <w:rsid w:val="00347A22"/>
    <w:rsid w:val="003546A9"/>
    <w:rsid w:val="00355FF2"/>
    <w:rsid w:val="003701E8"/>
    <w:rsid w:val="0037318C"/>
    <w:rsid w:val="00380FFF"/>
    <w:rsid w:val="00391C51"/>
    <w:rsid w:val="00395D02"/>
    <w:rsid w:val="003A17CA"/>
    <w:rsid w:val="003B0521"/>
    <w:rsid w:val="003B16E5"/>
    <w:rsid w:val="003B3036"/>
    <w:rsid w:val="003B3B49"/>
    <w:rsid w:val="003D0647"/>
    <w:rsid w:val="003D1265"/>
    <w:rsid w:val="003D255E"/>
    <w:rsid w:val="003D353D"/>
    <w:rsid w:val="003D3B1D"/>
    <w:rsid w:val="003D505F"/>
    <w:rsid w:val="003D5DBE"/>
    <w:rsid w:val="003E5A65"/>
    <w:rsid w:val="003E7F51"/>
    <w:rsid w:val="0040114E"/>
    <w:rsid w:val="00401AEF"/>
    <w:rsid w:val="00404841"/>
    <w:rsid w:val="00410234"/>
    <w:rsid w:val="00412059"/>
    <w:rsid w:val="00415232"/>
    <w:rsid w:val="00416BE6"/>
    <w:rsid w:val="00425633"/>
    <w:rsid w:val="004312D0"/>
    <w:rsid w:val="004325C6"/>
    <w:rsid w:val="00435F02"/>
    <w:rsid w:val="004364FA"/>
    <w:rsid w:val="00441E79"/>
    <w:rsid w:val="004449EC"/>
    <w:rsid w:val="00447CC7"/>
    <w:rsid w:val="00450486"/>
    <w:rsid w:val="004547DD"/>
    <w:rsid w:val="00454EB4"/>
    <w:rsid w:val="00456408"/>
    <w:rsid w:val="00464FF6"/>
    <w:rsid w:val="004709E9"/>
    <w:rsid w:val="00472379"/>
    <w:rsid w:val="00476804"/>
    <w:rsid w:val="00477C2B"/>
    <w:rsid w:val="00480712"/>
    <w:rsid w:val="00480D54"/>
    <w:rsid w:val="00483A58"/>
    <w:rsid w:val="00484BF8"/>
    <w:rsid w:val="004904E9"/>
    <w:rsid w:val="00490618"/>
    <w:rsid w:val="004A2905"/>
    <w:rsid w:val="004B2BA7"/>
    <w:rsid w:val="004B464A"/>
    <w:rsid w:val="004B5F40"/>
    <w:rsid w:val="004C4223"/>
    <w:rsid w:val="004C7D16"/>
    <w:rsid w:val="004D6755"/>
    <w:rsid w:val="004D700E"/>
    <w:rsid w:val="004D7A07"/>
    <w:rsid w:val="004D7F17"/>
    <w:rsid w:val="004E0670"/>
    <w:rsid w:val="004E65E5"/>
    <w:rsid w:val="004E7F37"/>
    <w:rsid w:val="004F0E9B"/>
    <w:rsid w:val="004F31BA"/>
    <w:rsid w:val="004F5B15"/>
    <w:rsid w:val="00507BD8"/>
    <w:rsid w:val="0051104D"/>
    <w:rsid w:val="005118E4"/>
    <w:rsid w:val="0051299F"/>
    <w:rsid w:val="00526B85"/>
    <w:rsid w:val="005273FB"/>
    <w:rsid w:val="005306A1"/>
    <w:rsid w:val="00531033"/>
    <w:rsid w:val="00544751"/>
    <w:rsid w:val="00544B6C"/>
    <w:rsid w:val="00584B9B"/>
    <w:rsid w:val="0059000C"/>
    <w:rsid w:val="0059519B"/>
    <w:rsid w:val="005A02A1"/>
    <w:rsid w:val="005A2C45"/>
    <w:rsid w:val="005B35BA"/>
    <w:rsid w:val="005B6071"/>
    <w:rsid w:val="005C7BE0"/>
    <w:rsid w:val="005D2E4B"/>
    <w:rsid w:val="005D48C5"/>
    <w:rsid w:val="005D799D"/>
    <w:rsid w:val="005D7A24"/>
    <w:rsid w:val="005E1F1A"/>
    <w:rsid w:val="005E5013"/>
    <w:rsid w:val="00616EBA"/>
    <w:rsid w:val="00621D2B"/>
    <w:rsid w:val="00622B47"/>
    <w:rsid w:val="006262AE"/>
    <w:rsid w:val="00632C08"/>
    <w:rsid w:val="00633632"/>
    <w:rsid w:val="00633CCB"/>
    <w:rsid w:val="006424F4"/>
    <w:rsid w:val="00644833"/>
    <w:rsid w:val="00652B87"/>
    <w:rsid w:val="00654C42"/>
    <w:rsid w:val="00660140"/>
    <w:rsid w:val="00662360"/>
    <w:rsid w:val="00670586"/>
    <w:rsid w:val="0067074A"/>
    <w:rsid w:val="00672994"/>
    <w:rsid w:val="00680106"/>
    <w:rsid w:val="00684437"/>
    <w:rsid w:val="00686A24"/>
    <w:rsid w:val="00692EFD"/>
    <w:rsid w:val="00693DAC"/>
    <w:rsid w:val="00697ABA"/>
    <w:rsid w:val="006A16AA"/>
    <w:rsid w:val="006A4261"/>
    <w:rsid w:val="006B1C04"/>
    <w:rsid w:val="006C0C20"/>
    <w:rsid w:val="006C15C5"/>
    <w:rsid w:val="006D3DAD"/>
    <w:rsid w:val="006E44D0"/>
    <w:rsid w:val="006F05BB"/>
    <w:rsid w:val="006F7B19"/>
    <w:rsid w:val="00707E21"/>
    <w:rsid w:val="00711312"/>
    <w:rsid w:val="00716D7B"/>
    <w:rsid w:val="00732034"/>
    <w:rsid w:val="00735570"/>
    <w:rsid w:val="00736A76"/>
    <w:rsid w:val="00736E41"/>
    <w:rsid w:val="007503B2"/>
    <w:rsid w:val="00752C6B"/>
    <w:rsid w:val="00760CE6"/>
    <w:rsid w:val="00762F09"/>
    <w:rsid w:val="00763C23"/>
    <w:rsid w:val="0076438E"/>
    <w:rsid w:val="007719C9"/>
    <w:rsid w:val="00772718"/>
    <w:rsid w:val="00780874"/>
    <w:rsid w:val="007A29B6"/>
    <w:rsid w:val="007A5326"/>
    <w:rsid w:val="007A582D"/>
    <w:rsid w:val="007A6581"/>
    <w:rsid w:val="007B23D9"/>
    <w:rsid w:val="007C29F3"/>
    <w:rsid w:val="007D30A8"/>
    <w:rsid w:val="007D78F6"/>
    <w:rsid w:val="007E2C28"/>
    <w:rsid w:val="007E4177"/>
    <w:rsid w:val="007E5590"/>
    <w:rsid w:val="007E5E44"/>
    <w:rsid w:val="007F1687"/>
    <w:rsid w:val="007F614A"/>
    <w:rsid w:val="008006CE"/>
    <w:rsid w:val="00813055"/>
    <w:rsid w:val="00814FB1"/>
    <w:rsid w:val="008175BD"/>
    <w:rsid w:val="00820517"/>
    <w:rsid w:val="00820F20"/>
    <w:rsid w:val="0082528A"/>
    <w:rsid w:val="00825623"/>
    <w:rsid w:val="00825754"/>
    <w:rsid w:val="00826CA8"/>
    <w:rsid w:val="00833758"/>
    <w:rsid w:val="00835210"/>
    <w:rsid w:val="00842307"/>
    <w:rsid w:val="0084413D"/>
    <w:rsid w:val="00844C2D"/>
    <w:rsid w:val="00845491"/>
    <w:rsid w:val="00851A96"/>
    <w:rsid w:val="00851FDD"/>
    <w:rsid w:val="00854C6D"/>
    <w:rsid w:val="00857115"/>
    <w:rsid w:val="00867428"/>
    <w:rsid w:val="008713AB"/>
    <w:rsid w:val="0087438E"/>
    <w:rsid w:val="00877E66"/>
    <w:rsid w:val="00884668"/>
    <w:rsid w:val="00892DC3"/>
    <w:rsid w:val="00894FC8"/>
    <w:rsid w:val="00896722"/>
    <w:rsid w:val="0089685E"/>
    <w:rsid w:val="008A1620"/>
    <w:rsid w:val="008A5D53"/>
    <w:rsid w:val="008A749A"/>
    <w:rsid w:val="008B2B46"/>
    <w:rsid w:val="008B3233"/>
    <w:rsid w:val="008C493B"/>
    <w:rsid w:val="008D5750"/>
    <w:rsid w:val="008D6B61"/>
    <w:rsid w:val="008E05BC"/>
    <w:rsid w:val="008E106B"/>
    <w:rsid w:val="008E4932"/>
    <w:rsid w:val="008F17B8"/>
    <w:rsid w:val="008F3CCF"/>
    <w:rsid w:val="008F6399"/>
    <w:rsid w:val="009007B4"/>
    <w:rsid w:val="00903CAF"/>
    <w:rsid w:val="0091168E"/>
    <w:rsid w:val="00913614"/>
    <w:rsid w:val="00921840"/>
    <w:rsid w:val="009328CE"/>
    <w:rsid w:val="00932C87"/>
    <w:rsid w:val="00933010"/>
    <w:rsid w:val="009331B4"/>
    <w:rsid w:val="009345F1"/>
    <w:rsid w:val="0094095C"/>
    <w:rsid w:val="009411AB"/>
    <w:rsid w:val="009432E8"/>
    <w:rsid w:val="009442AD"/>
    <w:rsid w:val="00944BBB"/>
    <w:rsid w:val="00945FD2"/>
    <w:rsid w:val="009547B6"/>
    <w:rsid w:val="00955671"/>
    <w:rsid w:val="00961072"/>
    <w:rsid w:val="0096623C"/>
    <w:rsid w:val="00972ED9"/>
    <w:rsid w:val="00975FFB"/>
    <w:rsid w:val="009778D8"/>
    <w:rsid w:val="00977BCC"/>
    <w:rsid w:val="00983656"/>
    <w:rsid w:val="009A05D0"/>
    <w:rsid w:val="009A1723"/>
    <w:rsid w:val="009A1D4C"/>
    <w:rsid w:val="009B4723"/>
    <w:rsid w:val="009B5531"/>
    <w:rsid w:val="009C6315"/>
    <w:rsid w:val="009C6C53"/>
    <w:rsid w:val="009E01BF"/>
    <w:rsid w:val="009E4FBD"/>
    <w:rsid w:val="009E70E0"/>
    <w:rsid w:val="009E750F"/>
    <w:rsid w:val="009E7C9A"/>
    <w:rsid w:val="009F198A"/>
    <w:rsid w:val="009F63BD"/>
    <w:rsid w:val="00A04D96"/>
    <w:rsid w:val="00A0629B"/>
    <w:rsid w:val="00A1023C"/>
    <w:rsid w:val="00A10739"/>
    <w:rsid w:val="00A124CA"/>
    <w:rsid w:val="00A14495"/>
    <w:rsid w:val="00A16BE1"/>
    <w:rsid w:val="00A24F65"/>
    <w:rsid w:val="00A310E4"/>
    <w:rsid w:val="00A361DD"/>
    <w:rsid w:val="00A40083"/>
    <w:rsid w:val="00A43E15"/>
    <w:rsid w:val="00A454BF"/>
    <w:rsid w:val="00A51182"/>
    <w:rsid w:val="00A52E3A"/>
    <w:rsid w:val="00A55FE3"/>
    <w:rsid w:val="00A56CC6"/>
    <w:rsid w:val="00A608AD"/>
    <w:rsid w:val="00A636FF"/>
    <w:rsid w:val="00A655C7"/>
    <w:rsid w:val="00A66CE7"/>
    <w:rsid w:val="00A70F21"/>
    <w:rsid w:val="00A7639C"/>
    <w:rsid w:val="00A814CB"/>
    <w:rsid w:val="00A8529D"/>
    <w:rsid w:val="00A90D1B"/>
    <w:rsid w:val="00A9418A"/>
    <w:rsid w:val="00A9619C"/>
    <w:rsid w:val="00AA608E"/>
    <w:rsid w:val="00AA6DA3"/>
    <w:rsid w:val="00AB4A29"/>
    <w:rsid w:val="00AC4BCC"/>
    <w:rsid w:val="00AC7163"/>
    <w:rsid w:val="00AD70E2"/>
    <w:rsid w:val="00AD7570"/>
    <w:rsid w:val="00AF07C9"/>
    <w:rsid w:val="00AF4A8C"/>
    <w:rsid w:val="00AF55F8"/>
    <w:rsid w:val="00AF7E94"/>
    <w:rsid w:val="00B055FE"/>
    <w:rsid w:val="00B106D8"/>
    <w:rsid w:val="00B10ABA"/>
    <w:rsid w:val="00B1710A"/>
    <w:rsid w:val="00B17CFD"/>
    <w:rsid w:val="00B230F1"/>
    <w:rsid w:val="00B23613"/>
    <w:rsid w:val="00B26345"/>
    <w:rsid w:val="00B27475"/>
    <w:rsid w:val="00B303E4"/>
    <w:rsid w:val="00B401CA"/>
    <w:rsid w:val="00B404EC"/>
    <w:rsid w:val="00B420D4"/>
    <w:rsid w:val="00B50083"/>
    <w:rsid w:val="00B567E0"/>
    <w:rsid w:val="00B57910"/>
    <w:rsid w:val="00B62A38"/>
    <w:rsid w:val="00B66B3F"/>
    <w:rsid w:val="00B8507C"/>
    <w:rsid w:val="00B8578F"/>
    <w:rsid w:val="00B91B21"/>
    <w:rsid w:val="00B91C35"/>
    <w:rsid w:val="00B92431"/>
    <w:rsid w:val="00B93090"/>
    <w:rsid w:val="00B94E5D"/>
    <w:rsid w:val="00B952F6"/>
    <w:rsid w:val="00BA202A"/>
    <w:rsid w:val="00BA3446"/>
    <w:rsid w:val="00BA421E"/>
    <w:rsid w:val="00BB2C64"/>
    <w:rsid w:val="00BC093A"/>
    <w:rsid w:val="00BC1CB6"/>
    <w:rsid w:val="00BC2B00"/>
    <w:rsid w:val="00BC4ACC"/>
    <w:rsid w:val="00BC4FCC"/>
    <w:rsid w:val="00BC5F4E"/>
    <w:rsid w:val="00BD02F8"/>
    <w:rsid w:val="00BD5F25"/>
    <w:rsid w:val="00BE199C"/>
    <w:rsid w:val="00C05175"/>
    <w:rsid w:val="00C05600"/>
    <w:rsid w:val="00C1488E"/>
    <w:rsid w:val="00C14A67"/>
    <w:rsid w:val="00C20228"/>
    <w:rsid w:val="00C217A8"/>
    <w:rsid w:val="00C228B9"/>
    <w:rsid w:val="00C31110"/>
    <w:rsid w:val="00C34DE7"/>
    <w:rsid w:val="00C4188F"/>
    <w:rsid w:val="00C43996"/>
    <w:rsid w:val="00C45762"/>
    <w:rsid w:val="00C51EE5"/>
    <w:rsid w:val="00C5212D"/>
    <w:rsid w:val="00C55DC9"/>
    <w:rsid w:val="00C61F2B"/>
    <w:rsid w:val="00C703B2"/>
    <w:rsid w:val="00C819A4"/>
    <w:rsid w:val="00C824AE"/>
    <w:rsid w:val="00C84EA8"/>
    <w:rsid w:val="00C90CFB"/>
    <w:rsid w:val="00C92998"/>
    <w:rsid w:val="00C97F42"/>
    <w:rsid w:val="00CA0AA2"/>
    <w:rsid w:val="00CA720A"/>
    <w:rsid w:val="00CB4B86"/>
    <w:rsid w:val="00CD0003"/>
    <w:rsid w:val="00CD5925"/>
    <w:rsid w:val="00CD6F50"/>
    <w:rsid w:val="00CE557A"/>
    <w:rsid w:val="00CF4BC5"/>
    <w:rsid w:val="00D000C3"/>
    <w:rsid w:val="00D031B2"/>
    <w:rsid w:val="00D07C73"/>
    <w:rsid w:val="00D11E93"/>
    <w:rsid w:val="00D13C21"/>
    <w:rsid w:val="00D1410C"/>
    <w:rsid w:val="00D329FD"/>
    <w:rsid w:val="00D40D16"/>
    <w:rsid w:val="00D54704"/>
    <w:rsid w:val="00D548F0"/>
    <w:rsid w:val="00D577DC"/>
    <w:rsid w:val="00D57F79"/>
    <w:rsid w:val="00D64FAC"/>
    <w:rsid w:val="00D65704"/>
    <w:rsid w:val="00D668F6"/>
    <w:rsid w:val="00D7608A"/>
    <w:rsid w:val="00D82D6F"/>
    <w:rsid w:val="00D845C6"/>
    <w:rsid w:val="00D84875"/>
    <w:rsid w:val="00D85BD6"/>
    <w:rsid w:val="00D87B28"/>
    <w:rsid w:val="00D87BD8"/>
    <w:rsid w:val="00D904F0"/>
    <w:rsid w:val="00D91378"/>
    <w:rsid w:val="00D91B18"/>
    <w:rsid w:val="00D930FB"/>
    <w:rsid w:val="00D95D89"/>
    <w:rsid w:val="00D96243"/>
    <w:rsid w:val="00DA7F66"/>
    <w:rsid w:val="00DB4A36"/>
    <w:rsid w:val="00DC0747"/>
    <w:rsid w:val="00DC2647"/>
    <w:rsid w:val="00DC69E1"/>
    <w:rsid w:val="00DD0284"/>
    <w:rsid w:val="00DD1408"/>
    <w:rsid w:val="00DD356D"/>
    <w:rsid w:val="00DD6735"/>
    <w:rsid w:val="00DE3AA6"/>
    <w:rsid w:val="00DF136A"/>
    <w:rsid w:val="00DF51FA"/>
    <w:rsid w:val="00E02B81"/>
    <w:rsid w:val="00E0448C"/>
    <w:rsid w:val="00E12FB4"/>
    <w:rsid w:val="00E13525"/>
    <w:rsid w:val="00E14361"/>
    <w:rsid w:val="00E34FFD"/>
    <w:rsid w:val="00E362C7"/>
    <w:rsid w:val="00E41EBF"/>
    <w:rsid w:val="00E47250"/>
    <w:rsid w:val="00E47ADA"/>
    <w:rsid w:val="00E50F9B"/>
    <w:rsid w:val="00E5226E"/>
    <w:rsid w:val="00E56344"/>
    <w:rsid w:val="00E61535"/>
    <w:rsid w:val="00E73F55"/>
    <w:rsid w:val="00E8246B"/>
    <w:rsid w:val="00E84012"/>
    <w:rsid w:val="00E87B2F"/>
    <w:rsid w:val="00E9373C"/>
    <w:rsid w:val="00E95891"/>
    <w:rsid w:val="00E977D3"/>
    <w:rsid w:val="00EA0724"/>
    <w:rsid w:val="00EA39DB"/>
    <w:rsid w:val="00EA6203"/>
    <w:rsid w:val="00EA6251"/>
    <w:rsid w:val="00EB6414"/>
    <w:rsid w:val="00EB643F"/>
    <w:rsid w:val="00EB782F"/>
    <w:rsid w:val="00EC2C76"/>
    <w:rsid w:val="00EC617D"/>
    <w:rsid w:val="00ED1AFE"/>
    <w:rsid w:val="00EE21E1"/>
    <w:rsid w:val="00EE5747"/>
    <w:rsid w:val="00EE6416"/>
    <w:rsid w:val="00EF147C"/>
    <w:rsid w:val="00EF3804"/>
    <w:rsid w:val="00EF578D"/>
    <w:rsid w:val="00EF5E05"/>
    <w:rsid w:val="00EF6D77"/>
    <w:rsid w:val="00F075F0"/>
    <w:rsid w:val="00F07A6D"/>
    <w:rsid w:val="00F13B9C"/>
    <w:rsid w:val="00F227AF"/>
    <w:rsid w:val="00F22BF5"/>
    <w:rsid w:val="00F23187"/>
    <w:rsid w:val="00F27370"/>
    <w:rsid w:val="00F27BAA"/>
    <w:rsid w:val="00F30051"/>
    <w:rsid w:val="00F307D2"/>
    <w:rsid w:val="00F36305"/>
    <w:rsid w:val="00F40B00"/>
    <w:rsid w:val="00F4432C"/>
    <w:rsid w:val="00F470B4"/>
    <w:rsid w:val="00F5341C"/>
    <w:rsid w:val="00F56954"/>
    <w:rsid w:val="00F64301"/>
    <w:rsid w:val="00F85F98"/>
    <w:rsid w:val="00F865CF"/>
    <w:rsid w:val="00F948AF"/>
    <w:rsid w:val="00F97AE9"/>
    <w:rsid w:val="00FA1F45"/>
    <w:rsid w:val="00FA5A7B"/>
    <w:rsid w:val="00FA6D85"/>
    <w:rsid w:val="00FB11B1"/>
    <w:rsid w:val="00FB20B9"/>
    <w:rsid w:val="00FB2F12"/>
    <w:rsid w:val="00FC0541"/>
    <w:rsid w:val="00FC6C66"/>
    <w:rsid w:val="00FD25F7"/>
    <w:rsid w:val="00FD2623"/>
    <w:rsid w:val="00FD7976"/>
    <w:rsid w:val="00FE00E8"/>
    <w:rsid w:val="00FE1DF5"/>
    <w:rsid w:val="00FF4D28"/>
    <w:rsid w:val="00FF6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7FC297"/>
  <w15:docId w15:val="{8F8A14D7-BDAA-4DF8-8FF4-D2BC9257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List Paragraph Number,Bullet Point,List Bullet 1,Body Bullets 1,Bulleted Para,bullet point list,Bullet points,Lis"/>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L Char,List Paragraph Number Char,Bullet Point Char,List Bullet 1 Char"/>
    <w:basedOn w:val="DefaultParagraphFont"/>
    <w:uiPriority w:val="34"/>
    <w:qFormat/>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paragraph" w:styleId="NormalWeb">
    <w:name w:val="Normal (Web)"/>
    <w:basedOn w:val="Normal"/>
    <w:uiPriority w:val="99"/>
    <w:unhideWhenUsed/>
    <w:rsid w:val="00EB782F"/>
    <w:pPr>
      <w:spacing w:before="240" w:after="240" w:line="240" w:lineRule="auto"/>
    </w:pPr>
    <w:rPr>
      <w:rFonts w:ascii="Times New Roman" w:eastAsia="Times New Roman" w:hAnsi="Times New Roman"/>
      <w:color w:val="auto"/>
      <w:sz w:val="24"/>
      <w:szCs w:val="24"/>
      <w:lang w:eastAsia="en-AU"/>
    </w:rPr>
  </w:style>
  <w:style w:type="paragraph" w:styleId="Revision">
    <w:name w:val="Revision"/>
    <w:hidden/>
    <w:uiPriority w:val="99"/>
    <w:semiHidden/>
    <w:rsid w:val="00D87B28"/>
    <w:rPr>
      <w:rFonts w:asciiTheme="minorHAnsi" w:hAnsiTheme="minorHAnsi"/>
      <w:color w:val="000000" w:themeColor="text1"/>
      <w:sz w:val="22"/>
    </w:rPr>
  </w:style>
  <w:style w:type="character" w:styleId="FollowedHyperlink">
    <w:name w:val="FollowedHyperlink"/>
    <w:basedOn w:val="DefaultParagraphFont"/>
    <w:uiPriority w:val="99"/>
    <w:semiHidden/>
    <w:unhideWhenUsed/>
    <w:rsid w:val="007113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95329">
      <w:bodyDiv w:val="1"/>
      <w:marLeft w:val="0"/>
      <w:marRight w:val="0"/>
      <w:marTop w:val="0"/>
      <w:marBottom w:val="0"/>
      <w:divBdr>
        <w:top w:val="none" w:sz="0" w:space="0" w:color="auto"/>
        <w:left w:val="none" w:sz="0" w:space="0" w:color="auto"/>
        <w:bottom w:val="none" w:sz="0" w:space="0" w:color="auto"/>
        <w:right w:val="none" w:sz="0" w:space="0" w:color="auto"/>
      </w:divBdr>
    </w:div>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 w:id="2074617962">
      <w:bodyDiv w:val="1"/>
      <w:marLeft w:val="0"/>
      <w:marRight w:val="0"/>
      <w:marTop w:val="0"/>
      <w:marBottom w:val="0"/>
      <w:divBdr>
        <w:top w:val="none" w:sz="0" w:space="0" w:color="auto"/>
        <w:left w:val="none" w:sz="0" w:space="0" w:color="auto"/>
        <w:bottom w:val="none" w:sz="0" w:space="0" w:color="auto"/>
        <w:right w:val="none" w:sz="0" w:space="0" w:color="auto"/>
      </w:divBdr>
      <w:divsChild>
        <w:div w:id="1223443777">
          <w:marLeft w:val="0"/>
          <w:marRight w:val="0"/>
          <w:marTop w:val="0"/>
          <w:marBottom w:val="0"/>
          <w:divBdr>
            <w:top w:val="none" w:sz="0" w:space="0" w:color="auto"/>
            <w:left w:val="none" w:sz="0" w:space="0" w:color="auto"/>
            <w:bottom w:val="none" w:sz="0" w:space="0" w:color="auto"/>
            <w:right w:val="none" w:sz="0" w:space="0" w:color="auto"/>
          </w:divBdr>
          <w:divsChild>
            <w:div w:id="1308977251">
              <w:marLeft w:val="0"/>
              <w:marRight w:val="0"/>
              <w:marTop w:val="0"/>
              <w:marBottom w:val="0"/>
              <w:divBdr>
                <w:top w:val="none" w:sz="0" w:space="0" w:color="auto"/>
                <w:left w:val="none" w:sz="0" w:space="0" w:color="auto"/>
                <w:bottom w:val="none" w:sz="0" w:space="0" w:color="auto"/>
                <w:right w:val="none" w:sz="0" w:space="0" w:color="auto"/>
              </w:divBdr>
              <w:divsChild>
                <w:div w:id="1667709234">
                  <w:marLeft w:val="0"/>
                  <w:marRight w:val="0"/>
                  <w:marTop w:val="0"/>
                  <w:marBottom w:val="0"/>
                  <w:divBdr>
                    <w:top w:val="none" w:sz="0" w:space="0" w:color="auto"/>
                    <w:left w:val="none" w:sz="0" w:space="0" w:color="auto"/>
                    <w:bottom w:val="none" w:sz="0" w:space="0" w:color="auto"/>
                    <w:right w:val="none" w:sz="0" w:space="0" w:color="auto"/>
                  </w:divBdr>
                  <w:divsChild>
                    <w:div w:id="184171483">
                      <w:marLeft w:val="0"/>
                      <w:marRight w:val="0"/>
                      <w:marTop w:val="0"/>
                      <w:marBottom w:val="0"/>
                      <w:divBdr>
                        <w:top w:val="none" w:sz="0" w:space="0" w:color="auto"/>
                        <w:left w:val="none" w:sz="0" w:space="0" w:color="auto"/>
                        <w:bottom w:val="none" w:sz="0" w:space="0" w:color="auto"/>
                        <w:right w:val="none" w:sz="0" w:space="0" w:color="auto"/>
                      </w:divBdr>
                      <w:divsChild>
                        <w:div w:id="1811704349">
                          <w:marLeft w:val="0"/>
                          <w:marRight w:val="0"/>
                          <w:marTop w:val="0"/>
                          <w:marBottom w:val="0"/>
                          <w:divBdr>
                            <w:top w:val="none" w:sz="0" w:space="0" w:color="auto"/>
                            <w:left w:val="none" w:sz="0" w:space="0" w:color="auto"/>
                            <w:bottom w:val="none" w:sz="0" w:space="0" w:color="auto"/>
                            <w:right w:val="none" w:sz="0" w:space="0" w:color="auto"/>
                          </w:divBdr>
                          <w:divsChild>
                            <w:div w:id="1090158417">
                              <w:marLeft w:val="0"/>
                              <w:marRight w:val="0"/>
                              <w:marTop w:val="0"/>
                              <w:marBottom w:val="0"/>
                              <w:divBdr>
                                <w:top w:val="none" w:sz="0" w:space="0" w:color="auto"/>
                                <w:left w:val="none" w:sz="0" w:space="0" w:color="auto"/>
                                <w:bottom w:val="none" w:sz="0" w:space="0" w:color="auto"/>
                                <w:right w:val="none" w:sz="0" w:space="0" w:color="auto"/>
                              </w:divBdr>
                              <w:divsChild>
                                <w:div w:id="1680499787">
                                  <w:marLeft w:val="0"/>
                                  <w:marRight w:val="0"/>
                                  <w:marTop w:val="0"/>
                                  <w:marBottom w:val="0"/>
                                  <w:divBdr>
                                    <w:top w:val="none" w:sz="0" w:space="0" w:color="auto"/>
                                    <w:left w:val="none" w:sz="0" w:space="0" w:color="auto"/>
                                    <w:bottom w:val="none" w:sz="0" w:space="0" w:color="auto"/>
                                    <w:right w:val="none" w:sz="0" w:space="0" w:color="auto"/>
                                  </w:divBdr>
                                  <w:divsChild>
                                    <w:div w:id="16211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rants.gov.au/https:/www.grants.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14487"/>
    <w:rsid w:val="000852CF"/>
    <w:rsid w:val="000D2E1F"/>
    <w:rsid w:val="000D6496"/>
    <w:rsid w:val="00111B4A"/>
    <w:rsid w:val="00112A51"/>
    <w:rsid w:val="00190F4F"/>
    <w:rsid w:val="001A1302"/>
    <w:rsid w:val="002A019F"/>
    <w:rsid w:val="003402B4"/>
    <w:rsid w:val="003E3141"/>
    <w:rsid w:val="0040547C"/>
    <w:rsid w:val="00425098"/>
    <w:rsid w:val="00487177"/>
    <w:rsid w:val="004A0694"/>
    <w:rsid w:val="004F4BBB"/>
    <w:rsid w:val="005F0C47"/>
    <w:rsid w:val="00605577"/>
    <w:rsid w:val="00616FBB"/>
    <w:rsid w:val="006424F2"/>
    <w:rsid w:val="00642E1F"/>
    <w:rsid w:val="00663198"/>
    <w:rsid w:val="006A450B"/>
    <w:rsid w:val="00741B56"/>
    <w:rsid w:val="007A3502"/>
    <w:rsid w:val="007D23EF"/>
    <w:rsid w:val="00801833"/>
    <w:rsid w:val="0087618A"/>
    <w:rsid w:val="00895FC7"/>
    <w:rsid w:val="008E0339"/>
    <w:rsid w:val="00912384"/>
    <w:rsid w:val="00974010"/>
    <w:rsid w:val="00A16D15"/>
    <w:rsid w:val="00AB6209"/>
    <w:rsid w:val="00D07D58"/>
    <w:rsid w:val="00D91831"/>
    <w:rsid w:val="00DB3236"/>
    <w:rsid w:val="00DB3BE7"/>
    <w:rsid w:val="00DF69B2"/>
    <w:rsid w:val="00E30915"/>
    <w:rsid w:val="00E47BB7"/>
    <w:rsid w:val="00E90518"/>
    <w:rsid w:val="00E916D5"/>
    <w:rsid w:val="00EA2E4C"/>
    <w:rsid w:val="00EE70AF"/>
    <w:rsid w:val="00F83332"/>
    <w:rsid w:val="00FB4A15"/>
    <w:rsid w:val="00FF4349"/>
    <w:rsid w:val="00FF4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0D6207-CD33-4C2E-A3E9-F789034C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Funding Round Name]</vt:lpstr>
    </vt:vector>
  </TitlesOfParts>
  <Company>Community Grants Hub</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Round Name]</dc:title>
  <dc:subject>General Feedback for Applicants</dc:subject>
  <dc:creator>LONG, Andrew</dc:creator>
  <cp:lastModifiedBy>BRIDGE, Penelope</cp:lastModifiedBy>
  <cp:revision>2</cp:revision>
  <cp:lastPrinted>2019-10-31T05:00:00Z</cp:lastPrinted>
  <dcterms:created xsi:type="dcterms:W3CDTF">2019-11-14T03:57:00Z</dcterms:created>
  <dcterms:modified xsi:type="dcterms:W3CDTF">2019-11-14T03:57:00Z</dcterms:modified>
</cp:coreProperties>
</file>