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56"/>
          <w:szCs w:val="56"/>
        </w:rPr>
        <w:alias w:val="Title"/>
        <w:tag w:val=""/>
        <w:id w:val="686947816"/>
        <w:placeholder>
          <w:docPart w:val="EE1BFFAD894546DBAB7D2739659A4C0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090F04DF" w14:textId="56CC2B56" w:rsidR="001E3D2B" w:rsidRPr="00F674FE" w:rsidRDefault="00E721C3" w:rsidP="00944BBB">
          <w:pPr>
            <w:pStyle w:val="Title"/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Building Excellence in Support </w:t>
          </w:r>
          <w:r>
            <w:rPr>
              <w:sz w:val="56"/>
              <w:szCs w:val="56"/>
            </w:rPr>
            <w:br/>
            <w:t>and Training</w:t>
          </w:r>
        </w:p>
      </w:sdtContent>
    </w:sdt>
    <w:sdt>
      <w:sdtPr>
        <w:alias w:val="Subtitle"/>
        <w:tag w:val=""/>
        <w:id w:val="-179897277"/>
        <w:placeholder>
          <w:docPart w:val="060155FD86294E33A98AC2FAEFF98AE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203A88AD" w14:textId="4A4A8BE7" w:rsidR="00E47250" w:rsidRDefault="006D2F55" w:rsidP="00E47250">
          <w:pPr>
            <w:pStyle w:val="Subtitle"/>
          </w:pPr>
          <w:r>
            <w:t>General f</w:t>
          </w:r>
          <w:r w:rsidR="00F674FE">
            <w:t>eedback for applicants</w:t>
          </w:r>
        </w:p>
      </w:sdtContent>
    </w:sdt>
    <w:p w14:paraId="009A0807" w14:textId="77777777" w:rsidR="00CF33BB" w:rsidRDefault="002A6D54" w:rsidP="00CF33BB">
      <w:pPr>
        <w:pStyle w:val="Heading1"/>
      </w:pPr>
      <w:r>
        <w:t xml:space="preserve">Overview </w:t>
      </w:r>
    </w:p>
    <w:p w14:paraId="3032AA58" w14:textId="7E83E0DC" w:rsidR="00111069" w:rsidRDefault="00111069" w:rsidP="00ED0910">
      <w:pPr>
        <w:shd w:val="clear" w:color="auto" w:fill="FFFFFF"/>
        <w:textAlignment w:val="top"/>
        <w:rPr>
          <w:color w:val="auto"/>
        </w:rPr>
      </w:pPr>
      <w:r>
        <w:t xml:space="preserve">The Building Excellence in Support and Training (BEST) program (the </w:t>
      </w:r>
      <w:r w:rsidR="00F674FE">
        <w:t>p</w:t>
      </w:r>
      <w:r>
        <w:t>rogram) forms part of the Government’s com</w:t>
      </w:r>
      <w:r w:rsidR="00AB5E43">
        <w:t>mitment to support the role of Ex-Service O</w:t>
      </w:r>
      <w:r>
        <w:t xml:space="preserve">rganisation (ESO) pension and welfare practitioners and advocates, who provide advice and assistance to the veteran and defence communities. It also links closely to the </w:t>
      </w:r>
      <w:hyperlink r:id="rId12" w:history="1">
        <w:r>
          <w:rPr>
            <w:rStyle w:val="Hyperlink"/>
          </w:rPr>
          <w:t>Advocacy Training and Development Program</w:t>
        </w:r>
      </w:hyperlink>
      <w:r>
        <w:rPr>
          <w:rStyle w:val="Hyperlink"/>
        </w:rPr>
        <w:t xml:space="preserve"> (ATDP)</w:t>
      </w:r>
      <w:r>
        <w:t>, which provides the essential skills for claims, advocacy and welfare work.</w:t>
      </w:r>
    </w:p>
    <w:p w14:paraId="22BDB57C" w14:textId="03979F05" w:rsidR="00111069" w:rsidRDefault="002A6D54" w:rsidP="00ED0910">
      <w:pPr>
        <w:rPr>
          <w:rFonts w:cstheme="minorHAnsi"/>
          <w:color w:val="auto"/>
        </w:rPr>
      </w:pPr>
      <w:r>
        <w:br/>
      </w:r>
      <w:r w:rsidR="00111069">
        <w:rPr>
          <w:rFonts w:cstheme="minorHAnsi"/>
        </w:rPr>
        <w:t xml:space="preserve">The </w:t>
      </w:r>
      <w:r w:rsidR="00F674FE">
        <w:rPr>
          <w:rFonts w:cstheme="minorHAnsi"/>
        </w:rPr>
        <w:t xml:space="preserve">intended </w:t>
      </w:r>
      <w:r w:rsidR="00111069">
        <w:rPr>
          <w:rFonts w:cstheme="minorHAnsi"/>
        </w:rPr>
        <w:t xml:space="preserve">outcomes of the </w:t>
      </w:r>
      <w:r w:rsidR="00F674FE">
        <w:rPr>
          <w:rFonts w:cstheme="minorHAnsi"/>
        </w:rPr>
        <w:t>p</w:t>
      </w:r>
      <w:r w:rsidR="00111069">
        <w:rPr>
          <w:rFonts w:cstheme="minorHAnsi"/>
        </w:rPr>
        <w:t>rogram are to ensure:</w:t>
      </w:r>
    </w:p>
    <w:p w14:paraId="62E807E9" w14:textId="468C2E9A" w:rsidR="00111069" w:rsidRPr="00FF7D62" w:rsidRDefault="00111069" w:rsidP="00FF7D62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r w:rsidRPr="00FF7D62">
        <w:rPr>
          <w:rFonts w:cstheme="minorHAnsi"/>
        </w:rPr>
        <w:t xml:space="preserve">the veteran and defence communities are able to benefit from having better informed ESO practitioners who can ensure claims lodged with </w:t>
      </w:r>
      <w:r w:rsidR="00775361" w:rsidRPr="00FF7D62">
        <w:rPr>
          <w:rFonts w:cstheme="minorHAnsi"/>
        </w:rPr>
        <w:t xml:space="preserve">the </w:t>
      </w:r>
      <w:r w:rsidRPr="00FF7D62">
        <w:rPr>
          <w:rFonts w:cstheme="minorHAnsi"/>
        </w:rPr>
        <w:t>D</w:t>
      </w:r>
      <w:r w:rsidR="00775361" w:rsidRPr="00FF7D62">
        <w:rPr>
          <w:rFonts w:cstheme="minorHAnsi"/>
        </w:rPr>
        <w:t xml:space="preserve">epartment of </w:t>
      </w:r>
      <w:r w:rsidRPr="00FF7D62">
        <w:rPr>
          <w:rFonts w:cstheme="minorHAnsi"/>
        </w:rPr>
        <w:t>V</w:t>
      </w:r>
      <w:r w:rsidR="00775361" w:rsidRPr="00FF7D62">
        <w:rPr>
          <w:rFonts w:cstheme="minorHAnsi"/>
        </w:rPr>
        <w:t xml:space="preserve">eterans’ </w:t>
      </w:r>
      <w:r w:rsidRPr="00FF7D62">
        <w:rPr>
          <w:rFonts w:cstheme="minorHAnsi"/>
        </w:rPr>
        <w:t>A</w:t>
      </w:r>
      <w:r w:rsidR="00775361" w:rsidRPr="00FF7D62">
        <w:rPr>
          <w:rFonts w:cstheme="minorHAnsi"/>
        </w:rPr>
        <w:t>ffairs (DVA)</w:t>
      </w:r>
      <w:r w:rsidRPr="00FF7D62">
        <w:rPr>
          <w:rFonts w:cstheme="minorHAnsi"/>
        </w:rPr>
        <w:t xml:space="preserve"> are of a high standard and contain all required information to enable timely and quality decisions</w:t>
      </w:r>
    </w:p>
    <w:p w14:paraId="7A845E21" w14:textId="5B0E0AFA" w:rsidR="00111069" w:rsidRPr="00FF7D62" w:rsidRDefault="00111069" w:rsidP="00FF7D62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r w:rsidRPr="00FF7D62">
        <w:rPr>
          <w:rFonts w:cstheme="minorHAnsi"/>
        </w:rPr>
        <w:t>ESO practitioners will assist in improving claims assessment efficiency</w:t>
      </w:r>
    </w:p>
    <w:p w14:paraId="449E620B" w14:textId="38115EFD" w:rsidR="00F674FE" w:rsidRDefault="00111069" w:rsidP="00F674FE">
      <w:pPr>
        <w:pStyle w:val="ListParagraph"/>
        <w:numPr>
          <w:ilvl w:val="0"/>
          <w:numId w:val="22"/>
        </w:numPr>
        <w:spacing w:before="180" w:after="60"/>
        <w:rPr>
          <w:rFonts w:cstheme="minorHAnsi"/>
        </w:rPr>
      </w:pPr>
      <w:proofErr w:type="gramStart"/>
      <w:r w:rsidRPr="00FF7D62">
        <w:rPr>
          <w:rFonts w:cstheme="minorHAnsi"/>
        </w:rPr>
        <w:t>the</w:t>
      </w:r>
      <w:proofErr w:type="gramEnd"/>
      <w:r w:rsidRPr="00FF7D62">
        <w:rPr>
          <w:rFonts w:cstheme="minorHAnsi"/>
        </w:rPr>
        <w:t xml:space="preserve"> veteran and defence communities will have access to appropriate compensation and welfare advocacy services. </w:t>
      </w:r>
    </w:p>
    <w:p w14:paraId="0D75F152" w14:textId="77777777" w:rsidR="003A2756" w:rsidRPr="003A2756" w:rsidRDefault="003A2756" w:rsidP="003A2756">
      <w:pPr>
        <w:pStyle w:val="ListParagraph"/>
        <w:spacing w:before="180" w:after="60"/>
        <w:rPr>
          <w:rFonts w:cstheme="minorHAnsi"/>
        </w:rPr>
      </w:pPr>
    </w:p>
    <w:p w14:paraId="014EB7AD" w14:textId="77777777" w:rsidR="00AB2C99" w:rsidRPr="00AB2C99" w:rsidRDefault="00AB2C99" w:rsidP="00AB2C99"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results </w:t>
      </w:r>
      <w:r w:rsidRPr="00AB2C99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 </w:t>
      </w:r>
    </w:p>
    <w:p w14:paraId="43E91EB2" w14:textId="77777777" w:rsidR="00CF33BB" w:rsidRDefault="00CF33BB" w:rsidP="002A6D54"/>
    <w:p w14:paraId="43ED1FEC" w14:textId="77777777" w:rsidR="00F674FE" w:rsidRDefault="00F674FE" w:rsidP="002A6D54">
      <w:r>
        <w:t xml:space="preserve">The application period opened on 27 March 2019 and closed on 2 May 2019. A total of </w:t>
      </w:r>
    </w:p>
    <w:p w14:paraId="37493829" w14:textId="208E006C" w:rsidR="009C4EA4" w:rsidRDefault="00F674FE" w:rsidP="002A6D54">
      <w:r>
        <w:t xml:space="preserve">$4.115 million was available to applicants for the 2019-20 financial year. </w:t>
      </w:r>
      <w:proofErr w:type="gramStart"/>
      <w:r w:rsidR="00E721C3">
        <w:t xml:space="preserve">A total of </w:t>
      </w:r>
      <w:r w:rsidR="00E721C3" w:rsidRPr="009C31DB">
        <w:t>141</w:t>
      </w:r>
      <w:proofErr w:type="gramEnd"/>
      <w:r w:rsidR="00E721C3">
        <w:t xml:space="preserve"> applications were received and </w:t>
      </w:r>
      <w:r w:rsidR="00CE2041" w:rsidRPr="0037626D">
        <w:t>1</w:t>
      </w:r>
      <w:r w:rsidRPr="0037626D">
        <w:t>39</w:t>
      </w:r>
      <w:r w:rsidR="00AB2C99">
        <w:t xml:space="preserve"> organisations were succ</w:t>
      </w:r>
      <w:r w:rsidR="009B6094">
        <w:t>essful in receiving funding</w:t>
      </w:r>
      <w:r w:rsidR="00AB2C99">
        <w:t xml:space="preserve">. </w:t>
      </w:r>
    </w:p>
    <w:p w14:paraId="0EFC3ED6" w14:textId="77777777" w:rsidR="002A6D54" w:rsidRDefault="002A6D54" w:rsidP="002A6D54"/>
    <w:p w14:paraId="7E034538" w14:textId="77777777" w:rsidR="00AB2C99" w:rsidRPr="00AB2C99" w:rsidRDefault="00AB2C99" w:rsidP="00AB2C99"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process </w:t>
      </w:r>
      <w:r w:rsidRPr="00AB2C99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 </w:t>
      </w:r>
    </w:p>
    <w:p w14:paraId="5E837F5C" w14:textId="77777777" w:rsidR="00AB2C99" w:rsidRDefault="00AB2C99" w:rsidP="00B952F6"/>
    <w:p w14:paraId="32F17E0F" w14:textId="794630A0" w:rsidR="00E721C3" w:rsidRDefault="00775361" w:rsidP="00F674FE">
      <w:r>
        <w:t>The Hub administered</w:t>
      </w:r>
      <w:r w:rsidR="00E721C3">
        <w:t xml:space="preserve"> a targeted non-competitive selection process </w:t>
      </w:r>
      <w:r>
        <w:t>on behalf of DVA</w:t>
      </w:r>
      <w:r w:rsidR="00C3638B">
        <w:t xml:space="preserve">. </w:t>
      </w:r>
      <w:r w:rsidR="004A6CD2">
        <w:t>Targeted</w:t>
      </w:r>
      <w:r w:rsidR="00E721C3">
        <w:t xml:space="preserve"> funding rounds are</w:t>
      </w:r>
      <w:r w:rsidR="004A6CD2">
        <w:t xml:space="preserve"> open </w:t>
      </w:r>
      <w:r w:rsidR="009B1171" w:rsidRPr="004A6CD2">
        <w:t>to a small number of potential grantees</w:t>
      </w:r>
      <w:r w:rsidR="00C3638B">
        <w:t>,</w:t>
      </w:r>
      <w:r w:rsidR="009B1171" w:rsidRPr="004A6CD2">
        <w:t xml:space="preserve"> based on the specialised requirements of the grant activity.</w:t>
      </w:r>
    </w:p>
    <w:p w14:paraId="770FA5B2" w14:textId="7A4B8DFB" w:rsidR="00E721C3" w:rsidRDefault="00E721C3" w:rsidP="00E721C3">
      <w:pPr>
        <w:spacing w:line="240" w:lineRule="auto"/>
        <w:rPr>
          <w:szCs w:val="22"/>
        </w:rPr>
      </w:pPr>
    </w:p>
    <w:p w14:paraId="2E549879" w14:textId="7234C211" w:rsidR="00E721C3" w:rsidRDefault="00E721C3" w:rsidP="00E721C3">
      <w:pPr>
        <w:spacing w:line="240" w:lineRule="auto"/>
        <w:rPr>
          <w:szCs w:val="22"/>
        </w:rPr>
      </w:pPr>
      <w:r>
        <w:rPr>
          <w:noProof/>
          <w:lang w:eastAsia="en-AU"/>
        </w:rPr>
        <w:lastRenderedPageBreak/>
        <w:drawing>
          <wp:inline distT="0" distB="0" distL="0" distR="0" wp14:anchorId="6D05F691" wp14:editId="1B2571ED">
            <wp:extent cx="6120130" cy="1464310"/>
            <wp:effectExtent l="0" t="0" r="0" b="2540"/>
            <wp:docPr id="3" name="Picture 3" descr="cid:image001.png@01D55F50.8FD23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5F50.8FD23C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3493" w14:textId="0B21007D" w:rsidR="00E721C3" w:rsidRDefault="00E721C3" w:rsidP="00E721C3"/>
    <w:p w14:paraId="305F2F8E" w14:textId="709A2FC4" w:rsidR="00B46815" w:rsidRPr="00965AB1" w:rsidRDefault="00B46815" w:rsidP="00F674FE">
      <w:r w:rsidRPr="008C60A4">
        <w:t xml:space="preserve">The grant amount offered to each eligible applicant was calculated using a </w:t>
      </w:r>
      <w:proofErr w:type="gramStart"/>
      <w:r w:rsidRPr="008C60A4">
        <w:t xml:space="preserve">formula </w:t>
      </w:r>
      <w:r w:rsidR="00F674FE">
        <w:t>which</w:t>
      </w:r>
      <w:proofErr w:type="gramEnd"/>
      <w:r w:rsidRPr="008C60A4">
        <w:t xml:space="preserve"> has been determined in conjunction with the ESO community, through the ESO Round T</w:t>
      </w:r>
      <w:r w:rsidR="00965AB1">
        <w:t xml:space="preserve">able (ESORT). </w:t>
      </w:r>
      <w:r w:rsidRPr="008C60A4">
        <w:t xml:space="preserve">The formula </w:t>
      </w:r>
      <w:proofErr w:type="gramStart"/>
      <w:r w:rsidRPr="008C60A4">
        <w:t>was applied</w:t>
      </w:r>
      <w:proofErr w:type="gramEnd"/>
      <w:r w:rsidRPr="008C60A4">
        <w:t xml:space="preserve"> uniformly to all eligible applicants. </w:t>
      </w:r>
      <w:r w:rsidR="00441A54">
        <w:t xml:space="preserve">If </w:t>
      </w:r>
      <w:r w:rsidRPr="008C60A4">
        <w:t xml:space="preserve">an organisation met the eligibility criteria, they </w:t>
      </w:r>
      <w:proofErr w:type="gramStart"/>
      <w:r w:rsidRPr="008C60A4">
        <w:t>were considered</w:t>
      </w:r>
      <w:proofErr w:type="gramEnd"/>
      <w:r w:rsidRPr="008C60A4">
        <w:t xml:space="preserve"> for a grant.</w:t>
      </w:r>
      <w:r>
        <w:rPr>
          <w:rFonts w:cstheme="minorHAnsi"/>
        </w:rPr>
        <w:t xml:space="preserve"> </w:t>
      </w:r>
    </w:p>
    <w:p w14:paraId="4EB036BF" w14:textId="77777777" w:rsidR="00B46815" w:rsidRPr="0018569A" w:rsidRDefault="00BF181A" w:rsidP="00E16A9C">
      <w:pPr>
        <w:jc w:val="both"/>
        <w:rPr>
          <w:rFonts w:cstheme="minorHAnsi"/>
        </w:rPr>
      </w:pPr>
      <w:r>
        <w:rPr>
          <w:rFonts w:cstheme="minorHAnsi"/>
        </w:rPr>
        <w:br/>
      </w:r>
      <w:r w:rsidR="00B46815">
        <w:rPr>
          <w:rFonts w:cstheme="minorHAnsi"/>
        </w:rPr>
        <w:t xml:space="preserve">The formula </w:t>
      </w:r>
      <w:r w:rsidR="00B46815" w:rsidRPr="0018569A">
        <w:rPr>
          <w:rFonts w:cstheme="minorHAnsi"/>
        </w:rPr>
        <w:t>t</w:t>
      </w:r>
      <w:r w:rsidR="00E84252">
        <w:rPr>
          <w:rFonts w:cstheme="minorHAnsi"/>
        </w:rPr>
        <w:t>ook</w:t>
      </w:r>
      <w:r w:rsidR="00B46815" w:rsidRPr="0018569A">
        <w:rPr>
          <w:rFonts w:cstheme="minorHAnsi"/>
        </w:rPr>
        <w:t xml:space="preserve"> into account:</w:t>
      </w:r>
    </w:p>
    <w:p w14:paraId="59312742" w14:textId="303B4F1E" w:rsidR="00B46815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  <w:color w:val="000000" w:themeColor="text1"/>
          <w:szCs w:val="20"/>
        </w:rPr>
        <w:t>the amount of salary and administrative grant funding requested</w:t>
      </w:r>
    </w:p>
    <w:p w14:paraId="4674520B" w14:textId="1E66FCF6" w:rsidR="00F674FE" w:rsidRPr="00F674FE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</w:rPr>
        <w:t>compensation and welfare workload information provided in the completed grant application</w:t>
      </w:r>
    </w:p>
    <w:p w14:paraId="40A82004" w14:textId="157CF060" w:rsidR="00B46815" w:rsidRPr="008C60A4" w:rsidRDefault="00B46815" w:rsidP="00F674FE">
      <w:pPr>
        <w:pStyle w:val="Bullet1"/>
        <w:numPr>
          <w:ilvl w:val="0"/>
          <w:numId w:val="20"/>
        </w:numPr>
        <w:rPr>
          <w:rFonts w:cs="Times New Roman"/>
          <w:color w:val="000000" w:themeColor="text1"/>
          <w:szCs w:val="20"/>
        </w:rPr>
      </w:pPr>
      <w:r w:rsidRPr="008C60A4">
        <w:rPr>
          <w:rFonts w:cs="Times New Roman"/>
          <w:color w:val="000000" w:themeColor="text1"/>
          <w:szCs w:val="20"/>
        </w:rPr>
        <w:t>the total amount of funding available for the grant funding round</w:t>
      </w:r>
    </w:p>
    <w:p w14:paraId="0CE10B21" w14:textId="36DF684B" w:rsidR="00B46815" w:rsidRDefault="00B46815" w:rsidP="00F674FE">
      <w:pPr>
        <w:pStyle w:val="Bullet1"/>
        <w:numPr>
          <w:ilvl w:val="0"/>
          <w:numId w:val="20"/>
        </w:numPr>
      </w:pPr>
      <w:proofErr w:type="gramStart"/>
      <w:r w:rsidRPr="00ED6561">
        <w:rPr>
          <w:rFonts w:cstheme="minorHAnsi"/>
        </w:rPr>
        <w:t>the</w:t>
      </w:r>
      <w:proofErr w:type="gramEnd"/>
      <w:r w:rsidRPr="00ED6561">
        <w:rPr>
          <w:rFonts w:cstheme="minorHAnsi"/>
        </w:rPr>
        <w:t xml:space="preserve"> total </w:t>
      </w:r>
      <w:r w:rsidR="00F674FE">
        <w:rPr>
          <w:rFonts w:cstheme="minorHAnsi"/>
        </w:rPr>
        <w:t>number of</w:t>
      </w:r>
      <w:r w:rsidRPr="00ED6561">
        <w:rPr>
          <w:rFonts w:cstheme="minorHAnsi"/>
        </w:rPr>
        <w:t xml:space="preserve"> eligible applicants.</w:t>
      </w:r>
    </w:p>
    <w:p w14:paraId="2B60BF7A" w14:textId="77777777" w:rsidR="00F674FE" w:rsidRDefault="00F674FE" w:rsidP="00F674FE"/>
    <w:p w14:paraId="3C8FE8E0" w14:textId="147E6FD0" w:rsidR="00F20386" w:rsidRPr="00F20386" w:rsidRDefault="00E721C3" w:rsidP="00E721C3">
      <w:pPr>
        <w:rPr>
          <w:color w:val="auto"/>
        </w:rPr>
      </w:pPr>
      <w:r>
        <w:rPr>
          <w:color w:val="auto"/>
        </w:rPr>
        <w:t xml:space="preserve">Following preliminary assessment by the Hub using the formula, all outcomes </w:t>
      </w:r>
      <w:proofErr w:type="gramStart"/>
      <w:r>
        <w:rPr>
          <w:color w:val="auto"/>
        </w:rPr>
        <w:t>were referred</w:t>
      </w:r>
      <w:proofErr w:type="gramEnd"/>
      <w:r>
        <w:rPr>
          <w:color w:val="auto"/>
        </w:rPr>
        <w:t xml:space="preserve"> to a Selection Advisory Panel (SAP), who made </w:t>
      </w:r>
      <w:r w:rsidR="006D2F55">
        <w:rPr>
          <w:color w:val="auto"/>
        </w:rPr>
        <w:t>funding recommendations to the decision m</w:t>
      </w:r>
      <w:bookmarkStart w:id="0" w:name="_GoBack"/>
      <w:bookmarkEnd w:id="0"/>
      <w:r>
        <w:rPr>
          <w:color w:val="auto"/>
        </w:rPr>
        <w:t xml:space="preserve">aker. </w:t>
      </w:r>
      <w:r w:rsidR="00272BE1">
        <w:rPr>
          <w:color w:val="auto"/>
        </w:rPr>
        <w:t xml:space="preserve">The </w:t>
      </w:r>
      <w:r w:rsidR="00272BE1" w:rsidRPr="00F20386">
        <w:rPr>
          <w:color w:val="auto"/>
        </w:rPr>
        <w:t xml:space="preserve">SAP made recommendations in regards to: </w:t>
      </w:r>
    </w:p>
    <w:p w14:paraId="4F8E0A40" w14:textId="02CC9E50" w:rsidR="00F20386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F20386">
        <w:rPr>
          <w:rFonts w:cstheme="minorHAnsi"/>
          <w:szCs w:val="22"/>
        </w:rPr>
        <w:t xml:space="preserve">overall objectives for the program </w:t>
      </w:r>
    </w:p>
    <w:p w14:paraId="172C24B3" w14:textId="67B01175" w:rsidR="00F20386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 w:rsidRPr="00F20386">
        <w:rPr>
          <w:rFonts w:cstheme="minorHAnsi"/>
          <w:szCs w:val="22"/>
        </w:rPr>
        <w:t xml:space="preserve">conformance with eligibility criteria </w:t>
      </w:r>
    </w:p>
    <w:p w14:paraId="31932F25" w14:textId="56E6A76C" w:rsidR="00E721C3" w:rsidRPr="00F20386" w:rsidRDefault="00F20386" w:rsidP="00F20386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proofErr w:type="gramStart"/>
      <w:r w:rsidRPr="00F20386">
        <w:rPr>
          <w:rFonts w:cstheme="minorHAnsi"/>
          <w:szCs w:val="22"/>
        </w:rPr>
        <w:t>outcome</w:t>
      </w:r>
      <w:proofErr w:type="gramEnd"/>
      <w:r w:rsidRPr="00F20386">
        <w:rPr>
          <w:rFonts w:cstheme="minorHAnsi"/>
          <w:szCs w:val="22"/>
        </w:rPr>
        <w:t xml:space="preserve"> of the application of the grant calculation formula. </w:t>
      </w:r>
      <w:r w:rsidR="00E721C3" w:rsidRPr="00F20386">
        <w:rPr>
          <w:rFonts w:cstheme="minorHAnsi"/>
          <w:szCs w:val="22"/>
        </w:rPr>
        <w:br/>
      </w:r>
    </w:p>
    <w:p w14:paraId="6AFD443D" w14:textId="464AD86C" w:rsidR="00FF7D62" w:rsidRDefault="00E721C3" w:rsidP="00F56A09">
      <w:r w:rsidRPr="00F20386">
        <w:t>The Minister for Veterans and Defence Personnel approved the funding to the successful grant recipients.</w:t>
      </w:r>
    </w:p>
    <w:p w14:paraId="05C4FBAF" w14:textId="77777777" w:rsidR="0001493D" w:rsidRDefault="0001493D" w:rsidP="00F56A09"/>
    <w:p w14:paraId="70F80DF6" w14:textId="40B6DA3F" w:rsidR="0001493D" w:rsidRDefault="00E721C3" w:rsidP="0001493D"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General feedback</w:t>
      </w:r>
    </w:p>
    <w:p w14:paraId="773C88B4" w14:textId="77777777" w:rsidR="0001493D" w:rsidRDefault="0001493D" w:rsidP="0001493D"/>
    <w:p w14:paraId="1BAE8475" w14:textId="63F0DFCF" w:rsidR="009C31DB" w:rsidRDefault="00E721C3" w:rsidP="009C31DB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 xml:space="preserve">The successful applicants </w:t>
      </w:r>
      <w:r w:rsidR="009C31DB">
        <w:rPr>
          <w:rFonts w:eastAsia="Times New Roman" w:cstheme="minorHAnsi"/>
          <w:color w:val="auto"/>
          <w:szCs w:val="22"/>
          <w:lang w:eastAsia="en-AU"/>
        </w:rPr>
        <w:t>were eligible and met t</w:t>
      </w:r>
      <w:r w:rsidR="00743126">
        <w:rPr>
          <w:rFonts w:eastAsia="Times New Roman" w:cstheme="minorHAnsi"/>
          <w:color w:val="auto"/>
          <w:szCs w:val="22"/>
          <w:lang w:eastAsia="en-AU"/>
        </w:rPr>
        <w:t xml:space="preserve">he objectives of the program. </w:t>
      </w:r>
      <w:r w:rsidR="009C31DB">
        <w:rPr>
          <w:rFonts w:eastAsia="Times New Roman" w:cstheme="minorHAnsi"/>
          <w:color w:val="auto"/>
          <w:szCs w:val="22"/>
          <w:lang w:eastAsia="en-AU"/>
        </w:rPr>
        <w:t xml:space="preserve">As per section 7.2 of the Grant Opportunity Guidelines, the grant amount offered to eligible applicants </w:t>
      </w:r>
      <w:proofErr w:type="gramStart"/>
      <w:r w:rsidR="009C31DB">
        <w:rPr>
          <w:rFonts w:eastAsia="Times New Roman" w:cstheme="minorHAnsi"/>
          <w:color w:val="auto"/>
          <w:szCs w:val="22"/>
          <w:lang w:eastAsia="en-AU"/>
        </w:rPr>
        <w:t>is calculated</w:t>
      </w:r>
      <w:proofErr w:type="gramEnd"/>
      <w:r w:rsidR="009C31DB">
        <w:rPr>
          <w:rFonts w:eastAsia="Times New Roman" w:cstheme="minorHAnsi"/>
          <w:color w:val="auto"/>
          <w:szCs w:val="22"/>
          <w:lang w:eastAsia="en-AU"/>
        </w:rPr>
        <w:t xml:space="preserve"> based on: </w:t>
      </w:r>
    </w:p>
    <w:p w14:paraId="06008AC8" w14:textId="3A1FC52C" w:rsidR="009C31DB" w:rsidRPr="009C31DB" w:rsidRDefault="009C31DB" w:rsidP="009C31DB">
      <w:pPr>
        <w:pStyle w:val="ListParagraph"/>
        <w:numPr>
          <w:ilvl w:val="0"/>
          <w:numId w:val="28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an applicant’s requested grant amount and </w:t>
      </w:r>
      <w:r w:rsidRPr="009C31DB">
        <w:rPr>
          <w:lang w:eastAsia="en-AU"/>
        </w:rPr>
        <w:t>workload information provided in the completed grant application</w:t>
      </w:r>
    </w:p>
    <w:p w14:paraId="31A6ADBB" w14:textId="77777777" w:rsidR="009C31DB" w:rsidRPr="009C31DB" w:rsidRDefault="009C31DB" w:rsidP="009C31DB">
      <w:pPr>
        <w:pStyle w:val="ListParagraph"/>
        <w:numPr>
          <w:ilvl w:val="0"/>
          <w:numId w:val="28"/>
        </w:numPr>
        <w:rPr>
          <w:rFonts w:eastAsia="Times New Roman" w:cstheme="minorHAnsi"/>
          <w:color w:val="auto"/>
          <w:szCs w:val="22"/>
          <w:lang w:eastAsia="en-AU"/>
        </w:rPr>
      </w:pPr>
      <w:r w:rsidRPr="009C31DB">
        <w:rPr>
          <w:rFonts w:eastAsia="Times New Roman" w:cstheme="minorHAnsi"/>
          <w:color w:val="auto"/>
          <w:szCs w:val="22"/>
          <w:lang w:eastAsia="en-AU"/>
        </w:rPr>
        <w:t>the total amount of funding available</w:t>
      </w:r>
    </w:p>
    <w:p w14:paraId="725CFB78" w14:textId="3E02B459" w:rsidR="003A6F27" w:rsidRPr="003A6F27" w:rsidRDefault="009C31DB" w:rsidP="003A6F27">
      <w:pPr>
        <w:pStyle w:val="ListParagraph"/>
        <w:numPr>
          <w:ilvl w:val="0"/>
          <w:numId w:val="28"/>
        </w:numPr>
        <w:rPr>
          <w:rFonts w:eastAsia="Times New Roman" w:cstheme="minorHAnsi"/>
          <w:color w:val="auto"/>
          <w:szCs w:val="22"/>
          <w:lang w:eastAsia="en-AU"/>
        </w:rPr>
      </w:pPr>
      <w:proofErr w:type="gramStart"/>
      <w:r w:rsidRPr="009C31DB">
        <w:rPr>
          <w:rFonts w:eastAsia="Times New Roman" w:cstheme="minorHAnsi"/>
          <w:color w:val="auto"/>
          <w:szCs w:val="22"/>
          <w:lang w:eastAsia="en-AU"/>
        </w:rPr>
        <w:t>the</w:t>
      </w:r>
      <w:proofErr w:type="gramEnd"/>
      <w:r w:rsidRPr="009C31DB">
        <w:rPr>
          <w:rFonts w:eastAsia="Times New Roman" w:cstheme="minorHAnsi"/>
          <w:color w:val="auto"/>
          <w:szCs w:val="22"/>
          <w:lang w:eastAsia="en-AU"/>
        </w:rPr>
        <w:t xml:space="preserve"> BEST grant calculation formula. </w:t>
      </w:r>
    </w:p>
    <w:p w14:paraId="230D485F" w14:textId="77777777" w:rsidR="00965AB1" w:rsidRDefault="00965AB1" w:rsidP="00743126">
      <w:pPr>
        <w:rPr>
          <w:rFonts w:eastAsia="Times New Roman" w:cstheme="minorHAnsi"/>
          <w:color w:val="auto"/>
          <w:szCs w:val="22"/>
          <w:lang w:eastAsia="en-AU"/>
        </w:rPr>
      </w:pPr>
    </w:p>
    <w:p w14:paraId="25E3A136" w14:textId="1CF5F6E4" w:rsidR="00E721C3" w:rsidRPr="009B1171" w:rsidRDefault="00E721C3" w:rsidP="00743126">
      <w:pPr>
        <w:rPr>
          <w:rFonts w:eastAsia="Times New Roman" w:cstheme="minorHAnsi"/>
          <w:color w:val="auto"/>
          <w:szCs w:val="22"/>
          <w:highlight w:val="yellow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Applicants that were unsuccessful</w:t>
      </w:r>
      <w:r w:rsidR="00743126">
        <w:rPr>
          <w:rFonts w:eastAsia="Times New Roman" w:cstheme="minorHAnsi"/>
          <w:color w:val="auto"/>
          <w:szCs w:val="22"/>
          <w:lang w:eastAsia="en-AU"/>
        </w:rPr>
        <w:t xml:space="preserve"> had no recorded workload in 2018.</w:t>
      </w:r>
    </w:p>
    <w:p w14:paraId="24A856C3" w14:textId="77777777" w:rsidR="00E721C3" w:rsidRDefault="00E721C3" w:rsidP="0001493D">
      <w:pPr>
        <w:rPr>
          <w:rFonts w:eastAsia="Times New Roman" w:cstheme="minorHAnsi"/>
          <w:color w:val="auto"/>
          <w:szCs w:val="22"/>
          <w:lang w:eastAsia="en-AU"/>
        </w:rPr>
      </w:pPr>
    </w:p>
    <w:p w14:paraId="15D9492F" w14:textId="24CBFC23" w:rsidR="00E721C3" w:rsidRDefault="00E721C3" w:rsidP="00E721C3">
      <w:pPr>
        <w:pStyle w:val="Heading1"/>
        <w:spacing w:before="0"/>
      </w:pPr>
      <w:r>
        <w:lastRenderedPageBreak/>
        <w:t>Guidance for future BEST grant applications</w:t>
      </w:r>
    </w:p>
    <w:p w14:paraId="4BD94D84" w14:textId="44C9B40B" w:rsidR="00E721C3" w:rsidRPr="0001493D" w:rsidRDefault="00E721C3" w:rsidP="00E721C3">
      <w:pPr>
        <w:rPr>
          <w:rFonts w:eastAsia="Times New Roman" w:cstheme="minorHAnsi"/>
          <w:color w:val="auto"/>
          <w:szCs w:val="22"/>
          <w:lang w:eastAsia="en-AU"/>
        </w:rPr>
      </w:pPr>
      <w:r>
        <w:rPr>
          <w:rFonts w:eastAsia="Times New Roman" w:cstheme="minorHAnsi"/>
          <w:color w:val="auto"/>
          <w:szCs w:val="22"/>
          <w:lang w:eastAsia="en-AU"/>
        </w:rPr>
        <w:t>The following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guidance</w:t>
      </w:r>
      <w:r>
        <w:rPr>
          <w:rFonts w:eastAsia="Times New Roman" w:cstheme="minorHAnsi"/>
          <w:color w:val="auto"/>
          <w:szCs w:val="22"/>
          <w:lang w:eastAsia="en-AU"/>
        </w:rPr>
        <w:t xml:space="preserve"> may assist applicants</w:t>
      </w:r>
      <w:r w:rsidRPr="0001493D">
        <w:rPr>
          <w:rFonts w:eastAsia="Times New Roman" w:cstheme="minorHAnsi"/>
          <w:color w:val="auto"/>
          <w:szCs w:val="22"/>
          <w:lang w:eastAsia="en-AU"/>
        </w:rPr>
        <w:t xml:space="preserve"> in completing applications for </w:t>
      </w:r>
      <w:r>
        <w:rPr>
          <w:rFonts w:eastAsia="Times New Roman" w:cstheme="minorHAnsi"/>
          <w:color w:val="auto"/>
          <w:szCs w:val="22"/>
          <w:lang w:eastAsia="en-AU"/>
        </w:rPr>
        <w:t>BEST g</w:t>
      </w:r>
      <w:r w:rsidRPr="0001493D">
        <w:rPr>
          <w:rFonts w:eastAsia="Times New Roman" w:cstheme="minorHAnsi"/>
          <w:color w:val="auto"/>
          <w:szCs w:val="22"/>
          <w:lang w:eastAsia="en-AU"/>
        </w:rPr>
        <w:t>rant funding.</w:t>
      </w:r>
    </w:p>
    <w:p w14:paraId="2FA1C98D" w14:textId="08080E34" w:rsidR="0001493D" w:rsidRDefault="0001493D" w:rsidP="0001493D">
      <w:pPr>
        <w:pStyle w:val="Heading2"/>
      </w:pPr>
      <w:r>
        <w:t xml:space="preserve">Read </w:t>
      </w:r>
      <w:r w:rsidR="00775361">
        <w:t xml:space="preserve">the </w:t>
      </w:r>
      <w:r>
        <w:t>supporting information before applying</w:t>
      </w:r>
    </w:p>
    <w:p w14:paraId="6CBDFA97" w14:textId="5B7ED2FF" w:rsidR="00653414" w:rsidRDefault="00653414" w:rsidP="00221F1A">
      <w:pPr>
        <w:pStyle w:val="BodyText"/>
        <w:numPr>
          <w:ilvl w:val="0"/>
          <w:numId w:val="11"/>
        </w:numPr>
      </w:pPr>
      <w:r>
        <w:t xml:space="preserve">It is important to read all available information provided about </w:t>
      </w:r>
      <w:r w:rsidR="00E16A9C">
        <w:t>BEST</w:t>
      </w:r>
      <w:r>
        <w:t xml:space="preserve"> </w:t>
      </w:r>
      <w:r w:rsidR="00A620B6">
        <w:t>g</w:t>
      </w:r>
      <w:r>
        <w:t xml:space="preserve">rants when applying for funding, especially the </w:t>
      </w:r>
      <w:r w:rsidR="00E721C3">
        <w:t>Grant Opportunity d</w:t>
      </w:r>
      <w:r w:rsidR="0072590A">
        <w:t>ocumentation</w:t>
      </w:r>
      <w:r>
        <w:t xml:space="preserve"> provided on the Hub’s </w:t>
      </w:r>
      <w:hyperlink r:id="rId15" w:history="1">
        <w:r w:rsidRPr="00653414">
          <w:rPr>
            <w:rStyle w:val="Hyperlink"/>
          </w:rPr>
          <w:t>website</w:t>
        </w:r>
      </w:hyperlink>
      <w:r>
        <w:t xml:space="preserve">. </w:t>
      </w:r>
    </w:p>
    <w:p w14:paraId="4F4360ED" w14:textId="00D9C4D5" w:rsidR="00221F1A" w:rsidRDefault="00653414" w:rsidP="00221F1A">
      <w:pPr>
        <w:pStyle w:val="BodyText"/>
        <w:numPr>
          <w:ilvl w:val="0"/>
          <w:numId w:val="11"/>
        </w:numPr>
      </w:pPr>
      <w:r>
        <w:t>T</w:t>
      </w:r>
      <w:r w:rsidR="00221F1A">
        <w:t xml:space="preserve">he </w:t>
      </w:r>
      <w:r w:rsidR="0072590A">
        <w:t>Grant Opportunity</w:t>
      </w:r>
      <w:r w:rsidR="00E721C3">
        <w:t xml:space="preserve"> d</w:t>
      </w:r>
      <w:r w:rsidR="0072590A">
        <w:t>ocumentation</w:t>
      </w:r>
      <w:r>
        <w:t xml:space="preserve"> is specific to each </w:t>
      </w:r>
      <w:r w:rsidR="00E16A9C">
        <w:t>BEST</w:t>
      </w:r>
      <w:r>
        <w:t xml:space="preserve"> round and contains important information about </w:t>
      </w:r>
      <w:proofErr w:type="gramStart"/>
      <w:r>
        <w:t>the purpose of the program, eligibility and compliance requirements, timeframes, and how to apply</w:t>
      </w:r>
      <w:proofErr w:type="gramEnd"/>
      <w:r>
        <w:t xml:space="preserve">.  </w:t>
      </w:r>
      <w:r w:rsidR="00221F1A">
        <w:t xml:space="preserve"> </w:t>
      </w:r>
    </w:p>
    <w:p w14:paraId="66EA377E" w14:textId="2F04D555" w:rsidR="00221F1A" w:rsidRPr="00FF7D62" w:rsidRDefault="00653414" w:rsidP="00221F1A">
      <w:pPr>
        <w:numPr>
          <w:ilvl w:val="0"/>
          <w:numId w:val="9"/>
        </w:numPr>
        <w:spacing w:after="240" w:line="240" w:lineRule="auto"/>
        <w:ind w:left="714" w:hanging="357"/>
        <w:rPr>
          <w:rFonts w:eastAsia="Times New Roman" w:cstheme="minorHAnsi"/>
          <w:color w:val="auto"/>
          <w:szCs w:val="22"/>
          <w:lang w:eastAsia="en-AU"/>
        </w:rPr>
      </w:pPr>
      <w:r w:rsidRPr="00FF7D62">
        <w:rPr>
          <w:szCs w:val="22"/>
        </w:rPr>
        <w:t xml:space="preserve">The </w:t>
      </w:r>
      <w:r w:rsidR="00221F1A" w:rsidRPr="00FF7D62">
        <w:rPr>
          <w:szCs w:val="22"/>
        </w:rPr>
        <w:t>Application</w:t>
      </w:r>
      <w:r w:rsidRPr="00FF7D62">
        <w:rPr>
          <w:szCs w:val="22"/>
        </w:rPr>
        <w:t xml:space="preserve"> Form includes helpful information and details on questions relating to mandatory information required by the Hub</w:t>
      </w:r>
      <w:r w:rsidR="00FF7D62">
        <w:rPr>
          <w:szCs w:val="22"/>
        </w:rPr>
        <w:t xml:space="preserve"> and DVA</w:t>
      </w:r>
      <w:r w:rsidRPr="00FF7D62">
        <w:rPr>
          <w:szCs w:val="22"/>
        </w:rPr>
        <w:t xml:space="preserve"> for the selection process. </w:t>
      </w:r>
    </w:p>
    <w:p w14:paraId="425FBCFB" w14:textId="77777777" w:rsidR="004A1DF2" w:rsidRPr="009C0D83" w:rsidRDefault="00E04CA2" w:rsidP="009C0D83">
      <w:pPr>
        <w:pStyle w:val="Heading2"/>
      </w:pPr>
      <w:r>
        <w:t xml:space="preserve">Eligibility and compliance </w:t>
      </w:r>
    </w:p>
    <w:p w14:paraId="20E25A38" w14:textId="768BFB90" w:rsidR="00850D75" w:rsidRDefault="00FF7D62" w:rsidP="00850D75">
      <w:pPr>
        <w:pStyle w:val="Bullet2"/>
        <w:rPr>
          <w:lang w:eastAsia="en-AU"/>
        </w:rPr>
      </w:pPr>
      <w:r>
        <w:rPr>
          <w:lang w:eastAsia="en-AU"/>
        </w:rPr>
        <w:t>T</w:t>
      </w:r>
      <w:r w:rsidR="006065A7">
        <w:rPr>
          <w:lang w:eastAsia="en-AU"/>
        </w:rPr>
        <w:t xml:space="preserve">o be eligible, </w:t>
      </w:r>
      <w:r w:rsidR="003A2756">
        <w:rPr>
          <w:lang w:eastAsia="en-AU"/>
        </w:rPr>
        <w:t>applicants must be an incorporated and bona fide ESO.</w:t>
      </w:r>
      <w:r w:rsidR="00850D75">
        <w:rPr>
          <w:lang w:eastAsia="en-AU"/>
        </w:rPr>
        <w:t xml:space="preserve"> For the purposes of BEST grants, a bona fide ESO is considered to be an organisation:</w:t>
      </w:r>
      <w:r w:rsidR="003A2756">
        <w:rPr>
          <w:lang w:eastAsia="en-AU"/>
        </w:rPr>
        <w:t xml:space="preserve"> </w:t>
      </w:r>
    </w:p>
    <w:p w14:paraId="71EE59F8" w14:textId="77777777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rPr>
          <w:lang w:eastAsia="en-AU"/>
        </w:rPr>
        <w:t>whose membership consists primarily of veterans, past and present members of the Australian Defence Force (ADF) and/or their dependants</w:t>
      </w:r>
    </w:p>
    <w:p w14:paraId="5FFE740E" w14:textId="660E3248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rPr>
          <w:lang w:eastAsia="en-AU"/>
        </w:rPr>
        <w:t>which is established primarily to provide pensions, advocacy and/or welfare assistance to veterans, past and present members of the ADF and/or their dependants</w:t>
      </w:r>
    </w:p>
    <w:p w14:paraId="733EC77C" w14:textId="066420FF" w:rsidR="00850D75" w:rsidRDefault="00850D75" w:rsidP="00850D75">
      <w:pPr>
        <w:pStyle w:val="Bullet3"/>
        <w:numPr>
          <w:ilvl w:val="3"/>
          <w:numId w:val="14"/>
        </w:numPr>
        <w:rPr>
          <w:lang w:eastAsia="en-AU"/>
        </w:rPr>
      </w:pPr>
      <w:proofErr w:type="gramStart"/>
      <w:r>
        <w:rPr>
          <w:lang w:eastAsia="en-AU"/>
        </w:rPr>
        <w:t>which</w:t>
      </w:r>
      <w:proofErr w:type="gramEnd"/>
      <w:r>
        <w:rPr>
          <w:lang w:eastAsia="en-AU"/>
        </w:rPr>
        <w:t xml:space="preserve"> does not operate as a business or charge any fee for acting on behalf of the veterans, past and present members of the ADF and/or their dependants in the provision of claims or welfare services.</w:t>
      </w:r>
    </w:p>
    <w:p w14:paraId="38C50811" w14:textId="77777777" w:rsidR="00850D75" w:rsidRDefault="003A2756" w:rsidP="00850D75">
      <w:pPr>
        <w:pStyle w:val="Bullet2"/>
        <w:rPr>
          <w:lang w:eastAsia="en-AU"/>
        </w:rPr>
      </w:pPr>
      <w:r>
        <w:rPr>
          <w:lang w:eastAsia="en-AU"/>
        </w:rPr>
        <w:t>The ESO</w:t>
      </w:r>
      <w:r w:rsidR="006065A7">
        <w:rPr>
          <w:lang w:eastAsia="en-AU"/>
        </w:rPr>
        <w:t xml:space="preserve"> must be one of the following entity types. </w:t>
      </w:r>
    </w:p>
    <w:p w14:paraId="040D470E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Company </w:t>
      </w:r>
    </w:p>
    <w:p w14:paraId="72AD4799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Cooperative </w:t>
      </w:r>
    </w:p>
    <w:p w14:paraId="091F8F4A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Corporate State or Territory Entity </w:t>
      </w:r>
    </w:p>
    <w:p w14:paraId="3708A43F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Indigenous Corporation </w:t>
      </w:r>
    </w:p>
    <w:p w14:paraId="058F0993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Incorporated Association </w:t>
      </w:r>
    </w:p>
    <w:p w14:paraId="630D55DB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Partnership</w:t>
      </w:r>
    </w:p>
    <w:p w14:paraId="41FD3786" w14:textId="77777777" w:rsidR="00850D75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 xml:space="preserve">Statutory Entity </w:t>
      </w:r>
    </w:p>
    <w:p w14:paraId="441C2836" w14:textId="5CB25F41" w:rsidR="00FF7D62" w:rsidRDefault="006065A7" w:rsidP="00850D75">
      <w:pPr>
        <w:pStyle w:val="Bullet3"/>
        <w:numPr>
          <w:ilvl w:val="3"/>
          <w:numId w:val="14"/>
        </w:numPr>
        <w:rPr>
          <w:lang w:eastAsia="en-AU"/>
        </w:rPr>
      </w:pPr>
      <w:r>
        <w:t>Trustee on behalf of a Trust</w:t>
      </w:r>
    </w:p>
    <w:p w14:paraId="663409A8" w14:textId="400D1D62" w:rsidR="00417D3F" w:rsidRPr="009438BC" w:rsidRDefault="003A2756" w:rsidP="009438BC">
      <w:pPr>
        <w:pStyle w:val="Bullet1"/>
        <w:numPr>
          <w:ilvl w:val="0"/>
          <w:numId w:val="25"/>
        </w:numPr>
        <w:spacing w:after="240" w:line="240" w:lineRule="auto"/>
        <w:rPr>
          <w:rFonts w:eastAsia="Times New Roman" w:cstheme="minorHAnsi"/>
          <w:lang w:eastAsia="en-AU"/>
        </w:rPr>
      </w:pPr>
      <w:r>
        <w:rPr>
          <w:lang w:eastAsia="en-AU"/>
        </w:rPr>
        <w:t xml:space="preserve">If an ESO does not meet the eligibility criteria, another eligible ESO may apply as the sponsor on their behalf. </w:t>
      </w:r>
      <w:r w:rsidR="009C0D83" w:rsidRPr="002E09DD">
        <w:t xml:space="preserve">The sponsoring </w:t>
      </w:r>
      <w:r w:rsidR="00775361" w:rsidRPr="002E09DD">
        <w:t>ESO</w:t>
      </w:r>
      <w:r w:rsidR="009C0D83" w:rsidRPr="002E09DD">
        <w:t xml:space="preserve"> must submit a separate grant application for each sponsored organisation.</w:t>
      </w:r>
      <w:r w:rsidR="00417D3F" w:rsidRPr="009438BC">
        <w:rPr>
          <w:rFonts w:eastAsia="Times New Roman" w:cstheme="minorHAnsi"/>
          <w:lang w:eastAsia="en-AU"/>
        </w:rPr>
        <w:t xml:space="preserve"> </w:t>
      </w:r>
    </w:p>
    <w:sectPr w:rsidR="00417D3F" w:rsidRPr="009438BC" w:rsidSect="00D91B1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089B" w14:textId="77777777" w:rsidR="009778CE" w:rsidRDefault="009778CE" w:rsidP="00772718">
      <w:pPr>
        <w:spacing w:line="240" w:lineRule="auto"/>
      </w:pPr>
      <w:r>
        <w:separator/>
      </w:r>
    </w:p>
  </w:endnote>
  <w:endnote w:type="continuationSeparator" w:id="0">
    <w:p w14:paraId="7F6B6575" w14:textId="77777777" w:rsidR="009778CE" w:rsidRDefault="009778CE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2CB3" w14:textId="4220E28E" w:rsidR="00014F13" w:rsidRDefault="00014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D2F55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88E7F64" wp14:editId="4DB9F7A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7A5C9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9545" w14:textId="3C681427" w:rsidR="00014F13" w:rsidRDefault="00014F1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D2F55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7B5C" w14:textId="77777777" w:rsidR="009778CE" w:rsidRDefault="009778CE" w:rsidP="00772718">
      <w:pPr>
        <w:spacing w:line="240" w:lineRule="auto"/>
      </w:pPr>
      <w:r>
        <w:separator/>
      </w:r>
    </w:p>
  </w:footnote>
  <w:footnote w:type="continuationSeparator" w:id="0">
    <w:p w14:paraId="32069576" w14:textId="77777777" w:rsidR="009778CE" w:rsidRDefault="009778CE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0ED5" w14:textId="77777777" w:rsidR="00014F13" w:rsidRDefault="00014F1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54BD2AB" wp14:editId="78DDE60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8AD25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3CF6B58" wp14:editId="7755FB1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3833" w14:textId="77777777" w:rsidR="00014F13" w:rsidRDefault="00014F1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25F3AE0" wp14:editId="4A62A8D2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5F36D76" wp14:editId="26BB144C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1BBAA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2066593" wp14:editId="7A739A8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19973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FFD37FE" wp14:editId="7059CF3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9A75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4957169"/>
    <w:multiLevelType w:val="hybridMultilevel"/>
    <w:tmpl w:val="22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49F5"/>
    <w:multiLevelType w:val="hybridMultilevel"/>
    <w:tmpl w:val="F0A4579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A629D4">
      <w:start w:val="1"/>
      <w:numFmt w:val="decimal"/>
      <w:lvlText w:val="%2."/>
      <w:lvlJc w:val="left"/>
      <w:pPr>
        <w:tabs>
          <w:tab w:val="num" w:pos="2325"/>
        </w:tabs>
        <w:ind w:left="567" w:hanging="567"/>
      </w:pPr>
    </w:lvl>
    <w:lvl w:ilvl="2" w:tplc="32D46454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94DF1"/>
    <w:multiLevelType w:val="hybridMultilevel"/>
    <w:tmpl w:val="9B580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05A8"/>
    <w:multiLevelType w:val="multilevel"/>
    <w:tmpl w:val="99EEC854"/>
    <w:numStyleLink w:val="BulletsList"/>
  </w:abstractNum>
  <w:abstractNum w:abstractNumId="5" w15:restartNumberingAfterBreak="0">
    <w:nsid w:val="1ACC37ED"/>
    <w:multiLevelType w:val="hybridMultilevel"/>
    <w:tmpl w:val="F240483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AF04BA"/>
    <w:multiLevelType w:val="hybridMultilevel"/>
    <w:tmpl w:val="282ED99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C145C"/>
    <w:multiLevelType w:val="hybridMultilevel"/>
    <w:tmpl w:val="8266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2E5510E"/>
    <w:multiLevelType w:val="hybridMultilevel"/>
    <w:tmpl w:val="AFB677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3A7B"/>
    <w:multiLevelType w:val="hybridMultilevel"/>
    <w:tmpl w:val="C41AD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9A7"/>
    <w:multiLevelType w:val="hybridMultilevel"/>
    <w:tmpl w:val="9404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2D83"/>
    <w:multiLevelType w:val="hybridMultilevel"/>
    <w:tmpl w:val="682CE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07550"/>
    <w:multiLevelType w:val="hybridMultilevel"/>
    <w:tmpl w:val="B5761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5170"/>
    <w:multiLevelType w:val="hybridMultilevel"/>
    <w:tmpl w:val="D9041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70E65"/>
    <w:multiLevelType w:val="hybridMultilevel"/>
    <w:tmpl w:val="B85AF30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8D6C08"/>
    <w:multiLevelType w:val="hybridMultilevel"/>
    <w:tmpl w:val="89286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8" w15:restartNumberingAfterBreak="0">
    <w:nsid w:val="3F751E81"/>
    <w:multiLevelType w:val="hybridMultilevel"/>
    <w:tmpl w:val="0060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2B4C3C"/>
    <w:multiLevelType w:val="multilevel"/>
    <w:tmpl w:val="99EEC854"/>
    <w:numStyleLink w:val="BulletsList"/>
  </w:abstractNum>
  <w:abstractNum w:abstractNumId="21" w15:restartNumberingAfterBreak="0">
    <w:nsid w:val="63EA4340"/>
    <w:multiLevelType w:val="multilevel"/>
    <w:tmpl w:val="99EEC854"/>
    <w:numStyleLink w:val="BulletsList"/>
  </w:abstractNum>
  <w:abstractNum w:abstractNumId="22" w15:restartNumberingAfterBreak="0">
    <w:nsid w:val="66A47DBE"/>
    <w:multiLevelType w:val="hybridMultilevel"/>
    <w:tmpl w:val="775C9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A5199"/>
    <w:multiLevelType w:val="hybridMultilevel"/>
    <w:tmpl w:val="522A72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5" w15:restartNumberingAfterBreak="0">
    <w:nsid w:val="73107305"/>
    <w:multiLevelType w:val="multilevel"/>
    <w:tmpl w:val="99EEC854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»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26" w15:restartNumberingAfterBreak="0">
    <w:nsid w:val="771A6D3C"/>
    <w:multiLevelType w:val="multilevel"/>
    <w:tmpl w:val="02642B9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cs"/>
        <w:b/>
        <w:i w:val="0"/>
      </w:rPr>
    </w:lvl>
    <w:lvl w:ilvl="1">
      <w:start w:val="1"/>
      <w:numFmt w:val="decimal"/>
      <w:pStyle w:val="HeadingB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C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9"/>
  </w:num>
  <w:num w:numId="5">
    <w:abstractNumId w:val="17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18"/>
  </w:num>
  <w:num w:numId="11">
    <w:abstractNumId w:val="12"/>
  </w:num>
  <w:num w:numId="12">
    <w:abstractNumId w:val="2"/>
  </w:num>
  <w:num w:numId="13">
    <w:abstractNumId w:val="25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1"/>
  </w:num>
  <w:num w:numId="19">
    <w:abstractNumId w:val="9"/>
  </w:num>
  <w:num w:numId="20">
    <w:abstractNumId w:val="7"/>
  </w:num>
  <w:num w:numId="21">
    <w:abstractNumId w:val="6"/>
  </w:num>
  <w:num w:numId="22">
    <w:abstractNumId w:val="14"/>
  </w:num>
  <w:num w:numId="23">
    <w:abstractNumId w:val="15"/>
  </w:num>
  <w:num w:numId="24">
    <w:abstractNumId w:val="23"/>
  </w:num>
  <w:num w:numId="25">
    <w:abstractNumId w:val="3"/>
  </w:num>
  <w:num w:numId="26">
    <w:abstractNumId w:val="16"/>
  </w:num>
  <w:num w:numId="27">
    <w:abstractNumId w:val="25"/>
  </w:num>
  <w:num w:numId="28">
    <w:abstractNumId w:val="22"/>
  </w:num>
  <w:num w:numId="29">
    <w:abstractNumId w:val="13"/>
  </w:num>
  <w:num w:numId="30">
    <w:abstractNumId w:val="4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4"/>
    <w:rsid w:val="00000555"/>
    <w:rsid w:val="00000A51"/>
    <w:rsid w:val="00004A79"/>
    <w:rsid w:val="00004F51"/>
    <w:rsid w:val="00005553"/>
    <w:rsid w:val="00007DE9"/>
    <w:rsid w:val="0001493D"/>
    <w:rsid w:val="00014F13"/>
    <w:rsid w:val="00015AE4"/>
    <w:rsid w:val="0003018E"/>
    <w:rsid w:val="00033BC3"/>
    <w:rsid w:val="00033F02"/>
    <w:rsid w:val="0004161C"/>
    <w:rsid w:val="00044E09"/>
    <w:rsid w:val="0004784D"/>
    <w:rsid w:val="00053A00"/>
    <w:rsid w:val="00075A81"/>
    <w:rsid w:val="00085CA1"/>
    <w:rsid w:val="000B6C00"/>
    <w:rsid w:val="000C1F06"/>
    <w:rsid w:val="000E1F46"/>
    <w:rsid w:val="000F1DD1"/>
    <w:rsid w:val="000F28B8"/>
    <w:rsid w:val="000F3766"/>
    <w:rsid w:val="00106FC4"/>
    <w:rsid w:val="00111069"/>
    <w:rsid w:val="001115F5"/>
    <w:rsid w:val="00111F0C"/>
    <w:rsid w:val="001262AD"/>
    <w:rsid w:val="00130C9A"/>
    <w:rsid w:val="00145E2D"/>
    <w:rsid w:val="00147EDB"/>
    <w:rsid w:val="0016612C"/>
    <w:rsid w:val="001763D4"/>
    <w:rsid w:val="00181433"/>
    <w:rsid w:val="001834DD"/>
    <w:rsid w:val="0018451D"/>
    <w:rsid w:val="0019192C"/>
    <w:rsid w:val="001A403D"/>
    <w:rsid w:val="001C53CE"/>
    <w:rsid w:val="001C5D96"/>
    <w:rsid w:val="001D341B"/>
    <w:rsid w:val="001E2697"/>
    <w:rsid w:val="001E3D2B"/>
    <w:rsid w:val="001E66CE"/>
    <w:rsid w:val="00221DC2"/>
    <w:rsid w:val="00221F1A"/>
    <w:rsid w:val="00226628"/>
    <w:rsid w:val="0023461A"/>
    <w:rsid w:val="00244B48"/>
    <w:rsid w:val="002573D5"/>
    <w:rsid w:val="00264E26"/>
    <w:rsid w:val="00272BE1"/>
    <w:rsid w:val="00280E74"/>
    <w:rsid w:val="00296602"/>
    <w:rsid w:val="002A41E1"/>
    <w:rsid w:val="002A6D54"/>
    <w:rsid w:val="002B2FDA"/>
    <w:rsid w:val="002B6574"/>
    <w:rsid w:val="002C66E3"/>
    <w:rsid w:val="002D4D48"/>
    <w:rsid w:val="002E09DD"/>
    <w:rsid w:val="002E21D2"/>
    <w:rsid w:val="002F7D3C"/>
    <w:rsid w:val="00305720"/>
    <w:rsid w:val="00310F2A"/>
    <w:rsid w:val="003131AB"/>
    <w:rsid w:val="003217BE"/>
    <w:rsid w:val="0036341E"/>
    <w:rsid w:val="0037626D"/>
    <w:rsid w:val="00383896"/>
    <w:rsid w:val="003A2756"/>
    <w:rsid w:val="003A6F27"/>
    <w:rsid w:val="003B2843"/>
    <w:rsid w:val="003D0647"/>
    <w:rsid w:val="003D1265"/>
    <w:rsid w:val="003D3B1D"/>
    <w:rsid w:val="003D5DBE"/>
    <w:rsid w:val="003D76C9"/>
    <w:rsid w:val="00404841"/>
    <w:rsid w:val="00412059"/>
    <w:rsid w:val="00417D3F"/>
    <w:rsid w:val="00425633"/>
    <w:rsid w:val="004417FA"/>
    <w:rsid w:val="00441A54"/>
    <w:rsid w:val="00441E79"/>
    <w:rsid w:val="00450486"/>
    <w:rsid w:val="004709E9"/>
    <w:rsid w:val="00483A58"/>
    <w:rsid w:val="00484E9D"/>
    <w:rsid w:val="0049183C"/>
    <w:rsid w:val="00495C4D"/>
    <w:rsid w:val="004A1DF2"/>
    <w:rsid w:val="004A4F84"/>
    <w:rsid w:val="004A6CD2"/>
    <w:rsid w:val="004B5F40"/>
    <w:rsid w:val="004C7D16"/>
    <w:rsid w:val="004D0733"/>
    <w:rsid w:val="004D700E"/>
    <w:rsid w:val="004D7F17"/>
    <w:rsid w:val="004E0670"/>
    <w:rsid w:val="004E7F37"/>
    <w:rsid w:val="004F31BA"/>
    <w:rsid w:val="00511712"/>
    <w:rsid w:val="0051299F"/>
    <w:rsid w:val="00515CBF"/>
    <w:rsid w:val="00526B85"/>
    <w:rsid w:val="005306A1"/>
    <w:rsid w:val="00572246"/>
    <w:rsid w:val="005829CC"/>
    <w:rsid w:val="0058371E"/>
    <w:rsid w:val="0059000C"/>
    <w:rsid w:val="005953A8"/>
    <w:rsid w:val="005A02A1"/>
    <w:rsid w:val="005D7A24"/>
    <w:rsid w:val="005E5465"/>
    <w:rsid w:val="00601BB8"/>
    <w:rsid w:val="006049E4"/>
    <w:rsid w:val="00605BD2"/>
    <w:rsid w:val="006065A7"/>
    <w:rsid w:val="00616EBA"/>
    <w:rsid w:val="006177A2"/>
    <w:rsid w:val="00620898"/>
    <w:rsid w:val="00621B17"/>
    <w:rsid w:val="006236CE"/>
    <w:rsid w:val="00632C08"/>
    <w:rsid w:val="00653414"/>
    <w:rsid w:val="00654C42"/>
    <w:rsid w:val="00661554"/>
    <w:rsid w:val="0067074A"/>
    <w:rsid w:val="00672994"/>
    <w:rsid w:val="006B0992"/>
    <w:rsid w:val="006C15C5"/>
    <w:rsid w:val="006D2F55"/>
    <w:rsid w:val="006D3DAD"/>
    <w:rsid w:val="006D5E78"/>
    <w:rsid w:val="006F5ACE"/>
    <w:rsid w:val="006F7B19"/>
    <w:rsid w:val="007164B8"/>
    <w:rsid w:val="0072590A"/>
    <w:rsid w:val="00732A51"/>
    <w:rsid w:val="00736A76"/>
    <w:rsid w:val="00743126"/>
    <w:rsid w:val="007469F0"/>
    <w:rsid w:val="00752C6B"/>
    <w:rsid w:val="00760CE6"/>
    <w:rsid w:val="007618AA"/>
    <w:rsid w:val="007719C9"/>
    <w:rsid w:val="00772718"/>
    <w:rsid w:val="00775361"/>
    <w:rsid w:val="0078342D"/>
    <w:rsid w:val="007B6050"/>
    <w:rsid w:val="007D30A8"/>
    <w:rsid w:val="007E0FC5"/>
    <w:rsid w:val="00801ABE"/>
    <w:rsid w:val="00814FB1"/>
    <w:rsid w:val="00820F20"/>
    <w:rsid w:val="0082528A"/>
    <w:rsid w:val="00825754"/>
    <w:rsid w:val="00835210"/>
    <w:rsid w:val="00844C2D"/>
    <w:rsid w:val="00847C5E"/>
    <w:rsid w:val="00850D75"/>
    <w:rsid w:val="008677F1"/>
    <w:rsid w:val="0087438E"/>
    <w:rsid w:val="00884668"/>
    <w:rsid w:val="00884C45"/>
    <w:rsid w:val="008933AB"/>
    <w:rsid w:val="008947B8"/>
    <w:rsid w:val="008A5DF6"/>
    <w:rsid w:val="008B2B46"/>
    <w:rsid w:val="008C60A4"/>
    <w:rsid w:val="008E05BC"/>
    <w:rsid w:val="008F3CCF"/>
    <w:rsid w:val="00905E4B"/>
    <w:rsid w:val="00921840"/>
    <w:rsid w:val="00932C87"/>
    <w:rsid w:val="009331B4"/>
    <w:rsid w:val="009345F1"/>
    <w:rsid w:val="009434C4"/>
    <w:rsid w:val="009438BC"/>
    <w:rsid w:val="00944857"/>
    <w:rsid w:val="00944BBB"/>
    <w:rsid w:val="009547B6"/>
    <w:rsid w:val="00961072"/>
    <w:rsid w:val="00965AB1"/>
    <w:rsid w:val="009778CE"/>
    <w:rsid w:val="009B1171"/>
    <w:rsid w:val="009B6094"/>
    <w:rsid w:val="009C0D83"/>
    <w:rsid w:val="009C31DB"/>
    <w:rsid w:val="009C4EA4"/>
    <w:rsid w:val="009E750F"/>
    <w:rsid w:val="009F6CFB"/>
    <w:rsid w:val="00A04D96"/>
    <w:rsid w:val="00A0629B"/>
    <w:rsid w:val="00A14495"/>
    <w:rsid w:val="00A15D6B"/>
    <w:rsid w:val="00A16BE1"/>
    <w:rsid w:val="00A2346C"/>
    <w:rsid w:val="00A454BF"/>
    <w:rsid w:val="00A52E3A"/>
    <w:rsid w:val="00A620B6"/>
    <w:rsid w:val="00A814CB"/>
    <w:rsid w:val="00A815AE"/>
    <w:rsid w:val="00A83BB4"/>
    <w:rsid w:val="00A84CE0"/>
    <w:rsid w:val="00A87758"/>
    <w:rsid w:val="00A90D1B"/>
    <w:rsid w:val="00AB2C99"/>
    <w:rsid w:val="00AB5E43"/>
    <w:rsid w:val="00AB7F79"/>
    <w:rsid w:val="00AD218D"/>
    <w:rsid w:val="00AF0643"/>
    <w:rsid w:val="00AF55F8"/>
    <w:rsid w:val="00B10ABA"/>
    <w:rsid w:val="00B420D4"/>
    <w:rsid w:val="00B46815"/>
    <w:rsid w:val="00B57910"/>
    <w:rsid w:val="00B64AE1"/>
    <w:rsid w:val="00B747F7"/>
    <w:rsid w:val="00B76944"/>
    <w:rsid w:val="00B952F6"/>
    <w:rsid w:val="00B96472"/>
    <w:rsid w:val="00BA4B7A"/>
    <w:rsid w:val="00BB4AC0"/>
    <w:rsid w:val="00BC093A"/>
    <w:rsid w:val="00BC4ACC"/>
    <w:rsid w:val="00BC4FCC"/>
    <w:rsid w:val="00BD02F8"/>
    <w:rsid w:val="00BE1030"/>
    <w:rsid w:val="00BF181A"/>
    <w:rsid w:val="00C10B14"/>
    <w:rsid w:val="00C217A8"/>
    <w:rsid w:val="00C3638B"/>
    <w:rsid w:val="00C4188F"/>
    <w:rsid w:val="00C55E6A"/>
    <w:rsid w:val="00C819A4"/>
    <w:rsid w:val="00C824AE"/>
    <w:rsid w:val="00C84EA8"/>
    <w:rsid w:val="00C92998"/>
    <w:rsid w:val="00C96C2B"/>
    <w:rsid w:val="00CA68EC"/>
    <w:rsid w:val="00CA720A"/>
    <w:rsid w:val="00CB0986"/>
    <w:rsid w:val="00CD5925"/>
    <w:rsid w:val="00CE2041"/>
    <w:rsid w:val="00CE557A"/>
    <w:rsid w:val="00CF33BB"/>
    <w:rsid w:val="00CF3EBF"/>
    <w:rsid w:val="00D031B2"/>
    <w:rsid w:val="00D1410C"/>
    <w:rsid w:val="00D40D16"/>
    <w:rsid w:val="00D548F0"/>
    <w:rsid w:val="00D57F79"/>
    <w:rsid w:val="00D638D5"/>
    <w:rsid w:val="00D64F4B"/>
    <w:rsid w:val="00D64FAC"/>
    <w:rsid w:val="00D65704"/>
    <w:rsid w:val="00D668F6"/>
    <w:rsid w:val="00D84875"/>
    <w:rsid w:val="00D904F0"/>
    <w:rsid w:val="00D91378"/>
    <w:rsid w:val="00D91B18"/>
    <w:rsid w:val="00D97CA0"/>
    <w:rsid w:val="00DA1686"/>
    <w:rsid w:val="00DB0991"/>
    <w:rsid w:val="00DC0747"/>
    <w:rsid w:val="00DC0AC8"/>
    <w:rsid w:val="00DC2647"/>
    <w:rsid w:val="00DD1408"/>
    <w:rsid w:val="00DD356D"/>
    <w:rsid w:val="00DD6735"/>
    <w:rsid w:val="00DE5FFB"/>
    <w:rsid w:val="00DF136A"/>
    <w:rsid w:val="00DF327B"/>
    <w:rsid w:val="00E0448C"/>
    <w:rsid w:val="00E04CA2"/>
    <w:rsid w:val="00E13525"/>
    <w:rsid w:val="00E16A9C"/>
    <w:rsid w:val="00E20A08"/>
    <w:rsid w:val="00E23B0E"/>
    <w:rsid w:val="00E32463"/>
    <w:rsid w:val="00E47250"/>
    <w:rsid w:val="00E60930"/>
    <w:rsid w:val="00E61535"/>
    <w:rsid w:val="00E66B6F"/>
    <w:rsid w:val="00E71515"/>
    <w:rsid w:val="00E721C3"/>
    <w:rsid w:val="00E822FD"/>
    <w:rsid w:val="00E84012"/>
    <w:rsid w:val="00E84252"/>
    <w:rsid w:val="00E87F3B"/>
    <w:rsid w:val="00E9373C"/>
    <w:rsid w:val="00EA0724"/>
    <w:rsid w:val="00EA48B0"/>
    <w:rsid w:val="00EA6251"/>
    <w:rsid w:val="00EA79E0"/>
    <w:rsid w:val="00EB6414"/>
    <w:rsid w:val="00EC7159"/>
    <w:rsid w:val="00ED0910"/>
    <w:rsid w:val="00EE5747"/>
    <w:rsid w:val="00EF3804"/>
    <w:rsid w:val="00EF5E05"/>
    <w:rsid w:val="00F03810"/>
    <w:rsid w:val="00F10D8D"/>
    <w:rsid w:val="00F20386"/>
    <w:rsid w:val="00F227AF"/>
    <w:rsid w:val="00F27370"/>
    <w:rsid w:val="00F36072"/>
    <w:rsid w:val="00F40B00"/>
    <w:rsid w:val="00F41DFE"/>
    <w:rsid w:val="00F5341C"/>
    <w:rsid w:val="00F56954"/>
    <w:rsid w:val="00F56A09"/>
    <w:rsid w:val="00F627DC"/>
    <w:rsid w:val="00F674FE"/>
    <w:rsid w:val="00F948AF"/>
    <w:rsid w:val="00FA5A7B"/>
    <w:rsid w:val="00FB11B1"/>
    <w:rsid w:val="00FC2556"/>
    <w:rsid w:val="00FC2BD7"/>
    <w:rsid w:val="00FC312F"/>
    <w:rsid w:val="00FC7803"/>
    <w:rsid w:val="00FD2018"/>
    <w:rsid w:val="00FE00E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211B9"/>
  <w15:docId w15:val="{B811892C-0F70-4AEE-BDEF-1375F9C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7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Recommendation,List Paragraph1,List Paragraph11,Bullet point"/>
    <w:basedOn w:val="Normal"/>
    <w:link w:val="ListParagraphChar"/>
    <w:uiPriority w:val="34"/>
    <w:qFormat/>
    <w:rsid w:val="00F56A09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21B17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621B17"/>
    <w:rPr>
      <w:rFonts w:ascii="Calibri" w:eastAsia="Times New Roman" w:hAnsi="Calibri"/>
    </w:rPr>
  </w:style>
  <w:style w:type="paragraph" w:customStyle="1" w:styleId="Bullet1">
    <w:name w:val="Bullet 1"/>
    <w:basedOn w:val="Normal"/>
    <w:qFormat/>
    <w:rsid w:val="00621B17"/>
    <w:pPr>
      <w:numPr>
        <w:numId w:val="32"/>
      </w:numPr>
      <w:suppressAutoHyphens/>
      <w:spacing w:before="120" w:after="60"/>
    </w:pPr>
    <w:rPr>
      <w:rFonts w:cstheme="minorBidi"/>
      <w:color w:val="auto"/>
      <w:szCs w:val="22"/>
    </w:rPr>
  </w:style>
  <w:style w:type="paragraph" w:customStyle="1" w:styleId="Bullet2">
    <w:name w:val="Bullet 2"/>
    <w:basedOn w:val="Bullet1"/>
    <w:qFormat/>
    <w:rsid w:val="00621B17"/>
    <w:pPr>
      <w:numPr>
        <w:ilvl w:val="1"/>
      </w:numPr>
    </w:pPr>
  </w:style>
  <w:style w:type="paragraph" w:customStyle="1" w:styleId="Bullet3">
    <w:name w:val="Bullet 3"/>
    <w:basedOn w:val="Bullet2"/>
    <w:qFormat/>
    <w:rsid w:val="00621B17"/>
    <w:pPr>
      <w:numPr>
        <w:ilvl w:val="2"/>
      </w:numPr>
    </w:pPr>
  </w:style>
  <w:style w:type="character" w:customStyle="1" w:styleId="HeadingBChar">
    <w:name w:val="Heading B Char"/>
    <w:basedOn w:val="DefaultParagraphFont"/>
    <w:link w:val="HeadingB"/>
    <w:locked/>
    <w:rsid w:val="00621B17"/>
    <w:rPr>
      <w:rFonts w:ascii="Arial" w:eastAsia="Times New Roman" w:hAnsi="Arial" w:cs="Arial"/>
      <w:b/>
      <w:sz w:val="28"/>
      <w:szCs w:val="28"/>
    </w:rPr>
  </w:style>
  <w:style w:type="paragraph" w:customStyle="1" w:styleId="HeadingB">
    <w:name w:val="Heading B"/>
    <w:basedOn w:val="Normal"/>
    <w:link w:val="HeadingBChar"/>
    <w:rsid w:val="00621B17"/>
    <w:pPr>
      <w:keepNext/>
      <w:numPr>
        <w:ilvl w:val="1"/>
        <w:numId w:val="15"/>
      </w:numPr>
      <w:spacing w:after="120" w:line="240" w:lineRule="auto"/>
    </w:pPr>
    <w:rPr>
      <w:rFonts w:ascii="Arial" w:eastAsia="Times New Roman" w:hAnsi="Arial" w:cs="Arial"/>
      <w:b/>
      <w:color w:val="auto"/>
      <w:sz w:val="28"/>
      <w:szCs w:val="28"/>
    </w:rPr>
  </w:style>
  <w:style w:type="paragraph" w:customStyle="1" w:styleId="HeadingC">
    <w:name w:val="Heading C"/>
    <w:basedOn w:val="Normal"/>
    <w:rsid w:val="00621B17"/>
    <w:pPr>
      <w:keepNext/>
      <w:numPr>
        <w:ilvl w:val="2"/>
        <w:numId w:val="15"/>
      </w:numPr>
      <w:spacing w:after="120" w:line="240" w:lineRule="auto"/>
    </w:pPr>
    <w:rPr>
      <w:rFonts w:ascii="Arial" w:eastAsia="Times New Roman" w:hAnsi="Arial" w:cs="Arial"/>
      <w:b/>
      <w:color w:val="auto"/>
      <w:sz w:val="28"/>
      <w:szCs w:val="28"/>
    </w:rPr>
  </w:style>
  <w:style w:type="numbering" w:customStyle="1" w:styleId="BulletsList">
    <w:name w:val="Bullets List"/>
    <w:uiPriority w:val="99"/>
    <w:rsid w:val="00621B17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83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96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96"/>
    <w:rPr>
      <w:rFonts w:asciiTheme="minorHAnsi" w:hAnsiTheme="minorHAnsi"/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18451D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Bullet point Char"/>
    <w:basedOn w:val="DefaultParagraphFont"/>
    <w:link w:val="ListParagraph"/>
    <w:uiPriority w:val="34"/>
    <w:locked/>
    <w:rsid w:val="00E721C3"/>
    <w:rPr>
      <w:rFonts w:asciiTheme="minorHAnsi" w:hAnsiTheme="minorHAnsi"/>
      <w:color w:val="000000" w:themeColor="text1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E721C3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E72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dva.gov.au/consultation-and-grants/advocacy-training/advocacy-training-and-development-progra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mmunitygrants.gov.au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55F50.8FD23C8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1BFFAD894546DBAB7D2739659A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2F2D-29C7-47EA-B22B-D0583CCBCD35}"/>
      </w:docPartPr>
      <w:docPartBody>
        <w:p w:rsidR="0018253C" w:rsidRDefault="0018253C">
          <w:pPr>
            <w:pStyle w:val="EE1BFFAD894546DBAB7D2739659A4C0F"/>
          </w:pPr>
          <w:r>
            <w:t>[Title]</w:t>
          </w:r>
        </w:p>
      </w:docPartBody>
    </w:docPart>
    <w:docPart>
      <w:docPartPr>
        <w:name w:val="060155FD86294E33A98AC2FAEFF9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A1CE-EB89-473A-A26D-964FD3E9DC3D}"/>
      </w:docPartPr>
      <w:docPartBody>
        <w:p w:rsidR="0018253C" w:rsidRDefault="0018253C">
          <w:pPr>
            <w:pStyle w:val="060155FD86294E33A98AC2FAEFF98AEB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C"/>
    <w:rsid w:val="00166370"/>
    <w:rsid w:val="0018253C"/>
    <w:rsid w:val="001F2EC2"/>
    <w:rsid w:val="002A029F"/>
    <w:rsid w:val="002F0F77"/>
    <w:rsid w:val="002F4BD3"/>
    <w:rsid w:val="003702E4"/>
    <w:rsid w:val="00381420"/>
    <w:rsid w:val="00465005"/>
    <w:rsid w:val="00547833"/>
    <w:rsid w:val="00572D3F"/>
    <w:rsid w:val="0065138E"/>
    <w:rsid w:val="00700286"/>
    <w:rsid w:val="00746F09"/>
    <w:rsid w:val="00812606"/>
    <w:rsid w:val="009777F3"/>
    <w:rsid w:val="009E23D5"/>
    <w:rsid w:val="00B131D7"/>
    <w:rsid w:val="00BF6E31"/>
    <w:rsid w:val="00EC5337"/>
    <w:rsid w:val="00F62D09"/>
    <w:rsid w:val="00FB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1BFFAD894546DBAB7D2739659A4C0F">
    <w:name w:val="EE1BFFAD894546DBAB7D2739659A4C0F"/>
  </w:style>
  <w:style w:type="paragraph" w:customStyle="1" w:styleId="060155FD86294E33A98AC2FAEFF98AEB">
    <w:name w:val="060155FD86294E33A98AC2FAEFF98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ECD67-6CE3-4C36-953B-D1E99BC2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C6578-C814-4F21-90B2-96A7E5D64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E582C-A980-48C7-BF56-13B46B7A9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649400-8F76-4A6D-9FF2-F131AAA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Excellence in Support 
and Training</vt:lpstr>
    </vt:vector>
  </TitlesOfParts>
  <Company>Community Grants Hub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Excellence in Support 
and Training</dc:title>
  <dc:subject>General feedback for applicants</dc:subject>
  <dc:creator>TAYLOR, Megan</dc:creator>
  <cp:lastModifiedBy>WORKMAN, Reid</cp:lastModifiedBy>
  <cp:revision>3</cp:revision>
  <dcterms:created xsi:type="dcterms:W3CDTF">2019-10-22T05:32:00Z</dcterms:created>
  <dcterms:modified xsi:type="dcterms:W3CDTF">2019-10-22T05:33:00Z</dcterms:modified>
</cp:coreProperties>
</file>