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eorgia" w:eastAsiaTheme="majorEastAsia" w:hAnsi="Georgia" w:cstheme="majorBidi"/>
          <w:color w:val="CF0A2C" w:themeColor="accent1"/>
          <w:kern w:val="28"/>
          <w:sz w:val="44"/>
          <w:szCs w:val="44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F85F98" w:rsidRPr="00A216B8" w:rsidRDefault="00B73B2D" w:rsidP="00DB0865">
          <w:pPr>
            <w:spacing w:after="140" w:line="1000" w:lineRule="exact"/>
            <w:contextualSpacing/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44"/>
            </w:rPr>
          </w:pPr>
          <w:r>
            <w:rPr>
              <w:rFonts w:ascii="Georgia" w:eastAsiaTheme="majorEastAsia" w:hAnsi="Georgia" w:cstheme="majorBidi"/>
              <w:color w:val="CF0A2C" w:themeColor="accent1"/>
              <w:kern w:val="28"/>
              <w:sz w:val="44"/>
              <w:szCs w:val="44"/>
            </w:rPr>
            <w:t>City-Country Partnerships</w:t>
          </w:r>
        </w:p>
      </w:sdtContent>
    </w:sdt>
    <w:p w:rsidR="00F85F98" w:rsidRPr="00F85F98" w:rsidRDefault="00507441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B73B2D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General Feedback for applicants</w:t>
          </w:r>
        </w:sdtContent>
      </w:sdt>
    </w:p>
    <w:p w:rsidR="00E744C4" w:rsidRDefault="00E744C4">
      <w:pPr>
        <w:pStyle w:val="BodyText"/>
      </w:pPr>
      <w:r w:rsidRPr="004D45C1">
        <w:rPr>
          <w:rFonts w:cstheme="minorHAnsi"/>
          <w:szCs w:val="22"/>
        </w:rPr>
        <w:t>The</w:t>
      </w:r>
      <w:r>
        <w:t xml:space="preserve"> Department of Education</w:t>
      </w:r>
      <w:r w:rsidR="0008770F">
        <w:t xml:space="preserve">, Skills and Employment </w:t>
      </w:r>
      <w:r>
        <w:t>has provided the following General Feedback for applicants of the City-Country Partnerships grant opportunity.</w:t>
      </w:r>
    </w:p>
    <w:p w:rsidR="00223EBB" w:rsidRPr="00223EBB" w:rsidRDefault="00F85F98" w:rsidP="00F84562">
      <w:pPr>
        <w:pStyle w:val="Heading1"/>
        <w:spacing w:before="360"/>
      </w:pPr>
      <w:r w:rsidRPr="003D4B2C">
        <w:t>Overview</w:t>
      </w:r>
      <w:bookmarkStart w:id="0" w:name="_Hlk92363600"/>
    </w:p>
    <w:p w:rsidR="00573735" w:rsidRPr="00C1105E" w:rsidRDefault="00573735" w:rsidP="003D6326">
      <w:pPr>
        <w:pStyle w:val="BodyText"/>
        <w:rPr>
          <w:rFonts w:cstheme="minorHAnsi"/>
        </w:rPr>
      </w:pPr>
      <w:r w:rsidRPr="00B73B2D">
        <w:rPr>
          <w:rFonts w:cstheme="minorHAnsi"/>
          <w:szCs w:val="22"/>
        </w:rPr>
        <w:t>The</w:t>
      </w:r>
      <w:r w:rsidRPr="00C1105E">
        <w:rPr>
          <w:rFonts w:cstheme="minorHAnsi"/>
        </w:rPr>
        <w:t xml:space="preserve"> City-Country Partnership </w:t>
      </w:r>
      <w:r w:rsidR="00B73B2D">
        <w:rPr>
          <w:rFonts w:cstheme="minorHAnsi"/>
        </w:rPr>
        <w:t>p</w:t>
      </w:r>
      <w:r w:rsidR="00B73B2D" w:rsidRPr="00C1105E">
        <w:rPr>
          <w:rFonts w:cstheme="minorHAnsi"/>
        </w:rPr>
        <w:t xml:space="preserve">rogram </w:t>
      </w:r>
      <w:r w:rsidRPr="00C1105E">
        <w:rPr>
          <w:rFonts w:cstheme="minorHAnsi"/>
        </w:rPr>
        <w:t>(the program) will run over 3 years from 2021</w:t>
      </w:r>
      <w:r w:rsidR="0008770F">
        <w:rPr>
          <w:rFonts w:cstheme="minorHAnsi"/>
        </w:rPr>
        <w:t>–</w:t>
      </w:r>
      <w:r w:rsidRPr="00C1105E">
        <w:rPr>
          <w:rFonts w:cstheme="minorHAnsi"/>
        </w:rPr>
        <w:t xml:space="preserve">22 to </w:t>
      </w:r>
      <w:r w:rsidR="00FD1DB2">
        <w:rPr>
          <w:rFonts w:cstheme="minorHAnsi"/>
        </w:rPr>
        <w:br/>
      </w:r>
      <w:r w:rsidRPr="00C1105E">
        <w:rPr>
          <w:rFonts w:cstheme="minorHAnsi"/>
        </w:rPr>
        <w:t>2023</w:t>
      </w:r>
      <w:r w:rsidR="0008770F">
        <w:rPr>
          <w:rFonts w:cstheme="minorHAnsi"/>
        </w:rPr>
        <w:t>–</w:t>
      </w:r>
      <w:r w:rsidRPr="00C1105E">
        <w:rPr>
          <w:rFonts w:cstheme="minorHAnsi"/>
        </w:rPr>
        <w:t xml:space="preserve">24. The program was </w:t>
      </w:r>
      <w:hyperlink r:id="rId9" w:history="1">
        <w:r w:rsidRPr="00C1105E">
          <w:rPr>
            <w:rStyle w:val="Hyperlink"/>
            <w:rFonts w:cstheme="minorHAnsi"/>
            <w:color w:val="auto"/>
            <w:u w:val="none"/>
          </w:rPr>
          <w:t>announced</w:t>
        </w:r>
      </w:hyperlink>
      <w:r w:rsidRPr="00C1105E">
        <w:rPr>
          <w:rFonts w:cstheme="minorHAnsi"/>
        </w:rPr>
        <w:t xml:space="preserve"> as part of the </w:t>
      </w:r>
      <w:hyperlink r:id="rId10" w:history="1">
        <w:r w:rsidRPr="00C1105E">
          <w:rPr>
            <w:rStyle w:val="Hyperlink"/>
            <w:rFonts w:cstheme="minorHAnsi"/>
            <w:color w:val="auto"/>
            <w:u w:val="none"/>
          </w:rPr>
          <w:t>Australian Government’s Closing the Gap Implementation Plan</w:t>
        </w:r>
      </w:hyperlink>
      <w:r w:rsidRPr="00C1105E">
        <w:rPr>
          <w:rFonts w:cstheme="minorHAnsi"/>
        </w:rPr>
        <w:t xml:space="preserve">, which seeks to improve school education for thousands of Aboriginal and Torres Strait Islander students. The grant contributes to the achievement of </w:t>
      </w:r>
      <w:r w:rsidRPr="00C1105E">
        <w:rPr>
          <w:rFonts w:cstheme="minorHAnsi"/>
          <w:i/>
        </w:rPr>
        <w:t>Program 1.5 – Early Learning and Schools Support</w:t>
      </w:r>
      <w:r w:rsidRPr="00C1105E">
        <w:rPr>
          <w:rFonts w:cstheme="minorHAnsi"/>
        </w:rPr>
        <w:t xml:space="preserve"> of the </w:t>
      </w:r>
      <w:r w:rsidR="00DA7329">
        <w:t>Department of Education, Skills and Employment</w:t>
      </w:r>
      <w:r w:rsidRPr="00B73B2D">
        <w:rPr>
          <w:rFonts w:cstheme="minorHAnsi"/>
          <w:szCs w:val="22"/>
        </w:rPr>
        <w:t>’s</w:t>
      </w:r>
      <w:r w:rsidRPr="00C1105E">
        <w:rPr>
          <w:rFonts w:cstheme="minorHAnsi"/>
        </w:rPr>
        <w:t xml:space="preserve"> Portfolio Budget Statement and the achievement of priority reform areas and socio-economic targets outlined in the </w:t>
      </w:r>
      <w:hyperlink r:id="rId11" w:history="1">
        <w:r w:rsidRPr="00C1105E">
          <w:rPr>
            <w:rStyle w:val="Hyperlink"/>
            <w:rFonts w:cstheme="minorHAnsi"/>
            <w:color w:val="auto"/>
            <w:u w:val="none"/>
          </w:rPr>
          <w:t>National Agreement on Closing the Gap</w:t>
        </w:r>
      </w:hyperlink>
      <w:r w:rsidR="00FD1DB2">
        <w:rPr>
          <w:rFonts w:cstheme="minorHAnsi"/>
        </w:rPr>
        <w:t>.</w:t>
      </w:r>
      <w:bookmarkStart w:id="1" w:name="_GoBack"/>
      <w:bookmarkEnd w:id="1"/>
    </w:p>
    <w:p w:rsidR="00573735" w:rsidRPr="00C1105E" w:rsidRDefault="00573735" w:rsidP="003D6326">
      <w:pPr>
        <w:pStyle w:val="BodyText"/>
        <w:rPr>
          <w:rFonts w:cstheme="minorHAnsi"/>
        </w:rPr>
      </w:pPr>
      <w:r w:rsidRPr="00B73B2D">
        <w:rPr>
          <w:rFonts w:cstheme="minorHAnsi"/>
          <w:szCs w:val="22"/>
        </w:rPr>
        <w:t>The</w:t>
      </w:r>
      <w:r w:rsidRPr="00C1105E">
        <w:rPr>
          <w:rFonts w:cstheme="minorHAnsi"/>
        </w:rPr>
        <w:t xml:space="preserve"> objective of the program is to support the establishment of formal partnerships between independent (non-government) schools and remote schools with a high proportion of Aboriginal and Torres Strait Islander students to improve the quality of operational management, principal leadership and teacher practices. </w:t>
      </w:r>
    </w:p>
    <w:p w:rsidR="00223EBB" w:rsidRPr="00C1105E" w:rsidRDefault="00223EBB">
      <w:pPr>
        <w:pStyle w:val="BodyText"/>
        <w:rPr>
          <w:rFonts w:cstheme="minorHAnsi"/>
          <w:color w:val="auto"/>
          <w:szCs w:val="22"/>
        </w:rPr>
      </w:pPr>
      <w:r w:rsidRPr="00C1105E">
        <w:rPr>
          <w:rFonts w:cstheme="minorHAnsi"/>
          <w:color w:val="auto"/>
          <w:szCs w:val="22"/>
        </w:rPr>
        <w:t xml:space="preserve">The intended </w:t>
      </w:r>
      <w:r w:rsidRPr="003D6326">
        <w:rPr>
          <w:rFonts w:cstheme="minorHAnsi"/>
          <w:szCs w:val="22"/>
        </w:rPr>
        <w:t>outcomes</w:t>
      </w:r>
      <w:r w:rsidRPr="00C1105E">
        <w:rPr>
          <w:rFonts w:cstheme="minorHAnsi"/>
          <w:color w:val="auto"/>
          <w:szCs w:val="22"/>
        </w:rPr>
        <w:t xml:space="preserve"> of the grant opportunity are to:</w:t>
      </w:r>
    </w:p>
    <w:p w:rsidR="00223EBB" w:rsidRPr="00A216B8" w:rsidRDefault="00223EBB" w:rsidP="003D6326">
      <w:pPr>
        <w:pStyle w:val="ListBullet"/>
        <w:numPr>
          <w:ilvl w:val="0"/>
          <w:numId w:val="15"/>
        </w:numPr>
        <w:spacing w:before="120" w:after="140"/>
        <w:ind w:left="357" w:hanging="357"/>
        <w:rPr>
          <w:sz w:val="22"/>
          <w:szCs w:val="22"/>
        </w:rPr>
      </w:pPr>
      <w:r w:rsidRPr="00A216B8">
        <w:rPr>
          <w:sz w:val="22"/>
          <w:szCs w:val="22"/>
        </w:rPr>
        <w:t>improve student outcomes and attendance rates, which are key drivers that will accelerate progress toward the 2031 Closing the Gap Agreement</w:t>
      </w:r>
    </w:p>
    <w:p w:rsidR="00223EBB" w:rsidRPr="00A216B8" w:rsidRDefault="00223EBB" w:rsidP="003D6326">
      <w:pPr>
        <w:pStyle w:val="ListBullet"/>
        <w:numPr>
          <w:ilvl w:val="0"/>
          <w:numId w:val="15"/>
        </w:numPr>
        <w:spacing w:before="120" w:after="140"/>
        <w:ind w:left="357" w:hanging="357"/>
        <w:rPr>
          <w:sz w:val="22"/>
          <w:szCs w:val="22"/>
        </w:rPr>
      </w:pPr>
      <w:r w:rsidRPr="00A216B8">
        <w:rPr>
          <w:sz w:val="22"/>
          <w:szCs w:val="22"/>
        </w:rPr>
        <w:t>accelerate progress toward meeting Target 5 of the Closing the Gap Agreement (the Agreement), 96% of Aboriginal and Torres Strait Islander 20</w:t>
      </w:r>
      <w:r w:rsidR="0008770F">
        <w:rPr>
          <w:rFonts w:cs="Arial"/>
          <w:sz w:val="22"/>
          <w:szCs w:val="22"/>
        </w:rPr>
        <w:t>–</w:t>
      </w:r>
      <w:r w:rsidRPr="00A216B8">
        <w:rPr>
          <w:sz w:val="22"/>
          <w:szCs w:val="22"/>
        </w:rPr>
        <w:t xml:space="preserve">24 year olds attaining the qualification of Year 12 or equivalent by 2031 </w:t>
      </w:r>
    </w:p>
    <w:p w:rsidR="00223EBB" w:rsidRPr="00A216B8" w:rsidRDefault="00223EBB" w:rsidP="003D6326">
      <w:pPr>
        <w:pStyle w:val="ListBullet"/>
        <w:numPr>
          <w:ilvl w:val="0"/>
          <w:numId w:val="15"/>
        </w:numPr>
        <w:spacing w:before="120" w:after="140"/>
        <w:ind w:left="357" w:hanging="357"/>
        <w:rPr>
          <w:sz w:val="22"/>
          <w:szCs w:val="22"/>
        </w:rPr>
      </w:pPr>
      <w:r w:rsidRPr="00A216B8">
        <w:rPr>
          <w:sz w:val="22"/>
          <w:szCs w:val="22"/>
        </w:rPr>
        <w:t>improve the quality of operational management, principal leadership and increase the reach of effective teacher practices to lift the quality of pedagogy in remote schools</w:t>
      </w:r>
      <w:r w:rsidR="0008770F">
        <w:rPr>
          <w:sz w:val="22"/>
          <w:szCs w:val="22"/>
        </w:rPr>
        <w:t>.</w:t>
      </w:r>
    </w:p>
    <w:bookmarkEnd w:id="0"/>
    <w:p w:rsidR="00901A61" w:rsidRPr="00C1105E" w:rsidRDefault="00901A61">
      <w:pPr>
        <w:pStyle w:val="BodyText"/>
        <w:rPr>
          <w:rFonts w:cstheme="minorHAnsi"/>
          <w:color w:val="auto"/>
          <w:szCs w:val="22"/>
        </w:rPr>
      </w:pPr>
      <w:r w:rsidRPr="00C1105E">
        <w:rPr>
          <w:rFonts w:cstheme="minorHAnsi"/>
          <w:color w:val="auto"/>
          <w:szCs w:val="22"/>
        </w:rPr>
        <w:t xml:space="preserve">The grant opportunity application period opened on </w:t>
      </w:r>
      <w:r w:rsidR="00B33E65" w:rsidRPr="00C1105E">
        <w:rPr>
          <w:rFonts w:cstheme="minorHAnsi"/>
          <w:color w:val="auto"/>
          <w:szCs w:val="22"/>
        </w:rPr>
        <w:t>21 February 2022</w:t>
      </w:r>
      <w:r w:rsidR="00F073CA" w:rsidRPr="00C1105E">
        <w:rPr>
          <w:rFonts w:cstheme="minorHAnsi"/>
          <w:color w:val="auto"/>
          <w:szCs w:val="22"/>
        </w:rPr>
        <w:t xml:space="preserve"> </w:t>
      </w:r>
      <w:r w:rsidRPr="00C1105E">
        <w:rPr>
          <w:rFonts w:cstheme="minorHAnsi"/>
          <w:color w:val="auto"/>
          <w:szCs w:val="22"/>
        </w:rPr>
        <w:t xml:space="preserve">and closed on </w:t>
      </w:r>
      <w:r w:rsidR="00B33E65" w:rsidRPr="00C1105E">
        <w:rPr>
          <w:rFonts w:cstheme="minorHAnsi"/>
          <w:color w:val="auto"/>
          <w:szCs w:val="22"/>
        </w:rPr>
        <w:t>21</w:t>
      </w:r>
      <w:r w:rsidR="00035CC2">
        <w:rPr>
          <w:rFonts w:cstheme="minorHAnsi"/>
          <w:color w:val="auto"/>
          <w:szCs w:val="22"/>
        </w:rPr>
        <w:t> </w:t>
      </w:r>
      <w:r w:rsidR="00B33E65" w:rsidRPr="00C1105E">
        <w:rPr>
          <w:rFonts w:cstheme="minorHAnsi"/>
          <w:color w:val="auto"/>
          <w:szCs w:val="22"/>
        </w:rPr>
        <w:t>March</w:t>
      </w:r>
      <w:r w:rsidR="00035CC2">
        <w:rPr>
          <w:rFonts w:cstheme="minorHAnsi"/>
          <w:color w:val="auto"/>
          <w:szCs w:val="22"/>
        </w:rPr>
        <w:t> </w:t>
      </w:r>
      <w:r w:rsidR="00B33E65" w:rsidRPr="00C1105E">
        <w:rPr>
          <w:rFonts w:cstheme="minorHAnsi"/>
          <w:color w:val="auto"/>
          <w:szCs w:val="22"/>
        </w:rPr>
        <w:t>2022</w:t>
      </w:r>
      <w:r w:rsidRPr="00C1105E">
        <w:rPr>
          <w:rFonts w:cstheme="minorHAnsi"/>
          <w:color w:val="auto"/>
          <w:szCs w:val="22"/>
        </w:rPr>
        <w:t>.</w:t>
      </w:r>
    </w:p>
    <w:p w:rsidR="00901A61" w:rsidRPr="00237C8E" w:rsidRDefault="00901A61">
      <w:pPr>
        <w:pStyle w:val="BodyText"/>
        <w:rPr>
          <w:rFonts w:cstheme="minorHAnsi"/>
          <w:szCs w:val="22"/>
        </w:rPr>
      </w:pPr>
      <w:r w:rsidRPr="00C1105E">
        <w:rPr>
          <w:rFonts w:cstheme="minorHAnsi"/>
          <w:szCs w:val="22"/>
        </w:rPr>
        <w:t xml:space="preserve">The grant opportunity received </w:t>
      </w:r>
      <w:r w:rsidR="00F55D5E">
        <w:rPr>
          <w:rFonts w:cstheme="minorHAnsi"/>
          <w:color w:val="auto"/>
          <w:szCs w:val="22"/>
        </w:rPr>
        <w:t>seven</w:t>
      </w:r>
      <w:r w:rsidRPr="00C1105E">
        <w:rPr>
          <w:rFonts w:cstheme="minorHAnsi"/>
          <w:color w:val="auto"/>
          <w:szCs w:val="22"/>
        </w:rPr>
        <w:t xml:space="preserve"> </w:t>
      </w:r>
      <w:r w:rsidRPr="00C1105E">
        <w:rPr>
          <w:rFonts w:cstheme="minorHAnsi"/>
          <w:szCs w:val="22"/>
        </w:rPr>
        <w:t xml:space="preserve">applications. Following </w:t>
      </w:r>
      <w:r w:rsidRPr="00C1105E">
        <w:rPr>
          <w:rFonts w:cstheme="minorHAnsi"/>
          <w:color w:val="auto"/>
          <w:szCs w:val="22"/>
        </w:rPr>
        <w:t xml:space="preserve">the Decision Maker’s </w:t>
      </w:r>
      <w:r w:rsidRPr="00C1105E">
        <w:rPr>
          <w:rFonts w:cstheme="minorHAnsi"/>
          <w:szCs w:val="22"/>
        </w:rPr>
        <w:t xml:space="preserve">decision, </w:t>
      </w:r>
      <w:r w:rsidR="008F62E8" w:rsidRPr="00237C8E">
        <w:rPr>
          <w:rFonts w:cstheme="minorHAnsi"/>
          <w:szCs w:val="22"/>
        </w:rPr>
        <w:t xml:space="preserve">one application was </w:t>
      </w:r>
      <w:r w:rsidRPr="00237C8E">
        <w:rPr>
          <w:rFonts w:cstheme="minorHAnsi"/>
          <w:szCs w:val="22"/>
        </w:rPr>
        <w:t xml:space="preserve">selected for funding, to a value of </w:t>
      </w:r>
      <w:r w:rsidRPr="00E744C4">
        <w:rPr>
          <w:rFonts w:cstheme="minorHAnsi"/>
          <w:szCs w:val="22"/>
        </w:rPr>
        <w:t>$</w:t>
      </w:r>
      <w:r w:rsidR="0008770F">
        <w:rPr>
          <w:rFonts w:cstheme="minorHAnsi"/>
          <w:szCs w:val="22"/>
        </w:rPr>
        <w:t>24.604 million</w:t>
      </w:r>
      <w:r w:rsidR="00AA2506" w:rsidRPr="00E744C4">
        <w:rPr>
          <w:rFonts w:cstheme="minorHAnsi"/>
          <w:szCs w:val="22"/>
        </w:rPr>
        <w:t xml:space="preserve"> </w:t>
      </w:r>
      <w:r w:rsidRPr="00E744C4">
        <w:rPr>
          <w:rFonts w:cstheme="minorHAnsi"/>
          <w:szCs w:val="22"/>
        </w:rPr>
        <w:t>(</w:t>
      </w:r>
      <w:r w:rsidRPr="00237C8E">
        <w:rPr>
          <w:rFonts w:cstheme="minorHAnsi"/>
          <w:szCs w:val="22"/>
        </w:rPr>
        <w:t>GST excl</w:t>
      </w:r>
      <w:r w:rsidR="0008770F">
        <w:rPr>
          <w:rFonts w:cstheme="minorHAnsi"/>
          <w:szCs w:val="22"/>
        </w:rPr>
        <w:t>uded</w:t>
      </w:r>
      <w:r w:rsidRPr="00237C8E">
        <w:rPr>
          <w:rFonts w:cstheme="minorHAnsi"/>
          <w:szCs w:val="22"/>
        </w:rPr>
        <w:t>).</w:t>
      </w:r>
    </w:p>
    <w:p w:rsidR="00901A61" w:rsidRPr="00C1105E" w:rsidRDefault="00901A61">
      <w:pPr>
        <w:pStyle w:val="BodyText"/>
        <w:rPr>
          <w:rFonts w:cstheme="minorHAnsi"/>
          <w:szCs w:val="22"/>
        </w:rPr>
      </w:pPr>
      <w:r w:rsidRPr="00237C8E">
        <w:rPr>
          <w:rFonts w:cstheme="minorHAnsi"/>
          <w:szCs w:val="22"/>
        </w:rPr>
        <w:t xml:space="preserve">There was a strong interest in the </w:t>
      </w:r>
      <w:r w:rsidR="00F55D5E" w:rsidRPr="00237C8E">
        <w:rPr>
          <w:rFonts w:cstheme="minorHAnsi"/>
          <w:szCs w:val="22"/>
        </w:rPr>
        <w:t xml:space="preserve">grant opportunity </w:t>
      </w:r>
      <w:r w:rsidRPr="00237C8E">
        <w:rPr>
          <w:rFonts w:cstheme="minorHAnsi"/>
          <w:szCs w:val="22"/>
        </w:rPr>
        <w:t>and applications were of a very high standard. Applications were assessed according to the procedure detailed in the G</w:t>
      </w:r>
      <w:r w:rsidR="004B203A" w:rsidRPr="00237C8E">
        <w:rPr>
          <w:rFonts w:cstheme="minorHAnsi"/>
          <w:szCs w:val="22"/>
        </w:rPr>
        <w:t>rant Opportunity Guidelines</w:t>
      </w:r>
      <w:r w:rsidRPr="00237C8E">
        <w:rPr>
          <w:rFonts w:cstheme="minorHAnsi"/>
          <w:szCs w:val="22"/>
        </w:rPr>
        <w:t xml:space="preserve"> and outlined in the </w:t>
      </w:r>
      <w:r w:rsidR="00B73B2D" w:rsidRPr="00237C8E">
        <w:rPr>
          <w:rFonts w:cstheme="minorHAnsi"/>
          <w:szCs w:val="22"/>
        </w:rPr>
        <w:t xml:space="preserve">selection process </w:t>
      </w:r>
      <w:r w:rsidRPr="00237C8E">
        <w:rPr>
          <w:rFonts w:cstheme="minorHAnsi"/>
          <w:szCs w:val="22"/>
        </w:rPr>
        <w:t>below.</w:t>
      </w:r>
    </w:p>
    <w:p w:rsidR="00E744C4" w:rsidRDefault="00901A61">
      <w:pPr>
        <w:pStyle w:val="BodyText"/>
        <w:rPr>
          <w:szCs w:val="22"/>
        </w:rPr>
      </w:pPr>
      <w:r w:rsidRPr="00C1105E">
        <w:rPr>
          <w:rFonts w:cstheme="minorHAnsi"/>
          <w:szCs w:val="22"/>
        </w:rPr>
        <w:lastRenderedPageBreak/>
        <w:t>This feedback is provided to assist grant applicants to understand what generally comprised a strong application and the content of quality responses to the assessment criteria for this grant</w:t>
      </w:r>
      <w:r w:rsidRPr="001D143A">
        <w:rPr>
          <w:szCs w:val="22"/>
        </w:rPr>
        <w:t xml:space="preserve"> opportunity.</w:t>
      </w:r>
    </w:p>
    <w:p w:rsidR="00F85F98" w:rsidRPr="00284E4B" w:rsidRDefault="00F85F98" w:rsidP="00E744C4">
      <w:pPr>
        <w:pStyle w:val="Heading1"/>
      </w:pPr>
      <w:r w:rsidRPr="00284E4B">
        <w:t xml:space="preserve">Selection </w:t>
      </w:r>
      <w:r w:rsidR="0008770F">
        <w:t>p</w:t>
      </w:r>
      <w:r w:rsidR="0008770F" w:rsidRPr="00284E4B">
        <w:t>rocess</w:t>
      </w:r>
    </w:p>
    <w:p w:rsidR="00B46A9A" w:rsidRPr="00221722" w:rsidRDefault="00795AC0">
      <w:pPr>
        <w:pStyle w:val="BodyText"/>
        <w:rPr>
          <w:rFonts w:eastAsia="Calibri" w:cs="Arial"/>
          <w:szCs w:val="22"/>
        </w:rPr>
      </w:pPr>
      <w:r w:rsidRPr="00221722">
        <w:rPr>
          <w:szCs w:val="22"/>
        </w:rPr>
        <w:t xml:space="preserve">The </w:t>
      </w:r>
      <w:r w:rsidR="00B46A9A" w:rsidRPr="00221722">
        <w:rPr>
          <w:szCs w:val="22"/>
        </w:rPr>
        <w:t>a</w:t>
      </w:r>
      <w:r w:rsidR="00E7480B" w:rsidRPr="00221722">
        <w:rPr>
          <w:szCs w:val="22"/>
        </w:rPr>
        <w:t>pplications</w:t>
      </w:r>
      <w:r w:rsidRPr="00221722">
        <w:rPr>
          <w:szCs w:val="22"/>
        </w:rPr>
        <w:t xml:space="preserve"> were screened</w:t>
      </w:r>
      <w:r w:rsidR="00E7480B" w:rsidRPr="00221722">
        <w:rPr>
          <w:szCs w:val="22"/>
        </w:rPr>
        <w:t xml:space="preserve"> for eligibility and compliance against the requirements outlined in the G</w:t>
      </w:r>
      <w:r w:rsidR="004B203A" w:rsidRPr="00221722">
        <w:rPr>
          <w:szCs w:val="22"/>
        </w:rPr>
        <w:t xml:space="preserve">rant </w:t>
      </w:r>
      <w:r w:rsidR="00E7480B" w:rsidRPr="00B73B2D">
        <w:rPr>
          <w:rFonts w:cstheme="minorHAnsi"/>
          <w:szCs w:val="22"/>
        </w:rPr>
        <w:t>O</w:t>
      </w:r>
      <w:r w:rsidR="004B203A" w:rsidRPr="00B73B2D">
        <w:rPr>
          <w:rFonts w:cstheme="minorHAnsi"/>
          <w:szCs w:val="22"/>
        </w:rPr>
        <w:t>pportunity</w:t>
      </w:r>
      <w:r w:rsidR="004B203A" w:rsidRPr="00221722">
        <w:rPr>
          <w:szCs w:val="22"/>
        </w:rPr>
        <w:t xml:space="preserve"> </w:t>
      </w:r>
      <w:r w:rsidR="00E7480B" w:rsidRPr="00221722">
        <w:rPr>
          <w:szCs w:val="22"/>
        </w:rPr>
        <w:t>G</w:t>
      </w:r>
      <w:r w:rsidR="004B203A" w:rsidRPr="00221722">
        <w:rPr>
          <w:szCs w:val="22"/>
        </w:rPr>
        <w:t>uidelines</w:t>
      </w:r>
      <w:r w:rsidR="00B46A9A" w:rsidRPr="00221722">
        <w:rPr>
          <w:szCs w:val="22"/>
        </w:rPr>
        <w:t xml:space="preserve"> for the </w:t>
      </w:r>
      <w:r w:rsidR="00B46A9A" w:rsidRPr="00221722">
        <w:rPr>
          <w:color w:val="auto"/>
          <w:szCs w:val="22"/>
        </w:rPr>
        <w:t xml:space="preserve">City-Country Partnerships </w:t>
      </w:r>
      <w:r w:rsidR="00B46A9A" w:rsidRPr="00221722">
        <w:rPr>
          <w:szCs w:val="22"/>
        </w:rPr>
        <w:t>grant</w:t>
      </w:r>
      <w:r w:rsidR="00E7480B" w:rsidRPr="00221722">
        <w:rPr>
          <w:szCs w:val="22"/>
        </w:rPr>
        <w:t>.</w:t>
      </w:r>
      <w:r w:rsidR="00793BA9" w:rsidRPr="00221722">
        <w:rPr>
          <w:rFonts w:eastAsia="Calibri" w:cs="Arial"/>
          <w:szCs w:val="22"/>
        </w:rPr>
        <w:t xml:space="preserve"> If</w:t>
      </w:r>
      <w:r w:rsidR="00DA7329">
        <w:rPr>
          <w:rFonts w:eastAsia="Calibri" w:cs="Arial"/>
          <w:szCs w:val="22"/>
        </w:rPr>
        <w:t xml:space="preserve"> the</w:t>
      </w:r>
      <w:r w:rsidRPr="00221722">
        <w:rPr>
          <w:rFonts w:eastAsia="Calibri" w:cs="Arial"/>
          <w:szCs w:val="22"/>
        </w:rPr>
        <w:t xml:space="preserve"> </w:t>
      </w:r>
      <w:r w:rsidR="00DA7329">
        <w:t xml:space="preserve">Department of Education, Skills and Employment </w:t>
      </w:r>
      <w:r w:rsidRPr="00221722">
        <w:rPr>
          <w:rFonts w:eastAsia="Calibri" w:cs="Arial"/>
          <w:szCs w:val="22"/>
        </w:rPr>
        <w:t>determined</w:t>
      </w:r>
      <w:r w:rsidR="00793BA9" w:rsidRPr="00221722">
        <w:rPr>
          <w:rFonts w:eastAsia="Calibri" w:cs="Arial"/>
          <w:szCs w:val="22"/>
        </w:rPr>
        <w:t xml:space="preserve"> your application </w:t>
      </w:r>
      <w:r w:rsidR="00ED4DC4" w:rsidRPr="00221722">
        <w:rPr>
          <w:rFonts w:eastAsia="Calibri" w:cs="Arial"/>
          <w:szCs w:val="22"/>
        </w:rPr>
        <w:t xml:space="preserve">did </w:t>
      </w:r>
      <w:r w:rsidR="00793BA9" w:rsidRPr="00221722">
        <w:rPr>
          <w:rFonts w:eastAsia="Calibri" w:cs="Arial"/>
          <w:szCs w:val="22"/>
        </w:rPr>
        <w:t xml:space="preserve">not meet the eligibility </w:t>
      </w:r>
      <w:r w:rsidR="00B46A9A" w:rsidRPr="00221722">
        <w:rPr>
          <w:rFonts w:eastAsia="Calibri" w:cs="Arial"/>
          <w:szCs w:val="22"/>
        </w:rPr>
        <w:t xml:space="preserve">and/or compliance </w:t>
      </w:r>
      <w:r w:rsidR="00793BA9" w:rsidRPr="00221722">
        <w:rPr>
          <w:rFonts w:eastAsia="Calibri" w:cs="Arial"/>
          <w:szCs w:val="22"/>
        </w:rPr>
        <w:t xml:space="preserve">criteria, </w:t>
      </w:r>
      <w:r w:rsidR="00B46A9A" w:rsidRPr="00221722">
        <w:rPr>
          <w:rFonts w:eastAsia="Calibri" w:cs="Arial"/>
          <w:szCs w:val="22"/>
        </w:rPr>
        <w:t>you were notified of the outcome and your application did not progress to assessment</w:t>
      </w:r>
      <w:r w:rsidR="00FD1DB2">
        <w:rPr>
          <w:rFonts w:eastAsia="Calibri" w:cs="Arial"/>
          <w:szCs w:val="22"/>
        </w:rPr>
        <w:t>.</w:t>
      </w:r>
    </w:p>
    <w:p w:rsidR="00793BA9" w:rsidRPr="001D143A" w:rsidRDefault="00B46A9A">
      <w:pPr>
        <w:pStyle w:val="BodyText"/>
        <w:rPr>
          <w:rFonts w:eastAsia="Calibri" w:cs="Arial"/>
          <w:szCs w:val="22"/>
        </w:rPr>
      </w:pPr>
      <w:r w:rsidRPr="00221722">
        <w:rPr>
          <w:rFonts w:eastAsia="Calibri" w:cs="Arial"/>
          <w:szCs w:val="22"/>
        </w:rPr>
        <w:t xml:space="preserve">The </w:t>
      </w:r>
      <w:r w:rsidR="00DA7329">
        <w:t>Department of Education, Skills and Employment</w:t>
      </w:r>
      <w:r w:rsidR="0008770F" w:rsidRPr="00221722">
        <w:rPr>
          <w:rFonts w:eastAsia="Calibri" w:cs="Arial"/>
          <w:szCs w:val="22"/>
        </w:rPr>
        <w:t xml:space="preserve"> </w:t>
      </w:r>
      <w:r w:rsidRPr="00221722">
        <w:rPr>
          <w:rFonts w:eastAsia="Calibri" w:cs="Arial"/>
          <w:szCs w:val="22"/>
        </w:rPr>
        <w:t>then considered all e</w:t>
      </w:r>
      <w:r w:rsidR="00793BA9" w:rsidRPr="00221722">
        <w:rPr>
          <w:rFonts w:eastAsia="Calibri" w:cs="Arial"/>
          <w:szCs w:val="22"/>
        </w:rPr>
        <w:t xml:space="preserve">ligible </w:t>
      </w:r>
      <w:r w:rsidRPr="00221722">
        <w:rPr>
          <w:rFonts w:eastAsia="Calibri" w:cs="Arial"/>
          <w:szCs w:val="22"/>
        </w:rPr>
        <w:t xml:space="preserve">and compliant </w:t>
      </w:r>
      <w:r w:rsidR="00793BA9" w:rsidRPr="00221722">
        <w:rPr>
          <w:rFonts w:eastAsia="Calibri" w:cs="Arial"/>
          <w:szCs w:val="22"/>
        </w:rPr>
        <w:t xml:space="preserve">applications through an </w:t>
      </w:r>
      <w:r w:rsidR="00793BA9" w:rsidRPr="00221722">
        <w:rPr>
          <w:rFonts w:cs="Arial"/>
          <w:szCs w:val="22"/>
        </w:rPr>
        <w:t xml:space="preserve">open </w:t>
      </w:r>
      <w:r w:rsidR="00793BA9" w:rsidRPr="003D6326">
        <w:rPr>
          <w:rFonts w:eastAsia="Calibri" w:cs="Arial"/>
          <w:szCs w:val="22"/>
        </w:rPr>
        <w:t>competitive</w:t>
      </w:r>
      <w:r w:rsidR="00793BA9" w:rsidRPr="00221722">
        <w:rPr>
          <w:rFonts w:cs="Arial"/>
          <w:szCs w:val="22"/>
        </w:rPr>
        <w:t xml:space="preserve"> </w:t>
      </w:r>
      <w:r w:rsidR="00793BA9" w:rsidRPr="00221722">
        <w:rPr>
          <w:rFonts w:eastAsia="Calibri" w:cs="Arial"/>
          <w:szCs w:val="22"/>
        </w:rPr>
        <w:t>grant process.</w:t>
      </w:r>
    </w:p>
    <w:p w:rsidR="00EB7A59" w:rsidRPr="001D143A" w:rsidRDefault="00EB7A59">
      <w:pPr>
        <w:pStyle w:val="BodyText"/>
        <w:rPr>
          <w:color w:val="auto"/>
          <w:szCs w:val="22"/>
        </w:rPr>
      </w:pPr>
      <w:r w:rsidRPr="001D143A">
        <w:rPr>
          <w:color w:val="auto"/>
          <w:szCs w:val="22"/>
        </w:rPr>
        <w:t>Each applicant was required to address the following selection criteria:</w:t>
      </w:r>
    </w:p>
    <w:p w:rsidR="00A0031F" w:rsidRPr="00B73B2D" w:rsidRDefault="00A0031F" w:rsidP="003D6326">
      <w:pPr>
        <w:pStyle w:val="ListBullet"/>
        <w:spacing w:before="240" w:after="140"/>
        <w:rPr>
          <w:b/>
          <w:sz w:val="22"/>
          <w:szCs w:val="22"/>
        </w:rPr>
      </w:pPr>
      <w:r w:rsidRPr="00B73B2D">
        <w:rPr>
          <w:b/>
          <w:sz w:val="22"/>
          <w:szCs w:val="22"/>
        </w:rPr>
        <w:t>Criterion 1: Delivering outcomes</w:t>
      </w:r>
    </w:p>
    <w:p w:rsidR="00EB7A59" w:rsidRPr="001D143A" w:rsidRDefault="00A0031F" w:rsidP="003D6326">
      <w:pPr>
        <w:pStyle w:val="BodyText"/>
        <w:rPr>
          <w:bCs/>
          <w:color w:val="auto"/>
          <w:szCs w:val="22"/>
          <w:lang w:val="en-GB"/>
        </w:rPr>
      </w:pPr>
      <w:r w:rsidRPr="001D143A">
        <w:rPr>
          <w:bCs/>
          <w:color w:val="auto"/>
          <w:szCs w:val="22"/>
          <w:lang w:val="en-GB"/>
        </w:rPr>
        <w:t xml:space="preserve">Demonstrate your organisation’s experience in achieving outcomes in Aboriginal and Torres Strait </w:t>
      </w:r>
      <w:r w:rsidRPr="003D6326">
        <w:rPr>
          <w:rFonts w:eastAsia="Calibri" w:cs="Arial"/>
          <w:szCs w:val="22"/>
        </w:rPr>
        <w:t>Islander</w:t>
      </w:r>
      <w:r w:rsidRPr="001D143A">
        <w:rPr>
          <w:bCs/>
          <w:color w:val="auto"/>
          <w:szCs w:val="22"/>
          <w:lang w:val="en-GB"/>
        </w:rPr>
        <w:t xml:space="preserve"> education</w:t>
      </w:r>
      <w:r w:rsidR="0008770F">
        <w:rPr>
          <w:bCs/>
          <w:color w:val="auto"/>
          <w:szCs w:val="22"/>
          <w:lang w:val="en-GB"/>
        </w:rPr>
        <w:t>.</w:t>
      </w:r>
    </w:p>
    <w:p w:rsidR="00EB7A59" w:rsidRPr="003D6326" w:rsidRDefault="00EB7A59" w:rsidP="003D6326">
      <w:pPr>
        <w:pStyle w:val="ListBullet"/>
        <w:spacing w:before="240" w:after="140"/>
        <w:rPr>
          <w:b/>
          <w:szCs w:val="22"/>
        </w:rPr>
      </w:pPr>
      <w:r w:rsidRPr="003D6326">
        <w:rPr>
          <w:b/>
          <w:sz w:val="22"/>
          <w:szCs w:val="22"/>
        </w:rPr>
        <w:t>Criterion 2: Organisational capability</w:t>
      </w:r>
    </w:p>
    <w:p w:rsidR="00EB7A59" w:rsidRPr="001D143A" w:rsidRDefault="00EB7A59" w:rsidP="003D6326">
      <w:pPr>
        <w:pStyle w:val="BodyText"/>
        <w:rPr>
          <w:bCs/>
          <w:color w:val="auto"/>
          <w:szCs w:val="22"/>
          <w:lang w:val="en-GB"/>
        </w:rPr>
      </w:pPr>
      <w:r w:rsidRPr="001D143A">
        <w:rPr>
          <w:bCs/>
          <w:color w:val="auto"/>
          <w:szCs w:val="22"/>
          <w:lang w:val="en-GB"/>
        </w:rPr>
        <w:t>Demonstrate your organisation’s capability and capacity to successfully administer the City-</w:t>
      </w:r>
      <w:r w:rsidRPr="003D6326">
        <w:rPr>
          <w:rFonts w:eastAsia="Calibri" w:cs="Arial"/>
          <w:szCs w:val="22"/>
        </w:rPr>
        <w:t>Country</w:t>
      </w:r>
      <w:r w:rsidRPr="001D143A">
        <w:rPr>
          <w:bCs/>
          <w:color w:val="auto"/>
          <w:szCs w:val="22"/>
          <w:lang w:val="en-GB"/>
        </w:rPr>
        <w:t xml:space="preserve"> Partnerships program</w:t>
      </w:r>
      <w:r w:rsidR="0008770F">
        <w:rPr>
          <w:bCs/>
          <w:color w:val="auto"/>
          <w:szCs w:val="22"/>
          <w:lang w:val="en-GB"/>
        </w:rPr>
        <w:t>.</w:t>
      </w:r>
    </w:p>
    <w:p w:rsidR="00EB7A59" w:rsidRPr="00C1105E" w:rsidRDefault="00EB7A59" w:rsidP="003D6326">
      <w:pPr>
        <w:pStyle w:val="ListBullet"/>
        <w:spacing w:before="240" w:after="140"/>
        <w:rPr>
          <w:b/>
          <w:szCs w:val="22"/>
        </w:rPr>
      </w:pPr>
      <w:r w:rsidRPr="003D6326">
        <w:rPr>
          <w:b/>
          <w:sz w:val="22"/>
          <w:szCs w:val="22"/>
        </w:rPr>
        <w:t>Criterion 3: Ability to work sensitively with Aboriginal and Torres Strait Islander communities</w:t>
      </w:r>
    </w:p>
    <w:p w:rsidR="00EB7A59" w:rsidRPr="001D143A" w:rsidRDefault="00EB7A59" w:rsidP="003D6326">
      <w:pPr>
        <w:pStyle w:val="BodyText"/>
        <w:rPr>
          <w:color w:val="auto"/>
          <w:szCs w:val="22"/>
          <w:lang w:val="en-GB"/>
        </w:rPr>
      </w:pPr>
      <w:r w:rsidRPr="0056233C">
        <w:rPr>
          <w:bCs/>
          <w:color w:val="auto"/>
          <w:szCs w:val="22"/>
          <w:lang w:val="en-GB"/>
        </w:rPr>
        <w:t>Demonstrate</w:t>
      </w:r>
      <w:r w:rsidRPr="001D143A">
        <w:rPr>
          <w:color w:val="auto"/>
          <w:szCs w:val="22"/>
          <w:lang w:val="en-GB"/>
        </w:rPr>
        <w:t xml:space="preserve"> your organisation’s ability to work in partnership with Aboriginal and Torres Strait Islander </w:t>
      </w:r>
      <w:r w:rsidRPr="003D6326">
        <w:rPr>
          <w:rFonts w:eastAsia="Calibri" w:cs="Arial"/>
          <w:szCs w:val="22"/>
        </w:rPr>
        <w:t>communities</w:t>
      </w:r>
      <w:r w:rsidRPr="001D143A">
        <w:rPr>
          <w:color w:val="auto"/>
          <w:szCs w:val="22"/>
          <w:lang w:val="en-GB"/>
        </w:rPr>
        <w:t xml:space="preserve"> to support improved educational outcomes</w:t>
      </w:r>
      <w:r w:rsidR="0008770F">
        <w:rPr>
          <w:color w:val="auto"/>
          <w:szCs w:val="22"/>
          <w:lang w:val="en-GB"/>
        </w:rPr>
        <w:t>.</w:t>
      </w:r>
    </w:p>
    <w:p w:rsidR="00F85F98" w:rsidRPr="001D143A" w:rsidRDefault="00901750">
      <w:pPr>
        <w:pStyle w:val="BodyText"/>
        <w:rPr>
          <w:szCs w:val="22"/>
        </w:rPr>
      </w:pPr>
      <w:r w:rsidRPr="00237C8E">
        <w:rPr>
          <w:szCs w:val="22"/>
        </w:rPr>
        <w:t xml:space="preserve">The preferred applicant was </w:t>
      </w:r>
      <w:r w:rsidR="00F85F98" w:rsidRPr="00237C8E">
        <w:rPr>
          <w:szCs w:val="22"/>
        </w:rPr>
        <w:t xml:space="preserve">identified based on the strength of their responses to the selection </w:t>
      </w:r>
      <w:r w:rsidR="00E7480B" w:rsidRPr="00237C8E">
        <w:rPr>
          <w:szCs w:val="22"/>
        </w:rPr>
        <w:t xml:space="preserve">criterion </w:t>
      </w:r>
      <w:r w:rsidR="00F85F98" w:rsidRPr="00237C8E">
        <w:rPr>
          <w:szCs w:val="22"/>
        </w:rPr>
        <w:t xml:space="preserve">and their demonstrated ability to meet the grant requirements outlined in the </w:t>
      </w:r>
      <w:r w:rsidR="00E7480B" w:rsidRPr="00237C8E">
        <w:rPr>
          <w:szCs w:val="22"/>
        </w:rPr>
        <w:t>Grant Opportunity</w:t>
      </w:r>
      <w:r w:rsidR="00F85F98" w:rsidRPr="00237C8E">
        <w:rPr>
          <w:szCs w:val="22"/>
        </w:rPr>
        <w:t xml:space="preserve"> Guidelines.</w:t>
      </w:r>
    </w:p>
    <w:p w:rsidR="00F85F98" w:rsidRPr="003D6326" w:rsidRDefault="00F85F98" w:rsidP="003D6326">
      <w:pPr>
        <w:pStyle w:val="Heading1"/>
      </w:pPr>
      <w:r w:rsidRPr="003D6326">
        <w:t xml:space="preserve">Selection </w:t>
      </w:r>
      <w:r w:rsidR="0008770F">
        <w:t>r</w:t>
      </w:r>
      <w:r w:rsidR="0008770F" w:rsidRPr="00B46A9A">
        <w:t>esults</w:t>
      </w:r>
    </w:p>
    <w:p w:rsidR="00F85F98" w:rsidRPr="00237C8E" w:rsidRDefault="001B290C">
      <w:pPr>
        <w:pStyle w:val="BodyText"/>
        <w:rPr>
          <w:szCs w:val="22"/>
        </w:rPr>
      </w:pPr>
      <w:r w:rsidRPr="00237C8E">
        <w:rPr>
          <w:szCs w:val="22"/>
        </w:rPr>
        <w:t xml:space="preserve">One </w:t>
      </w:r>
      <w:r w:rsidR="00F85F98" w:rsidRPr="003D6326">
        <w:rPr>
          <w:rFonts w:eastAsia="Calibri" w:cs="Arial"/>
          <w:szCs w:val="22"/>
        </w:rPr>
        <w:t>organisation</w:t>
      </w:r>
      <w:r w:rsidR="00F85F98" w:rsidRPr="00237C8E">
        <w:rPr>
          <w:szCs w:val="22"/>
        </w:rPr>
        <w:t xml:space="preserve"> </w:t>
      </w:r>
      <w:r w:rsidR="00851FDD" w:rsidRPr="00237C8E">
        <w:rPr>
          <w:szCs w:val="22"/>
        </w:rPr>
        <w:t>was</w:t>
      </w:r>
      <w:r w:rsidR="00F85F98" w:rsidRPr="00237C8E">
        <w:rPr>
          <w:szCs w:val="22"/>
        </w:rPr>
        <w:t xml:space="preserve"> selected to deliver</w:t>
      </w:r>
      <w:r w:rsidR="00563F88" w:rsidRPr="00237C8E">
        <w:rPr>
          <w:szCs w:val="22"/>
        </w:rPr>
        <w:t xml:space="preserve"> the</w:t>
      </w:r>
      <w:r w:rsidR="00F85F98" w:rsidRPr="00237C8E">
        <w:rPr>
          <w:szCs w:val="22"/>
        </w:rPr>
        <w:t xml:space="preserve"> </w:t>
      </w:r>
      <w:r w:rsidR="00A0031F" w:rsidRPr="00237C8E">
        <w:rPr>
          <w:szCs w:val="22"/>
        </w:rPr>
        <w:t>City</w:t>
      </w:r>
      <w:r w:rsidR="00F55D5E" w:rsidRPr="00237C8E">
        <w:rPr>
          <w:szCs w:val="22"/>
        </w:rPr>
        <w:t>-</w:t>
      </w:r>
      <w:r w:rsidR="00A0031F" w:rsidRPr="00237C8E">
        <w:rPr>
          <w:szCs w:val="22"/>
        </w:rPr>
        <w:t xml:space="preserve">Country Partnerships </w:t>
      </w:r>
      <w:r w:rsidR="00563F88" w:rsidRPr="00237C8E">
        <w:rPr>
          <w:szCs w:val="22"/>
        </w:rPr>
        <w:t>grant</w:t>
      </w:r>
      <w:r w:rsidR="00F85F98" w:rsidRPr="00237C8E">
        <w:rPr>
          <w:szCs w:val="22"/>
        </w:rPr>
        <w:t>.</w:t>
      </w:r>
    </w:p>
    <w:p w:rsidR="00F85F98" w:rsidRPr="00237C8E" w:rsidRDefault="00F85F98">
      <w:pPr>
        <w:pStyle w:val="BodyText"/>
        <w:rPr>
          <w:szCs w:val="22"/>
        </w:rPr>
      </w:pPr>
      <w:r w:rsidRPr="00237C8E">
        <w:rPr>
          <w:szCs w:val="22"/>
        </w:rPr>
        <w:t xml:space="preserve">The selected organisation provided strong responses to the selection criteria and demonstrated their </w:t>
      </w:r>
      <w:r w:rsidRPr="003D6326">
        <w:rPr>
          <w:rFonts w:eastAsia="Calibri" w:cs="Arial"/>
          <w:szCs w:val="22"/>
        </w:rPr>
        <w:t>ability</w:t>
      </w:r>
      <w:r w:rsidRPr="00237C8E">
        <w:rPr>
          <w:szCs w:val="22"/>
        </w:rPr>
        <w:t xml:space="preserve"> to meet the </w:t>
      </w:r>
      <w:r w:rsidR="0034044F" w:rsidRPr="00237C8E">
        <w:rPr>
          <w:szCs w:val="22"/>
        </w:rPr>
        <w:t>eligibility</w:t>
      </w:r>
      <w:r w:rsidRPr="00237C8E">
        <w:rPr>
          <w:szCs w:val="22"/>
        </w:rPr>
        <w:t xml:space="preserve"> requirements outlined in the </w:t>
      </w:r>
      <w:r w:rsidR="00563F88" w:rsidRPr="00237C8E">
        <w:rPr>
          <w:szCs w:val="22"/>
        </w:rPr>
        <w:t xml:space="preserve">Grant Opportunity </w:t>
      </w:r>
      <w:r w:rsidRPr="00237C8E">
        <w:rPr>
          <w:szCs w:val="22"/>
        </w:rPr>
        <w:t>Guidelines. Further detail about what constituted a strong response to each criterion is provided below.</w:t>
      </w:r>
    </w:p>
    <w:p w:rsidR="00A0031F" w:rsidRPr="00717179" w:rsidRDefault="00A0031F" w:rsidP="003D6326">
      <w:pPr>
        <w:pStyle w:val="Heading2"/>
        <w:rPr>
          <w:sz w:val="22"/>
          <w:szCs w:val="22"/>
        </w:rPr>
      </w:pPr>
      <w:r w:rsidRPr="003D6326">
        <w:rPr>
          <w:szCs w:val="22"/>
        </w:rPr>
        <w:lastRenderedPageBreak/>
        <w:t>Criterion 1: Delivering outcomes</w:t>
      </w:r>
    </w:p>
    <w:p w:rsidR="00A0031F" w:rsidRPr="003D6326" w:rsidRDefault="00A0031F" w:rsidP="003D6326">
      <w:pPr>
        <w:pStyle w:val="BodyText"/>
        <w:rPr>
          <w:bCs/>
          <w:szCs w:val="22"/>
          <w:lang w:val="en-GB"/>
        </w:rPr>
      </w:pPr>
      <w:r w:rsidRPr="00B73B2D">
        <w:rPr>
          <w:bCs/>
          <w:szCs w:val="22"/>
          <w:lang w:val="en-GB"/>
        </w:rPr>
        <w:t>Demonstrate</w:t>
      </w:r>
      <w:r w:rsidRPr="00C1105E">
        <w:rPr>
          <w:bCs/>
          <w:szCs w:val="22"/>
          <w:lang w:val="en-GB"/>
        </w:rPr>
        <w:t xml:space="preserve"> your organisation’s experience in achieving outcomes in Aboriginal and Torres Strait Islander education</w:t>
      </w:r>
      <w:r w:rsidR="0008770F">
        <w:rPr>
          <w:bCs/>
          <w:szCs w:val="22"/>
          <w:lang w:val="en-GB"/>
        </w:rPr>
        <w:t>.</w:t>
      </w:r>
    </w:p>
    <w:p w:rsidR="00A0031F" w:rsidRPr="001D143A" w:rsidRDefault="00A0031F" w:rsidP="003D6326">
      <w:pPr>
        <w:pStyle w:val="BodyText"/>
        <w:rPr>
          <w:szCs w:val="22"/>
        </w:rPr>
      </w:pPr>
      <w:r w:rsidRPr="001D143A">
        <w:rPr>
          <w:szCs w:val="22"/>
          <w:lang w:val="en-GB"/>
        </w:rPr>
        <w:t xml:space="preserve">When </w:t>
      </w:r>
      <w:r w:rsidRPr="003D6326">
        <w:rPr>
          <w:rFonts w:eastAsia="Calibri" w:cs="Arial"/>
          <w:szCs w:val="22"/>
        </w:rPr>
        <w:t>addressing</w:t>
      </w:r>
      <w:r w:rsidRPr="001D143A">
        <w:rPr>
          <w:szCs w:val="22"/>
          <w:lang w:val="en-GB"/>
        </w:rPr>
        <w:t xml:space="preserve"> your response you should consider:</w:t>
      </w:r>
    </w:p>
    <w:p w:rsidR="00A0031F" w:rsidRPr="00A216B8" w:rsidRDefault="00A0031F" w:rsidP="003D6326">
      <w:pPr>
        <w:pStyle w:val="ListBullet"/>
        <w:numPr>
          <w:ilvl w:val="0"/>
          <w:numId w:val="15"/>
        </w:numPr>
        <w:spacing w:before="120" w:after="140"/>
        <w:ind w:left="357" w:hanging="357"/>
        <w:rPr>
          <w:sz w:val="22"/>
          <w:szCs w:val="22"/>
        </w:rPr>
      </w:pPr>
      <w:r w:rsidRPr="00A216B8">
        <w:rPr>
          <w:sz w:val="22"/>
          <w:szCs w:val="22"/>
        </w:rPr>
        <w:t>details of your organisation’s experience in supporting improved Aboriginal and Torres Strait Islander education outcomes</w:t>
      </w:r>
    </w:p>
    <w:p w:rsidR="00A0031F" w:rsidRPr="00A216B8" w:rsidRDefault="00A0031F" w:rsidP="003D6326">
      <w:pPr>
        <w:pStyle w:val="ListBullet"/>
        <w:numPr>
          <w:ilvl w:val="0"/>
          <w:numId w:val="15"/>
        </w:numPr>
        <w:spacing w:before="120" w:after="140"/>
        <w:ind w:left="357" w:hanging="357"/>
        <w:rPr>
          <w:sz w:val="22"/>
          <w:szCs w:val="22"/>
        </w:rPr>
      </w:pPr>
      <w:r w:rsidRPr="00A216B8">
        <w:rPr>
          <w:sz w:val="22"/>
          <w:szCs w:val="22"/>
        </w:rPr>
        <w:t xml:space="preserve">details of how your organisation will identify, assess and prepare advice on partnership proposals for the consideration of the </w:t>
      </w:r>
      <w:r w:rsidR="00DA7329" w:rsidRPr="00DA7329">
        <w:rPr>
          <w:sz w:val="22"/>
          <w:szCs w:val="22"/>
        </w:rPr>
        <w:t>Department of Education, Skills and Employment</w:t>
      </w:r>
      <w:r w:rsidRPr="00A216B8">
        <w:rPr>
          <w:sz w:val="22"/>
          <w:szCs w:val="22"/>
        </w:rPr>
        <w:t xml:space="preserve"> and decision by the Minister, including prior experience in dealing with the Australian Government</w:t>
      </w:r>
    </w:p>
    <w:p w:rsidR="00A0031F" w:rsidRPr="00A216B8" w:rsidRDefault="00A0031F" w:rsidP="003D6326">
      <w:pPr>
        <w:pStyle w:val="ListBullet"/>
        <w:numPr>
          <w:ilvl w:val="0"/>
          <w:numId w:val="15"/>
        </w:numPr>
        <w:spacing w:before="120" w:after="140"/>
        <w:ind w:left="357" w:hanging="357"/>
        <w:rPr>
          <w:sz w:val="22"/>
          <w:szCs w:val="22"/>
        </w:rPr>
      </w:pPr>
      <w:r w:rsidRPr="00A216B8">
        <w:rPr>
          <w:sz w:val="22"/>
          <w:szCs w:val="22"/>
        </w:rPr>
        <w:t>a description of your organisation’s demonstrated capacity to support school partnerships, capture and report on student outcomes, attendance, engagement, and Year 12 attainment rates</w:t>
      </w:r>
    </w:p>
    <w:p w:rsidR="00A0031F" w:rsidRDefault="00A0031F" w:rsidP="003D6326">
      <w:pPr>
        <w:pStyle w:val="ListBullet"/>
        <w:numPr>
          <w:ilvl w:val="0"/>
          <w:numId w:val="15"/>
        </w:numPr>
        <w:spacing w:before="120" w:after="140"/>
        <w:ind w:left="357" w:hanging="357"/>
        <w:rPr>
          <w:sz w:val="22"/>
          <w:szCs w:val="22"/>
        </w:rPr>
      </w:pPr>
      <w:r w:rsidRPr="00A216B8">
        <w:rPr>
          <w:sz w:val="22"/>
          <w:szCs w:val="22"/>
        </w:rPr>
        <w:t>a description of an effective risk management approach that will minimise risk and ensure that the funding can achieve the outcomes, objectives and performance indicators</w:t>
      </w:r>
    </w:p>
    <w:p w:rsidR="00A0031F" w:rsidRDefault="00B73B2D" w:rsidP="003D6326">
      <w:pPr>
        <w:pStyle w:val="ListBullet"/>
        <w:numPr>
          <w:ilvl w:val="0"/>
          <w:numId w:val="15"/>
        </w:numPr>
        <w:spacing w:before="120" w:after="140"/>
      </w:pPr>
      <w:r w:rsidRPr="00B73B2D">
        <w:rPr>
          <w:sz w:val="22"/>
          <w:szCs w:val="22"/>
        </w:rPr>
        <w:t>details of your organisation’s ability to secure additional financial contributions (for example, experience in sourcing philanthropic and corporate contributions).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</w:tblPr>
      <w:tblGrid>
        <w:gridCol w:w="4819"/>
        <w:gridCol w:w="4819"/>
      </w:tblGrid>
      <w:tr w:rsidR="00B73B2D" w:rsidRPr="00B73B2D" w:rsidTr="003D6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9" w:type="dxa"/>
          </w:tcPr>
          <w:p w:rsidR="00B73B2D" w:rsidRPr="003D6326" w:rsidRDefault="00B73B2D" w:rsidP="003D6326">
            <w:pPr>
              <w:pStyle w:val="BodyText"/>
              <w:pageBreakBefore/>
              <w:spacing w:before="40" w:after="120"/>
              <w:ind w:left="113"/>
              <w:rPr>
                <w:b/>
                <w:lang w:val="en-GB"/>
              </w:rPr>
            </w:pPr>
            <w:r w:rsidRPr="003D6326">
              <w:rPr>
                <w:b/>
                <w:sz w:val="20"/>
                <w:lang w:val="en-GB"/>
              </w:rPr>
              <w:lastRenderedPageBreak/>
              <w:t>Strength</w:t>
            </w:r>
          </w:p>
        </w:tc>
        <w:tc>
          <w:tcPr>
            <w:tcW w:w="4819" w:type="dxa"/>
          </w:tcPr>
          <w:p w:rsidR="00B73B2D" w:rsidRPr="003D6326" w:rsidRDefault="00B73B2D" w:rsidP="003D6326">
            <w:pPr>
              <w:pStyle w:val="BodyText"/>
              <w:spacing w:before="40" w:after="120"/>
              <w:ind w:left="113"/>
              <w:rPr>
                <w:b/>
                <w:lang w:val="en-GB"/>
              </w:rPr>
            </w:pPr>
            <w:r w:rsidRPr="003D6326">
              <w:rPr>
                <w:b/>
                <w:sz w:val="20"/>
                <w:lang w:val="en-GB"/>
              </w:rPr>
              <w:t>Example</w:t>
            </w:r>
          </w:p>
        </w:tc>
      </w:tr>
      <w:tr w:rsidR="00B73B2D" w:rsidRPr="00B73B2D" w:rsidTr="003D6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eastAsia="Arial" w:cs="Arial"/>
              </w:rPr>
            </w:pPr>
            <w:r w:rsidRPr="00301CB2">
              <w:rPr>
                <w:rFonts w:eastAsia="Arial" w:cs="Arial"/>
                <w:iCs/>
              </w:rPr>
              <w:t>Strong applications were required to demonstrate/describe</w:t>
            </w:r>
            <w:r w:rsidRPr="00301CB2" w:rsidDel="00F76062">
              <w:rPr>
                <w:rFonts w:eastAsia="Arial" w:cs="Arial"/>
                <w:iCs/>
              </w:rPr>
              <w:t xml:space="preserve"> </w:t>
            </w:r>
            <w:r w:rsidRPr="00301CB2">
              <w:rPr>
                <w:rFonts w:eastAsia="Arial" w:cs="Arial"/>
                <w:iCs/>
              </w:rPr>
              <w:t>experience in supporting improved Aboriginal and Torres Strait Islander education outcomes.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</w:rPr>
            </w:pPr>
            <w:r w:rsidRPr="00301CB2">
              <w:rPr>
                <w:rFonts w:ascii="Arial" w:eastAsia="Arial" w:hAnsi="Arial" w:cs="Arial"/>
                <w:color w:val="auto"/>
              </w:rPr>
              <w:t>Strong responses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Strong involvement of staff with experience in achieving outcomes in Aboriginal and Torres Strait Islander education.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Key staff have worked on significant partnerships that have demonstrated success.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Significant Indigenous leadership on staff or board.</w:t>
            </w:r>
          </w:p>
        </w:tc>
      </w:tr>
      <w:tr w:rsidR="00B73B2D" w:rsidRPr="00B73B2D" w:rsidTr="003D6326"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eastAsia="Arial" w:cs="Arial"/>
              </w:rPr>
            </w:pPr>
            <w:r w:rsidRPr="00301CB2">
              <w:rPr>
                <w:rFonts w:eastAsia="Arial" w:cs="Arial"/>
                <w:iCs/>
              </w:rPr>
              <w:t>Strong applications were required to demonstrate/describe</w:t>
            </w:r>
            <w:r w:rsidRPr="00301CB2" w:rsidDel="00F76062">
              <w:rPr>
                <w:rFonts w:eastAsia="Arial" w:cs="Arial"/>
                <w:iCs/>
              </w:rPr>
              <w:t xml:space="preserve"> </w:t>
            </w:r>
            <w:r w:rsidRPr="00301CB2">
              <w:rPr>
                <w:rFonts w:eastAsia="Arial" w:cs="Arial"/>
                <w:iCs/>
              </w:rPr>
              <w:t>how they would identify, assess, and prepare advice on partnership proposals, including prior experience with the Australian Government.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</w:rPr>
            </w:pPr>
            <w:r w:rsidRPr="00301CB2">
              <w:rPr>
                <w:rFonts w:ascii="Arial" w:eastAsia="Arial" w:hAnsi="Arial" w:cs="Arial"/>
                <w:color w:val="auto"/>
              </w:rPr>
              <w:t>Strong responses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Prior experience in establishing partnerships between schools.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Experience in managing Australian Government funding to support existing partnerships.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Strong</w:t>
            </w:r>
            <w:r w:rsidRPr="00301CB2">
              <w:rPr>
                <w:rFonts w:ascii="Arial" w:eastAsia="Arial" w:hAnsi="Arial" w:cs="Arial"/>
                <w:color w:val="auto"/>
              </w:rPr>
              <w:t xml:space="preserve"> capacity to scale experience to a national footprint.</w:t>
            </w:r>
          </w:p>
        </w:tc>
      </w:tr>
      <w:tr w:rsidR="00B73B2D" w:rsidRPr="00B73B2D" w:rsidTr="003D6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eastAsia="Arial" w:cs="Arial"/>
              </w:rPr>
            </w:pPr>
            <w:r w:rsidRPr="00301CB2">
              <w:rPr>
                <w:rFonts w:eastAsia="Arial" w:cs="Arial"/>
                <w:iCs/>
              </w:rPr>
              <w:t>Strong applications were required to demonstrate/describe</w:t>
            </w:r>
            <w:r w:rsidRPr="00301CB2" w:rsidDel="00F76062">
              <w:rPr>
                <w:rFonts w:eastAsia="Arial" w:cs="Arial"/>
                <w:iCs/>
              </w:rPr>
              <w:t xml:space="preserve"> </w:t>
            </w:r>
            <w:r w:rsidRPr="00301CB2">
              <w:rPr>
                <w:rFonts w:eastAsia="Arial" w:cs="Arial"/>
                <w:iCs/>
              </w:rPr>
              <w:t>the capacity to support school partnerships, capture and report on student outcomes, attendance, engagement, and Year 12 attainment rates.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</w:rPr>
            </w:pPr>
            <w:r w:rsidRPr="00301CB2">
              <w:rPr>
                <w:rFonts w:ascii="Arial" w:eastAsia="Arial" w:hAnsi="Arial" w:cs="Arial"/>
                <w:color w:val="auto"/>
              </w:rPr>
              <w:t>Strong responses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rPr>
                <w:rFonts w:ascii="Arial" w:eastAsia="Arial" w:hAnsi="Arial" w:cs="Arial"/>
                <w:color w:val="auto"/>
              </w:rPr>
              <w:t xml:space="preserve">Demonstrated prior experience of </w:t>
            </w:r>
            <w:r w:rsidRPr="00301CB2">
              <w:t>successfully</w:t>
            </w:r>
            <w:r w:rsidRPr="00301CB2">
              <w:rPr>
                <w:rFonts w:ascii="Arial" w:eastAsia="Arial" w:hAnsi="Arial" w:cs="Arial"/>
                <w:color w:val="auto"/>
              </w:rPr>
              <w:t xml:space="preserve"> implementing school partnerships and effectively capturing, measuring and reporting on outcomes.</w:t>
            </w:r>
          </w:p>
        </w:tc>
      </w:tr>
      <w:tr w:rsidR="00B73B2D" w:rsidRPr="00B73B2D" w:rsidTr="003D6326"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eastAsia="Arial" w:cs="Arial"/>
              </w:rPr>
            </w:pPr>
            <w:r w:rsidRPr="00301CB2">
              <w:rPr>
                <w:rFonts w:eastAsia="Arial" w:cs="Arial"/>
                <w:iCs/>
              </w:rPr>
              <w:t>Strong applications were required to demonstrate/describe</w:t>
            </w:r>
            <w:r w:rsidRPr="00301CB2" w:rsidDel="00F76062">
              <w:rPr>
                <w:rFonts w:eastAsia="Arial" w:cs="Arial"/>
                <w:iCs/>
              </w:rPr>
              <w:t xml:space="preserve"> </w:t>
            </w:r>
            <w:r w:rsidRPr="00301CB2">
              <w:rPr>
                <w:rFonts w:eastAsia="Arial" w:cs="Arial"/>
                <w:iCs/>
              </w:rPr>
              <w:t>description of an effective risk management approach that will minimise risk and ensure that funding achieves outcomes and objectives and performance indicators.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</w:rPr>
            </w:pPr>
            <w:r w:rsidRPr="00301CB2">
              <w:rPr>
                <w:rFonts w:ascii="Arial" w:eastAsia="Arial" w:hAnsi="Arial" w:cs="Arial"/>
                <w:color w:val="auto"/>
              </w:rPr>
              <w:t>Strong responses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Evidence</w:t>
            </w:r>
            <w:r w:rsidRPr="00301CB2">
              <w:rPr>
                <w:rFonts w:ascii="Arial" w:eastAsia="Arial" w:hAnsi="Arial" w:cs="Arial"/>
                <w:color w:val="auto"/>
              </w:rPr>
              <w:t xml:space="preserve"> of a </w:t>
            </w:r>
            <w:r w:rsidRPr="00301CB2">
              <w:t>solid</w:t>
            </w:r>
            <w:r w:rsidRPr="00301CB2">
              <w:rPr>
                <w:rFonts w:ascii="Arial" w:eastAsia="Arial" w:hAnsi="Arial" w:cs="Arial"/>
                <w:color w:val="auto"/>
              </w:rPr>
              <w:t xml:space="preserve"> risk management approach that supports success and captures data that provides evidence of improvement in outcomes.</w:t>
            </w:r>
          </w:p>
        </w:tc>
      </w:tr>
      <w:tr w:rsidR="00B73B2D" w:rsidRPr="00B73B2D" w:rsidTr="003D6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eastAsia="Arial" w:cs="Arial"/>
                <w:iCs/>
              </w:rPr>
            </w:pPr>
            <w:r w:rsidRPr="00301CB2">
              <w:rPr>
                <w:rFonts w:eastAsia="Arial" w:cs="Arial"/>
                <w:iCs/>
              </w:rPr>
              <w:t>Strong applications were required to demonstrate/describe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  <w:rPr>
                <w:rFonts w:eastAsia="Arial" w:cs="Arial"/>
              </w:rPr>
            </w:pPr>
            <w:r w:rsidRPr="00301CB2">
              <w:rPr>
                <w:rFonts w:eastAsia="Arial" w:cs="Arial"/>
              </w:rPr>
              <w:t xml:space="preserve">Details of an ability </w:t>
            </w:r>
            <w:r w:rsidRPr="00301CB2">
              <w:t>to</w:t>
            </w:r>
            <w:r w:rsidRPr="00301CB2">
              <w:rPr>
                <w:rFonts w:eastAsia="Arial" w:cs="Arial"/>
              </w:rPr>
              <w:t xml:space="preserve"> secure additional financial contributions.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</w:rPr>
            </w:pPr>
            <w:r w:rsidRPr="00301CB2">
              <w:rPr>
                <w:rFonts w:ascii="Arial" w:eastAsia="Arial" w:hAnsi="Arial" w:cs="Arial"/>
                <w:color w:val="auto"/>
              </w:rPr>
              <w:t>Strong responses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</w:pPr>
            <w:r w:rsidRPr="00301CB2">
              <w:t>Prior experience in sourcing additional or philanthropic funds or the ability to do so.</w:t>
            </w:r>
          </w:p>
        </w:tc>
      </w:tr>
    </w:tbl>
    <w:p w:rsidR="00B73B2D" w:rsidRPr="00A0031F" w:rsidRDefault="00B73B2D" w:rsidP="003D6326">
      <w:pPr>
        <w:pStyle w:val="ListBullet"/>
        <w:spacing w:after="120"/>
      </w:pPr>
    </w:p>
    <w:p w:rsidR="00A0031F" w:rsidRPr="003D6326" w:rsidRDefault="00A0031F" w:rsidP="003D6326">
      <w:pPr>
        <w:pStyle w:val="Heading2"/>
        <w:pageBreakBefore/>
        <w:rPr>
          <w:szCs w:val="22"/>
        </w:rPr>
      </w:pPr>
      <w:r w:rsidRPr="00FD47D5">
        <w:rPr>
          <w:szCs w:val="22"/>
        </w:rPr>
        <w:lastRenderedPageBreak/>
        <w:t>Criterion 2</w:t>
      </w:r>
      <w:r>
        <w:rPr>
          <w:szCs w:val="22"/>
        </w:rPr>
        <w:t>: Organisational capability</w:t>
      </w:r>
    </w:p>
    <w:p w:rsidR="00A0031F" w:rsidRPr="00C1105E" w:rsidRDefault="00A0031F" w:rsidP="003D6326">
      <w:pPr>
        <w:pStyle w:val="BodyText"/>
        <w:rPr>
          <w:bCs/>
          <w:szCs w:val="22"/>
          <w:lang w:val="en-GB"/>
        </w:rPr>
      </w:pPr>
      <w:r w:rsidRPr="00C1105E">
        <w:rPr>
          <w:bCs/>
          <w:szCs w:val="22"/>
          <w:lang w:val="en-GB"/>
        </w:rPr>
        <w:t>Demonstrate your organisation’s capability and capacity to successfully administer the City-Country Partnerships program</w:t>
      </w:r>
      <w:r w:rsidR="0008770F">
        <w:rPr>
          <w:bCs/>
          <w:szCs w:val="22"/>
          <w:lang w:val="en-GB"/>
        </w:rPr>
        <w:t>.</w:t>
      </w:r>
    </w:p>
    <w:p w:rsidR="00A0031F" w:rsidRPr="003D6326" w:rsidRDefault="00A0031F" w:rsidP="003D6326">
      <w:pPr>
        <w:pStyle w:val="BodyText"/>
        <w:rPr>
          <w:szCs w:val="22"/>
          <w:lang w:val="en-GB"/>
        </w:rPr>
      </w:pPr>
      <w:r w:rsidRPr="001D143A">
        <w:rPr>
          <w:szCs w:val="22"/>
          <w:lang w:val="en-GB"/>
        </w:rPr>
        <w:t xml:space="preserve">When addressing </w:t>
      </w:r>
      <w:r w:rsidRPr="00B73B2D">
        <w:rPr>
          <w:bCs/>
          <w:szCs w:val="22"/>
          <w:lang w:val="en-GB"/>
        </w:rPr>
        <w:t>your</w:t>
      </w:r>
      <w:r w:rsidRPr="001D143A">
        <w:rPr>
          <w:szCs w:val="22"/>
          <w:lang w:val="en-GB"/>
        </w:rPr>
        <w:t xml:space="preserve"> response you should consider:</w:t>
      </w:r>
    </w:p>
    <w:p w:rsidR="00A0031F" w:rsidRPr="001D143A" w:rsidRDefault="00A0031F" w:rsidP="00B73B2D">
      <w:pPr>
        <w:pStyle w:val="ListBullet"/>
        <w:numPr>
          <w:ilvl w:val="0"/>
          <w:numId w:val="15"/>
        </w:numPr>
        <w:rPr>
          <w:sz w:val="22"/>
          <w:szCs w:val="22"/>
        </w:rPr>
      </w:pPr>
      <w:r w:rsidRPr="001D143A">
        <w:rPr>
          <w:sz w:val="22"/>
          <w:szCs w:val="22"/>
        </w:rPr>
        <w:t>details of your organisation’s prior experience in delivering similar projects or programs, such as partnerships between schools, including key achievements of this work</w:t>
      </w:r>
    </w:p>
    <w:p w:rsidR="00A0031F" w:rsidRPr="001D143A" w:rsidRDefault="00A0031F" w:rsidP="00B73B2D">
      <w:pPr>
        <w:pStyle w:val="ListBullet"/>
        <w:numPr>
          <w:ilvl w:val="0"/>
          <w:numId w:val="15"/>
        </w:numPr>
        <w:rPr>
          <w:sz w:val="22"/>
          <w:szCs w:val="22"/>
        </w:rPr>
      </w:pPr>
      <w:r w:rsidRPr="001D143A">
        <w:rPr>
          <w:sz w:val="22"/>
          <w:szCs w:val="22"/>
        </w:rPr>
        <w:t>a description of related activities your organisation is currently engaged in and, if applicable, planned future business activities</w:t>
      </w:r>
    </w:p>
    <w:p w:rsidR="00A0031F" w:rsidRPr="001D143A" w:rsidRDefault="00A0031F">
      <w:pPr>
        <w:pStyle w:val="ListBullet"/>
        <w:numPr>
          <w:ilvl w:val="0"/>
          <w:numId w:val="15"/>
        </w:numPr>
        <w:rPr>
          <w:sz w:val="22"/>
          <w:szCs w:val="22"/>
        </w:rPr>
      </w:pPr>
      <w:r w:rsidRPr="001D143A">
        <w:rPr>
          <w:sz w:val="22"/>
          <w:szCs w:val="22"/>
        </w:rPr>
        <w:t>evidence of the qualifications and experience of your staff that will support delivery of the City-Country Partnerships program</w:t>
      </w:r>
    </w:p>
    <w:p w:rsidR="00A0031F" w:rsidRPr="001D143A" w:rsidRDefault="00A0031F">
      <w:pPr>
        <w:pStyle w:val="ListBullet"/>
        <w:numPr>
          <w:ilvl w:val="0"/>
          <w:numId w:val="15"/>
        </w:numPr>
        <w:rPr>
          <w:sz w:val="22"/>
          <w:szCs w:val="22"/>
        </w:rPr>
      </w:pPr>
      <w:r w:rsidRPr="001D143A">
        <w:rPr>
          <w:sz w:val="22"/>
          <w:szCs w:val="22"/>
        </w:rPr>
        <w:t>your organisation’s demonstrated ability to engage and work with the non-government schooling sectors</w:t>
      </w:r>
    </w:p>
    <w:p w:rsidR="00A0031F" w:rsidRPr="001D143A" w:rsidRDefault="00A0031F">
      <w:pPr>
        <w:pStyle w:val="ListBullet"/>
        <w:numPr>
          <w:ilvl w:val="0"/>
          <w:numId w:val="15"/>
        </w:numPr>
        <w:rPr>
          <w:sz w:val="22"/>
          <w:szCs w:val="22"/>
        </w:rPr>
      </w:pPr>
      <w:r w:rsidRPr="001D143A">
        <w:rPr>
          <w:sz w:val="22"/>
          <w:szCs w:val="22"/>
        </w:rPr>
        <w:t>your organisation’s capacity to communicate the grant opportunity to relevant schools, including developing culturally appropriate communication materials</w:t>
      </w:r>
    </w:p>
    <w:p w:rsidR="00B73B2D" w:rsidRDefault="00A0031F">
      <w:pPr>
        <w:pStyle w:val="ListBullet"/>
        <w:numPr>
          <w:ilvl w:val="0"/>
          <w:numId w:val="15"/>
        </w:numPr>
        <w:rPr>
          <w:sz w:val="22"/>
          <w:szCs w:val="22"/>
        </w:rPr>
      </w:pPr>
      <w:r w:rsidRPr="001D143A">
        <w:rPr>
          <w:sz w:val="22"/>
          <w:szCs w:val="22"/>
        </w:rPr>
        <w:t xml:space="preserve">details your organisation’s ability to provide secretariat support on establishment of an advisory board (if requested by the </w:t>
      </w:r>
      <w:r w:rsidR="00DA7329" w:rsidRPr="00DA7329">
        <w:rPr>
          <w:sz w:val="22"/>
          <w:szCs w:val="22"/>
        </w:rPr>
        <w:t>Department of Education, Skills and Employment</w:t>
      </w:r>
      <w:r w:rsidRPr="001D143A">
        <w:rPr>
          <w:sz w:val="22"/>
          <w:szCs w:val="22"/>
        </w:rPr>
        <w:t>)</w:t>
      </w:r>
    </w:p>
    <w:p w:rsidR="00B73B2D" w:rsidRDefault="00B73B2D">
      <w:pPr>
        <w:pStyle w:val="ListBullet"/>
        <w:numPr>
          <w:ilvl w:val="0"/>
          <w:numId w:val="15"/>
        </w:numPr>
        <w:rPr>
          <w:sz w:val="22"/>
          <w:szCs w:val="22"/>
        </w:rPr>
      </w:pPr>
      <w:r w:rsidRPr="00B73B2D">
        <w:rPr>
          <w:sz w:val="22"/>
          <w:szCs w:val="22"/>
        </w:rPr>
        <w:t>evidence of your organisation’s capability to meet reporting and performance requirements.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</w:tblPr>
      <w:tblGrid>
        <w:gridCol w:w="4819"/>
        <w:gridCol w:w="4819"/>
      </w:tblGrid>
      <w:tr w:rsidR="00B73B2D" w:rsidTr="003D6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9" w:type="dxa"/>
          </w:tcPr>
          <w:p w:rsidR="00B73B2D" w:rsidRPr="003D6326" w:rsidRDefault="00B73B2D" w:rsidP="00FD1DB2">
            <w:pPr>
              <w:pStyle w:val="BodyText"/>
              <w:pageBreakBefore/>
              <w:spacing w:before="40" w:after="120" w:line="260" w:lineRule="atLeast"/>
              <w:ind w:left="113"/>
              <w:rPr>
                <w:b/>
                <w:sz w:val="20"/>
                <w:lang w:val="en-GB"/>
              </w:rPr>
            </w:pPr>
            <w:r w:rsidRPr="003D6326">
              <w:rPr>
                <w:b/>
                <w:sz w:val="20"/>
                <w:lang w:val="en-GB"/>
              </w:rPr>
              <w:lastRenderedPageBreak/>
              <w:t>Strength</w:t>
            </w:r>
          </w:p>
        </w:tc>
        <w:tc>
          <w:tcPr>
            <w:tcW w:w="4819" w:type="dxa"/>
          </w:tcPr>
          <w:p w:rsidR="00B73B2D" w:rsidRPr="003D6326" w:rsidRDefault="00B73B2D" w:rsidP="00FD1DB2">
            <w:pPr>
              <w:pStyle w:val="BodyText"/>
              <w:spacing w:before="40" w:after="120" w:line="260" w:lineRule="atLeast"/>
              <w:ind w:left="113"/>
              <w:rPr>
                <w:b/>
                <w:sz w:val="20"/>
                <w:lang w:val="en-GB"/>
              </w:rPr>
            </w:pPr>
            <w:r w:rsidRPr="003D6326">
              <w:rPr>
                <w:b/>
                <w:sz w:val="20"/>
                <w:lang w:val="en-GB"/>
              </w:rPr>
              <w:t>Example</w:t>
            </w:r>
          </w:p>
        </w:tc>
      </w:tr>
      <w:tr w:rsidR="00B73B2D" w:rsidTr="003D6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</w:t>
            </w:r>
            <w:r w:rsidRPr="00301CB2">
              <w:rPr>
                <w:rFonts w:ascii="Arial" w:eastAsia="Arial" w:hAnsi="Arial" w:cs="Arial"/>
                <w:iCs/>
                <w:color w:val="auto"/>
                <w:sz w:val="21"/>
                <w:szCs w:val="21"/>
              </w:rPr>
              <w:t xml:space="preserve">trong applications </w:t>
            </w:r>
            <w:r w:rsidRPr="00301CB2">
              <w:rPr>
                <w:rFonts w:eastAsia="Arial" w:cs="Arial"/>
                <w:iCs/>
                <w:sz w:val="21"/>
                <w:szCs w:val="21"/>
              </w:rPr>
              <w:t xml:space="preserve">were required to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demonstrate</w:t>
            </w:r>
            <w:r w:rsidRPr="00301CB2">
              <w:rPr>
                <w:rFonts w:eastAsia="Arial" w:cs="Arial"/>
                <w:iCs/>
                <w:sz w:val="21"/>
                <w:szCs w:val="21"/>
              </w:rPr>
              <w:t>/describe</w:t>
            </w:r>
            <w:r w:rsidRPr="00301CB2" w:rsidDel="00F76062">
              <w:rPr>
                <w:rFonts w:ascii="Arial" w:eastAsia="Arial" w:hAnsi="Arial" w:cs="Arial"/>
                <w:iCs/>
                <w:color w:val="auto"/>
                <w:sz w:val="21"/>
                <w:szCs w:val="21"/>
              </w:rPr>
              <w:t xml:space="preserve"> </w:t>
            </w:r>
            <w:r w:rsidRPr="00301CB2">
              <w:rPr>
                <w:rFonts w:ascii="Arial" w:eastAsia="Arial" w:hAnsi="Arial" w:cs="Arial"/>
                <w:iCs/>
                <w:color w:val="auto"/>
                <w:sz w:val="21"/>
                <w:szCs w:val="21"/>
              </w:rPr>
              <w:t>experience in delivering similar projects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.</w:t>
            </w:r>
          </w:p>
        </w:tc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responses demonstrated/described: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Experience in supporting partnerships across a </w:t>
            </w:r>
            <w:r w:rsidRPr="00301CB2">
              <w:rPr>
                <w:sz w:val="21"/>
                <w:szCs w:val="21"/>
              </w:rPr>
              <w:t>range of settings or the ability to adapt to varying settings.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sz w:val="21"/>
                <w:szCs w:val="21"/>
              </w:rPr>
            </w:pPr>
            <w:r w:rsidRPr="00301CB2">
              <w:rPr>
                <w:sz w:val="21"/>
                <w:szCs w:val="21"/>
              </w:rPr>
              <w:t xml:space="preserve">An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organisational</w:t>
            </w:r>
            <w:r w:rsidRPr="00301CB2">
              <w:rPr>
                <w:sz w:val="21"/>
                <w:szCs w:val="21"/>
              </w:rPr>
              <w:t xml:space="preserve"> strategic priority focusing on the strong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foundations to achieve improved educational outcomes and Year 12 attainment.</w:t>
            </w:r>
          </w:p>
        </w:tc>
      </w:tr>
      <w:tr w:rsidR="00B73B2D" w:rsidTr="003D6326"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eastAsia="Arial" w:cs="Arial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related activities currently engaged in by the organisation.</w:t>
            </w:r>
          </w:p>
        </w:tc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responses demonstrated/described: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Had negotiated and implemented a </w:t>
            </w:r>
            <w:r w:rsidRPr="00301CB2">
              <w:rPr>
                <w:sz w:val="21"/>
                <w:szCs w:val="21"/>
              </w:rPr>
              <w:t>significant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school partnership that involved Indigenous communities.</w:t>
            </w:r>
          </w:p>
        </w:tc>
      </w:tr>
      <w:tr w:rsidR="00B73B2D" w:rsidTr="003D6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eastAsia="Arial" w:cs="Arial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suitably experienced and qualified staff.</w:t>
            </w:r>
          </w:p>
        </w:tc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responses demonstrated/described: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sz w:val="21"/>
                <w:szCs w:val="21"/>
              </w:rPr>
            </w:pPr>
            <w:r w:rsidRPr="00301CB2">
              <w:rPr>
                <w:sz w:val="21"/>
                <w:szCs w:val="21"/>
              </w:rPr>
              <w:t xml:space="preserve">Strong Indigenous leadership across the organisation and demonstrated that their staff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had</w:t>
            </w:r>
            <w:r w:rsidRPr="00301CB2">
              <w:rPr>
                <w:sz w:val="21"/>
                <w:szCs w:val="21"/>
              </w:rPr>
              <w:t xml:space="preserve"> achieved a range of outcomes in Aboriginal and Torres Strait Islander education.</w:t>
            </w:r>
          </w:p>
        </w:tc>
      </w:tr>
      <w:tr w:rsidR="00B73B2D" w:rsidRPr="00B73B2D" w:rsidTr="003D6326"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eastAsia="Arial" w:cs="Arial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an ability to engage with non-government organisations.</w:t>
            </w:r>
          </w:p>
        </w:tc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responses demonstrated/described: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rFonts w:eastAsia="Arial" w:cs="Arial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Experience working with a range of organisations to support projects and outcomes with schools and communities.</w:t>
            </w:r>
          </w:p>
        </w:tc>
      </w:tr>
      <w:tr w:rsidR="00B73B2D" w:rsidTr="003D6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eastAsia="Arial" w:cs="Arial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capacity to communicate the grant opportunity to relevant schools, including developing culturally appropriate communication materials.</w:t>
            </w:r>
          </w:p>
        </w:tc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responses demonstrated/described: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A </w:t>
            </w:r>
            <w:r w:rsidRPr="00301CB2">
              <w:rPr>
                <w:sz w:val="21"/>
                <w:szCs w:val="21"/>
              </w:rPr>
              <w:t>strong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background in working with schools and especially in creating and managing partnerships.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Strong Indigenous leadership and </w:t>
            </w:r>
            <w:r w:rsidRPr="00301CB2">
              <w:rPr>
                <w:sz w:val="21"/>
                <w:szCs w:val="21"/>
              </w:rPr>
              <w:t>demonstrated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an ability to communicate in a culturally sensitive manner.</w:t>
            </w:r>
          </w:p>
        </w:tc>
      </w:tr>
      <w:tr w:rsidR="00B73B2D" w:rsidTr="003D6326"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eastAsia="Arial" w:cs="Arial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secretariat capacity.</w:t>
            </w:r>
          </w:p>
        </w:tc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responses demonstrated/described: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Relevant staff experience and structure to </w:t>
            </w:r>
            <w:r w:rsidRPr="00301CB2">
              <w:rPr>
                <w:sz w:val="21"/>
                <w:szCs w:val="21"/>
              </w:rPr>
              <w:t>delivery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secretariat support if required.</w:t>
            </w:r>
          </w:p>
        </w:tc>
      </w:tr>
      <w:tr w:rsidR="00B73B2D" w:rsidTr="003D6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eastAsia="Arial" w:cs="Arial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evidence of reporting and performance requirements.</w:t>
            </w:r>
          </w:p>
        </w:tc>
        <w:tc>
          <w:tcPr>
            <w:tcW w:w="4819" w:type="dxa"/>
          </w:tcPr>
          <w:p w:rsidR="00B73B2D" w:rsidRPr="00301CB2" w:rsidRDefault="00B73B2D" w:rsidP="00FD1DB2">
            <w:pPr>
              <w:spacing w:before="40" w:after="120" w:line="260" w:lineRule="atLeast"/>
              <w:ind w:left="113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Strong responses demonstrated/described:</w:t>
            </w:r>
          </w:p>
          <w:p w:rsidR="00B73B2D" w:rsidRPr="00301CB2" w:rsidRDefault="00B73B2D" w:rsidP="00FD1DB2">
            <w:pPr>
              <w:pStyle w:val="ListParagraph"/>
              <w:numPr>
                <w:ilvl w:val="0"/>
                <w:numId w:val="26"/>
              </w:numPr>
              <w:spacing w:before="40" w:after="120" w:line="260" w:lineRule="atLeast"/>
              <w:ind w:left="470" w:hanging="357"/>
              <w:contextualSpacing w:val="0"/>
              <w:rPr>
                <w:sz w:val="21"/>
                <w:szCs w:val="21"/>
              </w:rPr>
            </w:pP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A demonstrated understanding of the need for </w:t>
            </w:r>
            <w:r w:rsidRPr="00301CB2">
              <w:rPr>
                <w:sz w:val="21"/>
                <w:szCs w:val="21"/>
              </w:rPr>
              <w:t>reporting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and performance management to meet the </w:t>
            </w:r>
            <w:r w:rsidR="00DA7329" w:rsidRPr="00DA7329">
              <w:rPr>
                <w:rFonts w:ascii="Arial" w:eastAsia="Arial" w:hAnsi="Arial" w:cs="Arial"/>
                <w:color w:val="auto"/>
                <w:sz w:val="21"/>
                <w:szCs w:val="21"/>
              </w:rPr>
              <w:t>Department of Education</w:t>
            </w:r>
            <w:r w:rsidR="00DA7329">
              <w:rPr>
                <w:rFonts w:ascii="Arial" w:eastAsia="Arial" w:hAnsi="Arial" w:cs="Arial"/>
                <w:color w:val="auto"/>
                <w:sz w:val="21"/>
                <w:szCs w:val="21"/>
              </w:rPr>
              <w:t>, Skills and Employment’</w:t>
            </w:r>
            <w:r w:rsidRPr="00301CB2">
              <w:rPr>
                <w:rFonts w:ascii="Arial" w:eastAsia="Arial" w:hAnsi="Arial" w:cs="Arial"/>
                <w:color w:val="auto"/>
                <w:sz w:val="21"/>
                <w:szCs w:val="21"/>
              </w:rPr>
              <w:t>s requirements.</w:t>
            </w:r>
          </w:p>
        </w:tc>
      </w:tr>
    </w:tbl>
    <w:p w:rsidR="00A0031F" w:rsidRPr="008867DC" w:rsidRDefault="00A0031F" w:rsidP="003D6326">
      <w:pPr>
        <w:pStyle w:val="Heading2"/>
        <w:pageBreakBefore/>
        <w:rPr>
          <w:szCs w:val="22"/>
        </w:rPr>
      </w:pPr>
      <w:r w:rsidRPr="008867DC">
        <w:rPr>
          <w:szCs w:val="22"/>
        </w:rPr>
        <w:lastRenderedPageBreak/>
        <w:t>Criterion 3: Ability to work sensitively with Aboriginal and Torres Strait Islander communities</w:t>
      </w:r>
    </w:p>
    <w:p w:rsidR="00A0031F" w:rsidRPr="001D143A" w:rsidRDefault="00A0031F" w:rsidP="003D6326">
      <w:pPr>
        <w:pStyle w:val="BodyText"/>
        <w:rPr>
          <w:lang w:val="en-GB"/>
        </w:rPr>
      </w:pPr>
      <w:r w:rsidRPr="00C1105E">
        <w:rPr>
          <w:szCs w:val="22"/>
          <w:lang w:val="en-GB"/>
        </w:rPr>
        <w:t xml:space="preserve">Demonstrate your </w:t>
      </w:r>
      <w:r w:rsidRPr="00B73B2D">
        <w:rPr>
          <w:bCs/>
          <w:szCs w:val="22"/>
          <w:lang w:val="en-GB"/>
        </w:rPr>
        <w:t>organisation’s</w:t>
      </w:r>
      <w:r w:rsidRPr="00C1105E">
        <w:rPr>
          <w:szCs w:val="22"/>
          <w:lang w:val="en-GB"/>
        </w:rPr>
        <w:t xml:space="preserve"> ability to work in partnership with Aboriginal and Torres Strait Islander communities to support improved educational outcomes</w:t>
      </w:r>
      <w:r w:rsidR="0008770F">
        <w:rPr>
          <w:szCs w:val="22"/>
          <w:lang w:val="en-GB"/>
        </w:rPr>
        <w:t>.</w:t>
      </w:r>
    </w:p>
    <w:p w:rsidR="00A0031F" w:rsidRPr="001D143A" w:rsidRDefault="00A0031F" w:rsidP="003D6326">
      <w:pPr>
        <w:pStyle w:val="BodyText"/>
        <w:rPr>
          <w:szCs w:val="22"/>
          <w:lang w:val="en-GB"/>
        </w:rPr>
      </w:pPr>
      <w:r w:rsidRPr="001D143A">
        <w:rPr>
          <w:szCs w:val="22"/>
          <w:lang w:val="en-GB"/>
        </w:rPr>
        <w:t xml:space="preserve">When addressing </w:t>
      </w:r>
      <w:r w:rsidRPr="00B73B2D">
        <w:rPr>
          <w:bCs/>
          <w:szCs w:val="22"/>
          <w:lang w:val="en-GB"/>
        </w:rPr>
        <w:t>your</w:t>
      </w:r>
      <w:r w:rsidRPr="001D143A">
        <w:rPr>
          <w:szCs w:val="22"/>
          <w:lang w:val="en-GB"/>
        </w:rPr>
        <w:t xml:space="preserve"> response you should consider:</w:t>
      </w:r>
    </w:p>
    <w:p w:rsidR="00A0031F" w:rsidRPr="001D143A" w:rsidRDefault="00A0031F" w:rsidP="00A0031F">
      <w:pPr>
        <w:pStyle w:val="ListBullet"/>
        <w:numPr>
          <w:ilvl w:val="0"/>
          <w:numId w:val="15"/>
        </w:numPr>
        <w:rPr>
          <w:bCs/>
          <w:sz w:val="22"/>
          <w:szCs w:val="22"/>
          <w:lang w:val="en-GB"/>
        </w:rPr>
      </w:pPr>
      <w:r w:rsidRPr="001D143A">
        <w:rPr>
          <w:bCs/>
          <w:sz w:val="22"/>
          <w:szCs w:val="22"/>
          <w:lang w:val="en-GB"/>
        </w:rPr>
        <w:t xml:space="preserve">your experience working with Aboriginal and Torres Strait Islander communities (this could include your experience working in partnership with reference to </w:t>
      </w:r>
      <w:hyperlink r:id="rId12" w:history="1">
        <w:r w:rsidRPr="001D143A">
          <w:rPr>
            <w:rStyle w:val="Hyperlink"/>
            <w:rFonts w:eastAsiaTheme="majorEastAsia"/>
            <w:sz w:val="22"/>
            <w:szCs w:val="22"/>
            <w:lang w:val="en-GB"/>
          </w:rPr>
          <w:t>Priority Reform One of the National Agreement on Closing the Gap</w:t>
        </w:r>
      </w:hyperlink>
      <w:r w:rsidRPr="001D143A">
        <w:rPr>
          <w:bCs/>
          <w:sz w:val="22"/>
          <w:szCs w:val="22"/>
          <w:lang w:val="en-GB"/>
        </w:rPr>
        <w:t>)</w:t>
      </w:r>
    </w:p>
    <w:p w:rsidR="00A0031F" w:rsidRPr="001D143A" w:rsidRDefault="00A0031F" w:rsidP="00A0031F">
      <w:pPr>
        <w:pStyle w:val="ListBullet"/>
        <w:numPr>
          <w:ilvl w:val="0"/>
          <w:numId w:val="15"/>
        </w:numPr>
        <w:rPr>
          <w:bCs/>
          <w:sz w:val="22"/>
          <w:szCs w:val="22"/>
          <w:lang w:val="en-GB"/>
        </w:rPr>
      </w:pPr>
      <w:r w:rsidRPr="001D143A">
        <w:rPr>
          <w:bCs/>
          <w:sz w:val="22"/>
          <w:szCs w:val="22"/>
          <w:lang w:val="en-GB"/>
        </w:rPr>
        <w:t>how you will work with schools and Aboriginal and Torres Strait Islander communities to ensure partnerships are supported by community</w:t>
      </w:r>
    </w:p>
    <w:p w:rsidR="00A0031F" w:rsidRDefault="00A0031F" w:rsidP="00A0031F">
      <w:pPr>
        <w:pStyle w:val="ListBullet"/>
        <w:numPr>
          <w:ilvl w:val="0"/>
          <w:numId w:val="15"/>
        </w:numPr>
        <w:rPr>
          <w:bCs/>
          <w:sz w:val="22"/>
          <w:szCs w:val="22"/>
          <w:lang w:val="en-GB"/>
        </w:rPr>
      </w:pPr>
      <w:r w:rsidRPr="001D143A">
        <w:rPr>
          <w:bCs/>
          <w:sz w:val="22"/>
          <w:szCs w:val="22"/>
          <w:lang w:val="en-GB"/>
        </w:rPr>
        <w:t>your understanding of the types of sensitivities that need to be managed in engaging with Aboriginal and Torres Strait Islander communities and your experience in managing these</w:t>
      </w:r>
    </w:p>
    <w:p w:rsidR="00B73B2D" w:rsidRPr="00B73B2D" w:rsidRDefault="00B73B2D">
      <w:pPr>
        <w:pStyle w:val="ListBullet"/>
        <w:numPr>
          <w:ilvl w:val="0"/>
          <w:numId w:val="15"/>
        </w:num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your understanding of these issues affecting Aboriginal and Torres Strait Islander education outcomes and how partnerships through this program will support improvements.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</w:tblPr>
      <w:tblGrid>
        <w:gridCol w:w="4819"/>
        <w:gridCol w:w="4819"/>
      </w:tblGrid>
      <w:tr w:rsidR="00B73B2D" w:rsidRPr="00B73B2D" w:rsidTr="003D6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9" w:type="dxa"/>
          </w:tcPr>
          <w:p w:rsidR="00B73B2D" w:rsidRPr="00301CB2" w:rsidRDefault="00B73B2D" w:rsidP="003D6326">
            <w:pPr>
              <w:pStyle w:val="BodyText"/>
              <w:pageBreakBefore/>
              <w:spacing w:before="40" w:after="120"/>
              <w:ind w:left="113"/>
              <w:rPr>
                <w:b/>
                <w:szCs w:val="22"/>
                <w:lang w:val="en-GB"/>
              </w:rPr>
            </w:pPr>
            <w:r w:rsidRPr="00301CB2">
              <w:rPr>
                <w:b/>
                <w:szCs w:val="22"/>
                <w:lang w:val="en-GB"/>
              </w:rPr>
              <w:lastRenderedPageBreak/>
              <w:t>Strength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pStyle w:val="BodyText"/>
              <w:keepNext/>
              <w:keepLines/>
              <w:spacing w:before="40" w:after="120"/>
              <w:ind w:left="113"/>
              <w:rPr>
                <w:b/>
                <w:szCs w:val="22"/>
                <w:lang w:val="en-GB"/>
              </w:rPr>
            </w:pPr>
            <w:r w:rsidRPr="00301CB2">
              <w:rPr>
                <w:b/>
                <w:szCs w:val="22"/>
                <w:lang w:val="en-GB"/>
              </w:rPr>
              <w:t>Example</w:t>
            </w:r>
          </w:p>
        </w:tc>
      </w:tr>
      <w:tr w:rsidR="00B73B2D" w:rsidRPr="00B73B2D" w:rsidTr="000C3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3D6326">
            <w:pPr>
              <w:keepNext/>
              <w:keepLines/>
              <w:spacing w:before="40" w:after="120"/>
              <w:ind w:left="113"/>
              <w:rPr>
                <w:szCs w:val="22"/>
                <w:lang w:val="en-GB"/>
              </w:rPr>
            </w:pPr>
            <w:r w:rsidRPr="00301CB2">
              <w:rPr>
                <w:rFonts w:eastAsia="Arial" w:cs="Arial"/>
                <w:szCs w:val="22"/>
              </w:rPr>
              <w:t>S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>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experience in working with Aboriginal </w:t>
            </w:r>
            <w:r w:rsidRPr="00301CB2">
              <w:rPr>
                <w:szCs w:val="22"/>
              </w:rPr>
              <w:t>and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Torres Strait Islander communities.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keepNext/>
              <w:keepLines/>
              <w:spacing w:before="40" w:after="120"/>
              <w:ind w:left="113"/>
              <w:rPr>
                <w:szCs w:val="22"/>
              </w:rPr>
            </w:pPr>
            <w:r w:rsidRPr="00301CB2">
              <w:rPr>
                <w:szCs w:val="22"/>
              </w:rPr>
              <w:t>Strong responses demonstrated/described:</w:t>
            </w:r>
          </w:p>
          <w:p w:rsidR="00B73B2D" w:rsidRPr="00301CB2" w:rsidRDefault="00B73B2D" w:rsidP="003D6326">
            <w:pPr>
              <w:pStyle w:val="ListParagraph"/>
              <w:keepNext/>
              <w:keepLines/>
              <w:numPr>
                <w:ilvl w:val="0"/>
                <w:numId w:val="27"/>
              </w:numPr>
              <w:spacing w:before="40" w:after="120"/>
              <w:ind w:left="470" w:hanging="357"/>
              <w:contextualSpacing w:val="0"/>
              <w:rPr>
                <w:szCs w:val="22"/>
              </w:rPr>
            </w:pPr>
            <w:r w:rsidRPr="00301CB2">
              <w:rPr>
                <w:szCs w:val="22"/>
              </w:rPr>
              <w:t>Experience with existing initiatives and negotiating school partnerships from a community perspective.</w:t>
            </w:r>
          </w:p>
          <w:p w:rsidR="00B73B2D" w:rsidRPr="00301CB2" w:rsidRDefault="00B73B2D" w:rsidP="003D6326">
            <w:pPr>
              <w:pStyle w:val="ListParagraph"/>
              <w:keepNext/>
              <w:keepLines/>
              <w:numPr>
                <w:ilvl w:val="0"/>
                <w:numId w:val="27"/>
              </w:numPr>
              <w:spacing w:before="40" w:after="120"/>
              <w:ind w:left="470" w:hanging="357"/>
              <w:contextualSpacing w:val="0"/>
              <w:rPr>
                <w:szCs w:val="22"/>
                <w:lang w:val="en-GB"/>
              </w:rPr>
            </w:pPr>
            <w:r w:rsidRPr="00301CB2">
              <w:rPr>
                <w:szCs w:val="22"/>
              </w:rPr>
              <w:t>Experience with and understanding of how to work closely with community representative groups and organisations.</w:t>
            </w:r>
          </w:p>
        </w:tc>
      </w:tr>
      <w:tr w:rsidR="00B73B2D" w:rsidRPr="00B73B2D" w:rsidTr="000C3496"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szCs w:val="22"/>
                <w:lang w:val="en-GB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>Strong applications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>how to ensure partnerships are supported by community.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  <w:szCs w:val="22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Strong </w:t>
            </w:r>
            <w:r w:rsidRPr="00301CB2">
              <w:rPr>
                <w:szCs w:val="22"/>
              </w:rPr>
              <w:t>responses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7"/>
              </w:numPr>
              <w:spacing w:before="40" w:after="120"/>
              <w:ind w:left="470" w:hanging="357"/>
              <w:contextualSpacing w:val="0"/>
              <w:rPr>
                <w:szCs w:val="22"/>
                <w:lang w:val="en-GB"/>
              </w:rPr>
            </w:pPr>
            <w:r w:rsidRPr="00301CB2">
              <w:rPr>
                <w:szCs w:val="22"/>
              </w:rPr>
              <w:t>Existing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initiatives that work closely with </w:t>
            </w:r>
            <w:r w:rsidRPr="00301CB2">
              <w:rPr>
                <w:szCs w:val="22"/>
              </w:rPr>
              <w:t>community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representative groups and organisations.</w:t>
            </w:r>
          </w:p>
        </w:tc>
      </w:tr>
      <w:tr w:rsidR="00B73B2D" w:rsidRPr="00B73B2D" w:rsidTr="000C3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szCs w:val="22"/>
                <w:lang w:val="en-GB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Strong </w:t>
            </w:r>
            <w:r w:rsidRPr="00301CB2">
              <w:rPr>
                <w:szCs w:val="22"/>
              </w:rPr>
              <w:t>applications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>understanding of managing sensitivities with Aboriginal and Torres Strait Islander communities.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  <w:szCs w:val="22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Strong </w:t>
            </w:r>
            <w:r w:rsidRPr="00301CB2">
              <w:rPr>
                <w:szCs w:val="22"/>
              </w:rPr>
              <w:t>responses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7"/>
              </w:numPr>
              <w:spacing w:before="40" w:after="120"/>
              <w:ind w:left="470" w:hanging="357"/>
              <w:contextualSpacing w:val="0"/>
              <w:rPr>
                <w:szCs w:val="22"/>
                <w:lang w:val="en-GB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Experience in working closely and </w:t>
            </w:r>
            <w:r w:rsidRPr="00301CB2">
              <w:rPr>
                <w:szCs w:val="22"/>
              </w:rPr>
              <w:t>successfully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with </w:t>
            </w:r>
            <w:r w:rsidRPr="00301CB2">
              <w:rPr>
                <w:szCs w:val="22"/>
              </w:rPr>
              <w:t>Aboriginal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and Torres Strait Islander communities and organisations.</w:t>
            </w:r>
          </w:p>
        </w:tc>
      </w:tr>
      <w:tr w:rsidR="00B73B2D" w:rsidRPr="00B73B2D" w:rsidTr="000C3496"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szCs w:val="22"/>
                <w:lang w:val="en-GB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301CB2">
              <w:rPr>
                <w:szCs w:val="22"/>
              </w:rPr>
              <w:t>were required to demonstrate/describe</w:t>
            </w:r>
            <w:r w:rsidRPr="00301CB2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understanding of issues affecting </w:t>
            </w:r>
            <w:r w:rsidRPr="00301CB2">
              <w:rPr>
                <w:szCs w:val="22"/>
              </w:rPr>
              <w:t>Aboriginal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and Torres Strait Islander communities and how partnerships could support improvements.</w:t>
            </w:r>
          </w:p>
        </w:tc>
        <w:tc>
          <w:tcPr>
            <w:tcW w:w="4819" w:type="dxa"/>
          </w:tcPr>
          <w:p w:rsidR="00B73B2D" w:rsidRPr="00301CB2" w:rsidRDefault="00B73B2D" w:rsidP="003D6326">
            <w:pPr>
              <w:spacing w:before="40" w:after="120"/>
              <w:ind w:left="113"/>
              <w:rPr>
                <w:rFonts w:ascii="Arial" w:eastAsia="Arial" w:hAnsi="Arial" w:cs="Arial"/>
                <w:color w:val="auto"/>
                <w:szCs w:val="22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Strong </w:t>
            </w:r>
            <w:r w:rsidRPr="00301CB2">
              <w:rPr>
                <w:szCs w:val="22"/>
              </w:rPr>
              <w:t>responses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demonstrated/described: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7"/>
              </w:numPr>
              <w:spacing w:before="40" w:after="120"/>
              <w:ind w:left="470" w:hanging="357"/>
              <w:contextualSpacing w:val="0"/>
              <w:rPr>
                <w:rFonts w:ascii="Arial" w:eastAsia="Arial" w:hAnsi="Arial" w:cs="Arial"/>
                <w:color w:val="auto"/>
                <w:szCs w:val="22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A clear </w:t>
            </w:r>
            <w:r w:rsidRPr="00301CB2">
              <w:rPr>
                <w:szCs w:val="22"/>
              </w:rPr>
              <w:t>understanding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of the issues affecting Aboriginal and </w:t>
            </w:r>
            <w:r w:rsidRPr="00301CB2">
              <w:rPr>
                <w:szCs w:val="22"/>
              </w:rPr>
              <w:t>Torres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Strait Islander </w:t>
            </w:r>
            <w:r w:rsidRPr="00301CB2">
              <w:rPr>
                <w:szCs w:val="22"/>
              </w:rPr>
              <w:t>communities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as well as practical solutions for how the partnerships created by this program would support improvement.</w:t>
            </w:r>
          </w:p>
          <w:p w:rsidR="00B73B2D" w:rsidRPr="00301CB2" w:rsidRDefault="00B73B2D" w:rsidP="003D6326">
            <w:pPr>
              <w:pStyle w:val="ListParagraph"/>
              <w:numPr>
                <w:ilvl w:val="0"/>
                <w:numId w:val="26"/>
              </w:numPr>
              <w:spacing w:before="40" w:after="120"/>
              <w:ind w:left="470" w:hanging="357"/>
              <w:contextualSpacing w:val="0"/>
              <w:rPr>
                <w:szCs w:val="22"/>
                <w:lang w:val="en-GB"/>
              </w:rPr>
            </w:pP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Evidence of improvement which had been </w:t>
            </w:r>
            <w:r w:rsidRPr="00301CB2">
              <w:rPr>
                <w:szCs w:val="22"/>
              </w:rPr>
              <w:t>achieved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through previous or existing </w:t>
            </w:r>
            <w:r w:rsidRPr="00301CB2">
              <w:rPr>
                <w:szCs w:val="22"/>
              </w:rPr>
              <w:t>work</w:t>
            </w:r>
            <w:r w:rsidRPr="00301CB2">
              <w:rPr>
                <w:rFonts w:ascii="Arial" w:eastAsia="Arial" w:hAnsi="Arial" w:cs="Arial"/>
                <w:color w:val="auto"/>
                <w:szCs w:val="22"/>
              </w:rPr>
              <w:t xml:space="preserve"> with communities.</w:t>
            </w:r>
          </w:p>
        </w:tc>
      </w:tr>
    </w:tbl>
    <w:p w:rsidR="00FA1F45" w:rsidRDefault="00FA1F45" w:rsidP="003D6326"/>
    <w:sectPr w:rsidR="00FA1F45" w:rsidSect="00D91B1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3C" w:rsidRDefault="00D1083C" w:rsidP="00772718">
      <w:pPr>
        <w:spacing w:line="240" w:lineRule="auto"/>
      </w:pPr>
      <w:r>
        <w:separator/>
      </w:r>
    </w:p>
  </w:endnote>
  <w:endnote w:type="continuationSeparator" w:id="0">
    <w:p w:rsidR="00D1083C" w:rsidRDefault="00D1083C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Pr="003D6326" w:rsidRDefault="008867DC" w:rsidP="00B73B2D">
    <w:pPr>
      <w:pStyle w:val="Footer"/>
      <w:tabs>
        <w:tab w:val="clear" w:pos="4513"/>
        <w:tab w:val="clear" w:pos="9026"/>
        <w:tab w:val="right" w:pos="9638"/>
      </w:tabs>
      <w:rPr>
        <w:b w:val="0"/>
      </w:rPr>
    </w:pPr>
    <w:r w:rsidRPr="00B42957">
      <w:rPr>
        <w:b w:val="0"/>
      </w:rPr>
      <w:t>City-Country Partnerships General Feedback</w:t>
    </w:r>
    <w:r w:rsidRPr="00B42957">
      <w:rPr>
        <w:b w:val="0"/>
      </w:rPr>
      <w:tab/>
      <w:t xml:space="preserve">Page </w:t>
    </w:r>
    <w:r w:rsidRPr="00B42957">
      <w:rPr>
        <w:b w:val="0"/>
        <w:bCs/>
      </w:rPr>
      <w:fldChar w:fldCharType="begin"/>
    </w:r>
    <w:r w:rsidRPr="00B42957">
      <w:rPr>
        <w:b w:val="0"/>
        <w:bCs/>
      </w:rPr>
      <w:instrText xml:space="preserve"> PAGE  \* Arabic  \* MERGEFORMAT </w:instrText>
    </w:r>
    <w:r w:rsidRPr="00B42957">
      <w:rPr>
        <w:b w:val="0"/>
        <w:bCs/>
      </w:rPr>
      <w:fldChar w:fldCharType="separate"/>
    </w:r>
    <w:r w:rsidR="00507441">
      <w:rPr>
        <w:b w:val="0"/>
        <w:bCs/>
        <w:noProof/>
      </w:rPr>
      <w:t>2</w:t>
    </w:r>
    <w:r w:rsidRPr="00B42957">
      <w:rPr>
        <w:b w:val="0"/>
        <w:bCs/>
      </w:rPr>
      <w:fldChar w:fldCharType="end"/>
    </w:r>
    <w:r w:rsidRPr="00B42957">
      <w:rPr>
        <w:b w:val="0"/>
      </w:rPr>
      <w:t xml:space="preserve"> of </w:t>
    </w:r>
    <w:r w:rsidRPr="00B42957">
      <w:rPr>
        <w:b w:val="0"/>
        <w:bCs/>
      </w:rPr>
      <w:fldChar w:fldCharType="begin"/>
    </w:r>
    <w:r w:rsidRPr="00B42957">
      <w:rPr>
        <w:b w:val="0"/>
        <w:bCs/>
      </w:rPr>
      <w:instrText xml:space="preserve"> NUMPAGES  \* Arabic  \* MERGEFORMAT </w:instrText>
    </w:r>
    <w:r w:rsidRPr="00B42957">
      <w:rPr>
        <w:b w:val="0"/>
        <w:bCs/>
      </w:rPr>
      <w:fldChar w:fldCharType="separate"/>
    </w:r>
    <w:r w:rsidR="00507441">
      <w:rPr>
        <w:b w:val="0"/>
        <w:bCs/>
        <w:noProof/>
      </w:rPr>
      <w:t>8</w:t>
    </w:r>
    <w:r w:rsidRPr="00B42957">
      <w:rPr>
        <w:b w:val="0"/>
        <w:bCs/>
      </w:rPr>
      <w:fldChar w:fldCharType="end"/>
    </w:r>
    <w:r w:rsidR="00E1352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6C621F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Pr="003D6326" w:rsidRDefault="008867DC" w:rsidP="00B73B2D">
    <w:pPr>
      <w:pStyle w:val="Footer"/>
      <w:tabs>
        <w:tab w:val="clear" w:pos="4513"/>
        <w:tab w:val="clear" w:pos="9026"/>
        <w:tab w:val="right" w:pos="9638"/>
      </w:tabs>
      <w:rPr>
        <w:b w:val="0"/>
      </w:rPr>
    </w:pPr>
    <w:r w:rsidRPr="003D6326">
      <w:rPr>
        <w:b w:val="0"/>
      </w:rPr>
      <w:t>City-Country Partnerships General Feedback</w:t>
    </w:r>
    <w:r w:rsidR="00FC1C24" w:rsidRPr="003D6326">
      <w:rPr>
        <w:b w:val="0"/>
      </w:rPr>
      <w:tab/>
    </w:r>
    <w:r w:rsidRPr="003D6326">
      <w:rPr>
        <w:b w:val="0"/>
      </w:rPr>
      <w:t xml:space="preserve">Page </w:t>
    </w:r>
    <w:r w:rsidRPr="00B73B2D">
      <w:rPr>
        <w:b w:val="0"/>
        <w:bCs/>
      </w:rPr>
      <w:fldChar w:fldCharType="begin"/>
    </w:r>
    <w:r w:rsidRPr="003D6326">
      <w:rPr>
        <w:b w:val="0"/>
        <w:bCs/>
      </w:rPr>
      <w:instrText xml:space="preserve"> PAGE  \* Arabic  \* MERGEFORMAT </w:instrText>
    </w:r>
    <w:r w:rsidRPr="00B73B2D">
      <w:rPr>
        <w:b w:val="0"/>
        <w:bCs/>
      </w:rPr>
      <w:fldChar w:fldCharType="separate"/>
    </w:r>
    <w:r w:rsidR="00507441">
      <w:rPr>
        <w:b w:val="0"/>
        <w:bCs/>
        <w:noProof/>
      </w:rPr>
      <w:t>1</w:t>
    </w:r>
    <w:r w:rsidRPr="00B73B2D">
      <w:rPr>
        <w:b w:val="0"/>
        <w:bCs/>
      </w:rPr>
      <w:fldChar w:fldCharType="end"/>
    </w:r>
    <w:r w:rsidRPr="003D6326">
      <w:rPr>
        <w:b w:val="0"/>
      </w:rPr>
      <w:t xml:space="preserve"> of </w:t>
    </w:r>
    <w:r w:rsidRPr="00B73B2D">
      <w:rPr>
        <w:b w:val="0"/>
        <w:bCs/>
      </w:rPr>
      <w:fldChar w:fldCharType="begin"/>
    </w:r>
    <w:r w:rsidRPr="003D6326">
      <w:rPr>
        <w:b w:val="0"/>
        <w:bCs/>
      </w:rPr>
      <w:instrText xml:space="preserve"> NUMPAGES  \* Arabic  \* MERGEFORMAT </w:instrText>
    </w:r>
    <w:r w:rsidRPr="00B73B2D">
      <w:rPr>
        <w:b w:val="0"/>
        <w:bCs/>
      </w:rPr>
      <w:fldChar w:fldCharType="separate"/>
    </w:r>
    <w:r w:rsidR="00507441">
      <w:rPr>
        <w:b w:val="0"/>
        <w:bCs/>
        <w:noProof/>
      </w:rPr>
      <w:t>8</w:t>
    </w:r>
    <w:r w:rsidRPr="00B73B2D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3C" w:rsidRDefault="00D1083C" w:rsidP="00772718">
      <w:pPr>
        <w:spacing w:line="240" w:lineRule="auto"/>
      </w:pPr>
      <w:r>
        <w:separator/>
      </w:r>
    </w:p>
  </w:footnote>
  <w:footnote w:type="continuationSeparator" w:id="0">
    <w:p w:rsidR="00D1083C" w:rsidRDefault="00D1083C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72FA041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B7C0F9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B6EA3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11ADCC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C9EBF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FCB"/>
    <w:multiLevelType w:val="multilevel"/>
    <w:tmpl w:val="146AA540"/>
    <w:lvl w:ilvl="0">
      <w:start w:val="1"/>
      <w:numFmt w:val="none"/>
      <w:pStyle w:val="Boxed2Text"/>
      <w:lvlText w:val=""/>
      <w:lvlJc w:val="left"/>
      <w:pPr>
        <w:ind w:left="0" w:firstLine="0"/>
      </w:pPr>
      <w:rPr>
        <w:rFonts w:hint="default"/>
        <w:w w:val="100"/>
        <w:sz w:val="20"/>
      </w:rPr>
    </w:lvl>
    <w:lvl w:ilvl="1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264F90"/>
      </w:rPr>
    </w:lvl>
    <w:lvl w:ilvl="2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10DACFC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264F9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1ED3C11"/>
    <w:multiLevelType w:val="hybridMultilevel"/>
    <w:tmpl w:val="0ED07F1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119A"/>
    <w:multiLevelType w:val="hybridMultilevel"/>
    <w:tmpl w:val="C39A988E"/>
    <w:lvl w:ilvl="0" w:tplc="1C62383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DDC120B"/>
    <w:multiLevelType w:val="hybridMultilevel"/>
    <w:tmpl w:val="41B8C2D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22C71"/>
    <w:multiLevelType w:val="hybridMultilevel"/>
    <w:tmpl w:val="5106BB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3579F"/>
    <w:multiLevelType w:val="hybridMultilevel"/>
    <w:tmpl w:val="81BED02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B7506DA"/>
    <w:multiLevelType w:val="hybridMultilevel"/>
    <w:tmpl w:val="02D6241E"/>
    <w:lvl w:ilvl="0" w:tplc="1A802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EF1964"/>
    <w:multiLevelType w:val="hybridMultilevel"/>
    <w:tmpl w:val="6A361128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3F034A8"/>
    <w:multiLevelType w:val="hybridMultilevel"/>
    <w:tmpl w:val="B1BCEB9C"/>
    <w:lvl w:ilvl="0" w:tplc="B9CECA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DC7180"/>
    <w:multiLevelType w:val="hybridMultilevel"/>
    <w:tmpl w:val="8D883290"/>
    <w:lvl w:ilvl="0" w:tplc="3C5ACD9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3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56F8D"/>
    <w:multiLevelType w:val="hybridMultilevel"/>
    <w:tmpl w:val="7EA4E61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C517C84"/>
    <w:multiLevelType w:val="hybridMultilevel"/>
    <w:tmpl w:val="43846E58"/>
    <w:lvl w:ilvl="0" w:tplc="BB1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6"/>
  </w:num>
  <w:num w:numId="8">
    <w:abstractNumId w:val="20"/>
  </w:num>
  <w:num w:numId="9">
    <w:abstractNumId w:val="17"/>
  </w:num>
  <w:num w:numId="10">
    <w:abstractNumId w:val="2"/>
  </w:num>
  <w:num w:numId="11">
    <w:abstractNumId w:val="7"/>
  </w:num>
  <w:num w:numId="12">
    <w:abstractNumId w:val="2"/>
  </w:num>
  <w:num w:numId="13">
    <w:abstractNumId w:val="23"/>
  </w:num>
  <w:num w:numId="14">
    <w:abstractNumId w:val="8"/>
  </w:num>
  <w:num w:numId="15">
    <w:abstractNumId w:val="3"/>
  </w:num>
  <w:num w:numId="16">
    <w:abstractNumId w:val="0"/>
  </w:num>
  <w:num w:numId="17">
    <w:abstractNumId w:val="24"/>
  </w:num>
  <w:num w:numId="18">
    <w:abstractNumId w:val="4"/>
  </w:num>
  <w:num w:numId="19">
    <w:abstractNumId w:val="9"/>
  </w:num>
  <w:num w:numId="20">
    <w:abstractNumId w:val="10"/>
  </w:num>
  <w:num w:numId="21">
    <w:abstractNumId w:val="13"/>
  </w:num>
  <w:num w:numId="22">
    <w:abstractNumId w:val="18"/>
  </w:num>
  <w:num w:numId="23">
    <w:abstractNumId w:val="19"/>
  </w:num>
  <w:num w:numId="24">
    <w:abstractNumId w:val="25"/>
  </w:num>
  <w:num w:numId="25">
    <w:abstractNumId w:val="12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27CC2"/>
    <w:rsid w:val="0003018E"/>
    <w:rsid w:val="00033BC3"/>
    <w:rsid w:val="00035CC2"/>
    <w:rsid w:val="00044E09"/>
    <w:rsid w:val="000455E3"/>
    <w:rsid w:val="0004784D"/>
    <w:rsid w:val="000535A3"/>
    <w:rsid w:val="00053A00"/>
    <w:rsid w:val="00053DC5"/>
    <w:rsid w:val="000551F5"/>
    <w:rsid w:val="000754AE"/>
    <w:rsid w:val="0008770F"/>
    <w:rsid w:val="000B6C00"/>
    <w:rsid w:val="000C1F06"/>
    <w:rsid w:val="000D41BA"/>
    <w:rsid w:val="000F1DD1"/>
    <w:rsid w:val="000F28B8"/>
    <w:rsid w:val="000F3766"/>
    <w:rsid w:val="00100880"/>
    <w:rsid w:val="001035FC"/>
    <w:rsid w:val="00106FC4"/>
    <w:rsid w:val="00111F0C"/>
    <w:rsid w:val="00120B80"/>
    <w:rsid w:val="0013568B"/>
    <w:rsid w:val="00145E2D"/>
    <w:rsid w:val="0016612C"/>
    <w:rsid w:val="001763D4"/>
    <w:rsid w:val="00181433"/>
    <w:rsid w:val="001834DD"/>
    <w:rsid w:val="00191BCF"/>
    <w:rsid w:val="001B290C"/>
    <w:rsid w:val="001C53CE"/>
    <w:rsid w:val="001C5D96"/>
    <w:rsid w:val="001D143A"/>
    <w:rsid w:val="001D341B"/>
    <w:rsid w:val="001E3D2B"/>
    <w:rsid w:val="001E5415"/>
    <w:rsid w:val="001E66CE"/>
    <w:rsid w:val="001F6BE5"/>
    <w:rsid w:val="00221722"/>
    <w:rsid w:val="00221DC2"/>
    <w:rsid w:val="00223EBB"/>
    <w:rsid w:val="00237C8E"/>
    <w:rsid w:val="00243004"/>
    <w:rsid w:val="00244B48"/>
    <w:rsid w:val="00256CDA"/>
    <w:rsid w:val="002573D5"/>
    <w:rsid w:val="002600F2"/>
    <w:rsid w:val="00264E26"/>
    <w:rsid w:val="00280E74"/>
    <w:rsid w:val="00284E4B"/>
    <w:rsid w:val="002A41E1"/>
    <w:rsid w:val="002B6574"/>
    <w:rsid w:val="002D3419"/>
    <w:rsid w:val="002D4D48"/>
    <w:rsid w:val="002E0AA1"/>
    <w:rsid w:val="002E1CCC"/>
    <w:rsid w:val="002E21D2"/>
    <w:rsid w:val="002F4083"/>
    <w:rsid w:val="002F7D3C"/>
    <w:rsid w:val="00301CB2"/>
    <w:rsid w:val="00302D5E"/>
    <w:rsid w:val="00305720"/>
    <w:rsid w:val="0031098A"/>
    <w:rsid w:val="003131AB"/>
    <w:rsid w:val="003217BE"/>
    <w:rsid w:val="0034044F"/>
    <w:rsid w:val="00355FF2"/>
    <w:rsid w:val="0035639D"/>
    <w:rsid w:val="0037595E"/>
    <w:rsid w:val="00376001"/>
    <w:rsid w:val="003A17CA"/>
    <w:rsid w:val="003B5410"/>
    <w:rsid w:val="003D0647"/>
    <w:rsid w:val="003D1265"/>
    <w:rsid w:val="003D255E"/>
    <w:rsid w:val="003D3B1D"/>
    <w:rsid w:val="003D3CE4"/>
    <w:rsid w:val="003D4B2C"/>
    <w:rsid w:val="003D5DBE"/>
    <w:rsid w:val="003D6326"/>
    <w:rsid w:val="003E01D1"/>
    <w:rsid w:val="003E6460"/>
    <w:rsid w:val="00404841"/>
    <w:rsid w:val="00412059"/>
    <w:rsid w:val="00417C93"/>
    <w:rsid w:val="00422E02"/>
    <w:rsid w:val="00425633"/>
    <w:rsid w:val="00441E79"/>
    <w:rsid w:val="00444032"/>
    <w:rsid w:val="0044643A"/>
    <w:rsid w:val="00450486"/>
    <w:rsid w:val="00454EB4"/>
    <w:rsid w:val="00455E5C"/>
    <w:rsid w:val="00461BE1"/>
    <w:rsid w:val="004709E9"/>
    <w:rsid w:val="00472379"/>
    <w:rsid w:val="00483A58"/>
    <w:rsid w:val="00490618"/>
    <w:rsid w:val="00495A08"/>
    <w:rsid w:val="004B203A"/>
    <w:rsid w:val="004B5F40"/>
    <w:rsid w:val="004C7D16"/>
    <w:rsid w:val="004D0860"/>
    <w:rsid w:val="004D2FE3"/>
    <w:rsid w:val="004D45C1"/>
    <w:rsid w:val="004D700E"/>
    <w:rsid w:val="004D7F17"/>
    <w:rsid w:val="004E0670"/>
    <w:rsid w:val="004E7F37"/>
    <w:rsid w:val="004F31BA"/>
    <w:rsid w:val="00507441"/>
    <w:rsid w:val="005118E4"/>
    <w:rsid w:val="0051299F"/>
    <w:rsid w:val="00526B85"/>
    <w:rsid w:val="005306A1"/>
    <w:rsid w:val="00542F98"/>
    <w:rsid w:val="00544751"/>
    <w:rsid w:val="00553A84"/>
    <w:rsid w:val="0056233C"/>
    <w:rsid w:val="00563F88"/>
    <w:rsid w:val="00571E8B"/>
    <w:rsid w:val="00573735"/>
    <w:rsid w:val="0059000C"/>
    <w:rsid w:val="00597D16"/>
    <w:rsid w:val="005A02A1"/>
    <w:rsid w:val="005B6071"/>
    <w:rsid w:val="005C120F"/>
    <w:rsid w:val="005D7A24"/>
    <w:rsid w:val="005E1395"/>
    <w:rsid w:val="00616EBA"/>
    <w:rsid w:val="00620574"/>
    <w:rsid w:val="00621682"/>
    <w:rsid w:val="00622B47"/>
    <w:rsid w:val="00632C08"/>
    <w:rsid w:val="00643A73"/>
    <w:rsid w:val="00654C42"/>
    <w:rsid w:val="0067074A"/>
    <w:rsid w:val="00672994"/>
    <w:rsid w:val="006733C0"/>
    <w:rsid w:val="006807C9"/>
    <w:rsid w:val="00692EFD"/>
    <w:rsid w:val="00694FDB"/>
    <w:rsid w:val="006C15C5"/>
    <w:rsid w:val="006D3DAD"/>
    <w:rsid w:val="006D4A4B"/>
    <w:rsid w:val="006E1C6A"/>
    <w:rsid w:val="006E476C"/>
    <w:rsid w:val="006F6096"/>
    <w:rsid w:val="006F7B19"/>
    <w:rsid w:val="00700452"/>
    <w:rsid w:val="00707E21"/>
    <w:rsid w:val="00712E02"/>
    <w:rsid w:val="00716D7B"/>
    <w:rsid w:val="00736A76"/>
    <w:rsid w:val="00752C6B"/>
    <w:rsid w:val="00760CE6"/>
    <w:rsid w:val="00762F09"/>
    <w:rsid w:val="007719C9"/>
    <w:rsid w:val="00772718"/>
    <w:rsid w:val="00793BA9"/>
    <w:rsid w:val="00795AC0"/>
    <w:rsid w:val="007A12BC"/>
    <w:rsid w:val="007D30A8"/>
    <w:rsid w:val="007F3D11"/>
    <w:rsid w:val="007F6391"/>
    <w:rsid w:val="00814FB1"/>
    <w:rsid w:val="00820F20"/>
    <w:rsid w:val="00823061"/>
    <w:rsid w:val="0082528A"/>
    <w:rsid w:val="00825754"/>
    <w:rsid w:val="00833758"/>
    <w:rsid w:val="00835210"/>
    <w:rsid w:val="0084413D"/>
    <w:rsid w:val="00844C2D"/>
    <w:rsid w:val="00845DAA"/>
    <w:rsid w:val="00851FDD"/>
    <w:rsid w:val="0087438E"/>
    <w:rsid w:val="00884668"/>
    <w:rsid w:val="008867DC"/>
    <w:rsid w:val="00895EB9"/>
    <w:rsid w:val="00895EE1"/>
    <w:rsid w:val="008B2B46"/>
    <w:rsid w:val="008E05BC"/>
    <w:rsid w:val="008F17B8"/>
    <w:rsid w:val="008F3CCF"/>
    <w:rsid w:val="008F62E8"/>
    <w:rsid w:val="00901750"/>
    <w:rsid w:val="00901A61"/>
    <w:rsid w:val="00921840"/>
    <w:rsid w:val="00932C87"/>
    <w:rsid w:val="009331B4"/>
    <w:rsid w:val="009345F1"/>
    <w:rsid w:val="0094474C"/>
    <w:rsid w:val="00944BBB"/>
    <w:rsid w:val="009459BB"/>
    <w:rsid w:val="00954031"/>
    <w:rsid w:val="009547B6"/>
    <w:rsid w:val="00961072"/>
    <w:rsid w:val="0096623C"/>
    <w:rsid w:val="009A2F51"/>
    <w:rsid w:val="009A34F3"/>
    <w:rsid w:val="009C0276"/>
    <w:rsid w:val="009C6C53"/>
    <w:rsid w:val="009E1A74"/>
    <w:rsid w:val="009E750F"/>
    <w:rsid w:val="00A0031F"/>
    <w:rsid w:val="00A04D96"/>
    <w:rsid w:val="00A0629B"/>
    <w:rsid w:val="00A14495"/>
    <w:rsid w:val="00A16BE1"/>
    <w:rsid w:val="00A216B8"/>
    <w:rsid w:val="00A23500"/>
    <w:rsid w:val="00A24F65"/>
    <w:rsid w:val="00A453D7"/>
    <w:rsid w:val="00A454BF"/>
    <w:rsid w:val="00A52E3A"/>
    <w:rsid w:val="00A605CD"/>
    <w:rsid w:val="00A63D80"/>
    <w:rsid w:val="00A74349"/>
    <w:rsid w:val="00A814CB"/>
    <w:rsid w:val="00A90D1B"/>
    <w:rsid w:val="00A9305B"/>
    <w:rsid w:val="00AA2506"/>
    <w:rsid w:val="00AC144D"/>
    <w:rsid w:val="00AD70E2"/>
    <w:rsid w:val="00AE3C90"/>
    <w:rsid w:val="00AF55F8"/>
    <w:rsid w:val="00AF5A41"/>
    <w:rsid w:val="00B10ABA"/>
    <w:rsid w:val="00B303E4"/>
    <w:rsid w:val="00B33E65"/>
    <w:rsid w:val="00B420D4"/>
    <w:rsid w:val="00B46A9A"/>
    <w:rsid w:val="00B57910"/>
    <w:rsid w:val="00B65EAA"/>
    <w:rsid w:val="00B73B2D"/>
    <w:rsid w:val="00B91B21"/>
    <w:rsid w:val="00B952F6"/>
    <w:rsid w:val="00BA202A"/>
    <w:rsid w:val="00BB13F0"/>
    <w:rsid w:val="00BC093A"/>
    <w:rsid w:val="00BC2B00"/>
    <w:rsid w:val="00BC4ACC"/>
    <w:rsid w:val="00BC4FCC"/>
    <w:rsid w:val="00BD02F8"/>
    <w:rsid w:val="00BF77DA"/>
    <w:rsid w:val="00C04432"/>
    <w:rsid w:val="00C1105E"/>
    <w:rsid w:val="00C1488E"/>
    <w:rsid w:val="00C217A8"/>
    <w:rsid w:val="00C25C42"/>
    <w:rsid w:val="00C34637"/>
    <w:rsid w:val="00C4188F"/>
    <w:rsid w:val="00C819A4"/>
    <w:rsid w:val="00C824AE"/>
    <w:rsid w:val="00C84EA8"/>
    <w:rsid w:val="00C92998"/>
    <w:rsid w:val="00CA720A"/>
    <w:rsid w:val="00CD0003"/>
    <w:rsid w:val="00CD5925"/>
    <w:rsid w:val="00CE557A"/>
    <w:rsid w:val="00D031B2"/>
    <w:rsid w:val="00D1083C"/>
    <w:rsid w:val="00D1410C"/>
    <w:rsid w:val="00D17FB0"/>
    <w:rsid w:val="00D3434A"/>
    <w:rsid w:val="00D40D16"/>
    <w:rsid w:val="00D433F8"/>
    <w:rsid w:val="00D548F0"/>
    <w:rsid w:val="00D57F79"/>
    <w:rsid w:val="00D635AC"/>
    <w:rsid w:val="00D64FAC"/>
    <w:rsid w:val="00D65704"/>
    <w:rsid w:val="00D668F6"/>
    <w:rsid w:val="00D741F9"/>
    <w:rsid w:val="00D84875"/>
    <w:rsid w:val="00D904F0"/>
    <w:rsid w:val="00D91378"/>
    <w:rsid w:val="00D916A2"/>
    <w:rsid w:val="00D91B18"/>
    <w:rsid w:val="00D930FB"/>
    <w:rsid w:val="00D95D89"/>
    <w:rsid w:val="00DA7329"/>
    <w:rsid w:val="00DB0865"/>
    <w:rsid w:val="00DC0747"/>
    <w:rsid w:val="00DC2647"/>
    <w:rsid w:val="00DC316D"/>
    <w:rsid w:val="00DD1408"/>
    <w:rsid w:val="00DD356D"/>
    <w:rsid w:val="00DD6735"/>
    <w:rsid w:val="00DD72DE"/>
    <w:rsid w:val="00DF136A"/>
    <w:rsid w:val="00DF51FA"/>
    <w:rsid w:val="00E0448C"/>
    <w:rsid w:val="00E13525"/>
    <w:rsid w:val="00E47250"/>
    <w:rsid w:val="00E47ADA"/>
    <w:rsid w:val="00E61535"/>
    <w:rsid w:val="00E73F55"/>
    <w:rsid w:val="00E74266"/>
    <w:rsid w:val="00E744C4"/>
    <w:rsid w:val="00E7480B"/>
    <w:rsid w:val="00E8246B"/>
    <w:rsid w:val="00E84012"/>
    <w:rsid w:val="00E9373C"/>
    <w:rsid w:val="00EA0724"/>
    <w:rsid w:val="00EA6251"/>
    <w:rsid w:val="00EB6414"/>
    <w:rsid w:val="00EB7A59"/>
    <w:rsid w:val="00ED4DC4"/>
    <w:rsid w:val="00EE3BA6"/>
    <w:rsid w:val="00EE5747"/>
    <w:rsid w:val="00EF3804"/>
    <w:rsid w:val="00EF486B"/>
    <w:rsid w:val="00EF5E05"/>
    <w:rsid w:val="00EF6C97"/>
    <w:rsid w:val="00F00042"/>
    <w:rsid w:val="00F073CA"/>
    <w:rsid w:val="00F227AF"/>
    <w:rsid w:val="00F27370"/>
    <w:rsid w:val="00F40B00"/>
    <w:rsid w:val="00F41AAB"/>
    <w:rsid w:val="00F52876"/>
    <w:rsid w:val="00F5341C"/>
    <w:rsid w:val="00F55D5E"/>
    <w:rsid w:val="00F5660B"/>
    <w:rsid w:val="00F56954"/>
    <w:rsid w:val="00F76062"/>
    <w:rsid w:val="00F84562"/>
    <w:rsid w:val="00F85F98"/>
    <w:rsid w:val="00F948AF"/>
    <w:rsid w:val="00FA1F45"/>
    <w:rsid w:val="00FA5A7B"/>
    <w:rsid w:val="00FB11B1"/>
    <w:rsid w:val="00FC1C24"/>
    <w:rsid w:val="00FD1DB2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7F84AA14"/>
  <w15:docId w15:val="{FB83DF55-6061-4105-95F7-BB696A7F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qFormat/>
    <w:rsid w:val="00A0031F"/>
    <w:pPr>
      <w:spacing w:before="40" w:after="80"/>
    </w:pPr>
    <w:rPr>
      <w:rFonts w:ascii="Arial" w:eastAsia="Times New Roman" w:hAnsi="Arial"/>
      <w:iCs/>
      <w:color w:val="auto"/>
      <w:sz w:val="20"/>
    </w:rPr>
  </w:style>
  <w:style w:type="paragraph" w:customStyle="1" w:styleId="Boxed2Text">
    <w:name w:val="Boxed 2 Text"/>
    <w:basedOn w:val="Normal"/>
    <w:qFormat/>
    <w:rsid w:val="00573735"/>
    <w:pPr>
      <w:numPr>
        <w:numId w:val="16"/>
      </w:numPr>
      <w:pBdr>
        <w:top w:val="single" w:sz="4" w:space="4" w:color="FCC7D0" w:themeColor="accent1" w:themeTint="33"/>
        <w:left w:val="single" w:sz="4" w:space="0" w:color="FCC7D0" w:themeColor="accent1" w:themeTint="33"/>
        <w:bottom w:val="single" w:sz="4" w:space="4" w:color="FCC7D0" w:themeColor="accent1" w:themeTint="33"/>
        <w:right w:val="single" w:sz="4" w:space="0" w:color="FCC7D0" w:themeColor="accent1" w:themeTint="33"/>
      </w:pBdr>
      <w:shd w:val="clear" w:color="auto" w:fill="FCC7D0" w:themeFill="accent1" w:themeFillTint="33"/>
      <w:suppressAutoHyphens/>
      <w:spacing w:before="120" w:after="40"/>
      <w:ind w:right="284"/>
    </w:pPr>
    <w:rPr>
      <w:rFonts w:ascii="Arial" w:hAnsi="Arial" w:cstheme="minorBidi"/>
      <w:iCs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losingthegap.gov.au/national-agreement/national-agreement-closing-the-gap/6-priority-reform-areas/on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losingthegap.gov.au/national-agreemen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niaa.gov.au/resource-centre/indigenous-affairs/closing-gap-implementation-pla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inisters.dese.gov.au/tudge/closing-gap-school-educati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190F4F"/>
    <w:rsid w:val="00485865"/>
    <w:rsid w:val="004A7D97"/>
    <w:rsid w:val="00605577"/>
    <w:rsid w:val="006424F2"/>
    <w:rsid w:val="006C16DA"/>
    <w:rsid w:val="007C2DE0"/>
    <w:rsid w:val="007E4242"/>
    <w:rsid w:val="00892CBB"/>
    <w:rsid w:val="008B794C"/>
    <w:rsid w:val="008E17C3"/>
    <w:rsid w:val="009013CA"/>
    <w:rsid w:val="009458AC"/>
    <w:rsid w:val="009C55E0"/>
    <w:rsid w:val="00A0186A"/>
    <w:rsid w:val="00A965B5"/>
    <w:rsid w:val="00D36AE1"/>
    <w:rsid w:val="00DF3C65"/>
    <w:rsid w:val="00E311B5"/>
    <w:rsid w:val="00E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B453DE-8A39-4BEB-A712-0408A598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114</TotalTime>
  <Pages>8</Pages>
  <Words>1752</Words>
  <Characters>11550</Characters>
  <DocSecurity>0</DocSecurity>
  <Lines>267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City-Country Partnerships</vt:lpstr>
    </vt:vector>
  </TitlesOfParts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City-Country Partnerships</dc:title>
  <dc:subject>General Feedback for applicants</dc:subject>
  <cp:keywords>[SEC=OFFICIAL]</cp:keywords>
  <dc:description/>
  <cp:lastPrinted>2022-07-29T06:29:00Z</cp:lastPrinted>
  <dcterms:created xsi:type="dcterms:W3CDTF">2022-07-26T05:03:00Z</dcterms:created>
  <dcterms:modified xsi:type="dcterms:W3CDTF">2022-07-29T06:30:00Z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4FD1F06B9BA985BD18F375AD063074B097A3673F</vt:lpwstr>
  </property>
  <property fmtid="{D5CDD505-2E9C-101B-9397-08002B2CF9AE}" pid="11" name="PM_OriginationTimeStamp">
    <vt:lpwstr>2022-07-29T06:30:52Z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972DE9AF545EBB86A0AF0EA58899BF7F</vt:lpwstr>
  </property>
  <property fmtid="{D5CDD505-2E9C-101B-9397-08002B2CF9AE}" pid="20" name="PM_Hash_Salt">
    <vt:lpwstr>95BF7DEDFB068E5FBED62F1DFC4DF5C5</vt:lpwstr>
  </property>
  <property fmtid="{D5CDD505-2E9C-101B-9397-08002B2CF9AE}" pid="21" name="PM_Hash_SHA1">
    <vt:lpwstr>14382FC0BCE51F54B4F23D13CE87DD7CD01AB329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11555FB1EA7D35E0A8411D7A3C46B98BFC3C57BEA6BEBE5A367B587A1B36C680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MSIP_Label_79d889eb-932f-4752-8739-64d25806ef64_Enabled">
    <vt:lpwstr>true</vt:lpwstr>
  </property>
  <property fmtid="{D5CDD505-2E9C-101B-9397-08002B2CF9AE}" pid="28" name="MSIP_Label_79d889eb-932f-4752-8739-64d25806ef64_SetDate">
    <vt:lpwstr>2022-05-24T23:04:05Z</vt:lpwstr>
  </property>
  <property fmtid="{D5CDD505-2E9C-101B-9397-08002B2CF9AE}" pid="29" name="MSIP_Label_79d889eb-932f-4752-8739-64d25806ef64_Method">
    <vt:lpwstr>Privileged</vt:lpwstr>
  </property>
  <property fmtid="{D5CDD505-2E9C-101B-9397-08002B2CF9AE}" pid="30" name="MSIP_Label_79d889eb-932f-4752-8739-64d25806ef64_Name">
    <vt:lpwstr>79d889eb-932f-4752-8739-64d25806ef64</vt:lpwstr>
  </property>
  <property fmtid="{D5CDD505-2E9C-101B-9397-08002B2CF9AE}" pid="31" name="MSIP_Label_79d889eb-932f-4752-8739-64d25806ef64_SiteId">
    <vt:lpwstr>dd0cfd15-4558-4b12-8bad-ea26984fc417</vt:lpwstr>
  </property>
  <property fmtid="{D5CDD505-2E9C-101B-9397-08002B2CF9AE}" pid="32" name="MSIP_Label_79d889eb-932f-4752-8739-64d25806ef64_ActionId">
    <vt:lpwstr>2ecab995-2100-45ba-ab65-9331a3eed5d9</vt:lpwstr>
  </property>
  <property fmtid="{D5CDD505-2E9C-101B-9397-08002B2CF9AE}" pid="33" name="MSIP_Label_79d889eb-932f-4752-8739-64d25806ef64_ContentBits">
    <vt:lpwstr>0</vt:lpwstr>
  </property>
</Properties>
</file>