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0AAB" w14:textId="3AACE021" w:rsidR="00F85F98" w:rsidRPr="001E2701" w:rsidRDefault="00D02A9F" w:rsidP="001E2701">
      <w:pPr>
        <w:spacing w:before="120" w:after="280" w:line="400" w:lineRule="atLeast"/>
        <w:rPr>
          <w:rFonts w:ascii="Georgia" w:eastAsiaTheme="majorEastAsia" w:hAnsi="Georgia" w:cs="Arial"/>
          <w:color w:val="CF0A2C" w:themeColor="accent1"/>
          <w:kern w:val="28"/>
          <w:sz w:val="40"/>
          <w:szCs w:val="44"/>
        </w:rPr>
      </w:pPr>
      <w:r w:rsidRPr="001E2701">
        <w:rPr>
          <w:rFonts w:ascii="Georgia" w:eastAsiaTheme="majorEastAsia" w:hAnsi="Georgia" w:cs="Arial"/>
          <w:color w:val="CF0A2C" w:themeColor="accent1"/>
          <w:kern w:val="28"/>
          <w:sz w:val="40"/>
          <w:szCs w:val="44"/>
        </w:rPr>
        <w:t xml:space="preserve">Information, Linkages and Capacity Building (ILC): Economic and Community Participation Program Building Employer Confidence and Inclusion in </w:t>
      </w:r>
      <w:r w:rsidR="001E2701">
        <w:rPr>
          <w:rFonts w:ascii="Georgia" w:eastAsiaTheme="majorEastAsia" w:hAnsi="Georgia" w:cs="Arial"/>
          <w:color w:val="CF0A2C" w:themeColor="accent1"/>
          <w:kern w:val="28"/>
          <w:sz w:val="40"/>
          <w:szCs w:val="44"/>
        </w:rPr>
        <w:t>Disability</w:t>
      </w:r>
    </w:p>
    <w:p w14:paraId="668917D6" w14:textId="59E81B73"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6F3BB0DC" w14:textId="47289254" w:rsidR="00285374" w:rsidRPr="001E2701" w:rsidRDefault="00285374" w:rsidP="001818DE">
      <w:pPr>
        <w:pStyle w:val="BodyText"/>
      </w:pPr>
      <w:r w:rsidRPr="00D57DF5">
        <w:t xml:space="preserve">The Department of </w:t>
      </w:r>
      <w:r>
        <w:t>Social Services</w:t>
      </w:r>
      <w:r w:rsidRPr="00285374">
        <w:t xml:space="preserve"> (</w:t>
      </w:r>
      <w:r w:rsidR="00CA544B">
        <w:t>the department</w:t>
      </w:r>
      <w:r w:rsidRPr="00D57DF5">
        <w:t xml:space="preserve">) has provided the following </w:t>
      </w:r>
      <w:r w:rsidR="00297B24" w:rsidRPr="00D57DF5">
        <w:t xml:space="preserve">general feedback </w:t>
      </w:r>
      <w:r w:rsidRPr="00D57DF5">
        <w:t xml:space="preserve">for applicants of the </w:t>
      </w:r>
      <w:r w:rsidRPr="00285374">
        <w:t xml:space="preserve">Information, Linkages and Capacity Building (ILC): Economic and Community Participation Program Building Employer Confidence and Inclusion in Disability </w:t>
      </w:r>
      <w:r w:rsidR="00297B24" w:rsidRPr="00285374">
        <w:t>grant o</w:t>
      </w:r>
      <w:r w:rsidRPr="00285374">
        <w:t>pportunity</w:t>
      </w:r>
      <w:r w:rsidRPr="00D57DF5">
        <w:t>.</w:t>
      </w:r>
    </w:p>
    <w:p w14:paraId="34646527" w14:textId="2C7713B4" w:rsidR="00F85F98" w:rsidRPr="009A2F51" w:rsidRDefault="00F85F98" w:rsidP="001818DE">
      <w:pPr>
        <w:pStyle w:val="Heading1"/>
        <w:keepNext w:val="0"/>
        <w:keepLines w:val="0"/>
      </w:pPr>
      <w:r w:rsidRPr="003D4B2C">
        <w:t>Overview</w:t>
      </w:r>
    </w:p>
    <w:p w14:paraId="5A97C453" w14:textId="647F8C09" w:rsidR="00D02A9F" w:rsidRPr="00B54D6F" w:rsidRDefault="00D02A9F" w:rsidP="001818DE">
      <w:pPr>
        <w:pStyle w:val="BodyText"/>
        <w:rPr>
          <w:color w:val="auto"/>
        </w:rPr>
      </w:pPr>
      <w:r w:rsidRPr="00B54D6F">
        <w:rPr>
          <w:color w:val="auto"/>
        </w:rPr>
        <w:t xml:space="preserve">The ILC </w:t>
      </w:r>
      <w:r w:rsidR="00297B24" w:rsidRPr="00B54D6F">
        <w:rPr>
          <w:color w:val="auto"/>
        </w:rPr>
        <w:t xml:space="preserve">program </w:t>
      </w:r>
      <w:r w:rsidRPr="00B54D6F">
        <w:rPr>
          <w:color w:val="auto"/>
        </w:rPr>
        <w:t>provides information and capacity building supports for all people with disability, regardless of whether they are eligible for the National Disability Insurance Scheme (NDIS). ILC also helps people with disability who are not eligible for an individual NDIS plan benefit from a more inclusive, accessible and connected Australia.</w:t>
      </w:r>
    </w:p>
    <w:p w14:paraId="20D27FE2" w14:textId="2AB1479E" w:rsidR="00D02A9F" w:rsidRPr="00B54D6F" w:rsidRDefault="00D02A9F" w:rsidP="001818DE">
      <w:pPr>
        <w:pStyle w:val="BodyText"/>
        <w:rPr>
          <w:color w:val="auto"/>
        </w:rPr>
      </w:pPr>
      <w:r w:rsidRPr="00B54D6F">
        <w:rPr>
          <w:color w:val="auto"/>
        </w:rPr>
        <w:t xml:space="preserve">The objective of the ILC </w:t>
      </w:r>
      <w:r w:rsidR="001818DE" w:rsidRPr="00B54D6F">
        <w:rPr>
          <w:color w:val="auto"/>
        </w:rPr>
        <w:t xml:space="preserve">program </w:t>
      </w:r>
      <w:r w:rsidRPr="00B54D6F">
        <w:rPr>
          <w:color w:val="auto"/>
        </w:rPr>
        <w:t xml:space="preserve">is to increase social and community participation for people with disability. The ILC </w:t>
      </w:r>
      <w:r w:rsidR="001818DE" w:rsidRPr="00B54D6F">
        <w:rPr>
          <w:color w:val="auto"/>
        </w:rPr>
        <w:t xml:space="preserve">program </w:t>
      </w:r>
      <w:r w:rsidRPr="00B54D6F">
        <w:rPr>
          <w:color w:val="auto"/>
        </w:rPr>
        <w:t>seeks to do this by:</w:t>
      </w:r>
    </w:p>
    <w:p w14:paraId="4680BCE5" w14:textId="57F2ED7D" w:rsidR="00D02A9F" w:rsidRPr="00B54D6F" w:rsidRDefault="00D02A9F" w:rsidP="001818DE">
      <w:pPr>
        <w:pStyle w:val="BodyText"/>
        <w:numPr>
          <w:ilvl w:val="0"/>
          <w:numId w:val="25"/>
        </w:numPr>
        <w:ind w:left="357" w:hanging="357"/>
        <w:rPr>
          <w:color w:val="auto"/>
        </w:rPr>
      </w:pPr>
      <w:r w:rsidRPr="00297B24">
        <w:rPr>
          <w:color w:val="auto"/>
          <w:szCs w:val="22"/>
        </w:rPr>
        <w:t>building</w:t>
      </w:r>
      <w:r w:rsidRPr="00B54D6F">
        <w:rPr>
          <w:color w:val="auto"/>
        </w:rPr>
        <w:t xml:space="preserve"> the capacity of people with disability to participate in their community</w:t>
      </w:r>
    </w:p>
    <w:p w14:paraId="38526BE5" w14:textId="205D5CD4" w:rsidR="00901A61" w:rsidRPr="00B54D6F" w:rsidRDefault="00D02A9F" w:rsidP="001818DE">
      <w:pPr>
        <w:pStyle w:val="BodyText"/>
        <w:numPr>
          <w:ilvl w:val="0"/>
          <w:numId w:val="25"/>
        </w:numPr>
        <w:ind w:left="357" w:hanging="357"/>
        <w:rPr>
          <w:color w:val="auto"/>
        </w:rPr>
      </w:pPr>
      <w:r w:rsidRPr="00297B24">
        <w:rPr>
          <w:color w:val="auto"/>
          <w:szCs w:val="22"/>
        </w:rPr>
        <w:t>creating</w:t>
      </w:r>
      <w:r w:rsidRPr="00B54D6F">
        <w:rPr>
          <w:color w:val="auto"/>
        </w:rPr>
        <w:t xml:space="preserve"> opportunities for people with disability to participate by creating more inclusive services and communities.</w:t>
      </w:r>
    </w:p>
    <w:p w14:paraId="747F925C" w14:textId="52704F70" w:rsidR="00901A61" w:rsidRPr="00B54D6F" w:rsidRDefault="00901A61" w:rsidP="001818DE">
      <w:pPr>
        <w:pStyle w:val="BodyText"/>
        <w:rPr>
          <w:color w:val="auto"/>
        </w:rPr>
      </w:pPr>
      <w:r w:rsidRPr="00B54D6F">
        <w:rPr>
          <w:color w:val="auto"/>
        </w:rPr>
        <w:t xml:space="preserve">The grant opportunity application period opened on </w:t>
      </w:r>
      <w:r w:rsidR="005D399D">
        <w:rPr>
          <w:color w:val="auto"/>
        </w:rPr>
        <w:t xml:space="preserve">Thursday </w:t>
      </w:r>
      <w:r w:rsidR="00D02A9F" w:rsidRPr="00B54D6F">
        <w:rPr>
          <w:color w:val="auto"/>
        </w:rPr>
        <w:t>27 January 2022</w:t>
      </w:r>
      <w:r w:rsidR="00F073CA" w:rsidRPr="00B54D6F">
        <w:rPr>
          <w:color w:val="auto"/>
        </w:rPr>
        <w:t xml:space="preserve"> </w:t>
      </w:r>
      <w:r w:rsidRPr="00B54D6F">
        <w:rPr>
          <w:color w:val="auto"/>
        </w:rPr>
        <w:t xml:space="preserve">and closed on </w:t>
      </w:r>
      <w:r w:rsidR="00D02A9F" w:rsidRPr="00B54D6F">
        <w:rPr>
          <w:color w:val="auto"/>
        </w:rPr>
        <w:t>Wednesday</w:t>
      </w:r>
      <w:r w:rsidR="005D399D">
        <w:rPr>
          <w:color w:val="auto"/>
        </w:rPr>
        <w:t xml:space="preserve"> </w:t>
      </w:r>
      <w:r w:rsidR="00D02A9F" w:rsidRPr="00B54D6F">
        <w:rPr>
          <w:color w:val="auto"/>
        </w:rPr>
        <w:t>9 March</w:t>
      </w:r>
      <w:r w:rsidR="00B54D6F" w:rsidRPr="00B54D6F">
        <w:rPr>
          <w:color w:val="auto"/>
        </w:rPr>
        <w:t xml:space="preserve"> 2022</w:t>
      </w:r>
      <w:r w:rsidR="00297B24">
        <w:rPr>
          <w:color w:val="auto"/>
        </w:rPr>
        <w:t>.</w:t>
      </w:r>
    </w:p>
    <w:p w14:paraId="17CF9825" w14:textId="7285BB13" w:rsidR="00901A61" w:rsidRDefault="00901A61" w:rsidP="001818DE">
      <w:pPr>
        <w:pStyle w:val="BodyText"/>
      </w:pPr>
      <w:r w:rsidRPr="00D12F8C">
        <w:t xml:space="preserve">The grant </w:t>
      </w:r>
      <w:r w:rsidRPr="00D12F8C">
        <w:rPr>
          <w:color w:val="auto"/>
        </w:rPr>
        <w:t xml:space="preserve">opportunity received </w:t>
      </w:r>
      <w:r w:rsidR="00F4131D" w:rsidRPr="00D12F8C">
        <w:rPr>
          <w:color w:val="auto"/>
        </w:rPr>
        <w:t>284</w:t>
      </w:r>
      <w:r w:rsidRPr="00D12F8C">
        <w:rPr>
          <w:color w:val="auto"/>
        </w:rPr>
        <w:t xml:space="preserve"> </w:t>
      </w:r>
      <w:r w:rsidR="00006D4A" w:rsidRPr="00D12F8C">
        <w:rPr>
          <w:color w:val="auto"/>
        </w:rPr>
        <w:t xml:space="preserve">eligible </w:t>
      </w:r>
      <w:r w:rsidRPr="00D12F8C">
        <w:rPr>
          <w:color w:val="auto"/>
        </w:rPr>
        <w:t xml:space="preserve">applications. Following the </w:t>
      </w:r>
      <w:r w:rsidR="00297B24" w:rsidRPr="00D12F8C">
        <w:rPr>
          <w:color w:val="auto"/>
        </w:rPr>
        <w:t xml:space="preserve">decision maker’s </w:t>
      </w:r>
      <w:r w:rsidRPr="00D12F8C">
        <w:rPr>
          <w:color w:val="auto"/>
        </w:rPr>
        <w:t xml:space="preserve">decision, </w:t>
      </w:r>
      <w:r w:rsidR="00A821CD" w:rsidRPr="00D12F8C">
        <w:rPr>
          <w:color w:val="auto"/>
        </w:rPr>
        <w:t>29</w:t>
      </w:r>
      <w:r w:rsidRPr="00D12F8C">
        <w:rPr>
          <w:color w:val="auto"/>
        </w:rPr>
        <w:t xml:space="preserve"> applications were selecte</w:t>
      </w:r>
      <w:r w:rsidR="00564B3A" w:rsidRPr="00D12F8C">
        <w:rPr>
          <w:color w:val="auto"/>
        </w:rPr>
        <w:t xml:space="preserve">d for funding, to a value </w:t>
      </w:r>
      <w:r w:rsidR="00564B3A" w:rsidRPr="00297B24">
        <w:rPr>
          <w:color w:val="auto"/>
        </w:rPr>
        <w:t xml:space="preserve">of </w:t>
      </w:r>
      <w:r w:rsidR="00006D4A" w:rsidRPr="00297B24">
        <w:t>$</w:t>
      </w:r>
      <w:r w:rsidR="00006D4A" w:rsidRPr="00297B24">
        <w:rPr>
          <w:color w:val="000000"/>
        </w:rPr>
        <w:t>19</w:t>
      </w:r>
      <w:r w:rsidR="00297B24" w:rsidRPr="00297B24">
        <w:rPr>
          <w:color w:val="000000"/>
        </w:rPr>
        <w:t>.</w:t>
      </w:r>
      <w:r w:rsidR="00006D4A" w:rsidRPr="00297B24">
        <w:rPr>
          <w:color w:val="000000"/>
        </w:rPr>
        <w:t>998</w:t>
      </w:r>
      <w:r w:rsidR="00297B24" w:rsidRPr="00297B24">
        <w:rPr>
          <w:color w:val="000000"/>
        </w:rPr>
        <w:t xml:space="preserve"> million </w:t>
      </w:r>
      <w:r w:rsidRPr="00297B24">
        <w:rPr>
          <w:color w:val="auto"/>
        </w:rPr>
        <w:t>(GST</w:t>
      </w:r>
      <w:r w:rsidRPr="00D12F8C">
        <w:rPr>
          <w:color w:val="auto"/>
        </w:rPr>
        <w:t xml:space="preserve"> excl</w:t>
      </w:r>
      <w:r w:rsidR="001E0E1F">
        <w:rPr>
          <w:color w:val="auto"/>
        </w:rPr>
        <w:t>usive</w:t>
      </w:r>
      <w:r w:rsidRPr="00D12F8C">
        <w:rPr>
          <w:color w:val="auto"/>
        </w:rPr>
        <w:t>).</w:t>
      </w:r>
    </w:p>
    <w:p w14:paraId="0490EF5C" w14:textId="47D1250B" w:rsidR="00901A61" w:rsidRDefault="00901A61" w:rsidP="001818DE">
      <w:pPr>
        <w:pStyle w:val="BodyText"/>
      </w:pPr>
      <w:r w:rsidRPr="00B54D6F">
        <w:t>There was strong interest in the program and successful applications were of a very high standard. Applications were assessed according to the procedure detailed in the G</w:t>
      </w:r>
      <w:r w:rsidR="004B203A" w:rsidRPr="00B54D6F">
        <w:t>rant Opportunity Guidelines</w:t>
      </w:r>
      <w:r w:rsidR="00297B24">
        <w:t xml:space="preserve"> (GOGs)</w:t>
      </w:r>
      <w:r w:rsidRPr="00B54D6F">
        <w:t xml:space="preserve"> and outlined in the </w:t>
      </w:r>
      <w:r w:rsidR="00297B24" w:rsidRPr="00B54D6F">
        <w:t xml:space="preserve">selection process </w:t>
      </w:r>
      <w:r w:rsidRPr="00B54D6F">
        <w:t>below.</w:t>
      </w:r>
    </w:p>
    <w:p w14:paraId="730CCFA7" w14:textId="366D5005" w:rsidR="00901A61" w:rsidRDefault="00901A61" w:rsidP="001818DE">
      <w:pPr>
        <w:pStyle w:val="BodyText"/>
      </w:pPr>
      <w:r>
        <w:t>This feedback is provided to assist grant applicants to understand what generally comprised a strong application and the content of quality responses to the assessment criteria for this grant opportunity.</w:t>
      </w:r>
    </w:p>
    <w:p w14:paraId="03B28BB2" w14:textId="3388AE4A" w:rsidR="00324BB0" w:rsidRPr="00284E4B" w:rsidRDefault="00324BB0" w:rsidP="001818DE">
      <w:pPr>
        <w:pStyle w:val="Heading1"/>
        <w:keepNext w:val="0"/>
        <w:keepLines w:val="0"/>
      </w:pPr>
      <w:r w:rsidRPr="00284E4B">
        <w:lastRenderedPageBreak/>
        <w:t xml:space="preserve">Selection </w:t>
      </w:r>
      <w:r w:rsidR="00297B24" w:rsidRPr="00284E4B">
        <w:t>process</w:t>
      </w:r>
    </w:p>
    <w:p w14:paraId="7982FB8A" w14:textId="36902622" w:rsidR="00285374" w:rsidRDefault="00285374" w:rsidP="001818DE">
      <w:pPr>
        <w:pStyle w:val="BodyText"/>
        <w:rPr>
          <w:color w:val="auto"/>
        </w:rPr>
      </w:pPr>
      <w:r w:rsidRPr="00285374">
        <w:rPr>
          <w:color w:val="auto"/>
        </w:rPr>
        <w:t>The Community Grants Hub</w:t>
      </w:r>
      <w:r w:rsidR="00297B24">
        <w:rPr>
          <w:color w:val="auto"/>
        </w:rPr>
        <w:t xml:space="preserve"> (the Hub)</w:t>
      </w:r>
      <w:r w:rsidRPr="00285374">
        <w:rPr>
          <w:color w:val="auto"/>
        </w:rPr>
        <w:t xml:space="preserve"> undertook the screening for organisation eligibility and compliance against the requirements outlined in the</w:t>
      </w:r>
      <w:r w:rsidR="00297B24">
        <w:rPr>
          <w:color w:val="auto"/>
        </w:rPr>
        <w:t xml:space="preserve"> GOGs. </w:t>
      </w:r>
      <w:r w:rsidRPr="00285374">
        <w:rPr>
          <w:color w:val="auto"/>
        </w:rPr>
        <w:t xml:space="preserve">This information was then provided to </w:t>
      </w:r>
      <w:r w:rsidR="00CA544B">
        <w:t>the department</w:t>
      </w:r>
      <w:r w:rsidRPr="00285374">
        <w:rPr>
          <w:color w:val="auto"/>
        </w:rPr>
        <w:t>, who then provided the final decision on whether an application did not meet the eligibil</w:t>
      </w:r>
      <w:r w:rsidR="00297B24">
        <w:rPr>
          <w:color w:val="auto"/>
        </w:rPr>
        <w:t>ity and/or compliance criteria.</w:t>
      </w:r>
      <w:r w:rsidRPr="00285374">
        <w:rPr>
          <w:color w:val="auto"/>
        </w:rPr>
        <w:t xml:space="preserve"> </w:t>
      </w:r>
      <w:r>
        <w:rPr>
          <w:color w:val="auto"/>
        </w:rPr>
        <w:t>The Hub undertook the preliminary</w:t>
      </w:r>
      <w:r w:rsidRPr="00285374">
        <w:rPr>
          <w:color w:val="auto"/>
        </w:rPr>
        <w:t xml:space="preserve"> assessment of all </w:t>
      </w:r>
      <w:r>
        <w:rPr>
          <w:color w:val="auto"/>
        </w:rPr>
        <w:t xml:space="preserve">eligible and compliant </w:t>
      </w:r>
      <w:r w:rsidRPr="00285374">
        <w:rPr>
          <w:color w:val="auto"/>
        </w:rPr>
        <w:t>applications using a</w:t>
      </w:r>
      <w:r>
        <w:rPr>
          <w:color w:val="auto"/>
        </w:rPr>
        <w:t>n</w:t>
      </w:r>
      <w:r w:rsidRPr="00285374">
        <w:rPr>
          <w:color w:val="auto"/>
        </w:rPr>
        <w:t xml:space="preserve"> </w:t>
      </w:r>
      <w:r>
        <w:rPr>
          <w:color w:val="auto"/>
        </w:rPr>
        <w:t>open competitive selection process.</w:t>
      </w:r>
    </w:p>
    <w:p w14:paraId="7038C222" w14:textId="3257FA8F" w:rsidR="00285374" w:rsidRDefault="00285374" w:rsidP="001818DE">
      <w:pPr>
        <w:pStyle w:val="BodyText"/>
        <w:rPr>
          <w:color w:val="auto"/>
        </w:rPr>
      </w:pPr>
      <w:r w:rsidRPr="00285374">
        <w:rPr>
          <w:color w:val="auto"/>
        </w:rPr>
        <w:t xml:space="preserve">Following preliminary assessment, all </w:t>
      </w:r>
      <w:r>
        <w:rPr>
          <w:color w:val="auto"/>
        </w:rPr>
        <w:t>assessed applications</w:t>
      </w:r>
      <w:r w:rsidRPr="00285374">
        <w:rPr>
          <w:color w:val="auto"/>
        </w:rPr>
        <w:t xml:space="preserve"> were referred to </w:t>
      </w:r>
      <w:r w:rsidR="00CA544B">
        <w:t xml:space="preserve">the </w:t>
      </w:r>
      <w:r w:rsidR="00CA544B">
        <w:t xml:space="preserve">Department of Social Services </w:t>
      </w:r>
      <w:r>
        <w:rPr>
          <w:color w:val="auto"/>
        </w:rPr>
        <w:t>ILC Policy Team for consideration by their Selection Advisory Panel</w:t>
      </w:r>
      <w:r w:rsidR="00CA544B">
        <w:rPr>
          <w:color w:val="auto"/>
        </w:rPr>
        <w:t xml:space="preserve"> </w:t>
      </w:r>
      <w:r w:rsidR="00CA544B">
        <w:rPr>
          <w:color w:val="auto"/>
          <w:szCs w:val="22"/>
        </w:rPr>
        <w:t>(SAP)</w:t>
      </w:r>
      <w:r>
        <w:rPr>
          <w:color w:val="auto"/>
        </w:rPr>
        <w:t>.</w:t>
      </w:r>
    </w:p>
    <w:p w14:paraId="776B714C" w14:textId="6BFD0FF5" w:rsidR="00285374" w:rsidRDefault="00285374" w:rsidP="001818DE">
      <w:pPr>
        <w:pStyle w:val="BodyText"/>
        <w:rPr>
          <w:color w:val="auto"/>
        </w:rPr>
      </w:pPr>
      <w:r w:rsidRPr="00285374">
        <w:rPr>
          <w:color w:val="auto"/>
        </w:rPr>
        <w:t xml:space="preserve">For applications that did not meet the requirements within the </w:t>
      </w:r>
      <w:r w:rsidR="00297B24">
        <w:rPr>
          <w:color w:val="auto"/>
        </w:rPr>
        <w:t>GOGs</w:t>
      </w:r>
      <w:r w:rsidRPr="00285374">
        <w:rPr>
          <w:color w:val="auto"/>
        </w:rPr>
        <w:t>, applicants were notified of this outcome in writing.</w:t>
      </w:r>
    </w:p>
    <w:p w14:paraId="7A286B98" w14:textId="7FDAD867" w:rsidR="00324BB0" w:rsidRPr="00B54D6F" w:rsidRDefault="00324BB0" w:rsidP="001818DE">
      <w:pPr>
        <w:pStyle w:val="BodyText"/>
        <w:rPr>
          <w:color w:val="auto"/>
        </w:rPr>
      </w:pPr>
      <w:r>
        <w:rPr>
          <w:color w:val="auto"/>
        </w:rPr>
        <w:t>Each a</w:t>
      </w:r>
      <w:r w:rsidRPr="00B54D6F">
        <w:rPr>
          <w:color w:val="auto"/>
        </w:rPr>
        <w:t>pplication</w:t>
      </w:r>
      <w:r>
        <w:rPr>
          <w:color w:val="auto"/>
        </w:rPr>
        <w:t xml:space="preserve"> was </w:t>
      </w:r>
      <w:r w:rsidRPr="00B54D6F">
        <w:rPr>
          <w:color w:val="auto"/>
        </w:rPr>
        <w:t xml:space="preserve">assessed </w:t>
      </w:r>
      <w:r w:rsidR="00285374">
        <w:rPr>
          <w:color w:val="auto"/>
        </w:rPr>
        <w:t xml:space="preserve">by the </w:t>
      </w:r>
      <w:r w:rsidR="00CA544B">
        <w:rPr>
          <w:color w:val="auto"/>
        </w:rPr>
        <w:t>SAP</w:t>
      </w:r>
      <w:r w:rsidR="00285374">
        <w:rPr>
          <w:color w:val="auto"/>
        </w:rPr>
        <w:t xml:space="preserve"> </w:t>
      </w:r>
      <w:r w:rsidRPr="00B54D6F">
        <w:rPr>
          <w:color w:val="auto"/>
        </w:rPr>
        <w:t>on merit, based on:</w:t>
      </w:r>
    </w:p>
    <w:p w14:paraId="7BB49AA7" w14:textId="05247146" w:rsidR="00324BB0" w:rsidRPr="00B54D6F" w:rsidRDefault="00324BB0" w:rsidP="001818DE">
      <w:pPr>
        <w:pStyle w:val="BodyText"/>
        <w:numPr>
          <w:ilvl w:val="0"/>
          <w:numId w:val="25"/>
        </w:numPr>
        <w:ind w:left="357" w:hanging="357"/>
        <w:rPr>
          <w:color w:val="auto"/>
        </w:rPr>
      </w:pPr>
      <w:r w:rsidRPr="00B54D6F">
        <w:rPr>
          <w:color w:val="auto"/>
        </w:rPr>
        <w:t>how well it met the criteria</w:t>
      </w:r>
    </w:p>
    <w:p w14:paraId="5A9E035C" w14:textId="30D8675C" w:rsidR="00324BB0" w:rsidRPr="00B54D6F" w:rsidRDefault="00324BB0" w:rsidP="001818DE">
      <w:pPr>
        <w:pStyle w:val="BodyText"/>
        <w:numPr>
          <w:ilvl w:val="0"/>
          <w:numId w:val="25"/>
        </w:numPr>
        <w:ind w:left="357" w:hanging="357"/>
        <w:rPr>
          <w:color w:val="auto"/>
        </w:rPr>
      </w:pPr>
      <w:r w:rsidRPr="00297B24">
        <w:rPr>
          <w:color w:val="auto"/>
          <w:szCs w:val="22"/>
        </w:rPr>
        <w:t>how</w:t>
      </w:r>
      <w:r w:rsidRPr="00B54D6F">
        <w:rPr>
          <w:color w:val="auto"/>
        </w:rPr>
        <w:t xml:space="preserve"> it compared to other applications</w:t>
      </w:r>
    </w:p>
    <w:p w14:paraId="7AF3C2A6" w14:textId="2F809005" w:rsidR="00324BB0" w:rsidRPr="00B54D6F" w:rsidRDefault="00324BB0" w:rsidP="001818DE">
      <w:pPr>
        <w:pStyle w:val="BodyText"/>
        <w:numPr>
          <w:ilvl w:val="0"/>
          <w:numId w:val="25"/>
        </w:numPr>
        <w:ind w:left="357" w:hanging="357"/>
        <w:rPr>
          <w:color w:val="auto"/>
        </w:rPr>
      </w:pPr>
      <w:r w:rsidRPr="00297B24">
        <w:rPr>
          <w:color w:val="auto"/>
          <w:szCs w:val="22"/>
        </w:rPr>
        <w:t>whether</w:t>
      </w:r>
      <w:r w:rsidRPr="00B54D6F">
        <w:rPr>
          <w:color w:val="auto"/>
        </w:rPr>
        <w:t xml:space="preserve"> it provided value with relevant money</w:t>
      </w:r>
      <w:r>
        <w:rPr>
          <w:color w:val="auto"/>
        </w:rPr>
        <w:t>.</w:t>
      </w:r>
    </w:p>
    <w:p w14:paraId="747F5F86" w14:textId="77777777" w:rsidR="00324BB0" w:rsidRDefault="00324BB0" w:rsidP="001818DE">
      <w:pPr>
        <w:pStyle w:val="BodyText"/>
      </w:pPr>
      <w:r>
        <w:t>Each applicant was required to address the following selection criteria:</w:t>
      </w:r>
    </w:p>
    <w:p w14:paraId="55809662" w14:textId="77777777" w:rsidR="00324BB0" w:rsidRPr="00B54D6F" w:rsidRDefault="00324BB0" w:rsidP="001818DE">
      <w:pPr>
        <w:pStyle w:val="BodyText"/>
        <w:numPr>
          <w:ilvl w:val="0"/>
          <w:numId w:val="25"/>
        </w:numPr>
        <w:ind w:left="357" w:hanging="357"/>
        <w:rPr>
          <w:color w:val="auto"/>
        </w:rPr>
      </w:pPr>
      <w:r w:rsidRPr="00297B24">
        <w:rPr>
          <w:color w:val="auto"/>
          <w:szCs w:val="22"/>
        </w:rPr>
        <w:t>Criterion</w:t>
      </w:r>
      <w:r w:rsidRPr="00B54D6F">
        <w:rPr>
          <w:color w:val="auto"/>
        </w:rPr>
        <w:t xml:space="preserve"> 1: Describe the proposed activities to be delivered over the life of the grant and why these are needed.</w:t>
      </w:r>
    </w:p>
    <w:p w14:paraId="41160D6F" w14:textId="77777777" w:rsidR="00324BB0" w:rsidRPr="00B54D6F" w:rsidRDefault="00324BB0" w:rsidP="001818DE">
      <w:pPr>
        <w:pStyle w:val="BodyText"/>
        <w:numPr>
          <w:ilvl w:val="0"/>
          <w:numId w:val="25"/>
        </w:numPr>
        <w:ind w:left="357" w:hanging="357"/>
        <w:rPr>
          <w:color w:val="auto"/>
        </w:rPr>
      </w:pPr>
      <w:r w:rsidRPr="00297B24">
        <w:rPr>
          <w:color w:val="auto"/>
          <w:szCs w:val="22"/>
        </w:rPr>
        <w:t>Criterion</w:t>
      </w:r>
      <w:r w:rsidRPr="00B54D6F">
        <w:rPr>
          <w:color w:val="auto"/>
        </w:rPr>
        <w:t xml:space="preserve"> 2: Provide details of how people with disability will be involved in the grant activity, the expected outcomes and evidence of why it is needed.</w:t>
      </w:r>
    </w:p>
    <w:p w14:paraId="060E4161" w14:textId="1EA2B239" w:rsidR="00324BB0" w:rsidRPr="00B54D6F" w:rsidRDefault="00324BB0" w:rsidP="001818DE">
      <w:pPr>
        <w:pStyle w:val="BodyText"/>
        <w:numPr>
          <w:ilvl w:val="0"/>
          <w:numId w:val="25"/>
        </w:numPr>
        <w:ind w:left="357" w:hanging="357"/>
        <w:rPr>
          <w:color w:val="auto"/>
        </w:rPr>
      </w:pPr>
      <w:r w:rsidRPr="00297B24">
        <w:rPr>
          <w:color w:val="auto"/>
          <w:szCs w:val="22"/>
        </w:rPr>
        <w:t>Criterion</w:t>
      </w:r>
      <w:r w:rsidRPr="00B54D6F">
        <w:rPr>
          <w:color w:val="auto"/>
        </w:rPr>
        <w:t xml:space="preserve"> 3: Demonstrate your organisation’s capability and capacity to successfully deliver the grant</w:t>
      </w:r>
      <w:r w:rsidR="00297B24">
        <w:rPr>
          <w:color w:val="auto"/>
        </w:rPr>
        <w:t>.</w:t>
      </w:r>
    </w:p>
    <w:p w14:paraId="6BEEE8D9" w14:textId="74C9C630" w:rsidR="00324BB0" w:rsidRPr="00B54D6F" w:rsidRDefault="00324BB0" w:rsidP="001818DE">
      <w:pPr>
        <w:pStyle w:val="BodyText"/>
        <w:rPr>
          <w:color w:val="auto"/>
        </w:rPr>
      </w:pPr>
      <w:r w:rsidRPr="00B54D6F">
        <w:rPr>
          <w:color w:val="auto"/>
        </w:rPr>
        <w:t xml:space="preserve">Preferred applicants were identified based on the strength of their responses to the selection criterion and their demonstrated ability to meet the grant requirements outlined in the </w:t>
      </w:r>
      <w:r w:rsidR="00297B24">
        <w:rPr>
          <w:color w:val="auto"/>
        </w:rPr>
        <w:t>GOGs</w:t>
      </w:r>
      <w:r w:rsidRPr="00B54D6F">
        <w:rPr>
          <w:color w:val="auto"/>
        </w:rPr>
        <w:t>.</w:t>
      </w:r>
    </w:p>
    <w:p w14:paraId="4767B907" w14:textId="03154BB5" w:rsidR="00324BB0" w:rsidRPr="001E2701" w:rsidRDefault="00324BB0" w:rsidP="001818DE">
      <w:pPr>
        <w:pStyle w:val="Heading1"/>
        <w:keepNext w:val="0"/>
        <w:keepLines w:val="0"/>
      </w:pPr>
      <w:r w:rsidRPr="001E2701">
        <w:t xml:space="preserve">Selection </w:t>
      </w:r>
      <w:r w:rsidR="00297B24" w:rsidRPr="001E2701">
        <w:t>results</w:t>
      </w:r>
    </w:p>
    <w:p w14:paraId="71322678" w14:textId="72028582" w:rsidR="00324BB0" w:rsidRPr="00B54D6F" w:rsidRDefault="00A87F76" w:rsidP="001818DE">
      <w:pPr>
        <w:pStyle w:val="BodyText"/>
        <w:rPr>
          <w:color w:val="auto"/>
        </w:rPr>
      </w:pPr>
      <w:r>
        <w:rPr>
          <w:color w:val="auto"/>
        </w:rPr>
        <w:t xml:space="preserve">Twenty-nine </w:t>
      </w:r>
      <w:r w:rsidR="00324BB0" w:rsidRPr="00B54D6F">
        <w:rPr>
          <w:color w:val="auto"/>
        </w:rPr>
        <w:t xml:space="preserve">organisations were selected to deliver the </w:t>
      </w:r>
      <w:r w:rsidR="00CA544B">
        <w:rPr>
          <w:color w:val="auto"/>
        </w:rPr>
        <w:t>ILC</w:t>
      </w:r>
      <w:r w:rsidR="00324BB0" w:rsidRPr="00B54D6F">
        <w:rPr>
          <w:color w:val="auto"/>
        </w:rPr>
        <w:t xml:space="preserve"> Economic and Community Participation Program</w:t>
      </w:r>
      <w:r w:rsidR="00324BB0">
        <w:rPr>
          <w:color w:val="auto"/>
        </w:rPr>
        <w:t xml:space="preserve"> </w:t>
      </w:r>
      <w:r w:rsidR="00324BB0" w:rsidRPr="00B54D6F">
        <w:rPr>
          <w:color w:val="auto"/>
        </w:rPr>
        <w:t>Building Employer Confidence and Inclusion in Disability grant</w:t>
      </w:r>
      <w:r w:rsidR="00324BB0">
        <w:rPr>
          <w:color w:val="auto"/>
        </w:rPr>
        <w:t xml:space="preserve"> opportunity</w:t>
      </w:r>
      <w:r w:rsidR="00324BB0" w:rsidRPr="00B54D6F">
        <w:rPr>
          <w:color w:val="auto"/>
        </w:rPr>
        <w:t>.</w:t>
      </w:r>
    </w:p>
    <w:p w14:paraId="2BFABD22" w14:textId="4B0FB0EA" w:rsidR="00324BB0" w:rsidRDefault="00324BB0" w:rsidP="001818DE">
      <w:pPr>
        <w:pStyle w:val="BodyText"/>
        <w:rPr>
          <w:color w:val="auto"/>
          <w:szCs w:val="22"/>
        </w:rPr>
      </w:pPr>
      <w:r w:rsidRPr="00B54D6F">
        <w:rPr>
          <w:color w:val="auto"/>
        </w:rPr>
        <w:t xml:space="preserve">The selected organisations provided strong responses to the selection criteria and demonstrated their ability to meet the eligibility requirements outlined in the </w:t>
      </w:r>
      <w:r w:rsidR="00297B24">
        <w:rPr>
          <w:color w:val="auto"/>
        </w:rPr>
        <w:t>GOGs</w:t>
      </w:r>
      <w:r w:rsidRPr="00B54D6F">
        <w:rPr>
          <w:color w:val="auto"/>
        </w:rPr>
        <w:t xml:space="preserve">. </w:t>
      </w:r>
      <w:r w:rsidRPr="00B54D6F">
        <w:rPr>
          <w:color w:val="auto"/>
          <w:szCs w:val="22"/>
        </w:rPr>
        <w:t>Further detail about what constituted a strong response to each criterion is provided below.</w:t>
      </w:r>
    </w:p>
    <w:p w14:paraId="4D369EC9" w14:textId="46FBFC9B" w:rsidR="00324BB0" w:rsidRPr="001E2701" w:rsidRDefault="00324BB0" w:rsidP="001818DE">
      <w:pPr>
        <w:pStyle w:val="Heading1"/>
        <w:keepNext w:val="0"/>
        <w:keepLines w:val="0"/>
        <w:pageBreakBefore/>
      </w:pPr>
      <w:r w:rsidRPr="001E2701">
        <w:lastRenderedPageBreak/>
        <w:t xml:space="preserve">General </w:t>
      </w:r>
      <w:r w:rsidR="00297B24" w:rsidRPr="001E2701">
        <w:t>comments</w:t>
      </w:r>
    </w:p>
    <w:p w14:paraId="43767244" w14:textId="1D3C5505" w:rsidR="00324BB0" w:rsidRDefault="00324BB0" w:rsidP="001818DE">
      <w:pPr>
        <w:pStyle w:val="BodyText"/>
        <w:rPr>
          <w:color w:val="auto"/>
          <w:szCs w:val="22"/>
        </w:rPr>
      </w:pPr>
      <w:r>
        <w:rPr>
          <w:color w:val="auto"/>
          <w:szCs w:val="22"/>
        </w:rPr>
        <w:t>The general strengths of the applications were noted by the SAP, with the following themes hi</w:t>
      </w:r>
      <w:r w:rsidR="001E2701">
        <w:rPr>
          <w:color w:val="auto"/>
          <w:szCs w:val="22"/>
        </w:rPr>
        <w:t>ghlighted for general feedb</w:t>
      </w:r>
      <w:r w:rsidR="00CA544B">
        <w:rPr>
          <w:color w:val="auto"/>
          <w:szCs w:val="22"/>
        </w:rPr>
        <w:t>ack:</w:t>
      </w:r>
    </w:p>
    <w:p w14:paraId="320A6E19" w14:textId="7043FB4F" w:rsidR="00324BB0" w:rsidRDefault="00324BB0" w:rsidP="001818DE">
      <w:pPr>
        <w:pStyle w:val="BodyText"/>
        <w:numPr>
          <w:ilvl w:val="0"/>
          <w:numId w:val="25"/>
        </w:numPr>
        <w:ind w:left="357" w:hanging="357"/>
        <w:rPr>
          <w:color w:val="auto"/>
          <w:szCs w:val="22"/>
        </w:rPr>
      </w:pPr>
      <w:r>
        <w:rPr>
          <w:color w:val="auto"/>
          <w:szCs w:val="22"/>
        </w:rPr>
        <w:t>A large number of applications focussed on the development and delivery of new training and resources. The SAP noted that given there are currently a number of tools and resources readily available to employers and employees, when considering the large number of applications that were focussed on tools and resources, a one-size fits all approach was not considered as favourably as approaches that focussed</w:t>
      </w:r>
      <w:r w:rsidR="001E2701">
        <w:rPr>
          <w:color w:val="auto"/>
          <w:szCs w:val="22"/>
        </w:rPr>
        <w:t xml:space="preserve"> on customisation of resources.</w:t>
      </w:r>
    </w:p>
    <w:p w14:paraId="552E954A" w14:textId="6F3870B1" w:rsidR="00324BB0" w:rsidRPr="00C96264" w:rsidRDefault="00324BB0" w:rsidP="001818DE">
      <w:pPr>
        <w:pStyle w:val="BodyText"/>
        <w:numPr>
          <w:ilvl w:val="0"/>
          <w:numId w:val="25"/>
        </w:numPr>
        <w:ind w:left="357" w:hanging="357"/>
        <w:rPr>
          <w:color w:val="auto"/>
        </w:rPr>
      </w:pPr>
      <w:r w:rsidRPr="00C96264">
        <w:rPr>
          <w:color w:val="auto"/>
          <w:szCs w:val="22"/>
        </w:rPr>
        <w:t xml:space="preserve">More detail and/or evidence was required to detail how employers would be engaged with these </w:t>
      </w:r>
      <w:r>
        <w:rPr>
          <w:color w:val="auto"/>
          <w:szCs w:val="22"/>
        </w:rPr>
        <w:t>training opportunities</w:t>
      </w:r>
      <w:r w:rsidRPr="00C96264">
        <w:rPr>
          <w:color w:val="auto"/>
          <w:szCs w:val="22"/>
        </w:rPr>
        <w:t xml:space="preserve"> and resources and how this would lead to increased employment. </w:t>
      </w:r>
      <w:r w:rsidRPr="00C96264">
        <w:rPr>
          <w:color w:val="auto"/>
        </w:rPr>
        <w:t xml:space="preserve">Additionally, </w:t>
      </w:r>
      <w:r>
        <w:rPr>
          <w:color w:val="auto"/>
        </w:rPr>
        <w:t xml:space="preserve">although </w:t>
      </w:r>
      <w:r w:rsidRPr="00C96264">
        <w:rPr>
          <w:color w:val="auto"/>
        </w:rPr>
        <w:t xml:space="preserve">many applications focussed on training, resources and engagement of employees, </w:t>
      </w:r>
      <w:r>
        <w:rPr>
          <w:color w:val="auto"/>
        </w:rPr>
        <w:t xml:space="preserve">many did </w:t>
      </w:r>
      <w:r w:rsidRPr="00C96264">
        <w:rPr>
          <w:color w:val="auto"/>
        </w:rPr>
        <w:t xml:space="preserve">not </w:t>
      </w:r>
      <w:r>
        <w:rPr>
          <w:color w:val="auto"/>
        </w:rPr>
        <w:t>clearly link this</w:t>
      </w:r>
      <w:r w:rsidRPr="00C96264">
        <w:rPr>
          <w:color w:val="auto"/>
        </w:rPr>
        <w:t xml:space="preserve"> wit</w:t>
      </w:r>
      <w:r w:rsidR="00CA544B">
        <w:rPr>
          <w:color w:val="auto"/>
        </w:rPr>
        <w:t>h the need to engage employers.</w:t>
      </w:r>
    </w:p>
    <w:p w14:paraId="77221A69" w14:textId="77777777" w:rsidR="00324BB0" w:rsidRDefault="00324BB0" w:rsidP="001818DE">
      <w:pPr>
        <w:pStyle w:val="BodyText"/>
        <w:numPr>
          <w:ilvl w:val="0"/>
          <w:numId w:val="25"/>
        </w:numPr>
        <w:ind w:left="357" w:hanging="357"/>
        <w:rPr>
          <w:color w:val="auto"/>
        </w:rPr>
      </w:pPr>
      <w:r>
        <w:rPr>
          <w:color w:val="auto"/>
          <w:szCs w:val="22"/>
        </w:rPr>
        <w:t xml:space="preserve">Stronger applications identified existing relationships, or detailed in their project plans the steps involved in ensuring adequate employer engagement, and how this would result in increased employment for people with disability. </w:t>
      </w:r>
      <w:r>
        <w:rPr>
          <w:rFonts w:cstheme="minorHAnsi"/>
          <w:bCs/>
          <w:color w:val="auto"/>
          <w:szCs w:val="22"/>
        </w:rPr>
        <w:t>An identified area of weakness in endeavouring to address employe</w:t>
      </w:r>
      <w:bookmarkStart w:id="0" w:name="_GoBack"/>
      <w:bookmarkEnd w:id="0"/>
      <w:r>
        <w:rPr>
          <w:rFonts w:cstheme="minorHAnsi"/>
          <w:bCs/>
          <w:color w:val="auto"/>
          <w:szCs w:val="22"/>
        </w:rPr>
        <w:t>r attitudes was an assumption that employers are able to release large numbers of staff for long periods of time to attend workshops and training.</w:t>
      </w:r>
    </w:p>
    <w:p w14:paraId="725C28E0" w14:textId="3F44036A" w:rsidR="00324BB0" w:rsidRDefault="00324BB0" w:rsidP="001818DE">
      <w:pPr>
        <w:pStyle w:val="BodyText"/>
        <w:numPr>
          <w:ilvl w:val="0"/>
          <w:numId w:val="25"/>
        </w:numPr>
        <w:ind w:left="357" w:hanging="357"/>
        <w:rPr>
          <w:color w:val="auto"/>
        </w:rPr>
      </w:pPr>
      <w:r>
        <w:rPr>
          <w:color w:val="auto"/>
        </w:rPr>
        <w:t xml:space="preserve">The SAP noted that innovation was not a requirement of the </w:t>
      </w:r>
      <w:r w:rsidR="00CA544B">
        <w:rPr>
          <w:color w:val="auto"/>
        </w:rPr>
        <w:t>GOGs</w:t>
      </w:r>
      <w:r>
        <w:rPr>
          <w:color w:val="auto"/>
        </w:rPr>
        <w:t>, however some applicants presented projects that were new and innovative. Although these are generally encouraged, caution should be adhered to when looking to innovate employment practices for people with disability to also ensure they adhere to the Social Mod</w:t>
      </w:r>
      <w:r w:rsidR="001E2701">
        <w:rPr>
          <w:color w:val="auto"/>
        </w:rPr>
        <w:t>el of Disability.</w:t>
      </w:r>
    </w:p>
    <w:p w14:paraId="54990798" w14:textId="3644533B" w:rsidR="00324BB0" w:rsidRDefault="00324BB0" w:rsidP="001818DE">
      <w:pPr>
        <w:pStyle w:val="BodyText"/>
        <w:numPr>
          <w:ilvl w:val="0"/>
          <w:numId w:val="25"/>
        </w:numPr>
        <w:ind w:left="357" w:hanging="357"/>
        <w:rPr>
          <w:color w:val="auto"/>
        </w:rPr>
      </w:pPr>
      <w:r>
        <w:rPr>
          <w:color w:val="auto"/>
        </w:rPr>
        <w:t>Applications that were considered to be aligned to the Social Model of Disability</w:t>
      </w:r>
      <w:r w:rsidR="001E2701">
        <w:rPr>
          <w:rStyle w:val="FootnoteReference"/>
          <w:color w:val="auto"/>
        </w:rPr>
        <w:footnoteReference w:id="1"/>
      </w:r>
      <w:r w:rsidR="00297B24">
        <w:rPr>
          <w:color w:val="auto"/>
        </w:rPr>
        <w:t xml:space="preserve"> were well regarded by the SAP.</w:t>
      </w:r>
    </w:p>
    <w:p w14:paraId="0DC5338E" w14:textId="2312CE28" w:rsidR="00324BB0" w:rsidRDefault="00324BB0" w:rsidP="001818DE">
      <w:pPr>
        <w:pStyle w:val="BodyText"/>
        <w:numPr>
          <w:ilvl w:val="0"/>
          <w:numId w:val="25"/>
        </w:numPr>
        <w:ind w:left="357" w:hanging="357"/>
        <w:rPr>
          <w:color w:val="auto"/>
        </w:rPr>
      </w:pPr>
      <w:r>
        <w:rPr>
          <w:color w:val="auto"/>
        </w:rPr>
        <w:t>Applications seeking additional funding to continue their current ILC projects were not in scope for this round as it is considered a d</w:t>
      </w:r>
      <w:r w:rsidR="001E2701">
        <w:rPr>
          <w:color w:val="auto"/>
        </w:rPr>
        <w:t>uplication of current funding.</w:t>
      </w:r>
    </w:p>
    <w:p w14:paraId="61578030" w14:textId="3AEF93EC" w:rsidR="00324BB0" w:rsidRDefault="00324BB0" w:rsidP="001818DE">
      <w:pPr>
        <w:pStyle w:val="BodyText"/>
        <w:numPr>
          <w:ilvl w:val="0"/>
          <w:numId w:val="25"/>
        </w:numPr>
        <w:ind w:left="357" w:hanging="357"/>
        <w:rPr>
          <w:color w:val="auto"/>
        </w:rPr>
      </w:pPr>
      <w:r>
        <w:rPr>
          <w:color w:val="auto"/>
        </w:rPr>
        <w:t>Applications that focused primarily on building job seeker skills and job readiness were not well regarded by the SAP, as the purpose of the grant opportunity is to</w:t>
      </w:r>
      <w:r w:rsidR="00752015">
        <w:rPr>
          <w:color w:val="auto"/>
        </w:rPr>
        <w:t xml:space="preserve"> build the confidence of employers to address barriers to employm</w:t>
      </w:r>
      <w:r w:rsidR="00CA544B">
        <w:rPr>
          <w:color w:val="auto"/>
        </w:rPr>
        <w:t>ent for people with disability.</w:t>
      </w:r>
    </w:p>
    <w:p w14:paraId="74DD94B7" w14:textId="235A331B" w:rsidR="00324BB0" w:rsidRDefault="00752015" w:rsidP="001818DE">
      <w:pPr>
        <w:pStyle w:val="BodyText"/>
        <w:numPr>
          <w:ilvl w:val="0"/>
          <w:numId w:val="25"/>
        </w:numPr>
        <w:ind w:left="357" w:hanging="357"/>
        <w:rPr>
          <w:color w:val="auto"/>
        </w:rPr>
      </w:pPr>
      <w:r>
        <w:rPr>
          <w:color w:val="auto"/>
        </w:rPr>
        <w:t>A</w:t>
      </w:r>
      <w:r w:rsidR="00324BB0">
        <w:rPr>
          <w:color w:val="auto"/>
        </w:rPr>
        <w:t xml:space="preserve">pplications </w:t>
      </w:r>
      <w:r>
        <w:rPr>
          <w:color w:val="auto"/>
        </w:rPr>
        <w:t>which</w:t>
      </w:r>
      <w:r w:rsidR="00324BB0">
        <w:rPr>
          <w:color w:val="auto"/>
        </w:rPr>
        <w:t xml:space="preserve"> sought to improve the</w:t>
      </w:r>
      <w:r>
        <w:rPr>
          <w:color w:val="auto"/>
        </w:rPr>
        <w:t xml:space="preserve">ir </w:t>
      </w:r>
      <w:r w:rsidR="00324BB0">
        <w:rPr>
          <w:color w:val="auto"/>
        </w:rPr>
        <w:t xml:space="preserve">own ability to employ people with disability were not </w:t>
      </w:r>
      <w:r>
        <w:rPr>
          <w:color w:val="auto"/>
        </w:rPr>
        <w:t>considered to be in l</w:t>
      </w:r>
      <w:r w:rsidR="001E2701">
        <w:rPr>
          <w:color w:val="auto"/>
        </w:rPr>
        <w:t>ine with the grant opportunity.</w:t>
      </w:r>
    </w:p>
    <w:p w14:paraId="04CAF9B0" w14:textId="6B88B2B3" w:rsidR="00324BB0" w:rsidRPr="001E2701" w:rsidRDefault="00324BB0" w:rsidP="001818DE">
      <w:pPr>
        <w:pStyle w:val="BodyText"/>
        <w:numPr>
          <w:ilvl w:val="0"/>
          <w:numId w:val="25"/>
        </w:numPr>
        <w:ind w:left="357" w:hanging="357"/>
        <w:rPr>
          <w:color w:val="auto"/>
        </w:rPr>
      </w:pPr>
      <w:r w:rsidRPr="001E2701">
        <w:rPr>
          <w:color w:val="auto"/>
        </w:rPr>
        <w:lastRenderedPageBreak/>
        <w:t>Expert advice sought from state and territory governments as part of the selection process noted not all projects identified as ‘National’ had the capacity to have a national reach. Stronger applications allocated appropriate funding and outlined on-the-ground contacts in all jurisdictions proposed for delivery. The ability to provide face-to-face services and demonstration of a presence in or connection to nominated jurisdictions was also loo</w:t>
      </w:r>
      <w:r w:rsidR="001E2701" w:rsidRPr="001E2701">
        <w:rPr>
          <w:color w:val="auto"/>
        </w:rPr>
        <w:t>ked upon favourably by the SAP.</w:t>
      </w:r>
    </w:p>
    <w:p w14:paraId="3B3B70D8" w14:textId="6F6E12C2" w:rsidR="00324BB0" w:rsidRPr="001E2701" w:rsidRDefault="001818DE" w:rsidP="001818DE">
      <w:pPr>
        <w:pStyle w:val="Heading1"/>
        <w:spacing w:before="400" w:after="120" w:line="288" w:lineRule="atLeast"/>
      </w:pPr>
      <w:r w:rsidRPr="001E2701">
        <w:t>Criterion responses</w:t>
      </w:r>
    </w:p>
    <w:p w14:paraId="7264E59C" w14:textId="77777777" w:rsidR="00324BB0" w:rsidRPr="001E2701" w:rsidRDefault="00324BB0" w:rsidP="001E2701">
      <w:pPr>
        <w:pStyle w:val="Heading2"/>
      </w:pPr>
      <w:r w:rsidRPr="001E2701">
        <w:t>Criterion 1</w:t>
      </w:r>
    </w:p>
    <w:p w14:paraId="23C97507" w14:textId="77777777" w:rsidR="00324BB0" w:rsidRPr="001E2701" w:rsidRDefault="00324BB0" w:rsidP="001E2701">
      <w:pPr>
        <w:pStyle w:val="BodyText"/>
        <w:rPr>
          <w:b/>
        </w:rPr>
      </w:pPr>
      <w:r w:rsidRPr="001E2701">
        <w:rPr>
          <w:b/>
        </w:rPr>
        <w:t>Describe the proposed activities to be delivered over the life of the grant and why these are needed.</w:t>
      </w:r>
    </w:p>
    <w:p w14:paraId="1E0AF596" w14:textId="40D262C9" w:rsidR="00324BB0" w:rsidRPr="001818DE" w:rsidRDefault="00324BB0" w:rsidP="001818DE">
      <w:pPr>
        <w:pStyle w:val="BodyText"/>
      </w:pPr>
      <w:r w:rsidRPr="001818DE">
        <w:t>When describing the need for the project, it was important to link the project activities to the identified need and describe how the project would address the need. In detailing the need, or the identified gap, applicants who provided detailed evidence to support their claims were looked upon more favourably. Lack of detail or clarity made it difficult to make a determin</w:t>
      </w:r>
      <w:r w:rsidR="001E2701" w:rsidRPr="001818DE">
        <w:t>ation on the need of a project.</w:t>
      </w:r>
    </w:p>
    <w:p w14:paraId="2C4A58EB" w14:textId="356486F1" w:rsidR="00324BB0" w:rsidRPr="001818DE" w:rsidRDefault="00324BB0" w:rsidP="001818DE">
      <w:pPr>
        <w:pStyle w:val="BodyText"/>
      </w:pPr>
      <w:r w:rsidRPr="001818DE">
        <w:t>Additionally, the project plan, which was an attachment to this criterion, provided applicants with the opportunity to demonstrate their understanding of the project and timeframes involved. Project plans that were well filled out and aligned with the grant activity, showed applicants’ understanding of project management provided assurance they had the</w:t>
      </w:r>
      <w:r w:rsidR="001E2701" w:rsidRPr="001818DE">
        <w:t xml:space="preserve"> ability to manage the project.</w:t>
      </w:r>
    </w:p>
    <w:p w14:paraId="6F70CDE6" w14:textId="14C7F1A1" w:rsidR="00324BB0" w:rsidRPr="001818DE" w:rsidRDefault="00324BB0" w:rsidP="001818DE">
      <w:pPr>
        <w:pStyle w:val="BodyText"/>
      </w:pPr>
      <w:r w:rsidRPr="001818DE">
        <w:t>A number of proposed projects focussed on strengthening the capacity of people with disability, which is an important aspect of this grant, however the linkages to employers were not as well defined or not provided. As this grant opportunity was designed to improve employer attitudes towards employing people with disability, applications that did not clearly address this aspect were not succ</w:t>
      </w:r>
      <w:r w:rsidR="001E2701" w:rsidRPr="001818DE">
        <w:t>essful.</w:t>
      </w:r>
    </w:p>
    <w:tbl>
      <w:tblPr>
        <w:tblStyle w:val="CGHTableBanded"/>
        <w:tblW w:w="0" w:type="auto"/>
        <w:tblLook w:val="04A0" w:firstRow="1" w:lastRow="0" w:firstColumn="1" w:lastColumn="0" w:noHBand="0" w:noVBand="1"/>
        <w:tblCaption w:val="Feedback Table"/>
      </w:tblPr>
      <w:tblGrid>
        <w:gridCol w:w="3261"/>
        <w:gridCol w:w="6377"/>
      </w:tblGrid>
      <w:tr w:rsidR="00324BB0" w14:paraId="789513E3" w14:textId="77777777" w:rsidTr="001818DE">
        <w:trPr>
          <w:cnfStyle w:val="100000000000" w:firstRow="1" w:lastRow="0" w:firstColumn="0" w:lastColumn="0" w:oddVBand="0" w:evenVBand="0" w:oddHBand="0" w:evenHBand="0" w:firstRowFirstColumn="0" w:firstRowLastColumn="0" w:lastRowFirstColumn="0" w:lastRowLastColumn="0"/>
          <w:trHeight w:val="472"/>
          <w:tblHeader/>
        </w:trPr>
        <w:tc>
          <w:tcPr>
            <w:tcW w:w="3261" w:type="dxa"/>
            <w:vAlign w:val="center"/>
          </w:tcPr>
          <w:p w14:paraId="5597E3F1" w14:textId="77777777" w:rsidR="00324BB0" w:rsidRPr="00454EB4" w:rsidRDefault="00324BB0" w:rsidP="001818DE">
            <w:pPr>
              <w:spacing w:before="120" w:after="120"/>
              <w:ind w:left="57" w:right="57"/>
              <w:rPr>
                <w:b/>
              </w:rPr>
            </w:pPr>
            <w:r w:rsidRPr="00454EB4">
              <w:rPr>
                <w:b/>
              </w:rPr>
              <w:t>Strength</w:t>
            </w:r>
          </w:p>
        </w:tc>
        <w:tc>
          <w:tcPr>
            <w:tcW w:w="6377" w:type="dxa"/>
            <w:vAlign w:val="center"/>
          </w:tcPr>
          <w:p w14:paraId="3F108A43" w14:textId="77777777" w:rsidR="00324BB0" w:rsidRPr="00454EB4" w:rsidRDefault="00324BB0" w:rsidP="001818DE">
            <w:pPr>
              <w:spacing w:before="120" w:after="120"/>
              <w:ind w:left="57" w:right="57"/>
              <w:rPr>
                <w:b/>
              </w:rPr>
            </w:pPr>
            <w:r w:rsidRPr="00454EB4">
              <w:rPr>
                <w:b/>
              </w:rPr>
              <w:t>Example</w:t>
            </w:r>
          </w:p>
        </w:tc>
      </w:tr>
      <w:tr w:rsidR="00324BB0" w14:paraId="67C2365F" w14:textId="77777777" w:rsidTr="00297B24">
        <w:trPr>
          <w:cnfStyle w:val="000000100000" w:firstRow="0" w:lastRow="0" w:firstColumn="0" w:lastColumn="0" w:oddVBand="0" w:evenVBand="0" w:oddHBand="1" w:evenHBand="0" w:firstRowFirstColumn="0" w:firstRowLastColumn="0" w:lastRowFirstColumn="0" w:lastRowLastColumn="0"/>
        </w:trPr>
        <w:tc>
          <w:tcPr>
            <w:tcW w:w="3261" w:type="dxa"/>
          </w:tcPr>
          <w:p w14:paraId="0A28ECB8" w14:textId="77777777" w:rsidR="00324BB0" w:rsidRPr="00297B24" w:rsidRDefault="00324BB0" w:rsidP="001818DE">
            <w:pPr>
              <w:spacing w:before="120" w:after="140"/>
              <w:ind w:left="57" w:right="57"/>
            </w:pPr>
            <w:r w:rsidRPr="00297B24">
              <w:t>Strong applications clearly described the problem/need the project will address as part of the grant opportunity</w:t>
            </w:r>
          </w:p>
        </w:tc>
        <w:tc>
          <w:tcPr>
            <w:tcW w:w="6377" w:type="dxa"/>
          </w:tcPr>
          <w:p w14:paraId="5F0E0F0E" w14:textId="77777777" w:rsidR="00324BB0" w:rsidRPr="004F7326" w:rsidRDefault="00324BB0" w:rsidP="001818DE">
            <w:pPr>
              <w:spacing w:before="120" w:after="140"/>
              <w:ind w:left="57" w:right="57"/>
              <w:rPr>
                <w:rFonts w:ascii="Arial" w:eastAsia="Arial" w:hAnsi="Arial" w:cs="Arial"/>
                <w:color w:val="auto"/>
              </w:rPr>
            </w:pPr>
            <w:r w:rsidRPr="00297B24">
              <w:t>Strong</w:t>
            </w:r>
            <w:r>
              <w:rPr>
                <w:rFonts w:ascii="Arial" w:eastAsia="Arial" w:hAnsi="Arial" w:cs="Arial"/>
                <w:color w:val="auto"/>
              </w:rPr>
              <w:t xml:space="preserve"> responses clearly:</w:t>
            </w:r>
          </w:p>
          <w:p w14:paraId="39647F7A" w14:textId="77777777" w:rsidR="00324BB0"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 xml:space="preserve">identified the specific demographic their project would </w:t>
            </w:r>
            <w:r w:rsidRPr="00297B24">
              <w:rPr>
                <w:color w:val="auto"/>
              </w:rPr>
              <w:t>target</w:t>
            </w:r>
          </w:p>
          <w:p w14:paraId="5F7B3AAB" w14:textId="77777777" w:rsidR="00324BB0"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 xml:space="preserve">described the problem/need the target demographic </w:t>
            </w:r>
            <w:r w:rsidRPr="00297B24">
              <w:rPr>
                <w:color w:val="auto"/>
              </w:rPr>
              <w:t>requires</w:t>
            </w:r>
            <w:r>
              <w:rPr>
                <w:rFonts w:ascii="Arial" w:eastAsia="Arial" w:hAnsi="Arial" w:cs="Arial"/>
                <w:color w:val="auto"/>
              </w:rPr>
              <w:t xml:space="preserve"> support in</w:t>
            </w:r>
          </w:p>
          <w:p w14:paraId="158699AD" w14:textId="77777777" w:rsidR="00324BB0" w:rsidRPr="00F454B6" w:rsidRDefault="00324BB0" w:rsidP="001818DE">
            <w:pPr>
              <w:pStyle w:val="BodyText"/>
              <w:numPr>
                <w:ilvl w:val="0"/>
                <w:numId w:val="25"/>
              </w:numPr>
              <w:ind w:left="341" w:hanging="284"/>
              <w:rPr>
                <w:rFonts w:ascii="Arial" w:eastAsia="Arial" w:hAnsi="Arial" w:cs="Arial"/>
                <w:color w:val="auto"/>
              </w:rPr>
            </w:pPr>
            <w:r w:rsidRPr="00297B24">
              <w:rPr>
                <w:rFonts w:ascii="Arial" w:eastAsia="Arial" w:hAnsi="Arial" w:cs="Arial"/>
                <w:color w:val="auto"/>
              </w:rPr>
              <w:t>provided</w:t>
            </w:r>
            <w:r>
              <w:rPr>
                <w:rFonts w:ascii="Arial" w:eastAsia="Arial" w:hAnsi="Arial" w:cs="Arial"/>
                <w:color w:val="auto"/>
              </w:rPr>
              <w:t xml:space="preserve"> strong and relevant supporting evidence.</w:t>
            </w:r>
          </w:p>
        </w:tc>
      </w:tr>
      <w:tr w:rsidR="00324BB0" w14:paraId="5AAE9F23" w14:textId="77777777" w:rsidTr="00297B24">
        <w:tc>
          <w:tcPr>
            <w:tcW w:w="3261" w:type="dxa"/>
          </w:tcPr>
          <w:p w14:paraId="20ACC104" w14:textId="2963D817" w:rsidR="00324BB0" w:rsidRPr="00297B24" w:rsidRDefault="00324BB0" w:rsidP="001818DE">
            <w:pPr>
              <w:keepNext/>
              <w:keepLines/>
              <w:spacing w:before="120" w:after="140"/>
              <w:ind w:left="57" w:right="57"/>
            </w:pPr>
            <w:r w:rsidRPr="00297B24">
              <w:lastRenderedPageBreak/>
              <w:t>Strong applications clearly described the activities to address the problem/need</w:t>
            </w:r>
          </w:p>
        </w:tc>
        <w:tc>
          <w:tcPr>
            <w:tcW w:w="6377" w:type="dxa"/>
          </w:tcPr>
          <w:p w14:paraId="1E757C83" w14:textId="77777777" w:rsidR="00324BB0" w:rsidRDefault="00324BB0" w:rsidP="001818DE">
            <w:pPr>
              <w:keepNext/>
              <w:keepLines/>
              <w:spacing w:before="120" w:after="140"/>
              <w:ind w:left="57" w:right="57"/>
              <w:rPr>
                <w:rFonts w:ascii="Arial" w:eastAsia="Arial" w:hAnsi="Arial" w:cs="Arial"/>
                <w:color w:val="auto"/>
              </w:rPr>
            </w:pPr>
            <w:r w:rsidRPr="00297B24">
              <w:t>Strong</w:t>
            </w:r>
            <w:r w:rsidRPr="00A24D4A">
              <w:rPr>
                <w:rFonts w:ascii="Arial" w:eastAsia="Arial" w:hAnsi="Arial" w:cs="Arial"/>
                <w:color w:val="auto"/>
              </w:rPr>
              <w:t xml:space="preserve"> responses clearly:</w:t>
            </w:r>
          </w:p>
          <w:p w14:paraId="1C368110" w14:textId="77777777" w:rsidR="00324BB0" w:rsidRPr="009B3C2C" w:rsidRDefault="00324BB0" w:rsidP="001818DE">
            <w:pPr>
              <w:pStyle w:val="BodyText"/>
              <w:keepNext/>
              <w:keepLines/>
              <w:numPr>
                <w:ilvl w:val="0"/>
                <w:numId w:val="25"/>
              </w:numPr>
              <w:ind w:left="341" w:hanging="284"/>
              <w:rPr>
                <w:szCs w:val="22"/>
              </w:rPr>
            </w:pPr>
            <w:r w:rsidRPr="00297B24">
              <w:rPr>
                <w:rFonts w:ascii="Arial" w:eastAsia="Arial" w:hAnsi="Arial" w:cs="Arial"/>
                <w:color w:val="auto"/>
              </w:rPr>
              <w:t>described</w:t>
            </w:r>
            <w:r w:rsidRPr="009B3C2C">
              <w:rPr>
                <w:szCs w:val="22"/>
              </w:rPr>
              <w:t xml:space="preserve"> in detail what the activities would be and how </w:t>
            </w:r>
            <w:r w:rsidRPr="00297B24">
              <w:rPr>
                <w:color w:val="auto"/>
              </w:rPr>
              <w:t>they</w:t>
            </w:r>
            <w:r w:rsidRPr="009B3C2C">
              <w:rPr>
                <w:szCs w:val="22"/>
              </w:rPr>
              <w:t xml:space="preserve"> would be delivered in a clear and logical manner</w:t>
            </w:r>
          </w:p>
          <w:p w14:paraId="7202039F" w14:textId="77777777" w:rsidR="00324BB0" w:rsidRDefault="00324BB0" w:rsidP="001818DE">
            <w:pPr>
              <w:pStyle w:val="BodyText"/>
              <w:keepNext/>
              <w:keepLines/>
              <w:numPr>
                <w:ilvl w:val="0"/>
                <w:numId w:val="25"/>
              </w:numPr>
              <w:ind w:left="341" w:hanging="284"/>
              <w:rPr>
                <w:szCs w:val="22"/>
              </w:rPr>
            </w:pPr>
            <w:r w:rsidRPr="00297B24">
              <w:rPr>
                <w:rFonts w:ascii="Arial" w:eastAsia="Arial" w:hAnsi="Arial" w:cs="Arial"/>
                <w:color w:val="auto"/>
              </w:rPr>
              <w:t>described</w:t>
            </w:r>
            <w:r>
              <w:rPr>
                <w:szCs w:val="22"/>
              </w:rPr>
              <w:t xml:space="preserve"> the timeframes and milestones for when the </w:t>
            </w:r>
            <w:r w:rsidRPr="00FB2C0A">
              <w:rPr>
                <w:szCs w:val="22"/>
              </w:rPr>
              <w:t>activities will be completed within the 24 month duration</w:t>
            </w:r>
            <w:r>
              <w:rPr>
                <w:szCs w:val="22"/>
              </w:rPr>
              <w:t xml:space="preserve"> in a completed and detailed project plan</w:t>
            </w:r>
          </w:p>
          <w:p w14:paraId="5251EF89" w14:textId="77777777" w:rsidR="00324BB0" w:rsidRDefault="00324BB0" w:rsidP="001818DE">
            <w:pPr>
              <w:pStyle w:val="BodyText"/>
              <w:keepNext/>
              <w:keepLines/>
              <w:numPr>
                <w:ilvl w:val="0"/>
                <w:numId w:val="25"/>
              </w:numPr>
              <w:ind w:left="341" w:hanging="284"/>
              <w:rPr>
                <w:szCs w:val="22"/>
              </w:rPr>
            </w:pPr>
            <w:r>
              <w:rPr>
                <w:szCs w:val="22"/>
              </w:rPr>
              <w:t xml:space="preserve">explained the importance of each activity in the </w:t>
            </w:r>
            <w:r w:rsidRPr="00297B24">
              <w:rPr>
                <w:rFonts w:ascii="Arial" w:eastAsia="Arial" w:hAnsi="Arial" w:cs="Arial"/>
                <w:color w:val="auto"/>
              </w:rPr>
              <w:t>implementation</w:t>
            </w:r>
            <w:r>
              <w:rPr>
                <w:szCs w:val="22"/>
              </w:rPr>
              <w:t xml:space="preserve"> and delivery of the project</w:t>
            </w:r>
          </w:p>
          <w:p w14:paraId="2C5F2F84" w14:textId="77777777" w:rsidR="00324BB0" w:rsidRPr="00FB2C0A" w:rsidRDefault="00324BB0" w:rsidP="001818DE">
            <w:pPr>
              <w:pStyle w:val="BodyText"/>
              <w:keepNext/>
              <w:keepLines/>
              <w:numPr>
                <w:ilvl w:val="0"/>
                <w:numId w:val="25"/>
              </w:numPr>
              <w:ind w:left="341" w:hanging="284"/>
              <w:rPr>
                <w:szCs w:val="22"/>
              </w:rPr>
            </w:pPr>
            <w:r w:rsidRPr="00297B24">
              <w:rPr>
                <w:rFonts w:ascii="Arial" w:eastAsia="Arial" w:hAnsi="Arial" w:cs="Arial"/>
                <w:color w:val="auto"/>
              </w:rPr>
              <w:t>described</w:t>
            </w:r>
            <w:r>
              <w:rPr>
                <w:szCs w:val="22"/>
              </w:rPr>
              <w:t xml:space="preserve"> the impact each activity would have on the employment of people with disability.</w:t>
            </w:r>
          </w:p>
        </w:tc>
      </w:tr>
      <w:tr w:rsidR="00324BB0" w14:paraId="4F66E0FA" w14:textId="77777777" w:rsidTr="00297B24">
        <w:trPr>
          <w:cnfStyle w:val="000000100000" w:firstRow="0" w:lastRow="0" w:firstColumn="0" w:lastColumn="0" w:oddVBand="0" w:evenVBand="0" w:oddHBand="1" w:evenHBand="0" w:firstRowFirstColumn="0" w:firstRowLastColumn="0" w:lastRowFirstColumn="0" w:lastRowLastColumn="0"/>
        </w:trPr>
        <w:tc>
          <w:tcPr>
            <w:tcW w:w="3261" w:type="dxa"/>
          </w:tcPr>
          <w:p w14:paraId="781BE6CA" w14:textId="77777777" w:rsidR="00324BB0" w:rsidRPr="00297B24" w:rsidRDefault="00324BB0" w:rsidP="001818DE">
            <w:pPr>
              <w:spacing w:before="120" w:after="140"/>
              <w:ind w:left="57" w:right="57"/>
            </w:pPr>
            <w:r w:rsidRPr="00297B24">
              <w:t>Strong applications clearly demonstrated the importance of the project and why they are needed by the target group</w:t>
            </w:r>
          </w:p>
        </w:tc>
        <w:tc>
          <w:tcPr>
            <w:tcW w:w="6377" w:type="dxa"/>
          </w:tcPr>
          <w:p w14:paraId="6171D4DB" w14:textId="77777777" w:rsidR="00324BB0" w:rsidRDefault="00324BB0" w:rsidP="001818DE">
            <w:pPr>
              <w:spacing w:before="120" w:after="140"/>
              <w:ind w:left="57" w:right="57"/>
              <w:rPr>
                <w:rFonts w:ascii="Arial" w:eastAsia="Arial" w:hAnsi="Arial" w:cs="Arial"/>
                <w:color w:val="auto"/>
              </w:rPr>
            </w:pPr>
            <w:r w:rsidRPr="00A24D4A">
              <w:rPr>
                <w:rFonts w:ascii="Arial" w:eastAsia="Arial" w:hAnsi="Arial" w:cs="Arial"/>
                <w:color w:val="auto"/>
              </w:rPr>
              <w:t xml:space="preserve">Strong </w:t>
            </w:r>
            <w:r w:rsidRPr="00297B24">
              <w:t>responses</w:t>
            </w:r>
            <w:r w:rsidRPr="00A24D4A">
              <w:rPr>
                <w:rFonts w:ascii="Arial" w:eastAsia="Arial" w:hAnsi="Arial" w:cs="Arial"/>
                <w:color w:val="auto"/>
              </w:rPr>
              <w:t xml:space="preserve"> clearly:</w:t>
            </w:r>
          </w:p>
          <w:p w14:paraId="66FFD0F7" w14:textId="77777777" w:rsidR="00324BB0" w:rsidRDefault="00324BB0" w:rsidP="001818DE">
            <w:pPr>
              <w:pStyle w:val="BodyText"/>
              <w:numPr>
                <w:ilvl w:val="0"/>
                <w:numId w:val="25"/>
              </w:numPr>
              <w:ind w:left="341" w:hanging="284"/>
              <w:rPr>
                <w:szCs w:val="22"/>
              </w:rPr>
            </w:pPr>
            <w:r>
              <w:rPr>
                <w:szCs w:val="22"/>
              </w:rPr>
              <w:t xml:space="preserve">explained why the project is important for the target </w:t>
            </w:r>
            <w:r w:rsidRPr="00297B24">
              <w:rPr>
                <w:rFonts w:ascii="Arial" w:eastAsia="Arial" w:hAnsi="Arial" w:cs="Arial"/>
                <w:color w:val="auto"/>
              </w:rPr>
              <w:t>group</w:t>
            </w:r>
          </w:p>
          <w:p w14:paraId="7F0073C9" w14:textId="77777777" w:rsidR="00324BB0" w:rsidRPr="00FB2C0A" w:rsidRDefault="00324BB0" w:rsidP="001818DE">
            <w:pPr>
              <w:pStyle w:val="BodyText"/>
              <w:numPr>
                <w:ilvl w:val="0"/>
                <w:numId w:val="25"/>
              </w:numPr>
              <w:ind w:left="341" w:hanging="284"/>
              <w:rPr>
                <w:szCs w:val="22"/>
              </w:rPr>
            </w:pPr>
            <w:r w:rsidRPr="00297B24">
              <w:rPr>
                <w:rFonts w:ascii="Arial" w:eastAsia="Arial" w:hAnsi="Arial" w:cs="Arial"/>
                <w:color w:val="auto"/>
              </w:rPr>
              <w:t>addressed</w:t>
            </w:r>
            <w:r>
              <w:rPr>
                <w:szCs w:val="22"/>
              </w:rPr>
              <w:t xml:space="preserve"> the benefits of the project to the target group.</w:t>
            </w:r>
          </w:p>
        </w:tc>
      </w:tr>
      <w:tr w:rsidR="00324BB0" w14:paraId="1F197FB2" w14:textId="77777777" w:rsidTr="00297B24">
        <w:tc>
          <w:tcPr>
            <w:tcW w:w="3261" w:type="dxa"/>
          </w:tcPr>
          <w:p w14:paraId="38D1B382" w14:textId="77777777" w:rsidR="00324BB0" w:rsidRPr="00297B24" w:rsidRDefault="00324BB0" w:rsidP="001818DE">
            <w:pPr>
              <w:spacing w:before="120" w:after="140"/>
              <w:ind w:left="57" w:right="57"/>
            </w:pPr>
            <w:r w:rsidRPr="00297B24">
              <w:t>Strong applications clearly described how the project addresses the grant opportunity objectives</w:t>
            </w:r>
          </w:p>
        </w:tc>
        <w:tc>
          <w:tcPr>
            <w:tcW w:w="6377" w:type="dxa"/>
          </w:tcPr>
          <w:p w14:paraId="5FE05026" w14:textId="77777777" w:rsidR="00324BB0" w:rsidRDefault="00324BB0" w:rsidP="001818DE">
            <w:pPr>
              <w:spacing w:before="120" w:after="140"/>
              <w:ind w:left="57" w:right="57"/>
              <w:rPr>
                <w:rFonts w:ascii="Arial" w:eastAsia="Arial" w:hAnsi="Arial" w:cs="Arial"/>
                <w:color w:val="auto"/>
              </w:rPr>
            </w:pPr>
            <w:r w:rsidRPr="00297B24">
              <w:t>Strong</w:t>
            </w:r>
            <w:r w:rsidRPr="00A24D4A">
              <w:rPr>
                <w:rFonts w:ascii="Arial" w:eastAsia="Arial" w:hAnsi="Arial" w:cs="Arial"/>
                <w:color w:val="auto"/>
              </w:rPr>
              <w:t xml:space="preserve"> responses clearly:</w:t>
            </w:r>
          </w:p>
          <w:p w14:paraId="3B6FBE69" w14:textId="77777777" w:rsidR="00324BB0"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identified a clear linkage between the project and the grant opportunity objectives</w:t>
            </w:r>
          </w:p>
          <w:p w14:paraId="48E89E9B" w14:textId="77777777" w:rsidR="00324BB0" w:rsidRPr="002C79DF"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indicated a clear understanding of the grant opportunity objectives.</w:t>
            </w:r>
          </w:p>
        </w:tc>
      </w:tr>
    </w:tbl>
    <w:p w14:paraId="50B81E9E" w14:textId="4017FA68" w:rsidR="00324BB0" w:rsidRDefault="00324BB0" w:rsidP="001818DE">
      <w:pPr>
        <w:pStyle w:val="Heading2"/>
        <w:pageBreakBefore/>
      </w:pPr>
      <w:r>
        <w:lastRenderedPageBreak/>
        <w:t>Criterion 2</w:t>
      </w:r>
    </w:p>
    <w:p w14:paraId="427B7D59" w14:textId="77777777" w:rsidR="00324BB0" w:rsidRDefault="00324BB0" w:rsidP="00324BB0">
      <w:pPr>
        <w:autoSpaceDE w:val="0"/>
        <w:autoSpaceDN w:val="0"/>
        <w:adjustRightInd w:val="0"/>
        <w:spacing w:line="240" w:lineRule="auto"/>
        <w:rPr>
          <w:rFonts w:cstheme="minorHAnsi"/>
          <w:b/>
          <w:bCs/>
          <w:color w:val="auto"/>
          <w:szCs w:val="22"/>
        </w:rPr>
      </w:pPr>
      <w:r w:rsidRPr="001C396F">
        <w:rPr>
          <w:rFonts w:cstheme="minorHAnsi"/>
          <w:b/>
          <w:bCs/>
          <w:color w:val="auto"/>
          <w:szCs w:val="22"/>
        </w:rPr>
        <w:t>Provide details of how people with disability will be involved in the grant activity, the</w:t>
      </w:r>
      <w:r>
        <w:rPr>
          <w:rFonts w:cstheme="minorHAnsi"/>
          <w:b/>
          <w:bCs/>
          <w:color w:val="auto"/>
          <w:szCs w:val="22"/>
        </w:rPr>
        <w:t xml:space="preserve"> </w:t>
      </w:r>
      <w:r w:rsidRPr="001C396F">
        <w:rPr>
          <w:rFonts w:cstheme="minorHAnsi"/>
          <w:b/>
          <w:bCs/>
          <w:color w:val="auto"/>
          <w:szCs w:val="22"/>
        </w:rPr>
        <w:t>expected outcomes and evidence of why it is needed.</w:t>
      </w:r>
    </w:p>
    <w:p w14:paraId="77094942" w14:textId="04625C59" w:rsidR="00324BB0" w:rsidRDefault="00324BB0" w:rsidP="001E2701">
      <w:pPr>
        <w:pStyle w:val="BodyText"/>
      </w:pPr>
      <w:r>
        <w:t xml:space="preserve">Co-design of activities and materials is an important aspect of the ILC program. This aims to ensure products and services delivered under an ILC grant are </w:t>
      </w:r>
      <w:r w:rsidR="00CA544B">
        <w:t>accessible and fit for purpose.</w:t>
      </w:r>
    </w:p>
    <w:p w14:paraId="1F40E8E9" w14:textId="44176E06" w:rsidR="00324BB0" w:rsidRDefault="00324BB0" w:rsidP="001E2701">
      <w:pPr>
        <w:pStyle w:val="BodyText"/>
      </w:pPr>
      <w:r>
        <w:t>Adequate detail on how people with disability have/will be involved and or engaged in the design was an important asp</w:t>
      </w:r>
      <w:r w:rsidR="001E2701">
        <w:t>ect of the application process.</w:t>
      </w:r>
    </w:p>
    <w:p w14:paraId="1C070E4E" w14:textId="41C9B036" w:rsidR="00324BB0" w:rsidRPr="001E2701" w:rsidRDefault="00324BB0" w:rsidP="001E2701">
      <w:pPr>
        <w:pStyle w:val="BodyText"/>
      </w:pPr>
      <w:r>
        <w:t xml:space="preserve">An understanding of the </w:t>
      </w:r>
      <w:r w:rsidR="005D399D">
        <w:t xml:space="preserve">Social Model </w:t>
      </w:r>
      <w:r>
        <w:t xml:space="preserve">of </w:t>
      </w:r>
      <w:r w:rsidR="005D399D">
        <w:t xml:space="preserve">Disability </w:t>
      </w:r>
      <w:r>
        <w:t xml:space="preserve">is important in this regard, to ensure activities/projects are appropriate for the target group and priority cohorts. A clear understanding of the </w:t>
      </w:r>
      <w:r w:rsidR="005D399D">
        <w:t xml:space="preserve">Social Model </w:t>
      </w:r>
      <w:r>
        <w:t xml:space="preserve">of </w:t>
      </w:r>
      <w:r w:rsidR="005D399D">
        <w:t xml:space="preserve">Disability </w:t>
      </w:r>
      <w:r>
        <w:t xml:space="preserve">can be seen </w:t>
      </w:r>
      <w:r w:rsidR="005D399D">
        <w:t xml:space="preserve">in </w:t>
      </w:r>
      <w:r>
        <w:t>high performing applications t</w:t>
      </w:r>
      <w:r w:rsidR="001E2701">
        <w:t>hrough this criterion response.</w:t>
      </w:r>
    </w:p>
    <w:tbl>
      <w:tblPr>
        <w:tblStyle w:val="CGHTableBanded"/>
        <w:tblW w:w="0" w:type="auto"/>
        <w:tblLook w:val="04A0" w:firstRow="1" w:lastRow="0" w:firstColumn="1" w:lastColumn="0" w:noHBand="0" w:noVBand="1"/>
        <w:tblCaption w:val="Feedback Table"/>
      </w:tblPr>
      <w:tblGrid>
        <w:gridCol w:w="3261"/>
        <w:gridCol w:w="6377"/>
      </w:tblGrid>
      <w:tr w:rsidR="00324BB0" w:rsidRPr="00CA544B" w14:paraId="079CE096" w14:textId="77777777" w:rsidTr="001818DE">
        <w:trPr>
          <w:cnfStyle w:val="100000000000" w:firstRow="1" w:lastRow="0" w:firstColumn="0" w:lastColumn="0" w:oddVBand="0" w:evenVBand="0" w:oddHBand="0" w:evenHBand="0" w:firstRowFirstColumn="0" w:firstRowLastColumn="0" w:lastRowFirstColumn="0" w:lastRowLastColumn="0"/>
          <w:trHeight w:val="472"/>
          <w:tblHeader/>
        </w:trPr>
        <w:tc>
          <w:tcPr>
            <w:tcW w:w="3261" w:type="dxa"/>
            <w:vAlign w:val="center"/>
          </w:tcPr>
          <w:p w14:paraId="55BC8114" w14:textId="77777777" w:rsidR="00324BB0" w:rsidRPr="00CA544B" w:rsidRDefault="00324BB0" w:rsidP="001818DE">
            <w:pPr>
              <w:spacing w:before="120" w:after="120"/>
              <w:ind w:left="57" w:right="57"/>
              <w:rPr>
                <w:rFonts w:ascii="Arial" w:hAnsi="Arial" w:cs="Arial"/>
                <w:b/>
              </w:rPr>
            </w:pPr>
            <w:r w:rsidRPr="00CA544B">
              <w:rPr>
                <w:rFonts w:ascii="Arial" w:hAnsi="Arial" w:cs="Arial"/>
                <w:b/>
              </w:rPr>
              <w:t>Strength</w:t>
            </w:r>
          </w:p>
        </w:tc>
        <w:tc>
          <w:tcPr>
            <w:tcW w:w="6377" w:type="dxa"/>
            <w:vAlign w:val="center"/>
          </w:tcPr>
          <w:p w14:paraId="3BB0C5B1" w14:textId="77777777" w:rsidR="00324BB0" w:rsidRPr="00CA544B" w:rsidRDefault="00324BB0" w:rsidP="001818DE">
            <w:pPr>
              <w:spacing w:before="120" w:after="120"/>
              <w:ind w:left="57" w:right="57"/>
              <w:rPr>
                <w:rFonts w:ascii="Arial" w:hAnsi="Arial" w:cs="Arial"/>
                <w:b/>
              </w:rPr>
            </w:pPr>
            <w:r w:rsidRPr="00CA544B">
              <w:rPr>
                <w:rFonts w:ascii="Arial" w:hAnsi="Arial" w:cs="Arial"/>
                <w:b/>
              </w:rPr>
              <w:t>Example</w:t>
            </w:r>
          </w:p>
        </w:tc>
      </w:tr>
      <w:tr w:rsidR="00324BB0" w:rsidRPr="00CA544B" w14:paraId="34EDE103" w14:textId="77777777" w:rsidTr="00297B24">
        <w:trPr>
          <w:cnfStyle w:val="000000100000" w:firstRow="0" w:lastRow="0" w:firstColumn="0" w:lastColumn="0" w:oddVBand="0" w:evenVBand="0" w:oddHBand="1" w:evenHBand="0" w:firstRowFirstColumn="0" w:firstRowLastColumn="0" w:lastRowFirstColumn="0" w:lastRowLastColumn="0"/>
        </w:trPr>
        <w:tc>
          <w:tcPr>
            <w:tcW w:w="3261" w:type="dxa"/>
          </w:tcPr>
          <w:p w14:paraId="28608055" w14:textId="426CCB5B" w:rsidR="00324BB0" w:rsidRPr="00CA544B" w:rsidRDefault="00324BB0" w:rsidP="001818DE">
            <w:pPr>
              <w:spacing w:before="120" w:after="140"/>
              <w:ind w:left="57" w:right="57"/>
              <w:rPr>
                <w:rFonts w:ascii="Arial" w:hAnsi="Arial" w:cs="Arial"/>
              </w:rPr>
            </w:pPr>
            <w:r w:rsidRPr="00CA544B">
              <w:rPr>
                <w:rFonts w:ascii="Arial" w:hAnsi="Arial" w:cs="Arial"/>
              </w:rPr>
              <w:t>Strong applications clearly demonstrated the involvement and collaboration of people with disability in the project</w:t>
            </w:r>
          </w:p>
        </w:tc>
        <w:tc>
          <w:tcPr>
            <w:tcW w:w="6377" w:type="dxa"/>
          </w:tcPr>
          <w:p w14:paraId="19280C4E" w14:textId="77777777" w:rsidR="00324BB0" w:rsidRPr="00CA544B" w:rsidRDefault="00324BB0" w:rsidP="001818DE">
            <w:pPr>
              <w:spacing w:before="120" w:after="140"/>
              <w:ind w:left="57" w:right="57"/>
              <w:rPr>
                <w:rFonts w:ascii="Arial" w:eastAsia="Arial" w:hAnsi="Arial" w:cs="Arial"/>
                <w:color w:val="auto"/>
              </w:rPr>
            </w:pPr>
            <w:r w:rsidRPr="00CA544B">
              <w:rPr>
                <w:rFonts w:ascii="Arial" w:hAnsi="Arial" w:cs="Arial"/>
              </w:rPr>
              <w:t>Strong</w:t>
            </w:r>
            <w:r w:rsidRPr="00CA544B">
              <w:rPr>
                <w:rFonts w:ascii="Arial" w:eastAsia="Arial" w:hAnsi="Arial" w:cs="Arial"/>
                <w:color w:val="auto"/>
              </w:rPr>
              <w:t xml:space="preserve"> responses clearly:</w:t>
            </w:r>
          </w:p>
          <w:p w14:paraId="306CD47E" w14:textId="77777777" w:rsidR="00324BB0" w:rsidRPr="00CA544B" w:rsidRDefault="00324BB0" w:rsidP="001818DE">
            <w:pPr>
              <w:pStyle w:val="BodyText"/>
              <w:numPr>
                <w:ilvl w:val="0"/>
                <w:numId w:val="25"/>
              </w:numPr>
              <w:ind w:left="341" w:hanging="284"/>
              <w:rPr>
                <w:rFonts w:ascii="Arial" w:eastAsia="Arial" w:hAnsi="Arial" w:cs="Arial"/>
                <w:color w:val="auto"/>
              </w:rPr>
            </w:pPr>
            <w:r w:rsidRPr="00CA544B">
              <w:rPr>
                <w:rFonts w:ascii="Arial" w:eastAsia="Arial" w:hAnsi="Arial" w:cs="Arial"/>
                <w:color w:val="auto"/>
              </w:rPr>
              <w:t>described how people with disability will be involved through employment, in the co-designing and delivery of the project</w:t>
            </w:r>
          </w:p>
          <w:p w14:paraId="5A20BC8A" w14:textId="77777777" w:rsidR="00324BB0" w:rsidRPr="00CA544B" w:rsidRDefault="00324BB0" w:rsidP="001818DE">
            <w:pPr>
              <w:pStyle w:val="BodyText"/>
              <w:numPr>
                <w:ilvl w:val="0"/>
                <w:numId w:val="25"/>
              </w:numPr>
              <w:ind w:left="341" w:hanging="284"/>
              <w:rPr>
                <w:rFonts w:ascii="Arial" w:eastAsia="Arial" w:hAnsi="Arial" w:cs="Arial"/>
                <w:color w:val="auto"/>
              </w:rPr>
            </w:pPr>
            <w:r w:rsidRPr="00CA544B">
              <w:rPr>
                <w:rFonts w:ascii="Arial" w:eastAsia="Arial" w:hAnsi="Arial" w:cs="Arial"/>
                <w:color w:val="auto"/>
              </w:rPr>
              <w:t>provided evidence to demonstrate the inclusion of people with disability in the project in a meaningful way.</w:t>
            </w:r>
          </w:p>
        </w:tc>
      </w:tr>
      <w:tr w:rsidR="00324BB0" w:rsidRPr="00CA544B" w14:paraId="576E0B95" w14:textId="77777777" w:rsidTr="00297B24">
        <w:tc>
          <w:tcPr>
            <w:tcW w:w="3261" w:type="dxa"/>
          </w:tcPr>
          <w:p w14:paraId="24DDF2A1" w14:textId="6C50048A" w:rsidR="00324BB0" w:rsidRPr="00CA544B" w:rsidRDefault="00324BB0" w:rsidP="001818DE">
            <w:pPr>
              <w:spacing w:before="120" w:after="140"/>
              <w:ind w:left="57" w:right="57"/>
              <w:rPr>
                <w:rFonts w:ascii="Arial" w:hAnsi="Arial" w:cs="Arial"/>
              </w:rPr>
            </w:pPr>
            <w:r w:rsidRPr="00CA544B">
              <w:rPr>
                <w:rFonts w:ascii="Arial" w:hAnsi="Arial" w:cs="Arial"/>
              </w:rPr>
              <w:t xml:space="preserve">Strong applications clearly described the outcomes the project would expect to achieve, </w:t>
            </w:r>
            <w:r w:rsidR="00CA544B">
              <w:rPr>
                <w:rFonts w:ascii="Arial" w:hAnsi="Arial" w:cs="Arial"/>
              </w:rPr>
              <w:t>and how they would achieve them</w:t>
            </w:r>
          </w:p>
        </w:tc>
        <w:tc>
          <w:tcPr>
            <w:tcW w:w="6377" w:type="dxa"/>
          </w:tcPr>
          <w:p w14:paraId="71B1C95A" w14:textId="77777777" w:rsidR="00324BB0" w:rsidRPr="00CA544B" w:rsidRDefault="00324BB0" w:rsidP="001818DE">
            <w:pPr>
              <w:spacing w:before="120" w:after="140"/>
              <w:ind w:left="57" w:right="57"/>
              <w:rPr>
                <w:rFonts w:ascii="Arial" w:eastAsia="Arial" w:hAnsi="Arial" w:cs="Arial"/>
                <w:color w:val="auto"/>
              </w:rPr>
            </w:pPr>
            <w:r w:rsidRPr="00CA544B">
              <w:rPr>
                <w:rFonts w:ascii="Arial" w:hAnsi="Arial" w:cs="Arial"/>
              </w:rPr>
              <w:t>Strong</w:t>
            </w:r>
            <w:r w:rsidRPr="00CA544B">
              <w:rPr>
                <w:rFonts w:ascii="Arial" w:eastAsia="Arial" w:hAnsi="Arial" w:cs="Arial"/>
                <w:color w:val="auto"/>
              </w:rPr>
              <w:t xml:space="preserve"> responses clearly:</w:t>
            </w:r>
          </w:p>
          <w:p w14:paraId="4C866ABF" w14:textId="77777777" w:rsidR="00324BB0" w:rsidRPr="00CA544B" w:rsidRDefault="00324BB0" w:rsidP="001818DE">
            <w:pPr>
              <w:pStyle w:val="BodyText"/>
              <w:numPr>
                <w:ilvl w:val="0"/>
                <w:numId w:val="25"/>
              </w:numPr>
              <w:ind w:left="341" w:hanging="284"/>
              <w:rPr>
                <w:rFonts w:ascii="Arial" w:hAnsi="Arial" w:cs="Arial"/>
                <w:szCs w:val="22"/>
              </w:rPr>
            </w:pPr>
            <w:r w:rsidRPr="00CA544B">
              <w:rPr>
                <w:rFonts w:ascii="Arial" w:eastAsia="Arial" w:hAnsi="Arial" w:cs="Arial"/>
                <w:color w:val="auto"/>
              </w:rPr>
              <w:t>described</w:t>
            </w:r>
            <w:r w:rsidRPr="00CA544B">
              <w:rPr>
                <w:rFonts w:ascii="Arial" w:hAnsi="Arial" w:cs="Arial"/>
                <w:szCs w:val="22"/>
              </w:rPr>
              <w:t xml:space="preserve"> the outcomes in a clear and methodical way</w:t>
            </w:r>
          </w:p>
          <w:p w14:paraId="5BB9EE56" w14:textId="77777777" w:rsidR="00324BB0" w:rsidRPr="00CA544B" w:rsidRDefault="00324BB0" w:rsidP="001818DE">
            <w:pPr>
              <w:pStyle w:val="BodyText"/>
              <w:numPr>
                <w:ilvl w:val="0"/>
                <w:numId w:val="25"/>
              </w:numPr>
              <w:ind w:left="341" w:hanging="284"/>
              <w:rPr>
                <w:rFonts w:ascii="Arial" w:eastAsia="Arial" w:hAnsi="Arial" w:cs="Arial"/>
                <w:color w:val="auto"/>
              </w:rPr>
            </w:pPr>
            <w:r w:rsidRPr="00CA544B">
              <w:rPr>
                <w:rFonts w:ascii="Arial" w:eastAsia="Arial" w:hAnsi="Arial" w:cs="Arial"/>
                <w:color w:val="auto"/>
              </w:rPr>
              <w:t>provided specific details in project milestones</w:t>
            </w:r>
          </w:p>
          <w:p w14:paraId="06F947FD" w14:textId="77777777" w:rsidR="00324BB0" w:rsidRPr="00CA544B" w:rsidRDefault="00324BB0" w:rsidP="001818DE">
            <w:pPr>
              <w:pStyle w:val="BodyText"/>
              <w:numPr>
                <w:ilvl w:val="0"/>
                <w:numId w:val="25"/>
              </w:numPr>
              <w:ind w:left="341" w:hanging="284"/>
              <w:rPr>
                <w:rFonts w:ascii="Arial" w:eastAsia="Arial" w:hAnsi="Arial" w:cs="Arial"/>
                <w:color w:val="auto"/>
              </w:rPr>
            </w:pPr>
            <w:r w:rsidRPr="00CA544B">
              <w:rPr>
                <w:rFonts w:ascii="Arial" w:eastAsia="Arial" w:hAnsi="Arial" w:cs="Arial"/>
                <w:color w:val="auto"/>
              </w:rPr>
              <w:t>ensured the organisation had the capacity and capability to achieve the outcomes</w:t>
            </w:r>
          </w:p>
          <w:p w14:paraId="244B7A39" w14:textId="39DAA297" w:rsidR="00324BB0" w:rsidRPr="00CA544B" w:rsidRDefault="00324BB0" w:rsidP="001818DE">
            <w:pPr>
              <w:pStyle w:val="BodyText"/>
              <w:numPr>
                <w:ilvl w:val="0"/>
                <w:numId w:val="25"/>
              </w:numPr>
              <w:ind w:left="341" w:hanging="284"/>
              <w:rPr>
                <w:rFonts w:ascii="Arial" w:eastAsia="Arial" w:hAnsi="Arial" w:cs="Arial"/>
                <w:color w:val="auto"/>
              </w:rPr>
            </w:pPr>
            <w:r w:rsidRPr="00CA544B">
              <w:rPr>
                <w:rFonts w:ascii="Arial" w:eastAsia="Arial" w:hAnsi="Arial" w:cs="Arial"/>
                <w:color w:val="auto"/>
              </w:rPr>
              <w:t>identified specific app</w:t>
            </w:r>
            <w:r w:rsidR="009B5B5B">
              <w:rPr>
                <w:rFonts w:ascii="Arial" w:eastAsia="Arial" w:hAnsi="Arial" w:cs="Arial"/>
                <w:color w:val="auto"/>
              </w:rPr>
              <w:t>roaches to measure the outcomes</w:t>
            </w:r>
          </w:p>
          <w:p w14:paraId="7E9C90DB" w14:textId="7CA3A3F3" w:rsidR="00324BB0" w:rsidRPr="00CA544B" w:rsidRDefault="00324BB0" w:rsidP="001818DE">
            <w:pPr>
              <w:pStyle w:val="BodyText"/>
              <w:numPr>
                <w:ilvl w:val="0"/>
                <w:numId w:val="25"/>
              </w:numPr>
              <w:ind w:left="341" w:hanging="284"/>
              <w:rPr>
                <w:rFonts w:ascii="Arial" w:hAnsi="Arial" w:cs="Arial"/>
                <w:szCs w:val="22"/>
              </w:rPr>
            </w:pPr>
            <w:r w:rsidRPr="00CA544B">
              <w:rPr>
                <w:rFonts w:ascii="Arial" w:eastAsia="Arial" w:hAnsi="Arial" w:cs="Arial"/>
                <w:color w:val="auto"/>
              </w:rPr>
              <w:t>des</w:t>
            </w:r>
            <w:r w:rsidRPr="00CA544B">
              <w:rPr>
                <w:rFonts w:ascii="Arial" w:hAnsi="Arial" w:cs="Arial"/>
                <w:szCs w:val="22"/>
              </w:rPr>
              <w:t>cribed outcomes and outcome measures where possible, not just outputs</w:t>
            </w:r>
            <w:r w:rsidR="009B5B5B">
              <w:rPr>
                <w:rFonts w:ascii="Arial" w:hAnsi="Arial" w:cs="Arial"/>
                <w:szCs w:val="22"/>
              </w:rPr>
              <w:t>.</w:t>
            </w:r>
          </w:p>
        </w:tc>
      </w:tr>
      <w:tr w:rsidR="00324BB0" w:rsidRPr="00CA544B" w14:paraId="0C069EE1" w14:textId="77777777" w:rsidTr="00297B24">
        <w:trPr>
          <w:cnfStyle w:val="000000100000" w:firstRow="0" w:lastRow="0" w:firstColumn="0" w:lastColumn="0" w:oddVBand="0" w:evenVBand="0" w:oddHBand="1" w:evenHBand="0" w:firstRowFirstColumn="0" w:firstRowLastColumn="0" w:lastRowFirstColumn="0" w:lastRowLastColumn="0"/>
        </w:trPr>
        <w:tc>
          <w:tcPr>
            <w:tcW w:w="3261" w:type="dxa"/>
          </w:tcPr>
          <w:p w14:paraId="33BF2DDE" w14:textId="77777777" w:rsidR="00324BB0" w:rsidRPr="00CA544B" w:rsidRDefault="00324BB0" w:rsidP="001818DE">
            <w:pPr>
              <w:spacing w:before="120" w:after="140"/>
              <w:ind w:left="57" w:right="57"/>
              <w:rPr>
                <w:rFonts w:ascii="Arial" w:hAnsi="Arial" w:cs="Arial"/>
              </w:rPr>
            </w:pPr>
            <w:r w:rsidRPr="00CA544B">
              <w:rPr>
                <w:rFonts w:ascii="Arial" w:hAnsi="Arial" w:cs="Arial"/>
              </w:rPr>
              <w:t>Strong applications clearly described</w:t>
            </w:r>
            <w:r w:rsidRPr="00CA544B" w:rsidDel="00F76062">
              <w:rPr>
                <w:rFonts w:ascii="Arial" w:hAnsi="Arial" w:cs="Arial"/>
              </w:rPr>
              <w:t xml:space="preserve"> </w:t>
            </w:r>
            <w:r w:rsidRPr="00CA544B">
              <w:rPr>
                <w:rFonts w:ascii="Arial" w:hAnsi="Arial" w:cs="Arial"/>
              </w:rPr>
              <w:t>the scalability and sustainability of the project beyond the grant period</w:t>
            </w:r>
          </w:p>
        </w:tc>
        <w:tc>
          <w:tcPr>
            <w:tcW w:w="6377" w:type="dxa"/>
          </w:tcPr>
          <w:p w14:paraId="484F7637" w14:textId="77777777" w:rsidR="00324BB0" w:rsidRPr="00CA544B" w:rsidRDefault="00324BB0" w:rsidP="001818DE">
            <w:pPr>
              <w:spacing w:before="120" w:after="140"/>
              <w:ind w:left="57" w:right="57"/>
              <w:rPr>
                <w:rFonts w:ascii="Arial" w:eastAsia="Arial" w:hAnsi="Arial" w:cs="Arial"/>
                <w:color w:val="auto"/>
              </w:rPr>
            </w:pPr>
            <w:r w:rsidRPr="00CA544B">
              <w:rPr>
                <w:rFonts w:ascii="Arial" w:hAnsi="Arial" w:cs="Arial"/>
              </w:rPr>
              <w:t>Strong</w:t>
            </w:r>
            <w:r w:rsidRPr="00CA544B">
              <w:rPr>
                <w:rFonts w:ascii="Arial" w:eastAsia="Arial" w:hAnsi="Arial" w:cs="Arial"/>
                <w:color w:val="auto"/>
              </w:rPr>
              <w:t xml:space="preserve"> responses clearly:</w:t>
            </w:r>
          </w:p>
          <w:p w14:paraId="2B76EA48" w14:textId="77777777" w:rsidR="00324BB0" w:rsidRPr="00CA544B" w:rsidRDefault="00324BB0" w:rsidP="001818DE">
            <w:pPr>
              <w:pStyle w:val="BodyText"/>
              <w:numPr>
                <w:ilvl w:val="0"/>
                <w:numId w:val="25"/>
              </w:numPr>
              <w:ind w:left="341" w:hanging="284"/>
              <w:rPr>
                <w:rFonts w:ascii="Arial" w:hAnsi="Arial" w:cs="Arial"/>
                <w:szCs w:val="22"/>
              </w:rPr>
            </w:pPr>
            <w:r w:rsidRPr="00CA544B">
              <w:rPr>
                <w:rFonts w:ascii="Arial" w:eastAsia="Arial" w:hAnsi="Arial" w:cs="Arial"/>
                <w:color w:val="auto"/>
              </w:rPr>
              <w:t>demonstrated</w:t>
            </w:r>
            <w:r w:rsidRPr="00CA544B">
              <w:rPr>
                <w:rFonts w:ascii="Arial" w:hAnsi="Arial" w:cs="Arial"/>
                <w:szCs w:val="22"/>
              </w:rPr>
              <w:t xml:space="preserve"> the organisation’s intention and capability to both continue and expand the project state-wide or nationally after the grant period.</w:t>
            </w:r>
          </w:p>
        </w:tc>
      </w:tr>
    </w:tbl>
    <w:p w14:paraId="17B9D97A" w14:textId="3A120B52" w:rsidR="00324BB0" w:rsidRDefault="00324BB0" w:rsidP="001818DE">
      <w:pPr>
        <w:pStyle w:val="Heading2"/>
        <w:pageBreakBefore/>
      </w:pPr>
      <w:r>
        <w:lastRenderedPageBreak/>
        <w:t>Criterion 3</w:t>
      </w:r>
    </w:p>
    <w:p w14:paraId="4FD8EE78" w14:textId="77777777" w:rsidR="00324BB0" w:rsidRDefault="00324BB0" w:rsidP="00324BB0">
      <w:pPr>
        <w:pStyle w:val="BodyText"/>
        <w:spacing w:before="60"/>
        <w:rPr>
          <w:rFonts w:cstheme="minorHAnsi"/>
          <w:b/>
          <w:bCs/>
          <w:color w:val="auto"/>
          <w:szCs w:val="22"/>
        </w:rPr>
      </w:pPr>
      <w:r w:rsidRPr="001C396F">
        <w:rPr>
          <w:rFonts w:cstheme="minorHAnsi"/>
          <w:b/>
          <w:bCs/>
          <w:color w:val="auto"/>
          <w:szCs w:val="22"/>
        </w:rPr>
        <w:t>Demonstrate your organisation’s capability and capacity to successfully deliver the grant.</w:t>
      </w:r>
    </w:p>
    <w:p w14:paraId="50414091" w14:textId="77777777" w:rsidR="00324BB0" w:rsidRPr="001E2701" w:rsidRDefault="00324BB0" w:rsidP="001E2701">
      <w:pPr>
        <w:pStyle w:val="BodyText"/>
      </w:pPr>
      <w:r>
        <w:t>Established relationships with employers was an important aspect of this grant opportunity. At times, limited information was provided on the status of relationships, or in the case of consortia, the capacity of organisations listed to undertake the role assigned to them.</w:t>
      </w:r>
    </w:p>
    <w:p w14:paraId="0AB8BFE2" w14:textId="103AAB55" w:rsidR="00324BB0" w:rsidRPr="001E2701" w:rsidRDefault="00324BB0" w:rsidP="001E2701">
      <w:pPr>
        <w:pStyle w:val="BodyText"/>
      </w:pPr>
      <w:r>
        <w:t>Additionally, the stakeholder engagement plan, which was an attachment to this criterion, provided applicants with the ability to demonstrate their understanding of the disability and employment sectors and the status of their relationships with employers. Stakeholder plans that were well filled out and aligned with the grant opportunity showed applicant understanding of the sector and provided assurance they had the knowledge and ca</w:t>
      </w:r>
      <w:r w:rsidR="001E2701">
        <w:t>pacity to execute the activity.</w:t>
      </w:r>
    </w:p>
    <w:tbl>
      <w:tblPr>
        <w:tblStyle w:val="CGHTableBanded"/>
        <w:tblW w:w="0" w:type="auto"/>
        <w:tblLook w:val="04A0" w:firstRow="1" w:lastRow="0" w:firstColumn="1" w:lastColumn="0" w:noHBand="0" w:noVBand="1"/>
        <w:tblCaption w:val="Feedback Table"/>
      </w:tblPr>
      <w:tblGrid>
        <w:gridCol w:w="3261"/>
        <w:gridCol w:w="6377"/>
      </w:tblGrid>
      <w:tr w:rsidR="00324BB0" w14:paraId="0FBA697C" w14:textId="77777777" w:rsidTr="001818DE">
        <w:trPr>
          <w:cnfStyle w:val="100000000000" w:firstRow="1" w:lastRow="0" w:firstColumn="0" w:lastColumn="0" w:oddVBand="0" w:evenVBand="0" w:oddHBand="0" w:evenHBand="0" w:firstRowFirstColumn="0" w:firstRowLastColumn="0" w:lastRowFirstColumn="0" w:lastRowLastColumn="0"/>
          <w:trHeight w:val="472"/>
          <w:tblHeader/>
        </w:trPr>
        <w:tc>
          <w:tcPr>
            <w:tcW w:w="3261" w:type="dxa"/>
            <w:vAlign w:val="center"/>
          </w:tcPr>
          <w:p w14:paraId="6CA5FF5D" w14:textId="77777777" w:rsidR="00324BB0" w:rsidRPr="00297B24" w:rsidRDefault="00324BB0" w:rsidP="001818DE">
            <w:pPr>
              <w:spacing w:before="120" w:after="120"/>
              <w:ind w:left="57" w:right="57"/>
              <w:rPr>
                <w:b/>
              </w:rPr>
            </w:pPr>
            <w:r w:rsidRPr="00297B24">
              <w:rPr>
                <w:b/>
              </w:rPr>
              <w:t>Strength</w:t>
            </w:r>
          </w:p>
        </w:tc>
        <w:tc>
          <w:tcPr>
            <w:tcW w:w="6377" w:type="dxa"/>
            <w:vAlign w:val="center"/>
          </w:tcPr>
          <w:p w14:paraId="374290D1" w14:textId="77777777" w:rsidR="00324BB0" w:rsidRPr="00297B24" w:rsidRDefault="00324BB0" w:rsidP="001818DE">
            <w:pPr>
              <w:spacing w:before="120" w:after="120"/>
              <w:ind w:left="57" w:right="57"/>
              <w:rPr>
                <w:b/>
              </w:rPr>
            </w:pPr>
            <w:r w:rsidRPr="00297B24">
              <w:rPr>
                <w:b/>
              </w:rPr>
              <w:t>Example</w:t>
            </w:r>
          </w:p>
        </w:tc>
      </w:tr>
      <w:tr w:rsidR="00324BB0" w14:paraId="756A26D1" w14:textId="77777777" w:rsidTr="00297B24">
        <w:trPr>
          <w:cnfStyle w:val="000000100000" w:firstRow="0" w:lastRow="0" w:firstColumn="0" w:lastColumn="0" w:oddVBand="0" w:evenVBand="0" w:oddHBand="1" w:evenHBand="0" w:firstRowFirstColumn="0" w:firstRowLastColumn="0" w:lastRowFirstColumn="0" w:lastRowLastColumn="0"/>
        </w:trPr>
        <w:tc>
          <w:tcPr>
            <w:tcW w:w="3261" w:type="dxa"/>
          </w:tcPr>
          <w:p w14:paraId="7D6D7F6D" w14:textId="5CEBA58B" w:rsidR="00324BB0" w:rsidRPr="00297B24" w:rsidRDefault="00324BB0" w:rsidP="001818DE">
            <w:pPr>
              <w:spacing w:before="120" w:after="140"/>
              <w:ind w:left="57" w:right="57"/>
              <w:rPr>
                <w:rFonts w:ascii="Arial" w:eastAsia="Arial" w:hAnsi="Arial" w:cs="Arial"/>
                <w:color w:val="auto"/>
                <w:szCs w:val="22"/>
              </w:rPr>
            </w:pPr>
            <w:r w:rsidRPr="00297B24">
              <w:rPr>
                <w:rFonts w:ascii="Arial" w:eastAsia="Arial" w:hAnsi="Arial" w:cs="Arial"/>
                <w:color w:val="auto"/>
                <w:szCs w:val="22"/>
              </w:rPr>
              <w:t xml:space="preserve">Strong applications </w:t>
            </w:r>
            <w:r w:rsidRPr="00297B24">
              <w:t>clearly demonstrated the evidence of organisation’s experience and capability to work with employers to improve dis</w:t>
            </w:r>
            <w:r w:rsidR="00297B24">
              <w:t>ability inclusion and diversity</w:t>
            </w:r>
          </w:p>
        </w:tc>
        <w:tc>
          <w:tcPr>
            <w:tcW w:w="6377" w:type="dxa"/>
          </w:tcPr>
          <w:p w14:paraId="6CBE8071" w14:textId="763750C8" w:rsidR="00324BB0" w:rsidRPr="008E1EAE" w:rsidRDefault="00324BB0" w:rsidP="001818DE">
            <w:pPr>
              <w:spacing w:before="120" w:after="140"/>
              <w:ind w:left="57" w:right="57"/>
              <w:rPr>
                <w:rFonts w:ascii="Arial" w:eastAsia="Arial" w:hAnsi="Arial" w:cs="Arial"/>
                <w:color w:val="auto"/>
              </w:rPr>
            </w:pPr>
            <w:r>
              <w:rPr>
                <w:rFonts w:ascii="Arial" w:eastAsia="Arial" w:hAnsi="Arial" w:cs="Arial"/>
                <w:color w:val="auto"/>
              </w:rPr>
              <w:t xml:space="preserve">Strong </w:t>
            </w:r>
            <w:r w:rsidRPr="00297B24">
              <w:t>responses</w:t>
            </w:r>
            <w:r>
              <w:rPr>
                <w:rFonts w:ascii="Arial" w:eastAsia="Arial" w:hAnsi="Arial" w:cs="Arial"/>
                <w:color w:val="auto"/>
              </w:rPr>
              <w:t xml:space="preserve"> clearly:</w:t>
            </w:r>
          </w:p>
          <w:p w14:paraId="63525507" w14:textId="77777777" w:rsidR="00324BB0"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provided strong and relevant evidence of established relationships with employers</w:t>
            </w:r>
          </w:p>
          <w:p w14:paraId="6894CF9F" w14:textId="77777777" w:rsidR="00324BB0"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demonstrated how previous experience with employers would be significant to the success of the project</w:t>
            </w:r>
          </w:p>
          <w:p w14:paraId="2FEDFE0D" w14:textId="029384AF" w:rsidR="00324BB0"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 xml:space="preserve">indicated the employers’ intention to improve disability inclusion </w:t>
            </w:r>
            <w:r w:rsidR="00CA544B">
              <w:rPr>
                <w:rFonts w:ascii="Arial" w:eastAsia="Arial" w:hAnsi="Arial" w:cs="Arial"/>
                <w:color w:val="auto"/>
              </w:rPr>
              <w:t>and diversity in the workforce</w:t>
            </w:r>
          </w:p>
          <w:p w14:paraId="5837F2CA" w14:textId="288E9CEA" w:rsidR="00324BB0" w:rsidRPr="008E1EAE"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demonstrated understanding of employers needs and constraints</w:t>
            </w:r>
            <w:r w:rsidR="00CA544B">
              <w:rPr>
                <w:rFonts w:ascii="Arial" w:eastAsia="Arial" w:hAnsi="Arial" w:cs="Arial"/>
                <w:color w:val="auto"/>
              </w:rPr>
              <w:t>.</w:t>
            </w:r>
          </w:p>
        </w:tc>
      </w:tr>
      <w:tr w:rsidR="00324BB0" w14:paraId="661FE705" w14:textId="77777777" w:rsidTr="00297B24">
        <w:tc>
          <w:tcPr>
            <w:tcW w:w="3261" w:type="dxa"/>
          </w:tcPr>
          <w:p w14:paraId="04600E4D" w14:textId="63A05809" w:rsidR="00324BB0" w:rsidRPr="00297B24" w:rsidRDefault="00324BB0" w:rsidP="001818DE">
            <w:pPr>
              <w:spacing w:before="120" w:after="140"/>
              <w:ind w:left="57" w:right="57"/>
              <w:rPr>
                <w:szCs w:val="22"/>
              </w:rPr>
            </w:pPr>
            <w:r w:rsidRPr="00297B24">
              <w:rPr>
                <w:rFonts w:ascii="Arial" w:eastAsia="Arial" w:hAnsi="Arial" w:cs="Arial"/>
                <w:color w:val="auto"/>
                <w:szCs w:val="22"/>
              </w:rPr>
              <w:t xml:space="preserve">Strong applications </w:t>
            </w:r>
            <w:r w:rsidRPr="00297B24">
              <w:t>clearly described the organisation’s existing partnerships with key stakeholders, and their capacity and capability to successfully deliver the project</w:t>
            </w:r>
          </w:p>
        </w:tc>
        <w:tc>
          <w:tcPr>
            <w:tcW w:w="6377" w:type="dxa"/>
          </w:tcPr>
          <w:p w14:paraId="74114283" w14:textId="77777777" w:rsidR="00324BB0" w:rsidRDefault="00324BB0" w:rsidP="001818DE">
            <w:pPr>
              <w:spacing w:before="120" w:after="140"/>
              <w:ind w:left="57" w:right="57"/>
              <w:rPr>
                <w:rFonts w:ascii="Arial" w:eastAsia="Arial" w:hAnsi="Arial" w:cs="Arial"/>
                <w:color w:val="auto"/>
              </w:rPr>
            </w:pPr>
            <w:r w:rsidRPr="00A24D4A">
              <w:rPr>
                <w:rFonts w:ascii="Arial" w:eastAsia="Arial" w:hAnsi="Arial" w:cs="Arial"/>
                <w:color w:val="auto"/>
              </w:rPr>
              <w:t xml:space="preserve">Strong </w:t>
            </w:r>
            <w:r w:rsidRPr="00297B24">
              <w:t>responses</w:t>
            </w:r>
            <w:r w:rsidRPr="00A24D4A">
              <w:rPr>
                <w:rFonts w:ascii="Arial" w:eastAsia="Arial" w:hAnsi="Arial" w:cs="Arial"/>
                <w:color w:val="auto"/>
              </w:rPr>
              <w:t xml:space="preserve"> clearly:</w:t>
            </w:r>
          </w:p>
          <w:p w14:paraId="553191AD" w14:textId="77777777" w:rsidR="00324BB0" w:rsidRDefault="00324BB0" w:rsidP="001818DE">
            <w:pPr>
              <w:pStyle w:val="BodyText"/>
              <w:numPr>
                <w:ilvl w:val="0"/>
                <w:numId w:val="25"/>
              </w:numPr>
              <w:ind w:left="341" w:hanging="284"/>
              <w:rPr>
                <w:szCs w:val="22"/>
              </w:rPr>
            </w:pPr>
            <w:r w:rsidRPr="00297B24">
              <w:rPr>
                <w:rFonts w:ascii="Arial" w:eastAsia="Arial" w:hAnsi="Arial" w:cs="Arial"/>
                <w:color w:val="auto"/>
              </w:rPr>
              <w:t>described</w:t>
            </w:r>
            <w:r>
              <w:rPr>
                <w:szCs w:val="22"/>
              </w:rPr>
              <w:t xml:space="preserve"> how the organisation would use its existing partnerships to achieve the project outcomes</w:t>
            </w:r>
          </w:p>
          <w:p w14:paraId="69AE7DE0" w14:textId="77777777" w:rsidR="00324BB0" w:rsidRPr="002117E7" w:rsidRDefault="00324BB0" w:rsidP="001818DE">
            <w:pPr>
              <w:pStyle w:val="BodyText"/>
              <w:numPr>
                <w:ilvl w:val="0"/>
                <w:numId w:val="25"/>
              </w:numPr>
              <w:ind w:left="341" w:hanging="284"/>
              <w:rPr>
                <w:szCs w:val="22"/>
              </w:rPr>
            </w:pPr>
            <w:r>
              <w:rPr>
                <w:szCs w:val="22"/>
              </w:rPr>
              <w:t xml:space="preserve">provided strong and relevant evidence of the </w:t>
            </w:r>
            <w:r w:rsidRPr="00297B24">
              <w:rPr>
                <w:rFonts w:ascii="Arial" w:eastAsia="Arial" w:hAnsi="Arial" w:cs="Arial"/>
                <w:color w:val="auto"/>
              </w:rPr>
              <w:t>organisation’s</w:t>
            </w:r>
            <w:r>
              <w:rPr>
                <w:szCs w:val="22"/>
              </w:rPr>
              <w:t xml:space="preserve"> previous projects with the respective stakeholder.</w:t>
            </w:r>
          </w:p>
        </w:tc>
      </w:tr>
      <w:tr w:rsidR="00324BB0" w14:paraId="6C74EE8C" w14:textId="77777777" w:rsidTr="00297B24">
        <w:trPr>
          <w:cnfStyle w:val="000000100000" w:firstRow="0" w:lastRow="0" w:firstColumn="0" w:lastColumn="0" w:oddVBand="0" w:evenVBand="0" w:oddHBand="1" w:evenHBand="0" w:firstRowFirstColumn="0" w:firstRowLastColumn="0" w:lastRowFirstColumn="0" w:lastRowLastColumn="0"/>
        </w:trPr>
        <w:tc>
          <w:tcPr>
            <w:tcW w:w="3261" w:type="dxa"/>
          </w:tcPr>
          <w:p w14:paraId="70EE9330" w14:textId="77777777" w:rsidR="00324BB0" w:rsidRPr="00297B24" w:rsidRDefault="00324BB0" w:rsidP="001818DE">
            <w:pPr>
              <w:spacing w:before="120" w:after="140"/>
              <w:ind w:left="57" w:right="57"/>
              <w:rPr>
                <w:szCs w:val="22"/>
              </w:rPr>
            </w:pPr>
            <w:r w:rsidRPr="00297B24">
              <w:rPr>
                <w:rFonts w:ascii="Arial" w:eastAsia="Arial" w:hAnsi="Arial" w:cs="Arial"/>
                <w:color w:val="auto"/>
                <w:szCs w:val="22"/>
              </w:rPr>
              <w:t xml:space="preserve">Strong applications </w:t>
            </w:r>
            <w:r w:rsidRPr="00297B24">
              <w:t>clearly described the state of the relationships with key stakeholders required to successfully deliver the project</w:t>
            </w:r>
          </w:p>
        </w:tc>
        <w:tc>
          <w:tcPr>
            <w:tcW w:w="6377" w:type="dxa"/>
          </w:tcPr>
          <w:p w14:paraId="0B91999E" w14:textId="77777777" w:rsidR="00324BB0" w:rsidRDefault="00324BB0" w:rsidP="001818DE">
            <w:pPr>
              <w:spacing w:before="120" w:after="140"/>
              <w:ind w:left="57" w:right="57"/>
              <w:rPr>
                <w:rFonts w:ascii="Arial" w:eastAsia="Arial" w:hAnsi="Arial" w:cs="Arial"/>
                <w:color w:val="auto"/>
              </w:rPr>
            </w:pPr>
            <w:r w:rsidRPr="00A24D4A">
              <w:rPr>
                <w:rFonts w:ascii="Arial" w:eastAsia="Arial" w:hAnsi="Arial" w:cs="Arial"/>
                <w:color w:val="auto"/>
              </w:rPr>
              <w:t xml:space="preserve">Strong </w:t>
            </w:r>
            <w:r w:rsidRPr="00297B24">
              <w:t>responses</w:t>
            </w:r>
            <w:r w:rsidRPr="00A24D4A">
              <w:rPr>
                <w:rFonts w:ascii="Arial" w:eastAsia="Arial" w:hAnsi="Arial" w:cs="Arial"/>
                <w:color w:val="auto"/>
              </w:rPr>
              <w:t xml:space="preserve"> clearly:</w:t>
            </w:r>
          </w:p>
          <w:p w14:paraId="6BBEFB91" w14:textId="77777777" w:rsidR="00324BB0" w:rsidRPr="0098397C" w:rsidRDefault="00324BB0" w:rsidP="001818DE">
            <w:pPr>
              <w:pStyle w:val="BodyText"/>
              <w:numPr>
                <w:ilvl w:val="0"/>
                <w:numId w:val="25"/>
              </w:numPr>
              <w:ind w:left="341" w:hanging="284"/>
              <w:rPr>
                <w:szCs w:val="22"/>
              </w:rPr>
            </w:pPr>
            <w:r>
              <w:rPr>
                <w:szCs w:val="22"/>
              </w:rPr>
              <w:t xml:space="preserve">identified both existing and potential stakeholders </w:t>
            </w:r>
            <w:r w:rsidRPr="00297B24">
              <w:rPr>
                <w:rFonts w:ascii="Arial" w:eastAsia="Arial" w:hAnsi="Arial" w:cs="Arial"/>
                <w:color w:val="auto"/>
              </w:rPr>
              <w:t>involved</w:t>
            </w:r>
            <w:r>
              <w:rPr>
                <w:szCs w:val="22"/>
              </w:rPr>
              <w:t xml:space="preserve"> in the project, including explaining</w:t>
            </w:r>
            <w:r w:rsidRPr="0098397C">
              <w:rPr>
                <w:szCs w:val="22"/>
              </w:rPr>
              <w:t xml:space="preserve"> the steps needed to establish new relationships with potential stakeholders</w:t>
            </w:r>
          </w:p>
          <w:p w14:paraId="18C5DA39" w14:textId="77777777" w:rsidR="00324BB0" w:rsidRDefault="00324BB0" w:rsidP="001818DE">
            <w:pPr>
              <w:pStyle w:val="BodyText"/>
              <w:numPr>
                <w:ilvl w:val="0"/>
                <w:numId w:val="25"/>
              </w:numPr>
              <w:ind w:left="341" w:hanging="284"/>
              <w:rPr>
                <w:szCs w:val="22"/>
              </w:rPr>
            </w:pPr>
            <w:r w:rsidRPr="00297B24">
              <w:rPr>
                <w:rFonts w:ascii="Arial" w:eastAsia="Arial" w:hAnsi="Arial" w:cs="Arial"/>
                <w:color w:val="auto"/>
              </w:rPr>
              <w:t>explained</w:t>
            </w:r>
            <w:r>
              <w:rPr>
                <w:szCs w:val="22"/>
              </w:rPr>
              <w:t xml:space="preserve"> why each stakeholder is important for the project</w:t>
            </w:r>
          </w:p>
          <w:p w14:paraId="79516996" w14:textId="77777777" w:rsidR="00324BB0" w:rsidRPr="0098397C" w:rsidRDefault="00324BB0" w:rsidP="001818DE">
            <w:pPr>
              <w:pStyle w:val="BodyText"/>
              <w:numPr>
                <w:ilvl w:val="0"/>
                <w:numId w:val="25"/>
              </w:numPr>
              <w:ind w:left="341" w:hanging="284"/>
              <w:rPr>
                <w:szCs w:val="22"/>
              </w:rPr>
            </w:pPr>
            <w:r w:rsidRPr="00297B24">
              <w:rPr>
                <w:rFonts w:ascii="Arial" w:eastAsia="Arial" w:hAnsi="Arial" w:cs="Arial"/>
                <w:color w:val="auto"/>
              </w:rPr>
              <w:t>outlined</w:t>
            </w:r>
            <w:r>
              <w:rPr>
                <w:szCs w:val="22"/>
              </w:rPr>
              <w:t xml:space="preserve"> the role of each stakeholder in the project</w:t>
            </w:r>
          </w:p>
          <w:p w14:paraId="434C9820" w14:textId="77777777" w:rsidR="00324BB0" w:rsidRPr="002117E7" w:rsidRDefault="00324BB0" w:rsidP="001818DE">
            <w:pPr>
              <w:pStyle w:val="BodyText"/>
              <w:numPr>
                <w:ilvl w:val="0"/>
                <w:numId w:val="25"/>
              </w:numPr>
              <w:ind w:left="341" w:hanging="284"/>
              <w:rPr>
                <w:szCs w:val="22"/>
              </w:rPr>
            </w:pPr>
            <w:r w:rsidRPr="00297B24">
              <w:rPr>
                <w:rFonts w:ascii="Arial" w:eastAsia="Arial" w:hAnsi="Arial" w:cs="Arial"/>
                <w:color w:val="auto"/>
              </w:rPr>
              <w:t>provided</w:t>
            </w:r>
            <w:r>
              <w:rPr>
                <w:szCs w:val="22"/>
              </w:rPr>
              <w:t xml:space="preserve"> a complete and detailed stakeholder engagement plan.</w:t>
            </w:r>
          </w:p>
        </w:tc>
      </w:tr>
      <w:tr w:rsidR="00324BB0" w14:paraId="45BD2AD2" w14:textId="77777777" w:rsidTr="00297B24">
        <w:tc>
          <w:tcPr>
            <w:tcW w:w="3261" w:type="dxa"/>
          </w:tcPr>
          <w:p w14:paraId="5CF0526A" w14:textId="77777777" w:rsidR="00324BB0" w:rsidRPr="00297B24" w:rsidRDefault="00324BB0" w:rsidP="001818DE">
            <w:pPr>
              <w:spacing w:before="120" w:after="140"/>
              <w:ind w:left="57" w:right="57"/>
              <w:rPr>
                <w:rFonts w:ascii="Arial" w:eastAsia="Arial" w:hAnsi="Arial" w:cs="Arial"/>
                <w:color w:val="auto"/>
                <w:szCs w:val="22"/>
              </w:rPr>
            </w:pPr>
            <w:r w:rsidRPr="00297B24">
              <w:rPr>
                <w:rFonts w:ascii="Arial" w:eastAsia="Arial" w:hAnsi="Arial" w:cs="Arial"/>
                <w:color w:val="auto"/>
                <w:szCs w:val="22"/>
              </w:rPr>
              <w:lastRenderedPageBreak/>
              <w:t xml:space="preserve">Strong applications clearly described how </w:t>
            </w:r>
            <w:r w:rsidRPr="00297B24">
              <w:t>employers</w:t>
            </w:r>
            <w:r w:rsidRPr="00297B24">
              <w:rPr>
                <w:rFonts w:ascii="Arial" w:eastAsia="Arial" w:hAnsi="Arial" w:cs="Arial"/>
                <w:color w:val="auto"/>
                <w:szCs w:val="22"/>
              </w:rPr>
              <w:t xml:space="preserve"> would be involved in the project and how it would increase employment of people with disability</w:t>
            </w:r>
          </w:p>
        </w:tc>
        <w:tc>
          <w:tcPr>
            <w:tcW w:w="6377" w:type="dxa"/>
          </w:tcPr>
          <w:p w14:paraId="0A969988" w14:textId="77777777" w:rsidR="00324BB0" w:rsidRDefault="00324BB0" w:rsidP="001818DE">
            <w:pPr>
              <w:spacing w:before="120" w:after="140"/>
              <w:ind w:left="57" w:right="57"/>
              <w:rPr>
                <w:rFonts w:ascii="Arial" w:eastAsia="Arial" w:hAnsi="Arial" w:cs="Arial"/>
                <w:color w:val="auto"/>
              </w:rPr>
            </w:pPr>
            <w:r w:rsidRPr="00297B24">
              <w:t>Strong</w:t>
            </w:r>
            <w:r w:rsidRPr="00A24D4A">
              <w:rPr>
                <w:rFonts w:ascii="Arial" w:eastAsia="Arial" w:hAnsi="Arial" w:cs="Arial"/>
                <w:color w:val="auto"/>
              </w:rPr>
              <w:t xml:space="preserve"> responses clearly:</w:t>
            </w:r>
          </w:p>
          <w:p w14:paraId="4E8CB4E5" w14:textId="77777777" w:rsidR="00324BB0"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described how employers would be involved or participate in the project.</w:t>
            </w:r>
          </w:p>
          <w:p w14:paraId="0704A1C4" w14:textId="77777777" w:rsidR="00324BB0"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demonstrated understanding of employers needs and constraints</w:t>
            </w:r>
          </w:p>
          <w:p w14:paraId="57BE973F" w14:textId="77777777" w:rsidR="00324BB0" w:rsidRPr="002117E7" w:rsidRDefault="00324BB0" w:rsidP="001818DE">
            <w:pPr>
              <w:pStyle w:val="BodyText"/>
              <w:numPr>
                <w:ilvl w:val="0"/>
                <w:numId w:val="25"/>
              </w:numPr>
              <w:ind w:left="341" w:hanging="284"/>
              <w:rPr>
                <w:rFonts w:ascii="Arial" w:eastAsia="Arial" w:hAnsi="Arial" w:cs="Arial"/>
                <w:color w:val="auto"/>
              </w:rPr>
            </w:pPr>
            <w:r>
              <w:rPr>
                <w:rFonts w:ascii="Arial" w:eastAsia="Arial" w:hAnsi="Arial" w:cs="Arial"/>
                <w:color w:val="auto"/>
              </w:rPr>
              <w:t>described how the project could create a change for employers in increasing employment of people with disability.</w:t>
            </w:r>
          </w:p>
        </w:tc>
      </w:tr>
    </w:tbl>
    <w:p w14:paraId="26970586" w14:textId="592CAB99" w:rsidR="00FA1F45" w:rsidRPr="00297B24" w:rsidRDefault="00FA1F45" w:rsidP="00297B24">
      <w:pPr>
        <w:pStyle w:val="BodyText"/>
      </w:pPr>
    </w:p>
    <w:sectPr w:rsidR="00FA1F45" w:rsidRPr="00297B24"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83BE" w14:textId="77777777" w:rsidR="00C239A6" w:rsidRDefault="00C239A6" w:rsidP="00772718">
      <w:pPr>
        <w:spacing w:line="240" w:lineRule="auto"/>
      </w:pPr>
      <w:r>
        <w:separator/>
      </w:r>
    </w:p>
  </w:endnote>
  <w:endnote w:type="continuationSeparator" w:id="0">
    <w:p w14:paraId="3D57B42A" w14:textId="77777777" w:rsidR="00C239A6" w:rsidRDefault="00C239A6"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449017FA" w:rsidR="00A14495" w:rsidRPr="001E2701" w:rsidRDefault="001E2701" w:rsidP="001E2701">
    <w:pPr>
      <w:pStyle w:val="Footer"/>
      <w:tabs>
        <w:tab w:val="clear" w:pos="4513"/>
        <w:tab w:val="clear" w:pos="9026"/>
        <w:tab w:val="right" w:pos="9638"/>
      </w:tabs>
      <w:rPr>
        <w:b w:val="0"/>
      </w:rPr>
    </w:pPr>
    <w:r w:rsidRPr="001E2701">
      <w:rPr>
        <w:b w:val="0"/>
      </w:rPr>
      <w:t xml:space="preserve">Economic and Community Participation Program </w:t>
    </w:r>
    <w:r>
      <w:rPr>
        <w:b w:val="0"/>
      </w:rPr>
      <w:tab/>
    </w:r>
    <w:r w:rsidRPr="001E2701">
      <w:rPr>
        <w:b w:val="0"/>
      </w:rPr>
      <w:t xml:space="preserve">Page </w:t>
    </w:r>
    <w:r w:rsidRPr="001E2701">
      <w:rPr>
        <w:b w:val="0"/>
        <w:bCs/>
      </w:rPr>
      <w:fldChar w:fldCharType="begin"/>
    </w:r>
    <w:r w:rsidRPr="001E2701">
      <w:rPr>
        <w:b w:val="0"/>
        <w:bCs/>
      </w:rPr>
      <w:instrText xml:space="preserve"> PAGE  \* Arabic  \* MERGEFORMAT </w:instrText>
    </w:r>
    <w:r w:rsidRPr="001E2701">
      <w:rPr>
        <w:b w:val="0"/>
        <w:bCs/>
      </w:rPr>
      <w:fldChar w:fldCharType="separate"/>
    </w:r>
    <w:r w:rsidR="00644FED">
      <w:rPr>
        <w:b w:val="0"/>
        <w:bCs/>
        <w:noProof/>
      </w:rPr>
      <w:t>4</w:t>
    </w:r>
    <w:r w:rsidRPr="001E2701">
      <w:rPr>
        <w:b w:val="0"/>
        <w:bCs/>
      </w:rPr>
      <w:fldChar w:fldCharType="end"/>
    </w:r>
    <w:r w:rsidRPr="001E2701">
      <w:rPr>
        <w:b w:val="0"/>
      </w:rPr>
      <w:t xml:space="preserve"> of </w:t>
    </w:r>
    <w:r w:rsidRPr="001E2701">
      <w:rPr>
        <w:b w:val="0"/>
        <w:bCs/>
      </w:rPr>
      <w:fldChar w:fldCharType="begin"/>
    </w:r>
    <w:r w:rsidRPr="001E2701">
      <w:rPr>
        <w:b w:val="0"/>
        <w:bCs/>
      </w:rPr>
      <w:instrText xml:space="preserve"> NUMPAGES  \* Arabic  \* MERGEFORMAT </w:instrText>
    </w:r>
    <w:r w:rsidRPr="001E2701">
      <w:rPr>
        <w:b w:val="0"/>
        <w:bCs/>
      </w:rPr>
      <w:fldChar w:fldCharType="separate"/>
    </w:r>
    <w:r w:rsidR="00644FED">
      <w:rPr>
        <w:b w:val="0"/>
        <w:bCs/>
        <w:noProof/>
      </w:rPr>
      <w:t>8</w:t>
    </w:r>
    <w:r w:rsidRPr="001E2701">
      <w:rPr>
        <w:b w:val="0"/>
        <w:bCs/>
      </w:rPr>
      <w:fldChar w:fldCharType="end"/>
    </w:r>
    <w:r>
      <w:rPr>
        <w:b w:val="0"/>
      </w:rPr>
      <w:br/>
    </w:r>
    <w:r w:rsidRPr="001E2701">
      <w:rPr>
        <w:b w:val="0"/>
      </w:rPr>
      <w:t>Building Employer Confidence and Inclusion in Disability</w:t>
    </w:r>
    <w:r w:rsidR="00E13525">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D61AF"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5E31C825" w:rsidR="00D91B18" w:rsidRPr="001E2701" w:rsidRDefault="001E2701" w:rsidP="001E2701">
    <w:pPr>
      <w:pStyle w:val="Footer"/>
      <w:tabs>
        <w:tab w:val="clear" w:pos="4513"/>
        <w:tab w:val="clear" w:pos="9026"/>
        <w:tab w:val="right" w:pos="9638"/>
      </w:tabs>
      <w:rPr>
        <w:b w:val="0"/>
      </w:rPr>
    </w:pPr>
    <w:r w:rsidRPr="001E2701">
      <w:rPr>
        <w:b w:val="0"/>
      </w:rPr>
      <w:t xml:space="preserve">Economic and Community Participation Program </w:t>
    </w:r>
    <w:r>
      <w:rPr>
        <w:b w:val="0"/>
      </w:rPr>
      <w:tab/>
    </w:r>
    <w:r w:rsidRPr="001E2701">
      <w:rPr>
        <w:b w:val="0"/>
      </w:rPr>
      <w:t xml:space="preserve">Page </w:t>
    </w:r>
    <w:r w:rsidRPr="001E2701">
      <w:rPr>
        <w:b w:val="0"/>
        <w:bCs/>
      </w:rPr>
      <w:fldChar w:fldCharType="begin"/>
    </w:r>
    <w:r w:rsidRPr="001E2701">
      <w:rPr>
        <w:b w:val="0"/>
        <w:bCs/>
      </w:rPr>
      <w:instrText xml:space="preserve"> PAGE  \* Arabic  \* MERGEFORMAT </w:instrText>
    </w:r>
    <w:r w:rsidRPr="001E2701">
      <w:rPr>
        <w:b w:val="0"/>
        <w:bCs/>
      </w:rPr>
      <w:fldChar w:fldCharType="separate"/>
    </w:r>
    <w:r w:rsidR="00644FED">
      <w:rPr>
        <w:b w:val="0"/>
        <w:bCs/>
        <w:noProof/>
      </w:rPr>
      <w:t>1</w:t>
    </w:r>
    <w:r w:rsidRPr="001E2701">
      <w:rPr>
        <w:b w:val="0"/>
        <w:bCs/>
      </w:rPr>
      <w:fldChar w:fldCharType="end"/>
    </w:r>
    <w:r w:rsidRPr="001E2701">
      <w:rPr>
        <w:b w:val="0"/>
      </w:rPr>
      <w:t xml:space="preserve"> of </w:t>
    </w:r>
    <w:r w:rsidRPr="001E2701">
      <w:rPr>
        <w:b w:val="0"/>
        <w:bCs/>
      </w:rPr>
      <w:fldChar w:fldCharType="begin"/>
    </w:r>
    <w:r w:rsidRPr="001E2701">
      <w:rPr>
        <w:b w:val="0"/>
        <w:bCs/>
      </w:rPr>
      <w:instrText xml:space="preserve"> NUMPAGES  \* Arabic  \* MERGEFORMAT </w:instrText>
    </w:r>
    <w:r w:rsidRPr="001E2701">
      <w:rPr>
        <w:b w:val="0"/>
        <w:bCs/>
      </w:rPr>
      <w:fldChar w:fldCharType="separate"/>
    </w:r>
    <w:r w:rsidR="00644FED">
      <w:rPr>
        <w:b w:val="0"/>
        <w:bCs/>
        <w:noProof/>
      </w:rPr>
      <w:t>8</w:t>
    </w:r>
    <w:r w:rsidRPr="001E2701">
      <w:rPr>
        <w:b w:val="0"/>
        <w:bCs/>
      </w:rPr>
      <w:fldChar w:fldCharType="end"/>
    </w:r>
    <w:r>
      <w:rPr>
        <w:b w:val="0"/>
      </w:rPr>
      <w:br/>
    </w:r>
    <w:r w:rsidRPr="001E2701">
      <w:rPr>
        <w:b w:val="0"/>
      </w:rPr>
      <w:t>Building Employer Confidence and Inclusion in Disability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1F301" w14:textId="77777777" w:rsidR="00C239A6" w:rsidRDefault="00C239A6" w:rsidP="00772718">
      <w:pPr>
        <w:spacing w:line="240" w:lineRule="auto"/>
      </w:pPr>
      <w:r>
        <w:separator/>
      </w:r>
    </w:p>
  </w:footnote>
  <w:footnote w:type="continuationSeparator" w:id="0">
    <w:p w14:paraId="6D85E4F9" w14:textId="77777777" w:rsidR="00C239A6" w:rsidRDefault="00C239A6" w:rsidP="00772718">
      <w:pPr>
        <w:spacing w:line="240" w:lineRule="auto"/>
      </w:pPr>
      <w:r>
        <w:continuationSeparator/>
      </w:r>
    </w:p>
  </w:footnote>
  <w:footnote w:id="1">
    <w:p w14:paraId="4AC35200" w14:textId="486158AF" w:rsidR="001E2701" w:rsidRPr="00297B24" w:rsidRDefault="001E2701" w:rsidP="001E2701">
      <w:pPr>
        <w:pStyle w:val="06Bodycopy"/>
        <w:rPr>
          <w:rFonts w:asciiTheme="majorHAnsi" w:hAnsiTheme="majorHAnsi" w:cstheme="majorHAnsi"/>
          <w:sz w:val="16"/>
          <w:szCs w:val="16"/>
        </w:rPr>
      </w:pPr>
      <w:r w:rsidRPr="00297B24">
        <w:rPr>
          <w:rStyle w:val="FootnoteReference"/>
          <w:rFonts w:asciiTheme="majorHAnsi" w:hAnsiTheme="majorHAnsi" w:cstheme="majorHAnsi"/>
          <w:sz w:val="16"/>
          <w:szCs w:val="16"/>
        </w:rPr>
        <w:footnoteRef/>
      </w:r>
      <w:r w:rsidRPr="00297B24">
        <w:rPr>
          <w:rFonts w:asciiTheme="majorHAnsi" w:hAnsiTheme="majorHAnsi" w:cstheme="majorHAnsi"/>
          <w:sz w:val="16"/>
          <w:szCs w:val="16"/>
        </w:rPr>
        <w:t xml:space="preserve"> </w:t>
      </w:r>
      <w:r w:rsidRPr="00297B24">
        <w:rPr>
          <w:rFonts w:asciiTheme="majorHAnsi" w:hAnsiTheme="majorHAnsi" w:cstheme="majorHAnsi"/>
          <w:sz w:val="16"/>
          <w:szCs w:val="16"/>
        </w:rPr>
        <w:t xml:space="preserve">Definition of the Social Model of Disability, taken from </w:t>
      </w:r>
      <w:hyperlink r:id="rId1" w:history="1">
        <w:r w:rsidRPr="00644FED">
          <w:rPr>
            <w:rStyle w:val="Hyperlink"/>
            <w:rFonts w:asciiTheme="majorHAnsi" w:hAnsiTheme="majorHAnsi" w:cstheme="majorHAnsi"/>
            <w:color w:val="3366CC"/>
            <w:sz w:val="16"/>
            <w:szCs w:val="16"/>
          </w:rPr>
          <w:t>Australia’</w:t>
        </w:r>
        <w:r w:rsidRPr="00644FED">
          <w:rPr>
            <w:rStyle w:val="Hyperlink"/>
            <w:rFonts w:asciiTheme="majorHAnsi" w:hAnsiTheme="majorHAnsi" w:cstheme="majorHAnsi"/>
            <w:color w:val="3366CC"/>
            <w:sz w:val="16"/>
            <w:szCs w:val="16"/>
          </w:rPr>
          <w:t>s</w:t>
        </w:r>
        <w:r w:rsidRPr="00644FED">
          <w:rPr>
            <w:rStyle w:val="Hyperlink"/>
            <w:rFonts w:asciiTheme="majorHAnsi" w:hAnsiTheme="majorHAnsi" w:cstheme="majorHAnsi"/>
            <w:color w:val="3366CC"/>
            <w:sz w:val="16"/>
            <w:szCs w:val="16"/>
          </w:rPr>
          <w:t xml:space="preserve"> Disability Strategy 2021-2031</w:t>
        </w:r>
      </w:hyperlink>
      <w:r w:rsidRPr="00297B24">
        <w:rPr>
          <w:rFonts w:asciiTheme="majorHAnsi" w:hAnsiTheme="majorHAnsi" w:cstheme="majorHAnsi"/>
          <w:sz w:val="16"/>
          <w:szCs w:val="16"/>
        </w:rPr>
        <w:t xml:space="preserve">. The Social Model of Disability recognises attitudes, practices and structures can be disabling and act as barriers preventing people from fulfilling their potential and exercising their rights as </w:t>
      </w:r>
      <w:r w:rsidR="00297B24" w:rsidRPr="00297B24">
        <w:rPr>
          <w:rFonts w:asciiTheme="majorHAnsi" w:hAnsiTheme="majorHAnsi" w:cstheme="majorHAnsi"/>
          <w:sz w:val="16"/>
          <w:szCs w:val="16"/>
        </w:rPr>
        <w:t>equal members of the community.</w:t>
      </w:r>
    </w:p>
    <w:p w14:paraId="66137EB4" w14:textId="05A3F140" w:rsidR="001E2701" w:rsidRPr="00297B24" w:rsidRDefault="001E2701" w:rsidP="001E2701">
      <w:pPr>
        <w:pStyle w:val="06Bodycopy"/>
        <w:rPr>
          <w:rFonts w:ascii="Arial" w:hAnsi="Arial" w:cs="Arial"/>
          <w:sz w:val="16"/>
          <w:szCs w:val="18"/>
        </w:rPr>
      </w:pPr>
      <w:r w:rsidRPr="00297B24">
        <w:rPr>
          <w:rFonts w:asciiTheme="majorHAnsi" w:hAnsiTheme="majorHAnsi" w:cstheme="majorHAnsi"/>
          <w:sz w:val="16"/>
          <w:szCs w:val="16"/>
        </w:rPr>
        <w:t>Further, the United Nations Convention on the Rights of Persons with Disabilities provides disability results from the ‘interaction between persons with impairments and attitudinal and environmental barriers hindering full and effective participation in society on an equal basis with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5B95B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Pr="001E2701" w:rsidRDefault="0016612C">
    <w:pPr>
      <w:pStyle w:val="Header"/>
      <w:rPr>
        <w:rFonts w:ascii="Arial" w:hAnsi="Arial" w:cs="Arial"/>
        <w:b w:val="0"/>
      </w:rPr>
    </w:pPr>
    <w:r w:rsidRPr="001E2701">
      <w:rPr>
        <w:rFonts w:ascii="Arial" w:hAnsi="Arial" w:cs="Arial"/>
        <w:b w:val="0"/>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sidRPr="001E2701">
      <w:rPr>
        <w:rFonts w:ascii="Arial" w:hAnsi="Arial" w:cs="Arial"/>
        <w:b w:val="0"/>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D46F2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sidRPr="001E2701">
      <w:rPr>
        <w:rFonts w:ascii="Arial" w:hAnsi="Arial" w:cs="Arial"/>
        <w:b w:val="0"/>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7F8467"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sidRPr="001E2701">
      <w:rPr>
        <w:rFonts w:ascii="Arial" w:hAnsi="Arial" w:cs="Arial"/>
        <w:b w:val="0"/>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7FCC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365FD4"/>
    <w:multiLevelType w:val="hybridMultilevel"/>
    <w:tmpl w:val="23B0876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8D9120C"/>
    <w:multiLevelType w:val="hybridMultilevel"/>
    <w:tmpl w:val="0DF26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D1B2D"/>
    <w:multiLevelType w:val="hybridMultilevel"/>
    <w:tmpl w:val="6A5A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56781"/>
    <w:multiLevelType w:val="hybridMultilevel"/>
    <w:tmpl w:val="04DCC65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9597C7C"/>
    <w:multiLevelType w:val="hybridMultilevel"/>
    <w:tmpl w:val="FF982CFC"/>
    <w:lvl w:ilvl="0" w:tplc="1A802A2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74030"/>
    <w:multiLevelType w:val="hybridMultilevel"/>
    <w:tmpl w:val="A16C322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23615E"/>
    <w:multiLevelType w:val="hybridMultilevel"/>
    <w:tmpl w:val="456E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8D06281"/>
    <w:multiLevelType w:val="hybridMultilevel"/>
    <w:tmpl w:val="6F023E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5D334837"/>
    <w:multiLevelType w:val="hybridMultilevel"/>
    <w:tmpl w:val="6884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70D8B"/>
    <w:multiLevelType w:val="hybridMultilevel"/>
    <w:tmpl w:val="C4D4791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7D917B93"/>
    <w:multiLevelType w:val="hybridMultilevel"/>
    <w:tmpl w:val="00F8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6"/>
  </w:num>
  <w:num w:numId="4">
    <w:abstractNumId w:val="15"/>
  </w:num>
  <w:num w:numId="5">
    <w:abstractNumId w:val="14"/>
  </w:num>
  <w:num w:numId="6">
    <w:abstractNumId w:val="12"/>
  </w:num>
  <w:num w:numId="7">
    <w:abstractNumId w:val="7"/>
  </w:num>
  <w:num w:numId="8">
    <w:abstractNumId w:val="19"/>
  </w:num>
  <w:num w:numId="9">
    <w:abstractNumId w:val="16"/>
  </w:num>
  <w:num w:numId="10">
    <w:abstractNumId w:val="5"/>
  </w:num>
  <w:num w:numId="11">
    <w:abstractNumId w:val="8"/>
  </w:num>
  <w:num w:numId="12">
    <w:abstractNumId w:val="5"/>
  </w:num>
  <w:num w:numId="13">
    <w:abstractNumId w:val="21"/>
  </w:num>
  <w:num w:numId="14">
    <w:abstractNumId w:val="10"/>
  </w:num>
  <w:num w:numId="15">
    <w:abstractNumId w:val="22"/>
  </w:num>
  <w:num w:numId="16">
    <w:abstractNumId w:val="11"/>
  </w:num>
  <w:num w:numId="17">
    <w:abstractNumId w:val="4"/>
  </w:num>
  <w:num w:numId="18">
    <w:abstractNumId w:val="1"/>
  </w:num>
  <w:num w:numId="19">
    <w:abstractNumId w:val="23"/>
  </w:num>
  <w:num w:numId="20">
    <w:abstractNumId w:val="18"/>
  </w:num>
  <w:num w:numId="21">
    <w:abstractNumId w:val="17"/>
  </w:num>
  <w:num w:numId="22">
    <w:abstractNumId w:val="2"/>
  </w:num>
  <w:num w:numId="23">
    <w:abstractNumId w:val="3"/>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6D4A"/>
    <w:rsid w:val="00007DE9"/>
    <w:rsid w:val="00015AE4"/>
    <w:rsid w:val="0003018E"/>
    <w:rsid w:val="00033BC3"/>
    <w:rsid w:val="00044E09"/>
    <w:rsid w:val="000455E3"/>
    <w:rsid w:val="0004784D"/>
    <w:rsid w:val="000535A3"/>
    <w:rsid w:val="00053A00"/>
    <w:rsid w:val="00053DC5"/>
    <w:rsid w:val="000551F5"/>
    <w:rsid w:val="00063776"/>
    <w:rsid w:val="000653A2"/>
    <w:rsid w:val="000B6C00"/>
    <w:rsid w:val="000C0E4E"/>
    <w:rsid w:val="000C1F06"/>
    <w:rsid w:val="000D002B"/>
    <w:rsid w:val="000F1DD1"/>
    <w:rsid w:val="000F28B8"/>
    <w:rsid w:val="000F3766"/>
    <w:rsid w:val="00100880"/>
    <w:rsid w:val="00106FC4"/>
    <w:rsid w:val="00111F0C"/>
    <w:rsid w:val="00120B80"/>
    <w:rsid w:val="00127CFB"/>
    <w:rsid w:val="00136832"/>
    <w:rsid w:val="00145E2D"/>
    <w:rsid w:val="0016612C"/>
    <w:rsid w:val="001763D4"/>
    <w:rsid w:val="00181433"/>
    <w:rsid w:val="001818DE"/>
    <w:rsid w:val="001834DD"/>
    <w:rsid w:val="00191BCF"/>
    <w:rsid w:val="001B73B3"/>
    <w:rsid w:val="001C396F"/>
    <w:rsid w:val="001C53CE"/>
    <w:rsid w:val="001C5D96"/>
    <w:rsid w:val="001D341B"/>
    <w:rsid w:val="001E0E1F"/>
    <w:rsid w:val="001E1439"/>
    <w:rsid w:val="001E2701"/>
    <w:rsid w:val="001E3D2B"/>
    <w:rsid w:val="001E5415"/>
    <w:rsid w:val="001E66CE"/>
    <w:rsid w:val="001F6BE5"/>
    <w:rsid w:val="002117E7"/>
    <w:rsid w:val="002165B4"/>
    <w:rsid w:val="00221DC2"/>
    <w:rsid w:val="00243004"/>
    <w:rsid w:val="00244B48"/>
    <w:rsid w:val="00256CDA"/>
    <w:rsid w:val="002573D5"/>
    <w:rsid w:val="002600F2"/>
    <w:rsid w:val="00264E26"/>
    <w:rsid w:val="00280E74"/>
    <w:rsid w:val="00284E4B"/>
    <w:rsid w:val="00285374"/>
    <w:rsid w:val="00297B24"/>
    <w:rsid w:val="002A41E1"/>
    <w:rsid w:val="002B6574"/>
    <w:rsid w:val="002C79DF"/>
    <w:rsid w:val="002D3419"/>
    <w:rsid w:val="002D4D48"/>
    <w:rsid w:val="002E0AA1"/>
    <w:rsid w:val="002E1CCC"/>
    <w:rsid w:val="002E21D2"/>
    <w:rsid w:val="002F7D3C"/>
    <w:rsid w:val="00302D5E"/>
    <w:rsid w:val="00305250"/>
    <w:rsid w:val="00305720"/>
    <w:rsid w:val="00306D77"/>
    <w:rsid w:val="0031098A"/>
    <w:rsid w:val="003131AB"/>
    <w:rsid w:val="003217BE"/>
    <w:rsid w:val="00324BB0"/>
    <w:rsid w:val="00337F0C"/>
    <w:rsid w:val="0034044F"/>
    <w:rsid w:val="00355FF2"/>
    <w:rsid w:val="0035639D"/>
    <w:rsid w:val="00371616"/>
    <w:rsid w:val="003751E3"/>
    <w:rsid w:val="00376001"/>
    <w:rsid w:val="003A17CA"/>
    <w:rsid w:val="003B0C4F"/>
    <w:rsid w:val="003B32EE"/>
    <w:rsid w:val="003B5410"/>
    <w:rsid w:val="003B63D3"/>
    <w:rsid w:val="003C6DA7"/>
    <w:rsid w:val="003D0647"/>
    <w:rsid w:val="003D1265"/>
    <w:rsid w:val="003D255E"/>
    <w:rsid w:val="003D3B1D"/>
    <w:rsid w:val="003D4B2C"/>
    <w:rsid w:val="003D5DBE"/>
    <w:rsid w:val="003E01D1"/>
    <w:rsid w:val="003F7C11"/>
    <w:rsid w:val="00404841"/>
    <w:rsid w:val="00412059"/>
    <w:rsid w:val="00422E02"/>
    <w:rsid w:val="00425633"/>
    <w:rsid w:val="004268F6"/>
    <w:rsid w:val="00441E79"/>
    <w:rsid w:val="00444032"/>
    <w:rsid w:val="0044643A"/>
    <w:rsid w:val="00450486"/>
    <w:rsid w:val="00454EB4"/>
    <w:rsid w:val="00461BE1"/>
    <w:rsid w:val="004709E9"/>
    <w:rsid w:val="00472379"/>
    <w:rsid w:val="00483A58"/>
    <w:rsid w:val="00490618"/>
    <w:rsid w:val="004B203A"/>
    <w:rsid w:val="004B5F40"/>
    <w:rsid w:val="004C50EE"/>
    <w:rsid w:val="004C7D16"/>
    <w:rsid w:val="004D0860"/>
    <w:rsid w:val="004D700E"/>
    <w:rsid w:val="004D7F17"/>
    <w:rsid w:val="004E0670"/>
    <w:rsid w:val="004E7F37"/>
    <w:rsid w:val="004F31BA"/>
    <w:rsid w:val="004F7326"/>
    <w:rsid w:val="005118E4"/>
    <w:rsid w:val="0051299F"/>
    <w:rsid w:val="00515C6B"/>
    <w:rsid w:val="00526B85"/>
    <w:rsid w:val="005306A1"/>
    <w:rsid w:val="00544751"/>
    <w:rsid w:val="00553A84"/>
    <w:rsid w:val="0055445C"/>
    <w:rsid w:val="00556D4B"/>
    <w:rsid w:val="00563198"/>
    <w:rsid w:val="00563F88"/>
    <w:rsid w:val="00564B3A"/>
    <w:rsid w:val="00571E8B"/>
    <w:rsid w:val="0059000C"/>
    <w:rsid w:val="00591A1A"/>
    <w:rsid w:val="00594A19"/>
    <w:rsid w:val="00597717"/>
    <w:rsid w:val="005A02A1"/>
    <w:rsid w:val="005A2E11"/>
    <w:rsid w:val="005B6071"/>
    <w:rsid w:val="005C120F"/>
    <w:rsid w:val="005D399D"/>
    <w:rsid w:val="005D7A24"/>
    <w:rsid w:val="005E0016"/>
    <w:rsid w:val="005E1395"/>
    <w:rsid w:val="005F7F5E"/>
    <w:rsid w:val="00616EBA"/>
    <w:rsid w:val="00620574"/>
    <w:rsid w:val="00622B47"/>
    <w:rsid w:val="00632C08"/>
    <w:rsid w:val="00644FED"/>
    <w:rsid w:val="00654C42"/>
    <w:rsid w:val="0067074A"/>
    <w:rsid w:val="00672994"/>
    <w:rsid w:val="006807C9"/>
    <w:rsid w:val="00692EFD"/>
    <w:rsid w:val="00694FDB"/>
    <w:rsid w:val="006A1003"/>
    <w:rsid w:val="006A4893"/>
    <w:rsid w:val="006C15C5"/>
    <w:rsid w:val="006D3DAD"/>
    <w:rsid w:val="006D4A4B"/>
    <w:rsid w:val="006E1C6A"/>
    <w:rsid w:val="006E476C"/>
    <w:rsid w:val="006F6096"/>
    <w:rsid w:val="006F7B19"/>
    <w:rsid w:val="00707410"/>
    <w:rsid w:val="00707E21"/>
    <w:rsid w:val="00716D7B"/>
    <w:rsid w:val="00721E21"/>
    <w:rsid w:val="00736A76"/>
    <w:rsid w:val="00752015"/>
    <w:rsid w:val="00752C6B"/>
    <w:rsid w:val="00760CE6"/>
    <w:rsid w:val="00762F09"/>
    <w:rsid w:val="007719C9"/>
    <w:rsid w:val="00772718"/>
    <w:rsid w:val="007863EB"/>
    <w:rsid w:val="00795CD4"/>
    <w:rsid w:val="007D30A8"/>
    <w:rsid w:val="007F6391"/>
    <w:rsid w:val="00814FB1"/>
    <w:rsid w:val="00820F20"/>
    <w:rsid w:val="0082528A"/>
    <w:rsid w:val="00825754"/>
    <w:rsid w:val="00833758"/>
    <w:rsid w:val="00833B49"/>
    <w:rsid w:val="00834E92"/>
    <w:rsid w:val="00835210"/>
    <w:rsid w:val="008403CA"/>
    <w:rsid w:val="00843BE3"/>
    <w:rsid w:val="0084413D"/>
    <w:rsid w:val="00844C2D"/>
    <w:rsid w:val="00845DAA"/>
    <w:rsid w:val="00851FDD"/>
    <w:rsid w:val="008742DD"/>
    <w:rsid w:val="0087438E"/>
    <w:rsid w:val="00884668"/>
    <w:rsid w:val="00886E66"/>
    <w:rsid w:val="00895EB9"/>
    <w:rsid w:val="008B2B46"/>
    <w:rsid w:val="008C7B15"/>
    <w:rsid w:val="008D00B0"/>
    <w:rsid w:val="008E05BC"/>
    <w:rsid w:val="008E1EAE"/>
    <w:rsid w:val="008F17B8"/>
    <w:rsid w:val="008F3CCF"/>
    <w:rsid w:val="00901750"/>
    <w:rsid w:val="00901A61"/>
    <w:rsid w:val="00921840"/>
    <w:rsid w:val="00932C87"/>
    <w:rsid w:val="009331B4"/>
    <w:rsid w:val="009345F1"/>
    <w:rsid w:val="00937AC9"/>
    <w:rsid w:val="00943634"/>
    <w:rsid w:val="00944BBB"/>
    <w:rsid w:val="009547B6"/>
    <w:rsid w:val="00961072"/>
    <w:rsid w:val="0096623C"/>
    <w:rsid w:val="0098397C"/>
    <w:rsid w:val="009A2F51"/>
    <w:rsid w:val="009A34F3"/>
    <w:rsid w:val="009B3C2C"/>
    <w:rsid w:val="009B5B5B"/>
    <w:rsid w:val="009C6C53"/>
    <w:rsid w:val="009D6E0E"/>
    <w:rsid w:val="009E1A74"/>
    <w:rsid w:val="009E307A"/>
    <w:rsid w:val="009E750F"/>
    <w:rsid w:val="009F59B4"/>
    <w:rsid w:val="00A04D96"/>
    <w:rsid w:val="00A0629B"/>
    <w:rsid w:val="00A14495"/>
    <w:rsid w:val="00A16BE1"/>
    <w:rsid w:val="00A20B10"/>
    <w:rsid w:val="00A24F65"/>
    <w:rsid w:val="00A31D2B"/>
    <w:rsid w:val="00A453D7"/>
    <w:rsid w:val="00A454BF"/>
    <w:rsid w:val="00A52E3A"/>
    <w:rsid w:val="00A53013"/>
    <w:rsid w:val="00A7692E"/>
    <w:rsid w:val="00A814CB"/>
    <w:rsid w:val="00A821CD"/>
    <w:rsid w:val="00A87F76"/>
    <w:rsid w:val="00A90D1B"/>
    <w:rsid w:val="00AA53D6"/>
    <w:rsid w:val="00AC144D"/>
    <w:rsid w:val="00AD70E2"/>
    <w:rsid w:val="00AF55F8"/>
    <w:rsid w:val="00B10ABA"/>
    <w:rsid w:val="00B303E4"/>
    <w:rsid w:val="00B420D4"/>
    <w:rsid w:val="00B501F0"/>
    <w:rsid w:val="00B54D6F"/>
    <w:rsid w:val="00B57910"/>
    <w:rsid w:val="00B70601"/>
    <w:rsid w:val="00B91B21"/>
    <w:rsid w:val="00B952F6"/>
    <w:rsid w:val="00BA202A"/>
    <w:rsid w:val="00BC093A"/>
    <w:rsid w:val="00BC20BA"/>
    <w:rsid w:val="00BC2B00"/>
    <w:rsid w:val="00BC4ACC"/>
    <w:rsid w:val="00BC4FCC"/>
    <w:rsid w:val="00BD02F8"/>
    <w:rsid w:val="00C04432"/>
    <w:rsid w:val="00C1488E"/>
    <w:rsid w:val="00C217A8"/>
    <w:rsid w:val="00C239A6"/>
    <w:rsid w:val="00C25C42"/>
    <w:rsid w:val="00C31D71"/>
    <w:rsid w:val="00C4188F"/>
    <w:rsid w:val="00C47E09"/>
    <w:rsid w:val="00C819A4"/>
    <w:rsid w:val="00C824AE"/>
    <w:rsid w:val="00C84EA8"/>
    <w:rsid w:val="00C92998"/>
    <w:rsid w:val="00C96264"/>
    <w:rsid w:val="00CA544B"/>
    <w:rsid w:val="00CA6458"/>
    <w:rsid w:val="00CA720A"/>
    <w:rsid w:val="00CC0EE0"/>
    <w:rsid w:val="00CD0003"/>
    <w:rsid w:val="00CD5925"/>
    <w:rsid w:val="00CE557A"/>
    <w:rsid w:val="00D02A9F"/>
    <w:rsid w:val="00D031B2"/>
    <w:rsid w:val="00D12F8C"/>
    <w:rsid w:val="00D1410C"/>
    <w:rsid w:val="00D234A2"/>
    <w:rsid w:val="00D23B34"/>
    <w:rsid w:val="00D3434A"/>
    <w:rsid w:val="00D40D16"/>
    <w:rsid w:val="00D433F8"/>
    <w:rsid w:val="00D548F0"/>
    <w:rsid w:val="00D57DF5"/>
    <w:rsid w:val="00D57F79"/>
    <w:rsid w:val="00D6356B"/>
    <w:rsid w:val="00D64FAC"/>
    <w:rsid w:val="00D65704"/>
    <w:rsid w:val="00D668F6"/>
    <w:rsid w:val="00D741F9"/>
    <w:rsid w:val="00D84875"/>
    <w:rsid w:val="00D87664"/>
    <w:rsid w:val="00D904F0"/>
    <w:rsid w:val="00D91378"/>
    <w:rsid w:val="00D91B18"/>
    <w:rsid w:val="00D930FB"/>
    <w:rsid w:val="00D95D89"/>
    <w:rsid w:val="00DB318D"/>
    <w:rsid w:val="00DC0747"/>
    <w:rsid w:val="00DC2647"/>
    <w:rsid w:val="00DC316D"/>
    <w:rsid w:val="00DD1408"/>
    <w:rsid w:val="00DD356D"/>
    <w:rsid w:val="00DD6735"/>
    <w:rsid w:val="00DD72DE"/>
    <w:rsid w:val="00DF136A"/>
    <w:rsid w:val="00DF51FA"/>
    <w:rsid w:val="00E0448C"/>
    <w:rsid w:val="00E13064"/>
    <w:rsid w:val="00E13525"/>
    <w:rsid w:val="00E47250"/>
    <w:rsid w:val="00E47ADA"/>
    <w:rsid w:val="00E61535"/>
    <w:rsid w:val="00E63842"/>
    <w:rsid w:val="00E73F55"/>
    <w:rsid w:val="00E74266"/>
    <w:rsid w:val="00E7480B"/>
    <w:rsid w:val="00E8246B"/>
    <w:rsid w:val="00E84012"/>
    <w:rsid w:val="00E9373C"/>
    <w:rsid w:val="00E9523E"/>
    <w:rsid w:val="00EA0724"/>
    <w:rsid w:val="00EA6251"/>
    <w:rsid w:val="00EB6414"/>
    <w:rsid w:val="00EE3BA6"/>
    <w:rsid w:val="00EE5747"/>
    <w:rsid w:val="00EF3804"/>
    <w:rsid w:val="00EF5E05"/>
    <w:rsid w:val="00F068C4"/>
    <w:rsid w:val="00F073CA"/>
    <w:rsid w:val="00F21D9D"/>
    <w:rsid w:val="00F227AF"/>
    <w:rsid w:val="00F27370"/>
    <w:rsid w:val="00F36E7B"/>
    <w:rsid w:val="00F40B00"/>
    <w:rsid w:val="00F4131D"/>
    <w:rsid w:val="00F41AAB"/>
    <w:rsid w:val="00F454B6"/>
    <w:rsid w:val="00F45CA0"/>
    <w:rsid w:val="00F53104"/>
    <w:rsid w:val="00F5341C"/>
    <w:rsid w:val="00F56954"/>
    <w:rsid w:val="00F605F4"/>
    <w:rsid w:val="00F74478"/>
    <w:rsid w:val="00F76062"/>
    <w:rsid w:val="00F85F98"/>
    <w:rsid w:val="00F948AF"/>
    <w:rsid w:val="00FA1F45"/>
    <w:rsid w:val="00FA5A7B"/>
    <w:rsid w:val="00FB11B1"/>
    <w:rsid w:val="00FB2C0A"/>
    <w:rsid w:val="00FB5AE3"/>
    <w:rsid w:val="00FC1C24"/>
    <w:rsid w:val="00FE00E8"/>
    <w:rsid w:val="00FE2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customStyle="1" w:styleId="06Bodycopy">
    <w:name w:val="06. Body copy"/>
    <w:basedOn w:val="Normal"/>
    <w:uiPriority w:val="99"/>
    <w:rsid w:val="00324BB0"/>
    <w:pPr>
      <w:suppressAutoHyphens/>
      <w:autoSpaceDE w:val="0"/>
      <w:autoSpaceDN w:val="0"/>
      <w:adjustRightInd w:val="0"/>
      <w:spacing w:after="170"/>
      <w:textAlignment w:val="center"/>
    </w:pPr>
    <w:rPr>
      <w:rFonts w:ascii="Calibri" w:hAnsi="Calibri" w:cs="Calibri"/>
      <w:color w:val="000000"/>
      <w:szCs w:val="22"/>
      <w:lang w:val="en-US"/>
    </w:rPr>
  </w:style>
  <w:style w:type="character" w:styleId="FollowedHyperlink">
    <w:name w:val="FollowedHyperlink"/>
    <w:basedOn w:val="DefaultParagraphFont"/>
    <w:uiPriority w:val="99"/>
    <w:semiHidden/>
    <w:unhideWhenUsed/>
    <w:rsid w:val="00371616"/>
    <w:rPr>
      <w:color w:val="800080" w:themeColor="followedHyperlink"/>
      <w:u w:val="single"/>
    </w:rPr>
  </w:style>
  <w:style w:type="character" w:styleId="FootnoteReference">
    <w:name w:val="footnote reference"/>
    <w:basedOn w:val="DefaultParagraphFont"/>
    <w:uiPriority w:val="99"/>
    <w:semiHidden/>
    <w:unhideWhenUsed/>
    <w:rsid w:val="001E27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ilitygateway.gov.au/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4FCB04-C9E0-4FFB-8F06-385859D2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12260</Characters>
  <Application>Microsoft Office Word</Application>
  <DocSecurity>0</DocSecurity>
  <Lines>258</Lines>
  <Paragraphs>114</Paragraphs>
  <ScaleCrop>false</ScaleCrop>
  <HeadingPairs>
    <vt:vector size="2" baseType="variant">
      <vt:variant>
        <vt:lpstr>Title</vt:lpstr>
      </vt:variant>
      <vt:variant>
        <vt:i4>1</vt:i4>
      </vt:variant>
    </vt:vector>
  </HeadingPairs>
  <TitlesOfParts>
    <vt:vector size="1" baseType="lpstr">
      <vt:lpstr>nformation, Linkages and Capacity Building (ILC): Economic and Community Participation Program Building Employer Confidence and Inclusion in Disability Grant Opportunit</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nformation, Linkages and Capacity Building (ILC): Economic and Community Participation Program Building Employer Confidence and Inclusion in Disability Grant Opportunit</dc:title>
  <dc:subject/>
  <dc:creator/>
  <cp:keywords>[SEC=OFFICIAL]</cp:keywords>
  <cp:lastModifiedBy/>
  <cp:revision>1</cp:revision>
  <dcterms:created xsi:type="dcterms:W3CDTF">2022-09-20T06:07:00Z</dcterms:created>
  <dcterms:modified xsi:type="dcterms:W3CDTF">2022-09-20T06:24:00Z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4FD1F06B9BA985BD18F375AD063074B097A3673F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2022-09-20T06:07:33Z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71B69EEC046F1B9FC5FBB88CEEF675E0</vt:lpwstr>
  </property>
  <property fmtid="{D5CDD505-2E9C-101B-9397-08002B2CF9AE}" pid="20" name="PM_Hash_Salt">
    <vt:lpwstr>AE62BD5DAE0586C38373436375AEC385</vt:lpwstr>
  </property>
  <property fmtid="{D5CDD505-2E9C-101B-9397-08002B2CF9AE}" pid="21" name="PM_Hash_SHA1">
    <vt:lpwstr>22DA2AFF00D9FC8EF6F399BB4EF2AF2F5C18DD45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