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eastAsiaTheme="majorEastAsia" w:hAnsi="Arial" w:cs="Arial"/>
          <w:color w:val="CF0A2C" w:themeColor="accent1"/>
          <w:kern w:val="28"/>
          <w:sz w:val="48"/>
          <w:szCs w:val="52"/>
        </w:rPr>
        <w:alias w:val="Title"/>
        <w:tag w:val=""/>
        <w:id w:val="686947816"/>
        <w:placeholder>
          <w:docPart w:val="C77FF93772B0460E96E551467BAC0A8C"/>
        </w:placeholder>
        <w:dataBinding w:prefixMappings="xmlns:ns0='http://purl.org/dc/elements/1.1/' xmlns:ns1='http://schemas.openxmlformats.org/package/2006/metadata/core-properties' " w:xpath="/ns1:coreProperties[1]/ns0:title[1]" w:storeItemID="{6C3C8BC8-F283-45AE-878A-BAB7291924A1}"/>
        <w:text w:multiLine="1"/>
      </w:sdtPr>
      <w:sdtEndPr/>
      <w:sdtContent>
        <w:p w:rsidR="00F85F98" w:rsidRPr="009A2F51" w:rsidRDefault="00CB31F7" w:rsidP="00F85F98">
          <w:pPr>
            <w:spacing w:after="140" w:line="1000" w:lineRule="exact"/>
            <w:contextualSpacing/>
            <w:rPr>
              <w:rFonts w:ascii="Arial" w:eastAsiaTheme="majorEastAsia" w:hAnsi="Arial" w:cs="Arial"/>
              <w:color w:val="CF0A2C" w:themeColor="accent1"/>
              <w:kern w:val="28"/>
              <w:sz w:val="48"/>
              <w:szCs w:val="52"/>
            </w:rPr>
          </w:pPr>
          <w:r w:rsidRPr="000E03EE">
            <w:rPr>
              <w:rFonts w:ascii="Arial" w:eastAsiaTheme="majorEastAsia" w:hAnsi="Arial" w:cs="Arial"/>
              <w:color w:val="CF0A2C" w:themeColor="accent1"/>
              <w:kern w:val="28"/>
              <w:sz w:val="48"/>
              <w:szCs w:val="52"/>
            </w:rPr>
            <w:t>First Nations Family Dispute Resolution</w:t>
          </w:r>
        </w:p>
      </w:sdtContent>
    </w:sdt>
    <w:p w:rsidR="00F85F98" w:rsidRPr="00F85F98" w:rsidRDefault="007D5C2F" w:rsidP="00F85F98">
      <w:pPr>
        <w:numPr>
          <w:ilvl w:val="1"/>
          <w:numId w:val="0"/>
        </w:numPr>
        <w:pBdr>
          <w:bottom w:val="single" w:sz="4" w:space="22" w:color="000000" w:themeColor="text1"/>
        </w:pBdr>
        <w:spacing w:before="120" w:after="280" w:line="400" w:lineRule="atLeast"/>
        <w:rPr>
          <w:rFonts w:asciiTheme="majorHAnsi" w:eastAsiaTheme="majorEastAsia" w:hAnsiTheme="majorHAnsi" w:cstheme="majorBidi"/>
          <w:iCs/>
          <w:sz w:val="30"/>
          <w:szCs w:val="24"/>
        </w:rPr>
      </w:pPr>
      <w:sdt>
        <w:sdtPr>
          <w:rPr>
            <w:rFonts w:asciiTheme="majorHAnsi" w:eastAsiaTheme="majorEastAsia" w:hAnsiTheme="majorHAnsi" w:cstheme="majorBidi"/>
            <w:iCs/>
            <w:sz w:val="30"/>
            <w:szCs w:val="24"/>
          </w:rPr>
          <w:alias w:val="Subtitle"/>
          <w:tag w:val=""/>
          <w:id w:val="-179897277"/>
          <w:placeholder>
            <w:docPart w:val="1AF4CA6354A642418EAAC32AF9DD8158"/>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F85F98">
            <w:rPr>
              <w:rFonts w:asciiTheme="majorHAnsi" w:eastAsiaTheme="majorEastAsia" w:hAnsiTheme="majorHAnsi" w:cstheme="majorBidi"/>
              <w:iCs/>
              <w:sz w:val="30"/>
              <w:szCs w:val="24"/>
            </w:rPr>
            <w:t>Feedback for applicants</w:t>
          </w:r>
        </w:sdtContent>
      </w:sdt>
    </w:p>
    <w:p w:rsidR="002C74F6" w:rsidRPr="0095059B" w:rsidRDefault="002C74F6" w:rsidP="0095059B">
      <w:pPr>
        <w:pStyle w:val="BodyText"/>
        <w:spacing w:after="0"/>
      </w:pPr>
      <w:r>
        <w:t>The Attorney</w:t>
      </w:r>
      <w:r w:rsidR="00B81CED">
        <w:t>-</w:t>
      </w:r>
      <w:r>
        <w:t>General</w:t>
      </w:r>
      <w:r w:rsidR="00B81CED">
        <w:t>’s</w:t>
      </w:r>
      <w:r>
        <w:t xml:space="preserve"> Department (</w:t>
      </w:r>
      <w:r w:rsidR="008317AB">
        <w:t>AGD</w:t>
      </w:r>
      <w:r>
        <w:t>) has provided the following General Feedback for applicants of the First Nations Family Dispute Resolution</w:t>
      </w:r>
      <w:r w:rsidR="005C4463">
        <w:t xml:space="preserve"> </w:t>
      </w:r>
      <w:r w:rsidR="00884700">
        <w:t>(First Nations FDR) grant opportunity</w:t>
      </w:r>
      <w:r w:rsidR="00F1683E" w:rsidRPr="00F1683E">
        <w:t xml:space="preserve"> </w:t>
      </w:r>
      <w:r w:rsidR="00F1683E">
        <w:t>to assist with understanding what generally comprised a competitive application and how to strengthen future applications.</w:t>
      </w:r>
    </w:p>
    <w:p w:rsidR="00F85F98" w:rsidRPr="0095059B" w:rsidRDefault="00F85F98" w:rsidP="008317AB">
      <w:pPr>
        <w:pStyle w:val="Heading1"/>
        <w:spacing w:before="240" w:after="0"/>
        <w:rPr>
          <w:szCs w:val="36"/>
        </w:rPr>
      </w:pPr>
      <w:r w:rsidRPr="0095059B">
        <w:rPr>
          <w:szCs w:val="36"/>
        </w:rPr>
        <w:t>Overview</w:t>
      </w:r>
    </w:p>
    <w:p w:rsidR="00885214" w:rsidRDefault="00885214" w:rsidP="00F260CC">
      <w:pPr>
        <w:pStyle w:val="BodyText"/>
        <w:spacing w:before="40"/>
      </w:pPr>
      <w:r w:rsidRPr="00885214">
        <w:t>Th</w:t>
      </w:r>
      <w:r w:rsidR="00884700">
        <w:t>e First</w:t>
      </w:r>
      <w:r w:rsidRPr="00885214">
        <w:t xml:space="preserve"> </w:t>
      </w:r>
      <w:r w:rsidR="00884700">
        <w:t xml:space="preserve">Nations FDR </w:t>
      </w:r>
      <w:r w:rsidRPr="00885214">
        <w:t xml:space="preserve">grant opportunity is for the provision of funding to Aboriginal Community Controlled Organisations to deliver culturally safe and appropriate family dispute resolution for Aboriginal and Torres Strait Islander families. </w:t>
      </w:r>
    </w:p>
    <w:p w:rsidR="002C74F6" w:rsidRPr="00D9579B" w:rsidRDefault="00885214" w:rsidP="002C74F6">
      <w:pPr>
        <w:pStyle w:val="BodyText"/>
        <w:spacing w:before="40"/>
      </w:pPr>
      <w:r>
        <w:t xml:space="preserve">First Nations FDR services are </w:t>
      </w:r>
      <w:r w:rsidR="00C8012C">
        <w:t>part of the suite of</w:t>
      </w:r>
      <w:r w:rsidR="002C74F6" w:rsidRPr="00D9579B">
        <w:t xml:space="preserve"> Family Law Services funded </w:t>
      </w:r>
      <w:r w:rsidR="00D00C87">
        <w:t>under</w:t>
      </w:r>
      <w:r w:rsidR="00D00C87" w:rsidRPr="00D9579B">
        <w:t xml:space="preserve"> </w:t>
      </w:r>
      <w:r w:rsidR="002C74F6" w:rsidRPr="00D9579B">
        <w:t>the Family Relationships Services Program (FRSP). The objective of the FRSP is to improve the wellbeing of Australian families, particularly families with children who are at risk of separating or have separated.</w:t>
      </w:r>
      <w:r>
        <w:t xml:space="preserve"> </w:t>
      </w:r>
      <w:r w:rsidR="002C74F6" w:rsidRPr="00D9579B">
        <w:t xml:space="preserve">Family Law Services are child-focused and have an emphasis on early intervention and prevention. </w:t>
      </w:r>
      <w:r w:rsidR="00D00C87">
        <w:t>The s</w:t>
      </w:r>
      <w:r w:rsidR="002C74F6" w:rsidRPr="00D9579B">
        <w:t xml:space="preserve">ervices aim to provide alternatives to formal legal processes for families who are separated, separating or in dispute to improve their relationships and make arrangements </w:t>
      </w:r>
      <w:r w:rsidR="00A330C9">
        <w:t>which</w:t>
      </w:r>
      <w:r w:rsidR="00A330C9" w:rsidRPr="00D9579B">
        <w:t xml:space="preserve"> </w:t>
      </w:r>
      <w:r w:rsidR="002C74F6" w:rsidRPr="00D9579B">
        <w:t>are in the best interests of their children.</w:t>
      </w:r>
    </w:p>
    <w:p w:rsidR="00901A61" w:rsidRPr="00FE717E" w:rsidRDefault="00901A61" w:rsidP="00901A61">
      <w:pPr>
        <w:pStyle w:val="BodyText"/>
      </w:pPr>
      <w:r w:rsidRPr="00FE717E">
        <w:rPr>
          <w:color w:val="auto"/>
        </w:rPr>
        <w:t xml:space="preserve">The </w:t>
      </w:r>
      <w:r w:rsidR="00D00C87">
        <w:rPr>
          <w:color w:val="auto"/>
        </w:rPr>
        <w:t xml:space="preserve">First Nations FDR </w:t>
      </w:r>
      <w:r w:rsidRPr="00FE717E">
        <w:rPr>
          <w:color w:val="auto"/>
        </w:rPr>
        <w:t xml:space="preserve">grant opportunity application period opened on </w:t>
      </w:r>
      <w:r w:rsidR="00CB31F7" w:rsidRPr="00FE717E">
        <w:rPr>
          <w:color w:val="auto"/>
        </w:rPr>
        <w:t>22 July 2022</w:t>
      </w:r>
      <w:r w:rsidR="00F073CA" w:rsidRPr="00FE717E">
        <w:rPr>
          <w:color w:val="auto"/>
        </w:rPr>
        <w:t xml:space="preserve"> </w:t>
      </w:r>
      <w:r w:rsidRPr="00FE717E">
        <w:rPr>
          <w:color w:val="auto"/>
        </w:rPr>
        <w:t xml:space="preserve">and closed on </w:t>
      </w:r>
      <w:r w:rsidR="00CB31F7" w:rsidRPr="00FE717E">
        <w:rPr>
          <w:color w:val="auto"/>
        </w:rPr>
        <w:t>18 August 2022</w:t>
      </w:r>
      <w:r w:rsidRPr="00FE717E">
        <w:t xml:space="preserve">. </w:t>
      </w:r>
    </w:p>
    <w:p w:rsidR="00901A61" w:rsidRPr="002D46B6" w:rsidRDefault="00E43C10" w:rsidP="00901A61">
      <w:pPr>
        <w:pStyle w:val="BodyText"/>
      </w:pPr>
      <w:r w:rsidRPr="00FE717E">
        <w:t>The grant opportunity received 21</w:t>
      </w:r>
      <w:r w:rsidR="00901A61" w:rsidRPr="00FE717E">
        <w:t xml:space="preserve"> applications. </w:t>
      </w:r>
      <w:r w:rsidR="00901A61" w:rsidRPr="002D46B6">
        <w:t>There was a strong interest in the program and successful applications were of a high standard. Applications were assessed according to the procedure detailed in the G</w:t>
      </w:r>
      <w:r w:rsidR="004B203A" w:rsidRPr="002D46B6">
        <w:t>rant Opportunity Guidelines</w:t>
      </w:r>
      <w:r w:rsidR="00901A61" w:rsidRPr="002D46B6">
        <w:t xml:space="preserve"> and outlined in the Selection Process below.</w:t>
      </w:r>
    </w:p>
    <w:p w:rsidR="00901A61" w:rsidRDefault="00901A61" w:rsidP="00901A61">
      <w:pPr>
        <w:pStyle w:val="BodyText"/>
      </w:pPr>
      <w:r>
        <w:t>This feedback is provided to assist grant applicants to understand what generally comprised a strong application and the content of quality responses to the assessment criteria for this grant opportunity.</w:t>
      </w:r>
    </w:p>
    <w:p w:rsidR="00F85F98" w:rsidRPr="00284E4B" w:rsidRDefault="00F85F98" w:rsidP="008317AB">
      <w:pPr>
        <w:pStyle w:val="Heading1"/>
        <w:spacing w:before="240"/>
      </w:pPr>
      <w:r w:rsidRPr="00284E4B">
        <w:t>Selection Process</w:t>
      </w:r>
    </w:p>
    <w:p w:rsidR="00F1683E" w:rsidRDefault="00F1683E" w:rsidP="00F85F98">
      <w:pPr>
        <w:pStyle w:val="BodyText"/>
      </w:pPr>
      <w:r w:rsidRPr="00D00C87">
        <w:t>The Community Grants Hub undertook the screening for organisation eligibility and compliance against the requirements outlined in the</w:t>
      </w:r>
      <w:r w:rsidR="00C64A99" w:rsidRPr="00D00C87">
        <w:t xml:space="preserve"> Grant Opportunity Guidelines. </w:t>
      </w:r>
      <w:r w:rsidRPr="00D00C87">
        <w:t xml:space="preserve">The Community Grants Hub did not identify any </w:t>
      </w:r>
      <w:r w:rsidR="00154573" w:rsidRPr="00D00C87">
        <w:t>applications</w:t>
      </w:r>
      <w:r w:rsidRPr="00D00C87">
        <w:t xml:space="preserve"> </w:t>
      </w:r>
      <w:r w:rsidR="008317AB">
        <w:t xml:space="preserve">which </w:t>
      </w:r>
      <w:r w:rsidRPr="00D00C87">
        <w:t>did not meet the eligibility and/or compliance criteria.</w:t>
      </w:r>
    </w:p>
    <w:p w:rsidR="00F1683E" w:rsidRDefault="008317AB" w:rsidP="00F85F98">
      <w:pPr>
        <w:pStyle w:val="BodyText"/>
      </w:pPr>
      <w:r>
        <w:t>Following on from the eligibility and compliance screening t</w:t>
      </w:r>
      <w:r w:rsidR="00F1683E">
        <w:t xml:space="preserve">he Community Grants Hub undertook the preliminary assessment of all </w:t>
      </w:r>
      <w:r w:rsidR="0045484E">
        <w:t xml:space="preserve">applications </w:t>
      </w:r>
      <w:r w:rsidR="00884700">
        <w:t>in line with the Grant Opportunity Guidelines</w:t>
      </w:r>
      <w:r w:rsidR="00F1683E">
        <w:t xml:space="preserve">. </w:t>
      </w:r>
      <w:r w:rsidR="00F1683E">
        <w:lastRenderedPageBreak/>
        <w:t xml:space="preserve">Following preliminary assessment, all assessed applications were referred to AGD for consideration by </w:t>
      </w:r>
      <w:r w:rsidR="003B3A1D">
        <w:t xml:space="preserve">its </w:t>
      </w:r>
      <w:r w:rsidR="00F1683E">
        <w:t>Selection Advisory Panel</w:t>
      </w:r>
      <w:r w:rsidR="00884700">
        <w:t xml:space="preserve"> (the Panel)</w:t>
      </w:r>
      <w:r w:rsidR="00F1683E">
        <w:t>.</w:t>
      </w:r>
    </w:p>
    <w:p w:rsidR="00F1683E" w:rsidRDefault="00884700" w:rsidP="00F85F98">
      <w:pPr>
        <w:pStyle w:val="BodyText"/>
        <w:rPr>
          <w:color w:val="auto"/>
        </w:rPr>
      </w:pPr>
      <w:r>
        <w:rPr>
          <w:color w:val="auto"/>
        </w:rPr>
        <w:t>T</w:t>
      </w:r>
      <w:r w:rsidR="00F1683E">
        <w:rPr>
          <w:color w:val="auto"/>
        </w:rPr>
        <w:t xml:space="preserve">he Panel, comprising </w:t>
      </w:r>
      <w:r w:rsidR="008317AB">
        <w:rPr>
          <w:color w:val="auto"/>
        </w:rPr>
        <w:t xml:space="preserve">of </w:t>
      </w:r>
      <w:r w:rsidR="00F1683E">
        <w:t>policy makers and subject matter experts</w:t>
      </w:r>
      <w:r w:rsidR="00F1683E">
        <w:rPr>
          <w:color w:val="auto"/>
        </w:rPr>
        <w:t xml:space="preserve">, assessed applications and provided advice to inform the </w:t>
      </w:r>
      <w:r w:rsidR="004524CC">
        <w:rPr>
          <w:color w:val="auto"/>
        </w:rPr>
        <w:t>AGD’s</w:t>
      </w:r>
      <w:r w:rsidR="00F1683E">
        <w:rPr>
          <w:color w:val="auto"/>
        </w:rPr>
        <w:t xml:space="preserve"> funding recommendations to the</w:t>
      </w:r>
      <w:r w:rsidR="004524CC">
        <w:rPr>
          <w:color w:val="auto"/>
        </w:rPr>
        <w:t>ir</w:t>
      </w:r>
      <w:r w:rsidR="00F1683E">
        <w:rPr>
          <w:color w:val="auto"/>
        </w:rPr>
        <w:t xml:space="preserve"> </w:t>
      </w:r>
      <w:r w:rsidR="00D00C87">
        <w:rPr>
          <w:color w:val="auto"/>
        </w:rPr>
        <w:t>Delegate for decision</w:t>
      </w:r>
      <w:r w:rsidR="00F1683E">
        <w:rPr>
          <w:color w:val="auto"/>
        </w:rPr>
        <w:t>.</w:t>
      </w:r>
    </w:p>
    <w:p w:rsidR="00F1683E" w:rsidRDefault="00154573" w:rsidP="00F1683E">
      <w:pPr>
        <w:pStyle w:val="BodyText"/>
      </w:pPr>
      <w:r>
        <w:rPr>
          <w:color w:val="auto"/>
        </w:rPr>
        <w:t>Applications</w:t>
      </w:r>
      <w:r w:rsidR="00F1683E">
        <w:rPr>
          <w:color w:val="auto"/>
        </w:rPr>
        <w:t xml:space="preserve"> suitable for funding were </w:t>
      </w:r>
      <w:r w:rsidR="00F1683E">
        <w:t xml:space="preserve">identified based on the strength of their responses to the assessment criteria and demonstrated ability to meet the grant requirements outlined in the Grant Opportunity Guidelines. </w:t>
      </w:r>
    </w:p>
    <w:p w:rsidR="00EB7E04" w:rsidRPr="00EB7E04" w:rsidRDefault="00EB7E04" w:rsidP="00EB7E04">
      <w:pPr>
        <w:pStyle w:val="BodyText"/>
        <w:rPr>
          <w:color w:val="auto"/>
        </w:rPr>
      </w:pPr>
      <w:r w:rsidRPr="00EB7E04">
        <w:rPr>
          <w:color w:val="auto"/>
        </w:rPr>
        <w:t>Specifically, the Panel took into consideration:</w:t>
      </w:r>
    </w:p>
    <w:p w:rsidR="00E42E51" w:rsidRPr="00EB7E04" w:rsidRDefault="00E42E51" w:rsidP="00E42E51">
      <w:pPr>
        <w:pStyle w:val="BodyText"/>
        <w:numPr>
          <w:ilvl w:val="0"/>
          <w:numId w:val="16"/>
        </w:numPr>
        <w:rPr>
          <w:iCs/>
          <w:color w:val="auto"/>
        </w:rPr>
      </w:pPr>
      <w:r>
        <w:rPr>
          <w:iCs/>
          <w:color w:val="auto"/>
        </w:rPr>
        <w:t>w</w:t>
      </w:r>
      <w:r w:rsidRPr="00EB7E04">
        <w:rPr>
          <w:iCs/>
          <w:color w:val="auto"/>
        </w:rPr>
        <w:t>hether the proposed project is in scope</w:t>
      </w:r>
      <w:r>
        <w:rPr>
          <w:iCs/>
          <w:color w:val="auto"/>
        </w:rPr>
        <w:t xml:space="preserve"> of the Grant Opportuni</w:t>
      </w:r>
      <w:r w:rsidR="00B9517F">
        <w:rPr>
          <w:iCs/>
          <w:color w:val="auto"/>
        </w:rPr>
        <w:t>ty Guidelines and policy intent</w:t>
      </w:r>
    </w:p>
    <w:p w:rsidR="00EB7E04" w:rsidRPr="00EB7E04" w:rsidRDefault="00884700" w:rsidP="00EB7E04">
      <w:pPr>
        <w:pStyle w:val="BodyText"/>
        <w:numPr>
          <w:ilvl w:val="0"/>
          <w:numId w:val="16"/>
        </w:numPr>
        <w:rPr>
          <w:iCs/>
          <w:color w:val="auto"/>
        </w:rPr>
      </w:pPr>
      <w:r>
        <w:rPr>
          <w:iCs/>
          <w:color w:val="auto"/>
        </w:rPr>
        <w:t>t</w:t>
      </w:r>
      <w:r w:rsidR="00EB7E04" w:rsidRPr="00EB7E04">
        <w:rPr>
          <w:iCs/>
          <w:color w:val="auto"/>
        </w:rPr>
        <w:t>he initial preliminary score against the assessment criteria</w:t>
      </w:r>
    </w:p>
    <w:p w:rsidR="00EB7E04" w:rsidRPr="00EB7E04" w:rsidRDefault="00884700" w:rsidP="00EB7E04">
      <w:pPr>
        <w:pStyle w:val="BodyText"/>
        <w:numPr>
          <w:ilvl w:val="0"/>
          <w:numId w:val="16"/>
        </w:numPr>
        <w:rPr>
          <w:iCs/>
          <w:color w:val="auto"/>
        </w:rPr>
      </w:pPr>
      <w:r>
        <w:rPr>
          <w:iCs/>
          <w:color w:val="auto"/>
        </w:rPr>
        <w:t>t</w:t>
      </w:r>
      <w:r w:rsidR="00EB7E04" w:rsidRPr="00EB7E04">
        <w:rPr>
          <w:iCs/>
          <w:color w:val="auto"/>
        </w:rPr>
        <w:t>he relative value of the grant sought</w:t>
      </w:r>
      <w:r w:rsidR="00D00C87">
        <w:rPr>
          <w:iCs/>
          <w:color w:val="auto"/>
        </w:rPr>
        <w:t xml:space="preserve"> and value for money</w:t>
      </w:r>
    </w:p>
    <w:p w:rsidR="00EB7E04" w:rsidRPr="00EB7E04" w:rsidRDefault="00884700" w:rsidP="00EB7E04">
      <w:pPr>
        <w:pStyle w:val="BodyText"/>
        <w:numPr>
          <w:ilvl w:val="0"/>
          <w:numId w:val="16"/>
        </w:numPr>
        <w:rPr>
          <w:iCs/>
          <w:color w:val="auto"/>
        </w:rPr>
      </w:pPr>
      <w:r>
        <w:rPr>
          <w:iCs/>
          <w:color w:val="auto"/>
        </w:rPr>
        <w:t>t</w:t>
      </w:r>
      <w:r w:rsidR="00EB7E04" w:rsidRPr="00EB7E04">
        <w:rPr>
          <w:iCs/>
          <w:color w:val="auto"/>
        </w:rPr>
        <w:t xml:space="preserve">he extent to which the evidence in the application demonstrates </w:t>
      </w:r>
      <w:r w:rsidR="00D00C87">
        <w:rPr>
          <w:iCs/>
          <w:color w:val="auto"/>
        </w:rPr>
        <w:t>the proposed project</w:t>
      </w:r>
      <w:r w:rsidR="00EB7E04" w:rsidRPr="00EB7E04">
        <w:rPr>
          <w:iCs/>
          <w:color w:val="auto"/>
        </w:rPr>
        <w:t xml:space="preserve"> will contribute to meeting the outcomes/objectives of the First Nations FDR activity</w:t>
      </w:r>
    </w:p>
    <w:p w:rsidR="00EB7E04" w:rsidRPr="00EB7E04" w:rsidRDefault="00884700" w:rsidP="00EB7E04">
      <w:pPr>
        <w:pStyle w:val="BodyText"/>
        <w:numPr>
          <w:ilvl w:val="0"/>
          <w:numId w:val="16"/>
        </w:numPr>
        <w:rPr>
          <w:iCs/>
          <w:color w:val="auto"/>
        </w:rPr>
      </w:pPr>
      <w:r>
        <w:rPr>
          <w:iCs/>
          <w:color w:val="auto"/>
        </w:rPr>
        <w:t>t</w:t>
      </w:r>
      <w:r w:rsidR="00EB7E04" w:rsidRPr="00EB7E04">
        <w:rPr>
          <w:iCs/>
          <w:color w:val="auto"/>
        </w:rPr>
        <w:t>he risks, financial, fraud and other, the applicant or project poses for the department</w:t>
      </w:r>
    </w:p>
    <w:p w:rsidR="00EB7E04" w:rsidRDefault="00884700" w:rsidP="00EB7E04">
      <w:pPr>
        <w:pStyle w:val="BodyText"/>
        <w:numPr>
          <w:ilvl w:val="0"/>
          <w:numId w:val="16"/>
        </w:numPr>
        <w:rPr>
          <w:iCs/>
          <w:color w:val="auto"/>
        </w:rPr>
      </w:pPr>
      <w:r>
        <w:rPr>
          <w:iCs/>
          <w:color w:val="auto"/>
        </w:rPr>
        <w:t>t</w:t>
      </w:r>
      <w:r w:rsidR="00EB7E04" w:rsidRPr="00EB7E04">
        <w:rPr>
          <w:iCs/>
          <w:color w:val="auto"/>
        </w:rPr>
        <w:t>he risks the applicant or project poses for the Commonwealth.</w:t>
      </w:r>
    </w:p>
    <w:p w:rsidR="00EB7E04" w:rsidRPr="00284E4B" w:rsidRDefault="00EB7E04" w:rsidP="00B00334">
      <w:pPr>
        <w:pStyle w:val="Heading1"/>
        <w:spacing w:before="240"/>
      </w:pPr>
      <w:r>
        <w:t>Assessment Criteria</w:t>
      </w:r>
    </w:p>
    <w:p w:rsidR="00D75DAC" w:rsidRPr="00B00334" w:rsidRDefault="00154573" w:rsidP="00B00334">
      <w:pPr>
        <w:pStyle w:val="BodyText"/>
      </w:pPr>
      <w:r>
        <w:t>Each application</w:t>
      </w:r>
      <w:r w:rsidR="00E7480B">
        <w:t xml:space="preserve"> was required to address the following selection criteria:</w:t>
      </w:r>
    </w:p>
    <w:p w:rsidR="00A409BE" w:rsidRDefault="00F85F98" w:rsidP="00A409BE">
      <w:pPr>
        <w:pStyle w:val="Heading2"/>
        <w:spacing w:before="0"/>
      </w:pPr>
      <w:r>
        <w:t>Criterion 1</w:t>
      </w:r>
      <w:r w:rsidR="00A409BE">
        <w:t xml:space="preserve">: Meeting local needs </w:t>
      </w:r>
    </w:p>
    <w:p w:rsidR="002D46B6" w:rsidRDefault="008317AB" w:rsidP="00E43C10">
      <w:r>
        <w:t>Outline where the service would</w:t>
      </w:r>
      <w:r w:rsidR="00A409BE">
        <w:t xml:space="preserve"> be located, why the location/s has been chosen and how </w:t>
      </w:r>
      <w:r w:rsidR="002D46B6">
        <w:t>the</w:t>
      </w:r>
      <w:r w:rsidR="00A409BE">
        <w:t xml:space="preserve"> organisation is connected within this community/location to deliver this service in line with the National Agreement on Closing the Gap, particularly Priority Reform 2: Building the community-controlled sector.</w:t>
      </w:r>
      <w:r w:rsidR="002D46B6">
        <w:t xml:space="preserve"> </w:t>
      </w:r>
    </w:p>
    <w:p w:rsidR="002D46B6" w:rsidRDefault="002D46B6" w:rsidP="00E43C10">
      <w:pPr>
        <w:rPr>
          <w:color w:val="auto"/>
        </w:rPr>
      </w:pPr>
    </w:p>
    <w:p w:rsidR="00E43C10" w:rsidRPr="000E03EE" w:rsidRDefault="00E43C10" w:rsidP="00E43C10">
      <w:pPr>
        <w:rPr>
          <w:color w:val="auto"/>
        </w:rPr>
      </w:pPr>
      <w:r w:rsidRPr="000E03EE">
        <w:rPr>
          <w:color w:val="auto"/>
        </w:rPr>
        <w:t xml:space="preserve">When addressing the criterion, strong </w:t>
      </w:r>
      <w:r w:rsidR="00154573">
        <w:rPr>
          <w:color w:val="auto"/>
        </w:rPr>
        <w:t>applications</w:t>
      </w:r>
      <w:r w:rsidRPr="000E03EE">
        <w:rPr>
          <w:color w:val="auto"/>
        </w:rPr>
        <w:t>:</w:t>
      </w:r>
    </w:p>
    <w:p w:rsidR="00E43C10" w:rsidRPr="000E03EE" w:rsidRDefault="00E43C10" w:rsidP="00B00334">
      <w:pPr>
        <w:pStyle w:val="ListBullet"/>
        <w:numPr>
          <w:ilvl w:val="0"/>
          <w:numId w:val="22"/>
        </w:numPr>
        <w:spacing w:line="240" w:lineRule="auto"/>
        <w:ind w:left="714" w:hanging="357"/>
        <w:rPr>
          <w:rFonts w:asciiTheme="minorHAnsi" w:eastAsiaTheme="minorHAnsi" w:hAnsiTheme="minorHAnsi"/>
          <w:iCs w:val="0"/>
          <w:sz w:val="22"/>
        </w:rPr>
      </w:pPr>
      <w:r w:rsidRPr="000E03EE">
        <w:rPr>
          <w:rFonts w:asciiTheme="minorHAnsi" w:eastAsiaTheme="minorHAnsi" w:hAnsiTheme="minorHAnsi"/>
          <w:iCs w:val="0"/>
          <w:sz w:val="22"/>
        </w:rPr>
        <w:t>define</w:t>
      </w:r>
      <w:r w:rsidR="008317AB">
        <w:rPr>
          <w:rFonts w:asciiTheme="minorHAnsi" w:eastAsiaTheme="minorHAnsi" w:hAnsiTheme="minorHAnsi"/>
          <w:iCs w:val="0"/>
          <w:sz w:val="22"/>
        </w:rPr>
        <w:t>d</w:t>
      </w:r>
      <w:r w:rsidRPr="000E03EE">
        <w:rPr>
          <w:rFonts w:asciiTheme="minorHAnsi" w:eastAsiaTheme="minorHAnsi" w:hAnsiTheme="minorHAnsi"/>
          <w:iCs w:val="0"/>
          <w:sz w:val="22"/>
        </w:rPr>
        <w:t xml:space="preserve"> the proposed service delivery area (based on </w:t>
      </w:r>
      <w:hyperlink r:id="rId9" w:history="1">
        <w:r w:rsidRPr="000E03EE">
          <w:rPr>
            <w:rFonts w:asciiTheme="minorHAnsi" w:eastAsiaTheme="minorHAnsi" w:hAnsiTheme="minorHAnsi"/>
            <w:iCs w:val="0"/>
            <w:sz w:val="22"/>
          </w:rPr>
          <w:t>ABS Indigenous Regions</w:t>
        </w:r>
      </w:hyperlink>
      <w:r w:rsidRPr="000E03EE">
        <w:rPr>
          <w:rFonts w:asciiTheme="minorHAnsi" w:eastAsiaTheme="minorHAnsi" w:hAnsiTheme="minorHAnsi"/>
          <w:iCs w:val="0"/>
          <w:sz w:val="22"/>
        </w:rPr>
        <w:t>), including any physical locations and broader service coverage areas</w:t>
      </w:r>
    </w:p>
    <w:p w:rsidR="00E43C10" w:rsidRPr="000E03EE" w:rsidRDefault="00E43C10" w:rsidP="00B00334">
      <w:pPr>
        <w:pStyle w:val="ListBullet"/>
        <w:numPr>
          <w:ilvl w:val="0"/>
          <w:numId w:val="22"/>
        </w:numPr>
        <w:spacing w:line="240" w:lineRule="auto"/>
        <w:ind w:left="714" w:hanging="357"/>
        <w:rPr>
          <w:rFonts w:asciiTheme="minorHAnsi" w:eastAsiaTheme="minorHAnsi" w:hAnsiTheme="minorHAnsi"/>
          <w:iCs w:val="0"/>
          <w:sz w:val="22"/>
        </w:rPr>
      </w:pPr>
      <w:r w:rsidRPr="000E03EE">
        <w:rPr>
          <w:rFonts w:asciiTheme="minorHAnsi" w:eastAsiaTheme="minorHAnsi" w:hAnsiTheme="minorHAnsi"/>
          <w:iCs w:val="0"/>
          <w:sz w:val="22"/>
        </w:rPr>
        <w:t>include</w:t>
      </w:r>
      <w:r w:rsidR="008317AB">
        <w:rPr>
          <w:rFonts w:asciiTheme="minorHAnsi" w:eastAsiaTheme="minorHAnsi" w:hAnsiTheme="minorHAnsi"/>
          <w:iCs w:val="0"/>
          <w:sz w:val="22"/>
        </w:rPr>
        <w:t>d</w:t>
      </w:r>
      <w:r w:rsidRPr="000E03EE">
        <w:rPr>
          <w:rFonts w:asciiTheme="minorHAnsi" w:eastAsiaTheme="minorHAnsi" w:hAnsiTheme="minorHAnsi"/>
          <w:iCs w:val="0"/>
          <w:sz w:val="22"/>
        </w:rPr>
        <w:t xml:space="preserve"> information on demographics of the </w:t>
      </w:r>
      <w:r w:rsidR="008317AB">
        <w:rPr>
          <w:rFonts w:asciiTheme="minorHAnsi" w:eastAsiaTheme="minorHAnsi" w:hAnsiTheme="minorHAnsi"/>
          <w:iCs w:val="0"/>
          <w:sz w:val="22"/>
        </w:rPr>
        <w:t>expected client base within the</w:t>
      </w:r>
      <w:r w:rsidRPr="000E03EE">
        <w:rPr>
          <w:rFonts w:asciiTheme="minorHAnsi" w:eastAsiaTheme="minorHAnsi" w:hAnsiTheme="minorHAnsi"/>
          <w:iCs w:val="0"/>
          <w:sz w:val="22"/>
        </w:rPr>
        <w:t xml:space="preserve"> area</w:t>
      </w:r>
      <w:r w:rsidR="008317AB">
        <w:rPr>
          <w:rFonts w:asciiTheme="minorHAnsi" w:eastAsiaTheme="minorHAnsi" w:hAnsiTheme="minorHAnsi"/>
          <w:iCs w:val="0"/>
          <w:sz w:val="22"/>
        </w:rPr>
        <w:t>, the demonstrated need for the service in the</w:t>
      </w:r>
      <w:r w:rsidRPr="000E03EE">
        <w:rPr>
          <w:rFonts w:asciiTheme="minorHAnsi" w:eastAsiaTheme="minorHAnsi" w:hAnsiTheme="minorHAnsi"/>
          <w:iCs w:val="0"/>
          <w:sz w:val="22"/>
        </w:rPr>
        <w:t xml:space="preserve"> location, and how </w:t>
      </w:r>
      <w:r w:rsidR="002D46B6">
        <w:rPr>
          <w:rFonts w:asciiTheme="minorHAnsi" w:eastAsiaTheme="minorHAnsi" w:hAnsiTheme="minorHAnsi"/>
          <w:iCs w:val="0"/>
          <w:sz w:val="22"/>
        </w:rPr>
        <w:t>the</w:t>
      </w:r>
      <w:r w:rsidR="008317AB">
        <w:rPr>
          <w:rFonts w:asciiTheme="minorHAnsi" w:eastAsiaTheme="minorHAnsi" w:hAnsiTheme="minorHAnsi"/>
          <w:iCs w:val="0"/>
          <w:sz w:val="22"/>
        </w:rPr>
        <w:t xml:space="preserve"> service wou</w:t>
      </w:r>
      <w:r w:rsidRPr="000E03EE">
        <w:rPr>
          <w:rFonts w:asciiTheme="minorHAnsi" w:eastAsiaTheme="minorHAnsi" w:hAnsiTheme="minorHAnsi"/>
          <w:iCs w:val="0"/>
          <w:sz w:val="22"/>
        </w:rPr>
        <w:t>l</w:t>
      </w:r>
      <w:r w:rsidR="008317AB">
        <w:rPr>
          <w:rFonts w:asciiTheme="minorHAnsi" w:eastAsiaTheme="minorHAnsi" w:hAnsiTheme="minorHAnsi"/>
          <w:iCs w:val="0"/>
          <w:sz w:val="22"/>
        </w:rPr>
        <w:t xml:space="preserve">d meet the </w:t>
      </w:r>
      <w:r w:rsidRPr="000E03EE">
        <w:rPr>
          <w:rFonts w:asciiTheme="minorHAnsi" w:eastAsiaTheme="minorHAnsi" w:hAnsiTheme="minorHAnsi"/>
          <w:iCs w:val="0"/>
          <w:sz w:val="22"/>
        </w:rPr>
        <w:t>need</w:t>
      </w:r>
    </w:p>
    <w:p w:rsidR="00E43C10" w:rsidRPr="000E03EE" w:rsidRDefault="00E43C10" w:rsidP="00B00334">
      <w:pPr>
        <w:pStyle w:val="ListBullet"/>
        <w:numPr>
          <w:ilvl w:val="0"/>
          <w:numId w:val="22"/>
        </w:numPr>
        <w:spacing w:line="240" w:lineRule="auto"/>
        <w:ind w:left="714" w:hanging="357"/>
        <w:rPr>
          <w:rFonts w:asciiTheme="minorHAnsi" w:eastAsiaTheme="minorHAnsi" w:hAnsiTheme="minorHAnsi"/>
          <w:iCs w:val="0"/>
          <w:sz w:val="22"/>
        </w:rPr>
      </w:pPr>
      <w:r w:rsidRPr="000E03EE">
        <w:rPr>
          <w:rFonts w:asciiTheme="minorHAnsi" w:eastAsiaTheme="minorHAnsi" w:hAnsiTheme="minorHAnsi"/>
          <w:iCs w:val="0"/>
          <w:sz w:val="22"/>
        </w:rPr>
        <w:t>demonstrate</w:t>
      </w:r>
      <w:r w:rsidR="008317AB">
        <w:rPr>
          <w:rFonts w:asciiTheme="minorHAnsi" w:eastAsiaTheme="minorHAnsi" w:hAnsiTheme="minorHAnsi"/>
          <w:iCs w:val="0"/>
          <w:sz w:val="22"/>
        </w:rPr>
        <w:t>d</w:t>
      </w:r>
      <w:r w:rsidRPr="000E03EE">
        <w:rPr>
          <w:rFonts w:asciiTheme="minorHAnsi" w:eastAsiaTheme="minorHAnsi" w:hAnsiTheme="minorHAnsi"/>
          <w:iCs w:val="0"/>
          <w:sz w:val="22"/>
        </w:rPr>
        <w:t xml:space="preserve"> </w:t>
      </w:r>
      <w:r w:rsidR="002D46B6">
        <w:rPr>
          <w:rFonts w:asciiTheme="minorHAnsi" w:eastAsiaTheme="minorHAnsi" w:hAnsiTheme="minorHAnsi"/>
          <w:iCs w:val="0"/>
          <w:sz w:val="22"/>
        </w:rPr>
        <w:t>the organisation’s</w:t>
      </w:r>
      <w:r w:rsidRPr="000E03EE">
        <w:rPr>
          <w:rFonts w:asciiTheme="minorHAnsi" w:eastAsiaTheme="minorHAnsi" w:hAnsiTheme="minorHAnsi"/>
          <w:iCs w:val="0"/>
          <w:sz w:val="22"/>
        </w:rPr>
        <w:t xml:space="preserve"> connection to the communities </w:t>
      </w:r>
      <w:r w:rsidR="002D46B6">
        <w:rPr>
          <w:rFonts w:asciiTheme="minorHAnsi" w:eastAsiaTheme="minorHAnsi" w:hAnsiTheme="minorHAnsi"/>
          <w:iCs w:val="0"/>
          <w:sz w:val="22"/>
        </w:rPr>
        <w:t>they</w:t>
      </w:r>
      <w:r w:rsidRPr="000E03EE">
        <w:rPr>
          <w:rFonts w:asciiTheme="minorHAnsi" w:eastAsiaTheme="minorHAnsi" w:hAnsiTheme="minorHAnsi"/>
          <w:iCs w:val="0"/>
          <w:sz w:val="22"/>
        </w:rPr>
        <w:t xml:space="preserve"> serve, how </w:t>
      </w:r>
      <w:r w:rsidR="002D46B6">
        <w:rPr>
          <w:rFonts w:asciiTheme="minorHAnsi" w:eastAsiaTheme="minorHAnsi" w:hAnsiTheme="minorHAnsi"/>
          <w:iCs w:val="0"/>
          <w:sz w:val="22"/>
        </w:rPr>
        <w:t>they</w:t>
      </w:r>
      <w:r w:rsidR="008317AB">
        <w:rPr>
          <w:rFonts w:asciiTheme="minorHAnsi" w:eastAsiaTheme="minorHAnsi" w:hAnsiTheme="minorHAnsi"/>
          <w:iCs w:val="0"/>
          <w:sz w:val="22"/>
        </w:rPr>
        <w:t xml:space="preserve"> would</w:t>
      </w:r>
      <w:r w:rsidRPr="000E03EE">
        <w:rPr>
          <w:rFonts w:asciiTheme="minorHAnsi" w:eastAsiaTheme="minorHAnsi" w:hAnsiTheme="minorHAnsi"/>
          <w:iCs w:val="0"/>
          <w:sz w:val="22"/>
        </w:rPr>
        <w:t xml:space="preserve"> involve the community in the design of </w:t>
      </w:r>
      <w:r w:rsidR="000537D0">
        <w:rPr>
          <w:rFonts w:asciiTheme="minorHAnsi" w:eastAsiaTheme="minorHAnsi" w:hAnsiTheme="minorHAnsi"/>
          <w:iCs w:val="0"/>
          <w:sz w:val="22"/>
        </w:rPr>
        <w:t>their</w:t>
      </w:r>
      <w:r w:rsidR="000537D0" w:rsidRPr="000E03EE">
        <w:rPr>
          <w:rFonts w:asciiTheme="minorHAnsi" w:eastAsiaTheme="minorHAnsi" w:hAnsiTheme="minorHAnsi"/>
          <w:iCs w:val="0"/>
          <w:sz w:val="22"/>
        </w:rPr>
        <w:t xml:space="preserve"> </w:t>
      </w:r>
      <w:r w:rsidRPr="000E03EE">
        <w:rPr>
          <w:rFonts w:asciiTheme="minorHAnsi" w:eastAsiaTheme="minorHAnsi" w:hAnsiTheme="minorHAnsi"/>
          <w:iCs w:val="0"/>
          <w:sz w:val="22"/>
        </w:rPr>
        <w:t xml:space="preserve">service model according to place-based principles, and </w:t>
      </w:r>
      <w:r w:rsidR="002D46B6">
        <w:rPr>
          <w:rFonts w:asciiTheme="minorHAnsi" w:eastAsiaTheme="minorHAnsi" w:hAnsiTheme="minorHAnsi"/>
          <w:iCs w:val="0"/>
          <w:sz w:val="22"/>
        </w:rPr>
        <w:t>their</w:t>
      </w:r>
      <w:r w:rsidRPr="000E03EE">
        <w:rPr>
          <w:rFonts w:asciiTheme="minorHAnsi" w:eastAsiaTheme="minorHAnsi" w:hAnsiTheme="minorHAnsi"/>
          <w:iCs w:val="0"/>
          <w:sz w:val="22"/>
        </w:rPr>
        <w:t xml:space="preserve"> commitment to delivering culturally safe services</w:t>
      </w:r>
    </w:p>
    <w:p w:rsidR="00E43C10" w:rsidRDefault="00E43C10" w:rsidP="00B00334">
      <w:pPr>
        <w:pStyle w:val="ListBullet"/>
        <w:numPr>
          <w:ilvl w:val="0"/>
          <w:numId w:val="22"/>
        </w:numPr>
        <w:spacing w:line="240" w:lineRule="auto"/>
        <w:ind w:left="714" w:hanging="357"/>
        <w:rPr>
          <w:rFonts w:asciiTheme="minorHAnsi" w:eastAsiaTheme="minorHAnsi" w:hAnsiTheme="minorHAnsi"/>
          <w:iCs w:val="0"/>
          <w:sz w:val="22"/>
        </w:rPr>
      </w:pPr>
      <w:r w:rsidRPr="000E03EE">
        <w:rPr>
          <w:rFonts w:asciiTheme="minorHAnsi" w:eastAsiaTheme="minorHAnsi" w:hAnsiTheme="minorHAnsi"/>
          <w:iCs w:val="0"/>
          <w:sz w:val="22"/>
        </w:rPr>
        <w:t>define</w:t>
      </w:r>
      <w:r w:rsidR="008317AB">
        <w:rPr>
          <w:rFonts w:asciiTheme="minorHAnsi" w:eastAsiaTheme="minorHAnsi" w:hAnsiTheme="minorHAnsi"/>
          <w:iCs w:val="0"/>
          <w:sz w:val="22"/>
        </w:rPr>
        <w:t>d</w:t>
      </w:r>
      <w:r w:rsidRPr="000E03EE">
        <w:rPr>
          <w:rFonts w:asciiTheme="minorHAnsi" w:eastAsiaTheme="minorHAnsi" w:hAnsiTheme="minorHAnsi"/>
          <w:iCs w:val="0"/>
          <w:sz w:val="22"/>
        </w:rPr>
        <w:t xml:space="preserve"> how </w:t>
      </w:r>
      <w:r w:rsidR="002D46B6">
        <w:rPr>
          <w:rFonts w:asciiTheme="minorHAnsi" w:eastAsiaTheme="minorHAnsi" w:hAnsiTheme="minorHAnsi"/>
          <w:iCs w:val="0"/>
          <w:sz w:val="22"/>
        </w:rPr>
        <w:t>the</w:t>
      </w:r>
      <w:r w:rsidRPr="000E03EE">
        <w:rPr>
          <w:rFonts w:asciiTheme="minorHAnsi" w:eastAsiaTheme="minorHAnsi" w:hAnsiTheme="minorHAnsi"/>
          <w:iCs w:val="0"/>
          <w:sz w:val="22"/>
        </w:rPr>
        <w:t xml:space="preserve"> organisation is controlled, operated and governed by Aboriginal and/or Torres Strait Islander people.</w:t>
      </w:r>
    </w:p>
    <w:p w:rsidR="008317AB" w:rsidRPr="000E03EE" w:rsidRDefault="008317AB" w:rsidP="008317AB">
      <w:pPr>
        <w:pStyle w:val="ListBullet"/>
        <w:spacing w:line="240" w:lineRule="auto"/>
        <w:ind w:left="714"/>
        <w:rPr>
          <w:rFonts w:asciiTheme="minorHAnsi" w:eastAsiaTheme="minorHAnsi" w:hAnsiTheme="minorHAnsi"/>
          <w:iCs w:val="0"/>
          <w:sz w:val="22"/>
        </w:rPr>
      </w:pPr>
    </w:p>
    <w:tbl>
      <w:tblPr>
        <w:tblStyle w:val="CGHTableBanded"/>
        <w:tblW w:w="0" w:type="auto"/>
        <w:tblLook w:val="0480" w:firstRow="0" w:lastRow="0" w:firstColumn="1" w:lastColumn="0" w:noHBand="0" w:noVBand="1"/>
        <w:tblCaption w:val="Strong responses against assessment criterion one's sub criteria"/>
        <w:tblDescription w:val="This table states the requirements of strong applications against the assessment criterion one’s sub criteria, and provides a description of strong responses"/>
      </w:tblPr>
      <w:tblGrid>
        <w:gridCol w:w="4817"/>
        <w:gridCol w:w="4821"/>
      </w:tblGrid>
      <w:tr w:rsidR="00F85F98" w:rsidTr="008974F4">
        <w:trPr>
          <w:trHeight w:val="472"/>
          <w:tblHeader/>
        </w:trPr>
        <w:tc>
          <w:tcPr>
            <w:tcW w:w="4817" w:type="dxa"/>
            <w:shd w:val="clear" w:color="auto" w:fill="FFC000"/>
            <w:vAlign w:val="center"/>
          </w:tcPr>
          <w:p w:rsidR="00F85F98" w:rsidRPr="00454EB4" w:rsidRDefault="00F85F98" w:rsidP="00615D4C">
            <w:pPr>
              <w:spacing w:line="240" w:lineRule="auto"/>
              <w:ind w:left="57" w:right="57"/>
              <w:rPr>
                <w:b/>
              </w:rPr>
            </w:pPr>
            <w:r w:rsidRPr="00454EB4">
              <w:rPr>
                <w:b/>
              </w:rPr>
              <w:lastRenderedPageBreak/>
              <w:t>S</w:t>
            </w:r>
            <w:r w:rsidR="00615D4C">
              <w:rPr>
                <w:b/>
              </w:rPr>
              <w:t>ub Criteria</w:t>
            </w:r>
          </w:p>
        </w:tc>
        <w:tc>
          <w:tcPr>
            <w:tcW w:w="4821" w:type="dxa"/>
            <w:shd w:val="clear" w:color="auto" w:fill="FFC000"/>
            <w:vAlign w:val="center"/>
          </w:tcPr>
          <w:p w:rsidR="00F85F98" w:rsidRPr="00454EB4" w:rsidRDefault="00615D4C" w:rsidP="00DF5C88">
            <w:pPr>
              <w:spacing w:line="240" w:lineRule="auto"/>
              <w:ind w:left="57" w:right="57"/>
              <w:rPr>
                <w:b/>
              </w:rPr>
            </w:pPr>
            <w:r>
              <w:rPr>
                <w:b/>
              </w:rPr>
              <w:t>Strengths</w:t>
            </w:r>
          </w:p>
        </w:tc>
      </w:tr>
      <w:tr w:rsidR="00F85F98" w:rsidRPr="00F435C9" w:rsidTr="008974F4">
        <w:trPr>
          <w:cnfStyle w:val="000000100000" w:firstRow="0" w:lastRow="0" w:firstColumn="0" w:lastColumn="0" w:oddVBand="0" w:evenVBand="0" w:oddHBand="1" w:evenHBand="0" w:firstRowFirstColumn="0" w:firstRowLastColumn="0" w:lastRowFirstColumn="0" w:lastRowLastColumn="0"/>
        </w:trPr>
        <w:tc>
          <w:tcPr>
            <w:tcW w:w="4817" w:type="dxa"/>
            <w:vAlign w:val="center"/>
          </w:tcPr>
          <w:p w:rsidR="00F85F98" w:rsidRPr="00F435C9" w:rsidRDefault="00F85F98" w:rsidP="002D46B6">
            <w:pPr>
              <w:pStyle w:val="ListBullet"/>
              <w:spacing w:before="120" w:line="240" w:lineRule="auto"/>
              <w:rPr>
                <w:rFonts w:asciiTheme="minorHAnsi" w:eastAsiaTheme="minorHAnsi" w:hAnsiTheme="minorHAnsi" w:cstheme="minorHAnsi"/>
                <w:iCs w:val="0"/>
                <w:sz w:val="22"/>
                <w:szCs w:val="22"/>
              </w:rPr>
            </w:pPr>
            <w:r w:rsidRPr="00F435C9">
              <w:rPr>
                <w:rFonts w:asciiTheme="minorHAnsi" w:eastAsia="Arial" w:hAnsiTheme="minorHAnsi" w:cstheme="minorHAnsi"/>
                <w:sz w:val="22"/>
                <w:szCs w:val="22"/>
              </w:rPr>
              <w:t xml:space="preserve">Strong </w:t>
            </w:r>
            <w:r w:rsidR="00154573" w:rsidRPr="00F435C9">
              <w:rPr>
                <w:rFonts w:asciiTheme="minorHAnsi" w:eastAsia="Arial" w:hAnsiTheme="minorHAnsi" w:cstheme="minorHAnsi"/>
                <w:sz w:val="22"/>
                <w:szCs w:val="22"/>
              </w:rPr>
              <w:t>applications</w:t>
            </w:r>
            <w:r w:rsidRPr="00F435C9">
              <w:rPr>
                <w:rFonts w:asciiTheme="minorHAnsi" w:eastAsia="Arial" w:hAnsiTheme="minorHAnsi" w:cstheme="minorHAnsi"/>
                <w:sz w:val="22"/>
                <w:szCs w:val="22"/>
              </w:rPr>
              <w:t xml:space="preserve"> </w:t>
            </w:r>
            <w:r w:rsidR="00F76062" w:rsidRPr="00F435C9">
              <w:rPr>
                <w:rFonts w:asciiTheme="minorHAnsi" w:eastAsia="Arial" w:hAnsiTheme="minorHAnsi" w:cstheme="minorHAnsi"/>
                <w:sz w:val="22"/>
                <w:szCs w:val="22"/>
              </w:rPr>
              <w:t xml:space="preserve">were required to </w:t>
            </w:r>
            <w:r w:rsidR="00EA407F" w:rsidRPr="00F435C9">
              <w:rPr>
                <w:rFonts w:asciiTheme="minorHAnsi" w:eastAsia="Arial" w:hAnsiTheme="minorHAnsi" w:cstheme="minorHAnsi"/>
                <w:sz w:val="22"/>
                <w:szCs w:val="22"/>
              </w:rPr>
              <w:t xml:space="preserve">define the proposed service delivery area </w:t>
            </w:r>
            <w:r w:rsidR="00CD572E" w:rsidRPr="00F435C9">
              <w:rPr>
                <w:rFonts w:asciiTheme="minorHAnsi" w:eastAsia="Arial" w:hAnsiTheme="minorHAnsi" w:cstheme="minorHAnsi"/>
                <w:sz w:val="22"/>
                <w:szCs w:val="22"/>
              </w:rPr>
              <w:t>which</w:t>
            </w:r>
            <w:r w:rsidR="00EA407F" w:rsidRPr="00F435C9">
              <w:rPr>
                <w:rFonts w:asciiTheme="minorHAnsi" w:eastAsia="Arial" w:hAnsiTheme="minorHAnsi" w:cstheme="minorHAnsi"/>
                <w:sz w:val="22"/>
                <w:szCs w:val="22"/>
              </w:rPr>
              <w:t xml:space="preserve"> was based on </w:t>
            </w:r>
            <w:hyperlink r:id="rId10" w:history="1">
              <w:r w:rsidR="00EA407F" w:rsidRPr="00F435C9">
                <w:rPr>
                  <w:rFonts w:asciiTheme="minorHAnsi" w:eastAsia="Arial" w:hAnsiTheme="minorHAnsi" w:cstheme="minorHAnsi"/>
                  <w:sz w:val="22"/>
                  <w:szCs w:val="22"/>
                </w:rPr>
                <w:t>ABS Indigenous Regions</w:t>
              </w:r>
            </w:hyperlink>
            <w:r w:rsidR="00EA407F" w:rsidRPr="00F435C9">
              <w:rPr>
                <w:rFonts w:asciiTheme="minorHAnsi" w:eastAsia="Arial" w:hAnsiTheme="minorHAnsi" w:cstheme="minorHAnsi"/>
                <w:sz w:val="22"/>
                <w:szCs w:val="22"/>
              </w:rPr>
              <w:t>. This also included any physical locations and broader service coverage areas</w:t>
            </w:r>
            <w:r w:rsidR="005C48EA">
              <w:rPr>
                <w:rFonts w:asciiTheme="minorHAnsi" w:eastAsia="Arial" w:hAnsiTheme="minorHAnsi" w:cstheme="minorHAnsi"/>
                <w:sz w:val="22"/>
                <w:szCs w:val="22"/>
              </w:rPr>
              <w:t>.</w:t>
            </w:r>
          </w:p>
        </w:tc>
        <w:tc>
          <w:tcPr>
            <w:tcW w:w="4821" w:type="dxa"/>
          </w:tcPr>
          <w:p w:rsidR="00F85F98" w:rsidRPr="00F435C9" w:rsidRDefault="00E42E51" w:rsidP="002D46B6">
            <w:pPr>
              <w:spacing w:before="120" w:after="120" w:line="240" w:lineRule="auto"/>
              <w:ind w:left="113" w:right="57"/>
              <w:rPr>
                <w:rFonts w:eastAsia="Arial" w:cstheme="minorHAnsi"/>
                <w:iCs/>
                <w:color w:val="auto"/>
                <w:szCs w:val="22"/>
              </w:rPr>
            </w:pPr>
            <w:r>
              <w:rPr>
                <w:rFonts w:eastAsia="Arial" w:cstheme="minorHAnsi"/>
                <w:iCs/>
                <w:color w:val="auto"/>
                <w:szCs w:val="22"/>
              </w:rPr>
              <w:t>Stronger</w:t>
            </w:r>
            <w:r w:rsidR="00323AFF">
              <w:rPr>
                <w:rFonts w:eastAsia="Arial" w:cstheme="minorHAnsi"/>
                <w:iCs/>
                <w:color w:val="auto"/>
                <w:szCs w:val="22"/>
              </w:rPr>
              <w:t xml:space="preserve"> a</w:t>
            </w:r>
            <w:r w:rsidR="00154573" w:rsidRPr="00F435C9">
              <w:rPr>
                <w:rFonts w:eastAsia="Arial" w:cstheme="minorHAnsi"/>
                <w:iCs/>
                <w:color w:val="auto"/>
                <w:szCs w:val="22"/>
              </w:rPr>
              <w:t>pplications</w:t>
            </w:r>
            <w:r w:rsidR="00F85F98" w:rsidRPr="00F435C9">
              <w:rPr>
                <w:rFonts w:eastAsia="Arial" w:cstheme="minorHAnsi"/>
                <w:iCs/>
                <w:color w:val="auto"/>
                <w:szCs w:val="22"/>
              </w:rPr>
              <w:t xml:space="preserve"> </w:t>
            </w:r>
            <w:r w:rsidR="00AA5CD0" w:rsidRPr="00F435C9">
              <w:rPr>
                <w:rFonts w:eastAsia="Arial" w:cstheme="minorHAnsi"/>
                <w:iCs/>
                <w:color w:val="auto"/>
                <w:szCs w:val="22"/>
              </w:rPr>
              <w:t xml:space="preserve">clearly </w:t>
            </w:r>
            <w:r w:rsidR="002D3419" w:rsidRPr="00F435C9">
              <w:rPr>
                <w:rFonts w:eastAsia="Arial" w:cstheme="minorHAnsi"/>
                <w:iCs/>
                <w:color w:val="auto"/>
                <w:szCs w:val="22"/>
              </w:rPr>
              <w:t>de</w:t>
            </w:r>
            <w:r w:rsidR="00880DE1" w:rsidRPr="00F435C9">
              <w:rPr>
                <w:rFonts w:eastAsia="Arial" w:cstheme="minorHAnsi"/>
                <w:iCs/>
                <w:color w:val="auto"/>
                <w:szCs w:val="22"/>
              </w:rPr>
              <w:t>scribed</w:t>
            </w:r>
            <w:r w:rsidR="00EA407F" w:rsidRPr="00F435C9">
              <w:rPr>
                <w:rFonts w:eastAsia="Arial" w:cstheme="minorHAnsi"/>
                <w:iCs/>
                <w:color w:val="auto"/>
                <w:szCs w:val="22"/>
              </w:rPr>
              <w:t xml:space="preserve"> where the propo</w:t>
            </w:r>
            <w:r w:rsidR="00880DE1" w:rsidRPr="00F435C9">
              <w:rPr>
                <w:rFonts w:eastAsia="Arial" w:cstheme="minorHAnsi"/>
                <w:iCs/>
                <w:color w:val="auto"/>
                <w:szCs w:val="22"/>
              </w:rPr>
              <w:t>sed</w:t>
            </w:r>
            <w:r w:rsidR="00154573" w:rsidRPr="00F435C9">
              <w:rPr>
                <w:rFonts w:eastAsia="Arial" w:cstheme="minorHAnsi"/>
                <w:iCs/>
                <w:color w:val="auto"/>
                <w:szCs w:val="22"/>
              </w:rPr>
              <w:t xml:space="preserve"> services would</w:t>
            </w:r>
            <w:r w:rsidR="00877D81" w:rsidRPr="00F435C9">
              <w:rPr>
                <w:rFonts w:eastAsia="Arial" w:cstheme="minorHAnsi"/>
                <w:iCs/>
                <w:color w:val="auto"/>
                <w:szCs w:val="22"/>
              </w:rPr>
              <w:t xml:space="preserve"> operate</w:t>
            </w:r>
            <w:r w:rsidR="00B125F0" w:rsidRPr="00F435C9">
              <w:rPr>
                <w:rFonts w:eastAsia="Arial" w:cstheme="minorHAnsi"/>
                <w:iCs/>
                <w:color w:val="auto"/>
                <w:szCs w:val="22"/>
              </w:rPr>
              <w:t xml:space="preserve">. </w:t>
            </w:r>
            <w:r w:rsidR="00154573" w:rsidRPr="00F435C9">
              <w:rPr>
                <w:rFonts w:eastAsia="Arial" w:cstheme="minorHAnsi"/>
                <w:iCs/>
                <w:color w:val="auto"/>
                <w:szCs w:val="22"/>
              </w:rPr>
              <w:t>They</w:t>
            </w:r>
            <w:r w:rsidR="00B125F0" w:rsidRPr="00F435C9">
              <w:rPr>
                <w:rFonts w:eastAsia="Arial" w:cstheme="minorHAnsi"/>
                <w:iCs/>
                <w:color w:val="auto"/>
                <w:szCs w:val="22"/>
              </w:rPr>
              <w:t xml:space="preserve"> explained</w:t>
            </w:r>
            <w:r w:rsidR="00877D81" w:rsidRPr="00F435C9">
              <w:rPr>
                <w:rFonts w:eastAsia="Arial" w:cstheme="minorHAnsi"/>
                <w:iCs/>
                <w:color w:val="auto"/>
                <w:szCs w:val="22"/>
              </w:rPr>
              <w:t xml:space="preserve"> </w:t>
            </w:r>
            <w:r w:rsidR="00AA5CD0" w:rsidRPr="00F435C9">
              <w:rPr>
                <w:rFonts w:eastAsia="Arial" w:cstheme="minorHAnsi"/>
                <w:iCs/>
                <w:color w:val="auto"/>
                <w:szCs w:val="22"/>
              </w:rPr>
              <w:t xml:space="preserve">how </w:t>
            </w:r>
            <w:r w:rsidR="00877D81" w:rsidRPr="00F435C9">
              <w:rPr>
                <w:rFonts w:eastAsia="Arial" w:cstheme="minorHAnsi"/>
                <w:iCs/>
                <w:color w:val="auto"/>
                <w:szCs w:val="22"/>
              </w:rPr>
              <w:t xml:space="preserve">the broader coverage areas </w:t>
            </w:r>
            <w:r w:rsidR="00154573" w:rsidRPr="00F435C9">
              <w:rPr>
                <w:rFonts w:eastAsia="Arial" w:cstheme="minorHAnsi"/>
                <w:iCs/>
                <w:color w:val="auto"/>
                <w:szCs w:val="22"/>
              </w:rPr>
              <w:t>would</w:t>
            </w:r>
            <w:r w:rsidR="00AA5CD0" w:rsidRPr="00F435C9">
              <w:rPr>
                <w:rFonts w:eastAsia="Arial" w:cstheme="minorHAnsi"/>
                <w:iCs/>
                <w:color w:val="auto"/>
                <w:szCs w:val="22"/>
              </w:rPr>
              <w:t xml:space="preserve"> benefit from </w:t>
            </w:r>
            <w:r w:rsidR="005C48EA">
              <w:rPr>
                <w:rFonts w:eastAsia="Arial" w:cstheme="minorHAnsi"/>
                <w:iCs/>
                <w:color w:val="auto"/>
                <w:szCs w:val="22"/>
              </w:rPr>
              <w:t>proposed project</w:t>
            </w:r>
            <w:r w:rsidR="00CD572E" w:rsidRPr="00F435C9">
              <w:rPr>
                <w:rFonts w:eastAsia="Arial" w:cstheme="minorHAnsi"/>
                <w:iCs/>
                <w:color w:val="auto"/>
                <w:szCs w:val="22"/>
              </w:rPr>
              <w:t xml:space="preserve">. </w:t>
            </w:r>
          </w:p>
        </w:tc>
      </w:tr>
      <w:tr w:rsidR="00F85F98" w:rsidRPr="00F435C9" w:rsidTr="008974F4">
        <w:tc>
          <w:tcPr>
            <w:tcW w:w="4817" w:type="dxa"/>
            <w:vAlign w:val="center"/>
          </w:tcPr>
          <w:p w:rsidR="00F85F98" w:rsidRPr="00F435C9" w:rsidRDefault="00154573" w:rsidP="004D2466">
            <w:pPr>
              <w:pStyle w:val="ListBullet"/>
              <w:spacing w:before="120" w:line="240" w:lineRule="auto"/>
              <w:rPr>
                <w:rFonts w:asciiTheme="minorHAnsi" w:eastAsia="Arial" w:hAnsiTheme="minorHAnsi" w:cstheme="minorHAnsi"/>
                <w:sz w:val="22"/>
                <w:szCs w:val="22"/>
              </w:rPr>
            </w:pPr>
            <w:r w:rsidRPr="00F435C9">
              <w:rPr>
                <w:rFonts w:asciiTheme="minorHAnsi" w:eastAsia="Arial" w:hAnsiTheme="minorHAnsi" w:cstheme="minorHAnsi"/>
                <w:sz w:val="22"/>
                <w:szCs w:val="22"/>
              </w:rPr>
              <w:t>Strong applications</w:t>
            </w:r>
            <w:r w:rsidR="00F85F98" w:rsidRPr="00F435C9">
              <w:rPr>
                <w:rFonts w:asciiTheme="minorHAnsi" w:eastAsia="Arial" w:hAnsiTheme="minorHAnsi" w:cstheme="minorHAnsi"/>
                <w:sz w:val="22"/>
                <w:szCs w:val="22"/>
              </w:rPr>
              <w:t xml:space="preserve"> </w:t>
            </w:r>
            <w:r w:rsidR="00F76062" w:rsidRPr="00F435C9">
              <w:rPr>
                <w:rFonts w:asciiTheme="minorHAnsi" w:eastAsia="Arial" w:hAnsiTheme="minorHAnsi" w:cstheme="minorHAnsi"/>
                <w:sz w:val="22"/>
                <w:szCs w:val="22"/>
              </w:rPr>
              <w:t xml:space="preserve">were required to </w:t>
            </w:r>
            <w:r w:rsidR="00303C48" w:rsidRPr="00F435C9">
              <w:rPr>
                <w:rFonts w:asciiTheme="minorHAnsi" w:eastAsia="Arial" w:hAnsiTheme="minorHAnsi" w:cstheme="minorHAnsi"/>
                <w:sz w:val="22"/>
                <w:szCs w:val="22"/>
              </w:rPr>
              <w:t>include information on demographics of the expected client base within this area</w:t>
            </w:r>
            <w:r w:rsidR="004D2466">
              <w:rPr>
                <w:rFonts w:asciiTheme="minorHAnsi" w:eastAsia="Arial" w:hAnsiTheme="minorHAnsi" w:cstheme="minorHAnsi"/>
                <w:sz w:val="22"/>
                <w:szCs w:val="22"/>
              </w:rPr>
              <w:t>;</w:t>
            </w:r>
            <w:r w:rsidR="00303C48" w:rsidRPr="00F435C9">
              <w:rPr>
                <w:rFonts w:asciiTheme="minorHAnsi" w:eastAsia="Arial" w:hAnsiTheme="minorHAnsi" w:cstheme="minorHAnsi"/>
                <w:sz w:val="22"/>
                <w:szCs w:val="22"/>
              </w:rPr>
              <w:t xml:space="preserve"> the demonstrated need for this service in this location</w:t>
            </w:r>
            <w:r w:rsidR="004D2466">
              <w:rPr>
                <w:rFonts w:asciiTheme="minorHAnsi" w:eastAsia="Arial" w:hAnsiTheme="minorHAnsi" w:cstheme="minorHAnsi"/>
                <w:sz w:val="22"/>
                <w:szCs w:val="22"/>
              </w:rPr>
              <w:t>;</w:t>
            </w:r>
            <w:r w:rsidR="00303C48" w:rsidRPr="00F435C9">
              <w:rPr>
                <w:rFonts w:asciiTheme="minorHAnsi" w:eastAsia="Arial" w:hAnsiTheme="minorHAnsi" w:cstheme="minorHAnsi"/>
                <w:sz w:val="22"/>
                <w:szCs w:val="22"/>
              </w:rPr>
              <w:t xml:space="preserve"> and how </w:t>
            </w:r>
            <w:r w:rsidR="0043718D">
              <w:rPr>
                <w:rFonts w:asciiTheme="minorHAnsi" w:eastAsia="Arial" w:hAnsiTheme="minorHAnsi" w:cstheme="minorHAnsi"/>
                <w:sz w:val="22"/>
                <w:szCs w:val="22"/>
              </w:rPr>
              <w:t>the</w:t>
            </w:r>
            <w:r w:rsidR="0043718D" w:rsidRPr="00F435C9">
              <w:rPr>
                <w:rFonts w:asciiTheme="minorHAnsi" w:eastAsia="Arial" w:hAnsiTheme="minorHAnsi" w:cstheme="minorHAnsi"/>
                <w:sz w:val="22"/>
                <w:szCs w:val="22"/>
              </w:rPr>
              <w:t xml:space="preserve"> </w:t>
            </w:r>
            <w:r w:rsidR="00303C48" w:rsidRPr="00F435C9">
              <w:rPr>
                <w:rFonts w:asciiTheme="minorHAnsi" w:eastAsia="Arial" w:hAnsiTheme="minorHAnsi" w:cstheme="minorHAnsi"/>
                <w:sz w:val="22"/>
                <w:szCs w:val="22"/>
              </w:rPr>
              <w:t>service will meet this need</w:t>
            </w:r>
            <w:r w:rsidR="005C48EA">
              <w:rPr>
                <w:rFonts w:asciiTheme="minorHAnsi" w:eastAsia="Arial" w:hAnsiTheme="minorHAnsi" w:cstheme="minorHAnsi"/>
                <w:sz w:val="22"/>
                <w:szCs w:val="22"/>
              </w:rPr>
              <w:t>.</w:t>
            </w:r>
          </w:p>
        </w:tc>
        <w:tc>
          <w:tcPr>
            <w:tcW w:w="4821" w:type="dxa"/>
          </w:tcPr>
          <w:p w:rsidR="003D3686" w:rsidRDefault="00E42E51" w:rsidP="002D46B6">
            <w:pPr>
              <w:spacing w:before="120" w:after="120" w:line="240" w:lineRule="auto"/>
              <w:ind w:left="113" w:right="57"/>
              <w:rPr>
                <w:rFonts w:eastAsia="Arial" w:cstheme="minorHAnsi"/>
                <w:iCs/>
                <w:color w:val="auto"/>
                <w:szCs w:val="22"/>
              </w:rPr>
            </w:pPr>
            <w:r>
              <w:rPr>
                <w:rFonts w:eastAsia="Arial" w:cstheme="minorHAnsi"/>
                <w:iCs/>
                <w:color w:val="auto"/>
                <w:szCs w:val="22"/>
              </w:rPr>
              <w:t>Stronger</w:t>
            </w:r>
            <w:r w:rsidR="00323AFF">
              <w:rPr>
                <w:rFonts w:eastAsia="Arial" w:cstheme="minorHAnsi"/>
                <w:iCs/>
                <w:color w:val="auto"/>
                <w:szCs w:val="22"/>
              </w:rPr>
              <w:t xml:space="preserve"> a</w:t>
            </w:r>
            <w:r w:rsidR="00154573" w:rsidRPr="00F435C9">
              <w:rPr>
                <w:rFonts w:eastAsia="Arial" w:cstheme="minorHAnsi"/>
                <w:iCs/>
                <w:color w:val="auto"/>
                <w:szCs w:val="22"/>
              </w:rPr>
              <w:t xml:space="preserve">pplications </w:t>
            </w:r>
            <w:r w:rsidR="00303C48" w:rsidRPr="00F435C9">
              <w:rPr>
                <w:rFonts w:eastAsia="Arial" w:cstheme="minorHAnsi"/>
                <w:iCs/>
                <w:color w:val="auto"/>
                <w:szCs w:val="22"/>
              </w:rPr>
              <w:t>described the demographi</w:t>
            </w:r>
            <w:r w:rsidR="00FE670A" w:rsidRPr="00F435C9">
              <w:rPr>
                <w:rFonts w:eastAsia="Arial" w:cstheme="minorHAnsi"/>
                <w:iCs/>
                <w:color w:val="auto"/>
                <w:szCs w:val="22"/>
              </w:rPr>
              <w:t xml:space="preserve">cs of the expected client base </w:t>
            </w:r>
            <w:r w:rsidR="003266B4" w:rsidRPr="00F435C9">
              <w:rPr>
                <w:rFonts w:eastAsia="Arial" w:cstheme="minorHAnsi"/>
                <w:iCs/>
                <w:color w:val="auto"/>
                <w:szCs w:val="22"/>
              </w:rPr>
              <w:t xml:space="preserve">within the </w:t>
            </w:r>
            <w:r w:rsidR="00A409BE">
              <w:rPr>
                <w:rFonts w:eastAsia="Arial" w:cstheme="minorHAnsi"/>
                <w:iCs/>
                <w:color w:val="auto"/>
                <w:szCs w:val="22"/>
              </w:rPr>
              <w:t>regions</w:t>
            </w:r>
            <w:r w:rsidR="00B125F0" w:rsidRPr="00F435C9">
              <w:rPr>
                <w:rFonts w:eastAsia="Arial" w:cstheme="minorHAnsi"/>
                <w:iCs/>
                <w:color w:val="auto"/>
                <w:szCs w:val="22"/>
              </w:rPr>
              <w:t xml:space="preserve"> </w:t>
            </w:r>
            <w:r w:rsidR="005C48EA">
              <w:rPr>
                <w:rFonts w:eastAsia="Arial" w:cstheme="minorHAnsi"/>
                <w:iCs/>
                <w:color w:val="auto"/>
                <w:szCs w:val="22"/>
              </w:rPr>
              <w:t xml:space="preserve">where </w:t>
            </w:r>
            <w:r w:rsidR="00B125F0" w:rsidRPr="00F435C9">
              <w:rPr>
                <w:rFonts w:eastAsia="Arial" w:cstheme="minorHAnsi"/>
                <w:iCs/>
                <w:color w:val="auto"/>
                <w:szCs w:val="22"/>
              </w:rPr>
              <w:t xml:space="preserve">their organisations </w:t>
            </w:r>
            <w:r w:rsidR="005C48EA">
              <w:rPr>
                <w:rFonts w:eastAsia="Arial" w:cstheme="minorHAnsi"/>
                <w:iCs/>
                <w:color w:val="auto"/>
                <w:szCs w:val="22"/>
              </w:rPr>
              <w:t>would operate</w:t>
            </w:r>
            <w:r w:rsidR="009D5CD7">
              <w:rPr>
                <w:rFonts w:eastAsia="Arial" w:cstheme="minorHAnsi"/>
                <w:iCs/>
                <w:color w:val="auto"/>
                <w:szCs w:val="22"/>
              </w:rPr>
              <w:t xml:space="preserve">, </w:t>
            </w:r>
            <w:r w:rsidR="00B97060">
              <w:rPr>
                <w:rFonts w:eastAsia="Arial" w:cstheme="minorHAnsi"/>
                <w:iCs/>
                <w:color w:val="auto"/>
                <w:szCs w:val="22"/>
              </w:rPr>
              <w:t xml:space="preserve">identified gaps and opportunities in service delivery, </w:t>
            </w:r>
            <w:r w:rsidR="009D5CD7">
              <w:rPr>
                <w:rFonts w:eastAsia="Arial" w:cstheme="minorHAnsi"/>
                <w:iCs/>
                <w:color w:val="auto"/>
                <w:szCs w:val="22"/>
              </w:rPr>
              <w:t xml:space="preserve">and </w:t>
            </w:r>
            <w:r w:rsidR="00B97060">
              <w:rPr>
                <w:rFonts w:eastAsia="Arial" w:cstheme="minorHAnsi"/>
                <w:iCs/>
                <w:color w:val="auto"/>
                <w:szCs w:val="22"/>
              </w:rPr>
              <w:t xml:space="preserve">demonstrated partnership with </w:t>
            </w:r>
            <w:r w:rsidR="009D5CD7">
              <w:rPr>
                <w:rFonts w:eastAsia="Arial" w:cstheme="minorHAnsi"/>
                <w:iCs/>
                <w:color w:val="auto"/>
                <w:szCs w:val="22"/>
              </w:rPr>
              <w:t>other FDR providers in the region</w:t>
            </w:r>
            <w:r w:rsidR="002D46B6">
              <w:rPr>
                <w:rFonts w:eastAsia="Arial" w:cstheme="minorHAnsi"/>
                <w:iCs/>
                <w:color w:val="auto"/>
                <w:szCs w:val="22"/>
              </w:rPr>
              <w:t xml:space="preserve"> to enhance capacity building</w:t>
            </w:r>
            <w:r w:rsidR="005C48EA">
              <w:rPr>
                <w:rFonts w:eastAsia="Arial" w:cstheme="minorHAnsi"/>
                <w:iCs/>
                <w:color w:val="auto"/>
                <w:szCs w:val="22"/>
              </w:rPr>
              <w:t xml:space="preserve">, </w:t>
            </w:r>
            <w:r w:rsidR="002D46B6">
              <w:rPr>
                <w:rFonts w:eastAsia="Arial" w:cstheme="minorHAnsi"/>
                <w:iCs/>
                <w:color w:val="auto"/>
                <w:szCs w:val="22"/>
              </w:rPr>
              <w:t>service provision</w:t>
            </w:r>
            <w:r w:rsidR="005C48EA">
              <w:rPr>
                <w:rFonts w:eastAsia="Arial" w:cstheme="minorHAnsi"/>
                <w:iCs/>
                <w:color w:val="auto"/>
                <w:szCs w:val="22"/>
              </w:rPr>
              <w:t xml:space="preserve"> and client outcomes</w:t>
            </w:r>
            <w:r w:rsidR="00B125F0" w:rsidRPr="00F435C9">
              <w:rPr>
                <w:rFonts w:eastAsia="Arial" w:cstheme="minorHAnsi"/>
                <w:iCs/>
                <w:color w:val="auto"/>
                <w:szCs w:val="22"/>
              </w:rPr>
              <w:t>.</w:t>
            </w:r>
          </w:p>
          <w:p w:rsidR="003266B4" w:rsidRPr="00F435C9" w:rsidRDefault="00FA4FD0" w:rsidP="002D46B6">
            <w:pPr>
              <w:spacing w:before="120" w:after="120" w:line="240" w:lineRule="auto"/>
              <w:ind w:left="113" w:right="57"/>
              <w:rPr>
                <w:rFonts w:eastAsia="Arial" w:cstheme="minorHAnsi"/>
                <w:iCs/>
                <w:color w:val="auto"/>
                <w:szCs w:val="22"/>
              </w:rPr>
            </w:pPr>
            <w:r>
              <w:rPr>
                <w:rFonts w:eastAsia="Arial" w:cstheme="minorHAnsi"/>
                <w:iCs/>
                <w:color w:val="auto"/>
                <w:szCs w:val="22"/>
              </w:rPr>
              <w:t>Stronger applications were able to demonstrate that larger numbers of potential clients would be accessing the service, which contributed to demonstrating value for money would be obtained by the investment.</w:t>
            </w:r>
          </w:p>
          <w:p w:rsidR="00F85F98" w:rsidRPr="00F435C9" w:rsidRDefault="00E42E51" w:rsidP="002D46B6">
            <w:pPr>
              <w:spacing w:before="120" w:after="120" w:line="240" w:lineRule="auto"/>
              <w:ind w:left="113" w:right="57"/>
              <w:rPr>
                <w:rFonts w:eastAsia="Arial" w:cstheme="minorHAnsi"/>
                <w:iCs/>
                <w:color w:val="auto"/>
                <w:szCs w:val="22"/>
              </w:rPr>
            </w:pPr>
            <w:r>
              <w:rPr>
                <w:rFonts w:eastAsia="Arial" w:cstheme="minorHAnsi"/>
                <w:iCs/>
                <w:color w:val="auto"/>
                <w:szCs w:val="22"/>
              </w:rPr>
              <w:t>Stronger</w:t>
            </w:r>
            <w:r w:rsidR="00B125F0" w:rsidRPr="00F435C9">
              <w:rPr>
                <w:rFonts w:eastAsia="Arial" w:cstheme="minorHAnsi"/>
                <w:iCs/>
                <w:color w:val="auto"/>
                <w:szCs w:val="22"/>
              </w:rPr>
              <w:t xml:space="preserve"> </w:t>
            </w:r>
            <w:r w:rsidR="00154573" w:rsidRPr="00F435C9">
              <w:rPr>
                <w:rFonts w:eastAsia="Arial" w:cstheme="minorHAnsi"/>
                <w:iCs/>
                <w:color w:val="auto"/>
                <w:szCs w:val="22"/>
              </w:rPr>
              <w:t>application</w:t>
            </w:r>
            <w:r w:rsidR="00A409BE">
              <w:rPr>
                <w:rFonts w:eastAsia="Arial" w:cstheme="minorHAnsi"/>
                <w:iCs/>
                <w:color w:val="auto"/>
                <w:szCs w:val="22"/>
              </w:rPr>
              <w:t>s</w:t>
            </w:r>
            <w:r w:rsidR="00B125F0" w:rsidRPr="00F435C9">
              <w:rPr>
                <w:rFonts w:eastAsia="Arial" w:cstheme="minorHAnsi"/>
                <w:iCs/>
                <w:color w:val="auto"/>
                <w:szCs w:val="22"/>
              </w:rPr>
              <w:t xml:space="preserve"> </w:t>
            </w:r>
            <w:r w:rsidR="005C48EA">
              <w:rPr>
                <w:rFonts w:eastAsia="Arial" w:cstheme="minorHAnsi"/>
                <w:iCs/>
                <w:color w:val="auto"/>
                <w:szCs w:val="22"/>
              </w:rPr>
              <w:t xml:space="preserve">identified and </w:t>
            </w:r>
            <w:r w:rsidR="00A409BE">
              <w:rPr>
                <w:rFonts w:eastAsia="Arial" w:cstheme="minorHAnsi"/>
                <w:iCs/>
                <w:color w:val="auto"/>
                <w:szCs w:val="22"/>
              </w:rPr>
              <w:t>demonstrated an understanding of community needs</w:t>
            </w:r>
            <w:r w:rsidR="00C45BBE">
              <w:rPr>
                <w:rFonts w:eastAsia="Arial" w:cstheme="minorHAnsi"/>
                <w:iCs/>
                <w:color w:val="auto"/>
                <w:szCs w:val="22"/>
              </w:rPr>
              <w:t>, how these needs aligned to the grant opportunity,</w:t>
            </w:r>
            <w:r w:rsidR="00A409BE">
              <w:rPr>
                <w:rFonts w:eastAsia="Arial" w:cstheme="minorHAnsi"/>
                <w:iCs/>
                <w:color w:val="auto"/>
                <w:szCs w:val="22"/>
              </w:rPr>
              <w:t xml:space="preserve"> and </w:t>
            </w:r>
            <w:r w:rsidR="00086DEB" w:rsidRPr="00F435C9">
              <w:rPr>
                <w:rFonts w:eastAsia="Arial" w:cstheme="minorHAnsi"/>
                <w:iCs/>
                <w:color w:val="auto"/>
                <w:szCs w:val="22"/>
              </w:rPr>
              <w:t>provided a clear des</w:t>
            </w:r>
            <w:r w:rsidR="00154573" w:rsidRPr="00F435C9">
              <w:rPr>
                <w:rFonts w:eastAsia="Arial" w:cstheme="minorHAnsi"/>
                <w:iCs/>
                <w:color w:val="auto"/>
                <w:szCs w:val="22"/>
              </w:rPr>
              <w:t>cription o</w:t>
            </w:r>
            <w:r w:rsidR="00A409BE">
              <w:rPr>
                <w:rFonts w:eastAsia="Arial" w:cstheme="minorHAnsi"/>
                <w:iCs/>
                <w:color w:val="auto"/>
                <w:szCs w:val="22"/>
              </w:rPr>
              <w:t>f</w:t>
            </w:r>
            <w:r w:rsidR="00154573" w:rsidRPr="00F435C9">
              <w:rPr>
                <w:rFonts w:eastAsia="Arial" w:cstheme="minorHAnsi"/>
                <w:iCs/>
                <w:color w:val="auto"/>
                <w:szCs w:val="22"/>
              </w:rPr>
              <w:t xml:space="preserve"> how the</w:t>
            </w:r>
            <w:r w:rsidR="00EE037A">
              <w:rPr>
                <w:rFonts w:eastAsia="Arial" w:cstheme="minorHAnsi"/>
                <w:iCs/>
                <w:color w:val="auto"/>
                <w:szCs w:val="22"/>
              </w:rPr>
              <w:t xml:space="preserve"> proposed project</w:t>
            </w:r>
            <w:r w:rsidR="00154573" w:rsidRPr="00F435C9">
              <w:rPr>
                <w:rFonts w:eastAsia="Arial" w:cstheme="minorHAnsi"/>
                <w:iCs/>
                <w:color w:val="auto"/>
                <w:szCs w:val="22"/>
              </w:rPr>
              <w:t xml:space="preserve"> would</w:t>
            </w:r>
            <w:r w:rsidR="00086DEB" w:rsidRPr="00F435C9">
              <w:rPr>
                <w:rFonts w:eastAsia="Arial" w:cstheme="minorHAnsi"/>
                <w:iCs/>
                <w:color w:val="auto"/>
                <w:szCs w:val="22"/>
              </w:rPr>
              <w:t xml:space="preserve"> meet the</w:t>
            </w:r>
            <w:r w:rsidR="00A409BE">
              <w:rPr>
                <w:rFonts w:eastAsia="Arial" w:cstheme="minorHAnsi"/>
                <w:iCs/>
                <w:color w:val="auto"/>
                <w:szCs w:val="22"/>
              </w:rPr>
              <w:t>se</w:t>
            </w:r>
            <w:r w:rsidR="00086DEB" w:rsidRPr="00F435C9">
              <w:rPr>
                <w:rFonts w:eastAsia="Arial" w:cstheme="minorHAnsi"/>
                <w:iCs/>
                <w:color w:val="auto"/>
                <w:szCs w:val="22"/>
              </w:rPr>
              <w:t xml:space="preserve"> needs. </w:t>
            </w:r>
            <w:r w:rsidR="00303C48" w:rsidRPr="00F435C9">
              <w:rPr>
                <w:rFonts w:eastAsia="Arial" w:cstheme="minorHAnsi"/>
                <w:iCs/>
                <w:color w:val="auto"/>
                <w:szCs w:val="22"/>
              </w:rPr>
              <w:t xml:space="preserve"> </w:t>
            </w:r>
          </w:p>
        </w:tc>
      </w:tr>
    </w:tbl>
    <w:p w:rsidR="00B00334" w:rsidRPr="00F435C9" w:rsidRDefault="00B00334" w:rsidP="002D46B6">
      <w:pPr>
        <w:spacing w:before="120" w:after="120" w:line="240" w:lineRule="auto"/>
        <w:rPr>
          <w:szCs w:val="22"/>
        </w:rPr>
      </w:pPr>
      <w:r w:rsidRPr="00F435C9">
        <w:rPr>
          <w:iCs/>
          <w:szCs w:val="22"/>
        </w:rPr>
        <w:br w:type="page"/>
      </w:r>
    </w:p>
    <w:tbl>
      <w:tblPr>
        <w:tblStyle w:val="CGHTableBanded"/>
        <w:tblW w:w="0" w:type="auto"/>
        <w:tblLook w:val="04A0" w:firstRow="1" w:lastRow="0" w:firstColumn="1" w:lastColumn="0" w:noHBand="0" w:noVBand="1"/>
        <w:tblCaption w:val="Strong responses against assessment criterion one's sub criteria"/>
        <w:tblDescription w:val="This table states the requirements of strong applications against the assessment criterion one’s sub criteria, and provides a description of strong responses&#10;"/>
      </w:tblPr>
      <w:tblGrid>
        <w:gridCol w:w="4817"/>
        <w:gridCol w:w="4821"/>
      </w:tblGrid>
      <w:tr w:rsidR="00B00334" w:rsidRPr="00F435C9" w:rsidTr="008974F4">
        <w:trPr>
          <w:cnfStyle w:val="100000000000" w:firstRow="1" w:lastRow="0" w:firstColumn="0" w:lastColumn="0" w:oddVBand="0" w:evenVBand="0" w:oddHBand="0" w:evenHBand="0" w:firstRowFirstColumn="0" w:firstRowLastColumn="0" w:lastRowFirstColumn="0" w:lastRowLastColumn="0"/>
          <w:trHeight w:val="472"/>
          <w:tblHeader/>
        </w:trPr>
        <w:tc>
          <w:tcPr>
            <w:tcW w:w="4817" w:type="dxa"/>
            <w:shd w:val="clear" w:color="auto" w:fill="FFC000"/>
            <w:vAlign w:val="center"/>
          </w:tcPr>
          <w:p w:rsidR="00B00334" w:rsidRPr="00F435C9" w:rsidRDefault="00B00334" w:rsidP="002D46B6">
            <w:pPr>
              <w:spacing w:before="120" w:after="120" w:line="240" w:lineRule="auto"/>
              <w:ind w:left="57" w:right="57"/>
              <w:rPr>
                <w:b/>
                <w:szCs w:val="22"/>
              </w:rPr>
            </w:pPr>
            <w:r w:rsidRPr="00F435C9">
              <w:rPr>
                <w:b/>
                <w:szCs w:val="22"/>
              </w:rPr>
              <w:lastRenderedPageBreak/>
              <w:t>Sub Criteria</w:t>
            </w:r>
          </w:p>
        </w:tc>
        <w:tc>
          <w:tcPr>
            <w:tcW w:w="4821" w:type="dxa"/>
            <w:shd w:val="clear" w:color="auto" w:fill="FFC000"/>
            <w:vAlign w:val="center"/>
          </w:tcPr>
          <w:p w:rsidR="00B00334" w:rsidRPr="00F435C9" w:rsidRDefault="00B00334" w:rsidP="002D46B6">
            <w:pPr>
              <w:spacing w:before="120" w:after="120" w:line="240" w:lineRule="auto"/>
              <w:ind w:left="57" w:right="57"/>
              <w:rPr>
                <w:b/>
                <w:szCs w:val="22"/>
              </w:rPr>
            </w:pPr>
            <w:r w:rsidRPr="00F435C9">
              <w:rPr>
                <w:b/>
                <w:szCs w:val="22"/>
              </w:rPr>
              <w:t>Strengths</w:t>
            </w:r>
          </w:p>
        </w:tc>
      </w:tr>
      <w:tr w:rsidR="00B00334" w:rsidRPr="00F435C9" w:rsidTr="008974F4">
        <w:trPr>
          <w:cnfStyle w:val="000000100000" w:firstRow="0" w:lastRow="0" w:firstColumn="0" w:lastColumn="0" w:oddVBand="0" w:evenVBand="0" w:oddHBand="1" w:evenHBand="0" w:firstRowFirstColumn="0" w:firstRowLastColumn="0" w:lastRowFirstColumn="0" w:lastRowLastColumn="0"/>
        </w:trPr>
        <w:tc>
          <w:tcPr>
            <w:tcW w:w="4817" w:type="dxa"/>
            <w:vAlign w:val="center"/>
          </w:tcPr>
          <w:p w:rsidR="00B00334" w:rsidRPr="002D46B6" w:rsidRDefault="00B00334" w:rsidP="002D46B6">
            <w:pPr>
              <w:pStyle w:val="ListBullet"/>
              <w:spacing w:before="120" w:line="240" w:lineRule="auto"/>
              <w:rPr>
                <w:rFonts w:asciiTheme="minorHAnsi" w:eastAsia="Arial" w:hAnsiTheme="minorHAnsi" w:cstheme="minorHAnsi"/>
                <w:sz w:val="22"/>
                <w:szCs w:val="22"/>
              </w:rPr>
            </w:pPr>
            <w:r w:rsidRPr="00F435C9">
              <w:rPr>
                <w:rFonts w:asciiTheme="minorHAnsi" w:eastAsia="Arial" w:hAnsiTheme="minorHAnsi" w:cstheme="minorHAnsi"/>
                <w:sz w:val="22"/>
                <w:szCs w:val="22"/>
              </w:rPr>
              <w:t>Strong applications were required to demonstrate their connection to the communities they serve, how they will involve the community in the design of the service model according to place-based principles, and their commitment to delivering culturally safe services</w:t>
            </w:r>
            <w:r w:rsidR="005C48EA">
              <w:rPr>
                <w:rFonts w:asciiTheme="minorHAnsi" w:eastAsia="Arial" w:hAnsiTheme="minorHAnsi" w:cstheme="minorHAnsi"/>
                <w:sz w:val="22"/>
                <w:szCs w:val="22"/>
              </w:rPr>
              <w:t>.</w:t>
            </w:r>
          </w:p>
        </w:tc>
        <w:tc>
          <w:tcPr>
            <w:tcW w:w="4821" w:type="dxa"/>
          </w:tcPr>
          <w:p w:rsidR="005C48EA" w:rsidRDefault="00C45BBE" w:rsidP="002D46B6">
            <w:pPr>
              <w:spacing w:before="120" w:after="120" w:line="240" w:lineRule="auto"/>
              <w:ind w:left="113" w:right="57"/>
              <w:rPr>
                <w:rFonts w:eastAsia="Arial" w:cstheme="minorHAnsi"/>
                <w:iCs/>
                <w:color w:val="auto"/>
                <w:szCs w:val="22"/>
              </w:rPr>
            </w:pPr>
            <w:r>
              <w:rPr>
                <w:rFonts w:eastAsia="Arial" w:cstheme="minorHAnsi"/>
                <w:iCs/>
                <w:color w:val="auto"/>
                <w:szCs w:val="22"/>
              </w:rPr>
              <w:t>Stronger</w:t>
            </w:r>
            <w:r w:rsidRPr="00F435C9">
              <w:rPr>
                <w:rFonts w:eastAsia="Arial" w:cstheme="minorHAnsi"/>
                <w:iCs/>
                <w:color w:val="auto"/>
                <w:szCs w:val="22"/>
              </w:rPr>
              <w:t xml:space="preserve"> </w:t>
            </w:r>
            <w:r w:rsidR="009D5CD7">
              <w:rPr>
                <w:rFonts w:eastAsia="Arial" w:cstheme="minorHAnsi"/>
                <w:iCs/>
                <w:color w:val="auto"/>
                <w:szCs w:val="22"/>
              </w:rPr>
              <w:t>a</w:t>
            </w:r>
            <w:r w:rsidR="00B00334" w:rsidRPr="00F435C9">
              <w:rPr>
                <w:rFonts w:eastAsia="Arial" w:cstheme="minorHAnsi"/>
                <w:iCs/>
                <w:color w:val="auto"/>
                <w:szCs w:val="22"/>
              </w:rPr>
              <w:t>pplication</w:t>
            </w:r>
            <w:r w:rsidR="009D5CD7">
              <w:rPr>
                <w:rFonts w:eastAsia="Arial" w:cstheme="minorHAnsi"/>
                <w:iCs/>
                <w:color w:val="auto"/>
                <w:szCs w:val="22"/>
              </w:rPr>
              <w:t>s</w:t>
            </w:r>
            <w:r w:rsidR="00B00334" w:rsidRPr="00F435C9">
              <w:rPr>
                <w:rFonts w:eastAsia="Arial" w:cstheme="minorHAnsi"/>
                <w:iCs/>
                <w:color w:val="auto"/>
                <w:szCs w:val="22"/>
              </w:rPr>
              <w:t xml:space="preserve"> demonstrated connection to the communities they serve</w:t>
            </w:r>
            <w:r w:rsidR="009D5CD7">
              <w:rPr>
                <w:rFonts w:eastAsia="Arial" w:cstheme="minorHAnsi"/>
                <w:iCs/>
                <w:color w:val="auto"/>
                <w:szCs w:val="22"/>
              </w:rPr>
              <w:t xml:space="preserve"> through long-standing </w:t>
            </w:r>
            <w:r>
              <w:rPr>
                <w:rFonts w:eastAsia="Arial" w:cstheme="minorHAnsi"/>
                <w:iCs/>
                <w:color w:val="auto"/>
                <w:szCs w:val="22"/>
              </w:rPr>
              <w:t xml:space="preserve">engagement </w:t>
            </w:r>
            <w:r w:rsidR="009D5CD7">
              <w:rPr>
                <w:rFonts w:eastAsia="Arial" w:cstheme="minorHAnsi"/>
                <w:iCs/>
                <w:color w:val="auto"/>
                <w:szCs w:val="22"/>
              </w:rPr>
              <w:t>and existing service provision, local membership on governance boards</w:t>
            </w:r>
            <w:r w:rsidR="004F5E81">
              <w:rPr>
                <w:rFonts w:eastAsia="Arial" w:cstheme="minorHAnsi"/>
                <w:iCs/>
                <w:color w:val="auto"/>
                <w:szCs w:val="22"/>
              </w:rPr>
              <w:t xml:space="preserve"> and inter-agency </w:t>
            </w:r>
            <w:r w:rsidR="00E42E51">
              <w:rPr>
                <w:rFonts w:eastAsia="Arial" w:cstheme="minorHAnsi"/>
                <w:iCs/>
                <w:color w:val="auto"/>
                <w:szCs w:val="22"/>
              </w:rPr>
              <w:t>networks.</w:t>
            </w:r>
            <w:r w:rsidR="005C48EA">
              <w:rPr>
                <w:rFonts w:eastAsia="Arial" w:cstheme="minorHAnsi"/>
                <w:iCs/>
                <w:color w:val="auto"/>
                <w:szCs w:val="22"/>
              </w:rPr>
              <w:t xml:space="preserve"> </w:t>
            </w:r>
          </w:p>
          <w:p w:rsidR="00B00334" w:rsidRPr="00F435C9" w:rsidRDefault="00C45BBE" w:rsidP="002D46B6">
            <w:pPr>
              <w:spacing w:before="120" w:after="120" w:line="240" w:lineRule="auto"/>
              <w:ind w:left="113" w:right="57"/>
              <w:rPr>
                <w:rFonts w:eastAsia="Arial" w:cstheme="minorHAnsi"/>
                <w:iCs/>
                <w:color w:val="auto"/>
                <w:szCs w:val="22"/>
              </w:rPr>
            </w:pPr>
            <w:r>
              <w:rPr>
                <w:rFonts w:eastAsia="Arial" w:cstheme="minorHAnsi"/>
                <w:iCs/>
                <w:color w:val="auto"/>
                <w:szCs w:val="22"/>
              </w:rPr>
              <w:t xml:space="preserve">Stronger </w:t>
            </w:r>
            <w:r w:rsidR="005C48EA">
              <w:rPr>
                <w:rFonts w:eastAsia="Arial" w:cstheme="minorHAnsi"/>
                <w:iCs/>
                <w:color w:val="auto"/>
                <w:szCs w:val="22"/>
              </w:rPr>
              <w:t>applications provided detail on how</w:t>
            </w:r>
            <w:r w:rsidR="009D5CD7">
              <w:rPr>
                <w:rFonts w:eastAsia="Arial" w:cstheme="minorHAnsi"/>
                <w:iCs/>
                <w:color w:val="auto"/>
                <w:szCs w:val="22"/>
              </w:rPr>
              <w:t xml:space="preserve"> the new service model</w:t>
            </w:r>
            <w:r w:rsidR="00B00334" w:rsidRPr="00F435C9">
              <w:rPr>
                <w:rFonts w:eastAsia="Arial" w:cstheme="minorHAnsi"/>
                <w:iCs/>
                <w:color w:val="auto"/>
                <w:szCs w:val="22"/>
              </w:rPr>
              <w:t xml:space="preserve"> </w:t>
            </w:r>
            <w:r w:rsidR="005C48EA">
              <w:rPr>
                <w:rFonts w:eastAsia="Arial" w:cstheme="minorHAnsi"/>
                <w:iCs/>
                <w:color w:val="auto"/>
                <w:szCs w:val="22"/>
              </w:rPr>
              <w:t xml:space="preserve">would be co-designed </w:t>
            </w:r>
            <w:r w:rsidR="00B00334" w:rsidRPr="00F435C9">
              <w:rPr>
                <w:rFonts w:eastAsia="Arial" w:cstheme="minorHAnsi"/>
                <w:iCs/>
                <w:color w:val="auto"/>
                <w:szCs w:val="22"/>
              </w:rPr>
              <w:t xml:space="preserve">with the </w:t>
            </w:r>
            <w:r w:rsidR="009D5CD7">
              <w:rPr>
                <w:rFonts w:eastAsia="Arial" w:cstheme="minorHAnsi"/>
                <w:iCs/>
                <w:color w:val="auto"/>
                <w:szCs w:val="22"/>
              </w:rPr>
              <w:t xml:space="preserve">local </w:t>
            </w:r>
            <w:r w:rsidR="00B00334" w:rsidRPr="00F435C9">
              <w:rPr>
                <w:rFonts w:eastAsia="Arial" w:cstheme="minorHAnsi"/>
                <w:iCs/>
                <w:color w:val="auto"/>
                <w:szCs w:val="22"/>
              </w:rPr>
              <w:t xml:space="preserve">Aboriginal </w:t>
            </w:r>
            <w:r w:rsidR="009D5CD7">
              <w:rPr>
                <w:rFonts w:eastAsia="Arial" w:cstheme="minorHAnsi"/>
                <w:iCs/>
                <w:color w:val="auto"/>
                <w:szCs w:val="22"/>
              </w:rPr>
              <w:t xml:space="preserve">and Torres Strait communities in the region </w:t>
            </w:r>
            <w:r w:rsidR="00B00334" w:rsidRPr="00F435C9">
              <w:rPr>
                <w:rFonts w:eastAsia="Arial" w:cstheme="minorHAnsi"/>
                <w:iCs/>
                <w:color w:val="auto"/>
                <w:szCs w:val="22"/>
              </w:rPr>
              <w:t xml:space="preserve">and </w:t>
            </w:r>
            <w:r w:rsidR="009D5CD7">
              <w:rPr>
                <w:rFonts w:eastAsia="Arial" w:cstheme="minorHAnsi"/>
                <w:iCs/>
                <w:color w:val="auto"/>
                <w:szCs w:val="22"/>
              </w:rPr>
              <w:t xml:space="preserve">other key </w:t>
            </w:r>
            <w:r w:rsidR="00B00334" w:rsidRPr="00F435C9">
              <w:rPr>
                <w:rFonts w:eastAsia="Arial" w:cstheme="minorHAnsi"/>
                <w:iCs/>
                <w:color w:val="auto"/>
                <w:szCs w:val="22"/>
              </w:rPr>
              <w:t>community stakeholders.</w:t>
            </w:r>
            <w:r w:rsidR="005C48EA">
              <w:rPr>
                <w:rFonts w:eastAsia="Arial" w:cstheme="minorHAnsi"/>
                <w:iCs/>
                <w:color w:val="auto"/>
                <w:szCs w:val="22"/>
              </w:rPr>
              <w:t xml:space="preserve"> They demonstrated how the proposed project and community engagement could be sustainable beyond the initial co-design period.</w:t>
            </w:r>
          </w:p>
          <w:p w:rsidR="00B00334" w:rsidRPr="00F435C9" w:rsidRDefault="00C45BBE" w:rsidP="002D46B6">
            <w:pPr>
              <w:spacing w:before="120" w:after="120" w:line="240" w:lineRule="auto"/>
              <w:ind w:left="113" w:right="57"/>
              <w:rPr>
                <w:rFonts w:eastAsia="Arial" w:cstheme="minorHAnsi"/>
                <w:iCs/>
                <w:color w:val="auto"/>
                <w:szCs w:val="22"/>
              </w:rPr>
            </w:pPr>
            <w:r>
              <w:rPr>
                <w:rFonts w:eastAsia="Arial" w:cstheme="minorHAnsi"/>
                <w:iCs/>
                <w:color w:val="auto"/>
                <w:szCs w:val="22"/>
              </w:rPr>
              <w:t>Stronger a</w:t>
            </w:r>
            <w:r w:rsidR="00B00334" w:rsidRPr="00F435C9">
              <w:rPr>
                <w:rFonts w:eastAsia="Arial" w:cstheme="minorHAnsi"/>
                <w:iCs/>
                <w:color w:val="auto"/>
                <w:szCs w:val="22"/>
              </w:rPr>
              <w:t xml:space="preserve">pplications provided detailed information on how their </w:t>
            </w:r>
            <w:r w:rsidR="004F5E81">
              <w:rPr>
                <w:rFonts w:eastAsia="Arial" w:cstheme="minorHAnsi"/>
                <w:iCs/>
                <w:color w:val="auto"/>
                <w:szCs w:val="22"/>
              </w:rPr>
              <w:t xml:space="preserve">organisation </w:t>
            </w:r>
            <w:r w:rsidR="00B97060">
              <w:rPr>
                <w:rFonts w:eastAsia="Arial" w:cstheme="minorHAnsi"/>
                <w:iCs/>
                <w:color w:val="auto"/>
                <w:szCs w:val="22"/>
              </w:rPr>
              <w:t>currently</w:t>
            </w:r>
            <w:r w:rsidR="00B97060" w:rsidRPr="00F435C9">
              <w:rPr>
                <w:rFonts w:eastAsia="Arial" w:cstheme="minorHAnsi"/>
                <w:iCs/>
                <w:color w:val="auto"/>
                <w:szCs w:val="22"/>
              </w:rPr>
              <w:t xml:space="preserve"> </w:t>
            </w:r>
            <w:r w:rsidR="00B00334" w:rsidRPr="00F435C9">
              <w:rPr>
                <w:rFonts w:eastAsia="Arial" w:cstheme="minorHAnsi"/>
                <w:iCs/>
                <w:color w:val="auto"/>
                <w:szCs w:val="22"/>
              </w:rPr>
              <w:t>provide</w:t>
            </w:r>
            <w:r w:rsidR="00B97060">
              <w:rPr>
                <w:rFonts w:eastAsia="Arial" w:cstheme="minorHAnsi"/>
                <w:iCs/>
                <w:color w:val="auto"/>
                <w:szCs w:val="22"/>
              </w:rPr>
              <w:t>s</w:t>
            </w:r>
            <w:r w:rsidR="00B00334" w:rsidRPr="00F435C9">
              <w:rPr>
                <w:rFonts w:eastAsia="Arial" w:cstheme="minorHAnsi"/>
                <w:iCs/>
                <w:color w:val="auto"/>
                <w:szCs w:val="22"/>
              </w:rPr>
              <w:t xml:space="preserve"> culturally safe </w:t>
            </w:r>
            <w:r w:rsidR="003A092E">
              <w:rPr>
                <w:rFonts w:eastAsia="Arial" w:cstheme="minorHAnsi"/>
                <w:iCs/>
                <w:color w:val="auto"/>
                <w:szCs w:val="22"/>
              </w:rPr>
              <w:t>services for Aboriginal and Torres Strait Islander families</w:t>
            </w:r>
            <w:r w:rsidR="00B97060">
              <w:rPr>
                <w:rFonts w:eastAsia="Arial" w:cstheme="minorHAnsi"/>
                <w:iCs/>
                <w:color w:val="auto"/>
                <w:szCs w:val="22"/>
              </w:rPr>
              <w:t>, and will continue to do so in the delivery of First Nations FDR services</w:t>
            </w:r>
            <w:r w:rsidR="003A092E">
              <w:rPr>
                <w:rFonts w:eastAsia="Arial" w:cstheme="minorHAnsi"/>
                <w:iCs/>
                <w:color w:val="auto"/>
                <w:szCs w:val="22"/>
              </w:rPr>
              <w:t>.</w:t>
            </w:r>
            <w:r w:rsidR="00B00334" w:rsidRPr="00F435C9">
              <w:rPr>
                <w:rFonts w:eastAsia="Arial" w:cstheme="minorHAnsi"/>
                <w:iCs/>
                <w:color w:val="auto"/>
                <w:szCs w:val="22"/>
              </w:rPr>
              <w:t xml:space="preserve"> </w:t>
            </w:r>
          </w:p>
        </w:tc>
      </w:tr>
      <w:tr w:rsidR="00B00334" w:rsidRPr="00F435C9" w:rsidTr="008974F4">
        <w:tc>
          <w:tcPr>
            <w:tcW w:w="4817" w:type="dxa"/>
            <w:vAlign w:val="center"/>
          </w:tcPr>
          <w:p w:rsidR="00B00334" w:rsidRPr="002D46B6" w:rsidRDefault="00B00334" w:rsidP="002D46B6">
            <w:pPr>
              <w:pStyle w:val="ListBullet"/>
              <w:spacing w:before="120" w:line="240" w:lineRule="auto"/>
              <w:rPr>
                <w:rFonts w:asciiTheme="minorHAnsi" w:eastAsia="Arial" w:hAnsiTheme="minorHAnsi" w:cstheme="minorHAnsi"/>
                <w:sz w:val="22"/>
                <w:szCs w:val="22"/>
              </w:rPr>
            </w:pPr>
            <w:r w:rsidRPr="00F435C9">
              <w:rPr>
                <w:rFonts w:asciiTheme="minorHAnsi" w:eastAsia="Arial" w:hAnsiTheme="minorHAnsi" w:cstheme="minorHAnsi"/>
                <w:sz w:val="22"/>
                <w:szCs w:val="22"/>
              </w:rPr>
              <w:t>Strong applications were required to define how their organisation is controlled, operated and governed by Aboriginal and/or Torres Strait Islander people</w:t>
            </w:r>
            <w:r w:rsidRPr="002D46B6">
              <w:rPr>
                <w:rFonts w:asciiTheme="minorHAnsi" w:eastAsia="Arial" w:hAnsiTheme="minorHAnsi" w:cstheme="minorHAnsi"/>
                <w:sz w:val="22"/>
                <w:szCs w:val="22"/>
              </w:rPr>
              <w:t>.</w:t>
            </w:r>
          </w:p>
        </w:tc>
        <w:tc>
          <w:tcPr>
            <w:tcW w:w="4821" w:type="dxa"/>
          </w:tcPr>
          <w:p w:rsidR="00B00334" w:rsidRPr="00F435C9" w:rsidRDefault="00C45BBE" w:rsidP="002D46B6">
            <w:pPr>
              <w:spacing w:before="120" w:after="120" w:line="240" w:lineRule="auto"/>
              <w:ind w:left="113" w:right="57"/>
              <w:rPr>
                <w:rFonts w:eastAsia="Arial" w:cstheme="minorHAnsi"/>
                <w:color w:val="auto"/>
                <w:szCs w:val="22"/>
              </w:rPr>
            </w:pPr>
            <w:r>
              <w:rPr>
                <w:rFonts w:eastAsia="Arial" w:cstheme="minorHAnsi"/>
                <w:iCs/>
                <w:color w:val="auto"/>
                <w:szCs w:val="22"/>
              </w:rPr>
              <w:t xml:space="preserve">Stronger </w:t>
            </w:r>
            <w:r w:rsidR="00323AFF">
              <w:rPr>
                <w:rFonts w:eastAsia="Arial" w:cstheme="minorHAnsi"/>
                <w:iCs/>
                <w:color w:val="auto"/>
                <w:szCs w:val="22"/>
              </w:rPr>
              <w:t>a</w:t>
            </w:r>
            <w:r w:rsidR="00B00334" w:rsidRPr="00F435C9">
              <w:rPr>
                <w:rFonts w:eastAsia="Arial" w:cstheme="minorHAnsi"/>
                <w:iCs/>
                <w:color w:val="auto"/>
                <w:szCs w:val="22"/>
              </w:rPr>
              <w:t xml:space="preserve">pplications </w:t>
            </w:r>
            <w:r w:rsidR="003A092E">
              <w:rPr>
                <w:rFonts w:eastAsia="Arial" w:cstheme="minorHAnsi"/>
                <w:iCs/>
                <w:color w:val="auto"/>
                <w:szCs w:val="22"/>
              </w:rPr>
              <w:t xml:space="preserve">demonstrated </w:t>
            </w:r>
            <w:r w:rsidR="005C48EA">
              <w:rPr>
                <w:rFonts w:eastAsia="Arial" w:cstheme="minorHAnsi"/>
                <w:iCs/>
                <w:color w:val="auto"/>
                <w:szCs w:val="22"/>
              </w:rPr>
              <w:t xml:space="preserve">the organisations’ </w:t>
            </w:r>
            <w:r w:rsidR="00466D82">
              <w:rPr>
                <w:rFonts w:eastAsia="Arial" w:cstheme="minorHAnsi"/>
                <w:iCs/>
                <w:color w:val="auto"/>
                <w:szCs w:val="22"/>
              </w:rPr>
              <w:t xml:space="preserve">established </w:t>
            </w:r>
            <w:r w:rsidR="003A092E">
              <w:rPr>
                <w:rFonts w:eastAsia="Arial" w:cstheme="minorHAnsi"/>
                <w:iCs/>
                <w:color w:val="auto"/>
                <w:szCs w:val="22"/>
              </w:rPr>
              <w:t xml:space="preserve">local governance structures, </w:t>
            </w:r>
            <w:r w:rsidR="00B97060">
              <w:rPr>
                <w:rFonts w:eastAsia="Arial" w:cstheme="minorHAnsi"/>
                <w:iCs/>
                <w:color w:val="auto"/>
                <w:szCs w:val="22"/>
              </w:rPr>
              <w:t xml:space="preserve">commitment to employment of Aboriginal and Torres Strait Islander staff, </w:t>
            </w:r>
            <w:r w:rsidR="003A092E">
              <w:rPr>
                <w:rFonts w:eastAsia="Arial" w:cstheme="minorHAnsi"/>
                <w:iCs/>
                <w:color w:val="auto"/>
                <w:szCs w:val="22"/>
              </w:rPr>
              <w:t>strong connections with local communit</w:t>
            </w:r>
            <w:r w:rsidR="002D46B6">
              <w:rPr>
                <w:rFonts w:eastAsia="Arial" w:cstheme="minorHAnsi"/>
                <w:iCs/>
                <w:color w:val="auto"/>
                <w:szCs w:val="22"/>
              </w:rPr>
              <w:t>ies</w:t>
            </w:r>
            <w:r w:rsidR="003A092E">
              <w:rPr>
                <w:rFonts w:eastAsia="Arial" w:cstheme="minorHAnsi"/>
                <w:iCs/>
                <w:color w:val="auto"/>
                <w:szCs w:val="22"/>
              </w:rPr>
              <w:t xml:space="preserve"> and </w:t>
            </w:r>
            <w:r w:rsidR="00A62C73">
              <w:rPr>
                <w:rFonts w:eastAsia="Arial" w:cstheme="minorHAnsi"/>
                <w:iCs/>
                <w:color w:val="auto"/>
                <w:szCs w:val="22"/>
              </w:rPr>
              <w:t xml:space="preserve">connections with </w:t>
            </w:r>
            <w:r w:rsidR="003A092E">
              <w:rPr>
                <w:rFonts w:eastAsia="Arial" w:cstheme="minorHAnsi"/>
                <w:iCs/>
                <w:color w:val="auto"/>
                <w:szCs w:val="22"/>
              </w:rPr>
              <w:t xml:space="preserve">other local </w:t>
            </w:r>
            <w:r w:rsidR="00A62C73">
              <w:rPr>
                <w:rFonts w:eastAsia="Arial" w:cstheme="minorHAnsi"/>
                <w:iCs/>
                <w:color w:val="auto"/>
                <w:szCs w:val="22"/>
              </w:rPr>
              <w:t xml:space="preserve">community-controlled </w:t>
            </w:r>
            <w:r w:rsidR="003A092E">
              <w:rPr>
                <w:rFonts w:eastAsia="Arial" w:cstheme="minorHAnsi"/>
                <w:iCs/>
                <w:color w:val="auto"/>
                <w:szCs w:val="22"/>
              </w:rPr>
              <w:t>organisations</w:t>
            </w:r>
            <w:r w:rsidR="00A62C73">
              <w:rPr>
                <w:rFonts w:eastAsia="Arial" w:cstheme="minorHAnsi"/>
                <w:iCs/>
                <w:color w:val="auto"/>
                <w:szCs w:val="22"/>
              </w:rPr>
              <w:t>.</w:t>
            </w:r>
            <w:r w:rsidR="003A092E">
              <w:rPr>
                <w:rFonts w:eastAsia="Arial" w:cstheme="minorHAnsi"/>
                <w:iCs/>
                <w:color w:val="auto"/>
                <w:szCs w:val="22"/>
              </w:rPr>
              <w:t xml:space="preserve"> </w:t>
            </w:r>
          </w:p>
        </w:tc>
      </w:tr>
    </w:tbl>
    <w:p w:rsidR="003D3686" w:rsidRDefault="003D3686" w:rsidP="00F85F98">
      <w:pPr>
        <w:pStyle w:val="Heading2"/>
        <w:spacing w:before="0"/>
      </w:pPr>
    </w:p>
    <w:p w:rsidR="003D3686" w:rsidRDefault="003D3686">
      <w:pPr>
        <w:spacing w:line="240" w:lineRule="auto"/>
        <w:rPr>
          <w:rFonts w:asciiTheme="majorHAnsi" w:eastAsiaTheme="majorEastAsia" w:hAnsiTheme="majorHAnsi" w:cstheme="majorBidi"/>
          <w:b/>
          <w:bCs/>
          <w:sz w:val="24"/>
          <w:szCs w:val="26"/>
        </w:rPr>
      </w:pPr>
      <w:r>
        <w:br w:type="page"/>
      </w:r>
    </w:p>
    <w:p w:rsidR="00F85F98" w:rsidRDefault="00F85F98" w:rsidP="00F85F98">
      <w:pPr>
        <w:pStyle w:val="Heading2"/>
        <w:spacing w:before="0"/>
      </w:pPr>
      <w:r>
        <w:lastRenderedPageBreak/>
        <w:t>Criterion 2</w:t>
      </w:r>
    </w:p>
    <w:p w:rsidR="00E43C10" w:rsidRPr="008D2B3D" w:rsidRDefault="00FE717E" w:rsidP="00E43C10">
      <w:pPr>
        <w:rPr>
          <w:iCs/>
          <w:color w:val="auto"/>
        </w:rPr>
      </w:pPr>
      <w:r>
        <w:rPr>
          <w:iCs/>
          <w:color w:val="auto"/>
        </w:rPr>
        <w:t xml:space="preserve">Describe how </w:t>
      </w:r>
      <w:r w:rsidR="002D46B6">
        <w:rPr>
          <w:iCs/>
          <w:color w:val="auto"/>
        </w:rPr>
        <w:t>the organisation</w:t>
      </w:r>
      <w:r>
        <w:rPr>
          <w:iCs/>
          <w:color w:val="auto"/>
        </w:rPr>
        <w:t xml:space="preserve"> would</w:t>
      </w:r>
      <w:r w:rsidR="00E43C10" w:rsidRPr="008D2B3D">
        <w:rPr>
          <w:iCs/>
          <w:color w:val="auto"/>
        </w:rPr>
        <w:t xml:space="preserve"> deliver the service in accordance with the </w:t>
      </w:r>
      <w:r w:rsidR="002D46B6">
        <w:rPr>
          <w:iCs/>
          <w:color w:val="auto"/>
        </w:rPr>
        <w:t>G</w:t>
      </w:r>
      <w:r w:rsidR="00E43C10" w:rsidRPr="008D2B3D">
        <w:rPr>
          <w:iCs/>
          <w:color w:val="auto"/>
        </w:rPr>
        <w:t xml:space="preserve">rant </w:t>
      </w:r>
      <w:r w:rsidR="002D46B6">
        <w:rPr>
          <w:iCs/>
          <w:color w:val="auto"/>
        </w:rPr>
        <w:t>O</w:t>
      </w:r>
      <w:r w:rsidR="00E43C10" w:rsidRPr="008D2B3D">
        <w:rPr>
          <w:iCs/>
          <w:color w:val="auto"/>
        </w:rPr>
        <w:t xml:space="preserve">pportunity </w:t>
      </w:r>
      <w:r w:rsidR="002D46B6">
        <w:rPr>
          <w:iCs/>
          <w:color w:val="auto"/>
        </w:rPr>
        <w:t>G</w:t>
      </w:r>
      <w:r w:rsidR="00E43C10" w:rsidRPr="008D2B3D">
        <w:rPr>
          <w:iCs/>
          <w:color w:val="auto"/>
        </w:rPr>
        <w:t>uidelines.</w:t>
      </w:r>
    </w:p>
    <w:p w:rsidR="00F435C9" w:rsidRDefault="00F435C9" w:rsidP="00E43C10">
      <w:pPr>
        <w:rPr>
          <w:iCs/>
          <w:color w:val="auto"/>
        </w:rPr>
      </w:pPr>
    </w:p>
    <w:p w:rsidR="00E43C10" w:rsidRPr="008D2B3D" w:rsidRDefault="00E43C10" w:rsidP="00E43C10">
      <w:pPr>
        <w:rPr>
          <w:iCs/>
          <w:color w:val="auto"/>
        </w:rPr>
      </w:pPr>
      <w:r w:rsidRPr="008D2B3D">
        <w:rPr>
          <w:iCs/>
          <w:color w:val="auto"/>
        </w:rPr>
        <w:t xml:space="preserve">When addressing the </w:t>
      </w:r>
      <w:r w:rsidR="00B00334">
        <w:rPr>
          <w:iCs/>
          <w:color w:val="auto"/>
        </w:rPr>
        <w:t>cr</w:t>
      </w:r>
      <w:r w:rsidR="008317AB">
        <w:rPr>
          <w:iCs/>
          <w:color w:val="auto"/>
        </w:rPr>
        <w:t>iterion, strong applicants</w:t>
      </w:r>
      <w:r w:rsidRPr="008D2B3D">
        <w:rPr>
          <w:iCs/>
          <w:color w:val="auto"/>
        </w:rPr>
        <w:t>:</w:t>
      </w:r>
    </w:p>
    <w:p w:rsidR="00E43C10" w:rsidRPr="008D2B3D" w:rsidRDefault="00E43C10" w:rsidP="00B00334">
      <w:pPr>
        <w:pStyle w:val="ListBullet"/>
        <w:numPr>
          <w:ilvl w:val="0"/>
          <w:numId w:val="23"/>
        </w:numPr>
        <w:spacing w:line="240" w:lineRule="auto"/>
        <w:ind w:left="714" w:hanging="357"/>
        <w:rPr>
          <w:rFonts w:asciiTheme="minorHAnsi" w:eastAsiaTheme="minorHAnsi" w:hAnsiTheme="minorHAnsi"/>
          <w:sz w:val="22"/>
        </w:rPr>
      </w:pPr>
      <w:r w:rsidRPr="008D2B3D">
        <w:rPr>
          <w:rFonts w:asciiTheme="minorHAnsi" w:eastAsiaTheme="minorHAnsi" w:hAnsiTheme="minorHAnsi"/>
          <w:sz w:val="22"/>
        </w:rPr>
        <w:t>describe</w:t>
      </w:r>
      <w:r w:rsidR="008317AB">
        <w:rPr>
          <w:rFonts w:asciiTheme="minorHAnsi" w:eastAsiaTheme="minorHAnsi" w:hAnsiTheme="minorHAnsi"/>
          <w:sz w:val="22"/>
        </w:rPr>
        <w:t>d</w:t>
      </w:r>
      <w:r w:rsidRPr="008D2B3D">
        <w:rPr>
          <w:rFonts w:asciiTheme="minorHAnsi" w:eastAsiaTheme="minorHAnsi" w:hAnsiTheme="minorHAnsi"/>
          <w:sz w:val="22"/>
        </w:rPr>
        <w:t xml:space="preserve"> the services </w:t>
      </w:r>
      <w:r w:rsidR="00B00334">
        <w:rPr>
          <w:rFonts w:asciiTheme="minorHAnsi" w:eastAsiaTheme="minorHAnsi" w:hAnsiTheme="minorHAnsi"/>
          <w:sz w:val="22"/>
        </w:rPr>
        <w:t>they</w:t>
      </w:r>
      <w:r w:rsidRPr="008D2B3D">
        <w:rPr>
          <w:rFonts w:asciiTheme="minorHAnsi" w:eastAsiaTheme="minorHAnsi" w:hAnsiTheme="minorHAnsi"/>
          <w:sz w:val="22"/>
        </w:rPr>
        <w:t xml:space="preserve"> </w:t>
      </w:r>
      <w:r w:rsidR="008317AB">
        <w:rPr>
          <w:rFonts w:asciiTheme="minorHAnsi" w:eastAsiaTheme="minorHAnsi" w:hAnsiTheme="minorHAnsi"/>
          <w:sz w:val="22"/>
        </w:rPr>
        <w:t>would</w:t>
      </w:r>
      <w:r w:rsidR="00B97060">
        <w:rPr>
          <w:rFonts w:asciiTheme="minorHAnsi" w:eastAsiaTheme="minorHAnsi" w:hAnsiTheme="minorHAnsi"/>
          <w:sz w:val="22"/>
        </w:rPr>
        <w:t xml:space="preserve"> </w:t>
      </w:r>
      <w:r w:rsidRPr="008D2B3D">
        <w:rPr>
          <w:rFonts w:asciiTheme="minorHAnsi" w:eastAsiaTheme="minorHAnsi" w:hAnsiTheme="minorHAnsi"/>
          <w:sz w:val="22"/>
        </w:rPr>
        <w:t xml:space="preserve">provide, including an outline of the culturally safe service delivery model </w:t>
      </w:r>
      <w:r w:rsidR="008317AB">
        <w:rPr>
          <w:rFonts w:asciiTheme="minorHAnsi" w:eastAsiaTheme="minorHAnsi" w:hAnsiTheme="minorHAnsi"/>
          <w:sz w:val="22"/>
        </w:rPr>
        <w:t>which</w:t>
      </w:r>
      <w:r w:rsidRPr="008D2B3D">
        <w:rPr>
          <w:rFonts w:asciiTheme="minorHAnsi" w:eastAsiaTheme="minorHAnsi" w:hAnsiTheme="minorHAnsi"/>
          <w:sz w:val="22"/>
        </w:rPr>
        <w:t xml:space="preserve"> </w:t>
      </w:r>
      <w:r w:rsidR="00B00334">
        <w:rPr>
          <w:rFonts w:asciiTheme="minorHAnsi" w:eastAsiaTheme="minorHAnsi" w:hAnsiTheme="minorHAnsi"/>
          <w:sz w:val="22"/>
        </w:rPr>
        <w:t xml:space="preserve">the organisation </w:t>
      </w:r>
      <w:r w:rsidR="008317AB">
        <w:rPr>
          <w:rFonts w:asciiTheme="minorHAnsi" w:eastAsiaTheme="minorHAnsi" w:hAnsiTheme="minorHAnsi"/>
          <w:sz w:val="22"/>
        </w:rPr>
        <w:t>would</w:t>
      </w:r>
      <w:r w:rsidR="000537D0" w:rsidRPr="008D2B3D">
        <w:rPr>
          <w:rFonts w:asciiTheme="minorHAnsi" w:eastAsiaTheme="minorHAnsi" w:hAnsiTheme="minorHAnsi"/>
          <w:sz w:val="22"/>
        </w:rPr>
        <w:t xml:space="preserve"> </w:t>
      </w:r>
      <w:r w:rsidRPr="008D2B3D">
        <w:rPr>
          <w:rFonts w:asciiTheme="minorHAnsi" w:eastAsiaTheme="minorHAnsi" w:hAnsiTheme="minorHAnsi"/>
          <w:sz w:val="22"/>
        </w:rPr>
        <w:t>use to deliver the activity</w:t>
      </w:r>
      <w:r w:rsidR="005C48EA">
        <w:rPr>
          <w:rFonts w:asciiTheme="minorHAnsi" w:eastAsiaTheme="minorHAnsi" w:hAnsiTheme="minorHAnsi"/>
          <w:sz w:val="22"/>
        </w:rPr>
        <w:t>;</w:t>
      </w:r>
    </w:p>
    <w:p w:rsidR="00E43C10" w:rsidRPr="008D2B3D" w:rsidRDefault="00E43C10" w:rsidP="00B00334">
      <w:pPr>
        <w:pStyle w:val="ListBullet"/>
        <w:numPr>
          <w:ilvl w:val="0"/>
          <w:numId w:val="23"/>
        </w:numPr>
        <w:spacing w:line="240" w:lineRule="auto"/>
        <w:ind w:left="714" w:hanging="357"/>
        <w:rPr>
          <w:rFonts w:asciiTheme="minorHAnsi" w:eastAsiaTheme="minorHAnsi" w:hAnsiTheme="minorHAnsi"/>
          <w:sz w:val="22"/>
        </w:rPr>
      </w:pPr>
      <w:r w:rsidRPr="008D2B3D">
        <w:rPr>
          <w:rFonts w:asciiTheme="minorHAnsi" w:eastAsiaTheme="minorHAnsi" w:hAnsiTheme="minorHAnsi"/>
          <w:sz w:val="22"/>
        </w:rPr>
        <w:t>explain</w:t>
      </w:r>
      <w:r w:rsidR="008317AB">
        <w:rPr>
          <w:rFonts w:asciiTheme="minorHAnsi" w:eastAsiaTheme="minorHAnsi" w:hAnsiTheme="minorHAnsi"/>
          <w:sz w:val="22"/>
        </w:rPr>
        <w:t>ed</w:t>
      </w:r>
      <w:r w:rsidRPr="008D2B3D">
        <w:rPr>
          <w:rFonts w:asciiTheme="minorHAnsi" w:eastAsiaTheme="minorHAnsi" w:hAnsiTheme="minorHAnsi"/>
          <w:sz w:val="22"/>
        </w:rPr>
        <w:t xml:space="preserve"> how the proposed service model </w:t>
      </w:r>
      <w:r w:rsidR="008317AB">
        <w:rPr>
          <w:rFonts w:asciiTheme="minorHAnsi" w:eastAsiaTheme="minorHAnsi" w:hAnsiTheme="minorHAnsi"/>
          <w:sz w:val="22"/>
        </w:rPr>
        <w:t>would</w:t>
      </w:r>
      <w:r w:rsidRPr="008D2B3D">
        <w:rPr>
          <w:rFonts w:asciiTheme="minorHAnsi" w:eastAsiaTheme="minorHAnsi" w:hAnsiTheme="minorHAnsi"/>
          <w:sz w:val="22"/>
        </w:rPr>
        <w:t xml:space="preserve"> meet the needs of Aboriginal and Torres Strait Islander families experiencing additional vulnerability and disadvantage such as those with a disability and/or experiencing family violence, including the relevant safety protocol </w:t>
      </w:r>
      <w:r w:rsidR="008317AB">
        <w:rPr>
          <w:rFonts w:asciiTheme="minorHAnsi" w:eastAsiaTheme="minorHAnsi" w:hAnsiTheme="minorHAnsi"/>
          <w:sz w:val="22"/>
        </w:rPr>
        <w:t>which</w:t>
      </w:r>
      <w:r w:rsidRPr="008D2B3D">
        <w:rPr>
          <w:rFonts w:asciiTheme="minorHAnsi" w:eastAsiaTheme="minorHAnsi" w:hAnsiTheme="minorHAnsi"/>
          <w:sz w:val="22"/>
        </w:rPr>
        <w:t xml:space="preserve"> w</w:t>
      </w:r>
      <w:r w:rsidR="00FE717E">
        <w:rPr>
          <w:rFonts w:asciiTheme="minorHAnsi" w:eastAsiaTheme="minorHAnsi" w:hAnsiTheme="minorHAnsi"/>
          <w:sz w:val="22"/>
        </w:rPr>
        <w:t>ould</w:t>
      </w:r>
      <w:r w:rsidRPr="008D2B3D">
        <w:rPr>
          <w:rFonts w:asciiTheme="minorHAnsi" w:eastAsiaTheme="minorHAnsi" w:hAnsiTheme="minorHAnsi"/>
          <w:sz w:val="22"/>
        </w:rPr>
        <w:t xml:space="preserve"> be in place for service delivery</w:t>
      </w:r>
      <w:r w:rsidR="005C48EA">
        <w:rPr>
          <w:rFonts w:asciiTheme="minorHAnsi" w:eastAsiaTheme="minorHAnsi" w:hAnsiTheme="minorHAnsi"/>
          <w:sz w:val="22"/>
        </w:rPr>
        <w:t>;</w:t>
      </w:r>
    </w:p>
    <w:p w:rsidR="00E43C10" w:rsidRPr="008D2B3D" w:rsidRDefault="00E43C10" w:rsidP="00B00334">
      <w:pPr>
        <w:pStyle w:val="ListBullet"/>
        <w:numPr>
          <w:ilvl w:val="0"/>
          <w:numId w:val="23"/>
        </w:numPr>
        <w:spacing w:line="240" w:lineRule="auto"/>
        <w:ind w:left="714" w:hanging="357"/>
        <w:rPr>
          <w:rFonts w:asciiTheme="minorHAnsi" w:eastAsiaTheme="minorHAnsi" w:hAnsiTheme="minorHAnsi"/>
          <w:sz w:val="22"/>
        </w:rPr>
      </w:pPr>
      <w:r w:rsidRPr="008D2B3D">
        <w:rPr>
          <w:rFonts w:asciiTheme="minorHAnsi" w:eastAsiaTheme="minorHAnsi" w:hAnsiTheme="minorHAnsi"/>
          <w:sz w:val="22"/>
        </w:rPr>
        <w:t>provide</w:t>
      </w:r>
      <w:r w:rsidR="008317AB">
        <w:rPr>
          <w:rFonts w:asciiTheme="minorHAnsi" w:eastAsiaTheme="minorHAnsi" w:hAnsiTheme="minorHAnsi"/>
          <w:sz w:val="22"/>
        </w:rPr>
        <w:t>d</w:t>
      </w:r>
      <w:r w:rsidRPr="008D2B3D">
        <w:rPr>
          <w:rFonts w:asciiTheme="minorHAnsi" w:eastAsiaTheme="minorHAnsi" w:hAnsiTheme="minorHAnsi"/>
          <w:sz w:val="22"/>
        </w:rPr>
        <w:t xml:space="preserve"> details of </w:t>
      </w:r>
      <w:r w:rsidR="002D46B6">
        <w:rPr>
          <w:rFonts w:asciiTheme="minorHAnsi" w:eastAsiaTheme="minorHAnsi" w:hAnsiTheme="minorHAnsi"/>
          <w:sz w:val="22"/>
        </w:rPr>
        <w:t>the</w:t>
      </w:r>
      <w:r w:rsidRPr="008D2B3D">
        <w:rPr>
          <w:rFonts w:asciiTheme="minorHAnsi" w:eastAsiaTheme="minorHAnsi" w:hAnsiTheme="minorHAnsi"/>
          <w:sz w:val="22"/>
        </w:rPr>
        <w:t xml:space="preserve"> organisation’s relationship with organisations </w:t>
      </w:r>
      <w:r w:rsidR="008317AB">
        <w:rPr>
          <w:rFonts w:asciiTheme="minorHAnsi" w:eastAsiaTheme="minorHAnsi" w:hAnsiTheme="minorHAnsi"/>
          <w:sz w:val="22"/>
        </w:rPr>
        <w:t>which</w:t>
      </w:r>
      <w:r w:rsidRPr="008D2B3D">
        <w:rPr>
          <w:rFonts w:asciiTheme="minorHAnsi" w:eastAsiaTheme="minorHAnsi" w:hAnsiTheme="minorHAnsi"/>
          <w:sz w:val="22"/>
        </w:rPr>
        <w:t xml:space="preserve"> provide support services to </w:t>
      </w:r>
      <w:r w:rsidR="002D46B6">
        <w:rPr>
          <w:rFonts w:asciiTheme="minorHAnsi" w:eastAsiaTheme="minorHAnsi" w:hAnsiTheme="minorHAnsi"/>
          <w:sz w:val="22"/>
        </w:rPr>
        <w:t>the</w:t>
      </w:r>
      <w:r w:rsidRPr="008D2B3D">
        <w:rPr>
          <w:rFonts w:asciiTheme="minorHAnsi" w:eastAsiaTheme="minorHAnsi" w:hAnsiTheme="minorHAnsi"/>
          <w:sz w:val="22"/>
        </w:rPr>
        <w:t xml:space="preserve"> client groups to ensure clients have access to multi-disciplinary assistance</w:t>
      </w:r>
      <w:r w:rsidR="005C48EA">
        <w:rPr>
          <w:rFonts w:asciiTheme="minorHAnsi" w:eastAsiaTheme="minorHAnsi" w:hAnsiTheme="minorHAnsi"/>
          <w:sz w:val="22"/>
        </w:rPr>
        <w:t>; and</w:t>
      </w:r>
    </w:p>
    <w:p w:rsidR="00FE717E" w:rsidRDefault="00FE717E" w:rsidP="00FE717E">
      <w:pPr>
        <w:pStyle w:val="ListBullet"/>
        <w:numPr>
          <w:ilvl w:val="0"/>
          <w:numId w:val="23"/>
        </w:numPr>
        <w:spacing w:line="240" w:lineRule="auto"/>
        <w:ind w:left="714" w:hanging="357"/>
        <w:rPr>
          <w:rFonts w:asciiTheme="minorHAnsi" w:eastAsiaTheme="minorHAnsi" w:hAnsiTheme="minorHAnsi"/>
          <w:sz w:val="22"/>
        </w:rPr>
      </w:pPr>
      <w:r>
        <w:rPr>
          <w:rFonts w:asciiTheme="minorHAnsi" w:eastAsiaTheme="minorHAnsi" w:hAnsiTheme="minorHAnsi"/>
          <w:sz w:val="22"/>
        </w:rPr>
        <w:t>explain</w:t>
      </w:r>
      <w:r w:rsidR="008317AB">
        <w:rPr>
          <w:rFonts w:asciiTheme="minorHAnsi" w:eastAsiaTheme="minorHAnsi" w:hAnsiTheme="minorHAnsi"/>
          <w:sz w:val="22"/>
        </w:rPr>
        <w:t>ed</w:t>
      </w:r>
      <w:r>
        <w:rPr>
          <w:rFonts w:asciiTheme="minorHAnsi" w:eastAsiaTheme="minorHAnsi" w:hAnsiTheme="minorHAnsi"/>
          <w:sz w:val="22"/>
        </w:rPr>
        <w:t xml:space="preserve"> how </w:t>
      </w:r>
      <w:r w:rsidR="002D46B6">
        <w:rPr>
          <w:rFonts w:asciiTheme="minorHAnsi" w:eastAsiaTheme="minorHAnsi" w:hAnsiTheme="minorHAnsi"/>
          <w:sz w:val="22"/>
        </w:rPr>
        <w:t>they</w:t>
      </w:r>
      <w:r>
        <w:rPr>
          <w:rFonts w:asciiTheme="minorHAnsi" w:eastAsiaTheme="minorHAnsi" w:hAnsiTheme="minorHAnsi"/>
          <w:sz w:val="22"/>
        </w:rPr>
        <w:t xml:space="preserve"> </w:t>
      </w:r>
      <w:r w:rsidR="000537D0">
        <w:rPr>
          <w:rFonts w:asciiTheme="minorHAnsi" w:eastAsiaTheme="minorHAnsi" w:hAnsiTheme="minorHAnsi"/>
          <w:sz w:val="22"/>
        </w:rPr>
        <w:t>will</w:t>
      </w:r>
      <w:r w:rsidR="000537D0" w:rsidRPr="008D2B3D">
        <w:rPr>
          <w:rFonts w:asciiTheme="minorHAnsi" w:eastAsiaTheme="minorHAnsi" w:hAnsiTheme="minorHAnsi"/>
          <w:sz w:val="22"/>
        </w:rPr>
        <w:t xml:space="preserve"> </w:t>
      </w:r>
      <w:r w:rsidR="00E43C10" w:rsidRPr="008D2B3D">
        <w:rPr>
          <w:rFonts w:asciiTheme="minorHAnsi" w:eastAsiaTheme="minorHAnsi" w:hAnsiTheme="minorHAnsi"/>
          <w:sz w:val="22"/>
        </w:rPr>
        <w:t>address and mitigate conflict of interest, and ensure client confidentiality.</w:t>
      </w:r>
    </w:p>
    <w:tbl>
      <w:tblPr>
        <w:tblStyle w:val="CGHTableBanded"/>
        <w:tblW w:w="0" w:type="auto"/>
        <w:tblLook w:val="0480" w:firstRow="0" w:lastRow="0" w:firstColumn="1" w:lastColumn="0" w:noHBand="0" w:noVBand="1"/>
        <w:tblCaption w:val="Strong responses against assessment criterion two's sub criteria"/>
        <w:tblDescription w:val="This table states the requirements of strong applications against the assessment criterion two’s sub criteria, and provides a description of strong responses&#10;"/>
      </w:tblPr>
      <w:tblGrid>
        <w:gridCol w:w="4817"/>
        <w:gridCol w:w="4821"/>
      </w:tblGrid>
      <w:tr w:rsidR="00615D4C" w:rsidTr="008974F4">
        <w:trPr>
          <w:trHeight w:val="472"/>
          <w:tblHeader/>
        </w:trPr>
        <w:tc>
          <w:tcPr>
            <w:tcW w:w="4817" w:type="dxa"/>
            <w:shd w:val="clear" w:color="auto" w:fill="FFC000"/>
            <w:vAlign w:val="center"/>
          </w:tcPr>
          <w:p w:rsidR="00615D4C" w:rsidRPr="00454EB4" w:rsidRDefault="00F435C9" w:rsidP="00F435C9">
            <w:pPr>
              <w:spacing w:line="240" w:lineRule="auto"/>
              <w:ind w:right="57"/>
              <w:rPr>
                <w:b/>
              </w:rPr>
            </w:pPr>
            <w:r>
              <w:br w:type="page"/>
            </w:r>
            <w:r w:rsidR="00615D4C" w:rsidRPr="00454EB4">
              <w:rPr>
                <w:b/>
              </w:rPr>
              <w:t>S</w:t>
            </w:r>
            <w:r w:rsidR="00615D4C">
              <w:rPr>
                <w:b/>
              </w:rPr>
              <w:t>ub Criteria</w:t>
            </w:r>
          </w:p>
        </w:tc>
        <w:tc>
          <w:tcPr>
            <w:tcW w:w="4821" w:type="dxa"/>
            <w:shd w:val="clear" w:color="auto" w:fill="FFC000"/>
            <w:vAlign w:val="center"/>
          </w:tcPr>
          <w:p w:rsidR="00615D4C" w:rsidRPr="00454EB4" w:rsidRDefault="00615D4C" w:rsidP="00615D4C">
            <w:pPr>
              <w:spacing w:line="240" w:lineRule="auto"/>
              <w:ind w:left="57" w:right="57"/>
              <w:rPr>
                <w:b/>
              </w:rPr>
            </w:pPr>
            <w:r>
              <w:rPr>
                <w:b/>
              </w:rPr>
              <w:t>Strengths</w:t>
            </w:r>
          </w:p>
        </w:tc>
      </w:tr>
      <w:tr w:rsidR="00F85F98" w:rsidTr="008974F4">
        <w:trPr>
          <w:cnfStyle w:val="000000100000" w:firstRow="0" w:lastRow="0" w:firstColumn="0" w:lastColumn="0" w:oddVBand="0" w:evenVBand="0" w:oddHBand="1" w:evenHBand="0" w:firstRowFirstColumn="0" w:firstRowLastColumn="0" w:lastRowFirstColumn="0" w:lastRowLastColumn="0"/>
        </w:trPr>
        <w:tc>
          <w:tcPr>
            <w:tcW w:w="4817" w:type="dxa"/>
            <w:vAlign w:val="center"/>
          </w:tcPr>
          <w:p w:rsidR="00F85F98" w:rsidRPr="00C8012C" w:rsidRDefault="00EE3BA6" w:rsidP="002D46B6">
            <w:pPr>
              <w:pStyle w:val="ListBullet"/>
              <w:spacing w:before="120" w:line="240" w:lineRule="auto"/>
              <w:rPr>
                <w:rFonts w:asciiTheme="minorHAnsi" w:eastAsia="Arial" w:hAnsiTheme="minorHAnsi" w:cstheme="minorHAnsi"/>
                <w:sz w:val="22"/>
              </w:rPr>
            </w:pPr>
            <w:r w:rsidRPr="00C8012C">
              <w:rPr>
                <w:rFonts w:asciiTheme="minorHAnsi" w:eastAsia="Arial" w:hAnsiTheme="minorHAnsi" w:cstheme="minorHAnsi"/>
                <w:sz w:val="22"/>
              </w:rPr>
              <w:t xml:space="preserve">Strong </w:t>
            </w:r>
            <w:r w:rsidR="00CD572E" w:rsidRPr="00C8012C">
              <w:rPr>
                <w:rFonts w:asciiTheme="minorHAnsi" w:eastAsia="Arial" w:hAnsiTheme="minorHAnsi" w:cstheme="minorHAnsi"/>
                <w:sz w:val="22"/>
              </w:rPr>
              <w:t>applications</w:t>
            </w:r>
            <w:r w:rsidRPr="00C8012C">
              <w:rPr>
                <w:rFonts w:asciiTheme="minorHAnsi" w:eastAsia="Arial" w:hAnsiTheme="minorHAnsi" w:cstheme="minorHAnsi"/>
                <w:sz w:val="22"/>
              </w:rPr>
              <w:t xml:space="preserve"> were required to </w:t>
            </w:r>
            <w:r w:rsidR="00EF1A0E" w:rsidRPr="00C8012C">
              <w:rPr>
                <w:rFonts w:asciiTheme="minorHAnsi" w:eastAsia="Arial" w:hAnsiTheme="minorHAnsi" w:cstheme="minorHAnsi"/>
                <w:sz w:val="22"/>
              </w:rPr>
              <w:t xml:space="preserve">describe the services </w:t>
            </w:r>
            <w:r w:rsidR="00CD572E" w:rsidRPr="00C8012C">
              <w:rPr>
                <w:rFonts w:asciiTheme="minorHAnsi" w:eastAsia="Arial" w:hAnsiTheme="minorHAnsi" w:cstheme="minorHAnsi"/>
                <w:sz w:val="22"/>
              </w:rPr>
              <w:t>they would</w:t>
            </w:r>
            <w:r w:rsidR="00EF1A0E" w:rsidRPr="00C8012C">
              <w:rPr>
                <w:rFonts w:asciiTheme="minorHAnsi" w:eastAsia="Arial" w:hAnsiTheme="minorHAnsi" w:cstheme="minorHAnsi"/>
                <w:sz w:val="22"/>
              </w:rPr>
              <w:t xml:space="preserve"> provide, including an outline of the culturally s</w:t>
            </w:r>
            <w:r w:rsidR="00CD572E" w:rsidRPr="00C8012C">
              <w:rPr>
                <w:rFonts w:asciiTheme="minorHAnsi" w:eastAsia="Arial" w:hAnsiTheme="minorHAnsi" w:cstheme="minorHAnsi"/>
                <w:sz w:val="22"/>
              </w:rPr>
              <w:t xml:space="preserve">afe service delivery model their organisation would </w:t>
            </w:r>
            <w:r w:rsidR="00EF1A0E" w:rsidRPr="00C8012C">
              <w:rPr>
                <w:rFonts w:asciiTheme="minorHAnsi" w:eastAsia="Arial" w:hAnsiTheme="minorHAnsi" w:cstheme="minorHAnsi"/>
                <w:sz w:val="22"/>
              </w:rPr>
              <w:t>use to deliver the activity</w:t>
            </w:r>
            <w:r w:rsidR="005C48EA">
              <w:rPr>
                <w:rFonts w:asciiTheme="minorHAnsi" w:eastAsia="Arial" w:hAnsiTheme="minorHAnsi" w:cstheme="minorHAnsi"/>
                <w:sz w:val="22"/>
              </w:rPr>
              <w:t>.</w:t>
            </w:r>
          </w:p>
        </w:tc>
        <w:tc>
          <w:tcPr>
            <w:tcW w:w="4821" w:type="dxa"/>
          </w:tcPr>
          <w:p w:rsidR="00F85F98" w:rsidRPr="002D46B6" w:rsidRDefault="00C45BBE" w:rsidP="002D46B6">
            <w:pPr>
              <w:spacing w:before="120" w:after="120" w:line="240" w:lineRule="auto"/>
              <w:ind w:left="113" w:right="57"/>
              <w:rPr>
                <w:rFonts w:eastAsia="Arial" w:cstheme="minorHAnsi"/>
                <w:iCs/>
                <w:color w:val="auto"/>
              </w:rPr>
            </w:pPr>
            <w:r>
              <w:rPr>
                <w:rFonts w:eastAsia="Arial" w:cstheme="minorHAnsi"/>
                <w:iCs/>
                <w:color w:val="auto"/>
              </w:rPr>
              <w:t>Stronger</w:t>
            </w:r>
            <w:r w:rsidRPr="00C8012C">
              <w:rPr>
                <w:rFonts w:eastAsia="Arial" w:cstheme="minorHAnsi"/>
                <w:iCs/>
                <w:color w:val="auto"/>
              </w:rPr>
              <w:t xml:space="preserve"> </w:t>
            </w:r>
            <w:r w:rsidR="00D76C79" w:rsidRPr="00C8012C">
              <w:rPr>
                <w:rFonts w:eastAsia="Arial" w:cstheme="minorHAnsi"/>
                <w:iCs/>
                <w:color w:val="auto"/>
              </w:rPr>
              <w:t>applications demonstrated</w:t>
            </w:r>
            <w:r>
              <w:rPr>
                <w:rFonts w:eastAsia="Arial" w:cstheme="minorHAnsi"/>
                <w:iCs/>
                <w:color w:val="auto"/>
              </w:rPr>
              <w:t xml:space="preserve"> how the proposed services aligned with the specific grant opportunity, and</w:t>
            </w:r>
            <w:r w:rsidR="00D76C79" w:rsidRPr="00C8012C">
              <w:rPr>
                <w:rFonts w:eastAsia="Arial" w:cstheme="minorHAnsi"/>
                <w:iCs/>
                <w:color w:val="auto"/>
              </w:rPr>
              <w:t xml:space="preserve"> a strong understanding of the FDR process and requirements. The applications clearly described how the proposed project would be delivered in accordance with requirements under the </w:t>
            </w:r>
            <w:r w:rsidR="00D76C79" w:rsidRPr="002D46B6">
              <w:rPr>
                <w:rFonts w:eastAsia="Arial" w:cstheme="minorHAnsi"/>
                <w:i/>
                <w:iCs/>
                <w:color w:val="auto"/>
              </w:rPr>
              <w:t>Family Law Act 1975</w:t>
            </w:r>
            <w:r w:rsidR="00D76C79" w:rsidRPr="00C8012C">
              <w:rPr>
                <w:rFonts w:eastAsia="Arial" w:cstheme="minorHAnsi"/>
                <w:iCs/>
                <w:color w:val="auto"/>
              </w:rPr>
              <w:t xml:space="preserve"> and the </w:t>
            </w:r>
            <w:r w:rsidR="00D76C79" w:rsidRPr="002D46B6">
              <w:rPr>
                <w:rFonts w:eastAsia="Arial" w:cstheme="minorHAnsi"/>
                <w:i/>
                <w:iCs/>
                <w:color w:val="auto"/>
              </w:rPr>
              <w:t>Family Law (Family Dispute Resolution Practitioners) Regulations 2008</w:t>
            </w:r>
            <w:r w:rsidR="00D76C79" w:rsidRPr="00C8012C">
              <w:rPr>
                <w:rFonts w:eastAsia="Arial" w:cstheme="minorHAnsi"/>
                <w:iCs/>
                <w:color w:val="auto"/>
              </w:rPr>
              <w:t>, and how personnel performing work in FDR services will be appropriately skilled and have the relevant mandatory qualifications (including through existing qualified staff, recruitment and staff training)</w:t>
            </w:r>
            <w:r>
              <w:rPr>
                <w:rFonts w:eastAsia="Arial" w:cstheme="minorHAnsi"/>
                <w:iCs/>
                <w:color w:val="auto"/>
              </w:rPr>
              <w:t xml:space="preserve"> and accreditation status</w:t>
            </w:r>
            <w:r w:rsidR="00D76C79" w:rsidRPr="00C8012C">
              <w:rPr>
                <w:rFonts w:eastAsia="Arial" w:cstheme="minorHAnsi"/>
                <w:iCs/>
                <w:color w:val="auto"/>
              </w:rPr>
              <w:t>.</w:t>
            </w:r>
            <w:r w:rsidR="002B28D6">
              <w:rPr>
                <w:rFonts w:eastAsia="Arial" w:cstheme="minorHAnsi"/>
                <w:iCs/>
                <w:color w:val="auto"/>
              </w:rPr>
              <w:t xml:space="preserve"> They demonstrated their partnership with existing FDR providers</w:t>
            </w:r>
            <w:r w:rsidR="003D6557">
              <w:rPr>
                <w:rFonts w:eastAsia="Arial" w:cstheme="minorHAnsi"/>
                <w:iCs/>
                <w:color w:val="auto"/>
              </w:rPr>
              <w:t>, and capacity building activities including clinical supervision for FDR Practitioner trainees.</w:t>
            </w:r>
          </w:p>
        </w:tc>
      </w:tr>
      <w:tr w:rsidR="00FE717E" w:rsidTr="008974F4">
        <w:tc>
          <w:tcPr>
            <w:tcW w:w="4817" w:type="dxa"/>
            <w:vAlign w:val="center"/>
          </w:tcPr>
          <w:p w:rsidR="00FE717E" w:rsidRPr="00C8012C" w:rsidRDefault="00FE717E" w:rsidP="002D46B6">
            <w:pPr>
              <w:pStyle w:val="ListBullet"/>
              <w:spacing w:before="120" w:line="240" w:lineRule="auto"/>
              <w:rPr>
                <w:rFonts w:asciiTheme="minorHAnsi" w:hAnsiTheme="minorHAnsi" w:cstheme="minorHAnsi"/>
                <w:sz w:val="22"/>
              </w:rPr>
            </w:pPr>
            <w:r w:rsidRPr="00C8012C">
              <w:rPr>
                <w:rFonts w:asciiTheme="minorHAnsi" w:eastAsia="Arial" w:hAnsiTheme="minorHAnsi" w:cstheme="minorHAnsi"/>
                <w:sz w:val="22"/>
              </w:rPr>
              <w:t>Strong applications were required to describe how the proposed service model would meet the needs of Aboriginal and Torres Strait Islander families experiencing additional vulnerability and disadvantage such as those with a disability and/or experiencing family violence, including the relevant safety protocol which would be in place for service delivery</w:t>
            </w:r>
            <w:r w:rsidR="005C48EA">
              <w:rPr>
                <w:rFonts w:asciiTheme="minorHAnsi" w:eastAsia="Arial" w:hAnsiTheme="minorHAnsi" w:cstheme="minorHAnsi"/>
                <w:sz w:val="22"/>
              </w:rPr>
              <w:t>.</w:t>
            </w:r>
          </w:p>
        </w:tc>
        <w:tc>
          <w:tcPr>
            <w:tcW w:w="4821" w:type="dxa"/>
          </w:tcPr>
          <w:p w:rsidR="00FE717E" w:rsidRPr="00C8012C" w:rsidRDefault="00C45BBE" w:rsidP="002D46B6">
            <w:pPr>
              <w:spacing w:before="120" w:after="120" w:line="240" w:lineRule="auto"/>
              <w:ind w:left="113" w:right="57"/>
              <w:rPr>
                <w:rFonts w:eastAsia="Arial" w:cstheme="minorHAnsi"/>
                <w:iCs/>
                <w:color w:val="auto"/>
              </w:rPr>
            </w:pPr>
            <w:r>
              <w:rPr>
                <w:rFonts w:eastAsia="Arial" w:cstheme="minorHAnsi"/>
                <w:iCs/>
                <w:color w:val="auto"/>
              </w:rPr>
              <w:t>Stronger</w:t>
            </w:r>
            <w:r w:rsidRPr="00C8012C">
              <w:rPr>
                <w:rFonts w:eastAsia="Arial" w:cstheme="minorHAnsi"/>
                <w:iCs/>
                <w:color w:val="auto"/>
              </w:rPr>
              <w:t xml:space="preserve"> </w:t>
            </w:r>
            <w:r w:rsidR="00FE717E" w:rsidRPr="00C8012C">
              <w:rPr>
                <w:rFonts w:eastAsia="Arial" w:cstheme="minorHAnsi"/>
              </w:rPr>
              <w:t>application</w:t>
            </w:r>
            <w:r w:rsidR="00D76C79" w:rsidRPr="00C8012C">
              <w:rPr>
                <w:rFonts w:eastAsia="Arial" w:cstheme="minorHAnsi"/>
              </w:rPr>
              <w:t>s</w:t>
            </w:r>
            <w:r w:rsidR="00FE717E" w:rsidRPr="00C8012C">
              <w:rPr>
                <w:rFonts w:eastAsia="Arial" w:cstheme="minorHAnsi"/>
                <w:iCs/>
                <w:color w:val="auto"/>
              </w:rPr>
              <w:t xml:space="preserve"> described </w:t>
            </w:r>
            <w:r w:rsidR="00D76C79" w:rsidRPr="00C8012C">
              <w:rPr>
                <w:rFonts w:eastAsia="Arial" w:cstheme="minorHAnsi"/>
                <w:iCs/>
                <w:color w:val="auto"/>
              </w:rPr>
              <w:t xml:space="preserve">the existing policies and processes in place to support individuals and families </w:t>
            </w:r>
            <w:r w:rsidR="00323AFF" w:rsidRPr="00C8012C">
              <w:rPr>
                <w:rFonts w:eastAsia="Arial" w:cstheme="minorHAnsi"/>
                <w:iCs/>
                <w:color w:val="auto"/>
              </w:rPr>
              <w:t xml:space="preserve">experiencing additional vulnerabilities </w:t>
            </w:r>
            <w:r w:rsidR="005C48EA">
              <w:rPr>
                <w:rFonts w:eastAsia="Arial" w:cstheme="minorHAnsi"/>
                <w:iCs/>
                <w:color w:val="auto"/>
              </w:rPr>
              <w:t>and/</w:t>
            </w:r>
            <w:r w:rsidR="00323AFF" w:rsidRPr="00C8012C">
              <w:rPr>
                <w:rFonts w:eastAsia="Arial" w:cstheme="minorHAnsi"/>
                <w:iCs/>
                <w:color w:val="auto"/>
              </w:rPr>
              <w:t xml:space="preserve">or </w:t>
            </w:r>
            <w:r w:rsidR="00D76C79" w:rsidRPr="00C8012C">
              <w:rPr>
                <w:rFonts w:eastAsia="Arial" w:cstheme="minorHAnsi"/>
                <w:iCs/>
                <w:color w:val="auto"/>
              </w:rPr>
              <w:t>requiring additional assistance</w:t>
            </w:r>
            <w:r w:rsidR="004F5E81">
              <w:rPr>
                <w:rFonts w:eastAsia="Arial" w:cstheme="minorHAnsi"/>
                <w:iCs/>
                <w:color w:val="auto"/>
              </w:rPr>
              <w:t>, and their ability to implement these for FDR clients</w:t>
            </w:r>
            <w:r w:rsidR="00323AFF" w:rsidRPr="00C8012C">
              <w:rPr>
                <w:rFonts w:eastAsia="Arial" w:cstheme="minorHAnsi"/>
                <w:iCs/>
                <w:color w:val="auto"/>
              </w:rPr>
              <w:t>. They described</w:t>
            </w:r>
            <w:r w:rsidR="003D5F7B" w:rsidRPr="00C8012C">
              <w:rPr>
                <w:rFonts w:eastAsia="Arial" w:cstheme="minorHAnsi"/>
                <w:iCs/>
                <w:color w:val="auto"/>
              </w:rPr>
              <w:t xml:space="preserve"> the existing safety protocol of the organisations and </w:t>
            </w:r>
            <w:r w:rsidR="00323AFF" w:rsidRPr="00C8012C">
              <w:rPr>
                <w:rFonts w:eastAsia="Arial" w:cstheme="minorHAnsi"/>
                <w:iCs/>
                <w:color w:val="auto"/>
              </w:rPr>
              <w:t xml:space="preserve">the </w:t>
            </w:r>
            <w:r w:rsidR="003D5F7B" w:rsidRPr="00C8012C">
              <w:rPr>
                <w:rFonts w:eastAsia="Arial" w:cstheme="minorHAnsi"/>
                <w:iCs/>
                <w:color w:val="auto"/>
              </w:rPr>
              <w:t>planned adaptation of the</w:t>
            </w:r>
            <w:r w:rsidR="005C48EA">
              <w:rPr>
                <w:rFonts w:eastAsia="Arial" w:cstheme="minorHAnsi"/>
                <w:iCs/>
                <w:color w:val="auto"/>
              </w:rPr>
              <w:t xml:space="preserve"> safety protocol</w:t>
            </w:r>
            <w:r w:rsidR="003D5F7B" w:rsidRPr="00C8012C">
              <w:rPr>
                <w:rFonts w:eastAsia="Arial" w:cstheme="minorHAnsi"/>
                <w:iCs/>
                <w:color w:val="auto"/>
              </w:rPr>
              <w:t xml:space="preserve"> to ensure relevance in the FDR context</w:t>
            </w:r>
            <w:r w:rsidR="00323AFF" w:rsidRPr="00C8012C">
              <w:rPr>
                <w:rFonts w:eastAsia="Arial" w:cstheme="minorHAnsi"/>
                <w:iCs/>
                <w:color w:val="auto"/>
              </w:rPr>
              <w:t>.</w:t>
            </w:r>
          </w:p>
        </w:tc>
      </w:tr>
      <w:tr w:rsidR="00FE717E" w:rsidTr="008974F4">
        <w:trPr>
          <w:cnfStyle w:val="000000100000" w:firstRow="0" w:lastRow="0" w:firstColumn="0" w:lastColumn="0" w:oddVBand="0" w:evenVBand="0" w:oddHBand="1" w:evenHBand="0" w:firstRowFirstColumn="0" w:firstRowLastColumn="0" w:lastRowFirstColumn="0" w:lastRowLastColumn="0"/>
        </w:trPr>
        <w:tc>
          <w:tcPr>
            <w:tcW w:w="4817" w:type="dxa"/>
            <w:vAlign w:val="center"/>
          </w:tcPr>
          <w:p w:rsidR="00FE717E" w:rsidRPr="00C8012C" w:rsidRDefault="00FE717E" w:rsidP="002D46B6">
            <w:pPr>
              <w:pStyle w:val="ListBullet"/>
              <w:spacing w:before="120" w:line="240" w:lineRule="auto"/>
              <w:rPr>
                <w:rFonts w:asciiTheme="minorHAnsi" w:hAnsiTheme="minorHAnsi" w:cstheme="minorHAnsi"/>
                <w:sz w:val="22"/>
              </w:rPr>
            </w:pPr>
            <w:r w:rsidRPr="00C8012C">
              <w:rPr>
                <w:rFonts w:asciiTheme="minorHAnsi" w:eastAsia="Arial" w:hAnsiTheme="minorHAnsi" w:cstheme="minorHAnsi"/>
                <w:sz w:val="22"/>
              </w:rPr>
              <w:lastRenderedPageBreak/>
              <w:t>Strong applications wer</w:t>
            </w:r>
            <w:bookmarkStart w:id="0" w:name="_GoBack"/>
            <w:bookmarkEnd w:id="0"/>
            <w:r w:rsidRPr="00C8012C">
              <w:rPr>
                <w:rFonts w:asciiTheme="minorHAnsi" w:eastAsia="Arial" w:hAnsiTheme="minorHAnsi" w:cstheme="minorHAnsi"/>
                <w:sz w:val="22"/>
              </w:rPr>
              <w:t>e required to describe</w:t>
            </w:r>
            <w:r w:rsidRPr="00C8012C" w:rsidDel="00F76062">
              <w:rPr>
                <w:rFonts w:asciiTheme="minorHAnsi" w:eastAsia="Arial" w:hAnsiTheme="minorHAnsi" w:cstheme="minorHAnsi"/>
                <w:sz w:val="22"/>
              </w:rPr>
              <w:t xml:space="preserve"> </w:t>
            </w:r>
            <w:r w:rsidRPr="00C8012C">
              <w:rPr>
                <w:rFonts w:asciiTheme="minorHAnsi" w:eastAsia="Arial" w:hAnsiTheme="minorHAnsi" w:cstheme="minorHAnsi"/>
                <w:sz w:val="22"/>
              </w:rPr>
              <w:t>details of their organisation’s relationship with organisations who provide support services to their client groups to ensure clients have access to multi-disciplinary assistance</w:t>
            </w:r>
            <w:r w:rsidR="005C48EA">
              <w:rPr>
                <w:rFonts w:asciiTheme="minorHAnsi" w:eastAsia="Arial" w:hAnsiTheme="minorHAnsi" w:cstheme="minorHAnsi"/>
                <w:sz w:val="22"/>
              </w:rPr>
              <w:t>.</w:t>
            </w:r>
          </w:p>
        </w:tc>
        <w:tc>
          <w:tcPr>
            <w:tcW w:w="4821" w:type="dxa"/>
          </w:tcPr>
          <w:p w:rsidR="00FE717E" w:rsidRPr="00C8012C" w:rsidRDefault="00C45BBE" w:rsidP="002D46B6">
            <w:pPr>
              <w:spacing w:before="120" w:after="120" w:line="240" w:lineRule="auto"/>
              <w:ind w:left="113" w:right="57"/>
              <w:rPr>
                <w:rFonts w:cstheme="minorHAnsi"/>
              </w:rPr>
            </w:pPr>
            <w:r>
              <w:rPr>
                <w:rFonts w:eastAsia="Arial" w:cstheme="minorHAnsi"/>
              </w:rPr>
              <w:t>Stronger</w:t>
            </w:r>
            <w:r w:rsidRPr="00C8012C">
              <w:rPr>
                <w:rFonts w:eastAsia="Arial" w:cstheme="minorHAnsi"/>
              </w:rPr>
              <w:t xml:space="preserve"> </w:t>
            </w:r>
            <w:r w:rsidR="00FE717E" w:rsidRPr="00C8012C">
              <w:rPr>
                <w:rFonts w:eastAsia="Arial" w:cstheme="minorHAnsi"/>
              </w:rPr>
              <w:t>application</w:t>
            </w:r>
            <w:r w:rsidR="00323AFF" w:rsidRPr="00C8012C">
              <w:rPr>
                <w:rFonts w:eastAsia="Arial" w:cstheme="minorHAnsi"/>
              </w:rPr>
              <w:t>s</w:t>
            </w:r>
            <w:r w:rsidR="00FE717E" w:rsidRPr="00C8012C">
              <w:rPr>
                <w:rFonts w:eastAsia="Arial" w:cstheme="minorHAnsi"/>
              </w:rPr>
              <w:t xml:space="preserve"> </w:t>
            </w:r>
            <w:r w:rsidR="00FE717E" w:rsidRPr="002D46B6">
              <w:rPr>
                <w:rFonts w:eastAsia="Arial" w:cstheme="minorHAnsi"/>
              </w:rPr>
              <w:t xml:space="preserve">described </w:t>
            </w:r>
            <w:r w:rsidR="003D5F7B" w:rsidRPr="002D46B6">
              <w:rPr>
                <w:rFonts w:eastAsia="Arial" w:cstheme="minorHAnsi"/>
              </w:rPr>
              <w:t>how the</w:t>
            </w:r>
            <w:r>
              <w:rPr>
                <w:rFonts w:eastAsia="Arial" w:cstheme="minorHAnsi"/>
              </w:rPr>
              <w:t xml:space="preserve"> applicant</w:t>
            </w:r>
            <w:r w:rsidR="003D5F7B" w:rsidRPr="002D46B6">
              <w:rPr>
                <w:rFonts w:eastAsia="Arial" w:cstheme="minorHAnsi"/>
              </w:rPr>
              <w:t xml:space="preserve"> </w:t>
            </w:r>
            <w:r w:rsidR="00323AFF" w:rsidRPr="002D46B6">
              <w:rPr>
                <w:rFonts w:eastAsia="Arial" w:cstheme="minorHAnsi"/>
              </w:rPr>
              <w:t>currently</w:t>
            </w:r>
            <w:r w:rsidR="003D5F7B" w:rsidRPr="002D46B6">
              <w:rPr>
                <w:rFonts w:eastAsia="Arial" w:cstheme="minorHAnsi"/>
              </w:rPr>
              <w:t xml:space="preserve"> partner</w:t>
            </w:r>
            <w:r>
              <w:rPr>
                <w:rFonts w:eastAsia="Arial" w:cstheme="minorHAnsi"/>
              </w:rPr>
              <w:t>s</w:t>
            </w:r>
            <w:r w:rsidR="003D5F7B" w:rsidRPr="002D46B6">
              <w:rPr>
                <w:rFonts w:eastAsia="Arial" w:cstheme="minorHAnsi"/>
              </w:rPr>
              <w:t xml:space="preserve"> with other organisations to </w:t>
            </w:r>
            <w:r w:rsidR="00323AFF" w:rsidRPr="002D46B6">
              <w:rPr>
                <w:rFonts w:eastAsia="Arial" w:cstheme="minorHAnsi"/>
              </w:rPr>
              <w:t xml:space="preserve">ensure multi-disciplinary assistance and wrap-around service provision for their clients, and how they would develop additional partnerships to </w:t>
            </w:r>
            <w:r w:rsidR="003D5F7B" w:rsidRPr="002D46B6">
              <w:rPr>
                <w:rFonts w:eastAsia="Arial" w:cstheme="minorHAnsi"/>
              </w:rPr>
              <w:t>assist with the delivery of the</w:t>
            </w:r>
            <w:r w:rsidR="00323AFF" w:rsidRPr="002D46B6">
              <w:rPr>
                <w:rFonts w:eastAsia="Arial" w:cstheme="minorHAnsi"/>
              </w:rPr>
              <w:t xml:space="preserve"> new FDR</w:t>
            </w:r>
            <w:r w:rsidR="003D5F7B" w:rsidRPr="002D46B6">
              <w:rPr>
                <w:rFonts w:eastAsia="Arial" w:cstheme="minorHAnsi"/>
              </w:rPr>
              <w:t xml:space="preserve"> services</w:t>
            </w:r>
            <w:r w:rsidR="00323AFF" w:rsidRPr="002D46B6">
              <w:rPr>
                <w:rFonts w:eastAsia="Arial" w:cstheme="minorHAnsi"/>
              </w:rPr>
              <w:t xml:space="preserve"> and </w:t>
            </w:r>
            <w:r w:rsidR="005C48EA">
              <w:rPr>
                <w:rFonts w:eastAsia="Arial" w:cstheme="minorHAnsi"/>
              </w:rPr>
              <w:t>client referrals</w:t>
            </w:r>
            <w:r w:rsidR="003D5F7B" w:rsidRPr="002D46B6">
              <w:rPr>
                <w:rFonts w:eastAsia="Arial" w:cstheme="minorHAnsi"/>
              </w:rPr>
              <w:t>.</w:t>
            </w:r>
            <w:r w:rsidR="003D5F7B" w:rsidRPr="00C8012C">
              <w:rPr>
                <w:rFonts w:eastAsia="Arial" w:cstheme="minorHAnsi"/>
                <w:iCs/>
                <w:color w:val="auto"/>
              </w:rPr>
              <w:t xml:space="preserve"> </w:t>
            </w:r>
          </w:p>
        </w:tc>
      </w:tr>
      <w:tr w:rsidR="00FE717E" w:rsidTr="008974F4">
        <w:tc>
          <w:tcPr>
            <w:tcW w:w="4817" w:type="dxa"/>
            <w:vAlign w:val="center"/>
          </w:tcPr>
          <w:p w:rsidR="00FE717E" w:rsidRPr="00C8012C" w:rsidRDefault="00FE717E" w:rsidP="002D46B6">
            <w:pPr>
              <w:pStyle w:val="ListBullet"/>
              <w:spacing w:before="120" w:line="240" w:lineRule="auto"/>
              <w:rPr>
                <w:rFonts w:asciiTheme="minorHAnsi" w:eastAsia="Arial" w:hAnsiTheme="minorHAnsi" w:cstheme="minorHAnsi"/>
                <w:sz w:val="22"/>
              </w:rPr>
            </w:pPr>
            <w:r w:rsidRPr="00C8012C">
              <w:rPr>
                <w:rFonts w:asciiTheme="minorHAnsi" w:eastAsia="Arial" w:hAnsiTheme="minorHAnsi" w:cstheme="minorHAnsi"/>
                <w:sz w:val="22"/>
              </w:rPr>
              <w:t>Strong applicants were required to describe</w:t>
            </w:r>
            <w:r w:rsidRPr="00C8012C" w:rsidDel="00F76062">
              <w:rPr>
                <w:rFonts w:asciiTheme="minorHAnsi" w:eastAsia="Arial" w:hAnsiTheme="minorHAnsi" w:cstheme="minorHAnsi"/>
                <w:sz w:val="22"/>
              </w:rPr>
              <w:t xml:space="preserve"> </w:t>
            </w:r>
            <w:r w:rsidRPr="00C8012C">
              <w:rPr>
                <w:rFonts w:asciiTheme="minorHAnsi" w:eastAsia="Arial" w:hAnsiTheme="minorHAnsi" w:cstheme="minorHAnsi"/>
                <w:sz w:val="22"/>
              </w:rPr>
              <w:t>how they would address and mitigate conflict of interest, and ensure client confidentiality.</w:t>
            </w:r>
          </w:p>
        </w:tc>
        <w:tc>
          <w:tcPr>
            <w:tcW w:w="4821" w:type="dxa"/>
          </w:tcPr>
          <w:p w:rsidR="00FE717E" w:rsidRPr="00C8012C" w:rsidRDefault="00C45BBE" w:rsidP="005C48EA">
            <w:pPr>
              <w:spacing w:before="120" w:after="120" w:line="240" w:lineRule="auto"/>
              <w:ind w:left="113" w:right="57"/>
              <w:rPr>
                <w:rFonts w:eastAsia="Arial" w:cstheme="minorHAnsi"/>
                <w:iCs/>
                <w:color w:val="auto"/>
              </w:rPr>
            </w:pPr>
            <w:r>
              <w:rPr>
                <w:rFonts w:eastAsia="Arial" w:cstheme="minorHAnsi"/>
              </w:rPr>
              <w:t>Stronger</w:t>
            </w:r>
            <w:r w:rsidRPr="00C8012C">
              <w:rPr>
                <w:rFonts w:eastAsia="Arial" w:cstheme="minorHAnsi"/>
              </w:rPr>
              <w:t xml:space="preserve"> </w:t>
            </w:r>
            <w:r w:rsidR="00323AFF" w:rsidRPr="00C8012C">
              <w:rPr>
                <w:rFonts w:eastAsia="Arial" w:cstheme="minorHAnsi"/>
              </w:rPr>
              <w:t>a</w:t>
            </w:r>
            <w:r w:rsidR="00FE717E" w:rsidRPr="00C8012C">
              <w:rPr>
                <w:rFonts w:eastAsia="Arial" w:cstheme="minorHAnsi"/>
              </w:rPr>
              <w:t>pplications</w:t>
            </w:r>
            <w:r w:rsidR="00FE717E" w:rsidRPr="00C8012C">
              <w:rPr>
                <w:rFonts w:eastAsia="Arial" w:cstheme="minorHAnsi"/>
                <w:iCs/>
                <w:color w:val="auto"/>
              </w:rPr>
              <w:t xml:space="preserve"> described </w:t>
            </w:r>
            <w:r w:rsidR="00323AFF" w:rsidRPr="00C8012C">
              <w:rPr>
                <w:rFonts w:eastAsia="Arial" w:cstheme="minorHAnsi"/>
                <w:iCs/>
                <w:color w:val="auto"/>
              </w:rPr>
              <w:t>current policies and procedures to deal with conflict of interest and client confidentiality</w:t>
            </w:r>
            <w:r w:rsidR="005C48EA">
              <w:rPr>
                <w:rFonts w:eastAsia="Arial" w:cstheme="minorHAnsi"/>
                <w:iCs/>
                <w:color w:val="auto"/>
              </w:rPr>
              <w:t>,</w:t>
            </w:r>
            <w:r w:rsidR="00323AFF" w:rsidRPr="00C8012C">
              <w:rPr>
                <w:rFonts w:eastAsia="Arial" w:cstheme="minorHAnsi"/>
                <w:iCs/>
                <w:color w:val="auto"/>
              </w:rPr>
              <w:t xml:space="preserve"> and the planned adaptation of these to ensure their relevance in the FDR context. They provided examples of </w:t>
            </w:r>
            <w:r w:rsidR="00466D82" w:rsidRPr="00C8012C">
              <w:rPr>
                <w:rFonts w:eastAsia="Arial" w:cstheme="minorHAnsi"/>
                <w:iCs/>
                <w:color w:val="auto"/>
              </w:rPr>
              <w:t>practices</w:t>
            </w:r>
            <w:r w:rsidR="00323AFF" w:rsidRPr="00C8012C">
              <w:rPr>
                <w:rFonts w:eastAsia="Arial" w:cstheme="minorHAnsi"/>
                <w:iCs/>
                <w:color w:val="auto"/>
              </w:rPr>
              <w:t xml:space="preserve"> to </w:t>
            </w:r>
            <w:r w:rsidR="00466D82" w:rsidRPr="00C8012C">
              <w:rPr>
                <w:rFonts w:eastAsia="Arial" w:cstheme="minorHAnsi"/>
                <w:iCs/>
                <w:color w:val="auto"/>
              </w:rPr>
              <w:t>adhere to these policies and provide greater protections for the clients and organisations</w:t>
            </w:r>
            <w:r w:rsidR="00323AFF" w:rsidRPr="00C8012C">
              <w:rPr>
                <w:rFonts w:eastAsia="Arial" w:cstheme="minorHAnsi"/>
                <w:iCs/>
                <w:color w:val="auto"/>
              </w:rPr>
              <w:t xml:space="preserve">, </w:t>
            </w:r>
            <w:r w:rsidR="00466D82" w:rsidRPr="00C8012C">
              <w:rPr>
                <w:rFonts w:eastAsia="Arial" w:cstheme="minorHAnsi"/>
                <w:iCs/>
                <w:color w:val="auto"/>
              </w:rPr>
              <w:t>e.g.</w:t>
            </w:r>
            <w:r w:rsidR="00323AFF" w:rsidRPr="00C8012C">
              <w:rPr>
                <w:rFonts w:eastAsia="Arial" w:cstheme="minorHAnsi"/>
                <w:iCs/>
                <w:color w:val="auto"/>
              </w:rPr>
              <w:t xml:space="preserve"> </w:t>
            </w:r>
            <w:r w:rsidR="00466D82" w:rsidRPr="00C8012C">
              <w:rPr>
                <w:rFonts w:eastAsia="Arial" w:cstheme="minorHAnsi"/>
                <w:iCs/>
                <w:color w:val="auto"/>
              </w:rPr>
              <w:t>ensuring</w:t>
            </w:r>
            <w:r w:rsidR="00323AFF" w:rsidRPr="00C8012C">
              <w:rPr>
                <w:rFonts w:eastAsia="Arial" w:cstheme="minorHAnsi"/>
                <w:iCs/>
                <w:color w:val="auto"/>
              </w:rPr>
              <w:t xml:space="preserve"> families </w:t>
            </w:r>
            <w:r w:rsidR="00FE717E" w:rsidRPr="00C8012C">
              <w:rPr>
                <w:rFonts w:eastAsia="Arial" w:cstheme="minorHAnsi"/>
                <w:iCs/>
                <w:color w:val="auto"/>
              </w:rPr>
              <w:t xml:space="preserve">are able to choose their </w:t>
            </w:r>
            <w:r w:rsidR="00323AFF" w:rsidRPr="00C8012C">
              <w:rPr>
                <w:rFonts w:eastAsia="Arial" w:cstheme="minorHAnsi"/>
                <w:iCs/>
                <w:color w:val="auto"/>
              </w:rPr>
              <w:t>FDR Practitioner</w:t>
            </w:r>
            <w:r w:rsidR="00A50A4D">
              <w:rPr>
                <w:rFonts w:eastAsia="Arial" w:cstheme="minorHAnsi"/>
                <w:iCs/>
                <w:color w:val="auto"/>
              </w:rPr>
              <w:t xml:space="preserve"> and/or support staff</w:t>
            </w:r>
            <w:r w:rsidR="005C48EA">
              <w:rPr>
                <w:rFonts w:eastAsia="Arial" w:cstheme="minorHAnsi"/>
                <w:iCs/>
                <w:color w:val="auto"/>
              </w:rPr>
              <w:t>.</w:t>
            </w:r>
          </w:p>
        </w:tc>
      </w:tr>
    </w:tbl>
    <w:p w:rsidR="00FA1F45" w:rsidRDefault="00FA1F45" w:rsidP="008D2B3D">
      <w:pPr>
        <w:pStyle w:val="Heading2"/>
      </w:pPr>
    </w:p>
    <w:sectPr w:rsidR="00FA1F45" w:rsidSect="00D91B18">
      <w:headerReference w:type="default" r:id="rId11"/>
      <w:footerReference w:type="default" r:id="rId12"/>
      <w:headerReference w:type="first" r:id="rId13"/>
      <w:footerReference w:type="first" r:id="rId14"/>
      <w:pgSz w:w="11906" w:h="16838" w:code="9"/>
      <w:pgMar w:top="2835"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3E5" w:rsidRDefault="009043E5" w:rsidP="00772718">
      <w:pPr>
        <w:spacing w:line="240" w:lineRule="auto"/>
      </w:pPr>
      <w:r>
        <w:separator/>
      </w:r>
    </w:p>
  </w:endnote>
  <w:endnote w:type="continuationSeparator" w:id="0">
    <w:p w:rsidR="009043E5" w:rsidRDefault="009043E5"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Default="00E13525">
    <w:pPr>
      <w:pStyle w:val="Footer"/>
    </w:pPr>
    <w:r>
      <w:fldChar w:fldCharType="begin"/>
    </w:r>
    <w:r>
      <w:instrText xml:space="preserve"> PAGE   \* MERGEFORMAT </w:instrText>
    </w:r>
    <w:r>
      <w:fldChar w:fldCharType="separate"/>
    </w:r>
    <w:r w:rsidR="007D5C2F">
      <w:rPr>
        <w:noProof/>
      </w:rPr>
      <w:t>6</w:t>
    </w:r>
    <w:r>
      <w:fldChar w:fldCharType="end"/>
    </w:r>
    <w:r>
      <w:t xml:space="preserve">  </w:t>
    </w:r>
    <w:r w:rsidR="00584EB2">
      <w:t xml:space="preserve">| </w:t>
    </w:r>
    <w:r w:rsidRPr="00A454BF">
      <w:t>Community Grants Hub</w:t>
    </w:r>
    <w:r>
      <w:rPr>
        <w:noProof/>
        <w:lang w:eastAsia="en-AU"/>
      </w:rPr>
      <mc:AlternateContent>
        <mc:Choice Requires="wps">
          <w:drawing>
            <wp:anchor distT="0" distB="0" distL="114300" distR="114300" simplePos="0" relativeHeight="251666432" behindDoc="0" locked="1" layoutInCell="1" allowOverlap="1" wp14:anchorId="07498D98" wp14:editId="2BC9B3CD">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951DED"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Default="00D91B18">
    <w:pPr>
      <w:pStyle w:val="Footer"/>
    </w:pPr>
    <w:r>
      <w:fldChar w:fldCharType="begin"/>
    </w:r>
    <w:r>
      <w:instrText xml:space="preserve"> PAGE   \* MERGEFORMAT </w:instrText>
    </w:r>
    <w:r>
      <w:fldChar w:fldCharType="separate"/>
    </w:r>
    <w:r w:rsidR="007D5C2F">
      <w:rPr>
        <w:noProof/>
      </w:rPr>
      <w:t>1</w:t>
    </w:r>
    <w:r>
      <w:fldChar w:fldCharType="end"/>
    </w:r>
    <w:r>
      <w:t xml:space="preserve">  </w:t>
    </w:r>
    <w:r w:rsidR="00154573">
      <w:t xml:space="preserve">| </w:t>
    </w:r>
    <w:r w:rsidRPr="00A454BF">
      <w:t>Community Grants Hub</w:t>
    </w:r>
    <w:r w:rsidR="00FC1C24">
      <w:tab/>
    </w:r>
    <w:r w:rsidR="00FC1C24">
      <w:tab/>
    </w:r>
    <w:r w:rsidR="00FC1C24" w:rsidRPr="00FC1C24">
      <w:t>D16/9328330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3E5" w:rsidRDefault="009043E5" w:rsidP="00772718">
      <w:pPr>
        <w:spacing w:line="240" w:lineRule="auto"/>
      </w:pPr>
      <w:r>
        <w:separator/>
      </w:r>
    </w:p>
  </w:footnote>
  <w:footnote w:type="continuationSeparator" w:id="0">
    <w:p w:rsidR="009043E5" w:rsidRDefault="009043E5"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49B6AD11" wp14:editId="001A4816">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7B33ED"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244B48">
      <w:rPr>
        <w:noProof/>
        <w:lang w:eastAsia="en-AU"/>
      </w:rPr>
      <w:drawing>
        <wp:anchor distT="0" distB="0" distL="114300" distR="114300" simplePos="0" relativeHeight="251663360" behindDoc="0" locked="1" layoutInCell="1" allowOverlap="1" wp14:anchorId="0B4C1E7B" wp14:editId="023A07CA">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Default="0016612C">
    <w:pPr>
      <w:pStyle w:val="Header"/>
    </w:pPr>
    <w:r>
      <w:rPr>
        <w:noProof/>
        <w:lang w:eastAsia="en-AU"/>
      </w:rPr>
      <w:drawing>
        <wp:anchor distT="0" distB="0" distL="114300" distR="114300" simplePos="0" relativeHeight="251673600" behindDoc="0" locked="1" layoutInCell="1" allowOverlap="1" wp14:anchorId="74039026" wp14:editId="47BDFB90">
          <wp:simplePos x="0" y="0"/>
          <wp:positionH relativeFrom="page">
            <wp:posOffset>4048125</wp:posOffset>
          </wp:positionH>
          <wp:positionV relativeFrom="page">
            <wp:posOffset>485775</wp:posOffset>
          </wp:positionV>
          <wp:extent cx="2793600" cy="813600"/>
          <wp:effectExtent l="0" t="0" r="6985" b="5715"/>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5E68A398" wp14:editId="6F58E7B7">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6C5119F"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40BE4E18" wp14:editId="5FC6B6E0">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5CF961"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65628624" wp14:editId="0FC0F9F5">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D3A492"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15:restartNumberingAfterBreak="0">
    <w:nsid w:val="093E3A6E"/>
    <w:multiLevelType w:val="hybridMultilevel"/>
    <w:tmpl w:val="4244A526"/>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 w15:restartNumberingAfterBreak="0">
    <w:nsid w:val="0D4D6F60"/>
    <w:multiLevelType w:val="hybridMultilevel"/>
    <w:tmpl w:val="17964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144FEC"/>
    <w:multiLevelType w:val="multilevel"/>
    <w:tmpl w:val="B8BC9542"/>
    <w:lvl w:ilvl="0">
      <w:start w:val="1"/>
      <w:numFmt w:val="decimal"/>
      <w:pStyle w:val="ListNumber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BD12E7"/>
    <w:multiLevelType w:val="multilevel"/>
    <w:tmpl w:val="4A48FF5E"/>
    <w:lvl w:ilvl="0">
      <w:start w:val="1"/>
      <w:numFmt w:val="bullet"/>
      <w:lvlText w:val=""/>
      <w:lvlJc w:val="left"/>
      <w:pPr>
        <w:ind w:left="360" w:hanging="360"/>
      </w:pPr>
      <w:rPr>
        <w:rFonts w:ascii="Symbol" w:hAnsi="Symbol" w:hint="default"/>
        <w:color w:val="264F90"/>
        <w:w w:val="100"/>
        <w:sz w:val="20"/>
        <w:szCs w:val="20"/>
      </w:rPr>
    </w:lvl>
    <w:lvl w:ilvl="1">
      <w:start w:val="1"/>
      <w:numFmt w:val="bullet"/>
      <w:lvlText w:val=""/>
      <w:lvlJc w:val="left"/>
      <w:pPr>
        <w:ind w:left="720" w:hanging="360"/>
      </w:pPr>
      <w:rPr>
        <w:rFonts w:ascii="Wingdings" w:hAnsi="Wingdings" w:hint="default"/>
        <w:color w:val="264F90"/>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0" w15:restartNumberingAfterBreak="0">
    <w:nsid w:val="2A2A39AF"/>
    <w:multiLevelType w:val="hybridMultilevel"/>
    <w:tmpl w:val="4BE4B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3"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42527CD9"/>
    <w:multiLevelType w:val="hybridMultilevel"/>
    <w:tmpl w:val="554A6E8E"/>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5"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52F5593B"/>
    <w:multiLevelType w:val="hybridMultilevel"/>
    <w:tmpl w:val="DCF89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19"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FC05E01"/>
    <w:multiLevelType w:val="multilevel"/>
    <w:tmpl w:val="183AB6D8"/>
    <w:lvl w:ilvl="0">
      <w:start w:val="1"/>
      <w:numFmt w:val="bullet"/>
      <w:lvlText w:val=""/>
      <w:lvlJc w:val="left"/>
      <w:pPr>
        <w:ind w:left="360" w:hanging="360"/>
      </w:pPr>
      <w:rPr>
        <w:rFonts w:ascii="Symbol" w:hAnsi="Symbol" w:hint="default"/>
        <w:color w:val="264F90"/>
        <w:w w:val="100"/>
        <w:sz w:val="20"/>
        <w:szCs w:val="20"/>
      </w:rPr>
    </w:lvl>
    <w:lvl w:ilvl="1">
      <w:start w:val="1"/>
      <w:numFmt w:val="bullet"/>
      <w:lvlText w:val=""/>
      <w:lvlJc w:val="left"/>
      <w:pPr>
        <w:ind w:left="720" w:hanging="360"/>
      </w:pPr>
      <w:rPr>
        <w:rFonts w:ascii="Wingdings" w:hAnsi="Wingdings" w:hint="default"/>
        <w:color w:val="264F90"/>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75E3641F"/>
    <w:multiLevelType w:val="hybridMultilevel"/>
    <w:tmpl w:val="9FBEA2A6"/>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2" w15:restartNumberingAfterBreak="0">
    <w:nsid w:val="7A9F786D"/>
    <w:multiLevelType w:val="hybridMultilevel"/>
    <w:tmpl w:val="77AEE928"/>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num w:numId="1">
    <w:abstractNumId w:val="1"/>
  </w:num>
  <w:num w:numId="2">
    <w:abstractNumId w:val="18"/>
  </w:num>
  <w:num w:numId="3">
    <w:abstractNumId w:val="7"/>
  </w:num>
  <w:num w:numId="4">
    <w:abstractNumId w:val="13"/>
  </w:num>
  <w:num w:numId="5">
    <w:abstractNumId w:val="12"/>
  </w:num>
  <w:num w:numId="6">
    <w:abstractNumId w:val="11"/>
  </w:num>
  <w:num w:numId="7">
    <w:abstractNumId w:val="8"/>
  </w:num>
  <w:num w:numId="8">
    <w:abstractNumId w:val="17"/>
  </w:num>
  <w:num w:numId="9">
    <w:abstractNumId w:val="15"/>
  </w:num>
  <w:num w:numId="10">
    <w:abstractNumId w:val="5"/>
  </w:num>
  <w:num w:numId="11">
    <w:abstractNumId w:val="9"/>
  </w:num>
  <w:num w:numId="12">
    <w:abstractNumId w:val="5"/>
  </w:num>
  <w:num w:numId="13">
    <w:abstractNumId w:val="19"/>
  </w:num>
  <w:num w:numId="14">
    <w:abstractNumId w:val="10"/>
  </w:num>
  <w:num w:numId="15">
    <w:abstractNumId w:val="0"/>
  </w:num>
  <w:num w:numId="16">
    <w:abstractNumId w:val="6"/>
  </w:num>
  <w:num w:numId="17">
    <w:abstractNumId w:val="4"/>
  </w:num>
  <w:num w:numId="18">
    <w:abstractNumId w:val="14"/>
  </w:num>
  <w:num w:numId="19">
    <w:abstractNumId w:val="21"/>
  </w:num>
  <w:num w:numId="20">
    <w:abstractNumId w:val="2"/>
  </w:num>
  <w:num w:numId="21">
    <w:abstractNumId w:val="20"/>
  </w:num>
  <w:num w:numId="22">
    <w:abstractNumId w:val="3"/>
  </w:num>
  <w:num w:numId="23">
    <w:abstractNumId w:val="16"/>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4A79"/>
    <w:rsid w:val="00007DE9"/>
    <w:rsid w:val="00015AE4"/>
    <w:rsid w:val="0003018E"/>
    <w:rsid w:val="00033BC3"/>
    <w:rsid w:val="00035172"/>
    <w:rsid w:val="00044E09"/>
    <w:rsid w:val="000455E3"/>
    <w:rsid w:val="0004784D"/>
    <w:rsid w:val="000535A3"/>
    <w:rsid w:val="000537D0"/>
    <w:rsid w:val="00053A00"/>
    <w:rsid w:val="00053DC5"/>
    <w:rsid w:val="000551F5"/>
    <w:rsid w:val="00086DEB"/>
    <w:rsid w:val="000B6C00"/>
    <w:rsid w:val="000C1F06"/>
    <w:rsid w:val="000D413E"/>
    <w:rsid w:val="000E03EE"/>
    <w:rsid w:val="000F1DD1"/>
    <w:rsid w:val="000F28B8"/>
    <w:rsid w:val="000F3766"/>
    <w:rsid w:val="00100880"/>
    <w:rsid w:val="00106D3C"/>
    <w:rsid w:val="00106FC4"/>
    <w:rsid w:val="00111F0C"/>
    <w:rsid w:val="00120B80"/>
    <w:rsid w:val="00145E2D"/>
    <w:rsid w:val="001538C6"/>
    <w:rsid w:val="00154573"/>
    <w:rsid w:val="0016612C"/>
    <w:rsid w:val="00171113"/>
    <w:rsid w:val="001763D4"/>
    <w:rsid w:val="00177663"/>
    <w:rsid w:val="00181433"/>
    <w:rsid w:val="001834DD"/>
    <w:rsid w:val="00191BCF"/>
    <w:rsid w:val="00196D18"/>
    <w:rsid w:val="001A0C6F"/>
    <w:rsid w:val="001A3F8D"/>
    <w:rsid w:val="001B309F"/>
    <w:rsid w:val="001B4504"/>
    <w:rsid w:val="001C53CE"/>
    <w:rsid w:val="001C5D96"/>
    <w:rsid w:val="001D1360"/>
    <w:rsid w:val="001D341B"/>
    <w:rsid w:val="001E3D2B"/>
    <w:rsid w:val="001E5415"/>
    <w:rsid w:val="001E66CE"/>
    <w:rsid w:val="001F6BE5"/>
    <w:rsid w:val="00221DC2"/>
    <w:rsid w:val="00243004"/>
    <w:rsid w:val="00244B48"/>
    <w:rsid w:val="0024616D"/>
    <w:rsid w:val="00256CDA"/>
    <w:rsid w:val="002573D5"/>
    <w:rsid w:val="002600F2"/>
    <w:rsid w:val="00264E26"/>
    <w:rsid w:val="00267D10"/>
    <w:rsid w:val="00280E74"/>
    <w:rsid w:val="00284E4B"/>
    <w:rsid w:val="002A41E1"/>
    <w:rsid w:val="002B28D6"/>
    <w:rsid w:val="002B6574"/>
    <w:rsid w:val="002C4673"/>
    <w:rsid w:val="002C74F6"/>
    <w:rsid w:val="002D3419"/>
    <w:rsid w:val="002D46B6"/>
    <w:rsid w:val="002D4D48"/>
    <w:rsid w:val="002E0AA1"/>
    <w:rsid w:val="002E1CCC"/>
    <w:rsid w:val="002E21D2"/>
    <w:rsid w:val="002F28D4"/>
    <w:rsid w:val="002F3D4C"/>
    <w:rsid w:val="002F7D3C"/>
    <w:rsid w:val="00302D5E"/>
    <w:rsid w:val="00303C48"/>
    <w:rsid w:val="00305720"/>
    <w:rsid w:val="0031098A"/>
    <w:rsid w:val="003131AB"/>
    <w:rsid w:val="003217BE"/>
    <w:rsid w:val="00323AFF"/>
    <w:rsid w:val="003266B4"/>
    <w:rsid w:val="0034044F"/>
    <w:rsid w:val="00355FF2"/>
    <w:rsid w:val="0035639D"/>
    <w:rsid w:val="00376001"/>
    <w:rsid w:val="0038214F"/>
    <w:rsid w:val="003A092E"/>
    <w:rsid w:val="003A17CA"/>
    <w:rsid w:val="003B3A1D"/>
    <w:rsid w:val="003B5410"/>
    <w:rsid w:val="003B623A"/>
    <w:rsid w:val="003B7351"/>
    <w:rsid w:val="003C2C19"/>
    <w:rsid w:val="003D0647"/>
    <w:rsid w:val="003D1265"/>
    <w:rsid w:val="003D255E"/>
    <w:rsid w:val="003D3686"/>
    <w:rsid w:val="003D3B1D"/>
    <w:rsid w:val="003D4B2C"/>
    <w:rsid w:val="003D5DBE"/>
    <w:rsid w:val="003D5F7B"/>
    <w:rsid w:val="003D6557"/>
    <w:rsid w:val="003E01D1"/>
    <w:rsid w:val="003F21C2"/>
    <w:rsid w:val="00404841"/>
    <w:rsid w:val="00412059"/>
    <w:rsid w:val="00422E02"/>
    <w:rsid w:val="00425633"/>
    <w:rsid w:val="0043718D"/>
    <w:rsid w:val="00441E79"/>
    <w:rsid w:val="00444032"/>
    <w:rsid w:val="0044643A"/>
    <w:rsid w:val="00450486"/>
    <w:rsid w:val="004524CC"/>
    <w:rsid w:val="0045484E"/>
    <w:rsid w:val="00454EB4"/>
    <w:rsid w:val="00461BE1"/>
    <w:rsid w:val="00466D82"/>
    <w:rsid w:val="004709E9"/>
    <w:rsid w:val="00472379"/>
    <w:rsid w:val="004745AF"/>
    <w:rsid w:val="00483A58"/>
    <w:rsid w:val="00490618"/>
    <w:rsid w:val="004B1C3A"/>
    <w:rsid w:val="004B203A"/>
    <w:rsid w:val="004B5F40"/>
    <w:rsid w:val="004C7D16"/>
    <w:rsid w:val="004D0860"/>
    <w:rsid w:val="004D2466"/>
    <w:rsid w:val="004D700E"/>
    <w:rsid w:val="004D7F17"/>
    <w:rsid w:val="004E0670"/>
    <w:rsid w:val="004E0D06"/>
    <w:rsid w:val="004E7860"/>
    <w:rsid w:val="004E7F37"/>
    <w:rsid w:val="004F31BA"/>
    <w:rsid w:val="004F5E81"/>
    <w:rsid w:val="005118E4"/>
    <w:rsid w:val="0051299F"/>
    <w:rsid w:val="00520B73"/>
    <w:rsid w:val="00526B85"/>
    <w:rsid w:val="005306A1"/>
    <w:rsid w:val="00544751"/>
    <w:rsid w:val="00553A84"/>
    <w:rsid w:val="00563F88"/>
    <w:rsid w:val="00571E8B"/>
    <w:rsid w:val="00584EB2"/>
    <w:rsid w:val="0059000C"/>
    <w:rsid w:val="005A02A1"/>
    <w:rsid w:val="005B6071"/>
    <w:rsid w:val="005C120F"/>
    <w:rsid w:val="005C4463"/>
    <w:rsid w:val="005C48EA"/>
    <w:rsid w:val="005C694D"/>
    <w:rsid w:val="005D7A24"/>
    <w:rsid w:val="005E1395"/>
    <w:rsid w:val="00615D4C"/>
    <w:rsid w:val="00616EBA"/>
    <w:rsid w:val="00620574"/>
    <w:rsid w:val="00622B47"/>
    <w:rsid w:val="00624CAF"/>
    <w:rsid w:val="00632C08"/>
    <w:rsid w:val="00654C42"/>
    <w:rsid w:val="0067074A"/>
    <w:rsid w:val="00672994"/>
    <w:rsid w:val="006807C9"/>
    <w:rsid w:val="00685326"/>
    <w:rsid w:val="0069200C"/>
    <w:rsid w:val="00692EFD"/>
    <w:rsid w:val="006940F0"/>
    <w:rsid w:val="00694FDB"/>
    <w:rsid w:val="006A6654"/>
    <w:rsid w:val="006C15C5"/>
    <w:rsid w:val="006D1F6D"/>
    <w:rsid w:val="006D3DAD"/>
    <w:rsid w:val="006D4A4B"/>
    <w:rsid w:val="006E1C6A"/>
    <w:rsid w:val="006E1D29"/>
    <w:rsid w:val="006E476C"/>
    <w:rsid w:val="006F6096"/>
    <w:rsid w:val="006F7B19"/>
    <w:rsid w:val="00707E21"/>
    <w:rsid w:val="00711D11"/>
    <w:rsid w:val="00716D7B"/>
    <w:rsid w:val="00736A76"/>
    <w:rsid w:val="00752C6B"/>
    <w:rsid w:val="00760CE6"/>
    <w:rsid w:val="00760FF5"/>
    <w:rsid w:val="00762F09"/>
    <w:rsid w:val="007719C9"/>
    <w:rsid w:val="00772718"/>
    <w:rsid w:val="007C2815"/>
    <w:rsid w:val="007D30A8"/>
    <w:rsid w:val="007D5C2F"/>
    <w:rsid w:val="007F6391"/>
    <w:rsid w:val="00812033"/>
    <w:rsid w:val="00814FB1"/>
    <w:rsid w:val="00820F20"/>
    <w:rsid w:val="0082528A"/>
    <w:rsid w:val="00825754"/>
    <w:rsid w:val="008317AB"/>
    <w:rsid w:val="00833758"/>
    <w:rsid w:val="00835210"/>
    <w:rsid w:val="0084413D"/>
    <w:rsid w:val="00844C2D"/>
    <w:rsid w:val="00845DAA"/>
    <w:rsid w:val="00851FDD"/>
    <w:rsid w:val="0087438E"/>
    <w:rsid w:val="00877D81"/>
    <w:rsid w:val="00880DE1"/>
    <w:rsid w:val="00884668"/>
    <w:rsid w:val="00884700"/>
    <w:rsid w:val="00885214"/>
    <w:rsid w:val="00895EB9"/>
    <w:rsid w:val="008974F4"/>
    <w:rsid w:val="008A2604"/>
    <w:rsid w:val="008B2B46"/>
    <w:rsid w:val="008D2B3D"/>
    <w:rsid w:val="008E05BC"/>
    <w:rsid w:val="008F17B8"/>
    <w:rsid w:val="008F3CCF"/>
    <w:rsid w:val="00901750"/>
    <w:rsid w:val="00901A61"/>
    <w:rsid w:val="00903728"/>
    <w:rsid w:val="009043E5"/>
    <w:rsid w:val="00921840"/>
    <w:rsid w:val="00932C87"/>
    <w:rsid w:val="009331B4"/>
    <w:rsid w:val="009345F1"/>
    <w:rsid w:val="00944BBB"/>
    <w:rsid w:val="0095059B"/>
    <w:rsid w:val="009547B6"/>
    <w:rsid w:val="00960549"/>
    <w:rsid w:val="00961072"/>
    <w:rsid w:val="0096623C"/>
    <w:rsid w:val="009A2F51"/>
    <w:rsid w:val="009A34F3"/>
    <w:rsid w:val="009C6C53"/>
    <w:rsid w:val="009D5CD7"/>
    <w:rsid w:val="009E1A74"/>
    <w:rsid w:val="009E750F"/>
    <w:rsid w:val="00A04D96"/>
    <w:rsid w:val="00A0629B"/>
    <w:rsid w:val="00A14495"/>
    <w:rsid w:val="00A147AD"/>
    <w:rsid w:val="00A16BE1"/>
    <w:rsid w:val="00A24F65"/>
    <w:rsid w:val="00A330C9"/>
    <w:rsid w:val="00A409BE"/>
    <w:rsid w:val="00A453D7"/>
    <w:rsid w:val="00A454BF"/>
    <w:rsid w:val="00A50A4D"/>
    <w:rsid w:val="00A52E3A"/>
    <w:rsid w:val="00A62C73"/>
    <w:rsid w:val="00A77479"/>
    <w:rsid w:val="00A814CB"/>
    <w:rsid w:val="00A86F5D"/>
    <w:rsid w:val="00A90D1B"/>
    <w:rsid w:val="00AA22F0"/>
    <w:rsid w:val="00AA5CD0"/>
    <w:rsid w:val="00AC144D"/>
    <w:rsid w:val="00AC3F80"/>
    <w:rsid w:val="00AD70E2"/>
    <w:rsid w:val="00AF50B2"/>
    <w:rsid w:val="00AF55F8"/>
    <w:rsid w:val="00B00334"/>
    <w:rsid w:val="00B10ABA"/>
    <w:rsid w:val="00B125F0"/>
    <w:rsid w:val="00B303E4"/>
    <w:rsid w:val="00B420D4"/>
    <w:rsid w:val="00B57910"/>
    <w:rsid w:val="00B81CED"/>
    <w:rsid w:val="00B91B21"/>
    <w:rsid w:val="00B9517F"/>
    <w:rsid w:val="00B952F6"/>
    <w:rsid w:val="00B97060"/>
    <w:rsid w:val="00BA202A"/>
    <w:rsid w:val="00BC093A"/>
    <w:rsid w:val="00BC2B00"/>
    <w:rsid w:val="00BC4ACC"/>
    <w:rsid w:val="00BC4FCC"/>
    <w:rsid w:val="00BD02F8"/>
    <w:rsid w:val="00BF0B41"/>
    <w:rsid w:val="00C04432"/>
    <w:rsid w:val="00C1488E"/>
    <w:rsid w:val="00C15EF8"/>
    <w:rsid w:val="00C217A8"/>
    <w:rsid w:val="00C25C42"/>
    <w:rsid w:val="00C4188F"/>
    <w:rsid w:val="00C45BBE"/>
    <w:rsid w:val="00C64A99"/>
    <w:rsid w:val="00C65DBB"/>
    <w:rsid w:val="00C8012C"/>
    <w:rsid w:val="00C819A4"/>
    <w:rsid w:val="00C824AE"/>
    <w:rsid w:val="00C82E3D"/>
    <w:rsid w:val="00C84EA8"/>
    <w:rsid w:val="00C92998"/>
    <w:rsid w:val="00CA04D5"/>
    <w:rsid w:val="00CA27A1"/>
    <w:rsid w:val="00CA6F88"/>
    <w:rsid w:val="00CA720A"/>
    <w:rsid w:val="00CB22C7"/>
    <w:rsid w:val="00CB31F7"/>
    <w:rsid w:val="00CD0003"/>
    <w:rsid w:val="00CD572E"/>
    <w:rsid w:val="00CD5925"/>
    <w:rsid w:val="00CE557A"/>
    <w:rsid w:val="00D00C87"/>
    <w:rsid w:val="00D031B2"/>
    <w:rsid w:val="00D1410C"/>
    <w:rsid w:val="00D3434A"/>
    <w:rsid w:val="00D40D16"/>
    <w:rsid w:val="00D433F8"/>
    <w:rsid w:val="00D54017"/>
    <w:rsid w:val="00D548F0"/>
    <w:rsid w:val="00D57F79"/>
    <w:rsid w:val="00D64FAC"/>
    <w:rsid w:val="00D65704"/>
    <w:rsid w:val="00D668F6"/>
    <w:rsid w:val="00D741F9"/>
    <w:rsid w:val="00D745E6"/>
    <w:rsid w:val="00D75DAC"/>
    <w:rsid w:val="00D76C79"/>
    <w:rsid w:val="00D84875"/>
    <w:rsid w:val="00D904F0"/>
    <w:rsid w:val="00D91378"/>
    <w:rsid w:val="00D91B18"/>
    <w:rsid w:val="00D930FB"/>
    <w:rsid w:val="00D9579B"/>
    <w:rsid w:val="00D95D89"/>
    <w:rsid w:val="00DC0747"/>
    <w:rsid w:val="00DC2647"/>
    <w:rsid w:val="00DC316D"/>
    <w:rsid w:val="00DD1408"/>
    <w:rsid w:val="00DD356D"/>
    <w:rsid w:val="00DD6735"/>
    <w:rsid w:val="00DD72DE"/>
    <w:rsid w:val="00DF136A"/>
    <w:rsid w:val="00DF51FA"/>
    <w:rsid w:val="00E0448C"/>
    <w:rsid w:val="00E13525"/>
    <w:rsid w:val="00E31F8F"/>
    <w:rsid w:val="00E351B0"/>
    <w:rsid w:val="00E42E51"/>
    <w:rsid w:val="00E43C10"/>
    <w:rsid w:val="00E46B50"/>
    <w:rsid w:val="00E47250"/>
    <w:rsid w:val="00E47ADA"/>
    <w:rsid w:val="00E52CCE"/>
    <w:rsid w:val="00E61535"/>
    <w:rsid w:val="00E70AD5"/>
    <w:rsid w:val="00E73F55"/>
    <w:rsid w:val="00E74266"/>
    <w:rsid w:val="00E7480B"/>
    <w:rsid w:val="00E8246B"/>
    <w:rsid w:val="00E84012"/>
    <w:rsid w:val="00E9373C"/>
    <w:rsid w:val="00EA0724"/>
    <w:rsid w:val="00EA407F"/>
    <w:rsid w:val="00EA6251"/>
    <w:rsid w:val="00EB6414"/>
    <w:rsid w:val="00EB7E04"/>
    <w:rsid w:val="00EC49D9"/>
    <w:rsid w:val="00EE037A"/>
    <w:rsid w:val="00EE3BA6"/>
    <w:rsid w:val="00EE5747"/>
    <w:rsid w:val="00EF1A0E"/>
    <w:rsid w:val="00EF2170"/>
    <w:rsid w:val="00EF3804"/>
    <w:rsid w:val="00EF5E05"/>
    <w:rsid w:val="00F0596C"/>
    <w:rsid w:val="00F073CA"/>
    <w:rsid w:val="00F1683E"/>
    <w:rsid w:val="00F227AF"/>
    <w:rsid w:val="00F260CC"/>
    <w:rsid w:val="00F27370"/>
    <w:rsid w:val="00F40B00"/>
    <w:rsid w:val="00F41AAB"/>
    <w:rsid w:val="00F435C9"/>
    <w:rsid w:val="00F44F26"/>
    <w:rsid w:val="00F50C2B"/>
    <w:rsid w:val="00F5341C"/>
    <w:rsid w:val="00F53A4E"/>
    <w:rsid w:val="00F56954"/>
    <w:rsid w:val="00F76062"/>
    <w:rsid w:val="00F778E4"/>
    <w:rsid w:val="00F85F98"/>
    <w:rsid w:val="00F948AF"/>
    <w:rsid w:val="00FA1F45"/>
    <w:rsid w:val="00FA4FD0"/>
    <w:rsid w:val="00FA5A7B"/>
    <w:rsid w:val="00FB106F"/>
    <w:rsid w:val="00FB11B1"/>
    <w:rsid w:val="00FC1C24"/>
    <w:rsid w:val="00FD5C21"/>
    <w:rsid w:val="00FD7732"/>
    <w:rsid w:val="00FE00E8"/>
    <w:rsid w:val="00FE670A"/>
    <w:rsid w:val="00FE71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2304555"/>
  <w15:docId w15:val="{1C25D4A1-CD35-4492-BA54-656D63F1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unhideWhenUsed/>
    <w:rsid w:val="00F85F98"/>
    <w:pPr>
      <w:spacing w:line="240" w:lineRule="auto"/>
    </w:pPr>
    <w:rPr>
      <w:sz w:val="20"/>
    </w:rPr>
  </w:style>
  <w:style w:type="character" w:customStyle="1" w:styleId="CommentTextChar">
    <w:name w:val="Comment Text Char"/>
    <w:basedOn w:val="DefaultParagraphFont"/>
    <w:link w:val="CommentText"/>
    <w:uiPriority w:val="99"/>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9A34F3"/>
    <w:rPr>
      <w:b/>
      <w:bCs/>
    </w:rPr>
  </w:style>
  <w:style w:type="character" w:customStyle="1" w:styleId="CommentSubjectChar">
    <w:name w:val="Comment Subject Char"/>
    <w:basedOn w:val="CommentTextChar"/>
    <w:link w:val="CommentSubject"/>
    <w:uiPriority w:val="99"/>
    <w:semiHidden/>
    <w:rsid w:val="009A34F3"/>
    <w:rPr>
      <w:rFonts w:asciiTheme="minorHAnsi" w:hAnsiTheme="minorHAnsi"/>
      <w:b/>
      <w:bCs/>
      <w:color w:val="000000" w:themeColor="text1"/>
    </w:rPr>
  </w:style>
  <w:style w:type="paragraph" w:styleId="Revision">
    <w:name w:val="Revision"/>
    <w:hidden/>
    <w:uiPriority w:val="99"/>
    <w:semiHidden/>
    <w:rsid w:val="00563F88"/>
    <w:rPr>
      <w:rFonts w:asciiTheme="minorHAnsi" w:hAnsiTheme="minorHAnsi"/>
      <w:color w:val="000000" w:themeColor="text1"/>
      <w:sz w:val="22"/>
    </w:rPr>
  </w:style>
  <w:style w:type="paragraph" w:styleId="ListBullet">
    <w:name w:val="List Bullet"/>
    <w:aliases w:val="List Bullet 1"/>
    <w:basedOn w:val="Normal"/>
    <w:uiPriority w:val="99"/>
    <w:qFormat/>
    <w:rsid w:val="00F53A4E"/>
    <w:pPr>
      <w:spacing w:before="40" w:after="120"/>
    </w:pPr>
    <w:rPr>
      <w:rFonts w:ascii="Arial" w:eastAsia="Times New Roman" w:hAnsi="Arial"/>
      <w:iCs/>
      <w:color w:val="auto"/>
      <w:sz w:val="20"/>
    </w:rPr>
  </w:style>
  <w:style w:type="paragraph" w:styleId="ListNumber3">
    <w:name w:val="List Number 3"/>
    <w:basedOn w:val="ListNumber2"/>
    <w:rsid w:val="00F53A4E"/>
    <w:pPr>
      <w:numPr>
        <w:numId w:val="15"/>
      </w:numPr>
      <w:spacing w:before="60" w:after="60"/>
      <w:ind w:left="1080" w:hanging="226"/>
      <w:contextualSpacing w:val="0"/>
    </w:pPr>
    <w:rPr>
      <w:rFonts w:ascii="Arial" w:eastAsia="Times New Roman" w:hAnsi="Arial"/>
      <w:color w:val="auto"/>
      <w:sz w:val="20"/>
    </w:rPr>
  </w:style>
  <w:style w:type="paragraph" w:styleId="ListNumber2">
    <w:name w:val="List Number 2"/>
    <w:basedOn w:val="Normal"/>
    <w:uiPriority w:val="99"/>
    <w:semiHidden/>
    <w:unhideWhenUsed/>
    <w:rsid w:val="00F53A4E"/>
    <w:pPr>
      <w:numPr>
        <w:numId w:val="17"/>
      </w:numPr>
      <w:contextualSpacing/>
    </w:pPr>
  </w:style>
  <w:style w:type="character" w:styleId="FollowedHyperlink">
    <w:name w:val="FollowedHyperlink"/>
    <w:basedOn w:val="DefaultParagraphFont"/>
    <w:uiPriority w:val="99"/>
    <w:semiHidden/>
    <w:unhideWhenUsed/>
    <w:rsid w:val="00D957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788980">
      <w:bodyDiv w:val="1"/>
      <w:marLeft w:val="0"/>
      <w:marRight w:val="0"/>
      <w:marTop w:val="0"/>
      <w:marBottom w:val="0"/>
      <w:divBdr>
        <w:top w:val="none" w:sz="0" w:space="0" w:color="auto"/>
        <w:left w:val="none" w:sz="0" w:space="0" w:color="auto"/>
        <w:bottom w:val="none" w:sz="0" w:space="0" w:color="auto"/>
        <w:right w:val="none" w:sz="0" w:space="0" w:color="auto"/>
      </w:divBdr>
    </w:div>
    <w:div w:id="497506664">
      <w:bodyDiv w:val="1"/>
      <w:marLeft w:val="0"/>
      <w:marRight w:val="0"/>
      <w:marTop w:val="0"/>
      <w:marBottom w:val="0"/>
      <w:divBdr>
        <w:top w:val="none" w:sz="0" w:space="0" w:color="auto"/>
        <w:left w:val="none" w:sz="0" w:space="0" w:color="auto"/>
        <w:bottom w:val="none" w:sz="0" w:space="0" w:color="auto"/>
        <w:right w:val="none" w:sz="0" w:space="0" w:color="auto"/>
      </w:divBdr>
    </w:div>
    <w:div w:id="647129100">
      <w:bodyDiv w:val="1"/>
      <w:marLeft w:val="0"/>
      <w:marRight w:val="0"/>
      <w:marTop w:val="0"/>
      <w:marBottom w:val="0"/>
      <w:divBdr>
        <w:top w:val="none" w:sz="0" w:space="0" w:color="auto"/>
        <w:left w:val="none" w:sz="0" w:space="0" w:color="auto"/>
        <w:bottom w:val="none" w:sz="0" w:space="0" w:color="auto"/>
        <w:right w:val="none" w:sz="0" w:space="0" w:color="auto"/>
      </w:divBdr>
    </w:div>
    <w:div w:id="189762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abs.gov.au/ausstats/abs@.nsf/Lookup/by%20Subject/1270.0.55.002~July%202016~Main%20Features~Indigenous%20Regions%20(IREG)~8" TargetMode="External"/><Relationship Id="rId4" Type="http://schemas.openxmlformats.org/officeDocument/2006/relationships/styles" Target="styles.xml"/><Relationship Id="rId9" Type="http://schemas.openxmlformats.org/officeDocument/2006/relationships/hyperlink" Target="https://www.abs.gov.au/ausstats/abs@.nsf/Lookup/by%20Subject/1270.0.55.002~July%202016~Main%20Features~Indigenous%20Regions%20(IREG)~8"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Community%20Grants%20Hub%20Templates\Fact%20sheet%20template%20-%20orange%20(Exter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7FF93772B0460E96E551467BAC0A8C"/>
        <w:category>
          <w:name w:val="General"/>
          <w:gallery w:val="placeholder"/>
        </w:category>
        <w:types>
          <w:type w:val="bbPlcHdr"/>
        </w:types>
        <w:behaviors>
          <w:behavior w:val="content"/>
        </w:behaviors>
        <w:guid w:val="{40DF5D68-7551-4284-A505-512FD80B9FA7}"/>
      </w:docPartPr>
      <w:docPartBody>
        <w:p w:rsidR="006424F2" w:rsidRDefault="00605577" w:rsidP="00605577">
          <w:pPr>
            <w:pStyle w:val="C77FF93772B0460E96E551467BAC0A8C"/>
          </w:pPr>
          <w:r>
            <w:t>[Title]</w:t>
          </w:r>
        </w:p>
      </w:docPartBody>
    </w:docPart>
    <w:docPart>
      <w:docPartPr>
        <w:name w:val="1AF4CA6354A642418EAAC32AF9DD8158"/>
        <w:category>
          <w:name w:val="General"/>
          <w:gallery w:val="placeholder"/>
        </w:category>
        <w:types>
          <w:type w:val="bbPlcHdr"/>
        </w:types>
        <w:behaviors>
          <w:behavior w:val="content"/>
        </w:behaviors>
        <w:guid w:val="{36517B5A-B017-4602-989C-7DF2EAD55800}"/>
      </w:docPartPr>
      <w:docPartBody>
        <w:p w:rsidR="006424F2" w:rsidRDefault="00605577" w:rsidP="00605577">
          <w:pPr>
            <w:pStyle w:val="1AF4CA6354A642418EAAC32AF9DD8158"/>
          </w:pP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F4F"/>
    <w:rsid w:val="00007CB1"/>
    <w:rsid w:val="00033D82"/>
    <w:rsid w:val="00190F4F"/>
    <w:rsid w:val="001F4000"/>
    <w:rsid w:val="002C0EDB"/>
    <w:rsid w:val="003456B8"/>
    <w:rsid w:val="00485865"/>
    <w:rsid w:val="004A7D97"/>
    <w:rsid w:val="004C25E4"/>
    <w:rsid w:val="00535E20"/>
    <w:rsid w:val="00605577"/>
    <w:rsid w:val="006210D1"/>
    <w:rsid w:val="006424F2"/>
    <w:rsid w:val="006C16DA"/>
    <w:rsid w:val="006F4A56"/>
    <w:rsid w:val="0073650F"/>
    <w:rsid w:val="00833509"/>
    <w:rsid w:val="00837DB8"/>
    <w:rsid w:val="008B794C"/>
    <w:rsid w:val="008E17C3"/>
    <w:rsid w:val="008F151E"/>
    <w:rsid w:val="009013CA"/>
    <w:rsid w:val="009A3DA1"/>
    <w:rsid w:val="009B5DD7"/>
    <w:rsid w:val="009C55E0"/>
    <w:rsid w:val="00A0186A"/>
    <w:rsid w:val="00A36B81"/>
    <w:rsid w:val="00A965B5"/>
    <w:rsid w:val="00C00A64"/>
    <w:rsid w:val="00D47428"/>
    <w:rsid w:val="00D532EF"/>
    <w:rsid w:val="00D5662C"/>
    <w:rsid w:val="00DF3C65"/>
    <w:rsid w:val="00E01D08"/>
    <w:rsid w:val="00E84804"/>
    <w:rsid w:val="00EE4C8D"/>
    <w:rsid w:val="00F607B1"/>
    <w:rsid w:val="00F84DC6"/>
    <w:rsid w:val="00FB46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5CEFF8598D4348A6AFB8F4000E0626">
    <w:name w:val="CC5CEFF8598D4348A6AFB8F4000E0626"/>
  </w:style>
  <w:style w:type="paragraph" w:customStyle="1" w:styleId="1F86413E11EC461E885960059A060817">
    <w:name w:val="1F86413E11EC461E885960059A060817"/>
  </w:style>
  <w:style w:type="paragraph" w:customStyle="1" w:styleId="D30B9F959D2148E187AE500D22BD5A4E">
    <w:name w:val="D30B9F959D2148E187AE500D22BD5A4E"/>
    <w:rsid w:val="00605577"/>
  </w:style>
  <w:style w:type="paragraph" w:customStyle="1" w:styleId="AE43076D95174273AEBFD9D7DC0444AF">
    <w:name w:val="AE43076D95174273AEBFD9D7DC0444AF"/>
    <w:rsid w:val="00605577"/>
  </w:style>
  <w:style w:type="paragraph" w:customStyle="1" w:styleId="FEC168293B5F4FF3A66E0008F832CCBE">
    <w:name w:val="FEC168293B5F4FF3A66E0008F832CCBE"/>
    <w:rsid w:val="00605577"/>
  </w:style>
  <w:style w:type="paragraph" w:customStyle="1" w:styleId="16D7A56F61A44511A088C868C2F243F0">
    <w:name w:val="16D7A56F61A44511A088C868C2F243F0"/>
    <w:rsid w:val="00605577"/>
  </w:style>
  <w:style w:type="paragraph" w:customStyle="1" w:styleId="C77FF93772B0460E96E551467BAC0A8C">
    <w:name w:val="C77FF93772B0460E96E551467BAC0A8C"/>
    <w:rsid w:val="00605577"/>
  </w:style>
  <w:style w:type="paragraph" w:customStyle="1" w:styleId="1AF4CA6354A642418EAAC32AF9DD8158">
    <w:name w:val="1AF4CA6354A642418EAAC32AF9DD8158"/>
    <w:rsid w:val="006055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1AB097-17DE-4004-8160-40C85183E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 - orange (External)</Template>
  <TotalTime>45</TotalTime>
  <Pages>6</Pages>
  <Words>1583</Words>
  <Characters>9759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First Nations Family Dispute Resolution</vt:lpstr>
    </vt:vector>
  </TitlesOfParts>
  <Company>Community Grants Hub</Company>
  <LinksUpToDate>false</LinksUpToDate>
  <CharactersWithSpaces>11305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Nations Family Dispute Resolution</dc:title>
  <dc:subject>Feedback for applicants</dc:subject>
  <dc:creator>LONG, Andrew</dc:creator>
  <cp:keywords>[SEC=OFFICIAL]</cp:keywords>
  <cp:lastModifiedBy>CHALKER, Greg</cp:lastModifiedBy>
  <cp:revision>6</cp:revision>
  <cp:lastPrinted>2021-05-11T22:32:00Z</cp:lastPrinted>
  <dcterms:created xsi:type="dcterms:W3CDTF">2022-11-28T03:25:00Z</dcterms:created>
  <dcterms:modified xsi:type="dcterms:W3CDTF">2022-11-29T22:13:00Z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2D0FEABC5F2243A0970BD8AD930023A3</vt:lpwstr>
  </property>
  <property fmtid="{D5CDD505-2E9C-101B-9397-08002B2CF9AE}" pid="9" name="PM_ProtectiveMarkingValue_Footer">
    <vt:lpwstr>OFFICIAL</vt:lpwstr>
  </property>
  <property fmtid="{D5CDD505-2E9C-101B-9397-08002B2CF9AE}" pid="10" name="PM_Originator_Hash_SHA1">
    <vt:lpwstr>D67F6BC5CA3EA6D7FC1616E879E14162D7D4F532</vt:lpwstr>
  </property>
  <property fmtid="{D5CDD505-2E9C-101B-9397-08002B2CF9AE}" pid="11" name="PM_OriginationTimeStamp">
    <vt:lpwstr>2022-11-29T22:13:37Z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C97E59A66C679ACC7919F859A2438792</vt:lpwstr>
  </property>
  <property fmtid="{D5CDD505-2E9C-101B-9397-08002B2CF9AE}" pid="20" name="PM_Hash_Salt">
    <vt:lpwstr>B835C023BD6A45001B34A64807FEEB7C</vt:lpwstr>
  </property>
  <property fmtid="{D5CDD505-2E9C-101B-9397-08002B2CF9AE}" pid="21" name="PM_Hash_SHA1">
    <vt:lpwstr>BD5BD22DE48E4E644C4D4DB56885113C45064BDB</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DBE58B24DCCC155B31FD7B1F089481E24C00AF852B82F70644ABFFCC2B4A472F</vt:lpwstr>
  </property>
  <property fmtid="{D5CDD505-2E9C-101B-9397-08002B2CF9AE}" pid="26" name="PM_OriginatorDomainName_SHA256">
    <vt:lpwstr>E83A2A66C4061446A7E3732E8D44762184B6B377D962B96C83DC624302585857</vt:lpwstr>
  </property>
</Properties>
</file>