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eastAsiaTheme="majorEastAsia" w:hAnsi="Arial" w:cs="Arial"/>
          <w:color w:val="CF0A2C" w:themeColor="accent1"/>
          <w:kern w:val="28"/>
          <w:sz w:val="48"/>
          <w:szCs w:val="52"/>
        </w:rPr>
        <w:alias w:val="Title"/>
        <w:tag w:val=""/>
        <w:id w:val="686947816"/>
        <w:placeholder>
          <w:docPart w:val="C77FF93772B0460E96E551467BAC0A8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2B5F4A19" w14:textId="77777777" w:rsidR="00F85F98" w:rsidRPr="00521B14" w:rsidRDefault="006D03E6" w:rsidP="00F85F98">
          <w:pPr>
            <w:spacing w:after="140" w:line="1000" w:lineRule="exact"/>
            <w:contextualSpacing/>
            <w:rPr>
              <w:rFonts w:ascii="Arial" w:eastAsiaTheme="majorEastAsia" w:hAnsi="Arial" w:cs="Arial"/>
              <w:color w:val="auto"/>
              <w:kern w:val="28"/>
              <w:sz w:val="48"/>
              <w:szCs w:val="52"/>
            </w:rPr>
          </w:pPr>
          <w:r w:rsidRPr="00F574E2">
            <w:rPr>
              <w:rFonts w:ascii="Arial" w:eastAsiaTheme="majorEastAsia" w:hAnsi="Arial" w:cs="Arial"/>
              <w:color w:val="CF0A2C" w:themeColor="accent1"/>
              <w:kern w:val="28"/>
              <w:sz w:val="48"/>
              <w:szCs w:val="52"/>
            </w:rPr>
            <w:t>Specialist Elder Abuse Services</w:t>
          </w:r>
        </w:p>
      </w:sdtContent>
    </w:sdt>
    <w:p w14:paraId="01AA69D8" w14:textId="694A3CA9" w:rsidR="00F85F98" w:rsidRPr="00521B14" w:rsidRDefault="00C3000B" w:rsidP="00F85F98">
      <w:pPr>
        <w:numPr>
          <w:ilvl w:val="1"/>
          <w:numId w:val="0"/>
        </w:numPr>
        <w:pBdr>
          <w:bottom w:val="single" w:sz="4" w:space="22" w:color="000000" w:themeColor="text1"/>
        </w:pBdr>
        <w:spacing w:before="120" w:after="280" w:line="400" w:lineRule="atLeast"/>
        <w:rPr>
          <w:rFonts w:asciiTheme="majorHAnsi" w:eastAsiaTheme="majorEastAsia" w:hAnsiTheme="majorHAnsi" w:cstheme="majorBidi"/>
          <w:iCs/>
          <w:color w:val="auto"/>
          <w:sz w:val="30"/>
          <w:szCs w:val="24"/>
        </w:rPr>
      </w:pPr>
      <w:sdt>
        <w:sdtPr>
          <w:rPr>
            <w:rFonts w:asciiTheme="majorHAnsi" w:eastAsiaTheme="majorEastAsia" w:hAnsiTheme="majorHAnsi" w:cstheme="majorBidi"/>
            <w:iCs/>
            <w:color w:val="auto"/>
            <w:sz w:val="30"/>
            <w:szCs w:val="24"/>
          </w:rPr>
          <w:alias w:val="Subtitle"/>
          <w:tag w:val=""/>
          <w:id w:val="-179897277"/>
          <w:placeholder>
            <w:docPart w:val="1AF4CA6354A642418EAAC32AF9DD815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EndPr/>
        <w:sdtContent>
          <w:r w:rsidR="00F85F98" w:rsidRPr="00521B14">
            <w:rPr>
              <w:rFonts w:asciiTheme="majorHAnsi" w:eastAsiaTheme="majorEastAsia" w:hAnsiTheme="majorHAnsi" w:cstheme="majorBidi"/>
              <w:iCs/>
              <w:color w:val="auto"/>
              <w:sz w:val="30"/>
              <w:szCs w:val="24"/>
            </w:rPr>
            <w:t>Feedback for applicants</w:t>
          </w:r>
        </w:sdtContent>
      </w:sdt>
    </w:p>
    <w:p w14:paraId="4A7E0BD1" w14:textId="42BECCEF" w:rsidR="00F574E2" w:rsidRDefault="00F574E2" w:rsidP="00F85F98">
      <w:pPr>
        <w:rPr>
          <w:color w:val="auto"/>
        </w:rPr>
      </w:pPr>
      <w:r w:rsidRPr="00F574E2">
        <w:rPr>
          <w:color w:val="auto"/>
        </w:rPr>
        <w:t>The Attorney-General’s Department (AGD) has provided the following General Feedback for applicants of the Specialist Elder Abuse Services</w:t>
      </w:r>
      <w:r>
        <w:rPr>
          <w:color w:val="auto"/>
        </w:rPr>
        <w:t xml:space="preserve"> </w:t>
      </w:r>
      <w:r w:rsidRPr="00F574E2">
        <w:rPr>
          <w:color w:val="auto"/>
        </w:rPr>
        <w:t>grant opportunity to assist with understanding what generally comprised a competitive application and how to strengthen future applications.</w:t>
      </w:r>
    </w:p>
    <w:p w14:paraId="254C4174" w14:textId="6B8A6FD5" w:rsidR="00F574E2" w:rsidRDefault="00F574E2" w:rsidP="00F85F98">
      <w:pPr>
        <w:rPr>
          <w:color w:val="auto"/>
        </w:rPr>
      </w:pPr>
    </w:p>
    <w:p w14:paraId="01AB2A66" w14:textId="08EEC166" w:rsidR="00F85F98" w:rsidRPr="00E906AF" w:rsidRDefault="00F85F98" w:rsidP="00F85F98">
      <w:pPr>
        <w:rPr>
          <w:rFonts w:asciiTheme="majorHAnsi" w:eastAsiaTheme="majorEastAsia" w:hAnsiTheme="majorHAnsi" w:cstheme="majorHAnsi"/>
          <w:bCs/>
          <w:color w:val="CF0A2C" w:themeColor="accent1"/>
          <w:sz w:val="36"/>
          <w:szCs w:val="36"/>
        </w:rPr>
      </w:pPr>
      <w:r w:rsidRPr="00E906AF">
        <w:rPr>
          <w:rFonts w:asciiTheme="majorHAnsi" w:eastAsiaTheme="majorEastAsia" w:hAnsiTheme="majorHAnsi" w:cstheme="majorHAnsi"/>
          <w:bCs/>
          <w:color w:val="CF0A2C" w:themeColor="accent1"/>
          <w:sz w:val="36"/>
          <w:szCs w:val="36"/>
        </w:rPr>
        <w:t>Overview</w:t>
      </w:r>
    </w:p>
    <w:p w14:paraId="1E863941" w14:textId="3D2CB16B" w:rsidR="00901A61" w:rsidRPr="00521B14" w:rsidRDefault="006D03E6" w:rsidP="00901A61">
      <w:pPr>
        <w:pStyle w:val="BodyText"/>
        <w:rPr>
          <w:color w:val="auto"/>
        </w:rPr>
      </w:pPr>
      <w:r w:rsidRPr="00521B14">
        <w:rPr>
          <w:color w:val="auto"/>
        </w:rPr>
        <w:t xml:space="preserve">The objective of the program is to improve the government’s knowledge of, and expand its options to respond to, elder abuse, in a variety of forms. The Specialist Elder Abuse Services will </w:t>
      </w:r>
      <w:r w:rsidR="001928DB" w:rsidRPr="00521B14">
        <w:rPr>
          <w:color w:val="auto"/>
        </w:rPr>
        <w:t>continue</w:t>
      </w:r>
      <w:r w:rsidRPr="00521B14">
        <w:rPr>
          <w:color w:val="auto"/>
        </w:rPr>
        <w:t xml:space="preserve"> the Elder Abuse Service Trials </w:t>
      </w:r>
      <w:r w:rsidR="00E906AF">
        <w:rPr>
          <w:color w:val="auto"/>
        </w:rPr>
        <w:t xml:space="preserve">which </w:t>
      </w:r>
      <w:r w:rsidRPr="00521B14">
        <w:rPr>
          <w:color w:val="auto"/>
        </w:rPr>
        <w:t>commenced in 2018-–19. The Elder Abuse Service Trials have been found to be achieving their intended outcomes, namely older people feel supported and services meet their needs.</w:t>
      </w:r>
      <w:r w:rsidR="00F85F98" w:rsidRPr="00521B14">
        <w:rPr>
          <w:color w:val="auto"/>
        </w:rPr>
        <w:t xml:space="preserve"> </w:t>
      </w:r>
      <w:r w:rsidR="00094EEB" w:rsidRPr="00521B14">
        <w:rPr>
          <w:color w:val="auto"/>
        </w:rPr>
        <w:t xml:space="preserve">This was a closed non-competitive </w:t>
      </w:r>
      <w:r w:rsidR="00E906AF">
        <w:rPr>
          <w:color w:val="auto"/>
        </w:rPr>
        <w:t>grant opportunity</w:t>
      </w:r>
      <w:r w:rsidR="00094EEB" w:rsidRPr="00521B14">
        <w:rPr>
          <w:color w:val="auto"/>
        </w:rPr>
        <w:t>.</w:t>
      </w:r>
    </w:p>
    <w:p w14:paraId="1E4F2932" w14:textId="50BA2F36" w:rsidR="00901A61" w:rsidRPr="00521B14" w:rsidRDefault="00901A61" w:rsidP="00901A61">
      <w:pPr>
        <w:pStyle w:val="BodyText"/>
        <w:rPr>
          <w:color w:val="auto"/>
        </w:rPr>
      </w:pPr>
      <w:r w:rsidRPr="00521B14">
        <w:rPr>
          <w:color w:val="auto"/>
        </w:rPr>
        <w:t xml:space="preserve">The grant opportunity application period opened on </w:t>
      </w:r>
      <w:r w:rsidR="00D45AC1" w:rsidRPr="00521B14">
        <w:rPr>
          <w:rStyle w:val="BodyTextChar"/>
          <w:color w:val="auto"/>
        </w:rPr>
        <w:t>21</w:t>
      </w:r>
      <w:r w:rsidR="004C47FE">
        <w:rPr>
          <w:rStyle w:val="BodyTextChar"/>
          <w:color w:val="auto"/>
        </w:rPr>
        <w:t xml:space="preserve"> September 2022 </w:t>
      </w:r>
      <w:r w:rsidRPr="00521B14">
        <w:rPr>
          <w:color w:val="auto"/>
        </w:rPr>
        <w:t xml:space="preserve">and closed on </w:t>
      </w:r>
      <w:r w:rsidR="00C3000B">
        <w:rPr>
          <w:color w:val="auto"/>
        </w:rPr>
        <w:br/>
      </w:r>
      <w:r w:rsidR="004C47FE">
        <w:rPr>
          <w:rStyle w:val="BodyTextChar"/>
          <w:color w:val="auto"/>
        </w:rPr>
        <w:t>7 October 2022.</w:t>
      </w:r>
      <w:r w:rsidRPr="00521B14">
        <w:rPr>
          <w:color w:val="auto"/>
        </w:rPr>
        <w:t xml:space="preserve"> </w:t>
      </w:r>
    </w:p>
    <w:p w14:paraId="5DEC2EA7" w14:textId="64170A2D" w:rsidR="00901A61" w:rsidRPr="00521B14" w:rsidRDefault="00901A61" w:rsidP="00901A61">
      <w:pPr>
        <w:pStyle w:val="BodyText"/>
        <w:rPr>
          <w:color w:val="auto"/>
        </w:rPr>
      </w:pPr>
      <w:r w:rsidRPr="00521B14">
        <w:rPr>
          <w:color w:val="auto"/>
        </w:rPr>
        <w:t xml:space="preserve">The grant opportunity received </w:t>
      </w:r>
      <w:r w:rsidR="004C47FE">
        <w:rPr>
          <w:color w:val="auto"/>
        </w:rPr>
        <w:t>12</w:t>
      </w:r>
      <w:r w:rsidRPr="00521B14">
        <w:rPr>
          <w:color w:val="auto"/>
        </w:rPr>
        <w:t xml:space="preserve"> applications. Following the Delegate’s decision, </w:t>
      </w:r>
      <w:r w:rsidR="009914FE" w:rsidRPr="00521B14">
        <w:rPr>
          <w:color w:val="auto"/>
        </w:rPr>
        <w:t xml:space="preserve">11 </w:t>
      </w:r>
      <w:r w:rsidRPr="00521B14">
        <w:rPr>
          <w:color w:val="auto"/>
        </w:rPr>
        <w:t>applications were selected for funding</w:t>
      </w:r>
      <w:r w:rsidR="00D45AC1" w:rsidRPr="00521B14">
        <w:rPr>
          <w:color w:val="auto"/>
        </w:rPr>
        <w:t xml:space="preserve"> to deliver 12 services</w:t>
      </w:r>
      <w:r w:rsidRPr="00521B14">
        <w:rPr>
          <w:color w:val="auto"/>
        </w:rPr>
        <w:t>, to a value of $</w:t>
      </w:r>
      <w:r w:rsidR="009914FE" w:rsidRPr="00521B14">
        <w:rPr>
          <w:color w:val="auto"/>
        </w:rPr>
        <w:t>19.924 million</w:t>
      </w:r>
      <w:r w:rsidRPr="00521B14">
        <w:rPr>
          <w:color w:val="auto"/>
        </w:rPr>
        <w:t xml:space="preserve"> (GST excl</w:t>
      </w:r>
      <w:r w:rsidR="00C519B5">
        <w:rPr>
          <w:color w:val="auto"/>
        </w:rPr>
        <w:t>usive</w:t>
      </w:r>
      <w:r w:rsidRPr="00521B14">
        <w:rPr>
          <w:color w:val="auto"/>
        </w:rPr>
        <w:t>).</w:t>
      </w:r>
    </w:p>
    <w:p w14:paraId="48C6A9CD" w14:textId="77777777" w:rsidR="00901A61" w:rsidRPr="00521B14" w:rsidRDefault="00901A61" w:rsidP="00901A61">
      <w:pPr>
        <w:pStyle w:val="BodyText"/>
        <w:rPr>
          <w:color w:val="auto"/>
        </w:rPr>
      </w:pPr>
      <w:r w:rsidRPr="00521B14">
        <w:rPr>
          <w:color w:val="auto"/>
        </w:rPr>
        <w:t>Applications were assessed according to the procedure detailed in the G</w:t>
      </w:r>
      <w:r w:rsidR="004B203A" w:rsidRPr="00521B14">
        <w:rPr>
          <w:color w:val="auto"/>
        </w:rPr>
        <w:t>rant Opportunity Guidelines</w:t>
      </w:r>
      <w:r w:rsidRPr="00521B14">
        <w:rPr>
          <w:color w:val="auto"/>
        </w:rPr>
        <w:t xml:space="preserve"> </w:t>
      </w:r>
      <w:r w:rsidR="00D45AC1" w:rsidRPr="00521B14">
        <w:rPr>
          <w:color w:val="auto"/>
        </w:rPr>
        <w:t xml:space="preserve">(GOGs) </w:t>
      </w:r>
      <w:r w:rsidRPr="00521B14">
        <w:rPr>
          <w:color w:val="auto"/>
        </w:rPr>
        <w:t>and outlined in the Selection Process below.</w:t>
      </w:r>
    </w:p>
    <w:p w14:paraId="086CF9A3" w14:textId="77777777" w:rsidR="00901A61" w:rsidRPr="00521B14" w:rsidRDefault="00901A61" w:rsidP="00901A61">
      <w:pPr>
        <w:pStyle w:val="BodyText"/>
        <w:rPr>
          <w:color w:val="auto"/>
        </w:rPr>
      </w:pPr>
      <w:r w:rsidRPr="00521B14">
        <w:rPr>
          <w:color w:val="auto"/>
        </w:rPr>
        <w:t>This feedback is provided to assist grant applicants to understand what generally comprised a strong application and the content of quality responses to the assessment criteria for this grant opportunity.</w:t>
      </w:r>
    </w:p>
    <w:p w14:paraId="552F9D4C" w14:textId="70A51E27" w:rsidR="00F85F98" w:rsidRPr="00E906AF" w:rsidRDefault="00F85F98" w:rsidP="00F574E2">
      <w:pPr>
        <w:rPr>
          <w:rFonts w:asciiTheme="majorHAnsi" w:eastAsiaTheme="majorEastAsia" w:hAnsiTheme="majorHAnsi" w:cstheme="majorHAnsi"/>
          <w:bCs/>
          <w:color w:val="auto"/>
          <w:sz w:val="36"/>
          <w:szCs w:val="28"/>
        </w:rPr>
      </w:pPr>
      <w:r w:rsidRPr="00E906AF">
        <w:rPr>
          <w:rFonts w:asciiTheme="majorHAnsi" w:eastAsiaTheme="majorEastAsia" w:hAnsiTheme="majorHAnsi" w:cstheme="majorHAnsi"/>
          <w:bCs/>
          <w:color w:val="CF0A2C" w:themeColor="accent1"/>
          <w:sz w:val="36"/>
          <w:szCs w:val="36"/>
        </w:rPr>
        <w:t>Selection Process</w:t>
      </w:r>
    </w:p>
    <w:p w14:paraId="1FD97321" w14:textId="0601584B" w:rsidR="00E17D64" w:rsidRDefault="00E17D64" w:rsidP="00E17D64">
      <w:pPr>
        <w:pStyle w:val="BodyText"/>
      </w:pPr>
      <w:r w:rsidRPr="00D00C87">
        <w:t xml:space="preserve">The Community Grants Hub undertook the screening for organisation eligibility and </w:t>
      </w:r>
      <w:r w:rsidR="00E906AF">
        <w:t xml:space="preserve">application </w:t>
      </w:r>
      <w:r w:rsidRPr="00D00C87">
        <w:t xml:space="preserve">compliance against the requirements outlined in the Grant Opportunity Guidelines. </w:t>
      </w:r>
      <w:r w:rsidR="00E906AF">
        <w:t>AGD as the Policy owner, determined one application did not meet the compliance criteria, the applicant was notified of the outcome. This application did not progress to assessment.</w:t>
      </w:r>
    </w:p>
    <w:p w14:paraId="0AB2640D" w14:textId="77777777" w:rsidR="00E17D64" w:rsidRDefault="00E17D64" w:rsidP="00E17D64">
      <w:pPr>
        <w:pStyle w:val="BodyText"/>
      </w:pPr>
      <w:r>
        <w:t xml:space="preserve">Following on from the eligibility and compliance screening the Community Grants Hub undertook the preliminary assessment of all applications in line with the Grant Opportunity Guidelines. </w:t>
      </w:r>
    </w:p>
    <w:p w14:paraId="74228437" w14:textId="75CB135A" w:rsidR="00E17D64" w:rsidRDefault="00E17D64" w:rsidP="00E17D64">
      <w:pPr>
        <w:pStyle w:val="BodyText"/>
      </w:pPr>
      <w:r>
        <w:t>Following preliminary assessment, all assessed applications were referred to AGD for consideration by its Selection Advisory Panel (the Panel).</w:t>
      </w:r>
    </w:p>
    <w:p w14:paraId="6B3719E7" w14:textId="77777777" w:rsidR="00E17D64" w:rsidRDefault="00E17D64" w:rsidP="00E17D64">
      <w:pPr>
        <w:pStyle w:val="BodyText"/>
        <w:rPr>
          <w:color w:val="auto"/>
        </w:rPr>
      </w:pPr>
      <w:r>
        <w:rPr>
          <w:color w:val="auto"/>
        </w:rPr>
        <w:t xml:space="preserve">The Panel, comprising of </w:t>
      </w:r>
      <w:r>
        <w:t>policy makers and subject matter experts</w:t>
      </w:r>
      <w:r>
        <w:rPr>
          <w:color w:val="auto"/>
        </w:rPr>
        <w:t>, assessed applications and provided advice to inform the AGD’s funding recommendations to their Delegate for decision.</w:t>
      </w:r>
    </w:p>
    <w:p w14:paraId="3BE9B0B9" w14:textId="77777777" w:rsidR="00E17D64" w:rsidRDefault="00E17D64" w:rsidP="00E17D64">
      <w:pPr>
        <w:pStyle w:val="BodyText"/>
      </w:pPr>
      <w:r>
        <w:rPr>
          <w:color w:val="auto"/>
        </w:rPr>
        <w:lastRenderedPageBreak/>
        <w:t xml:space="preserve">Applications suitable for funding were </w:t>
      </w:r>
      <w:r>
        <w:t xml:space="preserve">identified based on the strength of their responses to the assessment criteria and demonstrated ability to meet the grant requirements outlined in the Grant Opportunity Guidelines. </w:t>
      </w:r>
    </w:p>
    <w:p w14:paraId="5C9DC42A" w14:textId="77777777" w:rsidR="00E7480B" w:rsidRPr="00521B14" w:rsidRDefault="00E7480B" w:rsidP="00E7480B">
      <w:pPr>
        <w:pStyle w:val="BodyText"/>
        <w:rPr>
          <w:color w:val="auto"/>
        </w:rPr>
      </w:pPr>
      <w:r w:rsidRPr="00521B14">
        <w:rPr>
          <w:color w:val="auto"/>
        </w:rPr>
        <w:t>Applications were assessed on merit, based on:</w:t>
      </w:r>
    </w:p>
    <w:p w14:paraId="0DCFCC27" w14:textId="3F3A663A" w:rsidR="00E17D64" w:rsidRPr="00EB7E04" w:rsidRDefault="00E17D64" w:rsidP="00E17D64">
      <w:pPr>
        <w:pStyle w:val="BodyText"/>
        <w:numPr>
          <w:ilvl w:val="0"/>
          <w:numId w:val="14"/>
        </w:numPr>
        <w:rPr>
          <w:iCs/>
          <w:color w:val="auto"/>
        </w:rPr>
      </w:pPr>
      <w:r>
        <w:rPr>
          <w:iCs/>
          <w:color w:val="auto"/>
        </w:rPr>
        <w:t>t</w:t>
      </w:r>
      <w:r w:rsidRPr="00EB7E04">
        <w:rPr>
          <w:iCs/>
          <w:color w:val="auto"/>
        </w:rPr>
        <w:t>he initial preliminary score against the assessment criteria</w:t>
      </w:r>
    </w:p>
    <w:p w14:paraId="77D7A086" w14:textId="316E55B3" w:rsidR="00E17D64" w:rsidRPr="00EB7E04" w:rsidRDefault="00E17D64" w:rsidP="00E17D64">
      <w:pPr>
        <w:pStyle w:val="BodyText"/>
        <w:numPr>
          <w:ilvl w:val="0"/>
          <w:numId w:val="14"/>
        </w:numPr>
        <w:rPr>
          <w:iCs/>
          <w:color w:val="auto"/>
        </w:rPr>
      </w:pPr>
      <w:r>
        <w:rPr>
          <w:iCs/>
          <w:color w:val="auto"/>
        </w:rPr>
        <w:t>t</w:t>
      </w:r>
      <w:r w:rsidRPr="00EB7E04">
        <w:rPr>
          <w:iCs/>
          <w:color w:val="auto"/>
        </w:rPr>
        <w:t>he relative value of the grant sought</w:t>
      </w:r>
      <w:r w:rsidR="00C3000B">
        <w:rPr>
          <w:iCs/>
          <w:color w:val="auto"/>
        </w:rPr>
        <w:t xml:space="preserve"> and value for money</w:t>
      </w:r>
    </w:p>
    <w:p w14:paraId="2B7B73D9" w14:textId="77777777" w:rsidR="00E7480B" w:rsidRPr="00521B14" w:rsidRDefault="00E7480B" w:rsidP="00E7480B">
      <w:pPr>
        <w:pStyle w:val="BodyText"/>
        <w:numPr>
          <w:ilvl w:val="0"/>
          <w:numId w:val="14"/>
        </w:numPr>
        <w:rPr>
          <w:color w:val="auto"/>
        </w:rPr>
      </w:pPr>
      <w:r w:rsidRPr="00521B14">
        <w:rPr>
          <w:color w:val="auto"/>
        </w:rPr>
        <w:t>how well it met the criteria</w:t>
      </w:r>
      <w:r w:rsidR="00D45AC1" w:rsidRPr="00521B14">
        <w:rPr>
          <w:color w:val="auto"/>
        </w:rPr>
        <w:t xml:space="preserve"> outlined in the GOGs</w:t>
      </w:r>
    </w:p>
    <w:p w14:paraId="3A181796" w14:textId="4BAAB672" w:rsidR="00E7480B" w:rsidRPr="00521B14" w:rsidRDefault="00E7480B" w:rsidP="00E7480B">
      <w:pPr>
        <w:pStyle w:val="BodyText"/>
        <w:numPr>
          <w:ilvl w:val="0"/>
          <w:numId w:val="14"/>
        </w:numPr>
        <w:rPr>
          <w:color w:val="auto"/>
        </w:rPr>
      </w:pPr>
      <w:r w:rsidRPr="00521B14">
        <w:rPr>
          <w:color w:val="auto"/>
        </w:rPr>
        <w:t>other required attachments</w:t>
      </w:r>
      <w:r w:rsidR="00D45AC1" w:rsidRPr="00521B14">
        <w:rPr>
          <w:color w:val="auto"/>
        </w:rPr>
        <w:t xml:space="preserve"> as outlined in the GOGs</w:t>
      </w:r>
      <w:r w:rsidR="00C3000B">
        <w:rPr>
          <w:color w:val="auto"/>
        </w:rPr>
        <w:t>.</w:t>
      </w:r>
    </w:p>
    <w:p w14:paraId="3EFC2ABB" w14:textId="77777777" w:rsidR="00E17D64" w:rsidRPr="00E906AF" w:rsidRDefault="00E17D64" w:rsidP="00E17D64">
      <w:pPr>
        <w:pStyle w:val="Heading1"/>
        <w:spacing w:before="240"/>
        <w:rPr>
          <w:rFonts w:asciiTheme="majorHAnsi" w:hAnsiTheme="majorHAnsi" w:cstheme="majorHAnsi"/>
        </w:rPr>
      </w:pPr>
      <w:r w:rsidRPr="00E906AF">
        <w:rPr>
          <w:rFonts w:asciiTheme="majorHAnsi" w:hAnsiTheme="majorHAnsi" w:cstheme="majorHAnsi"/>
        </w:rPr>
        <w:t>Assessment Criteria</w:t>
      </w:r>
    </w:p>
    <w:p w14:paraId="4238597A" w14:textId="77777777" w:rsidR="00E7480B" w:rsidRPr="00521B14" w:rsidRDefault="00E7480B" w:rsidP="00F85F98">
      <w:pPr>
        <w:pStyle w:val="BodyText"/>
        <w:rPr>
          <w:color w:val="auto"/>
        </w:rPr>
      </w:pPr>
      <w:r w:rsidRPr="00521B14">
        <w:rPr>
          <w:color w:val="auto"/>
        </w:rPr>
        <w:t>Each applicant was required to address the following selection criteria:</w:t>
      </w:r>
    </w:p>
    <w:p w14:paraId="06CD71D8" w14:textId="77777777" w:rsidR="00094EEB" w:rsidRPr="00521B14" w:rsidRDefault="00094EEB" w:rsidP="00094EEB">
      <w:pPr>
        <w:pStyle w:val="BodyText"/>
        <w:rPr>
          <w:b/>
          <w:color w:val="auto"/>
        </w:rPr>
      </w:pPr>
      <w:r w:rsidRPr="00521B14">
        <w:rPr>
          <w:b/>
          <w:color w:val="auto"/>
        </w:rPr>
        <w:t>Criterion 1 – Specialist elder abuse units</w:t>
      </w:r>
    </w:p>
    <w:p w14:paraId="12951AC0" w14:textId="77777777" w:rsidR="00F85F98" w:rsidRPr="00521B14" w:rsidRDefault="00094EEB" w:rsidP="00094EEB">
      <w:pPr>
        <w:pStyle w:val="BodyText"/>
        <w:rPr>
          <w:color w:val="auto"/>
        </w:rPr>
      </w:pPr>
      <w:r w:rsidRPr="00521B14">
        <w:rPr>
          <w:color w:val="auto"/>
        </w:rPr>
        <w:t>Provide a description of how your organisation will continue to deliver either a specialist elder abuse unit (SEAU), health justice partnership (HJP) or case management and mediation service (CMMS) in accordance with the requirements of the grant.</w:t>
      </w:r>
    </w:p>
    <w:p w14:paraId="7D3002D3" w14:textId="77777777" w:rsidR="00094EEB" w:rsidRPr="00521B14" w:rsidRDefault="00094EEB" w:rsidP="00094EEB">
      <w:pPr>
        <w:pStyle w:val="BodyText"/>
        <w:rPr>
          <w:b/>
          <w:color w:val="auto"/>
        </w:rPr>
      </w:pPr>
      <w:r w:rsidRPr="00521B14">
        <w:rPr>
          <w:b/>
          <w:color w:val="auto"/>
        </w:rPr>
        <w:t>Criterion 2 – Service Delivery Model</w:t>
      </w:r>
    </w:p>
    <w:p w14:paraId="35E95901" w14:textId="77777777" w:rsidR="00094EEB" w:rsidRPr="00521B14" w:rsidRDefault="00094EEB" w:rsidP="00094EEB">
      <w:pPr>
        <w:pStyle w:val="BodyText"/>
        <w:rPr>
          <w:color w:val="auto"/>
        </w:rPr>
      </w:pPr>
      <w:r w:rsidRPr="00521B14">
        <w:rPr>
          <w:color w:val="auto"/>
        </w:rPr>
        <w:t>Explain how your organisation’s service delivery model will continue to incorporate effective partnerships, linkages and referral pathways that will achieve positive outcomes for the target group.</w:t>
      </w:r>
    </w:p>
    <w:p w14:paraId="54085B0C" w14:textId="77777777" w:rsidR="00094EEB" w:rsidRPr="00521B14" w:rsidRDefault="00094EEB" w:rsidP="00094EEB">
      <w:pPr>
        <w:pStyle w:val="BodyText"/>
        <w:rPr>
          <w:b/>
          <w:color w:val="auto"/>
        </w:rPr>
      </w:pPr>
      <w:r w:rsidRPr="00521B14">
        <w:rPr>
          <w:b/>
          <w:color w:val="auto"/>
        </w:rPr>
        <w:t>Criterion 3 – Capacity and Capability</w:t>
      </w:r>
    </w:p>
    <w:p w14:paraId="5F99B379" w14:textId="77777777" w:rsidR="00094EEB" w:rsidRPr="00521B14" w:rsidRDefault="00094EEB" w:rsidP="00094EEB">
      <w:pPr>
        <w:pStyle w:val="BodyText"/>
        <w:rPr>
          <w:color w:val="auto"/>
        </w:rPr>
      </w:pPr>
      <w:r w:rsidRPr="00521B14">
        <w:rPr>
          <w:color w:val="auto"/>
        </w:rPr>
        <w:t>Demonstrate your organisation’s capacity and staff capability to effectively deliver the grant activity to the target group.</w:t>
      </w:r>
    </w:p>
    <w:p w14:paraId="26871A2D" w14:textId="281BB48D" w:rsidR="00F85F98" w:rsidRPr="00521B14" w:rsidRDefault="00F85F98" w:rsidP="00F85F98">
      <w:pPr>
        <w:pStyle w:val="BodyText"/>
        <w:rPr>
          <w:color w:val="auto"/>
        </w:rPr>
      </w:pPr>
      <w:r w:rsidRPr="00521B14">
        <w:rPr>
          <w:color w:val="auto"/>
        </w:rPr>
        <w:t xml:space="preserve">Preferred applicants were identified based on the strength of their responses to the selection </w:t>
      </w:r>
      <w:r w:rsidR="00E7480B" w:rsidRPr="00521B14">
        <w:rPr>
          <w:color w:val="auto"/>
        </w:rPr>
        <w:t xml:space="preserve">criterion </w:t>
      </w:r>
      <w:r w:rsidRPr="00521B14">
        <w:rPr>
          <w:color w:val="auto"/>
        </w:rPr>
        <w:t xml:space="preserve">and their demonstrated ability to meet the grant requirements outlined in the </w:t>
      </w:r>
      <w:r w:rsidR="00982101" w:rsidRPr="00521B14">
        <w:rPr>
          <w:color w:val="auto"/>
        </w:rPr>
        <w:t>GOGs</w:t>
      </w:r>
      <w:r w:rsidRPr="00521B14">
        <w:rPr>
          <w:color w:val="auto"/>
        </w:rPr>
        <w:t>.</w:t>
      </w:r>
    </w:p>
    <w:p w14:paraId="28B2A1D0" w14:textId="77777777" w:rsidR="00E906AF" w:rsidRDefault="00E906AF" w:rsidP="00F85F98">
      <w:pPr>
        <w:rPr>
          <w:rFonts w:ascii="Arial" w:eastAsiaTheme="majorEastAsia" w:hAnsi="Arial" w:cs="Arial"/>
          <w:bCs/>
          <w:color w:val="auto"/>
          <w:sz w:val="36"/>
          <w:szCs w:val="28"/>
        </w:rPr>
      </w:pPr>
    </w:p>
    <w:p w14:paraId="0B6AEE9B" w14:textId="77777777" w:rsidR="00E906AF" w:rsidRDefault="00E906AF" w:rsidP="00F85F98">
      <w:pPr>
        <w:rPr>
          <w:rFonts w:ascii="Arial" w:eastAsiaTheme="majorEastAsia" w:hAnsi="Arial" w:cs="Arial"/>
          <w:bCs/>
          <w:color w:val="auto"/>
          <w:sz w:val="36"/>
          <w:szCs w:val="28"/>
        </w:rPr>
      </w:pPr>
    </w:p>
    <w:p w14:paraId="58F4EE9F" w14:textId="77777777" w:rsidR="00E906AF" w:rsidRDefault="00E906AF" w:rsidP="00F85F98">
      <w:pPr>
        <w:rPr>
          <w:rFonts w:ascii="Arial" w:eastAsiaTheme="majorEastAsia" w:hAnsi="Arial" w:cs="Arial"/>
          <w:bCs/>
          <w:color w:val="auto"/>
          <w:sz w:val="36"/>
          <w:szCs w:val="28"/>
        </w:rPr>
      </w:pPr>
    </w:p>
    <w:p w14:paraId="39632414" w14:textId="77777777" w:rsidR="00E906AF" w:rsidRDefault="00E906AF" w:rsidP="00F85F98">
      <w:pPr>
        <w:rPr>
          <w:rFonts w:ascii="Arial" w:eastAsiaTheme="majorEastAsia" w:hAnsi="Arial" w:cs="Arial"/>
          <w:bCs/>
          <w:color w:val="auto"/>
          <w:sz w:val="36"/>
          <w:szCs w:val="28"/>
        </w:rPr>
      </w:pPr>
    </w:p>
    <w:p w14:paraId="5B4967D6" w14:textId="77777777" w:rsidR="00E906AF" w:rsidRDefault="00E906AF" w:rsidP="00F85F98">
      <w:pPr>
        <w:rPr>
          <w:rFonts w:ascii="Arial" w:eastAsiaTheme="majorEastAsia" w:hAnsi="Arial" w:cs="Arial"/>
          <w:bCs/>
          <w:color w:val="auto"/>
          <w:sz w:val="36"/>
          <w:szCs w:val="28"/>
        </w:rPr>
      </w:pPr>
    </w:p>
    <w:p w14:paraId="1BF0117D" w14:textId="77777777" w:rsidR="00E906AF" w:rsidRDefault="00E906AF">
      <w:pPr>
        <w:spacing w:line="240" w:lineRule="auto"/>
        <w:rPr>
          <w:rFonts w:ascii="Arial" w:eastAsiaTheme="majorEastAsia" w:hAnsi="Arial" w:cs="Arial"/>
          <w:bCs/>
          <w:color w:val="auto"/>
          <w:sz w:val="36"/>
          <w:szCs w:val="28"/>
        </w:rPr>
      </w:pPr>
      <w:r>
        <w:rPr>
          <w:rFonts w:ascii="Arial" w:eastAsiaTheme="majorEastAsia" w:hAnsi="Arial" w:cs="Arial"/>
          <w:bCs/>
          <w:color w:val="auto"/>
          <w:sz w:val="36"/>
          <w:szCs w:val="28"/>
        </w:rPr>
        <w:br w:type="page"/>
      </w:r>
    </w:p>
    <w:p w14:paraId="2803F56F" w14:textId="1E040993" w:rsidR="00F85F98" w:rsidRPr="00E906AF" w:rsidRDefault="00F85F98" w:rsidP="00F85F98">
      <w:pPr>
        <w:rPr>
          <w:rFonts w:asciiTheme="majorHAnsi" w:eastAsiaTheme="majorEastAsia" w:hAnsiTheme="majorHAnsi" w:cstheme="majorHAnsi"/>
          <w:bCs/>
          <w:color w:val="CF0A2C" w:themeColor="accent1"/>
          <w:sz w:val="36"/>
          <w:szCs w:val="28"/>
        </w:rPr>
      </w:pPr>
      <w:r w:rsidRPr="00E906AF">
        <w:rPr>
          <w:rFonts w:asciiTheme="majorHAnsi" w:eastAsiaTheme="majorEastAsia" w:hAnsiTheme="majorHAnsi" w:cstheme="majorHAnsi"/>
          <w:bCs/>
          <w:color w:val="CF0A2C" w:themeColor="accent1"/>
          <w:sz w:val="36"/>
          <w:szCs w:val="28"/>
        </w:rPr>
        <w:lastRenderedPageBreak/>
        <w:t>Selection Results</w:t>
      </w:r>
    </w:p>
    <w:p w14:paraId="3AEB68EF" w14:textId="639E48FD" w:rsidR="00F85F98" w:rsidRPr="00521B14" w:rsidRDefault="003969FD" w:rsidP="00F85F98">
      <w:pPr>
        <w:pStyle w:val="BodyText"/>
        <w:rPr>
          <w:color w:val="auto"/>
        </w:rPr>
      </w:pPr>
      <w:r>
        <w:rPr>
          <w:color w:val="auto"/>
        </w:rPr>
        <w:t>Eleven (</w:t>
      </w:r>
      <w:r w:rsidR="009914FE" w:rsidRPr="00521B14">
        <w:rPr>
          <w:color w:val="auto"/>
        </w:rPr>
        <w:t>11</w:t>
      </w:r>
      <w:r>
        <w:rPr>
          <w:color w:val="auto"/>
        </w:rPr>
        <w:t>)</w:t>
      </w:r>
      <w:r w:rsidR="00F85F98" w:rsidRPr="00521B14">
        <w:rPr>
          <w:color w:val="auto"/>
        </w:rPr>
        <w:t xml:space="preserve"> organisations were selected to deliver</w:t>
      </w:r>
      <w:r w:rsidR="00563F88" w:rsidRPr="00521B14">
        <w:rPr>
          <w:color w:val="auto"/>
        </w:rPr>
        <w:t xml:space="preserve"> the</w:t>
      </w:r>
      <w:r w:rsidR="00F85F98" w:rsidRPr="00521B14">
        <w:rPr>
          <w:color w:val="auto"/>
        </w:rPr>
        <w:t xml:space="preserve"> </w:t>
      </w:r>
      <w:r w:rsidR="00982101" w:rsidRPr="00521B14">
        <w:rPr>
          <w:color w:val="auto"/>
        </w:rPr>
        <w:t xml:space="preserve">12 </w:t>
      </w:r>
      <w:r w:rsidR="00094EEB" w:rsidRPr="00521B14">
        <w:rPr>
          <w:color w:val="auto"/>
        </w:rPr>
        <w:t>Specialist Elder Abuse Services</w:t>
      </w:r>
      <w:r w:rsidR="00F85F98" w:rsidRPr="00521B14">
        <w:rPr>
          <w:color w:val="auto"/>
        </w:rPr>
        <w:t>.</w:t>
      </w:r>
    </w:p>
    <w:p w14:paraId="4E3BEB13" w14:textId="77777777" w:rsidR="00E906AF" w:rsidRDefault="00F85F98" w:rsidP="00E906AF">
      <w:pPr>
        <w:pStyle w:val="BodyText"/>
        <w:rPr>
          <w:color w:val="auto"/>
        </w:rPr>
      </w:pPr>
      <w:r w:rsidRPr="00521B14">
        <w:rPr>
          <w:color w:val="auto"/>
        </w:rPr>
        <w:t xml:space="preserve">The selected </w:t>
      </w:r>
      <w:r w:rsidR="00094EEB" w:rsidRPr="00521B14">
        <w:rPr>
          <w:color w:val="auto"/>
        </w:rPr>
        <w:t>organisation</w:t>
      </w:r>
      <w:r w:rsidRPr="00521B14">
        <w:rPr>
          <w:color w:val="auto"/>
        </w:rPr>
        <w:t xml:space="preserve">s provided strong responses to the selection criteria and demonstrated their ability to meet the </w:t>
      </w:r>
      <w:r w:rsidR="0034044F" w:rsidRPr="00521B14">
        <w:rPr>
          <w:color w:val="auto"/>
        </w:rPr>
        <w:t>eligibility</w:t>
      </w:r>
      <w:r w:rsidRPr="00521B14">
        <w:rPr>
          <w:color w:val="auto"/>
        </w:rPr>
        <w:t xml:space="preserve"> requirements outlined in the </w:t>
      </w:r>
      <w:r w:rsidR="00982101" w:rsidRPr="00521B14">
        <w:rPr>
          <w:color w:val="auto"/>
        </w:rPr>
        <w:t>GOGs</w:t>
      </w:r>
      <w:r w:rsidRPr="00521B14">
        <w:rPr>
          <w:color w:val="auto"/>
        </w:rPr>
        <w:t xml:space="preserve">. </w:t>
      </w:r>
      <w:r w:rsidRPr="00521B14">
        <w:rPr>
          <w:color w:val="auto"/>
          <w:szCs w:val="22"/>
        </w:rPr>
        <w:t>Further detail about what constituted a strong response to e</w:t>
      </w:r>
      <w:r w:rsidR="00E906AF">
        <w:rPr>
          <w:color w:val="auto"/>
          <w:szCs w:val="22"/>
        </w:rPr>
        <w:t>ach criterion is provided below</w:t>
      </w:r>
    </w:p>
    <w:p w14:paraId="5A34265F" w14:textId="4409FD01" w:rsidR="00F85F98" w:rsidRPr="00E906AF" w:rsidRDefault="00094EEB" w:rsidP="00E906AF">
      <w:pPr>
        <w:pStyle w:val="BodyText"/>
        <w:rPr>
          <w:rFonts w:asciiTheme="majorHAnsi" w:hAnsiTheme="majorHAnsi" w:cstheme="majorHAnsi"/>
          <w:b/>
          <w:color w:val="auto"/>
          <w:sz w:val="24"/>
          <w:szCs w:val="24"/>
        </w:rPr>
      </w:pPr>
      <w:r w:rsidRPr="00E906AF">
        <w:rPr>
          <w:rFonts w:asciiTheme="majorHAnsi" w:hAnsiTheme="majorHAnsi" w:cstheme="majorHAnsi"/>
          <w:b/>
          <w:color w:val="auto"/>
          <w:sz w:val="24"/>
          <w:szCs w:val="24"/>
        </w:rPr>
        <w:t>Criterion 1 – Specialist elder abuse units</w:t>
      </w:r>
    </w:p>
    <w:p w14:paraId="1DB0E6C0" w14:textId="77777777" w:rsidR="00F85F98" w:rsidRPr="00521B14" w:rsidRDefault="00094EEB" w:rsidP="00F85F98">
      <w:pPr>
        <w:pStyle w:val="BodyText"/>
        <w:spacing w:before="60"/>
        <w:rPr>
          <w:color w:val="auto"/>
        </w:rPr>
      </w:pPr>
      <w:r w:rsidRPr="00521B14">
        <w:rPr>
          <w:color w:val="auto"/>
        </w:rPr>
        <w:t>Provide a description of how your organisation will continue to deliver either a specialist elder abuse unit (SEAU), health justice partnership (HJP) or case management and mediation service (CMMS) in accordance with the requirements of the grant</w:t>
      </w:r>
      <w:r w:rsidR="00F85F98" w:rsidRPr="00521B14">
        <w:rPr>
          <w:color w:val="auto"/>
        </w:rPr>
        <w:t>.</w:t>
      </w:r>
    </w:p>
    <w:tbl>
      <w:tblPr>
        <w:tblStyle w:val="CGHTableBanded"/>
        <w:tblW w:w="0" w:type="auto"/>
        <w:tblLook w:val="04A0" w:firstRow="1" w:lastRow="0" w:firstColumn="1" w:lastColumn="0" w:noHBand="0" w:noVBand="1"/>
      </w:tblPr>
      <w:tblGrid>
        <w:gridCol w:w="4817"/>
        <w:gridCol w:w="4821"/>
      </w:tblGrid>
      <w:tr w:rsidR="00521B14" w:rsidRPr="00521B14" w14:paraId="74C007D8" w14:textId="77777777" w:rsidTr="00DF5C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tcW w:w="4817" w:type="dxa"/>
            <w:vAlign w:val="center"/>
          </w:tcPr>
          <w:p w14:paraId="26911E3B" w14:textId="77777777" w:rsidR="00F85F98" w:rsidRPr="00521B14" w:rsidRDefault="00F85F98" w:rsidP="00DF5C88">
            <w:pPr>
              <w:spacing w:line="240" w:lineRule="auto"/>
              <w:ind w:left="57" w:right="57"/>
              <w:rPr>
                <w:b/>
                <w:color w:val="auto"/>
              </w:rPr>
            </w:pPr>
            <w:r w:rsidRPr="00521B14">
              <w:rPr>
                <w:b/>
                <w:color w:val="auto"/>
              </w:rPr>
              <w:t>Strength</w:t>
            </w:r>
          </w:p>
        </w:tc>
        <w:tc>
          <w:tcPr>
            <w:tcW w:w="4821" w:type="dxa"/>
            <w:vAlign w:val="center"/>
          </w:tcPr>
          <w:p w14:paraId="2841860A" w14:textId="77777777" w:rsidR="00F85F98" w:rsidRPr="00521B14" w:rsidRDefault="00F85F98" w:rsidP="00DF5C88">
            <w:pPr>
              <w:spacing w:line="240" w:lineRule="auto"/>
              <w:ind w:left="57" w:right="57"/>
              <w:rPr>
                <w:b/>
                <w:color w:val="auto"/>
              </w:rPr>
            </w:pPr>
            <w:r w:rsidRPr="00521B14">
              <w:rPr>
                <w:b/>
                <w:color w:val="auto"/>
              </w:rPr>
              <w:t>Example</w:t>
            </w:r>
          </w:p>
        </w:tc>
      </w:tr>
      <w:tr w:rsidR="00521B14" w:rsidRPr="00521B14" w14:paraId="33295AC3" w14:textId="77777777" w:rsidTr="00964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1"/>
        </w:trPr>
        <w:tc>
          <w:tcPr>
            <w:tcW w:w="4817" w:type="dxa"/>
            <w:vAlign w:val="center"/>
          </w:tcPr>
          <w:p w14:paraId="05F9DDFC" w14:textId="0A7E9484" w:rsidR="00F85F98" w:rsidRPr="00521B14" w:rsidRDefault="00F85F98" w:rsidP="006B5D63">
            <w:pPr>
              <w:spacing w:before="120" w:after="120" w:line="240" w:lineRule="auto"/>
              <w:ind w:left="113" w:right="57"/>
              <w:rPr>
                <w:rFonts w:ascii="Arial" w:eastAsia="Arial" w:hAnsi="Arial" w:cs="Arial"/>
                <w:color w:val="auto"/>
                <w:szCs w:val="22"/>
              </w:rPr>
            </w:pPr>
            <w:r w:rsidRPr="00521B14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 w:rsidR="00F76062" w:rsidRPr="00521B14">
              <w:rPr>
                <w:color w:val="auto"/>
              </w:rPr>
              <w:t xml:space="preserve">were required to </w:t>
            </w:r>
            <w:r w:rsidR="00094EEB" w:rsidRPr="00521B14">
              <w:rPr>
                <w:color w:val="auto"/>
              </w:rPr>
              <w:t>explain how their</w:t>
            </w:r>
            <w:r w:rsidR="00F76062" w:rsidRPr="00521B14" w:rsidDel="00F76062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094EEB" w:rsidRPr="00521B14">
              <w:rPr>
                <w:rFonts w:ascii="Arial" w:eastAsia="Arial" w:hAnsi="Arial" w:cs="Arial"/>
                <w:color w:val="auto"/>
                <w:szCs w:val="22"/>
              </w:rPr>
              <w:t xml:space="preserve">organisation </w:t>
            </w:r>
            <w:r w:rsidR="006B5D63">
              <w:rPr>
                <w:rFonts w:ascii="Arial" w:eastAsia="Arial" w:hAnsi="Arial" w:cs="Arial"/>
                <w:color w:val="auto"/>
                <w:szCs w:val="22"/>
              </w:rPr>
              <w:t>would</w:t>
            </w:r>
            <w:r w:rsidR="00094EEB" w:rsidRPr="00521B14">
              <w:rPr>
                <w:rFonts w:ascii="Arial" w:eastAsia="Arial" w:hAnsi="Arial" w:cs="Arial"/>
                <w:color w:val="auto"/>
                <w:szCs w:val="22"/>
              </w:rPr>
              <w:t xml:space="preserve"> use the grant funding to continue developing and implementing the activity</w:t>
            </w:r>
            <w:r w:rsidR="00C3000B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  <w:tc>
          <w:tcPr>
            <w:tcW w:w="4821" w:type="dxa"/>
          </w:tcPr>
          <w:p w14:paraId="799DFC46" w14:textId="165D0EAF" w:rsidR="006B5D63" w:rsidRDefault="00F85F98" w:rsidP="00091BB0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 w:rsidRPr="00521B14">
              <w:rPr>
                <w:rFonts w:ascii="Arial" w:eastAsia="Arial" w:hAnsi="Arial" w:cs="Arial"/>
                <w:color w:val="auto"/>
              </w:rPr>
              <w:t xml:space="preserve">Strong responses </w:t>
            </w:r>
            <w:r w:rsidR="00091BB0">
              <w:rPr>
                <w:rFonts w:ascii="Arial" w:eastAsia="Arial" w:hAnsi="Arial" w:cs="Arial"/>
                <w:color w:val="auto"/>
              </w:rPr>
              <w:t>demonstrated</w:t>
            </w:r>
            <w:r w:rsidR="00982101" w:rsidRPr="00521B14">
              <w:rPr>
                <w:rFonts w:ascii="Arial" w:eastAsia="Arial" w:hAnsi="Arial" w:cs="Arial"/>
                <w:color w:val="auto"/>
              </w:rPr>
              <w:t xml:space="preserve"> </w:t>
            </w:r>
            <w:r w:rsidR="00091BB0">
              <w:rPr>
                <w:rFonts w:ascii="Arial" w:eastAsia="Arial" w:hAnsi="Arial" w:cs="Arial"/>
                <w:color w:val="auto"/>
              </w:rPr>
              <w:t>a</w:t>
            </w:r>
            <w:r w:rsidR="00964B91">
              <w:rPr>
                <w:rFonts w:ascii="Arial" w:eastAsia="Arial" w:hAnsi="Arial" w:cs="Arial"/>
                <w:color w:val="auto"/>
              </w:rPr>
              <w:t xml:space="preserve"> thorough </w:t>
            </w:r>
            <w:r w:rsidR="00982101" w:rsidRPr="00521B14">
              <w:rPr>
                <w:rFonts w:ascii="Arial" w:eastAsia="Arial" w:hAnsi="Arial" w:cs="Arial"/>
                <w:color w:val="auto"/>
              </w:rPr>
              <w:t>understanding the grant objective and how their service w</w:t>
            </w:r>
            <w:r w:rsidR="00E17D64">
              <w:rPr>
                <w:rFonts w:ascii="Arial" w:eastAsia="Arial" w:hAnsi="Arial" w:cs="Arial"/>
                <w:color w:val="auto"/>
              </w:rPr>
              <w:t>ould</w:t>
            </w:r>
            <w:r w:rsidR="00982101" w:rsidRPr="00521B14">
              <w:rPr>
                <w:rFonts w:ascii="Arial" w:eastAsia="Arial" w:hAnsi="Arial" w:cs="Arial"/>
                <w:color w:val="auto"/>
              </w:rPr>
              <w:t xml:space="preserve"> use funds to assist older Australians experiencing or at risk of elder abuse.</w:t>
            </w:r>
            <w:r w:rsidR="00586F0D" w:rsidRPr="00521B14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4726B638" w14:textId="29032B39" w:rsidR="00F85F98" w:rsidRPr="00521B14" w:rsidRDefault="00586F0D" w:rsidP="00E17D64">
            <w:pPr>
              <w:spacing w:before="60" w:after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 w:rsidRPr="00521B14">
              <w:rPr>
                <w:rFonts w:ascii="Arial" w:eastAsia="Arial" w:hAnsi="Arial" w:cs="Arial"/>
                <w:color w:val="auto"/>
              </w:rPr>
              <w:t>Organisations were able to clearly articulate how they would maintain existing services and what activities would be undertaken within the funding sought.</w:t>
            </w:r>
          </w:p>
        </w:tc>
      </w:tr>
      <w:tr w:rsidR="00521B14" w:rsidRPr="00521B14" w14:paraId="109F7E10" w14:textId="77777777" w:rsidTr="003A6FF6">
        <w:trPr>
          <w:trHeight w:val="1962"/>
        </w:trPr>
        <w:tc>
          <w:tcPr>
            <w:tcW w:w="4817" w:type="dxa"/>
            <w:vAlign w:val="center"/>
          </w:tcPr>
          <w:p w14:paraId="548BAB34" w14:textId="4878D9A1" w:rsidR="00F85F98" w:rsidRPr="00521B14" w:rsidRDefault="00F85F98" w:rsidP="006B5D63">
            <w:pPr>
              <w:spacing w:before="120" w:after="120" w:line="240" w:lineRule="auto"/>
              <w:ind w:left="113" w:right="57"/>
              <w:rPr>
                <w:color w:val="auto"/>
                <w:szCs w:val="22"/>
              </w:rPr>
            </w:pPr>
            <w:r w:rsidRPr="00521B14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 w:rsidR="00F76062" w:rsidRPr="00521B14">
              <w:rPr>
                <w:color w:val="auto"/>
              </w:rPr>
              <w:t xml:space="preserve">were required to </w:t>
            </w:r>
            <w:r w:rsidR="00094EEB" w:rsidRPr="00521B14">
              <w:rPr>
                <w:color w:val="auto"/>
              </w:rPr>
              <w:t xml:space="preserve">explain how their </w:t>
            </w:r>
            <w:r w:rsidR="00094EEB" w:rsidRPr="00521B14">
              <w:rPr>
                <w:rFonts w:ascii="Arial" w:eastAsia="Arial" w:hAnsi="Arial" w:cs="Arial"/>
                <w:color w:val="auto"/>
                <w:szCs w:val="22"/>
              </w:rPr>
              <w:t xml:space="preserve">organisation </w:t>
            </w:r>
            <w:r w:rsidR="006B5D63">
              <w:rPr>
                <w:rFonts w:ascii="Arial" w:eastAsia="Arial" w:hAnsi="Arial" w:cs="Arial"/>
                <w:color w:val="auto"/>
                <w:szCs w:val="22"/>
              </w:rPr>
              <w:t>would</w:t>
            </w:r>
            <w:r w:rsidR="00094EEB" w:rsidRPr="00521B14">
              <w:rPr>
                <w:rFonts w:ascii="Arial" w:eastAsia="Arial" w:hAnsi="Arial" w:cs="Arial"/>
                <w:color w:val="auto"/>
                <w:szCs w:val="22"/>
              </w:rPr>
              <w:t xml:space="preserve"> measure and evaluate outcomes for the target group and meet reporting requirements.</w:t>
            </w:r>
          </w:p>
        </w:tc>
        <w:tc>
          <w:tcPr>
            <w:tcW w:w="4821" w:type="dxa"/>
          </w:tcPr>
          <w:p w14:paraId="1613CCAB" w14:textId="08833B15" w:rsidR="00F85F98" w:rsidRPr="00521B14" w:rsidRDefault="00F85F98" w:rsidP="00091BB0">
            <w:pPr>
              <w:spacing w:before="120" w:line="240" w:lineRule="auto"/>
              <w:ind w:left="113" w:right="57"/>
              <w:rPr>
                <w:color w:val="auto"/>
                <w:szCs w:val="22"/>
              </w:rPr>
            </w:pPr>
            <w:r w:rsidRPr="00521B14">
              <w:rPr>
                <w:rFonts w:ascii="Arial" w:eastAsia="Arial" w:hAnsi="Arial" w:cs="Arial"/>
                <w:color w:val="auto"/>
              </w:rPr>
              <w:t xml:space="preserve">Strong responses </w:t>
            </w:r>
            <w:r w:rsidR="00F76062" w:rsidRPr="00521B14">
              <w:rPr>
                <w:rFonts w:ascii="Arial" w:eastAsia="Arial" w:hAnsi="Arial" w:cs="Arial"/>
                <w:color w:val="auto"/>
              </w:rPr>
              <w:t>described</w:t>
            </w:r>
            <w:r w:rsidR="00091BB0">
              <w:rPr>
                <w:rFonts w:ascii="Arial" w:eastAsia="Arial" w:hAnsi="Arial" w:cs="Arial"/>
                <w:color w:val="auto"/>
              </w:rPr>
              <w:t xml:space="preserve"> h</w:t>
            </w:r>
            <w:r w:rsidR="00982101" w:rsidRPr="00521B14">
              <w:rPr>
                <w:rFonts w:ascii="Arial" w:eastAsia="Arial" w:hAnsi="Arial" w:cs="Arial"/>
                <w:color w:val="auto"/>
              </w:rPr>
              <w:t xml:space="preserve">ow they have measured and evaluated outcomes as part of the Elder Abuse Service Trials and clearly outlined their evaluation methodology for </w:t>
            </w:r>
            <w:r w:rsidR="00AC5BE9" w:rsidRPr="00521B14">
              <w:rPr>
                <w:rFonts w:ascii="Arial" w:eastAsia="Arial" w:hAnsi="Arial" w:cs="Arial"/>
                <w:color w:val="auto"/>
              </w:rPr>
              <w:t>continuing the</w:t>
            </w:r>
            <w:r w:rsidR="00982101" w:rsidRPr="00521B14">
              <w:rPr>
                <w:rFonts w:ascii="Arial" w:eastAsia="Arial" w:hAnsi="Arial" w:cs="Arial"/>
                <w:color w:val="auto"/>
              </w:rPr>
              <w:t xml:space="preserve"> Elder Abuse Specialist Service</w:t>
            </w:r>
            <w:r w:rsidR="006B5D63">
              <w:rPr>
                <w:rFonts w:ascii="Arial" w:eastAsia="Arial" w:hAnsi="Arial" w:cs="Arial"/>
                <w:color w:val="auto"/>
              </w:rPr>
              <w:t>s</w:t>
            </w:r>
            <w:r w:rsidR="00982101" w:rsidRPr="00521B14">
              <w:rPr>
                <w:rFonts w:ascii="Arial" w:eastAsia="Arial" w:hAnsi="Arial" w:cs="Arial"/>
                <w:color w:val="auto"/>
              </w:rPr>
              <w:t>.</w:t>
            </w:r>
            <w:r w:rsidR="00586F0D" w:rsidRPr="00521B14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</w:tbl>
    <w:p w14:paraId="51B3D94B" w14:textId="77777777" w:rsidR="00A24F65" w:rsidRPr="00521B14" w:rsidRDefault="00F85F98" w:rsidP="00F85F98">
      <w:pPr>
        <w:pStyle w:val="Heading2"/>
        <w:rPr>
          <w:color w:val="auto"/>
        </w:rPr>
      </w:pPr>
      <w:r w:rsidRPr="00521B14">
        <w:rPr>
          <w:color w:val="auto"/>
        </w:rPr>
        <w:t xml:space="preserve"> </w:t>
      </w:r>
    </w:p>
    <w:p w14:paraId="7BA3F5E6" w14:textId="77777777" w:rsidR="00F85F98" w:rsidRPr="00521B14" w:rsidRDefault="00A24F65" w:rsidP="00F85F98">
      <w:pPr>
        <w:pStyle w:val="Heading2"/>
        <w:spacing w:before="0"/>
        <w:rPr>
          <w:color w:val="auto"/>
        </w:rPr>
      </w:pPr>
      <w:r w:rsidRPr="00521B14">
        <w:rPr>
          <w:color w:val="auto"/>
        </w:rPr>
        <w:br w:type="column"/>
      </w:r>
      <w:r w:rsidR="00094EEB" w:rsidRPr="00521B14">
        <w:rPr>
          <w:color w:val="auto"/>
        </w:rPr>
        <w:lastRenderedPageBreak/>
        <w:t>Criterion 2 – Service Delivery Model</w:t>
      </w:r>
    </w:p>
    <w:p w14:paraId="5C1D68B9" w14:textId="77777777" w:rsidR="00F85F98" w:rsidRPr="00521B14" w:rsidRDefault="00094EEB" w:rsidP="00F85F98">
      <w:pPr>
        <w:pStyle w:val="BodyText"/>
        <w:spacing w:before="60"/>
        <w:rPr>
          <w:color w:val="auto"/>
        </w:rPr>
      </w:pPr>
      <w:r w:rsidRPr="00521B14">
        <w:rPr>
          <w:color w:val="auto"/>
        </w:rPr>
        <w:t>Explain how your organisation’s service delivery model will continue to incorporate effective partnerships, linkages and referral pathways that will achieve positive outcomes for the target group.</w:t>
      </w:r>
    </w:p>
    <w:tbl>
      <w:tblPr>
        <w:tblStyle w:val="CGHTableBanded"/>
        <w:tblW w:w="0" w:type="auto"/>
        <w:tblLook w:val="04A0" w:firstRow="1" w:lastRow="0" w:firstColumn="1" w:lastColumn="0" w:noHBand="0" w:noVBand="1"/>
      </w:tblPr>
      <w:tblGrid>
        <w:gridCol w:w="4817"/>
        <w:gridCol w:w="4821"/>
      </w:tblGrid>
      <w:tr w:rsidR="00521B14" w:rsidRPr="00521B14" w14:paraId="757985E3" w14:textId="77777777" w:rsidTr="00DF5C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tcW w:w="4817" w:type="dxa"/>
            <w:vAlign w:val="center"/>
          </w:tcPr>
          <w:p w14:paraId="6F4757E6" w14:textId="77777777" w:rsidR="00F85F98" w:rsidRPr="00521B14" w:rsidRDefault="00F85F98" w:rsidP="00DF5C88">
            <w:pPr>
              <w:spacing w:line="240" w:lineRule="auto"/>
              <w:ind w:left="57" w:right="57"/>
              <w:rPr>
                <w:b/>
                <w:color w:val="auto"/>
              </w:rPr>
            </w:pPr>
            <w:r w:rsidRPr="00521B14">
              <w:rPr>
                <w:b/>
                <w:color w:val="auto"/>
              </w:rPr>
              <w:t>Strength</w:t>
            </w:r>
          </w:p>
        </w:tc>
        <w:tc>
          <w:tcPr>
            <w:tcW w:w="4821" w:type="dxa"/>
            <w:vAlign w:val="center"/>
          </w:tcPr>
          <w:p w14:paraId="1F03F277" w14:textId="77777777" w:rsidR="00F85F98" w:rsidRPr="00521B14" w:rsidRDefault="00F85F98" w:rsidP="00DF5C88">
            <w:pPr>
              <w:spacing w:line="240" w:lineRule="auto"/>
              <w:ind w:left="57" w:right="57"/>
              <w:rPr>
                <w:b/>
                <w:color w:val="auto"/>
              </w:rPr>
            </w:pPr>
            <w:r w:rsidRPr="00521B14">
              <w:rPr>
                <w:b/>
                <w:color w:val="auto"/>
              </w:rPr>
              <w:t>Example</w:t>
            </w:r>
          </w:p>
        </w:tc>
      </w:tr>
      <w:tr w:rsidR="00521B14" w:rsidRPr="00521B14" w14:paraId="0C25F9B7" w14:textId="77777777" w:rsidTr="00091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7"/>
        </w:trPr>
        <w:tc>
          <w:tcPr>
            <w:tcW w:w="4817" w:type="dxa"/>
            <w:vAlign w:val="center"/>
          </w:tcPr>
          <w:p w14:paraId="52123A51" w14:textId="07ECF77E" w:rsidR="00F85F98" w:rsidRPr="00521B14" w:rsidRDefault="00EE3BA6" w:rsidP="00094EEB">
            <w:pPr>
              <w:spacing w:before="120" w:after="120" w:line="240" w:lineRule="auto"/>
              <w:ind w:left="113" w:right="57"/>
              <w:rPr>
                <w:rFonts w:ascii="Arial" w:eastAsia="Arial" w:hAnsi="Arial" w:cs="Arial"/>
                <w:color w:val="auto"/>
                <w:szCs w:val="22"/>
              </w:rPr>
            </w:pPr>
            <w:r w:rsidRPr="00521B14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 w:rsidRPr="00521B14">
              <w:rPr>
                <w:color w:val="auto"/>
              </w:rPr>
              <w:t xml:space="preserve">were required to </w:t>
            </w:r>
            <w:r w:rsidR="00094EEB" w:rsidRPr="00521B14">
              <w:rPr>
                <w:color w:val="auto"/>
              </w:rPr>
              <w:t>outline their</w:t>
            </w:r>
            <w:r w:rsidRPr="00521B14" w:rsidDel="00F76062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094EEB" w:rsidRPr="00521B14">
              <w:rPr>
                <w:rFonts w:ascii="Arial" w:eastAsia="Arial" w:hAnsi="Arial" w:cs="Arial"/>
                <w:color w:val="auto"/>
                <w:szCs w:val="22"/>
              </w:rPr>
              <w:t>organisation’s approach to forming and maintaining effective co-delivery models and referral linkages with other agencies to achieve positive outcomes for the target group</w:t>
            </w:r>
            <w:r w:rsidR="00C3000B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  <w:tc>
          <w:tcPr>
            <w:tcW w:w="4821" w:type="dxa"/>
          </w:tcPr>
          <w:p w14:paraId="66A97A96" w14:textId="642F8B67" w:rsidR="006B5D63" w:rsidRDefault="002E0AA1" w:rsidP="00091BB0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 w:rsidRPr="00521B14">
              <w:rPr>
                <w:rFonts w:ascii="Arial" w:eastAsia="Arial" w:hAnsi="Arial" w:cs="Arial"/>
                <w:color w:val="auto"/>
              </w:rPr>
              <w:t>Strong responses described</w:t>
            </w:r>
            <w:r w:rsidR="00091BB0">
              <w:rPr>
                <w:rFonts w:ascii="Arial" w:eastAsia="Arial" w:hAnsi="Arial" w:cs="Arial"/>
                <w:color w:val="auto"/>
              </w:rPr>
              <w:t xml:space="preserve"> e</w:t>
            </w:r>
            <w:r w:rsidR="00982101" w:rsidRPr="00521B14">
              <w:rPr>
                <w:rFonts w:ascii="Arial" w:eastAsia="Arial" w:hAnsi="Arial" w:cs="Arial"/>
                <w:color w:val="auto"/>
              </w:rPr>
              <w:t xml:space="preserve">xisting relationships </w:t>
            </w:r>
            <w:r w:rsidR="00E906AF">
              <w:rPr>
                <w:rFonts w:ascii="Arial" w:eastAsia="Arial" w:hAnsi="Arial" w:cs="Arial"/>
                <w:color w:val="auto"/>
              </w:rPr>
              <w:t xml:space="preserve">which </w:t>
            </w:r>
            <w:r w:rsidR="00982101" w:rsidRPr="00521B14">
              <w:rPr>
                <w:rFonts w:ascii="Arial" w:eastAsia="Arial" w:hAnsi="Arial" w:cs="Arial"/>
                <w:color w:val="auto"/>
              </w:rPr>
              <w:t xml:space="preserve">have been developed throughout the </w:t>
            </w:r>
            <w:r w:rsidR="009E103A" w:rsidRPr="00521B14">
              <w:rPr>
                <w:rFonts w:ascii="Arial" w:eastAsia="Arial" w:hAnsi="Arial" w:cs="Arial"/>
                <w:color w:val="auto"/>
              </w:rPr>
              <w:t>S</w:t>
            </w:r>
            <w:r w:rsidR="00982101" w:rsidRPr="00521B14">
              <w:rPr>
                <w:rFonts w:ascii="Arial" w:eastAsia="Arial" w:hAnsi="Arial" w:cs="Arial"/>
                <w:color w:val="auto"/>
              </w:rPr>
              <w:t xml:space="preserve">ervice </w:t>
            </w:r>
            <w:r w:rsidR="009E103A" w:rsidRPr="00521B14">
              <w:rPr>
                <w:rFonts w:ascii="Arial" w:eastAsia="Arial" w:hAnsi="Arial" w:cs="Arial"/>
                <w:color w:val="auto"/>
              </w:rPr>
              <w:t>T</w:t>
            </w:r>
            <w:r w:rsidR="00982101" w:rsidRPr="00521B14">
              <w:rPr>
                <w:rFonts w:ascii="Arial" w:eastAsia="Arial" w:hAnsi="Arial" w:cs="Arial"/>
                <w:color w:val="auto"/>
              </w:rPr>
              <w:t>rial</w:t>
            </w:r>
            <w:r w:rsidR="00202029" w:rsidRPr="00521B14">
              <w:rPr>
                <w:rFonts w:ascii="Arial" w:eastAsia="Arial" w:hAnsi="Arial" w:cs="Arial"/>
                <w:color w:val="auto"/>
              </w:rPr>
              <w:t>s</w:t>
            </w:r>
            <w:r w:rsidR="00982101" w:rsidRPr="00521B14">
              <w:rPr>
                <w:rFonts w:ascii="Arial" w:eastAsia="Arial" w:hAnsi="Arial" w:cs="Arial"/>
                <w:color w:val="auto"/>
              </w:rPr>
              <w:t xml:space="preserve"> and how they would strengthen these existing relationships and establish new relationships if required. </w:t>
            </w:r>
          </w:p>
          <w:p w14:paraId="56AED4C9" w14:textId="6B3EE379" w:rsidR="00F85F98" w:rsidRPr="00521B14" w:rsidRDefault="00982101" w:rsidP="00DF5C88">
            <w:pPr>
              <w:spacing w:before="60" w:after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 w:rsidRPr="00521B14">
              <w:rPr>
                <w:rFonts w:ascii="Arial" w:eastAsia="Arial" w:hAnsi="Arial" w:cs="Arial"/>
                <w:color w:val="auto"/>
              </w:rPr>
              <w:t>Services with a strong history of successful co-delivery and referral linkages were highly commended.</w:t>
            </w:r>
            <w:r w:rsidR="00F85F98" w:rsidRPr="00521B14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  <w:tr w:rsidR="00521B14" w:rsidRPr="00521B14" w14:paraId="5AF9A2AE" w14:textId="77777777" w:rsidTr="003A6FF6">
        <w:trPr>
          <w:trHeight w:val="1817"/>
        </w:trPr>
        <w:tc>
          <w:tcPr>
            <w:tcW w:w="4817" w:type="dxa"/>
            <w:vAlign w:val="center"/>
          </w:tcPr>
          <w:p w14:paraId="27E99B07" w14:textId="4BBC116E" w:rsidR="00F85F98" w:rsidRPr="00521B14" w:rsidRDefault="00EE3BA6" w:rsidP="006B5D63">
            <w:pPr>
              <w:spacing w:before="120" w:after="120" w:line="240" w:lineRule="auto"/>
              <w:ind w:left="113" w:right="57"/>
              <w:rPr>
                <w:color w:val="auto"/>
                <w:szCs w:val="22"/>
              </w:rPr>
            </w:pPr>
            <w:r w:rsidRPr="00521B14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 w:rsidRPr="00521B14">
              <w:rPr>
                <w:color w:val="auto"/>
              </w:rPr>
              <w:t xml:space="preserve">were required to </w:t>
            </w:r>
            <w:r w:rsidR="00587F77" w:rsidRPr="00521B14">
              <w:rPr>
                <w:color w:val="auto"/>
              </w:rPr>
              <w:t>explain how the partner organisations w</w:t>
            </w:r>
            <w:r w:rsidR="006B5D63">
              <w:rPr>
                <w:color w:val="auto"/>
              </w:rPr>
              <w:t>ould</w:t>
            </w:r>
            <w:r w:rsidR="00587F77" w:rsidRPr="00521B14">
              <w:rPr>
                <w:color w:val="auto"/>
              </w:rPr>
              <w:t xml:space="preserve"> support and achieve effective 2-way sharing of information, expertise and co-delivery of a holistic support service for the clients.</w:t>
            </w:r>
          </w:p>
        </w:tc>
        <w:tc>
          <w:tcPr>
            <w:tcW w:w="4821" w:type="dxa"/>
          </w:tcPr>
          <w:p w14:paraId="6730ECCF" w14:textId="6D04DDDF" w:rsidR="00F85F98" w:rsidRPr="00521B14" w:rsidRDefault="002E0AA1" w:rsidP="00091BB0">
            <w:pPr>
              <w:spacing w:before="120" w:line="240" w:lineRule="auto"/>
              <w:ind w:left="113" w:right="57"/>
              <w:rPr>
                <w:color w:val="auto"/>
                <w:szCs w:val="22"/>
              </w:rPr>
            </w:pPr>
            <w:r w:rsidRPr="00521B14">
              <w:rPr>
                <w:rFonts w:ascii="Arial" w:eastAsia="Arial" w:hAnsi="Arial" w:cs="Arial"/>
                <w:color w:val="auto"/>
              </w:rPr>
              <w:t>Strong responses demonstrated</w:t>
            </w:r>
            <w:r w:rsidR="00091BB0">
              <w:rPr>
                <w:rFonts w:ascii="Arial" w:eastAsia="Arial" w:hAnsi="Arial" w:cs="Arial"/>
                <w:color w:val="auto"/>
              </w:rPr>
              <w:t xml:space="preserve"> a</w:t>
            </w:r>
            <w:r w:rsidR="00982101" w:rsidRPr="00521B14">
              <w:rPr>
                <w:rFonts w:ascii="Arial" w:eastAsia="Arial" w:hAnsi="Arial" w:cs="Arial"/>
                <w:color w:val="auto"/>
              </w:rPr>
              <w:t xml:space="preserve">n understanding of the importance of an effective 2-way model and </w:t>
            </w:r>
            <w:r w:rsidR="006B5D63">
              <w:rPr>
                <w:rFonts w:ascii="Arial" w:eastAsia="Arial" w:hAnsi="Arial" w:cs="Arial"/>
                <w:color w:val="auto"/>
              </w:rPr>
              <w:t xml:space="preserve">demonstrated </w:t>
            </w:r>
            <w:r w:rsidR="00586F0D" w:rsidRPr="00521B14">
              <w:rPr>
                <w:rFonts w:ascii="Arial" w:eastAsia="Arial" w:hAnsi="Arial" w:cs="Arial"/>
                <w:color w:val="auto"/>
              </w:rPr>
              <w:t xml:space="preserve">this </w:t>
            </w:r>
            <w:r w:rsidR="006B5D63">
              <w:rPr>
                <w:rFonts w:ascii="Arial" w:eastAsia="Arial" w:hAnsi="Arial" w:cs="Arial"/>
                <w:color w:val="auto"/>
              </w:rPr>
              <w:t>understanding</w:t>
            </w:r>
            <w:r w:rsidR="00982101" w:rsidRPr="00521B14">
              <w:rPr>
                <w:rFonts w:ascii="Arial" w:eastAsia="Arial" w:hAnsi="Arial" w:cs="Arial"/>
                <w:color w:val="auto"/>
              </w:rPr>
              <w:t xml:space="preserve"> with examples of effective partnerships and ongoing support. </w:t>
            </w:r>
          </w:p>
        </w:tc>
      </w:tr>
    </w:tbl>
    <w:p w14:paraId="35E2D31D" w14:textId="77777777" w:rsidR="00AD70E2" w:rsidRPr="00521B14" w:rsidRDefault="00F85F98" w:rsidP="00F85F98">
      <w:pPr>
        <w:pStyle w:val="Heading2"/>
        <w:rPr>
          <w:color w:val="auto"/>
        </w:rPr>
      </w:pPr>
      <w:r w:rsidRPr="00521B14">
        <w:rPr>
          <w:color w:val="auto"/>
        </w:rPr>
        <w:t xml:space="preserve"> </w:t>
      </w:r>
    </w:p>
    <w:p w14:paraId="59C9DA92" w14:textId="77777777" w:rsidR="00F85F98" w:rsidRPr="00521B14" w:rsidRDefault="00FA1F45" w:rsidP="00F85F98">
      <w:pPr>
        <w:pStyle w:val="Heading2"/>
        <w:spacing w:before="0"/>
        <w:rPr>
          <w:color w:val="auto"/>
        </w:rPr>
      </w:pPr>
      <w:r w:rsidRPr="00521B14">
        <w:rPr>
          <w:color w:val="auto"/>
        </w:rPr>
        <w:br w:type="column"/>
      </w:r>
      <w:r w:rsidR="00587F77" w:rsidRPr="00521B14">
        <w:rPr>
          <w:color w:val="auto"/>
        </w:rPr>
        <w:lastRenderedPageBreak/>
        <w:t>Criterion 3 – Capacity and Capability</w:t>
      </w:r>
    </w:p>
    <w:p w14:paraId="2FD3077B" w14:textId="77777777" w:rsidR="00F85F98" w:rsidRPr="00521B14" w:rsidRDefault="00587F77" w:rsidP="00F85F98">
      <w:pPr>
        <w:pStyle w:val="BodyText"/>
        <w:spacing w:before="60"/>
        <w:rPr>
          <w:color w:val="auto"/>
        </w:rPr>
      </w:pPr>
      <w:r w:rsidRPr="00521B14">
        <w:rPr>
          <w:color w:val="auto"/>
        </w:rPr>
        <w:t>Demonstrate your organisation’s capacity and staff capability to effectively deliver the grant activity to the target group.</w:t>
      </w:r>
    </w:p>
    <w:tbl>
      <w:tblPr>
        <w:tblStyle w:val="CGHTableBanded"/>
        <w:tblW w:w="0" w:type="auto"/>
        <w:tblLook w:val="04A0" w:firstRow="1" w:lastRow="0" w:firstColumn="1" w:lastColumn="0" w:noHBand="0" w:noVBand="1"/>
      </w:tblPr>
      <w:tblGrid>
        <w:gridCol w:w="4817"/>
        <w:gridCol w:w="4821"/>
      </w:tblGrid>
      <w:tr w:rsidR="00521B14" w:rsidRPr="00521B14" w14:paraId="6AA1DBF9" w14:textId="77777777" w:rsidTr="00DF5C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tcW w:w="4817" w:type="dxa"/>
            <w:vAlign w:val="center"/>
          </w:tcPr>
          <w:p w14:paraId="4DD2B780" w14:textId="77777777" w:rsidR="00F85F98" w:rsidRPr="00521B14" w:rsidRDefault="00F85F98" w:rsidP="00DF5C88">
            <w:pPr>
              <w:spacing w:line="240" w:lineRule="auto"/>
              <w:ind w:left="57" w:right="57"/>
              <w:rPr>
                <w:b/>
                <w:color w:val="auto"/>
              </w:rPr>
            </w:pPr>
            <w:r w:rsidRPr="00521B14">
              <w:rPr>
                <w:b/>
                <w:color w:val="auto"/>
              </w:rPr>
              <w:t>Strength</w:t>
            </w:r>
          </w:p>
        </w:tc>
        <w:tc>
          <w:tcPr>
            <w:tcW w:w="4821" w:type="dxa"/>
            <w:vAlign w:val="center"/>
          </w:tcPr>
          <w:p w14:paraId="27D67DB9" w14:textId="77777777" w:rsidR="00F85F98" w:rsidRPr="00521B14" w:rsidRDefault="00F85F98" w:rsidP="00DF5C88">
            <w:pPr>
              <w:spacing w:line="240" w:lineRule="auto"/>
              <w:ind w:left="57" w:right="57"/>
              <w:rPr>
                <w:b/>
                <w:color w:val="auto"/>
              </w:rPr>
            </w:pPr>
            <w:r w:rsidRPr="00521B14">
              <w:rPr>
                <w:b/>
                <w:color w:val="auto"/>
              </w:rPr>
              <w:t>Example</w:t>
            </w:r>
          </w:p>
        </w:tc>
      </w:tr>
      <w:tr w:rsidR="00521B14" w:rsidRPr="00521B14" w14:paraId="5B9B4028" w14:textId="77777777" w:rsidTr="00091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2"/>
        </w:trPr>
        <w:tc>
          <w:tcPr>
            <w:tcW w:w="4817" w:type="dxa"/>
            <w:vAlign w:val="center"/>
          </w:tcPr>
          <w:p w14:paraId="5E80E162" w14:textId="731786B3" w:rsidR="00F85F98" w:rsidRPr="00521B14" w:rsidRDefault="00EE3BA6" w:rsidP="00E906AF">
            <w:pPr>
              <w:spacing w:before="120" w:after="120" w:line="240" w:lineRule="auto"/>
              <w:ind w:left="113" w:right="57"/>
              <w:rPr>
                <w:rFonts w:ascii="Arial" w:eastAsia="Arial" w:hAnsi="Arial" w:cs="Arial"/>
                <w:color w:val="auto"/>
                <w:szCs w:val="22"/>
              </w:rPr>
            </w:pPr>
            <w:r w:rsidRPr="00521B14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 w:rsidRPr="00521B14">
              <w:rPr>
                <w:color w:val="auto"/>
              </w:rPr>
              <w:t xml:space="preserve">were required to </w:t>
            </w:r>
            <w:r w:rsidR="009F7E87" w:rsidRPr="00521B14">
              <w:rPr>
                <w:color w:val="auto"/>
              </w:rPr>
              <w:t xml:space="preserve">outline the number of key staff </w:t>
            </w:r>
            <w:r w:rsidR="00E906AF">
              <w:rPr>
                <w:color w:val="auto"/>
              </w:rPr>
              <w:t>who</w:t>
            </w:r>
            <w:r w:rsidR="009F7E87" w:rsidRPr="00521B14">
              <w:rPr>
                <w:color w:val="auto"/>
              </w:rPr>
              <w:t xml:space="preserve"> w</w:t>
            </w:r>
            <w:r w:rsidR="00124C9A">
              <w:rPr>
                <w:color w:val="auto"/>
              </w:rPr>
              <w:t>ould</w:t>
            </w:r>
            <w:r w:rsidR="009F7E87" w:rsidRPr="00521B14">
              <w:rPr>
                <w:color w:val="auto"/>
              </w:rPr>
              <w:t xml:space="preserve"> manage and deliver the organisation’s activity and outline</w:t>
            </w:r>
            <w:r w:rsidR="00124C9A">
              <w:rPr>
                <w:color w:val="auto"/>
              </w:rPr>
              <w:t>d</w:t>
            </w:r>
            <w:r w:rsidR="009F7E87" w:rsidRPr="00521B14">
              <w:rPr>
                <w:color w:val="auto"/>
              </w:rPr>
              <w:t xml:space="preserve"> their relevant capabilities (experience, skills and qualifications)</w:t>
            </w:r>
            <w:r w:rsidR="00C3000B">
              <w:rPr>
                <w:color w:val="auto"/>
              </w:rPr>
              <w:t>.</w:t>
            </w:r>
            <w:bookmarkStart w:id="0" w:name="_GoBack"/>
            <w:bookmarkEnd w:id="0"/>
          </w:p>
        </w:tc>
        <w:tc>
          <w:tcPr>
            <w:tcW w:w="4821" w:type="dxa"/>
          </w:tcPr>
          <w:p w14:paraId="2C9FACB3" w14:textId="77777777" w:rsidR="00091BB0" w:rsidRDefault="002E0AA1" w:rsidP="00091BB0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 w:rsidRPr="00521B14">
              <w:rPr>
                <w:rFonts w:ascii="Arial" w:eastAsia="Arial" w:hAnsi="Arial" w:cs="Arial"/>
                <w:color w:val="auto"/>
              </w:rPr>
              <w:t xml:space="preserve">Strong responses </w:t>
            </w:r>
            <w:r w:rsidR="00091BB0">
              <w:rPr>
                <w:rFonts w:ascii="Arial" w:eastAsia="Arial" w:hAnsi="Arial" w:cs="Arial"/>
                <w:color w:val="auto"/>
              </w:rPr>
              <w:t xml:space="preserve">clearly </w:t>
            </w:r>
            <w:r w:rsidRPr="00521B14">
              <w:rPr>
                <w:rFonts w:ascii="Arial" w:eastAsia="Arial" w:hAnsi="Arial" w:cs="Arial"/>
                <w:color w:val="auto"/>
              </w:rPr>
              <w:t>described</w:t>
            </w:r>
            <w:r w:rsidR="00091BB0">
              <w:rPr>
                <w:rFonts w:ascii="Arial" w:eastAsia="Arial" w:hAnsi="Arial" w:cs="Arial"/>
                <w:color w:val="auto"/>
              </w:rPr>
              <w:t xml:space="preserve"> </w:t>
            </w:r>
            <w:r w:rsidR="00982101" w:rsidRPr="00521B14">
              <w:rPr>
                <w:rFonts w:ascii="Arial" w:eastAsia="Arial" w:hAnsi="Arial" w:cs="Arial"/>
                <w:color w:val="auto"/>
              </w:rPr>
              <w:t>the mix of staff and how many staff members were required to deliver their service.</w:t>
            </w:r>
            <w:r w:rsidR="00586F0D" w:rsidRPr="00521B14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6D93D690" w14:textId="07A3A939" w:rsidR="00F85F98" w:rsidRPr="00521B14" w:rsidRDefault="00586F0D" w:rsidP="00091BB0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 w:rsidRPr="00521B14">
              <w:rPr>
                <w:rFonts w:ascii="Arial" w:eastAsia="Arial" w:hAnsi="Arial" w:cs="Arial"/>
                <w:color w:val="auto"/>
              </w:rPr>
              <w:t>Specific examples of staff experience, skills and qualifications were required to meet this criterion.</w:t>
            </w:r>
          </w:p>
        </w:tc>
      </w:tr>
      <w:tr w:rsidR="00521B14" w:rsidRPr="00521B14" w14:paraId="09860B36" w14:textId="77777777" w:rsidTr="00091BB0">
        <w:trPr>
          <w:trHeight w:val="3516"/>
        </w:trPr>
        <w:tc>
          <w:tcPr>
            <w:tcW w:w="4817" w:type="dxa"/>
            <w:vAlign w:val="center"/>
          </w:tcPr>
          <w:p w14:paraId="6DF92375" w14:textId="3ADA746B" w:rsidR="00F85F98" w:rsidRPr="00521B14" w:rsidRDefault="00EE3BA6" w:rsidP="00E906AF">
            <w:pPr>
              <w:spacing w:before="120" w:after="120" w:line="240" w:lineRule="auto"/>
              <w:ind w:left="113" w:right="57"/>
              <w:rPr>
                <w:color w:val="auto"/>
                <w:szCs w:val="22"/>
              </w:rPr>
            </w:pPr>
            <w:r w:rsidRPr="00521B14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 w:rsidRPr="00521B14">
              <w:rPr>
                <w:color w:val="auto"/>
              </w:rPr>
              <w:t xml:space="preserve">were required to </w:t>
            </w:r>
            <w:r w:rsidR="009F7E87" w:rsidRPr="00521B14">
              <w:rPr>
                <w:color w:val="auto"/>
              </w:rPr>
              <w:t xml:space="preserve">demonstrate the organisation’s proven ability to effectively develop, implement, manage and monitor activities to achieve positive outcomes </w:t>
            </w:r>
            <w:r w:rsidR="00E906AF">
              <w:rPr>
                <w:color w:val="auto"/>
              </w:rPr>
              <w:t>which</w:t>
            </w:r>
            <w:r w:rsidR="009F7E87" w:rsidRPr="00521B14">
              <w:rPr>
                <w:color w:val="auto"/>
              </w:rPr>
              <w:t xml:space="preserve"> are relevant to this grant.</w:t>
            </w:r>
          </w:p>
        </w:tc>
        <w:tc>
          <w:tcPr>
            <w:tcW w:w="4821" w:type="dxa"/>
          </w:tcPr>
          <w:p w14:paraId="21FC58E6" w14:textId="7A14A057" w:rsidR="00124C9A" w:rsidRDefault="00091BB0" w:rsidP="00091BB0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demonstrated t</w:t>
            </w:r>
            <w:r w:rsidR="00586F0D" w:rsidRPr="00521B14">
              <w:rPr>
                <w:rFonts w:ascii="Arial" w:eastAsia="Arial" w:hAnsi="Arial" w:cs="Arial"/>
                <w:color w:val="auto"/>
              </w:rPr>
              <w:t xml:space="preserve">heir </w:t>
            </w:r>
            <w:r>
              <w:rPr>
                <w:rFonts w:ascii="Arial" w:eastAsia="Arial" w:hAnsi="Arial" w:cs="Arial"/>
                <w:color w:val="auto"/>
              </w:rPr>
              <w:t>s</w:t>
            </w:r>
            <w:r w:rsidR="00586F0D" w:rsidRPr="00521B14">
              <w:rPr>
                <w:rFonts w:ascii="Arial" w:eastAsia="Arial" w:hAnsi="Arial" w:cs="Arial"/>
                <w:color w:val="auto"/>
              </w:rPr>
              <w:t xml:space="preserve">uccessful experience as part of the Elder Abuse Service Trials to develop, implement, manage and monitor activities to achieve positive outcomes relevant to this grant opportunity. </w:t>
            </w:r>
          </w:p>
          <w:p w14:paraId="5FFD0A6E" w14:textId="4BBAB44C" w:rsidR="00F85F98" w:rsidRPr="00521B14" w:rsidRDefault="00586F0D" w:rsidP="00DF5C88">
            <w:pPr>
              <w:spacing w:before="120" w:after="120" w:line="240" w:lineRule="auto"/>
              <w:ind w:left="113" w:right="57"/>
              <w:rPr>
                <w:color w:val="auto"/>
                <w:szCs w:val="22"/>
              </w:rPr>
            </w:pPr>
            <w:r w:rsidRPr="00521B14">
              <w:rPr>
                <w:rFonts w:ascii="Arial" w:eastAsia="Arial" w:hAnsi="Arial" w:cs="Arial"/>
                <w:color w:val="auto"/>
              </w:rPr>
              <w:t xml:space="preserve">This </w:t>
            </w:r>
            <w:r w:rsidR="00124C9A">
              <w:rPr>
                <w:rFonts w:ascii="Arial" w:eastAsia="Arial" w:hAnsi="Arial" w:cs="Arial"/>
                <w:color w:val="auto"/>
              </w:rPr>
              <w:t xml:space="preserve">demonstrated </w:t>
            </w:r>
            <w:r w:rsidR="00124C9A" w:rsidRPr="00124C9A">
              <w:rPr>
                <w:rFonts w:ascii="Arial" w:eastAsia="Arial" w:hAnsi="Arial" w:cs="Arial"/>
                <w:color w:val="auto"/>
              </w:rPr>
              <w:t xml:space="preserve">experience </w:t>
            </w:r>
            <w:r w:rsidRPr="00521B14">
              <w:rPr>
                <w:rFonts w:ascii="Arial" w:eastAsia="Arial" w:hAnsi="Arial" w:cs="Arial"/>
                <w:color w:val="auto"/>
              </w:rPr>
              <w:t xml:space="preserve">included the organisations ability to manage funds, meet data exchange requirements, </w:t>
            </w:r>
            <w:r w:rsidR="00A742DF" w:rsidRPr="00521B14">
              <w:rPr>
                <w:rFonts w:ascii="Arial" w:eastAsia="Arial" w:hAnsi="Arial" w:cs="Arial"/>
                <w:color w:val="auto"/>
              </w:rPr>
              <w:t xml:space="preserve">and </w:t>
            </w:r>
            <w:r w:rsidRPr="00521B14">
              <w:rPr>
                <w:rFonts w:ascii="Arial" w:eastAsia="Arial" w:hAnsi="Arial" w:cs="Arial"/>
                <w:color w:val="auto"/>
              </w:rPr>
              <w:t xml:space="preserve">submit AWP reports in a timely and accurate manner.  </w:t>
            </w:r>
          </w:p>
        </w:tc>
      </w:tr>
    </w:tbl>
    <w:p w14:paraId="7668C3A5" w14:textId="77777777" w:rsidR="00FA1F45" w:rsidRPr="00521B14" w:rsidRDefault="00FA1F45" w:rsidP="00F85F98">
      <w:pPr>
        <w:pStyle w:val="Heading2"/>
        <w:rPr>
          <w:color w:val="auto"/>
        </w:rPr>
      </w:pPr>
    </w:p>
    <w:p w14:paraId="2C269784" w14:textId="77777777" w:rsidR="00FA1F45" w:rsidRPr="00521B14" w:rsidRDefault="00FA1F45" w:rsidP="00FA1F45">
      <w:pPr>
        <w:spacing w:line="240" w:lineRule="auto"/>
        <w:rPr>
          <w:color w:val="auto"/>
        </w:rPr>
      </w:pPr>
    </w:p>
    <w:p w14:paraId="5F8F5F1E" w14:textId="77777777" w:rsidR="00FA1F45" w:rsidRPr="00521B14" w:rsidRDefault="00BD1E29" w:rsidP="00BD1E29">
      <w:pPr>
        <w:pStyle w:val="Heading2"/>
        <w:spacing w:before="0"/>
        <w:rPr>
          <w:color w:val="auto"/>
        </w:rPr>
      </w:pPr>
      <w:r w:rsidRPr="00521B14">
        <w:rPr>
          <w:color w:val="auto"/>
        </w:rPr>
        <w:t xml:space="preserve"> </w:t>
      </w:r>
    </w:p>
    <w:p w14:paraId="1A40FCA2" w14:textId="77777777" w:rsidR="00FA1F45" w:rsidRPr="00521B14" w:rsidRDefault="00FA1F45" w:rsidP="00FA1F45">
      <w:pPr>
        <w:spacing w:line="240" w:lineRule="auto"/>
        <w:rPr>
          <w:color w:val="auto"/>
        </w:rPr>
      </w:pPr>
    </w:p>
    <w:p w14:paraId="4A289A8F" w14:textId="77777777" w:rsidR="00FA1F45" w:rsidRPr="00521B14" w:rsidRDefault="00FA1F45" w:rsidP="00A24F65">
      <w:pPr>
        <w:pStyle w:val="Heading2"/>
        <w:rPr>
          <w:color w:val="auto"/>
        </w:rPr>
      </w:pPr>
    </w:p>
    <w:sectPr w:rsidR="00FA1F45" w:rsidRPr="00521B14" w:rsidSect="00AD317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35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CFA50" w14:textId="77777777" w:rsidR="00913D31" w:rsidRDefault="00913D31" w:rsidP="00772718">
      <w:pPr>
        <w:spacing w:line="240" w:lineRule="auto"/>
      </w:pPr>
      <w:r>
        <w:separator/>
      </w:r>
    </w:p>
  </w:endnote>
  <w:endnote w:type="continuationSeparator" w:id="0">
    <w:p w14:paraId="3B88320C" w14:textId="77777777" w:rsidR="00913D31" w:rsidRDefault="00913D31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BFF3D" w14:textId="591575B3" w:rsidR="00A14495" w:rsidRDefault="00E1352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3000B">
      <w:rPr>
        <w:noProof/>
      </w:rPr>
      <w:t>5</w:t>
    </w:r>
    <w:r>
      <w:fldChar w:fldCharType="end"/>
    </w:r>
    <w:r>
      <w:t xml:space="preserve">  </w:t>
    </w:r>
    <w:r w:rsidR="00E906AF">
      <w:t xml:space="preserve">| </w:t>
    </w:r>
    <w:r w:rsidRPr="00A454BF">
      <w:t>Community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D4FC317" wp14:editId="37FC1A34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22328CF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151AB" w14:textId="2AD653B0" w:rsidR="00D91B18" w:rsidRDefault="00D91B1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3000B">
      <w:rPr>
        <w:noProof/>
      </w:rPr>
      <w:t>1</w:t>
    </w:r>
    <w:r>
      <w:fldChar w:fldCharType="end"/>
    </w:r>
    <w:r>
      <w:t xml:space="preserve">  </w:t>
    </w:r>
    <w:r w:rsidR="00E906AF">
      <w:t xml:space="preserve">| </w:t>
    </w:r>
    <w:r w:rsidRPr="00A454BF">
      <w:t>Community Grants Hub</w:t>
    </w:r>
    <w:r w:rsidR="00FC1C24">
      <w:tab/>
    </w:r>
    <w:r w:rsidR="00FC1C24">
      <w:tab/>
    </w:r>
    <w:r w:rsidR="00FC1C24" w:rsidRPr="00FC1C24">
      <w:t>D16/9328330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447E5" w14:textId="77777777" w:rsidR="00913D31" w:rsidRDefault="00913D31" w:rsidP="00772718">
      <w:pPr>
        <w:spacing w:line="240" w:lineRule="auto"/>
      </w:pPr>
      <w:r>
        <w:separator/>
      </w:r>
    </w:p>
  </w:footnote>
  <w:footnote w:type="continuationSeparator" w:id="0">
    <w:p w14:paraId="2D88C0D7" w14:textId="77777777" w:rsidR="00913D31" w:rsidRDefault="00913D31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7D3C" w14:textId="77777777" w:rsidR="00A14495" w:rsidRDefault="00C4188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69C1D6F2" wp14:editId="4C5FEF3C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3EF0F54" id="Straight Connector 79" o:spid="_x0000_s1026" alt="Title: Graphic Element - Description: Line&#10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T48wEAADgEAAAOAAAAZHJzL2Uyb0RvYy54bWysU9uO0zAQfUfiHywj8UaTLmKB0nSFuuy+&#10;rJaKhQ/wOuPGkm8amyb9e8ZOmq4AIYF4cTKeOWdmzozXV4M17AAYtXcNXy5qzsBJ32q3b/i3rzev&#10;3nEWk3CtMN5Bw48Q+dXm+bN1H1Zw4TtvWkBGJC6u+tDwLqWwqqooO7AiLnwAR07l0YpEJu6rFkVP&#10;7NZUF3V9WfUe24BeQox0ez06+abwKwUyfVYqQmKm4VRbKieW8zGf1WYtVnsUodNyKkP8QxVWaEdJ&#10;Z6prkQT7jvoXKqsl+uhVWkhvK6+UllB6oG6W9U/dPHQiQOmFxIlhlin+P1p5f9gh023D377nzAlL&#10;M3pIKPS+S2zrnSMFPbLsbCFKUu5OO3j5Yvj4gdTUyVD87STfJwMWXMqa9iGuiHrrdjhZMewwCzQo&#10;tPlLrbOhzOE4zwGGxCRdXi5ptDWNS5581RkYMKZb8Jbln4YbKqcoLw53MVEyCj2F5DzGsZ4YX7+p&#10;S1T0Rrc32pjsK1sGW4PsIGg/0rDMtRPBkyiyjKPL3NHYQ/lLRwMj/RdQpB9VvRwT5M09cwopSZIT&#10;r3EUnWGKKpiBU2V/Ak7xGQplq/8GPCNKZu/SDLbaefxd2Wcp1Bh/UmDsO0vw6NtjmW6RhtazKDc9&#10;pbz/T+0CPz/4zQ8AAAD//wMAUEsDBBQABgAIAAAAIQAiIS973wAAAAwBAAAPAAAAZHJzL2Rvd25y&#10;ZXYueG1sTI9NT8MwDIbvSPsPkSdxY2kD+6A0nQYSXGCHbUhcvcZrKxqnarKt/HsyCYkdX/vR68f5&#10;crCtOFHvG8ca0kkCgrh0puFKw+fu9W4Bwgdkg61j0vBDHpbF6CbHzLgzb+i0DZWIJewz1FCH0GVS&#10;+rImi37iOuK4O7jeYoixr6Tp8RzLbStVksykxYbjhRo7eqmp/N4erYYv9b7bpG9crWlqu4NZLdbP&#10;/KH17XhYPYEINIR/GC76UR2K6LR3RzZetDGn9w8R1aCm6hHEhUjmcwVi/zeSRS6vnyh+AQAA//8D&#10;AFBLAQItABQABgAIAAAAIQC2gziS/gAAAOEBAAATAAAAAAAAAAAAAAAAAAAAAABbQ29udGVudF9U&#10;eXBlc10ueG1sUEsBAi0AFAAGAAgAAAAhADj9If/WAAAAlAEAAAsAAAAAAAAAAAAAAAAALwEAAF9y&#10;ZWxzLy5yZWxzUEsBAi0AFAAGAAgAAAAhAGDj1PjzAQAAOAQAAA4AAAAAAAAAAAAAAAAALgIAAGRy&#10;cy9lMm9Eb2MueG1sUEsBAi0AFAAGAAgAAAAhACIhL3vfAAAADAEAAA8AAAAAAAAAAAAAAAAATQQA&#10;AGRycy9kb3ducmV2LnhtbFBLBQYAAAAABAAEAPMAAABZBQAAAAA=&#10;" strokecolor="black [3213]" strokeweight=".5pt">
              <w10:wrap anchorx="page" anchory="page"/>
              <w10:anchorlock/>
            </v:line>
          </w:pict>
        </mc:Fallback>
      </mc:AlternateContent>
    </w:r>
    <w:r w:rsidR="00244B48">
      <w:rPr>
        <w:noProof/>
        <w:lang w:eastAsia="en-AU"/>
      </w:rPr>
      <w:drawing>
        <wp:anchor distT="0" distB="0" distL="114300" distR="114300" simplePos="0" relativeHeight="251663360" behindDoc="0" locked="1" layoutInCell="1" allowOverlap="1" wp14:anchorId="1769AB2A" wp14:editId="4BD81FFB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101" name="Picture 101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FABDF" w14:textId="77777777" w:rsidR="00D91B18" w:rsidRDefault="0016612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3600" behindDoc="0" locked="1" layoutInCell="1" allowOverlap="1" wp14:anchorId="5D86165B" wp14:editId="7C147640">
          <wp:simplePos x="0" y="0"/>
          <wp:positionH relativeFrom="page">
            <wp:posOffset>4048125</wp:posOffset>
          </wp:positionH>
          <wp:positionV relativeFrom="page">
            <wp:posOffset>485775</wp:posOffset>
          </wp:positionV>
          <wp:extent cx="2793600" cy="813600"/>
          <wp:effectExtent l="0" t="0" r="6985" b="5715"/>
          <wp:wrapNone/>
          <wp:docPr id="102" name="Picture 102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3809633F" wp14:editId="5B31343D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6C87E23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72576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09ADE586" wp14:editId="6F4B0597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DF29BBE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2C226FBD" wp14:editId="40255F21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765BDC1" id="Straight Connector 2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D12E7"/>
    <w:multiLevelType w:val="multilevel"/>
    <w:tmpl w:val="4A48FF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2A2A39AF"/>
    <w:multiLevelType w:val="hybridMultilevel"/>
    <w:tmpl w:val="4BE4B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9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13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10"/>
  </w:num>
  <w:num w:numId="10">
    <w:abstractNumId w:val="1"/>
  </w:num>
  <w:num w:numId="11">
    <w:abstractNumId w:val="5"/>
  </w:num>
  <w:num w:numId="12">
    <w:abstractNumId w:val="1"/>
  </w:num>
  <w:num w:numId="13">
    <w:abstractNumId w:val="13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04"/>
    <w:rsid w:val="00000555"/>
    <w:rsid w:val="00000A51"/>
    <w:rsid w:val="00004A79"/>
    <w:rsid w:val="00007DE9"/>
    <w:rsid w:val="00015AE4"/>
    <w:rsid w:val="0003018E"/>
    <w:rsid w:val="00033BC3"/>
    <w:rsid w:val="00044E09"/>
    <w:rsid w:val="000455E3"/>
    <w:rsid w:val="0004784D"/>
    <w:rsid w:val="000535A3"/>
    <w:rsid w:val="00053A00"/>
    <w:rsid w:val="00053DC5"/>
    <w:rsid w:val="000551F5"/>
    <w:rsid w:val="00091BB0"/>
    <w:rsid w:val="00094EEB"/>
    <w:rsid w:val="000B6C00"/>
    <w:rsid w:val="000C1F06"/>
    <w:rsid w:val="000E2846"/>
    <w:rsid w:val="000F1DD1"/>
    <w:rsid w:val="000F28B8"/>
    <w:rsid w:val="000F3766"/>
    <w:rsid w:val="00100880"/>
    <w:rsid w:val="00106FC4"/>
    <w:rsid w:val="00111F0C"/>
    <w:rsid w:val="00120B80"/>
    <w:rsid w:val="00124C9A"/>
    <w:rsid w:val="00145E2D"/>
    <w:rsid w:val="0016612C"/>
    <w:rsid w:val="001763D4"/>
    <w:rsid w:val="00181433"/>
    <w:rsid w:val="001834DD"/>
    <w:rsid w:val="00191BCF"/>
    <w:rsid w:val="001928DB"/>
    <w:rsid w:val="001C53CE"/>
    <w:rsid w:val="001C5D96"/>
    <w:rsid w:val="001D341B"/>
    <w:rsid w:val="001E0D99"/>
    <w:rsid w:val="001E3D2B"/>
    <w:rsid w:val="001E5415"/>
    <w:rsid w:val="001E66CE"/>
    <w:rsid w:val="001F6BE5"/>
    <w:rsid w:val="00202029"/>
    <w:rsid w:val="00221DC2"/>
    <w:rsid w:val="00235C99"/>
    <w:rsid w:val="00243004"/>
    <w:rsid w:val="00244B48"/>
    <w:rsid w:val="00256CDA"/>
    <w:rsid w:val="00256CF9"/>
    <w:rsid w:val="002573D5"/>
    <w:rsid w:val="002600F2"/>
    <w:rsid w:val="00264E26"/>
    <w:rsid w:val="00280E74"/>
    <w:rsid w:val="00284E4B"/>
    <w:rsid w:val="002A41E1"/>
    <w:rsid w:val="002A56C9"/>
    <w:rsid w:val="002B6574"/>
    <w:rsid w:val="002D3419"/>
    <w:rsid w:val="002D4D48"/>
    <w:rsid w:val="002D4E33"/>
    <w:rsid w:val="002E0AA1"/>
    <w:rsid w:val="002E1CCC"/>
    <w:rsid w:val="002E21D2"/>
    <w:rsid w:val="002F7D3C"/>
    <w:rsid w:val="00302D5E"/>
    <w:rsid w:val="00305720"/>
    <w:rsid w:val="0031098A"/>
    <w:rsid w:val="003131AB"/>
    <w:rsid w:val="003217BE"/>
    <w:rsid w:val="0034044F"/>
    <w:rsid w:val="00355FF2"/>
    <w:rsid w:val="0035639D"/>
    <w:rsid w:val="0036478E"/>
    <w:rsid w:val="00376001"/>
    <w:rsid w:val="003969FD"/>
    <w:rsid w:val="003A17CA"/>
    <w:rsid w:val="003A6FF6"/>
    <w:rsid w:val="003B5410"/>
    <w:rsid w:val="003D0647"/>
    <w:rsid w:val="003D1265"/>
    <w:rsid w:val="003D255E"/>
    <w:rsid w:val="003D3B1D"/>
    <w:rsid w:val="003D4B2C"/>
    <w:rsid w:val="003D5DBE"/>
    <w:rsid w:val="003E01D1"/>
    <w:rsid w:val="00404841"/>
    <w:rsid w:val="00412059"/>
    <w:rsid w:val="00422E02"/>
    <w:rsid w:val="00425633"/>
    <w:rsid w:val="00441E79"/>
    <w:rsid w:val="00444032"/>
    <w:rsid w:val="0044643A"/>
    <w:rsid w:val="00450486"/>
    <w:rsid w:val="00454EB4"/>
    <w:rsid w:val="00461BE1"/>
    <w:rsid w:val="004709E9"/>
    <w:rsid w:val="00472379"/>
    <w:rsid w:val="004773E1"/>
    <w:rsid w:val="00483A58"/>
    <w:rsid w:val="00490618"/>
    <w:rsid w:val="004B203A"/>
    <w:rsid w:val="004B5F40"/>
    <w:rsid w:val="004C47FE"/>
    <w:rsid w:val="004C7D16"/>
    <w:rsid w:val="004D0860"/>
    <w:rsid w:val="004D700E"/>
    <w:rsid w:val="004D7F17"/>
    <w:rsid w:val="004E0670"/>
    <w:rsid w:val="004E7F37"/>
    <w:rsid w:val="004F31BA"/>
    <w:rsid w:val="005118E4"/>
    <w:rsid w:val="0051299F"/>
    <w:rsid w:val="00521B14"/>
    <w:rsid w:val="00526B85"/>
    <w:rsid w:val="005306A1"/>
    <w:rsid w:val="00544751"/>
    <w:rsid w:val="00553A84"/>
    <w:rsid w:val="00563F88"/>
    <w:rsid w:val="00571E8B"/>
    <w:rsid w:val="00586F0D"/>
    <w:rsid w:val="00587F77"/>
    <w:rsid w:val="0059000C"/>
    <w:rsid w:val="005A02A1"/>
    <w:rsid w:val="005B6071"/>
    <w:rsid w:val="005C120F"/>
    <w:rsid w:val="005D7A24"/>
    <w:rsid w:val="005E1395"/>
    <w:rsid w:val="00616EBA"/>
    <w:rsid w:val="00620574"/>
    <w:rsid w:val="00622B47"/>
    <w:rsid w:val="006310FF"/>
    <w:rsid w:val="00632C08"/>
    <w:rsid w:val="00654C42"/>
    <w:rsid w:val="006617BA"/>
    <w:rsid w:val="0067074A"/>
    <w:rsid w:val="00672994"/>
    <w:rsid w:val="006807C9"/>
    <w:rsid w:val="00690151"/>
    <w:rsid w:val="00692EFD"/>
    <w:rsid w:val="00694FDB"/>
    <w:rsid w:val="006B5D63"/>
    <w:rsid w:val="006B66AB"/>
    <w:rsid w:val="006C15C5"/>
    <w:rsid w:val="006D03E6"/>
    <w:rsid w:val="006D3DAD"/>
    <w:rsid w:val="006D4A4B"/>
    <w:rsid w:val="006E1C6A"/>
    <w:rsid w:val="006E288F"/>
    <w:rsid w:val="006E476C"/>
    <w:rsid w:val="006F6096"/>
    <w:rsid w:val="006F7B19"/>
    <w:rsid w:val="00707E21"/>
    <w:rsid w:val="00716D7B"/>
    <w:rsid w:val="00736A76"/>
    <w:rsid w:val="00752C6B"/>
    <w:rsid w:val="00760CE6"/>
    <w:rsid w:val="00762F09"/>
    <w:rsid w:val="007631F3"/>
    <w:rsid w:val="007719C9"/>
    <w:rsid w:val="00772718"/>
    <w:rsid w:val="007D30A8"/>
    <w:rsid w:val="007F6391"/>
    <w:rsid w:val="00814FB1"/>
    <w:rsid w:val="00820F20"/>
    <w:rsid w:val="0082528A"/>
    <w:rsid w:val="00825754"/>
    <w:rsid w:val="00833758"/>
    <w:rsid w:val="00835210"/>
    <w:rsid w:val="0084413D"/>
    <w:rsid w:val="00844C2D"/>
    <w:rsid w:val="00845DAA"/>
    <w:rsid w:val="00851FDD"/>
    <w:rsid w:val="0087438E"/>
    <w:rsid w:val="008814C0"/>
    <w:rsid w:val="00884668"/>
    <w:rsid w:val="00895EB9"/>
    <w:rsid w:val="008B2B46"/>
    <w:rsid w:val="008B52C9"/>
    <w:rsid w:val="008E05BC"/>
    <w:rsid w:val="008E3D27"/>
    <w:rsid w:val="008F17B8"/>
    <w:rsid w:val="008F3CCF"/>
    <w:rsid w:val="00901750"/>
    <w:rsid w:val="00901A61"/>
    <w:rsid w:val="00913D31"/>
    <w:rsid w:val="00921840"/>
    <w:rsid w:val="00932C87"/>
    <w:rsid w:val="009331B4"/>
    <w:rsid w:val="009345F1"/>
    <w:rsid w:val="00944BBB"/>
    <w:rsid w:val="009547B6"/>
    <w:rsid w:val="00961072"/>
    <w:rsid w:val="00964B91"/>
    <w:rsid w:val="0096623C"/>
    <w:rsid w:val="00974A25"/>
    <w:rsid w:val="00982101"/>
    <w:rsid w:val="009914FE"/>
    <w:rsid w:val="009A04AF"/>
    <w:rsid w:val="009A2F51"/>
    <w:rsid w:val="009A34F3"/>
    <w:rsid w:val="009C6C53"/>
    <w:rsid w:val="009E103A"/>
    <w:rsid w:val="009E1A74"/>
    <w:rsid w:val="009E750F"/>
    <w:rsid w:val="009F7E87"/>
    <w:rsid w:val="00A04D96"/>
    <w:rsid w:val="00A0629B"/>
    <w:rsid w:val="00A14495"/>
    <w:rsid w:val="00A16BE1"/>
    <w:rsid w:val="00A24F65"/>
    <w:rsid w:val="00A453D7"/>
    <w:rsid w:val="00A454BF"/>
    <w:rsid w:val="00A52E3A"/>
    <w:rsid w:val="00A742DF"/>
    <w:rsid w:val="00A814CB"/>
    <w:rsid w:val="00A90D1B"/>
    <w:rsid w:val="00AB51F2"/>
    <w:rsid w:val="00AC144D"/>
    <w:rsid w:val="00AC5BE9"/>
    <w:rsid w:val="00AD3177"/>
    <w:rsid w:val="00AD70E2"/>
    <w:rsid w:val="00AF04D5"/>
    <w:rsid w:val="00AF55F8"/>
    <w:rsid w:val="00B10ABA"/>
    <w:rsid w:val="00B303E4"/>
    <w:rsid w:val="00B31D0B"/>
    <w:rsid w:val="00B420D4"/>
    <w:rsid w:val="00B57910"/>
    <w:rsid w:val="00B70AD7"/>
    <w:rsid w:val="00B91B21"/>
    <w:rsid w:val="00B944B3"/>
    <w:rsid w:val="00B952F6"/>
    <w:rsid w:val="00BA202A"/>
    <w:rsid w:val="00BC093A"/>
    <w:rsid w:val="00BC2B00"/>
    <w:rsid w:val="00BC4ACC"/>
    <w:rsid w:val="00BC4FCC"/>
    <w:rsid w:val="00BD02F8"/>
    <w:rsid w:val="00BD1E29"/>
    <w:rsid w:val="00C04432"/>
    <w:rsid w:val="00C1488E"/>
    <w:rsid w:val="00C217A8"/>
    <w:rsid w:val="00C2339F"/>
    <w:rsid w:val="00C25C42"/>
    <w:rsid w:val="00C3000B"/>
    <w:rsid w:val="00C4188F"/>
    <w:rsid w:val="00C519B5"/>
    <w:rsid w:val="00C70C7D"/>
    <w:rsid w:val="00C819A4"/>
    <w:rsid w:val="00C824AE"/>
    <w:rsid w:val="00C84EA8"/>
    <w:rsid w:val="00C92998"/>
    <w:rsid w:val="00CA720A"/>
    <w:rsid w:val="00CD0003"/>
    <w:rsid w:val="00CD5925"/>
    <w:rsid w:val="00CE557A"/>
    <w:rsid w:val="00D031B2"/>
    <w:rsid w:val="00D1410C"/>
    <w:rsid w:val="00D3434A"/>
    <w:rsid w:val="00D40D16"/>
    <w:rsid w:val="00D433F8"/>
    <w:rsid w:val="00D45AC1"/>
    <w:rsid w:val="00D548F0"/>
    <w:rsid w:val="00D57F79"/>
    <w:rsid w:val="00D64FAC"/>
    <w:rsid w:val="00D65704"/>
    <w:rsid w:val="00D668F6"/>
    <w:rsid w:val="00D741F9"/>
    <w:rsid w:val="00D84875"/>
    <w:rsid w:val="00D904F0"/>
    <w:rsid w:val="00D91378"/>
    <w:rsid w:val="00D91B18"/>
    <w:rsid w:val="00D930FB"/>
    <w:rsid w:val="00D95052"/>
    <w:rsid w:val="00D95D89"/>
    <w:rsid w:val="00DA5150"/>
    <w:rsid w:val="00DB19A8"/>
    <w:rsid w:val="00DC0747"/>
    <w:rsid w:val="00DC2647"/>
    <w:rsid w:val="00DC316D"/>
    <w:rsid w:val="00DD1408"/>
    <w:rsid w:val="00DD356D"/>
    <w:rsid w:val="00DD6735"/>
    <w:rsid w:val="00DD72DE"/>
    <w:rsid w:val="00DF136A"/>
    <w:rsid w:val="00DF51FA"/>
    <w:rsid w:val="00E0448C"/>
    <w:rsid w:val="00E13525"/>
    <w:rsid w:val="00E17D64"/>
    <w:rsid w:val="00E47250"/>
    <w:rsid w:val="00E47ADA"/>
    <w:rsid w:val="00E61535"/>
    <w:rsid w:val="00E6267C"/>
    <w:rsid w:val="00E72B65"/>
    <w:rsid w:val="00E73F55"/>
    <w:rsid w:val="00E74266"/>
    <w:rsid w:val="00E7480B"/>
    <w:rsid w:val="00E8246B"/>
    <w:rsid w:val="00E84012"/>
    <w:rsid w:val="00E8649B"/>
    <w:rsid w:val="00E87C54"/>
    <w:rsid w:val="00E906AF"/>
    <w:rsid w:val="00E9373C"/>
    <w:rsid w:val="00EA0724"/>
    <w:rsid w:val="00EA6251"/>
    <w:rsid w:val="00EB6414"/>
    <w:rsid w:val="00EC56D2"/>
    <w:rsid w:val="00EE28E0"/>
    <w:rsid w:val="00EE3BA6"/>
    <w:rsid w:val="00EE5747"/>
    <w:rsid w:val="00EF3804"/>
    <w:rsid w:val="00EF5E05"/>
    <w:rsid w:val="00F073CA"/>
    <w:rsid w:val="00F227AF"/>
    <w:rsid w:val="00F27370"/>
    <w:rsid w:val="00F40B00"/>
    <w:rsid w:val="00F41AAB"/>
    <w:rsid w:val="00F5341C"/>
    <w:rsid w:val="00F56954"/>
    <w:rsid w:val="00F574E2"/>
    <w:rsid w:val="00F76062"/>
    <w:rsid w:val="00F85F98"/>
    <w:rsid w:val="00F948AF"/>
    <w:rsid w:val="00FA1F45"/>
    <w:rsid w:val="00FA5A7B"/>
    <w:rsid w:val="00FB11B1"/>
    <w:rsid w:val="00FC18B8"/>
    <w:rsid w:val="00FC1C24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C14779B"/>
  <w15:docId w15:val="{1C25D4A1-CD35-4492-BA54-656D63F1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semiHidden/>
    <w:rsid w:val="00C824AE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10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4F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563F88"/>
    <w:rPr>
      <w:rFonts w:asciiTheme="minorHAnsi" w:hAnsiTheme="minorHAns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2003Templates\Community%20Grants%20Hub%20Templates\Fact%20sheet%20template%20-%20orange%20(Extern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7FF93772B0460E96E551467BAC0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F5D68-7551-4284-A505-512FD80B9FA7}"/>
      </w:docPartPr>
      <w:docPartBody>
        <w:p w:rsidR="006424F2" w:rsidRDefault="00605577" w:rsidP="00605577">
          <w:pPr>
            <w:pStyle w:val="C77FF93772B0460E96E551467BAC0A8C"/>
          </w:pPr>
          <w:r>
            <w:t>[Title]</w:t>
          </w:r>
        </w:p>
      </w:docPartBody>
    </w:docPart>
    <w:docPart>
      <w:docPartPr>
        <w:name w:val="1AF4CA6354A642418EAAC32AF9DD8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17B5A-B017-4602-989C-7DF2EAD55800}"/>
      </w:docPartPr>
      <w:docPartBody>
        <w:p w:rsidR="006424F2" w:rsidRDefault="00605577" w:rsidP="00605577">
          <w:pPr>
            <w:pStyle w:val="1AF4CA6354A642418EAAC32AF9DD8158"/>
          </w:pPr>
          <w:r>
            <w:t>[Subtitle]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4F"/>
    <w:rsid w:val="00086D8D"/>
    <w:rsid w:val="00190F4F"/>
    <w:rsid w:val="002C57EF"/>
    <w:rsid w:val="00485865"/>
    <w:rsid w:val="0049439B"/>
    <w:rsid w:val="004A7D97"/>
    <w:rsid w:val="00511B91"/>
    <w:rsid w:val="005F3954"/>
    <w:rsid w:val="00605577"/>
    <w:rsid w:val="006424F2"/>
    <w:rsid w:val="0065255A"/>
    <w:rsid w:val="006C16DA"/>
    <w:rsid w:val="00717C24"/>
    <w:rsid w:val="008005FF"/>
    <w:rsid w:val="00886239"/>
    <w:rsid w:val="008B794C"/>
    <w:rsid w:val="008E17C3"/>
    <w:rsid w:val="009013CA"/>
    <w:rsid w:val="009C55E0"/>
    <w:rsid w:val="00A0186A"/>
    <w:rsid w:val="00A21BBB"/>
    <w:rsid w:val="00A965B5"/>
    <w:rsid w:val="00B52919"/>
    <w:rsid w:val="00D0550E"/>
    <w:rsid w:val="00DF3C65"/>
    <w:rsid w:val="00E84804"/>
    <w:rsid w:val="00F33242"/>
    <w:rsid w:val="00FD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5CEFF8598D4348A6AFB8F4000E0626">
    <w:name w:val="CC5CEFF8598D4348A6AFB8F4000E0626"/>
  </w:style>
  <w:style w:type="paragraph" w:customStyle="1" w:styleId="1F86413E11EC461E885960059A060817">
    <w:name w:val="1F86413E11EC461E885960059A060817"/>
  </w:style>
  <w:style w:type="paragraph" w:customStyle="1" w:styleId="D30B9F959D2148E187AE500D22BD5A4E">
    <w:name w:val="D30B9F959D2148E187AE500D22BD5A4E"/>
    <w:rsid w:val="00605577"/>
  </w:style>
  <w:style w:type="paragraph" w:customStyle="1" w:styleId="AE43076D95174273AEBFD9D7DC0444AF">
    <w:name w:val="AE43076D95174273AEBFD9D7DC0444AF"/>
    <w:rsid w:val="00605577"/>
  </w:style>
  <w:style w:type="paragraph" w:customStyle="1" w:styleId="FEC168293B5F4FF3A66E0008F832CCBE">
    <w:name w:val="FEC168293B5F4FF3A66E0008F832CCBE"/>
    <w:rsid w:val="00605577"/>
  </w:style>
  <w:style w:type="paragraph" w:customStyle="1" w:styleId="16D7A56F61A44511A088C868C2F243F0">
    <w:name w:val="16D7A56F61A44511A088C868C2F243F0"/>
    <w:rsid w:val="00605577"/>
  </w:style>
  <w:style w:type="paragraph" w:customStyle="1" w:styleId="C77FF93772B0460E96E551467BAC0A8C">
    <w:name w:val="C77FF93772B0460E96E551467BAC0A8C"/>
    <w:rsid w:val="00605577"/>
  </w:style>
  <w:style w:type="paragraph" w:customStyle="1" w:styleId="1AF4CA6354A642418EAAC32AF9DD8158">
    <w:name w:val="1AF4CA6354A642418EAAC32AF9DD8158"/>
    <w:rsid w:val="006055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89A9F3-1F80-40DC-B0FC-22456CA9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template - orange (External)</Template>
  <TotalTime>13</TotalTime>
  <Pages>5</Pages>
  <Words>1093</Words>
  <Characters>6658</Characters>
  <Application>Microsoft Office Word</Application>
  <DocSecurity>0</DocSecurity>
  <Lines>162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Specialist Elder Abuse Services</vt:lpstr>
    </vt:vector>
  </TitlesOfParts>
  <Company>Community Grants Hub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Specialist Elder Abuse Services</dc:title>
  <dc:subject>Feedback for applicants</dc:subject>
  <dc:creator>LONG, Andrew</dc:creator>
  <cp:keywords>[SEC=OFFICIAL]</cp:keywords>
  <cp:lastModifiedBy>CHALKER, Greg</cp:lastModifiedBy>
  <cp:revision>4</cp:revision>
  <cp:lastPrinted>2022-12-15T23:22:00Z</cp:lastPrinted>
  <dcterms:created xsi:type="dcterms:W3CDTF">2022-12-14T04:28:00Z</dcterms:created>
  <dcterms:modified xsi:type="dcterms:W3CDTF">2022-12-15T23:33:00Z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2D0FEABC5F2243A0970BD8AD930023A3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D67F6BC5CA3EA6D7FC1616E879E14162D7D4F532</vt:lpwstr>
  </property>
  <property fmtid="{D5CDD505-2E9C-101B-9397-08002B2CF9AE}" pid="11" name="PM_OriginationTimeStamp">
    <vt:lpwstr>2022-12-15T23:33:51Z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C72BFEBAAAD5FC1AFD599D6932303904</vt:lpwstr>
  </property>
  <property fmtid="{D5CDD505-2E9C-101B-9397-08002B2CF9AE}" pid="20" name="PM_Hash_Salt">
    <vt:lpwstr>7129C53D872F23147E5DC7295AAAFF4C</vt:lpwstr>
  </property>
  <property fmtid="{D5CDD505-2E9C-101B-9397-08002B2CF9AE}" pid="21" name="PM_Hash_SHA1">
    <vt:lpwstr>A192A3F6048F4A8D37F2955F218F8DD53E88B535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DBE58B24DCCC155B31FD7B1F089481E24C00AF852B82F70644ABFFCC2B4A472F</vt:lpwstr>
  </property>
  <property fmtid="{D5CDD505-2E9C-101B-9397-08002B2CF9AE}" pid="26" name="PM_OriginatorDomainName_SHA256">
    <vt:lpwstr>E83A2A66C4061446A7E3732E8D44762184B6B377D962B96C83DC624302585857</vt:lpwstr>
  </property>
</Properties>
</file>