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B7B" w:rsidRPr="00B86424" w:rsidRDefault="00A202E8" w:rsidP="008A4107">
      <w:pPr>
        <w:pStyle w:val="Title"/>
        <w:spacing w:after="360" w:line="600" w:lineRule="exact"/>
        <w:rPr>
          <w:sz w:val="44"/>
          <w:szCs w:val="44"/>
        </w:rPr>
      </w:pPr>
      <w:r w:rsidRPr="008A4107">
        <w:rPr>
          <w:i/>
          <w:sz w:val="44"/>
          <w:szCs w:val="44"/>
        </w:rPr>
        <w:t>Saluting Their Service</w:t>
      </w:r>
      <w:r w:rsidR="00BF1598" w:rsidRPr="00B86424">
        <w:rPr>
          <w:sz w:val="44"/>
          <w:szCs w:val="44"/>
        </w:rPr>
        <w:t xml:space="preserve"> (STS)</w:t>
      </w:r>
      <w:r w:rsidR="005D1295" w:rsidRPr="00B86424">
        <w:rPr>
          <w:sz w:val="44"/>
          <w:szCs w:val="44"/>
        </w:rPr>
        <w:t xml:space="preserve"> Commemorative Grants Program</w:t>
      </w:r>
    </w:p>
    <w:p w:rsidR="00CC1B7B" w:rsidRDefault="00A202E8" w:rsidP="00CC1B7B">
      <w:pPr>
        <w:rPr>
          <w:sz w:val="40"/>
          <w:szCs w:val="40"/>
        </w:rPr>
      </w:pPr>
      <w:r>
        <w:rPr>
          <w:sz w:val="40"/>
          <w:szCs w:val="40"/>
        </w:rPr>
        <w:t>Questions and Answers</w:t>
      </w:r>
    </w:p>
    <w:p w:rsidR="0097249E" w:rsidRDefault="0097249E" w:rsidP="00372A52">
      <w:pPr>
        <w:pStyle w:val="Heading2"/>
        <w:ind w:left="426"/>
        <w:rPr>
          <w:rFonts w:eastAsia="Calibri"/>
        </w:rPr>
      </w:pPr>
      <w:r>
        <w:rPr>
          <w:rFonts w:eastAsia="Calibri"/>
        </w:rPr>
        <w:t>Application Timeframe</w:t>
      </w:r>
    </w:p>
    <w:p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rsidR="00492F7D" w:rsidRPr="00372A52" w:rsidRDefault="00492F7D" w:rsidP="00372A52">
      <w:pPr>
        <w:ind w:left="426"/>
        <w:rPr>
          <w:lang w:val="en" w:eastAsia="en-AU"/>
        </w:rPr>
      </w:pPr>
      <w:r w:rsidRPr="00372A52">
        <w:rPr>
          <w:lang w:val="en" w:eastAsia="en-AU"/>
        </w:rPr>
        <w:t xml:space="preserve">Assessment and notification of outcomes will be divided into </w:t>
      </w:r>
      <w:r w:rsidR="00301DDB" w:rsidRPr="00372A52">
        <w:rPr>
          <w:lang w:val="en" w:eastAsia="en-AU"/>
        </w:rPr>
        <w:t xml:space="preserve">3 </w:t>
      </w:r>
      <w:r w:rsidRPr="00372A52">
        <w:rPr>
          <w:lang w:val="en" w:eastAsia="en-AU"/>
        </w:rPr>
        <w:t>batches during the year.</w:t>
      </w:r>
      <w:r w:rsidR="005D1295" w:rsidRPr="00372A52">
        <w:rPr>
          <w:lang w:val="en" w:eastAsia="en-AU"/>
        </w:rPr>
        <w:t xml:space="preserve"> </w:t>
      </w:r>
      <w:r w:rsidRPr="00372A52">
        <w:rPr>
          <w:lang w:val="en" w:eastAsia="en-AU"/>
        </w:rPr>
        <w:t xml:space="preserve">The table below identifies the cut-off dates for all </w:t>
      </w:r>
      <w:r w:rsidR="00301DDB" w:rsidRPr="00372A52">
        <w:rPr>
          <w:lang w:val="en" w:eastAsia="en-AU"/>
        </w:rPr>
        <w:t xml:space="preserve">3 </w:t>
      </w:r>
      <w:r w:rsidRPr="00372A52">
        <w:rPr>
          <w:lang w:val="en" w:eastAsia="en-AU"/>
        </w:rPr>
        <w:t>batches.</w:t>
      </w:r>
    </w:p>
    <w:tbl>
      <w:tblPr>
        <w:tblStyle w:val="Finance11"/>
        <w:tblW w:w="9351"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atch dates"/>
        <w:tblDescription w:val="batch dates"/>
      </w:tblPr>
      <w:tblGrid>
        <w:gridCol w:w="846"/>
        <w:gridCol w:w="8505"/>
      </w:tblGrid>
      <w:tr w:rsidR="00492F7D" w:rsidRPr="00ED2FED" w:rsidTr="00372A52">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846" w:type="dxa"/>
            <w:tcBorders>
              <w:bottom w:val="single" w:sz="4" w:space="0" w:color="auto"/>
            </w:tcBorders>
            <w:shd w:val="clear" w:color="auto" w:fill="0070C0"/>
          </w:tcPr>
          <w:p w:rsidR="00492F7D" w:rsidRPr="005D1295" w:rsidRDefault="00492F7D" w:rsidP="003120F8">
            <w:pPr>
              <w:suppressAutoHyphens/>
              <w:spacing w:after="60"/>
              <w:rPr>
                <w:rFonts w:cs="Arial"/>
                <w:b w:val="0"/>
                <w:iCs/>
                <w:color w:val="FFFFFF" w:themeColor="background1"/>
                <w:sz w:val="20"/>
                <w:szCs w:val="20"/>
              </w:rPr>
            </w:pPr>
            <w:r w:rsidRPr="005D1295">
              <w:rPr>
                <w:rFonts w:cs="Arial"/>
                <w:iCs/>
                <w:color w:val="FFFFFF" w:themeColor="background1"/>
                <w:sz w:val="20"/>
                <w:szCs w:val="20"/>
              </w:rPr>
              <w:t>Batch</w:t>
            </w:r>
          </w:p>
        </w:tc>
        <w:tc>
          <w:tcPr>
            <w:tcW w:w="8505" w:type="dxa"/>
            <w:tcBorders>
              <w:bottom w:val="single" w:sz="4" w:space="0" w:color="auto"/>
            </w:tcBorders>
            <w:shd w:val="clear" w:color="auto" w:fill="0070C0"/>
          </w:tcPr>
          <w:p w:rsidR="00492F7D" w:rsidRPr="005D1295" w:rsidRDefault="00492F7D" w:rsidP="003120F8">
            <w:pPr>
              <w:suppressAutoHyphens/>
              <w:spacing w:after="60"/>
              <w:cnfStyle w:val="100000000000" w:firstRow="1" w:lastRow="0" w:firstColumn="0" w:lastColumn="0" w:oddVBand="0" w:evenVBand="0" w:oddHBand="0" w:evenHBand="0" w:firstRowFirstColumn="0" w:firstRowLastColumn="0" w:lastRowFirstColumn="0" w:lastRowLastColumn="0"/>
              <w:rPr>
                <w:rFonts w:cs="Arial"/>
                <w:b w:val="0"/>
                <w:iCs/>
                <w:color w:val="FFFFFF" w:themeColor="background1"/>
                <w:sz w:val="20"/>
                <w:szCs w:val="20"/>
              </w:rPr>
            </w:pPr>
            <w:r w:rsidRPr="005D1295">
              <w:rPr>
                <w:rFonts w:cs="Arial"/>
                <w:iCs/>
                <w:color w:val="FFFFFF" w:themeColor="background1"/>
                <w:sz w:val="20"/>
                <w:szCs w:val="20"/>
              </w:rPr>
              <w:t>Applications included in batch</w:t>
            </w:r>
          </w:p>
        </w:tc>
      </w:tr>
      <w:tr w:rsidR="00492F7D" w:rsidRPr="00ED2FED" w:rsidTr="00372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bottom w:val="single" w:sz="4" w:space="0" w:color="auto"/>
            </w:tcBorders>
            <w:shd w:val="clear" w:color="auto" w:fill="FFFFFF" w:themeFill="background1"/>
            <w:vAlign w:val="center"/>
          </w:tcPr>
          <w:p w:rsidR="00492F7D" w:rsidRPr="005D1295" w:rsidRDefault="00492F7D" w:rsidP="003120F8">
            <w:pPr>
              <w:tabs>
                <w:tab w:val="num" w:pos="284"/>
              </w:tabs>
              <w:spacing w:before="80" w:after="80" w:line="240" w:lineRule="auto"/>
              <w:ind w:left="284" w:hanging="284"/>
              <w:jc w:val="center"/>
              <w:rPr>
                <w:rFonts w:eastAsia="Calibri" w:cs="Arial"/>
                <w:b/>
                <w:sz w:val="20"/>
                <w:szCs w:val="20"/>
              </w:rPr>
            </w:pPr>
            <w:r w:rsidRPr="005D1295">
              <w:rPr>
                <w:rFonts w:eastAsia="Calibri" w:cs="Arial"/>
                <w:b/>
                <w:sz w:val="20"/>
                <w:szCs w:val="20"/>
              </w:rPr>
              <w:t>1</w:t>
            </w:r>
          </w:p>
        </w:tc>
        <w:tc>
          <w:tcPr>
            <w:tcW w:w="8505" w:type="dxa"/>
            <w:tcBorders>
              <w:top w:val="single" w:sz="4" w:space="0" w:color="auto"/>
              <w:bottom w:val="single" w:sz="4" w:space="0" w:color="auto"/>
            </w:tcBorders>
            <w:shd w:val="clear" w:color="auto" w:fill="FFFFFF" w:themeFill="background1"/>
          </w:tcPr>
          <w:p w:rsidR="00492F7D" w:rsidRPr="005D1295" w:rsidRDefault="00492F7D" w:rsidP="0067721A">
            <w:pPr>
              <w:tabs>
                <w:tab w:val="num" w:pos="284"/>
              </w:tabs>
              <w:spacing w:before="80" w:after="80" w:line="240" w:lineRule="auto"/>
              <w:ind w:left="284" w:hanging="284"/>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1295">
              <w:rPr>
                <w:rFonts w:eastAsia="Calibri" w:cs="Arial"/>
                <w:sz w:val="20"/>
                <w:szCs w:val="20"/>
              </w:rPr>
              <w:t xml:space="preserve">All applications submitted to the grant opportunity by </w:t>
            </w:r>
            <w:r w:rsidR="008A4107">
              <w:rPr>
                <w:rFonts w:eastAsia="Calibri" w:cs="Arial"/>
                <w:b/>
                <w:sz w:val="20"/>
                <w:szCs w:val="20"/>
              </w:rPr>
              <w:t>9</w:t>
            </w:r>
            <w:r w:rsidRPr="005D1295">
              <w:rPr>
                <w:rFonts w:eastAsia="Calibri" w:cs="Arial"/>
                <w:b/>
                <w:sz w:val="20"/>
                <w:szCs w:val="20"/>
              </w:rPr>
              <w:t>:00</w:t>
            </w:r>
            <w:r w:rsidR="00301DDB">
              <w:rPr>
                <w:rFonts w:eastAsia="Calibri" w:cs="Arial"/>
                <w:b/>
                <w:sz w:val="20"/>
                <w:szCs w:val="20"/>
              </w:rPr>
              <w:t xml:space="preserve"> </w:t>
            </w:r>
            <w:r w:rsidR="00FA3472">
              <w:rPr>
                <w:rFonts w:eastAsia="Calibri" w:cs="Arial"/>
                <w:b/>
                <w:sz w:val="20"/>
                <w:szCs w:val="20"/>
              </w:rPr>
              <w:t>pm</w:t>
            </w:r>
            <w:r w:rsidRPr="005D1295">
              <w:rPr>
                <w:rFonts w:eastAsia="Calibri" w:cs="Arial"/>
                <w:b/>
                <w:sz w:val="20"/>
                <w:szCs w:val="20"/>
              </w:rPr>
              <w:t xml:space="preserve"> AEST on </w:t>
            </w:r>
            <w:r w:rsidR="0067721A">
              <w:rPr>
                <w:rFonts w:eastAsia="Calibri" w:cs="Arial"/>
                <w:b/>
                <w:sz w:val="20"/>
                <w:szCs w:val="20"/>
              </w:rPr>
              <w:t>9</w:t>
            </w:r>
            <w:r w:rsidR="00164C9B">
              <w:rPr>
                <w:rFonts w:eastAsia="Calibri" w:cs="Arial"/>
                <w:b/>
                <w:sz w:val="20"/>
                <w:szCs w:val="20"/>
              </w:rPr>
              <w:t xml:space="preserve"> June 202</w:t>
            </w:r>
            <w:r w:rsidR="008A4107">
              <w:rPr>
                <w:rFonts w:eastAsia="Calibri" w:cs="Arial"/>
                <w:b/>
                <w:sz w:val="20"/>
                <w:szCs w:val="20"/>
              </w:rPr>
              <w:t>2</w:t>
            </w:r>
            <w:r w:rsidRPr="005D1295">
              <w:rPr>
                <w:rFonts w:eastAsia="Calibri" w:cs="Arial"/>
                <w:sz w:val="20"/>
                <w:szCs w:val="20"/>
              </w:rPr>
              <w:t>.</w:t>
            </w:r>
          </w:p>
        </w:tc>
      </w:tr>
      <w:tr w:rsidR="00492F7D" w:rsidRPr="00ED2FED" w:rsidTr="00372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bottom w:val="single" w:sz="4" w:space="0" w:color="auto"/>
            </w:tcBorders>
            <w:shd w:val="clear" w:color="auto" w:fill="FFFFFF" w:themeFill="background1"/>
            <w:vAlign w:val="center"/>
          </w:tcPr>
          <w:p w:rsidR="00492F7D" w:rsidRPr="005D1295" w:rsidRDefault="00492F7D" w:rsidP="003120F8">
            <w:pPr>
              <w:tabs>
                <w:tab w:val="num" w:pos="284"/>
              </w:tabs>
              <w:spacing w:before="80" w:after="80" w:line="240" w:lineRule="auto"/>
              <w:ind w:left="284" w:hanging="284"/>
              <w:jc w:val="center"/>
              <w:rPr>
                <w:rFonts w:eastAsia="Calibri" w:cs="Arial"/>
                <w:b/>
                <w:sz w:val="20"/>
                <w:szCs w:val="20"/>
              </w:rPr>
            </w:pPr>
            <w:r w:rsidRPr="005D1295">
              <w:rPr>
                <w:rFonts w:eastAsia="Calibri" w:cs="Arial"/>
                <w:b/>
                <w:sz w:val="20"/>
                <w:szCs w:val="20"/>
              </w:rPr>
              <w:t>2</w:t>
            </w:r>
          </w:p>
        </w:tc>
        <w:tc>
          <w:tcPr>
            <w:tcW w:w="8505" w:type="dxa"/>
            <w:tcBorders>
              <w:top w:val="single" w:sz="4" w:space="0" w:color="auto"/>
              <w:bottom w:val="single" w:sz="4" w:space="0" w:color="auto"/>
            </w:tcBorders>
          </w:tcPr>
          <w:p w:rsidR="00492F7D" w:rsidRPr="005D1295" w:rsidRDefault="00492F7D" w:rsidP="0067721A">
            <w:pPr>
              <w:tabs>
                <w:tab w:val="num" w:pos="284"/>
              </w:tabs>
              <w:spacing w:before="80" w:after="80" w:line="240" w:lineRule="auto"/>
              <w:ind w:left="284" w:hanging="284"/>
              <w:cnfStyle w:val="000000010000" w:firstRow="0" w:lastRow="0" w:firstColumn="0" w:lastColumn="0" w:oddVBand="0" w:evenVBand="0" w:oddHBand="0" w:evenHBand="1" w:firstRowFirstColumn="0" w:firstRowLastColumn="0" w:lastRowFirstColumn="0" w:lastRowLastColumn="0"/>
              <w:rPr>
                <w:rFonts w:eastAsia="Calibri" w:cs="Arial"/>
                <w:sz w:val="20"/>
                <w:szCs w:val="20"/>
              </w:rPr>
            </w:pPr>
            <w:r w:rsidRPr="005D1295">
              <w:rPr>
                <w:rFonts w:eastAsia="Calibri" w:cs="Arial"/>
                <w:sz w:val="20"/>
                <w:szCs w:val="20"/>
              </w:rPr>
              <w:t>All applications submitted to the grant opportunity by</w:t>
            </w:r>
            <w:r w:rsidR="008A4107">
              <w:rPr>
                <w:rFonts w:eastAsia="Calibri" w:cs="Arial"/>
                <w:b/>
                <w:sz w:val="20"/>
                <w:szCs w:val="20"/>
              </w:rPr>
              <w:t xml:space="preserve"> 9</w:t>
            </w:r>
            <w:r w:rsidRPr="005D1295">
              <w:rPr>
                <w:rFonts w:eastAsia="Calibri" w:cs="Arial"/>
                <w:b/>
                <w:sz w:val="20"/>
                <w:szCs w:val="20"/>
              </w:rPr>
              <w:t>:00</w:t>
            </w:r>
            <w:r w:rsidR="00301DDB">
              <w:rPr>
                <w:rFonts w:eastAsia="Calibri" w:cs="Arial"/>
                <w:b/>
                <w:sz w:val="20"/>
                <w:szCs w:val="20"/>
              </w:rPr>
              <w:t xml:space="preserve"> </w:t>
            </w:r>
            <w:r w:rsidR="00FA3472">
              <w:rPr>
                <w:rFonts w:eastAsia="Calibri" w:cs="Arial"/>
                <w:b/>
                <w:sz w:val="20"/>
                <w:szCs w:val="20"/>
              </w:rPr>
              <w:t>pm</w:t>
            </w:r>
            <w:r w:rsidRPr="005D1295">
              <w:rPr>
                <w:rFonts w:eastAsia="Calibri" w:cs="Arial"/>
                <w:b/>
                <w:sz w:val="20"/>
                <w:szCs w:val="20"/>
              </w:rPr>
              <w:t xml:space="preserve"> AEDT on </w:t>
            </w:r>
            <w:r w:rsidR="0067721A">
              <w:rPr>
                <w:rFonts w:eastAsia="Calibri" w:cs="Arial"/>
                <w:b/>
                <w:sz w:val="20"/>
                <w:szCs w:val="20"/>
              </w:rPr>
              <w:t>11</w:t>
            </w:r>
            <w:r w:rsidR="008A4107">
              <w:rPr>
                <w:rFonts w:eastAsia="Calibri" w:cs="Arial"/>
                <w:b/>
                <w:sz w:val="20"/>
                <w:szCs w:val="20"/>
              </w:rPr>
              <w:t xml:space="preserve"> October 2022</w:t>
            </w:r>
            <w:r w:rsidRPr="005D1295">
              <w:rPr>
                <w:rFonts w:eastAsia="Calibri" w:cs="Arial"/>
                <w:sz w:val="20"/>
                <w:szCs w:val="20"/>
              </w:rPr>
              <w:t>.</w:t>
            </w:r>
          </w:p>
        </w:tc>
      </w:tr>
      <w:tr w:rsidR="00492F7D" w:rsidRPr="00ED2FED" w:rsidTr="00372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bottom w:val="single" w:sz="4" w:space="0" w:color="auto"/>
            </w:tcBorders>
            <w:shd w:val="clear" w:color="auto" w:fill="FFFFFF" w:themeFill="background1"/>
            <w:vAlign w:val="center"/>
          </w:tcPr>
          <w:p w:rsidR="00492F7D" w:rsidRPr="005D1295" w:rsidRDefault="00492F7D" w:rsidP="003120F8">
            <w:pPr>
              <w:tabs>
                <w:tab w:val="num" w:pos="284"/>
              </w:tabs>
              <w:spacing w:before="80" w:after="80" w:line="240" w:lineRule="auto"/>
              <w:ind w:left="284" w:hanging="284"/>
              <w:jc w:val="center"/>
              <w:rPr>
                <w:rFonts w:eastAsia="Calibri" w:cs="Arial"/>
                <w:b/>
                <w:sz w:val="20"/>
                <w:szCs w:val="20"/>
              </w:rPr>
            </w:pPr>
            <w:r w:rsidRPr="005D1295">
              <w:rPr>
                <w:rFonts w:eastAsia="Calibri" w:cs="Arial"/>
                <w:b/>
                <w:sz w:val="20"/>
                <w:szCs w:val="20"/>
              </w:rPr>
              <w:t>3</w:t>
            </w:r>
          </w:p>
        </w:tc>
        <w:tc>
          <w:tcPr>
            <w:tcW w:w="8505" w:type="dxa"/>
            <w:tcBorders>
              <w:top w:val="single" w:sz="4" w:space="0" w:color="auto"/>
              <w:bottom w:val="single" w:sz="4" w:space="0" w:color="auto"/>
            </w:tcBorders>
            <w:shd w:val="clear" w:color="auto" w:fill="auto"/>
          </w:tcPr>
          <w:p w:rsidR="00492F7D" w:rsidRPr="005D1295" w:rsidRDefault="00492F7D" w:rsidP="0067721A">
            <w:pPr>
              <w:tabs>
                <w:tab w:val="num" w:pos="284"/>
              </w:tabs>
              <w:spacing w:before="80" w:after="80" w:line="240" w:lineRule="auto"/>
              <w:ind w:left="284" w:hanging="284"/>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1295">
              <w:rPr>
                <w:rFonts w:eastAsia="Calibri" w:cs="Arial"/>
                <w:sz w:val="20"/>
                <w:szCs w:val="20"/>
              </w:rPr>
              <w:t>All applications submitted to the grant opportunity by</w:t>
            </w:r>
            <w:r w:rsidR="008A4107">
              <w:rPr>
                <w:rFonts w:eastAsia="Calibri" w:cs="Arial"/>
                <w:b/>
                <w:sz w:val="20"/>
                <w:szCs w:val="20"/>
              </w:rPr>
              <w:t xml:space="preserve"> 9</w:t>
            </w:r>
            <w:r w:rsidRPr="005D1295">
              <w:rPr>
                <w:rFonts w:eastAsia="Calibri" w:cs="Arial"/>
                <w:b/>
                <w:sz w:val="20"/>
                <w:szCs w:val="20"/>
              </w:rPr>
              <w:t>:00</w:t>
            </w:r>
            <w:r w:rsidR="00301DDB">
              <w:rPr>
                <w:rFonts w:eastAsia="Calibri" w:cs="Arial"/>
                <w:b/>
                <w:sz w:val="20"/>
                <w:szCs w:val="20"/>
              </w:rPr>
              <w:t xml:space="preserve"> </w:t>
            </w:r>
            <w:r w:rsidR="00FA3472">
              <w:rPr>
                <w:rFonts w:eastAsia="Calibri" w:cs="Arial"/>
                <w:b/>
                <w:sz w:val="20"/>
                <w:szCs w:val="20"/>
              </w:rPr>
              <w:t>pm</w:t>
            </w:r>
            <w:r w:rsidRPr="005D1295">
              <w:rPr>
                <w:rFonts w:eastAsia="Calibri" w:cs="Arial"/>
                <w:b/>
                <w:sz w:val="20"/>
                <w:szCs w:val="20"/>
              </w:rPr>
              <w:t xml:space="preserve"> AEDT on </w:t>
            </w:r>
            <w:r w:rsidR="0067721A">
              <w:rPr>
                <w:rFonts w:eastAsia="Calibri" w:cs="Arial"/>
                <w:b/>
                <w:sz w:val="20"/>
                <w:szCs w:val="20"/>
              </w:rPr>
              <w:t>7</w:t>
            </w:r>
            <w:r w:rsidR="008A4107">
              <w:rPr>
                <w:rFonts w:eastAsia="Calibri" w:cs="Arial"/>
                <w:b/>
                <w:sz w:val="20"/>
                <w:szCs w:val="20"/>
              </w:rPr>
              <w:t xml:space="preserve"> February 2023</w:t>
            </w:r>
            <w:r w:rsidRPr="005D1295">
              <w:rPr>
                <w:rFonts w:eastAsia="Calibri" w:cs="Arial"/>
                <w:sz w:val="20"/>
                <w:szCs w:val="20"/>
              </w:rPr>
              <w:t>.</w:t>
            </w:r>
          </w:p>
        </w:tc>
      </w:tr>
    </w:tbl>
    <w:p w:rsidR="00372A52" w:rsidRDefault="00372A52" w:rsidP="00EF1936">
      <w:pPr>
        <w:ind w:left="426"/>
        <w:rPr>
          <w:lang w:val="en" w:eastAsia="en-AU"/>
        </w:rPr>
      </w:pPr>
    </w:p>
    <w:p w:rsidR="00CC1B7B" w:rsidRPr="00EF35CD" w:rsidRDefault="00CC1B7B" w:rsidP="00EF1936">
      <w:pPr>
        <w:ind w:left="426"/>
        <w:rPr>
          <w:lang w:val="en" w:eastAsia="en-AU"/>
        </w:rPr>
      </w:pPr>
      <w:r w:rsidRPr="00EF35CD">
        <w:rPr>
          <w:lang w:val="en" w:eastAsia="en-AU"/>
        </w:rPr>
        <w:t xml:space="preserve">It is recommended that you submit your application </w:t>
      </w:r>
      <w:r w:rsidRPr="00372A52">
        <w:rPr>
          <w:lang w:val="en" w:eastAsia="en-AU"/>
        </w:rPr>
        <w:t>well before the closing time and date</w:t>
      </w:r>
      <w:r w:rsidR="00492F7D" w:rsidRPr="00EF35CD">
        <w:rPr>
          <w:lang w:val="en" w:eastAsia="en-AU"/>
        </w:rPr>
        <w:t xml:space="preserve"> </w:t>
      </w:r>
      <w:r w:rsidR="00492F7D" w:rsidRPr="00372A52">
        <w:rPr>
          <w:lang w:val="en" w:eastAsia="en-AU"/>
        </w:rPr>
        <w:t>for each batch</w:t>
      </w:r>
      <w:r w:rsidR="00492F7D" w:rsidRPr="00EF35CD">
        <w:rPr>
          <w:lang w:val="en" w:eastAsia="en-AU"/>
        </w:rPr>
        <w:t xml:space="preserve">. </w:t>
      </w:r>
    </w:p>
    <w:p w:rsidR="00CC1B7B" w:rsidRPr="00443315" w:rsidRDefault="00CC1B7B" w:rsidP="00443315">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rsidR="00CC1B7B" w:rsidRDefault="00443315" w:rsidP="00182F83">
      <w:pPr>
        <w:ind w:left="426"/>
        <w:rPr>
          <w:lang w:eastAsia="en-AU"/>
        </w:rPr>
      </w:pPr>
      <w:r>
        <w:rPr>
          <w:lang w:eastAsia="en-AU"/>
        </w:rPr>
        <w:t>A</w:t>
      </w:r>
      <w:r w:rsidR="00CC1B7B" w:rsidRPr="00496141">
        <w:rPr>
          <w:lang w:eastAsia="en-AU"/>
        </w:rPr>
        <w:t>pplication</w:t>
      </w:r>
      <w:r>
        <w:rPr>
          <w:lang w:eastAsia="en-AU"/>
        </w:rPr>
        <w:t xml:space="preserve">s submitted from </w:t>
      </w:r>
      <w:r w:rsidR="0067721A">
        <w:rPr>
          <w:lang w:eastAsia="en-AU"/>
        </w:rPr>
        <w:t>9</w:t>
      </w:r>
      <w:r w:rsidR="008A4107">
        <w:rPr>
          <w:lang w:eastAsia="en-AU"/>
        </w:rPr>
        <w:t xml:space="preserve"> February 2022</w:t>
      </w:r>
      <w:r w:rsidRPr="00616A85">
        <w:rPr>
          <w:lang w:eastAsia="en-AU"/>
        </w:rPr>
        <w:t xml:space="preserve"> to</w:t>
      </w:r>
      <w:r w:rsidR="008A4107">
        <w:rPr>
          <w:lang w:eastAsia="en-AU"/>
        </w:rPr>
        <w:t xml:space="preserve"> 9</w:t>
      </w:r>
      <w:r>
        <w:rPr>
          <w:lang w:eastAsia="en-AU"/>
        </w:rPr>
        <w:t>:00</w:t>
      </w:r>
      <w:r w:rsidR="00301DDB">
        <w:rPr>
          <w:lang w:eastAsia="en-AU"/>
        </w:rPr>
        <w:t xml:space="preserve"> </w:t>
      </w:r>
      <w:r>
        <w:rPr>
          <w:lang w:eastAsia="en-AU"/>
        </w:rPr>
        <w:t xml:space="preserve">PM AEDT on </w:t>
      </w:r>
      <w:r w:rsidR="0067721A">
        <w:rPr>
          <w:lang w:eastAsia="en-AU"/>
        </w:rPr>
        <w:t>7</w:t>
      </w:r>
      <w:r w:rsidR="00CD261F">
        <w:rPr>
          <w:lang w:eastAsia="en-AU"/>
        </w:rPr>
        <w:t xml:space="preserve"> February 202</w:t>
      </w:r>
      <w:r w:rsidR="008A4107">
        <w:rPr>
          <w:lang w:eastAsia="en-AU"/>
        </w:rPr>
        <w:t>3</w:t>
      </w:r>
      <w:r>
        <w:rPr>
          <w:lang w:eastAsia="en-AU"/>
        </w:rPr>
        <w:t xml:space="preserve"> will be accepted. </w:t>
      </w:r>
      <w:r w:rsidR="00E76E00">
        <w:rPr>
          <w:lang w:eastAsia="en-AU"/>
        </w:rPr>
        <w:t xml:space="preserve">If you miss the deadline of the batch you wish to apply in, </w:t>
      </w:r>
      <w:r w:rsidR="00CC1B7B">
        <w:rPr>
          <w:lang w:eastAsia="en-AU"/>
        </w:rPr>
        <w:t xml:space="preserve">the </w:t>
      </w:r>
      <w:hyperlink r:id="rId12" w:tooltip="late application policy" w:history="1">
        <w:r w:rsidR="00CC1B7B">
          <w:rPr>
            <w:color w:val="0000FF"/>
            <w:u w:val="single"/>
            <w:lang w:eastAsia="en-AU"/>
          </w:rPr>
          <w:t>late application policy</w:t>
        </w:r>
      </w:hyperlink>
      <w:r w:rsidR="00CC1B7B">
        <w:rPr>
          <w:lang w:eastAsia="en-AU"/>
        </w:rPr>
        <w:t xml:space="preserve"> available on the Community Grants Hub website will apply.</w:t>
      </w:r>
    </w:p>
    <w:p w:rsidR="007820E5" w:rsidRPr="00372A52" w:rsidRDefault="007820E5" w:rsidP="00372A52">
      <w:pPr>
        <w:pStyle w:val="Heading2"/>
        <w:ind w:left="426"/>
        <w:rPr>
          <w:rFonts w:eastAsia="Calibri"/>
        </w:rPr>
      </w:pPr>
      <w:r w:rsidRPr="00C16AB6">
        <w:rPr>
          <w:rFonts w:eastAsia="Calibri"/>
        </w:rPr>
        <w:t>Eligibility</w:t>
      </w:r>
      <w:r w:rsidRPr="00372A52">
        <w:rPr>
          <w:rFonts w:eastAsia="Calibri"/>
        </w:rPr>
        <w:t xml:space="preserve"> </w:t>
      </w:r>
    </w:p>
    <w:p w:rsidR="0012459B" w:rsidRDefault="0012459B" w:rsidP="00372A52">
      <w:pPr>
        <w:pStyle w:val="Heading2"/>
        <w:numPr>
          <w:ilvl w:val="0"/>
          <w:numId w:val="6"/>
        </w:numPr>
        <w:ind w:left="426" w:hanging="426"/>
        <w:rPr>
          <w:rFonts w:eastAsia="Calibri"/>
        </w:rPr>
      </w:pPr>
      <w:r>
        <w:rPr>
          <w:rFonts w:eastAsia="Calibri"/>
        </w:rPr>
        <w:t xml:space="preserve">What is the aim of the </w:t>
      </w:r>
      <w:r w:rsidR="00BF1598" w:rsidRPr="000A0295">
        <w:rPr>
          <w:rFonts w:eastAsia="Calibri"/>
        </w:rPr>
        <w:t>STS</w:t>
      </w:r>
      <w:r>
        <w:rPr>
          <w:rFonts w:eastAsia="Calibri"/>
        </w:rPr>
        <w:t xml:space="preserve"> Program?</w:t>
      </w:r>
    </w:p>
    <w:p w:rsidR="00B12A0A" w:rsidRPr="00372A52" w:rsidRDefault="00E43252" w:rsidP="00372A52">
      <w:pPr>
        <w:ind w:left="426"/>
        <w:rPr>
          <w:b/>
          <w:lang w:eastAsia="en-AU"/>
        </w:rPr>
      </w:pPr>
      <w:r w:rsidRPr="00372A52">
        <w:rPr>
          <w:lang w:eastAsia="en-AU"/>
        </w:rPr>
        <w:t xml:space="preserve">The </w:t>
      </w:r>
      <w:r w:rsidR="00B12A0A" w:rsidRPr="00372A52">
        <w:rPr>
          <w:lang w:eastAsia="en-AU"/>
        </w:rPr>
        <w:t>STS P</w:t>
      </w:r>
      <w:r w:rsidR="0012459B" w:rsidRPr="00372A52">
        <w:rPr>
          <w:lang w:eastAsia="en-AU"/>
        </w:rPr>
        <w:t xml:space="preserve">rogram is designed to </w:t>
      </w:r>
      <w:r w:rsidR="00983658" w:rsidRPr="00372A52">
        <w:rPr>
          <w:lang w:eastAsia="en-AU"/>
        </w:rPr>
        <w:t>commemorate the service and sacrifice of Australia’s service personnel in wars, conflicts and peacekeeping operations</w:t>
      </w:r>
      <w:r w:rsidR="00B12A0A" w:rsidRPr="00372A52">
        <w:rPr>
          <w:lang w:eastAsia="en-AU"/>
        </w:rPr>
        <w:t>.</w:t>
      </w:r>
      <w:r w:rsidR="00983658" w:rsidRPr="00372A52">
        <w:rPr>
          <w:lang w:eastAsia="en-AU"/>
        </w:rPr>
        <w:t xml:space="preserve"> </w:t>
      </w:r>
      <w:r w:rsidR="00B12A0A" w:rsidRPr="00372A52">
        <w:rPr>
          <w:lang w:eastAsia="en-AU"/>
        </w:rPr>
        <w:t>Funding is available for</w:t>
      </w:r>
      <w:r w:rsidR="00983658" w:rsidRPr="00372A52">
        <w:rPr>
          <w:lang w:eastAsia="en-AU"/>
        </w:rPr>
        <w:t xml:space="preserve"> projects and activities that promote appreciation and understanding of the experiences of service and the roles that those who have served have played, and to preserve and add to the sum of knowledge about, or provide access to information about, Australia’s wartime heritage. </w:t>
      </w:r>
    </w:p>
    <w:p w:rsidR="00B12A0A" w:rsidRDefault="00B12A0A" w:rsidP="0012459B">
      <w:pPr>
        <w:pStyle w:val="Heading2"/>
        <w:numPr>
          <w:ilvl w:val="0"/>
          <w:numId w:val="6"/>
        </w:numPr>
        <w:ind w:left="426" w:hanging="426"/>
        <w:rPr>
          <w:rFonts w:eastAsia="Calibri"/>
        </w:rPr>
      </w:pPr>
      <w:r>
        <w:rPr>
          <w:rFonts w:eastAsia="Calibri"/>
        </w:rPr>
        <w:lastRenderedPageBreak/>
        <w:t>If I am not an eligible entity type, can I apply under the sponsorship of an eligible entity?</w:t>
      </w:r>
    </w:p>
    <w:p w:rsidR="00B12A0A" w:rsidRPr="00372A52" w:rsidRDefault="00B12A0A" w:rsidP="00372A52">
      <w:pPr>
        <w:ind w:left="426"/>
        <w:rPr>
          <w:lang w:eastAsia="en-AU"/>
        </w:rPr>
      </w:pPr>
      <w:r w:rsidRPr="00372A52">
        <w:rPr>
          <w:lang w:eastAsia="en-AU"/>
        </w:rPr>
        <w:t>No, you must be an eligible entity type listed in the Grant Opportunity Guidelines (see section 4.1) to be eligible to apply for funding. However, consortia are eligible to apply, see the relevant c</w:t>
      </w:r>
      <w:r w:rsidR="00FA3472" w:rsidRPr="00372A52">
        <w:rPr>
          <w:lang w:eastAsia="en-AU"/>
        </w:rPr>
        <w:t>onditions for consortia in the g</w:t>
      </w:r>
      <w:r w:rsidRPr="00372A52">
        <w:rPr>
          <w:lang w:eastAsia="en-AU"/>
        </w:rPr>
        <w:t xml:space="preserve">uidelines. </w:t>
      </w:r>
    </w:p>
    <w:p w:rsidR="0012459B" w:rsidRDefault="0012459B" w:rsidP="0012459B">
      <w:pPr>
        <w:pStyle w:val="Heading2"/>
        <w:numPr>
          <w:ilvl w:val="0"/>
          <w:numId w:val="6"/>
        </w:numPr>
        <w:ind w:left="426" w:hanging="426"/>
        <w:rPr>
          <w:rFonts w:eastAsia="Calibri"/>
        </w:rPr>
      </w:pPr>
      <w:r w:rsidRPr="00655363">
        <w:rPr>
          <w:rFonts w:eastAsia="Calibri"/>
        </w:rPr>
        <w:t>Items that I would like to seek funding for are not on the list of eligible items in the Grant Opportunity Guidelines</w:t>
      </w:r>
      <w:r w:rsidR="00301DDB">
        <w:rPr>
          <w:rFonts w:eastAsia="Calibri"/>
        </w:rPr>
        <w:t>. C</w:t>
      </w:r>
      <w:r w:rsidRPr="00655363">
        <w:rPr>
          <w:rFonts w:eastAsia="Calibri"/>
        </w:rPr>
        <w:t>an I still apply for these items?</w:t>
      </w:r>
    </w:p>
    <w:p w:rsidR="0012459B" w:rsidRPr="0032505C" w:rsidRDefault="0012459B" w:rsidP="0012459B">
      <w:pPr>
        <w:ind w:left="426"/>
        <w:rPr>
          <w:lang w:eastAsia="en-AU"/>
        </w:rPr>
      </w:pPr>
      <w:r w:rsidRPr="0025139B">
        <w:rPr>
          <w:lang w:eastAsia="en-AU"/>
        </w:rPr>
        <w:t>It is not possible to provid</w:t>
      </w:r>
      <w:r w:rsidR="00D63BEE">
        <w:rPr>
          <w:lang w:eastAsia="en-AU"/>
        </w:rPr>
        <w:t>e an exhaustive list of items/</w:t>
      </w:r>
      <w:r w:rsidRPr="0025139B">
        <w:rPr>
          <w:lang w:eastAsia="en-AU"/>
        </w:rPr>
        <w:t>projects that may be eligible for funding. Providing that the items you are seeking are directly connected to the delivery of the project, you should include them for consideration.</w:t>
      </w:r>
      <w:r w:rsidR="00102968">
        <w:rPr>
          <w:lang w:eastAsia="en-AU"/>
        </w:rPr>
        <w:t xml:space="preserve"> You can also indicate if the project will still go ahead if you are offered less than the full amount of funding you have applied for </w:t>
      </w:r>
      <w:r w:rsidR="002D10AD" w:rsidRPr="00EF35CD">
        <w:rPr>
          <w:lang w:eastAsia="en-AU"/>
        </w:rPr>
        <w:t>–</w:t>
      </w:r>
      <w:r w:rsidR="00102968">
        <w:rPr>
          <w:lang w:eastAsia="en-AU"/>
        </w:rPr>
        <w:t xml:space="preserve"> this means any items that are ineligible can be excluded from a potential grant offer. </w:t>
      </w:r>
    </w:p>
    <w:p w:rsidR="0012459B" w:rsidRPr="00175F66" w:rsidRDefault="0012459B" w:rsidP="0012459B">
      <w:pPr>
        <w:pStyle w:val="Heading2"/>
        <w:numPr>
          <w:ilvl w:val="0"/>
          <w:numId w:val="6"/>
        </w:numPr>
        <w:ind w:left="426" w:hanging="426"/>
        <w:rPr>
          <w:rFonts w:eastAsia="Calibri"/>
        </w:rPr>
      </w:pPr>
      <w:r>
        <w:rPr>
          <w:rFonts w:eastAsia="Calibri"/>
        </w:rPr>
        <w:t xml:space="preserve">Can I apply for multiple projects? </w:t>
      </w:r>
      <w:r w:rsidRPr="00175F66">
        <w:rPr>
          <w:rFonts w:eastAsia="Calibri"/>
        </w:rPr>
        <w:t xml:space="preserve">For </w:t>
      </w:r>
      <w:r>
        <w:rPr>
          <w:rFonts w:eastAsia="Calibri"/>
        </w:rPr>
        <w:t>example</w:t>
      </w:r>
      <w:r w:rsidR="007C79A1">
        <w:rPr>
          <w:rFonts w:eastAsia="Calibri"/>
        </w:rPr>
        <w:t>, can I</w:t>
      </w:r>
      <w:r w:rsidRPr="00175F66">
        <w:rPr>
          <w:rFonts w:eastAsia="Calibri"/>
        </w:rPr>
        <w:t xml:space="preserve"> submit </w:t>
      </w:r>
      <w:r w:rsidR="00301DDB">
        <w:rPr>
          <w:rFonts w:eastAsia="Calibri"/>
        </w:rPr>
        <w:t>2</w:t>
      </w:r>
      <w:r w:rsidR="00301DDB" w:rsidRPr="00175F66">
        <w:rPr>
          <w:rFonts w:eastAsia="Calibri"/>
        </w:rPr>
        <w:t xml:space="preserve"> </w:t>
      </w:r>
      <w:r w:rsidRPr="00175F66">
        <w:rPr>
          <w:rFonts w:eastAsia="Calibri"/>
        </w:rPr>
        <w:t xml:space="preserve">applications for </w:t>
      </w:r>
      <w:r w:rsidR="00301DDB">
        <w:rPr>
          <w:rFonts w:eastAsia="Calibri"/>
        </w:rPr>
        <w:t>2</w:t>
      </w:r>
      <w:r w:rsidR="00301DDB" w:rsidRPr="00175F66">
        <w:rPr>
          <w:rFonts w:eastAsia="Calibri"/>
        </w:rPr>
        <w:t xml:space="preserve"> </w:t>
      </w:r>
      <w:r w:rsidRPr="00175F66">
        <w:rPr>
          <w:rFonts w:eastAsia="Calibri"/>
        </w:rPr>
        <w:t xml:space="preserve">different </w:t>
      </w:r>
      <w:r>
        <w:rPr>
          <w:rFonts w:eastAsia="Calibri"/>
        </w:rPr>
        <w:t>project</w:t>
      </w:r>
      <w:r w:rsidR="00D10049">
        <w:rPr>
          <w:rFonts w:eastAsia="Calibri"/>
        </w:rPr>
        <w:t>s</w:t>
      </w:r>
      <w:r w:rsidRPr="00175F66">
        <w:rPr>
          <w:rFonts w:eastAsia="Calibri"/>
        </w:rPr>
        <w:t xml:space="preserve"> in </w:t>
      </w:r>
      <w:r w:rsidR="00301DDB">
        <w:rPr>
          <w:rFonts w:eastAsia="Calibri"/>
        </w:rPr>
        <w:t>2</w:t>
      </w:r>
      <w:r w:rsidR="00301DDB" w:rsidRPr="00175F66">
        <w:rPr>
          <w:rFonts w:eastAsia="Calibri"/>
        </w:rPr>
        <w:t xml:space="preserve"> </w:t>
      </w:r>
      <w:r w:rsidRPr="00175F66">
        <w:rPr>
          <w:rFonts w:eastAsia="Calibri"/>
        </w:rPr>
        <w:t xml:space="preserve">different states? </w:t>
      </w:r>
      <w:r w:rsidR="00FD162A">
        <w:rPr>
          <w:rFonts w:eastAsia="Calibri"/>
        </w:rPr>
        <w:t>If so, could I</w:t>
      </w:r>
      <w:r w:rsidRPr="00175F66">
        <w:rPr>
          <w:rFonts w:eastAsia="Calibri"/>
        </w:rPr>
        <w:t xml:space="preserve"> be successful in both?</w:t>
      </w:r>
    </w:p>
    <w:p w:rsidR="00A163E3" w:rsidRPr="00372A52" w:rsidRDefault="00983658" w:rsidP="00372A52">
      <w:pPr>
        <w:ind w:left="426"/>
        <w:rPr>
          <w:lang w:eastAsia="en-AU"/>
        </w:rPr>
      </w:pPr>
      <w:r w:rsidRPr="00372A52">
        <w:rPr>
          <w:lang w:eastAsia="en-AU"/>
        </w:rPr>
        <w:t>Yes,</w:t>
      </w:r>
      <w:r w:rsidR="00612970" w:rsidRPr="00372A52">
        <w:rPr>
          <w:lang w:eastAsia="en-AU"/>
        </w:rPr>
        <w:t xml:space="preserve"> there is no limit on the number of grants a single applicant organisation can </w:t>
      </w:r>
      <w:r w:rsidR="002D10AD" w:rsidRPr="00372A52">
        <w:rPr>
          <w:lang w:eastAsia="en-AU"/>
        </w:rPr>
        <w:t>receive. However</w:t>
      </w:r>
      <w:r w:rsidRPr="00372A52">
        <w:rPr>
          <w:lang w:eastAsia="en-AU"/>
        </w:rPr>
        <w:t xml:space="preserve"> o</w:t>
      </w:r>
      <w:r w:rsidR="00A163E3" w:rsidRPr="00372A52">
        <w:rPr>
          <w:lang w:eastAsia="en-AU"/>
        </w:rPr>
        <w:t xml:space="preserve">nly one application per </w:t>
      </w:r>
      <w:r w:rsidR="00B12A0A" w:rsidRPr="00372A52">
        <w:rPr>
          <w:lang w:eastAsia="en-AU"/>
        </w:rPr>
        <w:t xml:space="preserve">batch </w:t>
      </w:r>
      <w:r w:rsidR="00A163E3" w:rsidRPr="00372A52">
        <w:rPr>
          <w:lang w:eastAsia="en-AU"/>
        </w:rPr>
        <w:t xml:space="preserve">is to be made for each individual project or activity type listed in </w:t>
      </w:r>
      <w:r w:rsidR="00F760E1" w:rsidRPr="00372A52">
        <w:rPr>
          <w:lang w:eastAsia="en-AU"/>
        </w:rPr>
        <w:t xml:space="preserve">section </w:t>
      </w:r>
      <w:r w:rsidR="00A163E3" w:rsidRPr="00372A52">
        <w:rPr>
          <w:lang w:eastAsia="en-AU"/>
        </w:rPr>
        <w:t>5.1</w:t>
      </w:r>
      <w:r w:rsidR="00F760E1" w:rsidRPr="00372A52">
        <w:rPr>
          <w:lang w:eastAsia="en-AU"/>
        </w:rPr>
        <w:t xml:space="preserve"> of the Grant Opportunity Guidelines</w:t>
      </w:r>
      <w:r w:rsidR="00A163E3" w:rsidRPr="00372A52">
        <w:rPr>
          <w:lang w:eastAsia="en-AU"/>
        </w:rPr>
        <w:t>.</w:t>
      </w:r>
      <w:r w:rsidR="00612970" w:rsidRPr="00372A52">
        <w:rPr>
          <w:lang w:eastAsia="en-AU"/>
        </w:rPr>
        <w:t xml:space="preserve"> But if your organisation is running 2 different projects in different areas, 2 separate applications can be submitted. STS is a competitive grants program, and each application is individually assessed. </w:t>
      </w:r>
    </w:p>
    <w:p w:rsidR="006F4FBE" w:rsidRPr="00175F66" w:rsidRDefault="006F4FBE" w:rsidP="006F4FBE">
      <w:pPr>
        <w:pStyle w:val="Heading2"/>
        <w:numPr>
          <w:ilvl w:val="0"/>
          <w:numId w:val="6"/>
        </w:numPr>
        <w:ind w:left="426" w:hanging="426"/>
        <w:rPr>
          <w:rFonts w:eastAsia="Calibri"/>
        </w:rPr>
      </w:pPr>
      <w:r w:rsidRPr="00175F66">
        <w:rPr>
          <w:rFonts w:eastAsia="Calibri"/>
        </w:rPr>
        <w:t>Is the grant available for projects on Christmas Island, the Cocos (Keeling) Islands, Norfolk Island and Jervis Bay Territory?</w:t>
      </w:r>
    </w:p>
    <w:p w:rsidR="006F4FBE" w:rsidRDefault="006F4FBE" w:rsidP="00372A52">
      <w:pPr>
        <w:ind w:left="426"/>
        <w:rPr>
          <w:lang w:eastAsia="en-AU"/>
        </w:rPr>
      </w:pPr>
      <w:r w:rsidRPr="00FD1D6A">
        <w:rPr>
          <w:lang w:eastAsia="en-AU"/>
        </w:rPr>
        <w:t xml:space="preserve">Yes. The </w:t>
      </w:r>
      <w:r>
        <w:rPr>
          <w:lang w:eastAsia="en-AU"/>
        </w:rPr>
        <w:t>Grant Opportunity G</w:t>
      </w:r>
      <w:r w:rsidRPr="00FD1D6A">
        <w:rPr>
          <w:lang w:eastAsia="en-AU"/>
        </w:rPr>
        <w:t xml:space="preserve">uidelines do not specify that activities need to be undertaken on the Australian mainland. Provided all other requirements are met, applications </w:t>
      </w:r>
      <w:r>
        <w:rPr>
          <w:lang w:eastAsia="en-AU"/>
        </w:rPr>
        <w:t>for projects or activities in</w:t>
      </w:r>
      <w:r w:rsidRPr="00FD1D6A">
        <w:rPr>
          <w:lang w:eastAsia="en-AU"/>
        </w:rPr>
        <w:t xml:space="preserve"> any external Australian Territories would be eligible for consideration.</w:t>
      </w:r>
    </w:p>
    <w:p w:rsidR="007678B2" w:rsidRPr="00175F66" w:rsidRDefault="007678B2" w:rsidP="007678B2">
      <w:pPr>
        <w:pStyle w:val="Heading2"/>
        <w:numPr>
          <w:ilvl w:val="0"/>
          <w:numId w:val="6"/>
        </w:numPr>
        <w:ind w:left="426" w:hanging="426"/>
        <w:rPr>
          <w:rFonts w:eastAsia="Calibri"/>
        </w:rPr>
      </w:pPr>
      <w:r>
        <w:rPr>
          <w:rFonts w:eastAsia="Calibri"/>
        </w:rPr>
        <w:t>I w</w:t>
      </w:r>
      <w:r w:rsidR="002E151B">
        <w:rPr>
          <w:rFonts w:eastAsia="Calibri"/>
        </w:rPr>
        <w:t>ant to hold an event on 18 August</w:t>
      </w:r>
      <w:r>
        <w:rPr>
          <w:rFonts w:eastAsia="Calibri"/>
        </w:rPr>
        <w:t xml:space="preserve"> 2023 (Vietnam Veterans Day) to commemorate the 50</w:t>
      </w:r>
      <w:r w:rsidRPr="00942496">
        <w:rPr>
          <w:rFonts w:eastAsia="Calibri"/>
          <w:vertAlign w:val="superscript"/>
        </w:rPr>
        <w:t>th</w:t>
      </w:r>
      <w:r>
        <w:rPr>
          <w:rFonts w:eastAsia="Calibri"/>
        </w:rPr>
        <w:t xml:space="preserve"> anniversary of Australia’s withdrawal from the Vietnam War, is this eligible?</w:t>
      </w:r>
    </w:p>
    <w:p w:rsidR="007678B2" w:rsidRDefault="002E151B" w:rsidP="00372A52">
      <w:pPr>
        <w:ind w:left="426"/>
        <w:rPr>
          <w:lang w:eastAsia="en-AU"/>
        </w:rPr>
      </w:pPr>
      <w:r>
        <w:rPr>
          <w:lang w:eastAsia="en-AU"/>
        </w:rPr>
        <w:t xml:space="preserve">Yes. Events to commemorate a significant anniversary (defined as ending in a ‘5’ or a ‘0’) of a war, conflict or peace operation are eligible for funding, regardless of whether </w:t>
      </w:r>
      <w:r w:rsidR="0044024B">
        <w:rPr>
          <w:lang w:eastAsia="en-AU"/>
        </w:rPr>
        <w:t xml:space="preserve">or not </w:t>
      </w:r>
      <w:r>
        <w:rPr>
          <w:lang w:eastAsia="en-AU"/>
        </w:rPr>
        <w:t>they occur on a national commemorative day.</w:t>
      </w:r>
      <w:r w:rsidR="0044024B">
        <w:rPr>
          <w:lang w:eastAsia="en-AU"/>
        </w:rPr>
        <w:t xml:space="preserve"> However an event to commemorate a recurring annual commemorative day is not eligible. </w:t>
      </w:r>
    </w:p>
    <w:p w:rsidR="004E358F" w:rsidRPr="000A0295" w:rsidRDefault="004E358F" w:rsidP="00372A52">
      <w:pPr>
        <w:ind w:left="426"/>
        <w:rPr>
          <w:lang w:eastAsia="en-AU"/>
        </w:rPr>
      </w:pPr>
    </w:p>
    <w:p w:rsidR="0097249E" w:rsidRDefault="00FA3472" w:rsidP="00372A52">
      <w:pPr>
        <w:pStyle w:val="Heading2"/>
        <w:ind w:left="426"/>
        <w:rPr>
          <w:rFonts w:eastAsia="Calibri"/>
        </w:rPr>
      </w:pPr>
      <w:r>
        <w:rPr>
          <w:rFonts w:eastAsia="Calibri"/>
        </w:rPr>
        <w:lastRenderedPageBreak/>
        <w:t>Funding</w:t>
      </w:r>
    </w:p>
    <w:p w:rsidR="00371BC2" w:rsidRPr="00496141" w:rsidRDefault="00371BC2" w:rsidP="00371BC2">
      <w:pPr>
        <w:pStyle w:val="Heading2"/>
        <w:numPr>
          <w:ilvl w:val="0"/>
          <w:numId w:val="6"/>
        </w:numPr>
        <w:ind w:left="426" w:hanging="426"/>
        <w:rPr>
          <w:rFonts w:eastAsia="Calibri"/>
        </w:rPr>
      </w:pPr>
      <w:r w:rsidRPr="00496141">
        <w:rPr>
          <w:rFonts w:eastAsia="Calibri"/>
        </w:rPr>
        <w:t xml:space="preserve">How much funding is available for this </w:t>
      </w:r>
      <w:r w:rsidR="00E43252">
        <w:rPr>
          <w:rFonts w:eastAsia="Calibri"/>
        </w:rPr>
        <w:t>p</w:t>
      </w:r>
      <w:r>
        <w:rPr>
          <w:rFonts w:eastAsia="Calibri"/>
        </w:rPr>
        <w:t>rogram</w:t>
      </w:r>
      <w:r w:rsidRPr="00496141">
        <w:rPr>
          <w:rFonts w:eastAsia="Calibri"/>
        </w:rPr>
        <w:t>?</w:t>
      </w:r>
    </w:p>
    <w:p w:rsidR="00371BC2" w:rsidRPr="00577042" w:rsidRDefault="00332F4B" w:rsidP="00371BC2">
      <w:pPr>
        <w:ind w:left="426"/>
        <w:rPr>
          <w:lang w:eastAsia="en-AU"/>
        </w:rPr>
      </w:pPr>
      <w:r>
        <w:rPr>
          <w:lang w:eastAsia="en-AU"/>
        </w:rPr>
        <w:t>Up to</w:t>
      </w:r>
      <w:r w:rsidR="00371BC2" w:rsidRPr="00577042">
        <w:rPr>
          <w:lang w:eastAsia="en-AU"/>
        </w:rPr>
        <w:t xml:space="preserve"> </w:t>
      </w:r>
      <w:r w:rsidR="00371BC2" w:rsidRPr="00AF1FC1">
        <w:rPr>
          <w:lang w:eastAsia="en-AU"/>
        </w:rPr>
        <w:t>$</w:t>
      </w:r>
      <w:r w:rsidR="0062703B" w:rsidRPr="0067721A">
        <w:rPr>
          <w:lang w:eastAsia="en-AU"/>
        </w:rPr>
        <w:t>3</w:t>
      </w:r>
      <w:r w:rsidR="00C80548" w:rsidRPr="0067721A">
        <w:rPr>
          <w:lang w:eastAsia="en-AU"/>
        </w:rPr>
        <w:t>.5 million</w:t>
      </w:r>
      <w:r w:rsidR="00371BC2" w:rsidRPr="00AF1FC1">
        <w:rPr>
          <w:lang w:eastAsia="en-AU"/>
        </w:rPr>
        <w:t xml:space="preserve"> </w:t>
      </w:r>
      <w:r w:rsidR="00371BC2" w:rsidRPr="00577042">
        <w:rPr>
          <w:lang w:eastAsia="en-AU"/>
        </w:rPr>
        <w:t xml:space="preserve">(GST exclusive) </w:t>
      </w:r>
      <w:r w:rsidR="00520FCB">
        <w:rPr>
          <w:lang w:eastAsia="en-AU"/>
        </w:rPr>
        <w:t xml:space="preserve">is </w:t>
      </w:r>
      <w:r w:rsidR="00371BC2" w:rsidRPr="00577042">
        <w:rPr>
          <w:lang w:eastAsia="en-AU"/>
        </w:rPr>
        <w:t xml:space="preserve">available for the </w:t>
      </w:r>
      <w:r w:rsidR="000B3535">
        <w:rPr>
          <w:lang w:eastAsia="en-AU"/>
        </w:rPr>
        <w:t>2022</w:t>
      </w:r>
      <w:r w:rsidR="002D10AD" w:rsidRPr="00372A52">
        <w:rPr>
          <w:lang w:eastAsia="en-AU"/>
        </w:rPr>
        <w:t>–</w:t>
      </w:r>
      <w:r w:rsidR="00EC4B4F">
        <w:rPr>
          <w:lang w:eastAsia="en-AU"/>
        </w:rPr>
        <w:t>23</w:t>
      </w:r>
      <w:r w:rsidR="00371BC2" w:rsidRPr="00577042">
        <w:rPr>
          <w:lang w:eastAsia="en-AU"/>
        </w:rPr>
        <w:t xml:space="preserve"> financial year.</w:t>
      </w:r>
    </w:p>
    <w:p w:rsidR="0097249E" w:rsidRPr="00496141" w:rsidRDefault="0097249E" w:rsidP="0097249E">
      <w:pPr>
        <w:pStyle w:val="Heading2"/>
        <w:numPr>
          <w:ilvl w:val="0"/>
          <w:numId w:val="6"/>
        </w:numPr>
        <w:ind w:left="426" w:hanging="426"/>
        <w:rPr>
          <w:rFonts w:eastAsia="Calibri"/>
        </w:rPr>
      </w:pPr>
      <w:r w:rsidRPr="00496141">
        <w:rPr>
          <w:rFonts w:eastAsia="Calibri"/>
        </w:rPr>
        <w:t>Is the funding on-going?</w:t>
      </w:r>
    </w:p>
    <w:p w:rsidR="0097249E" w:rsidRPr="000A0295" w:rsidRDefault="0097249E" w:rsidP="000A0295">
      <w:pPr>
        <w:ind w:left="426"/>
        <w:rPr>
          <w:lang w:eastAsia="en-AU"/>
        </w:rPr>
      </w:pPr>
      <w:r>
        <w:rPr>
          <w:lang w:eastAsia="en-AU"/>
        </w:rPr>
        <w:t>No. Grants under the STS Program are meant as a one</w:t>
      </w:r>
      <w:r w:rsidR="00B12A0A">
        <w:rPr>
          <w:lang w:eastAsia="en-AU"/>
        </w:rPr>
        <w:t>-</w:t>
      </w:r>
      <w:r>
        <w:rPr>
          <w:lang w:eastAsia="en-AU"/>
        </w:rPr>
        <w:t>off financial contribution only.</w:t>
      </w:r>
    </w:p>
    <w:p w:rsidR="0097249E" w:rsidRDefault="0097249E" w:rsidP="00372A52">
      <w:pPr>
        <w:pStyle w:val="Heading2"/>
        <w:ind w:left="426"/>
        <w:rPr>
          <w:rFonts w:eastAsia="Calibri"/>
        </w:rPr>
      </w:pPr>
      <w:r>
        <w:rPr>
          <w:rFonts w:eastAsia="Calibri"/>
        </w:rPr>
        <w:t xml:space="preserve">Financial </w:t>
      </w:r>
      <w:r w:rsidR="006F4FBE">
        <w:rPr>
          <w:rFonts w:eastAsia="Calibri"/>
        </w:rPr>
        <w:t>Information</w:t>
      </w:r>
    </w:p>
    <w:p w:rsidR="00371BC2" w:rsidRDefault="00FD6E3E">
      <w:pPr>
        <w:pStyle w:val="Heading2"/>
        <w:numPr>
          <w:ilvl w:val="0"/>
          <w:numId w:val="6"/>
        </w:numPr>
        <w:ind w:left="426" w:hanging="426"/>
        <w:rPr>
          <w:rFonts w:eastAsia="Calibri"/>
        </w:rPr>
      </w:pPr>
      <w:r w:rsidRPr="005A0995">
        <w:rPr>
          <w:rFonts w:eastAsia="Calibri"/>
        </w:rPr>
        <w:t>Can I seek reimbursement for projects that have already been paid for prior to submission of an application?</w:t>
      </w:r>
    </w:p>
    <w:p w:rsidR="00F25553" w:rsidRDefault="00EC4B4F" w:rsidP="00372A52">
      <w:pPr>
        <w:ind w:left="426"/>
        <w:rPr>
          <w:lang w:eastAsia="en-AU"/>
        </w:rPr>
      </w:pPr>
      <w:r>
        <w:rPr>
          <w:lang w:eastAsia="en-AU"/>
        </w:rPr>
        <w:t>No, f</w:t>
      </w:r>
      <w:r w:rsidR="00DD348C">
        <w:rPr>
          <w:lang w:eastAsia="en-AU"/>
        </w:rPr>
        <w:t>unding requested for projects and activities</w:t>
      </w:r>
      <w:r w:rsidR="00F25553">
        <w:rPr>
          <w:lang w:eastAsia="en-AU"/>
        </w:rPr>
        <w:t xml:space="preserve">, including </w:t>
      </w:r>
      <w:r w:rsidR="0077169E">
        <w:rPr>
          <w:lang w:eastAsia="en-AU"/>
        </w:rPr>
        <w:t>events</w:t>
      </w:r>
      <w:r w:rsidR="00E76E00">
        <w:rPr>
          <w:lang w:eastAsia="en-AU"/>
        </w:rPr>
        <w:t>, or purchases, orders or installation of assets and supplies</w:t>
      </w:r>
      <w:r w:rsidR="0077169E">
        <w:rPr>
          <w:lang w:eastAsia="en-AU"/>
        </w:rPr>
        <w:t>, which</w:t>
      </w:r>
      <w:r w:rsidR="00DD348C">
        <w:rPr>
          <w:lang w:eastAsia="en-AU"/>
        </w:rPr>
        <w:t xml:space="preserve"> have already been complete</w:t>
      </w:r>
      <w:r w:rsidR="00F25553">
        <w:rPr>
          <w:lang w:eastAsia="en-AU"/>
        </w:rPr>
        <w:t>d</w:t>
      </w:r>
      <w:r w:rsidR="00DD348C">
        <w:rPr>
          <w:lang w:eastAsia="en-AU"/>
        </w:rPr>
        <w:t xml:space="preserve"> prior to the lodgement of an application </w:t>
      </w:r>
      <w:r w:rsidR="00F25553">
        <w:rPr>
          <w:lang w:eastAsia="en-AU"/>
        </w:rPr>
        <w:t>is</w:t>
      </w:r>
      <w:r w:rsidR="00DD348C">
        <w:rPr>
          <w:lang w:eastAsia="en-AU"/>
        </w:rPr>
        <w:t xml:space="preserve"> ineligible. </w:t>
      </w:r>
      <w:r w:rsidR="00102968">
        <w:rPr>
          <w:lang w:eastAsia="en-AU"/>
        </w:rPr>
        <w:t xml:space="preserve"> </w:t>
      </w:r>
    </w:p>
    <w:p w:rsidR="00472A79" w:rsidRPr="00472A79" w:rsidRDefault="00866FA1" w:rsidP="00372A52">
      <w:pPr>
        <w:ind w:left="426"/>
        <w:rPr>
          <w:lang w:eastAsia="en-AU"/>
        </w:rPr>
      </w:pPr>
      <w:r w:rsidRPr="00472A79">
        <w:rPr>
          <w:lang w:eastAsia="en-AU"/>
        </w:rPr>
        <w:t>We are not responsible for any expenditure incurred until a grant agreement is executed.</w:t>
      </w:r>
      <w:r w:rsidR="00472A79">
        <w:rPr>
          <w:lang w:eastAsia="en-AU"/>
        </w:rPr>
        <w:t xml:space="preserve"> </w:t>
      </w:r>
      <w:r w:rsidR="00472A79" w:rsidRPr="00472A79">
        <w:rPr>
          <w:lang w:eastAsia="en-AU"/>
        </w:rPr>
        <w:t>If your application is unsuccessful, we are not responsible for any expenditure incurred.</w:t>
      </w:r>
    </w:p>
    <w:p w:rsidR="007B0794" w:rsidRDefault="007B0794" w:rsidP="007B0794">
      <w:pPr>
        <w:pStyle w:val="Heading2"/>
        <w:numPr>
          <w:ilvl w:val="0"/>
          <w:numId w:val="6"/>
        </w:numPr>
        <w:ind w:left="426" w:hanging="426"/>
        <w:rPr>
          <w:rFonts w:eastAsia="Calibri"/>
        </w:rPr>
      </w:pPr>
      <w:r>
        <w:rPr>
          <w:rFonts w:eastAsia="Calibri"/>
        </w:rPr>
        <w:t>Should I include GST in my r</w:t>
      </w:r>
      <w:r w:rsidR="007C1429">
        <w:rPr>
          <w:rFonts w:eastAsia="Calibri"/>
        </w:rPr>
        <w:t>equested funding amount?</w:t>
      </w:r>
    </w:p>
    <w:p w:rsidR="00E43252" w:rsidRDefault="007B0794" w:rsidP="00372A52">
      <w:pPr>
        <w:ind w:left="426"/>
        <w:rPr>
          <w:lang w:eastAsia="en-AU"/>
        </w:rPr>
      </w:pPr>
      <w:r>
        <w:rPr>
          <w:lang w:eastAsia="en-AU"/>
        </w:rPr>
        <w:t>The Australian Taxation Office</w:t>
      </w:r>
      <w:r w:rsidR="00FB6023">
        <w:rPr>
          <w:lang w:eastAsia="en-AU"/>
        </w:rPr>
        <w:t xml:space="preserve"> (ATO)</w:t>
      </w:r>
      <w:r>
        <w:rPr>
          <w:lang w:eastAsia="en-AU"/>
        </w:rPr>
        <w:t xml:space="preserve"> advises that D</w:t>
      </w:r>
      <w:r w:rsidR="00F53DE4">
        <w:rPr>
          <w:lang w:eastAsia="en-AU"/>
        </w:rPr>
        <w:t xml:space="preserve">epartment of </w:t>
      </w:r>
      <w:r>
        <w:rPr>
          <w:lang w:eastAsia="en-AU"/>
        </w:rPr>
        <w:t>V</w:t>
      </w:r>
      <w:r w:rsidR="00F53DE4">
        <w:rPr>
          <w:lang w:eastAsia="en-AU"/>
        </w:rPr>
        <w:t xml:space="preserve">eterans’ </w:t>
      </w:r>
      <w:r>
        <w:rPr>
          <w:lang w:eastAsia="en-AU"/>
        </w:rPr>
        <w:t>A</w:t>
      </w:r>
      <w:r w:rsidR="00F53DE4">
        <w:rPr>
          <w:lang w:eastAsia="en-AU"/>
        </w:rPr>
        <w:t>ffairs (DVA)</w:t>
      </w:r>
      <w:r>
        <w:rPr>
          <w:lang w:eastAsia="en-AU"/>
        </w:rPr>
        <w:t xml:space="preserve"> grants are considered a Financial Assistance Payment and so they are not subject to GST.</w:t>
      </w:r>
    </w:p>
    <w:p w:rsidR="007B0794" w:rsidRDefault="007C1429" w:rsidP="00372A52">
      <w:pPr>
        <w:ind w:left="426"/>
        <w:rPr>
          <w:lang w:eastAsia="en-AU"/>
        </w:rPr>
      </w:pPr>
      <w:r>
        <w:rPr>
          <w:lang w:eastAsia="en-AU"/>
        </w:rPr>
        <w:t>In accordance with that advice,</w:t>
      </w:r>
    </w:p>
    <w:p w:rsidR="007B0794" w:rsidRPr="00372A52" w:rsidRDefault="007B0794" w:rsidP="00372A52">
      <w:pPr>
        <w:ind w:left="426"/>
        <w:rPr>
          <w:lang w:eastAsia="en-AU"/>
        </w:rPr>
      </w:pPr>
      <w:r w:rsidRPr="00372A52">
        <w:rPr>
          <w:lang w:eastAsia="en-AU"/>
        </w:rPr>
        <w:t>If your Organisation is registered for GST</w:t>
      </w:r>
      <w:r w:rsidR="00E43252" w:rsidRPr="00372A52">
        <w:rPr>
          <w:lang w:eastAsia="en-AU"/>
        </w:rPr>
        <w:t xml:space="preserve"> you:</w:t>
      </w:r>
    </w:p>
    <w:p w:rsidR="007B0794" w:rsidRDefault="007B0794" w:rsidP="00503AB1">
      <w:pPr>
        <w:pStyle w:val="BodyText"/>
        <w:numPr>
          <w:ilvl w:val="0"/>
          <w:numId w:val="42"/>
        </w:numPr>
        <w:spacing w:after="200" w:line="276" w:lineRule="auto"/>
        <w:ind w:left="782" w:hanging="357"/>
      </w:pPr>
      <w:r>
        <w:t>are required to calculate the GST exclusive component of the cost of any item or service purch</w:t>
      </w:r>
      <w:r w:rsidR="00E43252">
        <w:t>ased for your proposed project</w:t>
      </w:r>
    </w:p>
    <w:p w:rsidR="007B0794" w:rsidRDefault="007B0794" w:rsidP="00503AB1">
      <w:pPr>
        <w:pStyle w:val="BodyText"/>
        <w:numPr>
          <w:ilvl w:val="0"/>
          <w:numId w:val="42"/>
        </w:numPr>
        <w:spacing w:after="200" w:line="276" w:lineRule="auto"/>
        <w:ind w:left="782" w:hanging="357"/>
      </w:pPr>
      <w:r>
        <w:t>must provide the final total GST exclusive a</w:t>
      </w:r>
      <w:r w:rsidR="00E43252">
        <w:t>mount in your grant application</w:t>
      </w:r>
    </w:p>
    <w:p w:rsidR="007B0794" w:rsidRDefault="007B0794" w:rsidP="00503AB1">
      <w:pPr>
        <w:pStyle w:val="BodyText"/>
        <w:numPr>
          <w:ilvl w:val="0"/>
          <w:numId w:val="42"/>
        </w:numPr>
        <w:spacing w:after="200" w:line="276" w:lineRule="auto"/>
        <w:ind w:left="782" w:hanging="357"/>
      </w:pPr>
      <w:r>
        <w:t xml:space="preserve">can claim an input tax credit through your </w:t>
      </w:r>
      <w:r w:rsidR="00FB6023">
        <w:t xml:space="preserve">Business Activity </w:t>
      </w:r>
      <w:r>
        <w:t>Statement</w:t>
      </w:r>
      <w:r w:rsidR="00FB6023">
        <w:t xml:space="preserve"> (BAS)</w:t>
      </w:r>
      <w:r>
        <w:t xml:space="preserve"> to the ATO, for the GST component of purchased items or services.</w:t>
      </w:r>
    </w:p>
    <w:p w:rsidR="007B0794" w:rsidRPr="00372A52" w:rsidRDefault="007B0794" w:rsidP="00372A52">
      <w:pPr>
        <w:ind w:left="426"/>
        <w:rPr>
          <w:lang w:eastAsia="en-AU"/>
        </w:rPr>
      </w:pPr>
      <w:r w:rsidRPr="00372A52">
        <w:rPr>
          <w:lang w:eastAsia="en-AU"/>
        </w:rPr>
        <w:t>If your Organisation is NOT registered for GST</w:t>
      </w:r>
      <w:r w:rsidR="00E43252" w:rsidRPr="00372A52">
        <w:rPr>
          <w:lang w:eastAsia="en-AU"/>
        </w:rPr>
        <w:t xml:space="preserve"> you are:</w:t>
      </w:r>
    </w:p>
    <w:p w:rsidR="007B0794" w:rsidRDefault="007B0794" w:rsidP="00503AB1">
      <w:pPr>
        <w:pStyle w:val="BodyText"/>
        <w:numPr>
          <w:ilvl w:val="0"/>
          <w:numId w:val="41"/>
        </w:numPr>
        <w:spacing w:after="200" w:line="276" w:lineRule="auto"/>
        <w:ind w:left="782" w:hanging="357"/>
      </w:pPr>
      <w:r>
        <w:t>not able to request an input tax credit from the ATO for the GST component</w:t>
      </w:r>
      <w:r w:rsidR="00E43252">
        <w:t xml:space="preserve"> of purchased items or services</w:t>
      </w:r>
    </w:p>
    <w:p w:rsidR="007B0794" w:rsidRDefault="007B0794" w:rsidP="00503AB1">
      <w:pPr>
        <w:pStyle w:val="BodyText"/>
        <w:numPr>
          <w:ilvl w:val="0"/>
          <w:numId w:val="41"/>
        </w:numPr>
        <w:spacing w:after="200" w:line="276" w:lineRule="auto"/>
        <w:ind w:left="782" w:hanging="357"/>
      </w:pPr>
      <w:r>
        <w:t>required to provide the final GST inclusive amount in your grant application.</w:t>
      </w:r>
    </w:p>
    <w:p w:rsidR="007B0794" w:rsidRDefault="007B0794" w:rsidP="00372A52">
      <w:pPr>
        <w:ind w:left="426"/>
      </w:pPr>
      <w:r>
        <w:rPr>
          <w:lang w:eastAsia="en-AU"/>
        </w:rPr>
        <w:t>If</w:t>
      </w:r>
      <w:r>
        <w:t xml:space="preserve"> you have any queries in relation to the transactions you enter into with </w:t>
      </w:r>
      <w:r w:rsidR="00B43478">
        <w:t>third parties as a result of a g</w:t>
      </w:r>
      <w:r>
        <w:t xml:space="preserve">rant </w:t>
      </w:r>
      <w:r w:rsidR="00674C7D">
        <w:t xml:space="preserve">received under the </w:t>
      </w:r>
      <w:r w:rsidR="00BF1598" w:rsidRPr="000A0295">
        <w:t>STS</w:t>
      </w:r>
      <w:r w:rsidR="005C54AF">
        <w:rPr>
          <w:i/>
        </w:rPr>
        <w:t xml:space="preserve"> </w:t>
      </w:r>
      <w:r w:rsidR="005C54AF">
        <w:t>Program</w:t>
      </w:r>
      <w:r>
        <w:t xml:space="preserve">, you may wish to speak with the ATO or </w:t>
      </w:r>
      <w:r>
        <w:lastRenderedPageBreak/>
        <w:t>your financial advisor a</w:t>
      </w:r>
      <w:r w:rsidR="00476116">
        <w:t>bout the effect of receiving a grant before you enter into a grant a</w:t>
      </w:r>
      <w:r>
        <w:t xml:space="preserve">greement. You can also visit the </w:t>
      </w:r>
      <w:hyperlink r:id="rId13" w:history="1">
        <w:r w:rsidRPr="00430B6B">
          <w:rPr>
            <w:rStyle w:val="Hyperlink"/>
          </w:rPr>
          <w:t>Australian Taxation Office</w:t>
        </w:r>
      </w:hyperlink>
      <w:r>
        <w:t xml:space="preserve"> website for more information.</w:t>
      </w:r>
    </w:p>
    <w:p w:rsidR="00397EF1" w:rsidRDefault="00B47648" w:rsidP="00372A52">
      <w:pPr>
        <w:ind w:left="426"/>
      </w:pPr>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14"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rsidR="007B0794" w:rsidRPr="005C54AF" w:rsidRDefault="007B0794" w:rsidP="00372A52">
      <w:pPr>
        <w:pStyle w:val="BodyText"/>
        <w:keepNext/>
        <w:keepLines/>
        <w:spacing w:after="200" w:line="276" w:lineRule="auto"/>
        <w:ind w:left="425"/>
        <w:rPr>
          <w:b/>
        </w:rPr>
      </w:pPr>
      <w:r w:rsidRPr="005C54AF">
        <w:rPr>
          <w:b/>
        </w:rPr>
        <w:t>For example</w:t>
      </w:r>
      <w:r w:rsidR="00757678">
        <w:rPr>
          <w:b/>
        </w:rPr>
        <w:t>:</w:t>
      </w:r>
      <w:r w:rsidRPr="005C54AF">
        <w:rPr>
          <w:b/>
        </w:rPr>
        <w:t xml:space="preserve"> </w:t>
      </w:r>
    </w:p>
    <w:p w:rsidR="007B0794" w:rsidRPr="00372A52" w:rsidRDefault="00E43252" w:rsidP="00372A52">
      <w:pPr>
        <w:keepNext/>
        <w:keepLines/>
        <w:ind w:left="425"/>
      </w:pPr>
      <w:r w:rsidRPr="00372A52">
        <w:t>Your o</w:t>
      </w:r>
      <w:r w:rsidR="007B0794" w:rsidRPr="00372A52">
        <w:t>rganisation is registered for GST</w:t>
      </w:r>
    </w:p>
    <w:p w:rsidR="007B0794" w:rsidRPr="00A6374E" w:rsidRDefault="007B0794" w:rsidP="000B3535">
      <w:pPr>
        <w:pStyle w:val="Bullet3"/>
        <w:keepNext/>
        <w:keepLines/>
        <w:numPr>
          <w:ilvl w:val="0"/>
          <w:numId w:val="24"/>
        </w:numPr>
        <w:spacing w:before="0" w:after="120" w:line="276" w:lineRule="auto"/>
        <w:ind w:left="782" w:hanging="357"/>
      </w:pPr>
      <w:r>
        <w:t xml:space="preserve">You are applying for </w:t>
      </w:r>
      <w:r w:rsidR="007A77C0">
        <w:rPr>
          <w:rFonts w:cs="Arial"/>
        </w:rPr>
        <w:t>a commemorative plaque</w:t>
      </w:r>
      <w:r>
        <w:rPr>
          <w:rFonts w:cs="Arial"/>
        </w:rPr>
        <w:t xml:space="preserve"> in your </w:t>
      </w:r>
      <w:r w:rsidR="00BF1598">
        <w:rPr>
          <w:rFonts w:cs="Arial"/>
        </w:rPr>
        <w:t>STS</w:t>
      </w:r>
      <w:r w:rsidR="00D94FAA" w:rsidRPr="00D94FAA">
        <w:rPr>
          <w:rFonts w:cs="Arial"/>
          <w:i/>
        </w:rPr>
        <w:t xml:space="preserve"> </w:t>
      </w:r>
      <w:r w:rsidR="007C1429">
        <w:rPr>
          <w:rFonts w:cs="Arial"/>
        </w:rPr>
        <w:t>application.</w:t>
      </w:r>
      <w:r>
        <w:rPr>
          <w:rFonts w:cs="Arial"/>
        </w:rPr>
        <w:t xml:space="preserve">The cost of your </w:t>
      </w:r>
      <w:r w:rsidR="007A77C0">
        <w:rPr>
          <w:rFonts w:cs="Arial"/>
        </w:rPr>
        <w:t>plaque</w:t>
      </w:r>
      <w:r>
        <w:rPr>
          <w:rFonts w:cs="Arial"/>
        </w:rPr>
        <w:t xml:space="preserve"> is $1,000 plus $100.00 GST</w:t>
      </w:r>
      <w:r w:rsidR="002D10AD">
        <w:rPr>
          <w:rFonts w:cs="Arial"/>
        </w:rPr>
        <w:t>.</w:t>
      </w:r>
      <w:r>
        <w:rPr>
          <w:rFonts w:cs="Arial"/>
        </w:rPr>
        <w:br/>
        <w:t>The total cost is $1,100 (GST inclusive).</w:t>
      </w:r>
    </w:p>
    <w:p w:rsidR="007B0794" w:rsidRDefault="007B0794" w:rsidP="000B3535">
      <w:pPr>
        <w:pStyle w:val="Bullet3"/>
        <w:numPr>
          <w:ilvl w:val="0"/>
          <w:numId w:val="24"/>
        </w:numPr>
        <w:spacing w:before="0" w:after="120" w:line="276" w:lineRule="auto"/>
        <w:ind w:left="782" w:hanging="357"/>
      </w:pPr>
      <w:r>
        <w:t xml:space="preserve">You will enter $1,000 in your </w:t>
      </w:r>
      <w:r w:rsidR="00BF1598">
        <w:rPr>
          <w:rFonts w:cs="Arial"/>
        </w:rPr>
        <w:t>STS</w:t>
      </w:r>
      <w:r w:rsidR="00D94FAA" w:rsidRPr="00D94FAA">
        <w:rPr>
          <w:rFonts w:cs="Arial"/>
          <w:i/>
        </w:rPr>
        <w:t xml:space="preserve"> </w:t>
      </w:r>
      <w:r>
        <w:t>application.</w:t>
      </w:r>
    </w:p>
    <w:p w:rsidR="005C54AF" w:rsidRDefault="005C54AF" w:rsidP="000B3535">
      <w:pPr>
        <w:pStyle w:val="Bullet3"/>
        <w:numPr>
          <w:ilvl w:val="0"/>
          <w:numId w:val="24"/>
        </w:numPr>
        <w:spacing w:before="0" w:after="120" w:line="276" w:lineRule="auto"/>
        <w:ind w:left="782" w:hanging="357"/>
      </w:pPr>
      <w:r>
        <w:t>If your application is successful</w:t>
      </w:r>
      <w:r w:rsidR="00757678">
        <w:t>,</w:t>
      </w:r>
      <w:r>
        <w:t xml:space="preserve"> you will receive a grant for your </w:t>
      </w:r>
      <w:r>
        <w:rPr>
          <w:rFonts w:cs="Arial"/>
        </w:rPr>
        <w:t xml:space="preserve">commemorative plaque </w:t>
      </w:r>
      <w:r w:rsidR="007C1429">
        <w:t>for $1,000.</w:t>
      </w:r>
    </w:p>
    <w:p w:rsidR="005C54AF" w:rsidRDefault="005C54AF" w:rsidP="000B3535">
      <w:pPr>
        <w:pStyle w:val="Bullet3"/>
        <w:numPr>
          <w:ilvl w:val="0"/>
          <w:numId w:val="24"/>
        </w:numPr>
        <w:spacing w:before="0" w:after="120" w:line="276" w:lineRule="auto"/>
        <w:ind w:left="782" w:hanging="357"/>
      </w:pPr>
      <w:r>
        <w:t xml:space="preserve">You may then claim an input tax credit through your BAS to the ATO for the $100 GST component of the purchased </w:t>
      </w:r>
      <w:r>
        <w:rPr>
          <w:rFonts w:cs="Arial"/>
        </w:rPr>
        <w:t>commemorative plaque</w:t>
      </w:r>
      <w:r>
        <w:t xml:space="preserve">. More information about how to claim input tax credits is available on the </w:t>
      </w:r>
      <w:hyperlink r:id="rId15" w:history="1">
        <w:r w:rsidRPr="00625ADB">
          <w:rPr>
            <w:rStyle w:val="Hyperlink"/>
          </w:rPr>
          <w:t>ATO website</w:t>
        </w:r>
      </w:hyperlink>
      <w:r>
        <w:t xml:space="preserve">. </w:t>
      </w:r>
    </w:p>
    <w:p w:rsidR="007B0794" w:rsidRPr="00372A52" w:rsidRDefault="00E43252" w:rsidP="00372A52">
      <w:pPr>
        <w:ind w:left="426"/>
      </w:pPr>
      <w:r w:rsidRPr="00372A52">
        <w:t>Your o</w:t>
      </w:r>
      <w:r w:rsidR="007B0794" w:rsidRPr="00372A52">
        <w:t>rganisation is NOT registered for GST</w:t>
      </w:r>
    </w:p>
    <w:p w:rsidR="007B0794" w:rsidRPr="00A6374E" w:rsidRDefault="007B0794" w:rsidP="000B3535">
      <w:pPr>
        <w:pStyle w:val="Bullet3"/>
        <w:numPr>
          <w:ilvl w:val="0"/>
          <w:numId w:val="24"/>
        </w:numPr>
        <w:spacing w:before="0" w:after="120" w:line="276" w:lineRule="auto"/>
        <w:ind w:left="782" w:hanging="357"/>
      </w:pPr>
      <w:r>
        <w:t xml:space="preserve">You are applying for </w:t>
      </w:r>
      <w:r w:rsidR="007A77C0">
        <w:t xml:space="preserve">a commemorative plaque </w:t>
      </w:r>
      <w:r>
        <w:rPr>
          <w:rFonts w:cs="Arial"/>
        </w:rPr>
        <w:t xml:space="preserve">in your </w:t>
      </w:r>
      <w:r w:rsidR="00BF1598">
        <w:rPr>
          <w:rFonts w:cs="Arial"/>
        </w:rPr>
        <w:t>STS</w:t>
      </w:r>
      <w:r w:rsidR="00D94FAA" w:rsidRPr="00D94FAA">
        <w:rPr>
          <w:rFonts w:cs="Arial"/>
          <w:i/>
        </w:rPr>
        <w:t xml:space="preserve"> </w:t>
      </w:r>
      <w:r w:rsidR="007C1429">
        <w:rPr>
          <w:rFonts w:cs="Arial"/>
        </w:rPr>
        <w:t>application.</w:t>
      </w:r>
      <w:r>
        <w:rPr>
          <w:rFonts w:cs="Arial"/>
        </w:rPr>
        <w:br/>
        <w:t xml:space="preserve">The cost of your </w:t>
      </w:r>
      <w:r w:rsidR="007A77C0">
        <w:rPr>
          <w:rFonts w:cs="Arial"/>
        </w:rPr>
        <w:t>plaque</w:t>
      </w:r>
      <w:r>
        <w:rPr>
          <w:rFonts w:cs="Arial"/>
        </w:rPr>
        <w:t xml:space="preserve"> is $1,000 plus $100.00 GST</w:t>
      </w:r>
      <w:r w:rsidR="002D10AD">
        <w:rPr>
          <w:rFonts w:cs="Arial"/>
        </w:rPr>
        <w:t>.</w:t>
      </w:r>
      <w:r>
        <w:rPr>
          <w:rFonts w:cs="Arial"/>
        </w:rPr>
        <w:br/>
        <w:t>The total cost is $1,100 (GST inclusive).</w:t>
      </w:r>
    </w:p>
    <w:p w:rsidR="007B0794" w:rsidRDefault="007B0794" w:rsidP="000B3535">
      <w:pPr>
        <w:pStyle w:val="Bullet3"/>
        <w:numPr>
          <w:ilvl w:val="0"/>
          <w:numId w:val="24"/>
        </w:numPr>
        <w:spacing w:before="0" w:after="120" w:line="276" w:lineRule="auto"/>
        <w:ind w:left="782" w:hanging="357"/>
      </w:pPr>
      <w:r>
        <w:t xml:space="preserve">You will enter $1,100 in your </w:t>
      </w:r>
      <w:r w:rsidR="00BF1598">
        <w:rPr>
          <w:rFonts w:cs="Arial"/>
        </w:rPr>
        <w:t>STS</w:t>
      </w:r>
      <w:r w:rsidR="00D94FAA" w:rsidRPr="00D94FAA">
        <w:rPr>
          <w:rFonts w:cs="Arial"/>
          <w:i/>
        </w:rPr>
        <w:t xml:space="preserve"> </w:t>
      </w:r>
      <w:r>
        <w:t>application.</w:t>
      </w:r>
    </w:p>
    <w:p w:rsidR="005C54AF" w:rsidRDefault="005C54AF" w:rsidP="000B3535">
      <w:pPr>
        <w:pStyle w:val="Bullet3"/>
        <w:numPr>
          <w:ilvl w:val="0"/>
          <w:numId w:val="24"/>
        </w:numPr>
        <w:spacing w:before="0" w:after="120" w:line="276" w:lineRule="auto"/>
        <w:ind w:left="782" w:hanging="357"/>
      </w:pPr>
      <w:r>
        <w:t>If your application is successful</w:t>
      </w:r>
      <w:r w:rsidR="00757678">
        <w:t>,</w:t>
      </w:r>
      <w:r>
        <w:t xml:space="preserve"> you will receive a grant for your </w:t>
      </w:r>
      <w:r>
        <w:rPr>
          <w:rFonts w:cs="Arial"/>
        </w:rPr>
        <w:t>commemorative plaque</w:t>
      </w:r>
      <w:r w:rsidR="007C1429">
        <w:t xml:space="preserve"> for $1,100.</w:t>
      </w:r>
    </w:p>
    <w:p w:rsidR="007B0794" w:rsidRDefault="007B0794" w:rsidP="007B0794">
      <w:pPr>
        <w:pStyle w:val="Heading2"/>
        <w:numPr>
          <w:ilvl w:val="0"/>
          <w:numId w:val="6"/>
        </w:numPr>
        <w:ind w:left="426" w:hanging="426"/>
        <w:rPr>
          <w:rFonts w:eastAsia="Calibri"/>
        </w:rPr>
      </w:pPr>
      <w:r>
        <w:rPr>
          <w:rFonts w:eastAsia="Calibri"/>
        </w:rPr>
        <w:t>How do I know if my organisation is GST registered?</w:t>
      </w:r>
    </w:p>
    <w:p w:rsidR="00301DDB" w:rsidRDefault="00F63CE1" w:rsidP="00F63CE1">
      <w:pPr>
        <w:ind w:left="426"/>
      </w:pPr>
      <w:r>
        <w:t>For further guidance, seek advice from your financial advisor.</w:t>
      </w:r>
    </w:p>
    <w:p w:rsidR="00F63CE1" w:rsidRDefault="00F63CE1" w:rsidP="00F63CE1">
      <w:pPr>
        <w:ind w:left="426"/>
      </w:pPr>
      <w:r>
        <w:t xml:space="preserve">If your details are up to date, you can find your GST registration status on the </w:t>
      </w:r>
      <w:hyperlink r:id="rId16" w:history="1">
        <w:r w:rsidRPr="00870367">
          <w:rPr>
            <w:rStyle w:val="Hyperlink"/>
          </w:rPr>
          <w:t>Australian Business Register website</w:t>
        </w:r>
      </w:hyperlink>
      <w:r>
        <w:t xml:space="preserve"> by using the ABN Lookup tool. </w:t>
      </w:r>
    </w:p>
    <w:p w:rsidR="00B86424" w:rsidRDefault="00F63CE1" w:rsidP="00503AB1">
      <w:pPr>
        <w:ind w:left="426"/>
      </w:pPr>
      <w:r>
        <w:t xml:space="preserve">More information on GST can be found on the </w:t>
      </w:r>
      <w:hyperlink r:id="rId17" w:history="1">
        <w:r w:rsidRPr="00FF55DD">
          <w:rPr>
            <w:rStyle w:val="Hyperlink"/>
          </w:rPr>
          <w:t>ATO</w:t>
        </w:r>
      </w:hyperlink>
      <w:r>
        <w:t xml:space="preserve"> website. </w:t>
      </w:r>
    </w:p>
    <w:p w:rsidR="004E358F" w:rsidRDefault="004E358F" w:rsidP="00503AB1">
      <w:pPr>
        <w:ind w:left="426"/>
      </w:pPr>
    </w:p>
    <w:p w:rsidR="004E358F" w:rsidRPr="00503AB1" w:rsidRDefault="004E358F" w:rsidP="00503AB1">
      <w:pPr>
        <w:ind w:left="426"/>
      </w:pPr>
      <w:bookmarkStart w:id="0" w:name="_GoBack"/>
      <w:bookmarkEnd w:id="0"/>
    </w:p>
    <w:p w:rsidR="008D4C41" w:rsidRDefault="008D4C41" w:rsidP="00372A52">
      <w:pPr>
        <w:pStyle w:val="Heading2"/>
        <w:numPr>
          <w:ilvl w:val="0"/>
          <w:numId w:val="6"/>
        </w:numPr>
        <w:ind w:left="426" w:hanging="426"/>
        <w:rPr>
          <w:rFonts w:eastAsia="Calibri"/>
        </w:rPr>
      </w:pPr>
      <w:r>
        <w:rPr>
          <w:rFonts w:eastAsia="Calibri"/>
        </w:rPr>
        <w:lastRenderedPageBreak/>
        <w:t>Do I need to provide</w:t>
      </w:r>
      <w:r w:rsidR="00240A68">
        <w:rPr>
          <w:rFonts w:eastAsia="Calibri"/>
        </w:rPr>
        <w:t xml:space="preserve"> quantity surveyor costings or</w:t>
      </w:r>
      <w:r>
        <w:rPr>
          <w:rFonts w:eastAsia="Calibri"/>
        </w:rPr>
        <w:t xml:space="preserve"> quotes with my application?</w:t>
      </w:r>
    </w:p>
    <w:p w:rsidR="00264D01" w:rsidRPr="00372A52" w:rsidRDefault="00264D01" w:rsidP="00503AB1">
      <w:pPr>
        <w:ind w:left="425"/>
        <w:rPr>
          <w:lang w:eastAsia="en-AU"/>
        </w:rPr>
      </w:pPr>
      <w:r w:rsidRPr="00372A52">
        <w:rPr>
          <w:lang w:eastAsia="en-AU"/>
        </w:rPr>
        <w:t>If applying under the Community Grants category:</w:t>
      </w:r>
    </w:p>
    <w:p w:rsidR="00264D01" w:rsidRDefault="00264D01" w:rsidP="00372A52">
      <w:pPr>
        <w:pStyle w:val="Bullet3"/>
        <w:numPr>
          <w:ilvl w:val="0"/>
          <w:numId w:val="24"/>
        </w:numPr>
        <w:spacing w:before="0" w:after="120" w:line="276" w:lineRule="auto"/>
        <w:ind w:left="782" w:hanging="357"/>
      </w:pPr>
      <w:r>
        <w:t xml:space="preserve">No, it is not necessary to include quantity surveyor costings or quotes with your application form. </w:t>
      </w:r>
    </w:p>
    <w:p w:rsidR="00264D01" w:rsidRPr="00372A52" w:rsidRDefault="00264D01" w:rsidP="00503AB1">
      <w:pPr>
        <w:ind w:left="426"/>
      </w:pPr>
      <w:r w:rsidRPr="00372A52">
        <w:t>If applying under the Major Grants category:</w:t>
      </w:r>
    </w:p>
    <w:p w:rsidR="008D4C41" w:rsidRDefault="00240A68" w:rsidP="00372A52">
      <w:pPr>
        <w:pStyle w:val="Bullet3"/>
        <w:numPr>
          <w:ilvl w:val="0"/>
          <w:numId w:val="24"/>
        </w:numPr>
        <w:spacing w:before="0" w:after="120" w:line="276" w:lineRule="auto"/>
        <w:ind w:left="782" w:hanging="357"/>
      </w:pPr>
      <w:r>
        <w:t xml:space="preserve">It is not mandatory to provide quantity surveyor costings or quotes with your </w:t>
      </w:r>
      <w:r w:rsidR="00264D01">
        <w:t>application;</w:t>
      </w:r>
      <w:r>
        <w:t xml:space="preserve"> </w:t>
      </w:r>
      <w:r w:rsidR="00264D01">
        <w:t>however,</w:t>
      </w:r>
      <w:r w:rsidR="00DC655B">
        <w:t xml:space="preserve"> these</w:t>
      </w:r>
      <w:r>
        <w:t xml:space="preserve"> will be taken into account during the assessment process to determine</w:t>
      </w:r>
      <w:r w:rsidR="00503AB1">
        <w:t xml:space="preserve"> the readiness of your project.</w:t>
      </w:r>
    </w:p>
    <w:p w:rsidR="00F90CAC" w:rsidRDefault="00240A68" w:rsidP="00503AB1">
      <w:pPr>
        <w:ind w:left="425"/>
        <w:rPr>
          <w:lang w:eastAsia="en-AU"/>
        </w:rPr>
      </w:pPr>
      <w:r>
        <w:rPr>
          <w:lang w:eastAsia="en-AU"/>
        </w:rPr>
        <w:t xml:space="preserve">All applicants </w:t>
      </w:r>
      <w:r w:rsidR="00E76E00">
        <w:rPr>
          <w:lang w:eastAsia="en-AU"/>
        </w:rPr>
        <w:t xml:space="preserve">(Community and Major Grants categories) </w:t>
      </w:r>
      <w:r w:rsidR="00F90CAC">
        <w:rPr>
          <w:lang w:eastAsia="en-AU"/>
        </w:rPr>
        <w:t xml:space="preserve">must complete the project budget table within the online application form, outlining your </w:t>
      </w:r>
      <w:r w:rsidR="00F90CAC" w:rsidRPr="00F90CAC">
        <w:rPr>
          <w:lang w:eastAsia="en-AU"/>
        </w:rPr>
        <w:t>p</w:t>
      </w:r>
      <w:r w:rsidR="00301DDB">
        <w:rPr>
          <w:lang w:eastAsia="en-AU"/>
        </w:rPr>
        <w:t>roposed expenditure (including n</w:t>
      </w:r>
      <w:r w:rsidR="00F90CAC" w:rsidRPr="00F90CAC">
        <w:rPr>
          <w:lang w:eastAsia="en-AU"/>
        </w:rPr>
        <w:t>il expenditure where relevant) in each of the expenditure categories. These</w:t>
      </w:r>
      <w:r w:rsidR="00F90CAC">
        <w:rPr>
          <w:lang w:eastAsia="en-AU"/>
        </w:rPr>
        <w:t xml:space="preserve"> categories are explained in section 5.2 of the Grant Opportunity Guidelines.</w:t>
      </w:r>
    </w:p>
    <w:p w:rsidR="006F4FBE" w:rsidRPr="00F96901" w:rsidRDefault="006F4FBE" w:rsidP="006F4FBE">
      <w:pPr>
        <w:pStyle w:val="Heading2"/>
        <w:numPr>
          <w:ilvl w:val="0"/>
          <w:numId w:val="6"/>
        </w:numPr>
        <w:ind w:left="426" w:hanging="426"/>
        <w:rPr>
          <w:rFonts w:eastAsia="Calibri"/>
        </w:rPr>
      </w:pPr>
      <w:r>
        <w:rPr>
          <w:rFonts w:eastAsia="Calibri"/>
        </w:rPr>
        <w:t xml:space="preserve">Do I need to provide a Statement by </w:t>
      </w:r>
      <w:r w:rsidR="00812D37">
        <w:rPr>
          <w:rFonts w:eastAsia="Calibri"/>
        </w:rPr>
        <w:t>s</w:t>
      </w:r>
      <w:r>
        <w:rPr>
          <w:rFonts w:eastAsia="Calibri"/>
        </w:rPr>
        <w:t>upplier?</w:t>
      </w:r>
      <w:r w:rsidRPr="00F96901">
        <w:rPr>
          <w:rFonts w:eastAsia="Calibri"/>
        </w:rPr>
        <w:t xml:space="preserve"> </w:t>
      </w:r>
    </w:p>
    <w:p w:rsidR="006F4FBE" w:rsidRPr="00372A52" w:rsidRDefault="006F4FBE" w:rsidP="006F4FBE">
      <w:pPr>
        <w:ind w:left="425"/>
        <w:rPr>
          <w:lang w:eastAsia="en-AU"/>
        </w:rPr>
      </w:pPr>
      <w:r>
        <w:rPr>
          <w:lang w:eastAsia="en-AU"/>
        </w:rPr>
        <w:t xml:space="preserve">If you do not have an Australian Business Number (ABN), you are required to provide a Statement by </w:t>
      </w:r>
      <w:r w:rsidR="00812D37">
        <w:rPr>
          <w:lang w:eastAsia="en-AU"/>
        </w:rPr>
        <w:t>s</w:t>
      </w:r>
      <w:r>
        <w:rPr>
          <w:lang w:eastAsia="en-AU"/>
        </w:rPr>
        <w:t xml:space="preserve">upplier. </w:t>
      </w:r>
    </w:p>
    <w:p w:rsidR="006F4FBE" w:rsidRDefault="006F4FBE" w:rsidP="006F4FBE">
      <w:pPr>
        <w:ind w:left="425"/>
        <w:rPr>
          <w:lang w:eastAsia="en-AU"/>
        </w:rPr>
      </w:pPr>
      <w:r>
        <w:rPr>
          <w:lang w:eastAsia="en-AU"/>
        </w:rPr>
        <w:t>When a payer makes payments to suppliers for goods or services to the business, those suppliers generally need to quote an ABN. If a supplier does not provide an ABN, the payer may need to withhold an amount from the payment for that supply – this is referred to as 'withholding tax'.</w:t>
      </w:r>
    </w:p>
    <w:p w:rsidR="006F4FBE" w:rsidRDefault="006F4FBE" w:rsidP="006F4FBE">
      <w:pPr>
        <w:ind w:left="425"/>
      </w:pPr>
      <w:r>
        <w:rPr>
          <w:lang w:eastAsia="en-AU"/>
        </w:rPr>
        <w:t>To avoid</w:t>
      </w:r>
      <w:r>
        <w:t xml:space="preserve"> withholding tax, suppliers can use the </w:t>
      </w:r>
      <w:hyperlink r:id="rId18" w:history="1">
        <w:r>
          <w:rPr>
            <w:rStyle w:val="Hyperlink"/>
          </w:rPr>
          <w:t>Statement by a supplier</w:t>
        </w:r>
      </w:hyperlink>
      <w:r>
        <w:t xml:space="preserve"> form to provide a reason for not quoting an ABN. For more information, please see the </w:t>
      </w:r>
      <w:hyperlink r:id="rId19" w:history="1">
        <w:r>
          <w:rPr>
            <w:rStyle w:val="Hyperlink"/>
          </w:rPr>
          <w:t>ATO website</w:t>
        </w:r>
      </w:hyperlink>
      <w:r>
        <w:t>.</w:t>
      </w:r>
    </w:p>
    <w:p w:rsidR="006F4FBE" w:rsidRPr="00743278" w:rsidRDefault="006F4FBE" w:rsidP="006F4FBE">
      <w:pPr>
        <w:pStyle w:val="Heading2"/>
        <w:numPr>
          <w:ilvl w:val="0"/>
          <w:numId w:val="6"/>
        </w:numPr>
        <w:ind w:left="426" w:hanging="426"/>
        <w:rPr>
          <w:rFonts w:eastAsia="Calibri"/>
        </w:rPr>
      </w:pPr>
      <w:r>
        <w:rPr>
          <w:rFonts w:eastAsia="Calibri"/>
        </w:rPr>
        <w:t>What is ‘value for money’?</w:t>
      </w:r>
    </w:p>
    <w:p w:rsidR="006F4FBE" w:rsidRPr="00ED2EA8" w:rsidRDefault="006F4FBE" w:rsidP="00372A52">
      <w:pPr>
        <w:ind w:left="425"/>
        <w:rPr>
          <w:lang w:eastAsia="en-AU"/>
        </w:rPr>
      </w:pPr>
      <w:r w:rsidRPr="00ED2EA8">
        <w:rPr>
          <w:lang w:eastAsia="en-AU"/>
        </w:rPr>
        <w:t>For the purpose of this grant round, ‘va</w:t>
      </w:r>
      <w:r w:rsidR="00301DDB">
        <w:rPr>
          <w:lang w:eastAsia="en-AU"/>
        </w:rPr>
        <w:t>lue for money’ is defined as</w:t>
      </w:r>
      <w:r w:rsidRPr="00ED2EA8">
        <w:rPr>
          <w:lang w:eastAsia="en-AU"/>
        </w:rPr>
        <w:t xml:space="preserve"> a judgement based on the grant proposal representing an efficient, effective, economical and ethical use of public resources and determined from a variety of considerations.</w:t>
      </w:r>
    </w:p>
    <w:p w:rsidR="006F4FBE" w:rsidRPr="00ED2EA8" w:rsidRDefault="006F4FBE" w:rsidP="00372A52">
      <w:pPr>
        <w:ind w:left="425"/>
        <w:rPr>
          <w:lang w:eastAsia="en-AU"/>
        </w:rPr>
      </w:pPr>
      <w:r w:rsidRPr="00ED2EA8">
        <w:rPr>
          <w:lang w:eastAsia="en-AU"/>
        </w:rPr>
        <w:t xml:space="preserve">When assessing the extent to which the application represents value with relevant money, the </w:t>
      </w:r>
      <w:r>
        <w:rPr>
          <w:lang w:eastAsia="en-AU"/>
        </w:rPr>
        <w:t>Commemorative Grants Advisory Committee (CGAC) will have regard to:</w:t>
      </w:r>
    </w:p>
    <w:p w:rsidR="006F4FBE" w:rsidRPr="00AC6DF2" w:rsidRDefault="00301DDB" w:rsidP="000B3535">
      <w:pPr>
        <w:pStyle w:val="ListBullet"/>
        <w:numPr>
          <w:ilvl w:val="0"/>
          <w:numId w:val="33"/>
        </w:numPr>
        <w:spacing w:before="0" w:after="120" w:line="276" w:lineRule="auto"/>
        <w:ind w:left="782" w:hanging="357"/>
        <w:rPr>
          <w:rFonts w:cs="Arial"/>
          <w:sz w:val="22"/>
          <w:szCs w:val="22"/>
        </w:rPr>
      </w:pPr>
      <w:r>
        <w:rPr>
          <w:rFonts w:cs="Arial"/>
          <w:sz w:val="22"/>
          <w:szCs w:val="22"/>
        </w:rPr>
        <w:t>t</w:t>
      </w:r>
      <w:r w:rsidR="006F4FBE" w:rsidRPr="00AC6DF2">
        <w:rPr>
          <w:rFonts w:cs="Arial"/>
          <w:sz w:val="22"/>
          <w:szCs w:val="22"/>
        </w:rPr>
        <w:t>he overall objective/s to be achieved in providing the grant</w:t>
      </w:r>
    </w:p>
    <w:p w:rsidR="006F4FBE" w:rsidRPr="00AC6DF2" w:rsidRDefault="00301DDB" w:rsidP="000B3535">
      <w:pPr>
        <w:pStyle w:val="ListBullet"/>
        <w:numPr>
          <w:ilvl w:val="0"/>
          <w:numId w:val="33"/>
        </w:numPr>
        <w:spacing w:before="0" w:after="120" w:line="276" w:lineRule="auto"/>
        <w:ind w:left="782" w:hanging="357"/>
        <w:rPr>
          <w:rFonts w:cs="Arial"/>
          <w:sz w:val="22"/>
          <w:szCs w:val="22"/>
        </w:rPr>
      </w:pPr>
      <w:r>
        <w:rPr>
          <w:rFonts w:cs="Arial"/>
          <w:sz w:val="22"/>
          <w:szCs w:val="22"/>
        </w:rPr>
        <w:t>t</w:t>
      </w:r>
      <w:r w:rsidR="006F4FBE" w:rsidRPr="00AC6DF2">
        <w:rPr>
          <w:rFonts w:cs="Arial"/>
          <w:sz w:val="22"/>
          <w:szCs w:val="22"/>
        </w:rPr>
        <w:t>he relative value of the grant sought</w:t>
      </w:r>
    </w:p>
    <w:p w:rsidR="006F4FBE" w:rsidRPr="00AC6DF2" w:rsidRDefault="00301DDB" w:rsidP="000B3535">
      <w:pPr>
        <w:pStyle w:val="ListBullet"/>
        <w:numPr>
          <w:ilvl w:val="0"/>
          <w:numId w:val="33"/>
        </w:numPr>
        <w:spacing w:before="0" w:after="120" w:line="276" w:lineRule="auto"/>
        <w:ind w:left="782" w:hanging="357"/>
        <w:rPr>
          <w:rFonts w:cs="Arial"/>
          <w:sz w:val="22"/>
          <w:szCs w:val="22"/>
        </w:rPr>
      </w:pPr>
      <w:r>
        <w:rPr>
          <w:rFonts w:cs="Arial"/>
          <w:sz w:val="22"/>
          <w:szCs w:val="22"/>
        </w:rPr>
        <w:t>t</w:t>
      </w:r>
      <w:r w:rsidR="006F4FBE" w:rsidRPr="00AC6DF2">
        <w:rPr>
          <w:rFonts w:cs="Arial"/>
          <w:sz w:val="22"/>
          <w:szCs w:val="22"/>
        </w:rPr>
        <w:t>he extent to which the evidence in the application demonstrates that it will contribute to meeting the outcomes/objectives</w:t>
      </w:r>
      <w:r w:rsidR="006F4FBE">
        <w:rPr>
          <w:rFonts w:cs="Arial"/>
          <w:sz w:val="22"/>
          <w:szCs w:val="22"/>
        </w:rPr>
        <w:t>.</w:t>
      </w:r>
    </w:p>
    <w:p w:rsidR="006F4FBE" w:rsidRDefault="006F4FBE" w:rsidP="00372A52">
      <w:pPr>
        <w:ind w:left="425"/>
        <w:rPr>
          <w:lang w:eastAsia="en-AU"/>
        </w:rPr>
      </w:pPr>
      <w:r w:rsidRPr="00AC6DF2">
        <w:rPr>
          <w:lang w:eastAsia="en-AU"/>
        </w:rPr>
        <w:t>The CGAC is chaired by the Repatriation Commissioner and comprises of representatives from the Returned Services League of Australia, the Australian Local Government Association, the Australian War Memorial and policy staff within DVA.</w:t>
      </w:r>
    </w:p>
    <w:p w:rsidR="0097249E" w:rsidRDefault="0097249E" w:rsidP="00372A52">
      <w:pPr>
        <w:pStyle w:val="Heading2"/>
        <w:ind w:left="426"/>
        <w:rPr>
          <w:rFonts w:eastAsia="Calibri"/>
        </w:rPr>
      </w:pPr>
      <w:r>
        <w:rPr>
          <w:rFonts w:eastAsia="Calibri"/>
        </w:rPr>
        <w:lastRenderedPageBreak/>
        <w:t>Stakeholder Engagement</w:t>
      </w:r>
    </w:p>
    <w:p w:rsidR="00130F24" w:rsidRDefault="00130F24" w:rsidP="007B2CF1">
      <w:pPr>
        <w:pStyle w:val="Heading2"/>
        <w:numPr>
          <w:ilvl w:val="0"/>
          <w:numId w:val="6"/>
        </w:numPr>
        <w:ind w:left="426" w:hanging="426"/>
        <w:rPr>
          <w:rFonts w:eastAsia="Calibri"/>
        </w:rPr>
      </w:pPr>
      <w:r>
        <w:rPr>
          <w:rFonts w:eastAsia="Calibri"/>
        </w:rPr>
        <w:t xml:space="preserve">Do I need to provide a letter of support </w:t>
      </w:r>
      <w:r w:rsidR="003010AE">
        <w:rPr>
          <w:rFonts w:eastAsia="Calibri"/>
        </w:rPr>
        <w:t xml:space="preserve">from key stakeholders </w:t>
      </w:r>
      <w:r>
        <w:rPr>
          <w:rFonts w:eastAsia="Calibri"/>
        </w:rPr>
        <w:t>with my application?</w:t>
      </w:r>
    </w:p>
    <w:p w:rsidR="00A7239C" w:rsidRPr="00372A52" w:rsidRDefault="003010AE" w:rsidP="00372A52">
      <w:pPr>
        <w:ind w:left="425"/>
        <w:rPr>
          <w:lang w:eastAsia="en-AU"/>
        </w:rPr>
      </w:pPr>
      <w:r w:rsidRPr="00372A52">
        <w:rPr>
          <w:lang w:eastAsia="en-AU"/>
        </w:rPr>
        <w:t>If applying under the Community Grants category:</w:t>
      </w:r>
    </w:p>
    <w:p w:rsidR="003010AE" w:rsidRPr="00372A52" w:rsidRDefault="003010AE" w:rsidP="00372A52">
      <w:pPr>
        <w:pStyle w:val="ListBullet"/>
        <w:numPr>
          <w:ilvl w:val="0"/>
          <w:numId w:val="33"/>
        </w:numPr>
        <w:spacing w:before="0" w:after="120" w:line="276" w:lineRule="auto"/>
        <w:ind w:left="782" w:hanging="357"/>
        <w:rPr>
          <w:rFonts w:cs="Arial"/>
        </w:rPr>
      </w:pPr>
      <w:r w:rsidRPr="00372A52">
        <w:rPr>
          <w:rFonts w:cs="Arial"/>
          <w:sz w:val="22"/>
          <w:szCs w:val="22"/>
        </w:rPr>
        <w:t xml:space="preserve">No, it is not necessary to provide a letter of support with your application form. </w:t>
      </w:r>
    </w:p>
    <w:p w:rsidR="00A7239C" w:rsidRPr="00372A52" w:rsidRDefault="003010AE" w:rsidP="00372A52">
      <w:pPr>
        <w:keepNext/>
        <w:keepLines/>
        <w:ind w:left="425"/>
        <w:rPr>
          <w:lang w:eastAsia="en-AU"/>
        </w:rPr>
      </w:pPr>
      <w:r w:rsidRPr="00372A52">
        <w:rPr>
          <w:lang w:eastAsia="en-AU"/>
        </w:rPr>
        <w:t>If applying under the Major Grants category:</w:t>
      </w:r>
    </w:p>
    <w:p w:rsidR="00767A74" w:rsidRPr="00372A52" w:rsidRDefault="003010AE" w:rsidP="00372A52">
      <w:pPr>
        <w:pStyle w:val="ListBullet"/>
        <w:numPr>
          <w:ilvl w:val="0"/>
          <w:numId w:val="33"/>
        </w:numPr>
        <w:spacing w:before="0" w:after="120" w:line="276" w:lineRule="auto"/>
        <w:ind w:left="782" w:hanging="357"/>
        <w:rPr>
          <w:rFonts w:cs="Arial"/>
        </w:rPr>
      </w:pPr>
      <w:r w:rsidRPr="00372A52">
        <w:rPr>
          <w:rFonts w:cs="Arial"/>
          <w:sz w:val="22"/>
          <w:szCs w:val="22"/>
        </w:rPr>
        <w:t>It is not mandatory to provide a letter of support from key stakeholders with your application; however,</w:t>
      </w:r>
      <w:r w:rsidR="00A7239C" w:rsidRPr="00372A52">
        <w:rPr>
          <w:rFonts w:cs="Arial"/>
          <w:sz w:val="22"/>
          <w:szCs w:val="22"/>
        </w:rPr>
        <w:t xml:space="preserve"> </w:t>
      </w:r>
      <w:r w:rsidRPr="00372A52">
        <w:rPr>
          <w:rFonts w:cs="Arial"/>
          <w:sz w:val="22"/>
          <w:szCs w:val="22"/>
        </w:rPr>
        <w:t>it will</w:t>
      </w:r>
      <w:r w:rsidR="00A7239C" w:rsidRPr="00372A52">
        <w:rPr>
          <w:rFonts w:cs="Arial"/>
          <w:sz w:val="22"/>
          <w:szCs w:val="22"/>
        </w:rPr>
        <w:t xml:space="preserve"> be taken into account during the assessment process to </w:t>
      </w:r>
      <w:r w:rsidR="00F25553" w:rsidRPr="00372A52">
        <w:rPr>
          <w:rFonts w:cs="Arial"/>
          <w:sz w:val="22"/>
          <w:szCs w:val="22"/>
        </w:rPr>
        <w:t xml:space="preserve">help </w:t>
      </w:r>
      <w:r w:rsidR="00A7239C" w:rsidRPr="00372A52">
        <w:rPr>
          <w:rFonts w:cs="Arial"/>
          <w:sz w:val="22"/>
          <w:szCs w:val="22"/>
        </w:rPr>
        <w:t xml:space="preserve">determine </w:t>
      </w:r>
      <w:r w:rsidR="00C84C06" w:rsidRPr="00372A52">
        <w:rPr>
          <w:rFonts w:cs="Arial"/>
          <w:sz w:val="22"/>
          <w:szCs w:val="22"/>
        </w:rPr>
        <w:t>to what exten</w:t>
      </w:r>
      <w:r w:rsidR="00E76E00" w:rsidRPr="00372A52">
        <w:rPr>
          <w:rFonts w:cs="Arial"/>
          <w:sz w:val="22"/>
          <w:szCs w:val="22"/>
        </w:rPr>
        <w:t>t</w:t>
      </w:r>
      <w:r w:rsidR="00C84C06" w:rsidRPr="00372A52">
        <w:rPr>
          <w:rFonts w:cs="Arial"/>
          <w:sz w:val="22"/>
          <w:szCs w:val="22"/>
        </w:rPr>
        <w:t xml:space="preserve"> community</w:t>
      </w:r>
      <w:r w:rsidR="00F25553" w:rsidRPr="00372A52">
        <w:rPr>
          <w:rFonts w:cs="Arial"/>
          <w:sz w:val="22"/>
          <w:szCs w:val="22"/>
        </w:rPr>
        <w:t>/stakeholder</w:t>
      </w:r>
      <w:r w:rsidR="00C84C06" w:rsidRPr="00372A52">
        <w:rPr>
          <w:rFonts w:cs="Arial"/>
          <w:sz w:val="22"/>
          <w:szCs w:val="22"/>
        </w:rPr>
        <w:t xml:space="preserve"> consultation </w:t>
      </w:r>
      <w:r w:rsidR="00F25553" w:rsidRPr="00372A52">
        <w:rPr>
          <w:rFonts w:cs="Arial"/>
          <w:sz w:val="22"/>
          <w:szCs w:val="22"/>
        </w:rPr>
        <w:t xml:space="preserve">and engagement </w:t>
      </w:r>
      <w:r w:rsidR="00C84C06" w:rsidRPr="00372A52">
        <w:rPr>
          <w:rFonts w:cs="Arial"/>
          <w:sz w:val="22"/>
          <w:szCs w:val="22"/>
        </w:rPr>
        <w:t xml:space="preserve">has been conducted. </w:t>
      </w:r>
    </w:p>
    <w:p w:rsidR="00164C9B" w:rsidRDefault="00164C9B" w:rsidP="00372A52">
      <w:pPr>
        <w:pStyle w:val="Heading2"/>
        <w:keepNext w:val="0"/>
        <w:keepLines w:val="0"/>
        <w:numPr>
          <w:ilvl w:val="0"/>
          <w:numId w:val="6"/>
        </w:numPr>
        <w:ind w:left="426" w:hanging="426"/>
        <w:rPr>
          <w:rFonts w:eastAsia="Calibri"/>
        </w:rPr>
      </w:pPr>
      <w:r>
        <w:rPr>
          <w:rFonts w:eastAsia="Calibri"/>
        </w:rPr>
        <w:t>What is a national</w:t>
      </w:r>
      <w:r w:rsidRPr="00372A52">
        <w:rPr>
          <w:rFonts w:eastAsia="Calibri"/>
        </w:rPr>
        <w:t xml:space="preserve"> or </w:t>
      </w:r>
      <w:r>
        <w:rPr>
          <w:rFonts w:eastAsia="Calibri"/>
        </w:rPr>
        <w:t>state/territory level ex-service or veteran support organisation</w:t>
      </w:r>
      <w:r w:rsidR="00F25553">
        <w:rPr>
          <w:rFonts w:eastAsia="Calibri"/>
        </w:rPr>
        <w:t xml:space="preserve"> for the purposes</w:t>
      </w:r>
      <w:r w:rsidR="00F25553" w:rsidRPr="00372A52">
        <w:rPr>
          <w:rFonts w:eastAsia="Calibri"/>
        </w:rPr>
        <w:t xml:space="preserve"> of</w:t>
      </w:r>
      <w:r w:rsidR="00F25553">
        <w:rPr>
          <w:rFonts w:eastAsia="Calibri"/>
        </w:rPr>
        <w:t xml:space="preserve"> </w:t>
      </w:r>
      <w:r w:rsidR="00F425B4">
        <w:rPr>
          <w:rFonts w:eastAsia="Calibri"/>
        </w:rPr>
        <w:t xml:space="preserve">funding for </w:t>
      </w:r>
      <w:r w:rsidR="00F25553">
        <w:rPr>
          <w:rFonts w:eastAsia="Calibri"/>
        </w:rPr>
        <w:t>writing their history</w:t>
      </w:r>
      <w:r>
        <w:rPr>
          <w:rFonts w:eastAsia="Calibri"/>
        </w:rPr>
        <w:t>?</w:t>
      </w:r>
    </w:p>
    <w:p w:rsidR="00164C9B" w:rsidRDefault="00F25553" w:rsidP="00372A52">
      <w:pPr>
        <w:ind w:left="425"/>
        <w:rPr>
          <w:lang w:eastAsia="en-AU"/>
        </w:rPr>
      </w:pPr>
      <w:r>
        <w:rPr>
          <w:lang w:eastAsia="en-AU"/>
        </w:rPr>
        <w:t>For example, o</w:t>
      </w:r>
      <w:r w:rsidR="00164C9B">
        <w:rPr>
          <w:lang w:eastAsia="en-AU"/>
        </w:rPr>
        <w:t>rganisations such as the Naval Association of Australia, Returned and Services League of Australia NSW State Branch or Legacy Tasmania Branch</w:t>
      </w:r>
      <w:r>
        <w:rPr>
          <w:lang w:eastAsia="en-AU"/>
        </w:rPr>
        <w:t>,</w:t>
      </w:r>
      <w:r w:rsidR="00164C9B">
        <w:rPr>
          <w:lang w:eastAsia="en-AU"/>
        </w:rPr>
        <w:t xml:space="preserve"> where the organisation </w:t>
      </w:r>
      <w:r>
        <w:rPr>
          <w:lang w:eastAsia="en-AU"/>
        </w:rPr>
        <w:t xml:space="preserve">represents member </w:t>
      </w:r>
      <w:r w:rsidR="00102968">
        <w:rPr>
          <w:lang w:eastAsia="en-AU"/>
        </w:rPr>
        <w:t>sub-branches,</w:t>
      </w:r>
      <w:r>
        <w:rPr>
          <w:lang w:eastAsia="en-AU"/>
        </w:rPr>
        <w:t xml:space="preserve"> or </w:t>
      </w:r>
      <w:r w:rsidR="00164C9B">
        <w:rPr>
          <w:lang w:eastAsia="en-AU"/>
        </w:rPr>
        <w:t>has effect across the nation or state/territory</w:t>
      </w:r>
      <w:r>
        <w:rPr>
          <w:lang w:eastAsia="en-AU"/>
        </w:rPr>
        <w:t>, would be eligible</w:t>
      </w:r>
      <w:r w:rsidR="00301DDB">
        <w:rPr>
          <w:lang w:eastAsia="en-AU"/>
        </w:rPr>
        <w:t xml:space="preserve">. </w:t>
      </w:r>
      <w:r>
        <w:rPr>
          <w:lang w:eastAsia="en-AU"/>
        </w:rPr>
        <w:t xml:space="preserve">However </w:t>
      </w:r>
      <w:r w:rsidR="00164C9B">
        <w:rPr>
          <w:lang w:eastAsia="en-AU"/>
        </w:rPr>
        <w:t>local Sub-Branches or Divisions</w:t>
      </w:r>
      <w:r w:rsidR="00F425B4">
        <w:rPr>
          <w:lang w:eastAsia="en-AU"/>
        </w:rPr>
        <w:t>,</w:t>
      </w:r>
      <w:r w:rsidR="00164C9B">
        <w:rPr>
          <w:lang w:eastAsia="en-AU"/>
        </w:rPr>
        <w:t xml:space="preserve"> such as the Cairns RSL Sub-Branch</w:t>
      </w:r>
      <w:r w:rsidR="00F425B4">
        <w:rPr>
          <w:lang w:eastAsia="en-AU"/>
        </w:rPr>
        <w:t>,</w:t>
      </w:r>
      <w:r w:rsidR="00164C9B">
        <w:rPr>
          <w:lang w:eastAsia="en-AU"/>
        </w:rPr>
        <w:t xml:space="preserve"> would not be eligible. </w:t>
      </w:r>
    </w:p>
    <w:p w:rsidR="0097249E" w:rsidRPr="000A0295" w:rsidRDefault="0097249E" w:rsidP="00372A52">
      <w:pPr>
        <w:pStyle w:val="Heading2"/>
        <w:ind w:left="426"/>
        <w:rPr>
          <w:rFonts w:eastAsia="Calibri"/>
        </w:rPr>
      </w:pPr>
      <w:r w:rsidRPr="000A0295">
        <w:rPr>
          <w:rFonts w:eastAsia="Calibri"/>
        </w:rPr>
        <w:t>Project and Activit</w:t>
      </w:r>
      <w:r w:rsidR="007820E5">
        <w:rPr>
          <w:rFonts w:eastAsia="Calibri"/>
        </w:rPr>
        <w:t>y Information</w:t>
      </w:r>
    </w:p>
    <w:p w:rsidR="00164C9B" w:rsidRDefault="00164C9B" w:rsidP="00372A52">
      <w:pPr>
        <w:pStyle w:val="Heading2"/>
        <w:keepNext w:val="0"/>
        <w:keepLines w:val="0"/>
        <w:numPr>
          <w:ilvl w:val="0"/>
          <w:numId w:val="6"/>
        </w:numPr>
        <w:ind w:left="426" w:hanging="426"/>
        <w:rPr>
          <w:rFonts w:eastAsia="Calibri"/>
        </w:rPr>
      </w:pPr>
      <w:r>
        <w:rPr>
          <w:rFonts w:eastAsia="Calibri"/>
        </w:rPr>
        <w:t>What type of projects or activities can I complete to commemorate the history of my ex-service or veteran support organisation?</w:t>
      </w:r>
    </w:p>
    <w:p w:rsidR="00164C9B" w:rsidRDefault="00164C9B" w:rsidP="00372A52">
      <w:pPr>
        <w:ind w:left="425"/>
        <w:rPr>
          <w:lang w:eastAsia="en-AU"/>
        </w:rPr>
      </w:pPr>
      <w:r>
        <w:rPr>
          <w:lang w:eastAsia="en-AU"/>
        </w:rPr>
        <w:t xml:space="preserve">You may complete a project or activity to </w:t>
      </w:r>
      <w:r w:rsidR="00F425B4">
        <w:rPr>
          <w:lang w:eastAsia="en-AU"/>
        </w:rPr>
        <w:t xml:space="preserve">research, </w:t>
      </w:r>
      <w:r>
        <w:rPr>
          <w:lang w:eastAsia="en-AU"/>
        </w:rPr>
        <w:t>collate and publish the history of a national or state/territory ex-service or</w:t>
      </w:r>
      <w:r w:rsidR="00301DDB">
        <w:rPr>
          <w:lang w:eastAsia="en-AU"/>
        </w:rPr>
        <w:t xml:space="preserve"> veteran support organisation. </w:t>
      </w:r>
      <w:r>
        <w:rPr>
          <w:lang w:eastAsia="en-AU"/>
        </w:rPr>
        <w:t xml:space="preserve">Eligible expenditure might include things such as paying a third party consultant or contractor to research the history, or printing costs to enable publication of the final product. These projects or activities do not have to relate to a significant anniversary of the organisation to be eligible for funding. </w:t>
      </w:r>
    </w:p>
    <w:p w:rsidR="00A548F2" w:rsidRPr="004B6845" w:rsidRDefault="00F425B4" w:rsidP="00372A52">
      <w:pPr>
        <w:ind w:left="425"/>
        <w:rPr>
          <w:lang w:eastAsia="en-AU"/>
        </w:rPr>
      </w:pPr>
      <w:r>
        <w:rPr>
          <w:lang w:eastAsia="en-AU"/>
        </w:rPr>
        <w:t>Examples of i</w:t>
      </w:r>
      <w:r w:rsidR="00164C9B">
        <w:rPr>
          <w:lang w:eastAsia="en-AU"/>
        </w:rPr>
        <w:t xml:space="preserve">neligible projects and activities </w:t>
      </w:r>
      <w:r>
        <w:rPr>
          <w:lang w:eastAsia="en-AU"/>
        </w:rPr>
        <w:t xml:space="preserve">would </w:t>
      </w:r>
      <w:r w:rsidR="00164C9B">
        <w:rPr>
          <w:lang w:eastAsia="en-AU"/>
        </w:rPr>
        <w:t xml:space="preserve">include </w:t>
      </w:r>
      <w:r w:rsidR="00164C9B" w:rsidRPr="00164C9B">
        <w:rPr>
          <w:lang w:eastAsia="en-AU"/>
        </w:rPr>
        <w:t>events</w:t>
      </w:r>
      <w:r>
        <w:rPr>
          <w:lang w:eastAsia="en-AU"/>
        </w:rPr>
        <w:t xml:space="preserve"> commemorating the 100</w:t>
      </w:r>
      <w:r w:rsidRPr="00372A52">
        <w:rPr>
          <w:lang w:eastAsia="en-AU"/>
        </w:rPr>
        <w:t>th</w:t>
      </w:r>
      <w:r>
        <w:rPr>
          <w:lang w:eastAsia="en-AU"/>
        </w:rPr>
        <w:t xml:space="preserve"> anniversary of the formation of an ex-service organisation</w:t>
      </w:r>
      <w:r w:rsidR="00164C9B" w:rsidRPr="00164C9B">
        <w:rPr>
          <w:lang w:eastAsia="en-AU"/>
        </w:rPr>
        <w:t xml:space="preserve">, or the construction of a memorial (including plaques and honour rolls) to commemorate the formation, anniversary or membership of </w:t>
      </w:r>
      <w:r>
        <w:rPr>
          <w:lang w:eastAsia="en-AU"/>
        </w:rPr>
        <w:t xml:space="preserve">an </w:t>
      </w:r>
      <w:r w:rsidR="00164C9B" w:rsidRPr="00164C9B">
        <w:rPr>
          <w:lang w:eastAsia="en-AU"/>
        </w:rPr>
        <w:t>ex-service organisation</w:t>
      </w:r>
      <w:r w:rsidR="00164C9B">
        <w:rPr>
          <w:lang w:eastAsia="en-AU"/>
        </w:rPr>
        <w:t>.</w:t>
      </w:r>
    </w:p>
    <w:p w:rsidR="00164C9B" w:rsidRPr="00372A52" w:rsidRDefault="00164C9B" w:rsidP="00372A52">
      <w:pPr>
        <w:pStyle w:val="Heading2"/>
        <w:keepNext w:val="0"/>
        <w:keepLines w:val="0"/>
        <w:numPr>
          <w:ilvl w:val="0"/>
          <w:numId w:val="6"/>
        </w:numPr>
        <w:ind w:left="426" w:hanging="426"/>
        <w:rPr>
          <w:rFonts w:eastAsia="Calibri"/>
        </w:rPr>
      </w:pPr>
      <w:r>
        <w:rPr>
          <w:rFonts w:eastAsia="Calibri"/>
        </w:rPr>
        <w:t>What is meant by a significant anniversary of a</w:t>
      </w:r>
      <w:r w:rsidRPr="00372A52">
        <w:rPr>
          <w:rFonts w:eastAsia="Calibri"/>
        </w:rPr>
        <w:t xml:space="preserve"> war</w:t>
      </w:r>
      <w:r>
        <w:rPr>
          <w:rFonts w:eastAsia="Calibri"/>
        </w:rPr>
        <w:t>, conflict</w:t>
      </w:r>
      <w:r w:rsidRPr="00372A52">
        <w:rPr>
          <w:rFonts w:eastAsia="Calibri"/>
        </w:rPr>
        <w:t xml:space="preserve"> or peace </w:t>
      </w:r>
      <w:r>
        <w:rPr>
          <w:rFonts w:eastAsia="Calibri"/>
        </w:rPr>
        <w:t>operation ending in a ‘0’ or a ‘5’?</w:t>
      </w:r>
    </w:p>
    <w:p w:rsidR="002B0F9C" w:rsidRPr="00F425B4" w:rsidRDefault="002B0F9C" w:rsidP="00372A52">
      <w:pPr>
        <w:ind w:left="425"/>
        <w:rPr>
          <w:lang w:eastAsia="en-AU"/>
        </w:rPr>
      </w:pPr>
      <w:r>
        <w:rPr>
          <w:lang w:eastAsia="en-AU"/>
        </w:rPr>
        <w:t xml:space="preserve">Commemorative events for the anniversaries of wars, conflicts and peace operations are eligible for funding, however the event must align with an anniversary ending in a ‘5’ or a ‘0’. </w:t>
      </w:r>
      <w:r>
        <w:rPr>
          <w:lang w:eastAsia="en-AU"/>
        </w:rPr>
        <w:lastRenderedPageBreak/>
        <w:t>For example, the Battle of Long Tan was fought on 18 August 1966 and the 55</w:t>
      </w:r>
      <w:r w:rsidRPr="00372A52">
        <w:rPr>
          <w:lang w:eastAsia="en-AU"/>
        </w:rPr>
        <w:t>th</w:t>
      </w:r>
      <w:r>
        <w:rPr>
          <w:lang w:eastAsia="en-AU"/>
        </w:rPr>
        <w:t xml:space="preserve"> anniversary of this battle </w:t>
      </w:r>
      <w:r w:rsidR="002C79E8">
        <w:rPr>
          <w:lang w:eastAsia="en-AU"/>
        </w:rPr>
        <w:t>was</w:t>
      </w:r>
      <w:r>
        <w:rPr>
          <w:lang w:eastAsia="en-AU"/>
        </w:rPr>
        <w:t xml:space="preserve"> commemorated on 18 August 2021. The 56</w:t>
      </w:r>
      <w:r w:rsidRPr="00372A52">
        <w:rPr>
          <w:lang w:eastAsia="en-AU"/>
        </w:rPr>
        <w:t>th</w:t>
      </w:r>
      <w:r>
        <w:rPr>
          <w:lang w:eastAsia="en-AU"/>
        </w:rPr>
        <w:t xml:space="preserve"> anniversary in 2022 would not be eligible for funding. This requirement does not mean that the battle, war, peace operation or conflict must have occurred in a year ending in a ‘5’ or a ‘0’.</w:t>
      </w:r>
    </w:p>
    <w:p w:rsidR="00164C9B" w:rsidRDefault="00164C9B" w:rsidP="00372A52">
      <w:pPr>
        <w:pStyle w:val="Heading2"/>
        <w:numPr>
          <w:ilvl w:val="0"/>
          <w:numId w:val="6"/>
        </w:numPr>
        <w:ind w:left="426" w:hanging="426"/>
        <w:rPr>
          <w:rFonts w:eastAsia="Calibri"/>
        </w:rPr>
      </w:pPr>
      <w:r>
        <w:rPr>
          <w:rFonts w:eastAsia="Calibri"/>
        </w:rPr>
        <w:t>What is classified as a ‘post war’ death?</w:t>
      </w:r>
    </w:p>
    <w:p w:rsidR="002B0F9C" w:rsidRPr="00F425B4" w:rsidRDefault="002B0F9C" w:rsidP="00372A52">
      <w:pPr>
        <w:keepNext/>
        <w:keepLines/>
        <w:ind w:left="425"/>
        <w:rPr>
          <w:lang w:eastAsia="en-AU"/>
        </w:rPr>
      </w:pPr>
      <w:r>
        <w:rPr>
          <w:lang w:eastAsia="en-AU"/>
        </w:rPr>
        <w:t xml:space="preserve">Projects and activities that </w:t>
      </w:r>
      <w:r w:rsidR="00E76E00">
        <w:rPr>
          <w:lang w:eastAsia="en-AU"/>
        </w:rPr>
        <w:t xml:space="preserve">exclusively </w:t>
      </w:r>
      <w:r>
        <w:rPr>
          <w:lang w:eastAsia="en-AU"/>
        </w:rPr>
        <w:t>commemorate individuals are not eligible for funding. This extends to commemorating individuals who may have died after their service in a war, conflict or peace operation</w:t>
      </w:r>
      <w:r w:rsidR="00F425B4">
        <w:rPr>
          <w:lang w:eastAsia="en-AU"/>
        </w:rPr>
        <w:t>,</w:t>
      </w:r>
      <w:r>
        <w:rPr>
          <w:lang w:eastAsia="en-AU"/>
        </w:rPr>
        <w:t xml:space="preserve"> from related or unrelated causes. For example, a project to commission a commemorative plaque </w:t>
      </w:r>
      <w:r w:rsidR="00F425B4">
        <w:rPr>
          <w:lang w:eastAsia="en-AU"/>
        </w:rPr>
        <w:t>for</w:t>
      </w:r>
      <w:r>
        <w:rPr>
          <w:lang w:eastAsia="en-AU"/>
        </w:rPr>
        <w:t xml:space="preserve"> </w:t>
      </w:r>
      <w:r w:rsidR="00F425B4">
        <w:rPr>
          <w:lang w:eastAsia="en-AU"/>
        </w:rPr>
        <w:t>one person</w:t>
      </w:r>
      <w:r>
        <w:rPr>
          <w:lang w:eastAsia="en-AU"/>
        </w:rPr>
        <w:t xml:space="preserve"> who served in the Second World War, but later died in 1960 from unrelated causes</w:t>
      </w:r>
      <w:r w:rsidR="00F425B4">
        <w:rPr>
          <w:lang w:eastAsia="en-AU"/>
        </w:rPr>
        <w:t>,</w:t>
      </w:r>
      <w:r>
        <w:rPr>
          <w:lang w:eastAsia="en-AU"/>
        </w:rPr>
        <w:t xml:space="preserve"> would not be eligible for funding. </w:t>
      </w:r>
    </w:p>
    <w:p w:rsidR="00F53DE4" w:rsidRDefault="00F53DE4" w:rsidP="00372A52">
      <w:pPr>
        <w:pStyle w:val="Heading2"/>
        <w:keepNext w:val="0"/>
        <w:keepLines w:val="0"/>
        <w:numPr>
          <w:ilvl w:val="0"/>
          <w:numId w:val="6"/>
        </w:numPr>
        <w:ind w:left="426" w:hanging="426"/>
        <w:rPr>
          <w:rFonts w:eastAsia="Calibri"/>
        </w:rPr>
      </w:pPr>
      <w:r>
        <w:rPr>
          <w:rFonts w:eastAsia="Calibri"/>
        </w:rPr>
        <w:t>What is considered military memorabilia?</w:t>
      </w:r>
    </w:p>
    <w:p w:rsidR="00F53DE4" w:rsidRPr="000A0295" w:rsidRDefault="00F53DE4" w:rsidP="00372A52">
      <w:pPr>
        <w:ind w:left="425"/>
        <w:rPr>
          <w:i/>
        </w:rPr>
      </w:pPr>
      <w:r>
        <w:t xml:space="preserve">DVA has published an educational resource entitled </w:t>
      </w:r>
      <w:hyperlink r:id="rId20" w:history="1">
        <w:r w:rsidRPr="005D4FD6">
          <w:rPr>
            <w:rStyle w:val="Hyperlink"/>
          </w:rPr>
          <w:t>Memories &amp; Memorabilia</w:t>
        </w:r>
      </w:hyperlink>
      <w:r w:rsidRPr="000A0295">
        <w:t xml:space="preserve"> </w:t>
      </w:r>
      <w:r>
        <w:t xml:space="preserve">on </w:t>
      </w:r>
      <w:hyperlink r:id="rId21" w:history="1">
        <w:r w:rsidRPr="000A0295">
          <w:t>the Anzac Portal</w:t>
        </w:r>
      </w:hyperlink>
      <w:r w:rsidRPr="000A0295">
        <w:t xml:space="preserve">. </w:t>
      </w:r>
      <w:r w:rsidR="002C79E8">
        <w:t>T</w:t>
      </w:r>
      <w:r>
        <w:t xml:space="preserve">his resource outlines </w:t>
      </w:r>
      <w:r w:rsidR="003115D0">
        <w:t>broad categories of</w:t>
      </w:r>
      <w:r>
        <w:t xml:space="preserve"> military memorabilia</w:t>
      </w:r>
      <w:r w:rsidR="002C79E8">
        <w:t xml:space="preserve"> (from page 33)</w:t>
      </w:r>
      <w:r>
        <w:t>. Please note that to be eligible under the STS Program, memorabilia must not commemorate an individual</w:t>
      </w:r>
      <w:r w:rsidR="003115D0">
        <w:t xml:space="preserve">, must be related to active service (rather than training, or the experience on the homefront), and should enhance or form part of a </w:t>
      </w:r>
      <w:r w:rsidR="002C79E8">
        <w:t xml:space="preserve">bigger </w:t>
      </w:r>
      <w:r w:rsidR="003115D0">
        <w:t>project to share the memorabilia and its heritage with the broader community</w:t>
      </w:r>
      <w:r>
        <w:t xml:space="preserve">. </w:t>
      </w:r>
    </w:p>
    <w:p w:rsidR="008B42DF" w:rsidRDefault="008B42DF" w:rsidP="00372A52">
      <w:pPr>
        <w:pStyle w:val="Heading2"/>
        <w:keepNext w:val="0"/>
        <w:keepLines w:val="0"/>
        <w:numPr>
          <w:ilvl w:val="0"/>
          <w:numId w:val="6"/>
        </w:numPr>
        <w:ind w:left="426" w:hanging="426"/>
        <w:rPr>
          <w:rFonts w:eastAsia="Calibri"/>
        </w:rPr>
      </w:pPr>
      <w:r>
        <w:rPr>
          <w:rFonts w:eastAsia="Calibri"/>
        </w:rPr>
        <w:t xml:space="preserve">Do I need to meet local heritage requirements? </w:t>
      </w:r>
    </w:p>
    <w:p w:rsidR="00B86424" w:rsidRPr="00A548F2" w:rsidRDefault="008B42DF" w:rsidP="00372A52">
      <w:pPr>
        <w:ind w:left="425"/>
        <w:rPr>
          <w:rFonts w:cs="Arial"/>
        </w:rPr>
      </w:pPr>
      <w:r w:rsidRPr="000666A1">
        <w:t>Yes</w:t>
      </w:r>
      <w:r>
        <w:rPr>
          <w:rFonts w:cs="Arial"/>
        </w:rPr>
        <w:t xml:space="preserve">, if your proposed project or activity involves changing or restoring an existing memorial or other commemorative artefact you are responsible for ensuring that all local heritage requirements are met. For more information, please contact your state or territory government heritage body or see the </w:t>
      </w:r>
      <w:hyperlink r:id="rId22" w:history="1">
        <w:r w:rsidRPr="00FE3F54">
          <w:rPr>
            <w:rStyle w:val="Hyperlink"/>
            <w:rFonts w:cs="Arial"/>
          </w:rPr>
          <w:t>D</w:t>
        </w:r>
        <w:r>
          <w:rPr>
            <w:rStyle w:val="Hyperlink"/>
            <w:rFonts w:cs="Arial"/>
          </w:rPr>
          <w:t xml:space="preserve">epartment of </w:t>
        </w:r>
        <w:r w:rsidRPr="00FE3F54">
          <w:rPr>
            <w:rStyle w:val="Hyperlink"/>
            <w:rFonts w:cs="Arial"/>
          </w:rPr>
          <w:t>V</w:t>
        </w:r>
        <w:r>
          <w:rPr>
            <w:rStyle w:val="Hyperlink"/>
            <w:rFonts w:cs="Arial"/>
          </w:rPr>
          <w:t xml:space="preserve">eterans’ </w:t>
        </w:r>
        <w:r w:rsidRPr="00FE3F54">
          <w:rPr>
            <w:rStyle w:val="Hyperlink"/>
            <w:rFonts w:cs="Arial"/>
          </w:rPr>
          <w:t>A</w:t>
        </w:r>
        <w:r>
          <w:rPr>
            <w:rStyle w:val="Hyperlink"/>
            <w:rFonts w:cs="Arial"/>
          </w:rPr>
          <w:t>ffairs</w:t>
        </w:r>
        <w:r w:rsidRPr="00FE3F54">
          <w:rPr>
            <w:rStyle w:val="Hyperlink"/>
            <w:rFonts w:cs="Arial"/>
          </w:rPr>
          <w:t xml:space="preserve"> website</w:t>
        </w:r>
      </w:hyperlink>
      <w:r>
        <w:rPr>
          <w:rFonts w:cs="Arial"/>
        </w:rPr>
        <w:t xml:space="preserve">. </w:t>
      </w:r>
    </w:p>
    <w:p w:rsidR="007820E5" w:rsidRDefault="007820E5" w:rsidP="00372A52">
      <w:pPr>
        <w:pStyle w:val="Heading2"/>
        <w:keepNext w:val="0"/>
        <w:keepLines w:val="0"/>
        <w:numPr>
          <w:ilvl w:val="0"/>
          <w:numId w:val="6"/>
        </w:numPr>
        <w:ind w:left="426" w:hanging="426"/>
        <w:rPr>
          <w:rFonts w:eastAsia="Calibri"/>
        </w:rPr>
      </w:pPr>
      <w:r>
        <w:rPr>
          <w:rFonts w:eastAsia="Calibri"/>
        </w:rPr>
        <w:t xml:space="preserve">Where do I seek permission to use </w:t>
      </w:r>
      <w:r w:rsidR="002F4FDA">
        <w:rPr>
          <w:rFonts w:eastAsia="Calibri"/>
        </w:rPr>
        <w:t xml:space="preserve">Defence emblems such as </w:t>
      </w:r>
      <w:r>
        <w:rPr>
          <w:rFonts w:eastAsia="Calibri"/>
        </w:rPr>
        <w:t>the Rising Sun Badge?</w:t>
      </w:r>
    </w:p>
    <w:p w:rsidR="002F4FDA" w:rsidRDefault="002F4FDA" w:rsidP="00372A52">
      <w:pPr>
        <w:ind w:left="425"/>
      </w:pPr>
      <w:r w:rsidRPr="002F4FDA">
        <w:t xml:space="preserve">The protection of Defence emblems and flags under the </w:t>
      </w:r>
      <w:hyperlink r:id="rId23" w:history="1">
        <w:r w:rsidRPr="00DE708D">
          <w:rPr>
            <w:rStyle w:val="Hyperlink"/>
            <w:i/>
          </w:rPr>
          <w:t>Defence Act 1903</w:t>
        </w:r>
      </w:hyperlink>
      <w:r w:rsidRPr="000A0295">
        <w:rPr>
          <w:i/>
        </w:rPr>
        <w:t xml:space="preserve"> (Cth)</w:t>
      </w:r>
      <w:r w:rsidRPr="002F4FDA">
        <w:t xml:space="preserve"> is administered by the Brand Managers</w:t>
      </w:r>
      <w:r>
        <w:t xml:space="preserve"> at the Department of Defence. </w:t>
      </w:r>
      <w:r w:rsidRPr="002F4FDA">
        <w:t xml:space="preserve">This includes the Rising Sun Badge which is an official emblem of the Australian Army. </w:t>
      </w:r>
      <w:r>
        <w:t>Contact information for each of the services is located below:</w:t>
      </w:r>
    </w:p>
    <w:p w:rsidR="002F4FDA" w:rsidRPr="000A0295" w:rsidRDefault="002F4FDA" w:rsidP="000B3535">
      <w:pPr>
        <w:pStyle w:val="BodyText"/>
        <w:ind w:firstLine="425"/>
        <w:rPr>
          <w:i/>
        </w:rPr>
      </w:pPr>
      <w:r w:rsidRPr="000A0295">
        <w:rPr>
          <w:i/>
        </w:rPr>
        <w:t>Australian Army Brand Manager</w:t>
      </w:r>
      <w:r>
        <w:rPr>
          <w:i/>
        </w:rPr>
        <w:t xml:space="preserve">: </w:t>
      </w:r>
      <w:hyperlink r:id="rId24" w:history="1">
        <w:r w:rsidRPr="000B3535">
          <w:rPr>
            <w:rStyle w:val="Hyperlink"/>
          </w:rPr>
          <w:t>army.brandmanager@defence.gov.au</w:t>
        </w:r>
      </w:hyperlink>
      <w:r>
        <w:t xml:space="preserve"> </w:t>
      </w:r>
    </w:p>
    <w:p w:rsidR="002F4FDA" w:rsidRDefault="002F4FDA" w:rsidP="000B3535">
      <w:pPr>
        <w:pStyle w:val="BodyText"/>
        <w:ind w:firstLine="425"/>
      </w:pPr>
      <w:r w:rsidRPr="000A0295">
        <w:rPr>
          <w:i/>
        </w:rPr>
        <w:t>Royal Australian Navy Brand Manager</w:t>
      </w:r>
      <w:r>
        <w:t xml:space="preserve">: </w:t>
      </w:r>
      <w:hyperlink r:id="rId25" w:history="1">
        <w:r w:rsidRPr="000B3535">
          <w:rPr>
            <w:rStyle w:val="Hyperlink"/>
          </w:rPr>
          <w:t>navy.brand@defence.gov.au</w:t>
        </w:r>
      </w:hyperlink>
      <w:r>
        <w:t xml:space="preserve"> </w:t>
      </w:r>
    </w:p>
    <w:p w:rsidR="002F4FDA" w:rsidRDefault="002F4FDA" w:rsidP="000B3535">
      <w:pPr>
        <w:pStyle w:val="BodyText"/>
        <w:ind w:firstLine="425"/>
      </w:pPr>
      <w:r w:rsidRPr="000A0295">
        <w:rPr>
          <w:i/>
        </w:rPr>
        <w:t>Royal Australian Air Force Brand Manager</w:t>
      </w:r>
      <w:r>
        <w:t xml:space="preserve">: </w:t>
      </w:r>
      <w:hyperlink r:id="rId26" w:history="1">
        <w:r w:rsidRPr="000B3535">
          <w:rPr>
            <w:rStyle w:val="Hyperlink"/>
          </w:rPr>
          <w:t>raaf.brandmanager@defence.gov.au</w:t>
        </w:r>
      </w:hyperlink>
      <w:r>
        <w:t xml:space="preserve"> </w:t>
      </w:r>
    </w:p>
    <w:p w:rsidR="007820E5" w:rsidRPr="000A0295" w:rsidRDefault="002F4FDA" w:rsidP="000B3535">
      <w:pPr>
        <w:pStyle w:val="BodyText"/>
        <w:ind w:firstLine="425"/>
      </w:pPr>
      <w:r w:rsidRPr="000A0295">
        <w:rPr>
          <w:i/>
        </w:rPr>
        <w:t>Joint and Tri-Service Emblems</w:t>
      </w:r>
      <w:r>
        <w:t xml:space="preserve">: </w:t>
      </w:r>
      <w:hyperlink r:id="rId27" w:history="1">
        <w:r w:rsidRPr="000B3535">
          <w:rPr>
            <w:rStyle w:val="Hyperlink"/>
          </w:rPr>
          <w:t>adf.emblems@defence.gov.au</w:t>
        </w:r>
      </w:hyperlink>
    </w:p>
    <w:p w:rsidR="007820E5" w:rsidRDefault="007820E5" w:rsidP="00372A52">
      <w:pPr>
        <w:pStyle w:val="Heading2"/>
        <w:ind w:left="426"/>
        <w:rPr>
          <w:rFonts w:eastAsia="Calibri"/>
        </w:rPr>
      </w:pPr>
      <w:r>
        <w:rPr>
          <w:rFonts w:eastAsia="Calibri"/>
        </w:rPr>
        <w:lastRenderedPageBreak/>
        <w:t>Application Process</w:t>
      </w:r>
    </w:p>
    <w:p w:rsidR="00541647" w:rsidRPr="006565CC" w:rsidRDefault="00541647" w:rsidP="00372A52">
      <w:pPr>
        <w:pStyle w:val="Heading2"/>
        <w:keepNext w:val="0"/>
        <w:keepLines w:val="0"/>
        <w:numPr>
          <w:ilvl w:val="0"/>
          <w:numId w:val="6"/>
        </w:numPr>
        <w:ind w:left="426" w:hanging="426"/>
        <w:rPr>
          <w:rFonts w:eastAsia="Calibri"/>
        </w:rPr>
      </w:pPr>
      <w:r w:rsidRPr="006565CC">
        <w:rPr>
          <w:rFonts w:eastAsia="Calibri"/>
        </w:rPr>
        <w:t xml:space="preserve">Why is DVA using the </w:t>
      </w:r>
      <w:r w:rsidR="00DF2129">
        <w:rPr>
          <w:rFonts w:eastAsia="Calibri"/>
        </w:rPr>
        <w:t xml:space="preserve">Community Grants </w:t>
      </w:r>
      <w:r w:rsidRPr="006565CC">
        <w:rPr>
          <w:rFonts w:eastAsia="Calibri"/>
        </w:rPr>
        <w:t>Hub to manage its grants?</w:t>
      </w:r>
    </w:p>
    <w:p w:rsidR="00541647" w:rsidRPr="006565CC" w:rsidRDefault="00541647" w:rsidP="00372A52">
      <w:pPr>
        <w:ind w:left="425"/>
      </w:pPr>
      <w:r w:rsidRPr="006565CC">
        <w:t xml:space="preserve">The </w:t>
      </w:r>
      <w:r w:rsidR="00DF2129">
        <w:t xml:space="preserve">Community Grants </w:t>
      </w:r>
      <w:r w:rsidRPr="006565CC">
        <w:t>Hub provide</w:t>
      </w:r>
      <w:r w:rsidR="00B444BF">
        <w:t>s</w:t>
      </w:r>
      <w:r w:rsidRPr="006565CC">
        <w:t xml:space="preserve"> a central application and management process for DVA’s grant applicants and recipients.</w:t>
      </w:r>
    </w:p>
    <w:p w:rsidR="00541647" w:rsidRDefault="00541647" w:rsidP="00372A52">
      <w:pPr>
        <w:ind w:left="425"/>
      </w:pPr>
      <w:r w:rsidRPr="006565CC">
        <w:t>It also reduce</w:t>
      </w:r>
      <w:r w:rsidR="00B444BF">
        <w:t>s</w:t>
      </w:r>
      <w:r w:rsidRPr="006565CC">
        <w:t xml:space="preserve"> duplication of effort and resources in c</w:t>
      </w:r>
      <w:r w:rsidR="00301DDB">
        <w:t>ommon areas of services across g</w:t>
      </w:r>
      <w:r w:rsidRPr="006565CC">
        <w:t>overnment, such as grants.</w:t>
      </w:r>
    </w:p>
    <w:p w:rsidR="00541647" w:rsidRPr="006E5B9A" w:rsidRDefault="00541647" w:rsidP="00372A52">
      <w:pPr>
        <w:pStyle w:val="Heading2"/>
        <w:keepNext w:val="0"/>
        <w:keepLines w:val="0"/>
        <w:numPr>
          <w:ilvl w:val="0"/>
          <w:numId w:val="6"/>
        </w:numPr>
        <w:ind w:left="426" w:hanging="426"/>
        <w:rPr>
          <w:rFonts w:eastAsia="Calibri"/>
        </w:rPr>
      </w:pPr>
      <w:r w:rsidRPr="006E5B9A">
        <w:rPr>
          <w:rFonts w:eastAsia="Calibri"/>
        </w:rPr>
        <w:t xml:space="preserve">How can I submit the </w:t>
      </w:r>
      <w:r w:rsidR="007C1429">
        <w:rPr>
          <w:rFonts w:eastAsia="Calibri"/>
        </w:rPr>
        <w:t>a</w:t>
      </w:r>
      <w:r w:rsidRPr="006E5B9A">
        <w:rPr>
          <w:rFonts w:eastAsia="Calibri"/>
        </w:rPr>
        <w:t xml:space="preserve">pplication </w:t>
      </w:r>
      <w:r w:rsidR="007C1429">
        <w:rPr>
          <w:rFonts w:eastAsia="Calibri"/>
        </w:rPr>
        <w:t>f</w:t>
      </w:r>
      <w:r w:rsidRPr="006E5B9A">
        <w:rPr>
          <w:rFonts w:eastAsia="Calibri"/>
        </w:rPr>
        <w:t>orm?</w:t>
      </w:r>
    </w:p>
    <w:p w:rsidR="00301DDB" w:rsidRDefault="00541647" w:rsidP="00372A52">
      <w:pPr>
        <w:ind w:left="425"/>
      </w:pPr>
      <w:r w:rsidRPr="00046AC0">
        <w:t xml:space="preserve">The form is an online </w:t>
      </w:r>
      <w:r w:rsidR="007C1429">
        <w:t>a</w:t>
      </w:r>
      <w:r w:rsidRPr="00046AC0">
        <w:t xml:space="preserve">pplication </w:t>
      </w:r>
      <w:r w:rsidR="007C1429">
        <w:t>f</w:t>
      </w:r>
      <w:r w:rsidRPr="00046AC0">
        <w:t xml:space="preserve">orm that you must submit electronically. </w:t>
      </w:r>
    </w:p>
    <w:p w:rsidR="00541647" w:rsidRDefault="00541647" w:rsidP="00372A52">
      <w:pPr>
        <w:ind w:left="425"/>
        <w:rPr>
          <w:lang w:eastAsia="en-AU"/>
        </w:rPr>
      </w:pPr>
      <w:r w:rsidRPr="00046AC0">
        <w:t xml:space="preserve">The Community Grants Hub will not provide application forms or accept application forms for this grant opportunity by fax, email or through Australia Post unless otherwise stated in the </w:t>
      </w:r>
      <w:r w:rsidR="0008070E">
        <w:t>g</w:t>
      </w:r>
      <w:r w:rsidRPr="00046AC0">
        <w:t>rant</w:t>
      </w:r>
      <w:r w:rsidRPr="00046AC0">
        <w:rPr>
          <w:lang w:eastAsia="en-AU"/>
        </w:rPr>
        <w:t xml:space="preserve"> </w:t>
      </w:r>
      <w:r w:rsidR="0008070E">
        <w:rPr>
          <w:lang w:eastAsia="en-AU"/>
        </w:rPr>
        <w:t>o</w:t>
      </w:r>
      <w:r w:rsidRPr="00046AC0">
        <w:rPr>
          <w:lang w:eastAsia="en-AU"/>
        </w:rPr>
        <w:t xml:space="preserve">pportunity </w:t>
      </w:r>
      <w:r w:rsidR="007C1429">
        <w:rPr>
          <w:lang w:eastAsia="en-AU"/>
        </w:rPr>
        <w:t>d</w:t>
      </w:r>
      <w:r w:rsidRPr="00046AC0">
        <w:rPr>
          <w:lang w:eastAsia="en-AU"/>
        </w:rPr>
        <w:t>ocuments</w:t>
      </w:r>
      <w:r w:rsidR="007C1429">
        <w:rPr>
          <w:lang w:eastAsia="en-AU"/>
        </w:rPr>
        <w:t>.</w:t>
      </w:r>
    </w:p>
    <w:p w:rsidR="00541647" w:rsidRDefault="00541647" w:rsidP="004B6845">
      <w:pPr>
        <w:pStyle w:val="BodyText"/>
        <w:spacing w:after="200" w:line="276" w:lineRule="auto"/>
        <w:ind w:left="425"/>
        <w:rPr>
          <w:lang w:eastAsia="en-AU"/>
        </w:rPr>
      </w:pPr>
      <w:r>
        <w:rPr>
          <w:lang w:eastAsia="en-AU"/>
        </w:rPr>
        <w:t xml:space="preserve">You must submit your grant application using the application form, which is available on the </w:t>
      </w:r>
      <w:hyperlink r:id="rId28" w:history="1">
        <w:r w:rsidRPr="00C441B0">
          <w:rPr>
            <w:rStyle w:val="Hyperlink"/>
            <w:lang w:eastAsia="en-AU"/>
          </w:rPr>
          <w:t>GrantConnect</w:t>
        </w:r>
      </w:hyperlink>
      <w:r>
        <w:rPr>
          <w:lang w:eastAsia="en-AU"/>
        </w:rPr>
        <w:t xml:space="preserve"> and </w:t>
      </w:r>
      <w:hyperlink r:id="rId29" w:history="1">
        <w:r w:rsidRPr="00B0049A">
          <w:rPr>
            <w:rStyle w:val="Hyperlink"/>
            <w:lang w:eastAsia="en-AU"/>
          </w:rPr>
          <w:t>Community Grants Hub</w:t>
        </w:r>
      </w:hyperlink>
      <w:r w:rsidRPr="00B0049A">
        <w:rPr>
          <w:lang w:eastAsia="en-AU"/>
        </w:rPr>
        <w:t xml:space="preserve"> websites</w:t>
      </w:r>
      <w:r>
        <w:rPr>
          <w:lang w:eastAsia="en-AU"/>
        </w:rPr>
        <w:t xml:space="preserve">. The application form includes help information. </w:t>
      </w:r>
    </w:p>
    <w:p w:rsidR="00E71790" w:rsidRDefault="00E71790" w:rsidP="00372A52">
      <w:pPr>
        <w:pStyle w:val="Heading2"/>
        <w:keepNext w:val="0"/>
        <w:keepLines w:val="0"/>
        <w:numPr>
          <w:ilvl w:val="0"/>
          <w:numId w:val="6"/>
        </w:numPr>
        <w:ind w:left="426" w:hanging="426"/>
        <w:rPr>
          <w:rFonts w:eastAsia="Calibri"/>
        </w:rPr>
      </w:pPr>
      <w:r>
        <w:rPr>
          <w:rFonts w:eastAsia="Calibri"/>
        </w:rPr>
        <w:t xml:space="preserve">Do word limits apply to </w:t>
      </w:r>
      <w:r w:rsidR="00EC4B4F">
        <w:rPr>
          <w:rFonts w:eastAsia="Calibri"/>
        </w:rPr>
        <w:t>assessment</w:t>
      </w:r>
      <w:r>
        <w:rPr>
          <w:rFonts w:eastAsia="Calibri"/>
        </w:rPr>
        <w:t xml:space="preserve"> criteria? </w:t>
      </w:r>
    </w:p>
    <w:p w:rsidR="00E71790" w:rsidRPr="00E43252" w:rsidRDefault="00E71790" w:rsidP="00372A52">
      <w:pPr>
        <w:ind w:left="425"/>
      </w:pPr>
      <w:r w:rsidRPr="00E632D7">
        <w:t xml:space="preserve">Yes, there is a word </w:t>
      </w:r>
      <w:r w:rsidRPr="003D0A6E">
        <w:t xml:space="preserve">limit of </w:t>
      </w:r>
      <w:r w:rsidR="00DF2129">
        <w:t xml:space="preserve">around </w:t>
      </w:r>
      <w:r w:rsidRPr="003D0A6E">
        <w:t>900 words (</w:t>
      </w:r>
      <w:r w:rsidR="00DE708D">
        <w:t xml:space="preserve">approximately </w:t>
      </w:r>
      <w:r w:rsidRPr="003D0A6E">
        <w:t>6</w:t>
      </w:r>
      <w:r w:rsidR="00301DDB">
        <w:t>,</w:t>
      </w:r>
      <w:r w:rsidRPr="003D0A6E">
        <w:t xml:space="preserve">000 characters) per </w:t>
      </w:r>
      <w:r w:rsidR="00EC4B4F">
        <w:t>assessment</w:t>
      </w:r>
      <w:r w:rsidR="00DF2129">
        <w:t xml:space="preserve"> criterion</w:t>
      </w:r>
      <w:r w:rsidRPr="00E632D7">
        <w:t xml:space="preserve">. </w:t>
      </w:r>
    </w:p>
    <w:p w:rsidR="00E71790" w:rsidRDefault="00E71790" w:rsidP="00372A52">
      <w:pPr>
        <w:ind w:left="425"/>
      </w:pPr>
      <w:r w:rsidRPr="00E632D7">
        <w:t>Please note: character limits include any formatting used within the</w:t>
      </w:r>
      <w:r w:rsidR="00301DDB">
        <w:t xml:space="preserve"> body of the response. T</w:t>
      </w:r>
      <w:r w:rsidR="0010741E" w:rsidRPr="00E632D7">
        <w:t>his includes</w:t>
      </w:r>
      <w:r w:rsidRPr="00E632D7">
        <w:t xml:space="preserve"> spaces.</w:t>
      </w:r>
    </w:p>
    <w:p w:rsidR="00EC4B4F" w:rsidRPr="00E43252" w:rsidRDefault="00EC4B4F" w:rsidP="00372A52">
      <w:pPr>
        <w:ind w:left="425"/>
      </w:pPr>
      <w:r>
        <w:t xml:space="preserve">Major Grant applications should provide detailed responses to each of the points listed below the </w:t>
      </w:r>
      <w:r w:rsidR="005D4FD6">
        <w:t>three</w:t>
      </w:r>
      <w:r>
        <w:t xml:space="preserve"> criteria. </w:t>
      </w:r>
      <w:r w:rsidRPr="00EC4B4F">
        <w:t xml:space="preserve">Community Grant </w:t>
      </w:r>
      <w:r>
        <w:t>applications can provide more succinct responses to each of the points.</w:t>
      </w:r>
    </w:p>
    <w:p w:rsidR="00541647" w:rsidRDefault="00541647" w:rsidP="00372A52">
      <w:pPr>
        <w:pStyle w:val="Heading2"/>
        <w:keepNext w:val="0"/>
        <w:keepLines w:val="0"/>
        <w:numPr>
          <w:ilvl w:val="0"/>
          <w:numId w:val="6"/>
        </w:numPr>
        <w:ind w:left="426" w:hanging="426"/>
        <w:rPr>
          <w:rFonts w:eastAsia="Calibri"/>
        </w:rPr>
      </w:pPr>
      <w:r w:rsidRPr="0033605F">
        <w:rPr>
          <w:rFonts w:eastAsia="Calibri"/>
        </w:rPr>
        <w:t>Can someone from the Community Grants Hub help me with my application?</w:t>
      </w:r>
    </w:p>
    <w:p w:rsidR="00541647" w:rsidRPr="0033605F" w:rsidRDefault="00541647" w:rsidP="00372A52">
      <w:pPr>
        <w:ind w:left="425"/>
      </w:pPr>
      <w:r>
        <w:t>The Community Grants Hub and DVA can only provide general information and advice on completing your application. To maintain the fairness and integrity of the application process, applicants cannot be offered individual support or help with their applications.</w:t>
      </w:r>
    </w:p>
    <w:p w:rsidR="00541647" w:rsidRDefault="00541647" w:rsidP="00372A52">
      <w:pPr>
        <w:pStyle w:val="Heading2"/>
        <w:keepNext w:val="0"/>
        <w:keepLines w:val="0"/>
        <w:numPr>
          <w:ilvl w:val="0"/>
          <w:numId w:val="6"/>
        </w:numPr>
        <w:ind w:left="426" w:hanging="426"/>
        <w:rPr>
          <w:rFonts w:eastAsia="Calibri"/>
        </w:rPr>
      </w:pPr>
      <w:r w:rsidRPr="0033605F">
        <w:rPr>
          <w:rFonts w:eastAsia="Calibri"/>
        </w:rPr>
        <w:t>Who do I contact if I’m having trouble using or submitting an application form?</w:t>
      </w:r>
    </w:p>
    <w:p w:rsidR="00541647" w:rsidRPr="0033605F" w:rsidRDefault="00541647" w:rsidP="00372A52">
      <w:pPr>
        <w:ind w:left="425"/>
        <w:rPr>
          <w:lang w:eastAsia="en-AU"/>
        </w:rPr>
      </w:pPr>
      <w:r>
        <w:rPr>
          <w:lang w:eastAsia="en-AU"/>
        </w:rPr>
        <w:t xml:space="preserve">If you require help or support in using and/or submitting an application form on the Community Grants Hub website, please call 1800 020 283 </w:t>
      </w:r>
      <w:r w:rsidR="00DF2129">
        <w:rPr>
          <w:lang w:eastAsia="en-AU"/>
        </w:rPr>
        <w:t xml:space="preserve">(option 1) </w:t>
      </w:r>
      <w:r>
        <w:rPr>
          <w:lang w:eastAsia="en-AU"/>
        </w:rPr>
        <w:t>or TTY 1800 555 677.</w:t>
      </w:r>
    </w:p>
    <w:p w:rsidR="00541647" w:rsidRPr="00482FBC" w:rsidRDefault="00541647" w:rsidP="00372A52">
      <w:pPr>
        <w:pStyle w:val="Heading2"/>
        <w:keepNext w:val="0"/>
        <w:keepLines w:val="0"/>
        <w:numPr>
          <w:ilvl w:val="0"/>
          <w:numId w:val="6"/>
        </w:numPr>
        <w:ind w:left="426" w:hanging="426"/>
        <w:rPr>
          <w:rFonts w:eastAsia="Calibri"/>
        </w:rPr>
      </w:pPr>
      <w:r w:rsidRPr="00482FBC">
        <w:rPr>
          <w:rFonts w:eastAsia="Calibri"/>
        </w:rPr>
        <w:lastRenderedPageBreak/>
        <w:t xml:space="preserve">I’m not familiar with </w:t>
      </w:r>
      <w:r w:rsidR="007C1429">
        <w:rPr>
          <w:rFonts w:eastAsia="Calibri"/>
        </w:rPr>
        <w:t>using technology, what do I do?</w:t>
      </w:r>
    </w:p>
    <w:p w:rsidR="00541647" w:rsidRPr="00301DDB" w:rsidRDefault="00541647" w:rsidP="00372A52">
      <w:pPr>
        <w:ind w:left="425"/>
        <w:rPr>
          <w:i/>
          <w:iCs/>
        </w:rPr>
      </w:pPr>
      <w:r>
        <w:t xml:space="preserve">If you or members of your organisation require digital training, support can be accessed through the Department of Social Services’ initiative </w:t>
      </w:r>
      <w:hyperlink r:id="rId30" w:history="1">
        <w:r w:rsidRPr="00152936">
          <w:rPr>
            <w:rStyle w:val="Hyperlink"/>
            <w:i/>
            <w:iCs/>
          </w:rPr>
          <w:t>Be Connected – improving digital literacy for older Australians</w:t>
        </w:r>
      </w:hyperlink>
      <w:r>
        <w:rPr>
          <w:i/>
          <w:iCs/>
        </w:rPr>
        <w:t xml:space="preserve"> </w:t>
      </w:r>
      <w:r>
        <w:t>which provides training in both city and regional areas, Australia wide</w:t>
      </w:r>
      <w:r w:rsidR="00301DDB">
        <w:rPr>
          <w:i/>
          <w:iCs/>
        </w:rPr>
        <w:t xml:space="preserve">. </w:t>
      </w:r>
      <w:r>
        <w:rPr>
          <w:i/>
          <w:iCs/>
        </w:rPr>
        <w:t xml:space="preserve">Please visit: </w:t>
      </w:r>
      <w:hyperlink r:id="rId31" w:history="1">
        <w:r w:rsidRPr="00152936">
          <w:rPr>
            <w:rStyle w:val="Hyperlink"/>
            <w:i/>
            <w:iCs/>
          </w:rPr>
          <w:t>Be Connected website</w:t>
        </w:r>
      </w:hyperlink>
      <w:r>
        <w:rPr>
          <w:i/>
          <w:iCs/>
        </w:rPr>
        <w:t>.</w:t>
      </w:r>
    </w:p>
    <w:p w:rsidR="00F35229" w:rsidRPr="00F35229" w:rsidRDefault="00F35229" w:rsidP="00372A52">
      <w:pPr>
        <w:pStyle w:val="Heading2"/>
        <w:ind w:left="425"/>
        <w:rPr>
          <w:rFonts w:eastAsia="Calibri"/>
        </w:rPr>
      </w:pPr>
      <w:r w:rsidRPr="000A0295">
        <w:rPr>
          <w:rFonts w:eastAsia="Calibri"/>
        </w:rPr>
        <w:t xml:space="preserve">Assessment </w:t>
      </w:r>
      <w:r>
        <w:rPr>
          <w:rFonts w:eastAsia="Calibri"/>
        </w:rPr>
        <w:t>Process</w:t>
      </w:r>
    </w:p>
    <w:p w:rsidR="00541647" w:rsidRDefault="00541647" w:rsidP="00372A52">
      <w:pPr>
        <w:pStyle w:val="Heading2"/>
        <w:numPr>
          <w:ilvl w:val="0"/>
          <w:numId w:val="6"/>
        </w:numPr>
        <w:ind w:left="425" w:hanging="426"/>
        <w:rPr>
          <w:rFonts w:eastAsia="Calibri"/>
        </w:rPr>
      </w:pPr>
      <w:r>
        <w:rPr>
          <w:rFonts w:eastAsia="Calibri"/>
        </w:rPr>
        <w:t>Will DVA still be involved in assessing the grants?</w:t>
      </w:r>
    </w:p>
    <w:p w:rsidR="004C69DA" w:rsidRDefault="00AC6DF2" w:rsidP="00372A52">
      <w:pPr>
        <w:ind w:left="425"/>
      </w:pPr>
      <w:r>
        <w:t xml:space="preserve">Yes, DVA </w:t>
      </w:r>
      <w:r w:rsidR="004C69DA">
        <w:t>staff will assess all eligible and compliant applications against the assessment criteria and against other applications. Following the assessment, the CGAC will consider each eligible and compliant application and will recommend to the Minister for Veterans</w:t>
      </w:r>
      <w:r w:rsidR="00CD261F">
        <w:t>’ Affairs</w:t>
      </w:r>
      <w:r w:rsidR="004C69DA">
        <w:t xml:space="preserve"> (the decision maker) which applications to approve for a grant.</w:t>
      </w:r>
    </w:p>
    <w:p w:rsidR="00AC6DF2" w:rsidRDefault="004C69DA" w:rsidP="00372A52">
      <w:pPr>
        <w:ind w:left="425"/>
      </w:pPr>
      <w:r>
        <w:t>For more information on the grant selection process please see section 8 of the Grant Opportunity Guidelines.</w:t>
      </w:r>
    </w:p>
    <w:p w:rsidR="00541647" w:rsidRDefault="00541647" w:rsidP="00372A52">
      <w:pPr>
        <w:pStyle w:val="Heading2"/>
        <w:keepNext w:val="0"/>
        <w:keepLines w:val="0"/>
        <w:numPr>
          <w:ilvl w:val="0"/>
          <w:numId w:val="6"/>
        </w:numPr>
        <w:ind w:left="426" w:hanging="426"/>
        <w:rPr>
          <w:rFonts w:eastAsia="Calibri"/>
        </w:rPr>
      </w:pPr>
      <w:r>
        <w:rPr>
          <w:rFonts w:eastAsia="Calibri"/>
        </w:rPr>
        <w:t>Who will be approving DVA grants?</w:t>
      </w:r>
    </w:p>
    <w:p w:rsidR="00541647" w:rsidRDefault="00541647" w:rsidP="00372A52">
      <w:pPr>
        <w:ind w:left="425"/>
      </w:pPr>
      <w:r w:rsidRPr="00D9724C">
        <w:t>The Minister for Veterans</w:t>
      </w:r>
      <w:r w:rsidR="00CD261F">
        <w:t>’ Affairs</w:t>
      </w:r>
      <w:r w:rsidR="00716301">
        <w:t xml:space="preserve"> </w:t>
      </w:r>
      <w:r w:rsidRPr="00D9724C">
        <w:t xml:space="preserve">(the decision maker) decides which </w:t>
      </w:r>
      <w:r w:rsidR="0008070E">
        <w:t>g</w:t>
      </w:r>
      <w:r w:rsidRPr="00D9724C">
        <w:t>rants to approve</w:t>
      </w:r>
      <w:r>
        <w:t xml:space="preserve"> taking into account the recommendations made by the </w:t>
      </w:r>
      <w:r w:rsidR="00716301">
        <w:t>CGAC</w:t>
      </w:r>
      <w:r w:rsidR="006D3403">
        <w:t xml:space="preserve"> and the availability of g</w:t>
      </w:r>
      <w:r>
        <w:t>rant</w:t>
      </w:r>
      <w:r w:rsidR="006D3403">
        <w:t xml:space="preserve"> funds for the purposes of the g</w:t>
      </w:r>
      <w:r w:rsidR="007C1429">
        <w:t>rant program.</w:t>
      </w:r>
    </w:p>
    <w:p w:rsidR="00541647" w:rsidRPr="00496141" w:rsidRDefault="00541647" w:rsidP="00372A52">
      <w:pPr>
        <w:pStyle w:val="Heading2"/>
        <w:keepNext w:val="0"/>
        <w:keepLines w:val="0"/>
        <w:numPr>
          <w:ilvl w:val="0"/>
          <w:numId w:val="6"/>
        </w:numPr>
        <w:ind w:left="426" w:hanging="426"/>
        <w:rPr>
          <w:rFonts w:eastAsia="Calibri"/>
        </w:rPr>
      </w:pPr>
      <w:r w:rsidRPr="00496141">
        <w:rPr>
          <w:rFonts w:eastAsia="Calibri"/>
        </w:rPr>
        <w:t>When will I know the outcome of my application?</w:t>
      </w:r>
    </w:p>
    <w:p w:rsidR="00541647" w:rsidRDefault="00541647" w:rsidP="00372A52">
      <w:pPr>
        <w:ind w:left="425"/>
      </w:pPr>
      <w:r w:rsidRPr="00496141">
        <w:t>You will be notified of the outcome of your application at the end of the selection process.</w:t>
      </w:r>
      <w:r w:rsidR="00DE708D">
        <w:t xml:space="preserve"> </w:t>
      </w:r>
      <w:r w:rsidRPr="00496141">
        <w:t>For</w:t>
      </w:r>
      <w:r w:rsidR="00DE708D">
        <w:t> </w:t>
      </w:r>
      <w:r w:rsidRPr="00496141">
        <w:t>probity reasons, to treat all applicants fairly and equally, it is not possible to give you information about the status of individual applications during the assessment process.</w:t>
      </w:r>
    </w:p>
    <w:p w:rsidR="00A550ED" w:rsidRDefault="00A550ED" w:rsidP="00372A52">
      <w:pPr>
        <w:ind w:left="425"/>
        <w:rPr>
          <w:lang w:eastAsia="en-AU"/>
        </w:rPr>
      </w:pPr>
      <w:r w:rsidRPr="00372A52">
        <w:t xml:space="preserve">Timeframes are indicated in the </w:t>
      </w:r>
      <w:r w:rsidR="00FB6023" w:rsidRPr="00372A52">
        <w:t>G</w:t>
      </w:r>
      <w:r w:rsidRPr="00372A52">
        <w:t xml:space="preserve">rant </w:t>
      </w:r>
      <w:r w:rsidR="00FB6023" w:rsidRPr="00372A52">
        <w:t>O</w:t>
      </w:r>
      <w:r w:rsidRPr="00372A52">
        <w:t xml:space="preserve">pportunity </w:t>
      </w:r>
      <w:r w:rsidR="00FB6023" w:rsidRPr="00372A52">
        <w:t>G</w:t>
      </w:r>
      <w:r w:rsidRPr="00372A52">
        <w:t xml:space="preserve">uidelines, although in some instances due to volume and complexity of </w:t>
      </w:r>
      <w:r w:rsidR="00BC7253" w:rsidRPr="00372A52">
        <w:t>applications, timeframes may be modified.</w:t>
      </w:r>
    </w:p>
    <w:p w:rsidR="00541647" w:rsidRDefault="00541647" w:rsidP="00372A52">
      <w:pPr>
        <w:pStyle w:val="Heading2"/>
        <w:keepNext w:val="0"/>
        <w:keepLines w:val="0"/>
        <w:numPr>
          <w:ilvl w:val="0"/>
          <w:numId w:val="6"/>
        </w:numPr>
        <w:ind w:left="426" w:hanging="426"/>
        <w:rPr>
          <w:rFonts w:eastAsia="Calibri"/>
        </w:rPr>
      </w:pPr>
      <w:r w:rsidRPr="00B41501">
        <w:rPr>
          <w:rFonts w:eastAsia="Calibri"/>
        </w:rPr>
        <w:t>Can I appeal the decision in relation to the outcome of a selection process?</w:t>
      </w:r>
    </w:p>
    <w:p w:rsidR="00C53332" w:rsidRPr="00372A52" w:rsidRDefault="00541647" w:rsidP="00372A52">
      <w:pPr>
        <w:ind w:left="425"/>
      </w:pPr>
      <w:r w:rsidRPr="00E40E6B">
        <w:t xml:space="preserve">There is no appeal mechanism for decisions to approve or not approve a </w:t>
      </w:r>
      <w:r w:rsidR="0008070E">
        <w:t>g</w:t>
      </w:r>
      <w:r w:rsidRPr="00E40E6B">
        <w:t>rant.</w:t>
      </w:r>
      <w:r w:rsidR="00D96F59">
        <w:t xml:space="preserve"> </w:t>
      </w:r>
    </w:p>
    <w:p w:rsidR="00D96F59" w:rsidRPr="00372A52" w:rsidRDefault="00D96F59" w:rsidP="00372A52">
      <w:pPr>
        <w:ind w:left="425"/>
      </w:pPr>
      <w:r w:rsidRPr="00372A52">
        <w:t xml:space="preserve">A </w:t>
      </w:r>
      <w:r w:rsidR="00E43252" w:rsidRPr="00372A52">
        <w:t>feedback s</w:t>
      </w:r>
      <w:r w:rsidRPr="00372A52">
        <w:t xml:space="preserve">ummary will be published on the Community Grants Hub website to provide all organisations with easy access to information about the </w:t>
      </w:r>
      <w:r w:rsidR="0008070E" w:rsidRPr="00372A52">
        <w:t>g</w:t>
      </w:r>
      <w:r w:rsidRPr="00372A52">
        <w:t>rant selection process and the main strengths and areas for improving applications.</w:t>
      </w:r>
    </w:p>
    <w:p w:rsidR="005D1295" w:rsidRPr="00372A52" w:rsidRDefault="00D96F59" w:rsidP="00372A52">
      <w:pPr>
        <w:ind w:left="425"/>
      </w:pPr>
      <w:r w:rsidRPr="00372A52">
        <w:t xml:space="preserve">Individual feedback </w:t>
      </w:r>
      <w:r w:rsidR="00520FCB" w:rsidRPr="00372A52">
        <w:t>will</w:t>
      </w:r>
      <w:r w:rsidRPr="00372A52">
        <w:t xml:space="preserve"> </w:t>
      </w:r>
      <w:r w:rsidR="00520FCB" w:rsidRPr="00372A52">
        <w:t xml:space="preserve">also </w:t>
      </w:r>
      <w:r w:rsidRPr="00372A52">
        <w:t xml:space="preserve">be </w:t>
      </w:r>
      <w:r w:rsidR="00D828B7" w:rsidRPr="00372A52">
        <w:t xml:space="preserve">provided in the letter advising of the outcome of your application. </w:t>
      </w:r>
    </w:p>
    <w:p w:rsidR="00F35229" w:rsidRDefault="00F35229" w:rsidP="00372A52">
      <w:pPr>
        <w:pStyle w:val="Heading2"/>
        <w:ind w:left="425"/>
        <w:rPr>
          <w:rFonts w:eastAsia="Calibri"/>
        </w:rPr>
      </w:pPr>
      <w:r>
        <w:rPr>
          <w:rFonts w:eastAsia="Calibri"/>
        </w:rPr>
        <w:lastRenderedPageBreak/>
        <w:t>Further information</w:t>
      </w:r>
    </w:p>
    <w:p w:rsidR="00E94149" w:rsidRPr="006D3403" w:rsidRDefault="00E94149" w:rsidP="00372A52">
      <w:pPr>
        <w:pStyle w:val="Heading2"/>
        <w:keepNext w:val="0"/>
        <w:keepLines w:val="0"/>
        <w:numPr>
          <w:ilvl w:val="0"/>
          <w:numId w:val="6"/>
        </w:numPr>
        <w:ind w:left="426" w:hanging="426"/>
        <w:rPr>
          <w:rFonts w:eastAsia="Calibri"/>
        </w:rPr>
      </w:pPr>
      <w:r w:rsidRPr="006D3403">
        <w:rPr>
          <w:rFonts w:eastAsia="Calibri"/>
        </w:rPr>
        <w:t xml:space="preserve">Where should I go for further information? </w:t>
      </w:r>
    </w:p>
    <w:p w:rsidR="0059000C" w:rsidRPr="00CC1B7B" w:rsidRDefault="006D3403" w:rsidP="00372A52">
      <w:pPr>
        <w:ind w:left="425"/>
      </w:pPr>
      <w:r>
        <w:t>More</w:t>
      </w:r>
      <w:r>
        <w:rPr>
          <w:lang w:eastAsia="en-AU"/>
        </w:rPr>
        <w:t xml:space="preserve"> information about this grant can be found in the </w:t>
      </w:r>
      <w:r w:rsidR="006B71CA">
        <w:rPr>
          <w:lang w:eastAsia="en-AU"/>
        </w:rPr>
        <w:t>G</w:t>
      </w:r>
      <w:r>
        <w:rPr>
          <w:lang w:eastAsia="en-AU"/>
        </w:rPr>
        <w:t xml:space="preserve">rant </w:t>
      </w:r>
      <w:r w:rsidR="006B71CA">
        <w:rPr>
          <w:lang w:eastAsia="en-AU"/>
        </w:rPr>
        <w:t>O</w:t>
      </w:r>
      <w:r>
        <w:rPr>
          <w:lang w:eastAsia="en-AU"/>
        </w:rPr>
        <w:t xml:space="preserve">pportunity </w:t>
      </w:r>
      <w:r w:rsidR="006B71CA">
        <w:rPr>
          <w:lang w:eastAsia="en-AU"/>
        </w:rPr>
        <w:t>G</w:t>
      </w:r>
      <w:r>
        <w:rPr>
          <w:lang w:eastAsia="en-AU"/>
        </w:rPr>
        <w:t xml:space="preserve">uidelines. If you have any questions during the application period, please contact the Community Grants Hub on 1800 020 283 </w:t>
      </w:r>
      <w:r w:rsidR="00DF2129">
        <w:rPr>
          <w:lang w:eastAsia="en-AU"/>
        </w:rPr>
        <w:t xml:space="preserve">(option 1) </w:t>
      </w:r>
      <w:r>
        <w:rPr>
          <w:lang w:eastAsia="en-AU"/>
        </w:rPr>
        <w:t xml:space="preserve">or email </w:t>
      </w:r>
      <w:hyperlink r:id="rId32" w:history="1">
        <w:r w:rsidR="00842E9F" w:rsidRPr="00341298">
          <w:rPr>
            <w:rStyle w:val="Hyperlink"/>
            <w:lang w:eastAsia="en-AU"/>
          </w:rPr>
          <w:t>support@communitygrants.gov.au</w:t>
        </w:r>
      </w:hyperlink>
      <w:r w:rsidR="00842E9F">
        <w:rPr>
          <w:lang w:eastAsia="en-AU"/>
        </w:rPr>
        <w:t>.</w:t>
      </w:r>
      <w:r w:rsidR="00BC1FFB">
        <w:rPr>
          <w:lang w:eastAsia="en-AU"/>
        </w:rPr>
        <w:t xml:space="preserve"> </w:t>
      </w:r>
      <w:r>
        <w:rPr>
          <w:lang w:eastAsia="en-AU"/>
        </w:rPr>
        <w:t xml:space="preserve">The </w:t>
      </w:r>
      <w:r>
        <w:t>Community</w:t>
      </w:r>
      <w:r>
        <w:rPr>
          <w:lang w:eastAsia="en-AU"/>
        </w:rPr>
        <w:t xml:space="preserve"> Grants Hub will respond to emailed questions within </w:t>
      </w:r>
      <w:r w:rsidR="00B86424">
        <w:rPr>
          <w:lang w:eastAsia="en-AU"/>
        </w:rPr>
        <w:t>5</w:t>
      </w:r>
      <w:r>
        <w:rPr>
          <w:lang w:eastAsia="en-AU"/>
        </w:rPr>
        <w:t xml:space="preserve"> working days.</w:t>
      </w:r>
    </w:p>
    <w:sectPr w:rsidR="0059000C" w:rsidRPr="00CC1B7B" w:rsidSect="00A548F2">
      <w:headerReference w:type="default" r:id="rId33"/>
      <w:footerReference w:type="default" r:id="rId34"/>
      <w:headerReference w:type="first" r:id="rId35"/>
      <w:footerReference w:type="first" r:id="rId36"/>
      <w:pgSz w:w="11906" w:h="16838" w:code="9"/>
      <w:pgMar w:top="2768" w:right="1134" w:bottom="1134"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0A4" w:rsidRDefault="009A00A4" w:rsidP="00772718">
      <w:pPr>
        <w:spacing w:line="240" w:lineRule="auto"/>
      </w:pPr>
      <w:r>
        <w:separator/>
      </w:r>
    </w:p>
  </w:endnote>
  <w:endnote w:type="continuationSeparator" w:id="0">
    <w:p w:rsidR="009A00A4" w:rsidRDefault="009A00A4" w:rsidP="00772718">
      <w:pPr>
        <w:spacing w:line="240" w:lineRule="auto"/>
      </w:pPr>
      <w:r>
        <w:continuationSeparator/>
      </w:r>
    </w:p>
  </w:endnote>
  <w:endnote w:type="continuationNotice" w:id="1">
    <w:p w:rsidR="009A00A4" w:rsidRDefault="009A00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Pr="00EC4B4F" w:rsidRDefault="00397EF1" w:rsidP="00207788">
    <w:pPr>
      <w:pStyle w:val="Footer"/>
      <w:rPr>
        <w:sz w:val="18"/>
        <w:szCs w:val="18"/>
      </w:rPr>
    </w:pPr>
    <w:r w:rsidRPr="00EC4B4F">
      <w:rPr>
        <w:sz w:val="18"/>
        <w:szCs w:val="18"/>
      </w:rPr>
      <w:t>Questions and Answers</w:t>
    </w:r>
    <w:r w:rsidRPr="00EC4B4F">
      <w:rPr>
        <w:sz w:val="18"/>
        <w:szCs w:val="18"/>
      </w:rPr>
      <w:tab/>
    </w:r>
    <w:r w:rsidRPr="00EC4B4F">
      <w:rPr>
        <w:sz w:val="18"/>
        <w:szCs w:val="18"/>
      </w:rPr>
      <w:tab/>
    </w:r>
    <w:r w:rsidRPr="00EC4B4F">
      <w:rPr>
        <w:sz w:val="18"/>
        <w:szCs w:val="18"/>
      </w:rPr>
      <w:fldChar w:fldCharType="begin"/>
    </w:r>
    <w:r w:rsidRPr="00EC4B4F">
      <w:rPr>
        <w:sz w:val="18"/>
        <w:szCs w:val="18"/>
      </w:rPr>
      <w:instrText xml:space="preserve"> PAGE   \* MERGEFORMAT </w:instrText>
    </w:r>
    <w:r w:rsidRPr="00EC4B4F">
      <w:rPr>
        <w:sz w:val="18"/>
        <w:szCs w:val="18"/>
      </w:rPr>
      <w:fldChar w:fldCharType="separate"/>
    </w:r>
    <w:r w:rsidR="004E358F">
      <w:rPr>
        <w:noProof/>
        <w:sz w:val="18"/>
        <w:szCs w:val="18"/>
      </w:rPr>
      <w:t>10</w:t>
    </w:r>
    <w:r w:rsidRPr="00EC4B4F">
      <w:rPr>
        <w:noProof/>
        <w:sz w:val="18"/>
        <w:szCs w:val="18"/>
      </w:rPr>
      <w:fldChar w:fldCharType="end"/>
    </w:r>
    <w:r w:rsidRPr="00EC4B4F">
      <w:rPr>
        <w:noProof/>
        <w:sz w:val="18"/>
        <w:szCs w:val="18"/>
        <w:lang w:eastAsia="en-AU"/>
      </w:rPr>
      <mc:AlternateContent>
        <mc:Choice Requires="wps">
          <w:drawing>
            <wp:anchor distT="0" distB="0" distL="114300" distR="114300" simplePos="0" relativeHeight="251677696" behindDoc="0" locked="1" layoutInCell="1" allowOverlap="1" wp14:anchorId="3F5EA89E" wp14:editId="2D779DED">
              <wp:simplePos x="0" y="0"/>
              <wp:positionH relativeFrom="page">
                <wp:posOffset>671195</wp:posOffset>
              </wp:positionH>
              <wp:positionV relativeFrom="page">
                <wp:posOffset>10140315</wp:posOffset>
              </wp:positionV>
              <wp:extent cx="6119495" cy="0"/>
              <wp:effectExtent l="0" t="0" r="3365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1980F2" id="Straight Connector 80" o:spid="_x0000_s1026" alt="Title: Graphic Element - Description: Line"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2.85pt,798.45pt" to="534.7pt,7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548" w:rsidRDefault="00C80548" w:rsidP="00C80548">
    <w:pPr>
      <w:pStyle w:val="Footer"/>
    </w:pPr>
    <w:r>
      <w:t xml:space="preserve">Questions and Answers </w:t>
    </w:r>
    <w:r>
      <w:tab/>
    </w:r>
    <w:r>
      <w:tab/>
    </w:r>
    <w:sdt>
      <w:sdtPr>
        <w:id w:val="-5660359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E358F">
          <w:rPr>
            <w:noProof/>
          </w:rPr>
          <w:t>1</w:t>
        </w:r>
        <w:r>
          <w:rPr>
            <w:noProof/>
          </w:rPr>
          <w:fldChar w:fldCharType="end"/>
        </w:r>
      </w:sdtContent>
    </w:sdt>
  </w:p>
  <w:p w:rsidR="00C80548" w:rsidRDefault="00C80548" w:rsidP="00C80548">
    <w:pPr>
      <w:pStyle w:val="Footer"/>
    </w:pPr>
  </w:p>
  <w:p w:rsidR="00C80548" w:rsidRDefault="00C80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0A4" w:rsidRDefault="009A00A4" w:rsidP="00772718">
      <w:pPr>
        <w:spacing w:line="240" w:lineRule="auto"/>
      </w:pPr>
      <w:r>
        <w:separator/>
      </w:r>
    </w:p>
  </w:footnote>
  <w:footnote w:type="continuationSeparator" w:id="0">
    <w:p w:rsidR="009A00A4" w:rsidRDefault="009A00A4" w:rsidP="00772718">
      <w:pPr>
        <w:spacing w:line="240" w:lineRule="auto"/>
      </w:pPr>
      <w:r>
        <w:continuationSeparator/>
      </w:r>
    </w:p>
  </w:footnote>
  <w:footnote w:type="continuationNotice" w:id="1">
    <w:p w:rsidR="009A00A4" w:rsidRDefault="009A00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2B7088E6" wp14:editId="1740AFCE">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5B571"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27A539EB" wp14:editId="08ABBC2C">
          <wp:simplePos x="0" y="0"/>
          <wp:positionH relativeFrom="page">
            <wp:posOffset>683895</wp:posOffset>
          </wp:positionH>
          <wp:positionV relativeFrom="page">
            <wp:posOffset>683895</wp:posOffset>
          </wp:positionV>
          <wp:extent cx="6174000" cy="759600"/>
          <wp:effectExtent l="0" t="0" r="0" b="2540"/>
          <wp:wrapNone/>
          <wp:docPr id="87" name="Picture 8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60F24F7C" wp14:editId="4AE01F57">
          <wp:simplePos x="0" y="0"/>
          <wp:positionH relativeFrom="page">
            <wp:posOffset>4084320</wp:posOffset>
          </wp:positionH>
          <wp:positionV relativeFrom="page">
            <wp:posOffset>585470</wp:posOffset>
          </wp:positionV>
          <wp:extent cx="2793600" cy="831600"/>
          <wp:effectExtent l="0" t="0" r="6985" b="6985"/>
          <wp:wrapNone/>
          <wp:docPr id="88" name="Picture 8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131F1789" wp14:editId="2AD6AED3">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3314F5"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08FD9625" wp14:editId="0375B37B">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4C405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55732556" wp14:editId="3D6C422A">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51C7F0"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1C05681"/>
    <w:multiLevelType w:val="hybridMultilevel"/>
    <w:tmpl w:val="B190635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27A278A"/>
    <w:multiLevelType w:val="hybridMultilevel"/>
    <w:tmpl w:val="B148A9CE"/>
    <w:lvl w:ilvl="0" w:tplc="9F144156">
      <w:start w:val="1"/>
      <w:numFmt w:val="bullet"/>
      <w:lvlText w:val=""/>
      <w:lvlJc w:val="left"/>
      <w:pPr>
        <w:ind w:left="1146" w:hanging="360"/>
      </w:pPr>
      <w:rPr>
        <w:rFonts w:ascii="Wingdings" w:hAnsi="Wingdings" w:hint="default"/>
        <w:color w:val="264F90"/>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4" w15:restartNumberingAfterBreak="0">
    <w:nsid w:val="044C74F4"/>
    <w:multiLevelType w:val="hybridMultilevel"/>
    <w:tmpl w:val="158E355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0A5B78FC"/>
    <w:multiLevelType w:val="multilevel"/>
    <w:tmpl w:val="7478BEB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C913E68"/>
    <w:multiLevelType w:val="multilevel"/>
    <w:tmpl w:val="BCE8897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CD2477"/>
    <w:multiLevelType w:val="hybridMultilevel"/>
    <w:tmpl w:val="7C6A81EA"/>
    <w:lvl w:ilvl="0" w:tplc="0C09000F">
      <w:start w:val="1"/>
      <w:numFmt w:val="decimal"/>
      <w:pStyle w:val="ListNumber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9336ED3"/>
    <w:multiLevelType w:val="multilevel"/>
    <w:tmpl w:val="D5E0A40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AE74512"/>
    <w:multiLevelType w:val="hybridMultilevel"/>
    <w:tmpl w:val="B300ADD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047883"/>
    <w:multiLevelType w:val="hybridMultilevel"/>
    <w:tmpl w:val="131EC618"/>
    <w:lvl w:ilvl="0" w:tplc="9F144156">
      <w:start w:val="1"/>
      <w:numFmt w:val="bullet"/>
      <w:lvlText w:val=""/>
      <w:lvlJc w:val="left"/>
      <w:pPr>
        <w:ind w:left="1146" w:hanging="360"/>
      </w:pPr>
      <w:rPr>
        <w:rFonts w:ascii="Wingdings" w:hAnsi="Wingdings" w:hint="default"/>
        <w:color w:val="264F90"/>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1FD5754B"/>
    <w:multiLevelType w:val="hybridMultilevel"/>
    <w:tmpl w:val="0BA4E7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225F5A62"/>
    <w:multiLevelType w:val="hybridMultilevel"/>
    <w:tmpl w:val="49D4CEC6"/>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16" w15:restartNumberingAfterBreak="0">
    <w:nsid w:val="240209C3"/>
    <w:multiLevelType w:val="hybridMultilevel"/>
    <w:tmpl w:val="BE0E8F8E"/>
    <w:lvl w:ilvl="0" w:tplc="9F144156">
      <w:start w:val="1"/>
      <w:numFmt w:val="bullet"/>
      <w:lvlText w:val=""/>
      <w:lvlJc w:val="left"/>
      <w:pPr>
        <w:ind w:left="1353" w:hanging="360"/>
      </w:pPr>
      <w:rPr>
        <w:rFonts w:ascii="Wingdings" w:hAnsi="Wingdings" w:hint="default"/>
        <w:color w:val="264F90"/>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000348"/>
    <w:multiLevelType w:val="hybridMultilevel"/>
    <w:tmpl w:val="33D6DF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1"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5924697"/>
    <w:multiLevelType w:val="multilevel"/>
    <w:tmpl w:val="B1FA60FC"/>
    <w:lvl w:ilvl="0">
      <w:start w:val="1"/>
      <w:numFmt w:val="bullet"/>
      <w:lvlText w:val=""/>
      <w:lvlJc w:val="left"/>
      <w:pPr>
        <w:ind w:left="1080" w:hanging="360"/>
      </w:pPr>
      <w:rPr>
        <w:rFonts w:ascii="Symbol" w:hAnsi="Symbol" w:hint="default"/>
        <w:color w:val="264F90"/>
        <w:w w:val="100"/>
        <w:sz w:val="20"/>
        <w:szCs w:val="20"/>
      </w:rPr>
    </w:lvl>
    <w:lvl w:ilvl="1">
      <w:start w:val="1"/>
      <w:numFmt w:val="bullet"/>
      <w:lvlText w:val=""/>
      <w:lvlJc w:val="left"/>
      <w:pPr>
        <w:ind w:left="1440" w:hanging="360"/>
      </w:pPr>
      <w:rPr>
        <w:rFonts w:ascii="Symbol" w:hAnsi="Symbol" w:hint="default"/>
        <w:color w:val="auto"/>
      </w:rPr>
    </w:lvl>
    <w:lvl w:ilvl="2">
      <w:start w:val="1"/>
      <w:numFmt w:val="bullet"/>
      <w:lvlText w:val="o"/>
      <w:lvlJc w:val="left"/>
      <w:pPr>
        <w:ind w:left="1800" w:hanging="360"/>
      </w:pPr>
      <w:rPr>
        <w:rFonts w:ascii="Courier New" w:hAnsi="Courier New" w:hint="default"/>
        <w:color w:val="264F90"/>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4" w15:restartNumberingAfterBreak="0">
    <w:nsid w:val="47647ABE"/>
    <w:multiLevelType w:val="multilevel"/>
    <w:tmpl w:val="237CBAF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0FA3E79"/>
    <w:multiLevelType w:val="hybridMultilevel"/>
    <w:tmpl w:val="182A46E8"/>
    <w:lvl w:ilvl="0" w:tplc="545CCFD8">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6" w15:restartNumberingAfterBreak="0">
    <w:nsid w:val="5A1A6772"/>
    <w:multiLevelType w:val="multilevel"/>
    <w:tmpl w:val="D5E0A40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E204657"/>
    <w:multiLevelType w:val="hybridMultilevel"/>
    <w:tmpl w:val="7C6A81E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33C4A56"/>
    <w:multiLevelType w:val="multilevel"/>
    <w:tmpl w:val="21ECCA0C"/>
    <w:lvl w:ilvl="0">
      <w:start w:val="1"/>
      <w:numFmt w:val="bullet"/>
      <w:lvlText w:val=""/>
      <w:lvlJc w:val="left"/>
      <w:pPr>
        <w:ind w:left="720" w:hanging="360"/>
      </w:pPr>
      <w:rPr>
        <w:rFonts w:ascii="Symbol" w:hAnsi="Symbol"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9" w15:restartNumberingAfterBreak="0">
    <w:nsid w:val="6AD8352B"/>
    <w:multiLevelType w:val="hybridMultilevel"/>
    <w:tmpl w:val="DF3CBAFA"/>
    <w:lvl w:ilvl="0" w:tplc="0C090001">
      <w:start w:val="1"/>
      <w:numFmt w:val="bullet"/>
      <w:lvlText w:val=""/>
      <w:lvlJc w:val="left"/>
      <w:pPr>
        <w:ind w:left="1200" w:hanging="360"/>
      </w:pPr>
      <w:rPr>
        <w:rFonts w:ascii="Symbol" w:hAnsi="Symbol" w:hint="default"/>
      </w:rPr>
    </w:lvl>
    <w:lvl w:ilvl="1" w:tplc="0C090003">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30" w15:restartNumberingAfterBreak="0">
    <w:nsid w:val="6C5411D9"/>
    <w:multiLevelType w:val="hybridMultilevel"/>
    <w:tmpl w:val="E070B850"/>
    <w:lvl w:ilvl="0" w:tplc="9F144156">
      <w:start w:val="1"/>
      <w:numFmt w:val="bullet"/>
      <w:lvlText w:val=""/>
      <w:lvlJc w:val="left"/>
      <w:pPr>
        <w:ind w:left="1146" w:hanging="360"/>
      </w:pPr>
      <w:rPr>
        <w:rFonts w:ascii="Wingdings" w:hAnsi="Wingdings" w:hint="default"/>
        <w:color w:val="264F90"/>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2" w15:restartNumberingAfterBreak="0">
    <w:nsid w:val="707A4F1A"/>
    <w:multiLevelType w:val="hybridMultilevel"/>
    <w:tmpl w:val="AF109C0E"/>
    <w:lvl w:ilvl="0" w:tplc="545CCFD8">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C727DD8"/>
    <w:multiLevelType w:val="multilevel"/>
    <w:tmpl w:val="1C8A5622"/>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D236E68"/>
    <w:multiLevelType w:val="hybridMultilevel"/>
    <w:tmpl w:val="A3D6D39A"/>
    <w:lvl w:ilvl="0" w:tplc="0C090001">
      <w:start w:val="1"/>
      <w:numFmt w:val="bullet"/>
      <w:lvlText w:val=""/>
      <w:lvlJc w:val="left"/>
      <w:pPr>
        <w:ind w:left="785"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31"/>
  </w:num>
  <w:num w:numId="3">
    <w:abstractNumId w:val="14"/>
  </w:num>
  <w:num w:numId="4">
    <w:abstractNumId w:val="22"/>
  </w:num>
  <w:num w:numId="5">
    <w:abstractNumId w:val="20"/>
  </w:num>
  <w:num w:numId="6">
    <w:abstractNumId w:val="11"/>
  </w:num>
  <w:num w:numId="7">
    <w:abstractNumId w:val="7"/>
  </w:num>
  <w:num w:numId="8">
    <w:abstractNumId w:val="18"/>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8"/>
  </w:num>
  <w:num w:numId="12">
    <w:abstractNumId w:val="6"/>
  </w:num>
  <w:num w:numId="13">
    <w:abstractNumId w:val="24"/>
  </w:num>
  <w:num w:numId="14">
    <w:abstractNumId w:val="5"/>
  </w:num>
  <w:num w:numId="15">
    <w:abstractNumId w:val="9"/>
  </w:num>
  <w:num w:numId="16">
    <w:abstractNumId w:val="10"/>
  </w:num>
  <w:num w:numId="17">
    <w:abstractNumId w:val="26"/>
  </w:num>
  <w:num w:numId="18">
    <w:abstractNumId w:val="34"/>
  </w:num>
  <w:num w:numId="19">
    <w:abstractNumId w:val="10"/>
  </w:num>
  <w:num w:numId="20">
    <w:abstractNumId w:val="10"/>
  </w:num>
  <w:num w:numId="21">
    <w:abstractNumId w:val="23"/>
  </w:num>
  <w:num w:numId="22">
    <w:abstractNumId w:val="10"/>
  </w:num>
  <w:num w:numId="23">
    <w:abstractNumId w:val="33"/>
  </w:num>
  <w:num w:numId="24">
    <w:abstractNumId w:val="2"/>
  </w:num>
  <w:num w:numId="25">
    <w:abstractNumId w:val="0"/>
  </w:num>
  <w:num w:numId="26">
    <w:abstractNumId w:val="8"/>
  </w:num>
  <w:num w:numId="27">
    <w:abstractNumId w:val="27"/>
  </w:num>
  <w:num w:numId="28">
    <w:abstractNumId w:val="10"/>
  </w:num>
  <w:num w:numId="29">
    <w:abstractNumId w:val="10"/>
  </w:num>
  <w:num w:numId="30">
    <w:abstractNumId w:val="10"/>
  </w:num>
  <w:num w:numId="31">
    <w:abstractNumId w:val="10"/>
  </w:num>
  <w:num w:numId="32">
    <w:abstractNumId w:val="1"/>
  </w:num>
  <w:num w:numId="33">
    <w:abstractNumId w:val="12"/>
  </w:num>
  <w:num w:numId="34">
    <w:abstractNumId w:val="15"/>
  </w:num>
  <w:num w:numId="35">
    <w:abstractNumId w:val="35"/>
  </w:num>
  <w:num w:numId="36">
    <w:abstractNumId w:val="10"/>
  </w:num>
  <w:num w:numId="37">
    <w:abstractNumId w:val="10"/>
  </w:num>
  <w:num w:numId="38">
    <w:abstractNumId w:val="4"/>
  </w:num>
  <w:num w:numId="39">
    <w:abstractNumId w:val="25"/>
  </w:num>
  <w:num w:numId="40">
    <w:abstractNumId w:val="32"/>
  </w:num>
  <w:num w:numId="41">
    <w:abstractNumId w:val="30"/>
  </w:num>
  <w:num w:numId="42">
    <w:abstractNumId w:val="16"/>
  </w:num>
  <w:num w:numId="43">
    <w:abstractNumId w:val="19"/>
  </w:num>
  <w:num w:numId="44">
    <w:abstractNumId w:val="17"/>
    <w:lvlOverride w:ilvl="1">
      <w:lvl w:ilvl="1">
        <w:start w:val="1"/>
        <w:numFmt w:val="decimal"/>
        <w:pStyle w:val="Heading2Numbered"/>
        <w:lvlText w:val="%1.%2"/>
        <w:lvlJc w:val="left"/>
        <w:pPr>
          <w:ind w:left="1277" w:hanging="567"/>
        </w:pPr>
        <w:rPr>
          <w:rFonts w:hint="default"/>
        </w:rPr>
      </w:lvl>
    </w:lvlOverride>
  </w:num>
  <w:num w:numId="45">
    <w:abstractNumId w:val="17"/>
  </w:num>
  <w:num w:numId="46">
    <w:abstractNumId w:val="13"/>
  </w:num>
  <w:num w:numId="47">
    <w:abstractNumId w:val="10"/>
  </w:num>
  <w:num w:numId="48">
    <w:abstractNumId w:val="10"/>
  </w:num>
  <w:num w:numId="49">
    <w:abstractNumId w:val="29"/>
  </w:num>
  <w:num w:numId="50">
    <w:abstractNumId w:val="10"/>
  </w:num>
  <w:num w:numId="51">
    <w:abstractNumId w:val="33"/>
  </w:num>
  <w:num w:numId="52">
    <w:abstractNumId w:val="33"/>
  </w:num>
  <w:num w:numId="53">
    <w:abstractNumId w:val="10"/>
  </w:num>
  <w:num w:numId="5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0FBA"/>
    <w:rsid w:val="00015AE4"/>
    <w:rsid w:val="0003018E"/>
    <w:rsid w:val="0003218D"/>
    <w:rsid w:val="00033BC3"/>
    <w:rsid w:val="000356C0"/>
    <w:rsid w:val="0003612F"/>
    <w:rsid w:val="00041550"/>
    <w:rsid w:val="00044E09"/>
    <w:rsid w:val="00046AC0"/>
    <w:rsid w:val="0004784D"/>
    <w:rsid w:val="00053A00"/>
    <w:rsid w:val="00061E41"/>
    <w:rsid w:val="0006500B"/>
    <w:rsid w:val="00065C17"/>
    <w:rsid w:val="000666A1"/>
    <w:rsid w:val="000667AC"/>
    <w:rsid w:val="0008070E"/>
    <w:rsid w:val="0009777C"/>
    <w:rsid w:val="000A0295"/>
    <w:rsid w:val="000A07DB"/>
    <w:rsid w:val="000A3D0D"/>
    <w:rsid w:val="000B3535"/>
    <w:rsid w:val="000B6C00"/>
    <w:rsid w:val="000B71F8"/>
    <w:rsid w:val="000C1F06"/>
    <w:rsid w:val="000C6AFB"/>
    <w:rsid w:val="000D4D3C"/>
    <w:rsid w:val="000E347B"/>
    <w:rsid w:val="000E5519"/>
    <w:rsid w:val="000E6B5E"/>
    <w:rsid w:val="000F1DD1"/>
    <w:rsid w:val="000F28B8"/>
    <w:rsid w:val="000F3766"/>
    <w:rsid w:val="00102968"/>
    <w:rsid w:val="00105397"/>
    <w:rsid w:val="00106FC4"/>
    <w:rsid w:val="0010741E"/>
    <w:rsid w:val="00110C55"/>
    <w:rsid w:val="00111F0C"/>
    <w:rsid w:val="001170F0"/>
    <w:rsid w:val="00122F20"/>
    <w:rsid w:val="0012459B"/>
    <w:rsid w:val="00130F24"/>
    <w:rsid w:val="00140079"/>
    <w:rsid w:val="00145E2D"/>
    <w:rsid w:val="001524E0"/>
    <w:rsid w:val="00152611"/>
    <w:rsid w:val="001554DB"/>
    <w:rsid w:val="00164C9B"/>
    <w:rsid w:val="0016612C"/>
    <w:rsid w:val="0017348A"/>
    <w:rsid w:val="001763D4"/>
    <w:rsid w:val="00181433"/>
    <w:rsid w:val="00182F83"/>
    <w:rsid w:val="001834DD"/>
    <w:rsid w:val="00183BAC"/>
    <w:rsid w:val="001B053A"/>
    <w:rsid w:val="001C096E"/>
    <w:rsid w:val="001C0F43"/>
    <w:rsid w:val="001C53CE"/>
    <w:rsid w:val="001C5D96"/>
    <w:rsid w:val="001D088C"/>
    <w:rsid w:val="001D341B"/>
    <w:rsid w:val="001E04C1"/>
    <w:rsid w:val="001E3D2B"/>
    <w:rsid w:val="001E66CE"/>
    <w:rsid w:val="001E7E96"/>
    <w:rsid w:val="001F5602"/>
    <w:rsid w:val="00207788"/>
    <w:rsid w:val="00212881"/>
    <w:rsid w:val="00213448"/>
    <w:rsid w:val="00221B83"/>
    <w:rsid w:val="00221DC2"/>
    <w:rsid w:val="00240A68"/>
    <w:rsid w:val="00244B48"/>
    <w:rsid w:val="00246001"/>
    <w:rsid w:val="00250A53"/>
    <w:rsid w:val="0025139B"/>
    <w:rsid w:val="002573D5"/>
    <w:rsid w:val="00264D01"/>
    <w:rsid w:val="00264E26"/>
    <w:rsid w:val="00265580"/>
    <w:rsid w:val="00277BD7"/>
    <w:rsid w:val="00280E74"/>
    <w:rsid w:val="00286C33"/>
    <w:rsid w:val="00292136"/>
    <w:rsid w:val="00295340"/>
    <w:rsid w:val="002A03A1"/>
    <w:rsid w:val="002A1F23"/>
    <w:rsid w:val="002A41E1"/>
    <w:rsid w:val="002A7006"/>
    <w:rsid w:val="002A7114"/>
    <w:rsid w:val="002A73C3"/>
    <w:rsid w:val="002B0F9C"/>
    <w:rsid w:val="002B1612"/>
    <w:rsid w:val="002B6574"/>
    <w:rsid w:val="002C79E8"/>
    <w:rsid w:val="002D10AD"/>
    <w:rsid w:val="002D4D48"/>
    <w:rsid w:val="002D669F"/>
    <w:rsid w:val="002E151B"/>
    <w:rsid w:val="002E21D2"/>
    <w:rsid w:val="002F4FDA"/>
    <w:rsid w:val="002F7D3C"/>
    <w:rsid w:val="003010AE"/>
    <w:rsid w:val="0030187F"/>
    <w:rsid w:val="00301DDB"/>
    <w:rsid w:val="00305720"/>
    <w:rsid w:val="003105E2"/>
    <w:rsid w:val="003115D0"/>
    <w:rsid w:val="003131AB"/>
    <w:rsid w:val="003217BE"/>
    <w:rsid w:val="0032459A"/>
    <w:rsid w:val="0032505C"/>
    <w:rsid w:val="00332F4B"/>
    <w:rsid w:val="0033605F"/>
    <w:rsid w:val="00340E9D"/>
    <w:rsid w:val="00347634"/>
    <w:rsid w:val="00355677"/>
    <w:rsid w:val="00360536"/>
    <w:rsid w:val="00371BC2"/>
    <w:rsid w:val="00372A52"/>
    <w:rsid w:val="003746E1"/>
    <w:rsid w:val="00387E2B"/>
    <w:rsid w:val="00391DFC"/>
    <w:rsid w:val="00397EF1"/>
    <w:rsid w:val="00397F9F"/>
    <w:rsid w:val="003A5D26"/>
    <w:rsid w:val="003C2B76"/>
    <w:rsid w:val="003D0647"/>
    <w:rsid w:val="003D0A6E"/>
    <w:rsid w:val="003D1265"/>
    <w:rsid w:val="003D3B1D"/>
    <w:rsid w:val="003D5DBE"/>
    <w:rsid w:val="003D7153"/>
    <w:rsid w:val="003F0409"/>
    <w:rsid w:val="003F37D2"/>
    <w:rsid w:val="003F4CEC"/>
    <w:rsid w:val="00401523"/>
    <w:rsid w:val="00404841"/>
    <w:rsid w:val="00412059"/>
    <w:rsid w:val="0041496C"/>
    <w:rsid w:val="00417A51"/>
    <w:rsid w:val="00425633"/>
    <w:rsid w:val="004309AD"/>
    <w:rsid w:val="00430B6B"/>
    <w:rsid w:val="0044024B"/>
    <w:rsid w:val="00441E79"/>
    <w:rsid w:val="00443315"/>
    <w:rsid w:val="00450486"/>
    <w:rsid w:val="00462774"/>
    <w:rsid w:val="00467DED"/>
    <w:rsid w:val="004709E9"/>
    <w:rsid w:val="00472A79"/>
    <w:rsid w:val="00476116"/>
    <w:rsid w:val="00483A58"/>
    <w:rsid w:val="00486155"/>
    <w:rsid w:val="004924DA"/>
    <w:rsid w:val="00492F7D"/>
    <w:rsid w:val="00495ED6"/>
    <w:rsid w:val="004B0089"/>
    <w:rsid w:val="004B3019"/>
    <w:rsid w:val="004B5D41"/>
    <w:rsid w:val="004B6845"/>
    <w:rsid w:val="004C1185"/>
    <w:rsid w:val="004C69DA"/>
    <w:rsid w:val="004D10C8"/>
    <w:rsid w:val="004D700E"/>
    <w:rsid w:val="004D7F17"/>
    <w:rsid w:val="004E0670"/>
    <w:rsid w:val="004E358F"/>
    <w:rsid w:val="004E7621"/>
    <w:rsid w:val="004E7F37"/>
    <w:rsid w:val="004F31BA"/>
    <w:rsid w:val="00503AB1"/>
    <w:rsid w:val="0051299F"/>
    <w:rsid w:val="00516672"/>
    <w:rsid w:val="0052038B"/>
    <w:rsid w:val="00520FCB"/>
    <w:rsid w:val="00526B85"/>
    <w:rsid w:val="005306A1"/>
    <w:rsid w:val="005314BB"/>
    <w:rsid w:val="005352D5"/>
    <w:rsid w:val="00541647"/>
    <w:rsid w:val="00550214"/>
    <w:rsid w:val="00550333"/>
    <w:rsid w:val="00553E93"/>
    <w:rsid w:val="005551C4"/>
    <w:rsid w:val="00556824"/>
    <w:rsid w:val="00565C70"/>
    <w:rsid w:val="00573332"/>
    <w:rsid w:val="00577042"/>
    <w:rsid w:val="00585A07"/>
    <w:rsid w:val="0059000C"/>
    <w:rsid w:val="0059555D"/>
    <w:rsid w:val="00597F80"/>
    <w:rsid w:val="005A02A1"/>
    <w:rsid w:val="005A0995"/>
    <w:rsid w:val="005A0CA3"/>
    <w:rsid w:val="005A4A01"/>
    <w:rsid w:val="005B3686"/>
    <w:rsid w:val="005B3958"/>
    <w:rsid w:val="005C54AF"/>
    <w:rsid w:val="005D1295"/>
    <w:rsid w:val="005D4FD6"/>
    <w:rsid w:val="005D5B5B"/>
    <w:rsid w:val="005D6D33"/>
    <w:rsid w:val="005D7A24"/>
    <w:rsid w:val="005F1617"/>
    <w:rsid w:val="005F30FC"/>
    <w:rsid w:val="006024B7"/>
    <w:rsid w:val="0060539C"/>
    <w:rsid w:val="006107E5"/>
    <w:rsid w:val="00612970"/>
    <w:rsid w:val="00616A85"/>
    <w:rsid w:val="00616EBA"/>
    <w:rsid w:val="0062703B"/>
    <w:rsid w:val="00632C08"/>
    <w:rsid w:val="0063781D"/>
    <w:rsid w:val="00641F28"/>
    <w:rsid w:val="006449E2"/>
    <w:rsid w:val="006468F4"/>
    <w:rsid w:val="00654C42"/>
    <w:rsid w:val="00655363"/>
    <w:rsid w:val="0067074A"/>
    <w:rsid w:val="00672994"/>
    <w:rsid w:val="00674C7D"/>
    <w:rsid w:val="0067721A"/>
    <w:rsid w:val="00680FF6"/>
    <w:rsid w:val="006A541B"/>
    <w:rsid w:val="006B71CA"/>
    <w:rsid w:val="006C15C5"/>
    <w:rsid w:val="006D235D"/>
    <w:rsid w:val="006D3403"/>
    <w:rsid w:val="006E360A"/>
    <w:rsid w:val="006F4A36"/>
    <w:rsid w:val="006F4FBE"/>
    <w:rsid w:val="007144B5"/>
    <w:rsid w:val="00716301"/>
    <w:rsid w:val="007321DE"/>
    <w:rsid w:val="00736960"/>
    <w:rsid w:val="00736A76"/>
    <w:rsid w:val="00744BFE"/>
    <w:rsid w:val="0074694E"/>
    <w:rsid w:val="00752C6B"/>
    <w:rsid w:val="00753B6E"/>
    <w:rsid w:val="00753FE1"/>
    <w:rsid w:val="0075725C"/>
    <w:rsid w:val="00757678"/>
    <w:rsid w:val="00760CE6"/>
    <w:rsid w:val="007611B4"/>
    <w:rsid w:val="007629F8"/>
    <w:rsid w:val="00765764"/>
    <w:rsid w:val="007678B2"/>
    <w:rsid w:val="00767A74"/>
    <w:rsid w:val="0077169E"/>
    <w:rsid w:val="007719C9"/>
    <w:rsid w:val="00772718"/>
    <w:rsid w:val="007820E5"/>
    <w:rsid w:val="007856ED"/>
    <w:rsid w:val="00791116"/>
    <w:rsid w:val="007A77C0"/>
    <w:rsid w:val="007B0794"/>
    <w:rsid w:val="007B2253"/>
    <w:rsid w:val="007B2CF1"/>
    <w:rsid w:val="007C1429"/>
    <w:rsid w:val="007C79A1"/>
    <w:rsid w:val="007D30A8"/>
    <w:rsid w:val="007E0CAB"/>
    <w:rsid w:val="007E0EB4"/>
    <w:rsid w:val="007E7267"/>
    <w:rsid w:val="007F6B85"/>
    <w:rsid w:val="00803EB9"/>
    <w:rsid w:val="008045BC"/>
    <w:rsid w:val="00812D37"/>
    <w:rsid w:val="00814FB1"/>
    <w:rsid w:val="00820F20"/>
    <w:rsid w:val="0082528A"/>
    <w:rsid w:val="00825754"/>
    <w:rsid w:val="00835210"/>
    <w:rsid w:val="008367EA"/>
    <w:rsid w:val="00837B42"/>
    <w:rsid w:val="00842E9F"/>
    <w:rsid w:val="00844C2D"/>
    <w:rsid w:val="00856B17"/>
    <w:rsid w:val="008578FE"/>
    <w:rsid w:val="00866FA1"/>
    <w:rsid w:val="0087438E"/>
    <w:rsid w:val="0087591C"/>
    <w:rsid w:val="00884668"/>
    <w:rsid w:val="00892F90"/>
    <w:rsid w:val="008967B0"/>
    <w:rsid w:val="008A4107"/>
    <w:rsid w:val="008B026C"/>
    <w:rsid w:val="008B1887"/>
    <w:rsid w:val="008B2B46"/>
    <w:rsid w:val="008B2C58"/>
    <w:rsid w:val="008B39FA"/>
    <w:rsid w:val="008B42DF"/>
    <w:rsid w:val="008C3B41"/>
    <w:rsid w:val="008C7800"/>
    <w:rsid w:val="008D12F4"/>
    <w:rsid w:val="008D4C41"/>
    <w:rsid w:val="008E187B"/>
    <w:rsid w:val="00901FE0"/>
    <w:rsid w:val="00905225"/>
    <w:rsid w:val="0090604C"/>
    <w:rsid w:val="00910EB1"/>
    <w:rsid w:val="00921840"/>
    <w:rsid w:val="009225CB"/>
    <w:rsid w:val="00925346"/>
    <w:rsid w:val="009331B4"/>
    <w:rsid w:val="009345F1"/>
    <w:rsid w:val="00937AE0"/>
    <w:rsid w:val="00942496"/>
    <w:rsid w:val="00944BBB"/>
    <w:rsid w:val="009547B6"/>
    <w:rsid w:val="00956045"/>
    <w:rsid w:val="00961072"/>
    <w:rsid w:val="0097249E"/>
    <w:rsid w:val="00982554"/>
    <w:rsid w:val="00983658"/>
    <w:rsid w:val="00995C3C"/>
    <w:rsid w:val="009A00A4"/>
    <w:rsid w:val="009A5833"/>
    <w:rsid w:val="009C5A8A"/>
    <w:rsid w:val="009D405C"/>
    <w:rsid w:val="009E5929"/>
    <w:rsid w:val="009E750F"/>
    <w:rsid w:val="009E77BA"/>
    <w:rsid w:val="009F0A7C"/>
    <w:rsid w:val="009F1CE1"/>
    <w:rsid w:val="009F3CF2"/>
    <w:rsid w:val="00A04D96"/>
    <w:rsid w:val="00A0629B"/>
    <w:rsid w:val="00A14495"/>
    <w:rsid w:val="00A163E3"/>
    <w:rsid w:val="00A16BE1"/>
    <w:rsid w:val="00A202E8"/>
    <w:rsid w:val="00A23C36"/>
    <w:rsid w:val="00A31D48"/>
    <w:rsid w:val="00A343F7"/>
    <w:rsid w:val="00A42090"/>
    <w:rsid w:val="00A454BF"/>
    <w:rsid w:val="00A52E3A"/>
    <w:rsid w:val="00A548F2"/>
    <w:rsid w:val="00A550ED"/>
    <w:rsid w:val="00A558CE"/>
    <w:rsid w:val="00A71F44"/>
    <w:rsid w:val="00A7239C"/>
    <w:rsid w:val="00A75757"/>
    <w:rsid w:val="00A75BC3"/>
    <w:rsid w:val="00A8120C"/>
    <w:rsid w:val="00A814CB"/>
    <w:rsid w:val="00A90D1B"/>
    <w:rsid w:val="00AB4DA3"/>
    <w:rsid w:val="00AC6DF2"/>
    <w:rsid w:val="00AE6334"/>
    <w:rsid w:val="00AF1FC1"/>
    <w:rsid w:val="00AF55F8"/>
    <w:rsid w:val="00B0049A"/>
    <w:rsid w:val="00B06C48"/>
    <w:rsid w:val="00B06E42"/>
    <w:rsid w:val="00B10ABA"/>
    <w:rsid w:val="00B12A0A"/>
    <w:rsid w:val="00B41501"/>
    <w:rsid w:val="00B420D4"/>
    <w:rsid w:val="00B43478"/>
    <w:rsid w:val="00B444BF"/>
    <w:rsid w:val="00B44D8C"/>
    <w:rsid w:val="00B47648"/>
    <w:rsid w:val="00B50014"/>
    <w:rsid w:val="00B51F28"/>
    <w:rsid w:val="00B57910"/>
    <w:rsid w:val="00B73B81"/>
    <w:rsid w:val="00B7600D"/>
    <w:rsid w:val="00B84C5D"/>
    <w:rsid w:val="00B86424"/>
    <w:rsid w:val="00B90A6D"/>
    <w:rsid w:val="00B93608"/>
    <w:rsid w:val="00B9375F"/>
    <w:rsid w:val="00B95CFC"/>
    <w:rsid w:val="00B963B7"/>
    <w:rsid w:val="00BA578C"/>
    <w:rsid w:val="00BA587D"/>
    <w:rsid w:val="00BA6686"/>
    <w:rsid w:val="00BA6793"/>
    <w:rsid w:val="00BB2BC5"/>
    <w:rsid w:val="00BC093A"/>
    <w:rsid w:val="00BC1FFB"/>
    <w:rsid w:val="00BC4ACC"/>
    <w:rsid w:val="00BC4FCC"/>
    <w:rsid w:val="00BC7253"/>
    <w:rsid w:val="00BD02F8"/>
    <w:rsid w:val="00BD092D"/>
    <w:rsid w:val="00BF1598"/>
    <w:rsid w:val="00BF7711"/>
    <w:rsid w:val="00C011D2"/>
    <w:rsid w:val="00C020EC"/>
    <w:rsid w:val="00C12E71"/>
    <w:rsid w:val="00C15D1E"/>
    <w:rsid w:val="00C217A8"/>
    <w:rsid w:val="00C25B73"/>
    <w:rsid w:val="00C34463"/>
    <w:rsid w:val="00C4188F"/>
    <w:rsid w:val="00C52564"/>
    <w:rsid w:val="00C53332"/>
    <w:rsid w:val="00C554B1"/>
    <w:rsid w:val="00C621E7"/>
    <w:rsid w:val="00C74886"/>
    <w:rsid w:val="00C80548"/>
    <w:rsid w:val="00C819A4"/>
    <w:rsid w:val="00C82A1B"/>
    <w:rsid w:val="00C82E6F"/>
    <w:rsid w:val="00C84C06"/>
    <w:rsid w:val="00C84EA8"/>
    <w:rsid w:val="00C918A2"/>
    <w:rsid w:val="00C92998"/>
    <w:rsid w:val="00C95C21"/>
    <w:rsid w:val="00CA720A"/>
    <w:rsid w:val="00CB02A8"/>
    <w:rsid w:val="00CC1B7B"/>
    <w:rsid w:val="00CD261F"/>
    <w:rsid w:val="00CD38EE"/>
    <w:rsid w:val="00CD3981"/>
    <w:rsid w:val="00CD5925"/>
    <w:rsid w:val="00CE03E1"/>
    <w:rsid w:val="00CE557A"/>
    <w:rsid w:val="00CF0F5A"/>
    <w:rsid w:val="00CF23CA"/>
    <w:rsid w:val="00CF4C4B"/>
    <w:rsid w:val="00D031B2"/>
    <w:rsid w:val="00D10049"/>
    <w:rsid w:val="00D1410C"/>
    <w:rsid w:val="00D25A38"/>
    <w:rsid w:val="00D40D16"/>
    <w:rsid w:val="00D42E0E"/>
    <w:rsid w:val="00D548F0"/>
    <w:rsid w:val="00D57F79"/>
    <w:rsid w:val="00D63BEE"/>
    <w:rsid w:val="00D64FAC"/>
    <w:rsid w:val="00D65704"/>
    <w:rsid w:val="00D66269"/>
    <w:rsid w:val="00D668F6"/>
    <w:rsid w:val="00D828B7"/>
    <w:rsid w:val="00D84875"/>
    <w:rsid w:val="00D87C3F"/>
    <w:rsid w:val="00D904F0"/>
    <w:rsid w:val="00D91378"/>
    <w:rsid w:val="00D91B18"/>
    <w:rsid w:val="00D94FAA"/>
    <w:rsid w:val="00D96F59"/>
    <w:rsid w:val="00DC0747"/>
    <w:rsid w:val="00DC2647"/>
    <w:rsid w:val="00DC6508"/>
    <w:rsid w:val="00DC655B"/>
    <w:rsid w:val="00DD1408"/>
    <w:rsid w:val="00DD348C"/>
    <w:rsid w:val="00DD356D"/>
    <w:rsid w:val="00DD6735"/>
    <w:rsid w:val="00DE1EBE"/>
    <w:rsid w:val="00DE708D"/>
    <w:rsid w:val="00DE71C8"/>
    <w:rsid w:val="00DF002E"/>
    <w:rsid w:val="00DF0607"/>
    <w:rsid w:val="00DF136A"/>
    <w:rsid w:val="00DF2129"/>
    <w:rsid w:val="00DF4F6B"/>
    <w:rsid w:val="00E0448C"/>
    <w:rsid w:val="00E13525"/>
    <w:rsid w:val="00E317FF"/>
    <w:rsid w:val="00E43252"/>
    <w:rsid w:val="00E47250"/>
    <w:rsid w:val="00E530E1"/>
    <w:rsid w:val="00E53421"/>
    <w:rsid w:val="00E5680D"/>
    <w:rsid w:val="00E61535"/>
    <w:rsid w:val="00E632D7"/>
    <w:rsid w:val="00E66E22"/>
    <w:rsid w:val="00E71790"/>
    <w:rsid w:val="00E721E1"/>
    <w:rsid w:val="00E74ACC"/>
    <w:rsid w:val="00E76E00"/>
    <w:rsid w:val="00E82354"/>
    <w:rsid w:val="00E84012"/>
    <w:rsid w:val="00E86D79"/>
    <w:rsid w:val="00E9373C"/>
    <w:rsid w:val="00E94149"/>
    <w:rsid w:val="00E9528D"/>
    <w:rsid w:val="00EA0724"/>
    <w:rsid w:val="00EA6251"/>
    <w:rsid w:val="00EA62B0"/>
    <w:rsid w:val="00EA790F"/>
    <w:rsid w:val="00EB4439"/>
    <w:rsid w:val="00EB6414"/>
    <w:rsid w:val="00EC4B4F"/>
    <w:rsid w:val="00ED2EA8"/>
    <w:rsid w:val="00ED3888"/>
    <w:rsid w:val="00EE5747"/>
    <w:rsid w:val="00EF1936"/>
    <w:rsid w:val="00EF35CD"/>
    <w:rsid w:val="00EF3804"/>
    <w:rsid w:val="00EF5E05"/>
    <w:rsid w:val="00F03BF5"/>
    <w:rsid w:val="00F12039"/>
    <w:rsid w:val="00F16304"/>
    <w:rsid w:val="00F21208"/>
    <w:rsid w:val="00F227AF"/>
    <w:rsid w:val="00F2318E"/>
    <w:rsid w:val="00F25553"/>
    <w:rsid w:val="00F27370"/>
    <w:rsid w:val="00F35229"/>
    <w:rsid w:val="00F425B4"/>
    <w:rsid w:val="00F4657C"/>
    <w:rsid w:val="00F51330"/>
    <w:rsid w:val="00F5341C"/>
    <w:rsid w:val="00F53DE4"/>
    <w:rsid w:val="00F56954"/>
    <w:rsid w:val="00F63CE1"/>
    <w:rsid w:val="00F66049"/>
    <w:rsid w:val="00F730DC"/>
    <w:rsid w:val="00F760E1"/>
    <w:rsid w:val="00F766E8"/>
    <w:rsid w:val="00F85ABF"/>
    <w:rsid w:val="00F90CAC"/>
    <w:rsid w:val="00F948AF"/>
    <w:rsid w:val="00F96901"/>
    <w:rsid w:val="00FA3472"/>
    <w:rsid w:val="00FA5A7B"/>
    <w:rsid w:val="00FA5D07"/>
    <w:rsid w:val="00FB11B1"/>
    <w:rsid w:val="00FB5A30"/>
    <w:rsid w:val="00FB6023"/>
    <w:rsid w:val="00FC0935"/>
    <w:rsid w:val="00FC0B03"/>
    <w:rsid w:val="00FC646E"/>
    <w:rsid w:val="00FD162A"/>
    <w:rsid w:val="00FD1D6A"/>
    <w:rsid w:val="00FD6E3E"/>
    <w:rsid w:val="00FE00E8"/>
    <w:rsid w:val="00FE07B8"/>
    <w:rsid w:val="00FE3F54"/>
    <w:rsid w:val="00FE5E80"/>
    <w:rsid w:val="00FF53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CE8807"/>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4" w:qFormat="1"/>
    <w:lsdException w:name="heading 2" w:uiPriority="4" w:qFormat="1"/>
    <w:lsdException w:name="heading 3" w:uiPriority="4" w:qFormat="1"/>
    <w:lsdException w:name="heading 4" w:uiPriority="4" w:qFormat="1"/>
    <w:lsdException w:name="heading 5" w:semiHidden="1" w:uiPriority="4" w:qFormat="1"/>
    <w:lsdException w:name="heading 6" w:semiHidden="1"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14"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97"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7" w:qFormat="1"/>
    <w:lsdException w:name="Salutation" w:semiHidden="1"/>
    <w:lsdException w:name="Date" w:semiHidden="1" w:uiPriority="38"/>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Default">
    <w:name w:val="Default"/>
    <w:rsid w:val="00212881"/>
    <w:pPr>
      <w:autoSpaceDE w:val="0"/>
      <w:autoSpaceDN w:val="0"/>
      <w:adjustRightInd w:val="0"/>
    </w:pPr>
    <w:rPr>
      <w:rFonts w:ascii="Arial" w:hAnsi="Arial" w:cs="Arial"/>
      <w:color w:val="000000"/>
      <w:sz w:val="24"/>
      <w:szCs w:val="24"/>
    </w:rPr>
  </w:style>
  <w:style w:type="paragraph" w:styleId="ListParagraph">
    <w:name w:val="List Paragraph"/>
    <w:aliases w:val="Recommendation,List Paragraph1,List Paragraph11,Bullet point"/>
    <w:basedOn w:val="Normal"/>
    <w:link w:val="ListParagraphChar"/>
    <w:uiPriority w:val="34"/>
    <w:qFormat/>
    <w:rsid w:val="00212881"/>
    <w:pPr>
      <w:ind w:left="720"/>
      <w:contextualSpacing/>
    </w:pPr>
  </w:style>
  <w:style w:type="paragraph" w:styleId="CommentSubject">
    <w:name w:val="annotation subject"/>
    <w:basedOn w:val="CommentText"/>
    <w:next w:val="CommentText"/>
    <w:link w:val="CommentSubjectChar"/>
    <w:uiPriority w:val="99"/>
    <w:semiHidden/>
    <w:unhideWhenUsed/>
    <w:rsid w:val="002A73C3"/>
    <w:rPr>
      <w:b/>
      <w:bCs/>
    </w:rPr>
  </w:style>
  <w:style w:type="character" w:customStyle="1" w:styleId="CommentSubjectChar">
    <w:name w:val="Comment Subject Char"/>
    <w:basedOn w:val="CommentTextChar"/>
    <w:link w:val="CommentSubject"/>
    <w:uiPriority w:val="99"/>
    <w:semiHidden/>
    <w:rsid w:val="002A73C3"/>
    <w:rPr>
      <w:rFonts w:ascii="Arial" w:hAnsi="Arial" w:cstheme="minorBidi"/>
      <w:b/>
      <w:bCs/>
    </w:rPr>
  </w:style>
  <w:style w:type="character" w:customStyle="1" w:styleId="FootnoteTextChar1">
    <w:name w:val="Footnote Text Char1"/>
    <w:basedOn w:val="DefaultParagraphFont"/>
    <w:uiPriority w:val="99"/>
    <w:rsid w:val="004B0089"/>
    <w:rPr>
      <w:sz w:val="16"/>
    </w:rPr>
  </w:style>
  <w:style w:type="paragraph" w:styleId="ListBullet">
    <w:name w:val="List Bullet"/>
    <w:basedOn w:val="Normal"/>
    <w:uiPriority w:val="99"/>
    <w:rsid w:val="004B0089"/>
    <w:pPr>
      <w:numPr>
        <w:numId w:val="10"/>
      </w:numPr>
      <w:spacing w:before="40" w:after="80" w:line="280" w:lineRule="atLeast"/>
    </w:pPr>
    <w:rPr>
      <w:rFonts w:eastAsia="Times New Roman" w:cs="Times New Roman"/>
      <w:iCs/>
      <w:sz w:val="20"/>
      <w:szCs w:val="20"/>
    </w:rPr>
  </w:style>
  <w:style w:type="character" w:styleId="FootnoteReference">
    <w:name w:val="footnote reference"/>
    <w:basedOn w:val="DefaultParagraphFont"/>
    <w:rsid w:val="004B0089"/>
    <w:rPr>
      <w:rFonts w:cs="Times New Roman"/>
      <w:vertAlign w:val="superscript"/>
    </w:rPr>
  </w:style>
  <w:style w:type="paragraph" w:customStyle="1" w:styleId="highlightedtext">
    <w:name w:val="highlighted text"/>
    <w:basedOn w:val="Normal"/>
    <w:link w:val="highlightedtextChar"/>
    <w:qFormat/>
    <w:rsid w:val="00F730DC"/>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917700" w:themeColor="accent3" w:themeShade="80"/>
    </w:rPr>
  </w:style>
  <w:style w:type="character" w:customStyle="1" w:styleId="highlightedtextChar">
    <w:name w:val="highlighted text Char"/>
    <w:basedOn w:val="DefaultParagraphFont"/>
    <w:link w:val="highlightedtext"/>
    <w:rsid w:val="00F730DC"/>
    <w:rPr>
      <w:rFonts w:asciiTheme="minorHAnsi" w:hAnsiTheme="minorHAnsi" w:cstheme="minorBidi"/>
      <w:b/>
      <w:iCs/>
      <w:color w:val="917700" w:themeColor="accent3" w:themeShade="80"/>
      <w:sz w:val="22"/>
      <w:szCs w:val="22"/>
    </w:rPr>
  </w:style>
  <w:style w:type="paragraph" w:customStyle="1" w:styleId="Bullet1">
    <w:name w:val="Bullet 1"/>
    <w:basedOn w:val="Normal"/>
    <w:qFormat/>
    <w:rsid w:val="007B0794"/>
    <w:pPr>
      <w:numPr>
        <w:numId w:val="23"/>
      </w:numPr>
      <w:suppressAutoHyphens/>
      <w:spacing w:before="120" w:after="60" w:line="280" w:lineRule="atLeast"/>
    </w:pPr>
    <w:rPr>
      <w:rFonts w:asciiTheme="minorHAnsi" w:hAnsiTheme="minorHAnsi"/>
      <w:iCs/>
    </w:rPr>
  </w:style>
  <w:style w:type="paragraph" w:customStyle="1" w:styleId="Bullet2">
    <w:name w:val="Bullet 2"/>
    <w:basedOn w:val="Bullet1"/>
    <w:qFormat/>
    <w:rsid w:val="007B0794"/>
    <w:pPr>
      <w:numPr>
        <w:ilvl w:val="1"/>
      </w:numPr>
    </w:pPr>
  </w:style>
  <w:style w:type="paragraph" w:customStyle="1" w:styleId="Bullet3">
    <w:name w:val="Bullet 3"/>
    <w:basedOn w:val="Bullet2"/>
    <w:qFormat/>
    <w:rsid w:val="007B0794"/>
    <w:pPr>
      <w:numPr>
        <w:ilvl w:val="2"/>
      </w:numPr>
    </w:pPr>
  </w:style>
  <w:style w:type="numbering" w:customStyle="1" w:styleId="BulletsList">
    <w:name w:val="Bullets List"/>
    <w:uiPriority w:val="99"/>
    <w:rsid w:val="007B0794"/>
    <w:pPr>
      <w:numPr>
        <w:numId w:val="23"/>
      </w:numPr>
    </w:pPr>
  </w:style>
  <w:style w:type="paragraph" w:styleId="Revision">
    <w:name w:val="Revision"/>
    <w:hidden/>
    <w:uiPriority w:val="99"/>
    <w:semiHidden/>
    <w:rsid w:val="00BA6793"/>
    <w:rPr>
      <w:rFonts w:ascii="Arial" w:hAnsi="Arial" w:cstheme="minorBidi"/>
      <w:sz w:val="22"/>
      <w:szCs w:val="22"/>
    </w:rPr>
  </w:style>
  <w:style w:type="paragraph" w:styleId="ListNumber3">
    <w:name w:val="List Number 3"/>
    <w:basedOn w:val="ListNumber2"/>
    <w:rsid w:val="00550333"/>
    <w:pPr>
      <w:numPr>
        <w:numId w:val="25"/>
      </w:numPr>
      <w:spacing w:before="60" w:after="60" w:line="280" w:lineRule="atLeast"/>
      <w:ind w:left="1080" w:hanging="226"/>
      <w:contextualSpacing w:val="0"/>
    </w:pPr>
    <w:rPr>
      <w:rFonts w:eastAsia="Times New Roman" w:cs="Times New Roman"/>
      <w:sz w:val="20"/>
      <w:szCs w:val="20"/>
    </w:r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550333"/>
    <w:rPr>
      <w:rFonts w:ascii="Arial" w:hAnsi="Arial" w:cstheme="minorBidi"/>
      <w:sz w:val="22"/>
      <w:szCs w:val="22"/>
    </w:rPr>
  </w:style>
  <w:style w:type="paragraph" w:styleId="ListNumber2">
    <w:name w:val="List Number 2"/>
    <w:basedOn w:val="Normal"/>
    <w:uiPriority w:val="99"/>
    <w:semiHidden/>
    <w:unhideWhenUsed/>
    <w:rsid w:val="00550333"/>
    <w:pPr>
      <w:numPr>
        <w:numId w:val="26"/>
      </w:numPr>
      <w:ind w:left="360"/>
      <w:contextualSpacing/>
    </w:pPr>
  </w:style>
  <w:style w:type="character" w:styleId="FollowedHyperlink">
    <w:name w:val="FollowedHyperlink"/>
    <w:basedOn w:val="DefaultParagraphFont"/>
    <w:uiPriority w:val="99"/>
    <w:semiHidden/>
    <w:unhideWhenUsed/>
    <w:rsid w:val="002A7006"/>
    <w:rPr>
      <w:color w:val="800080" w:themeColor="followedHyperlink"/>
      <w:u w:val="single"/>
    </w:rPr>
  </w:style>
  <w:style w:type="paragraph" w:customStyle="1" w:styleId="Heading1Numbered">
    <w:name w:val="Heading 1 Numbered"/>
    <w:basedOn w:val="Heading1"/>
    <w:next w:val="Normal"/>
    <w:qFormat/>
    <w:rsid w:val="00D25A38"/>
    <w:pPr>
      <w:numPr>
        <w:numId w:val="44"/>
      </w:numPr>
      <w:suppressAutoHyphens/>
      <w:spacing w:before="360" w:after="120" w:line="460" w:lineRule="atLeast"/>
      <w:contextualSpacing/>
    </w:pPr>
    <w:rPr>
      <w:rFonts w:asciiTheme="majorHAnsi" w:hAnsiTheme="majorHAnsi"/>
      <w:color w:val="DFE1DF" w:themeColor="text2"/>
      <w:sz w:val="40"/>
    </w:rPr>
  </w:style>
  <w:style w:type="paragraph" w:customStyle="1" w:styleId="Heading2Numbered">
    <w:name w:val="Heading 2 Numbered"/>
    <w:basedOn w:val="Heading2"/>
    <w:next w:val="Normal"/>
    <w:qFormat/>
    <w:rsid w:val="00D25A38"/>
    <w:pPr>
      <w:numPr>
        <w:ilvl w:val="1"/>
        <w:numId w:val="44"/>
      </w:numPr>
      <w:suppressAutoHyphens/>
      <w:spacing w:before="360" w:line="400" w:lineRule="atLeast"/>
      <w:contextualSpacing/>
    </w:pPr>
    <w:rPr>
      <w:b w:val="0"/>
      <w:color w:val="DFE1DF" w:themeColor="text2"/>
      <w:sz w:val="34"/>
    </w:rPr>
  </w:style>
  <w:style w:type="paragraph" w:customStyle="1" w:styleId="Heading3Numbered">
    <w:name w:val="Heading 3 Numbered"/>
    <w:basedOn w:val="Heading3"/>
    <w:next w:val="Normal"/>
    <w:qFormat/>
    <w:rsid w:val="00D25A38"/>
    <w:pPr>
      <w:numPr>
        <w:ilvl w:val="2"/>
        <w:numId w:val="44"/>
      </w:numPr>
      <w:suppressAutoHyphens/>
      <w:spacing w:before="360" w:line="340" w:lineRule="atLeast"/>
      <w:contextualSpacing/>
    </w:pPr>
    <w:rPr>
      <w:b w:val="0"/>
      <w:color w:val="DFE1DF" w:themeColor="text2"/>
      <w:sz w:val="30"/>
      <w:szCs w:val="22"/>
    </w:rPr>
  </w:style>
  <w:style w:type="numbering" w:customStyle="1" w:styleId="HeadingsList">
    <w:name w:val="Headings List"/>
    <w:uiPriority w:val="99"/>
    <w:rsid w:val="00D25A38"/>
    <w:pPr>
      <w:numPr>
        <w:numId w:val="45"/>
      </w:numPr>
    </w:pPr>
  </w:style>
  <w:style w:type="paragraph" w:styleId="NormalWeb">
    <w:name w:val="Normal (Web)"/>
    <w:basedOn w:val="Normal"/>
    <w:uiPriority w:val="99"/>
    <w:unhideWhenUsed/>
    <w:rsid w:val="008C3B41"/>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Finance11">
    <w:name w:val="Finance 11"/>
    <w:basedOn w:val="TableNormal"/>
    <w:uiPriority w:val="99"/>
    <w:rsid w:val="00492F7D"/>
    <w:pPr>
      <w:spacing w:before="60" w:after="60" w:line="200" w:lineRule="atLeast"/>
    </w:pPr>
    <w:rPr>
      <w:rFonts w:asciiTheme="minorHAnsi" w:hAnsiTheme="minorHAnsi" w:cstheme="minorBidi"/>
      <w:sz w:val="16"/>
      <w:szCs w:val="22"/>
    </w:rPr>
    <w:tblPr>
      <w:tblStyleRowBandSize w:val="1"/>
      <w:tblStyleColBandSize w:val="1"/>
      <w:tblBorders>
        <w:top w:val="single" w:sz="4" w:space="0" w:color="DFE1DF" w:themeColor="text2"/>
        <w:bottom w:val="single" w:sz="4" w:space="0" w:color="DFE1DF" w:themeColor="text2"/>
        <w:insideH w:val="single" w:sz="4" w:space="0" w:color="DFE1DF" w:themeColor="text2"/>
      </w:tblBorders>
      <w:tblCellMar>
        <w:left w:w="85" w:type="dxa"/>
        <w:right w:w="85" w:type="dxa"/>
      </w:tblCellMar>
    </w:tblPr>
    <w:trPr>
      <w:cantSplit/>
    </w:trPr>
    <w:tblStylePr w:type="firstRow">
      <w:rPr>
        <w:b/>
      </w:rPr>
      <w:tblPr/>
      <w:trPr>
        <w:tblHeader/>
      </w:trPr>
      <w:tcPr>
        <w:shd w:val="clear" w:color="auto" w:fill="DFE1DF" w:themeFill="text2"/>
      </w:tcPr>
    </w:tblStylePr>
    <w:tblStylePr w:type="lastRow">
      <w:tblPr/>
      <w:tcPr>
        <w:shd w:val="clear" w:color="auto" w:fill="DFE1DF" w:themeFill="text2"/>
      </w:tcPr>
    </w:tblStylePr>
    <w:tblStylePr w:type="firstCol">
      <w:tblPr/>
      <w:tcPr>
        <w:tcBorders>
          <w:insideH w:val="single" w:sz="4" w:space="0" w:color="FFFFFF" w:themeColor="background1"/>
        </w:tcBorders>
        <w:shd w:val="clear" w:color="auto" w:fill="DFE1DF" w:themeFill="text2"/>
      </w:tcPr>
    </w:tblStylePr>
    <w:tblStylePr w:type="lastCol">
      <w:tblPr/>
      <w:tcPr>
        <w:shd w:val="clear" w:color="auto" w:fill="BFBFBF" w:themeFill="background1" w:themeFillShade="BF"/>
      </w:tcPr>
    </w:tblStylePr>
    <w:tblStylePr w:type="band1Vert">
      <w:tblPr/>
      <w:tcPr>
        <w:shd w:val="clear" w:color="auto" w:fill="EFF0EF" w:themeFill="background2"/>
      </w:tcPr>
    </w:tblStylePr>
    <w:tblStylePr w:type="band2Vert">
      <w:tblPr/>
      <w:tcPr>
        <w:shd w:val="clear" w:color="auto" w:fill="FFFFFF" w:themeFill="background1"/>
      </w:tcPr>
    </w:tblStylePr>
    <w:tblStylePr w:type="band1Horz">
      <w:tblPr/>
      <w:tcPr>
        <w:shd w:val="clear" w:color="auto" w:fill="EFF0EF" w:themeFill="background2"/>
      </w:tcPr>
    </w:tblStylePr>
    <w:tblStylePr w:type="band2Horz">
      <w:rPr>
        <w:color w:val="auto"/>
      </w:rPr>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3200">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745347458">
      <w:bodyDiv w:val="1"/>
      <w:marLeft w:val="0"/>
      <w:marRight w:val="0"/>
      <w:marTop w:val="0"/>
      <w:marBottom w:val="0"/>
      <w:divBdr>
        <w:top w:val="none" w:sz="0" w:space="0" w:color="auto"/>
        <w:left w:val="none" w:sz="0" w:space="0" w:color="auto"/>
        <w:bottom w:val="none" w:sz="0" w:space="0" w:color="auto"/>
        <w:right w:val="none" w:sz="0" w:space="0" w:color="auto"/>
      </w:divBdr>
      <w:divsChild>
        <w:div w:id="933630698">
          <w:marLeft w:val="0"/>
          <w:marRight w:val="0"/>
          <w:marTop w:val="0"/>
          <w:marBottom w:val="0"/>
          <w:divBdr>
            <w:top w:val="none" w:sz="0" w:space="0" w:color="auto"/>
            <w:left w:val="none" w:sz="0" w:space="0" w:color="auto"/>
            <w:bottom w:val="none" w:sz="0" w:space="0" w:color="auto"/>
            <w:right w:val="none" w:sz="0" w:space="0" w:color="auto"/>
          </w:divBdr>
          <w:divsChild>
            <w:div w:id="55320883">
              <w:marLeft w:val="-225"/>
              <w:marRight w:val="-225"/>
              <w:marTop w:val="0"/>
              <w:marBottom w:val="0"/>
              <w:divBdr>
                <w:top w:val="none" w:sz="0" w:space="0" w:color="auto"/>
                <w:left w:val="none" w:sz="0" w:space="0" w:color="auto"/>
                <w:bottom w:val="none" w:sz="0" w:space="0" w:color="auto"/>
                <w:right w:val="none" w:sz="0" w:space="0" w:color="auto"/>
              </w:divBdr>
              <w:divsChild>
                <w:div w:id="704908519">
                  <w:marLeft w:val="0"/>
                  <w:marRight w:val="0"/>
                  <w:marTop w:val="0"/>
                  <w:marBottom w:val="0"/>
                  <w:divBdr>
                    <w:top w:val="none" w:sz="0" w:space="0" w:color="auto"/>
                    <w:left w:val="none" w:sz="0" w:space="0" w:color="auto"/>
                    <w:bottom w:val="none" w:sz="0" w:space="0" w:color="auto"/>
                    <w:right w:val="none" w:sz="0" w:space="0" w:color="auto"/>
                  </w:divBdr>
                  <w:divsChild>
                    <w:div w:id="4700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489637139">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76299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o.gov.au/" TargetMode="External"/><Relationship Id="rId18" Type="http://schemas.openxmlformats.org/officeDocument/2006/relationships/hyperlink" Target="https://www.ato.gov.au/uploadedFiles/Content/MEI/downloads/Statement%20by%20a%20supplier.pdf" TargetMode="External"/><Relationship Id="rId26" Type="http://schemas.openxmlformats.org/officeDocument/2006/relationships/hyperlink" Target="mailto:raaf.brandmanager@defence.gov.au" TargetMode="External"/><Relationship Id="rId3" Type="http://schemas.openxmlformats.org/officeDocument/2006/relationships/customXml" Target="../customXml/item3.xml"/><Relationship Id="rId21" Type="http://schemas.openxmlformats.org/officeDocument/2006/relationships/hyperlink" Target="https://anzacportal.dva.gov.au/sites/default/files/docs/memories-and-memorabilia-2014.pdf"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communitygrants.gov.au/information-applicants/late-applications-policy" TargetMode="External"/><Relationship Id="rId17" Type="http://schemas.openxmlformats.org/officeDocument/2006/relationships/hyperlink" Target="https://www.ato.gov.au/Business/GST/" TargetMode="External"/><Relationship Id="rId25" Type="http://schemas.openxmlformats.org/officeDocument/2006/relationships/hyperlink" Target="mailto:navy.brand@defence.gov.au"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br.business.gov.au/" TargetMode="External"/><Relationship Id="rId20" Type="http://schemas.openxmlformats.org/officeDocument/2006/relationships/hyperlink" Target="https://anzacportal.dva.gov.au/resources/memories-and-memorabilia" TargetMode="External"/><Relationship Id="rId29" Type="http://schemas.openxmlformats.org/officeDocument/2006/relationships/hyperlink" Target="https://www.communitygrants.gov.au/gra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rmy.brandmanager@defence.gov.au" TargetMode="External"/><Relationship Id="rId32" Type="http://schemas.openxmlformats.org/officeDocument/2006/relationships/hyperlink" Target="mailto:support@communitygrants.gov.a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to.gov.au/business/gst/claiming-gst-credits/" TargetMode="External"/><Relationship Id="rId23" Type="http://schemas.openxmlformats.org/officeDocument/2006/relationships/hyperlink" Target="https://www.legislation.gov.au/Details/C2021C00371" TargetMode="External"/><Relationship Id="rId28" Type="http://schemas.openxmlformats.org/officeDocument/2006/relationships/hyperlink" Target="https://www.grants.gov.au/"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ato.gov.au/forms/statement-by-a-supplier-not-quoting-an-abn/" TargetMode="External"/><Relationship Id="rId31" Type="http://schemas.openxmlformats.org/officeDocument/2006/relationships/hyperlink" Target="https://www.dss.gov.au/seniors/be-connected-improving-digital-literacy-for-older-australia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o.gov.au/" TargetMode="External"/><Relationship Id="rId22" Type="http://schemas.openxmlformats.org/officeDocument/2006/relationships/hyperlink" Target="http://www.dva.gov.au/consultation-and-grants/grants/grant-and-bursary-programs/saluting-their-service-commemorative" TargetMode="External"/><Relationship Id="rId27" Type="http://schemas.openxmlformats.org/officeDocument/2006/relationships/hyperlink" Target="mailto:adf.emblems@defence.gov.au" TargetMode="External"/><Relationship Id="rId30" Type="http://schemas.openxmlformats.org/officeDocument/2006/relationships/hyperlink" Target="https://www.dss.gov.au/seniors/be-connected-improving-digital-literacy-for-older-australians"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8D5483D277AAA44AA4582F09C5B3DD5" ma:contentTypeVersion="" ma:contentTypeDescription="PDMS Document Site Content Type" ma:contentTypeScope="" ma:versionID="a12a230adfb2e1cbebeec09d0c21ea3e">
  <xsd:schema xmlns:xsd="http://www.w3.org/2001/XMLSchema" xmlns:xs="http://www.w3.org/2001/XMLSchema" xmlns:p="http://schemas.microsoft.com/office/2006/metadata/properties" xmlns:ns2="8C768A3B-BFF2-4F5D-B428-64A849FDBEC2" targetNamespace="http://schemas.microsoft.com/office/2006/metadata/properties" ma:root="true" ma:fieldsID="7608b56755171153bc8852ccfc253939" ns2:_="">
    <xsd:import namespace="8C768A3B-BFF2-4F5D-B428-64A849FDBE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68A3B-BFF2-4F5D-B428-64A849FDBE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8C768A3B-BFF2-4F5D-B428-64A849FDBEC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74483A-D61B-4EBF-8287-88A6A9859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68A3B-BFF2-4F5D-B428-64A849FDB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5468D-8D79-4CB4-A2FE-591540BC4645}">
  <ds:schemaRefs>
    <ds:schemaRef ds:uri="http://schemas.microsoft.com/sharepoint/v3/contenttype/forms"/>
  </ds:schemaRefs>
</ds:datastoreItem>
</file>

<file path=customXml/itemProps4.xml><?xml version="1.0" encoding="utf-8"?>
<ds:datastoreItem xmlns:ds="http://schemas.openxmlformats.org/officeDocument/2006/customXml" ds:itemID="{FE3469E4-6AF1-4A04-8CE3-C8384F2F1103}">
  <ds:schemaRefs>
    <ds:schemaRef ds:uri="http://schemas.microsoft.com/office/2006/metadata/properties"/>
    <ds:schemaRef ds:uri="http://schemas.microsoft.com/office/infopath/2007/PartnerControls"/>
    <ds:schemaRef ds:uri="8C768A3B-BFF2-4F5D-B428-64A849FDBEC2"/>
  </ds:schemaRefs>
</ds:datastoreItem>
</file>

<file path=customXml/itemProps5.xml><?xml version="1.0" encoding="utf-8"?>
<ds:datastoreItem xmlns:ds="http://schemas.openxmlformats.org/officeDocument/2006/customXml" ds:itemID="{8344D8FF-F7C5-4453-9ED6-01AD484A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48</TotalTime>
  <Pages>10</Pages>
  <Words>3067</Words>
  <Characters>16105</Characters>
  <Application>Microsoft Office Word</Application>
  <DocSecurity>0</DocSecurity>
  <Lines>286</Lines>
  <Paragraphs>141</Paragraphs>
  <ScaleCrop>false</ScaleCrop>
  <HeadingPairs>
    <vt:vector size="2" baseType="variant">
      <vt:variant>
        <vt:lpstr>Title</vt:lpstr>
      </vt:variant>
      <vt:variant>
        <vt:i4>1</vt:i4>
      </vt:variant>
    </vt:vector>
  </HeadingPairs>
  <TitlesOfParts>
    <vt:vector size="1" baseType="lpstr">
      <vt:lpstr>Saluting Their Service - Questions and Answers</vt:lpstr>
    </vt:vector>
  </TitlesOfParts>
  <Company>Community Grants Hub</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Saluting Their Service - Questions and Answers</dc:title>
  <dc:creator>Community Grants Hub</dc:creator>
  <cp:keywords>[SEC=OFFICIAL]</cp:keywords>
  <cp:lastModifiedBy>CHALKER, Greg</cp:lastModifiedBy>
  <cp:revision>4</cp:revision>
  <cp:lastPrinted>2022-02-07T04:23:00Z</cp:lastPrinted>
  <dcterms:created xsi:type="dcterms:W3CDTF">2023-01-17T02:57:00Z</dcterms:created>
  <dcterms:modified xsi:type="dcterms:W3CDTF">2023-01-17T21:12:00Z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0x010100266966F133664895A6EE3632470D45F500C8D5483D277AAA44AA4582F09C5B3DD5</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181398ABBB40467290F973F4A3B9AEB5</vt:lpwstr>
  </property>
  <property fmtid="{D5CDD505-2E9C-101B-9397-08002B2CF9AE}" pid="10" name="PM_ProtectiveMarkingValue_Footer">
    <vt:lpwstr>OFFICIAL</vt:lpwstr>
  </property>
  <property fmtid="{D5CDD505-2E9C-101B-9397-08002B2CF9AE}" pid="11" name="PM_Originator_Hash_SHA1">
    <vt:lpwstr>D67F6BC5CA3EA6D7FC1616E879E14162D7D4F532</vt:lpwstr>
  </property>
  <property fmtid="{D5CDD505-2E9C-101B-9397-08002B2CF9AE}" pid="12" name="PM_OriginationTimeStamp">
    <vt:lpwstr>2023-01-17T21:12:20Z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9D5BE4D3B59E34BF651951FE79BB1FEE</vt:lpwstr>
  </property>
  <property fmtid="{D5CDD505-2E9C-101B-9397-08002B2CF9AE}" pid="21" name="PM_Hash_Salt">
    <vt:lpwstr>34BFC14AB4C62B70F49B6DEF76A35808</vt:lpwstr>
  </property>
  <property fmtid="{D5CDD505-2E9C-101B-9397-08002B2CF9AE}" pid="22" name="PM_Hash_SHA1">
    <vt:lpwstr>4FB59CDF754D9037C95B43657F1DBF155239C271</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_OriginatorUserAccountName_SHA256">
    <vt:lpwstr>DBE58B24DCCC155B31FD7B1F089481E24C00AF852B82F70644ABFFCC2B4A472F</vt:lpwstr>
  </property>
  <property fmtid="{D5CDD505-2E9C-101B-9397-08002B2CF9AE}" pid="27" name="PM_OriginatorDomainName_SHA256">
    <vt:lpwstr>E83A2A66C4061446A7E3732E8D44762184B6B377D962B96C83DC624302585857</vt:lpwstr>
  </property>
</Properties>
</file>