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A7191" w14:textId="77777777" w:rsidR="00657D2D" w:rsidRDefault="00657D2D" w:rsidP="00657D2D">
      <w:pPr>
        <w:pStyle w:val="Default"/>
      </w:pPr>
    </w:p>
    <w:p w14:paraId="5C43B36C" w14:textId="77777777" w:rsidR="00657D2D" w:rsidRDefault="00657D2D" w:rsidP="00657D2D">
      <w:pPr>
        <w:spacing w:line="240" w:lineRule="auto"/>
        <w:rPr>
          <w:rFonts w:ascii="Arial" w:hAnsi="Arial" w:cs="Arial"/>
          <w:color w:val="C00000"/>
          <w:sz w:val="48"/>
          <w:szCs w:val="48"/>
        </w:rPr>
      </w:pPr>
      <w:r>
        <w:rPr>
          <w:rFonts w:ascii="Arial" w:hAnsi="Arial" w:cs="Arial"/>
          <w:color w:val="C00000"/>
          <w:sz w:val="48"/>
          <w:szCs w:val="48"/>
        </w:rPr>
        <w:t>Veteran Wellbeing Grants (VWG) Program</w:t>
      </w:r>
    </w:p>
    <w:p w14:paraId="2C4717B8" w14:textId="1347CCE9" w:rsidR="00657D2D" w:rsidRDefault="0038048B" w:rsidP="00657D2D">
      <w:p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3E65AD62" w14:textId="21EDA8D5" w:rsidR="00657D2D" w:rsidRDefault="00657D2D" w:rsidP="0091131F">
      <w:pPr>
        <w:spacing w:before="40" w:after="120"/>
        <w:rPr>
          <w:color w:val="auto"/>
        </w:rPr>
      </w:pPr>
      <w:r>
        <w:rPr>
          <w:color w:val="auto"/>
        </w:rPr>
        <w:t xml:space="preserve">The Department of Veterans’ Affairs (DVA) has provided the following </w:t>
      </w:r>
      <w:r w:rsidR="002A25D9">
        <w:rPr>
          <w:color w:val="auto"/>
        </w:rPr>
        <w:t>g</w:t>
      </w:r>
      <w:r w:rsidR="002A25D9">
        <w:rPr>
          <w:color w:val="auto"/>
        </w:rPr>
        <w:t xml:space="preserve">eneral </w:t>
      </w:r>
      <w:r w:rsidR="002A25D9">
        <w:rPr>
          <w:color w:val="auto"/>
        </w:rPr>
        <w:t>f</w:t>
      </w:r>
      <w:r w:rsidR="002A25D9">
        <w:rPr>
          <w:color w:val="auto"/>
        </w:rPr>
        <w:t xml:space="preserve">eedback </w:t>
      </w:r>
      <w:r>
        <w:rPr>
          <w:color w:val="auto"/>
        </w:rPr>
        <w:t xml:space="preserve">for applicants of the Veteran Wellbeing Grants (VWG) Program 2022–23 </w:t>
      </w:r>
      <w:r>
        <w:t xml:space="preserve">grant opportunity </w:t>
      </w:r>
      <w:r>
        <w:rPr>
          <w:color w:val="auto"/>
        </w:rPr>
        <w:t>to assist with understanding what generally comprised a competitive application and how to strengthen future applications.</w:t>
      </w:r>
    </w:p>
    <w:p w14:paraId="5DB963A3" w14:textId="77777777" w:rsidR="00657D2D" w:rsidRDefault="00657D2D" w:rsidP="0091131F">
      <w:pPr>
        <w:spacing w:before="40" w:after="120"/>
        <w:contextualSpacing/>
        <w:rPr>
          <w:rFonts w:ascii="Arial" w:hAnsi="Arial" w:cs="Arial"/>
          <w:color w:val="C00000"/>
          <w:sz w:val="40"/>
          <w:szCs w:val="48"/>
        </w:rPr>
      </w:pPr>
      <w:r>
        <w:rPr>
          <w:rFonts w:ascii="Arial" w:hAnsi="Arial" w:cs="Arial"/>
          <w:color w:val="C00000"/>
          <w:sz w:val="40"/>
          <w:szCs w:val="48"/>
        </w:rPr>
        <w:t>Overview</w:t>
      </w:r>
    </w:p>
    <w:p w14:paraId="2C3058A8" w14:textId="3572B4CB" w:rsidR="00657D2D" w:rsidRDefault="00657D2D" w:rsidP="0091131F">
      <w:pPr>
        <w:pStyle w:val="BodyText"/>
        <w:spacing w:before="40" w:after="120"/>
        <w:rPr>
          <w:color w:val="auto"/>
        </w:rPr>
      </w:pPr>
      <w:r>
        <w:rPr>
          <w:color w:val="auto"/>
        </w:rPr>
        <w:t xml:space="preserve">The aim of the Veteran Wellbeing Grants (VWG) Program is to improve the health and wellbeing outcomes of the Australian veteran community and forms parts of </w:t>
      </w:r>
      <w:r w:rsidR="00C818A6">
        <w:rPr>
          <w:color w:val="auto"/>
        </w:rPr>
        <w:t>DVA</w:t>
      </w:r>
      <w:r w:rsidR="002A25D9">
        <w:rPr>
          <w:color w:val="auto"/>
        </w:rPr>
        <w:t>’</w:t>
      </w:r>
      <w:r w:rsidR="00C818A6">
        <w:rPr>
          <w:color w:val="auto"/>
        </w:rPr>
        <w:t>s</w:t>
      </w:r>
      <w:r w:rsidR="00476D1F">
        <w:rPr>
          <w:color w:val="auto"/>
        </w:rPr>
        <w:t xml:space="preserve"> </w:t>
      </w:r>
      <w:r>
        <w:rPr>
          <w:color w:val="auto"/>
        </w:rPr>
        <w:t>commitment to fund projects and activities that sustain or enhance health and social wellbeing, build community capacity, potentially expand on existing services and raise awareness of important issues faced by the veteran community.</w:t>
      </w:r>
    </w:p>
    <w:p w14:paraId="55C5E2D9" w14:textId="23B8DB98" w:rsidR="00657D2D" w:rsidRDefault="00657D2D" w:rsidP="0091131F">
      <w:pPr>
        <w:pStyle w:val="BodyText"/>
        <w:spacing w:before="40" w:after="120"/>
        <w:rPr>
          <w:rFonts w:cstheme="minorHAnsi"/>
        </w:rPr>
      </w:pPr>
      <w:r>
        <w:rPr>
          <w:color w:val="auto"/>
        </w:rPr>
        <w:t xml:space="preserve">The VWG </w:t>
      </w:r>
      <w:r w:rsidR="002A25D9">
        <w:rPr>
          <w:color w:val="auto"/>
        </w:rPr>
        <w:t>P</w:t>
      </w:r>
      <w:r w:rsidR="002A25D9">
        <w:rPr>
          <w:color w:val="auto"/>
        </w:rPr>
        <w:t xml:space="preserve">rogram </w:t>
      </w:r>
      <w:r>
        <w:rPr>
          <w:color w:val="auto"/>
        </w:rPr>
        <w:t xml:space="preserve">is a targeted competitive program that accepts applications annually, and is an amalgamation of the previous Veteran and Community Grants and Supporting Younger Veterans programs. </w:t>
      </w:r>
      <w:r>
        <w:rPr>
          <w:rFonts w:cstheme="minorHAnsi"/>
        </w:rPr>
        <w:t xml:space="preserve">The </w:t>
      </w:r>
      <w:r w:rsidR="00DB09C2">
        <w:rPr>
          <w:rFonts w:cstheme="minorHAnsi"/>
        </w:rPr>
        <w:t xml:space="preserve">VWG </w:t>
      </w:r>
      <w:r w:rsidR="002A25D9">
        <w:rPr>
          <w:rFonts w:cstheme="minorHAnsi"/>
        </w:rPr>
        <w:t>P</w:t>
      </w:r>
      <w:r w:rsidR="002A25D9">
        <w:rPr>
          <w:rFonts w:cstheme="minorHAnsi"/>
        </w:rPr>
        <w:t xml:space="preserve">rogram </w:t>
      </w:r>
      <w:r>
        <w:rPr>
          <w:rFonts w:cstheme="minorHAnsi"/>
        </w:rPr>
        <w:t xml:space="preserve">offers </w:t>
      </w:r>
      <w:r w:rsidR="002A25D9">
        <w:rPr>
          <w:rFonts w:cstheme="minorHAnsi"/>
        </w:rPr>
        <w:t>2</w:t>
      </w:r>
      <w:r w:rsidR="002A25D9">
        <w:rPr>
          <w:rFonts w:cstheme="minorHAnsi"/>
        </w:rPr>
        <w:t xml:space="preserve"> </w:t>
      </w:r>
      <w:r>
        <w:rPr>
          <w:rFonts w:cstheme="minorHAnsi"/>
        </w:rPr>
        <w:t>streams of grants:</w:t>
      </w:r>
    </w:p>
    <w:p w14:paraId="239C730E" w14:textId="292FDE5A" w:rsidR="00657D2D" w:rsidRDefault="00657D2D" w:rsidP="0091131F">
      <w:pPr>
        <w:pStyle w:val="ListParagraph"/>
        <w:numPr>
          <w:ilvl w:val="0"/>
          <w:numId w:val="43"/>
        </w:numPr>
        <w:spacing w:before="40" w:after="120"/>
        <w:rPr>
          <w:rFonts w:cstheme="minorHAnsi"/>
        </w:rPr>
      </w:pPr>
      <w:r>
        <w:rPr>
          <w:rFonts w:cstheme="minorHAnsi"/>
        </w:rPr>
        <w:t>Under Stream A, grants of</w:t>
      </w:r>
      <w:r>
        <w:t xml:space="preserve"> up to $50,000 per grant are available for </w:t>
      </w:r>
      <w:r>
        <w:rPr>
          <w:rFonts w:cstheme="minorHAnsi"/>
        </w:rPr>
        <w:t xml:space="preserve">small-scale, local and community-based practical projects and activities that support safe, accessible environments for veterans and their families to enable social connection and positive engagement to improve wellbeing. </w:t>
      </w:r>
      <w:r>
        <w:t>The majority of grants offered in 2022</w:t>
      </w:r>
      <w:r w:rsidR="008E370C">
        <w:t>–</w:t>
      </w:r>
      <w:r>
        <w:t xml:space="preserve">23 are for </w:t>
      </w:r>
      <w:r w:rsidR="008E370C">
        <w:t>small g</w:t>
      </w:r>
      <w:r>
        <w:t>rants.</w:t>
      </w:r>
    </w:p>
    <w:p w14:paraId="43F699DB" w14:textId="77777777" w:rsidR="00657D2D" w:rsidRDefault="00657D2D" w:rsidP="0091131F">
      <w:pPr>
        <w:pStyle w:val="ListParagraph"/>
        <w:numPr>
          <w:ilvl w:val="0"/>
          <w:numId w:val="43"/>
        </w:numPr>
        <w:spacing w:before="40" w:after="120"/>
        <w:rPr>
          <w:rFonts w:cstheme="minorHAnsi"/>
        </w:rPr>
      </w:pPr>
      <w:r>
        <w:rPr>
          <w:rFonts w:cstheme="minorHAnsi"/>
        </w:rPr>
        <w:t>Under Stream B, grants from $50,001 up to a maximum of $150,000 are available for large projects that deliver practical wellbeing support services and activities of broad-scale benefit to veterans and families in the community.</w:t>
      </w:r>
    </w:p>
    <w:p w14:paraId="6679421E" w14:textId="2C71E05D" w:rsidR="00657D2D" w:rsidRDefault="00657D2D" w:rsidP="0091131F">
      <w:pPr>
        <w:pStyle w:val="BodyText"/>
        <w:spacing w:before="40" w:after="120"/>
        <w:rPr>
          <w:color w:val="auto"/>
        </w:rPr>
      </w:pPr>
      <w:r>
        <w:rPr>
          <w:color w:val="auto"/>
        </w:rPr>
        <w:t xml:space="preserve">The intended outcomes of the VWG </w:t>
      </w:r>
      <w:r w:rsidR="002A25D9">
        <w:rPr>
          <w:color w:val="auto"/>
        </w:rPr>
        <w:t>P</w:t>
      </w:r>
      <w:r w:rsidR="002A25D9">
        <w:rPr>
          <w:color w:val="auto"/>
        </w:rPr>
        <w:t xml:space="preserve">rogram </w:t>
      </w:r>
      <w:r>
        <w:rPr>
          <w:color w:val="auto"/>
        </w:rPr>
        <w:t>are to deliver projects that:</w:t>
      </w:r>
    </w:p>
    <w:p w14:paraId="54EA77C0" w14:textId="27B91612" w:rsidR="00657D2D" w:rsidRPr="0091131F" w:rsidRDefault="00657D2D" w:rsidP="0091131F">
      <w:pPr>
        <w:pStyle w:val="Default"/>
        <w:numPr>
          <w:ilvl w:val="0"/>
          <w:numId w:val="16"/>
        </w:numPr>
        <w:spacing w:before="40" w:after="120" w:line="280" w:lineRule="atLeast"/>
        <w:rPr>
          <w:sz w:val="22"/>
          <w:szCs w:val="22"/>
        </w:rPr>
      </w:pPr>
      <w:r w:rsidRPr="0091131F">
        <w:rPr>
          <w:sz w:val="22"/>
          <w:szCs w:val="22"/>
        </w:rPr>
        <w:t xml:space="preserve">fund organisations </w:t>
      </w:r>
      <w:r w:rsidR="00DD30CD" w:rsidRPr="0091131F">
        <w:rPr>
          <w:sz w:val="22"/>
          <w:szCs w:val="22"/>
        </w:rPr>
        <w:t xml:space="preserve">which </w:t>
      </w:r>
      <w:r w:rsidRPr="0091131F">
        <w:rPr>
          <w:sz w:val="22"/>
          <w:szCs w:val="22"/>
        </w:rPr>
        <w:t>can sustainably deliver services to the veteran community now and into the future</w:t>
      </w:r>
    </w:p>
    <w:p w14:paraId="4200EE72" w14:textId="0290728E" w:rsidR="00657D2D" w:rsidRPr="0091131F" w:rsidRDefault="00657D2D" w:rsidP="0091131F">
      <w:pPr>
        <w:pStyle w:val="Default"/>
        <w:numPr>
          <w:ilvl w:val="0"/>
          <w:numId w:val="16"/>
        </w:numPr>
        <w:spacing w:before="40" w:after="120" w:line="280" w:lineRule="atLeast"/>
        <w:rPr>
          <w:sz w:val="22"/>
          <w:szCs w:val="22"/>
        </w:rPr>
      </w:pPr>
      <w:r w:rsidRPr="0091131F">
        <w:rPr>
          <w:sz w:val="22"/>
          <w:szCs w:val="22"/>
        </w:rPr>
        <w:t>increase opportunities for members of the veteran community to engage in social and community activities and/or improve health behaviours and support healthy places</w:t>
      </w:r>
    </w:p>
    <w:p w14:paraId="38C86242" w14:textId="7A876608" w:rsidR="00657D2D" w:rsidRPr="0091131F" w:rsidRDefault="00657D2D" w:rsidP="0091131F">
      <w:pPr>
        <w:pStyle w:val="Default"/>
        <w:numPr>
          <w:ilvl w:val="0"/>
          <w:numId w:val="16"/>
        </w:numPr>
        <w:spacing w:before="40" w:after="120" w:line="280" w:lineRule="atLeast"/>
        <w:rPr>
          <w:sz w:val="22"/>
          <w:szCs w:val="22"/>
        </w:rPr>
      </w:pPr>
      <w:r w:rsidRPr="0091131F">
        <w:rPr>
          <w:sz w:val="22"/>
          <w:szCs w:val="22"/>
        </w:rPr>
        <w:t>support the development of well-researched and tailored services for veterans, with a particular focus on services supporting those at risk of experiencing poor mental health</w:t>
      </w:r>
    </w:p>
    <w:p w14:paraId="7A6E4574" w14:textId="376246CE" w:rsidR="00657D2D" w:rsidRPr="0091131F" w:rsidRDefault="00657D2D" w:rsidP="0091131F">
      <w:pPr>
        <w:pStyle w:val="Default"/>
        <w:numPr>
          <w:ilvl w:val="0"/>
          <w:numId w:val="16"/>
        </w:numPr>
        <w:spacing w:before="40" w:after="120" w:line="280" w:lineRule="atLeast"/>
        <w:rPr>
          <w:sz w:val="22"/>
          <w:szCs w:val="22"/>
        </w:rPr>
      </w:pPr>
      <w:r w:rsidRPr="0091131F">
        <w:rPr>
          <w:sz w:val="22"/>
          <w:szCs w:val="22"/>
        </w:rPr>
        <w:t>increase collaboration amongst organisations to expand services and harness existing expertise for the benefit of the veteran community</w:t>
      </w:r>
    </w:p>
    <w:p w14:paraId="736B7E48" w14:textId="77777777" w:rsidR="00657D2D" w:rsidRDefault="00657D2D" w:rsidP="0091131F">
      <w:pPr>
        <w:pStyle w:val="Default"/>
        <w:numPr>
          <w:ilvl w:val="0"/>
          <w:numId w:val="16"/>
        </w:numPr>
        <w:spacing w:before="40" w:after="120" w:line="280" w:lineRule="atLeast"/>
        <w:rPr>
          <w:color w:val="auto"/>
        </w:rPr>
      </w:pPr>
      <w:r w:rsidRPr="0091131F">
        <w:rPr>
          <w:sz w:val="22"/>
          <w:szCs w:val="22"/>
        </w:rPr>
        <w:t>increase awareness</w:t>
      </w:r>
      <w:r>
        <w:rPr>
          <w:color w:val="auto"/>
        </w:rPr>
        <w:t xml:space="preserve"> of veterans’ issues and/or services within the veteran community.</w:t>
      </w:r>
    </w:p>
    <w:p w14:paraId="7DD875D5" w14:textId="4AF190C1" w:rsidR="00657D2D" w:rsidRDefault="00657D2D" w:rsidP="0091131F">
      <w:pPr>
        <w:tabs>
          <w:tab w:val="left" w:pos="851"/>
        </w:tabs>
        <w:spacing w:before="40" w:after="120"/>
        <w:rPr>
          <w:rFonts w:cstheme="minorHAnsi"/>
        </w:rPr>
      </w:pPr>
      <w:r>
        <w:rPr>
          <w:rFonts w:cstheme="minorHAnsi"/>
        </w:rPr>
        <w:lastRenderedPageBreak/>
        <w:t xml:space="preserve">The Community Grants Hub and DVA </w:t>
      </w:r>
      <w:r w:rsidR="00476D1F">
        <w:rPr>
          <w:rFonts w:cstheme="minorHAnsi"/>
        </w:rPr>
        <w:t xml:space="preserve">(the delegate) </w:t>
      </w:r>
      <w:r>
        <w:rPr>
          <w:rFonts w:cstheme="minorHAnsi"/>
        </w:rPr>
        <w:t xml:space="preserve">administer the program in accordance with the </w:t>
      </w:r>
      <w:hyperlink r:id="rId9" w:history="1">
        <w:r>
          <w:rPr>
            <w:rStyle w:val="Hyperlink"/>
            <w:i/>
          </w:rPr>
          <w:t>Commonwealth Gr</w:t>
        </w:r>
        <w:r>
          <w:rPr>
            <w:rStyle w:val="Hyperlink"/>
            <w:i/>
          </w:rPr>
          <w:t>a</w:t>
        </w:r>
        <w:r>
          <w:rPr>
            <w:rStyle w:val="Hyperlink"/>
            <w:i/>
          </w:rPr>
          <w:t>nts Rules and Guidelines 2017</w:t>
        </w:r>
      </w:hyperlink>
      <w:r w:rsidRPr="0091131F">
        <w:rPr>
          <w:rStyle w:val="Hyperlink"/>
          <w:color w:val="auto"/>
          <w:u w:val="none"/>
        </w:rPr>
        <w:t xml:space="preserve"> </w:t>
      </w:r>
      <w:r>
        <w:rPr>
          <w:rFonts w:cstheme="minorHAnsi"/>
        </w:rPr>
        <w:t>(CGRGs).</w:t>
      </w:r>
    </w:p>
    <w:p w14:paraId="0ABA43C3" w14:textId="69A96BFE" w:rsidR="00657D2D" w:rsidRDefault="00657D2D" w:rsidP="0091131F">
      <w:pPr>
        <w:tabs>
          <w:tab w:val="left" w:pos="851"/>
        </w:tabs>
        <w:spacing w:before="40" w:after="120"/>
      </w:pPr>
      <w:r>
        <w:rPr>
          <w:rFonts w:cstheme="minorHAnsi"/>
        </w:rPr>
        <w:t xml:space="preserve">The VWG </w:t>
      </w:r>
      <w:r w:rsidR="002A25D9">
        <w:rPr>
          <w:rFonts w:cstheme="minorHAnsi"/>
        </w:rPr>
        <w:t>P</w:t>
      </w:r>
      <w:r w:rsidR="002A25D9">
        <w:rPr>
          <w:rFonts w:cstheme="minorHAnsi"/>
        </w:rPr>
        <w:t xml:space="preserve">rogram </w:t>
      </w:r>
      <w:r>
        <w:rPr>
          <w:rFonts w:cstheme="minorHAnsi"/>
        </w:rPr>
        <w:t>intent is to support Australian veterans and forms part of Program 2.4 Veterans Community Care and Support in DVA’s</w:t>
      </w:r>
      <w:r>
        <w:rPr>
          <w:sz w:val="20"/>
        </w:rPr>
        <w:t xml:space="preserve"> </w:t>
      </w:r>
      <w:r>
        <w:rPr>
          <w:rFonts w:cstheme="minorHAnsi"/>
        </w:rPr>
        <w:t>Portfolio Budget Statement.</w:t>
      </w:r>
      <w:r>
        <w:t xml:space="preserve"> The VWG funding round opened on </w:t>
      </w:r>
      <w:r>
        <w:rPr>
          <w:rFonts w:cstheme="minorHAnsi"/>
        </w:rPr>
        <w:t>2 November 2022 and closed on 8 December 2022 with a total of up to $3,552,000 (GST exclusive) available to applicants in this grant round.</w:t>
      </w:r>
    </w:p>
    <w:p w14:paraId="26C64F75" w14:textId="29475145" w:rsidR="00657D2D" w:rsidRDefault="00657D2D" w:rsidP="0091131F">
      <w:pPr>
        <w:pStyle w:val="BodyText"/>
        <w:spacing w:before="40" w:after="120"/>
      </w:pPr>
      <w:r>
        <w:rPr>
          <w:rFonts w:cstheme="minorHAnsi"/>
        </w:rPr>
        <w:t xml:space="preserve">As a highly competitive grant round, </w:t>
      </w:r>
      <w:r>
        <w:t xml:space="preserve">there was a strong interest in the VWG </w:t>
      </w:r>
      <w:r w:rsidR="002A25D9">
        <w:t>P</w:t>
      </w:r>
      <w:r w:rsidR="002A25D9">
        <w:t xml:space="preserve">rogram </w:t>
      </w:r>
      <w:r>
        <w:t xml:space="preserve">and successful applications were of a very high standard, with a large number of applications received. Applications were assessed according to the procedures outlined within the Grant Opportunity Guidelines (refer to the </w:t>
      </w:r>
      <w:r w:rsidR="00552458">
        <w:t>s</w:t>
      </w:r>
      <w:r>
        <w:t xml:space="preserve">election </w:t>
      </w:r>
      <w:r w:rsidR="00552458">
        <w:t>p</w:t>
      </w:r>
      <w:r>
        <w:t>rocess below). Following the delegate’s decision, 57</w:t>
      </w:r>
      <w:r w:rsidR="00552458">
        <w:t> </w:t>
      </w:r>
      <w:r>
        <w:t>applications were approved for funding.</w:t>
      </w:r>
    </w:p>
    <w:p w14:paraId="20E2F726" w14:textId="77777777" w:rsidR="00657D2D" w:rsidRDefault="00C818A6" w:rsidP="0091131F">
      <w:pPr>
        <w:pStyle w:val="BodyText"/>
        <w:spacing w:before="40" w:after="120"/>
      </w:pPr>
      <w:r>
        <w:t>DVA</w:t>
      </w:r>
      <w:r w:rsidR="00657D2D">
        <w:rPr>
          <w:color w:val="auto"/>
        </w:rPr>
        <w:t xml:space="preserve"> is pleased to share this feedback as part of our commitment to sharing information with the sector and to acknowledge the time and effort applicants put into developing applications. The aim of this feedback is to help applicants to strengthen future applications by understanding how to prepare strong responses to the assessment criteria for this grant opportunity.</w:t>
      </w:r>
      <w:r w:rsidR="00657D2D">
        <w:t xml:space="preserve"> Each unsuccessful applicant has also received individual feedback.</w:t>
      </w:r>
    </w:p>
    <w:p w14:paraId="3E3036C2" w14:textId="77777777" w:rsidR="00657D2D" w:rsidRDefault="00657D2D" w:rsidP="0091131F">
      <w:pPr>
        <w:pStyle w:val="BodyText"/>
        <w:spacing w:before="40" w:after="120"/>
      </w:pPr>
      <w:r>
        <w:t xml:space="preserve">Future grant opportunities will be made available for the VWG program. You can find out about new grant opportunities on </w:t>
      </w:r>
      <w:hyperlink r:id="rId10" w:history="1">
        <w:r>
          <w:rPr>
            <w:rStyle w:val="Hyperlink"/>
          </w:rPr>
          <w:t>GrantCo</w:t>
        </w:r>
        <w:r>
          <w:rPr>
            <w:rStyle w:val="Hyperlink"/>
          </w:rPr>
          <w:t>n</w:t>
        </w:r>
        <w:r>
          <w:rPr>
            <w:rStyle w:val="Hyperlink"/>
          </w:rPr>
          <w:t>nect</w:t>
        </w:r>
      </w:hyperlink>
      <w:r>
        <w:t>.</w:t>
      </w:r>
    </w:p>
    <w:p w14:paraId="5AB19507" w14:textId="30057C57" w:rsidR="00657D2D" w:rsidRDefault="00657D2D" w:rsidP="0091131F">
      <w:pPr>
        <w:pStyle w:val="BodyText"/>
        <w:spacing w:before="40" w:after="120"/>
        <w:rPr>
          <w:rFonts w:ascii="Arial" w:hAnsi="Arial" w:cs="Arial"/>
          <w:color w:val="C00000"/>
          <w:sz w:val="40"/>
          <w:szCs w:val="48"/>
        </w:rPr>
      </w:pPr>
      <w:r>
        <w:rPr>
          <w:rFonts w:ascii="Arial" w:hAnsi="Arial" w:cs="Arial"/>
          <w:color w:val="C00000"/>
          <w:sz w:val="40"/>
          <w:szCs w:val="48"/>
        </w:rPr>
        <w:t xml:space="preserve">Selection </w:t>
      </w:r>
      <w:r w:rsidR="007F271C">
        <w:rPr>
          <w:rFonts w:ascii="Arial" w:hAnsi="Arial" w:cs="Arial"/>
          <w:color w:val="C00000"/>
          <w:sz w:val="40"/>
          <w:szCs w:val="48"/>
        </w:rPr>
        <w:t>process</w:t>
      </w:r>
    </w:p>
    <w:p w14:paraId="69AF249A" w14:textId="5D7FD8E4" w:rsidR="004B39EB" w:rsidRPr="004B39EB" w:rsidRDefault="00657D2D" w:rsidP="0091131F">
      <w:pPr>
        <w:pStyle w:val="BodyText"/>
        <w:spacing w:before="40" w:after="120"/>
      </w:pPr>
      <w:r w:rsidRPr="00545CD3">
        <w:t xml:space="preserve">The Community Grants Hub undertook the screening for organisation eligibility and application compliance against the requirements outlined in the Grant Opportunity Guidelines. DVA as the </w:t>
      </w:r>
      <w:r w:rsidR="00552458">
        <w:t>p</w:t>
      </w:r>
      <w:r w:rsidRPr="00545CD3">
        <w:t>olicy owner, determined where applicants did not meet the eligibility and applications compliance criteria.</w:t>
      </w:r>
    </w:p>
    <w:p w14:paraId="7F1C19D5" w14:textId="7B406EB2" w:rsidR="004B39EB" w:rsidRPr="00C818A6" w:rsidRDefault="00C818A6" w:rsidP="0091131F">
      <w:pPr>
        <w:pStyle w:val="BodyText"/>
        <w:spacing w:before="40" w:after="120"/>
      </w:pPr>
      <w:r>
        <w:rPr>
          <w:color w:val="auto"/>
        </w:rPr>
        <w:t>DVA</w:t>
      </w:r>
      <w:r w:rsidR="004B39EB" w:rsidRPr="00C818A6">
        <w:rPr>
          <w:color w:val="auto"/>
        </w:rPr>
        <w:t xml:space="preserve"> assessed and considered eligible and compliant applications submitted through a Targeted Competitive, grant process. Applications were considered by the DVA Grants Advisory Committee (the </w:t>
      </w:r>
      <w:r w:rsidR="00552458">
        <w:rPr>
          <w:color w:val="auto"/>
        </w:rPr>
        <w:t>c</w:t>
      </w:r>
      <w:r w:rsidR="004B39EB" w:rsidRPr="00C818A6">
        <w:rPr>
          <w:color w:val="auto"/>
        </w:rPr>
        <w:t xml:space="preserve">ommittee). The </w:t>
      </w:r>
      <w:r w:rsidR="00552458">
        <w:rPr>
          <w:color w:val="auto"/>
        </w:rPr>
        <w:t>c</w:t>
      </w:r>
      <w:r w:rsidR="004B39EB" w:rsidRPr="00C818A6">
        <w:rPr>
          <w:color w:val="auto"/>
        </w:rPr>
        <w:t xml:space="preserve">ommittee, established by DVA , provides </w:t>
      </w:r>
      <w:r w:rsidR="004B39EB" w:rsidRPr="00C818A6">
        <w:t xml:space="preserve">a source of advice and assistance for assessing grant outcomes. The </w:t>
      </w:r>
      <w:r w:rsidR="00552458">
        <w:rPr>
          <w:color w:val="auto"/>
        </w:rPr>
        <w:t>c</w:t>
      </w:r>
      <w:r w:rsidR="004B39EB" w:rsidRPr="00C818A6">
        <w:rPr>
          <w:color w:val="auto"/>
        </w:rPr>
        <w:t>ommittee</w:t>
      </w:r>
      <w:r w:rsidR="004B39EB" w:rsidRPr="00C818A6">
        <w:t xml:space="preserve"> reviewed applications and provided advice to inform DVA’s funding recommendations to the </w:t>
      </w:r>
      <w:r w:rsidR="00606138">
        <w:t>d</w:t>
      </w:r>
      <w:r w:rsidR="004B39EB" w:rsidRPr="00C818A6">
        <w:t>elegate. Assessment included consideration of:</w:t>
      </w:r>
    </w:p>
    <w:p w14:paraId="7418042D" w14:textId="77777777" w:rsidR="004B39EB" w:rsidRPr="00C818A6" w:rsidRDefault="004B39EB" w:rsidP="0091131F">
      <w:pPr>
        <w:pStyle w:val="Default"/>
        <w:numPr>
          <w:ilvl w:val="0"/>
          <w:numId w:val="16"/>
        </w:numPr>
        <w:spacing w:before="40" w:after="120" w:line="280" w:lineRule="atLeast"/>
        <w:rPr>
          <w:sz w:val="22"/>
          <w:szCs w:val="22"/>
        </w:rPr>
      </w:pPr>
      <w:r w:rsidRPr="00C818A6">
        <w:rPr>
          <w:sz w:val="22"/>
          <w:szCs w:val="22"/>
        </w:rPr>
        <w:t xml:space="preserve">how well an application met the criteria </w:t>
      </w:r>
    </w:p>
    <w:p w14:paraId="58651FAB" w14:textId="77777777" w:rsidR="004B39EB" w:rsidRPr="00C818A6" w:rsidRDefault="004B39EB" w:rsidP="0091131F">
      <w:pPr>
        <w:pStyle w:val="Default"/>
        <w:numPr>
          <w:ilvl w:val="0"/>
          <w:numId w:val="16"/>
        </w:numPr>
        <w:spacing w:before="40" w:after="120" w:line="280" w:lineRule="atLeast"/>
      </w:pPr>
      <w:r w:rsidRPr="00C818A6">
        <w:rPr>
          <w:sz w:val="22"/>
          <w:szCs w:val="22"/>
        </w:rPr>
        <w:t xml:space="preserve">how an application compared to others </w:t>
      </w:r>
    </w:p>
    <w:p w14:paraId="3A7CBD8F" w14:textId="77777777" w:rsidR="004B39EB" w:rsidRDefault="004B39EB" w:rsidP="0091131F">
      <w:pPr>
        <w:pStyle w:val="Default"/>
        <w:numPr>
          <w:ilvl w:val="0"/>
          <w:numId w:val="16"/>
        </w:numPr>
        <w:spacing w:before="40" w:after="120" w:line="280" w:lineRule="atLeast"/>
      </w:pPr>
      <w:r w:rsidRPr="00C818A6">
        <w:rPr>
          <w:sz w:val="22"/>
          <w:szCs w:val="22"/>
        </w:rPr>
        <w:t>whether an application provided value for money.</w:t>
      </w:r>
    </w:p>
    <w:p w14:paraId="5E80FA01" w14:textId="77777777" w:rsidR="00C818A6" w:rsidRDefault="00C818A6">
      <w:pPr>
        <w:spacing w:line="240" w:lineRule="auto"/>
      </w:pPr>
      <w:r>
        <w:br w:type="page"/>
      </w:r>
    </w:p>
    <w:p w14:paraId="1503D727" w14:textId="46B7DBB4" w:rsidR="00657D2D" w:rsidRDefault="00657D2D" w:rsidP="0091131F">
      <w:pPr>
        <w:pStyle w:val="BodyText"/>
        <w:spacing w:before="40" w:after="120"/>
      </w:pPr>
      <w:r w:rsidRPr="00545CD3">
        <w:lastRenderedPageBreak/>
        <w:t xml:space="preserve">The </w:t>
      </w:r>
      <w:r w:rsidR="009325A5">
        <w:t>c</w:t>
      </w:r>
      <w:r w:rsidRPr="00545CD3">
        <w:t xml:space="preserve">ommittee considered whether applications provided value with relevant money (as defined by </w:t>
      </w:r>
      <w:r w:rsidR="00552458">
        <w:t>s</w:t>
      </w:r>
      <w:r w:rsidRPr="00545CD3">
        <w:t xml:space="preserve">ection 8 of the </w:t>
      </w:r>
      <w:r w:rsidRPr="00545CD3">
        <w:rPr>
          <w:i/>
        </w:rPr>
        <w:t>Public Governance, Performance and Accountability Act 2013</w:t>
      </w:r>
      <w:r w:rsidRPr="00545CD3">
        <w:t xml:space="preserve"> (Cth)), taking into account:</w:t>
      </w:r>
    </w:p>
    <w:p w14:paraId="4F619E07" w14:textId="167461A2" w:rsidR="00657D2D" w:rsidRDefault="00657D2D" w:rsidP="0091131F">
      <w:pPr>
        <w:pStyle w:val="Default"/>
        <w:numPr>
          <w:ilvl w:val="0"/>
          <w:numId w:val="45"/>
        </w:numPr>
        <w:spacing w:before="40" w:after="120" w:line="280" w:lineRule="atLeast"/>
        <w:rPr>
          <w:sz w:val="22"/>
          <w:szCs w:val="22"/>
        </w:rPr>
      </w:pPr>
      <w:r>
        <w:rPr>
          <w:sz w:val="22"/>
          <w:szCs w:val="22"/>
        </w:rPr>
        <w:t>the relative value of the grant sought</w:t>
      </w:r>
    </w:p>
    <w:p w14:paraId="6EF8487C" w14:textId="09D24425" w:rsidR="00657D2D" w:rsidRDefault="00657D2D" w:rsidP="0091131F">
      <w:pPr>
        <w:pStyle w:val="Default"/>
        <w:numPr>
          <w:ilvl w:val="0"/>
          <w:numId w:val="45"/>
        </w:numPr>
        <w:spacing w:before="40" w:after="120" w:line="280" w:lineRule="atLeast"/>
        <w:rPr>
          <w:sz w:val="22"/>
          <w:szCs w:val="22"/>
        </w:rPr>
      </w:pPr>
      <w:r>
        <w:rPr>
          <w:sz w:val="22"/>
          <w:szCs w:val="22"/>
        </w:rPr>
        <w:t>the quality of the project proposal and activities</w:t>
      </w:r>
    </w:p>
    <w:p w14:paraId="4601A400" w14:textId="77777777" w:rsidR="00657D2D" w:rsidRDefault="00657D2D" w:rsidP="0091131F">
      <w:pPr>
        <w:pStyle w:val="Default"/>
        <w:numPr>
          <w:ilvl w:val="0"/>
          <w:numId w:val="45"/>
        </w:numPr>
        <w:spacing w:before="40" w:after="120" w:line="280" w:lineRule="atLeast"/>
        <w:rPr>
          <w:sz w:val="22"/>
          <w:szCs w:val="22"/>
        </w:rPr>
      </w:pPr>
      <w:r>
        <w:rPr>
          <w:sz w:val="22"/>
          <w:szCs w:val="22"/>
        </w:rPr>
        <w:t>the extent to which the geographic location of the application matches the Australian Government’s priorities to support those living in regional Australia</w:t>
      </w:r>
    </w:p>
    <w:p w14:paraId="47FD5DA8" w14:textId="77777777" w:rsidR="00657D2D" w:rsidRDefault="00657D2D" w:rsidP="0091131F">
      <w:pPr>
        <w:pStyle w:val="Default"/>
        <w:numPr>
          <w:ilvl w:val="0"/>
          <w:numId w:val="45"/>
        </w:numPr>
        <w:spacing w:before="40" w:after="120" w:line="280" w:lineRule="atLeast"/>
        <w:rPr>
          <w:sz w:val="22"/>
          <w:szCs w:val="22"/>
        </w:rPr>
      </w:pPr>
      <w:r>
        <w:rPr>
          <w:sz w:val="22"/>
          <w:szCs w:val="22"/>
        </w:rPr>
        <w:t>the extent to which the evidence in the application demonstrates that it will contribute to meeting the VWG program outcomes and objectives</w:t>
      </w:r>
    </w:p>
    <w:p w14:paraId="5DFEBEB6" w14:textId="77777777" w:rsidR="00657D2D" w:rsidRDefault="00657D2D" w:rsidP="0091131F">
      <w:pPr>
        <w:pStyle w:val="Default"/>
        <w:numPr>
          <w:ilvl w:val="0"/>
          <w:numId w:val="45"/>
        </w:numPr>
        <w:spacing w:before="40" w:after="120" w:line="280" w:lineRule="atLeast"/>
        <w:rPr>
          <w:sz w:val="22"/>
          <w:szCs w:val="22"/>
        </w:rPr>
      </w:pPr>
      <w:r>
        <w:rPr>
          <w:sz w:val="22"/>
          <w:szCs w:val="22"/>
        </w:rPr>
        <w:t>the extent to which the evidence in the application demonstrates that it will address a need and demand for the veteran community and families</w:t>
      </w:r>
    </w:p>
    <w:p w14:paraId="10E72D4D" w14:textId="77777777" w:rsidR="00657D2D" w:rsidRDefault="00657D2D" w:rsidP="0091131F">
      <w:pPr>
        <w:pStyle w:val="Default"/>
        <w:numPr>
          <w:ilvl w:val="0"/>
          <w:numId w:val="45"/>
        </w:numPr>
        <w:spacing w:before="40" w:after="120" w:line="280" w:lineRule="atLeast"/>
        <w:rPr>
          <w:sz w:val="22"/>
          <w:szCs w:val="22"/>
        </w:rPr>
      </w:pPr>
      <w:r>
        <w:rPr>
          <w:sz w:val="22"/>
          <w:szCs w:val="22"/>
        </w:rPr>
        <w:t>the extent to which the evidence in the application demonstrates relevant experience and performance history to ensure that it will successfully deliver outcomes.</w:t>
      </w:r>
    </w:p>
    <w:p w14:paraId="0FC1AD01" w14:textId="536FBD21" w:rsidR="00657D2D" w:rsidRDefault="00657D2D" w:rsidP="0091131F">
      <w:pPr>
        <w:pStyle w:val="Default"/>
        <w:spacing w:before="40" w:after="120" w:line="280" w:lineRule="atLeast"/>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Preferred applica</w:t>
      </w:r>
      <w:r w:rsidR="001D3A93">
        <w:rPr>
          <w:rFonts w:asciiTheme="minorHAnsi" w:hAnsiTheme="minorHAnsi" w:cs="Times New Roman"/>
          <w:color w:val="000000" w:themeColor="text1"/>
          <w:sz w:val="22"/>
          <w:szCs w:val="20"/>
        </w:rPr>
        <w:t>tions</w:t>
      </w:r>
      <w:r>
        <w:rPr>
          <w:rFonts w:asciiTheme="minorHAnsi" w:hAnsiTheme="minorHAnsi" w:cs="Times New Roman"/>
          <w:color w:val="000000" w:themeColor="text1"/>
          <w:sz w:val="22"/>
          <w:szCs w:val="20"/>
        </w:rPr>
        <w:t xml:space="preserve"> were identified based on the strength of the responses to the selection criterion and the demonstrated ability to meet the grant requirements outlined in the Grant Opportunity Guidelines. Specifically, the </w:t>
      </w:r>
      <w:r w:rsidR="009325A5">
        <w:rPr>
          <w:rFonts w:asciiTheme="minorHAnsi" w:hAnsiTheme="minorHAnsi" w:cs="Times New Roman"/>
          <w:color w:val="000000" w:themeColor="text1"/>
          <w:sz w:val="22"/>
          <w:szCs w:val="20"/>
        </w:rPr>
        <w:t>c</w:t>
      </w:r>
      <w:r>
        <w:rPr>
          <w:rFonts w:asciiTheme="minorHAnsi" w:hAnsiTheme="minorHAnsi" w:cs="Times New Roman"/>
          <w:color w:val="000000" w:themeColor="text1"/>
          <w:sz w:val="22"/>
          <w:szCs w:val="20"/>
        </w:rPr>
        <w:t>ommittee recommended applica</w:t>
      </w:r>
      <w:r w:rsidR="001D3A93">
        <w:rPr>
          <w:rFonts w:asciiTheme="minorHAnsi" w:hAnsiTheme="minorHAnsi" w:cs="Times New Roman"/>
          <w:color w:val="000000" w:themeColor="text1"/>
          <w:sz w:val="22"/>
          <w:szCs w:val="20"/>
        </w:rPr>
        <w:t>tions</w:t>
      </w:r>
      <w:r>
        <w:rPr>
          <w:rFonts w:asciiTheme="minorHAnsi" w:hAnsiTheme="minorHAnsi" w:cs="Times New Roman"/>
          <w:color w:val="000000" w:themeColor="text1"/>
          <w:sz w:val="22"/>
          <w:szCs w:val="20"/>
        </w:rPr>
        <w:t xml:space="preserve"> which best:</w:t>
      </w:r>
    </w:p>
    <w:p w14:paraId="1416C486" w14:textId="77777777" w:rsidR="00657D2D" w:rsidRDefault="00657D2D" w:rsidP="0091131F">
      <w:pPr>
        <w:pStyle w:val="Default"/>
        <w:numPr>
          <w:ilvl w:val="0"/>
          <w:numId w:val="45"/>
        </w:numPr>
        <w:spacing w:before="40" w:after="120" w:line="280" w:lineRule="atLeast"/>
        <w:rPr>
          <w:sz w:val="22"/>
          <w:szCs w:val="22"/>
        </w:rPr>
      </w:pPr>
      <w:r>
        <w:rPr>
          <w:sz w:val="22"/>
          <w:szCs w:val="22"/>
        </w:rPr>
        <w:t>demonstrated a strong understanding of the Australian Government’s objectives to sustain or enhance health and social wellbeing, build community capacity, potentially expand on existing services and raise awareness of important issues faced by the Australian veterans community</w:t>
      </w:r>
    </w:p>
    <w:p w14:paraId="487E1542" w14:textId="755CABC0" w:rsidR="00657D2D" w:rsidRDefault="00657D2D" w:rsidP="0091131F">
      <w:pPr>
        <w:pStyle w:val="Default"/>
        <w:numPr>
          <w:ilvl w:val="0"/>
          <w:numId w:val="45"/>
        </w:numPr>
        <w:spacing w:before="40" w:after="120" w:line="280" w:lineRule="atLeast"/>
        <w:rPr>
          <w:sz w:val="22"/>
          <w:szCs w:val="22"/>
        </w:rPr>
      </w:pPr>
      <w:r>
        <w:rPr>
          <w:sz w:val="22"/>
          <w:szCs w:val="22"/>
        </w:rPr>
        <w:t>demonstrated a strong understanding of the challenges faced by the Australia</w:t>
      </w:r>
      <w:r w:rsidR="002A25D9">
        <w:rPr>
          <w:sz w:val="22"/>
          <w:szCs w:val="22"/>
        </w:rPr>
        <w:t>n</w:t>
      </w:r>
      <w:r>
        <w:rPr>
          <w:sz w:val="22"/>
          <w:szCs w:val="22"/>
        </w:rPr>
        <w:t xml:space="preserve"> veterans community</w:t>
      </w:r>
    </w:p>
    <w:p w14:paraId="280250E1" w14:textId="1B262260" w:rsidR="00657D2D" w:rsidRDefault="00657D2D" w:rsidP="0091131F">
      <w:pPr>
        <w:pStyle w:val="Default"/>
        <w:numPr>
          <w:ilvl w:val="0"/>
          <w:numId w:val="45"/>
        </w:numPr>
        <w:spacing w:before="40" w:after="120" w:line="280" w:lineRule="atLeast"/>
        <w:rPr>
          <w:sz w:val="22"/>
          <w:szCs w:val="22"/>
        </w:rPr>
      </w:pPr>
      <w:r>
        <w:rPr>
          <w:sz w:val="22"/>
          <w:szCs w:val="22"/>
        </w:rPr>
        <w:t xml:space="preserve">demonstrated the relevant experience and expertise to deliver services and/or activities in support of the Australian veterans community and meet the intended outcomes of the VWG </w:t>
      </w:r>
      <w:r w:rsidR="002A25D9">
        <w:rPr>
          <w:sz w:val="22"/>
          <w:szCs w:val="22"/>
        </w:rPr>
        <w:t>P</w:t>
      </w:r>
      <w:r w:rsidR="002A25D9">
        <w:rPr>
          <w:sz w:val="22"/>
          <w:szCs w:val="22"/>
        </w:rPr>
        <w:t>rogram</w:t>
      </w:r>
    </w:p>
    <w:p w14:paraId="7BE5A1A6" w14:textId="77777777" w:rsidR="00657D2D" w:rsidRDefault="00657D2D" w:rsidP="0091131F">
      <w:pPr>
        <w:pStyle w:val="Default"/>
        <w:numPr>
          <w:ilvl w:val="0"/>
          <w:numId w:val="45"/>
        </w:numPr>
        <w:spacing w:before="40" w:after="120" w:line="280" w:lineRule="atLeast"/>
        <w:rPr>
          <w:sz w:val="22"/>
          <w:szCs w:val="22"/>
        </w:rPr>
      </w:pPr>
      <w:r>
        <w:rPr>
          <w:sz w:val="22"/>
          <w:szCs w:val="22"/>
        </w:rPr>
        <w:t>demonstrated ability to manage risks and have established governance processes in place to deliver services and/or activities</w:t>
      </w:r>
    </w:p>
    <w:p w14:paraId="33775C4F" w14:textId="77777777" w:rsidR="00657D2D" w:rsidRDefault="00657D2D" w:rsidP="0091131F">
      <w:pPr>
        <w:pStyle w:val="Default"/>
        <w:numPr>
          <w:ilvl w:val="0"/>
          <w:numId w:val="45"/>
        </w:numPr>
        <w:spacing w:before="40" w:after="120" w:line="280" w:lineRule="atLeast"/>
        <w:rPr>
          <w:sz w:val="22"/>
          <w:szCs w:val="22"/>
        </w:rPr>
      </w:pPr>
      <w:r>
        <w:rPr>
          <w:sz w:val="22"/>
          <w:szCs w:val="22"/>
        </w:rPr>
        <w:t>demonstrated veteran community knowledge, links, networks and/or partnerships and how they would be leveraged to deliver services and/or activities</w:t>
      </w:r>
    </w:p>
    <w:p w14:paraId="051D180C" w14:textId="21018EC6" w:rsidR="00657D2D" w:rsidRDefault="00657D2D" w:rsidP="0091131F">
      <w:pPr>
        <w:pStyle w:val="Default"/>
        <w:numPr>
          <w:ilvl w:val="0"/>
          <w:numId w:val="45"/>
        </w:numPr>
        <w:spacing w:before="40" w:after="120" w:line="280" w:lineRule="atLeast"/>
        <w:rPr>
          <w:sz w:val="22"/>
          <w:szCs w:val="22"/>
        </w:rPr>
      </w:pPr>
      <w:r>
        <w:rPr>
          <w:sz w:val="22"/>
          <w:szCs w:val="22"/>
        </w:rPr>
        <w:t xml:space="preserve">demonstrated ability to achieve VWG </w:t>
      </w:r>
      <w:r w:rsidR="005E2AAE">
        <w:rPr>
          <w:sz w:val="22"/>
          <w:szCs w:val="22"/>
        </w:rPr>
        <w:t>P</w:t>
      </w:r>
      <w:r w:rsidR="005E2AAE">
        <w:rPr>
          <w:sz w:val="22"/>
          <w:szCs w:val="22"/>
        </w:rPr>
        <w:t xml:space="preserve">rogram </w:t>
      </w:r>
      <w:r>
        <w:rPr>
          <w:sz w:val="22"/>
          <w:szCs w:val="22"/>
        </w:rPr>
        <w:t>targets and performance manage service delivery and/or activity outcomes.</w:t>
      </w:r>
    </w:p>
    <w:p w14:paraId="48303390" w14:textId="4A73614C" w:rsidR="00657D2D" w:rsidRDefault="00657D2D" w:rsidP="0091131F">
      <w:pPr>
        <w:pStyle w:val="Default"/>
        <w:spacing w:before="40" w:after="120" w:line="280" w:lineRule="atLeast"/>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 xml:space="preserve">The </w:t>
      </w:r>
      <w:r w:rsidR="009325A5">
        <w:rPr>
          <w:rFonts w:asciiTheme="minorHAnsi" w:hAnsiTheme="minorHAnsi" w:cs="Times New Roman"/>
          <w:color w:val="000000" w:themeColor="text1"/>
          <w:sz w:val="22"/>
          <w:szCs w:val="20"/>
        </w:rPr>
        <w:t>c</w:t>
      </w:r>
      <w:r>
        <w:rPr>
          <w:rFonts w:asciiTheme="minorHAnsi" w:hAnsiTheme="minorHAnsi" w:cs="Times New Roman"/>
          <w:color w:val="000000" w:themeColor="text1"/>
          <w:sz w:val="22"/>
          <w:szCs w:val="20"/>
        </w:rPr>
        <w:t>ommittee recommended organisations to the decision maker, the Minister for Veterans’ Affairs, for funding. The Minister made the final decision to approve the grant to 57 suitable organisations, including the grant funding amount to be awarded.</w:t>
      </w:r>
    </w:p>
    <w:p w14:paraId="7C3705C8" w14:textId="47686DEF" w:rsidR="00657D2D" w:rsidRDefault="00657D2D" w:rsidP="0091131F">
      <w:pPr>
        <w:pStyle w:val="Default"/>
        <w:spacing w:before="40" w:after="120" w:line="280" w:lineRule="atLeast"/>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Note</w:t>
      </w:r>
      <w:r w:rsidR="009325A5">
        <w:rPr>
          <w:rFonts w:asciiTheme="minorHAnsi" w:hAnsiTheme="minorHAnsi" w:cs="Times New Roman"/>
          <w:color w:val="000000" w:themeColor="text1"/>
          <w:sz w:val="22"/>
          <w:szCs w:val="20"/>
        </w:rPr>
        <w:t>:</w:t>
      </w:r>
      <w:r>
        <w:rPr>
          <w:rFonts w:asciiTheme="minorHAnsi" w:hAnsiTheme="minorHAnsi" w:cs="Times New Roman"/>
          <w:color w:val="000000" w:themeColor="text1"/>
          <w:sz w:val="22"/>
          <w:szCs w:val="20"/>
        </w:rPr>
        <w:t xml:space="preserve"> applications were also screened for eligibility and compliance against the requirements outlined in the Grant Opportunity Guidelines, including confirming they were an eligible entity type.</w:t>
      </w:r>
    </w:p>
    <w:p w14:paraId="65E5CE21" w14:textId="77777777" w:rsidR="00657D2D" w:rsidRDefault="00657D2D" w:rsidP="00657D2D">
      <w:pPr>
        <w:spacing w:line="240" w:lineRule="auto"/>
      </w:pPr>
      <w:r>
        <w:br w:type="page"/>
      </w:r>
    </w:p>
    <w:p w14:paraId="3C21A739" w14:textId="0C4E550D" w:rsidR="00657D2D" w:rsidRDefault="00657D2D" w:rsidP="00657D2D">
      <w:pPr>
        <w:spacing w:after="120"/>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lastRenderedPageBreak/>
        <w:t xml:space="preserve">Selection </w:t>
      </w:r>
      <w:r w:rsidR="007F271C">
        <w:rPr>
          <w:rFonts w:ascii="Arial" w:eastAsiaTheme="majorEastAsia" w:hAnsi="Arial" w:cs="Arial"/>
          <w:bCs/>
          <w:color w:val="CF0A2C" w:themeColor="accent1"/>
          <w:sz w:val="36"/>
          <w:szCs w:val="28"/>
        </w:rPr>
        <w:t>results</w:t>
      </w:r>
    </w:p>
    <w:p w14:paraId="72190A60" w14:textId="77777777" w:rsidR="00657D2D" w:rsidRDefault="00657D2D" w:rsidP="00657D2D">
      <w:pPr>
        <w:pStyle w:val="BodyText"/>
        <w:rPr>
          <w:color w:val="auto"/>
        </w:rPr>
      </w:pPr>
      <w:r>
        <w:rPr>
          <w:color w:val="auto"/>
        </w:rPr>
        <w:t xml:space="preserve">The selected organisations provided strong responses to the selection criteria and demonstrated their ability to meet the eligibility requirements outlined in the Grant Opportunity Guidelines. </w:t>
      </w:r>
      <w:r>
        <w:rPr>
          <w:color w:val="auto"/>
          <w:szCs w:val="22"/>
        </w:rPr>
        <w:t>Further detail about what constituted a strong response to each</w:t>
      </w:r>
      <w:r w:rsidR="00611380">
        <w:rPr>
          <w:color w:val="auto"/>
          <w:szCs w:val="22"/>
        </w:rPr>
        <w:t xml:space="preserve"> criterion is provided below.</w:t>
      </w:r>
    </w:p>
    <w:p w14:paraId="45AFE874" w14:textId="3421846D" w:rsidR="00657D2D" w:rsidRDefault="00657D2D" w:rsidP="00657D2D">
      <w:pPr>
        <w:pStyle w:val="Heading2"/>
        <w:spacing w:before="0"/>
      </w:pPr>
      <w:r>
        <w:t>Criterion 1 – Project need and suitability</w:t>
      </w:r>
    </w:p>
    <w:p w14:paraId="0875936B" w14:textId="04E225FD" w:rsidR="00657D2D" w:rsidRDefault="00657D2D" w:rsidP="00657D2D">
      <w:pPr>
        <w:pStyle w:val="BodyText"/>
        <w:spacing w:before="60"/>
        <w:rPr>
          <w:b/>
        </w:rPr>
      </w:pPr>
      <w:r>
        <w:rPr>
          <w:b/>
        </w:rPr>
        <w:t>Describe you</w:t>
      </w:r>
      <w:r w:rsidR="00611380">
        <w:rPr>
          <w:b/>
        </w:rPr>
        <w:t>r project and why it is needed</w:t>
      </w:r>
    </w:p>
    <w:tbl>
      <w:tblPr>
        <w:tblStyle w:val="CGHTableBanded"/>
        <w:tblW w:w="0" w:type="auto"/>
        <w:tblLook w:val="04A0" w:firstRow="1" w:lastRow="0" w:firstColumn="1" w:lastColumn="0" w:noHBand="0" w:noVBand="1"/>
        <w:tblCaption w:val="Feedback against Criterion 1"/>
      </w:tblPr>
      <w:tblGrid>
        <w:gridCol w:w="4817"/>
        <w:gridCol w:w="4821"/>
      </w:tblGrid>
      <w:tr w:rsidR="00657D2D" w14:paraId="5877B16C" w14:textId="77777777" w:rsidTr="0091131F">
        <w:trPr>
          <w:cnfStyle w:val="100000000000" w:firstRow="1" w:lastRow="0" w:firstColumn="0" w:lastColumn="0" w:oddVBand="0" w:evenVBand="0" w:oddHBand="0" w:evenHBand="0" w:firstRowFirstColumn="0" w:firstRowLastColumn="0" w:lastRowFirstColumn="0" w:lastRowLastColumn="0"/>
          <w:tblHeader/>
        </w:trPr>
        <w:tc>
          <w:tcPr>
            <w:tcW w:w="9638" w:type="dxa"/>
            <w:gridSpan w:val="2"/>
            <w:shd w:val="clear" w:color="auto" w:fill="BFBFBF" w:themeFill="background1" w:themeFillShade="BF"/>
            <w:vAlign w:val="center"/>
            <w:hideMark/>
          </w:tcPr>
          <w:p w14:paraId="21A52B37" w14:textId="77777777" w:rsidR="00657D2D" w:rsidRDefault="00657D2D">
            <w:pPr>
              <w:spacing w:after="240" w:line="240" w:lineRule="auto"/>
              <w:ind w:right="57"/>
              <w:rPr>
                <w:rFonts w:eastAsia="Times New Roman" w:cstheme="minorHAnsi"/>
                <w:b/>
                <w:szCs w:val="22"/>
                <w:lang w:eastAsia="en-AU"/>
              </w:rPr>
            </w:pPr>
            <w:r>
              <w:rPr>
                <w:rFonts w:eastAsia="Times New Roman" w:cstheme="minorHAnsi"/>
                <w:b/>
                <w:szCs w:val="22"/>
                <w:lang w:eastAsia="en-AU"/>
              </w:rPr>
              <w:t>1.1. What activities will you undertake and how many people in the veteran community do you expect will participate in the activities (what will you do)?</w:t>
            </w:r>
          </w:p>
        </w:tc>
      </w:tr>
      <w:tr w:rsidR="00657D2D" w14:paraId="30F74F1B" w14:textId="77777777" w:rsidTr="00657D2D">
        <w:trPr>
          <w:cnfStyle w:val="000000100000" w:firstRow="0" w:lastRow="0" w:firstColumn="0" w:lastColumn="0" w:oddVBand="0" w:evenVBand="0" w:oddHBand="1" w:evenHBand="0" w:firstRowFirstColumn="0" w:firstRowLastColumn="0" w:lastRowFirstColumn="0" w:lastRowLastColumn="0"/>
          <w:trHeight w:val="472"/>
        </w:trPr>
        <w:tc>
          <w:tcPr>
            <w:tcW w:w="4817" w:type="dxa"/>
            <w:tcBorders>
              <w:top w:val="single" w:sz="4" w:space="0" w:color="FFFFFF" w:themeColor="background1"/>
              <w:left w:val="nil"/>
              <w:bottom w:val="single" w:sz="4" w:space="0" w:color="FFFFFF" w:themeColor="background1"/>
              <w:right w:val="single" w:sz="4" w:space="0" w:color="FFFFFF" w:themeColor="background1"/>
            </w:tcBorders>
            <w:shd w:val="clear" w:color="auto" w:fill="FFD923" w:themeFill="accent3"/>
            <w:vAlign w:val="center"/>
            <w:hideMark/>
          </w:tcPr>
          <w:p w14:paraId="02DE7147" w14:textId="7FBA13C1"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9325A5">
              <w:rPr>
                <w:rFonts w:eastAsia="Arial" w:cstheme="minorHAnsi"/>
                <w:b/>
                <w:color w:val="auto"/>
                <w:szCs w:val="22"/>
              </w:rPr>
              <w:t>r</w:t>
            </w:r>
            <w:r>
              <w:rPr>
                <w:rFonts w:eastAsia="Arial" w:cstheme="minorHAnsi"/>
                <w:b/>
                <w:color w:val="auto"/>
                <w:szCs w:val="22"/>
              </w:rPr>
              <w:t xml:space="preserve">esponse </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shd w:val="clear" w:color="auto" w:fill="FFD923" w:themeFill="accent3"/>
            <w:vAlign w:val="center"/>
            <w:hideMark/>
          </w:tcPr>
          <w:p w14:paraId="2AAC59A1" w14:textId="2094C78E"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9325A5">
              <w:rPr>
                <w:rFonts w:eastAsia="Arial" w:cstheme="minorHAnsi"/>
                <w:b/>
                <w:color w:val="auto"/>
                <w:szCs w:val="22"/>
              </w:rPr>
              <w:t>e</w:t>
            </w:r>
            <w:r>
              <w:rPr>
                <w:rFonts w:eastAsia="Arial" w:cstheme="minorHAnsi"/>
                <w:b/>
                <w:color w:val="auto"/>
                <w:szCs w:val="22"/>
              </w:rPr>
              <w:t>xample</w:t>
            </w:r>
          </w:p>
        </w:tc>
      </w:tr>
      <w:tr w:rsidR="00657D2D" w14:paraId="6C760369" w14:textId="77777777" w:rsidTr="00657D2D">
        <w:tc>
          <w:tcPr>
            <w:tcW w:w="4817" w:type="dxa"/>
            <w:tcBorders>
              <w:top w:val="single" w:sz="4" w:space="0" w:color="FFFFFF" w:themeColor="background1"/>
              <w:left w:val="nil"/>
              <w:bottom w:val="nil"/>
              <w:right w:val="single" w:sz="4" w:space="0" w:color="FFFFFF" w:themeColor="background1"/>
            </w:tcBorders>
            <w:vAlign w:val="center"/>
          </w:tcPr>
          <w:p w14:paraId="1AA29295"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demonstrate what activities would be undertaken by the project and how many people from the veterans’ community were expected to participate in such activities.</w:t>
            </w:r>
          </w:p>
          <w:p w14:paraId="69DE1473" w14:textId="77777777" w:rsidR="00657D2D" w:rsidRDefault="00657D2D">
            <w:pPr>
              <w:spacing w:before="120" w:after="120" w:line="240" w:lineRule="auto"/>
              <w:ind w:left="113" w:right="57"/>
              <w:rPr>
                <w:rFonts w:eastAsia="Arial" w:cstheme="minorHAnsi"/>
                <w:color w:val="auto"/>
                <w:szCs w:val="22"/>
              </w:rPr>
            </w:pPr>
          </w:p>
          <w:p w14:paraId="07C37412" w14:textId="67F71360" w:rsidR="00657D2D" w:rsidRPr="00104F7B" w:rsidRDefault="00657D2D">
            <w:pPr>
              <w:spacing w:before="120" w:after="120" w:line="240" w:lineRule="auto"/>
              <w:ind w:left="113" w:right="57"/>
              <w:rPr>
                <w:rFonts w:eastAsia="Arial" w:cstheme="minorHAnsi"/>
                <w:b/>
                <w:i/>
                <w:color w:val="auto"/>
                <w:szCs w:val="22"/>
              </w:rPr>
            </w:pPr>
            <w:r w:rsidRPr="00104F7B">
              <w:rPr>
                <w:rFonts w:eastAsia="Arial" w:cstheme="minorHAnsi"/>
                <w:b/>
                <w:i/>
                <w:color w:val="auto"/>
                <w:szCs w:val="22"/>
              </w:rPr>
              <w:t>Non-</w:t>
            </w:r>
            <w:r w:rsidR="004104B6">
              <w:rPr>
                <w:rFonts w:eastAsia="Arial" w:cstheme="minorHAnsi"/>
                <w:b/>
                <w:i/>
                <w:color w:val="auto"/>
                <w:szCs w:val="22"/>
              </w:rPr>
              <w:t>c</w:t>
            </w:r>
            <w:r w:rsidRPr="00104F7B">
              <w:rPr>
                <w:rFonts w:eastAsia="Arial" w:cstheme="minorHAnsi"/>
                <w:b/>
                <w:i/>
                <w:color w:val="auto"/>
                <w:szCs w:val="22"/>
              </w:rPr>
              <w:t xml:space="preserve">ompetitive </w:t>
            </w:r>
            <w:r w:rsidR="004104B6">
              <w:rPr>
                <w:rFonts w:eastAsia="Arial" w:cstheme="minorHAnsi"/>
                <w:b/>
                <w:i/>
                <w:color w:val="auto"/>
                <w:szCs w:val="22"/>
              </w:rPr>
              <w:t>r</w:t>
            </w:r>
            <w:r w:rsidRPr="00104F7B">
              <w:rPr>
                <w:rFonts w:eastAsia="Arial" w:cstheme="minorHAnsi"/>
                <w:b/>
                <w:i/>
                <w:color w:val="auto"/>
                <w:szCs w:val="22"/>
              </w:rPr>
              <w:t xml:space="preserve">esponse </w:t>
            </w:r>
          </w:p>
          <w:p w14:paraId="7048866A" w14:textId="77777777" w:rsidR="00657D2D" w:rsidRDefault="00657D2D">
            <w:pPr>
              <w:spacing w:before="120" w:after="120" w:line="240" w:lineRule="auto"/>
              <w:ind w:left="113" w:right="57"/>
              <w:rPr>
                <w:rFonts w:eastAsia="Arial" w:cstheme="minorHAnsi"/>
                <w:color w:val="auto"/>
                <w:szCs w:val="22"/>
              </w:rPr>
            </w:pPr>
            <w:r w:rsidRPr="00104F7B">
              <w:rPr>
                <w:rFonts w:eastAsia="Arial" w:cstheme="minorHAnsi"/>
                <w:i/>
                <w:color w:val="auto"/>
                <w:szCs w:val="22"/>
              </w:rPr>
              <w:t>Non-competitive applications do not clearly address what activities will be undertaken by the project.</w:t>
            </w:r>
          </w:p>
        </w:tc>
        <w:tc>
          <w:tcPr>
            <w:tcW w:w="4821" w:type="dxa"/>
            <w:tcBorders>
              <w:top w:val="single" w:sz="4" w:space="0" w:color="FFFFFF" w:themeColor="background1"/>
              <w:left w:val="single" w:sz="4" w:space="0" w:color="FFFFFF" w:themeColor="background1"/>
              <w:bottom w:val="nil"/>
              <w:right w:val="nil"/>
            </w:tcBorders>
            <w:hideMark/>
          </w:tcPr>
          <w:p w14:paraId="29599356" w14:textId="3B6EF64D" w:rsidR="00657D2D" w:rsidRDefault="00657D2D" w:rsidP="00842887">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 xml:space="preserve">The </w:t>
            </w:r>
            <w:r w:rsidR="00842887">
              <w:rPr>
                <w:rFonts w:eastAsia="Times New Roman" w:cstheme="minorHAnsi"/>
                <w:szCs w:val="22"/>
                <w:lang w:eastAsia="en-AU"/>
              </w:rPr>
              <w:t xml:space="preserve">application </w:t>
            </w:r>
            <w:r>
              <w:rPr>
                <w:rFonts w:eastAsia="Times New Roman" w:cstheme="minorHAnsi"/>
                <w:szCs w:val="22"/>
                <w:lang w:eastAsia="en-AU"/>
              </w:rPr>
              <w:t>described in detail the project activities, such as who their target audience was and why (older demographic who were identified 'at risk' and how the proposed activity would assist</w:t>
            </w:r>
            <w:r w:rsidR="00666660">
              <w:rPr>
                <w:rFonts w:eastAsia="Times New Roman" w:cstheme="minorHAnsi"/>
                <w:szCs w:val="22"/>
                <w:lang w:eastAsia="en-AU"/>
              </w:rPr>
              <w:t>/</w:t>
            </w:r>
            <w:r>
              <w:rPr>
                <w:rFonts w:eastAsia="Times New Roman" w:cstheme="minorHAnsi"/>
                <w:szCs w:val="22"/>
                <w:lang w:eastAsia="en-AU"/>
              </w:rPr>
              <w:t>address the issue), how many classes they were going to hold and for how long during the course of the year and the expected participation rate.</w:t>
            </w:r>
          </w:p>
        </w:tc>
      </w:tr>
      <w:tr w:rsidR="00657D2D" w14:paraId="3BF90A2F" w14:textId="77777777" w:rsidTr="00657D2D">
        <w:trPr>
          <w:cnfStyle w:val="000000100000" w:firstRow="0" w:lastRow="0" w:firstColumn="0" w:lastColumn="0" w:oddVBand="0" w:evenVBand="0" w:oddHBand="1" w:evenHBand="0" w:firstRowFirstColumn="0" w:firstRowLastColumn="0" w:lastRowFirstColumn="0" w:lastRowLastColumn="0"/>
          <w:trHeight w:val="1134"/>
        </w:trPr>
        <w:tc>
          <w:tcPr>
            <w:tcW w:w="9638" w:type="dxa"/>
            <w:gridSpan w:val="2"/>
            <w:tcBorders>
              <w:top w:val="single" w:sz="4" w:space="0" w:color="FFFFFF" w:themeColor="background1"/>
              <w:left w:val="nil"/>
              <w:bottom w:val="nil"/>
              <w:right w:val="nil"/>
            </w:tcBorders>
            <w:shd w:val="clear" w:color="auto" w:fill="BFBFBF" w:themeFill="background1" w:themeFillShade="BF"/>
            <w:vAlign w:val="center"/>
            <w:hideMark/>
          </w:tcPr>
          <w:p w14:paraId="066DC3B1" w14:textId="77777777" w:rsidR="00657D2D" w:rsidRDefault="00657D2D">
            <w:pPr>
              <w:spacing w:line="240" w:lineRule="auto"/>
              <w:ind w:right="57"/>
              <w:rPr>
                <w:rFonts w:eastAsia="Times New Roman" w:cstheme="minorHAnsi"/>
                <w:b/>
                <w:szCs w:val="22"/>
                <w:lang w:eastAsia="en-AU"/>
              </w:rPr>
            </w:pPr>
            <w:r>
              <w:rPr>
                <w:rFonts w:eastAsia="Times New Roman" w:cstheme="minorHAnsi"/>
                <w:b/>
                <w:szCs w:val="22"/>
                <w:lang w:eastAsia="en-AU"/>
              </w:rPr>
              <w:t>1.2. Who is the target group and why does your target group need this project? Provide data, research, community feedback, surveys and so on (who will it help)?</w:t>
            </w:r>
            <w:r>
              <w:rPr>
                <w:rFonts w:eastAsia="Times New Roman" w:cstheme="minorHAnsi"/>
                <w:i/>
                <w:szCs w:val="22"/>
                <w:lang w:eastAsia="en-AU"/>
              </w:rPr>
              <w:t xml:space="preserve"> Note: target group examples could include all veterans, at risk veterans, transitioning veterans, younger veterans, veterans' families.</w:t>
            </w:r>
          </w:p>
        </w:tc>
      </w:tr>
      <w:tr w:rsidR="00657D2D" w14:paraId="1CEF75A5" w14:textId="77777777" w:rsidTr="00657D2D">
        <w:trPr>
          <w:trHeight w:val="472"/>
        </w:trPr>
        <w:tc>
          <w:tcPr>
            <w:tcW w:w="4817" w:type="dxa"/>
            <w:tcBorders>
              <w:top w:val="single" w:sz="4" w:space="0" w:color="FFFFFF" w:themeColor="background1"/>
              <w:left w:val="nil"/>
              <w:bottom w:val="single" w:sz="4" w:space="0" w:color="FFFFFF" w:themeColor="background1"/>
              <w:right w:val="single" w:sz="4" w:space="0" w:color="FFFFFF" w:themeColor="background1"/>
            </w:tcBorders>
            <w:shd w:val="clear" w:color="auto" w:fill="FFD923" w:themeFill="accent3"/>
            <w:vAlign w:val="center"/>
            <w:hideMark/>
          </w:tcPr>
          <w:p w14:paraId="5C087F58" w14:textId="2AEBB96C"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9325A5">
              <w:rPr>
                <w:rFonts w:eastAsia="Arial" w:cstheme="minorHAnsi"/>
                <w:b/>
                <w:color w:val="auto"/>
                <w:szCs w:val="22"/>
              </w:rPr>
              <w:t>r</w:t>
            </w:r>
            <w:r>
              <w:rPr>
                <w:rFonts w:eastAsia="Arial" w:cstheme="minorHAnsi"/>
                <w:b/>
                <w:color w:val="auto"/>
                <w:szCs w:val="22"/>
              </w:rPr>
              <w:t xml:space="preserve">esponse </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shd w:val="clear" w:color="auto" w:fill="FFD923" w:themeFill="accent3"/>
            <w:vAlign w:val="center"/>
            <w:hideMark/>
          </w:tcPr>
          <w:p w14:paraId="4D0A3DBE" w14:textId="303528B8"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9325A5">
              <w:rPr>
                <w:rFonts w:eastAsia="Arial" w:cstheme="minorHAnsi"/>
                <w:b/>
                <w:color w:val="auto"/>
                <w:szCs w:val="22"/>
              </w:rPr>
              <w:t>e</w:t>
            </w:r>
            <w:r>
              <w:rPr>
                <w:rFonts w:eastAsia="Arial" w:cstheme="minorHAnsi"/>
                <w:b/>
                <w:color w:val="auto"/>
                <w:szCs w:val="22"/>
              </w:rPr>
              <w:t>xample</w:t>
            </w:r>
          </w:p>
        </w:tc>
      </w:tr>
      <w:tr w:rsidR="00657D2D" w14:paraId="21F06403" w14:textId="77777777" w:rsidTr="00657D2D">
        <w:trPr>
          <w:cnfStyle w:val="000000100000" w:firstRow="0" w:lastRow="0" w:firstColumn="0" w:lastColumn="0" w:oddVBand="0" w:evenVBand="0" w:oddHBand="1" w:evenHBand="0" w:firstRowFirstColumn="0" w:firstRowLastColumn="0" w:lastRowFirstColumn="0" w:lastRowLastColumn="0"/>
          <w:trHeight w:val="841"/>
        </w:trPr>
        <w:tc>
          <w:tcPr>
            <w:tcW w:w="4817" w:type="dxa"/>
            <w:tcBorders>
              <w:top w:val="nil"/>
              <w:left w:val="nil"/>
              <w:bottom w:val="single" w:sz="4" w:space="0" w:color="FFFFFF" w:themeColor="background1"/>
              <w:right w:val="single" w:sz="4" w:space="0" w:color="FFFFFF" w:themeColor="background1"/>
            </w:tcBorders>
            <w:vAlign w:val="center"/>
            <w:hideMark/>
          </w:tcPr>
          <w:p w14:paraId="298109B1" w14:textId="693F6DF3"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clearly identify a target group (</w:t>
            </w:r>
            <w:r w:rsidR="009325A5">
              <w:rPr>
                <w:rFonts w:eastAsia="Arial" w:cstheme="minorHAnsi"/>
                <w:color w:val="auto"/>
                <w:szCs w:val="22"/>
              </w:rPr>
              <w:t>for example,</w:t>
            </w:r>
            <w:r>
              <w:rPr>
                <w:rFonts w:eastAsia="Arial" w:cstheme="minorHAnsi"/>
                <w:color w:val="auto"/>
                <w:szCs w:val="22"/>
              </w:rPr>
              <w:t xml:space="preserve"> all veterans, veterans at risk, transitioning veterans, younger veterans or veterans’ families) and describe key challenges experienced by the group that would be addressed through the delivery of the proposed project. Competitive applications also provide relevant data and information to support claims made.</w:t>
            </w:r>
          </w:p>
          <w:p w14:paraId="565DA178" w14:textId="1A95F40D" w:rsidR="00657D2D" w:rsidRPr="00542403" w:rsidRDefault="00657D2D">
            <w:pPr>
              <w:spacing w:before="120" w:after="120" w:line="240" w:lineRule="auto"/>
              <w:ind w:left="113" w:right="57"/>
              <w:rPr>
                <w:rFonts w:eastAsia="Arial" w:cstheme="minorHAnsi"/>
                <w:b/>
                <w:i/>
                <w:color w:val="auto"/>
                <w:szCs w:val="22"/>
              </w:rPr>
            </w:pPr>
            <w:r w:rsidRPr="00542403">
              <w:rPr>
                <w:rFonts w:eastAsia="Arial" w:cstheme="minorHAnsi"/>
                <w:b/>
                <w:i/>
                <w:color w:val="auto"/>
                <w:szCs w:val="22"/>
              </w:rPr>
              <w:t>Non-</w:t>
            </w:r>
            <w:r w:rsidR="004104B6">
              <w:rPr>
                <w:rFonts w:eastAsia="Arial" w:cstheme="minorHAnsi"/>
                <w:b/>
                <w:i/>
                <w:color w:val="auto"/>
                <w:szCs w:val="22"/>
              </w:rPr>
              <w:t>c</w:t>
            </w:r>
            <w:r w:rsidRPr="00542403">
              <w:rPr>
                <w:rFonts w:eastAsia="Arial" w:cstheme="minorHAnsi"/>
                <w:b/>
                <w:i/>
                <w:color w:val="auto"/>
                <w:szCs w:val="22"/>
              </w:rPr>
              <w:t xml:space="preserve">ompetitive </w:t>
            </w:r>
            <w:r w:rsidR="004104B6">
              <w:rPr>
                <w:rFonts w:eastAsia="Arial" w:cstheme="minorHAnsi"/>
                <w:b/>
                <w:i/>
                <w:color w:val="auto"/>
                <w:szCs w:val="22"/>
              </w:rPr>
              <w:t>r</w:t>
            </w:r>
            <w:r w:rsidRPr="00542403">
              <w:rPr>
                <w:rFonts w:eastAsia="Arial" w:cstheme="minorHAnsi"/>
                <w:b/>
                <w:i/>
                <w:color w:val="auto"/>
                <w:szCs w:val="22"/>
              </w:rPr>
              <w:t xml:space="preserve">esponse </w:t>
            </w:r>
          </w:p>
          <w:p w14:paraId="61084E16" w14:textId="05C05C8F" w:rsidR="00657D2D" w:rsidRDefault="00657D2D">
            <w:pPr>
              <w:spacing w:before="120" w:after="120" w:line="240" w:lineRule="auto"/>
              <w:ind w:left="113" w:right="57"/>
              <w:rPr>
                <w:rFonts w:eastAsia="Arial" w:cstheme="minorHAnsi"/>
                <w:color w:val="auto"/>
                <w:szCs w:val="22"/>
              </w:rPr>
            </w:pPr>
            <w:r w:rsidRPr="00542403">
              <w:rPr>
                <w:rFonts w:eastAsia="Arial" w:cstheme="minorHAnsi"/>
                <w:i/>
                <w:color w:val="auto"/>
                <w:szCs w:val="22"/>
              </w:rPr>
              <w:t>Non-competitive applications do not clearly identify a target group, nor describe a need for the proposed project.</w:t>
            </w:r>
          </w:p>
        </w:tc>
        <w:tc>
          <w:tcPr>
            <w:tcW w:w="4821" w:type="dxa"/>
            <w:tcBorders>
              <w:top w:val="nil"/>
              <w:left w:val="single" w:sz="4" w:space="0" w:color="FFFFFF" w:themeColor="background1"/>
              <w:bottom w:val="single" w:sz="4" w:space="0" w:color="FFFFFF" w:themeColor="background1"/>
              <w:right w:val="nil"/>
            </w:tcBorders>
            <w:hideMark/>
          </w:tcPr>
          <w:p w14:paraId="16A88580" w14:textId="3FAB9884" w:rsidR="009B3015" w:rsidRDefault="00657D2D">
            <w:pPr>
              <w:spacing w:before="120" w:line="240" w:lineRule="auto"/>
              <w:ind w:left="113" w:right="57"/>
              <w:rPr>
                <w:rFonts w:eastAsia="Times New Roman" w:cstheme="minorHAnsi"/>
                <w:szCs w:val="22"/>
                <w:lang w:eastAsia="en-AU"/>
              </w:rPr>
            </w:pPr>
            <w:r>
              <w:rPr>
                <w:rFonts w:eastAsia="Times New Roman" w:cstheme="minorHAnsi"/>
                <w:szCs w:val="22"/>
                <w:lang w:eastAsia="en-AU"/>
              </w:rPr>
              <w:t xml:space="preserve">The </w:t>
            </w:r>
            <w:r w:rsidR="00842887">
              <w:rPr>
                <w:rFonts w:eastAsia="Times New Roman" w:cstheme="minorHAnsi"/>
                <w:szCs w:val="22"/>
                <w:lang w:eastAsia="en-AU"/>
              </w:rPr>
              <w:t xml:space="preserve">application </w:t>
            </w:r>
            <w:r>
              <w:rPr>
                <w:rFonts w:eastAsia="Times New Roman" w:cstheme="minorHAnsi"/>
                <w:szCs w:val="22"/>
                <w:lang w:eastAsia="en-AU"/>
              </w:rPr>
              <w:t>described the target group as ageing veterans experiencing balance challenges. The application demonstrated the need for such a project, identifying the increased risk of falling as we age supported by research on hospital emergency admissions.</w:t>
            </w:r>
          </w:p>
          <w:p w14:paraId="5A163B5E" w14:textId="3506CD21" w:rsidR="00657D2D" w:rsidRDefault="00657D2D">
            <w:pPr>
              <w:spacing w:before="120" w:line="240" w:lineRule="auto"/>
              <w:ind w:left="113" w:right="57"/>
              <w:rPr>
                <w:rFonts w:eastAsia="Times New Roman" w:cstheme="minorHAnsi"/>
                <w:szCs w:val="22"/>
                <w:lang w:eastAsia="en-AU"/>
              </w:rPr>
            </w:pPr>
            <w:r>
              <w:rPr>
                <w:rFonts w:eastAsia="Times New Roman" w:cstheme="minorHAnsi"/>
                <w:szCs w:val="22"/>
                <w:lang w:eastAsia="en-AU"/>
              </w:rPr>
              <w:t>They also linked how the activity could directly address the risk and improve the wellbeing of the target audience.</w:t>
            </w:r>
          </w:p>
        </w:tc>
      </w:tr>
    </w:tbl>
    <w:p w14:paraId="2EBF79EC" w14:textId="77777777" w:rsidR="00D21631" w:rsidRDefault="00D21631">
      <w:r>
        <w:br w:type="page"/>
      </w:r>
    </w:p>
    <w:tbl>
      <w:tblPr>
        <w:tblStyle w:val="CGHTableBanded"/>
        <w:tblW w:w="0" w:type="auto"/>
        <w:tblLook w:val="04A0" w:firstRow="1" w:lastRow="0" w:firstColumn="1" w:lastColumn="0" w:noHBand="0" w:noVBand="1"/>
        <w:tblCaption w:val="Feedback against Criterion 1"/>
      </w:tblPr>
      <w:tblGrid>
        <w:gridCol w:w="4817"/>
        <w:gridCol w:w="4821"/>
      </w:tblGrid>
      <w:tr w:rsidR="00657D2D" w14:paraId="1DE0A132" w14:textId="77777777" w:rsidTr="0091131F">
        <w:trPr>
          <w:cnfStyle w:val="100000000000" w:firstRow="1" w:lastRow="0" w:firstColumn="0" w:lastColumn="0" w:oddVBand="0" w:evenVBand="0" w:oddHBand="0" w:evenHBand="0" w:firstRowFirstColumn="0" w:firstRowLastColumn="0" w:lastRowFirstColumn="0" w:lastRowLastColumn="0"/>
          <w:tblHeader/>
        </w:trPr>
        <w:tc>
          <w:tcPr>
            <w:tcW w:w="9638" w:type="dxa"/>
            <w:gridSpan w:val="2"/>
            <w:tcBorders>
              <w:top w:val="single" w:sz="4" w:space="0" w:color="FFFFFF" w:themeColor="background1"/>
              <w:bottom w:val="single" w:sz="4" w:space="0" w:color="FFFFFF" w:themeColor="background1"/>
            </w:tcBorders>
            <w:shd w:val="clear" w:color="auto" w:fill="BFBFBF" w:themeFill="background1" w:themeFillShade="BF"/>
            <w:vAlign w:val="center"/>
            <w:hideMark/>
          </w:tcPr>
          <w:p w14:paraId="1E3978EB" w14:textId="4946733B" w:rsidR="00657D2D" w:rsidRDefault="00657D2D">
            <w:pPr>
              <w:spacing w:after="120" w:line="240" w:lineRule="auto"/>
              <w:ind w:left="113" w:right="57"/>
              <w:rPr>
                <w:rFonts w:eastAsia="Times New Roman" w:cstheme="minorHAnsi"/>
                <w:i/>
                <w:szCs w:val="22"/>
                <w:highlight w:val="yellow"/>
                <w:lang w:eastAsia="en-AU"/>
              </w:rPr>
            </w:pPr>
            <w:r>
              <w:rPr>
                <w:rFonts w:eastAsia="Times New Roman" w:cstheme="minorHAnsi"/>
                <w:b/>
                <w:szCs w:val="22"/>
                <w:lang w:eastAsia="en-AU"/>
              </w:rPr>
              <w:lastRenderedPageBreak/>
              <w:t>1.3. How will the activities address the particular needs of your target group (how will it help)?</w:t>
            </w:r>
          </w:p>
        </w:tc>
      </w:tr>
      <w:tr w:rsidR="00657D2D" w14:paraId="0E5F33F6" w14:textId="77777777" w:rsidTr="00657D2D">
        <w:trPr>
          <w:cnfStyle w:val="000000100000" w:firstRow="0" w:lastRow="0" w:firstColumn="0" w:lastColumn="0" w:oddVBand="0" w:evenVBand="0" w:oddHBand="1" w:evenHBand="0" w:firstRowFirstColumn="0" w:firstRowLastColumn="0" w:lastRowFirstColumn="0" w:lastRowLastColumn="0"/>
          <w:trHeight w:val="472"/>
        </w:trPr>
        <w:tc>
          <w:tcPr>
            <w:tcW w:w="4817" w:type="dxa"/>
            <w:tcBorders>
              <w:top w:val="single" w:sz="4" w:space="0" w:color="FFFFFF" w:themeColor="background1"/>
              <w:left w:val="nil"/>
              <w:bottom w:val="single" w:sz="4" w:space="0" w:color="FFFFFF" w:themeColor="background1"/>
              <w:right w:val="single" w:sz="4" w:space="0" w:color="FFFFFF" w:themeColor="background1"/>
            </w:tcBorders>
            <w:shd w:val="clear" w:color="auto" w:fill="FFD923" w:themeFill="accent3"/>
            <w:vAlign w:val="center"/>
            <w:hideMark/>
          </w:tcPr>
          <w:p w14:paraId="4D94BC20" w14:textId="1266224D"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4C422E">
              <w:rPr>
                <w:rFonts w:eastAsia="Arial" w:cstheme="minorHAnsi"/>
                <w:b/>
                <w:color w:val="auto"/>
                <w:szCs w:val="22"/>
              </w:rPr>
              <w:t>r</w:t>
            </w:r>
            <w:r>
              <w:rPr>
                <w:rFonts w:eastAsia="Arial" w:cstheme="minorHAnsi"/>
                <w:b/>
                <w:color w:val="auto"/>
                <w:szCs w:val="22"/>
              </w:rPr>
              <w:t>esponse</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shd w:val="clear" w:color="auto" w:fill="FFD923" w:themeFill="accent3"/>
            <w:vAlign w:val="center"/>
            <w:hideMark/>
          </w:tcPr>
          <w:p w14:paraId="5E0203F8" w14:textId="733E9D11"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4C422E">
              <w:rPr>
                <w:rFonts w:eastAsia="Arial" w:cstheme="minorHAnsi"/>
                <w:b/>
                <w:color w:val="auto"/>
                <w:szCs w:val="22"/>
              </w:rPr>
              <w:t>e</w:t>
            </w:r>
            <w:r>
              <w:rPr>
                <w:rFonts w:eastAsia="Arial" w:cstheme="minorHAnsi"/>
                <w:b/>
                <w:color w:val="auto"/>
                <w:szCs w:val="22"/>
              </w:rPr>
              <w:t>xample</w:t>
            </w:r>
          </w:p>
        </w:tc>
      </w:tr>
      <w:tr w:rsidR="00657D2D" w14:paraId="51CF4745" w14:textId="77777777" w:rsidTr="00657D2D">
        <w:trPr>
          <w:trHeight w:val="2862"/>
        </w:trPr>
        <w:tc>
          <w:tcPr>
            <w:tcW w:w="4817" w:type="dxa"/>
            <w:tcBorders>
              <w:top w:val="single" w:sz="4" w:space="0" w:color="FFFFFF" w:themeColor="background1"/>
              <w:left w:val="nil"/>
              <w:bottom w:val="single" w:sz="4" w:space="0" w:color="FFFFFF" w:themeColor="background1"/>
              <w:right w:val="single" w:sz="4" w:space="0" w:color="FFFFFF" w:themeColor="background1"/>
            </w:tcBorders>
            <w:vAlign w:val="center"/>
            <w:hideMark/>
          </w:tcPr>
          <w:p w14:paraId="7559294C"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clearly demonstrate how addressing the identified need of the target groups will address existing challenges and deliver opportunities for the veteran community.</w:t>
            </w:r>
          </w:p>
          <w:p w14:paraId="78924D01" w14:textId="2BDF67ED" w:rsidR="00657D2D" w:rsidRDefault="00657D2D">
            <w:pPr>
              <w:spacing w:before="120" w:after="120" w:line="240" w:lineRule="auto"/>
              <w:ind w:left="113" w:right="57"/>
              <w:rPr>
                <w:rFonts w:eastAsia="Arial" w:cstheme="minorHAnsi"/>
                <w:b/>
                <w:i/>
                <w:color w:val="auto"/>
                <w:szCs w:val="22"/>
              </w:rPr>
            </w:pPr>
            <w:r>
              <w:rPr>
                <w:rFonts w:eastAsia="Arial" w:cstheme="minorHAnsi"/>
                <w:b/>
                <w:i/>
                <w:color w:val="auto"/>
                <w:szCs w:val="22"/>
              </w:rPr>
              <w:t>Non-</w:t>
            </w:r>
            <w:r w:rsidR="004104B6">
              <w:rPr>
                <w:rFonts w:eastAsia="Arial" w:cstheme="minorHAnsi"/>
                <w:b/>
                <w:i/>
                <w:color w:val="auto"/>
                <w:szCs w:val="22"/>
              </w:rPr>
              <w:t>c</w:t>
            </w:r>
            <w:r>
              <w:rPr>
                <w:rFonts w:eastAsia="Arial" w:cstheme="minorHAnsi"/>
                <w:b/>
                <w:i/>
                <w:color w:val="auto"/>
                <w:szCs w:val="22"/>
              </w:rPr>
              <w:t xml:space="preserve">ompetitive </w:t>
            </w:r>
            <w:r w:rsidR="004104B6">
              <w:rPr>
                <w:rFonts w:eastAsia="Arial" w:cstheme="minorHAnsi"/>
                <w:b/>
                <w:i/>
                <w:color w:val="auto"/>
                <w:szCs w:val="22"/>
              </w:rPr>
              <w:t>r</w:t>
            </w:r>
            <w:r>
              <w:rPr>
                <w:rFonts w:eastAsia="Arial" w:cstheme="minorHAnsi"/>
                <w:b/>
                <w:i/>
                <w:color w:val="auto"/>
                <w:szCs w:val="22"/>
              </w:rPr>
              <w:t>esponse</w:t>
            </w:r>
          </w:p>
          <w:p w14:paraId="1FA11E12" w14:textId="77777777" w:rsidR="00657D2D" w:rsidRDefault="00657D2D">
            <w:pPr>
              <w:spacing w:before="120" w:after="120" w:line="240" w:lineRule="auto"/>
              <w:ind w:left="113" w:right="57"/>
              <w:rPr>
                <w:rFonts w:eastAsia="Arial" w:cstheme="minorHAnsi"/>
                <w:color w:val="auto"/>
                <w:szCs w:val="22"/>
              </w:rPr>
            </w:pPr>
            <w:r>
              <w:rPr>
                <w:rFonts w:eastAsia="Arial" w:cstheme="minorHAnsi"/>
                <w:i/>
                <w:color w:val="auto"/>
                <w:szCs w:val="22"/>
              </w:rPr>
              <w:t>Non-competitive applications do not clearly demonstrate how addressing the identified need of the target groups will address existing challenges and deliver opportunities for the veteran community.</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hideMark/>
          </w:tcPr>
          <w:p w14:paraId="030B5203" w14:textId="34A2BB27" w:rsidR="009B3015" w:rsidRDefault="00657D2D">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 xml:space="preserve">The </w:t>
            </w:r>
            <w:r w:rsidR="00842887">
              <w:rPr>
                <w:rFonts w:eastAsia="Times New Roman" w:cstheme="minorHAnsi"/>
                <w:szCs w:val="22"/>
                <w:lang w:eastAsia="en-AU"/>
              </w:rPr>
              <w:t xml:space="preserve">application </w:t>
            </w:r>
            <w:r>
              <w:rPr>
                <w:rFonts w:eastAsia="Times New Roman" w:cstheme="minorHAnsi"/>
                <w:szCs w:val="22"/>
                <w:lang w:eastAsia="en-AU"/>
              </w:rPr>
              <w:t>described what the activity would include, how it was designed for the target group, including considerations such as age, location, and direct links with the target group.</w:t>
            </w:r>
          </w:p>
          <w:p w14:paraId="6455FCC7" w14:textId="61F288A7" w:rsidR="00657D2D" w:rsidRDefault="00657D2D">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They looked not only at the physical side of the exercise but also the psychological skills improvement needed as a strategy to reduce the risks of falling.</w:t>
            </w:r>
          </w:p>
        </w:tc>
      </w:tr>
      <w:tr w:rsidR="00657D2D" w14:paraId="2058BFC8" w14:textId="77777777" w:rsidTr="00657D2D">
        <w:trPr>
          <w:cnfStyle w:val="000000100000" w:firstRow="0" w:lastRow="0" w:firstColumn="0" w:lastColumn="0" w:oddVBand="0" w:evenVBand="0" w:oddHBand="1" w:evenHBand="0" w:firstRowFirstColumn="0" w:firstRowLastColumn="0" w:lastRowFirstColumn="0" w:lastRowLastColumn="0"/>
        </w:trPr>
        <w:tc>
          <w:tcPr>
            <w:tcW w:w="9638" w:type="dxa"/>
            <w:gridSpan w:val="2"/>
            <w:tcBorders>
              <w:top w:val="single" w:sz="4" w:space="0" w:color="FFFFFF" w:themeColor="background1"/>
              <w:left w:val="nil"/>
              <w:bottom w:val="single" w:sz="4" w:space="0" w:color="FFFFFF" w:themeColor="background1"/>
              <w:right w:val="nil"/>
            </w:tcBorders>
            <w:shd w:val="clear" w:color="auto" w:fill="BFBFBF" w:themeFill="background1" w:themeFillShade="BF"/>
            <w:vAlign w:val="center"/>
            <w:hideMark/>
          </w:tcPr>
          <w:p w14:paraId="17EDFEE8" w14:textId="77777777" w:rsidR="00657D2D" w:rsidRDefault="00657D2D">
            <w:pPr>
              <w:spacing w:before="120" w:after="120" w:line="240" w:lineRule="auto"/>
              <w:ind w:right="57"/>
              <w:rPr>
                <w:rFonts w:eastAsia="Times New Roman" w:cstheme="minorHAnsi"/>
                <w:i/>
                <w:szCs w:val="22"/>
                <w:lang w:eastAsia="en-AU"/>
              </w:rPr>
            </w:pPr>
            <w:r>
              <w:rPr>
                <w:rFonts w:eastAsia="Times New Roman" w:cstheme="minorHAnsi"/>
                <w:b/>
                <w:szCs w:val="22"/>
                <w:lang w:eastAsia="en-AU"/>
              </w:rPr>
              <w:t>1.4. In what location(s) will the activity be undertaken and how has this been determined in terms of the greatest veteran needs?</w:t>
            </w:r>
          </w:p>
        </w:tc>
      </w:tr>
      <w:tr w:rsidR="00657D2D" w14:paraId="241AF5DE" w14:textId="77777777" w:rsidTr="00657D2D">
        <w:trPr>
          <w:trHeight w:val="472"/>
        </w:trPr>
        <w:tc>
          <w:tcPr>
            <w:tcW w:w="4817" w:type="dxa"/>
            <w:tcBorders>
              <w:top w:val="single" w:sz="4" w:space="0" w:color="FFFFFF" w:themeColor="background1"/>
              <w:left w:val="nil"/>
              <w:bottom w:val="single" w:sz="4" w:space="0" w:color="FFFFFF" w:themeColor="background1"/>
              <w:right w:val="single" w:sz="4" w:space="0" w:color="FFFFFF" w:themeColor="background1"/>
            </w:tcBorders>
            <w:shd w:val="clear" w:color="auto" w:fill="FFD923" w:themeFill="accent3"/>
            <w:vAlign w:val="center"/>
            <w:hideMark/>
          </w:tcPr>
          <w:p w14:paraId="07C229A9" w14:textId="3071656E"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7F271C">
              <w:rPr>
                <w:rFonts w:eastAsia="Arial" w:cstheme="minorHAnsi"/>
                <w:b/>
                <w:color w:val="auto"/>
                <w:szCs w:val="22"/>
              </w:rPr>
              <w:t xml:space="preserve">response </w:t>
            </w:r>
          </w:p>
        </w:tc>
        <w:tc>
          <w:tcPr>
            <w:tcW w:w="4821" w:type="dxa"/>
            <w:tcBorders>
              <w:top w:val="single" w:sz="4" w:space="0" w:color="FFFFFF" w:themeColor="background1"/>
              <w:left w:val="single" w:sz="4" w:space="0" w:color="FFFFFF" w:themeColor="background1"/>
              <w:bottom w:val="single" w:sz="4" w:space="0" w:color="FFFFFF" w:themeColor="background1"/>
              <w:right w:val="nil"/>
            </w:tcBorders>
            <w:shd w:val="clear" w:color="auto" w:fill="FFD923" w:themeFill="accent3"/>
            <w:vAlign w:val="center"/>
            <w:hideMark/>
          </w:tcPr>
          <w:p w14:paraId="3EC4EF3E" w14:textId="094D02FB"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7F271C">
              <w:rPr>
                <w:rFonts w:eastAsia="Arial" w:cstheme="minorHAnsi"/>
                <w:b/>
                <w:color w:val="auto"/>
                <w:szCs w:val="22"/>
              </w:rPr>
              <w:t>example</w:t>
            </w:r>
          </w:p>
        </w:tc>
      </w:tr>
      <w:tr w:rsidR="00657D2D" w14:paraId="2E3407FA"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3956FF0B"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describe the geographic location in which the project activities will be delivered in, and successfully explains why the specific location has been chosen in terms of the greatest veteran needs.</w:t>
            </w:r>
          </w:p>
          <w:p w14:paraId="59832814" w14:textId="1D402469" w:rsidR="00657D2D" w:rsidRDefault="00657D2D">
            <w:pPr>
              <w:spacing w:before="120" w:after="120" w:line="240" w:lineRule="auto"/>
              <w:ind w:left="113" w:right="57"/>
              <w:rPr>
                <w:rFonts w:eastAsia="Arial" w:cstheme="minorHAnsi"/>
                <w:b/>
                <w:i/>
                <w:color w:val="auto"/>
                <w:szCs w:val="22"/>
              </w:rPr>
            </w:pPr>
            <w:r>
              <w:rPr>
                <w:rFonts w:eastAsia="Arial" w:cstheme="minorHAnsi"/>
                <w:b/>
                <w:i/>
                <w:color w:val="auto"/>
                <w:szCs w:val="22"/>
              </w:rPr>
              <w:t>Non-</w:t>
            </w:r>
            <w:r w:rsidR="004104B6">
              <w:rPr>
                <w:rFonts w:eastAsia="Arial" w:cstheme="minorHAnsi"/>
                <w:b/>
                <w:i/>
                <w:color w:val="auto"/>
                <w:szCs w:val="22"/>
              </w:rPr>
              <w:t>c</w:t>
            </w:r>
            <w:r>
              <w:rPr>
                <w:rFonts w:eastAsia="Arial" w:cstheme="minorHAnsi"/>
                <w:b/>
                <w:i/>
                <w:color w:val="auto"/>
                <w:szCs w:val="22"/>
              </w:rPr>
              <w:t xml:space="preserve">ompetitive </w:t>
            </w:r>
            <w:r w:rsidR="004104B6">
              <w:rPr>
                <w:rFonts w:eastAsia="Arial" w:cstheme="minorHAnsi"/>
                <w:b/>
                <w:i/>
                <w:color w:val="auto"/>
                <w:szCs w:val="22"/>
              </w:rPr>
              <w:t>r</w:t>
            </w:r>
            <w:r>
              <w:rPr>
                <w:rFonts w:eastAsia="Arial" w:cstheme="minorHAnsi"/>
                <w:b/>
                <w:i/>
                <w:color w:val="auto"/>
                <w:szCs w:val="22"/>
              </w:rPr>
              <w:t>esponse</w:t>
            </w:r>
          </w:p>
          <w:p w14:paraId="17A5745D" w14:textId="77777777" w:rsidR="00657D2D" w:rsidRDefault="00657D2D">
            <w:pPr>
              <w:spacing w:before="120" w:after="120" w:line="240" w:lineRule="auto"/>
              <w:ind w:left="113" w:right="57"/>
              <w:rPr>
                <w:rFonts w:eastAsia="Arial" w:cstheme="minorHAnsi"/>
                <w:color w:val="auto"/>
                <w:szCs w:val="22"/>
              </w:rPr>
            </w:pPr>
            <w:r>
              <w:rPr>
                <w:rFonts w:eastAsia="Arial" w:cstheme="minorHAnsi"/>
                <w:i/>
                <w:color w:val="auto"/>
                <w:szCs w:val="22"/>
              </w:rPr>
              <w:t>Non-competitive applications do not clearly demonstrate the extent to which the geographic location of the application matches identified priority needs of the veteran community.</w:t>
            </w:r>
          </w:p>
        </w:tc>
        <w:tc>
          <w:tcPr>
            <w:tcW w:w="4821" w:type="dxa"/>
            <w:tcBorders>
              <w:top w:val="single" w:sz="4" w:space="0" w:color="FFFFFF" w:themeColor="background1"/>
              <w:left w:val="single" w:sz="4" w:space="0" w:color="FFFFFF" w:themeColor="background1"/>
              <w:bottom w:val="nil"/>
              <w:right w:val="nil"/>
            </w:tcBorders>
            <w:hideMark/>
          </w:tcPr>
          <w:p w14:paraId="416DD93E" w14:textId="40C18B43" w:rsidR="00657D2D" w:rsidRDefault="00657D2D">
            <w:pPr>
              <w:spacing w:before="120" w:after="120" w:line="240" w:lineRule="auto"/>
              <w:ind w:left="113" w:right="57"/>
              <w:rPr>
                <w:rFonts w:eastAsia="Times New Roman" w:cstheme="minorHAnsi"/>
                <w:szCs w:val="22"/>
                <w:lang w:eastAsia="en-AU"/>
              </w:rPr>
            </w:pPr>
            <w:r>
              <w:rPr>
                <w:rFonts w:eastAsia="Arial" w:cstheme="minorHAnsi"/>
                <w:color w:val="auto"/>
                <w:szCs w:val="22"/>
              </w:rPr>
              <w:t xml:space="preserve">The </w:t>
            </w:r>
            <w:r w:rsidR="00842887">
              <w:rPr>
                <w:rFonts w:eastAsia="Arial" w:cstheme="minorHAnsi"/>
                <w:color w:val="auto"/>
                <w:szCs w:val="22"/>
              </w:rPr>
              <w:t xml:space="preserve">application </w:t>
            </w:r>
            <w:r>
              <w:rPr>
                <w:rFonts w:eastAsia="Arial" w:cstheme="minorHAnsi"/>
                <w:color w:val="auto"/>
                <w:szCs w:val="22"/>
              </w:rPr>
              <w:t>outlined their relationships with 3 local ESOs, their member numbers and the age composition of their membership. As an initial audience, this provided a significant base of participants with a plan to expand more broadly to the local veteran community.</w:t>
            </w:r>
          </w:p>
        </w:tc>
      </w:tr>
    </w:tbl>
    <w:p w14:paraId="1D22BD3E" w14:textId="77777777" w:rsidR="00657D2D" w:rsidRDefault="00657D2D" w:rsidP="00657D2D">
      <w:pPr>
        <w:spacing w:line="240" w:lineRule="auto"/>
        <w:rPr>
          <w:rFonts w:asciiTheme="majorHAnsi" w:eastAsiaTheme="majorEastAsia" w:hAnsiTheme="majorHAnsi" w:cstheme="majorBidi"/>
          <w:b/>
          <w:bCs/>
          <w:sz w:val="24"/>
          <w:szCs w:val="26"/>
        </w:rPr>
      </w:pPr>
    </w:p>
    <w:p w14:paraId="58C2A892" w14:textId="77777777" w:rsidR="00657D2D" w:rsidRDefault="00657D2D" w:rsidP="00657D2D">
      <w:pPr>
        <w:spacing w:line="240" w:lineRule="auto"/>
        <w:rPr>
          <w:rFonts w:asciiTheme="majorHAnsi" w:eastAsiaTheme="majorEastAsia" w:hAnsiTheme="majorHAnsi" w:cstheme="majorBidi"/>
          <w:b/>
          <w:bCs/>
          <w:sz w:val="24"/>
          <w:szCs w:val="26"/>
        </w:rPr>
      </w:pPr>
      <w:r>
        <w:rPr>
          <w:rFonts w:asciiTheme="majorHAnsi" w:eastAsiaTheme="majorEastAsia" w:hAnsiTheme="majorHAnsi" w:cstheme="majorBidi"/>
          <w:b/>
          <w:bCs/>
          <w:sz w:val="24"/>
          <w:szCs w:val="26"/>
        </w:rPr>
        <w:br w:type="page"/>
      </w:r>
    </w:p>
    <w:p w14:paraId="3EC9D9F5" w14:textId="77777777" w:rsidR="00657D2D" w:rsidRDefault="00657D2D" w:rsidP="00657D2D">
      <w:pPr>
        <w:pStyle w:val="Heading2"/>
      </w:pPr>
      <w:r>
        <w:lastRenderedPageBreak/>
        <w:t>Criterion 2 – Achieving outcomes</w:t>
      </w:r>
    </w:p>
    <w:p w14:paraId="60BB5B93" w14:textId="77777777" w:rsidR="00657D2D" w:rsidRPr="00657D2D" w:rsidRDefault="00657D2D" w:rsidP="00657D2D">
      <w:pPr>
        <w:pStyle w:val="BodyText"/>
        <w:spacing w:before="60"/>
        <w:rPr>
          <w:b/>
        </w:rPr>
      </w:pPr>
      <w:r>
        <w:rPr>
          <w:b/>
        </w:rPr>
        <w:t>Describe how the target group(s) will benefit and how you</w:t>
      </w:r>
      <w:r w:rsidR="00611380">
        <w:rPr>
          <w:b/>
        </w:rPr>
        <w:t xml:space="preserve"> will achieve program outcomes </w:t>
      </w:r>
    </w:p>
    <w:tbl>
      <w:tblPr>
        <w:tblStyle w:val="TableGrid"/>
        <w:tblW w:w="0" w:type="auto"/>
        <w:tblLook w:val="04A0" w:firstRow="1" w:lastRow="0" w:firstColumn="1" w:lastColumn="0" w:noHBand="0" w:noVBand="1"/>
        <w:tblCaption w:val="Feedback against Criterion 2"/>
      </w:tblPr>
      <w:tblGrid>
        <w:gridCol w:w="9638"/>
      </w:tblGrid>
      <w:tr w:rsidR="00657D2D" w14:paraId="53A15072" w14:textId="77777777" w:rsidTr="008D40B9">
        <w:trPr>
          <w:tblHeader/>
        </w:trPr>
        <w:tc>
          <w:tcPr>
            <w:tcW w:w="9638" w:type="dxa"/>
            <w:shd w:val="clear" w:color="auto" w:fill="BFBFBF" w:themeFill="background1" w:themeFillShade="BF"/>
            <w:vAlign w:val="center"/>
            <w:hideMark/>
          </w:tcPr>
          <w:p w14:paraId="0EB512DD" w14:textId="5C086F3E" w:rsidR="00657D2D" w:rsidRDefault="00657D2D">
            <w:pPr>
              <w:spacing w:before="120" w:after="120" w:line="240" w:lineRule="auto"/>
              <w:ind w:right="57"/>
              <w:rPr>
                <w:rFonts w:eastAsia="Times New Roman" w:cstheme="minorHAnsi"/>
                <w:b/>
                <w:szCs w:val="22"/>
                <w:lang w:eastAsia="en-AU"/>
              </w:rPr>
            </w:pPr>
            <w:r>
              <w:rPr>
                <w:rFonts w:eastAsia="Times New Roman" w:cstheme="minorHAnsi"/>
                <w:b/>
                <w:szCs w:val="22"/>
                <w:lang w:eastAsia="en-AU"/>
              </w:rPr>
              <w:t xml:space="preserve">2.1 Describe the outcomes you expect to achieve from your project, and how do these relate to the VWG Program outcomes? </w:t>
            </w:r>
            <w:r>
              <w:rPr>
                <w:rFonts w:eastAsia="Times New Roman" w:cstheme="minorHAnsi"/>
                <w:i/>
                <w:szCs w:val="22"/>
                <w:lang w:eastAsia="en-AU"/>
              </w:rPr>
              <w:t>A minimum of 2 outcomes must be addressed (why is it important and what will change).</w:t>
            </w:r>
            <w:r>
              <w:rPr>
                <w:rStyle w:val="FootnoteReference"/>
                <w:rFonts w:eastAsia="Times New Roman" w:cstheme="minorHAnsi"/>
                <w:sz w:val="14"/>
                <w:szCs w:val="22"/>
                <w:lang w:eastAsia="en-AU"/>
              </w:rPr>
              <w:footnoteReference w:id="1"/>
            </w:r>
          </w:p>
        </w:tc>
      </w:tr>
    </w:tbl>
    <w:tbl>
      <w:tblPr>
        <w:tblStyle w:val="CGHTableBanded"/>
        <w:tblW w:w="0" w:type="auto"/>
        <w:tblLook w:val="04A0" w:firstRow="1" w:lastRow="0" w:firstColumn="1" w:lastColumn="0" w:noHBand="0" w:noVBand="1"/>
        <w:tblCaption w:val="Feedback against Criterion 2"/>
      </w:tblPr>
      <w:tblGrid>
        <w:gridCol w:w="4817"/>
        <w:gridCol w:w="4821"/>
      </w:tblGrid>
      <w:tr w:rsidR="00657D2D" w14:paraId="5BBA0FF1"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hideMark/>
          </w:tcPr>
          <w:p w14:paraId="6E980D0A" w14:textId="7F4DE45D" w:rsidR="00657D2D" w:rsidRDefault="00657D2D" w:rsidP="008D40B9">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8D40B9">
              <w:rPr>
                <w:rFonts w:eastAsia="Arial" w:cstheme="minorHAnsi"/>
                <w:b/>
                <w:color w:val="auto"/>
                <w:szCs w:val="22"/>
              </w:rPr>
              <w:t>r</w:t>
            </w:r>
            <w:r>
              <w:rPr>
                <w:rFonts w:eastAsia="Arial" w:cstheme="minorHAnsi"/>
                <w:b/>
                <w:color w:val="auto"/>
                <w:szCs w:val="22"/>
              </w:rPr>
              <w:t xml:space="preserve">esponse </w:t>
            </w:r>
          </w:p>
        </w:tc>
        <w:tc>
          <w:tcPr>
            <w:tcW w:w="4821" w:type="dxa"/>
            <w:vAlign w:val="center"/>
            <w:hideMark/>
          </w:tcPr>
          <w:p w14:paraId="5A391A7D" w14:textId="730EC121" w:rsidR="00657D2D" w:rsidRDefault="004104B6">
            <w:pPr>
              <w:spacing w:before="120" w:after="120" w:line="240" w:lineRule="auto"/>
              <w:ind w:right="57"/>
              <w:rPr>
                <w:rFonts w:eastAsia="Arial" w:cstheme="minorHAnsi"/>
                <w:b/>
                <w:color w:val="auto"/>
                <w:szCs w:val="22"/>
              </w:rPr>
            </w:pPr>
            <w:r>
              <w:rPr>
                <w:rFonts w:eastAsia="Arial" w:cstheme="minorHAnsi"/>
                <w:b/>
                <w:color w:val="auto"/>
                <w:szCs w:val="22"/>
              </w:rPr>
              <w:t>Competitive e</w:t>
            </w:r>
            <w:r w:rsidR="00657D2D">
              <w:rPr>
                <w:rFonts w:eastAsia="Arial" w:cstheme="minorHAnsi"/>
                <w:b/>
                <w:color w:val="auto"/>
                <w:szCs w:val="22"/>
              </w:rPr>
              <w:t>xample</w:t>
            </w:r>
          </w:p>
        </w:tc>
      </w:tr>
      <w:tr w:rsidR="00657D2D" w14:paraId="61BDFC7A"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0C0264EC" w14:textId="1813F472"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 xml:space="preserve">Competitive applications clearly demonstrate how their proposed project would meet the objectives and intended outcomes of the VWG </w:t>
            </w:r>
            <w:r w:rsidR="00666660">
              <w:rPr>
                <w:rFonts w:eastAsia="Arial" w:cstheme="minorHAnsi"/>
                <w:color w:val="auto"/>
                <w:szCs w:val="22"/>
              </w:rPr>
              <w:t>P</w:t>
            </w:r>
            <w:r w:rsidR="00666660">
              <w:rPr>
                <w:rFonts w:eastAsia="Arial" w:cstheme="minorHAnsi"/>
                <w:color w:val="auto"/>
                <w:szCs w:val="22"/>
              </w:rPr>
              <w:t>rogram</w:t>
            </w:r>
            <w:r>
              <w:rPr>
                <w:rFonts w:eastAsia="Arial" w:cstheme="minorHAnsi"/>
                <w:color w:val="auto"/>
                <w:szCs w:val="22"/>
              </w:rPr>
              <w:t>.</w:t>
            </w:r>
          </w:p>
          <w:p w14:paraId="52E67971" w14:textId="0F2EBC20" w:rsidR="00657D2D" w:rsidRDefault="00657D2D">
            <w:pPr>
              <w:spacing w:before="120" w:after="120" w:line="240" w:lineRule="auto"/>
              <w:ind w:left="113" w:right="57"/>
              <w:rPr>
                <w:rFonts w:eastAsia="Arial" w:cstheme="minorHAnsi"/>
                <w:i/>
                <w:color w:val="auto"/>
                <w:szCs w:val="22"/>
              </w:rPr>
            </w:pPr>
            <w:r>
              <w:rPr>
                <w:rFonts w:eastAsia="Arial" w:cstheme="minorHAnsi"/>
                <w:b/>
                <w:i/>
                <w:color w:val="auto"/>
                <w:szCs w:val="22"/>
              </w:rPr>
              <w:t>Non-</w:t>
            </w:r>
            <w:r w:rsidR="004104B6">
              <w:rPr>
                <w:rFonts w:eastAsia="Arial" w:cstheme="minorHAnsi"/>
                <w:b/>
                <w:i/>
                <w:color w:val="auto"/>
                <w:szCs w:val="22"/>
              </w:rPr>
              <w:t>c</w:t>
            </w:r>
            <w:r>
              <w:rPr>
                <w:rFonts w:eastAsia="Arial" w:cstheme="minorHAnsi"/>
                <w:b/>
                <w:i/>
                <w:color w:val="auto"/>
                <w:szCs w:val="22"/>
              </w:rPr>
              <w:t xml:space="preserve">ompetitive </w:t>
            </w:r>
            <w:r w:rsidR="004104B6">
              <w:rPr>
                <w:rFonts w:eastAsia="Arial" w:cstheme="minorHAnsi"/>
                <w:b/>
                <w:i/>
                <w:color w:val="auto"/>
                <w:szCs w:val="22"/>
              </w:rPr>
              <w:t>r</w:t>
            </w:r>
            <w:r>
              <w:rPr>
                <w:rFonts w:eastAsia="Arial" w:cstheme="minorHAnsi"/>
                <w:b/>
                <w:i/>
                <w:color w:val="auto"/>
                <w:szCs w:val="22"/>
              </w:rPr>
              <w:t>esponse</w:t>
            </w:r>
          </w:p>
          <w:p w14:paraId="6ECDB75E" w14:textId="0EF3CAF4" w:rsidR="00657D2D" w:rsidRDefault="00657D2D" w:rsidP="00666660">
            <w:pPr>
              <w:spacing w:before="120" w:after="120" w:line="240" w:lineRule="auto"/>
              <w:ind w:left="113" w:right="57"/>
              <w:rPr>
                <w:rFonts w:eastAsia="Arial" w:cstheme="minorHAnsi"/>
                <w:color w:val="auto"/>
                <w:szCs w:val="22"/>
                <w:highlight w:val="yellow"/>
              </w:rPr>
            </w:pPr>
            <w:r>
              <w:rPr>
                <w:rFonts w:eastAsia="Arial" w:cstheme="minorHAnsi"/>
                <w:i/>
                <w:color w:val="auto"/>
                <w:szCs w:val="22"/>
              </w:rPr>
              <w:t xml:space="preserve">Non-competitive applications do not provide evidence that demonstrates how the proposed project activities will contribute to delivering the VWG </w:t>
            </w:r>
            <w:r w:rsidR="00666660">
              <w:rPr>
                <w:rFonts w:eastAsia="Arial" w:cstheme="minorHAnsi"/>
                <w:i/>
                <w:color w:val="auto"/>
                <w:szCs w:val="22"/>
              </w:rPr>
              <w:t>P</w:t>
            </w:r>
            <w:r>
              <w:rPr>
                <w:rFonts w:eastAsia="Arial" w:cstheme="minorHAnsi"/>
                <w:i/>
                <w:color w:val="auto"/>
                <w:szCs w:val="22"/>
              </w:rPr>
              <w:t>rogram outcomes.</w:t>
            </w:r>
          </w:p>
        </w:tc>
        <w:tc>
          <w:tcPr>
            <w:tcW w:w="4821" w:type="dxa"/>
            <w:tcBorders>
              <w:top w:val="single" w:sz="4" w:space="0" w:color="FFFFFF" w:themeColor="background1"/>
              <w:left w:val="single" w:sz="4" w:space="0" w:color="FFFFFF" w:themeColor="background1"/>
              <w:bottom w:val="nil"/>
              <w:right w:val="nil"/>
            </w:tcBorders>
            <w:hideMark/>
          </w:tcPr>
          <w:p w14:paraId="650090C0" w14:textId="39BDB660" w:rsidR="00657D2D" w:rsidRDefault="00657D2D" w:rsidP="00666660">
            <w:pPr>
              <w:spacing w:before="120" w:after="120" w:line="240" w:lineRule="auto"/>
              <w:ind w:left="113" w:right="57"/>
              <w:rPr>
                <w:rFonts w:eastAsia="Arial" w:cstheme="minorHAnsi"/>
                <w:color w:val="auto"/>
                <w:szCs w:val="22"/>
              </w:rPr>
            </w:pPr>
            <w:r>
              <w:rPr>
                <w:rFonts w:eastAsia="Arial" w:cstheme="minorHAnsi"/>
                <w:color w:val="auto"/>
                <w:szCs w:val="22"/>
              </w:rPr>
              <w:t xml:space="preserve">The </w:t>
            </w:r>
            <w:r w:rsidR="00842887">
              <w:rPr>
                <w:rFonts w:eastAsia="Arial" w:cstheme="minorHAnsi"/>
                <w:color w:val="auto"/>
                <w:szCs w:val="22"/>
              </w:rPr>
              <w:t>application</w:t>
            </w:r>
            <w:r>
              <w:rPr>
                <w:rFonts w:eastAsia="Arial" w:cstheme="minorHAnsi"/>
                <w:color w:val="auto"/>
                <w:szCs w:val="22"/>
              </w:rPr>
              <w:t xml:space="preserve"> provided a strong response detailing how specific activities of the proposed project would address the identified need to reduce the risk of falls and explained how the approach will contribute to the overarching VWG </w:t>
            </w:r>
            <w:r w:rsidR="00666660">
              <w:rPr>
                <w:rFonts w:eastAsia="Arial" w:cstheme="minorHAnsi"/>
                <w:color w:val="auto"/>
                <w:szCs w:val="22"/>
              </w:rPr>
              <w:t>P</w:t>
            </w:r>
            <w:r w:rsidR="00666660">
              <w:rPr>
                <w:rFonts w:eastAsia="Arial" w:cstheme="minorHAnsi"/>
                <w:color w:val="auto"/>
                <w:szCs w:val="22"/>
              </w:rPr>
              <w:t xml:space="preserve">rogram </w:t>
            </w:r>
            <w:r>
              <w:rPr>
                <w:rFonts w:eastAsia="Arial" w:cstheme="minorHAnsi"/>
                <w:color w:val="auto"/>
                <w:szCs w:val="22"/>
              </w:rPr>
              <w:t>outcomes, such as the additional benefits of engaging in social activities and improved health behaviours.</w:t>
            </w:r>
          </w:p>
        </w:tc>
      </w:tr>
    </w:tbl>
    <w:tbl>
      <w:tblPr>
        <w:tblStyle w:val="TableGrid"/>
        <w:tblW w:w="0" w:type="auto"/>
        <w:tblLook w:val="04A0" w:firstRow="1" w:lastRow="0" w:firstColumn="1" w:lastColumn="0" w:noHBand="0" w:noVBand="1"/>
        <w:tblCaption w:val="Feedback against Criterion 2"/>
      </w:tblPr>
      <w:tblGrid>
        <w:gridCol w:w="9638"/>
      </w:tblGrid>
      <w:tr w:rsidR="00657D2D" w14:paraId="19D04AA1" w14:textId="77777777" w:rsidTr="00AE057C">
        <w:trPr>
          <w:tblHeader/>
        </w:trPr>
        <w:tc>
          <w:tcPr>
            <w:tcW w:w="9638" w:type="dxa"/>
            <w:shd w:val="clear" w:color="auto" w:fill="BFBFBF" w:themeFill="background1" w:themeFillShade="BF"/>
            <w:vAlign w:val="center"/>
            <w:hideMark/>
          </w:tcPr>
          <w:p w14:paraId="508BAF48" w14:textId="77777777" w:rsidR="00657D2D" w:rsidRDefault="00657D2D">
            <w:pPr>
              <w:spacing w:before="120" w:after="120" w:line="240" w:lineRule="auto"/>
              <w:ind w:right="57"/>
              <w:rPr>
                <w:rFonts w:eastAsia="Times New Roman" w:cstheme="minorHAnsi"/>
                <w:b/>
                <w:szCs w:val="22"/>
                <w:lang w:eastAsia="en-AU"/>
              </w:rPr>
            </w:pPr>
            <w:r>
              <w:rPr>
                <w:rFonts w:eastAsia="Times New Roman" w:cstheme="minorHAnsi"/>
                <w:b/>
                <w:szCs w:val="22"/>
                <w:lang w:eastAsia="en-AU"/>
              </w:rPr>
              <w:t>2.2 How will you know the project has been successful?</w:t>
            </w:r>
          </w:p>
        </w:tc>
      </w:tr>
    </w:tbl>
    <w:tbl>
      <w:tblPr>
        <w:tblStyle w:val="CGHTableBanded"/>
        <w:tblW w:w="0" w:type="auto"/>
        <w:tblLook w:val="04A0" w:firstRow="1" w:lastRow="0" w:firstColumn="1" w:lastColumn="0" w:noHBand="0" w:noVBand="1"/>
        <w:tblCaption w:val="Feedback against Criterion 2"/>
      </w:tblPr>
      <w:tblGrid>
        <w:gridCol w:w="4817"/>
        <w:gridCol w:w="4821"/>
      </w:tblGrid>
      <w:tr w:rsidR="00657D2D" w14:paraId="2A7C9BB5"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hideMark/>
          </w:tcPr>
          <w:p w14:paraId="66CBC46C" w14:textId="512568F5" w:rsidR="00657D2D" w:rsidRDefault="00657D2D" w:rsidP="008D40B9">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8D40B9">
              <w:rPr>
                <w:rFonts w:eastAsia="Arial" w:cstheme="minorHAnsi"/>
                <w:b/>
                <w:color w:val="auto"/>
                <w:szCs w:val="22"/>
              </w:rPr>
              <w:t>r</w:t>
            </w:r>
            <w:r>
              <w:rPr>
                <w:rFonts w:eastAsia="Arial" w:cstheme="minorHAnsi"/>
                <w:b/>
                <w:color w:val="auto"/>
                <w:szCs w:val="22"/>
              </w:rPr>
              <w:t xml:space="preserve">esponse </w:t>
            </w:r>
          </w:p>
        </w:tc>
        <w:tc>
          <w:tcPr>
            <w:tcW w:w="4821" w:type="dxa"/>
            <w:vAlign w:val="center"/>
            <w:hideMark/>
          </w:tcPr>
          <w:p w14:paraId="323B5D72" w14:textId="3E0A6282" w:rsidR="00657D2D" w:rsidRDefault="004104B6">
            <w:pPr>
              <w:spacing w:before="120" w:after="120" w:line="240" w:lineRule="auto"/>
              <w:ind w:right="57"/>
              <w:rPr>
                <w:rFonts w:eastAsia="Arial" w:cstheme="minorHAnsi"/>
                <w:b/>
                <w:color w:val="auto"/>
                <w:szCs w:val="22"/>
              </w:rPr>
            </w:pPr>
            <w:r>
              <w:rPr>
                <w:rFonts w:eastAsia="Arial" w:cstheme="minorHAnsi"/>
                <w:b/>
                <w:color w:val="auto"/>
                <w:szCs w:val="22"/>
              </w:rPr>
              <w:t>Competitive e</w:t>
            </w:r>
            <w:r w:rsidR="00657D2D">
              <w:rPr>
                <w:rFonts w:eastAsia="Arial" w:cstheme="minorHAnsi"/>
                <w:b/>
                <w:color w:val="auto"/>
                <w:szCs w:val="22"/>
              </w:rPr>
              <w:t>xample</w:t>
            </w:r>
          </w:p>
        </w:tc>
      </w:tr>
      <w:tr w:rsidR="00657D2D" w14:paraId="7F98DBBE"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096E3890" w14:textId="77777777" w:rsidR="00657D2D" w:rsidRDefault="00657D2D">
            <w:pPr>
              <w:spacing w:before="120" w:after="120" w:line="240" w:lineRule="auto"/>
              <w:ind w:right="57"/>
              <w:rPr>
                <w:rFonts w:eastAsia="Arial" w:cstheme="minorHAnsi"/>
                <w:color w:val="auto"/>
                <w:szCs w:val="22"/>
              </w:rPr>
            </w:pPr>
            <w:r>
              <w:rPr>
                <w:rFonts w:eastAsia="Arial" w:cstheme="minorHAnsi"/>
                <w:color w:val="auto"/>
                <w:szCs w:val="22"/>
              </w:rPr>
              <w:t>Competitive applications clearly describe an approach to measuring success and capturing data to verify the success of the proposed project.</w:t>
            </w:r>
          </w:p>
          <w:p w14:paraId="647C9C90" w14:textId="3F12E630" w:rsidR="00657D2D" w:rsidRDefault="00657D2D">
            <w:pPr>
              <w:spacing w:before="120" w:after="120" w:line="240" w:lineRule="auto"/>
              <w:ind w:right="57"/>
              <w:rPr>
                <w:rFonts w:eastAsia="Arial" w:cstheme="minorHAnsi"/>
                <w:i/>
                <w:color w:val="auto"/>
                <w:szCs w:val="22"/>
              </w:rPr>
            </w:pPr>
            <w:r>
              <w:rPr>
                <w:rFonts w:eastAsia="Arial" w:cstheme="minorHAnsi"/>
                <w:b/>
                <w:i/>
                <w:color w:val="auto"/>
                <w:szCs w:val="22"/>
              </w:rPr>
              <w:t>Non-</w:t>
            </w:r>
            <w:r w:rsidR="004104B6">
              <w:rPr>
                <w:rFonts w:eastAsia="Arial" w:cstheme="minorHAnsi"/>
                <w:b/>
                <w:i/>
                <w:color w:val="auto"/>
                <w:szCs w:val="22"/>
              </w:rPr>
              <w:t>c</w:t>
            </w:r>
            <w:r>
              <w:rPr>
                <w:rFonts w:eastAsia="Arial" w:cstheme="minorHAnsi"/>
                <w:b/>
                <w:i/>
                <w:color w:val="auto"/>
                <w:szCs w:val="22"/>
              </w:rPr>
              <w:t xml:space="preserve">ompetitive </w:t>
            </w:r>
            <w:r w:rsidR="004104B6">
              <w:rPr>
                <w:rFonts w:eastAsia="Arial" w:cstheme="minorHAnsi"/>
                <w:b/>
                <w:i/>
                <w:color w:val="auto"/>
                <w:szCs w:val="22"/>
              </w:rPr>
              <w:t>r</w:t>
            </w:r>
            <w:r>
              <w:rPr>
                <w:rFonts w:eastAsia="Arial" w:cstheme="minorHAnsi"/>
                <w:b/>
                <w:i/>
                <w:color w:val="auto"/>
                <w:szCs w:val="22"/>
              </w:rPr>
              <w:t>esponse</w:t>
            </w:r>
          </w:p>
          <w:p w14:paraId="1B8F3F9E" w14:textId="77777777" w:rsidR="00657D2D" w:rsidRDefault="00657D2D">
            <w:pPr>
              <w:spacing w:before="120" w:after="120" w:line="240" w:lineRule="auto"/>
              <w:ind w:right="57"/>
              <w:rPr>
                <w:rFonts w:eastAsia="Arial" w:cstheme="minorHAnsi"/>
                <w:color w:val="auto"/>
                <w:szCs w:val="22"/>
              </w:rPr>
            </w:pPr>
            <w:r>
              <w:rPr>
                <w:rFonts w:eastAsia="Arial" w:cstheme="minorHAnsi"/>
                <w:i/>
                <w:color w:val="auto"/>
                <w:szCs w:val="22"/>
              </w:rPr>
              <w:t>Non-competitive applications do not describe an approach to measuring and capturing data to verify the success of the proposed project.</w:t>
            </w:r>
          </w:p>
        </w:tc>
        <w:tc>
          <w:tcPr>
            <w:tcW w:w="4821" w:type="dxa"/>
            <w:tcBorders>
              <w:top w:val="single" w:sz="4" w:space="0" w:color="FFFFFF" w:themeColor="background1"/>
              <w:left w:val="single" w:sz="4" w:space="0" w:color="FFFFFF" w:themeColor="background1"/>
              <w:bottom w:val="nil"/>
              <w:right w:val="nil"/>
            </w:tcBorders>
            <w:hideMark/>
          </w:tcPr>
          <w:p w14:paraId="61885B2D" w14:textId="53158E43" w:rsidR="009B3015" w:rsidRDefault="00657D2D">
            <w:pPr>
              <w:spacing w:before="120" w:after="120" w:line="240" w:lineRule="auto"/>
              <w:ind w:left="113" w:right="57"/>
              <w:rPr>
                <w:rFonts w:eastAsia="Arial" w:cstheme="minorHAnsi"/>
                <w:color w:val="auto"/>
                <w:szCs w:val="22"/>
              </w:rPr>
            </w:pPr>
            <w:r>
              <w:rPr>
                <w:rFonts w:eastAsia="Arial" w:cstheme="minorHAnsi"/>
                <w:color w:val="auto"/>
                <w:szCs w:val="22"/>
              </w:rPr>
              <w:t>The application described in detail how the success of the proposed project would not only be measured by participation rates but also increased collaboration amon</w:t>
            </w:r>
            <w:r w:rsidR="00666660">
              <w:rPr>
                <w:rFonts w:eastAsia="Arial" w:cstheme="minorHAnsi"/>
                <w:color w:val="auto"/>
                <w:szCs w:val="22"/>
              </w:rPr>
              <w:t>g</w:t>
            </w:r>
            <w:r>
              <w:rPr>
                <w:rFonts w:eastAsia="Arial" w:cstheme="minorHAnsi"/>
                <w:color w:val="auto"/>
                <w:szCs w:val="22"/>
              </w:rPr>
              <w:t>st a number of ESOs and wellbeing groups.</w:t>
            </w:r>
          </w:p>
          <w:p w14:paraId="471EB1D4" w14:textId="7CFF7D79"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The success of these collab</w:t>
            </w:r>
            <w:r w:rsidR="00666660">
              <w:rPr>
                <w:rFonts w:eastAsia="Arial" w:cstheme="minorHAnsi"/>
                <w:color w:val="auto"/>
                <w:szCs w:val="22"/>
              </w:rPr>
              <w:t>o</w:t>
            </w:r>
            <w:r>
              <w:rPr>
                <w:rFonts w:eastAsia="Arial" w:cstheme="minorHAnsi"/>
                <w:color w:val="auto"/>
                <w:szCs w:val="22"/>
              </w:rPr>
              <w:t>rations for the veteran community could then result in access to extra services that could be offered to veterans and harness existing experience.</w:t>
            </w:r>
          </w:p>
        </w:tc>
      </w:tr>
    </w:tbl>
    <w:p w14:paraId="2632FE0A" w14:textId="77777777" w:rsidR="00310778" w:rsidRDefault="00310778" w:rsidP="00657D2D">
      <w:pPr>
        <w:pStyle w:val="Heading2"/>
      </w:pPr>
    </w:p>
    <w:p w14:paraId="0D487C69" w14:textId="77777777" w:rsidR="00310778" w:rsidRDefault="00310778">
      <w:pPr>
        <w:spacing w:line="240" w:lineRule="auto"/>
        <w:rPr>
          <w:rFonts w:asciiTheme="majorHAnsi" w:eastAsiaTheme="majorEastAsia" w:hAnsiTheme="majorHAnsi" w:cstheme="majorBidi"/>
          <w:b/>
          <w:bCs/>
          <w:sz w:val="24"/>
          <w:szCs w:val="26"/>
        </w:rPr>
      </w:pPr>
      <w:r>
        <w:br w:type="page"/>
      </w:r>
    </w:p>
    <w:p w14:paraId="30D97328" w14:textId="77777777" w:rsidR="00657D2D" w:rsidRDefault="00657D2D" w:rsidP="00657D2D">
      <w:pPr>
        <w:pStyle w:val="Heading2"/>
      </w:pPr>
      <w:r>
        <w:lastRenderedPageBreak/>
        <w:t xml:space="preserve">Criterion 3 – Ability of organisation to deliver </w:t>
      </w:r>
    </w:p>
    <w:p w14:paraId="2123830D" w14:textId="77777777" w:rsidR="00657D2D" w:rsidRDefault="00657D2D" w:rsidP="00657D2D">
      <w:pPr>
        <w:pStyle w:val="BodyText"/>
        <w:spacing w:before="60"/>
        <w:rPr>
          <w:b/>
        </w:rPr>
      </w:pPr>
      <w:r>
        <w:rPr>
          <w:b/>
        </w:rPr>
        <w:t xml:space="preserve">Describe your organisation’s experience delivering projects that benefit the target group(s) </w:t>
      </w:r>
    </w:p>
    <w:tbl>
      <w:tblPr>
        <w:tblStyle w:val="TableGrid"/>
        <w:tblW w:w="0" w:type="auto"/>
        <w:tblLook w:val="04A0" w:firstRow="1" w:lastRow="0" w:firstColumn="1" w:lastColumn="0" w:noHBand="0" w:noVBand="1"/>
        <w:tblCaption w:val="Feedback against Criterion 3"/>
      </w:tblPr>
      <w:tblGrid>
        <w:gridCol w:w="9638"/>
      </w:tblGrid>
      <w:tr w:rsidR="00657D2D" w14:paraId="165E76CC" w14:textId="77777777" w:rsidTr="00AE057C">
        <w:trPr>
          <w:tblHeader/>
        </w:trPr>
        <w:tc>
          <w:tcPr>
            <w:tcW w:w="9638" w:type="dxa"/>
            <w:shd w:val="clear" w:color="auto" w:fill="BFBFBF" w:themeFill="background1" w:themeFillShade="BF"/>
            <w:vAlign w:val="center"/>
            <w:hideMark/>
          </w:tcPr>
          <w:p w14:paraId="6A674211" w14:textId="77777777" w:rsidR="00657D2D" w:rsidRDefault="00657D2D">
            <w:pPr>
              <w:spacing w:before="120" w:after="120" w:line="240" w:lineRule="auto"/>
              <w:ind w:right="57"/>
              <w:rPr>
                <w:rFonts w:eastAsia="Times New Roman" w:cstheme="minorHAnsi"/>
                <w:b/>
                <w:szCs w:val="22"/>
                <w:lang w:eastAsia="en-AU"/>
              </w:rPr>
            </w:pPr>
            <w:r>
              <w:rPr>
                <w:rFonts w:eastAsia="Times New Roman" w:cstheme="minorHAnsi"/>
                <w:b/>
                <w:szCs w:val="22"/>
                <w:lang w:eastAsia="en-AU"/>
              </w:rPr>
              <w:t>3.1. Your organisation’s history of past performance or experience in delivering similar projects, including the outcomes achieved (what your organisation offers).</w:t>
            </w:r>
          </w:p>
        </w:tc>
      </w:tr>
    </w:tbl>
    <w:tbl>
      <w:tblPr>
        <w:tblStyle w:val="CGHTableBanded"/>
        <w:tblW w:w="0" w:type="auto"/>
        <w:tblLook w:val="04A0" w:firstRow="1" w:lastRow="0" w:firstColumn="1" w:lastColumn="0" w:noHBand="0" w:noVBand="1"/>
        <w:tblCaption w:val="Feedback against Criterion 3"/>
      </w:tblPr>
      <w:tblGrid>
        <w:gridCol w:w="4817"/>
        <w:gridCol w:w="4821"/>
      </w:tblGrid>
      <w:tr w:rsidR="00657D2D" w14:paraId="3EF37952"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hideMark/>
          </w:tcPr>
          <w:p w14:paraId="410023CF" w14:textId="707D82B1" w:rsidR="00657D2D" w:rsidRDefault="00657D2D">
            <w:pPr>
              <w:spacing w:line="240" w:lineRule="auto"/>
              <w:ind w:left="57" w:right="57"/>
              <w:rPr>
                <w:b/>
              </w:rPr>
            </w:pPr>
            <w:r>
              <w:rPr>
                <w:b/>
              </w:rPr>
              <w:t xml:space="preserve">Competitive </w:t>
            </w:r>
            <w:r w:rsidR="007F271C">
              <w:rPr>
                <w:b/>
              </w:rPr>
              <w:t xml:space="preserve">response </w:t>
            </w:r>
          </w:p>
        </w:tc>
        <w:tc>
          <w:tcPr>
            <w:tcW w:w="4821" w:type="dxa"/>
            <w:hideMark/>
          </w:tcPr>
          <w:p w14:paraId="3D6AA2C7" w14:textId="1A0BA455" w:rsidR="00657D2D" w:rsidRDefault="004104B6">
            <w:pPr>
              <w:spacing w:line="240" w:lineRule="auto"/>
              <w:ind w:left="57" w:right="57"/>
              <w:rPr>
                <w:b/>
              </w:rPr>
            </w:pPr>
            <w:r>
              <w:rPr>
                <w:b/>
              </w:rPr>
              <w:t>Competitive e</w:t>
            </w:r>
            <w:r w:rsidR="00657D2D">
              <w:rPr>
                <w:b/>
              </w:rPr>
              <w:t>xample</w:t>
            </w:r>
          </w:p>
        </w:tc>
      </w:tr>
      <w:tr w:rsidR="00657D2D" w14:paraId="7829101E"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1D820E24" w14:textId="4BAC173C"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clearly demonstrate the organisation’s capability to manage project outcomes by providing examples of past performance through the use of roles, relevant experiences, skills and qualification</w:t>
            </w:r>
            <w:r w:rsidR="00666660">
              <w:rPr>
                <w:rFonts w:eastAsia="Arial" w:cstheme="minorHAnsi"/>
                <w:color w:val="auto"/>
                <w:szCs w:val="22"/>
              </w:rPr>
              <w:t>s</w:t>
            </w:r>
            <w:r>
              <w:rPr>
                <w:rFonts w:eastAsia="Arial" w:cstheme="minorHAnsi"/>
                <w:color w:val="auto"/>
                <w:szCs w:val="22"/>
              </w:rPr>
              <w:t>.</w:t>
            </w:r>
          </w:p>
          <w:p w14:paraId="21653C45" w14:textId="535063C5" w:rsidR="00657D2D" w:rsidRDefault="00657D2D">
            <w:pPr>
              <w:spacing w:before="120" w:after="120" w:line="240" w:lineRule="auto"/>
              <w:ind w:left="113" w:right="57"/>
              <w:rPr>
                <w:rFonts w:eastAsia="Arial" w:cstheme="minorHAnsi"/>
                <w:b/>
                <w:i/>
                <w:color w:val="auto"/>
                <w:szCs w:val="22"/>
              </w:rPr>
            </w:pPr>
            <w:r>
              <w:rPr>
                <w:rFonts w:eastAsia="Arial" w:cstheme="minorHAnsi"/>
                <w:b/>
                <w:i/>
                <w:color w:val="auto"/>
                <w:szCs w:val="22"/>
              </w:rPr>
              <w:t>Non-</w:t>
            </w:r>
            <w:r w:rsidR="004104B6">
              <w:rPr>
                <w:rFonts w:eastAsia="Arial" w:cstheme="minorHAnsi"/>
                <w:b/>
                <w:i/>
                <w:color w:val="auto"/>
                <w:szCs w:val="22"/>
              </w:rPr>
              <w:t>c</w:t>
            </w:r>
            <w:r>
              <w:rPr>
                <w:rFonts w:eastAsia="Arial" w:cstheme="minorHAnsi"/>
                <w:b/>
                <w:i/>
                <w:color w:val="auto"/>
                <w:szCs w:val="22"/>
              </w:rPr>
              <w:t xml:space="preserve">ompetitive </w:t>
            </w:r>
            <w:r w:rsidR="004104B6">
              <w:rPr>
                <w:rFonts w:eastAsia="Arial" w:cstheme="minorHAnsi"/>
                <w:b/>
                <w:i/>
                <w:color w:val="auto"/>
                <w:szCs w:val="22"/>
              </w:rPr>
              <w:t>r</w:t>
            </w:r>
            <w:r>
              <w:rPr>
                <w:rFonts w:eastAsia="Arial" w:cstheme="minorHAnsi"/>
                <w:b/>
                <w:i/>
                <w:color w:val="auto"/>
                <w:szCs w:val="22"/>
              </w:rPr>
              <w:t>esponse</w:t>
            </w:r>
          </w:p>
          <w:p w14:paraId="43C5D797" w14:textId="77777777" w:rsidR="00657D2D" w:rsidRDefault="00657D2D">
            <w:pPr>
              <w:spacing w:before="120" w:after="120" w:line="240" w:lineRule="auto"/>
              <w:ind w:left="113" w:right="57"/>
              <w:rPr>
                <w:rFonts w:eastAsia="Arial" w:cstheme="minorHAnsi"/>
                <w:i/>
                <w:color w:val="auto"/>
                <w:szCs w:val="22"/>
              </w:rPr>
            </w:pPr>
            <w:r>
              <w:rPr>
                <w:rFonts w:eastAsia="Arial" w:cstheme="minorHAnsi"/>
                <w:i/>
                <w:color w:val="auto"/>
                <w:szCs w:val="22"/>
              </w:rPr>
              <w:t>Non-competitive applications do not demonstrate the organisation’s past performance and relevant experience needed to successfully deliver the outcomes of the proposed project.</w:t>
            </w:r>
          </w:p>
          <w:p w14:paraId="17ECA25C" w14:textId="77777777" w:rsidR="00104F7B" w:rsidRDefault="00104F7B">
            <w:pPr>
              <w:spacing w:before="120" w:after="120" w:line="240" w:lineRule="auto"/>
              <w:ind w:left="113" w:right="57"/>
              <w:rPr>
                <w:rFonts w:eastAsia="Arial" w:cstheme="minorHAnsi"/>
                <w:color w:val="auto"/>
                <w:szCs w:val="22"/>
              </w:rPr>
            </w:pPr>
          </w:p>
        </w:tc>
        <w:tc>
          <w:tcPr>
            <w:tcW w:w="4821" w:type="dxa"/>
            <w:tcBorders>
              <w:top w:val="single" w:sz="4" w:space="0" w:color="FFFFFF" w:themeColor="background1"/>
              <w:left w:val="single" w:sz="4" w:space="0" w:color="FFFFFF" w:themeColor="background1"/>
              <w:bottom w:val="nil"/>
              <w:right w:val="nil"/>
            </w:tcBorders>
            <w:hideMark/>
          </w:tcPr>
          <w:p w14:paraId="6C1D697A" w14:textId="77777777" w:rsidR="00657D2D" w:rsidRDefault="00657D2D">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The application strongly demonstrated the organisation’s relevant experience in delivering similar and relatable projects that targeted and supported the veteran community, including delivering other initiatives the assessors could see alignments and success.</w:t>
            </w:r>
          </w:p>
          <w:p w14:paraId="3F646727" w14:textId="4E105C79" w:rsidR="009B3015" w:rsidRDefault="00657D2D">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Success of these projects was demonstrated through the high retention rates of up to 94% of veterans completing their program and a growth rate of up to 268% over the past financial year.</w:t>
            </w:r>
          </w:p>
          <w:p w14:paraId="09D62A7F" w14:textId="77777777" w:rsidR="00657D2D" w:rsidRDefault="00657D2D" w:rsidP="00842887">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 xml:space="preserve">Furthermore, the </w:t>
            </w:r>
            <w:r w:rsidR="00842887">
              <w:rPr>
                <w:rFonts w:eastAsia="Times New Roman" w:cstheme="minorHAnsi"/>
                <w:szCs w:val="22"/>
                <w:lang w:eastAsia="en-AU"/>
              </w:rPr>
              <w:t xml:space="preserve">application </w:t>
            </w:r>
            <w:r>
              <w:rPr>
                <w:rFonts w:eastAsia="Times New Roman" w:cstheme="minorHAnsi"/>
                <w:szCs w:val="22"/>
                <w:lang w:eastAsia="en-AU"/>
              </w:rPr>
              <w:t>detailed the relevant expertise, skills and qualifications of the organisation’s staff, demonstrating further ability to deliver.</w:t>
            </w:r>
          </w:p>
        </w:tc>
      </w:tr>
    </w:tbl>
    <w:tbl>
      <w:tblPr>
        <w:tblStyle w:val="TableGrid"/>
        <w:tblW w:w="0" w:type="auto"/>
        <w:tblLook w:val="04A0" w:firstRow="1" w:lastRow="0" w:firstColumn="1" w:lastColumn="0" w:noHBand="0" w:noVBand="1"/>
        <w:tblCaption w:val="Feedback against Criterion 3"/>
      </w:tblPr>
      <w:tblGrid>
        <w:gridCol w:w="9638"/>
      </w:tblGrid>
      <w:tr w:rsidR="00657D2D" w14:paraId="2053C137" w14:textId="77777777" w:rsidTr="00AE057C">
        <w:trPr>
          <w:tblHeader/>
        </w:trPr>
        <w:tc>
          <w:tcPr>
            <w:tcW w:w="9638" w:type="dxa"/>
            <w:shd w:val="clear" w:color="auto" w:fill="BFBFBF" w:themeFill="background1" w:themeFillShade="BF"/>
            <w:vAlign w:val="center"/>
            <w:hideMark/>
          </w:tcPr>
          <w:p w14:paraId="5A5C41C3" w14:textId="77777777" w:rsidR="00657D2D" w:rsidRDefault="00657D2D">
            <w:pPr>
              <w:spacing w:before="120" w:after="120" w:line="240" w:lineRule="auto"/>
              <w:ind w:right="57"/>
              <w:rPr>
                <w:rFonts w:eastAsia="Times New Roman" w:cstheme="minorHAnsi"/>
                <w:b/>
                <w:szCs w:val="22"/>
                <w:lang w:eastAsia="en-AU"/>
              </w:rPr>
            </w:pPr>
            <w:r>
              <w:rPr>
                <w:rFonts w:eastAsia="Times New Roman" w:cstheme="minorHAnsi"/>
                <w:b/>
                <w:szCs w:val="22"/>
                <w:lang w:eastAsia="en-AU"/>
              </w:rPr>
              <w:t>3.2. Your organisation’s community knowledge, links, networks and partnerships and outline how you will leverage these capabilities to successfully deliver the project (how your organisation is connected to the community).</w:t>
            </w:r>
          </w:p>
        </w:tc>
      </w:tr>
    </w:tbl>
    <w:tbl>
      <w:tblPr>
        <w:tblStyle w:val="CGHTableBanded"/>
        <w:tblW w:w="0" w:type="auto"/>
        <w:tblLook w:val="04A0" w:firstRow="1" w:lastRow="0" w:firstColumn="1" w:lastColumn="0" w:noHBand="0" w:noVBand="1"/>
        <w:tblCaption w:val="Feedback against Criterion 3"/>
      </w:tblPr>
      <w:tblGrid>
        <w:gridCol w:w="4817"/>
        <w:gridCol w:w="4821"/>
      </w:tblGrid>
      <w:tr w:rsidR="00657D2D" w14:paraId="513AE972"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hideMark/>
          </w:tcPr>
          <w:p w14:paraId="4828199F" w14:textId="64B87AFA"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7F271C">
              <w:rPr>
                <w:rFonts w:eastAsia="Arial" w:cstheme="minorHAnsi"/>
                <w:b/>
                <w:color w:val="auto"/>
                <w:szCs w:val="22"/>
              </w:rPr>
              <w:t xml:space="preserve">response </w:t>
            </w:r>
          </w:p>
        </w:tc>
        <w:tc>
          <w:tcPr>
            <w:tcW w:w="4821" w:type="dxa"/>
            <w:hideMark/>
          </w:tcPr>
          <w:p w14:paraId="456BBCE8" w14:textId="1452ADAD" w:rsidR="00657D2D" w:rsidRDefault="004104B6">
            <w:pPr>
              <w:spacing w:before="120" w:after="120" w:line="240" w:lineRule="auto"/>
              <w:ind w:right="57"/>
              <w:rPr>
                <w:rFonts w:eastAsia="Arial" w:cstheme="minorHAnsi"/>
                <w:b/>
                <w:color w:val="auto"/>
                <w:szCs w:val="22"/>
              </w:rPr>
            </w:pPr>
            <w:r>
              <w:rPr>
                <w:rFonts w:eastAsia="Arial" w:cstheme="minorHAnsi"/>
                <w:b/>
                <w:color w:val="auto"/>
                <w:szCs w:val="22"/>
              </w:rPr>
              <w:t>Competitive e</w:t>
            </w:r>
            <w:r w:rsidR="00657D2D">
              <w:rPr>
                <w:rFonts w:eastAsia="Arial" w:cstheme="minorHAnsi"/>
                <w:b/>
                <w:color w:val="auto"/>
                <w:szCs w:val="22"/>
              </w:rPr>
              <w:t>xample</w:t>
            </w:r>
          </w:p>
        </w:tc>
      </w:tr>
      <w:tr w:rsidR="00657D2D" w14:paraId="1DC2BD68" w14:textId="77777777" w:rsidTr="00310778">
        <w:trPr>
          <w:cnfStyle w:val="000000100000" w:firstRow="0" w:lastRow="0" w:firstColumn="0" w:lastColumn="0" w:oddVBand="0" w:evenVBand="0" w:oddHBand="1" w:evenHBand="0" w:firstRowFirstColumn="0" w:firstRowLastColumn="0" w:lastRowFirstColumn="0" w:lastRowLastColumn="0"/>
          <w:trHeight w:val="4715"/>
        </w:trPr>
        <w:tc>
          <w:tcPr>
            <w:tcW w:w="4817" w:type="dxa"/>
            <w:tcBorders>
              <w:top w:val="single" w:sz="4" w:space="0" w:color="FFFFFF" w:themeColor="background1"/>
              <w:left w:val="nil"/>
              <w:bottom w:val="nil"/>
              <w:right w:val="single" w:sz="4" w:space="0" w:color="FFFFFF" w:themeColor="background1"/>
            </w:tcBorders>
            <w:vAlign w:val="center"/>
          </w:tcPr>
          <w:p w14:paraId="5C1A9A19"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Competitive applications clearly demonstrate strong links to veteran specific communities, networks, and partnerships, and how these links will help deliver the project.</w:t>
            </w:r>
          </w:p>
          <w:p w14:paraId="03968934" w14:textId="4852D67E" w:rsidR="00657D2D" w:rsidRPr="00310778" w:rsidRDefault="00657D2D">
            <w:pPr>
              <w:spacing w:before="120" w:after="120" w:line="240" w:lineRule="auto"/>
              <w:ind w:left="113" w:right="57"/>
              <w:rPr>
                <w:rFonts w:eastAsia="Arial" w:cstheme="minorHAnsi"/>
                <w:b/>
                <w:i/>
                <w:color w:val="auto"/>
                <w:szCs w:val="22"/>
              </w:rPr>
            </w:pPr>
            <w:r w:rsidRPr="00310778">
              <w:rPr>
                <w:rFonts w:eastAsia="Arial" w:cstheme="minorHAnsi"/>
                <w:b/>
                <w:i/>
                <w:color w:val="auto"/>
                <w:szCs w:val="22"/>
              </w:rPr>
              <w:t>Non-</w:t>
            </w:r>
            <w:r w:rsidR="003F4EB8">
              <w:rPr>
                <w:rFonts w:eastAsia="Arial" w:cstheme="minorHAnsi"/>
                <w:b/>
                <w:i/>
                <w:color w:val="auto"/>
                <w:szCs w:val="22"/>
              </w:rPr>
              <w:t>c</w:t>
            </w:r>
            <w:r w:rsidRPr="00310778">
              <w:rPr>
                <w:rFonts w:eastAsia="Arial" w:cstheme="minorHAnsi"/>
                <w:b/>
                <w:i/>
                <w:color w:val="auto"/>
                <w:szCs w:val="22"/>
              </w:rPr>
              <w:t xml:space="preserve">ompetitive </w:t>
            </w:r>
            <w:r w:rsidR="003F4EB8">
              <w:rPr>
                <w:rFonts w:eastAsia="Arial" w:cstheme="minorHAnsi"/>
                <w:b/>
                <w:i/>
                <w:color w:val="auto"/>
                <w:szCs w:val="22"/>
              </w:rPr>
              <w:t>r</w:t>
            </w:r>
            <w:r w:rsidRPr="00310778">
              <w:rPr>
                <w:rFonts w:eastAsia="Arial" w:cstheme="minorHAnsi"/>
                <w:b/>
                <w:i/>
                <w:color w:val="auto"/>
                <w:szCs w:val="22"/>
              </w:rPr>
              <w:t>esponse</w:t>
            </w:r>
          </w:p>
          <w:p w14:paraId="411A3462" w14:textId="2CFB7EB6" w:rsidR="00657D2D" w:rsidRDefault="00657D2D">
            <w:pPr>
              <w:spacing w:before="120" w:after="120" w:line="240" w:lineRule="auto"/>
              <w:ind w:left="113" w:right="57"/>
              <w:rPr>
                <w:rFonts w:eastAsia="Arial" w:cstheme="minorHAnsi"/>
                <w:color w:val="auto"/>
                <w:szCs w:val="22"/>
              </w:rPr>
            </w:pPr>
            <w:r w:rsidRPr="00310778">
              <w:rPr>
                <w:rFonts w:eastAsia="Arial" w:cstheme="minorHAnsi"/>
                <w:i/>
                <w:color w:val="auto"/>
                <w:szCs w:val="22"/>
              </w:rPr>
              <w:t>Non-competitive applications do not describe the partnerships and/or networks that play a role in the delivery of a project, rather just provide a list of associated organisations and veteran community groups without any further context.</w:t>
            </w:r>
          </w:p>
          <w:p w14:paraId="7B2D53E1" w14:textId="77777777" w:rsidR="00104F7B" w:rsidRDefault="00104F7B">
            <w:pPr>
              <w:spacing w:before="120" w:after="120" w:line="240" w:lineRule="auto"/>
              <w:ind w:left="113" w:right="57"/>
              <w:rPr>
                <w:rFonts w:eastAsia="Arial" w:cstheme="minorHAnsi"/>
                <w:color w:val="auto"/>
                <w:szCs w:val="22"/>
              </w:rPr>
            </w:pPr>
          </w:p>
        </w:tc>
        <w:tc>
          <w:tcPr>
            <w:tcW w:w="4821" w:type="dxa"/>
            <w:tcBorders>
              <w:top w:val="single" w:sz="4" w:space="0" w:color="FFFFFF" w:themeColor="background1"/>
              <w:left w:val="single" w:sz="4" w:space="0" w:color="FFFFFF" w:themeColor="background1"/>
              <w:bottom w:val="nil"/>
              <w:right w:val="nil"/>
            </w:tcBorders>
            <w:hideMark/>
          </w:tcPr>
          <w:p w14:paraId="14F7DEA5" w14:textId="4738C4EA"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 xml:space="preserve">The application strongly demonstrated the organisation’s ability to clearly understand the current issues and challenges for the veteran community, and in particular their target 'at risk'  group. The </w:t>
            </w:r>
            <w:r w:rsidR="00842887">
              <w:rPr>
                <w:rFonts w:eastAsia="Arial" w:cstheme="minorHAnsi"/>
                <w:color w:val="auto"/>
                <w:szCs w:val="22"/>
              </w:rPr>
              <w:t xml:space="preserve">application </w:t>
            </w:r>
            <w:r>
              <w:rPr>
                <w:rFonts w:eastAsia="Arial" w:cstheme="minorHAnsi"/>
                <w:color w:val="auto"/>
                <w:szCs w:val="22"/>
              </w:rPr>
              <w:t>details a plan to collaborate with ex-service and key organisations in order to enhance their capacity to deliver programs that address the issues that impact their target cohort.</w:t>
            </w:r>
          </w:p>
          <w:p w14:paraId="042515D2" w14:textId="77777777" w:rsidR="00657D2D" w:rsidRDefault="00842887">
            <w:pPr>
              <w:spacing w:before="120" w:after="120" w:line="240" w:lineRule="auto"/>
              <w:ind w:left="113" w:right="57"/>
              <w:rPr>
                <w:rFonts w:eastAsia="Times New Roman" w:cstheme="minorHAnsi"/>
                <w:szCs w:val="22"/>
                <w:lang w:eastAsia="en-AU"/>
              </w:rPr>
            </w:pPr>
            <w:r>
              <w:rPr>
                <w:rFonts w:eastAsia="Arial" w:cstheme="minorHAnsi"/>
                <w:color w:val="auto"/>
                <w:szCs w:val="22"/>
              </w:rPr>
              <w:t xml:space="preserve">The application </w:t>
            </w:r>
            <w:r w:rsidR="00657D2D">
              <w:rPr>
                <w:rFonts w:eastAsia="Arial" w:cstheme="minorHAnsi"/>
                <w:color w:val="auto"/>
                <w:szCs w:val="22"/>
              </w:rPr>
              <w:t xml:space="preserve">also details that collaborative partnerships are also leveraged to enhance participant reach and access </w:t>
            </w:r>
            <w:r w:rsidR="00657D2D">
              <w:rPr>
                <w:rFonts w:eastAsia="Times New Roman" w:cstheme="minorHAnsi"/>
                <w:szCs w:val="22"/>
                <w:lang w:eastAsia="en-AU"/>
              </w:rPr>
              <w:t>specifically designed wellbeing support services for participants and their families.</w:t>
            </w:r>
          </w:p>
        </w:tc>
      </w:tr>
    </w:tbl>
    <w:tbl>
      <w:tblPr>
        <w:tblStyle w:val="TableGrid"/>
        <w:tblW w:w="0" w:type="auto"/>
        <w:tblLook w:val="04A0" w:firstRow="1" w:lastRow="0" w:firstColumn="1" w:lastColumn="0" w:noHBand="0" w:noVBand="1"/>
        <w:tblCaption w:val="Feedback against Criterion 3"/>
      </w:tblPr>
      <w:tblGrid>
        <w:gridCol w:w="9638"/>
      </w:tblGrid>
      <w:tr w:rsidR="00657D2D" w14:paraId="50CD3B2E" w14:textId="77777777" w:rsidTr="00AE057C">
        <w:trPr>
          <w:tblHeader/>
        </w:trPr>
        <w:tc>
          <w:tcPr>
            <w:tcW w:w="9638" w:type="dxa"/>
            <w:shd w:val="clear" w:color="auto" w:fill="BFBFBF" w:themeFill="background1" w:themeFillShade="BF"/>
            <w:vAlign w:val="center"/>
            <w:hideMark/>
          </w:tcPr>
          <w:p w14:paraId="52E90763" w14:textId="705A9CFD" w:rsidR="00657D2D" w:rsidRDefault="00657D2D">
            <w:pPr>
              <w:spacing w:before="120" w:after="120" w:line="240" w:lineRule="auto"/>
              <w:ind w:right="57"/>
              <w:rPr>
                <w:rFonts w:eastAsia="Times New Roman" w:cstheme="minorHAnsi"/>
                <w:b/>
                <w:szCs w:val="22"/>
                <w:lang w:eastAsia="en-AU"/>
              </w:rPr>
            </w:pPr>
            <w:r>
              <w:rPr>
                <w:rFonts w:eastAsia="Times New Roman" w:cstheme="minorHAnsi"/>
                <w:b/>
                <w:szCs w:val="22"/>
                <w:lang w:eastAsia="en-AU"/>
              </w:rPr>
              <w:lastRenderedPageBreak/>
              <w:t>3.3. Detail the specific project risks associated with your activity and how you will manage them (how your organisation plans for success).</w:t>
            </w:r>
          </w:p>
        </w:tc>
      </w:tr>
    </w:tbl>
    <w:tbl>
      <w:tblPr>
        <w:tblStyle w:val="CGHTableBanded"/>
        <w:tblW w:w="0" w:type="auto"/>
        <w:tblLook w:val="04A0" w:firstRow="1" w:lastRow="0" w:firstColumn="1" w:lastColumn="0" w:noHBand="0" w:noVBand="1"/>
        <w:tblCaption w:val="Feedback against Criterion 3"/>
      </w:tblPr>
      <w:tblGrid>
        <w:gridCol w:w="4817"/>
        <w:gridCol w:w="4821"/>
      </w:tblGrid>
      <w:tr w:rsidR="00657D2D" w14:paraId="7067E2C9"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hideMark/>
          </w:tcPr>
          <w:p w14:paraId="6C6421DC" w14:textId="5F458314"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7F271C">
              <w:rPr>
                <w:rFonts w:eastAsia="Arial" w:cstheme="minorHAnsi"/>
                <w:b/>
                <w:color w:val="auto"/>
                <w:szCs w:val="22"/>
              </w:rPr>
              <w:t xml:space="preserve">response </w:t>
            </w:r>
          </w:p>
        </w:tc>
        <w:tc>
          <w:tcPr>
            <w:tcW w:w="4821" w:type="dxa"/>
            <w:hideMark/>
          </w:tcPr>
          <w:p w14:paraId="5873E011" w14:textId="08C28922" w:rsidR="00657D2D" w:rsidRDefault="003F4EB8">
            <w:pPr>
              <w:spacing w:before="120" w:after="120" w:line="240" w:lineRule="auto"/>
              <w:ind w:right="57"/>
              <w:rPr>
                <w:rFonts w:eastAsia="Arial" w:cstheme="minorHAnsi"/>
                <w:b/>
                <w:color w:val="auto"/>
                <w:szCs w:val="22"/>
              </w:rPr>
            </w:pPr>
            <w:r>
              <w:rPr>
                <w:rFonts w:eastAsia="Arial" w:cstheme="minorHAnsi"/>
                <w:b/>
                <w:color w:val="auto"/>
                <w:szCs w:val="22"/>
              </w:rPr>
              <w:t>Competitive e</w:t>
            </w:r>
            <w:r w:rsidR="00657D2D">
              <w:rPr>
                <w:rFonts w:eastAsia="Arial" w:cstheme="minorHAnsi"/>
                <w:b/>
                <w:color w:val="auto"/>
                <w:szCs w:val="22"/>
              </w:rPr>
              <w:t>xample</w:t>
            </w:r>
          </w:p>
        </w:tc>
      </w:tr>
      <w:tr w:rsidR="00657D2D" w14:paraId="13D5DE8F"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5C742776"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 xml:space="preserve">Competitive applications clearly demonstrate their project management approach, including governance and planning arrangements to manage risks. </w:t>
            </w:r>
          </w:p>
          <w:p w14:paraId="6F1AD02D" w14:textId="4E45A88E" w:rsidR="00657D2D" w:rsidRPr="00310778" w:rsidRDefault="00657D2D">
            <w:pPr>
              <w:spacing w:before="120" w:after="120" w:line="240" w:lineRule="auto"/>
              <w:ind w:left="113" w:right="57"/>
              <w:rPr>
                <w:rFonts w:eastAsia="Arial" w:cstheme="minorHAnsi"/>
                <w:b/>
                <w:i/>
                <w:color w:val="auto"/>
                <w:szCs w:val="22"/>
              </w:rPr>
            </w:pPr>
            <w:r w:rsidRPr="00310778">
              <w:rPr>
                <w:rFonts w:eastAsia="Arial" w:cstheme="minorHAnsi"/>
                <w:b/>
                <w:i/>
                <w:color w:val="auto"/>
                <w:szCs w:val="22"/>
              </w:rPr>
              <w:t>Non-</w:t>
            </w:r>
            <w:r w:rsidR="003F4EB8">
              <w:rPr>
                <w:rFonts w:eastAsia="Arial" w:cstheme="minorHAnsi"/>
                <w:b/>
                <w:i/>
                <w:color w:val="auto"/>
                <w:szCs w:val="22"/>
              </w:rPr>
              <w:t>c</w:t>
            </w:r>
            <w:r w:rsidRPr="00310778">
              <w:rPr>
                <w:rFonts w:eastAsia="Arial" w:cstheme="minorHAnsi"/>
                <w:b/>
                <w:i/>
                <w:color w:val="auto"/>
                <w:szCs w:val="22"/>
              </w:rPr>
              <w:t xml:space="preserve">ompetitive </w:t>
            </w:r>
            <w:r w:rsidR="003F4EB8">
              <w:rPr>
                <w:rFonts w:eastAsia="Arial" w:cstheme="minorHAnsi"/>
                <w:b/>
                <w:i/>
                <w:color w:val="auto"/>
                <w:szCs w:val="22"/>
              </w:rPr>
              <w:t>r</w:t>
            </w:r>
            <w:r w:rsidRPr="00310778">
              <w:rPr>
                <w:rFonts w:eastAsia="Arial" w:cstheme="minorHAnsi"/>
                <w:b/>
                <w:i/>
                <w:color w:val="auto"/>
                <w:szCs w:val="22"/>
              </w:rPr>
              <w:t>esponse</w:t>
            </w:r>
          </w:p>
          <w:p w14:paraId="16087598" w14:textId="616027DA" w:rsidR="00104F7B" w:rsidRDefault="00657D2D" w:rsidP="00B85086">
            <w:pPr>
              <w:spacing w:before="120" w:after="120" w:line="240" w:lineRule="auto"/>
              <w:ind w:left="113" w:right="57"/>
              <w:rPr>
                <w:rFonts w:eastAsia="Arial" w:cstheme="minorHAnsi"/>
                <w:i/>
                <w:color w:val="auto"/>
                <w:szCs w:val="22"/>
              </w:rPr>
            </w:pPr>
            <w:r w:rsidRPr="00310778">
              <w:rPr>
                <w:rFonts w:eastAsia="Arial" w:cstheme="minorHAnsi"/>
                <w:i/>
                <w:color w:val="auto"/>
                <w:szCs w:val="22"/>
              </w:rPr>
              <w:t>Non-competitive applications do not demonstrate the ability to identify project risks and apply processes to manage them.</w:t>
            </w:r>
          </w:p>
          <w:p w14:paraId="5D93F300" w14:textId="77777777" w:rsidR="00104F7B" w:rsidRPr="00104F7B" w:rsidRDefault="00104F7B">
            <w:pPr>
              <w:spacing w:before="120" w:after="120" w:line="240" w:lineRule="auto"/>
              <w:ind w:left="113" w:right="57"/>
              <w:rPr>
                <w:rFonts w:eastAsia="Arial" w:cstheme="minorHAnsi"/>
                <w:i/>
                <w:color w:val="auto"/>
                <w:szCs w:val="22"/>
              </w:rPr>
            </w:pPr>
          </w:p>
        </w:tc>
        <w:tc>
          <w:tcPr>
            <w:tcW w:w="4821" w:type="dxa"/>
            <w:tcBorders>
              <w:top w:val="single" w:sz="4" w:space="0" w:color="FFFFFF" w:themeColor="background1"/>
              <w:left w:val="single" w:sz="4" w:space="0" w:color="FFFFFF" w:themeColor="background1"/>
              <w:bottom w:val="nil"/>
              <w:right w:val="nil"/>
            </w:tcBorders>
            <w:hideMark/>
          </w:tcPr>
          <w:p w14:paraId="0FDE3C57" w14:textId="77777777"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 xml:space="preserve">The application strongly demonstrated their management approach to risks associated with the proposed project, including realistic situational examples and a robust governance approach to mitigating risks. </w:t>
            </w:r>
          </w:p>
          <w:p w14:paraId="5BBD9A50" w14:textId="77777777" w:rsidR="00657D2D" w:rsidRDefault="00657D2D" w:rsidP="00842887">
            <w:pPr>
              <w:spacing w:before="120" w:after="120" w:line="240" w:lineRule="auto"/>
              <w:ind w:left="113" w:right="57"/>
              <w:rPr>
                <w:rFonts w:eastAsia="Times New Roman" w:cstheme="minorHAnsi"/>
                <w:szCs w:val="22"/>
                <w:lang w:eastAsia="en-AU"/>
              </w:rPr>
            </w:pPr>
            <w:r>
              <w:rPr>
                <w:rFonts w:eastAsia="Arial" w:cstheme="minorHAnsi"/>
                <w:color w:val="auto"/>
                <w:szCs w:val="22"/>
              </w:rPr>
              <w:t xml:space="preserve">Potential risks identified </w:t>
            </w:r>
            <w:r w:rsidR="00842887">
              <w:rPr>
                <w:rFonts w:eastAsia="Arial" w:cstheme="minorHAnsi"/>
                <w:color w:val="auto"/>
                <w:szCs w:val="22"/>
              </w:rPr>
              <w:t xml:space="preserve">in </w:t>
            </w:r>
            <w:r>
              <w:rPr>
                <w:rFonts w:eastAsia="Arial" w:cstheme="minorHAnsi"/>
                <w:color w:val="auto"/>
                <w:szCs w:val="22"/>
              </w:rPr>
              <w:t xml:space="preserve">the </w:t>
            </w:r>
            <w:r w:rsidR="00842887">
              <w:rPr>
                <w:rFonts w:eastAsia="Arial" w:cstheme="minorHAnsi"/>
                <w:color w:val="auto"/>
                <w:szCs w:val="22"/>
              </w:rPr>
              <w:t xml:space="preserve">application </w:t>
            </w:r>
            <w:r>
              <w:rPr>
                <w:rFonts w:eastAsia="Arial" w:cstheme="minorHAnsi"/>
                <w:color w:val="auto"/>
                <w:szCs w:val="22"/>
              </w:rPr>
              <w:t>included physical injury and detailed mitigation strategies to address issues such as veterans pushing through pain that included routine benchmark pain monitoring before and during the sessions to assess how their bodies are responding to the exercise.</w:t>
            </w:r>
          </w:p>
        </w:tc>
      </w:tr>
    </w:tbl>
    <w:p w14:paraId="0EC7D238" w14:textId="77777777" w:rsidR="007E2AF8" w:rsidRDefault="007E2AF8" w:rsidP="00657D2D">
      <w:pPr>
        <w:pStyle w:val="BodyText"/>
      </w:pPr>
    </w:p>
    <w:p w14:paraId="22D85FA6" w14:textId="77777777" w:rsidR="007E2AF8" w:rsidRDefault="007E2AF8">
      <w:pPr>
        <w:spacing w:line="240" w:lineRule="auto"/>
      </w:pPr>
      <w:r>
        <w:br w:type="page"/>
      </w:r>
    </w:p>
    <w:p w14:paraId="61DA2AB6" w14:textId="77777777" w:rsidR="00657D2D" w:rsidRDefault="00657D2D" w:rsidP="00657D2D">
      <w:pPr>
        <w:spacing w:line="240" w:lineRule="auto"/>
        <w:rPr>
          <w:rFonts w:asciiTheme="majorHAnsi" w:eastAsiaTheme="majorEastAsia" w:hAnsiTheme="majorHAnsi" w:cstheme="majorBidi"/>
          <w:b/>
          <w:bCs/>
          <w:sz w:val="24"/>
          <w:szCs w:val="26"/>
        </w:rPr>
      </w:pPr>
      <w:r>
        <w:rPr>
          <w:rFonts w:asciiTheme="majorHAnsi" w:eastAsiaTheme="majorEastAsia" w:hAnsiTheme="majorHAnsi" w:cstheme="majorBidi"/>
          <w:b/>
          <w:bCs/>
          <w:sz w:val="24"/>
          <w:szCs w:val="26"/>
        </w:rPr>
        <w:lastRenderedPageBreak/>
        <w:t>Criterion 4: Ability to measure, report and meet targets (for Stream B only)</w:t>
      </w:r>
    </w:p>
    <w:p w14:paraId="09A565EE" w14:textId="77777777" w:rsidR="00657D2D" w:rsidRPr="00310778" w:rsidRDefault="00657D2D" w:rsidP="00657D2D">
      <w:pPr>
        <w:pStyle w:val="BodyText"/>
        <w:spacing w:before="60"/>
        <w:rPr>
          <w:b/>
        </w:rPr>
      </w:pPr>
      <w:r>
        <w:rPr>
          <w:b/>
        </w:rPr>
        <w:t>For grant funding requests of $100,000 or more.</w:t>
      </w:r>
    </w:p>
    <w:tbl>
      <w:tblPr>
        <w:tblStyle w:val="TableGrid"/>
        <w:tblW w:w="0" w:type="auto"/>
        <w:tblLook w:val="04A0" w:firstRow="1" w:lastRow="0" w:firstColumn="1" w:lastColumn="0" w:noHBand="0" w:noVBand="1"/>
        <w:tblCaption w:val="Feedback against Criterion 4"/>
      </w:tblPr>
      <w:tblGrid>
        <w:gridCol w:w="9638"/>
      </w:tblGrid>
      <w:tr w:rsidR="00657D2D" w14:paraId="6F7A9E6D" w14:textId="77777777" w:rsidTr="00AE057C">
        <w:trPr>
          <w:tblHeader/>
        </w:trPr>
        <w:tc>
          <w:tcPr>
            <w:tcW w:w="9638" w:type="dxa"/>
            <w:shd w:val="clear" w:color="auto" w:fill="BFBFBF" w:themeFill="background1" w:themeFillShade="BF"/>
            <w:vAlign w:val="center"/>
            <w:hideMark/>
          </w:tcPr>
          <w:p w14:paraId="29441ED3" w14:textId="40E5AEFC" w:rsidR="00657D2D" w:rsidRDefault="00657D2D">
            <w:pPr>
              <w:pStyle w:val="BodyText"/>
              <w:spacing w:before="60"/>
              <w:rPr>
                <w:b/>
              </w:rPr>
            </w:pPr>
            <w:r>
              <w:rPr>
                <w:b/>
              </w:rPr>
              <w:t>How will you meet the measurable targets and measure achievement of deliverables for the veteran community</w:t>
            </w:r>
            <w:r w:rsidR="00B85086">
              <w:rPr>
                <w:b/>
              </w:rPr>
              <w:t>?</w:t>
            </w:r>
            <w:r w:rsidR="00B85086">
              <w:rPr>
                <w:b/>
              </w:rPr>
              <w:t xml:space="preserve"> </w:t>
            </w:r>
            <w:r>
              <w:rPr>
                <w:b/>
              </w:rPr>
              <w:t xml:space="preserve">Provide specific detail on each measurement and how you will manage and report. </w:t>
            </w:r>
            <w:r>
              <w:rPr>
                <w:b/>
                <w:bCs/>
                <w:szCs w:val="22"/>
              </w:rPr>
              <w:t>Targets to include are the achievement of:</w:t>
            </w:r>
          </w:p>
          <w:p w14:paraId="355F4371" w14:textId="77777777" w:rsidR="00657D2D" w:rsidRPr="0091131F" w:rsidRDefault="00657D2D" w:rsidP="0091131F">
            <w:pPr>
              <w:pStyle w:val="Default"/>
              <w:numPr>
                <w:ilvl w:val="0"/>
                <w:numId w:val="16"/>
              </w:numPr>
              <w:spacing w:before="40" w:after="120" w:line="280" w:lineRule="atLeast"/>
              <w:rPr>
                <w:b/>
                <w:sz w:val="22"/>
                <w:szCs w:val="22"/>
              </w:rPr>
            </w:pPr>
            <w:r w:rsidRPr="0091131F">
              <w:rPr>
                <w:b/>
                <w:sz w:val="22"/>
                <w:szCs w:val="22"/>
              </w:rPr>
              <w:t>&gt;85% of project goals achieved</w:t>
            </w:r>
          </w:p>
          <w:p w14:paraId="22AB2822" w14:textId="77777777" w:rsidR="00657D2D" w:rsidRPr="0091131F" w:rsidRDefault="00657D2D" w:rsidP="0091131F">
            <w:pPr>
              <w:pStyle w:val="Default"/>
              <w:numPr>
                <w:ilvl w:val="0"/>
                <w:numId w:val="16"/>
              </w:numPr>
              <w:spacing w:before="40" w:after="120" w:line="280" w:lineRule="atLeast"/>
              <w:rPr>
                <w:b/>
                <w:sz w:val="22"/>
                <w:szCs w:val="22"/>
              </w:rPr>
            </w:pPr>
            <w:r w:rsidRPr="0091131F">
              <w:rPr>
                <w:b/>
                <w:sz w:val="22"/>
                <w:szCs w:val="22"/>
              </w:rPr>
              <w:t>&gt;75% of participants completed the whole activity</w:t>
            </w:r>
          </w:p>
          <w:p w14:paraId="1B2F7147" w14:textId="77777777" w:rsidR="00657D2D" w:rsidRPr="0091131F" w:rsidRDefault="00657D2D" w:rsidP="0091131F">
            <w:pPr>
              <w:pStyle w:val="Default"/>
              <w:numPr>
                <w:ilvl w:val="0"/>
                <w:numId w:val="16"/>
              </w:numPr>
              <w:spacing w:before="40" w:after="120" w:line="280" w:lineRule="atLeast"/>
              <w:rPr>
                <w:b/>
                <w:sz w:val="22"/>
                <w:szCs w:val="22"/>
              </w:rPr>
            </w:pPr>
            <w:r w:rsidRPr="0091131F">
              <w:rPr>
                <w:b/>
                <w:sz w:val="22"/>
                <w:szCs w:val="22"/>
              </w:rPr>
              <w:t>&gt;50% of feedback sought from veteran participants, with 95% positive feedback</w:t>
            </w:r>
          </w:p>
          <w:p w14:paraId="762131C5" w14:textId="4676DCC0" w:rsidR="003F4EB8" w:rsidRPr="0091131F" w:rsidRDefault="00657D2D" w:rsidP="0091131F">
            <w:pPr>
              <w:pStyle w:val="Default"/>
              <w:numPr>
                <w:ilvl w:val="0"/>
                <w:numId w:val="16"/>
              </w:numPr>
              <w:spacing w:before="40" w:after="120" w:line="280" w:lineRule="atLeast"/>
              <w:rPr>
                <w:b/>
                <w:sz w:val="22"/>
                <w:szCs w:val="22"/>
              </w:rPr>
            </w:pPr>
            <w:r w:rsidRPr="0091131F">
              <w:rPr>
                <w:b/>
                <w:sz w:val="22"/>
                <w:szCs w:val="22"/>
              </w:rPr>
              <w:t>&gt;50% of participating veteran participants with demonstrated improvements against program objectives as appropriate. Note: a benchmark measurement will need to be taken at the start of the activity</w:t>
            </w:r>
          </w:p>
          <w:p w14:paraId="1825715C" w14:textId="48080128" w:rsidR="00657D2D" w:rsidRDefault="00657D2D" w:rsidP="0091131F">
            <w:pPr>
              <w:pStyle w:val="Default"/>
              <w:numPr>
                <w:ilvl w:val="0"/>
                <w:numId w:val="16"/>
              </w:numPr>
              <w:spacing w:before="40" w:after="120" w:line="280" w:lineRule="atLeast"/>
              <w:rPr>
                <w:rFonts w:eastAsia="Times New Roman" w:cstheme="minorHAnsi"/>
                <w:b/>
                <w:szCs w:val="22"/>
                <w:lang w:eastAsia="en-AU"/>
              </w:rPr>
            </w:pPr>
            <w:r w:rsidRPr="0091131F">
              <w:rPr>
                <w:b/>
                <w:sz w:val="22"/>
                <w:szCs w:val="22"/>
              </w:rPr>
              <w:t>&lt;10%</w:t>
            </w:r>
            <w:r w:rsidRPr="0091131F">
              <w:rPr>
                <w:b/>
                <w:bCs/>
                <w:szCs w:val="22"/>
              </w:rPr>
              <w:t xml:space="preserve"> vari</w:t>
            </w:r>
            <w:r>
              <w:rPr>
                <w:b/>
                <w:bCs/>
                <w:szCs w:val="22"/>
              </w:rPr>
              <w:t>ance on forecast costs.</w:t>
            </w:r>
          </w:p>
        </w:tc>
      </w:tr>
    </w:tbl>
    <w:tbl>
      <w:tblPr>
        <w:tblStyle w:val="CGHTableBanded"/>
        <w:tblW w:w="0" w:type="auto"/>
        <w:tblLook w:val="04A0" w:firstRow="1" w:lastRow="0" w:firstColumn="1" w:lastColumn="0" w:noHBand="0" w:noVBand="1"/>
        <w:tblCaption w:val="Feedback against Criterion 4"/>
      </w:tblPr>
      <w:tblGrid>
        <w:gridCol w:w="4817"/>
        <w:gridCol w:w="4821"/>
      </w:tblGrid>
      <w:tr w:rsidR="00657D2D" w14:paraId="378D74A7" w14:textId="77777777" w:rsidTr="00AE057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hideMark/>
          </w:tcPr>
          <w:p w14:paraId="4E1CAACA" w14:textId="79C1843F" w:rsidR="00657D2D" w:rsidRDefault="00657D2D">
            <w:pPr>
              <w:spacing w:before="120" w:after="120" w:line="240" w:lineRule="auto"/>
              <w:ind w:right="57"/>
              <w:rPr>
                <w:rFonts w:eastAsia="Arial" w:cstheme="minorHAnsi"/>
                <w:b/>
                <w:color w:val="auto"/>
                <w:szCs w:val="22"/>
              </w:rPr>
            </w:pPr>
            <w:r>
              <w:rPr>
                <w:rFonts w:eastAsia="Arial" w:cstheme="minorHAnsi"/>
                <w:b/>
                <w:color w:val="auto"/>
                <w:szCs w:val="22"/>
              </w:rPr>
              <w:t xml:space="preserve">Competitive </w:t>
            </w:r>
            <w:r w:rsidR="007F271C">
              <w:rPr>
                <w:rFonts w:eastAsia="Arial" w:cstheme="minorHAnsi"/>
                <w:b/>
                <w:color w:val="auto"/>
                <w:szCs w:val="22"/>
              </w:rPr>
              <w:t xml:space="preserve">response </w:t>
            </w:r>
          </w:p>
        </w:tc>
        <w:tc>
          <w:tcPr>
            <w:tcW w:w="4821" w:type="dxa"/>
            <w:hideMark/>
          </w:tcPr>
          <w:p w14:paraId="3CD0F681" w14:textId="0FFB5535" w:rsidR="00657D2D" w:rsidRDefault="003F4EB8">
            <w:pPr>
              <w:spacing w:before="120" w:after="120" w:line="240" w:lineRule="auto"/>
              <w:ind w:right="57"/>
              <w:rPr>
                <w:rFonts w:eastAsia="Arial" w:cstheme="minorHAnsi"/>
                <w:b/>
                <w:color w:val="auto"/>
                <w:szCs w:val="22"/>
              </w:rPr>
            </w:pPr>
            <w:r>
              <w:rPr>
                <w:rFonts w:eastAsia="Arial" w:cstheme="minorHAnsi"/>
                <w:b/>
                <w:color w:val="auto"/>
                <w:szCs w:val="22"/>
              </w:rPr>
              <w:t>Competitive e</w:t>
            </w:r>
            <w:r w:rsidR="00657D2D">
              <w:rPr>
                <w:rFonts w:eastAsia="Arial" w:cstheme="minorHAnsi"/>
                <w:b/>
                <w:color w:val="auto"/>
                <w:szCs w:val="22"/>
              </w:rPr>
              <w:t>xample</w:t>
            </w:r>
          </w:p>
        </w:tc>
      </w:tr>
      <w:tr w:rsidR="00657D2D" w14:paraId="6526666A" w14:textId="77777777" w:rsidTr="00657D2D">
        <w:trPr>
          <w:cnfStyle w:val="000000100000" w:firstRow="0" w:lastRow="0" w:firstColumn="0" w:lastColumn="0" w:oddVBand="0" w:evenVBand="0" w:oddHBand="1" w:evenHBand="0" w:firstRowFirstColumn="0" w:firstRowLastColumn="0" w:lastRowFirstColumn="0" w:lastRowLastColumn="0"/>
        </w:trPr>
        <w:tc>
          <w:tcPr>
            <w:tcW w:w="4817" w:type="dxa"/>
            <w:tcBorders>
              <w:top w:val="single" w:sz="4" w:space="0" w:color="FFFFFF" w:themeColor="background1"/>
              <w:left w:val="nil"/>
              <w:bottom w:val="nil"/>
              <w:right w:val="single" w:sz="4" w:space="0" w:color="FFFFFF" w:themeColor="background1"/>
            </w:tcBorders>
            <w:vAlign w:val="center"/>
          </w:tcPr>
          <w:p w14:paraId="48C0F093" w14:textId="38009085" w:rsidR="00657D2D" w:rsidRDefault="00657D2D">
            <w:pPr>
              <w:spacing w:before="120" w:after="120" w:line="240" w:lineRule="auto"/>
              <w:ind w:left="113" w:right="57"/>
              <w:rPr>
                <w:rFonts w:eastAsia="Arial" w:cstheme="minorHAnsi"/>
                <w:color w:val="auto"/>
                <w:szCs w:val="22"/>
              </w:rPr>
            </w:pPr>
            <w:r>
              <w:rPr>
                <w:rFonts w:eastAsia="Arial" w:cstheme="minorHAnsi"/>
                <w:color w:val="auto"/>
                <w:szCs w:val="22"/>
              </w:rPr>
              <w:t xml:space="preserve">Competitive applications clearly demonstrate their ability in developing a performance measurement system that meets VWG </w:t>
            </w:r>
            <w:r w:rsidR="00B85086">
              <w:rPr>
                <w:rFonts w:eastAsia="Arial" w:cstheme="minorHAnsi"/>
                <w:color w:val="auto"/>
                <w:szCs w:val="22"/>
              </w:rPr>
              <w:t>P</w:t>
            </w:r>
            <w:r w:rsidR="00B85086">
              <w:rPr>
                <w:rFonts w:eastAsia="Arial" w:cstheme="minorHAnsi"/>
                <w:color w:val="auto"/>
                <w:szCs w:val="22"/>
              </w:rPr>
              <w:t xml:space="preserve">rogram </w:t>
            </w:r>
            <w:r>
              <w:rPr>
                <w:rFonts w:eastAsia="Arial" w:cstheme="minorHAnsi"/>
                <w:color w:val="auto"/>
                <w:szCs w:val="22"/>
              </w:rPr>
              <w:t>targets and ensures that project deliverables are met.</w:t>
            </w:r>
          </w:p>
          <w:p w14:paraId="2CDA234D" w14:textId="26192BF5" w:rsidR="00104F7B" w:rsidRPr="00310778" w:rsidRDefault="00657D2D">
            <w:pPr>
              <w:spacing w:before="120" w:after="120" w:line="240" w:lineRule="auto"/>
              <w:ind w:left="113" w:right="57"/>
              <w:rPr>
                <w:rFonts w:eastAsia="Arial" w:cstheme="minorHAnsi"/>
                <w:b/>
                <w:i/>
                <w:color w:val="auto"/>
                <w:szCs w:val="22"/>
              </w:rPr>
            </w:pPr>
            <w:r w:rsidRPr="00310778">
              <w:rPr>
                <w:rFonts w:eastAsia="Arial" w:cstheme="minorHAnsi"/>
                <w:b/>
                <w:i/>
                <w:color w:val="auto"/>
                <w:szCs w:val="22"/>
              </w:rPr>
              <w:t>Non-</w:t>
            </w:r>
            <w:r w:rsidR="003F4EB8">
              <w:rPr>
                <w:rFonts w:eastAsia="Arial" w:cstheme="minorHAnsi"/>
                <w:b/>
                <w:i/>
                <w:color w:val="auto"/>
                <w:szCs w:val="22"/>
              </w:rPr>
              <w:t>c</w:t>
            </w:r>
            <w:r w:rsidRPr="00310778">
              <w:rPr>
                <w:rFonts w:eastAsia="Arial" w:cstheme="minorHAnsi"/>
                <w:b/>
                <w:i/>
                <w:color w:val="auto"/>
                <w:szCs w:val="22"/>
              </w:rPr>
              <w:t xml:space="preserve">ompetitive </w:t>
            </w:r>
            <w:r w:rsidR="003F4EB8">
              <w:rPr>
                <w:rFonts w:eastAsia="Arial" w:cstheme="minorHAnsi"/>
                <w:b/>
                <w:i/>
                <w:color w:val="auto"/>
                <w:szCs w:val="22"/>
              </w:rPr>
              <w:t>r</w:t>
            </w:r>
            <w:r w:rsidRPr="00310778">
              <w:rPr>
                <w:rFonts w:eastAsia="Arial" w:cstheme="minorHAnsi"/>
                <w:b/>
                <w:i/>
                <w:color w:val="auto"/>
                <w:szCs w:val="22"/>
              </w:rPr>
              <w:t>esponse</w:t>
            </w:r>
          </w:p>
          <w:p w14:paraId="47890A07" w14:textId="77777777" w:rsidR="00657D2D" w:rsidRPr="00310778" w:rsidRDefault="00657D2D">
            <w:pPr>
              <w:spacing w:before="120" w:after="120" w:line="240" w:lineRule="auto"/>
              <w:ind w:left="113" w:right="57"/>
              <w:rPr>
                <w:rFonts w:eastAsia="Arial" w:cstheme="minorHAnsi"/>
                <w:i/>
                <w:color w:val="auto"/>
                <w:szCs w:val="22"/>
              </w:rPr>
            </w:pPr>
            <w:r w:rsidRPr="00310778">
              <w:rPr>
                <w:rFonts w:eastAsia="Arial" w:cstheme="minorHAnsi"/>
                <w:i/>
                <w:color w:val="auto"/>
                <w:szCs w:val="22"/>
              </w:rPr>
              <w:t>Non-competitive applications do not demonstrate the ability to develop performance measures for target-setting.</w:t>
            </w:r>
          </w:p>
          <w:p w14:paraId="6F528C33" w14:textId="2EB80D74" w:rsidR="00657D2D" w:rsidRPr="00310778" w:rsidRDefault="00657D2D">
            <w:pPr>
              <w:spacing w:before="120" w:after="120" w:line="240" w:lineRule="auto"/>
              <w:ind w:left="113" w:right="57"/>
              <w:rPr>
                <w:rFonts w:eastAsia="Arial" w:cstheme="minorHAnsi"/>
                <w:i/>
                <w:color w:val="auto"/>
                <w:szCs w:val="22"/>
              </w:rPr>
            </w:pPr>
            <w:r w:rsidRPr="00310778">
              <w:rPr>
                <w:rFonts w:eastAsia="Arial" w:cstheme="minorHAnsi"/>
                <w:i/>
                <w:color w:val="auto"/>
                <w:szCs w:val="22"/>
              </w:rPr>
              <w:t>A number of applications just copied the example targets as their response without applying their own project deliverables.</w:t>
            </w:r>
          </w:p>
          <w:p w14:paraId="4CD982AD" w14:textId="65E8DE80" w:rsidR="00104F7B" w:rsidRDefault="00657D2D">
            <w:pPr>
              <w:spacing w:before="120" w:after="120" w:line="240" w:lineRule="auto"/>
              <w:ind w:left="113" w:right="57"/>
              <w:rPr>
                <w:rFonts w:eastAsia="Arial" w:cstheme="minorHAnsi"/>
                <w:szCs w:val="22"/>
              </w:rPr>
            </w:pPr>
            <w:r w:rsidRPr="00310778">
              <w:rPr>
                <w:rFonts w:eastAsia="Arial" w:cstheme="minorHAnsi"/>
                <w:i/>
                <w:color w:val="auto"/>
                <w:szCs w:val="22"/>
              </w:rPr>
              <w:t>Value for money is a key consideration for government as these grants are spending public money. Ensuring an organisation has set expectations and targets to strive towards shows consideration that they will deliver and will be able to clearly report on what they have achieved and also how they could have improved.</w:t>
            </w:r>
          </w:p>
        </w:tc>
        <w:tc>
          <w:tcPr>
            <w:tcW w:w="4821" w:type="dxa"/>
            <w:tcBorders>
              <w:top w:val="single" w:sz="4" w:space="0" w:color="FFFFFF" w:themeColor="background1"/>
              <w:left w:val="single" w:sz="4" w:space="0" w:color="FFFFFF" w:themeColor="background1"/>
              <w:bottom w:val="nil"/>
              <w:right w:val="nil"/>
            </w:tcBorders>
            <w:hideMark/>
          </w:tcPr>
          <w:p w14:paraId="4F771451" w14:textId="6E78E9EA" w:rsidR="00657D2D" w:rsidRDefault="00657D2D">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 xml:space="preserve">The application strongly demonstrated their ability to develop performance measures to meet VWG </w:t>
            </w:r>
            <w:r w:rsidR="00B85086">
              <w:rPr>
                <w:rFonts w:eastAsia="Times New Roman" w:cstheme="minorHAnsi"/>
                <w:szCs w:val="22"/>
                <w:lang w:eastAsia="en-AU"/>
              </w:rPr>
              <w:t>P</w:t>
            </w:r>
            <w:r w:rsidR="00B85086">
              <w:rPr>
                <w:rFonts w:eastAsia="Times New Roman" w:cstheme="minorHAnsi"/>
                <w:szCs w:val="22"/>
                <w:lang w:eastAsia="en-AU"/>
              </w:rPr>
              <w:t xml:space="preserve">rogram </w:t>
            </w:r>
            <w:r>
              <w:rPr>
                <w:rFonts w:eastAsia="Times New Roman" w:cstheme="minorHAnsi"/>
                <w:szCs w:val="22"/>
                <w:lang w:eastAsia="en-AU"/>
              </w:rPr>
              <w:t xml:space="preserve">targets. </w:t>
            </w:r>
            <w:r w:rsidR="00842887">
              <w:rPr>
                <w:rFonts w:eastAsia="Times New Roman" w:cstheme="minorHAnsi"/>
                <w:szCs w:val="22"/>
                <w:lang w:eastAsia="en-AU"/>
              </w:rPr>
              <w:t xml:space="preserve">The </w:t>
            </w:r>
            <w:r w:rsidR="003F4EB8">
              <w:rPr>
                <w:rFonts w:eastAsia="Times New Roman" w:cstheme="minorHAnsi"/>
                <w:szCs w:val="22"/>
                <w:lang w:eastAsia="en-AU"/>
              </w:rPr>
              <w:t>a</w:t>
            </w:r>
            <w:r w:rsidR="00842887">
              <w:rPr>
                <w:rFonts w:eastAsia="Times New Roman" w:cstheme="minorHAnsi"/>
                <w:szCs w:val="22"/>
                <w:lang w:eastAsia="en-AU"/>
              </w:rPr>
              <w:t xml:space="preserve">pplication </w:t>
            </w:r>
            <w:r>
              <w:rPr>
                <w:rFonts w:eastAsia="Times New Roman" w:cstheme="minorHAnsi"/>
                <w:szCs w:val="22"/>
                <w:lang w:eastAsia="en-AU"/>
              </w:rPr>
              <w:t>details several key performance indicators and project benchmarks to ensure that targets will be met.</w:t>
            </w:r>
            <w:r w:rsidR="00A63BF9">
              <w:rPr>
                <w:rFonts w:eastAsia="Times New Roman" w:cstheme="minorHAnsi"/>
                <w:szCs w:val="22"/>
                <w:lang w:eastAsia="en-AU"/>
              </w:rPr>
              <w:t xml:space="preserve"> </w:t>
            </w:r>
            <w:r>
              <w:rPr>
                <w:rFonts w:eastAsia="Times New Roman" w:cstheme="minorHAnsi"/>
                <w:szCs w:val="22"/>
                <w:lang w:eastAsia="en-AU"/>
              </w:rPr>
              <w:t>These include measuring the increase of participant numbers, the number of new courses developed, the number of courses completed, the establishment of veteran community programs, expansion of partnerships and networks and wellbeing improvement rates.</w:t>
            </w:r>
          </w:p>
          <w:p w14:paraId="26534FBA" w14:textId="2FB2AD72" w:rsidR="00657D2D" w:rsidRDefault="00657D2D" w:rsidP="00842887">
            <w:pPr>
              <w:spacing w:before="120" w:after="120" w:line="240" w:lineRule="auto"/>
              <w:ind w:left="113" w:right="57"/>
              <w:rPr>
                <w:rFonts w:eastAsia="Times New Roman" w:cstheme="minorHAnsi"/>
                <w:szCs w:val="22"/>
                <w:lang w:eastAsia="en-AU"/>
              </w:rPr>
            </w:pPr>
            <w:r>
              <w:rPr>
                <w:rFonts w:eastAsia="Times New Roman" w:cstheme="minorHAnsi"/>
                <w:szCs w:val="22"/>
                <w:lang w:eastAsia="en-AU"/>
              </w:rPr>
              <w:t xml:space="preserve">The </w:t>
            </w:r>
            <w:r w:rsidR="00842887">
              <w:rPr>
                <w:rFonts w:eastAsia="Times New Roman" w:cstheme="minorHAnsi"/>
                <w:szCs w:val="22"/>
                <w:lang w:eastAsia="en-AU"/>
              </w:rPr>
              <w:t>application</w:t>
            </w:r>
            <w:r>
              <w:rPr>
                <w:rFonts w:eastAsia="Times New Roman" w:cstheme="minorHAnsi"/>
                <w:szCs w:val="22"/>
                <w:lang w:eastAsia="en-AU"/>
              </w:rPr>
              <w:t xml:space="preserve"> also details the mechanisms in which data on key performance measures will be collected including through reporting mechanisms such as budget reports, feedback forms, measuring improved fitness and tracking participation and retention of veterans.</w:t>
            </w:r>
          </w:p>
        </w:tc>
      </w:tr>
    </w:tbl>
    <w:p w14:paraId="0D33D42A" w14:textId="77777777" w:rsidR="00190AF8" w:rsidRPr="00657D2D" w:rsidRDefault="00190AF8" w:rsidP="00657D2D">
      <w:bookmarkStart w:id="0" w:name="_GoBack"/>
      <w:bookmarkEnd w:id="0"/>
    </w:p>
    <w:sectPr w:rsidR="00190AF8" w:rsidRPr="00657D2D"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774D" w14:textId="77777777" w:rsidR="008849B1" w:rsidRDefault="008849B1" w:rsidP="00772718">
      <w:pPr>
        <w:spacing w:line="240" w:lineRule="auto"/>
      </w:pPr>
      <w:r>
        <w:separator/>
      </w:r>
    </w:p>
  </w:endnote>
  <w:endnote w:type="continuationSeparator" w:id="0">
    <w:p w14:paraId="2E0CBE82" w14:textId="77777777" w:rsidR="008849B1" w:rsidRDefault="008849B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24E4" w14:textId="2E72965B" w:rsidR="00744E76" w:rsidRDefault="00744E76">
    <w:pPr>
      <w:pStyle w:val="Footer"/>
    </w:pPr>
    <w:r>
      <w:fldChar w:fldCharType="begin"/>
    </w:r>
    <w:r>
      <w:instrText xml:space="preserve"> PAGE   \* MERGEFORMAT </w:instrText>
    </w:r>
    <w:r>
      <w:fldChar w:fldCharType="separate"/>
    </w:r>
    <w:r w:rsidR="00175816">
      <w:rPr>
        <w:noProof/>
      </w:rPr>
      <w:t>9</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73600853" wp14:editId="462C5B9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345A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445E" w14:textId="4292C681" w:rsidR="00744E76" w:rsidRDefault="00744E76">
    <w:pPr>
      <w:pStyle w:val="Footer"/>
    </w:pPr>
    <w:r>
      <w:fldChar w:fldCharType="begin"/>
    </w:r>
    <w:r>
      <w:instrText xml:space="preserve"> PAGE   \* MERGEFORMAT </w:instrText>
    </w:r>
    <w:r>
      <w:fldChar w:fldCharType="separate"/>
    </w:r>
    <w:r w:rsidR="00175816">
      <w:rPr>
        <w:noProof/>
      </w:rPr>
      <w:t>1</w:t>
    </w:r>
    <w:r>
      <w:fldChar w:fldCharType="end"/>
    </w:r>
    <w:r>
      <w:t xml:space="preserve">  </w:t>
    </w:r>
    <w:r w:rsidRPr="00A454BF">
      <w:t>|  Community Grants Hub</w:t>
    </w:r>
    <w:r>
      <w:tab/>
    </w:r>
    <w:r>
      <w:tab/>
    </w:r>
    <w:r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0959" w14:textId="77777777" w:rsidR="008849B1" w:rsidRDefault="008849B1" w:rsidP="00772718">
      <w:pPr>
        <w:spacing w:line="240" w:lineRule="auto"/>
      </w:pPr>
      <w:r>
        <w:separator/>
      </w:r>
    </w:p>
  </w:footnote>
  <w:footnote w:type="continuationSeparator" w:id="0">
    <w:p w14:paraId="4571DF47" w14:textId="77777777" w:rsidR="008849B1" w:rsidRDefault="008849B1" w:rsidP="00772718">
      <w:pPr>
        <w:spacing w:line="240" w:lineRule="auto"/>
      </w:pPr>
      <w:r>
        <w:continuationSeparator/>
      </w:r>
    </w:p>
  </w:footnote>
  <w:footnote w:id="1">
    <w:p w14:paraId="5009A526" w14:textId="77777777" w:rsidR="00657D2D" w:rsidRDefault="00657D2D" w:rsidP="00657D2D">
      <w:pPr>
        <w:pStyle w:val="BodyText"/>
      </w:pPr>
      <w:r>
        <w:rPr>
          <w:rStyle w:val="FootnoteReference"/>
        </w:rPr>
        <w:footnoteRef/>
      </w:r>
      <w:r>
        <w:t xml:space="preserve"> </w:t>
      </w:r>
      <w:r>
        <w:rPr>
          <w:i/>
          <w:sz w:val="14"/>
        </w:rPr>
        <w:t>Refer to Overview for the listed Veteran Wellbeing Grants Program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7F75" w14:textId="77777777" w:rsidR="00744E76" w:rsidRDefault="00744E76">
    <w:pPr>
      <w:pStyle w:val="Header"/>
    </w:pPr>
    <w:r>
      <w:rPr>
        <w:noProof/>
        <w:lang w:eastAsia="en-AU"/>
      </w:rPr>
      <mc:AlternateContent>
        <mc:Choice Requires="wps">
          <w:drawing>
            <wp:anchor distT="0" distB="0" distL="114300" distR="114300" simplePos="0" relativeHeight="251664384" behindDoc="0" locked="1" layoutInCell="1" allowOverlap="1" wp14:anchorId="0D62D217" wp14:editId="232277C7">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CE4C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63360" behindDoc="0" locked="1" layoutInCell="1" allowOverlap="1" wp14:anchorId="7C59C257" wp14:editId="1A81748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5570" w14:textId="77777777" w:rsidR="00744E76" w:rsidRDefault="00744E76">
    <w:pPr>
      <w:pStyle w:val="Header"/>
    </w:pPr>
    <w:r>
      <w:rPr>
        <w:noProof/>
        <w:lang w:eastAsia="en-AU"/>
      </w:rPr>
      <w:drawing>
        <wp:anchor distT="0" distB="0" distL="114300" distR="114300" simplePos="0" relativeHeight="251673600" behindDoc="0" locked="1" layoutInCell="1" allowOverlap="1" wp14:anchorId="2EC20752" wp14:editId="649FA45C">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B7159E0" wp14:editId="2691DB4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C8F8C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449580F7" wp14:editId="3681659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2279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1D230DE0" wp14:editId="64D810C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73D1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275AA5"/>
    <w:multiLevelType w:val="hybridMultilevel"/>
    <w:tmpl w:val="8EC496D6"/>
    <w:lvl w:ilvl="0" w:tplc="0C090001">
      <w:start w:val="1"/>
      <w:numFmt w:val="bullet"/>
      <w:lvlText w:val=""/>
      <w:lvlJc w:val="left"/>
      <w:pPr>
        <w:ind w:left="777" w:hanging="360"/>
      </w:pPr>
      <w:rPr>
        <w:rFonts w:ascii="Symbol" w:hAnsi="Symbol" w:hint="default"/>
      </w:rPr>
    </w:lvl>
    <w:lvl w:ilvl="1" w:tplc="37FE6FCC">
      <w:start w:val="1"/>
      <w:numFmt w:val="bullet"/>
      <w:lvlText w:val=""/>
      <w:lvlJc w:val="left"/>
      <w:pPr>
        <w:ind w:left="1497" w:hanging="360"/>
      </w:pPr>
      <w:rPr>
        <w:rFonts w:ascii="Symbol" w:hAnsi="Symbol" w:hint="default"/>
      </w:rPr>
    </w:lvl>
    <w:lvl w:ilvl="2" w:tplc="4D18E4B2">
      <w:start w:val="1"/>
      <w:numFmt w:val="bullet"/>
      <w:lvlText w:val="o"/>
      <w:lvlJc w:val="left"/>
      <w:pPr>
        <w:ind w:left="2217" w:hanging="180"/>
      </w:pPr>
      <w:rPr>
        <w:rFonts w:ascii="Courier New" w:hAnsi="Courier New" w:cs="Courier New" w:hint="default"/>
      </w:rPr>
    </w:lvl>
    <w:lvl w:ilvl="3" w:tplc="4550744C" w:tentative="1">
      <w:start w:val="1"/>
      <w:numFmt w:val="decimal"/>
      <w:lvlText w:val="%4."/>
      <w:lvlJc w:val="left"/>
      <w:pPr>
        <w:ind w:left="2937" w:hanging="360"/>
      </w:pPr>
    </w:lvl>
    <w:lvl w:ilvl="4" w:tplc="158E5A7E" w:tentative="1">
      <w:start w:val="1"/>
      <w:numFmt w:val="lowerLetter"/>
      <w:lvlText w:val="%5."/>
      <w:lvlJc w:val="left"/>
      <w:pPr>
        <w:ind w:left="3657" w:hanging="360"/>
      </w:pPr>
    </w:lvl>
    <w:lvl w:ilvl="5" w:tplc="0756C9A0" w:tentative="1">
      <w:start w:val="1"/>
      <w:numFmt w:val="lowerRoman"/>
      <w:lvlText w:val="%6."/>
      <w:lvlJc w:val="right"/>
      <w:pPr>
        <w:ind w:left="4377" w:hanging="180"/>
      </w:pPr>
    </w:lvl>
    <w:lvl w:ilvl="6" w:tplc="BB02F0AE" w:tentative="1">
      <w:start w:val="1"/>
      <w:numFmt w:val="decimal"/>
      <w:lvlText w:val="%7."/>
      <w:lvlJc w:val="left"/>
      <w:pPr>
        <w:ind w:left="5097" w:hanging="360"/>
      </w:pPr>
    </w:lvl>
    <w:lvl w:ilvl="7" w:tplc="0E2C0C9C" w:tentative="1">
      <w:start w:val="1"/>
      <w:numFmt w:val="lowerLetter"/>
      <w:lvlText w:val="%8."/>
      <w:lvlJc w:val="left"/>
      <w:pPr>
        <w:ind w:left="5817" w:hanging="360"/>
      </w:pPr>
    </w:lvl>
    <w:lvl w:ilvl="8" w:tplc="162C1ED8" w:tentative="1">
      <w:start w:val="1"/>
      <w:numFmt w:val="lowerRoman"/>
      <w:lvlText w:val="%9."/>
      <w:lvlJc w:val="right"/>
      <w:pPr>
        <w:ind w:left="6537" w:hanging="180"/>
      </w:pPr>
    </w:lvl>
  </w:abstractNum>
  <w:abstractNum w:abstractNumId="2" w15:restartNumberingAfterBreak="0">
    <w:nsid w:val="06645503"/>
    <w:multiLevelType w:val="hybridMultilevel"/>
    <w:tmpl w:val="13307414"/>
    <w:lvl w:ilvl="0" w:tplc="95E884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E51D8"/>
    <w:multiLevelType w:val="hybridMultilevel"/>
    <w:tmpl w:val="388EF09C"/>
    <w:lvl w:ilvl="0" w:tplc="0C09000F">
      <w:start w:val="1"/>
      <w:numFmt w:val="decimal"/>
      <w:lvlText w:val="%1."/>
      <w:lvlJc w:val="left"/>
      <w:pPr>
        <w:ind w:left="720" w:hanging="360"/>
      </w:pPr>
    </w:lvl>
    <w:lvl w:ilvl="1" w:tplc="2070C09C">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12423"/>
    <w:multiLevelType w:val="hybridMultilevel"/>
    <w:tmpl w:val="17C68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B4D04"/>
    <w:multiLevelType w:val="hybridMultilevel"/>
    <w:tmpl w:val="C9960A98"/>
    <w:lvl w:ilvl="0" w:tplc="0C090001">
      <w:start w:val="1"/>
      <w:numFmt w:val="bullet"/>
      <w:lvlText w:val=""/>
      <w:lvlJc w:val="left"/>
      <w:pPr>
        <w:ind w:left="777" w:hanging="360"/>
      </w:pPr>
      <w:rPr>
        <w:rFonts w:ascii="Symbol" w:hAnsi="Symbol" w:hint="default"/>
      </w:rPr>
    </w:lvl>
    <w:lvl w:ilvl="1" w:tplc="37FE6FCC">
      <w:start w:val="1"/>
      <w:numFmt w:val="bullet"/>
      <w:lvlText w:val=""/>
      <w:lvlJc w:val="left"/>
      <w:pPr>
        <w:ind w:left="1497" w:hanging="360"/>
      </w:pPr>
      <w:rPr>
        <w:rFonts w:ascii="Symbol" w:hAnsi="Symbol" w:hint="default"/>
      </w:rPr>
    </w:lvl>
    <w:lvl w:ilvl="2" w:tplc="4D18E4B2">
      <w:start w:val="1"/>
      <w:numFmt w:val="bullet"/>
      <w:lvlText w:val="o"/>
      <w:lvlJc w:val="left"/>
      <w:pPr>
        <w:ind w:left="2217" w:hanging="180"/>
      </w:pPr>
      <w:rPr>
        <w:rFonts w:ascii="Courier New" w:hAnsi="Courier New" w:cs="Courier New" w:hint="default"/>
      </w:rPr>
    </w:lvl>
    <w:lvl w:ilvl="3" w:tplc="4550744C" w:tentative="1">
      <w:start w:val="1"/>
      <w:numFmt w:val="decimal"/>
      <w:lvlText w:val="%4."/>
      <w:lvlJc w:val="left"/>
      <w:pPr>
        <w:ind w:left="2937" w:hanging="360"/>
      </w:pPr>
    </w:lvl>
    <w:lvl w:ilvl="4" w:tplc="158E5A7E" w:tentative="1">
      <w:start w:val="1"/>
      <w:numFmt w:val="lowerLetter"/>
      <w:lvlText w:val="%5."/>
      <w:lvlJc w:val="left"/>
      <w:pPr>
        <w:ind w:left="3657" w:hanging="360"/>
      </w:pPr>
    </w:lvl>
    <w:lvl w:ilvl="5" w:tplc="0756C9A0" w:tentative="1">
      <w:start w:val="1"/>
      <w:numFmt w:val="lowerRoman"/>
      <w:lvlText w:val="%6."/>
      <w:lvlJc w:val="right"/>
      <w:pPr>
        <w:ind w:left="4377" w:hanging="180"/>
      </w:pPr>
    </w:lvl>
    <w:lvl w:ilvl="6" w:tplc="BB02F0AE" w:tentative="1">
      <w:start w:val="1"/>
      <w:numFmt w:val="decimal"/>
      <w:lvlText w:val="%7."/>
      <w:lvlJc w:val="left"/>
      <w:pPr>
        <w:ind w:left="5097" w:hanging="360"/>
      </w:pPr>
    </w:lvl>
    <w:lvl w:ilvl="7" w:tplc="0E2C0C9C" w:tentative="1">
      <w:start w:val="1"/>
      <w:numFmt w:val="lowerLetter"/>
      <w:lvlText w:val="%8."/>
      <w:lvlJc w:val="left"/>
      <w:pPr>
        <w:ind w:left="5817" w:hanging="360"/>
      </w:pPr>
    </w:lvl>
    <w:lvl w:ilvl="8" w:tplc="162C1ED8" w:tentative="1">
      <w:start w:val="1"/>
      <w:numFmt w:val="lowerRoman"/>
      <w:lvlText w:val="%9."/>
      <w:lvlJc w:val="right"/>
      <w:pPr>
        <w:ind w:left="6537" w:hanging="180"/>
      </w:pPr>
    </w:lvl>
  </w:abstractNum>
  <w:abstractNum w:abstractNumId="6" w15:restartNumberingAfterBreak="0">
    <w:nsid w:val="0BF62028"/>
    <w:multiLevelType w:val="hybridMultilevel"/>
    <w:tmpl w:val="ACA27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D73262"/>
    <w:multiLevelType w:val="hybridMultilevel"/>
    <w:tmpl w:val="1C1C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C80EE1"/>
    <w:multiLevelType w:val="multilevel"/>
    <w:tmpl w:val="09BE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D79DF"/>
    <w:multiLevelType w:val="hybridMultilevel"/>
    <w:tmpl w:val="7168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03829"/>
    <w:multiLevelType w:val="hybridMultilevel"/>
    <w:tmpl w:val="84620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15262"/>
    <w:multiLevelType w:val="hybridMultilevel"/>
    <w:tmpl w:val="84C8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B3186"/>
    <w:multiLevelType w:val="hybridMultilevel"/>
    <w:tmpl w:val="31DABDA8"/>
    <w:lvl w:ilvl="0" w:tplc="95E884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445E7"/>
    <w:multiLevelType w:val="hybridMultilevel"/>
    <w:tmpl w:val="0948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3FDF0D3A"/>
    <w:multiLevelType w:val="hybridMultilevel"/>
    <w:tmpl w:val="72E65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D1BCA"/>
    <w:multiLevelType w:val="hybridMultilevel"/>
    <w:tmpl w:val="3000D2A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B664C93"/>
    <w:multiLevelType w:val="hybridMultilevel"/>
    <w:tmpl w:val="BC023A62"/>
    <w:lvl w:ilvl="0" w:tplc="95E884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58D37B7"/>
    <w:multiLevelType w:val="hybridMultilevel"/>
    <w:tmpl w:val="303E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E73C2"/>
    <w:multiLevelType w:val="hybridMultilevel"/>
    <w:tmpl w:val="37A4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04FCE"/>
    <w:multiLevelType w:val="hybridMultilevel"/>
    <w:tmpl w:val="DA7ED6C4"/>
    <w:lvl w:ilvl="0" w:tplc="5084273A">
      <w:start w:val="1"/>
      <w:numFmt w:val="decimal"/>
      <w:pStyle w:val="MBPoint"/>
      <w:lvlText w:val="%1."/>
      <w:lvlJc w:val="left"/>
      <w:pPr>
        <w:ind w:left="777" w:hanging="360"/>
      </w:pPr>
      <w:rPr>
        <w:rFonts w:hint="default"/>
      </w:rPr>
    </w:lvl>
    <w:lvl w:ilvl="1" w:tplc="37FE6FCC">
      <w:start w:val="1"/>
      <w:numFmt w:val="bullet"/>
      <w:lvlText w:val=""/>
      <w:lvlJc w:val="left"/>
      <w:pPr>
        <w:ind w:left="1497" w:hanging="360"/>
      </w:pPr>
      <w:rPr>
        <w:rFonts w:ascii="Symbol" w:hAnsi="Symbol" w:hint="default"/>
      </w:rPr>
    </w:lvl>
    <w:lvl w:ilvl="2" w:tplc="4D18E4B2">
      <w:start w:val="1"/>
      <w:numFmt w:val="bullet"/>
      <w:pStyle w:val="MBPointSub"/>
      <w:lvlText w:val="o"/>
      <w:lvlJc w:val="left"/>
      <w:pPr>
        <w:ind w:left="2217" w:hanging="180"/>
      </w:pPr>
      <w:rPr>
        <w:rFonts w:ascii="Courier New" w:hAnsi="Courier New" w:cs="Courier New" w:hint="default"/>
      </w:rPr>
    </w:lvl>
    <w:lvl w:ilvl="3" w:tplc="4550744C" w:tentative="1">
      <w:start w:val="1"/>
      <w:numFmt w:val="decimal"/>
      <w:lvlText w:val="%4."/>
      <w:lvlJc w:val="left"/>
      <w:pPr>
        <w:ind w:left="2937" w:hanging="360"/>
      </w:pPr>
    </w:lvl>
    <w:lvl w:ilvl="4" w:tplc="158E5A7E" w:tentative="1">
      <w:start w:val="1"/>
      <w:numFmt w:val="lowerLetter"/>
      <w:lvlText w:val="%5."/>
      <w:lvlJc w:val="left"/>
      <w:pPr>
        <w:ind w:left="3657" w:hanging="360"/>
      </w:pPr>
    </w:lvl>
    <w:lvl w:ilvl="5" w:tplc="0756C9A0" w:tentative="1">
      <w:start w:val="1"/>
      <w:numFmt w:val="lowerRoman"/>
      <w:lvlText w:val="%6."/>
      <w:lvlJc w:val="right"/>
      <w:pPr>
        <w:ind w:left="4377" w:hanging="180"/>
      </w:pPr>
    </w:lvl>
    <w:lvl w:ilvl="6" w:tplc="BB02F0AE" w:tentative="1">
      <w:start w:val="1"/>
      <w:numFmt w:val="decimal"/>
      <w:lvlText w:val="%7."/>
      <w:lvlJc w:val="left"/>
      <w:pPr>
        <w:ind w:left="5097" w:hanging="360"/>
      </w:pPr>
    </w:lvl>
    <w:lvl w:ilvl="7" w:tplc="0E2C0C9C" w:tentative="1">
      <w:start w:val="1"/>
      <w:numFmt w:val="lowerLetter"/>
      <w:lvlText w:val="%8."/>
      <w:lvlJc w:val="left"/>
      <w:pPr>
        <w:ind w:left="5817" w:hanging="360"/>
      </w:pPr>
    </w:lvl>
    <w:lvl w:ilvl="8" w:tplc="162C1ED8" w:tentative="1">
      <w:start w:val="1"/>
      <w:numFmt w:val="lowerRoman"/>
      <w:lvlText w:val="%9."/>
      <w:lvlJc w:val="right"/>
      <w:pPr>
        <w:ind w:left="6537" w:hanging="180"/>
      </w:pPr>
    </w:lvl>
  </w:abstractNum>
  <w:abstractNum w:abstractNumId="3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98144AF"/>
    <w:multiLevelType w:val="hybridMultilevel"/>
    <w:tmpl w:val="71CAAE68"/>
    <w:lvl w:ilvl="0" w:tplc="95E8845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65504F"/>
    <w:multiLevelType w:val="hybridMultilevel"/>
    <w:tmpl w:val="6FBE5E24"/>
    <w:lvl w:ilvl="0" w:tplc="92040CE4">
      <w:start w:val="1"/>
      <w:numFmt w:val="bullet"/>
      <w:lvlText w:val=""/>
      <w:lvlJc w:val="left"/>
      <w:pPr>
        <w:ind w:left="1080" w:hanging="72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F65062"/>
    <w:multiLevelType w:val="hybridMultilevel"/>
    <w:tmpl w:val="DC9A7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2"/>
  </w:num>
  <w:num w:numId="3">
    <w:abstractNumId w:val="13"/>
  </w:num>
  <w:num w:numId="4">
    <w:abstractNumId w:val="24"/>
  </w:num>
  <w:num w:numId="5">
    <w:abstractNumId w:val="21"/>
  </w:num>
  <w:num w:numId="6">
    <w:abstractNumId w:val="18"/>
  </w:num>
  <w:num w:numId="7">
    <w:abstractNumId w:val="14"/>
  </w:num>
  <w:num w:numId="8">
    <w:abstractNumId w:val="30"/>
  </w:num>
  <w:num w:numId="9">
    <w:abstractNumId w:val="26"/>
  </w:num>
  <w:num w:numId="10">
    <w:abstractNumId w:val="8"/>
  </w:num>
  <w:num w:numId="11">
    <w:abstractNumId w:val="15"/>
  </w:num>
  <w:num w:numId="12">
    <w:abstractNumId w:val="8"/>
  </w:num>
  <w:num w:numId="13">
    <w:abstractNumId w:val="33"/>
  </w:num>
  <w:num w:numId="14">
    <w:abstractNumId w:val="16"/>
  </w:num>
  <w:num w:numId="15">
    <w:abstractNumId w:val="27"/>
  </w:num>
  <w:num w:numId="16">
    <w:abstractNumId w:val="23"/>
  </w:num>
  <w:num w:numId="17">
    <w:abstractNumId w:val="11"/>
  </w:num>
  <w:num w:numId="18">
    <w:abstractNumId w:val="28"/>
  </w:num>
  <w:num w:numId="19">
    <w:abstractNumId w:val="7"/>
  </w:num>
  <w:num w:numId="20">
    <w:abstractNumId w:val="20"/>
  </w:num>
  <w:num w:numId="21">
    <w:abstractNumId w:val="29"/>
  </w:num>
  <w:num w:numId="22">
    <w:abstractNumId w:val="29"/>
    <w:lvlOverride w:ilvl="0">
      <w:startOverride w:val="1"/>
    </w:lvlOverride>
  </w:num>
  <w:num w:numId="23">
    <w:abstractNumId w:val="5"/>
  </w:num>
  <w:num w:numId="24">
    <w:abstractNumId w:val="29"/>
  </w:num>
  <w:num w:numId="25">
    <w:abstractNumId w:val="1"/>
  </w:num>
  <w:num w:numId="26">
    <w:abstractNumId w:val="29"/>
  </w:num>
  <w:num w:numId="27">
    <w:abstractNumId w:val="29"/>
  </w:num>
  <w:num w:numId="28">
    <w:abstractNumId w:val="29"/>
  </w:num>
  <w:num w:numId="29">
    <w:abstractNumId w:val="22"/>
  </w:num>
  <w:num w:numId="30">
    <w:abstractNumId w:val="35"/>
  </w:num>
  <w:num w:numId="31">
    <w:abstractNumId w:val="6"/>
  </w:num>
  <w:num w:numId="32">
    <w:abstractNumId w:val="4"/>
  </w:num>
  <w:num w:numId="33">
    <w:abstractNumId w:val="34"/>
  </w:num>
  <w:num w:numId="34">
    <w:abstractNumId w:val="3"/>
  </w:num>
  <w:num w:numId="35">
    <w:abstractNumId w:val="9"/>
  </w:num>
  <w:num w:numId="36">
    <w:abstractNumId w:val="25"/>
  </w:num>
  <w:num w:numId="37">
    <w:abstractNumId w:val="2"/>
  </w:num>
  <w:num w:numId="38">
    <w:abstractNumId w:val="12"/>
  </w:num>
  <w:num w:numId="39">
    <w:abstractNumId w:val="10"/>
  </w:num>
  <w:num w:numId="40">
    <w:abstractNumId w:val="17"/>
  </w:num>
  <w:num w:numId="41">
    <w:abstractNumId w:val="31"/>
  </w:num>
  <w:num w:numId="42">
    <w:abstractNumId w:val="19"/>
  </w:num>
  <w:num w:numId="4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351E"/>
    <w:rsid w:val="00015AE4"/>
    <w:rsid w:val="000219A9"/>
    <w:rsid w:val="000237E7"/>
    <w:rsid w:val="00024499"/>
    <w:rsid w:val="0003018E"/>
    <w:rsid w:val="00033BC3"/>
    <w:rsid w:val="00040273"/>
    <w:rsid w:val="00043DC5"/>
    <w:rsid w:val="00044E09"/>
    <w:rsid w:val="000455E3"/>
    <w:rsid w:val="0004784D"/>
    <w:rsid w:val="000535A3"/>
    <w:rsid w:val="00053A00"/>
    <w:rsid w:val="00053DC5"/>
    <w:rsid w:val="000551F5"/>
    <w:rsid w:val="0005566A"/>
    <w:rsid w:val="000607B1"/>
    <w:rsid w:val="0008679F"/>
    <w:rsid w:val="0009025A"/>
    <w:rsid w:val="000B3948"/>
    <w:rsid w:val="000B6C00"/>
    <w:rsid w:val="000C1F06"/>
    <w:rsid w:val="000C4D3D"/>
    <w:rsid w:val="000D6394"/>
    <w:rsid w:val="000E2A2A"/>
    <w:rsid w:val="000E2F9C"/>
    <w:rsid w:val="000E7018"/>
    <w:rsid w:val="000F1DD1"/>
    <w:rsid w:val="000F28B8"/>
    <w:rsid w:val="000F3766"/>
    <w:rsid w:val="00100880"/>
    <w:rsid w:val="00101AE4"/>
    <w:rsid w:val="00104E99"/>
    <w:rsid w:val="00104F7B"/>
    <w:rsid w:val="00106FC4"/>
    <w:rsid w:val="00111F0C"/>
    <w:rsid w:val="00117908"/>
    <w:rsid w:val="00120B80"/>
    <w:rsid w:val="00124BC2"/>
    <w:rsid w:val="00141E81"/>
    <w:rsid w:val="00144503"/>
    <w:rsid w:val="00145E2D"/>
    <w:rsid w:val="00155343"/>
    <w:rsid w:val="00161746"/>
    <w:rsid w:val="00163AF3"/>
    <w:rsid w:val="0016612C"/>
    <w:rsid w:val="00172EEC"/>
    <w:rsid w:val="00173646"/>
    <w:rsid w:val="00175816"/>
    <w:rsid w:val="00176351"/>
    <w:rsid w:val="001763D4"/>
    <w:rsid w:val="00176E57"/>
    <w:rsid w:val="00180920"/>
    <w:rsid w:val="00181433"/>
    <w:rsid w:val="001834DD"/>
    <w:rsid w:val="00190AF8"/>
    <w:rsid w:val="00191BCF"/>
    <w:rsid w:val="00194093"/>
    <w:rsid w:val="001A0421"/>
    <w:rsid w:val="001A18DA"/>
    <w:rsid w:val="001A283E"/>
    <w:rsid w:val="001A3877"/>
    <w:rsid w:val="001B1B95"/>
    <w:rsid w:val="001B7D96"/>
    <w:rsid w:val="001C1F54"/>
    <w:rsid w:val="001C53CE"/>
    <w:rsid w:val="001C5D96"/>
    <w:rsid w:val="001C784F"/>
    <w:rsid w:val="001D341B"/>
    <w:rsid w:val="001D3A93"/>
    <w:rsid w:val="001E3D2B"/>
    <w:rsid w:val="001E5415"/>
    <w:rsid w:val="001E66CE"/>
    <w:rsid w:val="001F5963"/>
    <w:rsid w:val="001F6BE5"/>
    <w:rsid w:val="00221DC2"/>
    <w:rsid w:val="0024271E"/>
    <w:rsid w:val="00243004"/>
    <w:rsid w:val="00244B48"/>
    <w:rsid w:val="00256CDA"/>
    <w:rsid w:val="002573D5"/>
    <w:rsid w:val="002600F2"/>
    <w:rsid w:val="00264E26"/>
    <w:rsid w:val="00267142"/>
    <w:rsid w:val="00271E92"/>
    <w:rsid w:val="00280E74"/>
    <w:rsid w:val="00281208"/>
    <w:rsid w:val="00282CF4"/>
    <w:rsid w:val="00284E4B"/>
    <w:rsid w:val="002914C6"/>
    <w:rsid w:val="00292675"/>
    <w:rsid w:val="002A25D9"/>
    <w:rsid w:val="002A41E1"/>
    <w:rsid w:val="002A6E66"/>
    <w:rsid w:val="002B6574"/>
    <w:rsid w:val="002B73FA"/>
    <w:rsid w:val="002C1679"/>
    <w:rsid w:val="002D3419"/>
    <w:rsid w:val="002D34EF"/>
    <w:rsid w:val="002D4D48"/>
    <w:rsid w:val="002E0AA1"/>
    <w:rsid w:val="002E1CCC"/>
    <w:rsid w:val="002E21D2"/>
    <w:rsid w:val="002E39AC"/>
    <w:rsid w:val="002E4288"/>
    <w:rsid w:val="002E4F8C"/>
    <w:rsid w:val="002F45BA"/>
    <w:rsid w:val="002F7D3C"/>
    <w:rsid w:val="00302D5E"/>
    <w:rsid w:val="00302DC1"/>
    <w:rsid w:val="00304344"/>
    <w:rsid w:val="00305720"/>
    <w:rsid w:val="0031032B"/>
    <w:rsid w:val="00310778"/>
    <w:rsid w:val="0031098A"/>
    <w:rsid w:val="003131AB"/>
    <w:rsid w:val="003171E3"/>
    <w:rsid w:val="00320B4F"/>
    <w:rsid w:val="003217BE"/>
    <w:rsid w:val="00330F25"/>
    <w:rsid w:val="0034044F"/>
    <w:rsid w:val="00347EFE"/>
    <w:rsid w:val="00355FF2"/>
    <w:rsid w:val="0035639D"/>
    <w:rsid w:val="00376001"/>
    <w:rsid w:val="0038048B"/>
    <w:rsid w:val="003909E6"/>
    <w:rsid w:val="00391339"/>
    <w:rsid w:val="003A17CA"/>
    <w:rsid w:val="003B5410"/>
    <w:rsid w:val="003D0615"/>
    <w:rsid w:val="003D0647"/>
    <w:rsid w:val="003D1265"/>
    <w:rsid w:val="003D255E"/>
    <w:rsid w:val="003D2C24"/>
    <w:rsid w:val="003D3B1D"/>
    <w:rsid w:val="003D4B2C"/>
    <w:rsid w:val="003D5DBE"/>
    <w:rsid w:val="003D7418"/>
    <w:rsid w:val="003E01D1"/>
    <w:rsid w:val="003E3310"/>
    <w:rsid w:val="003E3D07"/>
    <w:rsid w:val="003E565A"/>
    <w:rsid w:val="003F4EB8"/>
    <w:rsid w:val="00400B47"/>
    <w:rsid w:val="00404841"/>
    <w:rsid w:val="00406465"/>
    <w:rsid w:val="004104B6"/>
    <w:rsid w:val="00412059"/>
    <w:rsid w:val="00422E02"/>
    <w:rsid w:val="004250DC"/>
    <w:rsid w:val="00425633"/>
    <w:rsid w:val="0043036A"/>
    <w:rsid w:val="00441E79"/>
    <w:rsid w:val="00442E1E"/>
    <w:rsid w:val="00444032"/>
    <w:rsid w:val="0044540B"/>
    <w:rsid w:val="0044643A"/>
    <w:rsid w:val="00450486"/>
    <w:rsid w:val="00454EB4"/>
    <w:rsid w:val="0045631C"/>
    <w:rsid w:val="004576DD"/>
    <w:rsid w:val="00461BE1"/>
    <w:rsid w:val="00466B71"/>
    <w:rsid w:val="00467B7D"/>
    <w:rsid w:val="004709E9"/>
    <w:rsid w:val="00472379"/>
    <w:rsid w:val="004723EB"/>
    <w:rsid w:val="00475A3B"/>
    <w:rsid w:val="00476453"/>
    <w:rsid w:val="00476AFF"/>
    <w:rsid w:val="00476D1F"/>
    <w:rsid w:val="00483A58"/>
    <w:rsid w:val="00490618"/>
    <w:rsid w:val="004A104E"/>
    <w:rsid w:val="004B203A"/>
    <w:rsid w:val="004B39EB"/>
    <w:rsid w:val="004B5816"/>
    <w:rsid w:val="004B5F40"/>
    <w:rsid w:val="004C422E"/>
    <w:rsid w:val="004C7D16"/>
    <w:rsid w:val="004D0860"/>
    <w:rsid w:val="004D3495"/>
    <w:rsid w:val="004D700E"/>
    <w:rsid w:val="004D7F17"/>
    <w:rsid w:val="004E0670"/>
    <w:rsid w:val="004E5CE8"/>
    <w:rsid w:val="004E64AF"/>
    <w:rsid w:val="004E7F37"/>
    <w:rsid w:val="004F2EF8"/>
    <w:rsid w:val="004F31BA"/>
    <w:rsid w:val="00505825"/>
    <w:rsid w:val="005118E4"/>
    <w:rsid w:val="0051299F"/>
    <w:rsid w:val="00526B85"/>
    <w:rsid w:val="00526E92"/>
    <w:rsid w:val="005306A1"/>
    <w:rsid w:val="0054239B"/>
    <w:rsid w:val="00542403"/>
    <w:rsid w:val="005427B3"/>
    <w:rsid w:val="00544751"/>
    <w:rsid w:val="00545CD3"/>
    <w:rsid w:val="00552458"/>
    <w:rsid w:val="00553A84"/>
    <w:rsid w:val="00554663"/>
    <w:rsid w:val="00557338"/>
    <w:rsid w:val="005577D3"/>
    <w:rsid w:val="00563F88"/>
    <w:rsid w:val="00571E8B"/>
    <w:rsid w:val="0059000C"/>
    <w:rsid w:val="005928CD"/>
    <w:rsid w:val="005A02A1"/>
    <w:rsid w:val="005B3BC1"/>
    <w:rsid w:val="005B6071"/>
    <w:rsid w:val="005C120F"/>
    <w:rsid w:val="005D67F9"/>
    <w:rsid w:val="005D7A24"/>
    <w:rsid w:val="005D7F77"/>
    <w:rsid w:val="005E1395"/>
    <w:rsid w:val="005E2AAE"/>
    <w:rsid w:val="005E463A"/>
    <w:rsid w:val="006007C1"/>
    <w:rsid w:val="006012AD"/>
    <w:rsid w:val="00606138"/>
    <w:rsid w:val="00611380"/>
    <w:rsid w:val="00616E10"/>
    <w:rsid w:val="00616EBA"/>
    <w:rsid w:val="00620574"/>
    <w:rsid w:val="00622B47"/>
    <w:rsid w:val="00632C08"/>
    <w:rsid w:val="00654C42"/>
    <w:rsid w:val="00657D2D"/>
    <w:rsid w:val="00662D0A"/>
    <w:rsid w:val="00663CA6"/>
    <w:rsid w:val="00666660"/>
    <w:rsid w:val="00667152"/>
    <w:rsid w:val="0067047F"/>
    <w:rsid w:val="0067074A"/>
    <w:rsid w:val="006711B5"/>
    <w:rsid w:val="00672438"/>
    <w:rsid w:val="00672994"/>
    <w:rsid w:val="006807C9"/>
    <w:rsid w:val="006923E2"/>
    <w:rsid w:val="00692AFC"/>
    <w:rsid w:val="00692EFD"/>
    <w:rsid w:val="00694FDB"/>
    <w:rsid w:val="006973B6"/>
    <w:rsid w:val="006B39E8"/>
    <w:rsid w:val="006C15C5"/>
    <w:rsid w:val="006C25B7"/>
    <w:rsid w:val="006D2590"/>
    <w:rsid w:val="006D3DAD"/>
    <w:rsid w:val="006D4A4B"/>
    <w:rsid w:val="006E1C6A"/>
    <w:rsid w:val="006E476C"/>
    <w:rsid w:val="006E779B"/>
    <w:rsid w:val="006F6096"/>
    <w:rsid w:val="006F7B19"/>
    <w:rsid w:val="00700EBD"/>
    <w:rsid w:val="00701DF0"/>
    <w:rsid w:val="00707E21"/>
    <w:rsid w:val="00716D7B"/>
    <w:rsid w:val="00736A76"/>
    <w:rsid w:val="00740E33"/>
    <w:rsid w:val="00741D18"/>
    <w:rsid w:val="00744E76"/>
    <w:rsid w:val="0074560B"/>
    <w:rsid w:val="00752C6B"/>
    <w:rsid w:val="007609A7"/>
    <w:rsid w:val="00760C85"/>
    <w:rsid w:val="00760CE6"/>
    <w:rsid w:val="00762F09"/>
    <w:rsid w:val="00765667"/>
    <w:rsid w:val="00765E5C"/>
    <w:rsid w:val="00766331"/>
    <w:rsid w:val="00767333"/>
    <w:rsid w:val="007719C9"/>
    <w:rsid w:val="00772718"/>
    <w:rsid w:val="00776FF5"/>
    <w:rsid w:val="00783975"/>
    <w:rsid w:val="00796F8D"/>
    <w:rsid w:val="007975D7"/>
    <w:rsid w:val="007A052B"/>
    <w:rsid w:val="007B0389"/>
    <w:rsid w:val="007B4128"/>
    <w:rsid w:val="007B695F"/>
    <w:rsid w:val="007C526E"/>
    <w:rsid w:val="007D0619"/>
    <w:rsid w:val="007D30A8"/>
    <w:rsid w:val="007D3754"/>
    <w:rsid w:val="007E2AF8"/>
    <w:rsid w:val="007E440D"/>
    <w:rsid w:val="007F271C"/>
    <w:rsid w:val="007F332F"/>
    <w:rsid w:val="007F6391"/>
    <w:rsid w:val="007F7269"/>
    <w:rsid w:val="00800A3C"/>
    <w:rsid w:val="00803B8E"/>
    <w:rsid w:val="00810203"/>
    <w:rsid w:val="00810B33"/>
    <w:rsid w:val="008124F5"/>
    <w:rsid w:val="00814FB1"/>
    <w:rsid w:val="00820F20"/>
    <w:rsid w:val="0082528A"/>
    <w:rsid w:val="00825754"/>
    <w:rsid w:val="00833758"/>
    <w:rsid w:val="00835210"/>
    <w:rsid w:val="008356A7"/>
    <w:rsid w:val="00842887"/>
    <w:rsid w:val="0084413D"/>
    <w:rsid w:val="00844C2D"/>
    <w:rsid w:val="00844D04"/>
    <w:rsid w:val="008457D7"/>
    <w:rsid w:val="00845DAA"/>
    <w:rsid w:val="00851FDD"/>
    <w:rsid w:val="00857E98"/>
    <w:rsid w:val="008640B0"/>
    <w:rsid w:val="00866314"/>
    <w:rsid w:val="00871A8D"/>
    <w:rsid w:val="00872F23"/>
    <w:rsid w:val="0087438E"/>
    <w:rsid w:val="008775E7"/>
    <w:rsid w:val="00884668"/>
    <w:rsid w:val="0088479A"/>
    <w:rsid w:val="008849B1"/>
    <w:rsid w:val="008946F7"/>
    <w:rsid w:val="00895EB9"/>
    <w:rsid w:val="008A02F5"/>
    <w:rsid w:val="008B2B46"/>
    <w:rsid w:val="008D2F6A"/>
    <w:rsid w:val="008D40B9"/>
    <w:rsid w:val="008D4FDE"/>
    <w:rsid w:val="008E05BC"/>
    <w:rsid w:val="008E219D"/>
    <w:rsid w:val="008E370C"/>
    <w:rsid w:val="008F17B8"/>
    <w:rsid w:val="008F2721"/>
    <w:rsid w:val="008F3CCF"/>
    <w:rsid w:val="00901750"/>
    <w:rsid w:val="00901A61"/>
    <w:rsid w:val="009058EE"/>
    <w:rsid w:val="0091131F"/>
    <w:rsid w:val="0091143A"/>
    <w:rsid w:val="00921840"/>
    <w:rsid w:val="009325A5"/>
    <w:rsid w:val="00932C87"/>
    <w:rsid w:val="009331B4"/>
    <w:rsid w:val="009345F1"/>
    <w:rsid w:val="00934C95"/>
    <w:rsid w:val="00935196"/>
    <w:rsid w:val="00936882"/>
    <w:rsid w:val="00944BBB"/>
    <w:rsid w:val="009547B6"/>
    <w:rsid w:val="00961072"/>
    <w:rsid w:val="00961775"/>
    <w:rsid w:val="00963818"/>
    <w:rsid w:val="0096623C"/>
    <w:rsid w:val="00982B17"/>
    <w:rsid w:val="009844C8"/>
    <w:rsid w:val="009A2F51"/>
    <w:rsid w:val="009A34F3"/>
    <w:rsid w:val="009B13BB"/>
    <w:rsid w:val="009B3015"/>
    <w:rsid w:val="009C6945"/>
    <w:rsid w:val="009C6C53"/>
    <w:rsid w:val="009D1C75"/>
    <w:rsid w:val="009D1F5B"/>
    <w:rsid w:val="009E1A74"/>
    <w:rsid w:val="009E1D2F"/>
    <w:rsid w:val="009E33CD"/>
    <w:rsid w:val="009E750F"/>
    <w:rsid w:val="009F411B"/>
    <w:rsid w:val="009F7763"/>
    <w:rsid w:val="00A0461C"/>
    <w:rsid w:val="00A04D96"/>
    <w:rsid w:val="00A0629B"/>
    <w:rsid w:val="00A14495"/>
    <w:rsid w:val="00A1572E"/>
    <w:rsid w:val="00A16BE1"/>
    <w:rsid w:val="00A24F65"/>
    <w:rsid w:val="00A33C3A"/>
    <w:rsid w:val="00A453D7"/>
    <w:rsid w:val="00A454BF"/>
    <w:rsid w:val="00A52E3A"/>
    <w:rsid w:val="00A54646"/>
    <w:rsid w:val="00A57AE2"/>
    <w:rsid w:val="00A63BF9"/>
    <w:rsid w:val="00A6688A"/>
    <w:rsid w:val="00A67A5A"/>
    <w:rsid w:val="00A73308"/>
    <w:rsid w:val="00A7508C"/>
    <w:rsid w:val="00A803A8"/>
    <w:rsid w:val="00A814CB"/>
    <w:rsid w:val="00A877ED"/>
    <w:rsid w:val="00A90D1B"/>
    <w:rsid w:val="00AA7207"/>
    <w:rsid w:val="00AC05D7"/>
    <w:rsid w:val="00AC144D"/>
    <w:rsid w:val="00AD09BF"/>
    <w:rsid w:val="00AD38EF"/>
    <w:rsid w:val="00AD70E2"/>
    <w:rsid w:val="00AE057C"/>
    <w:rsid w:val="00AE3076"/>
    <w:rsid w:val="00AE7A81"/>
    <w:rsid w:val="00AF13EE"/>
    <w:rsid w:val="00AF2C54"/>
    <w:rsid w:val="00AF441B"/>
    <w:rsid w:val="00AF55F8"/>
    <w:rsid w:val="00B10ABA"/>
    <w:rsid w:val="00B20244"/>
    <w:rsid w:val="00B21F83"/>
    <w:rsid w:val="00B303E4"/>
    <w:rsid w:val="00B420D4"/>
    <w:rsid w:val="00B5069D"/>
    <w:rsid w:val="00B57910"/>
    <w:rsid w:val="00B63DBC"/>
    <w:rsid w:val="00B66FD4"/>
    <w:rsid w:val="00B723B3"/>
    <w:rsid w:val="00B7327F"/>
    <w:rsid w:val="00B85086"/>
    <w:rsid w:val="00B86B43"/>
    <w:rsid w:val="00B91B21"/>
    <w:rsid w:val="00B91E89"/>
    <w:rsid w:val="00B9403D"/>
    <w:rsid w:val="00B940CF"/>
    <w:rsid w:val="00B952F6"/>
    <w:rsid w:val="00BA202A"/>
    <w:rsid w:val="00BC093A"/>
    <w:rsid w:val="00BC2B00"/>
    <w:rsid w:val="00BC4ACC"/>
    <w:rsid w:val="00BC4FCC"/>
    <w:rsid w:val="00BD02F8"/>
    <w:rsid w:val="00BD2DDA"/>
    <w:rsid w:val="00BE06E9"/>
    <w:rsid w:val="00BE1CE1"/>
    <w:rsid w:val="00BF2116"/>
    <w:rsid w:val="00BF213B"/>
    <w:rsid w:val="00C04432"/>
    <w:rsid w:val="00C066E9"/>
    <w:rsid w:val="00C1488E"/>
    <w:rsid w:val="00C217A8"/>
    <w:rsid w:val="00C250B3"/>
    <w:rsid w:val="00C2547E"/>
    <w:rsid w:val="00C25C42"/>
    <w:rsid w:val="00C37487"/>
    <w:rsid w:val="00C40194"/>
    <w:rsid w:val="00C40F1A"/>
    <w:rsid w:val="00C4188F"/>
    <w:rsid w:val="00C64B6B"/>
    <w:rsid w:val="00C73E96"/>
    <w:rsid w:val="00C818A6"/>
    <w:rsid w:val="00C819A4"/>
    <w:rsid w:val="00C824AE"/>
    <w:rsid w:val="00C84EA8"/>
    <w:rsid w:val="00C90669"/>
    <w:rsid w:val="00C92998"/>
    <w:rsid w:val="00C97FE4"/>
    <w:rsid w:val="00CA3228"/>
    <w:rsid w:val="00CA720A"/>
    <w:rsid w:val="00CB3AFD"/>
    <w:rsid w:val="00CB3FFC"/>
    <w:rsid w:val="00CD0003"/>
    <w:rsid w:val="00CD5925"/>
    <w:rsid w:val="00CD5F85"/>
    <w:rsid w:val="00CD60F7"/>
    <w:rsid w:val="00CE557A"/>
    <w:rsid w:val="00CE70B7"/>
    <w:rsid w:val="00CF4A60"/>
    <w:rsid w:val="00CF5782"/>
    <w:rsid w:val="00D031B2"/>
    <w:rsid w:val="00D1410C"/>
    <w:rsid w:val="00D16950"/>
    <w:rsid w:val="00D21631"/>
    <w:rsid w:val="00D263ED"/>
    <w:rsid w:val="00D33B19"/>
    <w:rsid w:val="00D33DFF"/>
    <w:rsid w:val="00D33E07"/>
    <w:rsid w:val="00D3434A"/>
    <w:rsid w:val="00D40D16"/>
    <w:rsid w:val="00D42FE2"/>
    <w:rsid w:val="00D433F8"/>
    <w:rsid w:val="00D548F0"/>
    <w:rsid w:val="00D55628"/>
    <w:rsid w:val="00D57F79"/>
    <w:rsid w:val="00D6457E"/>
    <w:rsid w:val="00D64FAC"/>
    <w:rsid w:val="00D65704"/>
    <w:rsid w:val="00D668F6"/>
    <w:rsid w:val="00D741F9"/>
    <w:rsid w:val="00D83F3D"/>
    <w:rsid w:val="00D84875"/>
    <w:rsid w:val="00D904F0"/>
    <w:rsid w:val="00D91378"/>
    <w:rsid w:val="00D91B18"/>
    <w:rsid w:val="00D930FB"/>
    <w:rsid w:val="00D95D89"/>
    <w:rsid w:val="00DA78BD"/>
    <w:rsid w:val="00DA7950"/>
    <w:rsid w:val="00DB02DE"/>
    <w:rsid w:val="00DB09C2"/>
    <w:rsid w:val="00DC0747"/>
    <w:rsid w:val="00DC2647"/>
    <w:rsid w:val="00DC316D"/>
    <w:rsid w:val="00DD1408"/>
    <w:rsid w:val="00DD30CD"/>
    <w:rsid w:val="00DD356D"/>
    <w:rsid w:val="00DD6735"/>
    <w:rsid w:val="00DD72DE"/>
    <w:rsid w:val="00DE1D09"/>
    <w:rsid w:val="00DE2BC7"/>
    <w:rsid w:val="00DF136A"/>
    <w:rsid w:val="00DF51FA"/>
    <w:rsid w:val="00E02889"/>
    <w:rsid w:val="00E0448C"/>
    <w:rsid w:val="00E05C69"/>
    <w:rsid w:val="00E13525"/>
    <w:rsid w:val="00E172AB"/>
    <w:rsid w:val="00E47250"/>
    <w:rsid w:val="00E47ADA"/>
    <w:rsid w:val="00E508E6"/>
    <w:rsid w:val="00E54042"/>
    <w:rsid w:val="00E61535"/>
    <w:rsid w:val="00E65E06"/>
    <w:rsid w:val="00E66CB0"/>
    <w:rsid w:val="00E73F55"/>
    <w:rsid w:val="00E73FF0"/>
    <w:rsid w:val="00E74266"/>
    <w:rsid w:val="00E7480B"/>
    <w:rsid w:val="00E7581D"/>
    <w:rsid w:val="00E8246B"/>
    <w:rsid w:val="00E82A1B"/>
    <w:rsid w:val="00E82C9D"/>
    <w:rsid w:val="00E84012"/>
    <w:rsid w:val="00E84027"/>
    <w:rsid w:val="00E84D68"/>
    <w:rsid w:val="00E86FBE"/>
    <w:rsid w:val="00E9373C"/>
    <w:rsid w:val="00EA0724"/>
    <w:rsid w:val="00EA6251"/>
    <w:rsid w:val="00EB313F"/>
    <w:rsid w:val="00EB6414"/>
    <w:rsid w:val="00EC6C58"/>
    <w:rsid w:val="00ED7D98"/>
    <w:rsid w:val="00EE3BA6"/>
    <w:rsid w:val="00EE5747"/>
    <w:rsid w:val="00EF3804"/>
    <w:rsid w:val="00EF5E05"/>
    <w:rsid w:val="00EF7845"/>
    <w:rsid w:val="00F073CA"/>
    <w:rsid w:val="00F227AF"/>
    <w:rsid w:val="00F2657E"/>
    <w:rsid w:val="00F27370"/>
    <w:rsid w:val="00F40B00"/>
    <w:rsid w:val="00F41AAB"/>
    <w:rsid w:val="00F43304"/>
    <w:rsid w:val="00F44325"/>
    <w:rsid w:val="00F52355"/>
    <w:rsid w:val="00F5341C"/>
    <w:rsid w:val="00F56954"/>
    <w:rsid w:val="00F57F59"/>
    <w:rsid w:val="00F62C5F"/>
    <w:rsid w:val="00F641D1"/>
    <w:rsid w:val="00F76062"/>
    <w:rsid w:val="00F84158"/>
    <w:rsid w:val="00F85F98"/>
    <w:rsid w:val="00F948AF"/>
    <w:rsid w:val="00FA1F45"/>
    <w:rsid w:val="00FA5A7B"/>
    <w:rsid w:val="00FA7B7A"/>
    <w:rsid w:val="00FB11B1"/>
    <w:rsid w:val="00FC1C24"/>
    <w:rsid w:val="00FC4319"/>
    <w:rsid w:val="00FC792F"/>
    <w:rsid w:val="00FD7A77"/>
    <w:rsid w:val="00FE00E8"/>
    <w:rsid w:val="00FE1904"/>
    <w:rsid w:val="00FF3B8D"/>
    <w:rsid w:val="00FF5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C07207C"/>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D09BF"/>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AR bullet 1,Bullet Number,FooterText,L,List Paragraph Number,List Paragraph2,Num Bullet 1,Num List Paragraph,Number Paragraph,Numbered paragraph,lp1,列"/>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AR bullet 1 Char,Bullet Number Char,FooterText Char,L Char,List Paragraph Number Char,List Paragraph1 Char,List Paragraph2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customStyle="1" w:styleId="MBPoint">
    <w:name w:val="MB Point"/>
    <w:basedOn w:val="ListParagraph"/>
    <w:link w:val="MBPointChar"/>
    <w:qFormat/>
    <w:rsid w:val="00A73308"/>
    <w:pPr>
      <w:numPr>
        <w:numId w:val="21"/>
      </w:numPr>
      <w:spacing w:after="60" w:line="240" w:lineRule="auto"/>
      <w:contextualSpacing w:val="0"/>
    </w:pPr>
    <w:rPr>
      <w:rFonts w:ascii="Calibri" w:hAnsi="Calibri"/>
      <w:szCs w:val="24"/>
    </w:rPr>
  </w:style>
  <w:style w:type="paragraph" w:customStyle="1" w:styleId="MBPointSub">
    <w:name w:val="MB Point Sub"/>
    <w:basedOn w:val="ListParagraph"/>
    <w:qFormat/>
    <w:rsid w:val="00A73308"/>
    <w:pPr>
      <w:numPr>
        <w:ilvl w:val="2"/>
        <w:numId w:val="21"/>
      </w:numPr>
      <w:tabs>
        <w:tab w:val="num" w:pos="360"/>
      </w:tabs>
      <w:spacing w:after="120" w:line="240" w:lineRule="auto"/>
      <w:ind w:left="1231" w:hanging="380"/>
      <w:contextualSpacing w:val="0"/>
    </w:pPr>
    <w:rPr>
      <w:rFonts w:cstheme="minorHAnsi"/>
      <w:szCs w:val="22"/>
    </w:rPr>
  </w:style>
  <w:style w:type="character" w:customStyle="1" w:styleId="MBPointChar">
    <w:name w:val="MB Point Char"/>
    <w:basedOn w:val="DefaultParagraphFont"/>
    <w:link w:val="MBPoint"/>
    <w:rsid w:val="00A73308"/>
    <w:rPr>
      <w:rFonts w:ascii="Calibri" w:hAnsi="Calibri"/>
      <w:color w:val="000000" w:themeColor="text1"/>
      <w:sz w:val="22"/>
      <w:szCs w:val="24"/>
    </w:rPr>
  </w:style>
  <w:style w:type="paragraph" w:customStyle="1" w:styleId="highlightedtext">
    <w:name w:val="highlighted text"/>
    <w:basedOn w:val="Normal"/>
    <w:link w:val="highlightedtextChar"/>
    <w:qFormat/>
    <w:rsid w:val="00A73308"/>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A73308"/>
    <w:rPr>
      <w:rFonts w:asciiTheme="minorHAnsi" w:hAnsiTheme="minorHAnsi" w:cstheme="minorBidi"/>
      <w:b/>
      <w:iCs/>
      <w:color w:val="917700" w:themeColor="accent3" w:themeShade="80"/>
      <w:sz w:val="22"/>
      <w:szCs w:val="22"/>
    </w:rPr>
  </w:style>
  <w:style w:type="paragraph" w:styleId="ListBullet">
    <w:name w:val="List Bullet"/>
    <w:basedOn w:val="Normal"/>
    <w:uiPriority w:val="99"/>
    <w:qFormat/>
    <w:rsid w:val="002C1679"/>
    <w:pPr>
      <w:numPr>
        <w:numId w:val="35"/>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E65E06"/>
    <w:rPr>
      <w:vertAlign w:val="superscript"/>
    </w:rPr>
  </w:style>
  <w:style w:type="paragraph" w:styleId="NormalWeb">
    <w:name w:val="Normal (Web)"/>
    <w:basedOn w:val="Normal"/>
    <w:uiPriority w:val="99"/>
    <w:semiHidden/>
    <w:unhideWhenUsed/>
    <w:rsid w:val="001C784F"/>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FollowedHyperlink">
    <w:name w:val="FollowedHyperlink"/>
    <w:basedOn w:val="DefaultParagraphFont"/>
    <w:uiPriority w:val="99"/>
    <w:semiHidden/>
    <w:unhideWhenUsed/>
    <w:rsid w:val="002A2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408">
      <w:bodyDiv w:val="1"/>
      <w:marLeft w:val="0"/>
      <w:marRight w:val="0"/>
      <w:marTop w:val="0"/>
      <w:marBottom w:val="0"/>
      <w:divBdr>
        <w:top w:val="none" w:sz="0" w:space="0" w:color="auto"/>
        <w:left w:val="none" w:sz="0" w:space="0" w:color="auto"/>
        <w:bottom w:val="none" w:sz="0" w:space="0" w:color="auto"/>
        <w:right w:val="none" w:sz="0" w:space="0" w:color="auto"/>
      </w:divBdr>
    </w:div>
    <w:div w:id="149519264">
      <w:bodyDiv w:val="1"/>
      <w:marLeft w:val="0"/>
      <w:marRight w:val="0"/>
      <w:marTop w:val="0"/>
      <w:marBottom w:val="0"/>
      <w:divBdr>
        <w:top w:val="none" w:sz="0" w:space="0" w:color="auto"/>
        <w:left w:val="none" w:sz="0" w:space="0" w:color="auto"/>
        <w:bottom w:val="none" w:sz="0" w:space="0" w:color="auto"/>
        <w:right w:val="none" w:sz="0" w:space="0" w:color="auto"/>
      </w:divBdr>
    </w:div>
    <w:div w:id="807162433">
      <w:bodyDiv w:val="1"/>
      <w:marLeft w:val="0"/>
      <w:marRight w:val="0"/>
      <w:marTop w:val="0"/>
      <w:marBottom w:val="0"/>
      <w:divBdr>
        <w:top w:val="none" w:sz="0" w:space="0" w:color="auto"/>
        <w:left w:val="none" w:sz="0" w:space="0" w:color="auto"/>
        <w:bottom w:val="none" w:sz="0" w:space="0" w:color="auto"/>
        <w:right w:val="none" w:sz="0" w:space="0" w:color="auto"/>
      </w:divBdr>
    </w:div>
    <w:div w:id="1034765368">
      <w:bodyDiv w:val="1"/>
      <w:marLeft w:val="0"/>
      <w:marRight w:val="0"/>
      <w:marTop w:val="0"/>
      <w:marBottom w:val="0"/>
      <w:divBdr>
        <w:top w:val="none" w:sz="0" w:space="0" w:color="auto"/>
        <w:left w:val="none" w:sz="0" w:space="0" w:color="auto"/>
        <w:bottom w:val="none" w:sz="0" w:space="0" w:color="auto"/>
        <w:right w:val="none" w:sz="0" w:space="0" w:color="auto"/>
      </w:divBdr>
    </w:div>
    <w:div w:id="1224213785">
      <w:bodyDiv w:val="1"/>
      <w:marLeft w:val="0"/>
      <w:marRight w:val="0"/>
      <w:marTop w:val="0"/>
      <w:marBottom w:val="0"/>
      <w:divBdr>
        <w:top w:val="none" w:sz="0" w:space="0" w:color="auto"/>
        <w:left w:val="none" w:sz="0" w:space="0" w:color="auto"/>
        <w:bottom w:val="none" w:sz="0" w:space="0" w:color="auto"/>
        <w:right w:val="none" w:sz="0" w:space="0" w:color="auto"/>
      </w:divBdr>
    </w:div>
    <w:div w:id="19459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elp.grants.gov.au/" TargetMode="External"/><Relationship Id="rId4" Type="http://schemas.openxmlformats.org/officeDocument/2006/relationships/styles" Target="styles.xml"/><Relationship Id="rId9" Type="http://schemas.openxmlformats.org/officeDocument/2006/relationships/hyperlink" Target="https://www.finance.gov.au/sites/default/files/2019-11/commonwealth-grants-rules-and-guidelin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9FF350-3EC9-450B-84B8-321F7E8E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2770</Words>
  <Characters>16560</Characters>
  <DocSecurity>0</DocSecurity>
  <Lines>395</Lines>
  <Paragraphs>136</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2023-05-12T03:29:00Z</dcterms:created>
  <dcterms:modified xsi:type="dcterms:W3CDTF">2023-05-12T06:10:00Z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2023-05-12T06:10:37Z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0A0B8F84D781BF7F8F7A5E41D95CC819</vt:lpwstr>
  </property>
  <property fmtid="{D5CDD505-2E9C-101B-9397-08002B2CF9AE}" pid="20" name="PM_Hash_Salt">
    <vt:lpwstr>36AE734BDEE5F43071C1BC77357F1EA3</vt:lpwstr>
  </property>
  <property fmtid="{D5CDD505-2E9C-101B-9397-08002B2CF9AE}" pid="21" name="PM_Hash_SHA1">
    <vt:lpwstr>FDA97C67CEE6F4FFFD9E30B4DA3DF11C4CA3B63E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