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1F" w:rsidRPr="00AE3E5D" w:rsidRDefault="00DC2D1F" w:rsidP="00DC2D1F">
      <w:pPr>
        <w:spacing w:line="1000" w:lineRule="exact"/>
        <w:contextualSpacing/>
        <w:rPr>
          <w:rFonts w:asciiTheme="majorHAnsi" w:eastAsiaTheme="majorEastAsia" w:hAnsiTheme="majorHAnsi" w:cstheme="majorHAnsi"/>
          <w:color w:val="CF0A2C" w:themeColor="accent1"/>
          <w:kern w:val="28"/>
          <w:sz w:val="48"/>
          <w:szCs w:val="52"/>
        </w:rPr>
      </w:pPr>
      <w:r w:rsidRPr="00AE3E5D">
        <w:rPr>
          <w:rFonts w:asciiTheme="majorHAnsi" w:eastAsiaTheme="majorEastAsia" w:hAnsiTheme="majorHAnsi" w:cstheme="majorHAnsi"/>
          <w:color w:val="CF0A2C" w:themeColor="accent1"/>
          <w:kern w:val="28"/>
          <w:sz w:val="72"/>
          <w:szCs w:val="72"/>
        </w:rPr>
        <w:t>Building Excellence in Support and Training (BEST)</w:t>
      </w:r>
    </w:p>
    <w:p w:rsidR="00886A17" w:rsidRPr="00B52ACF" w:rsidRDefault="005163EA" w:rsidP="00B52ACF">
      <w:pPr>
        <w:pStyle w:val="BodyText"/>
        <w:rPr>
          <w:rStyle w:val="Heading1Char"/>
          <w:rFonts w:ascii="Calibri" w:hAnsi="Calibri" w:cs="Calibri"/>
        </w:rPr>
      </w:pPr>
      <w:r>
        <w:rPr>
          <w:rStyle w:val="Heading1Char"/>
          <w:rFonts w:asciiTheme="majorHAnsi" w:hAnsiTheme="majorHAnsi" w:cstheme="majorHAnsi"/>
        </w:rPr>
        <w:t>Feedback for applicants</w:t>
      </w:r>
    </w:p>
    <w:p w:rsidR="00F85F98" w:rsidRPr="00B52ACF" w:rsidRDefault="00B52ACF" w:rsidP="00194605">
      <w:pPr>
        <w:spacing w:before="360" w:after="240"/>
      </w:pPr>
      <w:r>
        <w:rPr>
          <w:noProof/>
          <w:lang w:eastAsia="en-AU"/>
        </w:rPr>
        <mc:AlternateContent>
          <mc:Choice Requires="wps">
            <w:drawing>
              <wp:anchor distT="0" distB="0" distL="114300" distR="114300" simplePos="0" relativeHeight="251659264" behindDoc="0" locked="0" layoutInCell="1" allowOverlap="1" wp14:anchorId="1C81769D" wp14:editId="2DB037AF">
                <wp:simplePos x="0" y="0"/>
                <wp:positionH relativeFrom="column">
                  <wp:posOffset>-19447</wp:posOffset>
                </wp:positionH>
                <wp:positionV relativeFrom="paragraph">
                  <wp:posOffset>48507</wp:posOffset>
                </wp:positionV>
                <wp:extent cx="6068291" cy="11876"/>
                <wp:effectExtent l="0" t="0" r="27940" b="26670"/>
                <wp:wrapNone/>
                <wp:docPr id="76" name="Straight Connector 76" title="Straight line to divide heading from body of document"/>
                <wp:cNvGraphicFramePr/>
                <a:graphic xmlns:a="http://schemas.openxmlformats.org/drawingml/2006/main">
                  <a:graphicData uri="http://schemas.microsoft.com/office/word/2010/wordprocessingShape">
                    <wps:wsp>
                      <wps:cNvCnPr/>
                      <wps:spPr>
                        <a:xfrm>
                          <a:off x="0" y="0"/>
                          <a:ext cx="6068291" cy="11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1B69B" id="Straight Connector 76" o:spid="_x0000_s1026" alt="Title: Straight line to divide heading from body of documen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76.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" strokecolor="black [3040]"/>
            </w:pict>
          </mc:Fallback>
        </mc:AlternateContent>
      </w:r>
      <w:r w:rsidR="002C127E" w:rsidRPr="00F27DCE">
        <w:t xml:space="preserve">The Department of Veterans’ Affairs (DVA) has provided the following </w:t>
      </w:r>
      <w:r w:rsidR="008C7DC2">
        <w:t>g</w:t>
      </w:r>
      <w:r w:rsidR="002C127E" w:rsidRPr="00F27DCE">
        <w:t xml:space="preserve">eneral </w:t>
      </w:r>
      <w:r w:rsidR="008C7DC2">
        <w:t>f</w:t>
      </w:r>
      <w:r w:rsidR="002C127E" w:rsidRPr="00F27DCE">
        <w:t>eedback for applicants of the BEST grant opportunity.</w:t>
      </w:r>
    </w:p>
    <w:p w:rsidR="00F85F98" w:rsidRPr="00AE3E5D" w:rsidRDefault="00F85F98" w:rsidP="00B52ACF">
      <w:pPr>
        <w:pStyle w:val="Heading1"/>
        <w:spacing w:before="240"/>
        <w:rPr>
          <w:rFonts w:asciiTheme="majorHAnsi" w:hAnsiTheme="majorHAnsi" w:cstheme="majorHAnsi"/>
        </w:rPr>
      </w:pPr>
      <w:r w:rsidRPr="00AE3E5D">
        <w:rPr>
          <w:rFonts w:asciiTheme="majorHAnsi" w:hAnsiTheme="majorHAnsi" w:cstheme="majorHAnsi"/>
        </w:rPr>
        <w:t>Overview</w:t>
      </w:r>
    </w:p>
    <w:p w:rsidR="00837BA1" w:rsidRPr="00A32B4F" w:rsidRDefault="00837BA1" w:rsidP="00837BA1">
      <w:pPr>
        <w:spacing w:before="120" w:after="140"/>
      </w:pPr>
      <w:r w:rsidRPr="00A32B4F">
        <w:t xml:space="preserve">The objective of the </w:t>
      </w:r>
      <w:r w:rsidR="008C7DC2">
        <w:t>BEST</w:t>
      </w:r>
      <w:r w:rsidR="00DC2D1F" w:rsidRPr="00A32B4F">
        <w:t xml:space="preserve"> </w:t>
      </w:r>
      <w:r w:rsidRPr="00A32B4F">
        <w:t xml:space="preserve">program is to </w:t>
      </w:r>
      <w:r w:rsidR="00DC2D1F" w:rsidRPr="00A32B4F">
        <w:t xml:space="preserve">assist ex-service organisations (ESO) to improve the quality of claims received by DVA at the primary determining level, reduce the rate of appeals to the Veterans’ Review </w:t>
      </w:r>
      <w:r w:rsidR="007C7B96" w:rsidRPr="00A32B4F">
        <w:t xml:space="preserve">Board (VRB) and the Administrative Appeals Tribunal (AAT) and promote the provision of </w:t>
      </w:r>
      <w:r w:rsidR="00F70484">
        <w:t>wellbeing</w:t>
      </w:r>
      <w:r w:rsidR="00F70484" w:rsidRPr="00A32B4F">
        <w:t xml:space="preserve"> </w:t>
      </w:r>
      <w:r w:rsidR="007C7B96" w:rsidRPr="00A32B4F">
        <w:t>services to the veteran and defence community.</w:t>
      </w:r>
    </w:p>
    <w:p w:rsidR="00837BA1" w:rsidRPr="00A32B4F" w:rsidRDefault="00837BA1" w:rsidP="00837BA1">
      <w:pPr>
        <w:spacing w:before="120" w:after="140"/>
      </w:pPr>
      <w:r w:rsidRPr="00A32B4F">
        <w:t>The intended outcomes of the program are to deliver projects that:</w:t>
      </w:r>
    </w:p>
    <w:p w:rsidR="007C7B96" w:rsidRPr="00A32B4F" w:rsidRDefault="007C7B96" w:rsidP="007C7B96">
      <w:pPr>
        <w:pStyle w:val="ListParagraph"/>
        <w:numPr>
          <w:ilvl w:val="0"/>
          <w:numId w:val="19"/>
        </w:numPr>
        <w:spacing w:before="120" w:after="140"/>
      </w:pPr>
      <w:r w:rsidRPr="00A32B4F">
        <w:t xml:space="preserve">the veteran and defence communities are able to benefit from having better informed ESO practitioners who can ensure claims lodged with DVA are of a high standard and contain all required information to enable timely and quality decisions </w:t>
      </w:r>
    </w:p>
    <w:p w:rsidR="007C7B96" w:rsidRPr="00A32B4F" w:rsidRDefault="007C7B96" w:rsidP="007C7B96">
      <w:pPr>
        <w:pStyle w:val="ListParagraph"/>
        <w:numPr>
          <w:ilvl w:val="0"/>
          <w:numId w:val="19"/>
        </w:numPr>
        <w:spacing w:before="120" w:after="140"/>
      </w:pPr>
      <w:r w:rsidRPr="00A32B4F">
        <w:t xml:space="preserve">ESO practitioners will assist in improving claims assessment efficiency </w:t>
      </w:r>
    </w:p>
    <w:p w:rsidR="007C7B96" w:rsidRPr="00A32B4F" w:rsidRDefault="007C7B96" w:rsidP="007C7B96">
      <w:pPr>
        <w:pStyle w:val="ListParagraph"/>
        <w:numPr>
          <w:ilvl w:val="0"/>
          <w:numId w:val="19"/>
        </w:numPr>
        <w:spacing w:before="120" w:after="140"/>
      </w:pPr>
      <w:r w:rsidRPr="00A32B4F">
        <w:t>the veteran and defence communities will have access to appropriate compensation and wellbeing advocacy services</w:t>
      </w:r>
      <w:r w:rsidR="00F43F77">
        <w:t>.</w:t>
      </w:r>
    </w:p>
    <w:p w:rsidR="00901A61" w:rsidRPr="00A32B4F" w:rsidRDefault="00901A61" w:rsidP="00901A61">
      <w:pPr>
        <w:pStyle w:val="BodyText"/>
      </w:pPr>
      <w:r w:rsidRPr="00A32B4F">
        <w:t xml:space="preserve">The grant opportunity application period opened on </w:t>
      </w:r>
      <w:r w:rsidR="002F6CE7">
        <w:t>17 January 2023</w:t>
      </w:r>
      <w:r w:rsidR="003708BD" w:rsidRPr="00A32B4F">
        <w:t xml:space="preserve"> and closed on </w:t>
      </w:r>
      <w:r w:rsidR="002F6CE7">
        <w:t>23</w:t>
      </w:r>
      <w:r w:rsidR="0011206E">
        <w:t> </w:t>
      </w:r>
      <w:r w:rsidR="002F6CE7">
        <w:t>February</w:t>
      </w:r>
      <w:r w:rsidR="0011206E">
        <w:t> </w:t>
      </w:r>
      <w:r w:rsidR="002F6CE7">
        <w:t>2023.</w:t>
      </w:r>
    </w:p>
    <w:p w:rsidR="007A2500" w:rsidRPr="00A32B4F" w:rsidRDefault="00901A61" w:rsidP="007A2500">
      <w:pPr>
        <w:pStyle w:val="BodyText"/>
        <w:spacing w:after="0"/>
      </w:pPr>
      <w:r w:rsidRPr="00A32B4F">
        <w:t>The grant opportunity recei</w:t>
      </w:r>
      <w:r w:rsidRPr="00A32B4F">
        <w:rPr>
          <w:color w:val="auto"/>
        </w:rPr>
        <w:t xml:space="preserve">ved </w:t>
      </w:r>
      <w:r w:rsidR="002F6CE7">
        <w:rPr>
          <w:color w:val="auto"/>
        </w:rPr>
        <w:t>112</w:t>
      </w:r>
      <w:r w:rsidRPr="00A32B4F">
        <w:rPr>
          <w:color w:val="auto"/>
        </w:rPr>
        <w:t xml:space="preserve"> </w:t>
      </w:r>
      <w:r w:rsidRPr="00A32B4F">
        <w:t xml:space="preserve">applications. Following the </w:t>
      </w:r>
      <w:r w:rsidR="008C7DC2">
        <w:rPr>
          <w:color w:val="auto"/>
        </w:rPr>
        <w:t>d</w:t>
      </w:r>
      <w:r w:rsidR="003D2459" w:rsidRPr="00A32B4F">
        <w:rPr>
          <w:color w:val="auto"/>
        </w:rPr>
        <w:t>ecision maker’s</w:t>
      </w:r>
      <w:r w:rsidR="006C022A" w:rsidRPr="00A32B4F">
        <w:rPr>
          <w:color w:val="auto"/>
        </w:rPr>
        <w:t xml:space="preserve"> </w:t>
      </w:r>
      <w:r w:rsidRPr="00A32B4F">
        <w:t xml:space="preserve">decision, </w:t>
      </w:r>
    </w:p>
    <w:p w:rsidR="00901A61" w:rsidRPr="00A32B4F" w:rsidRDefault="001E3981" w:rsidP="007A2500">
      <w:pPr>
        <w:pStyle w:val="BodyText"/>
        <w:spacing w:before="0" w:after="0"/>
      </w:pPr>
      <w:r>
        <w:rPr>
          <w:color w:val="auto"/>
        </w:rPr>
        <w:t>109</w:t>
      </w:r>
      <w:r w:rsidR="005726B4" w:rsidRPr="00A32B4F">
        <w:rPr>
          <w:color w:val="auto"/>
        </w:rPr>
        <w:t xml:space="preserve"> </w:t>
      </w:r>
      <w:r w:rsidR="00901A61" w:rsidRPr="00A32B4F">
        <w:t xml:space="preserve">applications were selected for funding, to a value of </w:t>
      </w:r>
      <w:r w:rsidR="008C7DC2">
        <w:rPr>
          <w:rFonts w:cstheme="minorHAnsi"/>
        </w:rPr>
        <w:t>$4.</w:t>
      </w:r>
      <w:r>
        <w:rPr>
          <w:rFonts w:cstheme="minorHAnsi"/>
        </w:rPr>
        <w:t>551</w:t>
      </w:r>
      <w:r w:rsidR="008C7DC2">
        <w:rPr>
          <w:rFonts w:cstheme="minorHAnsi"/>
        </w:rPr>
        <w:t xml:space="preserve"> million</w:t>
      </w:r>
      <w:r w:rsidR="00650592" w:rsidRPr="00A32B4F">
        <w:rPr>
          <w:rFonts w:cstheme="minorHAnsi"/>
        </w:rPr>
        <w:t xml:space="preserve">. </w:t>
      </w:r>
    </w:p>
    <w:p w:rsidR="00901A61" w:rsidRPr="00A32B4F" w:rsidRDefault="004733E5" w:rsidP="00901A61">
      <w:pPr>
        <w:pStyle w:val="BodyText"/>
      </w:pPr>
      <w:r w:rsidRPr="00A32B4F">
        <w:t>This feedback is provided to assist grant applicants to understand the eligibility criteria and application requirements for this grant opportunity.</w:t>
      </w:r>
    </w:p>
    <w:p w:rsidR="00B52ACF" w:rsidRDefault="00B52ACF">
      <w:pPr>
        <w:spacing w:line="240" w:lineRule="auto"/>
        <w:rPr>
          <w:rFonts w:ascii="Georgia" w:eastAsiaTheme="majorEastAsia" w:hAnsi="Georgia" w:cstheme="majorBidi"/>
          <w:bCs/>
          <w:color w:val="CF0A2C" w:themeColor="accent1"/>
          <w:sz w:val="36"/>
          <w:szCs w:val="28"/>
        </w:rPr>
      </w:pPr>
      <w:r>
        <w:br w:type="page"/>
      </w:r>
    </w:p>
    <w:p w:rsidR="00F85F98" w:rsidRPr="00AE3E5D" w:rsidRDefault="00F85F98" w:rsidP="005677A2">
      <w:pPr>
        <w:pStyle w:val="Heading1"/>
        <w:spacing w:before="120" w:after="120"/>
        <w:rPr>
          <w:rFonts w:asciiTheme="majorHAnsi" w:hAnsiTheme="majorHAnsi" w:cstheme="majorHAnsi"/>
        </w:rPr>
      </w:pPr>
      <w:r w:rsidRPr="00AE3E5D">
        <w:rPr>
          <w:rFonts w:asciiTheme="majorHAnsi" w:hAnsiTheme="majorHAnsi" w:cstheme="majorHAnsi"/>
        </w:rPr>
        <w:lastRenderedPageBreak/>
        <w:t xml:space="preserve">Selection </w:t>
      </w:r>
      <w:r w:rsidR="008C7DC2">
        <w:rPr>
          <w:rFonts w:asciiTheme="majorHAnsi" w:hAnsiTheme="majorHAnsi" w:cstheme="majorHAnsi"/>
        </w:rPr>
        <w:t>p</w:t>
      </w:r>
      <w:r w:rsidRPr="00AE3E5D">
        <w:rPr>
          <w:rFonts w:asciiTheme="majorHAnsi" w:hAnsiTheme="majorHAnsi" w:cstheme="majorHAnsi"/>
        </w:rPr>
        <w:t>roc</w:t>
      </w:r>
      <w:bookmarkStart w:id="0" w:name="_GoBack"/>
      <w:bookmarkEnd w:id="0"/>
      <w:r w:rsidRPr="00AE3E5D">
        <w:rPr>
          <w:rFonts w:asciiTheme="majorHAnsi" w:hAnsiTheme="majorHAnsi" w:cstheme="majorHAnsi"/>
        </w:rPr>
        <w:t>ess</w:t>
      </w:r>
    </w:p>
    <w:p w:rsidR="00C838D0" w:rsidRPr="0011206E" w:rsidRDefault="00157BCF" w:rsidP="00C838D0">
      <w:pPr>
        <w:pStyle w:val="BodyText"/>
      </w:pPr>
      <w:r w:rsidRPr="0011206E">
        <w:t>The Community Grants Hub</w:t>
      </w:r>
      <w:r w:rsidR="001703F2">
        <w:t xml:space="preserve"> (Hub)</w:t>
      </w:r>
      <w:r w:rsidRPr="0011206E">
        <w:t xml:space="preserve"> undertook the screening</w:t>
      </w:r>
      <w:r w:rsidR="00E7480B" w:rsidRPr="0011206E">
        <w:t xml:space="preserve"> for </w:t>
      </w:r>
      <w:r w:rsidR="00405179" w:rsidRPr="0011206E">
        <w:t xml:space="preserve">organisation </w:t>
      </w:r>
      <w:r w:rsidR="00E7480B" w:rsidRPr="0011206E">
        <w:t>eligibility and compliance against the requirements outlined in the G</w:t>
      </w:r>
      <w:r w:rsidR="004B203A" w:rsidRPr="0011206E">
        <w:t xml:space="preserve">rant </w:t>
      </w:r>
      <w:r w:rsidR="00E7480B" w:rsidRPr="0011206E">
        <w:t>O</w:t>
      </w:r>
      <w:r w:rsidR="004B203A" w:rsidRPr="0011206E">
        <w:t xml:space="preserve">pportunity </w:t>
      </w:r>
      <w:r w:rsidR="00E7480B" w:rsidRPr="0011206E">
        <w:t>G</w:t>
      </w:r>
      <w:r w:rsidR="004B203A" w:rsidRPr="0011206E">
        <w:t>uidelines</w:t>
      </w:r>
      <w:r w:rsidR="00405179" w:rsidRPr="0011206E">
        <w:t>. This information was</w:t>
      </w:r>
      <w:r w:rsidR="005677A2">
        <w:t xml:space="preserve"> then provided to DVA, who </w:t>
      </w:r>
      <w:r w:rsidR="00405179" w:rsidRPr="0011206E">
        <w:t xml:space="preserve">provided the final decision on whether an </w:t>
      </w:r>
      <w:r w:rsidR="00DA0959" w:rsidRPr="0011206E">
        <w:t>application did not meet the eligibility and/or compliance criteria</w:t>
      </w:r>
      <w:r w:rsidR="00405179" w:rsidRPr="0011206E">
        <w:t xml:space="preserve">. </w:t>
      </w:r>
      <w:r w:rsidR="005F102F">
        <w:t>DVA</w:t>
      </w:r>
      <w:r w:rsidR="005F102F" w:rsidRPr="005F102F">
        <w:t xml:space="preserve"> assessed and considered </w:t>
      </w:r>
      <w:r w:rsidR="00405179" w:rsidRPr="0011206E">
        <w:t xml:space="preserve">all </w:t>
      </w:r>
      <w:r w:rsidR="005F102F">
        <w:t xml:space="preserve">eligible </w:t>
      </w:r>
      <w:r w:rsidR="00405179" w:rsidRPr="0011206E">
        <w:t>applications</w:t>
      </w:r>
      <w:r w:rsidR="00C838D0" w:rsidRPr="0011206E">
        <w:t xml:space="preserve"> </w:t>
      </w:r>
      <w:r w:rsidR="00C838D0" w:rsidRPr="0011206E">
        <w:rPr>
          <w:rFonts w:eastAsia="Calibri" w:cs="Arial"/>
          <w:szCs w:val="22"/>
        </w:rPr>
        <w:t xml:space="preserve">using </w:t>
      </w:r>
      <w:r w:rsidR="00C838D0" w:rsidRPr="0011206E">
        <w:t>a demand driven model to select the successful providers to deliver the BEST program.</w:t>
      </w:r>
    </w:p>
    <w:p w:rsidR="00DA0959" w:rsidRPr="0011206E" w:rsidRDefault="00405179" w:rsidP="00E7480B">
      <w:pPr>
        <w:pStyle w:val="BodyText"/>
      </w:pPr>
      <w:r w:rsidRPr="0011206E">
        <w:t xml:space="preserve">For applications </w:t>
      </w:r>
      <w:r w:rsidR="005F102F">
        <w:t>which</w:t>
      </w:r>
      <w:r w:rsidR="00C838D0" w:rsidRPr="0011206E">
        <w:t xml:space="preserve"> did not meet the requirements within the Grant Opportunity Guidelines, </w:t>
      </w:r>
      <w:r w:rsidRPr="0011206E">
        <w:t xml:space="preserve">applicants </w:t>
      </w:r>
      <w:r w:rsidR="00DA0959" w:rsidRPr="0011206E">
        <w:t>were notified of th</w:t>
      </w:r>
      <w:r w:rsidRPr="0011206E">
        <w:t>is</w:t>
      </w:r>
      <w:r w:rsidR="00DA0959" w:rsidRPr="0011206E">
        <w:t xml:space="preserve"> outcome</w:t>
      </w:r>
      <w:r w:rsidR="00B52ACF" w:rsidRPr="0011206E">
        <w:t xml:space="preserve"> in writing</w:t>
      </w:r>
      <w:r w:rsidRPr="0011206E">
        <w:t xml:space="preserve">. </w:t>
      </w:r>
    </w:p>
    <w:p w:rsidR="00FC5A80" w:rsidRPr="00A23CFF" w:rsidRDefault="00FC5A80" w:rsidP="0095118D">
      <w:pPr>
        <w:spacing w:before="120" w:after="140"/>
        <w:rPr>
          <w:highlight w:val="green"/>
        </w:rPr>
      </w:pPr>
      <w:r w:rsidRPr="00A23CFF">
        <w:t>The grant amount offered to each eligible applicant was calc</w:t>
      </w:r>
      <w:r w:rsidR="005677A2">
        <w:t xml:space="preserve">ulated using a formula which was </w:t>
      </w:r>
      <w:r w:rsidRPr="00A23CFF">
        <w:t>determined in conjunction with the ESO community. The formula was applied unif</w:t>
      </w:r>
      <w:r w:rsidR="005677A2">
        <w:t>ormly to all eligible applications</w:t>
      </w:r>
      <w:r w:rsidRPr="00A23CFF">
        <w:t>. If an organisation met the eligibility criteria, they were considered for a grant.</w:t>
      </w:r>
      <w:r w:rsidRPr="00A23CFF">
        <w:rPr>
          <w:rFonts w:cstheme="minorHAnsi"/>
        </w:rPr>
        <w:t xml:space="preserve"> </w:t>
      </w:r>
    </w:p>
    <w:p w:rsidR="00FC5A80" w:rsidRPr="00A23CFF" w:rsidRDefault="00FC5A80" w:rsidP="0095118D">
      <w:pPr>
        <w:spacing w:before="120" w:after="140"/>
        <w:contextualSpacing/>
        <w:jc w:val="both"/>
        <w:rPr>
          <w:rFonts w:cstheme="minorHAnsi"/>
        </w:rPr>
      </w:pPr>
      <w:r w:rsidRPr="00A23CFF">
        <w:rPr>
          <w:rFonts w:cstheme="minorHAnsi"/>
        </w:rPr>
        <w:t>The formula took into account:</w:t>
      </w:r>
    </w:p>
    <w:p w:rsidR="00FC5A80" w:rsidRPr="00A23CFF" w:rsidRDefault="00FC5A80" w:rsidP="00FC5A80">
      <w:pPr>
        <w:pStyle w:val="Bullet1"/>
        <w:numPr>
          <w:ilvl w:val="0"/>
          <w:numId w:val="21"/>
        </w:numPr>
        <w:spacing w:after="140"/>
        <w:ind w:left="714" w:hanging="357"/>
        <w:contextualSpacing/>
        <w:rPr>
          <w:rFonts w:cs="Times New Roman"/>
          <w:color w:val="000000" w:themeColor="text1"/>
          <w:szCs w:val="20"/>
        </w:rPr>
      </w:pPr>
      <w:r w:rsidRPr="00A23CFF">
        <w:rPr>
          <w:rFonts w:cs="Times New Roman"/>
          <w:color w:val="000000" w:themeColor="text1"/>
          <w:szCs w:val="20"/>
        </w:rPr>
        <w:t>the amount of salary and administrative grant funding requested</w:t>
      </w:r>
    </w:p>
    <w:p w:rsidR="00FC5A80" w:rsidRPr="00A23CFF" w:rsidRDefault="00FC5A80" w:rsidP="00FC5A80">
      <w:pPr>
        <w:pStyle w:val="Bullet1"/>
        <w:numPr>
          <w:ilvl w:val="0"/>
          <w:numId w:val="21"/>
        </w:numPr>
        <w:spacing w:after="140"/>
        <w:ind w:left="714" w:hanging="357"/>
        <w:contextualSpacing/>
        <w:rPr>
          <w:rFonts w:cs="Times New Roman"/>
          <w:color w:val="000000" w:themeColor="text1"/>
          <w:szCs w:val="20"/>
        </w:rPr>
      </w:pPr>
      <w:r w:rsidRPr="00A23CFF">
        <w:rPr>
          <w:rFonts w:cs="Times New Roman"/>
        </w:rPr>
        <w:t xml:space="preserve">compensation and </w:t>
      </w:r>
      <w:r w:rsidR="00F70484">
        <w:rPr>
          <w:rFonts w:cs="Times New Roman"/>
        </w:rPr>
        <w:t>wellbeing</w:t>
      </w:r>
      <w:r w:rsidR="00F70484" w:rsidRPr="00A23CFF">
        <w:rPr>
          <w:rFonts w:cs="Times New Roman"/>
        </w:rPr>
        <w:t xml:space="preserve"> </w:t>
      </w:r>
      <w:r w:rsidRPr="00A23CFF">
        <w:rPr>
          <w:rFonts w:cs="Times New Roman"/>
        </w:rPr>
        <w:t>workload information provided in the completed grant application</w:t>
      </w:r>
    </w:p>
    <w:p w:rsidR="00FC5A80" w:rsidRPr="00A23CFF" w:rsidRDefault="00FC5A80" w:rsidP="00FC5A80">
      <w:pPr>
        <w:pStyle w:val="Bullet1"/>
        <w:numPr>
          <w:ilvl w:val="0"/>
          <w:numId w:val="21"/>
        </w:numPr>
        <w:spacing w:after="140"/>
        <w:ind w:left="714" w:hanging="357"/>
        <w:contextualSpacing/>
        <w:rPr>
          <w:rFonts w:cs="Times New Roman"/>
          <w:color w:val="000000" w:themeColor="text1"/>
          <w:szCs w:val="20"/>
        </w:rPr>
      </w:pPr>
      <w:r w:rsidRPr="00A23CFF">
        <w:rPr>
          <w:rFonts w:cs="Times New Roman"/>
          <w:color w:val="000000" w:themeColor="text1"/>
          <w:szCs w:val="20"/>
        </w:rPr>
        <w:t>the total amount of funding available for the grant funding round</w:t>
      </w:r>
    </w:p>
    <w:p w:rsidR="00FC5A80" w:rsidRPr="00A23CFF" w:rsidRDefault="00FC5A80" w:rsidP="005E321E">
      <w:pPr>
        <w:pStyle w:val="Bullet1"/>
        <w:numPr>
          <w:ilvl w:val="0"/>
          <w:numId w:val="21"/>
        </w:numPr>
        <w:spacing w:after="140"/>
        <w:ind w:left="714" w:hanging="357"/>
      </w:pPr>
      <w:r w:rsidRPr="00A23CFF">
        <w:rPr>
          <w:rFonts w:cstheme="minorHAnsi"/>
        </w:rPr>
        <w:t>the total</w:t>
      </w:r>
      <w:r w:rsidR="00F43F77" w:rsidRPr="00A23CFF">
        <w:rPr>
          <w:rFonts w:cstheme="minorHAnsi"/>
        </w:rPr>
        <w:t xml:space="preserve"> number </w:t>
      </w:r>
      <w:r w:rsidR="00DB2720">
        <w:rPr>
          <w:rFonts w:cstheme="minorHAnsi"/>
        </w:rPr>
        <w:t xml:space="preserve">and combined workload </w:t>
      </w:r>
      <w:r w:rsidR="00F43F77" w:rsidRPr="00A23CFF">
        <w:rPr>
          <w:rFonts w:cstheme="minorHAnsi"/>
        </w:rPr>
        <w:t xml:space="preserve">of </w:t>
      </w:r>
      <w:r w:rsidR="00DB2720">
        <w:rPr>
          <w:rFonts w:cstheme="minorHAnsi"/>
        </w:rPr>
        <w:t xml:space="preserve">all </w:t>
      </w:r>
      <w:r w:rsidR="00F43F77" w:rsidRPr="00A23CFF">
        <w:rPr>
          <w:rFonts w:cstheme="minorHAnsi"/>
        </w:rPr>
        <w:t>eligible applicants.</w:t>
      </w:r>
    </w:p>
    <w:p w:rsidR="00FC5A80" w:rsidRPr="00A32B4F" w:rsidRDefault="00FC5A80" w:rsidP="005E321E">
      <w:pPr>
        <w:spacing w:before="120" w:after="140"/>
        <w:rPr>
          <w:color w:val="auto"/>
        </w:rPr>
      </w:pPr>
      <w:r w:rsidRPr="00A23CFF">
        <w:rPr>
          <w:color w:val="auto"/>
        </w:rPr>
        <w:t xml:space="preserve">Following preliminary assessment </w:t>
      </w:r>
      <w:r w:rsidR="00DA0959" w:rsidRPr="00A23CFF">
        <w:rPr>
          <w:color w:val="auto"/>
        </w:rPr>
        <w:t xml:space="preserve">by DVA </w:t>
      </w:r>
      <w:r w:rsidRPr="00A23CFF">
        <w:rPr>
          <w:color w:val="auto"/>
        </w:rPr>
        <w:t xml:space="preserve">using the above formula, all outcomes were referred to a </w:t>
      </w:r>
      <w:r w:rsidR="0002131D" w:rsidRPr="00A23CFF">
        <w:rPr>
          <w:color w:val="auto"/>
        </w:rPr>
        <w:t>DVA Grants Advisory Committee</w:t>
      </w:r>
      <w:r w:rsidR="00AD6172" w:rsidRPr="00A23CFF">
        <w:rPr>
          <w:color w:val="auto"/>
        </w:rPr>
        <w:t xml:space="preserve"> (GAC)</w:t>
      </w:r>
      <w:r w:rsidRPr="00A23CFF">
        <w:rPr>
          <w:color w:val="auto"/>
        </w:rPr>
        <w:t xml:space="preserve">, who made funding recommendations to the decision maker. The </w:t>
      </w:r>
      <w:r w:rsidR="00AD6172" w:rsidRPr="00A23CFF">
        <w:rPr>
          <w:color w:val="auto"/>
        </w:rPr>
        <w:t xml:space="preserve">GAC </w:t>
      </w:r>
      <w:r w:rsidRPr="00A23CFF">
        <w:rPr>
          <w:color w:val="auto"/>
        </w:rPr>
        <w:t>made recommendations in regards to:</w:t>
      </w:r>
      <w:r w:rsidRPr="00A32B4F">
        <w:rPr>
          <w:color w:val="auto"/>
        </w:rPr>
        <w:t xml:space="preserve"> </w:t>
      </w:r>
    </w:p>
    <w:p w:rsidR="00FC5A80" w:rsidRPr="00A32B4F" w:rsidRDefault="00FC5A80" w:rsidP="005E321E">
      <w:pPr>
        <w:pStyle w:val="ListParagraph"/>
        <w:numPr>
          <w:ilvl w:val="0"/>
          <w:numId w:val="22"/>
        </w:numPr>
        <w:spacing w:before="120" w:after="140"/>
        <w:rPr>
          <w:rFonts w:cstheme="minorHAnsi"/>
          <w:szCs w:val="22"/>
        </w:rPr>
      </w:pPr>
      <w:r w:rsidRPr="00A32B4F">
        <w:rPr>
          <w:rFonts w:cstheme="minorHAnsi"/>
          <w:szCs w:val="22"/>
        </w:rPr>
        <w:t xml:space="preserve">overall objectives for the program </w:t>
      </w:r>
    </w:p>
    <w:p w:rsidR="00FC5A80" w:rsidRPr="00A32B4F" w:rsidRDefault="00FC5A80" w:rsidP="005E321E">
      <w:pPr>
        <w:pStyle w:val="ListParagraph"/>
        <w:numPr>
          <w:ilvl w:val="0"/>
          <w:numId w:val="22"/>
        </w:numPr>
        <w:spacing w:before="120" w:after="140"/>
        <w:rPr>
          <w:rFonts w:cstheme="minorHAnsi"/>
          <w:szCs w:val="22"/>
        </w:rPr>
      </w:pPr>
      <w:r w:rsidRPr="00A32B4F">
        <w:rPr>
          <w:rFonts w:cstheme="minorHAnsi"/>
          <w:szCs w:val="22"/>
        </w:rPr>
        <w:t xml:space="preserve">conformance with eligibility criteria </w:t>
      </w:r>
    </w:p>
    <w:p w:rsidR="0095118D" w:rsidRPr="00A32B4F" w:rsidRDefault="00D13BF3" w:rsidP="0095118D">
      <w:pPr>
        <w:pStyle w:val="ListParagraph"/>
        <w:numPr>
          <w:ilvl w:val="0"/>
          <w:numId w:val="22"/>
        </w:numPr>
        <w:spacing w:before="120" w:after="140"/>
      </w:pPr>
      <w:r>
        <w:rPr>
          <w:rFonts w:cstheme="minorHAnsi"/>
          <w:szCs w:val="22"/>
        </w:rPr>
        <w:t>o</w:t>
      </w:r>
      <w:r w:rsidRPr="00A32B4F">
        <w:rPr>
          <w:rFonts w:cstheme="minorHAnsi"/>
          <w:szCs w:val="22"/>
        </w:rPr>
        <w:t>utcome</w:t>
      </w:r>
      <w:r w:rsidR="00FC5A80" w:rsidRPr="00A32B4F">
        <w:rPr>
          <w:rFonts w:cstheme="minorHAnsi"/>
          <w:szCs w:val="22"/>
        </w:rPr>
        <w:t xml:space="preserve"> of the application of </w:t>
      </w:r>
      <w:r w:rsidR="0095118D" w:rsidRPr="00A32B4F">
        <w:rPr>
          <w:rFonts w:cstheme="minorHAnsi"/>
          <w:szCs w:val="22"/>
        </w:rPr>
        <w:t>the grant calculation formula.</w:t>
      </w:r>
    </w:p>
    <w:p w:rsidR="00FC5A80" w:rsidRPr="00A32B4F" w:rsidRDefault="00FC5A80" w:rsidP="0095118D">
      <w:pPr>
        <w:spacing w:before="120" w:after="140"/>
      </w:pPr>
      <w:r w:rsidRPr="00A32B4F">
        <w:t>The Minister for Veterans</w:t>
      </w:r>
      <w:r w:rsidR="00DA0959">
        <w:t>’</w:t>
      </w:r>
      <w:r w:rsidRPr="00A32B4F">
        <w:t xml:space="preserve"> Affairs approved the funding to the successful grant recipients.</w:t>
      </w:r>
    </w:p>
    <w:p w:rsidR="00F85F98" w:rsidRPr="00AE3E5D" w:rsidRDefault="00F85F98" w:rsidP="005677A2">
      <w:pPr>
        <w:pStyle w:val="Heading1"/>
        <w:spacing w:before="120" w:after="120"/>
        <w:rPr>
          <w:rFonts w:asciiTheme="majorHAnsi" w:hAnsiTheme="majorHAnsi" w:cstheme="majorHAnsi"/>
        </w:rPr>
      </w:pPr>
      <w:r w:rsidRPr="00AE3E5D">
        <w:rPr>
          <w:rFonts w:asciiTheme="majorHAnsi" w:hAnsiTheme="majorHAnsi" w:cstheme="majorHAnsi"/>
        </w:rPr>
        <w:t xml:space="preserve">Selection </w:t>
      </w:r>
      <w:r w:rsidR="008C7DC2">
        <w:rPr>
          <w:rFonts w:asciiTheme="majorHAnsi" w:hAnsiTheme="majorHAnsi" w:cstheme="majorHAnsi"/>
        </w:rPr>
        <w:t>r</w:t>
      </w:r>
      <w:r w:rsidRPr="00AE3E5D">
        <w:rPr>
          <w:rFonts w:asciiTheme="majorHAnsi" w:hAnsiTheme="majorHAnsi" w:cstheme="majorHAnsi"/>
        </w:rPr>
        <w:t>esults</w:t>
      </w:r>
    </w:p>
    <w:p w:rsidR="00F85F98" w:rsidRPr="00A32B4F" w:rsidRDefault="008C7DC2" w:rsidP="0095118D">
      <w:pPr>
        <w:pStyle w:val="BodyText"/>
      </w:pPr>
      <w:r>
        <w:t>One hundred and nine</w:t>
      </w:r>
      <w:r w:rsidR="00B54CAF" w:rsidRPr="00A32B4F">
        <w:t xml:space="preserve"> </w:t>
      </w:r>
      <w:r w:rsidR="006C022A" w:rsidRPr="00A32B4F">
        <w:t xml:space="preserve">organisations </w:t>
      </w:r>
      <w:r w:rsidR="00F85F98" w:rsidRPr="00A32B4F">
        <w:t>were selected to deliver</w:t>
      </w:r>
      <w:r w:rsidR="00563F88" w:rsidRPr="00A32B4F">
        <w:t xml:space="preserve"> the</w:t>
      </w:r>
      <w:r w:rsidR="00D25D82" w:rsidRPr="00A32B4F">
        <w:t xml:space="preserve"> </w:t>
      </w:r>
      <w:r w:rsidR="00F32709" w:rsidRPr="00A32B4F">
        <w:t>BEST</w:t>
      </w:r>
      <w:r w:rsidR="00D25D82" w:rsidRPr="00A32B4F">
        <w:t xml:space="preserve"> </w:t>
      </w:r>
      <w:r w:rsidR="00563F88" w:rsidRPr="00A32B4F">
        <w:t>grant</w:t>
      </w:r>
      <w:r w:rsidR="00F85F98" w:rsidRPr="00A32B4F">
        <w:t>.</w:t>
      </w:r>
    </w:p>
    <w:p w:rsidR="00406CAB" w:rsidRPr="00A32B4F" w:rsidRDefault="00F85F98" w:rsidP="0095118D">
      <w:pPr>
        <w:pStyle w:val="BodyText"/>
      </w:pPr>
      <w:r w:rsidRPr="00A32B4F">
        <w:t xml:space="preserve">The selected </w:t>
      </w:r>
      <w:r w:rsidR="00F43F77" w:rsidRPr="00A32B4F">
        <w:t>organisations demonstrated</w:t>
      </w:r>
      <w:r w:rsidRPr="00A32B4F">
        <w:t xml:space="preserve"> their ability to meet the </w:t>
      </w:r>
      <w:r w:rsidR="0034044F" w:rsidRPr="00A32B4F">
        <w:t>eligibility</w:t>
      </w:r>
      <w:r w:rsidRPr="00A32B4F">
        <w:t xml:space="preserve"> requirements outlined in the </w:t>
      </w:r>
      <w:r w:rsidR="00563F88" w:rsidRPr="00A32B4F">
        <w:t xml:space="preserve">Grant Opportunity </w:t>
      </w:r>
      <w:r w:rsidRPr="00A32B4F">
        <w:t xml:space="preserve">Guidelines. </w:t>
      </w:r>
    </w:p>
    <w:p w:rsidR="0095118D" w:rsidRPr="00AE3E5D" w:rsidRDefault="0095118D" w:rsidP="005677A2">
      <w:pPr>
        <w:pStyle w:val="Heading1"/>
        <w:spacing w:before="120" w:after="120"/>
        <w:rPr>
          <w:rFonts w:asciiTheme="majorHAnsi" w:hAnsiTheme="majorHAnsi" w:cstheme="majorHAnsi"/>
        </w:rPr>
      </w:pPr>
      <w:r w:rsidRPr="00AE3E5D">
        <w:rPr>
          <w:rFonts w:asciiTheme="majorHAnsi" w:hAnsiTheme="majorHAnsi" w:cstheme="majorHAnsi"/>
        </w:rPr>
        <w:t>General feedback</w:t>
      </w:r>
    </w:p>
    <w:p w:rsidR="0095118D" w:rsidRPr="00A32B4F" w:rsidRDefault="005677A2" w:rsidP="0095118D">
      <w:pPr>
        <w:spacing w:before="120" w:after="140"/>
        <w:contextualSpacing/>
        <w:rPr>
          <w:rFonts w:eastAsia="Times New Roman" w:cstheme="minorHAnsi"/>
          <w:color w:val="auto"/>
          <w:szCs w:val="22"/>
          <w:lang w:eastAsia="en-AU"/>
        </w:rPr>
      </w:pPr>
      <w:r>
        <w:rPr>
          <w:rFonts w:eastAsia="Times New Roman" w:cstheme="minorHAnsi"/>
          <w:color w:val="auto"/>
          <w:szCs w:val="22"/>
          <w:lang w:eastAsia="en-AU"/>
        </w:rPr>
        <w:t>The successful applications</w:t>
      </w:r>
      <w:r w:rsidR="0095118D" w:rsidRPr="00A32B4F">
        <w:rPr>
          <w:rFonts w:eastAsia="Times New Roman" w:cstheme="minorHAnsi"/>
          <w:color w:val="auto"/>
          <w:szCs w:val="22"/>
          <w:lang w:eastAsia="en-AU"/>
        </w:rPr>
        <w:t xml:space="preserve"> were eligible and met the objectives of the program. As per section 7.2 of the Grant Opportunity Guidelines, the grant amount offered to eligible applicants is calculated based on: </w:t>
      </w:r>
    </w:p>
    <w:p w:rsidR="0095118D" w:rsidRPr="00A32B4F" w:rsidRDefault="0095118D" w:rsidP="0095118D">
      <w:pPr>
        <w:pStyle w:val="ListParagraph"/>
        <w:numPr>
          <w:ilvl w:val="0"/>
          <w:numId w:val="22"/>
        </w:numPr>
        <w:rPr>
          <w:rFonts w:cstheme="minorHAnsi"/>
          <w:szCs w:val="22"/>
        </w:rPr>
      </w:pPr>
      <w:r w:rsidRPr="00A32B4F">
        <w:rPr>
          <w:rFonts w:cstheme="minorHAnsi"/>
          <w:szCs w:val="22"/>
        </w:rPr>
        <w:t xml:space="preserve">an applicant’s requested </w:t>
      </w:r>
      <w:r w:rsidR="00F43F77">
        <w:rPr>
          <w:rFonts w:cstheme="minorHAnsi"/>
          <w:szCs w:val="22"/>
        </w:rPr>
        <w:t>grant amount and workload information provided in the completed grant application</w:t>
      </w:r>
    </w:p>
    <w:p w:rsidR="0095118D" w:rsidRPr="00A32B4F" w:rsidRDefault="0095118D" w:rsidP="0095118D">
      <w:pPr>
        <w:pStyle w:val="ListParagraph"/>
        <w:numPr>
          <w:ilvl w:val="0"/>
          <w:numId w:val="22"/>
        </w:numPr>
        <w:rPr>
          <w:rFonts w:eastAsia="Times New Roman" w:cstheme="minorHAnsi"/>
          <w:color w:val="auto"/>
          <w:szCs w:val="22"/>
          <w:lang w:eastAsia="en-AU"/>
        </w:rPr>
      </w:pPr>
      <w:r w:rsidRPr="00A32B4F">
        <w:rPr>
          <w:rFonts w:eastAsia="Times New Roman" w:cstheme="minorHAnsi"/>
          <w:color w:val="auto"/>
          <w:szCs w:val="22"/>
          <w:lang w:eastAsia="en-AU"/>
        </w:rPr>
        <w:t>the total amount of funding available</w:t>
      </w:r>
    </w:p>
    <w:p w:rsidR="00190FB7" w:rsidRPr="00B52ACF" w:rsidRDefault="0095118D" w:rsidP="00190FB7">
      <w:pPr>
        <w:pStyle w:val="ListParagraph"/>
        <w:numPr>
          <w:ilvl w:val="0"/>
          <w:numId w:val="22"/>
        </w:numPr>
        <w:rPr>
          <w:rFonts w:eastAsia="Times New Roman" w:cstheme="minorHAnsi"/>
          <w:color w:val="auto"/>
          <w:szCs w:val="22"/>
          <w:lang w:eastAsia="en-AU"/>
        </w:rPr>
      </w:pPr>
      <w:r w:rsidRPr="00A32B4F">
        <w:rPr>
          <w:rFonts w:eastAsia="Times New Roman" w:cstheme="minorHAnsi"/>
          <w:color w:val="auto"/>
          <w:szCs w:val="22"/>
          <w:lang w:eastAsia="en-AU"/>
        </w:rPr>
        <w:t xml:space="preserve">the BEST grant calculation formula. </w:t>
      </w:r>
    </w:p>
    <w:p w:rsidR="0095118D" w:rsidRPr="00AE3E5D" w:rsidRDefault="0095118D" w:rsidP="005677A2">
      <w:pPr>
        <w:pStyle w:val="Heading1"/>
        <w:spacing w:before="120" w:after="120" w:line="280" w:lineRule="atLeast"/>
        <w:rPr>
          <w:rFonts w:asciiTheme="majorHAnsi" w:hAnsiTheme="majorHAnsi" w:cstheme="majorHAnsi"/>
        </w:rPr>
      </w:pPr>
      <w:r w:rsidRPr="00AE3E5D">
        <w:rPr>
          <w:rFonts w:asciiTheme="majorHAnsi" w:hAnsiTheme="majorHAnsi" w:cstheme="majorHAnsi"/>
        </w:rPr>
        <w:lastRenderedPageBreak/>
        <w:t>Guidance for future BEST grant applications</w:t>
      </w:r>
    </w:p>
    <w:p w:rsidR="0095118D" w:rsidRPr="00A32B4F" w:rsidRDefault="0095118D" w:rsidP="0095118D">
      <w:pPr>
        <w:spacing w:before="120" w:after="140"/>
        <w:rPr>
          <w:rFonts w:eastAsia="Times New Roman" w:cstheme="minorHAnsi"/>
          <w:color w:val="auto"/>
          <w:szCs w:val="22"/>
          <w:lang w:eastAsia="en-AU"/>
        </w:rPr>
      </w:pPr>
      <w:r w:rsidRPr="00A32B4F">
        <w:rPr>
          <w:rFonts w:eastAsia="Times New Roman" w:cstheme="minorHAnsi"/>
          <w:color w:val="auto"/>
          <w:szCs w:val="22"/>
          <w:lang w:eastAsia="en-AU"/>
        </w:rPr>
        <w:t xml:space="preserve">The following guidance may assist applicants in completing applications for </w:t>
      </w:r>
      <w:r w:rsidR="001703F2">
        <w:rPr>
          <w:rFonts w:eastAsia="Times New Roman" w:cstheme="minorHAnsi"/>
          <w:color w:val="auto"/>
          <w:szCs w:val="22"/>
          <w:lang w:eastAsia="en-AU"/>
        </w:rPr>
        <w:t xml:space="preserve">future </w:t>
      </w:r>
      <w:r w:rsidRPr="00A32B4F">
        <w:rPr>
          <w:rFonts w:eastAsia="Times New Roman" w:cstheme="minorHAnsi"/>
          <w:color w:val="auto"/>
          <w:szCs w:val="22"/>
          <w:lang w:eastAsia="en-AU"/>
        </w:rPr>
        <w:t>BEST grant funding.</w:t>
      </w:r>
    </w:p>
    <w:p w:rsidR="00B52ACF" w:rsidRPr="00AE3E5D" w:rsidRDefault="0095118D" w:rsidP="005677A2">
      <w:pPr>
        <w:pStyle w:val="Heading2"/>
        <w:spacing w:before="120"/>
        <w:rPr>
          <w:color w:val="CF0A2C" w:themeColor="accent1"/>
          <w:sz w:val="22"/>
          <w:szCs w:val="22"/>
        </w:rPr>
      </w:pPr>
      <w:r w:rsidRPr="00AE3E5D">
        <w:rPr>
          <w:color w:val="CF0A2C" w:themeColor="accent1"/>
          <w:sz w:val="22"/>
          <w:szCs w:val="22"/>
        </w:rPr>
        <w:t>Read the supporting information before applying</w:t>
      </w:r>
    </w:p>
    <w:p w:rsidR="0095118D" w:rsidRPr="00A32B4F" w:rsidRDefault="0095118D" w:rsidP="0095118D">
      <w:pPr>
        <w:pStyle w:val="BodyText"/>
        <w:numPr>
          <w:ilvl w:val="0"/>
          <w:numId w:val="25"/>
        </w:numPr>
        <w:rPr>
          <w:szCs w:val="22"/>
        </w:rPr>
      </w:pPr>
      <w:r w:rsidRPr="00A32B4F">
        <w:rPr>
          <w:szCs w:val="22"/>
        </w:rPr>
        <w:t xml:space="preserve">It is important to read all available information provided about BEST grants when applying for funding, especially the Grant Opportunity documentation provided on the </w:t>
      </w:r>
      <w:hyperlink r:id="rId9" w:history="1">
        <w:r w:rsidRPr="00EE6907">
          <w:rPr>
            <w:rStyle w:val="Hyperlink"/>
            <w:szCs w:val="22"/>
          </w:rPr>
          <w:t>Hub’s website</w:t>
        </w:r>
      </w:hyperlink>
      <w:r w:rsidR="00290ACA">
        <w:rPr>
          <w:rStyle w:val="Hyperlink"/>
          <w:szCs w:val="22"/>
        </w:rPr>
        <w:t xml:space="preserve"> </w:t>
      </w:r>
      <w:r w:rsidR="00290ACA" w:rsidRPr="00EE6907">
        <w:t>when the round is open</w:t>
      </w:r>
    </w:p>
    <w:p w:rsidR="0095118D" w:rsidRPr="00A32B4F" w:rsidRDefault="0095118D" w:rsidP="0095118D">
      <w:pPr>
        <w:pStyle w:val="BodyText"/>
        <w:numPr>
          <w:ilvl w:val="0"/>
          <w:numId w:val="25"/>
        </w:numPr>
        <w:rPr>
          <w:szCs w:val="22"/>
        </w:rPr>
      </w:pPr>
      <w:r w:rsidRPr="00A32B4F">
        <w:rPr>
          <w:szCs w:val="22"/>
        </w:rPr>
        <w:t xml:space="preserve">The </w:t>
      </w:r>
      <w:r w:rsidR="00EE6907">
        <w:rPr>
          <w:szCs w:val="22"/>
        </w:rPr>
        <w:t>g</w:t>
      </w:r>
      <w:r w:rsidRPr="00A32B4F">
        <w:rPr>
          <w:szCs w:val="22"/>
        </w:rPr>
        <w:t xml:space="preserve">rant </w:t>
      </w:r>
      <w:r w:rsidR="00EE6907">
        <w:rPr>
          <w:szCs w:val="22"/>
        </w:rPr>
        <w:t>o</w:t>
      </w:r>
      <w:r w:rsidRPr="00A32B4F">
        <w:rPr>
          <w:szCs w:val="22"/>
        </w:rPr>
        <w:t>pportunity documentation is specific to each BEST round and contains important information about the purpose of the program,</w:t>
      </w:r>
      <w:r w:rsidR="009647C4">
        <w:rPr>
          <w:szCs w:val="22"/>
        </w:rPr>
        <w:t xml:space="preserve"> changes since the previous round,</w:t>
      </w:r>
      <w:r w:rsidRPr="00A32B4F">
        <w:rPr>
          <w:szCs w:val="22"/>
        </w:rPr>
        <w:t xml:space="preserve"> eligibility and compliance requirement</w:t>
      </w:r>
      <w:r w:rsidR="00EE6907">
        <w:rPr>
          <w:szCs w:val="22"/>
        </w:rPr>
        <w:t>s, timeframes, and how to apply</w:t>
      </w:r>
    </w:p>
    <w:p w:rsidR="0011206E" w:rsidRDefault="0095118D" w:rsidP="008E7656">
      <w:pPr>
        <w:numPr>
          <w:ilvl w:val="0"/>
          <w:numId w:val="26"/>
        </w:numPr>
        <w:spacing w:after="240" w:line="240" w:lineRule="auto"/>
        <w:ind w:left="714" w:hanging="357"/>
        <w:rPr>
          <w:szCs w:val="22"/>
        </w:rPr>
      </w:pPr>
      <w:r w:rsidRPr="00A32B4F">
        <w:rPr>
          <w:szCs w:val="22"/>
        </w:rPr>
        <w:t xml:space="preserve">The </w:t>
      </w:r>
      <w:r w:rsidR="00EE6907">
        <w:rPr>
          <w:szCs w:val="22"/>
        </w:rPr>
        <w:t>a</w:t>
      </w:r>
      <w:r w:rsidRPr="00A32B4F">
        <w:rPr>
          <w:szCs w:val="22"/>
        </w:rPr>
        <w:t xml:space="preserve">pplication </w:t>
      </w:r>
      <w:r w:rsidR="00EE6907">
        <w:rPr>
          <w:szCs w:val="22"/>
        </w:rPr>
        <w:t>f</w:t>
      </w:r>
      <w:r w:rsidRPr="00A32B4F">
        <w:rPr>
          <w:szCs w:val="22"/>
        </w:rPr>
        <w:t>orm includes helpful information and details on questions relating to mandatory information required by the Hub an</w:t>
      </w:r>
      <w:r w:rsidR="00EE6907">
        <w:rPr>
          <w:szCs w:val="22"/>
        </w:rPr>
        <w:t>d DVA for the selection process</w:t>
      </w:r>
    </w:p>
    <w:p w:rsidR="00C26989" w:rsidRPr="008E7656" w:rsidRDefault="00C26989" w:rsidP="008E7656">
      <w:pPr>
        <w:numPr>
          <w:ilvl w:val="0"/>
          <w:numId w:val="26"/>
        </w:numPr>
        <w:spacing w:after="240" w:line="240" w:lineRule="auto"/>
        <w:ind w:left="714" w:hanging="357"/>
        <w:rPr>
          <w:szCs w:val="22"/>
        </w:rPr>
      </w:pPr>
      <w:r>
        <w:rPr>
          <w:szCs w:val="22"/>
        </w:rPr>
        <w:t>If you’</w:t>
      </w:r>
      <w:r w:rsidR="00736545">
        <w:rPr>
          <w:szCs w:val="22"/>
        </w:rPr>
        <w:t>re a s</w:t>
      </w:r>
      <w:r>
        <w:rPr>
          <w:szCs w:val="22"/>
        </w:rPr>
        <w:t>ponso</w:t>
      </w:r>
      <w:r w:rsidR="00736545">
        <w:rPr>
          <w:szCs w:val="22"/>
        </w:rPr>
        <w:t>red organisation, your application must be completed and signed by your sponsor</w:t>
      </w:r>
      <w:r w:rsidR="00111F89">
        <w:rPr>
          <w:szCs w:val="22"/>
        </w:rPr>
        <w:t>ing</w:t>
      </w:r>
      <w:r w:rsidR="00736545">
        <w:rPr>
          <w:szCs w:val="22"/>
        </w:rPr>
        <w:t xml:space="preserve"> organisation. A current Letter of Declaration must be signed by both the sponsored and sponsor</w:t>
      </w:r>
      <w:r w:rsidR="00111F89">
        <w:rPr>
          <w:szCs w:val="22"/>
        </w:rPr>
        <w:t>ing</w:t>
      </w:r>
      <w:r w:rsidR="00736545">
        <w:rPr>
          <w:szCs w:val="22"/>
        </w:rPr>
        <w:t xml:space="preserve"> organisation, and uploa</w:t>
      </w:r>
      <w:r w:rsidR="00EE6907">
        <w:rPr>
          <w:szCs w:val="22"/>
        </w:rPr>
        <w:t>ded as supporting documentation</w:t>
      </w:r>
    </w:p>
    <w:p w:rsidR="00DB2720" w:rsidRDefault="00DB2720" w:rsidP="0095118D">
      <w:pPr>
        <w:numPr>
          <w:ilvl w:val="0"/>
          <w:numId w:val="26"/>
        </w:numPr>
        <w:spacing w:after="240" w:line="240" w:lineRule="auto"/>
        <w:ind w:left="714" w:hanging="357"/>
        <w:rPr>
          <w:rFonts w:eastAsia="Times New Roman" w:cstheme="minorHAnsi"/>
          <w:color w:val="auto"/>
          <w:szCs w:val="22"/>
          <w:lang w:eastAsia="en-AU"/>
        </w:rPr>
      </w:pPr>
      <w:r>
        <w:rPr>
          <w:rFonts w:eastAsia="Times New Roman" w:cstheme="minorHAnsi"/>
          <w:color w:val="auto"/>
          <w:szCs w:val="22"/>
          <w:lang w:eastAsia="en-AU"/>
        </w:rPr>
        <w:t>As funding is distributed using a formula, the full amount available is shared among all applicants. It is very important that the reporting of workload is consistent</w:t>
      </w:r>
      <w:r w:rsidR="00F00285">
        <w:rPr>
          <w:rFonts w:eastAsia="Times New Roman" w:cstheme="minorHAnsi"/>
          <w:color w:val="auto"/>
          <w:szCs w:val="22"/>
          <w:lang w:eastAsia="en-AU"/>
        </w:rPr>
        <w:t xml:space="preserve"> among all applicants to ensure the distribution is fair</w:t>
      </w:r>
    </w:p>
    <w:p w:rsidR="00A543FD" w:rsidRPr="001617DC" w:rsidRDefault="00D966C6" w:rsidP="0095118D">
      <w:pPr>
        <w:numPr>
          <w:ilvl w:val="0"/>
          <w:numId w:val="26"/>
        </w:numPr>
        <w:spacing w:after="240" w:line="240" w:lineRule="auto"/>
        <w:ind w:left="714" w:hanging="357"/>
        <w:rPr>
          <w:rFonts w:eastAsia="Times New Roman" w:cstheme="minorHAnsi"/>
          <w:color w:val="auto"/>
          <w:szCs w:val="22"/>
          <w:lang w:eastAsia="en-AU"/>
        </w:rPr>
      </w:pPr>
      <w:r w:rsidRPr="00A32B4F">
        <w:rPr>
          <w:rFonts w:eastAsia="Times New Roman" w:cstheme="minorHAnsi"/>
          <w:color w:val="auto"/>
          <w:szCs w:val="22"/>
          <w:lang w:eastAsia="en-AU"/>
        </w:rPr>
        <w:t xml:space="preserve">Do not include </w:t>
      </w:r>
      <w:r w:rsidR="00EE6907">
        <w:rPr>
          <w:rFonts w:eastAsia="Times New Roman" w:cstheme="minorHAnsi"/>
          <w:color w:val="auto"/>
          <w:szCs w:val="22"/>
          <w:lang w:eastAsia="en-AU"/>
        </w:rPr>
        <w:t>VRB</w:t>
      </w:r>
      <w:r w:rsidR="00D05C03">
        <w:rPr>
          <w:rFonts w:eastAsia="Times New Roman" w:cstheme="minorHAnsi"/>
          <w:color w:val="auto"/>
          <w:szCs w:val="22"/>
          <w:lang w:eastAsia="en-AU"/>
        </w:rPr>
        <w:t xml:space="preserve"> </w:t>
      </w:r>
      <w:r w:rsidRPr="00A32B4F">
        <w:rPr>
          <w:rFonts w:eastAsia="Times New Roman" w:cstheme="minorHAnsi"/>
          <w:color w:val="auto"/>
          <w:szCs w:val="22"/>
          <w:lang w:eastAsia="en-AU"/>
        </w:rPr>
        <w:t xml:space="preserve">and </w:t>
      </w:r>
      <w:r w:rsidR="00D05C03" w:rsidRPr="00D05C03">
        <w:rPr>
          <w:rFonts w:eastAsia="Times New Roman" w:cstheme="minorHAnsi"/>
          <w:color w:val="auto"/>
          <w:szCs w:val="22"/>
          <w:lang w:eastAsia="en-AU"/>
        </w:rPr>
        <w:t xml:space="preserve">the </w:t>
      </w:r>
      <w:r w:rsidR="00EE6907">
        <w:rPr>
          <w:rFonts w:eastAsia="Times New Roman" w:cstheme="minorHAnsi"/>
          <w:color w:val="auto"/>
          <w:szCs w:val="22"/>
          <w:lang w:eastAsia="en-AU"/>
        </w:rPr>
        <w:t>AAT</w:t>
      </w:r>
      <w:r w:rsidRPr="00A32B4F">
        <w:rPr>
          <w:rFonts w:eastAsia="Times New Roman" w:cstheme="minorHAnsi"/>
          <w:color w:val="auto"/>
          <w:szCs w:val="22"/>
          <w:lang w:eastAsia="en-AU"/>
        </w:rPr>
        <w:t xml:space="preserve"> appeals referred to other organisations to </w:t>
      </w:r>
      <w:r w:rsidR="00DB2720">
        <w:rPr>
          <w:rFonts w:eastAsia="Times New Roman" w:cstheme="minorHAnsi"/>
          <w:color w:val="auto"/>
          <w:szCs w:val="22"/>
          <w:lang w:eastAsia="en-AU"/>
        </w:rPr>
        <w:t>complete</w:t>
      </w:r>
      <w:r w:rsidRPr="00A32B4F">
        <w:rPr>
          <w:rFonts w:eastAsia="Times New Roman" w:cstheme="minorHAnsi"/>
          <w:color w:val="auto"/>
          <w:szCs w:val="22"/>
          <w:lang w:eastAsia="en-AU"/>
        </w:rPr>
        <w:t>.</w:t>
      </w:r>
      <w:r w:rsidR="00D8063F" w:rsidRPr="00A32B4F">
        <w:rPr>
          <w:rFonts w:eastAsia="Times New Roman" w:cstheme="minorHAnsi"/>
          <w:color w:val="auto"/>
          <w:szCs w:val="22"/>
          <w:lang w:eastAsia="en-AU"/>
        </w:rPr>
        <w:t xml:space="preserve"> </w:t>
      </w:r>
      <w:r w:rsidR="00DB2720">
        <w:rPr>
          <w:rFonts w:eastAsia="Times New Roman" w:cstheme="minorHAnsi"/>
          <w:color w:val="auto"/>
          <w:szCs w:val="22"/>
          <w:lang w:eastAsia="en-AU"/>
        </w:rPr>
        <w:t xml:space="preserve">Many organisations have claimed VRBs and AATs without appropriately qualified CL3 or CL4 </w:t>
      </w:r>
      <w:r w:rsidR="00D05C03" w:rsidRPr="00C961A4">
        <w:rPr>
          <w:rFonts w:cs="Arial"/>
        </w:rPr>
        <w:t>Advocacy Training and Development Program</w:t>
      </w:r>
      <w:r w:rsidR="00D05C03">
        <w:rPr>
          <w:rFonts w:eastAsia="Times New Roman" w:cstheme="minorHAnsi"/>
          <w:color w:val="auto"/>
          <w:szCs w:val="22"/>
          <w:lang w:eastAsia="en-AU"/>
        </w:rPr>
        <w:t xml:space="preserve"> (</w:t>
      </w:r>
      <w:r w:rsidR="00DB2720">
        <w:rPr>
          <w:rFonts w:eastAsia="Times New Roman" w:cstheme="minorHAnsi"/>
          <w:color w:val="auto"/>
          <w:szCs w:val="22"/>
          <w:lang w:eastAsia="en-AU"/>
        </w:rPr>
        <w:t>ATDP</w:t>
      </w:r>
      <w:r w:rsidR="00D05C03">
        <w:rPr>
          <w:rFonts w:eastAsia="Times New Roman" w:cstheme="minorHAnsi"/>
          <w:color w:val="auto"/>
          <w:szCs w:val="22"/>
          <w:lang w:eastAsia="en-AU"/>
        </w:rPr>
        <w:t>)</w:t>
      </w:r>
      <w:r w:rsidR="00DB2720">
        <w:rPr>
          <w:rFonts w:eastAsia="Times New Roman" w:cstheme="minorHAnsi"/>
          <w:color w:val="auto"/>
          <w:szCs w:val="22"/>
          <w:lang w:eastAsia="en-AU"/>
        </w:rPr>
        <w:t xml:space="preserve"> advocates. While the outreach work is often initiated at lower levels, the item should only be claimed by the organisation representing the veteran at the Board or Tribunal. This will avoid the same work being counted by </w:t>
      </w:r>
      <w:r w:rsidR="00EE6907">
        <w:rPr>
          <w:rFonts w:eastAsia="Times New Roman" w:cstheme="minorHAnsi"/>
          <w:color w:val="auto"/>
          <w:szCs w:val="22"/>
          <w:lang w:eastAsia="en-AU"/>
        </w:rPr>
        <w:t>2</w:t>
      </w:r>
      <w:r w:rsidR="00DB2720">
        <w:rPr>
          <w:rFonts w:eastAsia="Times New Roman" w:cstheme="minorHAnsi"/>
          <w:color w:val="auto"/>
          <w:szCs w:val="22"/>
          <w:lang w:eastAsia="en-AU"/>
        </w:rPr>
        <w:t xml:space="preserve"> applicants and dis</w:t>
      </w:r>
      <w:r w:rsidR="00EE6907">
        <w:rPr>
          <w:rFonts w:eastAsia="Times New Roman" w:cstheme="minorHAnsi"/>
          <w:color w:val="auto"/>
          <w:szCs w:val="22"/>
          <w:lang w:eastAsia="en-AU"/>
        </w:rPr>
        <w:t>advantaging other organisations</w:t>
      </w:r>
    </w:p>
    <w:p w:rsidR="00613950" w:rsidRPr="00E07169" w:rsidRDefault="00613950" w:rsidP="00E07169">
      <w:pPr>
        <w:numPr>
          <w:ilvl w:val="0"/>
          <w:numId w:val="26"/>
        </w:numPr>
        <w:spacing w:after="240" w:line="240" w:lineRule="auto"/>
        <w:rPr>
          <w:rFonts w:eastAsia="Times New Roman" w:cstheme="minorHAnsi"/>
          <w:i/>
          <w:color w:val="auto"/>
          <w:szCs w:val="22"/>
          <w:lang w:eastAsia="en-AU"/>
        </w:rPr>
      </w:pPr>
      <w:r>
        <w:rPr>
          <w:rFonts w:eastAsia="Times New Roman" w:cstheme="minorHAnsi"/>
          <w:color w:val="auto"/>
          <w:szCs w:val="22"/>
          <w:lang w:eastAsia="en-AU"/>
        </w:rPr>
        <w:t xml:space="preserve">Do not include workload completed by trainee advocates. This workload must be attributed to their </w:t>
      </w:r>
      <w:r w:rsidR="00086E3A">
        <w:rPr>
          <w:rFonts w:eastAsia="Times New Roman" w:cstheme="minorHAnsi"/>
          <w:color w:val="auto"/>
          <w:szCs w:val="22"/>
          <w:lang w:eastAsia="en-AU"/>
        </w:rPr>
        <w:t xml:space="preserve">ATDP qualified </w:t>
      </w:r>
      <w:r w:rsidR="00EE6907">
        <w:rPr>
          <w:rFonts w:eastAsia="Times New Roman" w:cstheme="minorHAnsi"/>
          <w:color w:val="auto"/>
          <w:szCs w:val="22"/>
          <w:lang w:eastAsia="en-AU"/>
        </w:rPr>
        <w:t>mentor</w:t>
      </w:r>
    </w:p>
    <w:p w:rsidR="00AD6172" w:rsidRPr="00A32B4F" w:rsidRDefault="00AD6172" w:rsidP="0095118D">
      <w:pPr>
        <w:numPr>
          <w:ilvl w:val="0"/>
          <w:numId w:val="26"/>
        </w:numPr>
        <w:spacing w:after="240" w:line="240" w:lineRule="auto"/>
        <w:ind w:left="714" w:hanging="357"/>
        <w:rPr>
          <w:rFonts w:eastAsia="Times New Roman" w:cstheme="minorHAnsi"/>
          <w:color w:val="auto"/>
          <w:szCs w:val="22"/>
          <w:lang w:eastAsia="en-AU"/>
        </w:rPr>
      </w:pPr>
      <w:r w:rsidRPr="00A32B4F">
        <w:rPr>
          <w:rFonts w:eastAsia="Times New Roman" w:cstheme="minorHAnsi"/>
          <w:color w:val="auto"/>
          <w:szCs w:val="22"/>
          <w:lang w:eastAsia="en-AU"/>
        </w:rPr>
        <w:t xml:space="preserve">When considering your </w:t>
      </w:r>
      <w:r w:rsidR="00F70484">
        <w:rPr>
          <w:rFonts w:eastAsia="Times New Roman" w:cstheme="minorHAnsi"/>
          <w:color w:val="auto"/>
          <w:szCs w:val="22"/>
          <w:lang w:eastAsia="en-AU"/>
        </w:rPr>
        <w:t>Wel</w:t>
      </w:r>
      <w:r w:rsidR="00F65E69">
        <w:rPr>
          <w:rFonts w:eastAsia="Times New Roman" w:cstheme="minorHAnsi"/>
          <w:color w:val="auto"/>
          <w:szCs w:val="22"/>
          <w:lang w:eastAsia="en-AU"/>
        </w:rPr>
        <w:t>l</w:t>
      </w:r>
      <w:r w:rsidR="00F70484">
        <w:rPr>
          <w:rFonts w:eastAsia="Times New Roman" w:cstheme="minorHAnsi"/>
          <w:color w:val="auto"/>
          <w:szCs w:val="22"/>
          <w:lang w:eastAsia="en-AU"/>
        </w:rPr>
        <w:t>being</w:t>
      </w:r>
      <w:r w:rsidR="00F70484" w:rsidRPr="00A32B4F">
        <w:rPr>
          <w:rFonts w:eastAsia="Times New Roman" w:cstheme="minorHAnsi"/>
          <w:color w:val="auto"/>
          <w:szCs w:val="22"/>
          <w:lang w:eastAsia="en-AU"/>
        </w:rPr>
        <w:t xml:space="preserve"> </w:t>
      </w:r>
      <w:r w:rsidRPr="00A32B4F">
        <w:rPr>
          <w:rFonts w:eastAsia="Times New Roman" w:cstheme="minorHAnsi"/>
          <w:color w:val="auto"/>
          <w:szCs w:val="22"/>
          <w:lang w:eastAsia="en-AU"/>
        </w:rPr>
        <w:t xml:space="preserve">Support hours, the </w:t>
      </w:r>
      <w:hyperlink r:id="rId10" w:history="1">
        <w:r w:rsidRPr="00EE6907">
          <w:rPr>
            <w:rStyle w:val="Hyperlink"/>
            <w:rFonts w:eastAsia="Times New Roman" w:cstheme="minorHAnsi"/>
            <w:szCs w:val="22"/>
            <w:lang w:eastAsia="en-AU"/>
          </w:rPr>
          <w:t xml:space="preserve">DVA </w:t>
        </w:r>
        <w:r w:rsidR="00EE6907" w:rsidRPr="00EE6907">
          <w:rPr>
            <w:rStyle w:val="Hyperlink"/>
            <w:rFonts w:eastAsia="Times New Roman" w:cstheme="minorHAnsi"/>
            <w:szCs w:val="22"/>
            <w:lang w:eastAsia="en-AU"/>
          </w:rPr>
          <w:t>w</w:t>
        </w:r>
        <w:r w:rsidRPr="00EE6907">
          <w:rPr>
            <w:rStyle w:val="Hyperlink"/>
            <w:rFonts w:eastAsia="Times New Roman" w:cstheme="minorHAnsi"/>
            <w:szCs w:val="22"/>
            <w:lang w:eastAsia="en-AU"/>
          </w:rPr>
          <w:t>ebsite</w:t>
        </w:r>
      </w:hyperlink>
      <w:r w:rsidRPr="00A32B4F">
        <w:rPr>
          <w:rFonts w:eastAsia="Times New Roman" w:cstheme="minorHAnsi"/>
          <w:color w:val="auto"/>
          <w:szCs w:val="22"/>
          <w:lang w:eastAsia="en-AU"/>
        </w:rPr>
        <w:t xml:space="preserve"> </w:t>
      </w:r>
      <w:r w:rsidRPr="00A32B4F">
        <w:t xml:space="preserve">provides a </w:t>
      </w:r>
      <w:r w:rsidR="00F70484">
        <w:t>Wellbeing</w:t>
      </w:r>
      <w:r w:rsidR="00F70484" w:rsidRPr="00A32B4F">
        <w:t xml:space="preserve"> </w:t>
      </w:r>
      <w:r w:rsidRPr="00A32B4F">
        <w:t>Activity Workload Definition.</w:t>
      </w:r>
    </w:p>
    <w:p w:rsidR="005677A2" w:rsidRDefault="005677A2">
      <w:pPr>
        <w:spacing w:line="240" w:lineRule="auto"/>
        <w:rPr>
          <w:rFonts w:asciiTheme="majorHAnsi" w:eastAsiaTheme="majorEastAsia" w:hAnsiTheme="majorHAnsi" w:cstheme="majorBidi"/>
          <w:b/>
          <w:bCs/>
          <w:color w:val="CF0A2C" w:themeColor="accent1"/>
          <w:szCs w:val="22"/>
        </w:rPr>
      </w:pPr>
      <w:r>
        <w:rPr>
          <w:color w:val="CF0A2C" w:themeColor="accent1"/>
          <w:szCs w:val="22"/>
        </w:rPr>
        <w:br w:type="page"/>
      </w:r>
    </w:p>
    <w:p w:rsidR="00923788" w:rsidRPr="00AE3E5D" w:rsidRDefault="0095118D" w:rsidP="00923788">
      <w:pPr>
        <w:pStyle w:val="Heading3"/>
        <w:keepLines w:val="0"/>
        <w:spacing w:before="240"/>
        <w:rPr>
          <w:color w:val="CF0A2C" w:themeColor="accent1"/>
          <w:szCs w:val="22"/>
        </w:rPr>
      </w:pPr>
      <w:r w:rsidRPr="00AE3E5D">
        <w:rPr>
          <w:color w:val="CF0A2C" w:themeColor="accent1"/>
          <w:szCs w:val="22"/>
        </w:rPr>
        <w:lastRenderedPageBreak/>
        <w:t>Eligibility and compliance</w:t>
      </w:r>
      <w:r w:rsidR="001703F2">
        <w:rPr>
          <w:color w:val="CF0A2C" w:themeColor="accent1"/>
          <w:szCs w:val="22"/>
        </w:rPr>
        <w:t xml:space="preserve"> </w:t>
      </w:r>
    </w:p>
    <w:p w:rsidR="00B52ACF" w:rsidRPr="00A32B4F" w:rsidRDefault="00923788" w:rsidP="003862C6">
      <w:pPr>
        <w:tabs>
          <w:tab w:val="left" w:pos="709"/>
          <w:tab w:val="left" w:pos="1560"/>
        </w:tabs>
        <w:spacing w:before="40" w:after="120"/>
        <w:rPr>
          <w:rFonts w:cs="Arial"/>
          <w:szCs w:val="22"/>
        </w:rPr>
      </w:pPr>
      <w:r w:rsidRPr="00A32B4F">
        <w:rPr>
          <w:rFonts w:cs="Arial"/>
          <w:szCs w:val="22"/>
        </w:rPr>
        <w:t>To be consid</w:t>
      </w:r>
      <w:r w:rsidR="00B52ACF">
        <w:rPr>
          <w:rFonts w:cs="Arial"/>
          <w:szCs w:val="22"/>
        </w:rPr>
        <w:t xml:space="preserve">ered for a grant, you must </w:t>
      </w:r>
      <w:r w:rsidR="00856778">
        <w:rPr>
          <w:rFonts w:cs="Arial"/>
          <w:szCs w:val="22"/>
        </w:rPr>
        <w:t xml:space="preserve">ensure </w:t>
      </w:r>
      <w:r w:rsidR="005B7796">
        <w:rPr>
          <w:rFonts w:cs="Arial"/>
          <w:szCs w:val="22"/>
        </w:rPr>
        <w:t xml:space="preserve">your application meets </w:t>
      </w:r>
      <w:r w:rsidR="00856778">
        <w:rPr>
          <w:rFonts w:cs="Arial"/>
          <w:szCs w:val="22"/>
        </w:rPr>
        <w:t>the following requirements</w:t>
      </w:r>
      <w:r w:rsidRPr="00A32B4F">
        <w:rPr>
          <w:rFonts w:cs="Arial"/>
          <w:szCs w:val="22"/>
        </w:rPr>
        <w:t>:</w:t>
      </w:r>
    </w:p>
    <w:p w:rsidR="005B7796" w:rsidRDefault="005B7796" w:rsidP="003862C6">
      <w:pPr>
        <w:pStyle w:val="ListBullet"/>
        <w:numPr>
          <w:ilvl w:val="0"/>
          <w:numId w:val="25"/>
        </w:numPr>
        <w:spacing w:after="120"/>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Check the ATDP register to ensure that advocates recorded on your application are listed in the register with the correct qualification.</w:t>
      </w:r>
    </w:p>
    <w:p w:rsidR="005B7796" w:rsidRDefault="005B7796" w:rsidP="005B7796">
      <w:pPr>
        <w:numPr>
          <w:ilvl w:val="0"/>
          <w:numId w:val="25"/>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Ensure trainee advocates are recorded in the designated Trainee section of the form and not in the ATDP advocate list.</w:t>
      </w:r>
    </w:p>
    <w:p w:rsidR="005E01D4" w:rsidRPr="005B7796" w:rsidRDefault="005E01D4" w:rsidP="005B7796">
      <w:pPr>
        <w:numPr>
          <w:ilvl w:val="0"/>
          <w:numId w:val="25"/>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You must have an ATDP qualified Wellbeing Advocate to complete the wellbeing activities listed as wellbeing advocacy such as </w:t>
      </w:r>
      <w:r w:rsidR="00111F89">
        <w:rPr>
          <w:rFonts w:eastAsia="Times New Roman" w:cstheme="minorHAnsi"/>
          <w:color w:val="auto"/>
          <w:szCs w:val="22"/>
          <w:lang w:eastAsia="en-AU"/>
        </w:rPr>
        <w:t xml:space="preserve">support for </w:t>
      </w:r>
      <w:r>
        <w:rPr>
          <w:rFonts w:eastAsia="Times New Roman" w:cstheme="minorHAnsi"/>
          <w:color w:val="auto"/>
          <w:szCs w:val="22"/>
          <w:lang w:eastAsia="en-AU"/>
        </w:rPr>
        <w:t xml:space="preserve">funerals, housing/accommodation or assisting with a crisis. Wellbeing support officers </w:t>
      </w:r>
      <w:r w:rsidR="00111F89">
        <w:rPr>
          <w:rFonts w:eastAsia="Times New Roman" w:cstheme="minorHAnsi"/>
          <w:color w:val="auto"/>
          <w:szCs w:val="22"/>
          <w:lang w:eastAsia="en-AU"/>
        </w:rPr>
        <w:t xml:space="preserve">provide transport and visit veterans, they </w:t>
      </w:r>
      <w:r>
        <w:rPr>
          <w:rFonts w:eastAsia="Times New Roman" w:cstheme="minorHAnsi"/>
          <w:color w:val="auto"/>
          <w:szCs w:val="22"/>
          <w:lang w:eastAsia="en-AU"/>
        </w:rPr>
        <w:t>can only count the work associated with</w:t>
      </w:r>
      <w:r w:rsidR="00B66DF6">
        <w:rPr>
          <w:rFonts w:eastAsia="Times New Roman" w:cstheme="minorHAnsi"/>
          <w:color w:val="auto"/>
          <w:szCs w:val="22"/>
          <w:lang w:eastAsia="en-AU"/>
        </w:rPr>
        <w:t xml:space="preserve"> </w:t>
      </w:r>
      <w:r w:rsidR="00111F89">
        <w:rPr>
          <w:rFonts w:eastAsia="Times New Roman" w:cstheme="minorHAnsi"/>
          <w:color w:val="auto"/>
          <w:szCs w:val="22"/>
          <w:lang w:eastAsia="en-AU"/>
        </w:rPr>
        <w:t>this support.</w:t>
      </w:r>
    </w:p>
    <w:p w:rsidR="00923788" w:rsidRPr="00EA29E6" w:rsidRDefault="00923788" w:rsidP="00EA29E6">
      <w:pPr>
        <w:numPr>
          <w:ilvl w:val="0"/>
          <w:numId w:val="26"/>
        </w:numPr>
        <w:spacing w:after="240" w:line="240" w:lineRule="auto"/>
        <w:ind w:left="714" w:hanging="357"/>
        <w:rPr>
          <w:rFonts w:eastAsia="Times New Roman" w:cstheme="minorHAnsi"/>
          <w:color w:val="auto"/>
          <w:szCs w:val="22"/>
          <w:lang w:eastAsia="en-AU"/>
        </w:rPr>
      </w:pPr>
      <w:r w:rsidRPr="00EA29E6">
        <w:rPr>
          <w:rFonts w:eastAsia="Times New Roman" w:cstheme="minorHAnsi"/>
          <w:color w:val="auto"/>
          <w:szCs w:val="22"/>
          <w:lang w:eastAsia="en-AU"/>
        </w:rPr>
        <w:t xml:space="preserve">All </w:t>
      </w:r>
      <w:r w:rsidR="00E96A7E" w:rsidRPr="00EA29E6">
        <w:rPr>
          <w:rFonts w:eastAsia="Times New Roman" w:cstheme="minorHAnsi"/>
          <w:color w:val="auto"/>
          <w:szCs w:val="22"/>
          <w:lang w:eastAsia="en-AU"/>
        </w:rPr>
        <w:t xml:space="preserve">reported </w:t>
      </w:r>
      <w:r w:rsidRPr="00EA29E6">
        <w:rPr>
          <w:rFonts w:eastAsia="Times New Roman" w:cstheme="minorHAnsi"/>
          <w:color w:val="auto"/>
          <w:szCs w:val="22"/>
          <w:lang w:eastAsia="en-AU"/>
        </w:rPr>
        <w:t>workload is undertaken by practitioners with up-to-date ATDP</w:t>
      </w:r>
      <w:r w:rsidR="00E96A7E" w:rsidRPr="00EA29E6">
        <w:rPr>
          <w:rFonts w:eastAsia="Times New Roman" w:cstheme="minorHAnsi"/>
          <w:color w:val="auto"/>
          <w:szCs w:val="22"/>
          <w:lang w:eastAsia="en-AU"/>
        </w:rPr>
        <w:t xml:space="preserve"> qualifications.</w:t>
      </w:r>
      <w:r w:rsidRPr="00EA29E6">
        <w:rPr>
          <w:rFonts w:eastAsia="Times New Roman" w:cstheme="minorHAnsi"/>
          <w:color w:val="auto"/>
          <w:szCs w:val="22"/>
          <w:lang w:eastAsia="en-AU"/>
        </w:rPr>
        <w:t xml:space="preserve"> </w:t>
      </w:r>
    </w:p>
    <w:p w:rsidR="006A1AA5" w:rsidRDefault="0065796D" w:rsidP="00EA29E6">
      <w:pPr>
        <w:numPr>
          <w:ilvl w:val="0"/>
          <w:numId w:val="26"/>
        </w:numPr>
        <w:spacing w:after="240" w:line="240" w:lineRule="auto"/>
        <w:ind w:left="714" w:hanging="357"/>
        <w:rPr>
          <w:szCs w:val="22"/>
        </w:rPr>
      </w:pPr>
      <w:r w:rsidRPr="00A32B4F">
        <w:rPr>
          <w:rFonts w:eastAsia="Times New Roman" w:cstheme="minorHAnsi"/>
          <w:color w:val="auto"/>
          <w:szCs w:val="22"/>
          <w:lang w:eastAsia="en-AU"/>
        </w:rPr>
        <w:t xml:space="preserve">When recording advocate workloads, ensure each claim is counted as a single claim regardless of the number of conditions. For example, if a claim is submitted for </w:t>
      </w:r>
      <w:r w:rsidR="007E7B30">
        <w:rPr>
          <w:rFonts w:eastAsia="Times New Roman" w:cstheme="minorHAnsi"/>
          <w:color w:val="auto"/>
          <w:szCs w:val="22"/>
          <w:lang w:eastAsia="en-AU"/>
        </w:rPr>
        <w:t>6</w:t>
      </w:r>
      <w:r w:rsidRPr="00A32B4F">
        <w:rPr>
          <w:rFonts w:eastAsia="Times New Roman" w:cstheme="minorHAnsi"/>
          <w:color w:val="auto"/>
          <w:szCs w:val="22"/>
          <w:lang w:eastAsia="en-AU"/>
        </w:rPr>
        <w:t xml:space="preserve"> conditions, record it as </w:t>
      </w:r>
      <w:r>
        <w:rPr>
          <w:rFonts w:eastAsia="Times New Roman" w:cstheme="minorHAnsi"/>
          <w:color w:val="auto"/>
          <w:szCs w:val="22"/>
          <w:lang w:eastAsia="en-AU"/>
        </w:rPr>
        <w:t>one</w:t>
      </w:r>
      <w:r w:rsidRPr="00A32B4F">
        <w:rPr>
          <w:rFonts w:eastAsia="Times New Roman" w:cstheme="minorHAnsi"/>
          <w:color w:val="auto"/>
          <w:szCs w:val="22"/>
          <w:lang w:eastAsia="en-AU"/>
        </w:rPr>
        <w:t xml:space="preserve"> claim only. It is important all applicants use this method to ensure consistency in workload reporting. Please note, the formula takes into consideration the volume and complexity of the work through workload ratings</w:t>
      </w:r>
      <w:r w:rsidR="006A1AA5">
        <w:rPr>
          <w:szCs w:val="22"/>
        </w:rPr>
        <w:t>.</w:t>
      </w:r>
    </w:p>
    <w:p w:rsidR="006936E2" w:rsidRPr="00EA29E6" w:rsidRDefault="006936E2" w:rsidP="00EA29E6">
      <w:pPr>
        <w:numPr>
          <w:ilvl w:val="0"/>
          <w:numId w:val="26"/>
        </w:numPr>
        <w:spacing w:after="240" w:line="240" w:lineRule="auto"/>
        <w:ind w:left="714" w:hanging="357"/>
        <w:rPr>
          <w:rFonts w:eastAsia="Times New Roman" w:cstheme="minorHAnsi"/>
          <w:color w:val="auto"/>
          <w:szCs w:val="22"/>
          <w:lang w:eastAsia="en-AU"/>
        </w:rPr>
      </w:pPr>
      <w:r>
        <w:rPr>
          <w:szCs w:val="22"/>
        </w:rPr>
        <w:t xml:space="preserve">Salary expenses and equipment/administration expenses claimed must be for eligible </w:t>
      </w:r>
      <w:r w:rsidRPr="00EA29E6">
        <w:rPr>
          <w:rFonts w:eastAsia="Times New Roman" w:cstheme="minorHAnsi"/>
          <w:color w:val="auto"/>
          <w:szCs w:val="22"/>
          <w:lang w:eastAsia="en-AU"/>
        </w:rPr>
        <w:t>expenditure as outlined in Appendix A of the Grant Opportunity Guidelines.</w:t>
      </w:r>
    </w:p>
    <w:p w:rsidR="007E5FC2" w:rsidRPr="006A1AA5" w:rsidRDefault="00F43F77" w:rsidP="00EA29E6">
      <w:pPr>
        <w:numPr>
          <w:ilvl w:val="0"/>
          <w:numId w:val="26"/>
        </w:numPr>
        <w:spacing w:after="240" w:line="240" w:lineRule="auto"/>
        <w:ind w:left="714" w:hanging="357"/>
        <w:rPr>
          <w:szCs w:val="22"/>
        </w:rPr>
      </w:pPr>
      <w:r w:rsidRPr="00EA29E6">
        <w:rPr>
          <w:rFonts w:eastAsia="Times New Roman" w:cstheme="minorHAnsi"/>
          <w:color w:val="auto"/>
          <w:szCs w:val="22"/>
          <w:lang w:eastAsia="en-AU"/>
        </w:rPr>
        <w:t>Possess</w:t>
      </w:r>
      <w:r w:rsidR="007E5FC2" w:rsidRPr="00EA29E6">
        <w:rPr>
          <w:rFonts w:eastAsia="Times New Roman" w:cstheme="minorHAnsi"/>
          <w:color w:val="auto"/>
          <w:szCs w:val="22"/>
          <w:lang w:eastAsia="en-AU"/>
        </w:rPr>
        <w:t xml:space="preserve"> professional indemnity insurance available through the Veterans’ Indemnity and Training Association Inc., or a similar insurance provider</w:t>
      </w:r>
      <w:r w:rsidR="00653F6A" w:rsidRPr="00EA29E6">
        <w:rPr>
          <w:rFonts w:eastAsia="Times New Roman" w:cstheme="minorHAnsi"/>
          <w:color w:val="auto"/>
          <w:szCs w:val="22"/>
          <w:lang w:eastAsia="en-AU"/>
        </w:rPr>
        <w:t xml:space="preserve"> and be</w:t>
      </w:r>
      <w:r w:rsidR="00653F6A">
        <w:rPr>
          <w:szCs w:val="22"/>
        </w:rPr>
        <w:t xml:space="preserve"> able to provide a current Certificate of Currency </w:t>
      </w:r>
      <w:r w:rsidR="001B7B23">
        <w:rPr>
          <w:szCs w:val="22"/>
        </w:rPr>
        <w:t>as supporting documentation.</w:t>
      </w:r>
    </w:p>
    <w:p w:rsidR="00F43F77" w:rsidRPr="00EA29E6" w:rsidRDefault="00923788" w:rsidP="00EA29E6">
      <w:pPr>
        <w:numPr>
          <w:ilvl w:val="0"/>
          <w:numId w:val="26"/>
        </w:numPr>
        <w:spacing w:after="240" w:line="240" w:lineRule="auto"/>
        <w:ind w:left="714" w:hanging="357"/>
        <w:rPr>
          <w:szCs w:val="22"/>
        </w:rPr>
      </w:pPr>
      <w:r w:rsidRPr="00A32B4F">
        <w:rPr>
          <w:szCs w:val="22"/>
        </w:rPr>
        <w:t xml:space="preserve">All previous DVA grants have been acquitted (if applicable). We cannot fund applications from an organisation that has </w:t>
      </w:r>
      <w:r w:rsidR="00FD7309" w:rsidRPr="00A32B4F">
        <w:rPr>
          <w:szCs w:val="22"/>
        </w:rPr>
        <w:t>overdue</w:t>
      </w:r>
      <w:r w:rsidRPr="00A32B4F">
        <w:rPr>
          <w:szCs w:val="22"/>
        </w:rPr>
        <w:t xml:space="preserve"> acquittals for any previous DVA grant funding at the closing date and time for this grant opportunity.</w:t>
      </w:r>
    </w:p>
    <w:p w:rsidR="00F43F77" w:rsidRPr="00F43F77" w:rsidRDefault="00923788" w:rsidP="00EA29E6">
      <w:pPr>
        <w:numPr>
          <w:ilvl w:val="0"/>
          <w:numId w:val="26"/>
        </w:numPr>
        <w:spacing w:after="240" w:line="240" w:lineRule="auto"/>
        <w:ind w:left="714" w:hanging="357"/>
        <w:rPr>
          <w:iCs/>
          <w:szCs w:val="22"/>
        </w:rPr>
      </w:pPr>
      <w:r w:rsidRPr="00F43F77">
        <w:rPr>
          <w:szCs w:val="22"/>
        </w:rPr>
        <w:t xml:space="preserve">An organisation must complete at least 30 compensation or </w:t>
      </w:r>
      <w:r w:rsidR="00F70484">
        <w:rPr>
          <w:szCs w:val="22"/>
        </w:rPr>
        <w:t>wellbeing</w:t>
      </w:r>
      <w:r w:rsidR="00F70484" w:rsidRPr="00F43F77">
        <w:rPr>
          <w:szCs w:val="22"/>
        </w:rPr>
        <w:t xml:space="preserve"> </w:t>
      </w:r>
      <w:r w:rsidRPr="00F43F77">
        <w:rPr>
          <w:szCs w:val="22"/>
        </w:rPr>
        <w:t>workload units</w:t>
      </w:r>
      <w:r w:rsidR="00FF594F">
        <w:rPr>
          <w:szCs w:val="22"/>
        </w:rPr>
        <w:t xml:space="preserve"> to be eligible to be offered a grant</w:t>
      </w:r>
      <w:r w:rsidRPr="00F43F77">
        <w:rPr>
          <w:szCs w:val="22"/>
        </w:rPr>
        <w:t>. Please see the guidelines for more information.</w:t>
      </w:r>
    </w:p>
    <w:p w:rsidR="00EA29E6" w:rsidRDefault="00F43F77" w:rsidP="00B52ACF">
      <w:pPr>
        <w:pStyle w:val="Bullet2"/>
        <w:numPr>
          <w:ilvl w:val="0"/>
          <w:numId w:val="0"/>
        </w:numPr>
        <w:spacing w:before="40" w:after="120"/>
        <w:rPr>
          <w:rFonts w:asciiTheme="majorHAnsi" w:eastAsiaTheme="majorEastAsia" w:hAnsiTheme="majorHAnsi" w:cstheme="majorBidi"/>
          <w:b/>
          <w:bCs/>
          <w:color w:val="CF0A2C" w:themeColor="accent1"/>
        </w:rPr>
      </w:pPr>
      <w:r w:rsidRPr="00EA29E6">
        <w:rPr>
          <w:rFonts w:asciiTheme="majorHAnsi" w:eastAsiaTheme="majorEastAsia" w:hAnsiTheme="majorHAnsi" w:cstheme="majorBidi"/>
          <w:b/>
          <w:bCs/>
          <w:color w:val="CF0A2C" w:themeColor="accent1"/>
        </w:rPr>
        <w:t xml:space="preserve">Eligible </w:t>
      </w:r>
      <w:r w:rsidR="007E7B30">
        <w:rPr>
          <w:rFonts w:asciiTheme="majorHAnsi" w:eastAsiaTheme="majorEastAsia" w:hAnsiTheme="majorHAnsi" w:cstheme="majorBidi"/>
          <w:b/>
          <w:bCs/>
          <w:color w:val="CF0A2C" w:themeColor="accent1"/>
        </w:rPr>
        <w:t>e</w:t>
      </w:r>
      <w:r w:rsidRPr="00EA29E6">
        <w:rPr>
          <w:rFonts w:asciiTheme="majorHAnsi" w:eastAsiaTheme="majorEastAsia" w:hAnsiTheme="majorHAnsi" w:cstheme="majorBidi"/>
          <w:b/>
          <w:bCs/>
          <w:color w:val="CF0A2C" w:themeColor="accent1"/>
        </w:rPr>
        <w:t>ntity types</w:t>
      </w:r>
    </w:p>
    <w:p w:rsidR="00B52ACF" w:rsidRPr="00B52ACF" w:rsidRDefault="00A23CFF" w:rsidP="00B52ACF">
      <w:pPr>
        <w:pStyle w:val="Bullet2"/>
        <w:numPr>
          <w:ilvl w:val="0"/>
          <w:numId w:val="0"/>
        </w:numPr>
        <w:spacing w:before="40" w:after="120"/>
      </w:pPr>
      <w:r>
        <w:t xml:space="preserve">To </w:t>
      </w:r>
      <w:r w:rsidR="00F43F77">
        <w:t xml:space="preserve">be eligible, an ESO must have an eligible entity type. </w:t>
      </w:r>
      <w:r w:rsidR="00923788" w:rsidRPr="00A32B4F">
        <w:t xml:space="preserve">If your organisation is not listed as an eligible entity type you may still </w:t>
      </w:r>
      <w:r w:rsidR="00FD300E">
        <w:t xml:space="preserve">be </w:t>
      </w:r>
      <w:r w:rsidR="00923788" w:rsidRPr="00A32B4F">
        <w:t xml:space="preserve">eligible to apply under a sponsorship arrangement with another ESO who is an eligible entity type. If you </w:t>
      </w:r>
      <w:r w:rsidR="00FD300E">
        <w:t>are</w:t>
      </w:r>
      <w:r w:rsidR="00923788" w:rsidRPr="00A32B4F">
        <w:t xml:space="preserve"> applying as a sponsored organisation, </w:t>
      </w:r>
      <w:r w:rsidR="00C838D0">
        <w:t xml:space="preserve">you </w:t>
      </w:r>
      <w:r w:rsidR="00FD300E">
        <w:t>must</w:t>
      </w:r>
      <w:r w:rsidR="00C838D0">
        <w:t xml:space="preserve"> </w:t>
      </w:r>
      <w:r w:rsidR="00923788" w:rsidRPr="00A32B4F">
        <w:t>ensure the sponsor complete</w:t>
      </w:r>
      <w:r w:rsidR="00FD300E">
        <w:t>s</w:t>
      </w:r>
      <w:r w:rsidR="00923788" w:rsidRPr="00A32B4F">
        <w:t xml:space="preserve"> the application form on your behalf.</w:t>
      </w:r>
    </w:p>
    <w:p w:rsidR="005677A2" w:rsidRDefault="005677A2">
      <w:pPr>
        <w:spacing w:line="240" w:lineRule="auto"/>
        <w:rPr>
          <w:rFonts w:asciiTheme="majorHAnsi" w:eastAsia="Times New Roman" w:hAnsiTheme="majorHAnsi" w:cstheme="majorHAnsi"/>
          <w:b/>
          <w:color w:val="CF0A2C" w:themeColor="accent1"/>
          <w:szCs w:val="22"/>
          <w:lang w:val="en" w:eastAsia="en-AU"/>
        </w:rPr>
      </w:pPr>
      <w:r>
        <w:rPr>
          <w:rFonts w:asciiTheme="majorHAnsi" w:eastAsia="Times New Roman" w:hAnsiTheme="majorHAnsi" w:cstheme="majorHAnsi"/>
          <w:b/>
          <w:color w:val="CF0A2C" w:themeColor="accent1"/>
          <w:lang w:val="en" w:eastAsia="en-AU"/>
        </w:rPr>
        <w:br w:type="page"/>
      </w:r>
    </w:p>
    <w:p w:rsidR="00B52ACF" w:rsidRPr="00AE3E5D" w:rsidRDefault="005C43CE" w:rsidP="00AE3E5D">
      <w:pPr>
        <w:pStyle w:val="Bullet2"/>
        <w:numPr>
          <w:ilvl w:val="0"/>
          <w:numId w:val="0"/>
        </w:numPr>
        <w:spacing w:before="240" w:after="120" w:line="240" w:lineRule="exact"/>
        <w:rPr>
          <w:rFonts w:asciiTheme="majorHAnsi" w:eastAsia="Times New Roman" w:hAnsiTheme="majorHAnsi" w:cstheme="majorHAnsi"/>
          <w:b/>
          <w:color w:val="CF0A2C" w:themeColor="accent1"/>
          <w:lang w:val="en" w:eastAsia="en-AU"/>
        </w:rPr>
      </w:pPr>
      <w:r w:rsidRPr="00AE3E5D">
        <w:rPr>
          <w:rFonts w:asciiTheme="majorHAnsi" w:eastAsia="Times New Roman" w:hAnsiTheme="majorHAnsi" w:cstheme="majorHAnsi"/>
          <w:b/>
          <w:color w:val="CF0A2C" w:themeColor="accent1"/>
          <w:lang w:val="en" w:eastAsia="en-AU"/>
        </w:rPr>
        <w:lastRenderedPageBreak/>
        <w:t>Definition of an ESO</w:t>
      </w:r>
    </w:p>
    <w:p w:rsidR="005C43CE" w:rsidRPr="00A32B4F" w:rsidRDefault="005C43CE" w:rsidP="000534D4">
      <w:pPr>
        <w:pStyle w:val="Bullet2"/>
        <w:numPr>
          <w:ilvl w:val="0"/>
          <w:numId w:val="0"/>
        </w:numPr>
        <w:spacing w:before="0" w:after="0" w:line="360" w:lineRule="auto"/>
        <w:rPr>
          <w:rFonts w:ascii="Arial" w:eastAsia="Times New Roman" w:hAnsi="Arial" w:cs="Arial"/>
          <w:lang w:val="en" w:eastAsia="en-AU"/>
        </w:rPr>
      </w:pPr>
      <w:r w:rsidRPr="00A32B4F">
        <w:rPr>
          <w:rFonts w:ascii="Arial" w:eastAsia="Times New Roman" w:hAnsi="Arial" w:cs="Arial"/>
          <w:lang w:val="en" w:eastAsia="en-AU"/>
        </w:rPr>
        <w:t>To be eligible for the purposes of BEST grants, an ESO is considered to be an organisation:</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whose membership consists primarily of Australian veterans, past and present members of the Australian Defence Force (ADF) and/or their dependants</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which is established primarily to provide pensions, advocacy and/or </w:t>
      </w:r>
      <w:r w:rsidR="00F70484">
        <w:rPr>
          <w:rFonts w:asciiTheme="minorHAnsi" w:eastAsiaTheme="minorHAnsi" w:hAnsiTheme="minorHAnsi"/>
          <w:iCs w:val="0"/>
          <w:color w:val="000000" w:themeColor="text1"/>
          <w:sz w:val="22"/>
          <w:szCs w:val="22"/>
        </w:rPr>
        <w:t>wellbeing</w:t>
      </w:r>
      <w:r w:rsidRPr="00A32B4F">
        <w:rPr>
          <w:rFonts w:asciiTheme="minorHAnsi" w:eastAsiaTheme="minorHAnsi" w:hAnsiTheme="minorHAnsi"/>
          <w:iCs w:val="0"/>
          <w:color w:val="000000" w:themeColor="text1"/>
          <w:sz w:val="22"/>
          <w:szCs w:val="22"/>
        </w:rPr>
        <w:t xml:space="preserve"> assistance to Australian veterans, past and present members of the ADF and/or their dependants</w:t>
      </w:r>
    </w:p>
    <w:p w:rsidR="00D05C03" w:rsidRPr="005677A2" w:rsidRDefault="005C43CE" w:rsidP="005677A2">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which does not operate as a business or charge any fee for acting on behalf of the Australian veterans, past and present members of the ADF and/or their dependants in the provision of claims or </w:t>
      </w:r>
      <w:r w:rsidR="00F70484">
        <w:rPr>
          <w:rFonts w:asciiTheme="minorHAnsi" w:eastAsiaTheme="minorHAnsi" w:hAnsiTheme="minorHAnsi"/>
          <w:iCs w:val="0"/>
          <w:color w:val="000000" w:themeColor="text1"/>
          <w:sz w:val="22"/>
          <w:szCs w:val="22"/>
        </w:rPr>
        <w:t>wellbeing</w:t>
      </w:r>
      <w:r w:rsidR="00F70484" w:rsidRPr="00A32B4F">
        <w:rPr>
          <w:rFonts w:asciiTheme="minorHAnsi" w:eastAsiaTheme="minorHAnsi" w:hAnsiTheme="minorHAnsi"/>
          <w:iCs w:val="0"/>
          <w:color w:val="000000" w:themeColor="text1"/>
          <w:sz w:val="22"/>
          <w:szCs w:val="22"/>
        </w:rPr>
        <w:t xml:space="preserve"> </w:t>
      </w:r>
      <w:r w:rsidRPr="00A32B4F">
        <w:rPr>
          <w:rFonts w:asciiTheme="minorHAnsi" w:eastAsiaTheme="minorHAnsi" w:hAnsiTheme="minorHAnsi"/>
          <w:iCs w:val="0"/>
          <w:color w:val="000000" w:themeColor="text1"/>
          <w:sz w:val="22"/>
          <w:szCs w:val="22"/>
        </w:rPr>
        <w:t>services.</w:t>
      </w:r>
    </w:p>
    <w:p w:rsidR="00AE3E5D" w:rsidRPr="00AE3E5D" w:rsidRDefault="005C43CE" w:rsidP="00AE3E5D">
      <w:pPr>
        <w:spacing w:before="240" w:line="240" w:lineRule="exact"/>
        <w:rPr>
          <w:rFonts w:asciiTheme="majorHAnsi" w:hAnsiTheme="majorHAnsi" w:cstheme="majorHAnsi"/>
          <w:color w:val="CF0A2C" w:themeColor="accent1"/>
          <w:sz w:val="16"/>
          <w:szCs w:val="16"/>
        </w:rPr>
      </w:pPr>
      <w:r w:rsidRPr="00AE3E5D">
        <w:rPr>
          <w:rFonts w:asciiTheme="majorHAnsi" w:hAnsiTheme="majorHAnsi" w:cstheme="majorHAnsi"/>
          <w:b/>
          <w:color w:val="CF0A2C" w:themeColor="accent1"/>
          <w:szCs w:val="22"/>
        </w:rPr>
        <w:t xml:space="preserve">Applicant types </w:t>
      </w:r>
    </w:p>
    <w:p w:rsidR="005C43CE" w:rsidRPr="00F43F77" w:rsidRDefault="005C43CE" w:rsidP="00AE3E5D">
      <w:pPr>
        <w:spacing w:before="240" w:after="240" w:line="240" w:lineRule="exact"/>
        <w:rPr>
          <w:rFonts w:cs="Arial"/>
          <w:b/>
          <w:szCs w:val="22"/>
        </w:rPr>
      </w:pPr>
      <w:r w:rsidRPr="00A32B4F">
        <w:rPr>
          <w:rFonts w:cs="Arial"/>
          <w:szCs w:val="22"/>
        </w:rPr>
        <w:t>ESOs c</w:t>
      </w:r>
      <w:r w:rsidR="00FD300E">
        <w:rPr>
          <w:rFonts w:cs="Arial"/>
          <w:szCs w:val="22"/>
        </w:rPr>
        <w:t>an</w:t>
      </w:r>
      <w:r w:rsidRPr="00A32B4F">
        <w:rPr>
          <w:rFonts w:cs="Arial"/>
          <w:szCs w:val="22"/>
        </w:rPr>
        <w:t xml:space="preserve"> choose to apply as one of </w:t>
      </w:r>
      <w:r w:rsidR="003862C6">
        <w:rPr>
          <w:rFonts w:cs="Arial"/>
          <w:szCs w:val="22"/>
        </w:rPr>
        <w:t>2</w:t>
      </w:r>
      <w:r w:rsidRPr="00A32B4F">
        <w:rPr>
          <w:rFonts w:cs="Arial"/>
          <w:szCs w:val="22"/>
        </w:rPr>
        <w:t xml:space="preserve"> applicant types:</w:t>
      </w:r>
    </w:p>
    <w:p w:rsidR="005C43CE" w:rsidRPr="00A32B4F" w:rsidRDefault="005C43CE" w:rsidP="005C43CE">
      <w:pPr>
        <w:pStyle w:val="ListParagraph"/>
        <w:numPr>
          <w:ilvl w:val="0"/>
          <w:numId w:val="33"/>
        </w:numPr>
        <w:spacing w:before="40" w:after="120"/>
        <w:ind w:left="714" w:hanging="357"/>
        <w:contextualSpacing w:val="0"/>
        <w:rPr>
          <w:rFonts w:cs="Arial"/>
          <w:szCs w:val="22"/>
        </w:rPr>
      </w:pPr>
      <w:r w:rsidRPr="00A32B4F">
        <w:rPr>
          <w:rFonts w:cs="Arial"/>
          <w:szCs w:val="22"/>
        </w:rPr>
        <w:t>an ESO applying in their own right for funding for their own organisation</w:t>
      </w:r>
    </w:p>
    <w:p w:rsidR="005C43CE" w:rsidRPr="00A32B4F" w:rsidRDefault="005C43CE" w:rsidP="005C43CE">
      <w:pPr>
        <w:pStyle w:val="ListParagraph"/>
        <w:numPr>
          <w:ilvl w:val="0"/>
          <w:numId w:val="33"/>
        </w:numPr>
        <w:spacing w:before="40" w:after="120"/>
        <w:ind w:left="714" w:hanging="357"/>
        <w:contextualSpacing w:val="0"/>
        <w:rPr>
          <w:rFonts w:cs="Arial"/>
          <w:szCs w:val="22"/>
        </w:rPr>
      </w:pPr>
      <w:r w:rsidRPr="00A32B4F">
        <w:rPr>
          <w:rFonts w:cs="Arial"/>
          <w:szCs w:val="22"/>
        </w:rPr>
        <w:t>an ESO applying for funding as a sponsoring applicant on behalf of one or more ESOs that may or may not be an eligible entity type.</w:t>
      </w:r>
    </w:p>
    <w:p w:rsidR="005C43CE" w:rsidRPr="00AE3E5D" w:rsidRDefault="005C43CE" w:rsidP="00AE3E5D">
      <w:pPr>
        <w:spacing w:after="240" w:line="240" w:lineRule="exact"/>
        <w:rPr>
          <w:rFonts w:asciiTheme="majorHAnsi" w:hAnsiTheme="majorHAnsi" w:cstheme="majorHAnsi"/>
          <w:b/>
          <w:szCs w:val="22"/>
        </w:rPr>
      </w:pPr>
      <w:r w:rsidRPr="00AE3E5D">
        <w:rPr>
          <w:rFonts w:asciiTheme="majorHAnsi" w:hAnsiTheme="majorHAnsi" w:cstheme="majorHAnsi"/>
          <w:b/>
          <w:color w:val="CF0A2C" w:themeColor="accent1"/>
          <w:szCs w:val="22"/>
        </w:rPr>
        <w:t>Applying in your own right</w:t>
      </w:r>
    </w:p>
    <w:p w:rsidR="005C43CE" w:rsidRPr="000534D4" w:rsidRDefault="005C43CE" w:rsidP="003862C6">
      <w:pPr>
        <w:spacing w:before="40" w:after="120"/>
        <w:rPr>
          <w:szCs w:val="22"/>
        </w:rPr>
      </w:pPr>
      <w:r w:rsidRPr="000534D4">
        <w:rPr>
          <w:szCs w:val="22"/>
        </w:rPr>
        <w:t xml:space="preserve">To be eligible to apply </w:t>
      </w:r>
      <w:r w:rsidR="000534D4">
        <w:rPr>
          <w:szCs w:val="22"/>
        </w:rPr>
        <w:t xml:space="preserve">in your own right, you must be </w:t>
      </w:r>
      <w:r w:rsidRPr="000534D4">
        <w:rPr>
          <w:iCs/>
          <w:szCs w:val="22"/>
        </w:rPr>
        <w:t>an ESO and</w:t>
      </w:r>
      <w:r w:rsidR="000534D4">
        <w:rPr>
          <w:iCs/>
          <w:szCs w:val="22"/>
        </w:rPr>
        <w:t xml:space="preserve"> </w:t>
      </w:r>
      <w:r w:rsidRPr="000534D4">
        <w:rPr>
          <w:szCs w:val="22"/>
        </w:rPr>
        <w:t>one of the following eligible entity types:</w:t>
      </w:r>
    </w:p>
    <w:p w:rsidR="002D4837" w:rsidRPr="002D4837" w:rsidRDefault="005C43CE" w:rsidP="002D4837">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Company</w:t>
      </w:r>
    </w:p>
    <w:p w:rsidR="005C43CE" w:rsidRPr="00A32B4F" w:rsidRDefault="005C43CE" w:rsidP="000534D4">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Cooperative</w:t>
      </w:r>
    </w:p>
    <w:p w:rsidR="005C43CE" w:rsidRPr="00A32B4F" w:rsidRDefault="005C43CE" w:rsidP="000534D4">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Corporate State or Territory Entity </w:t>
      </w:r>
    </w:p>
    <w:p w:rsidR="005C43CE" w:rsidRPr="000534D4" w:rsidRDefault="005C43CE" w:rsidP="000534D4">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Incorporated</w:t>
      </w:r>
      <w:r w:rsidRPr="000534D4">
        <w:rPr>
          <w:rFonts w:asciiTheme="minorHAnsi" w:eastAsiaTheme="minorHAnsi" w:hAnsiTheme="minorHAnsi"/>
          <w:iCs w:val="0"/>
          <w:color w:val="000000" w:themeColor="text1"/>
          <w:sz w:val="22"/>
          <w:szCs w:val="22"/>
        </w:rPr>
        <w:t xml:space="preserve"> Association</w:t>
      </w:r>
    </w:p>
    <w:p w:rsidR="005C43CE" w:rsidRPr="00A32B4F" w:rsidRDefault="005C43CE" w:rsidP="000534D4">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Indigenous Corporation </w:t>
      </w:r>
    </w:p>
    <w:p w:rsidR="005C43CE" w:rsidRPr="00A32B4F" w:rsidRDefault="005C43CE" w:rsidP="000534D4">
      <w:pPr>
        <w:pStyle w:val="ListBullet"/>
        <w:numPr>
          <w:ilvl w:val="0"/>
          <w:numId w:val="25"/>
        </w:numPr>
        <w:spacing w:line="360" w:lineRule="auto"/>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Statutory Entity.</w:t>
      </w:r>
    </w:p>
    <w:p w:rsidR="00AE3E5D" w:rsidRPr="003862C6" w:rsidRDefault="005C43CE" w:rsidP="003862C6">
      <w:pPr>
        <w:pStyle w:val="ListBullet"/>
        <w:numPr>
          <w:ilvl w:val="0"/>
          <w:numId w:val="0"/>
        </w:numPr>
        <w:spacing w:after="120"/>
        <w:rPr>
          <w:rFonts w:asciiTheme="minorHAnsi" w:eastAsiaTheme="minorHAnsi" w:hAnsiTheme="minorHAnsi"/>
          <w:iCs w:val="0"/>
          <w:color w:val="000000" w:themeColor="text1"/>
          <w:sz w:val="22"/>
          <w:szCs w:val="22"/>
        </w:rPr>
      </w:pPr>
      <w:r w:rsidRPr="000534D4">
        <w:rPr>
          <w:rFonts w:asciiTheme="minorHAnsi" w:eastAsiaTheme="minorHAnsi" w:hAnsiTheme="minorHAnsi"/>
          <w:iCs w:val="0"/>
          <w:color w:val="000000" w:themeColor="text1"/>
          <w:sz w:val="22"/>
          <w:szCs w:val="22"/>
        </w:rPr>
        <w:t>If you appl</w:t>
      </w:r>
      <w:r w:rsidR="00C838D0">
        <w:rPr>
          <w:rFonts w:asciiTheme="minorHAnsi" w:eastAsiaTheme="minorHAnsi" w:hAnsiTheme="minorHAnsi"/>
          <w:iCs w:val="0"/>
          <w:color w:val="000000" w:themeColor="text1"/>
          <w:sz w:val="22"/>
          <w:szCs w:val="22"/>
        </w:rPr>
        <w:t>ied</w:t>
      </w:r>
      <w:r w:rsidRPr="000534D4">
        <w:rPr>
          <w:rFonts w:asciiTheme="minorHAnsi" w:eastAsiaTheme="minorHAnsi" w:hAnsiTheme="minorHAnsi"/>
          <w:iCs w:val="0"/>
          <w:color w:val="000000" w:themeColor="text1"/>
          <w:sz w:val="22"/>
          <w:szCs w:val="22"/>
        </w:rPr>
        <w:t xml:space="preserve"> as a Trustee on behalf of a Trust, the Trustee must have an eligible entity type as listed above.</w:t>
      </w:r>
      <w:r w:rsidRPr="003862C6">
        <w:rPr>
          <w:rFonts w:asciiTheme="minorHAnsi" w:eastAsiaTheme="minorHAnsi" w:hAnsiTheme="minorHAnsi"/>
          <w:iCs w:val="0"/>
          <w:color w:val="000000" w:themeColor="text1"/>
          <w:sz w:val="22"/>
          <w:szCs w:val="22"/>
        </w:rPr>
        <w:t xml:space="preserve"> </w:t>
      </w:r>
    </w:p>
    <w:p w:rsidR="005C43CE" w:rsidRPr="00AE3E5D" w:rsidRDefault="005C43CE" w:rsidP="003862C6">
      <w:pPr>
        <w:pStyle w:val="ListBullet"/>
        <w:numPr>
          <w:ilvl w:val="0"/>
          <w:numId w:val="0"/>
        </w:numPr>
        <w:spacing w:after="120" w:line="240" w:lineRule="exact"/>
        <w:rPr>
          <w:rFonts w:asciiTheme="majorHAnsi" w:hAnsiTheme="majorHAnsi" w:cstheme="majorHAnsi"/>
          <w:color w:val="CF0A2C" w:themeColor="accent1"/>
          <w:sz w:val="22"/>
          <w:szCs w:val="22"/>
        </w:rPr>
      </w:pPr>
      <w:r w:rsidRPr="00AE3E5D">
        <w:rPr>
          <w:rFonts w:asciiTheme="majorHAnsi" w:eastAsiaTheme="minorHAnsi" w:hAnsiTheme="majorHAnsi" w:cstheme="majorHAnsi"/>
          <w:b/>
          <w:iCs w:val="0"/>
          <w:color w:val="CF0A2C" w:themeColor="accent1"/>
          <w:sz w:val="22"/>
          <w:szCs w:val="22"/>
        </w:rPr>
        <w:t>Applying as a sponsoring applicant</w:t>
      </w:r>
    </w:p>
    <w:p w:rsidR="005C43CE" w:rsidRPr="000534D4" w:rsidRDefault="005C43CE" w:rsidP="00D05C03">
      <w:pPr>
        <w:pStyle w:val="Bullet2"/>
        <w:numPr>
          <w:ilvl w:val="0"/>
          <w:numId w:val="0"/>
        </w:numPr>
        <w:spacing w:before="40" w:after="120"/>
        <w:rPr>
          <w:rFonts w:cs="Times New Roman"/>
          <w:color w:val="000000" w:themeColor="text1"/>
        </w:rPr>
      </w:pPr>
      <w:r w:rsidRPr="000534D4">
        <w:rPr>
          <w:rFonts w:cs="Times New Roman"/>
          <w:color w:val="000000" w:themeColor="text1"/>
        </w:rPr>
        <w:t>Whether or not an ESO has an eligible entity type, another eligible ESO may appl</w:t>
      </w:r>
      <w:r w:rsidR="00FD300E">
        <w:rPr>
          <w:rFonts w:cs="Times New Roman"/>
          <w:color w:val="000000" w:themeColor="text1"/>
        </w:rPr>
        <w:t>y</w:t>
      </w:r>
      <w:r w:rsidRPr="000534D4">
        <w:rPr>
          <w:rFonts w:cs="Times New Roman"/>
          <w:color w:val="000000" w:themeColor="text1"/>
        </w:rPr>
        <w:t xml:space="preserve"> as a sponsor on their behalf. Funding is managed by the sponsoring applicant but any recommended grant amount w</w:t>
      </w:r>
      <w:r w:rsidR="00FD300E">
        <w:rPr>
          <w:rFonts w:cs="Times New Roman"/>
          <w:color w:val="000000" w:themeColor="text1"/>
        </w:rPr>
        <w:t>ill be</w:t>
      </w:r>
      <w:r w:rsidRPr="000534D4">
        <w:rPr>
          <w:rFonts w:cs="Times New Roman"/>
          <w:color w:val="000000" w:themeColor="text1"/>
        </w:rPr>
        <w:t xml:space="preserve"> assessed on the basis of the sponsored organisation’s activity as provided in the application. A sponsoring applicant may appl</w:t>
      </w:r>
      <w:r w:rsidR="00FD300E">
        <w:rPr>
          <w:rFonts w:cs="Times New Roman"/>
          <w:color w:val="000000" w:themeColor="text1"/>
        </w:rPr>
        <w:t>y</w:t>
      </w:r>
      <w:r w:rsidRPr="000534D4">
        <w:rPr>
          <w:rFonts w:cs="Times New Roman"/>
          <w:color w:val="000000" w:themeColor="text1"/>
        </w:rPr>
        <w:t xml:space="preserve"> on behalf of more than one ESO. The sponsoring applicant </w:t>
      </w:r>
      <w:r w:rsidR="00FD300E">
        <w:rPr>
          <w:rFonts w:cs="Times New Roman"/>
          <w:color w:val="000000" w:themeColor="text1"/>
        </w:rPr>
        <w:t>must</w:t>
      </w:r>
      <w:r w:rsidRPr="000534D4">
        <w:rPr>
          <w:rFonts w:cs="Times New Roman"/>
          <w:color w:val="000000" w:themeColor="text1"/>
        </w:rPr>
        <w:t xml:space="preserve"> submit a separate grant application for each sponsored organisation.</w:t>
      </w:r>
    </w:p>
    <w:p w:rsidR="005C43CE" w:rsidRPr="000534D4" w:rsidRDefault="005C43CE" w:rsidP="003862C6">
      <w:pPr>
        <w:pStyle w:val="HeadingB"/>
        <w:keepLines/>
        <w:numPr>
          <w:ilvl w:val="0"/>
          <w:numId w:val="0"/>
        </w:numPr>
        <w:spacing w:before="40" w:line="280" w:lineRule="atLeast"/>
        <w:rPr>
          <w:rFonts w:asciiTheme="minorHAnsi" w:eastAsiaTheme="minorHAnsi" w:hAnsiTheme="minorHAnsi" w:cs="Times New Roman"/>
          <w:b w:val="0"/>
          <w:color w:val="000000" w:themeColor="text1"/>
          <w:sz w:val="22"/>
          <w:szCs w:val="22"/>
        </w:rPr>
      </w:pPr>
      <w:r w:rsidRPr="000534D4">
        <w:rPr>
          <w:rFonts w:asciiTheme="minorHAnsi" w:eastAsiaTheme="minorHAnsi" w:hAnsiTheme="minorHAnsi" w:cs="Times New Roman"/>
          <w:b w:val="0"/>
          <w:color w:val="000000" w:themeColor="text1"/>
          <w:sz w:val="22"/>
          <w:szCs w:val="22"/>
        </w:rPr>
        <w:lastRenderedPageBreak/>
        <w:t xml:space="preserve">To be eligible, a sponsoring applicant </w:t>
      </w:r>
      <w:r w:rsidR="00FD300E">
        <w:rPr>
          <w:rFonts w:asciiTheme="minorHAnsi" w:eastAsiaTheme="minorHAnsi" w:hAnsiTheme="minorHAnsi" w:cs="Times New Roman"/>
          <w:b w:val="0"/>
          <w:color w:val="000000" w:themeColor="text1"/>
          <w:sz w:val="22"/>
          <w:szCs w:val="22"/>
        </w:rPr>
        <w:t>must</w:t>
      </w:r>
      <w:r w:rsidR="00A23CFF">
        <w:rPr>
          <w:rFonts w:asciiTheme="minorHAnsi" w:eastAsiaTheme="minorHAnsi" w:hAnsiTheme="minorHAnsi" w:cs="Times New Roman"/>
          <w:b w:val="0"/>
          <w:color w:val="000000" w:themeColor="text1"/>
          <w:sz w:val="22"/>
          <w:szCs w:val="22"/>
        </w:rPr>
        <w:t xml:space="preserve"> </w:t>
      </w:r>
      <w:r w:rsidRPr="000534D4">
        <w:rPr>
          <w:rFonts w:asciiTheme="minorHAnsi" w:eastAsiaTheme="minorHAnsi" w:hAnsiTheme="minorHAnsi" w:cs="Times New Roman"/>
          <w:b w:val="0"/>
          <w:color w:val="000000" w:themeColor="text1"/>
          <w:sz w:val="22"/>
          <w:szCs w:val="22"/>
        </w:rPr>
        <w:t>be an ESO and one of the following eligible entity types:</w:t>
      </w:r>
    </w:p>
    <w:p w:rsidR="005C43CE" w:rsidRPr="00A32B4F" w:rsidRDefault="005C43CE" w:rsidP="003862C6">
      <w:pPr>
        <w:pStyle w:val="ListBullet"/>
        <w:keepNext/>
        <w:keepLines/>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Company</w:t>
      </w:r>
    </w:p>
    <w:p w:rsidR="005C43CE" w:rsidRPr="00A32B4F" w:rsidRDefault="005C43CE" w:rsidP="003862C6">
      <w:pPr>
        <w:pStyle w:val="ListBullet"/>
        <w:keepNext/>
        <w:keepLines/>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Cooperative</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Corporate State or Territory Entity </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Incorporated Association</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 xml:space="preserve">Indigenous Corporation </w:t>
      </w:r>
    </w:p>
    <w:p w:rsidR="005C43CE" w:rsidRPr="00A32B4F" w:rsidRDefault="005C43CE" w:rsidP="003862C6">
      <w:pPr>
        <w:pStyle w:val="ListBullet"/>
        <w:numPr>
          <w:ilvl w:val="0"/>
          <w:numId w:val="25"/>
        </w:numPr>
        <w:spacing w:after="120"/>
        <w:ind w:left="714" w:hanging="357"/>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Statutory Entity.</w:t>
      </w:r>
    </w:p>
    <w:p w:rsidR="003862C6" w:rsidRDefault="005C43CE" w:rsidP="003862C6">
      <w:pPr>
        <w:pStyle w:val="HeadingB"/>
        <w:numPr>
          <w:ilvl w:val="0"/>
          <w:numId w:val="0"/>
        </w:numPr>
        <w:spacing w:before="40" w:line="280" w:lineRule="atLeast"/>
        <w:rPr>
          <w:rFonts w:asciiTheme="majorHAnsi" w:eastAsiaTheme="minorHAnsi" w:hAnsiTheme="majorHAnsi" w:cstheme="majorHAnsi"/>
          <w:color w:val="CF0A2C" w:themeColor="accent1"/>
          <w:sz w:val="22"/>
          <w:szCs w:val="22"/>
        </w:rPr>
      </w:pPr>
      <w:r w:rsidRPr="00AE3E5D">
        <w:rPr>
          <w:rFonts w:asciiTheme="majorHAnsi" w:eastAsiaTheme="minorHAnsi" w:hAnsiTheme="majorHAnsi" w:cstheme="majorHAnsi"/>
          <w:color w:val="CF0A2C" w:themeColor="accent1"/>
          <w:sz w:val="22"/>
          <w:szCs w:val="22"/>
        </w:rPr>
        <w:t xml:space="preserve">Responsibilities of a </w:t>
      </w:r>
      <w:r w:rsidR="00F66F09">
        <w:rPr>
          <w:rFonts w:asciiTheme="majorHAnsi" w:eastAsiaTheme="minorHAnsi" w:hAnsiTheme="majorHAnsi" w:cstheme="majorHAnsi"/>
          <w:color w:val="CF0A2C" w:themeColor="accent1"/>
          <w:sz w:val="22"/>
          <w:szCs w:val="22"/>
        </w:rPr>
        <w:t>sponsor</w:t>
      </w:r>
    </w:p>
    <w:p w:rsidR="005C43CE" w:rsidRPr="000534D4" w:rsidRDefault="005C43CE" w:rsidP="003862C6">
      <w:pPr>
        <w:pStyle w:val="HeadingB"/>
        <w:numPr>
          <w:ilvl w:val="0"/>
          <w:numId w:val="0"/>
        </w:numPr>
        <w:spacing w:before="40" w:line="280" w:lineRule="atLeast"/>
        <w:rPr>
          <w:rFonts w:asciiTheme="minorHAnsi" w:eastAsiaTheme="minorHAnsi" w:hAnsiTheme="minorHAnsi" w:cs="Times New Roman"/>
          <w:color w:val="000000" w:themeColor="text1"/>
          <w:sz w:val="22"/>
          <w:szCs w:val="22"/>
        </w:rPr>
      </w:pPr>
      <w:r w:rsidRPr="00A2637C">
        <w:rPr>
          <w:rFonts w:asciiTheme="minorHAnsi" w:eastAsiaTheme="minorHAnsi" w:hAnsiTheme="minorHAnsi" w:cs="Times New Roman"/>
          <w:b w:val="0"/>
          <w:color w:val="000000" w:themeColor="text1"/>
          <w:sz w:val="22"/>
          <w:szCs w:val="22"/>
        </w:rPr>
        <w:t xml:space="preserve">The sponsoring applicant’s responsibilities </w:t>
      </w:r>
      <w:r w:rsidR="00FD300E">
        <w:rPr>
          <w:rFonts w:asciiTheme="minorHAnsi" w:eastAsiaTheme="minorHAnsi" w:hAnsiTheme="minorHAnsi" w:cs="Times New Roman"/>
          <w:b w:val="0"/>
          <w:color w:val="000000" w:themeColor="text1"/>
          <w:sz w:val="22"/>
          <w:szCs w:val="22"/>
        </w:rPr>
        <w:t>are</w:t>
      </w:r>
      <w:r w:rsidRPr="00A2637C">
        <w:rPr>
          <w:rFonts w:asciiTheme="minorHAnsi" w:eastAsiaTheme="minorHAnsi" w:hAnsiTheme="minorHAnsi" w:cs="Times New Roman"/>
          <w:b w:val="0"/>
          <w:color w:val="000000" w:themeColor="text1"/>
          <w:sz w:val="22"/>
          <w:szCs w:val="22"/>
        </w:rPr>
        <w:t xml:space="preserve"> to:</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bear executive management responsibility and be accountable to DVA for the appropriate use of grant funds by the sponsored organisation in accordance with the terms of the grant</w:t>
      </w:r>
    </w:p>
    <w:p w:rsidR="005C43CE" w:rsidRPr="00A32B4F"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take responsibility for the receipt and distribution of grant funds</w:t>
      </w:r>
    </w:p>
    <w:p w:rsidR="00884C51" w:rsidRDefault="005C43CE" w:rsidP="006B1609">
      <w:pPr>
        <w:pStyle w:val="ListBullet"/>
        <w:numPr>
          <w:ilvl w:val="0"/>
          <w:numId w:val="25"/>
        </w:numPr>
        <w:rPr>
          <w:rFonts w:asciiTheme="minorHAnsi" w:eastAsiaTheme="minorHAnsi" w:hAnsiTheme="minorHAnsi"/>
          <w:iCs w:val="0"/>
          <w:color w:val="000000" w:themeColor="text1"/>
          <w:sz w:val="22"/>
          <w:szCs w:val="22"/>
        </w:rPr>
      </w:pPr>
      <w:r w:rsidRPr="00A32B4F">
        <w:rPr>
          <w:rFonts w:asciiTheme="minorHAnsi" w:eastAsiaTheme="minorHAnsi" w:hAnsiTheme="minorHAnsi"/>
          <w:iCs w:val="0"/>
          <w:color w:val="000000" w:themeColor="text1"/>
          <w:sz w:val="22"/>
          <w:szCs w:val="22"/>
        </w:rPr>
        <w:t>take responsibility for the collection, collation and provision of all audit, reporting and acquittal documentation for the grant</w:t>
      </w:r>
    </w:p>
    <w:p w:rsidR="00884C51" w:rsidRDefault="00884C51" w:rsidP="006B1609">
      <w:pPr>
        <w:pStyle w:val="ListBullet"/>
        <w:numPr>
          <w:ilvl w:val="0"/>
          <w:numId w:val="25"/>
        </w:numPr>
        <w:rPr>
          <w:rFonts w:asciiTheme="minorHAnsi" w:eastAsiaTheme="minorHAnsi" w:hAnsiTheme="minorHAnsi"/>
          <w:iCs w:val="0"/>
          <w:color w:val="000000" w:themeColor="text1"/>
          <w:sz w:val="22"/>
          <w:szCs w:val="22"/>
        </w:rPr>
      </w:pPr>
      <w:r>
        <w:rPr>
          <w:rFonts w:asciiTheme="minorHAnsi" w:eastAsiaTheme="minorHAnsi" w:hAnsiTheme="minorHAnsi"/>
          <w:iCs w:val="0"/>
          <w:color w:val="000000" w:themeColor="text1"/>
          <w:sz w:val="22"/>
          <w:szCs w:val="22"/>
        </w:rPr>
        <w:t>provide the contact information and the contact person for the sponsored organisation in the application where required</w:t>
      </w:r>
    </w:p>
    <w:p w:rsidR="005C43CE" w:rsidRPr="00A32B4F" w:rsidRDefault="00884C51" w:rsidP="006B1609">
      <w:pPr>
        <w:pStyle w:val="ListBullet"/>
        <w:numPr>
          <w:ilvl w:val="0"/>
          <w:numId w:val="25"/>
        </w:numPr>
        <w:rPr>
          <w:rFonts w:asciiTheme="minorHAnsi" w:eastAsiaTheme="minorHAnsi" w:hAnsiTheme="minorHAnsi"/>
          <w:iCs w:val="0"/>
          <w:color w:val="000000" w:themeColor="text1"/>
          <w:sz w:val="22"/>
          <w:szCs w:val="22"/>
        </w:rPr>
      </w:pPr>
      <w:r>
        <w:rPr>
          <w:rFonts w:asciiTheme="minorHAnsi" w:eastAsiaTheme="minorHAnsi" w:hAnsiTheme="minorHAnsi"/>
          <w:iCs w:val="0"/>
          <w:color w:val="000000" w:themeColor="text1"/>
          <w:sz w:val="22"/>
          <w:szCs w:val="22"/>
        </w:rPr>
        <w:t>complete a current signed Letter of Declaration on the mandatory template provided.</w:t>
      </w:r>
    </w:p>
    <w:sectPr w:rsidR="005C43CE" w:rsidRPr="00A32B4F"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BE" w:rsidRDefault="000910BE" w:rsidP="00772718">
      <w:pPr>
        <w:spacing w:line="240" w:lineRule="auto"/>
      </w:pPr>
      <w:r>
        <w:separator/>
      </w:r>
    </w:p>
  </w:endnote>
  <w:endnote w:type="continuationSeparator" w:id="0">
    <w:p w:rsidR="000910BE" w:rsidRDefault="000910B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581457">
      <w:rPr>
        <w:noProof/>
      </w:rPr>
      <w:t>2</w:t>
    </w:r>
    <w:r>
      <w:fldChar w:fldCharType="end"/>
    </w:r>
    <w:r>
      <w:t xml:space="preserve">  </w:t>
    </w:r>
    <w:r w:rsidR="00B52ACF">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6C35C6D2" wp14:editId="66194A3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23F2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581457">
      <w:rPr>
        <w:noProof/>
      </w:rPr>
      <w:t>1</w:t>
    </w:r>
    <w:r>
      <w:fldChar w:fldCharType="end"/>
    </w:r>
    <w:r>
      <w:t xml:space="preserve">  </w:t>
    </w:r>
    <w:r w:rsidR="00B52ACF">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BE" w:rsidRDefault="000910BE" w:rsidP="00772718">
      <w:pPr>
        <w:spacing w:line="240" w:lineRule="auto"/>
      </w:pPr>
      <w:r>
        <w:separator/>
      </w:r>
    </w:p>
  </w:footnote>
  <w:footnote w:type="continuationSeparator" w:id="0">
    <w:p w:rsidR="000910BE" w:rsidRDefault="000910B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528DFAE" wp14:editId="0C19D98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CB00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56B9BB52" wp14:editId="2E541EFE">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3421259" wp14:editId="48C6DAC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FC3638D" wp14:editId="55CEE399">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33D05E"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CFE5A71" wp14:editId="44E0968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7CEE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6FBFEC7" wp14:editId="3C69FF8B">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85F2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C94DF1"/>
    <w:multiLevelType w:val="hybridMultilevel"/>
    <w:tmpl w:val="9B580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0E42D4"/>
    <w:multiLevelType w:val="hybridMultilevel"/>
    <w:tmpl w:val="1BE2FC92"/>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CB196C"/>
    <w:multiLevelType w:val="hybridMultilevel"/>
    <w:tmpl w:val="DF2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C6A27"/>
    <w:multiLevelType w:val="multilevel"/>
    <w:tmpl w:val="798A44E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8B7F3B"/>
    <w:multiLevelType w:val="hybridMultilevel"/>
    <w:tmpl w:val="B64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0C145C"/>
    <w:multiLevelType w:val="hybridMultilevel"/>
    <w:tmpl w:val="8266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368D5"/>
    <w:multiLevelType w:val="hybridMultilevel"/>
    <w:tmpl w:val="A4A02B5E"/>
    <w:lvl w:ilvl="0" w:tplc="42E49862">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329A7"/>
    <w:multiLevelType w:val="hybridMultilevel"/>
    <w:tmpl w:val="9404F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3120A"/>
    <w:multiLevelType w:val="hybridMultilevel"/>
    <w:tmpl w:val="6C44EA18"/>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9473EC6"/>
    <w:multiLevelType w:val="hybridMultilevel"/>
    <w:tmpl w:val="E6B4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527BD"/>
    <w:multiLevelType w:val="hybridMultilevel"/>
    <w:tmpl w:val="4B94C4F8"/>
    <w:lvl w:ilvl="0" w:tplc="E440EB8E">
      <w:start w:val="1"/>
      <w:numFmt w:val="bullet"/>
      <w:lvlText w:val="-"/>
      <w:lvlJc w:val="left"/>
      <w:pPr>
        <w:ind w:left="1080" w:hanging="360"/>
      </w:pPr>
      <w:rPr>
        <w:rFonts w:ascii="Courier New" w:hAnsi="Courier New" w:hint="default"/>
        <w:color w:val="264F9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3B13EA4"/>
    <w:multiLevelType w:val="hybridMultilevel"/>
    <w:tmpl w:val="9ADC66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63EA4340"/>
    <w:multiLevelType w:val="multilevel"/>
    <w:tmpl w:val="99EEC85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1C091D"/>
    <w:multiLevelType w:val="hybridMultilevel"/>
    <w:tmpl w:val="DC985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73567345"/>
    <w:multiLevelType w:val="hybridMultilevel"/>
    <w:tmpl w:val="85A23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7"/>
  </w:num>
  <w:num w:numId="3">
    <w:abstractNumId w:val="9"/>
  </w:num>
  <w:num w:numId="4">
    <w:abstractNumId w:val="19"/>
  </w:num>
  <w:num w:numId="5">
    <w:abstractNumId w:val="18"/>
  </w:num>
  <w:num w:numId="6">
    <w:abstractNumId w:val="16"/>
  </w:num>
  <w:num w:numId="7">
    <w:abstractNumId w:val="10"/>
  </w:num>
  <w:num w:numId="8">
    <w:abstractNumId w:val="26"/>
  </w:num>
  <w:num w:numId="9">
    <w:abstractNumId w:val="20"/>
  </w:num>
  <w:num w:numId="10">
    <w:abstractNumId w:val="5"/>
  </w:num>
  <w:num w:numId="11">
    <w:abstractNumId w:val="13"/>
  </w:num>
  <w:num w:numId="12">
    <w:abstractNumId w:val="5"/>
  </w:num>
  <w:num w:numId="13">
    <w:abstractNumId w:val="29"/>
  </w:num>
  <w:num w:numId="14">
    <w:abstractNumId w:val="15"/>
  </w:num>
  <w:num w:numId="15">
    <w:abstractNumId w:val="23"/>
  </w:num>
  <w:num w:numId="16">
    <w:abstractNumId w:val="3"/>
  </w:num>
  <w:num w:numId="17">
    <w:abstractNumId w:val="28"/>
  </w:num>
  <w:num w:numId="18">
    <w:abstractNumId w:val="21"/>
  </w:num>
  <w:num w:numId="19">
    <w:abstractNumId w:val="7"/>
  </w:num>
  <w:num w:numId="20">
    <w:abstractNumId w:val="11"/>
  </w:num>
  <w:num w:numId="21">
    <w:abstractNumId w:val="8"/>
  </w:num>
  <w:num w:numId="22">
    <w:abstractNumId w:val="25"/>
  </w:num>
  <w:num w:numId="23">
    <w:abstractNumId w:val="30"/>
  </w:num>
  <w:num w:numId="24">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6"/>
  </w:num>
  <w:num w:numId="30">
    <w:abstractNumId w:val="4"/>
  </w:num>
  <w:num w:numId="31">
    <w:abstractNumId w:val="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2"/>
  </w:num>
  <w:num w:numId="33">
    <w:abstractNumId w:val="3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num>
  <w:num w:numId="37">
    <w:abstractNumId w:val="17"/>
  </w:num>
  <w:num w:numId="38">
    <w:abstractNumId w:val="6"/>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131D"/>
    <w:rsid w:val="00023218"/>
    <w:rsid w:val="0003018E"/>
    <w:rsid w:val="00033BC3"/>
    <w:rsid w:val="00034424"/>
    <w:rsid w:val="0004053F"/>
    <w:rsid w:val="00044E09"/>
    <w:rsid w:val="000455E3"/>
    <w:rsid w:val="0004784D"/>
    <w:rsid w:val="000534D4"/>
    <w:rsid w:val="00053A00"/>
    <w:rsid w:val="000551F5"/>
    <w:rsid w:val="000623AE"/>
    <w:rsid w:val="00086E3A"/>
    <w:rsid w:val="000910BE"/>
    <w:rsid w:val="000B6C00"/>
    <w:rsid w:val="000C1F06"/>
    <w:rsid w:val="000D4D9B"/>
    <w:rsid w:val="000F1DD1"/>
    <w:rsid w:val="000F28B8"/>
    <w:rsid w:val="000F3766"/>
    <w:rsid w:val="00100880"/>
    <w:rsid w:val="00106FC4"/>
    <w:rsid w:val="00111F0C"/>
    <w:rsid w:val="00111F89"/>
    <w:rsid w:val="0011206E"/>
    <w:rsid w:val="00120B80"/>
    <w:rsid w:val="001407B0"/>
    <w:rsid w:val="00145E2D"/>
    <w:rsid w:val="00157BCF"/>
    <w:rsid w:val="001617DC"/>
    <w:rsid w:val="0016612C"/>
    <w:rsid w:val="001703F2"/>
    <w:rsid w:val="001763D4"/>
    <w:rsid w:val="00181433"/>
    <w:rsid w:val="001834DD"/>
    <w:rsid w:val="0018531D"/>
    <w:rsid w:val="00190FB7"/>
    <w:rsid w:val="00194605"/>
    <w:rsid w:val="001A188D"/>
    <w:rsid w:val="001A2314"/>
    <w:rsid w:val="001A79EC"/>
    <w:rsid w:val="001B2837"/>
    <w:rsid w:val="001B7B23"/>
    <w:rsid w:val="001C4DB3"/>
    <w:rsid w:val="001C53CE"/>
    <w:rsid w:val="001C5D96"/>
    <w:rsid w:val="001D341B"/>
    <w:rsid w:val="001E3981"/>
    <w:rsid w:val="001E3D2B"/>
    <w:rsid w:val="001E5415"/>
    <w:rsid w:val="001E66CE"/>
    <w:rsid w:val="001F7AC1"/>
    <w:rsid w:val="002002EB"/>
    <w:rsid w:val="00221DC2"/>
    <w:rsid w:val="00230818"/>
    <w:rsid w:val="00243004"/>
    <w:rsid w:val="00244B48"/>
    <w:rsid w:val="00256AAD"/>
    <w:rsid w:val="00256CDA"/>
    <w:rsid w:val="002573D5"/>
    <w:rsid w:val="00264E26"/>
    <w:rsid w:val="00280E74"/>
    <w:rsid w:val="00290ACA"/>
    <w:rsid w:val="002A41E1"/>
    <w:rsid w:val="002A6FCC"/>
    <w:rsid w:val="002B052D"/>
    <w:rsid w:val="002B6574"/>
    <w:rsid w:val="002B6D3A"/>
    <w:rsid w:val="002C127E"/>
    <w:rsid w:val="002D4837"/>
    <w:rsid w:val="002D4D48"/>
    <w:rsid w:val="002E1CCC"/>
    <w:rsid w:val="002E21D2"/>
    <w:rsid w:val="002F2F85"/>
    <w:rsid w:val="002F6CE7"/>
    <w:rsid w:val="002F7D3C"/>
    <w:rsid w:val="003013F3"/>
    <w:rsid w:val="00301667"/>
    <w:rsid w:val="00302D5E"/>
    <w:rsid w:val="00305720"/>
    <w:rsid w:val="0031098A"/>
    <w:rsid w:val="003131AB"/>
    <w:rsid w:val="003217BE"/>
    <w:rsid w:val="0034044F"/>
    <w:rsid w:val="00355FF2"/>
    <w:rsid w:val="003708BD"/>
    <w:rsid w:val="00376001"/>
    <w:rsid w:val="003862C6"/>
    <w:rsid w:val="00386551"/>
    <w:rsid w:val="00396A05"/>
    <w:rsid w:val="003A0B73"/>
    <w:rsid w:val="003A17CA"/>
    <w:rsid w:val="003B5410"/>
    <w:rsid w:val="003D0647"/>
    <w:rsid w:val="003D1265"/>
    <w:rsid w:val="003D2459"/>
    <w:rsid w:val="003D255E"/>
    <w:rsid w:val="003D3B1D"/>
    <w:rsid w:val="003D5DBE"/>
    <w:rsid w:val="003E01D1"/>
    <w:rsid w:val="003E1C16"/>
    <w:rsid w:val="003F4B9B"/>
    <w:rsid w:val="004036D0"/>
    <w:rsid w:val="00404841"/>
    <w:rsid w:val="00405179"/>
    <w:rsid w:val="00406CAB"/>
    <w:rsid w:val="00412059"/>
    <w:rsid w:val="00416955"/>
    <w:rsid w:val="00422E02"/>
    <w:rsid w:val="00425633"/>
    <w:rsid w:val="00441E79"/>
    <w:rsid w:val="00446646"/>
    <w:rsid w:val="00450486"/>
    <w:rsid w:val="00454EB4"/>
    <w:rsid w:val="00455676"/>
    <w:rsid w:val="00461BE1"/>
    <w:rsid w:val="004709E9"/>
    <w:rsid w:val="00472379"/>
    <w:rsid w:val="004733E5"/>
    <w:rsid w:val="00483A58"/>
    <w:rsid w:val="00486E28"/>
    <w:rsid w:val="00490618"/>
    <w:rsid w:val="004B203A"/>
    <w:rsid w:val="004B5F40"/>
    <w:rsid w:val="004C7D16"/>
    <w:rsid w:val="004C7DB6"/>
    <w:rsid w:val="004D0860"/>
    <w:rsid w:val="004D700E"/>
    <w:rsid w:val="004D7F17"/>
    <w:rsid w:val="004E0670"/>
    <w:rsid w:val="004E0A2C"/>
    <w:rsid w:val="004E7F37"/>
    <w:rsid w:val="004F31BA"/>
    <w:rsid w:val="005118E4"/>
    <w:rsid w:val="0051299F"/>
    <w:rsid w:val="005163EA"/>
    <w:rsid w:val="00526B85"/>
    <w:rsid w:val="005306A1"/>
    <w:rsid w:val="00544751"/>
    <w:rsid w:val="00553A84"/>
    <w:rsid w:val="00563F88"/>
    <w:rsid w:val="00567718"/>
    <w:rsid w:val="005677A2"/>
    <w:rsid w:val="00571E8B"/>
    <w:rsid w:val="005726B4"/>
    <w:rsid w:val="00576B21"/>
    <w:rsid w:val="00581457"/>
    <w:rsid w:val="0059000C"/>
    <w:rsid w:val="00596636"/>
    <w:rsid w:val="005A02A1"/>
    <w:rsid w:val="005A0DB5"/>
    <w:rsid w:val="005A29D9"/>
    <w:rsid w:val="005B6071"/>
    <w:rsid w:val="005B7796"/>
    <w:rsid w:val="005C120F"/>
    <w:rsid w:val="005C43CE"/>
    <w:rsid w:val="005D7A24"/>
    <w:rsid w:val="005E01D4"/>
    <w:rsid w:val="005E1395"/>
    <w:rsid w:val="005E321E"/>
    <w:rsid w:val="005F102F"/>
    <w:rsid w:val="00604E9C"/>
    <w:rsid w:val="00607AC9"/>
    <w:rsid w:val="00613950"/>
    <w:rsid w:val="00616EBA"/>
    <w:rsid w:val="00620574"/>
    <w:rsid w:val="00622B47"/>
    <w:rsid w:val="0062456A"/>
    <w:rsid w:val="00632C08"/>
    <w:rsid w:val="0063736C"/>
    <w:rsid w:val="00650592"/>
    <w:rsid w:val="00653F6A"/>
    <w:rsid w:val="00654C42"/>
    <w:rsid w:val="00656F8F"/>
    <w:rsid w:val="0065796D"/>
    <w:rsid w:val="00657EBD"/>
    <w:rsid w:val="00664A1F"/>
    <w:rsid w:val="0067074A"/>
    <w:rsid w:val="00672994"/>
    <w:rsid w:val="006807C9"/>
    <w:rsid w:val="00692EFD"/>
    <w:rsid w:val="006936E2"/>
    <w:rsid w:val="006A1AA5"/>
    <w:rsid w:val="006B1609"/>
    <w:rsid w:val="006C022A"/>
    <w:rsid w:val="006C0951"/>
    <w:rsid w:val="006C15C5"/>
    <w:rsid w:val="006C2FD2"/>
    <w:rsid w:val="006C516C"/>
    <w:rsid w:val="006C64C1"/>
    <w:rsid w:val="006D3DAD"/>
    <w:rsid w:val="006D4A4B"/>
    <w:rsid w:val="006E1C6A"/>
    <w:rsid w:val="006E5392"/>
    <w:rsid w:val="006F6096"/>
    <w:rsid w:val="006F76FE"/>
    <w:rsid w:val="006F7B19"/>
    <w:rsid w:val="00707E21"/>
    <w:rsid w:val="00716D7B"/>
    <w:rsid w:val="00724DCB"/>
    <w:rsid w:val="00736545"/>
    <w:rsid w:val="00736A76"/>
    <w:rsid w:val="00736AE6"/>
    <w:rsid w:val="00737F99"/>
    <w:rsid w:val="00752C6B"/>
    <w:rsid w:val="00760CE6"/>
    <w:rsid w:val="00762F09"/>
    <w:rsid w:val="00766CDF"/>
    <w:rsid w:val="007719C9"/>
    <w:rsid w:val="00772718"/>
    <w:rsid w:val="00772D73"/>
    <w:rsid w:val="00775B7C"/>
    <w:rsid w:val="00783BE4"/>
    <w:rsid w:val="00793C94"/>
    <w:rsid w:val="007A042D"/>
    <w:rsid w:val="007A2500"/>
    <w:rsid w:val="007B199E"/>
    <w:rsid w:val="007B2314"/>
    <w:rsid w:val="007C7B96"/>
    <w:rsid w:val="007D20C9"/>
    <w:rsid w:val="007D30A8"/>
    <w:rsid w:val="007D5D42"/>
    <w:rsid w:val="007E5028"/>
    <w:rsid w:val="007E572A"/>
    <w:rsid w:val="007E5FC2"/>
    <w:rsid w:val="007E7B30"/>
    <w:rsid w:val="007F6391"/>
    <w:rsid w:val="00814FB1"/>
    <w:rsid w:val="00820F20"/>
    <w:rsid w:val="0082528A"/>
    <w:rsid w:val="00825525"/>
    <w:rsid w:val="00825754"/>
    <w:rsid w:val="00826836"/>
    <w:rsid w:val="00833758"/>
    <w:rsid w:val="00835210"/>
    <w:rsid w:val="00837BA1"/>
    <w:rsid w:val="00842A9F"/>
    <w:rsid w:val="0084413D"/>
    <w:rsid w:val="00844C2D"/>
    <w:rsid w:val="00845DAA"/>
    <w:rsid w:val="00851FDD"/>
    <w:rsid w:val="00855701"/>
    <w:rsid w:val="00856778"/>
    <w:rsid w:val="00860736"/>
    <w:rsid w:val="0087438E"/>
    <w:rsid w:val="00874A7C"/>
    <w:rsid w:val="00884668"/>
    <w:rsid w:val="00884C51"/>
    <w:rsid w:val="00886A17"/>
    <w:rsid w:val="00895EB9"/>
    <w:rsid w:val="008A549E"/>
    <w:rsid w:val="008B2B46"/>
    <w:rsid w:val="008C7DC2"/>
    <w:rsid w:val="008D4608"/>
    <w:rsid w:val="008E05BC"/>
    <w:rsid w:val="008E7656"/>
    <w:rsid w:val="008F17B8"/>
    <w:rsid w:val="008F3CCF"/>
    <w:rsid w:val="00901750"/>
    <w:rsid w:val="00901A61"/>
    <w:rsid w:val="00921840"/>
    <w:rsid w:val="00923788"/>
    <w:rsid w:val="00932C87"/>
    <w:rsid w:val="009331B4"/>
    <w:rsid w:val="009345F1"/>
    <w:rsid w:val="00944BBB"/>
    <w:rsid w:val="0095118D"/>
    <w:rsid w:val="009547B6"/>
    <w:rsid w:val="00961072"/>
    <w:rsid w:val="009647C4"/>
    <w:rsid w:val="0096623C"/>
    <w:rsid w:val="00971EAE"/>
    <w:rsid w:val="009A34F3"/>
    <w:rsid w:val="009B7D42"/>
    <w:rsid w:val="009C501D"/>
    <w:rsid w:val="009C6C53"/>
    <w:rsid w:val="009D3014"/>
    <w:rsid w:val="009E1A74"/>
    <w:rsid w:val="009E750F"/>
    <w:rsid w:val="00A04D96"/>
    <w:rsid w:val="00A0629B"/>
    <w:rsid w:val="00A14495"/>
    <w:rsid w:val="00A16BE1"/>
    <w:rsid w:val="00A23CFF"/>
    <w:rsid w:val="00A24F65"/>
    <w:rsid w:val="00A2637C"/>
    <w:rsid w:val="00A32B4F"/>
    <w:rsid w:val="00A33963"/>
    <w:rsid w:val="00A454BF"/>
    <w:rsid w:val="00A52E3A"/>
    <w:rsid w:val="00A543FD"/>
    <w:rsid w:val="00A57A0F"/>
    <w:rsid w:val="00A66EC5"/>
    <w:rsid w:val="00A80777"/>
    <w:rsid w:val="00A814CB"/>
    <w:rsid w:val="00A90D1B"/>
    <w:rsid w:val="00AB30F0"/>
    <w:rsid w:val="00AB5D07"/>
    <w:rsid w:val="00AD6172"/>
    <w:rsid w:val="00AD70E2"/>
    <w:rsid w:val="00AE3E5D"/>
    <w:rsid w:val="00AF55F8"/>
    <w:rsid w:val="00B10ABA"/>
    <w:rsid w:val="00B303E4"/>
    <w:rsid w:val="00B420D4"/>
    <w:rsid w:val="00B4505E"/>
    <w:rsid w:val="00B52ACF"/>
    <w:rsid w:val="00B54CAF"/>
    <w:rsid w:val="00B57910"/>
    <w:rsid w:val="00B66DF6"/>
    <w:rsid w:val="00B76762"/>
    <w:rsid w:val="00B84C31"/>
    <w:rsid w:val="00B86BBE"/>
    <w:rsid w:val="00B87D29"/>
    <w:rsid w:val="00B91B21"/>
    <w:rsid w:val="00B952F6"/>
    <w:rsid w:val="00BA202A"/>
    <w:rsid w:val="00BC093A"/>
    <w:rsid w:val="00BC2B00"/>
    <w:rsid w:val="00BC4ACC"/>
    <w:rsid w:val="00BC4FCC"/>
    <w:rsid w:val="00BD02F8"/>
    <w:rsid w:val="00BE0F0B"/>
    <w:rsid w:val="00C0588B"/>
    <w:rsid w:val="00C13A10"/>
    <w:rsid w:val="00C1488E"/>
    <w:rsid w:val="00C217A8"/>
    <w:rsid w:val="00C26989"/>
    <w:rsid w:val="00C4188F"/>
    <w:rsid w:val="00C41F54"/>
    <w:rsid w:val="00C427D7"/>
    <w:rsid w:val="00C512BC"/>
    <w:rsid w:val="00C655F9"/>
    <w:rsid w:val="00C724A9"/>
    <w:rsid w:val="00C7250B"/>
    <w:rsid w:val="00C819A4"/>
    <w:rsid w:val="00C824AE"/>
    <w:rsid w:val="00C838D0"/>
    <w:rsid w:val="00C84EA8"/>
    <w:rsid w:val="00C92998"/>
    <w:rsid w:val="00CA720A"/>
    <w:rsid w:val="00CC2E60"/>
    <w:rsid w:val="00CD0003"/>
    <w:rsid w:val="00CD5925"/>
    <w:rsid w:val="00CD6530"/>
    <w:rsid w:val="00CE557A"/>
    <w:rsid w:val="00CE6A26"/>
    <w:rsid w:val="00CF4627"/>
    <w:rsid w:val="00D031B2"/>
    <w:rsid w:val="00D05C03"/>
    <w:rsid w:val="00D116EE"/>
    <w:rsid w:val="00D13BF3"/>
    <w:rsid w:val="00D1410C"/>
    <w:rsid w:val="00D25D82"/>
    <w:rsid w:val="00D3434A"/>
    <w:rsid w:val="00D365F7"/>
    <w:rsid w:val="00D40D16"/>
    <w:rsid w:val="00D410A7"/>
    <w:rsid w:val="00D433F8"/>
    <w:rsid w:val="00D548F0"/>
    <w:rsid w:val="00D57F79"/>
    <w:rsid w:val="00D64FAC"/>
    <w:rsid w:val="00D65704"/>
    <w:rsid w:val="00D668F6"/>
    <w:rsid w:val="00D741F9"/>
    <w:rsid w:val="00D8063F"/>
    <w:rsid w:val="00D84875"/>
    <w:rsid w:val="00D904F0"/>
    <w:rsid w:val="00D91378"/>
    <w:rsid w:val="00D91B18"/>
    <w:rsid w:val="00D92042"/>
    <w:rsid w:val="00D930FB"/>
    <w:rsid w:val="00D95D89"/>
    <w:rsid w:val="00D966C6"/>
    <w:rsid w:val="00DA0959"/>
    <w:rsid w:val="00DB2720"/>
    <w:rsid w:val="00DC0747"/>
    <w:rsid w:val="00DC2647"/>
    <w:rsid w:val="00DC2D1F"/>
    <w:rsid w:val="00DC316D"/>
    <w:rsid w:val="00DD1408"/>
    <w:rsid w:val="00DD356D"/>
    <w:rsid w:val="00DD6735"/>
    <w:rsid w:val="00DD72DE"/>
    <w:rsid w:val="00DF136A"/>
    <w:rsid w:val="00DF51FA"/>
    <w:rsid w:val="00E024A5"/>
    <w:rsid w:val="00E0448C"/>
    <w:rsid w:val="00E06F7B"/>
    <w:rsid w:val="00E07169"/>
    <w:rsid w:val="00E13525"/>
    <w:rsid w:val="00E14B56"/>
    <w:rsid w:val="00E240AD"/>
    <w:rsid w:val="00E314ED"/>
    <w:rsid w:val="00E347F4"/>
    <w:rsid w:val="00E40136"/>
    <w:rsid w:val="00E47250"/>
    <w:rsid w:val="00E47ADA"/>
    <w:rsid w:val="00E61535"/>
    <w:rsid w:val="00E622F4"/>
    <w:rsid w:val="00E73F55"/>
    <w:rsid w:val="00E74112"/>
    <w:rsid w:val="00E7480B"/>
    <w:rsid w:val="00E8246B"/>
    <w:rsid w:val="00E84012"/>
    <w:rsid w:val="00E85C44"/>
    <w:rsid w:val="00E91988"/>
    <w:rsid w:val="00E9373C"/>
    <w:rsid w:val="00E96A7E"/>
    <w:rsid w:val="00EA0724"/>
    <w:rsid w:val="00EA29E6"/>
    <w:rsid w:val="00EA6251"/>
    <w:rsid w:val="00EB6414"/>
    <w:rsid w:val="00EE3799"/>
    <w:rsid w:val="00EE5747"/>
    <w:rsid w:val="00EE6907"/>
    <w:rsid w:val="00EF3804"/>
    <w:rsid w:val="00EF5E05"/>
    <w:rsid w:val="00F00285"/>
    <w:rsid w:val="00F01EE3"/>
    <w:rsid w:val="00F073CA"/>
    <w:rsid w:val="00F1139C"/>
    <w:rsid w:val="00F227AF"/>
    <w:rsid w:val="00F27370"/>
    <w:rsid w:val="00F27DCE"/>
    <w:rsid w:val="00F32709"/>
    <w:rsid w:val="00F40B00"/>
    <w:rsid w:val="00F41AAB"/>
    <w:rsid w:val="00F430A4"/>
    <w:rsid w:val="00F43F77"/>
    <w:rsid w:val="00F5341C"/>
    <w:rsid w:val="00F56954"/>
    <w:rsid w:val="00F60B85"/>
    <w:rsid w:val="00F64A2A"/>
    <w:rsid w:val="00F65E69"/>
    <w:rsid w:val="00F66F09"/>
    <w:rsid w:val="00F70484"/>
    <w:rsid w:val="00F715DA"/>
    <w:rsid w:val="00F76B81"/>
    <w:rsid w:val="00F85F98"/>
    <w:rsid w:val="00F948AF"/>
    <w:rsid w:val="00F97D7B"/>
    <w:rsid w:val="00FA1F45"/>
    <w:rsid w:val="00FA5A7B"/>
    <w:rsid w:val="00FB11B1"/>
    <w:rsid w:val="00FB1D58"/>
    <w:rsid w:val="00FB5A95"/>
    <w:rsid w:val="00FC1C24"/>
    <w:rsid w:val="00FC5A80"/>
    <w:rsid w:val="00FD1893"/>
    <w:rsid w:val="00FD300E"/>
    <w:rsid w:val="00FD7309"/>
    <w:rsid w:val="00FE00E8"/>
    <w:rsid w:val="00FE074C"/>
    <w:rsid w:val="00FF5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F2C4D1"/>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AR bullet 1,Bullet Number,Bullet list,FooterText,Highlight Bold,L,Normal Numbered,Num Bullet 1,Num List Paragraph,Number Paragraph,Use Case 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AR bullet 1 Char,Bullet Number Char,Bullet list Char,FooterText Char,Highlight Bold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Bullet1">
    <w:name w:val="Bullet 1"/>
    <w:basedOn w:val="Normal"/>
    <w:qFormat/>
    <w:rsid w:val="00FC5A80"/>
    <w:pPr>
      <w:numPr>
        <w:numId w:val="23"/>
      </w:numPr>
      <w:suppressAutoHyphens/>
      <w:spacing w:before="120" w:after="60"/>
    </w:pPr>
    <w:rPr>
      <w:rFonts w:cstheme="minorBidi"/>
      <w:color w:val="auto"/>
      <w:szCs w:val="22"/>
    </w:rPr>
  </w:style>
  <w:style w:type="paragraph" w:customStyle="1" w:styleId="Bullet2">
    <w:name w:val="Bullet 2"/>
    <w:basedOn w:val="Bullet1"/>
    <w:qFormat/>
    <w:rsid w:val="00FC5A80"/>
    <w:pPr>
      <w:numPr>
        <w:ilvl w:val="1"/>
      </w:numPr>
    </w:pPr>
  </w:style>
  <w:style w:type="paragraph" w:customStyle="1" w:styleId="Bullet3">
    <w:name w:val="Bullet 3"/>
    <w:basedOn w:val="Bullet2"/>
    <w:qFormat/>
    <w:rsid w:val="00FC5A80"/>
    <w:pPr>
      <w:numPr>
        <w:ilvl w:val="2"/>
      </w:numPr>
    </w:pPr>
  </w:style>
  <w:style w:type="numbering" w:customStyle="1" w:styleId="BulletsList">
    <w:name w:val="Bullets List"/>
    <w:uiPriority w:val="99"/>
    <w:rsid w:val="00FC5A80"/>
    <w:pPr>
      <w:numPr>
        <w:numId w:val="23"/>
      </w:numPr>
    </w:pPr>
  </w:style>
  <w:style w:type="character" w:customStyle="1" w:styleId="FootnoteTextChar1">
    <w:name w:val="Footnote Text Char1"/>
    <w:basedOn w:val="DefaultParagraphFont"/>
    <w:rsid w:val="005C43CE"/>
    <w:rPr>
      <w:sz w:val="16"/>
    </w:rPr>
  </w:style>
  <w:style w:type="paragraph" w:styleId="ListBullet">
    <w:name w:val="List Bullet"/>
    <w:basedOn w:val="Normal"/>
    <w:uiPriority w:val="99"/>
    <w:qFormat/>
    <w:rsid w:val="005C43CE"/>
    <w:pPr>
      <w:numPr>
        <w:numId w:val="29"/>
      </w:numPr>
      <w:spacing w:before="40" w:after="80"/>
    </w:pPr>
    <w:rPr>
      <w:rFonts w:ascii="Arial" w:eastAsia="Times New Roman" w:hAnsi="Arial"/>
      <w:iCs/>
      <w:color w:val="auto"/>
      <w:sz w:val="20"/>
    </w:rPr>
  </w:style>
  <w:style w:type="character" w:styleId="FootnoteReference">
    <w:name w:val="footnote reference"/>
    <w:basedOn w:val="DefaultParagraphFont"/>
    <w:rsid w:val="005C43CE"/>
    <w:rPr>
      <w:rFonts w:cs="Times New Roman"/>
      <w:vertAlign w:val="superscript"/>
    </w:rPr>
  </w:style>
  <w:style w:type="paragraph" w:customStyle="1" w:styleId="highlightedtext">
    <w:name w:val="highlighted text"/>
    <w:basedOn w:val="Normal"/>
    <w:link w:val="highlightedtextChar"/>
    <w:qFormat/>
    <w:rsid w:val="005C43CE"/>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5C43CE"/>
    <w:rPr>
      <w:rFonts w:asciiTheme="minorHAnsi" w:hAnsiTheme="minorHAnsi" w:cstheme="minorBidi"/>
      <w:b/>
      <w:iCs/>
      <w:color w:val="917700" w:themeColor="accent3" w:themeShade="80"/>
      <w:sz w:val="22"/>
      <w:szCs w:val="22"/>
    </w:rPr>
  </w:style>
  <w:style w:type="paragraph" w:customStyle="1" w:styleId="HeadingB">
    <w:name w:val="Heading B"/>
    <w:basedOn w:val="Normal"/>
    <w:link w:val="HeadingBChar"/>
    <w:rsid w:val="005C43CE"/>
    <w:pPr>
      <w:keepNext/>
      <w:numPr>
        <w:ilvl w:val="1"/>
        <w:numId w:val="32"/>
      </w:numPr>
      <w:spacing w:after="120" w:line="240" w:lineRule="auto"/>
    </w:pPr>
    <w:rPr>
      <w:rFonts w:ascii="Arial" w:eastAsia="Times New Roman" w:hAnsi="Arial" w:cs="Arial"/>
      <w:b/>
      <w:color w:val="auto"/>
      <w:sz w:val="28"/>
      <w:szCs w:val="28"/>
    </w:rPr>
  </w:style>
  <w:style w:type="paragraph" w:customStyle="1" w:styleId="HeadingC">
    <w:name w:val="Heading C"/>
    <w:basedOn w:val="Normal"/>
    <w:rsid w:val="005C43CE"/>
    <w:pPr>
      <w:keepNext/>
      <w:numPr>
        <w:ilvl w:val="2"/>
        <w:numId w:val="32"/>
      </w:numPr>
      <w:spacing w:after="120" w:line="240" w:lineRule="auto"/>
    </w:pPr>
    <w:rPr>
      <w:rFonts w:ascii="Arial" w:eastAsia="Times New Roman" w:hAnsi="Arial" w:cs="Arial"/>
      <w:b/>
      <w:color w:val="auto"/>
      <w:sz w:val="28"/>
      <w:szCs w:val="28"/>
    </w:rPr>
  </w:style>
  <w:style w:type="character" w:customStyle="1" w:styleId="HeadingBChar">
    <w:name w:val="Heading B Char"/>
    <w:basedOn w:val="DefaultParagraphFont"/>
    <w:link w:val="HeadingB"/>
    <w:rsid w:val="005C43CE"/>
    <w:rPr>
      <w:rFonts w:ascii="Arial" w:eastAsia="Times New Roman" w:hAnsi="Arial" w:cs="Arial"/>
      <w:b/>
      <w:sz w:val="28"/>
      <w:szCs w:val="28"/>
    </w:rPr>
  </w:style>
  <w:style w:type="character" w:styleId="FollowedHyperlink">
    <w:name w:val="FollowedHyperlink"/>
    <w:basedOn w:val="DefaultParagraphFont"/>
    <w:uiPriority w:val="99"/>
    <w:semiHidden/>
    <w:unhideWhenUsed/>
    <w:rsid w:val="00290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6290">
      <w:bodyDiv w:val="1"/>
      <w:marLeft w:val="0"/>
      <w:marRight w:val="0"/>
      <w:marTop w:val="0"/>
      <w:marBottom w:val="0"/>
      <w:divBdr>
        <w:top w:val="none" w:sz="0" w:space="0" w:color="auto"/>
        <w:left w:val="none" w:sz="0" w:space="0" w:color="auto"/>
        <w:bottom w:val="none" w:sz="0" w:space="0" w:color="auto"/>
        <w:right w:val="none" w:sz="0" w:space="0" w:color="auto"/>
      </w:divBdr>
    </w:div>
    <w:div w:id="386534568">
      <w:bodyDiv w:val="1"/>
      <w:marLeft w:val="0"/>
      <w:marRight w:val="0"/>
      <w:marTop w:val="0"/>
      <w:marBottom w:val="0"/>
      <w:divBdr>
        <w:top w:val="none" w:sz="0" w:space="0" w:color="auto"/>
        <w:left w:val="none" w:sz="0" w:space="0" w:color="auto"/>
        <w:bottom w:val="none" w:sz="0" w:space="0" w:color="auto"/>
        <w:right w:val="none" w:sz="0" w:space="0" w:color="auto"/>
      </w:divBdr>
    </w:div>
    <w:div w:id="775366210">
      <w:bodyDiv w:val="1"/>
      <w:marLeft w:val="0"/>
      <w:marRight w:val="0"/>
      <w:marTop w:val="0"/>
      <w:marBottom w:val="0"/>
      <w:divBdr>
        <w:top w:val="none" w:sz="0" w:space="0" w:color="auto"/>
        <w:left w:val="none" w:sz="0" w:space="0" w:color="auto"/>
        <w:bottom w:val="none" w:sz="0" w:space="0" w:color="auto"/>
        <w:right w:val="none" w:sz="0" w:space="0" w:color="auto"/>
      </w:divBdr>
    </w:div>
    <w:div w:id="1023434743">
      <w:bodyDiv w:val="1"/>
      <w:marLeft w:val="0"/>
      <w:marRight w:val="0"/>
      <w:marTop w:val="0"/>
      <w:marBottom w:val="0"/>
      <w:divBdr>
        <w:top w:val="none" w:sz="0" w:space="0" w:color="auto"/>
        <w:left w:val="none" w:sz="0" w:space="0" w:color="auto"/>
        <w:bottom w:val="none" w:sz="0" w:space="0" w:color="auto"/>
        <w:right w:val="none" w:sz="0" w:space="0" w:color="auto"/>
      </w:divBdr>
    </w:div>
    <w:div w:id="1453090540">
      <w:bodyDiv w:val="1"/>
      <w:marLeft w:val="0"/>
      <w:marRight w:val="0"/>
      <w:marTop w:val="0"/>
      <w:marBottom w:val="0"/>
      <w:divBdr>
        <w:top w:val="none" w:sz="0" w:space="0" w:color="auto"/>
        <w:left w:val="none" w:sz="0" w:space="0" w:color="auto"/>
        <w:bottom w:val="none" w:sz="0" w:space="0" w:color="auto"/>
        <w:right w:val="none" w:sz="0" w:space="0" w:color="auto"/>
      </w:divBdr>
    </w:div>
    <w:div w:id="1552696194">
      <w:bodyDiv w:val="1"/>
      <w:marLeft w:val="0"/>
      <w:marRight w:val="0"/>
      <w:marTop w:val="0"/>
      <w:marBottom w:val="0"/>
      <w:divBdr>
        <w:top w:val="none" w:sz="0" w:space="0" w:color="auto"/>
        <w:left w:val="none" w:sz="0" w:space="0" w:color="auto"/>
        <w:bottom w:val="none" w:sz="0" w:space="0" w:color="auto"/>
        <w:right w:val="none" w:sz="0" w:space="0" w:color="auto"/>
      </w:divBdr>
    </w:div>
    <w:div w:id="20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va.gov.au/about-us/overview/consultations-and-grants/grants-and-bursaries/building-excellence-support-and-4" TargetMode="Externa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32E29-8680-491A-8B9B-BBFF3DB1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1636</Words>
  <Characters>9300</Characters>
  <DocSecurity>0</DocSecurity>
  <Lines>170</Lines>
  <Paragraphs>93</Paragraphs>
  <ScaleCrop>false</ScaleCrop>
  <HeadingPairs>
    <vt:vector size="2" baseType="variant">
      <vt:variant>
        <vt:lpstr>Title</vt:lpstr>
      </vt:variant>
      <vt:variant>
        <vt:i4>1</vt:i4>
      </vt:variant>
    </vt:vector>
  </HeadingPairs>
  <TitlesOfParts>
    <vt:vector size="1" baseType="lpstr">
      <vt:lpstr>Veteran and Community Grants (V&amp;CG) Program</vt:lpstr>
    </vt:vector>
  </TitlesOfParts>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2023-05-18T05:20:00Z</dcterms:created>
  <dcterms:modified xsi:type="dcterms:W3CDTF">2023-05-19T00:33:00Z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EDB3E9D96BC249A6926919F1ED16E36C</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2023-05-19T00:33:24Z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61B0D92492A0B32CB3E52DA7DE7E9921</vt:lpwstr>
  </property>
  <property fmtid="{D5CDD505-2E9C-101B-9397-08002B2CF9AE}" pid="21" name="PM_Hash_Salt">
    <vt:lpwstr>4B5ED03B0C7690273159CB9968A53907</vt:lpwstr>
  </property>
  <property fmtid="{D5CDD505-2E9C-101B-9397-08002B2CF9AE}" pid="22" name="PM_Hash_SHA1">
    <vt:lpwstr>B541E2DE32DD686C2B32DF4DF24E8F2AC1765449</vt:lpwstr>
  </property>
  <property fmtid="{D5CDD505-2E9C-101B-9397-08002B2CF9AE}" pid="23" name="PM_OriginatorUserAccountName_SHA256">
    <vt:lpwstr>0102C4819CC7B31A586A04D712CE9265B0083A8FEA73FB8CC27F94689CE5698F</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