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45586" w14:textId="77777777" w:rsidR="00EF7C86" w:rsidRDefault="00EF7C86" w:rsidP="00453629">
      <w:pPr>
        <w:spacing w:line="240" w:lineRule="auto"/>
        <w:contextualSpacing/>
        <w:rPr>
          <w:rFonts w:ascii="Arial" w:eastAsiaTheme="majorEastAsia" w:hAnsi="Arial" w:cs="Arial"/>
          <w:color w:val="CF0A2C" w:themeColor="accent1"/>
          <w:kern w:val="28"/>
          <w:sz w:val="36"/>
          <w:szCs w:val="36"/>
        </w:rPr>
      </w:pPr>
      <w:bookmarkStart w:id="0" w:name="_GoBack"/>
      <w:bookmarkEnd w:id="0"/>
      <w:r>
        <w:rPr>
          <w:rFonts w:ascii="Arial" w:eastAsiaTheme="majorEastAsia" w:hAnsi="Arial" w:cs="Arial"/>
          <w:color w:val="CF0A2C" w:themeColor="accent1"/>
          <w:kern w:val="28"/>
          <w:sz w:val="36"/>
          <w:szCs w:val="36"/>
        </w:rPr>
        <w:t>Workplace Support</w:t>
      </w:r>
      <w:r>
        <w:rPr>
          <w:rFonts w:ascii="Arial" w:eastAsiaTheme="majorEastAsia" w:hAnsi="Arial" w:cs="Arial"/>
          <w:color w:val="CF0A2C" w:themeColor="accent1"/>
          <w:kern w:val="28"/>
          <w:sz w:val="36"/>
          <w:szCs w:val="36"/>
        </w:rPr>
        <w:br/>
        <w:t>Support for employer representatives and unions to improve safety, fairness, and productivity in workplaces – Productivity, Education and Training Fund</w:t>
      </w:r>
    </w:p>
    <w:p w14:paraId="34919A2C" w14:textId="77777777" w:rsidR="00EF7C86" w:rsidRPr="005144E6" w:rsidRDefault="00EF7C86" w:rsidP="00453629">
      <w:pPr>
        <w:spacing w:line="240" w:lineRule="auto"/>
        <w:contextualSpacing/>
        <w:rPr>
          <w:rFonts w:ascii="Arial" w:eastAsiaTheme="majorEastAsia" w:hAnsi="Arial" w:cs="Arial"/>
          <w:color w:val="CF0A2C" w:themeColor="accent1"/>
          <w:kern w:val="28"/>
          <w:sz w:val="36"/>
          <w:szCs w:val="36"/>
        </w:rPr>
      </w:pPr>
    </w:p>
    <w:p w14:paraId="50D44F11" w14:textId="77777777" w:rsidR="007941FE" w:rsidRPr="00F85F98" w:rsidRDefault="007941FE" w:rsidP="007941FE">
      <w:pPr>
        <w:numPr>
          <w:ilvl w:val="1"/>
          <w:numId w:val="0"/>
        </w:numPr>
        <w:pBdr>
          <w:bottom w:val="single" w:sz="4" w:space="22" w:color="000000" w:themeColor="text1"/>
        </w:pBdr>
        <w:spacing w:line="240" w:lineRule="auto"/>
        <w:rPr>
          <w:rFonts w:asciiTheme="majorHAnsi" w:eastAsiaTheme="majorEastAsia" w:hAnsiTheme="majorHAnsi" w:cstheme="majorBidi"/>
          <w:iCs/>
          <w:sz w:val="30"/>
          <w:szCs w:val="24"/>
        </w:rPr>
      </w:pPr>
      <w:r w:rsidRPr="007E23BA">
        <w:rPr>
          <w:rFonts w:asciiTheme="majorHAnsi" w:eastAsiaTheme="majorEastAsia" w:hAnsiTheme="majorHAnsi" w:cstheme="majorBidi"/>
          <w:b/>
          <w:iCs/>
          <w:sz w:val="30"/>
          <w:szCs w:val="24"/>
        </w:rPr>
        <w:t>F</w:t>
      </w:r>
      <w:r>
        <w:rPr>
          <w:rFonts w:asciiTheme="majorHAnsi" w:eastAsiaTheme="majorEastAsia" w:hAnsiTheme="majorHAnsi" w:cstheme="majorBidi"/>
          <w:b/>
          <w:iCs/>
          <w:sz w:val="30"/>
          <w:szCs w:val="24"/>
        </w:rPr>
        <w:t>eedback for applicants</w:t>
      </w:r>
    </w:p>
    <w:p w14:paraId="7BEA2B25" w14:textId="061BE0A1" w:rsidR="004A7A42" w:rsidRDefault="00CD7FF9" w:rsidP="00EB715A">
      <w:pPr>
        <w:spacing w:after="240"/>
        <w:rPr>
          <w:rFonts w:ascii="Arial" w:eastAsiaTheme="majorEastAsia" w:hAnsi="Arial" w:cs="Arial"/>
          <w:bCs/>
          <w:color w:val="auto"/>
          <w:sz w:val="36"/>
          <w:szCs w:val="28"/>
        </w:rPr>
      </w:pPr>
      <w:r w:rsidRPr="00CD7FF9">
        <w:rPr>
          <w:color w:val="auto"/>
        </w:rPr>
        <w:t>The Department of Employment and Workplace Relations</w:t>
      </w:r>
      <w:r w:rsidR="005144E6">
        <w:rPr>
          <w:color w:val="auto"/>
        </w:rPr>
        <w:t xml:space="preserve"> (DEWR)</w:t>
      </w:r>
      <w:r w:rsidRPr="00CD7FF9">
        <w:rPr>
          <w:color w:val="auto"/>
        </w:rPr>
        <w:t xml:space="preserve"> </w:t>
      </w:r>
      <w:r w:rsidR="004A7A42" w:rsidRPr="00CD7FF9">
        <w:t xml:space="preserve">has provided the following </w:t>
      </w:r>
      <w:r w:rsidR="001D16CE">
        <w:t>g</w:t>
      </w:r>
      <w:r w:rsidR="001D16CE" w:rsidRPr="00CD7FF9">
        <w:t xml:space="preserve">eneral </w:t>
      </w:r>
      <w:r w:rsidR="001D16CE">
        <w:t>f</w:t>
      </w:r>
      <w:r w:rsidR="001D16CE" w:rsidRPr="00CD7FF9">
        <w:t xml:space="preserve">eedback </w:t>
      </w:r>
      <w:r w:rsidR="004A7A42" w:rsidRPr="00CD7FF9">
        <w:t xml:space="preserve">for applicants of the </w:t>
      </w:r>
      <w:r w:rsidRPr="00CD7FF9">
        <w:t xml:space="preserve">Productivity, Education and Training Fund </w:t>
      </w:r>
      <w:r w:rsidR="004A7A42" w:rsidRPr="00CD7FF9">
        <w:t>grant opportunity.</w:t>
      </w:r>
    </w:p>
    <w:p w14:paraId="618620D4" w14:textId="77777777" w:rsidR="00F85F98" w:rsidRPr="005144E6" w:rsidRDefault="00F85F98" w:rsidP="00F85F98">
      <w:pPr>
        <w:rPr>
          <w:rFonts w:ascii="Arial" w:eastAsiaTheme="majorEastAsia" w:hAnsi="Arial" w:cs="Arial"/>
          <w:bCs/>
          <w:color w:val="CF0A2C" w:themeColor="accent1"/>
          <w:sz w:val="36"/>
          <w:szCs w:val="28"/>
        </w:rPr>
      </w:pPr>
      <w:r w:rsidRPr="005144E6">
        <w:rPr>
          <w:rFonts w:ascii="Arial" w:eastAsiaTheme="majorEastAsia" w:hAnsi="Arial" w:cs="Arial"/>
          <w:bCs/>
          <w:color w:val="CF0A2C" w:themeColor="accent1"/>
          <w:sz w:val="36"/>
          <w:szCs w:val="28"/>
        </w:rPr>
        <w:t>Overview</w:t>
      </w:r>
    </w:p>
    <w:p w14:paraId="71A63E8D" w14:textId="3D109B9E" w:rsidR="006E5784" w:rsidRPr="006E5784" w:rsidRDefault="006E5784" w:rsidP="007E23BA">
      <w:pPr>
        <w:pStyle w:val="BodyText"/>
        <w:spacing w:before="40" w:after="120"/>
      </w:pPr>
      <w:r w:rsidRPr="00F130A3">
        <w:t xml:space="preserve">The grant opportunity application period opened on </w:t>
      </w:r>
      <w:r w:rsidRPr="00E700CD">
        <w:t>21</w:t>
      </w:r>
      <w:r w:rsidR="00E700CD">
        <w:t> </w:t>
      </w:r>
      <w:r w:rsidRPr="00E700CD">
        <w:t>March</w:t>
      </w:r>
      <w:r w:rsidR="00E700CD">
        <w:t> </w:t>
      </w:r>
      <w:r w:rsidRPr="00F130A3">
        <w:t>2023 and closed on 3</w:t>
      </w:r>
      <w:r w:rsidR="00E700CD">
        <w:t> </w:t>
      </w:r>
      <w:r w:rsidRPr="00F130A3">
        <w:t>April</w:t>
      </w:r>
      <w:r w:rsidR="00E700CD">
        <w:t> </w:t>
      </w:r>
      <w:r w:rsidRPr="00F130A3">
        <w:t xml:space="preserve">2023. The grant opportunity received </w:t>
      </w:r>
      <w:r w:rsidR="00EB715A">
        <w:t>4</w:t>
      </w:r>
      <w:r w:rsidRPr="00F130A3">
        <w:t xml:space="preserve"> </w:t>
      </w:r>
      <w:r w:rsidR="006C7269">
        <w:t>applications</w:t>
      </w:r>
      <w:r w:rsidRPr="00F130A3">
        <w:t>.</w:t>
      </w:r>
    </w:p>
    <w:p w14:paraId="11BAA9C0" w14:textId="3A37525B" w:rsidR="0033353E" w:rsidRPr="00F130A3" w:rsidRDefault="00496CE3" w:rsidP="007E23BA">
      <w:pPr>
        <w:pStyle w:val="BodyText"/>
        <w:spacing w:before="40" w:after="120"/>
      </w:pPr>
      <w:r w:rsidRPr="00F130A3">
        <w:rPr>
          <w:szCs w:val="22"/>
        </w:rPr>
        <w:t xml:space="preserve">The </w:t>
      </w:r>
      <w:r w:rsidR="007D0300" w:rsidRPr="00F130A3">
        <w:rPr>
          <w:szCs w:val="22"/>
        </w:rPr>
        <w:t>Productivity, Education and Training Fund</w:t>
      </w:r>
      <w:r w:rsidR="007D0300" w:rsidRPr="00F130A3">
        <w:t xml:space="preserve"> (</w:t>
      </w:r>
      <w:r w:rsidR="007D0300" w:rsidRPr="00F130A3">
        <w:rPr>
          <w:bCs/>
        </w:rPr>
        <w:t xml:space="preserve">PET Fund) implements an outcome from the 2022 Jobs and Skills Summit, insofar as business, unions and Government committed to work proactively together to strengthen tripartism and constructive social dialogue in Australian workplace relations. It also supports the Government’s election commitment to secure Australian jobs, as this will require a sustained and enhanced tripartite effort to effectively develop and implement new workplace reforms. </w:t>
      </w:r>
      <w:r w:rsidR="007D0300" w:rsidRPr="00F130A3">
        <w:rPr>
          <w:rFonts w:cs="Arial"/>
        </w:rPr>
        <w:t xml:space="preserve">The PET </w:t>
      </w:r>
      <w:r w:rsidR="002F2B64">
        <w:rPr>
          <w:rFonts w:cs="Arial"/>
        </w:rPr>
        <w:t>F</w:t>
      </w:r>
      <w:r w:rsidR="007D0300" w:rsidRPr="00F130A3">
        <w:rPr>
          <w:rFonts w:cs="Arial"/>
        </w:rPr>
        <w:t>und will support implementation of a range of workplace reforms and Jobs and Skills Summit outcomes by strengthening tripartism and constructive social dialogue in the Australian workplace relations system.</w:t>
      </w:r>
    </w:p>
    <w:p w14:paraId="410EEE69" w14:textId="775F2D92" w:rsidR="00F85F98" w:rsidRDefault="00F85F98" w:rsidP="007E23BA">
      <w:pPr>
        <w:pStyle w:val="BodyText"/>
        <w:spacing w:before="40" w:after="120"/>
        <w:rPr>
          <w:rFonts w:ascii="Arial" w:eastAsiaTheme="majorEastAsia" w:hAnsi="Arial" w:cs="Arial"/>
          <w:bCs/>
          <w:color w:val="C00000"/>
          <w:sz w:val="36"/>
          <w:szCs w:val="28"/>
        </w:rPr>
      </w:pPr>
      <w:r w:rsidRPr="00A232AB">
        <w:rPr>
          <w:rFonts w:ascii="Arial" w:eastAsiaTheme="majorEastAsia" w:hAnsi="Arial" w:cs="Arial"/>
          <w:bCs/>
          <w:color w:val="C00000"/>
          <w:sz w:val="36"/>
          <w:szCs w:val="28"/>
        </w:rPr>
        <w:t xml:space="preserve">Selection </w:t>
      </w:r>
      <w:r w:rsidR="002F2B64">
        <w:rPr>
          <w:rFonts w:ascii="Arial" w:eastAsiaTheme="majorEastAsia" w:hAnsi="Arial" w:cs="Arial"/>
          <w:bCs/>
          <w:color w:val="C00000"/>
          <w:sz w:val="36"/>
          <w:szCs w:val="28"/>
        </w:rPr>
        <w:t>p</w:t>
      </w:r>
      <w:r w:rsidR="002F2B64" w:rsidRPr="00A232AB">
        <w:rPr>
          <w:rFonts w:ascii="Arial" w:eastAsiaTheme="majorEastAsia" w:hAnsi="Arial" w:cs="Arial"/>
          <w:bCs/>
          <w:color w:val="C00000"/>
          <w:sz w:val="36"/>
          <w:szCs w:val="28"/>
        </w:rPr>
        <w:t>rocess</w:t>
      </w:r>
    </w:p>
    <w:p w14:paraId="74DD0CCE" w14:textId="77777777" w:rsidR="00A232AB" w:rsidRDefault="00A232AB" w:rsidP="007E23BA">
      <w:pPr>
        <w:pStyle w:val="BodyText"/>
        <w:spacing w:before="40" w:after="120"/>
      </w:pPr>
      <w:r>
        <w:t>The Community Grants Hub undertook the screening for organisation eligibility and compliance against the requirements outlined in the Grant Opportunity Guidelines. This information was provided to</w:t>
      </w:r>
      <w:r w:rsidR="007D0300">
        <w:t xml:space="preserve"> DEWR </w:t>
      </w:r>
      <w:r>
        <w:t xml:space="preserve">for the final decision on whether an application did not meet the eligibility and/or compliance criteria. </w:t>
      </w:r>
    </w:p>
    <w:p w14:paraId="5F4132CB" w14:textId="196422F1" w:rsidR="005144E6" w:rsidRDefault="007D0300" w:rsidP="007E23BA">
      <w:pPr>
        <w:pStyle w:val="BodyText"/>
        <w:spacing w:before="40" w:after="120"/>
      </w:pPr>
      <w:r>
        <w:t xml:space="preserve">DEWR </w:t>
      </w:r>
      <w:r w:rsidR="00A232AB">
        <w:t xml:space="preserve">then assessed and considered all eligible and compliant </w:t>
      </w:r>
      <w:r w:rsidR="006C7269">
        <w:t>applications</w:t>
      </w:r>
      <w:r w:rsidR="00A232AB">
        <w:t xml:space="preserve"> through a </w:t>
      </w:r>
      <w:r w:rsidR="00F9284B">
        <w:t>c</w:t>
      </w:r>
      <w:r>
        <w:t xml:space="preserve">losed non-competitive </w:t>
      </w:r>
      <w:r w:rsidR="00A232AB">
        <w:t xml:space="preserve">grant process. All assessed </w:t>
      </w:r>
      <w:r w:rsidR="006C7269">
        <w:t>applications</w:t>
      </w:r>
      <w:r w:rsidR="00A232AB">
        <w:t xml:space="preserve"> were considered by the Selection Advisory Panel</w:t>
      </w:r>
      <w:r w:rsidR="00EF7C86">
        <w:t xml:space="preserve"> (the panel)</w:t>
      </w:r>
      <w:r w:rsidR="00A232AB">
        <w:t xml:space="preserve">. The </w:t>
      </w:r>
      <w:r w:rsidR="00EF7C86">
        <w:t>p</w:t>
      </w:r>
      <w:r w:rsidR="00A232AB">
        <w:t xml:space="preserve">anel, established by </w:t>
      </w:r>
      <w:r>
        <w:t>DEWR,</w:t>
      </w:r>
      <w:r w:rsidR="005144E6">
        <w:t xml:space="preserve"> </w:t>
      </w:r>
      <w:r w:rsidR="00A232AB">
        <w:t xml:space="preserve">comprised of </w:t>
      </w:r>
      <w:r w:rsidR="00786437">
        <w:t xml:space="preserve">government representatives as </w:t>
      </w:r>
      <w:r w:rsidR="00883B2C">
        <w:t>part of a fair and transparent merit process</w:t>
      </w:r>
      <w:r w:rsidR="00A232AB">
        <w:t xml:space="preserve">. The panel assessed </w:t>
      </w:r>
      <w:r w:rsidR="006F4947">
        <w:t xml:space="preserve">applications </w:t>
      </w:r>
      <w:r w:rsidR="00A232AB">
        <w:t>and provided advice to inform the Department’s funding recommendations to the Delegate.</w:t>
      </w:r>
    </w:p>
    <w:p w14:paraId="63468E9B" w14:textId="77777777" w:rsidR="00E7480B" w:rsidRPr="008F16D1" w:rsidRDefault="006F4947" w:rsidP="007E23BA">
      <w:pPr>
        <w:pStyle w:val="BodyText"/>
        <w:spacing w:before="40" w:after="120"/>
        <w:rPr>
          <w:color w:val="auto"/>
        </w:rPr>
      </w:pPr>
      <w:r>
        <w:t>Applications</w:t>
      </w:r>
      <w:r w:rsidR="00E7480B" w:rsidRPr="008F16D1">
        <w:rPr>
          <w:color w:val="auto"/>
        </w:rPr>
        <w:t xml:space="preserve"> were assessed on merit, based on</w:t>
      </w:r>
      <w:r w:rsidR="00EF7C86">
        <w:rPr>
          <w:color w:val="auto"/>
        </w:rPr>
        <w:t xml:space="preserve"> the</w:t>
      </w:r>
      <w:r w:rsidR="00E7480B" w:rsidRPr="008F16D1">
        <w:rPr>
          <w:color w:val="auto"/>
        </w:rPr>
        <w:t>:</w:t>
      </w:r>
    </w:p>
    <w:p w14:paraId="24D9A9A0" w14:textId="773D698E" w:rsidR="00E7480B" w:rsidRPr="008F16D1" w:rsidRDefault="008F16D1" w:rsidP="007E23BA">
      <w:pPr>
        <w:pStyle w:val="BodyText"/>
        <w:numPr>
          <w:ilvl w:val="0"/>
          <w:numId w:val="14"/>
        </w:numPr>
        <w:spacing w:before="40" w:after="120"/>
        <w:rPr>
          <w:color w:val="auto"/>
        </w:rPr>
      </w:pPr>
      <w:r w:rsidRPr="008F16D1">
        <w:rPr>
          <w:color w:val="auto"/>
        </w:rPr>
        <w:t>overall objectives of the grant opportunity</w:t>
      </w:r>
    </w:p>
    <w:p w14:paraId="4D4D2662" w14:textId="28361228" w:rsidR="00E7480B" w:rsidRPr="008F16D1" w:rsidRDefault="008F16D1" w:rsidP="007E23BA">
      <w:pPr>
        <w:pStyle w:val="BodyText"/>
        <w:numPr>
          <w:ilvl w:val="0"/>
          <w:numId w:val="14"/>
        </w:numPr>
        <w:spacing w:before="40" w:after="120"/>
        <w:rPr>
          <w:color w:val="auto"/>
        </w:rPr>
      </w:pPr>
      <w:r w:rsidRPr="008F16D1">
        <w:rPr>
          <w:color w:val="auto"/>
        </w:rPr>
        <w:t>evidence provided to demonstrate how your project contributes to meeting those objectives</w:t>
      </w:r>
    </w:p>
    <w:p w14:paraId="23C64D7A" w14:textId="3D63539C" w:rsidR="005144E6" w:rsidRPr="005144E6" w:rsidRDefault="008F16D1" w:rsidP="007E23BA">
      <w:pPr>
        <w:pStyle w:val="BodyText"/>
        <w:numPr>
          <w:ilvl w:val="0"/>
          <w:numId w:val="14"/>
        </w:numPr>
        <w:spacing w:before="40" w:after="120"/>
        <w:rPr>
          <w:color w:val="auto"/>
        </w:rPr>
      </w:pPr>
      <w:r w:rsidRPr="008F16D1">
        <w:rPr>
          <w:color w:val="auto"/>
        </w:rPr>
        <w:t>relative value of the grant</w:t>
      </w:r>
      <w:r w:rsidR="006341AC">
        <w:rPr>
          <w:color w:val="auto"/>
        </w:rPr>
        <w:t>.</w:t>
      </w:r>
    </w:p>
    <w:p w14:paraId="02D79E24" w14:textId="77777777" w:rsidR="00E7480B" w:rsidRDefault="00E7480B" w:rsidP="007E23BA">
      <w:pPr>
        <w:keepNext/>
        <w:keepLines/>
        <w:spacing w:before="40" w:after="120"/>
      </w:pPr>
      <w:r>
        <w:lastRenderedPageBreak/>
        <w:t xml:space="preserve">Each </w:t>
      </w:r>
      <w:r w:rsidR="006F4947">
        <w:t>application</w:t>
      </w:r>
      <w:r>
        <w:t xml:space="preserve"> was required to address the following selection criteria:</w:t>
      </w:r>
    </w:p>
    <w:p w14:paraId="24DA8DD7" w14:textId="77777777" w:rsidR="00A06EFF" w:rsidRDefault="00A232AB" w:rsidP="007E23BA">
      <w:pPr>
        <w:pStyle w:val="BodyText"/>
        <w:keepNext/>
        <w:keepLines/>
        <w:numPr>
          <w:ilvl w:val="0"/>
          <w:numId w:val="14"/>
        </w:numPr>
        <w:spacing w:before="40" w:after="120"/>
        <w:rPr>
          <w:b/>
          <w:bCs/>
        </w:rPr>
      </w:pPr>
      <w:r w:rsidRPr="00B57EC9">
        <w:rPr>
          <w:b/>
          <w:bCs/>
          <w:lang w:eastAsia="en-AU"/>
        </w:rPr>
        <w:t xml:space="preserve">Criterion 1: </w:t>
      </w:r>
      <w:r w:rsidR="008F16D1" w:rsidRPr="00B57EC9">
        <w:rPr>
          <w:b/>
          <w:bCs/>
          <w:lang w:eastAsia="en-AU"/>
        </w:rPr>
        <w:t>Organisational profile</w:t>
      </w:r>
    </w:p>
    <w:p w14:paraId="6F8044E0" w14:textId="77777777" w:rsidR="00EF7C86" w:rsidRDefault="00EF7C86" w:rsidP="007E23BA">
      <w:pPr>
        <w:pStyle w:val="BodyText"/>
        <w:keepNext/>
        <w:keepLines/>
        <w:numPr>
          <w:ilvl w:val="0"/>
          <w:numId w:val="14"/>
        </w:numPr>
        <w:spacing w:before="40" w:after="120"/>
        <w:rPr>
          <w:b/>
          <w:bCs/>
        </w:rPr>
      </w:pPr>
      <w:r>
        <w:rPr>
          <w:b/>
          <w:bCs/>
          <w:lang w:eastAsia="en-AU"/>
        </w:rPr>
        <w:t>Criterion 2: Consultative approach</w:t>
      </w:r>
    </w:p>
    <w:p w14:paraId="26DF3911" w14:textId="77777777" w:rsidR="00EF7C86" w:rsidRDefault="00EF7C86" w:rsidP="007E23BA">
      <w:pPr>
        <w:pStyle w:val="BodyText"/>
        <w:keepNext/>
        <w:keepLines/>
        <w:numPr>
          <w:ilvl w:val="0"/>
          <w:numId w:val="14"/>
        </w:numPr>
        <w:spacing w:before="40" w:after="120"/>
        <w:rPr>
          <w:b/>
          <w:bCs/>
        </w:rPr>
      </w:pPr>
      <w:r>
        <w:rPr>
          <w:b/>
          <w:bCs/>
          <w:lang w:eastAsia="en-AU"/>
        </w:rPr>
        <w:t>Criterion 3: Capacity to deliver activities to support productivity, education and training for their members</w:t>
      </w:r>
    </w:p>
    <w:p w14:paraId="5C9D0609" w14:textId="77777777" w:rsidR="00EF7C86" w:rsidRPr="00B57EC9" w:rsidRDefault="00EF7C86" w:rsidP="007E23BA">
      <w:pPr>
        <w:pStyle w:val="BodyText"/>
        <w:numPr>
          <w:ilvl w:val="0"/>
          <w:numId w:val="14"/>
        </w:numPr>
        <w:spacing w:before="40" w:after="120"/>
        <w:rPr>
          <w:b/>
          <w:bCs/>
        </w:rPr>
      </w:pPr>
      <w:r>
        <w:rPr>
          <w:b/>
          <w:bCs/>
          <w:lang w:eastAsia="en-AU"/>
        </w:rPr>
        <w:t>Criterion 4: Alignment with eligible expenditure</w:t>
      </w:r>
      <w:r w:rsidR="00730430">
        <w:rPr>
          <w:b/>
          <w:bCs/>
          <w:lang w:eastAsia="en-AU"/>
        </w:rPr>
        <w:t>.</w:t>
      </w:r>
    </w:p>
    <w:p w14:paraId="750A69A4" w14:textId="77777777" w:rsidR="00A06EFF" w:rsidRPr="001E7168" w:rsidRDefault="003E2864" w:rsidP="007E23BA">
      <w:pPr>
        <w:pStyle w:val="BodyText"/>
        <w:spacing w:before="40" w:after="120"/>
        <w:rPr>
          <w:color w:val="auto"/>
        </w:rPr>
      </w:pPr>
      <w:r w:rsidRPr="00C735DC">
        <w:rPr>
          <w:color w:val="auto"/>
        </w:rPr>
        <w:t xml:space="preserve">Successful </w:t>
      </w:r>
      <w:r w:rsidR="006F4947">
        <w:t>applications</w:t>
      </w:r>
      <w:r w:rsidR="00F85F98" w:rsidRPr="00C735DC">
        <w:rPr>
          <w:color w:val="auto"/>
        </w:rPr>
        <w:t xml:space="preserve"> were identified based on their responses to the selection </w:t>
      </w:r>
      <w:r w:rsidR="00E7480B" w:rsidRPr="00C735DC">
        <w:rPr>
          <w:color w:val="auto"/>
        </w:rPr>
        <w:t xml:space="preserve">criterion </w:t>
      </w:r>
      <w:r w:rsidR="00F85F98" w:rsidRPr="00C735DC">
        <w:rPr>
          <w:color w:val="auto"/>
        </w:rPr>
        <w:t xml:space="preserve">and their demonstrated ability to meet the grant requirements outlined in the </w:t>
      </w:r>
      <w:r w:rsidR="00E7480B" w:rsidRPr="00C735DC">
        <w:rPr>
          <w:color w:val="auto"/>
        </w:rPr>
        <w:t>Grant Opportunity</w:t>
      </w:r>
      <w:r w:rsidR="00F85F98" w:rsidRPr="00C735DC">
        <w:rPr>
          <w:color w:val="auto"/>
        </w:rPr>
        <w:t xml:space="preserve"> Guidelines.</w:t>
      </w:r>
    </w:p>
    <w:p w14:paraId="2B83B9E8" w14:textId="0B1DCAE4" w:rsidR="00F85F98" w:rsidRPr="009A2F51" w:rsidRDefault="00F85F98" w:rsidP="007E23BA">
      <w:pPr>
        <w:spacing w:before="40" w:after="12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 xml:space="preserve">Selection </w:t>
      </w:r>
      <w:r w:rsidR="001D16CE">
        <w:rPr>
          <w:rFonts w:ascii="Arial" w:eastAsiaTheme="majorEastAsia" w:hAnsi="Arial" w:cs="Arial"/>
          <w:bCs/>
          <w:color w:val="CF0A2C" w:themeColor="accent1"/>
          <w:sz w:val="36"/>
          <w:szCs w:val="28"/>
        </w:rPr>
        <w:t>r</w:t>
      </w:r>
      <w:r w:rsidR="001D16CE" w:rsidRPr="009A2F51">
        <w:rPr>
          <w:rFonts w:ascii="Arial" w:eastAsiaTheme="majorEastAsia" w:hAnsi="Arial" w:cs="Arial"/>
          <w:bCs/>
          <w:color w:val="CF0A2C" w:themeColor="accent1"/>
          <w:sz w:val="36"/>
          <w:szCs w:val="28"/>
        </w:rPr>
        <w:t>esults</w:t>
      </w:r>
    </w:p>
    <w:p w14:paraId="777FC089" w14:textId="6119C52B" w:rsidR="007F00B8" w:rsidRDefault="00692BA6" w:rsidP="007E23BA">
      <w:pPr>
        <w:pStyle w:val="BodyText"/>
        <w:spacing w:before="40" w:after="120"/>
      </w:pPr>
      <w:r>
        <w:t>A</w:t>
      </w:r>
      <w:r w:rsidR="006F4947">
        <w:t xml:space="preserve">pplications </w:t>
      </w:r>
      <w:r w:rsidR="007F00B8">
        <w:t xml:space="preserve">were assessed according to the procedure detailed in the Grant Opportunity Guidelines and outlined in the </w:t>
      </w:r>
      <w:r w:rsidR="00C9240E">
        <w:t>s</w:t>
      </w:r>
      <w:r w:rsidR="007F00B8">
        <w:t xml:space="preserve">election </w:t>
      </w:r>
      <w:r w:rsidR="00C9240E">
        <w:t>p</w:t>
      </w:r>
      <w:r w:rsidR="007F00B8">
        <w:t xml:space="preserve">rocess above. </w:t>
      </w:r>
    </w:p>
    <w:p w14:paraId="7B0A3E01" w14:textId="77777777" w:rsidR="007F00B8" w:rsidRDefault="007F00B8" w:rsidP="007E23BA">
      <w:pPr>
        <w:pStyle w:val="BodyText"/>
        <w:spacing w:before="40" w:after="120"/>
      </w:pPr>
      <w:r>
        <w:t xml:space="preserve">This feedback is provided to assist grant </w:t>
      </w:r>
      <w:r w:rsidR="006F4947">
        <w:t>applicants</w:t>
      </w:r>
      <w:r>
        <w:t xml:space="preserve"> to understand what generally comprised a strong application and the content of quality responses to the assessment criteria for this grant opportunity.</w:t>
      </w:r>
    </w:p>
    <w:p w14:paraId="52F99E7A" w14:textId="77777777" w:rsidR="004F129F" w:rsidRDefault="004F129F" w:rsidP="007E23BA">
      <w:pPr>
        <w:pStyle w:val="BodyText"/>
        <w:spacing w:before="40" w:after="120"/>
      </w:pPr>
      <w:r>
        <w:rPr>
          <w:color w:val="auto"/>
        </w:rPr>
        <w:t xml:space="preserve">All </w:t>
      </w:r>
      <w:r w:rsidR="006F4947">
        <w:t>applications</w:t>
      </w:r>
      <w:r>
        <w:rPr>
          <w:color w:val="auto"/>
        </w:rPr>
        <w:t xml:space="preserve"> were found eligible to be awarded a grant under the Grant Opportunity Guidelines.</w:t>
      </w:r>
    </w:p>
    <w:p w14:paraId="4D41A0BC" w14:textId="34ADDDBC" w:rsidR="008F1308" w:rsidRDefault="008F1308" w:rsidP="007E23BA">
      <w:pPr>
        <w:pStyle w:val="BodyText"/>
        <w:spacing w:before="40" w:after="120"/>
      </w:pPr>
      <w:r>
        <w:t xml:space="preserve">In summary, the </w:t>
      </w:r>
      <w:r w:rsidR="00C9240E">
        <w:t>p</w:t>
      </w:r>
      <w:r>
        <w:t xml:space="preserve">anel found all </w:t>
      </w:r>
      <w:r w:rsidR="006F4947">
        <w:t>applications</w:t>
      </w:r>
      <w:r>
        <w:t xml:space="preserve"> presented:</w:t>
      </w:r>
    </w:p>
    <w:p w14:paraId="69C03425" w14:textId="0D204A58" w:rsidR="008F1308" w:rsidRPr="007E23BA" w:rsidRDefault="008F1308" w:rsidP="007E23BA">
      <w:pPr>
        <w:pStyle w:val="BodyText"/>
        <w:numPr>
          <w:ilvl w:val="0"/>
          <w:numId w:val="14"/>
        </w:numPr>
        <w:spacing w:before="40" w:after="120"/>
        <w:rPr>
          <w:color w:val="auto"/>
        </w:rPr>
      </w:pPr>
      <w:r w:rsidRPr="007E23BA">
        <w:rPr>
          <w:color w:val="auto"/>
        </w:rPr>
        <w:t>proposed activities represent</w:t>
      </w:r>
      <w:r w:rsidR="006F4947" w:rsidRPr="007E23BA">
        <w:rPr>
          <w:color w:val="auto"/>
        </w:rPr>
        <w:t>ed value for money and wer</w:t>
      </w:r>
      <w:r w:rsidRPr="007E23BA">
        <w:rPr>
          <w:color w:val="auto"/>
        </w:rPr>
        <w:t>e directly targeted at achieving the objectives of the PET Fund</w:t>
      </w:r>
    </w:p>
    <w:p w14:paraId="0D9D6635" w14:textId="2AD0CBAA" w:rsidR="005F65C3" w:rsidRPr="007E23BA" w:rsidRDefault="008F1308" w:rsidP="007E23BA">
      <w:pPr>
        <w:pStyle w:val="BodyText"/>
        <w:numPr>
          <w:ilvl w:val="0"/>
          <w:numId w:val="14"/>
        </w:numPr>
        <w:spacing w:before="40" w:after="120"/>
        <w:rPr>
          <w:color w:val="auto"/>
        </w:rPr>
      </w:pPr>
      <w:r w:rsidRPr="007E23BA">
        <w:rPr>
          <w:color w:val="auto"/>
        </w:rPr>
        <w:t xml:space="preserve">expertise and </w:t>
      </w:r>
      <w:r w:rsidR="009A4C0C" w:rsidRPr="007E23BA">
        <w:rPr>
          <w:color w:val="auto"/>
        </w:rPr>
        <w:t xml:space="preserve">the </w:t>
      </w:r>
      <w:r w:rsidRPr="007E23BA">
        <w:rPr>
          <w:color w:val="auto"/>
        </w:rPr>
        <w:t>ability to deliver the outcomes for the grant fund with access to suitable networks and resources</w:t>
      </w:r>
    </w:p>
    <w:p w14:paraId="6A66AEE8" w14:textId="77777777" w:rsidR="008F1308" w:rsidRDefault="008F1308" w:rsidP="007E23BA">
      <w:pPr>
        <w:pStyle w:val="BodyText"/>
        <w:numPr>
          <w:ilvl w:val="0"/>
          <w:numId w:val="14"/>
        </w:numPr>
        <w:spacing w:before="40" w:after="120"/>
      </w:pPr>
      <w:r>
        <w:t>a broad reach of engagement which would not occur, or would not be as effective and impactful, without grant funds.</w:t>
      </w:r>
    </w:p>
    <w:p w14:paraId="0050E835" w14:textId="77777777" w:rsidR="007F00B8" w:rsidRPr="008F1308" w:rsidRDefault="003718AE" w:rsidP="007E23BA">
      <w:pPr>
        <w:pStyle w:val="BodyText"/>
        <w:spacing w:before="40" w:after="120"/>
      </w:pPr>
      <w:r>
        <w:t>Successful</w:t>
      </w:r>
      <w:r w:rsidR="009A4C0C">
        <w:t xml:space="preserve"> applications</w:t>
      </w:r>
      <w:r w:rsidR="007F00B8" w:rsidRPr="007E23BA">
        <w:rPr>
          <w:color w:val="auto"/>
        </w:rPr>
        <w:t xml:space="preserve"> </w:t>
      </w:r>
      <w:r w:rsidR="007F00B8">
        <w:t xml:space="preserve">provided strong responses to the selection criteria and demonstrated </w:t>
      </w:r>
      <w:r w:rsidR="007F00B8" w:rsidRPr="008F1308">
        <w:rPr>
          <w:color w:val="auto"/>
        </w:rPr>
        <w:t>their</w:t>
      </w:r>
      <w:r w:rsidR="007F00B8" w:rsidRPr="008F1308">
        <w:rPr>
          <w:color w:val="FF0000"/>
        </w:rPr>
        <w:t xml:space="preserve"> </w:t>
      </w:r>
      <w:r w:rsidR="007F00B8">
        <w:t xml:space="preserve">ability to meet the eligibility requirements outlined in the Grant Opportunity Guidelines. </w:t>
      </w:r>
      <w:r w:rsidR="007F00B8" w:rsidRPr="008F1308">
        <w:rPr>
          <w:szCs w:val="22"/>
        </w:rPr>
        <w:t>Further detail about what constituted a strong response to each criterion is provided below.</w:t>
      </w:r>
    </w:p>
    <w:p w14:paraId="11BDD6EA" w14:textId="77777777" w:rsidR="00A06EFF" w:rsidRPr="00A06EFF" w:rsidRDefault="00F85F98" w:rsidP="007E23BA">
      <w:pPr>
        <w:spacing w:before="40" w:after="120"/>
        <w:rPr>
          <w:rFonts w:asciiTheme="majorHAnsi" w:hAnsiTheme="majorHAnsi" w:cstheme="majorHAnsi"/>
          <w:b/>
          <w:color w:val="auto"/>
          <w:sz w:val="20"/>
        </w:rPr>
      </w:pPr>
      <w:r w:rsidRPr="00A06EFF">
        <w:rPr>
          <w:rFonts w:asciiTheme="majorHAnsi" w:hAnsiTheme="majorHAnsi" w:cstheme="majorHAnsi"/>
          <w:b/>
        </w:rPr>
        <w:t>Criterion 1</w:t>
      </w:r>
      <w:r w:rsidR="00A06EFF" w:rsidRPr="00A06EFF">
        <w:rPr>
          <w:rFonts w:asciiTheme="majorHAnsi" w:hAnsiTheme="majorHAnsi" w:cstheme="majorHAnsi"/>
          <w:b/>
        </w:rPr>
        <w:t xml:space="preserve"> Organisational profile</w:t>
      </w:r>
    </w:p>
    <w:p w14:paraId="3AEA9CEF" w14:textId="77777777" w:rsidR="00A06EFF" w:rsidRPr="00F9284B" w:rsidRDefault="00A06EFF" w:rsidP="007E23BA">
      <w:pPr>
        <w:spacing w:before="40" w:after="120"/>
        <w:rPr>
          <w:rFonts w:ascii="Arial" w:hAnsi="Arial" w:cs="Arial"/>
          <w:color w:val="auto"/>
          <w:szCs w:val="22"/>
          <w:lang w:val="en-GB"/>
        </w:rPr>
      </w:pPr>
      <w:r w:rsidRPr="00F9284B">
        <w:rPr>
          <w:rFonts w:cs="Arial"/>
          <w:szCs w:val="22"/>
          <w:lang w:val="en-GB"/>
        </w:rPr>
        <w:t>When addressing the c</w:t>
      </w:r>
      <w:r w:rsidR="005144E6">
        <w:rPr>
          <w:rFonts w:cs="Arial"/>
          <w:szCs w:val="22"/>
          <w:lang w:val="en-GB"/>
        </w:rPr>
        <w:t xml:space="preserve">riterion, strong </w:t>
      </w:r>
      <w:r w:rsidR="009A4C0C">
        <w:t>applications</w:t>
      </w:r>
      <w:r w:rsidRPr="00F9284B">
        <w:rPr>
          <w:rFonts w:cs="Arial"/>
          <w:szCs w:val="22"/>
          <w:lang w:val="en-GB"/>
        </w:rPr>
        <w:t>:</w:t>
      </w:r>
    </w:p>
    <w:p w14:paraId="55935311" w14:textId="6067124E" w:rsidR="00A06EFF" w:rsidRPr="00157C4A" w:rsidRDefault="009A4C0C" w:rsidP="007E23BA">
      <w:pPr>
        <w:pStyle w:val="BodyText"/>
        <w:numPr>
          <w:ilvl w:val="0"/>
          <w:numId w:val="14"/>
        </w:numPr>
        <w:spacing w:before="40" w:after="120"/>
      </w:pPr>
      <w:r w:rsidRPr="007E23BA">
        <w:rPr>
          <w:color w:val="auto"/>
        </w:rPr>
        <w:t>d</w:t>
      </w:r>
      <w:r w:rsidR="00A06EFF" w:rsidRPr="007E23BA">
        <w:rPr>
          <w:color w:val="auto"/>
        </w:rPr>
        <w:t>emonstrate</w:t>
      </w:r>
      <w:r w:rsidR="005144E6" w:rsidRPr="007E23BA">
        <w:rPr>
          <w:color w:val="auto"/>
        </w:rPr>
        <w:t>d</w:t>
      </w:r>
      <w:r w:rsidR="00A06EFF" w:rsidRPr="007E23BA">
        <w:rPr>
          <w:color w:val="auto"/>
        </w:rPr>
        <w:t xml:space="preserve"> an intimate understanding by their organisation of current</w:t>
      </w:r>
      <w:r w:rsidR="00EB715A" w:rsidRPr="007E23BA">
        <w:rPr>
          <w:color w:val="auto"/>
        </w:rPr>
        <w:t xml:space="preserve"> workplace relations frameworks</w:t>
      </w:r>
    </w:p>
    <w:p w14:paraId="0FE68FA4" w14:textId="6D3627A7" w:rsidR="00A06EFF" w:rsidRPr="00157C4A" w:rsidRDefault="009A4C0C" w:rsidP="007E23BA">
      <w:pPr>
        <w:pStyle w:val="BodyText"/>
        <w:numPr>
          <w:ilvl w:val="0"/>
          <w:numId w:val="14"/>
        </w:numPr>
        <w:spacing w:before="40" w:after="120"/>
      </w:pPr>
      <w:r w:rsidRPr="007E23BA">
        <w:rPr>
          <w:color w:val="auto"/>
        </w:rPr>
        <w:t>o</w:t>
      </w:r>
      <w:r w:rsidR="00A06EFF" w:rsidRPr="007E23BA">
        <w:rPr>
          <w:color w:val="auto"/>
        </w:rPr>
        <w:t>utline</w:t>
      </w:r>
      <w:r w:rsidR="005144E6" w:rsidRPr="007E23BA">
        <w:rPr>
          <w:color w:val="auto"/>
        </w:rPr>
        <w:t>d</w:t>
      </w:r>
      <w:r w:rsidR="00A06EFF" w:rsidRPr="007E23BA">
        <w:rPr>
          <w:color w:val="auto"/>
        </w:rPr>
        <w:t xml:space="preserve"> how their organisation monitors, assesses and contributes to future outlooks i</w:t>
      </w:r>
      <w:r w:rsidR="00EB715A" w:rsidRPr="007E23BA">
        <w:rPr>
          <w:color w:val="auto"/>
        </w:rPr>
        <w:t>n the workplace relations space</w:t>
      </w:r>
    </w:p>
    <w:p w14:paraId="1B213F9A" w14:textId="704628ED" w:rsidR="00A06EFF" w:rsidRPr="00157C4A" w:rsidRDefault="009A4C0C" w:rsidP="007E23BA">
      <w:pPr>
        <w:pStyle w:val="BodyText"/>
        <w:numPr>
          <w:ilvl w:val="0"/>
          <w:numId w:val="14"/>
        </w:numPr>
        <w:spacing w:before="40" w:after="120"/>
      </w:pPr>
      <w:r w:rsidRPr="007E23BA">
        <w:rPr>
          <w:color w:val="auto"/>
        </w:rPr>
        <w:t>o</w:t>
      </w:r>
      <w:r w:rsidR="00A06EFF" w:rsidRPr="007E23BA">
        <w:rPr>
          <w:color w:val="auto"/>
        </w:rPr>
        <w:t>utline</w:t>
      </w:r>
      <w:r w:rsidR="005144E6" w:rsidRPr="007E23BA">
        <w:rPr>
          <w:color w:val="auto"/>
        </w:rPr>
        <w:t>d</w:t>
      </w:r>
      <w:r w:rsidR="00A06EFF" w:rsidRPr="007E23BA">
        <w:rPr>
          <w:color w:val="auto"/>
        </w:rPr>
        <w:t xml:space="preserve"> the organisation’s affiliated networks and demonstrate</w:t>
      </w:r>
      <w:r w:rsidR="005144E6" w:rsidRPr="007E23BA">
        <w:rPr>
          <w:color w:val="auto"/>
        </w:rPr>
        <w:t>d</w:t>
      </w:r>
      <w:r w:rsidR="00A06EFF" w:rsidRPr="007E23BA">
        <w:rPr>
          <w:color w:val="auto"/>
        </w:rPr>
        <w:t xml:space="preserve"> the breadth of intere</w:t>
      </w:r>
      <w:r w:rsidR="00EB715A" w:rsidRPr="007E23BA">
        <w:rPr>
          <w:color w:val="auto"/>
        </w:rPr>
        <w:t>sts their organisation supports</w:t>
      </w:r>
    </w:p>
    <w:p w14:paraId="6591B330" w14:textId="77777777" w:rsidR="00EB715A" w:rsidRPr="009A4C0C" w:rsidRDefault="009A4C0C" w:rsidP="007E23BA">
      <w:pPr>
        <w:pStyle w:val="BodyText"/>
        <w:numPr>
          <w:ilvl w:val="0"/>
          <w:numId w:val="14"/>
        </w:numPr>
        <w:spacing w:before="40" w:after="120"/>
        <w:rPr>
          <w:rFonts w:cs="Arial"/>
          <w:szCs w:val="22"/>
        </w:rPr>
      </w:pPr>
      <w:r w:rsidRPr="007E23BA">
        <w:rPr>
          <w:color w:val="auto"/>
        </w:rPr>
        <w:t>o</w:t>
      </w:r>
      <w:r w:rsidR="00A06EFF" w:rsidRPr="007E23BA">
        <w:rPr>
          <w:color w:val="auto"/>
        </w:rPr>
        <w:t>utline</w:t>
      </w:r>
      <w:r w:rsidR="005144E6" w:rsidRPr="007E23BA">
        <w:rPr>
          <w:color w:val="auto"/>
        </w:rPr>
        <w:t>d</w:t>
      </w:r>
      <w:r w:rsidR="00A06EFF" w:rsidRPr="007E23BA">
        <w:rPr>
          <w:color w:val="auto"/>
        </w:rPr>
        <w:t xml:space="preserve"> the organisation’s proposed approach to meeting grant funding obligations related to</w:t>
      </w:r>
      <w:r w:rsidR="00A06EFF" w:rsidRPr="00F9284B">
        <w:rPr>
          <w:rFonts w:cs="Arial"/>
          <w:szCs w:val="22"/>
        </w:rPr>
        <w:t xml:space="preserve"> progress reporting of grant funding expenditure and consultative outcomes.</w:t>
      </w:r>
    </w:p>
    <w:tbl>
      <w:tblPr>
        <w:tblStyle w:val="CGHTableBanded"/>
        <w:tblW w:w="0" w:type="auto"/>
        <w:tblLook w:val="04A0" w:firstRow="1" w:lastRow="0" w:firstColumn="1" w:lastColumn="0" w:noHBand="0" w:noVBand="1"/>
        <w:tblCaption w:val="Criterion 1 Organisational profile"/>
      </w:tblPr>
      <w:tblGrid>
        <w:gridCol w:w="4817"/>
        <w:gridCol w:w="4821"/>
      </w:tblGrid>
      <w:tr w:rsidR="00F85F98" w14:paraId="280E976F" w14:textId="77777777" w:rsidTr="00EF7C8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19413C7" w14:textId="77777777" w:rsidR="00F85F98" w:rsidRPr="00454EB4" w:rsidRDefault="00F85F98" w:rsidP="007E23BA">
            <w:pPr>
              <w:spacing w:before="40" w:after="120"/>
              <w:ind w:left="57" w:right="57"/>
              <w:rPr>
                <w:b/>
              </w:rPr>
            </w:pPr>
            <w:r w:rsidRPr="00454EB4">
              <w:rPr>
                <w:b/>
              </w:rPr>
              <w:lastRenderedPageBreak/>
              <w:t>Strength</w:t>
            </w:r>
          </w:p>
        </w:tc>
        <w:tc>
          <w:tcPr>
            <w:tcW w:w="4821" w:type="dxa"/>
            <w:vAlign w:val="center"/>
          </w:tcPr>
          <w:p w14:paraId="48C77CE1" w14:textId="77777777" w:rsidR="00F85F98" w:rsidRPr="00454EB4" w:rsidRDefault="00F85F98" w:rsidP="007E23BA">
            <w:pPr>
              <w:spacing w:before="40" w:after="120"/>
              <w:ind w:left="57" w:right="57"/>
              <w:rPr>
                <w:b/>
              </w:rPr>
            </w:pPr>
            <w:r w:rsidRPr="00454EB4">
              <w:rPr>
                <w:b/>
              </w:rPr>
              <w:t>Example</w:t>
            </w:r>
          </w:p>
        </w:tc>
      </w:tr>
      <w:tr w:rsidR="00F85F98" w14:paraId="2C7318B2"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2D4530B" w14:textId="77777777" w:rsidR="00F85F98" w:rsidRPr="00563F88" w:rsidRDefault="00F85F98" w:rsidP="007E23BA">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rsidR="00F76062">
              <w:t>demonstrate</w:t>
            </w:r>
            <w:r w:rsidR="00B81C36">
              <w:t xml:space="preserve"> </w:t>
            </w:r>
            <w:r w:rsidR="00B81C36" w:rsidRPr="00B81C36">
              <w:t xml:space="preserve">an intimate understanding by their organisation of current workplace relations </w:t>
            </w:r>
            <w:r w:rsidR="00E84B40" w:rsidRPr="00B81C36">
              <w:t>frameworks.</w:t>
            </w:r>
          </w:p>
        </w:tc>
        <w:tc>
          <w:tcPr>
            <w:tcW w:w="4821" w:type="dxa"/>
          </w:tcPr>
          <w:p w14:paraId="36829F0B" w14:textId="77777777" w:rsidR="003D6807" w:rsidRDefault="00F85F98"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Pr>
                <w:rFonts w:ascii="Arial" w:eastAsia="Arial" w:hAnsi="Arial" w:cs="Arial"/>
                <w:color w:val="auto"/>
              </w:rPr>
              <w:t xml:space="preserve"> </w:t>
            </w:r>
            <w:r w:rsidR="00847CBC">
              <w:rPr>
                <w:rFonts w:ascii="Arial" w:eastAsia="Arial" w:hAnsi="Arial" w:cs="Arial"/>
                <w:color w:val="auto"/>
              </w:rPr>
              <w:t>provided a clear overview of the actions of the organisations in contemporary Workplace Relations, including</w:t>
            </w:r>
            <w:r w:rsidR="003D6807">
              <w:rPr>
                <w:rFonts w:ascii="Arial" w:eastAsia="Arial" w:hAnsi="Arial" w:cs="Arial"/>
                <w:color w:val="auto"/>
              </w:rPr>
              <w:t>:</w:t>
            </w:r>
          </w:p>
          <w:p w14:paraId="4C1C3EDD" w14:textId="77777777" w:rsidR="003D6807" w:rsidRDefault="00847CBC" w:rsidP="007E23BA">
            <w:pPr>
              <w:pStyle w:val="ListParagraph"/>
              <w:numPr>
                <w:ilvl w:val="0"/>
                <w:numId w:val="21"/>
              </w:numPr>
              <w:spacing w:before="40" w:after="120"/>
              <w:ind w:right="57"/>
              <w:rPr>
                <w:rFonts w:ascii="Arial" w:eastAsia="Arial" w:hAnsi="Arial" w:cs="Arial"/>
                <w:color w:val="auto"/>
              </w:rPr>
            </w:pPr>
            <w:r w:rsidRPr="00202861">
              <w:rPr>
                <w:rFonts w:ascii="Arial" w:eastAsia="Arial" w:hAnsi="Arial" w:cs="Arial"/>
                <w:color w:val="auto"/>
              </w:rPr>
              <w:t>how they represent the interests of their members before the Fair Work Commission</w:t>
            </w:r>
            <w:r w:rsidR="003D6807" w:rsidRPr="00202861">
              <w:rPr>
                <w:rFonts w:ascii="Arial" w:eastAsia="Arial" w:hAnsi="Arial" w:cs="Arial"/>
                <w:color w:val="auto"/>
              </w:rPr>
              <w:t xml:space="preserve"> in key matters such as award and wage reviews</w:t>
            </w:r>
          </w:p>
          <w:p w14:paraId="72A48444" w14:textId="77777777" w:rsidR="00F85F98" w:rsidRPr="001E7168" w:rsidRDefault="00D30F70" w:rsidP="007E23BA">
            <w:pPr>
              <w:pStyle w:val="ListParagraph"/>
              <w:numPr>
                <w:ilvl w:val="0"/>
                <w:numId w:val="21"/>
              </w:numPr>
              <w:spacing w:before="40" w:after="120"/>
              <w:ind w:right="57"/>
              <w:rPr>
                <w:rFonts w:ascii="Arial" w:eastAsia="Arial" w:hAnsi="Arial" w:cs="Arial"/>
                <w:color w:val="auto"/>
              </w:rPr>
            </w:pPr>
            <w:r>
              <w:rPr>
                <w:rFonts w:ascii="Arial" w:eastAsia="Arial" w:hAnsi="Arial" w:cs="Arial"/>
                <w:color w:val="auto"/>
              </w:rPr>
              <w:t>actively participating</w:t>
            </w:r>
            <w:r w:rsidR="003D6807">
              <w:rPr>
                <w:rFonts w:ascii="Arial" w:eastAsia="Arial" w:hAnsi="Arial" w:cs="Arial"/>
                <w:color w:val="auto"/>
              </w:rPr>
              <w:t xml:space="preserve"> in </w:t>
            </w:r>
            <w:r w:rsidR="00847CBC" w:rsidRPr="001E7168">
              <w:rPr>
                <w:rFonts w:ascii="Arial" w:eastAsia="Arial" w:hAnsi="Arial" w:cs="Arial"/>
                <w:color w:val="auto"/>
              </w:rPr>
              <w:t xml:space="preserve">tripartite forums, such as the 2022 Jobs and Skills Summit </w:t>
            </w:r>
            <w:r w:rsidR="003D6807" w:rsidRPr="001E7168">
              <w:rPr>
                <w:rFonts w:ascii="Arial" w:eastAsia="Arial" w:hAnsi="Arial" w:cs="Arial"/>
                <w:color w:val="auto"/>
              </w:rPr>
              <w:t>and the National Workplace R</w:t>
            </w:r>
            <w:r w:rsidR="00EB715A">
              <w:rPr>
                <w:rFonts w:ascii="Arial" w:eastAsia="Arial" w:hAnsi="Arial" w:cs="Arial"/>
                <w:color w:val="auto"/>
              </w:rPr>
              <w:t>elations Consultative Committee</w:t>
            </w:r>
            <w:r w:rsidR="00E700CD">
              <w:rPr>
                <w:rFonts w:ascii="Arial" w:eastAsia="Arial" w:hAnsi="Arial" w:cs="Arial"/>
                <w:color w:val="auto"/>
              </w:rPr>
              <w:t>.</w:t>
            </w:r>
          </w:p>
        </w:tc>
      </w:tr>
      <w:tr w:rsidR="00F85F98" w14:paraId="3F5FC9BA" w14:textId="77777777" w:rsidTr="00DF5C88">
        <w:tc>
          <w:tcPr>
            <w:tcW w:w="4817" w:type="dxa"/>
            <w:vAlign w:val="center"/>
          </w:tcPr>
          <w:p w14:paraId="56871F08" w14:textId="3AF01252" w:rsidR="00F85F98" w:rsidRPr="00563F88" w:rsidRDefault="00F85F98"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rsidR="00F76062">
              <w:t>were required to describe</w:t>
            </w:r>
            <w:r w:rsidR="00F76062" w:rsidRPr="00563F88" w:rsidDel="00F76062">
              <w:rPr>
                <w:rFonts w:ascii="Arial" w:eastAsia="Arial" w:hAnsi="Arial" w:cs="Arial"/>
                <w:color w:val="auto"/>
                <w:szCs w:val="22"/>
              </w:rPr>
              <w:t xml:space="preserve"> </w:t>
            </w:r>
            <w:r w:rsidR="00B81C36">
              <w:rPr>
                <w:rFonts w:ascii="Arial" w:eastAsia="Arial" w:hAnsi="Arial" w:cs="Arial"/>
                <w:color w:val="auto"/>
                <w:szCs w:val="22"/>
              </w:rPr>
              <w:t xml:space="preserve">how </w:t>
            </w:r>
            <w:r w:rsidR="00B81C36" w:rsidRPr="00B81C36">
              <w:rPr>
                <w:rFonts w:ascii="Arial" w:eastAsia="Arial" w:hAnsi="Arial" w:cs="Arial"/>
                <w:color w:val="auto"/>
                <w:szCs w:val="22"/>
              </w:rPr>
              <w:t>the</w:t>
            </w:r>
            <w:r w:rsidR="00B81C36">
              <w:rPr>
                <w:rFonts w:ascii="Arial" w:eastAsia="Arial" w:hAnsi="Arial" w:cs="Arial"/>
                <w:color w:val="auto"/>
                <w:szCs w:val="22"/>
              </w:rPr>
              <w:t>ir</w:t>
            </w:r>
            <w:r w:rsidR="00B81C36" w:rsidRPr="00B81C36">
              <w:rPr>
                <w:rFonts w:ascii="Arial" w:eastAsia="Arial" w:hAnsi="Arial" w:cs="Arial"/>
                <w:color w:val="auto"/>
                <w:szCs w:val="22"/>
              </w:rPr>
              <w:t xml:space="preserve"> organisation monitor</w:t>
            </w:r>
            <w:r w:rsidR="00B81C36">
              <w:rPr>
                <w:rFonts w:ascii="Arial" w:eastAsia="Arial" w:hAnsi="Arial" w:cs="Arial"/>
                <w:color w:val="auto"/>
                <w:szCs w:val="22"/>
              </w:rPr>
              <w:t>s</w:t>
            </w:r>
            <w:r w:rsidR="00B81C36" w:rsidRPr="00B81C36">
              <w:rPr>
                <w:rFonts w:ascii="Arial" w:eastAsia="Arial" w:hAnsi="Arial" w:cs="Arial"/>
                <w:color w:val="auto"/>
                <w:szCs w:val="22"/>
              </w:rPr>
              <w:t xml:space="preserve">, </w:t>
            </w:r>
            <w:r w:rsidR="00E84B40" w:rsidRPr="00B81C36">
              <w:rPr>
                <w:rFonts w:ascii="Arial" w:eastAsia="Arial" w:hAnsi="Arial" w:cs="Arial"/>
                <w:color w:val="auto"/>
                <w:szCs w:val="22"/>
              </w:rPr>
              <w:t>assess</w:t>
            </w:r>
            <w:r w:rsidR="00E84B40">
              <w:rPr>
                <w:rFonts w:ascii="Arial" w:eastAsia="Arial" w:hAnsi="Arial" w:cs="Arial"/>
                <w:color w:val="auto"/>
                <w:szCs w:val="22"/>
              </w:rPr>
              <w:t>es,</w:t>
            </w:r>
            <w:r w:rsidR="00B81C36" w:rsidRPr="00B81C36">
              <w:rPr>
                <w:rFonts w:ascii="Arial" w:eastAsia="Arial" w:hAnsi="Arial" w:cs="Arial"/>
                <w:color w:val="auto"/>
                <w:szCs w:val="22"/>
              </w:rPr>
              <w:t xml:space="preserve"> and contribute</w:t>
            </w:r>
            <w:r w:rsidR="00B81C36">
              <w:rPr>
                <w:rFonts w:ascii="Arial" w:eastAsia="Arial" w:hAnsi="Arial" w:cs="Arial"/>
                <w:color w:val="auto"/>
                <w:szCs w:val="22"/>
              </w:rPr>
              <w:t>s</w:t>
            </w:r>
            <w:r w:rsidR="00B81C36" w:rsidRPr="00B81C36">
              <w:rPr>
                <w:rFonts w:ascii="Arial" w:eastAsia="Arial" w:hAnsi="Arial" w:cs="Arial"/>
                <w:color w:val="auto"/>
                <w:szCs w:val="22"/>
              </w:rPr>
              <w:t xml:space="preserve"> to future outlooks in the workplace relations space</w:t>
            </w:r>
            <w:r w:rsidR="00E84B40">
              <w:rPr>
                <w:rFonts w:ascii="Arial" w:eastAsia="Arial" w:hAnsi="Arial" w:cs="Arial"/>
                <w:color w:val="auto"/>
                <w:szCs w:val="22"/>
              </w:rPr>
              <w:t>.</w:t>
            </w:r>
          </w:p>
        </w:tc>
        <w:tc>
          <w:tcPr>
            <w:tcW w:w="4821" w:type="dxa"/>
          </w:tcPr>
          <w:p w14:paraId="18BE62DB" w14:textId="77777777" w:rsidR="00F85F98" w:rsidRDefault="00F85F98"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Pr>
                <w:rFonts w:ascii="Arial" w:eastAsia="Arial" w:hAnsi="Arial" w:cs="Arial"/>
                <w:color w:val="auto"/>
              </w:rPr>
              <w:t>:</w:t>
            </w:r>
          </w:p>
          <w:p w14:paraId="5AE32314" w14:textId="77777777" w:rsidR="003D6807" w:rsidRPr="00202861" w:rsidRDefault="00692BA6" w:rsidP="007E23BA">
            <w:pPr>
              <w:pStyle w:val="ListParagraph"/>
              <w:numPr>
                <w:ilvl w:val="0"/>
                <w:numId w:val="22"/>
              </w:numPr>
              <w:spacing w:before="40" w:after="120"/>
              <w:ind w:right="57"/>
              <w:rPr>
                <w:szCs w:val="22"/>
              </w:rPr>
            </w:pPr>
            <w:r>
              <w:rPr>
                <w:rFonts w:ascii="Arial" w:eastAsia="Arial" w:hAnsi="Arial" w:cs="Arial"/>
                <w:color w:val="auto"/>
              </w:rPr>
              <w:t>demonstrated</w:t>
            </w:r>
            <w:r w:rsidRPr="00202861">
              <w:rPr>
                <w:rFonts w:ascii="Arial" w:eastAsia="Arial" w:hAnsi="Arial" w:cs="Arial"/>
                <w:color w:val="auto"/>
              </w:rPr>
              <w:t xml:space="preserve"> </w:t>
            </w:r>
            <w:r w:rsidR="003D6807" w:rsidRPr="00202861">
              <w:rPr>
                <w:rFonts w:ascii="Arial" w:eastAsia="Arial" w:hAnsi="Arial" w:cs="Arial"/>
                <w:color w:val="auto"/>
              </w:rPr>
              <w:t>how the organisation brings in the views of their members/engage with members to understand outlooks</w:t>
            </w:r>
          </w:p>
          <w:p w14:paraId="56C5A6F5" w14:textId="77777777" w:rsidR="003D6807" w:rsidRPr="00202861" w:rsidRDefault="00692BA6" w:rsidP="007E23BA">
            <w:pPr>
              <w:pStyle w:val="ListParagraph"/>
              <w:numPr>
                <w:ilvl w:val="0"/>
                <w:numId w:val="22"/>
              </w:numPr>
              <w:spacing w:before="40" w:after="120"/>
              <w:ind w:right="57"/>
              <w:rPr>
                <w:szCs w:val="22"/>
              </w:rPr>
            </w:pPr>
            <w:r>
              <w:rPr>
                <w:rFonts w:ascii="Arial" w:eastAsia="Arial" w:hAnsi="Arial" w:cs="Arial"/>
                <w:color w:val="auto"/>
              </w:rPr>
              <w:t>demonstrated</w:t>
            </w:r>
            <w:r w:rsidRPr="002155A6">
              <w:rPr>
                <w:rFonts w:ascii="Arial" w:eastAsia="Arial" w:hAnsi="Arial" w:cs="Arial"/>
                <w:color w:val="auto"/>
              </w:rPr>
              <w:t xml:space="preserve"> </w:t>
            </w:r>
            <w:r w:rsidR="003D6807" w:rsidRPr="002155A6">
              <w:rPr>
                <w:rFonts w:ascii="Arial" w:eastAsia="Arial" w:hAnsi="Arial" w:cs="Arial"/>
                <w:color w:val="auto"/>
              </w:rPr>
              <w:t>diverse approach</w:t>
            </w:r>
            <w:r w:rsidR="00D30F70">
              <w:rPr>
                <w:rFonts w:ascii="Arial" w:eastAsia="Arial" w:hAnsi="Arial" w:cs="Arial"/>
                <w:color w:val="auto"/>
              </w:rPr>
              <w:t>es</w:t>
            </w:r>
            <w:r w:rsidR="003D6807" w:rsidRPr="002155A6">
              <w:rPr>
                <w:rFonts w:ascii="Arial" w:eastAsia="Arial" w:hAnsi="Arial" w:cs="Arial"/>
                <w:color w:val="auto"/>
              </w:rPr>
              <w:t xml:space="preserve"> to understanding</w:t>
            </w:r>
            <w:r w:rsidR="003D6807">
              <w:rPr>
                <w:rFonts w:ascii="Arial" w:eastAsia="Arial" w:hAnsi="Arial" w:cs="Arial"/>
                <w:color w:val="auto"/>
              </w:rPr>
              <w:t xml:space="preserve"> the space, including surveys, case monitoring, feedback, policy and research, and facilitating open discussion</w:t>
            </w:r>
          </w:p>
          <w:p w14:paraId="77A2E608" w14:textId="77777777" w:rsidR="00F85F98" w:rsidRPr="003D6807" w:rsidRDefault="00692BA6" w:rsidP="007E23BA">
            <w:pPr>
              <w:pStyle w:val="ListParagraph"/>
              <w:numPr>
                <w:ilvl w:val="0"/>
                <w:numId w:val="22"/>
              </w:numPr>
              <w:spacing w:before="40" w:after="120"/>
              <w:ind w:right="57"/>
              <w:rPr>
                <w:szCs w:val="22"/>
              </w:rPr>
            </w:pPr>
            <w:r>
              <w:rPr>
                <w:rFonts w:ascii="Arial" w:eastAsia="Arial" w:hAnsi="Arial" w:cs="Arial"/>
                <w:color w:val="auto"/>
              </w:rPr>
              <w:t xml:space="preserve">demonstrated </w:t>
            </w:r>
            <w:r w:rsidR="00D30F70">
              <w:rPr>
                <w:rFonts w:ascii="Arial" w:eastAsia="Arial" w:hAnsi="Arial" w:cs="Arial"/>
                <w:color w:val="auto"/>
              </w:rPr>
              <w:t xml:space="preserve">an </w:t>
            </w:r>
            <w:r w:rsidR="003D6807">
              <w:rPr>
                <w:rFonts w:ascii="Arial" w:eastAsia="Arial" w:hAnsi="Arial" w:cs="Arial"/>
                <w:color w:val="auto"/>
              </w:rPr>
              <w:t>understanding of the breadth of the workplace relations policy space, and key priority issues</w:t>
            </w:r>
            <w:r w:rsidR="00E700CD">
              <w:rPr>
                <w:rFonts w:ascii="Arial" w:eastAsia="Arial" w:hAnsi="Arial" w:cs="Arial"/>
                <w:color w:val="auto"/>
              </w:rPr>
              <w:t>.</w:t>
            </w:r>
          </w:p>
        </w:tc>
      </w:tr>
      <w:tr w:rsidR="00F85F98" w14:paraId="4AB46822"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B0EE8C7" w14:textId="77777777" w:rsidR="00F85F98" w:rsidRPr="00563F88" w:rsidRDefault="00F85F98"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rsidR="00F76062">
              <w:t>were required to describe</w:t>
            </w:r>
            <w:r w:rsidR="00F76062" w:rsidRPr="00563F88" w:rsidDel="00F76062">
              <w:rPr>
                <w:rFonts w:ascii="Arial" w:eastAsia="Arial" w:hAnsi="Arial" w:cs="Arial"/>
                <w:color w:val="auto"/>
                <w:szCs w:val="22"/>
              </w:rPr>
              <w:t xml:space="preserve"> </w:t>
            </w:r>
            <w:r w:rsidR="00B81C36">
              <w:rPr>
                <w:rFonts w:ascii="Arial" w:eastAsia="Arial" w:hAnsi="Arial" w:cs="Arial"/>
                <w:color w:val="auto"/>
                <w:szCs w:val="22"/>
              </w:rPr>
              <w:t xml:space="preserve">their </w:t>
            </w:r>
            <w:r w:rsidR="00B81C36" w:rsidRPr="00B81C36">
              <w:rPr>
                <w:rFonts w:ascii="Arial" w:eastAsia="Arial" w:hAnsi="Arial" w:cs="Arial"/>
                <w:color w:val="auto"/>
                <w:szCs w:val="22"/>
              </w:rPr>
              <w:t xml:space="preserve">organisation’s affiliated networks and </w:t>
            </w:r>
            <w:r w:rsidR="00B81C36">
              <w:rPr>
                <w:rFonts w:ascii="Arial" w:eastAsia="Arial" w:hAnsi="Arial" w:cs="Arial"/>
                <w:color w:val="auto"/>
                <w:szCs w:val="22"/>
              </w:rPr>
              <w:t xml:space="preserve">the </w:t>
            </w:r>
            <w:r w:rsidR="00B81C36" w:rsidRPr="00B81C36">
              <w:rPr>
                <w:rFonts w:ascii="Arial" w:eastAsia="Arial" w:hAnsi="Arial" w:cs="Arial"/>
                <w:color w:val="auto"/>
                <w:szCs w:val="22"/>
              </w:rPr>
              <w:t>breadth of interests their organisation supports</w:t>
            </w:r>
            <w:r w:rsidR="00E84B40">
              <w:rPr>
                <w:rFonts w:ascii="Arial" w:eastAsia="Arial" w:hAnsi="Arial" w:cs="Arial"/>
                <w:color w:val="auto"/>
                <w:szCs w:val="22"/>
              </w:rPr>
              <w:t>.</w:t>
            </w:r>
          </w:p>
        </w:tc>
        <w:tc>
          <w:tcPr>
            <w:tcW w:w="4821" w:type="dxa"/>
          </w:tcPr>
          <w:p w14:paraId="1604E573" w14:textId="77777777" w:rsidR="00F85F98" w:rsidRDefault="00F85F98"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Pr>
                <w:rFonts w:ascii="Arial" w:eastAsia="Arial" w:hAnsi="Arial" w:cs="Arial"/>
                <w:color w:val="auto"/>
              </w:rPr>
              <w:t>:</w:t>
            </w:r>
          </w:p>
          <w:p w14:paraId="54E3275F" w14:textId="77777777" w:rsidR="002155A6" w:rsidRPr="00202861" w:rsidRDefault="00692BA6" w:rsidP="007E23BA">
            <w:pPr>
              <w:pStyle w:val="ListParagraph"/>
              <w:numPr>
                <w:ilvl w:val="0"/>
                <w:numId w:val="23"/>
              </w:numPr>
              <w:spacing w:before="40" w:after="120"/>
              <w:ind w:right="57"/>
              <w:rPr>
                <w:szCs w:val="22"/>
              </w:rPr>
            </w:pPr>
            <w:r>
              <w:rPr>
                <w:rFonts w:ascii="Arial" w:eastAsia="Arial" w:hAnsi="Arial" w:cs="Arial"/>
                <w:color w:val="auto"/>
              </w:rPr>
              <w:t>described</w:t>
            </w:r>
            <w:r>
              <w:rPr>
                <w:szCs w:val="22"/>
              </w:rPr>
              <w:t xml:space="preserve"> </w:t>
            </w:r>
            <w:r w:rsidR="00D30F70">
              <w:rPr>
                <w:szCs w:val="22"/>
              </w:rPr>
              <w:t xml:space="preserve">the </w:t>
            </w:r>
            <w:r w:rsidR="002155A6">
              <w:rPr>
                <w:szCs w:val="22"/>
              </w:rPr>
              <w:t>number of members and/or affiliates</w:t>
            </w:r>
          </w:p>
          <w:p w14:paraId="296A4300" w14:textId="77777777" w:rsidR="00F85F98" w:rsidRPr="00202861" w:rsidRDefault="00692BA6" w:rsidP="007E23BA">
            <w:pPr>
              <w:pStyle w:val="ListParagraph"/>
              <w:numPr>
                <w:ilvl w:val="0"/>
                <w:numId w:val="23"/>
              </w:numPr>
              <w:spacing w:before="40" w:after="120"/>
              <w:ind w:right="57"/>
              <w:rPr>
                <w:szCs w:val="22"/>
              </w:rPr>
            </w:pPr>
            <w:r>
              <w:rPr>
                <w:rFonts w:ascii="Arial" w:eastAsia="Arial" w:hAnsi="Arial" w:cs="Arial"/>
                <w:color w:val="auto"/>
              </w:rPr>
              <w:t xml:space="preserve">described </w:t>
            </w:r>
            <w:r w:rsidR="002155A6">
              <w:rPr>
                <w:rFonts w:ascii="Arial" w:eastAsia="Arial" w:hAnsi="Arial" w:cs="Arial"/>
                <w:color w:val="auto"/>
              </w:rPr>
              <w:t>the breadth and types of industries/workers covered by their organisation</w:t>
            </w:r>
          </w:p>
          <w:p w14:paraId="6C992885" w14:textId="62A75B0F" w:rsidR="002155A6" w:rsidRPr="002155A6" w:rsidRDefault="002155A6" w:rsidP="007E23BA">
            <w:pPr>
              <w:pStyle w:val="ListParagraph"/>
              <w:numPr>
                <w:ilvl w:val="0"/>
                <w:numId w:val="23"/>
              </w:numPr>
              <w:spacing w:before="40" w:after="120"/>
              <w:ind w:right="57"/>
              <w:rPr>
                <w:szCs w:val="22"/>
              </w:rPr>
            </w:pPr>
            <w:r>
              <w:rPr>
                <w:szCs w:val="22"/>
              </w:rPr>
              <w:t>clearly identified interests of their organisation and of their members</w:t>
            </w:r>
            <w:r w:rsidR="00E700CD">
              <w:rPr>
                <w:szCs w:val="22"/>
              </w:rPr>
              <w:t>.</w:t>
            </w:r>
          </w:p>
        </w:tc>
      </w:tr>
      <w:tr w:rsidR="00496CE3" w14:paraId="1FADD07D" w14:textId="77777777" w:rsidTr="00DF5C88">
        <w:tc>
          <w:tcPr>
            <w:tcW w:w="4817" w:type="dxa"/>
            <w:vAlign w:val="center"/>
          </w:tcPr>
          <w:p w14:paraId="060BB6E6" w14:textId="77777777" w:rsidR="00496CE3" w:rsidRPr="00563F88" w:rsidRDefault="00496CE3" w:rsidP="007E23BA">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16708A" w:rsidRPr="0016708A">
              <w:rPr>
                <w:rFonts w:ascii="Arial" w:eastAsia="Arial" w:hAnsi="Arial" w:cs="Arial"/>
                <w:color w:val="auto"/>
                <w:szCs w:val="22"/>
              </w:rPr>
              <w:t>the organisation’s proposed approach to meeting grant funding obligations related to progress reporting of grant funding expenditure and consultative outcomes</w:t>
            </w:r>
            <w:r w:rsidR="00E84B40">
              <w:rPr>
                <w:rFonts w:ascii="Arial" w:eastAsia="Arial" w:hAnsi="Arial" w:cs="Arial"/>
                <w:color w:val="auto"/>
                <w:szCs w:val="22"/>
              </w:rPr>
              <w:t>.</w:t>
            </w:r>
          </w:p>
        </w:tc>
        <w:tc>
          <w:tcPr>
            <w:tcW w:w="4821" w:type="dxa"/>
          </w:tcPr>
          <w:p w14:paraId="0A74412B" w14:textId="77777777" w:rsidR="00496CE3" w:rsidRDefault="00496CE3"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Pr>
                <w:rFonts w:ascii="Arial" w:eastAsia="Arial" w:hAnsi="Arial" w:cs="Arial"/>
                <w:color w:val="auto"/>
              </w:rPr>
              <w:t>:</w:t>
            </w:r>
          </w:p>
          <w:p w14:paraId="28F4B729" w14:textId="77777777" w:rsidR="00496CE3" w:rsidRDefault="00692BA6" w:rsidP="007E23BA">
            <w:pPr>
              <w:pStyle w:val="ListParagraph"/>
              <w:numPr>
                <w:ilvl w:val="0"/>
                <w:numId w:val="24"/>
              </w:numPr>
              <w:spacing w:before="40" w:after="120"/>
              <w:ind w:right="57"/>
              <w:rPr>
                <w:rFonts w:ascii="Arial" w:eastAsia="Arial" w:hAnsi="Arial" w:cs="Arial"/>
                <w:color w:val="auto"/>
              </w:rPr>
            </w:pPr>
            <w:r>
              <w:rPr>
                <w:rFonts w:ascii="Arial" w:eastAsia="Arial" w:hAnsi="Arial" w:cs="Arial"/>
                <w:color w:val="auto"/>
              </w:rPr>
              <w:t xml:space="preserve">demonstrated </w:t>
            </w:r>
            <w:r w:rsidR="00D30F70">
              <w:rPr>
                <w:rFonts w:ascii="Arial" w:eastAsia="Arial" w:hAnsi="Arial" w:cs="Arial"/>
                <w:color w:val="auto"/>
              </w:rPr>
              <w:t xml:space="preserve">an </w:t>
            </w:r>
            <w:r w:rsidR="002155A6">
              <w:rPr>
                <w:rFonts w:ascii="Arial" w:eastAsia="Arial" w:hAnsi="Arial" w:cs="Arial"/>
                <w:color w:val="auto"/>
              </w:rPr>
              <w:t>understanding of clear, regular financial reporting</w:t>
            </w:r>
            <w:r w:rsidR="005D6028">
              <w:rPr>
                <w:rFonts w:ascii="Arial" w:eastAsia="Arial" w:hAnsi="Arial" w:cs="Arial"/>
                <w:color w:val="auto"/>
              </w:rPr>
              <w:t xml:space="preserve"> and record keeping</w:t>
            </w:r>
          </w:p>
          <w:p w14:paraId="4F235DA3" w14:textId="77777777" w:rsidR="002155A6" w:rsidRDefault="00692BA6" w:rsidP="007E23BA">
            <w:pPr>
              <w:pStyle w:val="ListParagraph"/>
              <w:numPr>
                <w:ilvl w:val="0"/>
                <w:numId w:val="24"/>
              </w:numPr>
              <w:spacing w:before="40" w:after="120"/>
              <w:ind w:right="57"/>
              <w:rPr>
                <w:rFonts w:ascii="Arial" w:eastAsia="Arial" w:hAnsi="Arial" w:cs="Arial"/>
                <w:color w:val="auto"/>
              </w:rPr>
            </w:pPr>
            <w:r>
              <w:rPr>
                <w:rFonts w:ascii="Arial" w:eastAsia="Arial" w:hAnsi="Arial" w:cs="Arial"/>
                <w:color w:val="auto"/>
              </w:rPr>
              <w:t xml:space="preserve">demonstrated </w:t>
            </w:r>
            <w:r w:rsidR="00D30F70">
              <w:rPr>
                <w:rFonts w:ascii="Arial" w:eastAsia="Arial" w:hAnsi="Arial" w:cs="Arial"/>
                <w:color w:val="auto"/>
              </w:rPr>
              <w:t xml:space="preserve">a </w:t>
            </w:r>
            <w:r w:rsidR="002155A6">
              <w:rPr>
                <w:rFonts w:ascii="Arial" w:eastAsia="Arial" w:hAnsi="Arial" w:cs="Arial"/>
                <w:color w:val="auto"/>
              </w:rPr>
              <w:t>commitment to providing updates on outcomes and evaluating the success of activities</w:t>
            </w:r>
          </w:p>
          <w:p w14:paraId="1ACC0378" w14:textId="77777777" w:rsidR="005D6028" w:rsidRPr="00202861" w:rsidRDefault="00692BA6" w:rsidP="007E23BA">
            <w:pPr>
              <w:pStyle w:val="ListParagraph"/>
              <w:numPr>
                <w:ilvl w:val="0"/>
                <w:numId w:val="24"/>
              </w:numPr>
              <w:spacing w:before="40" w:after="120"/>
              <w:ind w:right="57"/>
              <w:rPr>
                <w:rFonts w:ascii="Arial" w:eastAsia="Arial" w:hAnsi="Arial" w:cs="Arial"/>
                <w:color w:val="auto"/>
              </w:rPr>
            </w:pPr>
            <w:r>
              <w:rPr>
                <w:rFonts w:ascii="Arial" w:eastAsia="Arial" w:hAnsi="Arial" w:cs="Arial"/>
                <w:color w:val="auto"/>
              </w:rPr>
              <w:t xml:space="preserve">demonstrated </w:t>
            </w:r>
            <w:r w:rsidR="002155A6">
              <w:rPr>
                <w:rFonts w:ascii="Arial" w:eastAsia="Arial" w:hAnsi="Arial" w:cs="Arial"/>
                <w:color w:val="auto"/>
              </w:rPr>
              <w:t>clear communication and engagement strategies</w:t>
            </w:r>
            <w:r w:rsidR="00E700CD">
              <w:rPr>
                <w:rFonts w:ascii="Arial" w:eastAsia="Arial" w:hAnsi="Arial" w:cs="Arial"/>
                <w:color w:val="auto"/>
              </w:rPr>
              <w:t>.</w:t>
            </w:r>
          </w:p>
        </w:tc>
      </w:tr>
    </w:tbl>
    <w:p w14:paraId="0229D9D0" w14:textId="7DF4A0DF" w:rsidR="00A06EFF" w:rsidRPr="00A06EFF" w:rsidRDefault="00F85F98" w:rsidP="007E23BA">
      <w:pPr>
        <w:pStyle w:val="Heading2"/>
        <w:spacing w:before="40" w:line="280" w:lineRule="atLeast"/>
        <w:rPr>
          <w:sz w:val="22"/>
          <w:szCs w:val="22"/>
        </w:rPr>
      </w:pPr>
      <w:r w:rsidRPr="00A06EFF">
        <w:rPr>
          <w:sz w:val="22"/>
          <w:szCs w:val="22"/>
        </w:rPr>
        <w:lastRenderedPageBreak/>
        <w:t>Criterion 2</w:t>
      </w:r>
      <w:r w:rsidR="00A06EFF" w:rsidRPr="00A06EFF">
        <w:rPr>
          <w:sz w:val="22"/>
          <w:szCs w:val="22"/>
        </w:rPr>
        <w:t xml:space="preserve"> Consultative approach</w:t>
      </w:r>
    </w:p>
    <w:p w14:paraId="1A95B624" w14:textId="77777777" w:rsidR="00A06EFF" w:rsidRPr="00F9284B" w:rsidRDefault="00A06EFF" w:rsidP="007E23BA">
      <w:pPr>
        <w:spacing w:before="40" w:after="120"/>
        <w:rPr>
          <w:rFonts w:ascii="Arial" w:hAnsi="Arial" w:cs="Arial"/>
          <w:color w:val="auto"/>
          <w:szCs w:val="22"/>
        </w:rPr>
      </w:pPr>
      <w:r w:rsidRPr="00F9284B">
        <w:rPr>
          <w:rFonts w:cs="Arial"/>
          <w:szCs w:val="22"/>
          <w:lang w:val="en-GB"/>
        </w:rPr>
        <w:t>When addressing the c</w:t>
      </w:r>
      <w:r w:rsidR="00D30F70">
        <w:rPr>
          <w:rFonts w:cs="Arial"/>
          <w:szCs w:val="22"/>
          <w:lang w:val="en-GB"/>
        </w:rPr>
        <w:t xml:space="preserve">riterion, strong </w:t>
      </w:r>
      <w:r w:rsidR="009A4C0C">
        <w:t>applications</w:t>
      </w:r>
      <w:r w:rsidRPr="00F9284B">
        <w:rPr>
          <w:rFonts w:cs="Arial"/>
          <w:szCs w:val="22"/>
        </w:rPr>
        <w:t>:</w:t>
      </w:r>
    </w:p>
    <w:p w14:paraId="7C7931AF" w14:textId="2CCC7E1A" w:rsidR="00A06EFF" w:rsidRPr="00F9284B" w:rsidRDefault="009A4C0C">
      <w:pPr>
        <w:pStyle w:val="ListBullet"/>
        <w:numPr>
          <w:ilvl w:val="1"/>
          <w:numId w:val="18"/>
        </w:numPr>
        <w:spacing w:after="120"/>
        <w:rPr>
          <w:rFonts w:cs="Arial"/>
          <w:sz w:val="22"/>
          <w:szCs w:val="22"/>
        </w:rPr>
      </w:pPr>
      <w:r>
        <w:rPr>
          <w:rFonts w:cs="Arial"/>
          <w:sz w:val="22"/>
          <w:szCs w:val="22"/>
        </w:rPr>
        <w:t>o</w:t>
      </w:r>
      <w:r w:rsidR="00A06EFF" w:rsidRPr="00F9284B">
        <w:rPr>
          <w:rFonts w:cs="Arial"/>
          <w:sz w:val="22"/>
          <w:szCs w:val="22"/>
        </w:rPr>
        <w:t>utline</w:t>
      </w:r>
      <w:r w:rsidR="00D30F70">
        <w:rPr>
          <w:rFonts w:cs="Arial"/>
          <w:sz w:val="22"/>
          <w:szCs w:val="22"/>
        </w:rPr>
        <w:t>d</w:t>
      </w:r>
      <w:r w:rsidR="00A06EFF" w:rsidRPr="00F9284B">
        <w:rPr>
          <w:rFonts w:cs="Arial"/>
          <w:sz w:val="22"/>
          <w:szCs w:val="22"/>
        </w:rPr>
        <w:t xml:space="preserve"> the organisation’s existing approach to bilateral and tripartite consultation, and commitment to meaningful and consistent engagement on workpla</w:t>
      </w:r>
      <w:r w:rsidR="00EB715A">
        <w:rPr>
          <w:rFonts w:cs="Arial"/>
          <w:sz w:val="22"/>
          <w:szCs w:val="22"/>
        </w:rPr>
        <w:t>ce relations issues and reforms</w:t>
      </w:r>
    </w:p>
    <w:p w14:paraId="5073F6AB" w14:textId="141C1332" w:rsidR="00A06EFF" w:rsidRPr="00F9284B" w:rsidRDefault="009A4C0C">
      <w:pPr>
        <w:pStyle w:val="ListBullet"/>
        <w:numPr>
          <w:ilvl w:val="1"/>
          <w:numId w:val="18"/>
        </w:numPr>
        <w:spacing w:after="120"/>
        <w:rPr>
          <w:rFonts w:cs="Arial"/>
          <w:sz w:val="22"/>
          <w:szCs w:val="22"/>
        </w:rPr>
      </w:pPr>
      <w:r>
        <w:rPr>
          <w:rFonts w:cs="Arial"/>
          <w:sz w:val="22"/>
          <w:szCs w:val="22"/>
        </w:rPr>
        <w:t>o</w:t>
      </w:r>
      <w:r w:rsidR="00A06EFF" w:rsidRPr="00F9284B">
        <w:rPr>
          <w:rFonts w:cs="Arial"/>
          <w:sz w:val="22"/>
          <w:szCs w:val="22"/>
        </w:rPr>
        <w:t>utline</w:t>
      </w:r>
      <w:r w:rsidR="00D30F70">
        <w:rPr>
          <w:rFonts w:cs="Arial"/>
          <w:sz w:val="22"/>
          <w:szCs w:val="22"/>
        </w:rPr>
        <w:t>d</w:t>
      </w:r>
      <w:r w:rsidR="00A06EFF" w:rsidRPr="00F9284B">
        <w:rPr>
          <w:rFonts w:cs="Arial"/>
          <w:sz w:val="22"/>
          <w:szCs w:val="22"/>
        </w:rPr>
        <w:t xml:space="preserve"> ways in which their organisation maintains consistent engagement with its members and affiliated networks to consult and educate on workplace relatio</w:t>
      </w:r>
      <w:r w:rsidR="00EB715A">
        <w:rPr>
          <w:rFonts w:cs="Arial"/>
          <w:sz w:val="22"/>
          <w:szCs w:val="22"/>
        </w:rPr>
        <w:t>ns frameworks, including reforms</w:t>
      </w:r>
    </w:p>
    <w:p w14:paraId="0BCACDC6" w14:textId="77777777" w:rsidR="00692BA6" w:rsidRPr="009A4C0C" w:rsidRDefault="009A4C0C">
      <w:pPr>
        <w:pStyle w:val="ListBullet"/>
        <w:numPr>
          <w:ilvl w:val="1"/>
          <w:numId w:val="18"/>
        </w:numPr>
        <w:spacing w:after="120"/>
        <w:rPr>
          <w:rFonts w:cs="Arial"/>
          <w:sz w:val="22"/>
          <w:szCs w:val="22"/>
        </w:rPr>
      </w:pPr>
      <w:r>
        <w:rPr>
          <w:rFonts w:cs="Arial"/>
          <w:sz w:val="22"/>
          <w:szCs w:val="22"/>
        </w:rPr>
        <w:t>i</w:t>
      </w:r>
      <w:r w:rsidR="00A06EFF" w:rsidRPr="00F9284B">
        <w:rPr>
          <w:rFonts w:cs="Arial"/>
          <w:sz w:val="22"/>
          <w:szCs w:val="22"/>
        </w:rPr>
        <w:t>ndicate</w:t>
      </w:r>
      <w:r w:rsidR="00D30F70">
        <w:rPr>
          <w:rFonts w:cs="Arial"/>
          <w:sz w:val="22"/>
          <w:szCs w:val="22"/>
        </w:rPr>
        <w:t>d</w:t>
      </w:r>
      <w:r w:rsidR="00A06EFF" w:rsidRPr="00F9284B">
        <w:rPr>
          <w:rFonts w:cs="Arial"/>
          <w:sz w:val="22"/>
          <w:szCs w:val="22"/>
        </w:rPr>
        <w:t xml:space="preserve"> areas where inefficient resourcing impedes meaningful engagement in bilateral and tripartite structures, and which grant funding might support.</w:t>
      </w:r>
    </w:p>
    <w:tbl>
      <w:tblPr>
        <w:tblStyle w:val="CGHTableBanded"/>
        <w:tblW w:w="0" w:type="auto"/>
        <w:tblLook w:val="04A0" w:firstRow="1" w:lastRow="0" w:firstColumn="1" w:lastColumn="0" w:noHBand="0" w:noVBand="1"/>
        <w:tblCaption w:val="Criterion 2 Consultative approach"/>
      </w:tblPr>
      <w:tblGrid>
        <w:gridCol w:w="4817"/>
        <w:gridCol w:w="4821"/>
      </w:tblGrid>
      <w:tr w:rsidR="00F85F98" w14:paraId="511307E7" w14:textId="77777777" w:rsidTr="00EF7C8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E44DBA0" w14:textId="77777777" w:rsidR="00F85F98" w:rsidRPr="00454EB4" w:rsidRDefault="00F85F98" w:rsidP="007E23BA">
            <w:pPr>
              <w:spacing w:before="40" w:after="120"/>
              <w:ind w:left="57" w:right="57"/>
              <w:rPr>
                <w:b/>
              </w:rPr>
            </w:pPr>
            <w:r w:rsidRPr="00454EB4">
              <w:rPr>
                <w:b/>
              </w:rPr>
              <w:t>Strength</w:t>
            </w:r>
          </w:p>
        </w:tc>
        <w:tc>
          <w:tcPr>
            <w:tcW w:w="4821" w:type="dxa"/>
            <w:vAlign w:val="center"/>
          </w:tcPr>
          <w:p w14:paraId="32AA79E5" w14:textId="77777777" w:rsidR="00F85F98" w:rsidRPr="00454EB4" w:rsidRDefault="00F85F98" w:rsidP="007E23BA">
            <w:pPr>
              <w:spacing w:before="40" w:after="120"/>
              <w:ind w:left="57" w:right="57"/>
              <w:rPr>
                <w:b/>
              </w:rPr>
            </w:pPr>
            <w:r w:rsidRPr="00454EB4">
              <w:rPr>
                <w:b/>
              </w:rPr>
              <w:t>Example</w:t>
            </w:r>
          </w:p>
        </w:tc>
      </w:tr>
      <w:tr w:rsidR="00F85F98" w14:paraId="3155AB0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2230E38" w14:textId="77777777" w:rsidR="00F85F98" w:rsidRPr="00563F88" w:rsidRDefault="00EE3BA6" w:rsidP="007E23BA">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E84B40" w:rsidRPr="00E84B40">
              <w:rPr>
                <w:rFonts w:ascii="Arial" w:eastAsia="Arial" w:hAnsi="Arial" w:cs="Arial"/>
                <w:color w:val="auto"/>
                <w:szCs w:val="22"/>
              </w:rPr>
              <w:t>the organisation’s existing approach to bilateral and tripartite consultation, and commitment to meaningful and consistent engagement on workplace relations issues and reforms</w:t>
            </w:r>
            <w:r w:rsidR="00E84B40">
              <w:rPr>
                <w:rFonts w:ascii="Arial" w:eastAsia="Arial" w:hAnsi="Arial" w:cs="Arial"/>
                <w:color w:val="auto"/>
                <w:szCs w:val="22"/>
              </w:rPr>
              <w:t>.</w:t>
            </w:r>
            <w:r w:rsidR="00F85F98" w:rsidRPr="00563F88">
              <w:rPr>
                <w:rFonts w:ascii="Arial" w:eastAsia="Arial" w:hAnsi="Arial" w:cs="Arial"/>
                <w:color w:val="auto"/>
                <w:szCs w:val="22"/>
              </w:rPr>
              <w:t xml:space="preserve"> </w:t>
            </w:r>
          </w:p>
        </w:tc>
        <w:tc>
          <w:tcPr>
            <w:tcW w:w="4821" w:type="dxa"/>
          </w:tcPr>
          <w:p w14:paraId="75E56A5C"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CB792F">
              <w:t xml:space="preserve"> demonstrated</w:t>
            </w:r>
            <w:r w:rsidR="00F85F98">
              <w:rPr>
                <w:rFonts w:ascii="Arial" w:eastAsia="Arial" w:hAnsi="Arial" w:cs="Arial"/>
                <w:color w:val="auto"/>
              </w:rPr>
              <w:t>:</w:t>
            </w:r>
          </w:p>
          <w:p w14:paraId="7D2E3A76" w14:textId="414CF596" w:rsidR="005D6028" w:rsidRPr="00202861" w:rsidRDefault="005D6028" w:rsidP="007E23BA">
            <w:pPr>
              <w:pStyle w:val="ListParagraph"/>
              <w:numPr>
                <w:ilvl w:val="0"/>
                <w:numId w:val="25"/>
              </w:numPr>
              <w:spacing w:before="40" w:after="120"/>
              <w:ind w:right="57"/>
              <w:rPr>
                <w:rFonts w:ascii="Arial" w:eastAsia="Arial" w:hAnsi="Arial" w:cs="Arial"/>
                <w:color w:val="auto"/>
              </w:rPr>
            </w:pPr>
            <w:r w:rsidRPr="00202861">
              <w:rPr>
                <w:rFonts w:ascii="Arial" w:eastAsia="Arial" w:hAnsi="Arial" w:cs="Arial"/>
                <w:color w:val="auto"/>
              </w:rPr>
              <w:t>active participation in consultation processes</w:t>
            </w:r>
          </w:p>
          <w:p w14:paraId="7185C88F" w14:textId="40765C60" w:rsidR="005D6028" w:rsidRPr="00202861" w:rsidRDefault="005D6028" w:rsidP="007E23BA">
            <w:pPr>
              <w:pStyle w:val="ListParagraph"/>
              <w:numPr>
                <w:ilvl w:val="0"/>
                <w:numId w:val="25"/>
              </w:numPr>
              <w:spacing w:before="40" w:after="120"/>
              <w:ind w:right="57"/>
              <w:rPr>
                <w:rFonts w:ascii="Arial" w:eastAsia="Arial" w:hAnsi="Arial" w:cs="Arial"/>
                <w:color w:val="auto"/>
              </w:rPr>
            </w:pPr>
            <w:r w:rsidRPr="00202861">
              <w:rPr>
                <w:rFonts w:ascii="Arial" w:eastAsia="Arial" w:hAnsi="Arial" w:cs="Arial"/>
                <w:color w:val="auto"/>
              </w:rPr>
              <w:t>contributions to policy discussions</w:t>
            </w:r>
          </w:p>
          <w:p w14:paraId="346C145B" w14:textId="123BC153" w:rsidR="00F85F98" w:rsidRPr="001E7168" w:rsidRDefault="005D6028" w:rsidP="007E23BA">
            <w:pPr>
              <w:pStyle w:val="ListParagraph"/>
              <w:numPr>
                <w:ilvl w:val="0"/>
                <w:numId w:val="25"/>
              </w:numPr>
              <w:spacing w:before="40" w:after="120"/>
              <w:ind w:right="57"/>
              <w:rPr>
                <w:rFonts w:ascii="Arial" w:eastAsia="Arial" w:hAnsi="Arial" w:cs="Arial"/>
                <w:color w:val="auto"/>
              </w:rPr>
            </w:pPr>
            <w:r w:rsidRPr="00202861">
              <w:rPr>
                <w:rFonts w:ascii="Arial" w:eastAsia="Arial" w:hAnsi="Arial" w:cs="Arial"/>
                <w:color w:val="auto"/>
              </w:rPr>
              <w:t>collaboration and consultation with members</w:t>
            </w:r>
            <w:r w:rsidR="00E700CD">
              <w:rPr>
                <w:rFonts w:ascii="Arial" w:eastAsia="Arial" w:hAnsi="Arial" w:cs="Arial"/>
                <w:color w:val="auto"/>
              </w:rPr>
              <w:t>.</w:t>
            </w:r>
          </w:p>
        </w:tc>
      </w:tr>
      <w:tr w:rsidR="00F85F98" w14:paraId="71183841" w14:textId="77777777" w:rsidTr="00DF5C88">
        <w:tc>
          <w:tcPr>
            <w:tcW w:w="4817" w:type="dxa"/>
            <w:vAlign w:val="center"/>
          </w:tcPr>
          <w:p w14:paraId="3E8EAEFD"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 xml:space="preserve">were required to </w:t>
            </w:r>
            <w:r w:rsidRPr="00202861">
              <w:rPr>
                <w:rFonts w:ascii="Arial" w:eastAsia="Arial" w:hAnsi="Arial" w:cs="Arial"/>
                <w:color w:val="auto"/>
                <w:szCs w:val="22"/>
              </w:rPr>
              <w:t>demonstrate</w:t>
            </w:r>
            <w:r w:rsidR="00E84B40" w:rsidRPr="00202861">
              <w:rPr>
                <w:rFonts w:ascii="Arial" w:eastAsia="Arial" w:hAnsi="Arial" w:cs="Arial"/>
                <w:color w:val="auto"/>
                <w:szCs w:val="22"/>
              </w:rPr>
              <w:t xml:space="preserve"> how the organisation maintains consistent engagement with its members and affiliated networks to consult and educate on workplace relations frameworks, including reforms.</w:t>
            </w:r>
          </w:p>
        </w:tc>
        <w:tc>
          <w:tcPr>
            <w:tcW w:w="4821" w:type="dxa"/>
          </w:tcPr>
          <w:p w14:paraId="02DC0764"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CB792F">
              <w:t xml:space="preserve"> demonstrated</w:t>
            </w:r>
            <w:r w:rsidR="00F85F98">
              <w:rPr>
                <w:rFonts w:ascii="Arial" w:eastAsia="Arial" w:hAnsi="Arial" w:cs="Arial"/>
                <w:color w:val="auto"/>
              </w:rPr>
              <w:t>:</w:t>
            </w:r>
          </w:p>
          <w:p w14:paraId="4E1434E2" w14:textId="7F3BE726" w:rsidR="005E24FD" w:rsidRPr="00202861" w:rsidRDefault="005E24FD" w:rsidP="007E23BA">
            <w:pPr>
              <w:pStyle w:val="ListParagraph"/>
              <w:numPr>
                <w:ilvl w:val="0"/>
                <w:numId w:val="26"/>
              </w:numPr>
              <w:spacing w:before="40" w:after="120"/>
              <w:ind w:right="57"/>
              <w:rPr>
                <w:szCs w:val="22"/>
              </w:rPr>
            </w:pPr>
            <w:r w:rsidRPr="00202861">
              <w:rPr>
                <w:rFonts w:ascii="Arial" w:eastAsia="Arial" w:hAnsi="Arial" w:cs="Arial"/>
                <w:color w:val="auto"/>
              </w:rPr>
              <w:t>clear governance practices</w:t>
            </w:r>
          </w:p>
          <w:p w14:paraId="783DACB9" w14:textId="2CAC8BF2" w:rsidR="00F85F98" w:rsidRPr="005E24FD" w:rsidRDefault="005E24FD" w:rsidP="007E23BA">
            <w:pPr>
              <w:pStyle w:val="ListParagraph"/>
              <w:numPr>
                <w:ilvl w:val="0"/>
                <w:numId w:val="26"/>
              </w:numPr>
              <w:spacing w:before="40" w:after="120"/>
              <w:ind w:right="57"/>
              <w:rPr>
                <w:szCs w:val="22"/>
              </w:rPr>
            </w:pPr>
            <w:r w:rsidRPr="00202861">
              <w:rPr>
                <w:rFonts w:ascii="Arial" w:eastAsia="Arial" w:hAnsi="Arial" w:cs="Arial"/>
                <w:color w:val="auto"/>
              </w:rPr>
              <w:t>regular communications with members and affiliates</w:t>
            </w:r>
            <w:r w:rsidRPr="00FD3485">
              <w:rPr>
                <w:rFonts w:ascii="Arial" w:eastAsia="Arial" w:hAnsi="Arial" w:cs="Arial"/>
                <w:color w:val="auto"/>
              </w:rPr>
              <w:t>, including forums and meetings factsheets/educational</w:t>
            </w:r>
            <w:r>
              <w:rPr>
                <w:rFonts w:ascii="Arial" w:eastAsia="Arial" w:hAnsi="Arial" w:cs="Arial"/>
                <w:color w:val="auto"/>
              </w:rPr>
              <w:t xml:space="preserve"> materials, direct communications, and consultation papers</w:t>
            </w:r>
            <w:r w:rsidR="00E700CD">
              <w:rPr>
                <w:rFonts w:ascii="Arial" w:eastAsia="Arial" w:hAnsi="Arial" w:cs="Arial"/>
                <w:color w:val="auto"/>
              </w:rPr>
              <w:t>.</w:t>
            </w:r>
          </w:p>
        </w:tc>
      </w:tr>
      <w:tr w:rsidR="00F85F98" w14:paraId="2D8F7E11"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777993B"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E84B40" w:rsidRPr="00E84B40">
              <w:rPr>
                <w:rFonts w:ascii="Arial" w:eastAsia="Arial" w:hAnsi="Arial" w:cs="Arial"/>
                <w:color w:val="auto"/>
                <w:szCs w:val="22"/>
              </w:rPr>
              <w:t>where inefficient resourcing impedes meaningful engagement in bilateral and tripartite structures, and which grant funding might support</w:t>
            </w:r>
            <w:r w:rsidR="00E84B40">
              <w:rPr>
                <w:rFonts w:ascii="Arial" w:eastAsia="Arial" w:hAnsi="Arial" w:cs="Arial"/>
                <w:color w:val="auto"/>
                <w:szCs w:val="22"/>
              </w:rPr>
              <w:t>.</w:t>
            </w:r>
          </w:p>
        </w:tc>
        <w:tc>
          <w:tcPr>
            <w:tcW w:w="4821" w:type="dxa"/>
          </w:tcPr>
          <w:p w14:paraId="623E2FA4"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F85F98">
              <w:rPr>
                <w:rFonts w:ascii="Arial" w:eastAsia="Arial" w:hAnsi="Arial" w:cs="Arial"/>
                <w:color w:val="auto"/>
              </w:rPr>
              <w:t>:</w:t>
            </w:r>
          </w:p>
          <w:p w14:paraId="06B6A429" w14:textId="77777777" w:rsidR="00F85F98" w:rsidRPr="00202861" w:rsidRDefault="00692BA6" w:rsidP="007E23BA">
            <w:pPr>
              <w:pStyle w:val="ListParagraph"/>
              <w:numPr>
                <w:ilvl w:val="0"/>
                <w:numId w:val="27"/>
              </w:numPr>
              <w:spacing w:before="40" w:after="120"/>
              <w:ind w:right="57"/>
              <w:rPr>
                <w:szCs w:val="22"/>
              </w:rPr>
            </w:pPr>
            <w:r>
              <w:rPr>
                <w:rFonts w:ascii="Arial" w:eastAsia="Arial" w:hAnsi="Arial" w:cs="Arial"/>
                <w:color w:val="auto"/>
              </w:rPr>
              <w:t xml:space="preserve">demonstrated </w:t>
            </w:r>
            <w:r w:rsidR="003F42DF" w:rsidRPr="00202861">
              <w:rPr>
                <w:rFonts w:ascii="Arial" w:eastAsia="Arial" w:hAnsi="Arial" w:cs="Arial"/>
                <w:color w:val="auto"/>
              </w:rPr>
              <w:t xml:space="preserve">specifically </w:t>
            </w:r>
            <w:r w:rsidR="003F42DF">
              <w:rPr>
                <w:rFonts w:ascii="Arial" w:eastAsia="Arial" w:hAnsi="Arial" w:cs="Arial"/>
                <w:color w:val="auto"/>
              </w:rPr>
              <w:t>how additional funding would enable improved resourcing and deliver better outcomes</w:t>
            </w:r>
          </w:p>
          <w:p w14:paraId="27C47CDB" w14:textId="77777777" w:rsidR="003F42DF" w:rsidRDefault="003F42DF" w:rsidP="007E23BA">
            <w:pPr>
              <w:pStyle w:val="ListParagraph"/>
              <w:numPr>
                <w:ilvl w:val="0"/>
                <w:numId w:val="27"/>
              </w:numPr>
              <w:spacing w:before="40" w:after="120"/>
              <w:ind w:right="57"/>
              <w:rPr>
                <w:szCs w:val="22"/>
              </w:rPr>
            </w:pPr>
            <w:r>
              <w:rPr>
                <w:szCs w:val="22"/>
              </w:rPr>
              <w:t>included specific options to improve dedicated staffing, and travel to support better member engagement</w:t>
            </w:r>
          </w:p>
          <w:p w14:paraId="37F6ADBC" w14:textId="77777777" w:rsidR="003F42DF" w:rsidRDefault="00692BA6" w:rsidP="007E23BA">
            <w:pPr>
              <w:pStyle w:val="ListParagraph"/>
              <w:numPr>
                <w:ilvl w:val="0"/>
                <w:numId w:val="27"/>
              </w:numPr>
              <w:spacing w:before="40" w:after="120"/>
              <w:ind w:right="57"/>
              <w:rPr>
                <w:szCs w:val="22"/>
              </w:rPr>
            </w:pPr>
            <w:r>
              <w:rPr>
                <w:rFonts w:ascii="Arial" w:eastAsia="Arial" w:hAnsi="Arial" w:cs="Arial"/>
                <w:color w:val="auto"/>
              </w:rPr>
              <w:t xml:space="preserve">demonstrated </w:t>
            </w:r>
            <w:r w:rsidR="003F42DF">
              <w:rPr>
                <w:szCs w:val="22"/>
              </w:rPr>
              <w:t>existing constraints on products and time dedicated to specific tasks, such as educational materials, or holding events and workshops</w:t>
            </w:r>
          </w:p>
          <w:p w14:paraId="0D73C66A" w14:textId="77777777" w:rsidR="003F42DF" w:rsidRPr="003F42DF" w:rsidRDefault="00692BA6" w:rsidP="007E23BA">
            <w:pPr>
              <w:pStyle w:val="ListParagraph"/>
              <w:numPr>
                <w:ilvl w:val="0"/>
                <w:numId w:val="27"/>
              </w:numPr>
              <w:spacing w:before="40" w:after="120"/>
              <w:ind w:right="57"/>
              <w:rPr>
                <w:szCs w:val="22"/>
              </w:rPr>
            </w:pPr>
            <w:r>
              <w:rPr>
                <w:szCs w:val="22"/>
              </w:rPr>
              <w:t xml:space="preserve">noted </w:t>
            </w:r>
            <w:r w:rsidR="003F42DF">
              <w:rPr>
                <w:szCs w:val="22"/>
              </w:rPr>
              <w:t>the breadth of the government’s current workplace relations agenda and how this is impacting their current operations</w:t>
            </w:r>
            <w:r w:rsidR="00E700CD">
              <w:rPr>
                <w:szCs w:val="22"/>
              </w:rPr>
              <w:t>.</w:t>
            </w:r>
            <w:r w:rsidR="003F42DF">
              <w:rPr>
                <w:szCs w:val="22"/>
              </w:rPr>
              <w:t xml:space="preserve"> </w:t>
            </w:r>
          </w:p>
        </w:tc>
      </w:tr>
    </w:tbl>
    <w:p w14:paraId="74E4166F" w14:textId="77777777" w:rsidR="00F9284B" w:rsidRDefault="00F9284B" w:rsidP="00F9284B">
      <w:pPr>
        <w:spacing w:line="240" w:lineRule="auto"/>
      </w:pPr>
    </w:p>
    <w:p w14:paraId="6D3D8C5E" w14:textId="2C73BF08" w:rsidR="00A06EFF" w:rsidRPr="00A06EFF" w:rsidRDefault="00F85F98" w:rsidP="007E23BA">
      <w:pPr>
        <w:pStyle w:val="Heading2"/>
        <w:spacing w:before="40" w:line="280" w:lineRule="atLeast"/>
        <w:rPr>
          <w:sz w:val="22"/>
          <w:szCs w:val="22"/>
        </w:rPr>
      </w:pPr>
      <w:r w:rsidRPr="00A06EFF">
        <w:rPr>
          <w:sz w:val="22"/>
          <w:szCs w:val="22"/>
        </w:rPr>
        <w:lastRenderedPageBreak/>
        <w:t>Criterion 3</w:t>
      </w:r>
      <w:r w:rsidR="00A06EFF" w:rsidRPr="00A06EFF">
        <w:rPr>
          <w:sz w:val="22"/>
          <w:szCs w:val="22"/>
        </w:rPr>
        <w:t xml:space="preserve"> Capacity to deliver activities to support productivity, education and training for their members</w:t>
      </w:r>
    </w:p>
    <w:p w14:paraId="6D3EEFA7" w14:textId="77777777" w:rsidR="00A06EFF" w:rsidRPr="00F9284B" w:rsidRDefault="00A06EFF" w:rsidP="007E23BA">
      <w:pPr>
        <w:spacing w:before="40" w:after="120"/>
        <w:rPr>
          <w:rFonts w:ascii="Arial" w:hAnsi="Arial" w:cs="Arial"/>
          <w:color w:val="auto"/>
          <w:szCs w:val="22"/>
        </w:rPr>
      </w:pPr>
      <w:r w:rsidRPr="00F9284B">
        <w:rPr>
          <w:rFonts w:cs="Arial"/>
          <w:szCs w:val="22"/>
          <w:lang w:val="en-GB"/>
        </w:rPr>
        <w:t xml:space="preserve">When addressing </w:t>
      </w:r>
      <w:r w:rsidR="00692BA6">
        <w:rPr>
          <w:rFonts w:cs="Arial"/>
          <w:szCs w:val="22"/>
          <w:lang w:val="en-GB"/>
        </w:rPr>
        <w:t xml:space="preserve">the criterion, strong </w:t>
      </w:r>
      <w:r w:rsidR="009A4C0C">
        <w:t>applications</w:t>
      </w:r>
      <w:r w:rsidRPr="00F9284B">
        <w:rPr>
          <w:rFonts w:cs="Arial"/>
          <w:szCs w:val="22"/>
        </w:rPr>
        <w:t>:</w:t>
      </w:r>
    </w:p>
    <w:p w14:paraId="227CBD1A" w14:textId="6F745644" w:rsidR="00A06EFF" w:rsidRPr="00F9284B" w:rsidRDefault="009A4C0C">
      <w:pPr>
        <w:pStyle w:val="ListBullet"/>
        <w:numPr>
          <w:ilvl w:val="1"/>
          <w:numId w:val="19"/>
        </w:numPr>
        <w:spacing w:after="120"/>
        <w:rPr>
          <w:rFonts w:cs="Arial"/>
          <w:sz w:val="22"/>
          <w:szCs w:val="22"/>
        </w:rPr>
      </w:pPr>
      <w:r>
        <w:rPr>
          <w:rFonts w:cs="Arial"/>
          <w:sz w:val="22"/>
          <w:szCs w:val="22"/>
        </w:rPr>
        <w:t>i</w:t>
      </w:r>
      <w:r w:rsidR="00A06EFF" w:rsidRPr="00F9284B">
        <w:rPr>
          <w:rFonts w:cs="Arial"/>
          <w:sz w:val="22"/>
          <w:szCs w:val="22"/>
        </w:rPr>
        <w:t>ndicate</w:t>
      </w:r>
      <w:r w:rsidR="00692BA6">
        <w:rPr>
          <w:rFonts w:cs="Arial"/>
          <w:sz w:val="22"/>
          <w:szCs w:val="22"/>
        </w:rPr>
        <w:t>d areas where activities would</w:t>
      </w:r>
      <w:r w:rsidR="00A06EFF" w:rsidRPr="00F9284B">
        <w:rPr>
          <w:rFonts w:cs="Arial"/>
          <w:sz w:val="22"/>
          <w:szCs w:val="22"/>
        </w:rPr>
        <w:t xml:space="preserve"> address the needs of their members, including assisting them to implement</w:t>
      </w:r>
      <w:r w:rsidR="00EB715A">
        <w:rPr>
          <w:rFonts w:cs="Arial"/>
          <w:sz w:val="22"/>
          <w:szCs w:val="22"/>
        </w:rPr>
        <w:t xml:space="preserve"> current and new workplace laws</w:t>
      </w:r>
    </w:p>
    <w:p w14:paraId="266F436C" w14:textId="73BCAA29" w:rsidR="00A06EFF" w:rsidRPr="00F9284B" w:rsidRDefault="009A4C0C">
      <w:pPr>
        <w:pStyle w:val="ListBullet"/>
        <w:numPr>
          <w:ilvl w:val="1"/>
          <w:numId w:val="19"/>
        </w:numPr>
        <w:spacing w:after="120"/>
        <w:rPr>
          <w:rFonts w:cs="Arial"/>
          <w:sz w:val="22"/>
          <w:szCs w:val="22"/>
        </w:rPr>
      </w:pPr>
      <w:r>
        <w:rPr>
          <w:rFonts w:cs="Arial"/>
          <w:sz w:val="22"/>
          <w:szCs w:val="22"/>
        </w:rPr>
        <w:t>d</w:t>
      </w:r>
      <w:r w:rsidR="00A06EFF" w:rsidRPr="00F9284B">
        <w:rPr>
          <w:rFonts w:cs="Arial"/>
          <w:sz w:val="22"/>
          <w:szCs w:val="22"/>
        </w:rPr>
        <w:t>emonstrate</w:t>
      </w:r>
      <w:r w:rsidR="00692BA6">
        <w:rPr>
          <w:rFonts w:cs="Arial"/>
          <w:sz w:val="22"/>
          <w:szCs w:val="22"/>
        </w:rPr>
        <w:t>d</w:t>
      </w:r>
      <w:r w:rsidR="00A06EFF" w:rsidRPr="00F9284B">
        <w:rPr>
          <w:rFonts w:cs="Arial"/>
          <w:sz w:val="22"/>
          <w:szCs w:val="22"/>
        </w:rPr>
        <w:t xml:space="preserve"> experience in the development and delivery of productivity, ed</w:t>
      </w:r>
      <w:r w:rsidR="00EB715A">
        <w:rPr>
          <w:rFonts w:cs="Arial"/>
          <w:sz w:val="22"/>
          <w:szCs w:val="22"/>
        </w:rPr>
        <w:t>ucation and training activities</w:t>
      </w:r>
    </w:p>
    <w:p w14:paraId="157A49D3" w14:textId="77777777" w:rsidR="00F85F98" w:rsidRPr="00692BA6" w:rsidRDefault="009A4C0C">
      <w:pPr>
        <w:pStyle w:val="ListBullet"/>
        <w:numPr>
          <w:ilvl w:val="1"/>
          <w:numId w:val="19"/>
        </w:numPr>
        <w:spacing w:after="120"/>
        <w:rPr>
          <w:rFonts w:cs="Arial"/>
          <w:sz w:val="22"/>
          <w:szCs w:val="22"/>
        </w:rPr>
      </w:pPr>
      <w:r>
        <w:rPr>
          <w:rFonts w:cs="Arial"/>
          <w:sz w:val="22"/>
          <w:szCs w:val="22"/>
        </w:rPr>
        <w:t>o</w:t>
      </w:r>
      <w:r w:rsidR="00A06EFF" w:rsidRPr="00F9284B">
        <w:rPr>
          <w:rFonts w:cs="Arial"/>
          <w:sz w:val="22"/>
          <w:szCs w:val="22"/>
        </w:rPr>
        <w:t>utline</w:t>
      </w:r>
      <w:r w:rsidR="00692BA6">
        <w:rPr>
          <w:rFonts w:cs="Arial"/>
          <w:sz w:val="22"/>
          <w:szCs w:val="22"/>
        </w:rPr>
        <w:t>d</w:t>
      </w:r>
      <w:r w:rsidR="00A06EFF" w:rsidRPr="00F9284B">
        <w:rPr>
          <w:rFonts w:cs="Arial"/>
          <w:sz w:val="22"/>
          <w:szCs w:val="22"/>
        </w:rPr>
        <w:t xml:space="preserve"> access to personnel with the right expertise and experience, including management and technical staff.</w:t>
      </w:r>
    </w:p>
    <w:tbl>
      <w:tblPr>
        <w:tblStyle w:val="CGHTableBanded"/>
        <w:tblW w:w="0" w:type="auto"/>
        <w:tblLook w:val="04A0" w:firstRow="1" w:lastRow="0" w:firstColumn="1" w:lastColumn="0" w:noHBand="0" w:noVBand="1"/>
        <w:tblCaption w:val="Criterion 3 Capacity to deliver activities to support productivity, education and training for their members"/>
      </w:tblPr>
      <w:tblGrid>
        <w:gridCol w:w="4817"/>
        <w:gridCol w:w="4821"/>
      </w:tblGrid>
      <w:tr w:rsidR="00F85F98" w14:paraId="1CBFE7C1" w14:textId="77777777" w:rsidTr="00EF7C8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F6ED0FD" w14:textId="77777777" w:rsidR="00F85F98" w:rsidRPr="00454EB4" w:rsidRDefault="00F85F98" w:rsidP="007E23BA">
            <w:pPr>
              <w:spacing w:before="40" w:after="120"/>
              <w:ind w:left="57" w:right="57"/>
              <w:rPr>
                <w:b/>
              </w:rPr>
            </w:pPr>
            <w:r w:rsidRPr="00454EB4">
              <w:rPr>
                <w:b/>
              </w:rPr>
              <w:t>Strength</w:t>
            </w:r>
          </w:p>
        </w:tc>
        <w:tc>
          <w:tcPr>
            <w:tcW w:w="4821" w:type="dxa"/>
            <w:vAlign w:val="center"/>
          </w:tcPr>
          <w:p w14:paraId="29542944" w14:textId="77777777" w:rsidR="00F85F98" w:rsidRPr="00454EB4" w:rsidRDefault="00F85F98" w:rsidP="007E23BA">
            <w:pPr>
              <w:spacing w:before="40" w:after="120"/>
              <w:ind w:left="57" w:right="57"/>
              <w:rPr>
                <w:b/>
              </w:rPr>
            </w:pPr>
            <w:r w:rsidRPr="00454EB4">
              <w:rPr>
                <w:b/>
              </w:rPr>
              <w:t>Example</w:t>
            </w:r>
          </w:p>
        </w:tc>
      </w:tr>
      <w:tr w:rsidR="00F85F98" w14:paraId="20E59E7F"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92A869F" w14:textId="77777777" w:rsidR="00F85F98" w:rsidRPr="00563F88" w:rsidRDefault="00EE3BA6" w:rsidP="007E23BA">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00E84B40">
              <w:t xml:space="preserve"> </w:t>
            </w:r>
            <w:r w:rsidR="00692BA6">
              <w:t>where activities would</w:t>
            </w:r>
            <w:r w:rsidR="00E84B40" w:rsidRPr="00E84B40">
              <w:t xml:space="preserve"> address the needs of their members, including assisting them to implement current and new workplace laws</w:t>
            </w:r>
            <w:r w:rsidR="00E84B40">
              <w:t>.</w:t>
            </w:r>
            <w:r w:rsidR="00F85F98" w:rsidRPr="00563F88">
              <w:rPr>
                <w:rFonts w:ascii="Arial" w:eastAsia="Arial" w:hAnsi="Arial" w:cs="Arial"/>
                <w:color w:val="auto"/>
                <w:szCs w:val="22"/>
              </w:rPr>
              <w:t xml:space="preserve"> </w:t>
            </w:r>
          </w:p>
        </w:tc>
        <w:tc>
          <w:tcPr>
            <w:tcW w:w="4821" w:type="dxa"/>
          </w:tcPr>
          <w:p w14:paraId="3F7B3B62"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0F5DE3">
              <w:t xml:space="preserve"> demonstrated</w:t>
            </w:r>
            <w:r w:rsidR="00F85F98">
              <w:rPr>
                <w:rFonts w:ascii="Arial" w:eastAsia="Arial" w:hAnsi="Arial" w:cs="Arial"/>
                <w:color w:val="auto"/>
              </w:rPr>
              <w:t>:</w:t>
            </w:r>
          </w:p>
          <w:p w14:paraId="75A1EC39" w14:textId="5D776FE6" w:rsidR="000F69E9" w:rsidRDefault="000F69E9" w:rsidP="007E23BA">
            <w:pPr>
              <w:pStyle w:val="ListParagraph"/>
              <w:numPr>
                <w:ilvl w:val="0"/>
                <w:numId w:val="28"/>
              </w:numPr>
              <w:spacing w:before="40" w:after="120"/>
              <w:ind w:right="57"/>
              <w:rPr>
                <w:rFonts w:ascii="Arial" w:eastAsia="Arial" w:hAnsi="Arial" w:cs="Arial"/>
                <w:color w:val="auto"/>
              </w:rPr>
            </w:pPr>
            <w:r>
              <w:rPr>
                <w:rFonts w:ascii="Arial" w:eastAsia="Arial" w:hAnsi="Arial" w:cs="Arial"/>
                <w:color w:val="auto"/>
              </w:rPr>
              <w:t>the organisation had considered what support members need</w:t>
            </w:r>
          </w:p>
          <w:p w14:paraId="5FF04DCD" w14:textId="66FF2F54" w:rsidR="00F85F98" w:rsidRPr="001E7168" w:rsidRDefault="000F69E9" w:rsidP="007E23BA">
            <w:pPr>
              <w:pStyle w:val="ListParagraph"/>
              <w:numPr>
                <w:ilvl w:val="0"/>
                <w:numId w:val="28"/>
              </w:numPr>
              <w:spacing w:before="40" w:after="120"/>
              <w:ind w:right="57"/>
              <w:rPr>
                <w:rFonts w:ascii="Arial" w:eastAsia="Arial" w:hAnsi="Arial" w:cs="Arial"/>
                <w:color w:val="auto"/>
              </w:rPr>
            </w:pPr>
            <w:r>
              <w:rPr>
                <w:rFonts w:ascii="Arial" w:eastAsia="Arial" w:hAnsi="Arial" w:cs="Arial"/>
                <w:color w:val="auto"/>
              </w:rPr>
              <w:t>options to increase and deepen member engagement</w:t>
            </w:r>
            <w:r w:rsidR="00E700CD">
              <w:rPr>
                <w:rFonts w:ascii="Arial" w:eastAsia="Arial" w:hAnsi="Arial" w:cs="Arial"/>
                <w:color w:val="auto"/>
              </w:rPr>
              <w:t>.</w:t>
            </w:r>
          </w:p>
        </w:tc>
      </w:tr>
      <w:tr w:rsidR="00F85F98" w14:paraId="2EBFA812" w14:textId="77777777" w:rsidTr="00DF5C88">
        <w:tc>
          <w:tcPr>
            <w:tcW w:w="4817" w:type="dxa"/>
            <w:vAlign w:val="center"/>
          </w:tcPr>
          <w:p w14:paraId="23FE2CA1"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demonstrate</w:t>
            </w:r>
            <w:r w:rsidR="00E84B40">
              <w:t xml:space="preserve"> </w:t>
            </w:r>
            <w:r w:rsidR="00E84B40" w:rsidRPr="00E84B40">
              <w:t>experience in the development and delivery of productivity, education and training activities</w:t>
            </w:r>
            <w:r w:rsidR="00E84B40">
              <w:t>.</w:t>
            </w:r>
            <w:r w:rsidR="00F85F98" w:rsidRPr="00563F88">
              <w:rPr>
                <w:rFonts w:ascii="Arial" w:eastAsia="Arial" w:hAnsi="Arial" w:cs="Arial"/>
                <w:color w:val="auto"/>
                <w:szCs w:val="22"/>
              </w:rPr>
              <w:t xml:space="preserve"> </w:t>
            </w:r>
          </w:p>
        </w:tc>
        <w:tc>
          <w:tcPr>
            <w:tcW w:w="4821" w:type="dxa"/>
          </w:tcPr>
          <w:p w14:paraId="6902E2B2" w14:textId="77777777" w:rsidR="00F85F98" w:rsidRPr="00454EB4" w:rsidRDefault="002E0AA1" w:rsidP="007E23BA">
            <w:pPr>
              <w:spacing w:before="40" w:after="120"/>
              <w:ind w:left="113" w:right="57"/>
              <w:rPr>
                <w:szCs w:val="22"/>
              </w:rPr>
            </w:pPr>
            <w:r>
              <w:rPr>
                <w:rFonts w:ascii="Arial" w:eastAsia="Arial" w:hAnsi="Arial" w:cs="Arial"/>
                <w:color w:val="auto"/>
              </w:rPr>
              <w:t xml:space="preserve">Strong </w:t>
            </w:r>
            <w:r w:rsidR="009A4C0C">
              <w:t>applications</w:t>
            </w:r>
            <w:r>
              <w:rPr>
                <w:rFonts w:ascii="Arial" w:eastAsia="Arial" w:hAnsi="Arial" w:cs="Arial"/>
                <w:color w:val="auto"/>
              </w:rPr>
              <w:t xml:space="preserve"> demonstrated</w:t>
            </w:r>
            <w:r w:rsidR="000F69E9">
              <w:rPr>
                <w:rFonts w:ascii="Arial" w:eastAsia="Arial" w:hAnsi="Arial" w:cs="Arial"/>
                <w:color w:val="auto"/>
              </w:rPr>
              <w:t xml:space="preserve"> specific examples of their organisation’s experience in delivering education and training products </w:t>
            </w:r>
            <w:r w:rsidR="00692BA6">
              <w:rPr>
                <w:rFonts w:ascii="Arial" w:eastAsia="Arial" w:hAnsi="Arial" w:cs="Arial"/>
                <w:color w:val="auto"/>
              </w:rPr>
              <w:t xml:space="preserve">which </w:t>
            </w:r>
            <w:r w:rsidR="000F69E9">
              <w:rPr>
                <w:rFonts w:ascii="Arial" w:eastAsia="Arial" w:hAnsi="Arial" w:cs="Arial"/>
                <w:color w:val="auto"/>
              </w:rPr>
              <w:t>are fit for purpose to members.</w:t>
            </w:r>
          </w:p>
        </w:tc>
      </w:tr>
      <w:tr w:rsidR="00F85F98" w14:paraId="47A8ADFB"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99F997A"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C255FD" w:rsidRPr="00C255FD">
              <w:rPr>
                <w:rFonts w:ascii="Arial" w:eastAsia="Arial" w:hAnsi="Arial" w:cs="Arial"/>
                <w:color w:val="auto"/>
                <w:szCs w:val="22"/>
              </w:rPr>
              <w:t>access to personnel with the right expertise and experience, including management and technical staff</w:t>
            </w:r>
            <w:r w:rsidR="00C255FD">
              <w:rPr>
                <w:rFonts w:ascii="Arial" w:eastAsia="Arial" w:hAnsi="Arial" w:cs="Arial"/>
                <w:color w:val="auto"/>
                <w:szCs w:val="22"/>
              </w:rPr>
              <w:t>.</w:t>
            </w:r>
          </w:p>
        </w:tc>
        <w:tc>
          <w:tcPr>
            <w:tcW w:w="4821" w:type="dxa"/>
          </w:tcPr>
          <w:p w14:paraId="4ACF961E"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F85F98">
              <w:rPr>
                <w:rFonts w:ascii="Arial" w:eastAsia="Arial" w:hAnsi="Arial" w:cs="Arial"/>
                <w:color w:val="auto"/>
              </w:rPr>
              <w:t>:</w:t>
            </w:r>
          </w:p>
          <w:p w14:paraId="18BECA9A" w14:textId="77777777" w:rsidR="00492A86" w:rsidRPr="00202861" w:rsidRDefault="00692BA6" w:rsidP="007E23BA">
            <w:pPr>
              <w:pStyle w:val="ListParagraph"/>
              <w:numPr>
                <w:ilvl w:val="0"/>
                <w:numId w:val="30"/>
              </w:numPr>
              <w:spacing w:before="40" w:after="120"/>
              <w:ind w:right="57"/>
              <w:rPr>
                <w:szCs w:val="22"/>
              </w:rPr>
            </w:pPr>
            <w:r>
              <w:rPr>
                <w:rFonts w:ascii="Arial" w:eastAsia="Arial" w:hAnsi="Arial" w:cs="Arial"/>
                <w:color w:val="auto"/>
              </w:rPr>
              <w:t xml:space="preserve">described the </w:t>
            </w:r>
            <w:r w:rsidR="000F69E9">
              <w:rPr>
                <w:rFonts w:ascii="Arial" w:eastAsia="Arial" w:hAnsi="Arial" w:cs="Arial"/>
                <w:color w:val="auto"/>
              </w:rPr>
              <w:t>size o</w:t>
            </w:r>
            <w:r w:rsidR="00492A86">
              <w:rPr>
                <w:rFonts w:ascii="Arial" w:eastAsia="Arial" w:hAnsi="Arial" w:cs="Arial"/>
                <w:color w:val="auto"/>
              </w:rPr>
              <w:t>f</w:t>
            </w:r>
            <w:r w:rsidR="000F69E9">
              <w:rPr>
                <w:rFonts w:ascii="Arial" w:eastAsia="Arial" w:hAnsi="Arial" w:cs="Arial"/>
                <w:color w:val="auto"/>
              </w:rPr>
              <w:t xml:space="preserve"> current teams dedicated to workplace relations</w:t>
            </w:r>
          </w:p>
          <w:p w14:paraId="6A6F3748" w14:textId="04D83CCA" w:rsidR="00F85F98" w:rsidRPr="000F69E9" w:rsidRDefault="00492A86" w:rsidP="007E23BA">
            <w:pPr>
              <w:pStyle w:val="ListParagraph"/>
              <w:numPr>
                <w:ilvl w:val="0"/>
                <w:numId w:val="30"/>
              </w:numPr>
              <w:spacing w:before="40" w:after="120"/>
              <w:ind w:right="57"/>
              <w:rPr>
                <w:szCs w:val="22"/>
              </w:rPr>
            </w:pPr>
            <w:r>
              <w:rPr>
                <w:rFonts w:ascii="Arial" w:eastAsia="Arial" w:hAnsi="Arial" w:cs="Arial"/>
                <w:color w:val="auto"/>
              </w:rPr>
              <w:t>provided information of types of available experience, including lawyers, educators, managers, event management, policy development and stakeholder engagement and commu</w:t>
            </w:r>
            <w:r w:rsidR="00EB715A">
              <w:rPr>
                <w:rFonts w:ascii="Arial" w:eastAsia="Arial" w:hAnsi="Arial" w:cs="Arial"/>
                <w:color w:val="auto"/>
              </w:rPr>
              <w:t>nications staff</w:t>
            </w:r>
            <w:r w:rsidR="00E700CD">
              <w:rPr>
                <w:rFonts w:ascii="Arial" w:eastAsia="Arial" w:hAnsi="Arial" w:cs="Arial"/>
                <w:color w:val="auto"/>
              </w:rPr>
              <w:t>.</w:t>
            </w:r>
          </w:p>
        </w:tc>
      </w:tr>
    </w:tbl>
    <w:p w14:paraId="2D275472" w14:textId="77777777" w:rsidR="001E7168" w:rsidRDefault="001E7168" w:rsidP="00A06EFF">
      <w:pPr>
        <w:pStyle w:val="Heading2"/>
      </w:pPr>
    </w:p>
    <w:p w14:paraId="58DF6038" w14:textId="77777777" w:rsidR="00A06EFF" w:rsidRPr="00A06EFF" w:rsidRDefault="00FA1F45" w:rsidP="007E23BA">
      <w:pPr>
        <w:pStyle w:val="Heading2"/>
        <w:spacing w:before="40" w:line="280" w:lineRule="atLeast"/>
        <w:rPr>
          <w:sz w:val="22"/>
          <w:szCs w:val="22"/>
        </w:rPr>
      </w:pPr>
      <w:r w:rsidRPr="001E7168">
        <w:br w:type="column"/>
      </w:r>
      <w:r w:rsidR="00F85F98" w:rsidRPr="00A06EFF">
        <w:rPr>
          <w:sz w:val="22"/>
          <w:szCs w:val="22"/>
        </w:rPr>
        <w:lastRenderedPageBreak/>
        <w:t>Criterion 4</w:t>
      </w:r>
      <w:r w:rsidR="00A06EFF" w:rsidRPr="00A06EFF">
        <w:rPr>
          <w:sz w:val="22"/>
          <w:szCs w:val="22"/>
        </w:rPr>
        <w:t xml:space="preserve"> Alignment with eligible expenditure</w:t>
      </w:r>
    </w:p>
    <w:p w14:paraId="0C7B3723" w14:textId="77777777" w:rsidR="00A06EFF" w:rsidRPr="00F9284B" w:rsidRDefault="00A06EFF" w:rsidP="007E23BA">
      <w:pPr>
        <w:spacing w:before="40" w:after="120"/>
        <w:rPr>
          <w:rFonts w:ascii="Arial" w:hAnsi="Arial" w:cs="Arial"/>
          <w:color w:val="auto"/>
          <w:szCs w:val="22"/>
        </w:rPr>
      </w:pPr>
      <w:r w:rsidRPr="00F9284B">
        <w:rPr>
          <w:rFonts w:cs="Arial"/>
          <w:szCs w:val="22"/>
          <w:lang w:val="en-GB"/>
        </w:rPr>
        <w:t xml:space="preserve">When addressing the criterion, strong </w:t>
      </w:r>
      <w:r w:rsidR="009A4C0C">
        <w:t>applications</w:t>
      </w:r>
      <w:r w:rsidRPr="00F9284B">
        <w:rPr>
          <w:rFonts w:cs="Arial"/>
          <w:szCs w:val="22"/>
        </w:rPr>
        <w:t>:</w:t>
      </w:r>
    </w:p>
    <w:p w14:paraId="6DFEF7AE" w14:textId="014602A6" w:rsidR="00A06EFF" w:rsidRPr="00F9284B" w:rsidRDefault="009A4C0C">
      <w:pPr>
        <w:pStyle w:val="ListBullet"/>
        <w:numPr>
          <w:ilvl w:val="1"/>
          <w:numId w:val="20"/>
        </w:numPr>
        <w:spacing w:after="120"/>
        <w:rPr>
          <w:rFonts w:cs="Arial"/>
          <w:sz w:val="22"/>
          <w:szCs w:val="22"/>
        </w:rPr>
      </w:pPr>
      <w:r>
        <w:rPr>
          <w:rFonts w:cs="Arial"/>
          <w:sz w:val="22"/>
          <w:szCs w:val="22"/>
        </w:rPr>
        <w:t>o</w:t>
      </w:r>
      <w:r w:rsidR="00A06EFF" w:rsidRPr="00F9284B">
        <w:rPr>
          <w:rFonts w:cs="Arial"/>
          <w:sz w:val="22"/>
          <w:szCs w:val="22"/>
        </w:rPr>
        <w:t>utline</w:t>
      </w:r>
      <w:r w:rsidR="00692BA6">
        <w:rPr>
          <w:rFonts w:cs="Arial"/>
          <w:sz w:val="22"/>
          <w:szCs w:val="22"/>
        </w:rPr>
        <w:t>d</w:t>
      </w:r>
      <w:r w:rsidR="00A06EFF" w:rsidRPr="00F9284B">
        <w:rPr>
          <w:rFonts w:cs="Arial"/>
          <w:sz w:val="22"/>
          <w:szCs w:val="22"/>
        </w:rPr>
        <w:t xml:space="preserve"> proposed grant activities and demonstrate an alignment with eligible expenditure as detailed above in section </w:t>
      </w:r>
      <w:r w:rsidR="00A06EFF" w:rsidRPr="00F9284B">
        <w:rPr>
          <w:rFonts w:cs="Arial"/>
          <w:bCs/>
          <w:sz w:val="22"/>
          <w:szCs w:val="22"/>
        </w:rPr>
        <w:t xml:space="preserve">5.2 Eligible </w:t>
      </w:r>
      <w:r w:rsidR="002773DF">
        <w:rPr>
          <w:rFonts w:cs="Arial"/>
          <w:bCs/>
          <w:sz w:val="22"/>
          <w:szCs w:val="22"/>
        </w:rPr>
        <w:t>e</w:t>
      </w:r>
      <w:r w:rsidR="002773DF" w:rsidRPr="00F9284B">
        <w:rPr>
          <w:rFonts w:cs="Arial"/>
          <w:bCs/>
          <w:sz w:val="22"/>
          <w:szCs w:val="22"/>
        </w:rPr>
        <w:t>xpenditure</w:t>
      </w:r>
    </w:p>
    <w:p w14:paraId="6970B05D" w14:textId="3A4E153C" w:rsidR="00A06EFF" w:rsidRPr="00F9284B" w:rsidRDefault="009A4C0C">
      <w:pPr>
        <w:pStyle w:val="ListBullet"/>
        <w:numPr>
          <w:ilvl w:val="1"/>
          <w:numId w:val="20"/>
        </w:numPr>
        <w:spacing w:after="120"/>
        <w:rPr>
          <w:rFonts w:cs="Arial"/>
          <w:sz w:val="22"/>
          <w:szCs w:val="22"/>
        </w:rPr>
      </w:pPr>
      <w:r>
        <w:rPr>
          <w:rFonts w:cs="Arial"/>
          <w:sz w:val="22"/>
          <w:szCs w:val="22"/>
        </w:rPr>
        <w:t>o</w:t>
      </w:r>
      <w:r w:rsidR="00A06EFF" w:rsidRPr="00F9284B">
        <w:rPr>
          <w:rFonts w:cs="Arial"/>
          <w:sz w:val="22"/>
          <w:szCs w:val="22"/>
        </w:rPr>
        <w:t>utline</w:t>
      </w:r>
      <w:r w:rsidR="00692BA6">
        <w:rPr>
          <w:rFonts w:cs="Arial"/>
          <w:sz w:val="22"/>
          <w:szCs w:val="22"/>
        </w:rPr>
        <w:t>d</w:t>
      </w:r>
      <w:r w:rsidR="00A06EFF" w:rsidRPr="00F9284B">
        <w:rPr>
          <w:rFonts w:cs="Arial"/>
          <w:sz w:val="22"/>
          <w:szCs w:val="22"/>
        </w:rPr>
        <w:t xml:space="preserve"> a proposed approach to engaging with eligible expenditure items, including recruitment processes, approach to communications strategies, and format and frequency of engagement with members and affiliated networks</w:t>
      </w:r>
    </w:p>
    <w:p w14:paraId="232ADE31" w14:textId="77777777" w:rsidR="00EB715A" w:rsidRPr="009A4C0C" w:rsidRDefault="009A4C0C">
      <w:pPr>
        <w:pStyle w:val="ListBullet"/>
        <w:numPr>
          <w:ilvl w:val="1"/>
          <w:numId w:val="20"/>
        </w:numPr>
        <w:spacing w:after="120"/>
        <w:rPr>
          <w:rFonts w:cs="Arial"/>
          <w:sz w:val="22"/>
          <w:szCs w:val="22"/>
        </w:rPr>
      </w:pPr>
      <w:r>
        <w:rPr>
          <w:rFonts w:cs="Arial"/>
          <w:sz w:val="22"/>
          <w:szCs w:val="22"/>
        </w:rPr>
        <w:t>i</w:t>
      </w:r>
      <w:r w:rsidR="00A06EFF" w:rsidRPr="00F9284B">
        <w:rPr>
          <w:rFonts w:cs="Arial"/>
          <w:sz w:val="22"/>
          <w:szCs w:val="22"/>
        </w:rPr>
        <w:t>ndicate</w:t>
      </w:r>
      <w:r w:rsidR="00692BA6">
        <w:rPr>
          <w:rFonts w:cs="Arial"/>
          <w:sz w:val="22"/>
          <w:szCs w:val="22"/>
        </w:rPr>
        <w:t>d</w:t>
      </w:r>
      <w:r w:rsidR="00A06EFF" w:rsidRPr="00F9284B">
        <w:rPr>
          <w:rFonts w:cs="Arial"/>
          <w:sz w:val="22"/>
          <w:szCs w:val="22"/>
        </w:rPr>
        <w:t xml:space="preserve"> whether grant activities which align with eligible expenditure could be improved through additional contributions via existing resources within their organisation.</w:t>
      </w:r>
    </w:p>
    <w:tbl>
      <w:tblPr>
        <w:tblStyle w:val="CGHTableBanded"/>
        <w:tblW w:w="0" w:type="auto"/>
        <w:tblLook w:val="04A0" w:firstRow="1" w:lastRow="0" w:firstColumn="1" w:lastColumn="0" w:noHBand="0" w:noVBand="1"/>
        <w:tblCaption w:val="Criterion 4 Alignment with eligible expenditure"/>
      </w:tblPr>
      <w:tblGrid>
        <w:gridCol w:w="4817"/>
        <w:gridCol w:w="4821"/>
      </w:tblGrid>
      <w:tr w:rsidR="00F85F98" w14:paraId="2F60BEAD" w14:textId="77777777" w:rsidTr="00EF7C86">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E9AC1B0" w14:textId="77777777" w:rsidR="00F85F98" w:rsidRPr="00454EB4" w:rsidRDefault="00F85F98" w:rsidP="007E23BA">
            <w:pPr>
              <w:spacing w:before="40" w:after="120"/>
              <w:ind w:left="57" w:right="57"/>
              <w:rPr>
                <w:b/>
              </w:rPr>
            </w:pPr>
            <w:r w:rsidRPr="00454EB4">
              <w:rPr>
                <w:b/>
              </w:rPr>
              <w:t>Strength</w:t>
            </w:r>
          </w:p>
        </w:tc>
        <w:tc>
          <w:tcPr>
            <w:tcW w:w="4821" w:type="dxa"/>
            <w:vAlign w:val="center"/>
          </w:tcPr>
          <w:p w14:paraId="52054624" w14:textId="77777777" w:rsidR="00F85F98" w:rsidRPr="00454EB4" w:rsidRDefault="00F85F98" w:rsidP="007E23BA">
            <w:pPr>
              <w:spacing w:before="40" w:after="120"/>
              <w:ind w:left="57" w:right="57"/>
              <w:rPr>
                <w:b/>
              </w:rPr>
            </w:pPr>
            <w:r w:rsidRPr="00454EB4">
              <w:rPr>
                <w:b/>
              </w:rPr>
              <w:t>Example</w:t>
            </w:r>
          </w:p>
        </w:tc>
      </w:tr>
      <w:tr w:rsidR="00F85F98" w14:paraId="617F743E"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D7FC665" w14:textId="2FD1E365" w:rsidR="00F85F98" w:rsidRPr="00563F88" w:rsidRDefault="00EE3BA6" w:rsidP="007E23BA">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C255FD" w:rsidRPr="00C255FD">
              <w:rPr>
                <w:rFonts w:ascii="Arial" w:eastAsia="Arial" w:hAnsi="Arial" w:cs="Arial"/>
                <w:color w:val="auto"/>
                <w:szCs w:val="22"/>
              </w:rPr>
              <w:t xml:space="preserve">proposed grant activities and demonstrate an alignment with eligible expenditure as detailed in section 5.2 Eligible </w:t>
            </w:r>
            <w:r w:rsidR="006D2CA1">
              <w:rPr>
                <w:rFonts w:ascii="Arial" w:eastAsia="Arial" w:hAnsi="Arial" w:cs="Arial"/>
                <w:color w:val="auto"/>
                <w:szCs w:val="22"/>
              </w:rPr>
              <w:t>e</w:t>
            </w:r>
            <w:r w:rsidR="006D2CA1" w:rsidRPr="00C255FD">
              <w:rPr>
                <w:rFonts w:ascii="Arial" w:eastAsia="Arial" w:hAnsi="Arial" w:cs="Arial"/>
                <w:color w:val="auto"/>
                <w:szCs w:val="22"/>
              </w:rPr>
              <w:t>xpenditure</w:t>
            </w:r>
            <w:r w:rsidR="00C255FD">
              <w:rPr>
                <w:rFonts w:ascii="Arial" w:eastAsia="Arial" w:hAnsi="Arial" w:cs="Arial"/>
                <w:color w:val="auto"/>
                <w:szCs w:val="22"/>
              </w:rPr>
              <w:t>.</w:t>
            </w:r>
            <w:r w:rsidR="00F85F98" w:rsidRPr="00563F88">
              <w:rPr>
                <w:rFonts w:ascii="Arial" w:eastAsia="Arial" w:hAnsi="Arial" w:cs="Arial"/>
                <w:color w:val="auto"/>
                <w:szCs w:val="22"/>
              </w:rPr>
              <w:t xml:space="preserve"> </w:t>
            </w:r>
          </w:p>
        </w:tc>
        <w:tc>
          <w:tcPr>
            <w:tcW w:w="4821" w:type="dxa"/>
          </w:tcPr>
          <w:p w14:paraId="19EAD87A" w14:textId="220D57CF" w:rsidR="00F85F98" w:rsidRPr="001C2A82"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Pr>
                <w:rFonts w:ascii="Arial" w:eastAsia="Arial" w:hAnsi="Arial" w:cs="Arial"/>
                <w:color w:val="auto"/>
              </w:rPr>
              <w:t xml:space="preserve"> demonstrated</w:t>
            </w:r>
            <w:r w:rsidR="002464A5">
              <w:rPr>
                <w:rFonts w:ascii="Arial" w:eastAsia="Arial" w:hAnsi="Arial" w:cs="Arial"/>
                <w:color w:val="auto"/>
              </w:rPr>
              <w:t xml:space="preserve"> activities are clearly identified as eligible expenditure items, such as employing dedicated </w:t>
            </w:r>
            <w:r w:rsidR="00363B00">
              <w:rPr>
                <w:rFonts w:ascii="Arial" w:eastAsia="Arial" w:hAnsi="Arial" w:cs="Arial"/>
                <w:color w:val="auto"/>
              </w:rPr>
              <w:t xml:space="preserve">workplace relations </w:t>
            </w:r>
            <w:r w:rsidR="002464A5">
              <w:rPr>
                <w:rFonts w:ascii="Arial" w:eastAsia="Arial" w:hAnsi="Arial" w:cs="Arial"/>
                <w:color w:val="auto"/>
              </w:rPr>
              <w:t>staff to work on policy development and production of educational materials for members.</w:t>
            </w:r>
          </w:p>
        </w:tc>
      </w:tr>
      <w:tr w:rsidR="00F85F98" w14:paraId="4C665230" w14:textId="77777777" w:rsidTr="00DF5C88">
        <w:tc>
          <w:tcPr>
            <w:tcW w:w="4817" w:type="dxa"/>
            <w:vAlign w:val="center"/>
          </w:tcPr>
          <w:p w14:paraId="719B6A01"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62403E">
              <w:rPr>
                <w:rFonts w:ascii="Arial" w:eastAsia="Arial" w:hAnsi="Arial" w:cs="Arial"/>
                <w:color w:val="auto"/>
                <w:szCs w:val="22"/>
              </w:rPr>
              <w:t xml:space="preserve">their </w:t>
            </w:r>
            <w:r w:rsidR="0062403E" w:rsidRPr="0062403E">
              <w:rPr>
                <w:rFonts w:ascii="Arial" w:eastAsia="Arial" w:hAnsi="Arial" w:cs="Arial"/>
                <w:color w:val="auto"/>
                <w:szCs w:val="22"/>
              </w:rPr>
              <w:t>proposed approach to engaging with eligible expenditure items, including recruitment processes, approach to communications strategies, and format and frequency of engagement with members and affiliated networks</w:t>
            </w:r>
            <w:r w:rsidR="0062403E">
              <w:rPr>
                <w:rFonts w:ascii="Arial" w:eastAsia="Arial" w:hAnsi="Arial" w:cs="Arial"/>
                <w:color w:val="auto"/>
                <w:szCs w:val="22"/>
              </w:rPr>
              <w:t>.</w:t>
            </w:r>
          </w:p>
        </w:tc>
        <w:tc>
          <w:tcPr>
            <w:tcW w:w="4821" w:type="dxa"/>
          </w:tcPr>
          <w:p w14:paraId="723E8F63"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0F5DE3">
              <w:t xml:space="preserve"> described</w:t>
            </w:r>
            <w:r w:rsidR="00F85F98">
              <w:rPr>
                <w:rFonts w:ascii="Arial" w:eastAsia="Arial" w:hAnsi="Arial" w:cs="Arial"/>
                <w:color w:val="auto"/>
              </w:rPr>
              <w:t>:</w:t>
            </w:r>
          </w:p>
          <w:p w14:paraId="650FBFE0" w14:textId="3756F226" w:rsidR="00BA69EE" w:rsidRPr="00202861" w:rsidRDefault="00BA69EE" w:rsidP="007E23BA">
            <w:pPr>
              <w:pStyle w:val="ListParagraph"/>
              <w:numPr>
                <w:ilvl w:val="0"/>
                <w:numId w:val="31"/>
              </w:numPr>
              <w:spacing w:before="40" w:after="120"/>
              <w:ind w:right="57"/>
              <w:rPr>
                <w:szCs w:val="22"/>
              </w:rPr>
            </w:pPr>
            <w:r>
              <w:rPr>
                <w:rFonts w:ascii="Arial" w:eastAsia="Arial" w:hAnsi="Arial" w:cs="Arial"/>
                <w:color w:val="auto"/>
              </w:rPr>
              <w:t>mature and well-developed recruitment practices to source additional expertise</w:t>
            </w:r>
          </w:p>
          <w:p w14:paraId="2840D868" w14:textId="1D94604B" w:rsidR="00F85F98" w:rsidRPr="00202861" w:rsidRDefault="00BA69EE" w:rsidP="007E23BA">
            <w:pPr>
              <w:pStyle w:val="ListParagraph"/>
              <w:numPr>
                <w:ilvl w:val="0"/>
                <w:numId w:val="31"/>
              </w:numPr>
              <w:spacing w:before="40" w:after="120"/>
              <w:ind w:right="57"/>
              <w:rPr>
                <w:szCs w:val="22"/>
              </w:rPr>
            </w:pPr>
            <w:r>
              <w:rPr>
                <w:rFonts w:ascii="Arial" w:eastAsia="Arial" w:hAnsi="Arial" w:cs="Arial"/>
                <w:color w:val="auto"/>
              </w:rPr>
              <w:t>consideration of what additional staff the organisations will seek, including subcontractors</w:t>
            </w:r>
          </w:p>
          <w:p w14:paraId="5ABAD410" w14:textId="64F6D995" w:rsidR="00BA69EE" w:rsidRPr="00BA69EE" w:rsidRDefault="00BA69EE" w:rsidP="007E23BA">
            <w:pPr>
              <w:pStyle w:val="ListParagraph"/>
              <w:numPr>
                <w:ilvl w:val="0"/>
                <w:numId w:val="31"/>
              </w:numPr>
              <w:spacing w:before="40" w:after="120"/>
              <w:ind w:right="57"/>
              <w:rPr>
                <w:szCs w:val="22"/>
              </w:rPr>
            </w:pPr>
            <w:r>
              <w:rPr>
                <w:szCs w:val="22"/>
              </w:rPr>
              <w:t xml:space="preserve">what reporting would support an effective approach to managing grant funds. </w:t>
            </w:r>
          </w:p>
        </w:tc>
      </w:tr>
      <w:tr w:rsidR="00F85F98" w14:paraId="3843F18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C6BD641" w14:textId="77777777" w:rsidR="00F85F98" w:rsidRPr="00563F88" w:rsidRDefault="00EE3BA6" w:rsidP="007E23BA">
            <w:pPr>
              <w:spacing w:before="40" w:after="120"/>
              <w:ind w:left="113" w:right="57"/>
              <w:rPr>
                <w:szCs w:val="22"/>
              </w:rPr>
            </w:pPr>
            <w:r w:rsidRPr="00563F88">
              <w:rPr>
                <w:rFonts w:ascii="Arial" w:eastAsia="Arial" w:hAnsi="Arial" w:cs="Arial"/>
                <w:color w:val="auto"/>
                <w:szCs w:val="22"/>
              </w:rPr>
              <w:t xml:space="preserve">Strong </w:t>
            </w:r>
            <w:r w:rsidR="009A4C0C">
              <w:t>applications</w:t>
            </w:r>
            <w:r w:rsidRPr="00563F88">
              <w:rPr>
                <w:rFonts w:ascii="Arial" w:eastAsia="Arial" w:hAnsi="Arial" w:cs="Arial"/>
                <w:color w:val="auto"/>
                <w:szCs w:val="22"/>
              </w:rPr>
              <w:t xml:space="preserve"> </w:t>
            </w:r>
            <w:r>
              <w:t>were required to describe</w:t>
            </w:r>
            <w:r w:rsidRPr="00563F88" w:rsidDel="00F76062">
              <w:rPr>
                <w:rFonts w:ascii="Arial" w:eastAsia="Arial" w:hAnsi="Arial" w:cs="Arial"/>
                <w:color w:val="auto"/>
                <w:szCs w:val="22"/>
              </w:rPr>
              <w:t xml:space="preserve"> </w:t>
            </w:r>
            <w:r w:rsidR="0062403E" w:rsidRPr="0062403E">
              <w:rPr>
                <w:rFonts w:ascii="Arial" w:eastAsia="Arial" w:hAnsi="Arial" w:cs="Arial"/>
                <w:color w:val="auto"/>
                <w:szCs w:val="22"/>
              </w:rPr>
              <w:t xml:space="preserve">grant activities </w:t>
            </w:r>
            <w:r w:rsidR="00692BA6">
              <w:rPr>
                <w:rFonts w:ascii="Arial" w:eastAsia="Arial" w:hAnsi="Arial" w:cs="Arial"/>
                <w:color w:val="auto"/>
                <w:szCs w:val="22"/>
              </w:rPr>
              <w:t>which</w:t>
            </w:r>
            <w:r w:rsidR="0062403E" w:rsidRPr="0062403E">
              <w:rPr>
                <w:rFonts w:ascii="Arial" w:eastAsia="Arial" w:hAnsi="Arial" w:cs="Arial"/>
                <w:color w:val="auto"/>
                <w:szCs w:val="22"/>
              </w:rPr>
              <w:t xml:space="preserve"> align with eligible expenditure which could be improved through additional contributions via existing resources within their organisation</w:t>
            </w:r>
            <w:r w:rsidR="0062403E">
              <w:rPr>
                <w:rFonts w:ascii="Arial" w:eastAsia="Arial" w:hAnsi="Arial" w:cs="Arial"/>
                <w:color w:val="auto"/>
                <w:szCs w:val="22"/>
              </w:rPr>
              <w:t>.</w:t>
            </w:r>
          </w:p>
        </w:tc>
        <w:tc>
          <w:tcPr>
            <w:tcW w:w="4821" w:type="dxa"/>
          </w:tcPr>
          <w:p w14:paraId="200734C9" w14:textId="77777777" w:rsidR="00F85F98" w:rsidRDefault="002E0AA1" w:rsidP="007E23BA">
            <w:pPr>
              <w:spacing w:before="40" w:after="120"/>
              <w:ind w:left="113" w:right="57"/>
              <w:rPr>
                <w:rFonts w:ascii="Arial" w:eastAsia="Arial" w:hAnsi="Arial" w:cs="Arial"/>
                <w:color w:val="auto"/>
              </w:rPr>
            </w:pPr>
            <w:r>
              <w:rPr>
                <w:rFonts w:ascii="Arial" w:eastAsia="Arial" w:hAnsi="Arial" w:cs="Arial"/>
                <w:color w:val="auto"/>
              </w:rPr>
              <w:t xml:space="preserve">Strong </w:t>
            </w:r>
            <w:r w:rsidR="009A4C0C">
              <w:t>applications</w:t>
            </w:r>
            <w:r w:rsidR="00F85F98">
              <w:rPr>
                <w:rFonts w:ascii="Arial" w:eastAsia="Arial" w:hAnsi="Arial" w:cs="Arial"/>
                <w:color w:val="auto"/>
              </w:rPr>
              <w:t>:</w:t>
            </w:r>
          </w:p>
          <w:p w14:paraId="4F80CD33" w14:textId="77777777" w:rsidR="00BA69EE" w:rsidRPr="00202861" w:rsidRDefault="00692BA6" w:rsidP="007E23BA">
            <w:pPr>
              <w:pStyle w:val="ListParagraph"/>
              <w:numPr>
                <w:ilvl w:val="0"/>
                <w:numId w:val="32"/>
              </w:numPr>
              <w:spacing w:before="40" w:after="120"/>
              <w:ind w:right="57"/>
              <w:rPr>
                <w:szCs w:val="22"/>
              </w:rPr>
            </w:pPr>
            <w:r>
              <w:rPr>
                <w:rFonts w:ascii="Arial" w:eastAsia="Arial" w:hAnsi="Arial" w:cs="Arial"/>
                <w:color w:val="auto"/>
              </w:rPr>
              <w:t xml:space="preserve">demonstrated </w:t>
            </w:r>
            <w:r w:rsidR="00BA69EE">
              <w:rPr>
                <w:rFonts w:ascii="Arial" w:eastAsia="Arial" w:hAnsi="Arial" w:cs="Arial"/>
                <w:color w:val="auto"/>
              </w:rPr>
              <w:t>the need for increased engagement across a range of activities to support workplace relations reforms</w:t>
            </w:r>
          </w:p>
          <w:p w14:paraId="1B4CF0A0" w14:textId="77777777" w:rsidR="00BA69EE" w:rsidRPr="00202861" w:rsidRDefault="00BA69EE" w:rsidP="007E23BA">
            <w:pPr>
              <w:pStyle w:val="ListParagraph"/>
              <w:numPr>
                <w:ilvl w:val="0"/>
                <w:numId w:val="32"/>
              </w:numPr>
              <w:spacing w:before="40" w:after="120"/>
              <w:ind w:right="57"/>
              <w:rPr>
                <w:szCs w:val="22"/>
              </w:rPr>
            </w:pPr>
            <w:r>
              <w:rPr>
                <w:rFonts w:ascii="Arial" w:eastAsia="Arial" w:hAnsi="Arial" w:cs="Arial"/>
                <w:color w:val="auto"/>
              </w:rPr>
              <w:t>considered how additional funds would improve existing member services</w:t>
            </w:r>
          </w:p>
          <w:p w14:paraId="71B7EE75" w14:textId="438D6914" w:rsidR="00F85F98" w:rsidRPr="00BA69EE" w:rsidRDefault="00692BA6" w:rsidP="007E23BA">
            <w:pPr>
              <w:pStyle w:val="ListParagraph"/>
              <w:numPr>
                <w:ilvl w:val="0"/>
                <w:numId w:val="32"/>
              </w:numPr>
              <w:spacing w:before="40" w:after="120"/>
              <w:ind w:right="57"/>
              <w:rPr>
                <w:szCs w:val="22"/>
              </w:rPr>
            </w:pPr>
            <w:r>
              <w:rPr>
                <w:rFonts w:ascii="Arial" w:eastAsia="Arial" w:hAnsi="Arial" w:cs="Arial"/>
                <w:color w:val="auto"/>
              </w:rPr>
              <w:t xml:space="preserve">demonstrated </w:t>
            </w:r>
            <w:r w:rsidR="00BA69EE">
              <w:rPr>
                <w:rFonts w:ascii="Arial" w:eastAsia="Arial" w:hAnsi="Arial" w:cs="Arial"/>
                <w:color w:val="auto"/>
              </w:rPr>
              <w:t>planning for new opportunities to improve services as a result of grant funding.</w:t>
            </w:r>
          </w:p>
        </w:tc>
      </w:tr>
    </w:tbl>
    <w:p w14:paraId="21954E44" w14:textId="77777777" w:rsidR="00496CE3" w:rsidRPr="007E23BA" w:rsidRDefault="00496CE3" w:rsidP="007E23BA">
      <w:pPr>
        <w:pStyle w:val="BodyText"/>
        <w:spacing w:after="120"/>
        <w:rPr>
          <w:rFonts w:ascii="Arial" w:hAnsi="Arial" w:cs="Arial"/>
          <w:b/>
          <w:color w:val="C00000"/>
          <w:sz w:val="36"/>
          <w:szCs w:val="28"/>
        </w:rPr>
      </w:pPr>
      <w:r w:rsidRPr="007E23BA">
        <w:rPr>
          <w:rFonts w:ascii="Arial" w:eastAsiaTheme="majorEastAsia" w:hAnsi="Arial" w:cs="Arial"/>
          <w:bCs/>
          <w:color w:val="C00000"/>
          <w:sz w:val="36"/>
          <w:szCs w:val="28"/>
        </w:rPr>
        <w:t>Individual feedback</w:t>
      </w:r>
    </w:p>
    <w:p w14:paraId="77E83D19" w14:textId="77777777" w:rsidR="00496CE3" w:rsidRDefault="00496CE3" w:rsidP="007E23BA">
      <w:pPr>
        <w:pStyle w:val="Heading2"/>
        <w:spacing w:before="40" w:line="280" w:lineRule="atLeast"/>
        <w:rPr>
          <w:rFonts w:asciiTheme="minorHAnsi" w:eastAsiaTheme="minorHAnsi" w:hAnsiTheme="minorHAnsi" w:cs="Times New Roman"/>
          <w:b w:val="0"/>
          <w:bCs w:val="0"/>
          <w:sz w:val="22"/>
          <w:szCs w:val="20"/>
        </w:rPr>
      </w:pPr>
      <w:r>
        <w:rPr>
          <w:rFonts w:asciiTheme="minorHAnsi" w:eastAsiaTheme="minorHAnsi" w:hAnsiTheme="minorHAnsi" w:cs="Times New Roman"/>
          <w:b w:val="0"/>
          <w:bCs w:val="0"/>
          <w:sz w:val="22"/>
          <w:szCs w:val="20"/>
        </w:rPr>
        <w:t>Individual feedback will not be provided for this grant opportunity.</w:t>
      </w:r>
    </w:p>
    <w:p w14:paraId="237CE357" w14:textId="77777777" w:rsidR="00FA1F45" w:rsidRDefault="00FA1F45" w:rsidP="00A24F65">
      <w:pPr>
        <w:pStyle w:val="Heading2"/>
      </w:pPr>
    </w:p>
    <w:sectPr w:rsidR="00FA1F45"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6477" w14:textId="77777777" w:rsidR="00DD12C8" w:rsidRDefault="00DD12C8" w:rsidP="00772718">
      <w:pPr>
        <w:spacing w:line="240" w:lineRule="auto"/>
      </w:pPr>
      <w:r>
        <w:separator/>
      </w:r>
    </w:p>
  </w:endnote>
  <w:endnote w:type="continuationSeparator" w:id="0">
    <w:p w14:paraId="6F804A65" w14:textId="77777777" w:rsidR="00DD12C8" w:rsidRDefault="00DD12C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0E6B" w14:textId="77777777" w:rsidR="00EC5E64" w:rsidRDefault="00EC5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0115" w14:textId="70ECCDBE" w:rsidR="00A14495" w:rsidRDefault="00E13525">
    <w:pPr>
      <w:pStyle w:val="Footer"/>
    </w:pPr>
    <w:r>
      <w:fldChar w:fldCharType="begin"/>
    </w:r>
    <w:r>
      <w:instrText xml:space="preserve"> PAGE   \* MERGEFORMAT </w:instrText>
    </w:r>
    <w:r>
      <w:fldChar w:fldCharType="separate"/>
    </w:r>
    <w:r w:rsidR="00EC5E64">
      <w:rPr>
        <w:noProof/>
      </w:rPr>
      <w:t>6</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7544C109" wp14:editId="69AE76F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7369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EA64" w14:textId="0D8B590D" w:rsidR="00D91B18" w:rsidRDefault="00D91B18">
    <w:pPr>
      <w:pStyle w:val="Footer"/>
    </w:pPr>
    <w:r>
      <w:fldChar w:fldCharType="begin"/>
    </w:r>
    <w:r>
      <w:instrText xml:space="preserve"> PAGE   \* MERGEFORMAT </w:instrText>
    </w:r>
    <w:r>
      <w:fldChar w:fldCharType="separate"/>
    </w:r>
    <w:r w:rsidR="00EC5E64">
      <w:rPr>
        <w:noProof/>
      </w:rPr>
      <w:t>1</w:t>
    </w:r>
    <w:r>
      <w:fldChar w:fldCharType="end"/>
    </w:r>
    <w:r>
      <w:t xml:space="preserve">  </w:t>
    </w:r>
    <w:r w:rsidR="00D06EAD">
      <w:t xml:space="preserve">| </w:t>
    </w:r>
    <w:r w:rsidRPr="00A454BF">
      <w:t>Community Grants Hub</w:t>
    </w:r>
    <w:r w:rsidR="00FC1C24">
      <w:tab/>
    </w:r>
    <w:r w:rsidR="00FC1C24">
      <w:tab/>
    </w:r>
    <w:r w:rsidR="00D06EAD">
      <w:t>Updated and Approved 05/04/2023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B8F8" w14:textId="77777777" w:rsidR="00DD12C8" w:rsidRDefault="00DD12C8" w:rsidP="00772718">
      <w:pPr>
        <w:spacing w:line="240" w:lineRule="auto"/>
      </w:pPr>
      <w:r>
        <w:separator/>
      </w:r>
    </w:p>
  </w:footnote>
  <w:footnote w:type="continuationSeparator" w:id="0">
    <w:p w14:paraId="370B9700" w14:textId="77777777" w:rsidR="00DD12C8" w:rsidRDefault="00DD12C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884F" w14:textId="77777777" w:rsidR="00EC5E64" w:rsidRDefault="00EC5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BE9E"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1F4BA8AE" wp14:editId="3492DEF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58DFB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17FCB8D" wp14:editId="1EB0875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2492" w14:textId="77777777" w:rsidR="00D91B18" w:rsidRDefault="0016612C">
    <w:pPr>
      <w:pStyle w:val="Header"/>
    </w:pPr>
    <w:r>
      <w:rPr>
        <w:noProof/>
        <w:lang w:eastAsia="en-AU"/>
      </w:rPr>
      <w:drawing>
        <wp:anchor distT="0" distB="0" distL="114300" distR="114300" simplePos="0" relativeHeight="251673600" behindDoc="0" locked="1" layoutInCell="1" allowOverlap="1" wp14:anchorId="651680D3" wp14:editId="2B59071B">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172523B" wp14:editId="69C9567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B7504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C079D99" wp14:editId="7B35EC8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D40E1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EBF808F" wp14:editId="73B3CA7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89820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E547CC"/>
    <w:multiLevelType w:val="hybridMultilevel"/>
    <w:tmpl w:val="8A44F5D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07C40D8F"/>
    <w:multiLevelType w:val="hybridMultilevel"/>
    <w:tmpl w:val="5696159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C0C4EDC"/>
    <w:multiLevelType w:val="hybridMultilevel"/>
    <w:tmpl w:val="7E7CDCF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304C36"/>
    <w:multiLevelType w:val="hybridMultilevel"/>
    <w:tmpl w:val="500EADE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 w15:restartNumberingAfterBreak="0">
    <w:nsid w:val="1DF169A3"/>
    <w:multiLevelType w:val="hybridMultilevel"/>
    <w:tmpl w:val="63644A6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A2A39AF"/>
    <w:multiLevelType w:val="hybridMultilevel"/>
    <w:tmpl w:val="A13C1F6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84019"/>
    <w:multiLevelType w:val="multilevel"/>
    <w:tmpl w:val="FC7CA7B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87E7B66"/>
    <w:multiLevelType w:val="hybridMultilevel"/>
    <w:tmpl w:val="05304A00"/>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390358E0"/>
    <w:multiLevelType w:val="hybridMultilevel"/>
    <w:tmpl w:val="1848DA26"/>
    <w:lvl w:ilvl="0" w:tplc="92040C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E27673"/>
    <w:multiLevelType w:val="hybridMultilevel"/>
    <w:tmpl w:val="4022E63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19C377C"/>
    <w:multiLevelType w:val="hybridMultilevel"/>
    <w:tmpl w:val="5A1A0C2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27008D"/>
    <w:multiLevelType w:val="hybridMultilevel"/>
    <w:tmpl w:val="6D0E3A3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4C2E48A3"/>
    <w:multiLevelType w:val="multilevel"/>
    <w:tmpl w:val="7D582EB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767985"/>
    <w:multiLevelType w:val="hybridMultilevel"/>
    <w:tmpl w:val="5644D59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255274"/>
    <w:multiLevelType w:val="multilevel"/>
    <w:tmpl w:val="1140FFA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4CA035C"/>
    <w:multiLevelType w:val="multilevel"/>
    <w:tmpl w:val="821E428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A2039DB"/>
    <w:multiLevelType w:val="hybridMultilevel"/>
    <w:tmpl w:val="E6FE1B0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D5940D5"/>
    <w:multiLevelType w:val="multilevel"/>
    <w:tmpl w:val="B8066D8E"/>
    <w:styleLink w:val="Bullets"/>
    <w:lvl w:ilvl="0">
      <w:start w:val="1"/>
      <w:numFmt w:val="bullet"/>
      <w:lvlText w:val=""/>
      <w:lvlJc w:val="left"/>
      <w:pPr>
        <w:ind w:left="452" w:hanging="226"/>
      </w:pPr>
      <w:rPr>
        <w:rFonts w:ascii="Wingdings" w:hAnsi="Wingdings" w:hint="default"/>
        <w:color w:val="264F90"/>
      </w:rPr>
    </w:lvl>
    <w:lvl w:ilvl="1">
      <w:start w:val="1"/>
      <w:numFmt w:val="bullet"/>
      <w:pStyle w:val="Bullets2"/>
      <w:lvlText w:val="–"/>
      <w:lvlJc w:val="left"/>
      <w:pPr>
        <w:ind w:left="679" w:hanging="227"/>
      </w:pPr>
      <w:rPr>
        <w:rFonts w:ascii="HelveticaNeueLT Std Lt" w:hAnsi="HelveticaNeueLT Std Lt" w:hint="default"/>
        <w:color w:val="000000" w:themeColor="text1"/>
      </w:rPr>
    </w:lvl>
    <w:lvl w:ilvl="2">
      <w:start w:val="1"/>
      <w:numFmt w:val="bullet"/>
      <w:lvlText w:val=""/>
      <w:lvlJc w:val="left"/>
      <w:pPr>
        <w:ind w:left="906" w:hanging="227"/>
      </w:pPr>
      <w:rPr>
        <w:rFonts w:ascii="Symbol" w:hAnsi="Symbol" w:hint="default"/>
        <w:color w:val="000000" w:themeColor="text1"/>
      </w:rPr>
    </w:lvl>
    <w:lvl w:ilvl="3">
      <w:start w:val="1"/>
      <w:numFmt w:val="bullet"/>
      <w:lvlText w:val="–"/>
      <w:lvlJc w:val="left"/>
      <w:pPr>
        <w:ind w:left="1699" w:hanging="340"/>
      </w:pPr>
      <w:rPr>
        <w:rFonts w:ascii="HelveticaNeueLT Std Lt" w:hAnsi="HelveticaNeueLT Std Lt" w:hint="default"/>
        <w:color w:val="000000" w:themeColor="text1"/>
      </w:rPr>
    </w:lvl>
    <w:lvl w:ilvl="4">
      <w:start w:val="1"/>
      <w:numFmt w:val="bullet"/>
      <w:lvlText w:val=""/>
      <w:lvlJc w:val="left"/>
      <w:pPr>
        <w:ind w:left="2039" w:hanging="340"/>
      </w:pPr>
      <w:rPr>
        <w:rFonts w:ascii="Symbol" w:hAnsi="Symbol" w:hint="default"/>
        <w:color w:val="000000" w:themeColor="text1"/>
      </w:rPr>
    </w:lvl>
    <w:lvl w:ilvl="5">
      <w:start w:val="1"/>
      <w:numFmt w:val="bullet"/>
      <w:lvlText w:val="–"/>
      <w:lvlJc w:val="left"/>
      <w:pPr>
        <w:ind w:left="2379" w:hanging="340"/>
      </w:pPr>
      <w:rPr>
        <w:rFonts w:ascii="HelveticaNeueLT Std Lt" w:hAnsi="HelveticaNeueLT Std Lt" w:hint="default"/>
        <w:color w:val="000000" w:themeColor="text1"/>
      </w:rPr>
    </w:lvl>
    <w:lvl w:ilvl="6">
      <w:start w:val="1"/>
      <w:numFmt w:val="bullet"/>
      <w:pStyle w:val="TableBullets1"/>
      <w:lvlText w:val=""/>
      <w:lvlJc w:val="left"/>
      <w:pPr>
        <w:ind w:left="112" w:hanging="227"/>
      </w:pPr>
      <w:rPr>
        <w:rFonts w:ascii="Symbol" w:hAnsi="Symbol" w:hint="default"/>
        <w:color w:val="000000" w:themeColor="text1"/>
      </w:rPr>
    </w:lvl>
    <w:lvl w:ilvl="7">
      <w:start w:val="1"/>
      <w:numFmt w:val="bullet"/>
      <w:pStyle w:val="TableBullets2"/>
      <w:lvlText w:val="–"/>
      <w:lvlJc w:val="left"/>
      <w:pPr>
        <w:ind w:left="339" w:hanging="227"/>
      </w:pPr>
      <w:rPr>
        <w:rFonts w:ascii="HelveticaNeueLT Std Lt" w:hAnsi="HelveticaNeueLT Std Lt" w:hint="default"/>
        <w:color w:val="000000" w:themeColor="text1"/>
      </w:rPr>
    </w:lvl>
    <w:lvl w:ilvl="8">
      <w:start w:val="1"/>
      <w:numFmt w:val="bullet"/>
      <w:lvlText w:val=""/>
      <w:lvlJc w:val="left"/>
      <w:pPr>
        <w:ind w:left="566" w:hanging="227"/>
      </w:pPr>
      <w:rPr>
        <w:rFonts w:ascii="Symbol" w:hAnsi="Symbol" w:hint="default"/>
        <w:color w:val="000000" w:themeColor="text1"/>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71242"/>
    <w:multiLevelType w:val="hybridMultilevel"/>
    <w:tmpl w:val="22FEC9D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758B2AC3"/>
    <w:multiLevelType w:val="multilevel"/>
    <w:tmpl w:val="8E20029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8"/>
  </w:num>
  <w:num w:numId="3">
    <w:abstractNumId w:val="8"/>
  </w:num>
  <w:num w:numId="4">
    <w:abstractNumId w:val="19"/>
  </w:num>
  <w:num w:numId="5">
    <w:abstractNumId w:val="17"/>
  </w:num>
  <w:num w:numId="6">
    <w:abstractNumId w:val="12"/>
  </w:num>
  <w:num w:numId="7">
    <w:abstractNumId w:val="9"/>
  </w:num>
  <w:num w:numId="8">
    <w:abstractNumId w:val="27"/>
  </w:num>
  <w:num w:numId="9">
    <w:abstractNumId w:val="23"/>
  </w:num>
  <w:num w:numId="10">
    <w:abstractNumId w:val="4"/>
  </w:num>
  <w:num w:numId="11">
    <w:abstractNumId w:val="10"/>
  </w:num>
  <w:num w:numId="12">
    <w:abstractNumId w:val="4"/>
  </w:num>
  <w:num w:numId="13">
    <w:abstractNumId w:val="29"/>
  </w:num>
  <w:num w:numId="14">
    <w:abstractNumId w:val="11"/>
  </w:num>
  <w:num w:numId="15">
    <w:abstractNumId w:val="5"/>
  </w:num>
  <w:num w:numId="16">
    <w:abstractNumId w:val="31"/>
  </w:num>
  <w:num w:numId="17">
    <w:abstractNumId w:val="13"/>
  </w:num>
  <w:num w:numId="18">
    <w:abstractNumId w:val="25"/>
  </w:num>
  <w:num w:numId="19">
    <w:abstractNumId w:val="21"/>
  </w:num>
  <w:num w:numId="20">
    <w:abstractNumId w:val="24"/>
  </w:num>
  <w:num w:numId="21">
    <w:abstractNumId w:val="7"/>
  </w:num>
  <w:num w:numId="22">
    <w:abstractNumId w:val="3"/>
  </w:num>
  <w:num w:numId="23">
    <w:abstractNumId w:val="26"/>
  </w:num>
  <w:num w:numId="24">
    <w:abstractNumId w:val="20"/>
  </w:num>
  <w:num w:numId="25">
    <w:abstractNumId w:val="6"/>
  </w:num>
  <w:num w:numId="26">
    <w:abstractNumId w:val="14"/>
  </w:num>
  <w:num w:numId="27">
    <w:abstractNumId w:val="18"/>
  </w:num>
  <w:num w:numId="28">
    <w:abstractNumId w:val="30"/>
  </w:num>
  <w:num w:numId="29">
    <w:abstractNumId w:val="22"/>
  </w:num>
  <w:num w:numId="30">
    <w:abstractNumId w:val="1"/>
  </w:num>
  <w:num w:numId="31">
    <w:abstractNumId w:val="16"/>
  </w:num>
  <w:num w:numId="32">
    <w:abstractNumId w:val="2"/>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05CB"/>
    <w:rsid w:val="00044E09"/>
    <w:rsid w:val="000455E3"/>
    <w:rsid w:val="0004784D"/>
    <w:rsid w:val="000535A3"/>
    <w:rsid w:val="00053A00"/>
    <w:rsid w:val="00053DC5"/>
    <w:rsid w:val="000551F5"/>
    <w:rsid w:val="000B6C00"/>
    <w:rsid w:val="000C1F06"/>
    <w:rsid w:val="000F1DD1"/>
    <w:rsid w:val="000F28B8"/>
    <w:rsid w:val="000F3766"/>
    <w:rsid w:val="000F5DE3"/>
    <w:rsid w:val="000F69E9"/>
    <w:rsid w:val="00100880"/>
    <w:rsid w:val="00106FC4"/>
    <w:rsid w:val="00111F0C"/>
    <w:rsid w:val="00120B80"/>
    <w:rsid w:val="00145E2D"/>
    <w:rsid w:val="00157C4A"/>
    <w:rsid w:val="0016612C"/>
    <w:rsid w:val="0016708A"/>
    <w:rsid w:val="001763D4"/>
    <w:rsid w:val="00181433"/>
    <w:rsid w:val="001834DD"/>
    <w:rsid w:val="00191BCF"/>
    <w:rsid w:val="001C53CE"/>
    <w:rsid w:val="001C5D96"/>
    <w:rsid w:val="001D16CE"/>
    <w:rsid w:val="001D341B"/>
    <w:rsid w:val="001E3D2B"/>
    <w:rsid w:val="001E5415"/>
    <w:rsid w:val="001E66CE"/>
    <w:rsid w:val="001E7168"/>
    <w:rsid w:val="001F6BE5"/>
    <w:rsid w:val="00202861"/>
    <w:rsid w:val="002155A6"/>
    <w:rsid w:val="00221DC2"/>
    <w:rsid w:val="00243004"/>
    <w:rsid w:val="00244B48"/>
    <w:rsid w:val="002464A5"/>
    <w:rsid w:val="00256CDA"/>
    <w:rsid w:val="002573D5"/>
    <w:rsid w:val="002600F2"/>
    <w:rsid w:val="00264E26"/>
    <w:rsid w:val="002773DF"/>
    <w:rsid w:val="00280E74"/>
    <w:rsid w:val="00284E4B"/>
    <w:rsid w:val="002A1108"/>
    <w:rsid w:val="002A41E1"/>
    <w:rsid w:val="002B6574"/>
    <w:rsid w:val="002D3419"/>
    <w:rsid w:val="002D4D48"/>
    <w:rsid w:val="002E0AA1"/>
    <w:rsid w:val="002E1CCC"/>
    <w:rsid w:val="002E21D2"/>
    <w:rsid w:val="002F2B64"/>
    <w:rsid w:val="002F7D3C"/>
    <w:rsid w:val="00302D5E"/>
    <w:rsid w:val="00305720"/>
    <w:rsid w:val="0031098A"/>
    <w:rsid w:val="003131AB"/>
    <w:rsid w:val="003217BE"/>
    <w:rsid w:val="0033353E"/>
    <w:rsid w:val="0034044F"/>
    <w:rsid w:val="00355FF2"/>
    <w:rsid w:val="0035639D"/>
    <w:rsid w:val="00363B00"/>
    <w:rsid w:val="003718AE"/>
    <w:rsid w:val="00376001"/>
    <w:rsid w:val="003811E7"/>
    <w:rsid w:val="003A17CA"/>
    <w:rsid w:val="003A36E9"/>
    <w:rsid w:val="003B5410"/>
    <w:rsid w:val="003C7583"/>
    <w:rsid w:val="003D0647"/>
    <w:rsid w:val="003D1265"/>
    <w:rsid w:val="003D255E"/>
    <w:rsid w:val="003D3B1D"/>
    <w:rsid w:val="003D4B2C"/>
    <w:rsid w:val="003D5DBE"/>
    <w:rsid w:val="003D6807"/>
    <w:rsid w:val="003E01D1"/>
    <w:rsid w:val="003E2864"/>
    <w:rsid w:val="003F42DF"/>
    <w:rsid w:val="00404841"/>
    <w:rsid w:val="00412059"/>
    <w:rsid w:val="00422E02"/>
    <w:rsid w:val="00425633"/>
    <w:rsid w:val="00441E79"/>
    <w:rsid w:val="00444032"/>
    <w:rsid w:val="0044643A"/>
    <w:rsid w:val="00450486"/>
    <w:rsid w:val="00453629"/>
    <w:rsid w:val="00454EB4"/>
    <w:rsid w:val="00461BE1"/>
    <w:rsid w:val="004709E9"/>
    <w:rsid w:val="00472379"/>
    <w:rsid w:val="00483A58"/>
    <w:rsid w:val="00490618"/>
    <w:rsid w:val="00492A86"/>
    <w:rsid w:val="00496CE3"/>
    <w:rsid w:val="004A7A42"/>
    <w:rsid w:val="004B203A"/>
    <w:rsid w:val="004B5F40"/>
    <w:rsid w:val="004C7D16"/>
    <w:rsid w:val="004D0860"/>
    <w:rsid w:val="004D700E"/>
    <w:rsid w:val="004D7F17"/>
    <w:rsid w:val="004E0670"/>
    <w:rsid w:val="004E7F37"/>
    <w:rsid w:val="004F129F"/>
    <w:rsid w:val="004F31BA"/>
    <w:rsid w:val="005118E4"/>
    <w:rsid w:val="0051299F"/>
    <w:rsid w:val="005144E6"/>
    <w:rsid w:val="00526B85"/>
    <w:rsid w:val="005306A1"/>
    <w:rsid w:val="00544751"/>
    <w:rsid w:val="00553A84"/>
    <w:rsid w:val="00563F88"/>
    <w:rsid w:val="0057045E"/>
    <w:rsid w:val="00571E8B"/>
    <w:rsid w:val="0059000C"/>
    <w:rsid w:val="005A02A1"/>
    <w:rsid w:val="005A1906"/>
    <w:rsid w:val="005B6071"/>
    <w:rsid w:val="005C120F"/>
    <w:rsid w:val="005D5E91"/>
    <w:rsid w:val="005D6028"/>
    <w:rsid w:val="005D7A24"/>
    <w:rsid w:val="005E1395"/>
    <w:rsid w:val="005E24FD"/>
    <w:rsid w:val="005F6117"/>
    <w:rsid w:val="005F65C3"/>
    <w:rsid w:val="00616EBA"/>
    <w:rsid w:val="00620574"/>
    <w:rsid w:val="00622B47"/>
    <w:rsid w:val="0062403E"/>
    <w:rsid w:val="00632C08"/>
    <w:rsid w:val="006341AC"/>
    <w:rsid w:val="00654C42"/>
    <w:rsid w:val="0067074A"/>
    <w:rsid w:val="006717AF"/>
    <w:rsid w:val="00672994"/>
    <w:rsid w:val="006807C9"/>
    <w:rsid w:val="00692BA6"/>
    <w:rsid w:val="00692EFD"/>
    <w:rsid w:val="00694FDB"/>
    <w:rsid w:val="006C15C5"/>
    <w:rsid w:val="006C7269"/>
    <w:rsid w:val="006D2CA1"/>
    <w:rsid w:val="006D3DAD"/>
    <w:rsid w:val="006D4A4B"/>
    <w:rsid w:val="006D7E7A"/>
    <w:rsid w:val="006E1C6A"/>
    <w:rsid w:val="006E476C"/>
    <w:rsid w:val="006E5784"/>
    <w:rsid w:val="006E7462"/>
    <w:rsid w:val="006F4947"/>
    <w:rsid w:val="006F6096"/>
    <w:rsid w:val="006F7B19"/>
    <w:rsid w:val="007056F1"/>
    <w:rsid w:val="00705DF1"/>
    <w:rsid w:val="00707819"/>
    <w:rsid w:val="00707E21"/>
    <w:rsid w:val="00711142"/>
    <w:rsid w:val="00716D7B"/>
    <w:rsid w:val="00730430"/>
    <w:rsid w:val="00736A76"/>
    <w:rsid w:val="007405CC"/>
    <w:rsid w:val="00752C6B"/>
    <w:rsid w:val="00760CE6"/>
    <w:rsid w:val="00762F09"/>
    <w:rsid w:val="007719C9"/>
    <w:rsid w:val="00772718"/>
    <w:rsid w:val="00786437"/>
    <w:rsid w:val="007941FE"/>
    <w:rsid w:val="007A3384"/>
    <w:rsid w:val="007D0300"/>
    <w:rsid w:val="007D30A8"/>
    <w:rsid w:val="007D7D88"/>
    <w:rsid w:val="007E23BA"/>
    <w:rsid w:val="007F00B8"/>
    <w:rsid w:val="007F6391"/>
    <w:rsid w:val="00811609"/>
    <w:rsid w:val="00814FB1"/>
    <w:rsid w:val="00820F20"/>
    <w:rsid w:val="0082528A"/>
    <w:rsid w:val="00825754"/>
    <w:rsid w:val="00833758"/>
    <w:rsid w:val="00835210"/>
    <w:rsid w:val="0084413D"/>
    <w:rsid w:val="00844C2D"/>
    <w:rsid w:val="00845DAA"/>
    <w:rsid w:val="00847CBC"/>
    <w:rsid w:val="00851FDD"/>
    <w:rsid w:val="0087438E"/>
    <w:rsid w:val="00883B2C"/>
    <w:rsid w:val="00884668"/>
    <w:rsid w:val="00886D59"/>
    <w:rsid w:val="00895EB9"/>
    <w:rsid w:val="008B2B46"/>
    <w:rsid w:val="008B4F46"/>
    <w:rsid w:val="008E05BC"/>
    <w:rsid w:val="008F1308"/>
    <w:rsid w:val="008F16D1"/>
    <w:rsid w:val="008F17B8"/>
    <w:rsid w:val="008F3CCF"/>
    <w:rsid w:val="00901750"/>
    <w:rsid w:val="00901A61"/>
    <w:rsid w:val="00921840"/>
    <w:rsid w:val="0092497A"/>
    <w:rsid w:val="00932C87"/>
    <w:rsid w:val="009331B4"/>
    <w:rsid w:val="009345F1"/>
    <w:rsid w:val="00944BBB"/>
    <w:rsid w:val="009547B6"/>
    <w:rsid w:val="00961072"/>
    <w:rsid w:val="0096623C"/>
    <w:rsid w:val="009966DD"/>
    <w:rsid w:val="009A2F51"/>
    <w:rsid w:val="009A34F3"/>
    <w:rsid w:val="009A4C0C"/>
    <w:rsid w:val="009C6C53"/>
    <w:rsid w:val="009E1A74"/>
    <w:rsid w:val="009E6B53"/>
    <w:rsid w:val="009E750F"/>
    <w:rsid w:val="00A04D96"/>
    <w:rsid w:val="00A0629B"/>
    <w:rsid w:val="00A06EFF"/>
    <w:rsid w:val="00A14495"/>
    <w:rsid w:val="00A16BE1"/>
    <w:rsid w:val="00A232AB"/>
    <w:rsid w:val="00A24F65"/>
    <w:rsid w:val="00A453D7"/>
    <w:rsid w:val="00A454BF"/>
    <w:rsid w:val="00A52E3A"/>
    <w:rsid w:val="00A5366D"/>
    <w:rsid w:val="00A814CB"/>
    <w:rsid w:val="00A90D1B"/>
    <w:rsid w:val="00A95A8C"/>
    <w:rsid w:val="00AA233D"/>
    <w:rsid w:val="00AC144D"/>
    <w:rsid w:val="00AD70E2"/>
    <w:rsid w:val="00AF55F8"/>
    <w:rsid w:val="00B0490C"/>
    <w:rsid w:val="00B10733"/>
    <w:rsid w:val="00B10ABA"/>
    <w:rsid w:val="00B303E4"/>
    <w:rsid w:val="00B34A12"/>
    <w:rsid w:val="00B420D4"/>
    <w:rsid w:val="00B43CFE"/>
    <w:rsid w:val="00B57910"/>
    <w:rsid w:val="00B57EC9"/>
    <w:rsid w:val="00B67DBC"/>
    <w:rsid w:val="00B81C36"/>
    <w:rsid w:val="00B91B21"/>
    <w:rsid w:val="00B952F6"/>
    <w:rsid w:val="00BA202A"/>
    <w:rsid w:val="00BA69EE"/>
    <w:rsid w:val="00BC093A"/>
    <w:rsid w:val="00BC2B00"/>
    <w:rsid w:val="00BC4ACC"/>
    <w:rsid w:val="00BC4FCC"/>
    <w:rsid w:val="00BD02F8"/>
    <w:rsid w:val="00C04432"/>
    <w:rsid w:val="00C13697"/>
    <w:rsid w:val="00C1488E"/>
    <w:rsid w:val="00C217A8"/>
    <w:rsid w:val="00C255FD"/>
    <w:rsid w:val="00C25C42"/>
    <w:rsid w:val="00C4188F"/>
    <w:rsid w:val="00C735DC"/>
    <w:rsid w:val="00C819A4"/>
    <w:rsid w:val="00C824AE"/>
    <w:rsid w:val="00C84EA8"/>
    <w:rsid w:val="00C9240E"/>
    <w:rsid w:val="00C92998"/>
    <w:rsid w:val="00C95B28"/>
    <w:rsid w:val="00CA444B"/>
    <w:rsid w:val="00CA619A"/>
    <w:rsid w:val="00CA720A"/>
    <w:rsid w:val="00CB792F"/>
    <w:rsid w:val="00CD0003"/>
    <w:rsid w:val="00CD5925"/>
    <w:rsid w:val="00CD7FF9"/>
    <w:rsid w:val="00CE557A"/>
    <w:rsid w:val="00CF0761"/>
    <w:rsid w:val="00D031B2"/>
    <w:rsid w:val="00D06EAD"/>
    <w:rsid w:val="00D1410C"/>
    <w:rsid w:val="00D234C1"/>
    <w:rsid w:val="00D27D93"/>
    <w:rsid w:val="00D30F70"/>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2C8"/>
    <w:rsid w:val="00DD1408"/>
    <w:rsid w:val="00DD356D"/>
    <w:rsid w:val="00DD6735"/>
    <w:rsid w:val="00DD72DE"/>
    <w:rsid w:val="00DE2F2B"/>
    <w:rsid w:val="00DF136A"/>
    <w:rsid w:val="00DF51FA"/>
    <w:rsid w:val="00DF733A"/>
    <w:rsid w:val="00E0448C"/>
    <w:rsid w:val="00E13525"/>
    <w:rsid w:val="00E47250"/>
    <w:rsid w:val="00E47ADA"/>
    <w:rsid w:val="00E61535"/>
    <w:rsid w:val="00E700CD"/>
    <w:rsid w:val="00E73F55"/>
    <w:rsid w:val="00E74266"/>
    <w:rsid w:val="00E7480B"/>
    <w:rsid w:val="00E773A8"/>
    <w:rsid w:val="00E8246B"/>
    <w:rsid w:val="00E84012"/>
    <w:rsid w:val="00E84B40"/>
    <w:rsid w:val="00E9373C"/>
    <w:rsid w:val="00EA0724"/>
    <w:rsid w:val="00EA6251"/>
    <w:rsid w:val="00EB6414"/>
    <w:rsid w:val="00EB715A"/>
    <w:rsid w:val="00EC3AD6"/>
    <w:rsid w:val="00EC5E64"/>
    <w:rsid w:val="00ED4927"/>
    <w:rsid w:val="00EE3BA6"/>
    <w:rsid w:val="00EE5747"/>
    <w:rsid w:val="00EF3804"/>
    <w:rsid w:val="00EF5E05"/>
    <w:rsid w:val="00EF7C86"/>
    <w:rsid w:val="00F027B6"/>
    <w:rsid w:val="00F073CA"/>
    <w:rsid w:val="00F130A3"/>
    <w:rsid w:val="00F17114"/>
    <w:rsid w:val="00F22775"/>
    <w:rsid w:val="00F227AF"/>
    <w:rsid w:val="00F266F2"/>
    <w:rsid w:val="00F27370"/>
    <w:rsid w:val="00F40B00"/>
    <w:rsid w:val="00F41AAB"/>
    <w:rsid w:val="00F467A7"/>
    <w:rsid w:val="00F5341C"/>
    <w:rsid w:val="00F56954"/>
    <w:rsid w:val="00F64493"/>
    <w:rsid w:val="00F76062"/>
    <w:rsid w:val="00F85F69"/>
    <w:rsid w:val="00F85F98"/>
    <w:rsid w:val="00F9284B"/>
    <w:rsid w:val="00F948AF"/>
    <w:rsid w:val="00FA1F45"/>
    <w:rsid w:val="00FA5A7B"/>
    <w:rsid w:val="00FA73D1"/>
    <w:rsid w:val="00FB11B1"/>
    <w:rsid w:val="00FC1C24"/>
    <w:rsid w:val="00FD348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496CE3"/>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244923245">
      <w:bodyDiv w:val="1"/>
      <w:marLeft w:val="0"/>
      <w:marRight w:val="0"/>
      <w:marTop w:val="0"/>
      <w:marBottom w:val="0"/>
      <w:divBdr>
        <w:top w:val="none" w:sz="0" w:space="0" w:color="auto"/>
        <w:left w:val="none" w:sz="0" w:space="0" w:color="auto"/>
        <w:bottom w:val="none" w:sz="0" w:space="0" w:color="auto"/>
        <w:right w:val="none" w:sz="0" w:space="0" w:color="auto"/>
      </w:divBdr>
    </w:div>
    <w:div w:id="290866815">
      <w:bodyDiv w:val="1"/>
      <w:marLeft w:val="0"/>
      <w:marRight w:val="0"/>
      <w:marTop w:val="0"/>
      <w:marBottom w:val="0"/>
      <w:divBdr>
        <w:top w:val="none" w:sz="0" w:space="0" w:color="auto"/>
        <w:left w:val="none" w:sz="0" w:space="0" w:color="auto"/>
        <w:bottom w:val="none" w:sz="0" w:space="0" w:color="auto"/>
        <w:right w:val="none" w:sz="0" w:space="0" w:color="auto"/>
      </w:divBdr>
    </w:div>
    <w:div w:id="723456102">
      <w:bodyDiv w:val="1"/>
      <w:marLeft w:val="0"/>
      <w:marRight w:val="0"/>
      <w:marTop w:val="0"/>
      <w:marBottom w:val="0"/>
      <w:divBdr>
        <w:top w:val="none" w:sz="0" w:space="0" w:color="auto"/>
        <w:left w:val="none" w:sz="0" w:space="0" w:color="auto"/>
        <w:bottom w:val="none" w:sz="0" w:space="0" w:color="auto"/>
        <w:right w:val="none" w:sz="0" w:space="0" w:color="auto"/>
      </w:divBdr>
    </w:div>
    <w:div w:id="866483403">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15113104">
      <w:bodyDiv w:val="1"/>
      <w:marLeft w:val="0"/>
      <w:marRight w:val="0"/>
      <w:marTop w:val="0"/>
      <w:marBottom w:val="0"/>
      <w:divBdr>
        <w:top w:val="none" w:sz="0" w:space="0" w:color="auto"/>
        <w:left w:val="none" w:sz="0" w:space="0" w:color="auto"/>
        <w:bottom w:val="none" w:sz="0" w:space="0" w:color="auto"/>
        <w:right w:val="none" w:sz="0" w:space="0" w:color="auto"/>
      </w:divBdr>
    </w:div>
    <w:div w:id="1087844287">
      <w:bodyDiv w:val="1"/>
      <w:marLeft w:val="0"/>
      <w:marRight w:val="0"/>
      <w:marTop w:val="0"/>
      <w:marBottom w:val="0"/>
      <w:divBdr>
        <w:top w:val="none" w:sz="0" w:space="0" w:color="auto"/>
        <w:left w:val="none" w:sz="0" w:space="0" w:color="auto"/>
        <w:bottom w:val="none" w:sz="0" w:space="0" w:color="auto"/>
        <w:right w:val="none" w:sz="0" w:space="0" w:color="auto"/>
      </w:divBdr>
    </w:div>
    <w:div w:id="1250969211">
      <w:bodyDiv w:val="1"/>
      <w:marLeft w:val="0"/>
      <w:marRight w:val="0"/>
      <w:marTop w:val="0"/>
      <w:marBottom w:val="0"/>
      <w:divBdr>
        <w:top w:val="none" w:sz="0" w:space="0" w:color="auto"/>
        <w:left w:val="none" w:sz="0" w:space="0" w:color="auto"/>
        <w:bottom w:val="none" w:sz="0" w:space="0" w:color="auto"/>
        <w:right w:val="none" w:sz="0" w:space="0" w:color="auto"/>
      </w:divBdr>
    </w:div>
    <w:div w:id="1296981371">
      <w:bodyDiv w:val="1"/>
      <w:marLeft w:val="0"/>
      <w:marRight w:val="0"/>
      <w:marTop w:val="0"/>
      <w:marBottom w:val="0"/>
      <w:divBdr>
        <w:top w:val="none" w:sz="0" w:space="0" w:color="auto"/>
        <w:left w:val="none" w:sz="0" w:space="0" w:color="auto"/>
        <w:bottom w:val="none" w:sz="0" w:space="0" w:color="auto"/>
        <w:right w:val="none" w:sz="0" w:space="0" w:color="auto"/>
      </w:divBdr>
    </w:div>
    <w:div w:id="1324820330">
      <w:bodyDiv w:val="1"/>
      <w:marLeft w:val="0"/>
      <w:marRight w:val="0"/>
      <w:marTop w:val="0"/>
      <w:marBottom w:val="0"/>
      <w:divBdr>
        <w:top w:val="none" w:sz="0" w:space="0" w:color="auto"/>
        <w:left w:val="none" w:sz="0" w:space="0" w:color="auto"/>
        <w:bottom w:val="none" w:sz="0" w:space="0" w:color="auto"/>
        <w:right w:val="none" w:sz="0" w:space="0" w:color="auto"/>
      </w:divBdr>
    </w:div>
    <w:div w:id="1475216600">
      <w:bodyDiv w:val="1"/>
      <w:marLeft w:val="0"/>
      <w:marRight w:val="0"/>
      <w:marTop w:val="0"/>
      <w:marBottom w:val="0"/>
      <w:divBdr>
        <w:top w:val="none" w:sz="0" w:space="0" w:color="auto"/>
        <w:left w:val="none" w:sz="0" w:space="0" w:color="auto"/>
        <w:bottom w:val="none" w:sz="0" w:space="0" w:color="auto"/>
        <w:right w:val="none" w:sz="0" w:space="0" w:color="auto"/>
      </w:divBdr>
    </w:div>
    <w:div w:id="1496918708">
      <w:bodyDiv w:val="1"/>
      <w:marLeft w:val="0"/>
      <w:marRight w:val="0"/>
      <w:marTop w:val="0"/>
      <w:marBottom w:val="0"/>
      <w:divBdr>
        <w:top w:val="none" w:sz="0" w:space="0" w:color="auto"/>
        <w:left w:val="none" w:sz="0" w:space="0" w:color="auto"/>
        <w:bottom w:val="none" w:sz="0" w:space="0" w:color="auto"/>
        <w:right w:val="none" w:sz="0" w:space="0" w:color="auto"/>
      </w:divBdr>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
    <w:div w:id="16111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4063E-4E94-4364-827D-91EB5CEF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10828</Characters>
  <Application>Microsoft Office Word</Application>
  <DocSecurity>0</DocSecurity>
  <Lines>274</Lines>
  <Paragraphs>115</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2023-05-25T00:12:00Z</dcterms:created>
  <dcterms:modified xsi:type="dcterms:W3CDTF">2023-05-25T00:12:00Z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2023-05-25T00:12:37Z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9F0379A7EB4BF9E0C891BB6B3EA0841E</vt:lpwstr>
  </property>
  <property fmtid="{D5CDD505-2E9C-101B-9397-08002B2CF9AE}" pid="20" name="MSIP_Label_79d889eb-932f-4752-8739-64d25806ef64_SetDate">
    <vt:lpwstr>2023-05-11T06:56:58Z</vt:lpwstr>
  </property>
  <property fmtid="{D5CDD505-2E9C-101B-9397-08002B2CF9AE}" pid="21" name="PM_Hash_Salt">
    <vt:lpwstr>95990EA06FAA2AF238FF135A9520256D</vt:lpwstr>
  </property>
  <property fmtid="{D5CDD505-2E9C-101B-9397-08002B2CF9AE}" pid="22" name="PM_Hash_SHA1">
    <vt:lpwstr>99CE0FAEFC3082071E90B64ABD4CFE15130B8A76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MSIP_Label_79d889eb-932f-4752-8739-64d25806ef64_SiteId">
    <vt:lpwstr>dd0cfd15-4558-4b12-8bad-ea26984fc417</vt:lpwstr>
  </property>
  <property fmtid="{D5CDD505-2E9C-101B-9397-08002B2CF9AE}" pid="28" name="PM_OriginatorDomainName_SHA256">
    <vt:lpwstr>E83A2A66C4061446A7E3732E8D44762184B6B377D962B96C83DC624302585857</vt:lpwstr>
  </property>
  <property fmtid="{D5CDD505-2E9C-101B-9397-08002B2CF9AE}" pid="29" name="MSIP_Label_79d889eb-932f-4752-8739-64d25806ef64_Enabled">
    <vt:lpwstr>true</vt:lpwstr>
  </property>
  <property fmtid="{D5CDD505-2E9C-101B-9397-08002B2CF9AE}" pid="30" name="MSIP_Label_79d889eb-932f-4752-8739-64d25806ef64_Name">
    <vt:lpwstr>79d889eb-932f-4752-8739-64d25806ef64</vt:lpwstr>
  </property>
  <property fmtid="{D5CDD505-2E9C-101B-9397-08002B2CF9AE}" pid="31" name="MSIP_Label_79d889eb-932f-4752-8739-64d25806ef64_Method">
    <vt:lpwstr>Privileged</vt:lpwstr>
  </property>
  <property fmtid="{D5CDD505-2E9C-101B-9397-08002B2CF9AE}" pid="32" name="MSIP_Label_79d889eb-932f-4752-8739-64d25806ef64_ActionId">
    <vt:lpwstr>a60655b7-f30d-49da-b7b4-ad8237dd9e18</vt:lpwstr>
  </property>
  <property fmtid="{D5CDD505-2E9C-101B-9397-08002B2CF9AE}" pid="33" name="MSIP_Label_79d889eb-932f-4752-8739-64d25806ef64_ContentBits">
    <vt:lpwstr>0</vt:lpwstr>
  </property>
</Properties>
</file>