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D0" w:rsidRPr="00BD4B97" w:rsidRDefault="004326D9" w:rsidP="00BD4B97">
      <w:pPr>
        <w:spacing w:line="240" w:lineRule="auto"/>
        <w:rPr>
          <w:rFonts w:ascii="Arial" w:eastAsiaTheme="majorEastAsia" w:hAnsi="Arial" w:cs="Arial"/>
          <w:bCs/>
          <w:color w:val="CF0A2C" w:themeColor="accent1"/>
          <w:spacing w:val="2"/>
          <w:sz w:val="40"/>
          <w:szCs w:val="40"/>
        </w:rPr>
      </w:pPr>
      <w:r>
        <w:rPr>
          <w:rFonts w:ascii="Arial" w:hAnsi="Arial" w:cs="Arial"/>
          <w:color w:val="C00000"/>
          <w:spacing w:val="2"/>
          <w:sz w:val="40"/>
          <w:szCs w:val="40"/>
        </w:rPr>
        <w:t>Future Drought Fund</w:t>
      </w:r>
      <w:r w:rsidR="00AF31D0" w:rsidRPr="00BD4B97">
        <w:rPr>
          <w:rFonts w:ascii="Arial" w:hAnsi="Arial" w:cs="Arial"/>
          <w:color w:val="C00000"/>
          <w:spacing w:val="2"/>
          <w:sz w:val="40"/>
          <w:szCs w:val="40"/>
        </w:rPr>
        <w:t xml:space="preserve"> - The Long-Term Trials of Drought Resilient Farming Practices Program</w:t>
      </w:r>
    </w:p>
    <w:p w:rsidR="00F85F98" w:rsidRPr="00F85F98" w:rsidRDefault="004326D9" w:rsidP="00350344">
      <w:pPr>
        <w:numPr>
          <w:ilvl w:val="1"/>
          <w:numId w:val="0"/>
        </w:numPr>
        <w:pBdr>
          <w:bottom w:val="single" w:sz="4" w:space="8" w:color="000000" w:themeColor="text1"/>
        </w:pBdr>
        <w:spacing w:before="120"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:rsidR="004A7A42" w:rsidRPr="0035405E" w:rsidRDefault="004C56FC" w:rsidP="0039069B">
      <w:pPr>
        <w:spacing w:before="120" w:after="120"/>
        <w:rPr>
          <w:rFonts w:ascii="Arial" w:eastAsiaTheme="majorEastAsia" w:hAnsi="Arial" w:cs="Arial"/>
          <w:bCs/>
          <w:color w:val="auto"/>
          <w:szCs w:val="22"/>
        </w:rPr>
      </w:pPr>
      <w:r>
        <w:rPr>
          <w:color w:val="auto"/>
        </w:rPr>
        <w:t xml:space="preserve">The </w:t>
      </w:r>
      <w:r w:rsidR="000023EC" w:rsidRPr="00510594">
        <w:rPr>
          <w:color w:val="auto"/>
        </w:rPr>
        <w:t xml:space="preserve">Department of Agriculture, Fisheries and Forestry (DAFF) has provided the following </w:t>
      </w:r>
      <w:r w:rsidR="004326D9">
        <w:rPr>
          <w:color w:val="auto"/>
        </w:rPr>
        <w:t>g</w:t>
      </w:r>
      <w:r w:rsidR="000023EC" w:rsidRPr="00510594">
        <w:rPr>
          <w:color w:val="auto"/>
        </w:rPr>
        <w:t xml:space="preserve">eneral </w:t>
      </w:r>
      <w:r w:rsidR="004326D9">
        <w:rPr>
          <w:color w:val="auto"/>
        </w:rPr>
        <w:t>f</w:t>
      </w:r>
      <w:r w:rsidR="000023EC" w:rsidRPr="00510594">
        <w:rPr>
          <w:color w:val="auto"/>
        </w:rPr>
        <w:t xml:space="preserve">eedback for applicants of the Future Drought Fund </w:t>
      </w:r>
      <w:r w:rsidR="000023EC">
        <w:rPr>
          <w:color w:val="auto"/>
        </w:rPr>
        <w:t xml:space="preserve">- </w:t>
      </w:r>
      <w:r w:rsidR="000023EC" w:rsidRPr="00510594">
        <w:rPr>
          <w:color w:val="auto"/>
        </w:rPr>
        <w:t xml:space="preserve">The Long-Term Trials of Drought Resilient Farming Practices </w:t>
      </w:r>
      <w:r w:rsidR="000023EC">
        <w:rPr>
          <w:color w:val="auto"/>
        </w:rPr>
        <w:t xml:space="preserve">Program (the </w:t>
      </w:r>
      <w:r w:rsidR="00811436">
        <w:rPr>
          <w:color w:val="auto"/>
        </w:rPr>
        <w:t>P</w:t>
      </w:r>
      <w:r w:rsidR="000023EC">
        <w:rPr>
          <w:color w:val="auto"/>
        </w:rPr>
        <w:t xml:space="preserve">rogram) </w:t>
      </w:r>
      <w:r w:rsidR="000023EC" w:rsidRPr="00510594">
        <w:rPr>
          <w:color w:val="auto"/>
        </w:rPr>
        <w:t>grant opportunity.</w:t>
      </w:r>
    </w:p>
    <w:p w:rsidR="00F85F98" w:rsidRPr="00BD4B97" w:rsidRDefault="00F85F98" w:rsidP="00F85F98">
      <w:pPr>
        <w:rPr>
          <w:rFonts w:ascii="Arial" w:eastAsiaTheme="majorEastAsia" w:hAnsi="Arial" w:cs="Arial"/>
          <w:bCs/>
          <w:color w:val="C00000"/>
          <w:sz w:val="36"/>
          <w:szCs w:val="28"/>
        </w:rPr>
      </w:pPr>
      <w:r w:rsidRPr="00BD4B97">
        <w:rPr>
          <w:rFonts w:ascii="Arial" w:eastAsiaTheme="majorEastAsia" w:hAnsi="Arial" w:cs="Arial"/>
          <w:bCs/>
          <w:color w:val="C00000"/>
          <w:sz w:val="36"/>
          <w:szCs w:val="28"/>
        </w:rPr>
        <w:t>Overview</w:t>
      </w:r>
    </w:p>
    <w:p w:rsidR="00901A61" w:rsidRDefault="00901A61" w:rsidP="00901A61">
      <w:pPr>
        <w:pStyle w:val="BodyText"/>
      </w:pPr>
      <w:r>
        <w:t>The application period opened on</w:t>
      </w:r>
      <w:r w:rsidRPr="00181DF6">
        <w:rPr>
          <w:color w:val="auto"/>
        </w:rPr>
        <w:t xml:space="preserve"> </w:t>
      </w:r>
      <w:r w:rsidR="00181DF6" w:rsidRPr="00181DF6">
        <w:rPr>
          <w:color w:val="auto"/>
        </w:rPr>
        <w:t xml:space="preserve">17 January 2023 </w:t>
      </w:r>
      <w:r w:rsidRPr="00181DF6">
        <w:rPr>
          <w:color w:val="auto"/>
        </w:rPr>
        <w:t xml:space="preserve">and closed on </w:t>
      </w:r>
      <w:r w:rsidR="00181DF6" w:rsidRPr="00181DF6">
        <w:rPr>
          <w:color w:val="auto"/>
        </w:rPr>
        <w:t>15 March 2023</w:t>
      </w:r>
      <w:r w:rsidR="004C56FC">
        <w:rPr>
          <w:color w:val="auto"/>
        </w:rPr>
        <w:t>.</w:t>
      </w:r>
      <w:r w:rsidRPr="00181DF6">
        <w:rPr>
          <w:color w:val="auto"/>
        </w:rPr>
        <w:t xml:space="preserve"> The grant opportunity received </w:t>
      </w:r>
      <w:r w:rsidR="004C56FC">
        <w:rPr>
          <w:color w:val="auto"/>
        </w:rPr>
        <w:t>95</w:t>
      </w:r>
      <w:r w:rsidR="00A232AB" w:rsidRPr="00181DF6">
        <w:rPr>
          <w:color w:val="auto"/>
        </w:rPr>
        <w:t xml:space="preserve"> applications.</w:t>
      </w:r>
    </w:p>
    <w:p w:rsidR="003F54F9" w:rsidRDefault="003F54F9" w:rsidP="003F54F9">
      <w:pPr>
        <w:pStyle w:val="BodyText"/>
      </w:pPr>
      <w:r>
        <w:t xml:space="preserve">The Future Drought Fund (FDF) is a long-term investment </w:t>
      </w:r>
      <w:r w:rsidR="001116F5">
        <w:t>fund, which provides a sustainable source of funding to help Australian farmers,</w:t>
      </w:r>
      <w:r>
        <w:t xml:space="preserve"> and agricultural-dependent communities and businesses become more prepared for, and resilient to, the impacts of drought.</w:t>
      </w:r>
    </w:p>
    <w:p w:rsidR="003F54F9" w:rsidRPr="00836635" w:rsidRDefault="003F54F9" w:rsidP="003F54F9">
      <w:pPr>
        <w:pStyle w:val="BodyText"/>
        <w:rPr>
          <w:color w:val="auto"/>
        </w:rPr>
      </w:pPr>
      <w:r w:rsidRPr="00836635">
        <w:rPr>
          <w:color w:val="auto"/>
        </w:rPr>
        <w:t>The program’s over-arching objective is to investigate innovative and transformational cropping, grazing and mixed farming practices through the lens of drought resilience and associated risk management.</w:t>
      </w:r>
    </w:p>
    <w:p w:rsidR="003F54F9" w:rsidRPr="00836635" w:rsidRDefault="003F54F9" w:rsidP="003F54F9">
      <w:pPr>
        <w:pStyle w:val="BodyText"/>
        <w:rPr>
          <w:color w:val="auto"/>
        </w:rPr>
      </w:pPr>
      <w:r w:rsidRPr="00836635">
        <w:rPr>
          <w:color w:val="auto"/>
        </w:rPr>
        <w:t>The outcomes of the long-term trials are to:</w:t>
      </w:r>
    </w:p>
    <w:p w:rsidR="003F54F9" w:rsidRPr="00836635" w:rsidRDefault="003F54F9" w:rsidP="003F54F9">
      <w:pPr>
        <w:pStyle w:val="BodyText"/>
        <w:numPr>
          <w:ilvl w:val="0"/>
          <w:numId w:val="16"/>
        </w:numPr>
        <w:rPr>
          <w:color w:val="auto"/>
        </w:rPr>
      </w:pPr>
      <w:r w:rsidRPr="00836635">
        <w:rPr>
          <w:color w:val="auto"/>
        </w:rPr>
        <w:t>increase the capacity of farmers to prepare for, and respond to, future droughts and climate change</w:t>
      </w:r>
    </w:p>
    <w:p w:rsidR="003F54F9" w:rsidRPr="00836635" w:rsidRDefault="003F54F9" w:rsidP="003F54F9">
      <w:pPr>
        <w:pStyle w:val="BodyText"/>
        <w:numPr>
          <w:ilvl w:val="0"/>
          <w:numId w:val="16"/>
        </w:numPr>
        <w:rPr>
          <w:color w:val="auto"/>
        </w:rPr>
      </w:pPr>
      <w:r w:rsidRPr="00836635">
        <w:rPr>
          <w:color w:val="auto"/>
        </w:rPr>
        <w:t>enable farmers and other land managers to experiment with the adoption of innovations that build drought resilience</w:t>
      </w:r>
    </w:p>
    <w:p w:rsidR="003F54F9" w:rsidRPr="00836635" w:rsidRDefault="003F54F9" w:rsidP="003F54F9">
      <w:pPr>
        <w:pStyle w:val="BodyText"/>
        <w:numPr>
          <w:ilvl w:val="0"/>
          <w:numId w:val="16"/>
        </w:numPr>
        <w:rPr>
          <w:color w:val="auto"/>
        </w:rPr>
      </w:pPr>
      <w:r w:rsidRPr="00836635">
        <w:rPr>
          <w:color w:val="auto"/>
        </w:rPr>
        <w:t>establish and strengthen networks between stakeholders to improve knowledge sharing and translation of drought resilience practices, systems, and approaches</w:t>
      </w:r>
    </w:p>
    <w:p w:rsidR="00A232AB" w:rsidRPr="007829AD" w:rsidRDefault="003F54F9" w:rsidP="00901A61">
      <w:pPr>
        <w:pStyle w:val="BodyText"/>
        <w:numPr>
          <w:ilvl w:val="0"/>
          <w:numId w:val="16"/>
        </w:numPr>
        <w:rPr>
          <w:color w:val="auto"/>
        </w:rPr>
      </w:pPr>
      <w:r w:rsidRPr="00836635">
        <w:rPr>
          <w:color w:val="auto"/>
        </w:rPr>
        <w:t>increase the uptake of drought resilience innovations on farms to support reduced exposure to drought risks, and improve economic, environmental, and social resilience to drought.</w:t>
      </w:r>
    </w:p>
    <w:p w:rsidR="004C56FC" w:rsidRDefault="004C56FC">
      <w:pPr>
        <w:spacing w:line="240" w:lineRule="auto"/>
        <w:rPr>
          <w:rFonts w:ascii="Arial" w:eastAsiaTheme="majorEastAsia" w:hAnsi="Arial" w:cs="Arial"/>
          <w:bCs/>
          <w:color w:val="C00000"/>
          <w:sz w:val="36"/>
          <w:szCs w:val="28"/>
        </w:rPr>
      </w:pPr>
      <w:r>
        <w:rPr>
          <w:rFonts w:ascii="Arial" w:eastAsiaTheme="majorEastAsia" w:hAnsi="Arial" w:cs="Arial"/>
          <w:bCs/>
          <w:color w:val="C00000"/>
          <w:sz w:val="36"/>
          <w:szCs w:val="28"/>
        </w:rPr>
        <w:br w:type="page"/>
      </w:r>
    </w:p>
    <w:p w:rsidR="00F85F98" w:rsidRDefault="00F85F98" w:rsidP="00F85F98">
      <w:pPr>
        <w:pStyle w:val="BodyText"/>
        <w:rPr>
          <w:rFonts w:ascii="Arial" w:eastAsiaTheme="majorEastAsia" w:hAnsi="Arial" w:cs="Arial"/>
          <w:bCs/>
          <w:color w:val="C00000"/>
          <w:sz w:val="36"/>
          <w:szCs w:val="28"/>
        </w:rPr>
      </w:pPr>
      <w:r w:rsidRPr="00A232AB">
        <w:rPr>
          <w:rFonts w:ascii="Arial" w:eastAsiaTheme="majorEastAsia" w:hAnsi="Arial" w:cs="Arial"/>
          <w:bCs/>
          <w:color w:val="C00000"/>
          <w:sz w:val="36"/>
          <w:szCs w:val="28"/>
        </w:rPr>
        <w:lastRenderedPageBreak/>
        <w:t xml:space="preserve">Selection </w:t>
      </w:r>
      <w:r w:rsidR="00811436">
        <w:rPr>
          <w:rFonts w:ascii="Arial" w:eastAsiaTheme="majorEastAsia" w:hAnsi="Arial" w:cs="Arial"/>
          <w:bCs/>
          <w:color w:val="C00000"/>
          <w:sz w:val="36"/>
          <w:szCs w:val="28"/>
        </w:rPr>
        <w:t>p</w:t>
      </w:r>
      <w:r w:rsidRPr="00A232AB">
        <w:rPr>
          <w:rFonts w:ascii="Arial" w:eastAsiaTheme="majorEastAsia" w:hAnsi="Arial" w:cs="Arial"/>
          <w:bCs/>
          <w:color w:val="C00000"/>
          <w:sz w:val="36"/>
          <w:szCs w:val="28"/>
        </w:rPr>
        <w:t>rocess</w:t>
      </w:r>
    </w:p>
    <w:p w:rsidR="00A232AB" w:rsidRDefault="00A232AB" w:rsidP="00A232AB">
      <w:pPr>
        <w:pStyle w:val="BodyText"/>
      </w:pPr>
      <w:r>
        <w:t>The Community Grants Hub undertook the screening for organisation eligibility and compliance against the requirements outlined in the Gra</w:t>
      </w:r>
      <w:r w:rsidR="004C56FC">
        <w:t xml:space="preserve">nt Opportunity Guidelines. The </w:t>
      </w:r>
      <w:r w:rsidR="005C37C9">
        <w:t xml:space="preserve">Community Grants </w:t>
      </w:r>
      <w:r w:rsidR="004C56FC">
        <w:t xml:space="preserve">Hub provided relevant </w:t>
      </w:r>
      <w:r>
        <w:t xml:space="preserve">information </w:t>
      </w:r>
      <w:r w:rsidRPr="00B6500A">
        <w:rPr>
          <w:color w:val="auto"/>
        </w:rPr>
        <w:t xml:space="preserve">to </w:t>
      </w:r>
      <w:r w:rsidR="00662228">
        <w:rPr>
          <w:color w:val="auto"/>
        </w:rPr>
        <w:t>DAFF</w:t>
      </w:r>
      <w:r w:rsidR="00FE4A5C">
        <w:rPr>
          <w:color w:val="auto"/>
        </w:rPr>
        <w:t xml:space="preserve"> </w:t>
      </w:r>
      <w:r w:rsidR="004C56FC">
        <w:t xml:space="preserve">for the </w:t>
      </w:r>
      <w:r>
        <w:t>final decision on whether an application did not meet the eligibil</w:t>
      </w:r>
      <w:r w:rsidR="00E86AD5">
        <w:t>ity and/or compliance criteria.</w:t>
      </w:r>
    </w:p>
    <w:p w:rsidR="00A232AB" w:rsidRPr="009827B1" w:rsidRDefault="00FE4A5C" w:rsidP="00A232AB">
      <w:pPr>
        <w:pStyle w:val="BodyText"/>
        <w:rPr>
          <w:color w:val="auto"/>
        </w:rPr>
      </w:pPr>
      <w:r w:rsidRPr="009827B1">
        <w:rPr>
          <w:color w:val="auto"/>
        </w:rPr>
        <w:t>DAFF</w:t>
      </w:r>
      <w:r w:rsidR="00A232AB" w:rsidRPr="009827B1">
        <w:rPr>
          <w:color w:val="auto"/>
        </w:rPr>
        <w:t xml:space="preserve"> assessed and considered all</w:t>
      </w:r>
      <w:r w:rsidR="00E86AD5" w:rsidRPr="009827B1">
        <w:rPr>
          <w:color w:val="auto"/>
        </w:rPr>
        <w:t xml:space="preserve"> </w:t>
      </w:r>
      <w:r w:rsidR="00A232AB" w:rsidRPr="009827B1">
        <w:rPr>
          <w:color w:val="auto"/>
        </w:rPr>
        <w:t>eligible and compliant applications through a</w:t>
      </w:r>
      <w:r w:rsidR="00B37223">
        <w:rPr>
          <w:color w:val="auto"/>
        </w:rPr>
        <w:t>n</w:t>
      </w:r>
      <w:r w:rsidR="00A232AB" w:rsidRPr="009827B1">
        <w:rPr>
          <w:color w:val="auto"/>
        </w:rPr>
        <w:t xml:space="preserve"> Open Competitive</w:t>
      </w:r>
      <w:r w:rsidR="00376FFA" w:rsidRPr="009827B1">
        <w:rPr>
          <w:color w:val="auto"/>
        </w:rPr>
        <w:t xml:space="preserve"> </w:t>
      </w:r>
      <w:r w:rsidR="00A232AB" w:rsidRPr="009827B1">
        <w:rPr>
          <w:color w:val="auto"/>
        </w:rPr>
        <w:t xml:space="preserve">grant process. </w:t>
      </w:r>
      <w:r w:rsidR="000769DF" w:rsidRPr="009827B1">
        <w:rPr>
          <w:color w:val="auto"/>
        </w:rPr>
        <w:t xml:space="preserve">The Selection Advisory Panel </w:t>
      </w:r>
      <w:r w:rsidR="004326D9">
        <w:rPr>
          <w:color w:val="auto"/>
        </w:rPr>
        <w:t xml:space="preserve">(the </w:t>
      </w:r>
      <w:r w:rsidR="00811436">
        <w:rPr>
          <w:color w:val="auto"/>
        </w:rPr>
        <w:t>P</w:t>
      </w:r>
      <w:r w:rsidR="004326D9">
        <w:rPr>
          <w:color w:val="auto"/>
        </w:rPr>
        <w:t xml:space="preserve">anel) </w:t>
      </w:r>
      <w:r w:rsidR="000769DF" w:rsidRPr="009827B1">
        <w:rPr>
          <w:color w:val="auto"/>
        </w:rPr>
        <w:t xml:space="preserve">considered all </w:t>
      </w:r>
      <w:r w:rsidR="009827B1" w:rsidRPr="009827B1">
        <w:rPr>
          <w:color w:val="auto"/>
        </w:rPr>
        <w:t xml:space="preserve">eligible and compliant </w:t>
      </w:r>
      <w:r w:rsidR="000769DF" w:rsidRPr="009827B1">
        <w:rPr>
          <w:color w:val="auto"/>
        </w:rPr>
        <w:t>assessed applications</w:t>
      </w:r>
      <w:r w:rsidR="00A232AB" w:rsidRPr="009827B1">
        <w:rPr>
          <w:color w:val="auto"/>
        </w:rPr>
        <w:t xml:space="preserve">. The </w:t>
      </w:r>
      <w:r w:rsidR="00811436">
        <w:rPr>
          <w:color w:val="auto"/>
        </w:rPr>
        <w:t>P</w:t>
      </w:r>
      <w:r w:rsidR="00A232AB" w:rsidRPr="009827B1">
        <w:rPr>
          <w:color w:val="auto"/>
        </w:rPr>
        <w:t xml:space="preserve">anel, established by </w:t>
      </w:r>
      <w:r w:rsidR="00376FFA" w:rsidRPr="009827B1">
        <w:rPr>
          <w:color w:val="auto"/>
        </w:rPr>
        <w:t>DAFF</w:t>
      </w:r>
      <w:r w:rsidR="009827B1" w:rsidRPr="009827B1">
        <w:rPr>
          <w:color w:val="auto"/>
        </w:rPr>
        <w:t xml:space="preserve"> </w:t>
      </w:r>
      <w:r w:rsidR="00A232AB" w:rsidRPr="009827B1">
        <w:rPr>
          <w:color w:val="auto"/>
        </w:rPr>
        <w:t xml:space="preserve">was comprised of subject matter experts. The </w:t>
      </w:r>
      <w:r w:rsidR="006B7E4F">
        <w:rPr>
          <w:color w:val="auto"/>
        </w:rPr>
        <w:t>P</w:t>
      </w:r>
      <w:r w:rsidR="00A232AB" w:rsidRPr="009827B1">
        <w:rPr>
          <w:color w:val="auto"/>
        </w:rPr>
        <w:t xml:space="preserve">anel assessed applications and provided advice to inform the funding recommendations to the </w:t>
      </w:r>
      <w:r w:rsidR="000769DF" w:rsidRPr="009827B1">
        <w:rPr>
          <w:color w:val="auto"/>
        </w:rPr>
        <w:t xml:space="preserve">Financial </w:t>
      </w:r>
      <w:r w:rsidR="00A232AB" w:rsidRPr="009827B1">
        <w:rPr>
          <w:color w:val="auto"/>
        </w:rPr>
        <w:t>Delegate.</w:t>
      </w:r>
    </w:p>
    <w:p w:rsidR="00E86AD5" w:rsidRPr="006038C2" w:rsidRDefault="000769DF" w:rsidP="00E86AD5">
      <w:pPr>
        <w:pStyle w:val="BodyText"/>
        <w:rPr>
          <w:color w:val="auto"/>
        </w:rPr>
      </w:pPr>
      <w:r w:rsidRPr="006038C2">
        <w:rPr>
          <w:color w:val="auto"/>
        </w:rPr>
        <w:t>Consideration of assessed a</w:t>
      </w:r>
      <w:r w:rsidR="00E86AD5" w:rsidRPr="006038C2">
        <w:rPr>
          <w:color w:val="auto"/>
        </w:rPr>
        <w:t xml:space="preserve">pplications </w:t>
      </w:r>
      <w:r w:rsidRPr="006038C2">
        <w:rPr>
          <w:color w:val="auto"/>
        </w:rPr>
        <w:t>was</w:t>
      </w:r>
      <w:r w:rsidR="00E86AD5" w:rsidRPr="006038C2">
        <w:rPr>
          <w:color w:val="auto"/>
        </w:rPr>
        <w:t xml:space="preserve"> based on:</w:t>
      </w:r>
    </w:p>
    <w:p w:rsidR="006038C2" w:rsidRDefault="004C56FC" w:rsidP="006038C2">
      <w:pPr>
        <w:pStyle w:val="BodyText"/>
        <w:numPr>
          <w:ilvl w:val="0"/>
          <w:numId w:val="17"/>
        </w:numPr>
        <w:rPr>
          <w:color w:val="auto"/>
        </w:rPr>
      </w:pPr>
      <w:r>
        <w:rPr>
          <w:color w:val="auto"/>
        </w:rPr>
        <w:t>how well it met</w:t>
      </w:r>
      <w:r w:rsidR="006038C2" w:rsidRPr="00510594">
        <w:rPr>
          <w:color w:val="auto"/>
        </w:rPr>
        <w:t xml:space="preserve"> the </w:t>
      </w:r>
      <w:r w:rsidR="0023676E">
        <w:rPr>
          <w:color w:val="auto"/>
        </w:rPr>
        <w:t xml:space="preserve">assessment </w:t>
      </w:r>
      <w:r>
        <w:rPr>
          <w:color w:val="auto"/>
        </w:rPr>
        <w:t>criterion</w:t>
      </w:r>
    </w:p>
    <w:p w:rsidR="00F82AE7" w:rsidRDefault="00F82AE7" w:rsidP="00F82AE7">
      <w:pPr>
        <w:pStyle w:val="BodyText"/>
        <w:numPr>
          <w:ilvl w:val="0"/>
          <w:numId w:val="14"/>
        </w:numPr>
        <w:rPr>
          <w:color w:val="auto"/>
        </w:rPr>
      </w:pPr>
      <w:r w:rsidRPr="002B0AF1">
        <w:rPr>
          <w:color w:val="auto"/>
        </w:rPr>
        <w:t xml:space="preserve">the extent to which the evidence in the application demonstrates </w:t>
      </w:r>
      <w:r w:rsidR="004C56FC">
        <w:rPr>
          <w:color w:val="auto"/>
        </w:rPr>
        <w:t>how it would</w:t>
      </w:r>
      <w:r w:rsidRPr="002B0AF1">
        <w:rPr>
          <w:color w:val="auto"/>
        </w:rPr>
        <w:t xml:space="preserve"> contribute to meeting the outcomes</w:t>
      </w:r>
      <w:r w:rsidR="004C56FC">
        <w:rPr>
          <w:color w:val="auto"/>
        </w:rPr>
        <w:t xml:space="preserve"> and </w:t>
      </w:r>
      <w:r w:rsidRPr="002B0AF1">
        <w:rPr>
          <w:color w:val="auto"/>
        </w:rPr>
        <w:t>objectives of the program</w:t>
      </w:r>
      <w:r>
        <w:rPr>
          <w:color w:val="auto"/>
        </w:rPr>
        <w:t xml:space="preserve"> including the drought focussed innovative approach</w:t>
      </w:r>
    </w:p>
    <w:p w:rsidR="006038C2" w:rsidRPr="002B0AF1" w:rsidRDefault="006038C2" w:rsidP="006038C2">
      <w:pPr>
        <w:pStyle w:val="BodyText"/>
        <w:numPr>
          <w:ilvl w:val="0"/>
          <w:numId w:val="14"/>
        </w:numPr>
        <w:rPr>
          <w:color w:val="auto"/>
        </w:rPr>
      </w:pPr>
      <w:r w:rsidRPr="002B0AF1">
        <w:rPr>
          <w:color w:val="auto"/>
        </w:rPr>
        <w:t>alignment with both the FDF’s Funding Plan and the program’s outcomes</w:t>
      </w:r>
      <w:r w:rsidR="004C56FC">
        <w:rPr>
          <w:color w:val="auto"/>
        </w:rPr>
        <w:t xml:space="preserve"> and objectives</w:t>
      </w:r>
    </w:p>
    <w:p w:rsidR="006038C2" w:rsidRPr="002B0AF1" w:rsidRDefault="006038C2" w:rsidP="006038C2">
      <w:pPr>
        <w:pStyle w:val="BodyText"/>
        <w:numPr>
          <w:ilvl w:val="0"/>
          <w:numId w:val="14"/>
        </w:numPr>
        <w:rPr>
          <w:color w:val="auto"/>
        </w:rPr>
      </w:pPr>
      <w:r w:rsidRPr="002B0AF1">
        <w:rPr>
          <w:color w:val="auto"/>
        </w:rPr>
        <w:t xml:space="preserve">how the grant activities </w:t>
      </w:r>
      <w:r w:rsidR="004C56FC">
        <w:rPr>
          <w:color w:val="auto"/>
        </w:rPr>
        <w:t>would</w:t>
      </w:r>
      <w:r w:rsidRPr="002B0AF1">
        <w:rPr>
          <w:color w:val="auto"/>
        </w:rPr>
        <w:t xml:space="preserve"> </w:t>
      </w:r>
      <w:r>
        <w:rPr>
          <w:color w:val="auto"/>
        </w:rPr>
        <w:t xml:space="preserve">include farmers and promote wider adoption of practices, </w:t>
      </w:r>
      <w:r w:rsidR="00680B0D">
        <w:rPr>
          <w:color w:val="auto"/>
        </w:rPr>
        <w:t>systems,</w:t>
      </w:r>
      <w:r>
        <w:rPr>
          <w:color w:val="auto"/>
        </w:rPr>
        <w:t xml:space="preserve"> and approaches across farming sectors</w:t>
      </w:r>
    </w:p>
    <w:p w:rsidR="00FC63EB" w:rsidRPr="005125A4" w:rsidRDefault="004C56FC" w:rsidP="00FC63EB">
      <w:pPr>
        <w:pStyle w:val="BodyText"/>
        <w:numPr>
          <w:ilvl w:val="0"/>
          <w:numId w:val="14"/>
        </w:numPr>
        <w:rPr>
          <w:color w:val="auto"/>
        </w:rPr>
      </w:pPr>
      <w:r>
        <w:rPr>
          <w:color w:val="auto"/>
        </w:rPr>
        <w:t>whether it provided</w:t>
      </w:r>
      <w:r w:rsidR="00FC63EB" w:rsidRPr="00510594">
        <w:rPr>
          <w:color w:val="auto"/>
        </w:rPr>
        <w:t xml:space="preserve"> value with relevant money</w:t>
      </w:r>
    </w:p>
    <w:p w:rsidR="00EF1229" w:rsidRPr="00510594" w:rsidRDefault="004C56FC" w:rsidP="00EF1229">
      <w:pPr>
        <w:pStyle w:val="BodyText"/>
        <w:numPr>
          <w:ilvl w:val="0"/>
          <w:numId w:val="14"/>
        </w:numPr>
        <w:rPr>
          <w:color w:val="auto"/>
        </w:rPr>
      </w:pPr>
      <w:r>
        <w:rPr>
          <w:color w:val="auto"/>
        </w:rPr>
        <w:t>how it compared</w:t>
      </w:r>
      <w:r w:rsidR="00EF1229" w:rsidRPr="00510594">
        <w:rPr>
          <w:color w:val="auto"/>
        </w:rPr>
        <w:t xml:space="preserve"> to other applications </w:t>
      </w:r>
      <w:r>
        <w:rPr>
          <w:color w:val="auto"/>
        </w:rPr>
        <w:t>and</w:t>
      </w:r>
    </w:p>
    <w:p w:rsidR="00E86AD5" w:rsidRPr="004C56FC" w:rsidRDefault="006038C2" w:rsidP="004C56FC">
      <w:pPr>
        <w:pStyle w:val="BodyText"/>
        <w:numPr>
          <w:ilvl w:val="0"/>
          <w:numId w:val="14"/>
        </w:numPr>
        <w:rPr>
          <w:color w:val="auto"/>
        </w:rPr>
      </w:pPr>
      <w:r w:rsidRPr="004C56FC">
        <w:rPr>
          <w:color w:val="auto"/>
        </w:rPr>
        <w:t>the risks</w:t>
      </w:r>
      <w:r w:rsidR="004C56FC">
        <w:rPr>
          <w:color w:val="auto"/>
        </w:rPr>
        <w:t xml:space="preserve"> </w:t>
      </w:r>
      <w:r w:rsidR="004C56FC" w:rsidRPr="002B0AF1">
        <w:rPr>
          <w:color w:val="auto"/>
        </w:rPr>
        <w:t>that the applicant or project pose</w:t>
      </w:r>
      <w:r w:rsidR="004C56FC">
        <w:rPr>
          <w:color w:val="auto"/>
        </w:rPr>
        <w:t>d</w:t>
      </w:r>
      <w:r w:rsidR="004C56FC" w:rsidRPr="002B0AF1">
        <w:rPr>
          <w:color w:val="auto"/>
        </w:rPr>
        <w:t xml:space="preserve"> for the department</w:t>
      </w:r>
      <w:r w:rsidR="004C56FC">
        <w:rPr>
          <w:color w:val="auto"/>
        </w:rPr>
        <w:t xml:space="preserve"> and the Commonwealth including financial, fraud and other.</w:t>
      </w:r>
    </w:p>
    <w:p w:rsidR="004C56FC" w:rsidRPr="004C56FC" w:rsidRDefault="004C56FC" w:rsidP="00E86AD5">
      <w:pPr>
        <w:pStyle w:val="BodyText"/>
      </w:pPr>
      <w:r>
        <w:t>Each applicant was required to address the following selection criterion:</w:t>
      </w:r>
    </w:p>
    <w:p w:rsidR="00E86AD5" w:rsidRPr="0036517D" w:rsidRDefault="00E86AD5" w:rsidP="00E86AD5">
      <w:pPr>
        <w:pStyle w:val="BodyText"/>
        <w:rPr>
          <w:b/>
          <w:szCs w:val="22"/>
        </w:rPr>
      </w:pPr>
      <w:r w:rsidRPr="0036517D">
        <w:rPr>
          <w:rFonts w:cs="Arial"/>
          <w:b/>
          <w:bCs/>
          <w:szCs w:val="22"/>
          <w:lang w:eastAsia="en-AU"/>
        </w:rPr>
        <w:t xml:space="preserve">Criterion 1: </w:t>
      </w:r>
      <w:r w:rsidR="00E12FFE" w:rsidRPr="0036517D">
        <w:rPr>
          <w:b/>
          <w:bCs/>
        </w:rPr>
        <w:t>Briefly describe the innovative approach you propose to bring to the design of a Long-term Trial</w:t>
      </w:r>
      <w:r w:rsidR="006B7E4F">
        <w:rPr>
          <w:b/>
          <w:bCs/>
        </w:rPr>
        <w:t>.</w:t>
      </w:r>
    </w:p>
    <w:p w:rsidR="00E86AD5" w:rsidRPr="00E57039" w:rsidRDefault="00E86AD5" w:rsidP="00E86AD5">
      <w:pPr>
        <w:pStyle w:val="BodyText"/>
        <w:rPr>
          <w:b/>
          <w:bCs/>
          <w:szCs w:val="22"/>
        </w:rPr>
      </w:pPr>
      <w:r w:rsidRPr="0036517D">
        <w:rPr>
          <w:rFonts w:cs="Arial"/>
          <w:b/>
          <w:bCs/>
          <w:szCs w:val="22"/>
          <w:lang w:eastAsia="en-AU"/>
        </w:rPr>
        <w:t xml:space="preserve">Criterion </w:t>
      </w:r>
      <w:r w:rsidRPr="00B03641">
        <w:rPr>
          <w:rFonts w:cs="Arial"/>
          <w:b/>
          <w:bCs/>
          <w:szCs w:val="22"/>
          <w:lang w:eastAsia="en-AU"/>
        </w:rPr>
        <w:t xml:space="preserve">2: </w:t>
      </w:r>
      <w:r w:rsidR="00E57039" w:rsidRPr="00B03641">
        <w:rPr>
          <w:b/>
          <w:bCs/>
        </w:rPr>
        <w:t>Describe</w:t>
      </w:r>
      <w:r w:rsidR="00E57039" w:rsidRPr="00E57039">
        <w:rPr>
          <w:b/>
          <w:bCs/>
        </w:rPr>
        <w:t xml:space="preserve"> the specific elements of your project which contributes to drought resilience in Australian agriculture and the objectives of the Future Drought Fund</w:t>
      </w:r>
      <w:r w:rsidR="006B7E4F">
        <w:rPr>
          <w:b/>
          <w:bCs/>
        </w:rPr>
        <w:t>.</w:t>
      </w:r>
    </w:p>
    <w:p w:rsidR="00E86AD5" w:rsidRPr="00B03641" w:rsidRDefault="00E86AD5" w:rsidP="00E86AD5">
      <w:pPr>
        <w:pStyle w:val="ListBullet"/>
        <w:numPr>
          <w:ilvl w:val="0"/>
          <w:numId w:val="0"/>
        </w:numPr>
        <w:rPr>
          <w:b/>
          <w:bCs/>
          <w:sz w:val="22"/>
          <w:szCs w:val="22"/>
        </w:rPr>
      </w:pPr>
      <w:r w:rsidRPr="00B03641">
        <w:rPr>
          <w:rFonts w:cs="Arial"/>
          <w:b/>
          <w:bCs/>
          <w:sz w:val="22"/>
          <w:szCs w:val="22"/>
          <w:lang w:eastAsia="en-AU"/>
        </w:rPr>
        <w:t xml:space="preserve">Criterion 3: </w:t>
      </w:r>
      <w:r w:rsidR="009F4B05" w:rsidRPr="00B03641">
        <w:rPr>
          <w:b/>
          <w:bCs/>
          <w:sz w:val="22"/>
          <w:szCs w:val="22"/>
        </w:rPr>
        <w:t>Describe the capability of your proposed team to deliver the project</w:t>
      </w:r>
      <w:r w:rsidR="006B7E4F">
        <w:rPr>
          <w:b/>
          <w:bCs/>
          <w:sz w:val="22"/>
          <w:szCs w:val="22"/>
        </w:rPr>
        <w:t>.</w:t>
      </w:r>
    </w:p>
    <w:p w:rsidR="00E86AD5" w:rsidRPr="00B03641" w:rsidRDefault="00E86AD5" w:rsidP="00E86AD5">
      <w:pPr>
        <w:pStyle w:val="ListBullet"/>
        <w:numPr>
          <w:ilvl w:val="0"/>
          <w:numId w:val="0"/>
        </w:numPr>
        <w:rPr>
          <w:b/>
          <w:bCs/>
          <w:sz w:val="22"/>
          <w:szCs w:val="22"/>
        </w:rPr>
      </w:pPr>
      <w:r w:rsidRPr="00B03641">
        <w:rPr>
          <w:b/>
          <w:bCs/>
          <w:sz w:val="22"/>
          <w:szCs w:val="22"/>
        </w:rPr>
        <w:t xml:space="preserve">Criterion 4: </w:t>
      </w:r>
      <w:r w:rsidR="00B03641" w:rsidRPr="00B03641">
        <w:rPr>
          <w:rStyle w:val="BodyTextChar"/>
          <w:b/>
          <w:bCs/>
        </w:rPr>
        <w:t>Describe how your proposed activities represent value for money</w:t>
      </w:r>
      <w:r w:rsidR="006B7E4F">
        <w:rPr>
          <w:rStyle w:val="BodyTextChar"/>
          <w:b/>
          <w:bCs/>
        </w:rPr>
        <w:t>.</w:t>
      </w:r>
    </w:p>
    <w:p w:rsidR="00E86AD5" w:rsidRPr="00942976" w:rsidRDefault="004C56FC" w:rsidP="00E86AD5">
      <w:pPr>
        <w:pStyle w:val="BodyText"/>
        <w:rPr>
          <w:color w:val="auto"/>
        </w:rPr>
      </w:pPr>
      <w:r>
        <w:rPr>
          <w:color w:val="auto"/>
        </w:rPr>
        <w:t>The preferred applicants</w:t>
      </w:r>
      <w:r w:rsidR="00E86AD5" w:rsidRPr="00942976">
        <w:rPr>
          <w:color w:val="auto"/>
        </w:rPr>
        <w:t xml:space="preserve"> demonstrated </w:t>
      </w:r>
      <w:r w:rsidR="001116F5">
        <w:rPr>
          <w:color w:val="auto"/>
        </w:rPr>
        <w:t xml:space="preserve">their </w:t>
      </w:r>
      <w:r w:rsidR="00E86AD5" w:rsidRPr="00942976">
        <w:rPr>
          <w:color w:val="auto"/>
        </w:rPr>
        <w:t>ability to meet the grant requirements outlined in the Grant Opportunity Guidelines</w:t>
      </w:r>
      <w:r w:rsidR="001116F5">
        <w:rPr>
          <w:color w:val="auto"/>
        </w:rPr>
        <w:t xml:space="preserve"> </w:t>
      </w:r>
      <w:r w:rsidR="001116F5" w:rsidRPr="00942976">
        <w:rPr>
          <w:color w:val="auto"/>
        </w:rPr>
        <w:t>based on the strength of their respo</w:t>
      </w:r>
      <w:r w:rsidR="001116F5">
        <w:rPr>
          <w:color w:val="auto"/>
        </w:rPr>
        <w:t>nses to the selection criterion.</w:t>
      </w:r>
    </w:p>
    <w:p w:rsidR="00E86AD5" w:rsidRDefault="001116F5" w:rsidP="00E86AD5">
      <w:pPr>
        <w:pStyle w:val="BodyText"/>
      </w:pPr>
      <w:r>
        <w:rPr>
          <w:rStyle w:val="ui-provider"/>
        </w:rPr>
        <w:t>The Community Grants Hub notified applicants of the outcome in writing, where their a</w:t>
      </w:r>
      <w:r w:rsidR="000769DF" w:rsidRPr="007619FC">
        <w:rPr>
          <w:rStyle w:val="ui-provider"/>
        </w:rPr>
        <w:t>pplications</w:t>
      </w:r>
      <w:r w:rsidR="00E86AD5" w:rsidRPr="007619FC">
        <w:rPr>
          <w:rStyle w:val="ui-provider"/>
        </w:rPr>
        <w:t xml:space="preserve"> did not meet the requirements </w:t>
      </w:r>
      <w:r w:rsidR="000769DF" w:rsidRPr="007619FC">
        <w:rPr>
          <w:rStyle w:val="ui-provider"/>
        </w:rPr>
        <w:t xml:space="preserve">outlined in the </w:t>
      </w:r>
      <w:r w:rsidR="00E86AD5" w:rsidRPr="007619FC">
        <w:rPr>
          <w:rStyle w:val="ui-provider"/>
        </w:rPr>
        <w:t>Grant Opportunity Guidelines</w:t>
      </w:r>
      <w:r>
        <w:rPr>
          <w:rStyle w:val="ui-provider"/>
        </w:rPr>
        <w:t>.</w:t>
      </w:r>
    </w:p>
    <w:p w:rsidR="001116F5" w:rsidRDefault="001116F5">
      <w:pPr>
        <w:spacing w:line="240" w:lineRule="auto"/>
        <w:rPr>
          <w:rFonts w:ascii="Arial" w:eastAsiaTheme="majorEastAsia" w:hAnsi="Arial" w:cs="Arial"/>
          <w:bCs/>
          <w:color w:val="CF0A2C" w:themeColor="accent1"/>
          <w:sz w:val="36"/>
          <w:szCs w:val="28"/>
        </w:rPr>
      </w:pPr>
      <w:r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br w:type="page"/>
      </w:r>
    </w:p>
    <w:p w:rsidR="00F85F98" w:rsidRPr="009A2F51" w:rsidRDefault="00F85F98" w:rsidP="00F85F98">
      <w:pPr>
        <w:rPr>
          <w:rFonts w:ascii="Arial" w:eastAsiaTheme="majorEastAsia" w:hAnsi="Arial" w:cs="Arial"/>
          <w:bCs/>
          <w:color w:val="CF0A2C" w:themeColor="accent1"/>
          <w:sz w:val="36"/>
          <w:szCs w:val="28"/>
        </w:rPr>
      </w:pPr>
      <w:r w:rsidRPr="009A2F51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lastRenderedPageBreak/>
        <w:t xml:space="preserve">Selection </w:t>
      </w:r>
      <w:r w:rsidR="00811436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t>r</w:t>
      </w:r>
      <w:r w:rsidRPr="009A2F51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t>esults</w:t>
      </w:r>
    </w:p>
    <w:p w:rsidR="007F00B8" w:rsidRDefault="007F00B8" w:rsidP="007F00B8">
      <w:pPr>
        <w:pStyle w:val="BodyText"/>
      </w:pPr>
      <w:r>
        <w:t xml:space="preserve">There was a strong interest in the </w:t>
      </w:r>
      <w:r w:rsidR="006B7E4F">
        <w:t>P</w:t>
      </w:r>
      <w:r>
        <w:t xml:space="preserve">rogram and applications were of a high standard. </w:t>
      </w:r>
      <w:r w:rsidR="000A57BC">
        <w:t xml:space="preserve">Assessment of </w:t>
      </w:r>
      <w:r w:rsidR="004D59D4">
        <w:t>a</w:t>
      </w:r>
      <w:r>
        <w:t>pplications w</w:t>
      </w:r>
      <w:r w:rsidR="000A57BC">
        <w:t xml:space="preserve">as in accordance </w:t>
      </w:r>
      <w:r w:rsidR="008B291A">
        <w:t>with</w:t>
      </w:r>
      <w:r w:rsidR="000A57BC">
        <w:t xml:space="preserve"> </w:t>
      </w:r>
      <w:r>
        <w:t xml:space="preserve">the procedure detailed in the Grant Opportunity Guidelines and outlined in the </w:t>
      </w:r>
      <w:r w:rsidR="00811436">
        <w:t>s</w:t>
      </w:r>
      <w:r>
        <w:t xml:space="preserve">election </w:t>
      </w:r>
      <w:r w:rsidR="00811436">
        <w:t>p</w:t>
      </w:r>
      <w:r>
        <w:t>rocess above.</w:t>
      </w:r>
    </w:p>
    <w:p w:rsidR="007F00B8" w:rsidRDefault="007F00B8" w:rsidP="007F00B8">
      <w:pPr>
        <w:pStyle w:val="BodyText"/>
      </w:pPr>
      <w:r>
        <w:t xml:space="preserve">This feedback is to assist grant applicants to understand </w:t>
      </w:r>
      <w:r w:rsidR="000A57BC">
        <w:t xml:space="preserve">for this grant opportunity </w:t>
      </w:r>
      <w:r>
        <w:t>what generally comprised a strong application and the content of quality responses to the assessment criteria.</w:t>
      </w:r>
    </w:p>
    <w:p w:rsidR="007F00B8" w:rsidRDefault="000A57BC" w:rsidP="007F00B8">
      <w:pPr>
        <w:pStyle w:val="BodyText"/>
      </w:pPr>
      <w:r>
        <w:t>Provided below is f</w:t>
      </w:r>
      <w:r w:rsidR="007F00B8">
        <w:rPr>
          <w:szCs w:val="22"/>
        </w:rPr>
        <w:t>urther detail about what constituted a strong response to each criterion.</w:t>
      </w:r>
    </w:p>
    <w:p w:rsidR="00F85F98" w:rsidRPr="007F00B8" w:rsidRDefault="00F85F98" w:rsidP="007F00B8">
      <w:pPr>
        <w:pStyle w:val="BodyText"/>
        <w:rPr>
          <w:b/>
        </w:rPr>
      </w:pPr>
      <w:r w:rsidRPr="007F00B8">
        <w:rPr>
          <w:b/>
        </w:rPr>
        <w:t>Criterion 1</w:t>
      </w:r>
    </w:p>
    <w:p w:rsidR="00E74112" w:rsidRDefault="00E74112" w:rsidP="006425B8">
      <w:pPr>
        <w:pStyle w:val="BodyText"/>
        <w:rPr>
          <w:b/>
        </w:rPr>
      </w:pPr>
      <w:r w:rsidRPr="00D435BA">
        <w:rPr>
          <w:b/>
        </w:rPr>
        <w:t>Briefly describe the innovative approach you propose to bring to the design of a Long-term Trial (15%)</w:t>
      </w:r>
    </w:p>
    <w:p w:rsidR="00D24128" w:rsidRPr="00323065" w:rsidRDefault="00D24128" w:rsidP="00D24128">
      <w:r w:rsidRPr="00627D0D">
        <w:rPr>
          <w:lang w:val="en-GB"/>
        </w:rPr>
        <w:t>When addressing the criterion, strong applicants will</w:t>
      </w:r>
      <w:r w:rsidRPr="00627D0D">
        <w:t>:</w:t>
      </w:r>
    </w:p>
    <w:p w:rsidR="00E74112" w:rsidRPr="00E803E7" w:rsidRDefault="005C37C9" w:rsidP="00503385">
      <w:pPr>
        <w:pStyle w:val="Default"/>
        <w:numPr>
          <w:ilvl w:val="0"/>
          <w:numId w:val="19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p</w:t>
      </w:r>
      <w:r w:rsidR="00E74112" w:rsidRPr="00E803E7">
        <w:rPr>
          <w:sz w:val="22"/>
          <w:szCs w:val="22"/>
        </w:rPr>
        <w:t>rovide</w:t>
      </w:r>
      <w:r w:rsidR="00E74112">
        <w:rPr>
          <w:sz w:val="22"/>
          <w:szCs w:val="22"/>
        </w:rPr>
        <w:t>d</w:t>
      </w:r>
      <w:r w:rsidR="00E74112" w:rsidRPr="00E803E7">
        <w:rPr>
          <w:sz w:val="22"/>
          <w:szCs w:val="22"/>
        </w:rPr>
        <w:t xml:space="preserve"> a project </w:t>
      </w:r>
      <w:r w:rsidR="001128F6" w:rsidRPr="00E803E7">
        <w:rPr>
          <w:sz w:val="22"/>
          <w:szCs w:val="22"/>
        </w:rPr>
        <w:t>synopsis, which</w:t>
      </w:r>
      <w:r w:rsidR="00E74112" w:rsidRPr="00E803E7">
        <w:rPr>
          <w:sz w:val="22"/>
          <w:szCs w:val="22"/>
        </w:rPr>
        <w:t xml:space="preserve"> describe</w:t>
      </w:r>
      <w:r w:rsidR="00E74112">
        <w:rPr>
          <w:sz w:val="22"/>
          <w:szCs w:val="22"/>
        </w:rPr>
        <w:t>d</w:t>
      </w:r>
      <w:r w:rsidR="00E74112" w:rsidRPr="00E803E7">
        <w:rPr>
          <w:sz w:val="22"/>
          <w:szCs w:val="22"/>
        </w:rPr>
        <w:t xml:space="preserve"> the critical questions that the long-term trial seeks to answer and the proposed scope and scale of the impact on drought resilience. </w:t>
      </w:r>
      <w:r w:rsidR="001128F6">
        <w:rPr>
          <w:sz w:val="22"/>
          <w:szCs w:val="22"/>
        </w:rPr>
        <w:t>Applications h</w:t>
      </w:r>
      <w:r w:rsidR="00E74112" w:rsidRPr="00E803E7">
        <w:rPr>
          <w:sz w:val="22"/>
          <w:szCs w:val="22"/>
        </w:rPr>
        <w:t>ighlight</w:t>
      </w:r>
      <w:r w:rsidR="00E74112">
        <w:rPr>
          <w:sz w:val="22"/>
          <w:szCs w:val="22"/>
        </w:rPr>
        <w:t>ed</w:t>
      </w:r>
      <w:r w:rsidR="00E74112" w:rsidRPr="00E803E7">
        <w:rPr>
          <w:sz w:val="22"/>
          <w:szCs w:val="22"/>
        </w:rPr>
        <w:t xml:space="preserve"> the innovative nature of </w:t>
      </w:r>
      <w:r w:rsidR="00E74112">
        <w:rPr>
          <w:sz w:val="22"/>
          <w:szCs w:val="22"/>
        </w:rPr>
        <w:t>the</w:t>
      </w:r>
      <w:r w:rsidR="00E74112" w:rsidRPr="00E803E7">
        <w:rPr>
          <w:sz w:val="22"/>
          <w:szCs w:val="22"/>
        </w:rPr>
        <w:t xml:space="preserve"> proposal and its use of contemporary best practice methodologies</w:t>
      </w:r>
    </w:p>
    <w:p w:rsidR="001128F6" w:rsidRPr="00D5357C" w:rsidRDefault="005C37C9" w:rsidP="00D5357C">
      <w:pPr>
        <w:pStyle w:val="Default"/>
        <w:numPr>
          <w:ilvl w:val="0"/>
          <w:numId w:val="18"/>
        </w:numPr>
        <w:spacing w:before="120" w:after="240" w:line="280" w:lineRule="atLeast"/>
        <w:ind w:left="363" w:hanging="357"/>
        <w:rPr>
          <w:sz w:val="22"/>
          <w:szCs w:val="22"/>
        </w:rPr>
      </w:pPr>
      <w:r>
        <w:rPr>
          <w:sz w:val="22"/>
          <w:szCs w:val="22"/>
        </w:rPr>
        <w:t>b</w:t>
      </w:r>
      <w:r w:rsidR="00E74112" w:rsidRPr="00503385">
        <w:rPr>
          <w:sz w:val="22"/>
          <w:szCs w:val="22"/>
        </w:rPr>
        <w:t>riefly described the extent to which the project will contribute to an important gap in knowledge or significant problem</w:t>
      </w:r>
      <w:r w:rsidR="001128F6">
        <w:rPr>
          <w:sz w:val="22"/>
          <w:szCs w:val="22"/>
        </w:rPr>
        <w:t>s</w:t>
      </w:r>
      <w:r w:rsidR="00E74112" w:rsidRPr="00503385">
        <w:rPr>
          <w:sz w:val="22"/>
          <w:szCs w:val="22"/>
        </w:rPr>
        <w:t xml:space="preserve"> in Australia, and outline</w:t>
      </w:r>
      <w:r w:rsidR="004D59D4" w:rsidRPr="00503385">
        <w:rPr>
          <w:sz w:val="22"/>
          <w:szCs w:val="22"/>
        </w:rPr>
        <w:t>d</w:t>
      </w:r>
      <w:r w:rsidR="00E74112" w:rsidRPr="00503385">
        <w:rPr>
          <w:sz w:val="22"/>
          <w:szCs w:val="22"/>
        </w:rPr>
        <w:t xml:space="preserve"> the project's alignment to, not duplication of, other drought resilience activities.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Table contains items for Criterion 1"/>
        <w:tblDescription w:val="&#10;"/>
      </w:tblPr>
      <w:tblGrid>
        <w:gridCol w:w="9639"/>
      </w:tblGrid>
      <w:tr w:rsidR="001128F6" w:rsidTr="008F1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1128F6" w:rsidRPr="00454EB4" w:rsidRDefault="001128F6" w:rsidP="00503385">
            <w:pPr>
              <w:spacing w:after="120"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</w:tr>
      <w:tr w:rsidR="001128F6" w:rsidTr="0011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vAlign w:val="center"/>
          </w:tcPr>
          <w:p w:rsidR="001128F6" w:rsidRPr="00563F88" w:rsidRDefault="001128F6" w:rsidP="00811436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</w:t>
            </w:r>
            <w:r w:rsidRPr="00A0261B">
              <w:rPr>
                <w:rFonts w:ascii="Arial" w:eastAsia="Arial" w:hAnsi="Arial" w:cs="Arial"/>
                <w:color w:val="auto"/>
              </w:rPr>
              <w:t>applica</w:t>
            </w:r>
            <w:r>
              <w:rPr>
                <w:rFonts w:ascii="Arial" w:eastAsia="Arial" w:hAnsi="Arial" w:cs="Arial"/>
                <w:color w:val="auto"/>
              </w:rPr>
              <w:t>tions</w:t>
            </w:r>
            <w:r w:rsidRPr="00A0261B">
              <w:rPr>
                <w:rFonts w:ascii="Arial" w:eastAsia="Arial" w:hAnsi="Arial" w:cs="Arial"/>
                <w:color w:val="auto"/>
              </w:rPr>
              <w:t xml:space="preserve"> provided </w:t>
            </w:r>
            <w:r>
              <w:rPr>
                <w:rFonts w:ascii="Arial" w:eastAsia="Arial" w:hAnsi="Arial" w:cs="Arial"/>
                <w:color w:val="auto"/>
              </w:rPr>
              <w:t>a</w:t>
            </w:r>
            <w:r w:rsidRPr="00A0261B">
              <w:rPr>
                <w:rFonts w:ascii="Arial" w:eastAsia="Arial" w:hAnsi="Arial" w:cs="Arial"/>
                <w:color w:val="auto"/>
              </w:rPr>
              <w:t xml:space="preserve"> well-developed </w:t>
            </w:r>
            <w:r>
              <w:rPr>
                <w:rFonts w:ascii="Arial" w:eastAsia="Arial" w:hAnsi="Arial" w:cs="Arial"/>
                <w:color w:val="auto"/>
              </w:rPr>
              <w:t xml:space="preserve">succinct </w:t>
            </w:r>
            <w:r w:rsidRPr="00A0261B">
              <w:rPr>
                <w:rFonts w:ascii="Arial" w:eastAsia="Arial" w:hAnsi="Arial" w:cs="Arial"/>
                <w:color w:val="auto"/>
              </w:rPr>
              <w:t>project synopsis including scope and scale of impact on drought resilience, identifying the innovative nature and use of best practices methodologies</w:t>
            </w:r>
            <w:r w:rsidR="008C7B9D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128F6" w:rsidTr="001128F6">
        <w:tc>
          <w:tcPr>
            <w:tcW w:w="9639" w:type="dxa"/>
            <w:vAlign w:val="center"/>
          </w:tcPr>
          <w:p w:rsidR="001128F6" w:rsidRPr="00563F88" w:rsidRDefault="001128F6" w:rsidP="00811436">
            <w:pPr>
              <w:spacing w:before="120" w:after="120" w:line="240" w:lineRule="auto"/>
              <w:ind w:left="142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>Strong applica</w:t>
            </w:r>
            <w:r>
              <w:rPr>
                <w:rFonts w:ascii="Arial" w:eastAsia="Arial" w:hAnsi="Arial" w:cs="Arial"/>
                <w:color w:val="auto"/>
                <w:szCs w:val="22"/>
              </w:rPr>
              <w:t>tions</w:t>
            </w: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>
              <w:t>were required to identify the projects unique innovative approach and how the project may complement and/or add value to other drought focussed research trials</w:t>
            </w:r>
            <w:r w:rsidR="006B7E4F">
              <w:t>.</w:t>
            </w:r>
          </w:p>
        </w:tc>
      </w:tr>
      <w:tr w:rsidR="001128F6" w:rsidTr="0011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vAlign w:val="center"/>
          </w:tcPr>
          <w:p w:rsidR="001128F6" w:rsidRPr="00563F88" w:rsidRDefault="001128F6" w:rsidP="00811436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provided a well-developed and clearly articulated summary of both the innovative approach to be trialled and the value to the current suite of drought resilience knowledge and practices.</w:t>
            </w:r>
          </w:p>
        </w:tc>
      </w:tr>
    </w:tbl>
    <w:p w:rsidR="00A24F65" w:rsidRDefault="00A24F65" w:rsidP="00F85F98">
      <w:pPr>
        <w:pStyle w:val="Heading2"/>
      </w:pPr>
    </w:p>
    <w:p w:rsidR="00E54352" w:rsidRDefault="00A24F65" w:rsidP="00503385">
      <w:pPr>
        <w:pStyle w:val="Heading2"/>
        <w:spacing w:before="0"/>
      </w:pPr>
      <w:r>
        <w:br w:type="column"/>
      </w:r>
      <w:r w:rsidR="00E54352">
        <w:t>Criterion 2</w:t>
      </w:r>
    </w:p>
    <w:p w:rsidR="00E54352" w:rsidRPr="00D435BA" w:rsidRDefault="00E54352" w:rsidP="00E54352">
      <w:pPr>
        <w:pStyle w:val="BodyText"/>
        <w:spacing w:before="60"/>
        <w:rPr>
          <w:b/>
        </w:rPr>
      </w:pPr>
      <w:r w:rsidRPr="00D435BA">
        <w:rPr>
          <w:b/>
        </w:rPr>
        <w:t xml:space="preserve">Describe the specific elements of your </w:t>
      </w:r>
      <w:r w:rsidR="001128F6" w:rsidRPr="00D435BA">
        <w:rPr>
          <w:b/>
        </w:rPr>
        <w:t>project, which contributes to drought resilience in Australian agriculture,</w:t>
      </w:r>
      <w:r w:rsidRPr="00D435BA">
        <w:rPr>
          <w:b/>
        </w:rPr>
        <w:t xml:space="preserve"> and the objectives of the Future Drought Fund (40%)</w:t>
      </w:r>
    </w:p>
    <w:p w:rsidR="00E54352" w:rsidRDefault="00E54352" w:rsidP="00E54352">
      <w:pPr>
        <w:pStyle w:val="BodyText"/>
        <w:spacing w:before="60"/>
      </w:pPr>
      <w:r>
        <w:t>When addressing this criterion, strong applicants:</w:t>
      </w:r>
    </w:p>
    <w:p w:rsidR="00E54352" w:rsidRPr="00E803E7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>escribe</w:t>
      </w:r>
      <w:r w:rsidR="00E54352"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 xml:space="preserve"> the project objectives in terms of targeted regions/industries/farming systems</w:t>
      </w:r>
    </w:p>
    <w:p w:rsidR="00E54352" w:rsidRPr="00E803E7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>escribe</w:t>
      </w:r>
      <w:r w:rsidR="00E54352"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 xml:space="preserve"> the scientific methodology, including activity location/s, design and conduct of the long-term trial and how it will improve drought resilience including support of enhanced agricultural productivity, profitability, and sustainability during times of drought and faster recovery following drought</w:t>
      </w:r>
    </w:p>
    <w:p w:rsidR="00E54352" w:rsidRPr="00E803E7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="00E54352" w:rsidRPr="00E803E7">
        <w:rPr>
          <w:sz w:val="22"/>
          <w:szCs w:val="22"/>
        </w:rPr>
        <w:t>utline</w:t>
      </w:r>
      <w:r w:rsidR="00E54352"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 xml:space="preserve"> the key technologies and practices to be tested and provide</w:t>
      </w:r>
      <w:r w:rsidR="004D59D4"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 xml:space="preserve"> a comparison to conventional practices including evidence to justify claims of potential impact</w:t>
      </w:r>
    </w:p>
    <w:p w:rsidR="00E54352" w:rsidRPr="00E803E7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>escribe</w:t>
      </w:r>
      <w:r w:rsidR="00E54352"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 xml:space="preserve"> </w:t>
      </w:r>
      <w:r w:rsidR="00E54352">
        <w:rPr>
          <w:sz w:val="22"/>
          <w:szCs w:val="22"/>
        </w:rPr>
        <w:t>their</w:t>
      </w:r>
      <w:r w:rsidR="00E54352" w:rsidRPr="00E803E7">
        <w:rPr>
          <w:sz w:val="22"/>
          <w:szCs w:val="22"/>
        </w:rPr>
        <w:t xml:space="preserve"> data management strategy including data standards, data management and stewardship arrangements as well as key measurements, metrics and data protocols proposed for judging project success. Also include</w:t>
      </w:r>
      <w:r w:rsidR="00E54352"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 xml:space="preserve"> any strategies for analysis, translation, and interoperability of the data into the broader sector</w:t>
      </w:r>
    </w:p>
    <w:p w:rsidR="00E54352" w:rsidRPr="00E803E7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>escribe</w:t>
      </w:r>
      <w:r w:rsidR="00E54352"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 xml:space="preserve"> </w:t>
      </w:r>
      <w:r w:rsidR="00E54352">
        <w:rPr>
          <w:sz w:val="22"/>
          <w:szCs w:val="22"/>
        </w:rPr>
        <w:t>the</w:t>
      </w:r>
      <w:r w:rsidR="00E54352" w:rsidRPr="00E803E7">
        <w:rPr>
          <w:sz w:val="22"/>
          <w:szCs w:val="22"/>
        </w:rPr>
        <w:t xml:space="preserve"> target audiences, how </w:t>
      </w:r>
      <w:r w:rsidR="00E54352">
        <w:rPr>
          <w:sz w:val="22"/>
          <w:szCs w:val="22"/>
        </w:rPr>
        <w:t>they</w:t>
      </w:r>
      <w:r w:rsidR="00E54352" w:rsidRPr="00E803E7">
        <w:rPr>
          <w:sz w:val="22"/>
          <w:szCs w:val="22"/>
        </w:rPr>
        <w:t xml:space="preserve"> will engage with them and how the project will produce outputs to support this (for example, monitoring, communications materials, social engagement activity</w:t>
      </w:r>
      <w:r w:rsidR="006962BA">
        <w:rPr>
          <w:sz w:val="22"/>
          <w:szCs w:val="22"/>
        </w:rPr>
        <w:t>, and so on</w:t>
      </w:r>
      <w:r w:rsidR="00E54352" w:rsidRPr="00E803E7">
        <w:rPr>
          <w:sz w:val="22"/>
          <w:szCs w:val="22"/>
        </w:rPr>
        <w:t>)</w:t>
      </w:r>
    </w:p>
    <w:p w:rsidR="00E54352" w:rsidRPr="00E803E7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>escribe</w:t>
      </w:r>
      <w:r w:rsidR="00E54352"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 xml:space="preserve"> how </w:t>
      </w:r>
      <w:r w:rsidR="00E54352">
        <w:rPr>
          <w:sz w:val="22"/>
          <w:szCs w:val="22"/>
        </w:rPr>
        <w:t>they</w:t>
      </w:r>
      <w:r w:rsidR="00E54352" w:rsidRPr="00E803E7">
        <w:rPr>
          <w:sz w:val="22"/>
          <w:szCs w:val="22"/>
        </w:rPr>
        <w:t xml:space="preserve"> will promote </w:t>
      </w:r>
      <w:r w:rsidR="00E54352">
        <w:rPr>
          <w:sz w:val="22"/>
          <w:szCs w:val="22"/>
        </w:rPr>
        <w:t>their</w:t>
      </w:r>
      <w:r w:rsidR="00E54352" w:rsidRPr="00E803E7">
        <w:rPr>
          <w:sz w:val="22"/>
          <w:szCs w:val="22"/>
        </w:rPr>
        <w:t xml:space="preserve"> trial to support adoption of the drought resilience practice at scale (for example, landscape/farming systems/regions/industries)</w:t>
      </w:r>
    </w:p>
    <w:p w:rsidR="00E54352" w:rsidRDefault="005C37C9" w:rsidP="00F73DFB">
      <w:pPr>
        <w:pStyle w:val="Default"/>
        <w:numPr>
          <w:ilvl w:val="0"/>
          <w:numId w:val="18"/>
        </w:numPr>
        <w:spacing w:before="120" w:after="24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>escribe</w:t>
      </w:r>
      <w:r w:rsidR="00E54352">
        <w:rPr>
          <w:sz w:val="22"/>
          <w:szCs w:val="22"/>
        </w:rPr>
        <w:t>d</w:t>
      </w:r>
      <w:r w:rsidR="00E54352" w:rsidRPr="00E803E7">
        <w:rPr>
          <w:sz w:val="22"/>
          <w:szCs w:val="22"/>
        </w:rPr>
        <w:t xml:space="preserve"> how the results of the trial (information, services, processes and/or products) from specific locations and seasons could be interpreted and extended to longer timeframes and other climates, soils, or farm business circumstances.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Table contains items for Criterion 2"/>
      </w:tblPr>
      <w:tblGrid>
        <w:gridCol w:w="9639"/>
      </w:tblGrid>
      <w:tr w:rsidR="001128F6" w:rsidTr="008F1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tblHeader/>
        </w:trPr>
        <w:tc>
          <w:tcPr>
            <w:tcW w:w="9639" w:type="dxa"/>
            <w:vAlign w:val="center"/>
          </w:tcPr>
          <w:p w:rsidR="001128F6" w:rsidRPr="00454EB4" w:rsidRDefault="001128F6" w:rsidP="00503385">
            <w:pPr>
              <w:spacing w:after="120"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</w:tr>
      <w:tr w:rsidR="001128F6" w:rsidTr="00F73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tcW w:w="9639" w:type="dxa"/>
            <w:vAlign w:val="center"/>
          </w:tcPr>
          <w:p w:rsidR="001128F6" w:rsidRPr="00F73DFB" w:rsidRDefault="001128F6" w:rsidP="00811436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articulated and provided research, including the clear identification of target regions, agricultural sectors, and systems</w:t>
            </w:r>
            <w:r w:rsidR="008C7B9D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73DFB" w:rsidTr="00F73DFB">
        <w:trPr>
          <w:trHeight w:val="591"/>
        </w:trPr>
        <w:tc>
          <w:tcPr>
            <w:tcW w:w="9639" w:type="dxa"/>
            <w:vAlign w:val="center"/>
          </w:tcPr>
          <w:p w:rsidR="00F73DFB" w:rsidRDefault="00F73DFB" w:rsidP="00811436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provided sound evidence of clear objectives, robust methods, and justification of the chosen approach</w:t>
            </w:r>
            <w:r w:rsidR="008C7B9D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73DFB" w:rsidTr="00F73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tcW w:w="9639" w:type="dxa"/>
            <w:vAlign w:val="center"/>
          </w:tcPr>
          <w:p w:rsidR="00F73DFB" w:rsidRDefault="00F73DFB" w:rsidP="00811436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applications </w:t>
            </w:r>
            <w:r w:rsidR="00D5357C">
              <w:rPr>
                <w:rFonts w:ascii="Arial" w:eastAsia="Arial" w:hAnsi="Arial" w:cs="Arial"/>
                <w:color w:val="auto"/>
              </w:rPr>
              <w:t xml:space="preserve">projects </w:t>
            </w:r>
            <w:r>
              <w:rPr>
                <w:rFonts w:ascii="Arial" w:eastAsia="Arial" w:hAnsi="Arial" w:cs="Arial"/>
                <w:color w:val="auto"/>
              </w:rPr>
              <w:t xml:space="preserve">described how they </w:t>
            </w:r>
            <w:r w:rsidR="00D5357C">
              <w:rPr>
                <w:rFonts w:ascii="Arial" w:eastAsia="Arial" w:hAnsi="Arial" w:cs="Arial"/>
                <w:color w:val="auto"/>
              </w:rPr>
              <w:t xml:space="preserve">would </w:t>
            </w:r>
            <w:r>
              <w:rPr>
                <w:rFonts w:ascii="Arial" w:eastAsia="Arial" w:hAnsi="Arial" w:cs="Arial"/>
                <w:color w:val="auto"/>
              </w:rPr>
              <w:t>support</w:t>
            </w:r>
            <w:r w:rsidR="00D5357C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agricultural productivity, profitably and sustainability during drought and recovery from drought</w:t>
            </w:r>
            <w:r w:rsidR="008C7B9D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128F6" w:rsidTr="00D24128">
        <w:tc>
          <w:tcPr>
            <w:tcW w:w="9639" w:type="dxa"/>
          </w:tcPr>
          <w:p w:rsidR="001128F6" w:rsidRPr="00454EB4" w:rsidRDefault="001128F6" w:rsidP="00811436">
            <w:pPr>
              <w:spacing w:before="120" w:after="120" w:line="240" w:lineRule="auto"/>
              <w:ind w:left="142" w:right="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applications included a data management strategy, which adhered to Australian best practice. For example using accepted </w:t>
            </w:r>
            <w:r>
              <w:rPr>
                <w:rStyle w:val="ui-provider"/>
              </w:rPr>
              <w:t>FAIR (findable, accessible, interoperable, and reusable) data standards. The application provided details of data modelling analysis</w:t>
            </w:r>
            <w:r w:rsidR="008C7B9D">
              <w:rPr>
                <w:rStyle w:val="ui-provider"/>
              </w:rPr>
              <w:t>.</w:t>
            </w:r>
          </w:p>
        </w:tc>
      </w:tr>
      <w:tr w:rsidR="001128F6" w:rsidTr="00D2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vAlign w:val="center"/>
          </w:tcPr>
          <w:p w:rsidR="001128F6" w:rsidRPr="00F73DFB" w:rsidRDefault="001128F6" w:rsidP="00F73DFB">
            <w:pPr>
              <w:spacing w:before="120" w:after="120" w:line="240" w:lineRule="auto"/>
              <w:ind w:left="113" w:right="57"/>
            </w:pPr>
            <w:r>
              <w:rPr>
                <w:rFonts w:ascii="Arial" w:eastAsia="Arial" w:hAnsi="Arial" w:cs="Arial"/>
                <w:color w:val="auto"/>
              </w:rPr>
              <w:t>Strong applications provided evidence of target audiences, e</w:t>
            </w:r>
            <w:r>
              <w:rPr>
                <w:rStyle w:val="ui-provider"/>
              </w:rPr>
              <w:t>ngagement and or extension strategies methods and tools</w:t>
            </w:r>
            <w:r w:rsidR="008C7B9D">
              <w:rPr>
                <w:rStyle w:val="ui-provider"/>
              </w:rPr>
              <w:t>.</w:t>
            </w:r>
          </w:p>
        </w:tc>
      </w:tr>
      <w:tr w:rsidR="00F73DFB" w:rsidTr="00D24128">
        <w:tc>
          <w:tcPr>
            <w:tcW w:w="9639" w:type="dxa"/>
            <w:vAlign w:val="center"/>
          </w:tcPr>
          <w:p w:rsidR="00F73DFB" w:rsidRDefault="00F73DFB" w:rsidP="00F73DFB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Style w:val="ui-provider"/>
              </w:rPr>
              <w:t>Strong applications utilised and built on existing platforms and networks, with the potential to increase the reach and adoption of the project outcomes across multiple locations and agricultural sectors.</w:t>
            </w:r>
          </w:p>
        </w:tc>
      </w:tr>
    </w:tbl>
    <w:p w:rsidR="00F85F98" w:rsidRDefault="00BD4B97" w:rsidP="00F85F98">
      <w:pPr>
        <w:pStyle w:val="Heading2"/>
        <w:spacing w:before="0"/>
      </w:pPr>
      <w:r>
        <w:t>C</w:t>
      </w:r>
      <w:r w:rsidR="00F85F98">
        <w:t>riterion 3</w:t>
      </w:r>
    </w:p>
    <w:p w:rsidR="00557856" w:rsidRPr="00EB2C61" w:rsidRDefault="00557856" w:rsidP="00557856">
      <w:pPr>
        <w:pStyle w:val="BodyText"/>
        <w:spacing w:before="60"/>
        <w:rPr>
          <w:b/>
        </w:rPr>
      </w:pPr>
      <w:r w:rsidRPr="00EB2C61">
        <w:rPr>
          <w:b/>
        </w:rPr>
        <w:t>Describe the capability of your proposed team to deliver the project (30%)</w:t>
      </w:r>
    </w:p>
    <w:p w:rsidR="00557856" w:rsidRDefault="00557856" w:rsidP="00557856">
      <w:pPr>
        <w:pStyle w:val="BodyText"/>
        <w:spacing w:before="60"/>
      </w:pPr>
      <w:r>
        <w:t>When addressing this criterion, strong applicants:</w:t>
      </w:r>
    </w:p>
    <w:p w:rsidR="00557856" w:rsidRPr="00FA507B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="00557856" w:rsidRPr="00FA507B">
        <w:rPr>
          <w:sz w:val="22"/>
          <w:szCs w:val="22"/>
        </w:rPr>
        <w:t>utline</w:t>
      </w:r>
      <w:r w:rsidR="00557856">
        <w:rPr>
          <w:sz w:val="22"/>
          <w:szCs w:val="22"/>
        </w:rPr>
        <w:t>d</w:t>
      </w:r>
      <w:r w:rsidR="00557856" w:rsidRPr="00FA507B">
        <w:rPr>
          <w:sz w:val="22"/>
          <w:szCs w:val="22"/>
        </w:rPr>
        <w:t xml:space="preserve"> the skills and expertise of project participants in relation to, scientific expertise, experimental design, and data stewardship, </w:t>
      </w:r>
      <w:r w:rsidR="000C6AE2" w:rsidRPr="00FA507B">
        <w:rPr>
          <w:sz w:val="22"/>
          <w:szCs w:val="22"/>
        </w:rPr>
        <w:t>analysis,</w:t>
      </w:r>
      <w:r w:rsidR="00557856" w:rsidRPr="00FA507B">
        <w:rPr>
          <w:sz w:val="22"/>
          <w:szCs w:val="22"/>
        </w:rPr>
        <w:t xml:space="preserve"> and interpretation</w:t>
      </w:r>
    </w:p>
    <w:p w:rsidR="00557856" w:rsidRPr="00FA507B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557856" w:rsidRPr="00FA507B">
        <w:rPr>
          <w:sz w:val="22"/>
          <w:szCs w:val="22"/>
        </w:rPr>
        <w:t>emonstrate</w:t>
      </w:r>
      <w:r w:rsidR="00557856">
        <w:rPr>
          <w:sz w:val="22"/>
          <w:szCs w:val="22"/>
        </w:rPr>
        <w:t>d</w:t>
      </w:r>
      <w:r w:rsidR="00557856" w:rsidRPr="00FA507B">
        <w:rPr>
          <w:sz w:val="22"/>
          <w:szCs w:val="22"/>
        </w:rPr>
        <w:t xml:space="preserve"> </w:t>
      </w:r>
      <w:r w:rsidR="00557856">
        <w:rPr>
          <w:sz w:val="22"/>
          <w:szCs w:val="22"/>
        </w:rPr>
        <w:t>their</w:t>
      </w:r>
      <w:r w:rsidR="00557856" w:rsidRPr="00FA507B">
        <w:rPr>
          <w:sz w:val="22"/>
          <w:szCs w:val="22"/>
        </w:rPr>
        <w:t xml:space="preserve"> ability to manage long-term projects including experience in project management, governance, administration, budgeting, monitoring, evaluation and reporting, risk management, and communications</w:t>
      </w:r>
    </w:p>
    <w:p w:rsidR="00F25CA1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557856" w:rsidRPr="00FA507B">
        <w:rPr>
          <w:sz w:val="22"/>
          <w:szCs w:val="22"/>
        </w:rPr>
        <w:t>escribe</w:t>
      </w:r>
      <w:r w:rsidR="00557856">
        <w:rPr>
          <w:sz w:val="22"/>
          <w:szCs w:val="22"/>
        </w:rPr>
        <w:t>d</w:t>
      </w:r>
      <w:r w:rsidR="00557856" w:rsidRPr="00FA507B">
        <w:rPr>
          <w:sz w:val="22"/>
          <w:szCs w:val="22"/>
        </w:rPr>
        <w:t xml:space="preserve"> any intended collaborations, and associated contributions to delivery capability. Successful projects involve</w:t>
      </w:r>
      <w:r w:rsidR="004D59D4">
        <w:rPr>
          <w:sz w:val="22"/>
          <w:szCs w:val="22"/>
        </w:rPr>
        <w:t>d</w:t>
      </w:r>
      <w:r w:rsidR="00557856" w:rsidRPr="00FA507B">
        <w:rPr>
          <w:sz w:val="22"/>
          <w:szCs w:val="22"/>
        </w:rPr>
        <w:t xml:space="preserve"> a range of partners including farmers, research and development organisations and regionally focussed on-ground organisations</w:t>
      </w:r>
    </w:p>
    <w:p w:rsidR="00557856" w:rsidRPr="00FA507B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p</w:t>
      </w:r>
      <w:r w:rsidR="00557856" w:rsidRPr="00FA507B">
        <w:rPr>
          <w:sz w:val="22"/>
          <w:szCs w:val="22"/>
        </w:rPr>
        <w:t>rovide</w:t>
      </w:r>
      <w:r w:rsidR="00557856">
        <w:rPr>
          <w:sz w:val="22"/>
          <w:szCs w:val="22"/>
        </w:rPr>
        <w:t>d</w:t>
      </w:r>
      <w:r w:rsidR="00557856" w:rsidRPr="00FA507B">
        <w:rPr>
          <w:sz w:val="22"/>
          <w:szCs w:val="22"/>
        </w:rPr>
        <w:t xml:space="preserve"> any relevant information relating to stakeholder consultation, such as consultation undertaken to develop the grant application</w:t>
      </w:r>
    </w:p>
    <w:p w:rsidR="00557856" w:rsidRPr="00503385" w:rsidRDefault="005C37C9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557856" w:rsidRPr="00503385">
        <w:rPr>
          <w:sz w:val="22"/>
          <w:szCs w:val="22"/>
        </w:rPr>
        <w:t>escribed access to facilities, equipment, technology, and other resources</w:t>
      </w:r>
    </w:p>
    <w:p w:rsidR="00350344" w:rsidRPr="00503385" w:rsidRDefault="005C37C9" w:rsidP="00F73DFB">
      <w:pPr>
        <w:pStyle w:val="Default"/>
        <w:numPr>
          <w:ilvl w:val="0"/>
          <w:numId w:val="18"/>
        </w:numPr>
        <w:spacing w:before="120" w:after="240" w:line="280" w:lineRule="atLeast"/>
        <w:ind w:left="357" w:hanging="357"/>
      </w:pPr>
      <w:r>
        <w:rPr>
          <w:sz w:val="22"/>
          <w:szCs w:val="22"/>
        </w:rPr>
        <w:t>d</w:t>
      </w:r>
      <w:r w:rsidR="00557856" w:rsidRPr="00503385">
        <w:rPr>
          <w:sz w:val="22"/>
          <w:szCs w:val="22"/>
        </w:rPr>
        <w:t xml:space="preserve">escribed their intellectual property </w:t>
      </w:r>
      <w:r w:rsidR="006962BA">
        <w:rPr>
          <w:sz w:val="22"/>
          <w:szCs w:val="22"/>
        </w:rPr>
        <w:t xml:space="preserve">(IP) </w:t>
      </w:r>
      <w:r w:rsidR="00557856" w:rsidRPr="00503385">
        <w:rPr>
          <w:sz w:val="22"/>
          <w:szCs w:val="22"/>
        </w:rPr>
        <w:t>strategy including any protection mechanisms that may be</w:t>
      </w:r>
      <w:r w:rsidR="00557856" w:rsidRPr="00503385">
        <w:t xml:space="preserve"> </w:t>
      </w:r>
      <w:r w:rsidR="00557856" w:rsidRPr="00503385">
        <w:rPr>
          <w:sz w:val="22"/>
          <w:szCs w:val="22"/>
        </w:rPr>
        <w:t>employed and any essential background IP they propose to draw on.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Table contains items for Criterion 3"/>
      </w:tblPr>
      <w:tblGrid>
        <w:gridCol w:w="9639"/>
      </w:tblGrid>
      <w:tr w:rsidR="00D24128" w:rsidTr="008F1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D24128" w:rsidRPr="00454EB4" w:rsidRDefault="00D24128" w:rsidP="00503385">
            <w:pPr>
              <w:spacing w:after="120"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</w:tr>
      <w:tr w:rsidR="00D24128" w:rsidTr="00D2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vAlign w:val="center"/>
          </w:tcPr>
          <w:p w:rsidR="00D24128" w:rsidRPr="00F73DFB" w:rsidRDefault="00D24128" w:rsidP="008C7B9D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provided well-articulated and applicable project scope, budget, risk management and stakeholder engagement plans.</w:t>
            </w:r>
          </w:p>
        </w:tc>
      </w:tr>
      <w:tr w:rsidR="00F73DFB" w:rsidTr="00D24128">
        <w:tc>
          <w:tcPr>
            <w:tcW w:w="9639" w:type="dxa"/>
            <w:vAlign w:val="center"/>
          </w:tcPr>
          <w:p w:rsidR="00F73DFB" w:rsidRDefault="00F73DFB" w:rsidP="008C7B9D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provided evidence of successful management of other large agricultural research trials.</w:t>
            </w:r>
          </w:p>
        </w:tc>
      </w:tr>
      <w:tr w:rsidR="00F73DFB" w:rsidTr="00D2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vAlign w:val="center"/>
          </w:tcPr>
          <w:p w:rsidR="00F73DFB" w:rsidRDefault="00F73DFB" w:rsidP="008C7B9D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detailed team expertise and experience to deliver the project objectives and specific elements of the project design.</w:t>
            </w:r>
          </w:p>
        </w:tc>
      </w:tr>
      <w:tr w:rsidR="00D24128" w:rsidTr="00D24128">
        <w:tc>
          <w:tcPr>
            <w:tcW w:w="9639" w:type="dxa"/>
            <w:vAlign w:val="center"/>
          </w:tcPr>
          <w:p w:rsidR="00D24128" w:rsidRPr="00F73DFB" w:rsidRDefault="00D24128" w:rsidP="008C7B9D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provided a well-developed stakeholder engagement plan including details of the contributions from consortium members and provided evidence of engagement with other stakeholders such as farmers, research organisations and delivery partners.</w:t>
            </w:r>
          </w:p>
        </w:tc>
      </w:tr>
      <w:tr w:rsidR="00F73DFB" w:rsidTr="00D2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vAlign w:val="center"/>
          </w:tcPr>
          <w:p w:rsidR="00F73DFB" w:rsidRDefault="00F73DFB" w:rsidP="008C7B9D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described the types of collaborations they intend to use to facilitate the delivery of the project.</w:t>
            </w:r>
          </w:p>
        </w:tc>
      </w:tr>
      <w:tr w:rsidR="00F73DFB" w:rsidTr="00D24128">
        <w:tc>
          <w:tcPr>
            <w:tcW w:w="9639" w:type="dxa"/>
            <w:vAlign w:val="center"/>
          </w:tcPr>
          <w:p w:rsidR="00F73DFB" w:rsidRDefault="00F73DFB" w:rsidP="008C7B9D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provided a detailed plan of the relevant facilities and equipment required to implement the project successfully.</w:t>
            </w:r>
          </w:p>
        </w:tc>
      </w:tr>
      <w:tr w:rsidR="00F73DFB" w:rsidTr="00D2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vAlign w:val="center"/>
          </w:tcPr>
          <w:p w:rsidR="00F73DFB" w:rsidRDefault="00F73DFB" w:rsidP="008C7B9D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Style w:val="ui-provider"/>
              </w:rPr>
              <w:t>Strong applications were consistent and provided evidence in line with the eligible expenditure defined in the Grant Opportunity Guidelines.</w:t>
            </w:r>
          </w:p>
        </w:tc>
      </w:tr>
      <w:tr w:rsidR="00D24128" w:rsidTr="00D24128">
        <w:tc>
          <w:tcPr>
            <w:tcW w:w="9639" w:type="dxa"/>
            <w:vAlign w:val="center"/>
          </w:tcPr>
          <w:p w:rsidR="00D24128" w:rsidRPr="00350344" w:rsidRDefault="00350344" w:rsidP="008C7B9D">
            <w:pPr>
              <w:spacing w:before="12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Style w:val="ui-provider"/>
              </w:rPr>
              <w:t>Strong applications provided a</w:t>
            </w:r>
            <w:r w:rsidR="00D24128">
              <w:rPr>
                <w:rStyle w:val="ui-provider"/>
              </w:rPr>
              <w:t xml:space="preserve"> clear, well-articulated IP plan, including specific reference to IP linked to data and technologies and public accessibility.</w:t>
            </w:r>
          </w:p>
        </w:tc>
      </w:tr>
    </w:tbl>
    <w:p w:rsidR="00FA1F45" w:rsidRDefault="00FA1F45" w:rsidP="00FA1F45">
      <w:pPr>
        <w:spacing w:line="240" w:lineRule="auto"/>
      </w:pPr>
    </w:p>
    <w:p w:rsidR="00F73DFB" w:rsidRDefault="00F73DFB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:rsidR="00F85F98" w:rsidRDefault="00F85F98" w:rsidP="00F85F98">
      <w:pPr>
        <w:pStyle w:val="Heading2"/>
        <w:spacing w:before="0"/>
      </w:pPr>
      <w:r>
        <w:t>Criterion 4</w:t>
      </w:r>
    </w:p>
    <w:p w:rsidR="00754621" w:rsidRPr="00EB2C61" w:rsidRDefault="00754621" w:rsidP="00754621">
      <w:pPr>
        <w:pStyle w:val="BodyText"/>
        <w:spacing w:before="60"/>
        <w:rPr>
          <w:b/>
        </w:rPr>
      </w:pPr>
      <w:r w:rsidRPr="00EB2C61">
        <w:rPr>
          <w:b/>
        </w:rPr>
        <w:t>Describe how your proposed activities represent value for money (15%)</w:t>
      </w:r>
    </w:p>
    <w:p w:rsidR="00754621" w:rsidRDefault="00754621" w:rsidP="00754621">
      <w:pPr>
        <w:pStyle w:val="BodyText"/>
        <w:spacing w:before="60"/>
      </w:pPr>
      <w:r>
        <w:t>When addressing this criterion, strong applicants justified, demonstra</w:t>
      </w:r>
      <w:r w:rsidR="00BD4B97">
        <w:t>ted, and provided a breakdown</w:t>
      </w:r>
      <w:r>
        <w:t>:</w:t>
      </w:r>
    </w:p>
    <w:p w:rsidR="00754621" w:rsidRPr="0098036F" w:rsidRDefault="00754621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 w:rsidRPr="007A1F5D">
        <w:rPr>
          <w:sz w:val="22"/>
          <w:szCs w:val="22"/>
        </w:rPr>
        <w:t xml:space="preserve">how </w:t>
      </w:r>
      <w:r w:rsidRPr="0098036F">
        <w:rPr>
          <w:sz w:val="22"/>
          <w:szCs w:val="22"/>
        </w:rPr>
        <w:t>their project proposal is value for money and is suitable for public funding</w:t>
      </w:r>
    </w:p>
    <w:p w:rsidR="00754621" w:rsidRPr="007A1F5D" w:rsidRDefault="00754621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 w:rsidRPr="007A1F5D">
        <w:rPr>
          <w:sz w:val="22"/>
          <w:szCs w:val="22"/>
        </w:rPr>
        <w:t>the quality and quantity of co-contribution (if applicable)</w:t>
      </w:r>
    </w:p>
    <w:p w:rsidR="00754621" w:rsidRPr="007A1F5D" w:rsidRDefault="00754621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 w:rsidRPr="007A1F5D">
        <w:rPr>
          <w:sz w:val="22"/>
          <w:szCs w:val="22"/>
        </w:rPr>
        <w:t>any leveraging of related government, private and philanthropic investments (if applicable)</w:t>
      </w:r>
    </w:p>
    <w:p w:rsidR="00754621" w:rsidRPr="00503385" w:rsidRDefault="00754621" w:rsidP="00503385">
      <w:pPr>
        <w:pStyle w:val="Default"/>
        <w:numPr>
          <w:ilvl w:val="0"/>
          <w:numId w:val="18"/>
        </w:numPr>
        <w:spacing w:before="120" w:line="280" w:lineRule="atLeast"/>
        <w:ind w:left="357" w:hanging="357"/>
        <w:rPr>
          <w:sz w:val="22"/>
          <w:szCs w:val="22"/>
        </w:rPr>
      </w:pPr>
      <w:r w:rsidRPr="00503385">
        <w:rPr>
          <w:sz w:val="22"/>
          <w:szCs w:val="22"/>
        </w:rPr>
        <w:t>the anticipated scale of impacts and benefits of the project relative to the funding sought</w:t>
      </w:r>
      <w:r w:rsidR="00BD4B97">
        <w:rPr>
          <w:sz w:val="22"/>
          <w:szCs w:val="22"/>
        </w:rPr>
        <w:t xml:space="preserve"> and</w:t>
      </w:r>
    </w:p>
    <w:p w:rsidR="00754621" w:rsidRPr="00503385" w:rsidRDefault="00754621" w:rsidP="00F73DFB">
      <w:pPr>
        <w:pStyle w:val="Default"/>
        <w:numPr>
          <w:ilvl w:val="0"/>
          <w:numId w:val="18"/>
        </w:numPr>
        <w:spacing w:before="120" w:after="240" w:line="280" w:lineRule="atLeast"/>
        <w:ind w:left="357" w:hanging="357"/>
      </w:pPr>
      <w:r w:rsidRPr="00503385">
        <w:rPr>
          <w:sz w:val="22"/>
          <w:szCs w:val="22"/>
        </w:rPr>
        <w:t>the public good benefits of the project (such as for industry and First Nations people and communities) and how do they outweigh any private benefits.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Table contains items for Criterion 4"/>
      </w:tblPr>
      <w:tblGrid>
        <w:gridCol w:w="9639"/>
      </w:tblGrid>
      <w:tr w:rsidR="00BD4B97" w:rsidTr="008F1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BD4B97" w:rsidRPr="00454EB4" w:rsidRDefault="00BD4B97" w:rsidP="00503385">
            <w:pPr>
              <w:spacing w:after="120" w:line="240" w:lineRule="auto"/>
              <w:ind w:left="57" w:right="57"/>
              <w:rPr>
                <w:b/>
              </w:rPr>
            </w:pPr>
            <w:bookmarkStart w:id="0" w:name="_GoBack" w:colFirst="0" w:colLast="1"/>
            <w:r w:rsidRPr="00454EB4">
              <w:rPr>
                <w:b/>
              </w:rPr>
              <w:t>Strength</w:t>
            </w:r>
          </w:p>
        </w:tc>
      </w:tr>
      <w:bookmarkEnd w:id="0"/>
      <w:tr w:rsidR="00BD4B97" w:rsidTr="00BD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</w:tcPr>
          <w:p w:rsidR="00BD4B97" w:rsidRDefault="00BD4B97" w:rsidP="00BD4B97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rPr>
                <w:rFonts w:ascii="Arial" w:eastAsia="Arial" w:hAnsi="Arial" w:cs="Arial"/>
                <w:color w:val="auto"/>
              </w:rPr>
              <w:t>demonstrated sound justification of the impacts and benefits relative to the funding sought.</w:t>
            </w:r>
          </w:p>
          <w:p w:rsidR="00BD4B97" w:rsidRDefault="00BD4B97" w:rsidP="00BD4B97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rPr>
                <w:rFonts w:ascii="Arial" w:eastAsia="Arial" w:hAnsi="Arial" w:cs="Arial"/>
                <w:color w:val="auto"/>
              </w:rPr>
              <w:t>provided details of how farmers, local regions and communities will directly benefit from the project. The budget was well developed and appropriate for the proposed activities.</w:t>
            </w:r>
          </w:p>
          <w:p w:rsidR="00BD4B97" w:rsidRPr="00086737" w:rsidRDefault="00BD4B97" w:rsidP="00BD4B97">
            <w:pPr>
              <w:spacing w:before="60" w:after="120" w:line="240" w:lineRule="auto"/>
              <w:ind w:left="113" w:right="57"/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rPr>
                <w:rFonts w:ascii="Arial" w:eastAsia="Arial" w:hAnsi="Arial" w:cs="Arial"/>
                <w:color w:val="auto"/>
              </w:rPr>
              <w:t>included details for potential in-kind support and leveraging opportunities.</w:t>
            </w:r>
          </w:p>
        </w:tc>
      </w:tr>
      <w:tr w:rsidR="00BD4B97" w:rsidTr="00BD4B97">
        <w:tc>
          <w:tcPr>
            <w:tcW w:w="9639" w:type="dxa"/>
          </w:tcPr>
          <w:p w:rsidR="00BD4B97" w:rsidRDefault="00BD4B97" w:rsidP="00BD4B97">
            <w:pPr>
              <w:spacing w:before="120" w:after="120" w:line="240" w:lineRule="auto"/>
              <w:ind w:left="113" w:right="57"/>
              <w:rPr>
                <w:rStyle w:val="ui-provider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rPr>
                <w:rStyle w:val="ui-provider"/>
              </w:rPr>
              <w:t>demonstrated excellent evidence of value for money, impact at scale and public rather than private benefit.</w:t>
            </w:r>
          </w:p>
          <w:p w:rsidR="00BD4B97" w:rsidRPr="00454EB4" w:rsidRDefault="00BD4B97" w:rsidP="00F73DFB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6E51CC">
              <w:rPr>
                <w:rFonts w:ascii="Arial" w:eastAsia="Arial" w:hAnsi="Arial" w:cs="Arial"/>
                <w:color w:val="auto"/>
              </w:rPr>
              <w:t>outlined how the project engage</w:t>
            </w:r>
            <w:r>
              <w:rPr>
                <w:rFonts w:ascii="Arial" w:eastAsia="Arial" w:hAnsi="Arial" w:cs="Arial"/>
                <w:color w:val="auto"/>
              </w:rPr>
              <w:t>s with</w:t>
            </w:r>
            <w:r w:rsidRPr="006E51CC">
              <w:rPr>
                <w:rFonts w:ascii="Arial" w:eastAsia="Arial" w:hAnsi="Arial" w:cs="Arial"/>
                <w:color w:val="auto"/>
              </w:rPr>
              <w:t xml:space="preserve"> both </w:t>
            </w:r>
            <w:r>
              <w:rPr>
                <w:rFonts w:ascii="Arial" w:eastAsia="Arial" w:hAnsi="Arial" w:cs="Arial"/>
                <w:color w:val="auto"/>
              </w:rPr>
              <w:t xml:space="preserve">the agricultural </w:t>
            </w:r>
            <w:r w:rsidRPr="006E51CC">
              <w:rPr>
                <w:rFonts w:ascii="Arial" w:eastAsia="Arial" w:hAnsi="Arial" w:cs="Arial"/>
                <w:color w:val="auto"/>
              </w:rPr>
              <w:t xml:space="preserve">community and industry to work </w:t>
            </w:r>
            <w:r w:rsidR="00F73DFB">
              <w:rPr>
                <w:rFonts w:ascii="Arial" w:eastAsia="Arial" w:hAnsi="Arial" w:cs="Arial"/>
                <w:color w:val="auto"/>
              </w:rPr>
              <w:t xml:space="preserve">together </w:t>
            </w:r>
            <w:r w:rsidRPr="006E51CC">
              <w:rPr>
                <w:rFonts w:ascii="Arial" w:eastAsia="Arial" w:hAnsi="Arial" w:cs="Arial"/>
                <w:color w:val="auto"/>
              </w:rPr>
              <w:t xml:space="preserve">towards </w:t>
            </w:r>
            <w:r>
              <w:rPr>
                <w:rFonts w:ascii="Arial" w:eastAsia="Arial" w:hAnsi="Arial" w:cs="Arial"/>
                <w:color w:val="auto"/>
              </w:rPr>
              <w:t>preparing for drought.</w:t>
            </w:r>
          </w:p>
        </w:tc>
      </w:tr>
    </w:tbl>
    <w:p w:rsidR="005D5DFD" w:rsidRPr="00203349" w:rsidRDefault="005D5DFD" w:rsidP="00F73DFB">
      <w:pPr>
        <w:pStyle w:val="Heading2"/>
        <w:spacing w:before="240"/>
        <w:rPr>
          <w:rFonts w:ascii="Arial" w:hAnsi="Arial" w:cs="Arial"/>
          <w:color w:val="CF0A2C" w:themeColor="accent1"/>
          <w:sz w:val="36"/>
          <w:szCs w:val="28"/>
        </w:rPr>
      </w:pPr>
      <w:r w:rsidRPr="00203349">
        <w:rPr>
          <w:rFonts w:ascii="Arial" w:hAnsi="Arial" w:cs="Arial"/>
          <w:b w:val="0"/>
          <w:color w:val="CF0A2C" w:themeColor="accent1"/>
          <w:sz w:val="36"/>
          <w:szCs w:val="28"/>
        </w:rPr>
        <w:t>Individual feedback</w:t>
      </w:r>
    </w:p>
    <w:p w:rsidR="00BD4B97" w:rsidRDefault="005D5DFD" w:rsidP="00503385">
      <w:pPr>
        <w:pStyle w:val="BodyText"/>
      </w:pPr>
      <w:r w:rsidRPr="00203349">
        <w:t xml:space="preserve">Individual </w:t>
      </w:r>
      <w:r w:rsidRPr="00FD0FD9">
        <w:rPr>
          <w:color w:val="auto"/>
        </w:rPr>
        <w:t xml:space="preserve">feedback </w:t>
      </w:r>
      <w:r w:rsidR="00BD4B97">
        <w:rPr>
          <w:color w:val="auto"/>
        </w:rPr>
        <w:t>is available</w:t>
      </w:r>
      <w:r w:rsidRPr="00FD0FD9">
        <w:rPr>
          <w:color w:val="auto"/>
        </w:rPr>
        <w:t xml:space="preserve"> for this grant opportunity</w:t>
      </w:r>
      <w:r w:rsidR="00503385">
        <w:rPr>
          <w:color w:val="auto"/>
        </w:rPr>
        <w:t xml:space="preserve">. </w:t>
      </w:r>
      <w:r w:rsidR="00503385" w:rsidRPr="002C1088">
        <w:t xml:space="preserve">Applicants seeking individual feedback should submit requests to </w:t>
      </w:r>
      <w:hyperlink r:id="rId12" w:history="1">
        <w:r w:rsidR="00503385" w:rsidRPr="00F54B24">
          <w:rPr>
            <w:rStyle w:val="Hyperlink"/>
          </w:rPr>
          <w:t>support@communitygrants.gov.au</w:t>
        </w:r>
      </w:hyperlink>
      <w:r w:rsidR="00503385" w:rsidRPr="002C1088">
        <w:t>.</w:t>
      </w:r>
    </w:p>
    <w:p w:rsidR="00BD4B97" w:rsidRDefault="00F73DFB" w:rsidP="00503385">
      <w:pPr>
        <w:pStyle w:val="BodyText"/>
      </w:pPr>
      <w:r>
        <w:t>We will accept r</w:t>
      </w:r>
      <w:r w:rsidR="00BD4B97">
        <w:t xml:space="preserve">equests </w:t>
      </w:r>
      <w:r>
        <w:t xml:space="preserve">within </w:t>
      </w:r>
      <w:r w:rsidR="00503385" w:rsidRPr="00F73DFB">
        <w:rPr>
          <w:b/>
        </w:rPr>
        <w:t>20 business days</w:t>
      </w:r>
      <w:r w:rsidR="00503385" w:rsidRPr="002C1088">
        <w:t xml:space="preserve"> of receipt of the outcome of your application.</w:t>
      </w:r>
    </w:p>
    <w:p w:rsidR="00FA1F45" w:rsidRDefault="00503385" w:rsidP="00503385">
      <w:pPr>
        <w:pStyle w:val="BodyText"/>
      </w:pPr>
      <w:r w:rsidRPr="002C1088">
        <w:t xml:space="preserve">We will provide feedback within </w:t>
      </w:r>
      <w:r w:rsidRPr="00BD4B97">
        <w:rPr>
          <w:b/>
        </w:rPr>
        <w:t>30 business days</w:t>
      </w:r>
      <w:r w:rsidRPr="002C1088">
        <w:t xml:space="preserve"> of receipt of the request.</w:t>
      </w:r>
    </w:p>
    <w:sectPr w:rsidR="00FA1F45" w:rsidSect="00BD4B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247" w:left="1134" w:header="284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2D" w:rsidRDefault="00EA292D" w:rsidP="00772718">
      <w:pPr>
        <w:spacing w:line="240" w:lineRule="auto"/>
      </w:pPr>
      <w:r>
        <w:separator/>
      </w:r>
    </w:p>
  </w:endnote>
  <w:endnote w:type="continuationSeparator" w:id="0">
    <w:p w:rsidR="00EA292D" w:rsidRDefault="00EA292D" w:rsidP="00772718">
      <w:pPr>
        <w:spacing w:line="240" w:lineRule="auto"/>
      </w:pPr>
      <w:r>
        <w:continuationSeparator/>
      </w:r>
    </w:p>
  </w:endnote>
  <w:endnote w:type="continuationNotice" w:id="1">
    <w:p w:rsidR="00EA292D" w:rsidRDefault="00EA29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F1713">
      <w:rPr>
        <w:noProof/>
      </w:rPr>
      <w:t>6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60C729" id="Straight Connector 80" o:spid="_x0000_s1026" alt="Title: Graphic Element - Description: Line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F1713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  <w:r w:rsidR="00D06EAD">
      <w:t xml:space="preserve">Updated and </w:t>
    </w:r>
    <w:r w:rsidR="00030C4C">
      <w:t>Approved 18</w:t>
    </w:r>
    <w:r w:rsidR="00D06EAD">
      <w:t>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2D" w:rsidRDefault="00EA292D" w:rsidP="00772718">
      <w:pPr>
        <w:spacing w:line="240" w:lineRule="auto"/>
      </w:pPr>
      <w:r>
        <w:separator/>
      </w:r>
    </w:p>
  </w:footnote>
  <w:footnote w:type="continuationSeparator" w:id="0">
    <w:p w:rsidR="00EA292D" w:rsidRDefault="00EA292D" w:rsidP="00772718">
      <w:pPr>
        <w:spacing w:line="240" w:lineRule="auto"/>
      </w:pPr>
      <w:r>
        <w:continuationSeparator/>
      </w:r>
    </w:p>
  </w:footnote>
  <w:footnote w:type="continuationNotice" w:id="1">
    <w:p w:rsidR="00EA292D" w:rsidRDefault="00EA29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35034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94" behindDoc="0" locked="1" layoutInCell="1" allowOverlap="1" wp14:anchorId="1753B81E" wp14:editId="01CB1C10">
              <wp:simplePos x="0" y="0"/>
              <wp:positionH relativeFrom="page">
                <wp:posOffset>777240</wp:posOffset>
              </wp:positionH>
              <wp:positionV relativeFrom="page">
                <wp:posOffset>1036320</wp:posOffset>
              </wp:positionV>
              <wp:extent cx="6119495" cy="0"/>
              <wp:effectExtent l="0" t="0" r="14605" b="19050"/>
              <wp:wrapNone/>
              <wp:docPr id="76" name="Straight Connector 76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87C582" id="Straight Connector 76" o:spid="_x0000_s1026" alt="Title: Graphic Element - Description: Line&#10;" style="position:absolute;z-index:25166029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1.2pt,81.6pt" to="543.0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" strokecolor="windowText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C7C8687" wp14:editId="5041D9A9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142400" cy="612000"/>
          <wp:effectExtent l="0" t="0" r="190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4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 w:rsidP="00350344">
    <w:pPr>
      <w:pStyle w:val="Header"/>
      <w:spacing w:line="360" w:lineRule="auto"/>
    </w:pPr>
    <w:r>
      <w:rPr>
        <w:noProof/>
        <w:lang w:eastAsia="en-AU"/>
      </w:rPr>
      <w:drawing>
        <wp:anchor distT="0" distB="0" distL="114300" distR="114300" simplePos="0" relativeHeight="251658246" behindDoc="0" locked="1" layoutInCell="1" allowOverlap="1" wp14:anchorId="58E2418B" wp14:editId="7AF96794">
          <wp:simplePos x="0" y="0"/>
          <wp:positionH relativeFrom="page">
            <wp:posOffset>4048125</wp:posOffset>
          </wp:positionH>
          <wp:positionV relativeFrom="page">
            <wp:posOffset>28575</wp:posOffset>
          </wp:positionV>
          <wp:extent cx="3467100" cy="813435"/>
          <wp:effectExtent l="0" t="0" r="0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5" behindDoc="0" locked="1" layoutInCell="1" allowOverlap="1" wp14:anchorId="4D07A328" wp14:editId="390B2241">
              <wp:simplePos x="0" y="0"/>
              <wp:positionH relativeFrom="page">
                <wp:posOffset>734060</wp:posOffset>
              </wp:positionH>
              <wp:positionV relativeFrom="page">
                <wp:posOffset>145415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580F0C" id="Group 4" o:spid="_x0000_s1026" alt="Title: Australian Government - Community Grants Hub. Improving your grant experience. - Description: Australian Government - Community Grants Hub. Improving your grant experience." style="position:absolute;margin-left:57.8pt;margin-top:11.45pt;width:258.8pt;height:53.25pt;z-index:251658245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A5ZPDXgAAAACg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B2DE097" wp14:editId="2A0DFDEA">
              <wp:simplePos x="0" y="0"/>
              <wp:positionH relativeFrom="page">
                <wp:posOffset>824230</wp:posOffset>
              </wp:positionH>
              <wp:positionV relativeFrom="page">
                <wp:posOffset>1034415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A447B" id="Straight Connector 1" o:spid="_x0000_s1026" alt="Title: Graphic Element - Description: Line&#10;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4.9pt,81.45pt" to="546.7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E9FB3E" id="Straight Connector 2" o:spid="_x0000_s1026" alt="Title: Graphic Element - Description: Line" style="position:absolute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11DB"/>
    <w:multiLevelType w:val="hybridMultilevel"/>
    <w:tmpl w:val="C16E46A6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A2A39AF"/>
    <w:multiLevelType w:val="hybridMultilevel"/>
    <w:tmpl w:val="97DC4AB6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25084"/>
    <w:multiLevelType w:val="hybridMultilevel"/>
    <w:tmpl w:val="5F7ED39E"/>
    <w:lvl w:ilvl="0" w:tplc="92040CE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1" w15:restartNumberingAfterBreak="0">
    <w:nsid w:val="3F5D20A5"/>
    <w:multiLevelType w:val="hybridMultilevel"/>
    <w:tmpl w:val="0E08A54E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D851A77"/>
    <w:multiLevelType w:val="hybridMultilevel"/>
    <w:tmpl w:val="0DE2173A"/>
    <w:lvl w:ilvl="0" w:tplc="92040CE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7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15"/>
  </w:num>
  <w:num w:numId="9">
    <w:abstractNumId w:val="14"/>
  </w:num>
  <w:num w:numId="10">
    <w:abstractNumId w:val="1"/>
  </w:num>
  <w:num w:numId="11">
    <w:abstractNumId w:val="6"/>
  </w:num>
  <w:num w:numId="12">
    <w:abstractNumId w:val="1"/>
  </w:num>
  <w:num w:numId="13">
    <w:abstractNumId w:val="17"/>
  </w:num>
  <w:num w:numId="14">
    <w:abstractNumId w:val="7"/>
  </w:num>
  <w:num w:numId="15">
    <w:abstractNumId w:val="3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1E2"/>
    <w:rsid w:val="00000555"/>
    <w:rsid w:val="00000A51"/>
    <w:rsid w:val="000023EC"/>
    <w:rsid w:val="00004A79"/>
    <w:rsid w:val="00007DE9"/>
    <w:rsid w:val="0001277C"/>
    <w:rsid w:val="000127CF"/>
    <w:rsid w:val="00015AE4"/>
    <w:rsid w:val="0002650D"/>
    <w:rsid w:val="0003018E"/>
    <w:rsid w:val="00030C4C"/>
    <w:rsid w:val="00033BC3"/>
    <w:rsid w:val="000439A4"/>
    <w:rsid w:val="00044E09"/>
    <w:rsid w:val="000455E3"/>
    <w:rsid w:val="0004784D"/>
    <w:rsid w:val="0004790A"/>
    <w:rsid w:val="000535A3"/>
    <w:rsid w:val="00053A00"/>
    <w:rsid w:val="00053DC5"/>
    <w:rsid w:val="000551F5"/>
    <w:rsid w:val="000560A2"/>
    <w:rsid w:val="00073427"/>
    <w:rsid w:val="000769DF"/>
    <w:rsid w:val="00084881"/>
    <w:rsid w:val="00086737"/>
    <w:rsid w:val="000A17D2"/>
    <w:rsid w:val="000A3FB5"/>
    <w:rsid w:val="000A57BC"/>
    <w:rsid w:val="000B2E0A"/>
    <w:rsid w:val="000B3575"/>
    <w:rsid w:val="000B5D3B"/>
    <w:rsid w:val="000B6C00"/>
    <w:rsid w:val="000C1F06"/>
    <w:rsid w:val="000C6AE2"/>
    <w:rsid w:val="000C7A77"/>
    <w:rsid w:val="000D5097"/>
    <w:rsid w:val="000E31E8"/>
    <w:rsid w:val="000E4888"/>
    <w:rsid w:val="000F0347"/>
    <w:rsid w:val="000F0359"/>
    <w:rsid w:val="000F1DD1"/>
    <w:rsid w:val="000F28B8"/>
    <w:rsid w:val="000F3766"/>
    <w:rsid w:val="000F5097"/>
    <w:rsid w:val="000F695B"/>
    <w:rsid w:val="00100880"/>
    <w:rsid w:val="001016E8"/>
    <w:rsid w:val="00106FC4"/>
    <w:rsid w:val="001116F5"/>
    <w:rsid w:val="00111F0C"/>
    <w:rsid w:val="001128F6"/>
    <w:rsid w:val="00113404"/>
    <w:rsid w:val="00114113"/>
    <w:rsid w:val="00120B80"/>
    <w:rsid w:val="001240AE"/>
    <w:rsid w:val="001243F3"/>
    <w:rsid w:val="00130925"/>
    <w:rsid w:val="00134FFF"/>
    <w:rsid w:val="00145E2D"/>
    <w:rsid w:val="00153DBA"/>
    <w:rsid w:val="00154E58"/>
    <w:rsid w:val="00156760"/>
    <w:rsid w:val="00163ACE"/>
    <w:rsid w:val="0016612C"/>
    <w:rsid w:val="00167B4D"/>
    <w:rsid w:val="001763D4"/>
    <w:rsid w:val="00181433"/>
    <w:rsid w:val="00181DF6"/>
    <w:rsid w:val="001834DD"/>
    <w:rsid w:val="00191BCF"/>
    <w:rsid w:val="00197308"/>
    <w:rsid w:val="001A6DB9"/>
    <w:rsid w:val="001B00C2"/>
    <w:rsid w:val="001B420C"/>
    <w:rsid w:val="001C197F"/>
    <w:rsid w:val="001C53CE"/>
    <w:rsid w:val="001C5D96"/>
    <w:rsid w:val="001D341B"/>
    <w:rsid w:val="001D7304"/>
    <w:rsid w:val="001E16A4"/>
    <w:rsid w:val="001E3D2B"/>
    <w:rsid w:val="001E5415"/>
    <w:rsid w:val="001E66CE"/>
    <w:rsid w:val="001E6EA0"/>
    <w:rsid w:val="001E7947"/>
    <w:rsid w:val="001F0983"/>
    <w:rsid w:val="001F35AE"/>
    <w:rsid w:val="001F399A"/>
    <w:rsid w:val="001F5120"/>
    <w:rsid w:val="001F6853"/>
    <w:rsid w:val="001F6BE5"/>
    <w:rsid w:val="00210CBE"/>
    <w:rsid w:val="002124A1"/>
    <w:rsid w:val="00212C2E"/>
    <w:rsid w:val="00221DC2"/>
    <w:rsid w:val="002277D8"/>
    <w:rsid w:val="00230D18"/>
    <w:rsid w:val="0023676E"/>
    <w:rsid w:val="00236BC7"/>
    <w:rsid w:val="00243004"/>
    <w:rsid w:val="00244B48"/>
    <w:rsid w:val="00245AD8"/>
    <w:rsid w:val="0024743F"/>
    <w:rsid w:val="00253879"/>
    <w:rsid w:val="0025684D"/>
    <w:rsid w:val="00256CDA"/>
    <w:rsid w:val="002573D5"/>
    <w:rsid w:val="002600F2"/>
    <w:rsid w:val="00260F53"/>
    <w:rsid w:val="00264E26"/>
    <w:rsid w:val="00265B1C"/>
    <w:rsid w:val="00280E74"/>
    <w:rsid w:val="00284E4B"/>
    <w:rsid w:val="00286D20"/>
    <w:rsid w:val="002A41E1"/>
    <w:rsid w:val="002A4F11"/>
    <w:rsid w:val="002A5B04"/>
    <w:rsid w:val="002B6574"/>
    <w:rsid w:val="002D04DB"/>
    <w:rsid w:val="002D269A"/>
    <w:rsid w:val="002D2F02"/>
    <w:rsid w:val="002D3419"/>
    <w:rsid w:val="002D4D48"/>
    <w:rsid w:val="002D7DF9"/>
    <w:rsid w:val="002E0AA1"/>
    <w:rsid w:val="002E1CCC"/>
    <w:rsid w:val="002E21D2"/>
    <w:rsid w:val="002E4DEB"/>
    <w:rsid w:val="002F0D73"/>
    <w:rsid w:val="002F6843"/>
    <w:rsid w:val="002F7D3C"/>
    <w:rsid w:val="00302D5E"/>
    <w:rsid w:val="00305720"/>
    <w:rsid w:val="0031098A"/>
    <w:rsid w:val="0031201D"/>
    <w:rsid w:val="003131AB"/>
    <w:rsid w:val="003217BE"/>
    <w:rsid w:val="00332FE6"/>
    <w:rsid w:val="00336D31"/>
    <w:rsid w:val="0034044F"/>
    <w:rsid w:val="00350344"/>
    <w:rsid w:val="00351422"/>
    <w:rsid w:val="0035405E"/>
    <w:rsid w:val="00355FF2"/>
    <w:rsid w:val="0035639D"/>
    <w:rsid w:val="0036517D"/>
    <w:rsid w:val="0037045A"/>
    <w:rsid w:val="00374D50"/>
    <w:rsid w:val="00376001"/>
    <w:rsid w:val="00376FFA"/>
    <w:rsid w:val="0039069B"/>
    <w:rsid w:val="003A17CA"/>
    <w:rsid w:val="003A312E"/>
    <w:rsid w:val="003B0025"/>
    <w:rsid w:val="003B1B5B"/>
    <w:rsid w:val="003B5410"/>
    <w:rsid w:val="003B7D16"/>
    <w:rsid w:val="003D0647"/>
    <w:rsid w:val="003D1265"/>
    <w:rsid w:val="003D255E"/>
    <w:rsid w:val="003D33F3"/>
    <w:rsid w:val="003D3B1D"/>
    <w:rsid w:val="003D4B2C"/>
    <w:rsid w:val="003D55A4"/>
    <w:rsid w:val="003D5DBE"/>
    <w:rsid w:val="003D687D"/>
    <w:rsid w:val="003E01D1"/>
    <w:rsid w:val="003E1D09"/>
    <w:rsid w:val="003E65E3"/>
    <w:rsid w:val="003F06C8"/>
    <w:rsid w:val="003F1462"/>
    <w:rsid w:val="003F37D3"/>
    <w:rsid w:val="003F54F9"/>
    <w:rsid w:val="00402028"/>
    <w:rsid w:val="00404841"/>
    <w:rsid w:val="00407513"/>
    <w:rsid w:val="00410238"/>
    <w:rsid w:val="00412059"/>
    <w:rsid w:val="0041487B"/>
    <w:rsid w:val="0042133B"/>
    <w:rsid w:val="00422E02"/>
    <w:rsid w:val="00423B29"/>
    <w:rsid w:val="00425633"/>
    <w:rsid w:val="0043010E"/>
    <w:rsid w:val="004326D9"/>
    <w:rsid w:val="0043345A"/>
    <w:rsid w:val="004369DA"/>
    <w:rsid w:val="00441E79"/>
    <w:rsid w:val="00444032"/>
    <w:rsid w:val="0044643A"/>
    <w:rsid w:val="00446531"/>
    <w:rsid w:val="00450486"/>
    <w:rsid w:val="00453CD8"/>
    <w:rsid w:val="00454EB4"/>
    <w:rsid w:val="00455937"/>
    <w:rsid w:val="00461BE1"/>
    <w:rsid w:val="00464243"/>
    <w:rsid w:val="0046772C"/>
    <w:rsid w:val="004709E9"/>
    <w:rsid w:val="00472379"/>
    <w:rsid w:val="004774FE"/>
    <w:rsid w:val="0048279A"/>
    <w:rsid w:val="00483A58"/>
    <w:rsid w:val="004866AC"/>
    <w:rsid w:val="004869E2"/>
    <w:rsid w:val="00490618"/>
    <w:rsid w:val="004A19CC"/>
    <w:rsid w:val="004A3D5F"/>
    <w:rsid w:val="004A7A42"/>
    <w:rsid w:val="004B203A"/>
    <w:rsid w:val="004B34D3"/>
    <w:rsid w:val="004B5412"/>
    <w:rsid w:val="004B5F40"/>
    <w:rsid w:val="004B7552"/>
    <w:rsid w:val="004C0DF2"/>
    <w:rsid w:val="004C56FC"/>
    <w:rsid w:val="004C7D16"/>
    <w:rsid w:val="004D0860"/>
    <w:rsid w:val="004D1432"/>
    <w:rsid w:val="004D2A8C"/>
    <w:rsid w:val="004D59D4"/>
    <w:rsid w:val="004D6D4D"/>
    <w:rsid w:val="004D700E"/>
    <w:rsid w:val="004D7F17"/>
    <w:rsid w:val="004E0670"/>
    <w:rsid w:val="004E7F37"/>
    <w:rsid w:val="004F203C"/>
    <w:rsid w:val="004F284A"/>
    <w:rsid w:val="004F31BA"/>
    <w:rsid w:val="004F405F"/>
    <w:rsid w:val="004F7ECE"/>
    <w:rsid w:val="00503385"/>
    <w:rsid w:val="005118E4"/>
    <w:rsid w:val="0051299F"/>
    <w:rsid w:val="00521231"/>
    <w:rsid w:val="00526B85"/>
    <w:rsid w:val="0052793A"/>
    <w:rsid w:val="005306A1"/>
    <w:rsid w:val="00535D00"/>
    <w:rsid w:val="00536235"/>
    <w:rsid w:val="00544751"/>
    <w:rsid w:val="00553A84"/>
    <w:rsid w:val="00553FDD"/>
    <w:rsid w:val="00557856"/>
    <w:rsid w:val="0056320E"/>
    <w:rsid w:val="00563F88"/>
    <w:rsid w:val="00565B54"/>
    <w:rsid w:val="00571E8B"/>
    <w:rsid w:val="005725CA"/>
    <w:rsid w:val="0059000C"/>
    <w:rsid w:val="00592388"/>
    <w:rsid w:val="005A02A1"/>
    <w:rsid w:val="005A3F8E"/>
    <w:rsid w:val="005B5996"/>
    <w:rsid w:val="005B5ABB"/>
    <w:rsid w:val="005B6071"/>
    <w:rsid w:val="005C120F"/>
    <w:rsid w:val="005C158D"/>
    <w:rsid w:val="005C37C9"/>
    <w:rsid w:val="005C4C0F"/>
    <w:rsid w:val="005D5DFD"/>
    <w:rsid w:val="005D6753"/>
    <w:rsid w:val="005D6953"/>
    <w:rsid w:val="005D6D13"/>
    <w:rsid w:val="005D7A24"/>
    <w:rsid w:val="005E1395"/>
    <w:rsid w:val="005F161D"/>
    <w:rsid w:val="005F30E2"/>
    <w:rsid w:val="005F690F"/>
    <w:rsid w:val="005F7A28"/>
    <w:rsid w:val="006038C2"/>
    <w:rsid w:val="00605D27"/>
    <w:rsid w:val="00607FA7"/>
    <w:rsid w:val="00616EBA"/>
    <w:rsid w:val="00620574"/>
    <w:rsid w:val="00622B47"/>
    <w:rsid w:val="006240E2"/>
    <w:rsid w:val="006250C0"/>
    <w:rsid w:val="00627A53"/>
    <w:rsid w:val="00632C08"/>
    <w:rsid w:val="00641198"/>
    <w:rsid w:val="00645869"/>
    <w:rsid w:val="00654C42"/>
    <w:rsid w:val="006572E9"/>
    <w:rsid w:val="00662228"/>
    <w:rsid w:val="00664880"/>
    <w:rsid w:val="0067074A"/>
    <w:rsid w:val="00672994"/>
    <w:rsid w:val="006765DB"/>
    <w:rsid w:val="00676880"/>
    <w:rsid w:val="00676B46"/>
    <w:rsid w:val="006807C9"/>
    <w:rsid w:val="00680B0D"/>
    <w:rsid w:val="00680F6B"/>
    <w:rsid w:val="006823E8"/>
    <w:rsid w:val="006870BA"/>
    <w:rsid w:val="00690832"/>
    <w:rsid w:val="00692EFD"/>
    <w:rsid w:val="006937BA"/>
    <w:rsid w:val="0069398B"/>
    <w:rsid w:val="00694FDB"/>
    <w:rsid w:val="006962BA"/>
    <w:rsid w:val="006A1E36"/>
    <w:rsid w:val="006A53B2"/>
    <w:rsid w:val="006B21EC"/>
    <w:rsid w:val="006B513F"/>
    <w:rsid w:val="006B7E4F"/>
    <w:rsid w:val="006C15C5"/>
    <w:rsid w:val="006C68AE"/>
    <w:rsid w:val="006D3DAD"/>
    <w:rsid w:val="006D4A4B"/>
    <w:rsid w:val="006D4CB6"/>
    <w:rsid w:val="006D7ADD"/>
    <w:rsid w:val="006E1C6A"/>
    <w:rsid w:val="006E2BAC"/>
    <w:rsid w:val="006E476C"/>
    <w:rsid w:val="006E76B5"/>
    <w:rsid w:val="006F6096"/>
    <w:rsid w:val="006F7B19"/>
    <w:rsid w:val="0070036D"/>
    <w:rsid w:val="00702A2A"/>
    <w:rsid w:val="00707E21"/>
    <w:rsid w:val="00713969"/>
    <w:rsid w:val="00716D7B"/>
    <w:rsid w:val="007243FE"/>
    <w:rsid w:val="00731743"/>
    <w:rsid w:val="00735061"/>
    <w:rsid w:val="00736A76"/>
    <w:rsid w:val="0073748A"/>
    <w:rsid w:val="007405CC"/>
    <w:rsid w:val="00741CF8"/>
    <w:rsid w:val="00752C6B"/>
    <w:rsid w:val="00754621"/>
    <w:rsid w:val="00756D32"/>
    <w:rsid w:val="00760CE6"/>
    <w:rsid w:val="007619FC"/>
    <w:rsid w:val="00762F09"/>
    <w:rsid w:val="0076388A"/>
    <w:rsid w:val="007719C9"/>
    <w:rsid w:val="00772718"/>
    <w:rsid w:val="00775F4A"/>
    <w:rsid w:val="0077798E"/>
    <w:rsid w:val="007822F0"/>
    <w:rsid w:val="007829AD"/>
    <w:rsid w:val="007862DC"/>
    <w:rsid w:val="007A3384"/>
    <w:rsid w:val="007A48A0"/>
    <w:rsid w:val="007C1029"/>
    <w:rsid w:val="007D30A8"/>
    <w:rsid w:val="007D351D"/>
    <w:rsid w:val="007D4969"/>
    <w:rsid w:val="007E109C"/>
    <w:rsid w:val="007E24C8"/>
    <w:rsid w:val="007E3BFE"/>
    <w:rsid w:val="007E446E"/>
    <w:rsid w:val="007E7C2F"/>
    <w:rsid w:val="007F00B8"/>
    <w:rsid w:val="007F2B36"/>
    <w:rsid w:val="007F6391"/>
    <w:rsid w:val="008006B6"/>
    <w:rsid w:val="008016E6"/>
    <w:rsid w:val="00803803"/>
    <w:rsid w:val="008049DA"/>
    <w:rsid w:val="00807C56"/>
    <w:rsid w:val="00811436"/>
    <w:rsid w:val="00813068"/>
    <w:rsid w:val="0081424E"/>
    <w:rsid w:val="00814FB1"/>
    <w:rsid w:val="00820F20"/>
    <w:rsid w:val="0082528A"/>
    <w:rsid w:val="00825754"/>
    <w:rsid w:val="008269EE"/>
    <w:rsid w:val="00831E7D"/>
    <w:rsid w:val="00833758"/>
    <w:rsid w:val="00835210"/>
    <w:rsid w:val="00837609"/>
    <w:rsid w:val="00842406"/>
    <w:rsid w:val="0084413D"/>
    <w:rsid w:val="00844C2D"/>
    <w:rsid w:val="00845DAA"/>
    <w:rsid w:val="0085056D"/>
    <w:rsid w:val="00851FDD"/>
    <w:rsid w:val="0085206A"/>
    <w:rsid w:val="00856278"/>
    <w:rsid w:val="008567C2"/>
    <w:rsid w:val="008620F8"/>
    <w:rsid w:val="008667CE"/>
    <w:rsid w:val="0087438E"/>
    <w:rsid w:val="00877E3A"/>
    <w:rsid w:val="00884668"/>
    <w:rsid w:val="00885B6E"/>
    <w:rsid w:val="00893F64"/>
    <w:rsid w:val="008949FD"/>
    <w:rsid w:val="00895EB9"/>
    <w:rsid w:val="00897B68"/>
    <w:rsid w:val="008B053A"/>
    <w:rsid w:val="008B16F2"/>
    <w:rsid w:val="008B1FDD"/>
    <w:rsid w:val="008B291A"/>
    <w:rsid w:val="008B2B46"/>
    <w:rsid w:val="008B64C9"/>
    <w:rsid w:val="008C261F"/>
    <w:rsid w:val="008C7B9D"/>
    <w:rsid w:val="008C7CF4"/>
    <w:rsid w:val="008D1716"/>
    <w:rsid w:val="008D3309"/>
    <w:rsid w:val="008E05BC"/>
    <w:rsid w:val="008F1713"/>
    <w:rsid w:val="008F17B8"/>
    <w:rsid w:val="008F3CCF"/>
    <w:rsid w:val="008F5863"/>
    <w:rsid w:val="00901750"/>
    <w:rsid w:val="00901A61"/>
    <w:rsid w:val="00903351"/>
    <w:rsid w:val="00903A60"/>
    <w:rsid w:val="00916739"/>
    <w:rsid w:val="00921840"/>
    <w:rsid w:val="00931A56"/>
    <w:rsid w:val="00932C87"/>
    <w:rsid w:val="009331B4"/>
    <w:rsid w:val="009345F1"/>
    <w:rsid w:val="0094008E"/>
    <w:rsid w:val="00940E84"/>
    <w:rsid w:val="00942976"/>
    <w:rsid w:val="00943261"/>
    <w:rsid w:val="00944BBB"/>
    <w:rsid w:val="0095141C"/>
    <w:rsid w:val="00952406"/>
    <w:rsid w:val="009547B6"/>
    <w:rsid w:val="00961072"/>
    <w:rsid w:val="0096623C"/>
    <w:rsid w:val="00980BE5"/>
    <w:rsid w:val="009827B1"/>
    <w:rsid w:val="00983ECA"/>
    <w:rsid w:val="009862FB"/>
    <w:rsid w:val="0099176E"/>
    <w:rsid w:val="009A2F51"/>
    <w:rsid w:val="009A34F3"/>
    <w:rsid w:val="009B0A7C"/>
    <w:rsid w:val="009B544B"/>
    <w:rsid w:val="009B64EA"/>
    <w:rsid w:val="009B6C1C"/>
    <w:rsid w:val="009C0F24"/>
    <w:rsid w:val="009C6C53"/>
    <w:rsid w:val="009D380D"/>
    <w:rsid w:val="009D5447"/>
    <w:rsid w:val="009E1A74"/>
    <w:rsid w:val="009E6B53"/>
    <w:rsid w:val="009E717D"/>
    <w:rsid w:val="009E750F"/>
    <w:rsid w:val="009F4968"/>
    <w:rsid w:val="009F4B05"/>
    <w:rsid w:val="009F7C4E"/>
    <w:rsid w:val="00A0261B"/>
    <w:rsid w:val="00A03A87"/>
    <w:rsid w:val="00A04D96"/>
    <w:rsid w:val="00A0629B"/>
    <w:rsid w:val="00A06877"/>
    <w:rsid w:val="00A10089"/>
    <w:rsid w:val="00A14495"/>
    <w:rsid w:val="00A16BE1"/>
    <w:rsid w:val="00A232AB"/>
    <w:rsid w:val="00A23788"/>
    <w:rsid w:val="00A245D6"/>
    <w:rsid w:val="00A24F65"/>
    <w:rsid w:val="00A269BA"/>
    <w:rsid w:val="00A4245E"/>
    <w:rsid w:val="00A453D7"/>
    <w:rsid w:val="00A454BF"/>
    <w:rsid w:val="00A51800"/>
    <w:rsid w:val="00A52E3A"/>
    <w:rsid w:val="00A57BCE"/>
    <w:rsid w:val="00A60A6F"/>
    <w:rsid w:val="00A61A1A"/>
    <w:rsid w:val="00A645AE"/>
    <w:rsid w:val="00A649B3"/>
    <w:rsid w:val="00A701F9"/>
    <w:rsid w:val="00A7459B"/>
    <w:rsid w:val="00A74E7C"/>
    <w:rsid w:val="00A7799B"/>
    <w:rsid w:val="00A77FC0"/>
    <w:rsid w:val="00A80332"/>
    <w:rsid w:val="00A814CB"/>
    <w:rsid w:val="00A85533"/>
    <w:rsid w:val="00A86CFB"/>
    <w:rsid w:val="00A90D1B"/>
    <w:rsid w:val="00AA137B"/>
    <w:rsid w:val="00AA20CD"/>
    <w:rsid w:val="00AA53EA"/>
    <w:rsid w:val="00AA7573"/>
    <w:rsid w:val="00AA7C38"/>
    <w:rsid w:val="00AB0902"/>
    <w:rsid w:val="00AB392D"/>
    <w:rsid w:val="00AB5D00"/>
    <w:rsid w:val="00AC0B34"/>
    <w:rsid w:val="00AC144D"/>
    <w:rsid w:val="00AC3372"/>
    <w:rsid w:val="00AC3699"/>
    <w:rsid w:val="00AC61DF"/>
    <w:rsid w:val="00AD1C61"/>
    <w:rsid w:val="00AD5273"/>
    <w:rsid w:val="00AD70E2"/>
    <w:rsid w:val="00AE2E49"/>
    <w:rsid w:val="00AF028E"/>
    <w:rsid w:val="00AF09BC"/>
    <w:rsid w:val="00AF31D0"/>
    <w:rsid w:val="00AF55F8"/>
    <w:rsid w:val="00B02BE8"/>
    <w:rsid w:val="00B03641"/>
    <w:rsid w:val="00B040F3"/>
    <w:rsid w:val="00B100BB"/>
    <w:rsid w:val="00B10ABA"/>
    <w:rsid w:val="00B14948"/>
    <w:rsid w:val="00B24B10"/>
    <w:rsid w:val="00B303E4"/>
    <w:rsid w:val="00B3096F"/>
    <w:rsid w:val="00B37223"/>
    <w:rsid w:val="00B420D4"/>
    <w:rsid w:val="00B42C6D"/>
    <w:rsid w:val="00B43CFE"/>
    <w:rsid w:val="00B501E4"/>
    <w:rsid w:val="00B5500A"/>
    <w:rsid w:val="00B57910"/>
    <w:rsid w:val="00B6500A"/>
    <w:rsid w:val="00B657CB"/>
    <w:rsid w:val="00B66EB2"/>
    <w:rsid w:val="00B84736"/>
    <w:rsid w:val="00B86328"/>
    <w:rsid w:val="00B91B21"/>
    <w:rsid w:val="00B952F6"/>
    <w:rsid w:val="00BA1271"/>
    <w:rsid w:val="00BA202A"/>
    <w:rsid w:val="00BA2827"/>
    <w:rsid w:val="00BA40D4"/>
    <w:rsid w:val="00BA74CF"/>
    <w:rsid w:val="00BB51A7"/>
    <w:rsid w:val="00BB723F"/>
    <w:rsid w:val="00BC093A"/>
    <w:rsid w:val="00BC2606"/>
    <w:rsid w:val="00BC2B00"/>
    <w:rsid w:val="00BC31C1"/>
    <w:rsid w:val="00BC4ACC"/>
    <w:rsid w:val="00BC4FCC"/>
    <w:rsid w:val="00BD02F8"/>
    <w:rsid w:val="00BD1CBA"/>
    <w:rsid w:val="00BD4B97"/>
    <w:rsid w:val="00BE04E1"/>
    <w:rsid w:val="00BE31E5"/>
    <w:rsid w:val="00BE43CA"/>
    <w:rsid w:val="00BE6727"/>
    <w:rsid w:val="00BF1BE5"/>
    <w:rsid w:val="00C04432"/>
    <w:rsid w:val="00C074D7"/>
    <w:rsid w:val="00C1488E"/>
    <w:rsid w:val="00C17046"/>
    <w:rsid w:val="00C217A8"/>
    <w:rsid w:val="00C22039"/>
    <w:rsid w:val="00C223CD"/>
    <w:rsid w:val="00C25C42"/>
    <w:rsid w:val="00C26CDA"/>
    <w:rsid w:val="00C27B24"/>
    <w:rsid w:val="00C30C23"/>
    <w:rsid w:val="00C31B1C"/>
    <w:rsid w:val="00C32390"/>
    <w:rsid w:val="00C4188F"/>
    <w:rsid w:val="00C55F3C"/>
    <w:rsid w:val="00C80168"/>
    <w:rsid w:val="00C819A4"/>
    <w:rsid w:val="00C824AE"/>
    <w:rsid w:val="00C83056"/>
    <w:rsid w:val="00C84D77"/>
    <w:rsid w:val="00C84EA8"/>
    <w:rsid w:val="00C84FC8"/>
    <w:rsid w:val="00C87469"/>
    <w:rsid w:val="00C92998"/>
    <w:rsid w:val="00C95B28"/>
    <w:rsid w:val="00CA0124"/>
    <w:rsid w:val="00CA444B"/>
    <w:rsid w:val="00CA720A"/>
    <w:rsid w:val="00CB11DF"/>
    <w:rsid w:val="00CB11E8"/>
    <w:rsid w:val="00CB5468"/>
    <w:rsid w:val="00CB724B"/>
    <w:rsid w:val="00CC2280"/>
    <w:rsid w:val="00CC33E7"/>
    <w:rsid w:val="00CD0003"/>
    <w:rsid w:val="00CD2335"/>
    <w:rsid w:val="00CD5925"/>
    <w:rsid w:val="00CE12A0"/>
    <w:rsid w:val="00CE474B"/>
    <w:rsid w:val="00CE557A"/>
    <w:rsid w:val="00CE6CF3"/>
    <w:rsid w:val="00CE77EF"/>
    <w:rsid w:val="00CF00AD"/>
    <w:rsid w:val="00CF6CC0"/>
    <w:rsid w:val="00D017FB"/>
    <w:rsid w:val="00D031B2"/>
    <w:rsid w:val="00D05A86"/>
    <w:rsid w:val="00D06EAD"/>
    <w:rsid w:val="00D13D87"/>
    <w:rsid w:val="00D1410C"/>
    <w:rsid w:val="00D24128"/>
    <w:rsid w:val="00D31653"/>
    <w:rsid w:val="00D3434A"/>
    <w:rsid w:val="00D40D16"/>
    <w:rsid w:val="00D418DA"/>
    <w:rsid w:val="00D433F8"/>
    <w:rsid w:val="00D43BFD"/>
    <w:rsid w:val="00D5357C"/>
    <w:rsid w:val="00D548F0"/>
    <w:rsid w:val="00D551D1"/>
    <w:rsid w:val="00D57321"/>
    <w:rsid w:val="00D57F79"/>
    <w:rsid w:val="00D62E32"/>
    <w:rsid w:val="00D64FAC"/>
    <w:rsid w:val="00D65704"/>
    <w:rsid w:val="00D668F6"/>
    <w:rsid w:val="00D66D75"/>
    <w:rsid w:val="00D7145D"/>
    <w:rsid w:val="00D72535"/>
    <w:rsid w:val="00D741F9"/>
    <w:rsid w:val="00D80979"/>
    <w:rsid w:val="00D8414B"/>
    <w:rsid w:val="00D84875"/>
    <w:rsid w:val="00D8612D"/>
    <w:rsid w:val="00D87EA8"/>
    <w:rsid w:val="00D904F0"/>
    <w:rsid w:val="00D91378"/>
    <w:rsid w:val="00D91B18"/>
    <w:rsid w:val="00D930FB"/>
    <w:rsid w:val="00D9481E"/>
    <w:rsid w:val="00D94972"/>
    <w:rsid w:val="00D95D89"/>
    <w:rsid w:val="00DA20B6"/>
    <w:rsid w:val="00DA749F"/>
    <w:rsid w:val="00DC0747"/>
    <w:rsid w:val="00DC07A2"/>
    <w:rsid w:val="00DC2647"/>
    <w:rsid w:val="00DC316D"/>
    <w:rsid w:val="00DC4D4D"/>
    <w:rsid w:val="00DD1408"/>
    <w:rsid w:val="00DD1F90"/>
    <w:rsid w:val="00DD356D"/>
    <w:rsid w:val="00DD470F"/>
    <w:rsid w:val="00DD6735"/>
    <w:rsid w:val="00DD72DE"/>
    <w:rsid w:val="00DE0C4F"/>
    <w:rsid w:val="00DE16EE"/>
    <w:rsid w:val="00DE2B75"/>
    <w:rsid w:val="00DE4EFF"/>
    <w:rsid w:val="00DF136A"/>
    <w:rsid w:val="00DF51FA"/>
    <w:rsid w:val="00E0448C"/>
    <w:rsid w:val="00E10BCE"/>
    <w:rsid w:val="00E12FFE"/>
    <w:rsid w:val="00E13525"/>
    <w:rsid w:val="00E17D7A"/>
    <w:rsid w:val="00E22FE1"/>
    <w:rsid w:val="00E2424E"/>
    <w:rsid w:val="00E302EB"/>
    <w:rsid w:val="00E3336B"/>
    <w:rsid w:val="00E3540A"/>
    <w:rsid w:val="00E46152"/>
    <w:rsid w:val="00E47250"/>
    <w:rsid w:val="00E47ADA"/>
    <w:rsid w:val="00E54352"/>
    <w:rsid w:val="00E57039"/>
    <w:rsid w:val="00E5715E"/>
    <w:rsid w:val="00E6067D"/>
    <w:rsid w:val="00E61535"/>
    <w:rsid w:val="00E73F55"/>
    <w:rsid w:val="00E74112"/>
    <w:rsid w:val="00E74266"/>
    <w:rsid w:val="00E7480B"/>
    <w:rsid w:val="00E81E85"/>
    <w:rsid w:val="00E8246B"/>
    <w:rsid w:val="00E826A7"/>
    <w:rsid w:val="00E82B12"/>
    <w:rsid w:val="00E84012"/>
    <w:rsid w:val="00E86A21"/>
    <w:rsid w:val="00E86AD5"/>
    <w:rsid w:val="00E86E72"/>
    <w:rsid w:val="00E90B27"/>
    <w:rsid w:val="00E90D36"/>
    <w:rsid w:val="00E92A21"/>
    <w:rsid w:val="00E9373C"/>
    <w:rsid w:val="00E94E0B"/>
    <w:rsid w:val="00E9563F"/>
    <w:rsid w:val="00E97D0B"/>
    <w:rsid w:val="00EA0724"/>
    <w:rsid w:val="00EA292D"/>
    <w:rsid w:val="00EA6251"/>
    <w:rsid w:val="00EB493E"/>
    <w:rsid w:val="00EB5DDF"/>
    <w:rsid w:val="00EB6414"/>
    <w:rsid w:val="00EC1418"/>
    <w:rsid w:val="00EC1ECE"/>
    <w:rsid w:val="00EC6106"/>
    <w:rsid w:val="00ED1DCF"/>
    <w:rsid w:val="00ED1FCC"/>
    <w:rsid w:val="00ED27CB"/>
    <w:rsid w:val="00ED3988"/>
    <w:rsid w:val="00ED4A93"/>
    <w:rsid w:val="00EE2D23"/>
    <w:rsid w:val="00EE3BA6"/>
    <w:rsid w:val="00EE5747"/>
    <w:rsid w:val="00EF1229"/>
    <w:rsid w:val="00EF3804"/>
    <w:rsid w:val="00EF38DE"/>
    <w:rsid w:val="00EF4848"/>
    <w:rsid w:val="00EF5E05"/>
    <w:rsid w:val="00F073CA"/>
    <w:rsid w:val="00F10C38"/>
    <w:rsid w:val="00F10EDB"/>
    <w:rsid w:val="00F126BE"/>
    <w:rsid w:val="00F1472F"/>
    <w:rsid w:val="00F227AF"/>
    <w:rsid w:val="00F25CA1"/>
    <w:rsid w:val="00F266F2"/>
    <w:rsid w:val="00F27370"/>
    <w:rsid w:val="00F32460"/>
    <w:rsid w:val="00F324D3"/>
    <w:rsid w:val="00F34058"/>
    <w:rsid w:val="00F3486A"/>
    <w:rsid w:val="00F354C9"/>
    <w:rsid w:val="00F364FD"/>
    <w:rsid w:val="00F369D4"/>
    <w:rsid w:val="00F40B00"/>
    <w:rsid w:val="00F41AAB"/>
    <w:rsid w:val="00F4244F"/>
    <w:rsid w:val="00F5341C"/>
    <w:rsid w:val="00F56954"/>
    <w:rsid w:val="00F571DB"/>
    <w:rsid w:val="00F612F0"/>
    <w:rsid w:val="00F617A6"/>
    <w:rsid w:val="00F62AE5"/>
    <w:rsid w:val="00F73DFB"/>
    <w:rsid w:val="00F76062"/>
    <w:rsid w:val="00F8002A"/>
    <w:rsid w:val="00F82AE7"/>
    <w:rsid w:val="00F85F98"/>
    <w:rsid w:val="00F926AC"/>
    <w:rsid w:val="00F948AF"/>
    <w:rsid w:val="00FA1F45"/>
    <w:rsid w:val="00FA248F"/>
    <w:rsid w:val="00FA5A7B"/>
    <w:rsid w:val="00FA65DA"/>
    <w:rsid w:val="00FB0D2B"/>
    <w:rsid w:val="00FB11B1"/>
    <w:rsid w:val="00FC1C24"/>
    <w:rsid w:val="00FC28AA"/>
    <w:rsid w:val="00FC4B7E"/>
    <w:rsid w:val="00FC63EB"/>
    <w:rsid w:val="00FD0FD9"/>
    <w:rsid w:val="00FD4015"/>
    <w:rsid w:val="00FD4BBE"/>
    <w:rsid w:val="00FE00E8"/>
    <w:rsid w:val="00FE4A5C"/>
    <w:rsid w:val="00FE5DAB"/>
    <w:rsid w:val="00FE61AA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B5E2E5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communitygrants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a88cc-f68e-4757-a885-37b91611e137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3BFF1B0363F4F8CA8A12398FB5F3D" ma:contentTypeVersion="13" ma:contentTypeDescription="Create a new document." ma:contentTypeScope="" ma:versionID="61e0b3cf3eec21402be2e163e1f76a06">
  <xsd:schema xmlns:xsd="http://www.w3.org/2001/XMLSchema" xmlns:xs="http://www.w3.org/2001/XMLSchema" xmlns:p="http://schemas.microsoft.com/office/2006/metadata/properties" xmlns:ns2="0ffbd2a1-3e83-4fc8-8d72-7152fe6aefbc" xmlns:ns3="4b7a88cc-f68e-4757-a885-37b91611e137" xmlns:ns4="81c01dc6-2c49-4730-b140-874c95cac377" targetNamespace="http://schemas.microsoft.com/office/2006/metadata/properties" ma:root="true" ma:fieldsID="f06c784b40887d08176cb36395c1c0f4" ns2:_="" ns3:_="" ns4:_="">
    <xsd:import namespace="0ffbd2a1-3e83-4fc8-8d72-7152fe6aefbc"/>
    <xsd:import namespace="4b7a88cc-f68e-4757-a885-37b91611e13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bd2a1-3e83-4fc8-8d72-7152fe6a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a88cc-f68e-4757-a885-37b91611e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be211c-a7b1-4043-b7c4-11c3f6eeef17}" ma:internalName="TaxCatchAll" ma:showField="CatchAllData" ma:web="0ffbd2a1-3e83-4fc8-8d72-7152fe6a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9595F7-EB75-4F01-88F8-B5B7D03D1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F3A59-0706-4FB6-BC9D-BC4E98AC935E}">
  <ds:schemaRefs>
    <ds:schemaRef ds:uri="4b7a88cc-f68e-4757-a885-37b91611e13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1c01dc6-2c49-4730-b140-874c95cac377"/>
    <ds:schemaRef ds:uri="0ffbd2a1-3e83-4fc8-8d72-7152fe6aef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F37A87-553A-49ED-A9D6-0888F2364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bd2a1-3e83-4fc8-8d72-7152fe6aefbc"/>
    <ds:schemaRef ds:uri="4b7a88cc-f68e-4757-a885-37b91611e13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0A4EB8-A27E-4AD9-A207-302734DA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59</TotalTime>
  <Pages>6</Pages>
  <Words>1763</Words>
  <Characters>10877</Characters>
  <DocSecurity>0</DocSecurity>
  <Lines>188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2021-05-11T22:32:00Z</cp:lastPrinted>
  <dcterms:created xsi:type="dcterms:W3CDTF">2023-08-09T06:39:00Z</dcterms:created>
  <dcterms:modified xsi:type="dcterms:W3CDTF">2023-08-09T23:31:00Z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2023-08-09T23:31:19Z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8146755F0B0F224A693B29E49DD7FFBC</vt:lpwstr>
  </property>
  <property fmtid="{D5CDD505-2E9C-101B-9397-08002B2CF9AE}" pid="20" name="PM_Hash_Salt">
    <vt:lpwstr>4DEA91D2ADB807E37AA30F47FA58E100</vt:lpwstr>
  </property>
  <property fmtid="{D5CDD505-2E9C-101B-9397-08002B2CF9AE}" pid="21" name="PM_Hash_SHA1">
    <vt:lpwstr>02B9AFBE228F7B66202C32F9D123AF81A1E9E8FE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ContentTypeId">
    <vt:lpwstr>0x01010009B3BFF1B0363F4F8CA8A12398FB5F3D</vt:lpwstr>
  </property>
  <property fmtid="{D5CDD505-2E9C-101B-9397-08002B2CF9AE}" pid="28" name="MediaServiceImageTags">
    <vt:lpwstr/>
  </property>
</Properties>
</file>