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C695" w14:textId="193BA719" w:rsidR="007450CD" w:rsidRDefault="007450CD" w:rsidP="00590E3E">
      <w:pPr>
        <w:spacing w:before="40" w:after="120"/>
        <w:contextualSpacing/>
        <w:rPr>
          <w:rFonts w:ascii="Arial" w:eastAsiaTheme="majorEastAsia" w:hAnsi="Arial" w:cs="Arial"/>
          <w:color w:val="CF0A2C" w:themeColor="accent1"/>
          <w:kern w:val="28"/>
          <w:sz w:val="48"/>
          <w:szCs w:val="52"/>
        </w:rPr>
      </w:pPr>
      <w:r w:rsidRPr="009B3B80">
        <w:rPr>
          <w:rFonts w:ascii="Arial" w:eastAsiaTheme="majorEastAsia" w:hAnsi="Arial" w:cs="Arial"/>
          <w:color w:val="CF0A2C" w:themeColor="accent1"/>
          <w:kern w:val="28"/>
          <w:sz w:val="48"/>
          <w:szCs w:val="52"/>
        </w:rPr>
        <w:t>Australia’s Disability Strategy 2</w:t>
      </w:r>
      <w:r>
        <w:rPr>
          <w:rFonts w:ascii="Arial" w:eastAsiaTheme="majorEastAsia" w:hAnsi="Arial" w:cs="Arial"/>
          <w:color w:val="CF0A2C" w:themeColor="accent1"/>
          <w:kern w:val="28"/>
          <w:sz w:val="48"/>
          <w:szCs w:val="52"/>
        </w:rPr>
        <w:t>021</w:t>
      </w:r>
      <w:r w:rsidR="0002761B">
        <w:rPr>
          <w:rFonts w:ascii="Arial" w:eastAsiaTheme="majorEastAsia" w:hAnsi="Arial" w:cs="Arial"/>
          <w:color w:val="CF0A2C" w:themeColor="accent1"/>
          <w:kern w:val="28"/>
          <w:sz w:val="48"/>
          <w:szCs w:val="52"/>
        </w:rPr>
        <w:t>–</w:t>
      </w:r>
      <w:r>
        <w:rPr>
          <w:rFonts w:ascii="Arial" w:eastAsiaTheme="majorEastAsia" w:hAnsi="Arial" w:cs="Arial"/>
          <w:color w:val="CF0A2C" w:themeColor="accent1"/>
          <w:kern w:val="28"/>
          <w:sz w:val="48"/>
          <w:szCs w:val="52"/>
        </w:rPr>
        <w:t>2031 –</w:t>
      </w:r>
    </w:p>
    <w:p w14:paraId="2D3F0AAB" w14:textId="3DC00806" w:rsidR="00F85F98" w:rsidRPr="009A2F51" w:rsidRDefault="007450CD" w:rsidP="00590E3E">
      <w:pPr>
        <w:spacing w:before="40" w:after="120"/>
        <w:contextualSpacing/>
        <w:rPr>
          <w:rFonts w:ascii="Arial" w:eastAsiaTheme="majorEastAsia" w:hAnsi="Arial" w:cs="Arial"/>
          <w:color w:val="CF0A2C" w:themeColor="accent1"/>
          <w:kern w:val="28"/>
          <w:sz w:val="48"/>
          <w:szCs w:val="52"/>
        </w:rPr>
      </w:pPr>
      <w:r>
        <w:rPr>
          <w:rFonts w:ascii="Arial" w:eastAsiaTheme="majorEastAsia" w:hAnsi="Arial" w:cs="Arial"/>
          <w:color w:val="CF0A2C" w:themeColor="accent1"/>
          <w:kern w:val="28"/>
          <w:sz w:val="48"/>
          <w:szCs w:val="52"/>
        </w:rPr>
        <w:t>National Disability Conference Initiative 2023</w:t>
      </w:r>
      <w:r w:rsidR="0002761B">
        <w:rPr>
          <w:rFonts w:ascii="Arial" w:eastAsiaTheme="majorEastAsia" w:hAnsi="Arial" w:cs="Arial"/>
          <w:color w:val="CF0A2C" w:themeColor="accent1"/>
          <w:kern w:val="28"/>
          <w:sz w:val="48"/>
          <w:szCs w:val="52"/>
        </w:rPr>
        <w:t>–</w:t>
      </w:r>
      <w:r>
        <w:rPr>
          <w:rFonts w:ascii="Arial" w:eastAsiaTheme="majorEastAsia" w:hAnsi="Arial" w:cs="Arial"/>
          <w:color w:val="CF0A2C" w:themeColor="accent1"/>
          <w:kern w:val="28"/>
          <w:sz w:val="48"/>
          <w:szCs w:val="52"/>
        </w:rPr>
        <w:t>24</w:t>
      </w:r>
    </w:p>
    <w:p w14:paraId="668917D6" w14:textId="03E296DF" w:rsidR="00F85F98" w:rsidRPr="00F85F98" w:rsidRDefault="00590E3E" w:rsidP="00590E3E">
      <w:pPr>
        <w:numPr>
          <w:ilvl w:val="1"/>
          <w:numId w:val="0"/>
        </w:numPr>
        <w:pBdr>
          <w:bottom w:val="single" w:sz="4" w:space="22" w:color="000000" w:themeColor="text1"/>
        </w:pBdr>
        <w:spacing w:before="40" w:after="120"/>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7AE99FD2" w14:textId="2C6F3ECD" w:rsidR="004A7A42" w:rsidRDefault="007450CD" w:rsidP="00F85F98">
      <w:pPr>
        <w:rPr>
          <w:color w:val="auto"/>
        </w:rPr>
      </w:pPr>
      <w:r w:rsidRPr="009B3B80">
        <w:rPr>
          <w:color w:val="auto"/>
        </w:rPr>
        <w:t xml:space="preserve">The Department of Social Services has provided the following General Feedback for applicants of the </w:t>
      </w:r>
      <w:r w:rsidRPr="009B3B80">
        <w:rPr>
          <w:i/>
          <w:color w:val="auto"/>
        </w:rPr>
        <w:t>Australia’s Disability Strategy 2021</w:t>
      </w:r>
      <w:r w:rsidR="00590E3E">
        <w:rPr>
          <w:i/>
          <w:color w:val="auto"/>
        </w:rPr>
        <w:t>–</w:t>
      </w:r>
      <w:r w:rsidRPr="009B3B80">
        <w:rPr>
          <w:i/>
          <w:color w:val="auto"/>
        </w:rPr>
        <w:t>2031</w:t>
      </w:r>
      <w:r w:rsidRPr="009B3B80">
        <w:rPr>
          <w:color w:val="auto"/>
        </w:rPr>
        <w:t xml:space="preserve"> – National Disability Conference Initiative 2023</w:t>
      </w:r>
      <w:r w:rsidR="00590E3E">
        <w:rPr>
          <w:color w:val="auto"/>
        </w:rPr>
        <w:t>–</w:t>
      </w:r>
      <w:r w:rsidRPr="009B3B80">
        <w:rPr>
          <w:color w:val="auto"/>
        </w:rPr>
        <w:t>24 grant opportunity.</w:t>
      </w:r>
    </w:p>
    <w:p w14:paraId="377D62C1" w14:textId="77777777" w:rsidR="007450CD" w:rsidRDefault="007450CD" w:rsidP="00F85F98">
      <w:pPr>
        <w:rPr>
          <w:rFonts w:ascii="Arial" w:eastAsiaTheme="majorEastAsia" w:hAnsi="Arial" w:cs="Arial"/>
          <w:bCs/>
          <w:color w:val="auto"/>
          <w:sz w:val="36"/>
          <w:szCs w:val="28"/>
        </w:rPr>
      </w:pPr>
    </w:p>
    <w:p w14:paraId="34646527" w14:textId="293F4292" w:rsidR="00F85F98" w:rsidRPr="00590E3E" w:rsidRDefault="00F85F98" w:rsidP="00F85F98">
      <w:pPr>
        <w:rPr>
          <w:rFonts w:ascii="Arial" w:eastAsiaTheme="majorEastAsia" w:hAnsi="Arial" w:cs="Arial"/>
          <w:bCs/>
          <w:color w:val="auto"/>
          <w:sz w:val="36"/>
          <w:szCs w:val="28"/>
        </w:rPr>
      </w:pPr>
      <w:r w:rsidRPr="003D4B2C">
        <w:rPr>
          <w:rFonts w:ascii="Arial" w:eastAsiaTheme="majorEastAsia" w:hAnsi="Arial" w:cs="Arial"/>
          <w:bCs/>
          <w:color w:val="auto"/>
          <w:sz w:val="36"/>
          <w:szCs w:val="28"/>
        </w:rPr>
        <w:t>Overview</w:t>
      </w:r>
    </w:p>
    <w:p w14:paraId="6FCF70AA" w14:textId="3420574F" w:rsidR="00D80A0C" w:rsidRPr="00D80A0C" w:rsidRDefault="00D80A0C" w:rsidP="00D80A0C">
      <w:pPr>
        <w:pStyle w:val="BodyText"/>
        <w:rPr>
          <w:rFonts w:cstheme="minorHAnsi"/>
          <w:color w:val="auto"/>
          <w:szCs w:val="22"/>
        </w:rPr>
      </w:pPr>
      <w:r w:rsidRPr="00D80A0C">
        <w:rPr>
          <w:rFonts w:cstheme="minorHAnsi"/>
          <w:color w:val="auto"/>
          <w:szCs w:val="22"/>
        </w:rPr>
        <w:t xml:space="preserve">The National Disability Conference Initiative (NDCI) is a program delivered by the </w:t>
      </w:r>
      <w:r w:rsidR="00B77997">
        <w:rPr>
          <w:rFonts w:cstheme="minorHAnsi"/>
          <w:color w:val="auto"/>
          <w:szCs w:val="22"/>
        </w:rPr>
        <w:t>Australian</w:t>
      </w:r>
      <w:r w:rsidRPr="00D80A0C">
        <w:rPr>
          <w:rFonts w:cstheme="minorHAnsi"/>
          <w:color w:val="auto"/>
          <w:szCs w:val="22"/>
        </w:rPr>
        <w:t xml:space="preserve"> Government as a commitment under </w:t>
      </w:r>
      <w:r w:rsidRPr="00B77997">
        <w:rPr>
          <w:rFonts w:cstheme="minorHAnsi"/>
          <w:i/>
          <w:color w:val="auto"/>
          <w:szCs w:val="22"/>
        </w:rPr>
        <w:t>Australia</w:t>
      </w:r>
      <w:bookmarkStart w:id="0" w:name="_GoBack"/>
      <w:bookmarkEnd w:id="0"/>
      <w:r w:rsidRPr="00B77997">
        <w:rPr>
          <w:rFonts w:cstheme="minorHAnsi"/>
          <w:i/>
          <w:color w:val="auto"/>
          <w:szCs w:val="22"/>
        </w:rPr>
        <w:t>’s Disability Strategy</w:t>
      </w:r>
      <w:r w:rsidR="00B77997" w:rsidRPr="00B77997">
        <w:rPr>
          <w:rFonts w:cstheme="minorHAnsi"/>
          <w:i/>
          <w:color w:val="auto"/>
          <w:szCs w:val="22"/>
        </w:rPr>
        <w:t xml:space="preserve"> 2021</w:t>
      </w:r>
      <w:r w:rsidR="00590E3E">
        <w:rPr>
          <w:rFonts w:cstheme="minorHAnsi"/>
          <w:i/>
          <w:color w:val="auto"/>
          <w:szCs w:val="22"/>
        </w:rPr>
        <w:t>–</w:t>
      </w:r>
      <w:r w:rsidR="00B77997" w:rsidRPr="00B77997">
        <w:rPr>
          <w:rFonts w:cstheme="minorHAnsi"/>
          <w:i/>
          <w:color w:val="auto"/>
          <w:szCs w:val="22"/>
        </w:rPr>
        <w:t>2031</w:t>
      </w:r>
      <w:r w:rsidR="00B77997">
        <w:rPr>
          <w:rFonts w:cstheme="minorHAnsi"/>
          <w:i/>
          <w:color w:val="auto"/>
          <w:szCs w:val="22"/>
        </w:rPr>
        <w:t xml:space="preserve"> </w:t>
      </w:r>
      <w:r w:rsidR="00B77997">
        <w:rPr>
          <w:rFonts w:cstheme="minorHAnsi"/>
          <w:color w:val="auto"/>
          <w:szCs w:val="22"/>
        </w:rPr>
        <w:t>(ADS)</w:t>
      </w:r>
      <w:r w:rsidRPr="00D80A0C">
        <w:rPr>
          <w:rFonts w:cstheme="minorHAnsi"/>
          <w:color w:val="auto"/>
          <w:szCs w:val="22"/>
        </w:rPr>
        <w:t xml:space="preserve">, supporting the vision of the </w:t>
      </w:r>
      <w:r w:rsidR="00B77997">
        <w:rPr>
          <w:rFonts w:cstheme="minorHAnsi"/>
          <w:color w:val="auto"/>
          <w:szCs w:val="22"/>
        </w:rPr>
        <w:t>ADS</w:t>
      </w:r>
      <w:r w:rsidRPr="00D80A0C">
        <w:rPr>
          <w:rFonts w:cstheme="minorHAnsi"/>
          <w:color w:val="auto"/>
          <w:szCs w:val="22"/>
        </w:rPr>
        <w:t xml:space="preserve"> for an inclusive Australian society that ensures people with disability can fulfil their potential, as equal members of the community.</w:t>
      </w:r>
    </w:p>
    <w:p w14:paraId="6376B8BD" w14:textId="1DFE4763" w:rsidR="00D80A0C" w:rsidRDefault="00D80A0C" w:rsidP="00D80A0C">
      <w:pPr>
        <w:pStyle w:val="BodyText"/>
        <w:rPr>
          <w:rFonts w:cstheme="minorHAnsi"/>
          <w:color w:val="auto"/>
          <w:szCs w:val="22"/>
        </w:rPr>
      </w:pPr>
      <w:r w:rsidRPr="00D80A0C">
        <w:rPr>
          <w:rFonts w:cstheme="minorHAnsi"/>
          <w:color w:val="auto"/>
          <w:szCs w:val="22"/>
        </w:rPr>
        <w:t>The NDCI is part of the department’s Disability and Carers Support component, under Outcome</w:t>
      </w:r>
      <w:r w:rsidR="008B42D2">
        <w:rPr>
          <w:rFonts w:cstheme="minorHAnsi"/>
          <w:color w:val="auto"/>
          <w:szCs w:val="22"/>
        </w:rPr>
        <w:t> </w:t>
      </w:r>
      <w:r w:rsidRPr="00D80A0C">
        <w:rPr>
          <w:rFonts w:cstheme="minorHAnsi"/>
          <w:color w:val="auto"/>
          <w:szCs w:val="22"/>
        </w:rPr>
        <w:t>3.1 Disability and Carers. This Outcome supports people with disabilities and carers to actively participate in community and economic life.</w:t>
      </w:r>
    </w:p>
    <w:p w14:paraId="61B00F04" w14:textId="127C7C76" w:rsidR="00D70B21" w:rsidRDefault="00D70B21" w:rsidP="00D80A0C">
      <w:pPr>
        <w:pStyle w:val="BodyText"/>
        <w:rPr>
          <w:rFonts w:cstheme="minorHAnsi"/>
          <w:color w:val="auto"/>
          <w:szCs w:val="22"/>
        </w:rPr>
      </w:pPr>
      <w:r w:rsidRPr="00D70B21">
        <w:rPr>
          <w:rFonts w:cstheme="minorHAnsi"/>
          <w:color w:val="auto"/>
          <w:szCs w:val="22"/>
        </w:rPr>
        <w:t>This grant opportunity provides grants to conference organisers to assist people with disability participate in nationally-focused, disability-related, conferences held in Australia. Grants will support eligible conference organisers to provide accessibility measures and travel costs that will maximise the inclusion and participation of people with disability at their conference.</w:t>
      </w:r>
    </w:p>
    <w:p w14:paraId="2FCFFEC5" w14:textId="798414A9" w:rsidR="00D80A0C" w:rsidRPr="00D80A0C" w:rsidRDefault="00D80A0C" w:rsidP="00D80A0C">
      <w:pPr>
        <w:pStyle w:val="BodyText"/>
        <w:rPr>
          <w:rFonts w:cstheme="minorHAnsi"/>
          <w:color w:val="auto"/>
          <w:szCs w:val="22"/>
        </w:rPr>
      </w:pPr>
      <w:r w:rsidRPr="00D80A0C">
        <w:rPr>
          <w:rFonts w:cstheme="minorHAnsi"/>
          <w:color w:val="auto"/>
          <w:szCs w:val="22"/>
        </w:rPr>
        <w:t>The outcomes of the NDCI that are expected to be achieved by thi</w:t>
      </w:r>
      <w:r w:rsidR="00590E3E">
        <w:rPr>
          <w:rFonts w:cstheme="minorHAnsi"/>
          <w:color w:val="auto"/>
          <w:szCs w:val="22"/>
        </w:rPr>
        <w:t>s grant funding round are:</w:t>
      </w:r>
    </w:p>
    <w:p w14:paraId="596D8BDB" w14:textId="5AEEE99D" w:rsidR="00D80A0C" w:rsidRPr="00D80A0C" w:rsidRDefault="00D80A0C" w:rsidP="00316948">
      <w:pPr>
        <w:pStyle w:val="BodyText"/>
        <w:numPr>
          <w:ilvl w:val="0"/>
          <w:numId w:val="20"/>
        </w:numPr>
        <w:ind w:left="567" w:hanging="283"/>
        <w:rPr>
          <w:rFonts w:cstheme="minorHAnsi"/>
          <w:color w:val="auto"/>
          <w:szCs w:val="22"/>
        </w:rPr>
      </w:pPr>
      <w:r w:rsidRPr="00D80A0C">
        <w:rPr>
          <w:rFonts w:cstheme="minorHAnsi"/>
          <w:color w:val="auto"/>
          <w:szCs w:val="22"/>
        </w:rPr>
        <w:t>Greater participation and inclusion of people with disability at nationally-focused, disability-related</w:t>
      </w:r>
      <w:r w:rsidR="00590E3E">
        <w:rPr>
          <w:rFonts w:cstheme="minorHAnsi"/>
          <w:color w:val="auto"/>
          <w:szCs w:val="22"/>
        </w:rPr>
        <w:t xml:space="preserve"> conferences held in Australia.</w:t>
      </w:r>
    </w:p>
    <w:p w14:paraId="5A9B248D" w14:textId="3A9309AB" w:rsidR="00D80A0C" w:rsidRPr="00D80A0C" w:rsidRDefault="00D80A0C" w:rsidP="00316948">
      <w:pPr>
        <w:pStyle w:val="BodyText"/>
        <w:numPr>
          <w:ilvl w:val="0"/>
          <w:numId w:val="20"/>
        </w:numPr>
        <w:ind w:left="567" w:hanging="283"/>
        <w:rPr>
          <w:rFonts w:cstheme="minorHAnsi"/>
          <w:color w:val="auto"/>
          <w:szCs w:val="22"/>
        </w:rPr>
      </w:pPr>
      <w:r w:rsidRPr="00D80A0C">
        <w:rPr>
          <w:rFonts w:cstheme="minorHAnsi"/>
          <w:color w:val="auto"/>
          <w:szCs w:val="22"/>
        </w:rPr>
        <w:t xml:space="preserve">Greater awareness of </w:t>
      </w:r>
      <w:r w:rsidRPr="000B7EE9">
        <w:rPr>
          <w:rFonts w:cstheme="minorHAnsi"/>
          <w:i/>
          <w:color w:val="auto"/>
          <w:szCs w:val="22"/>
        </w:rPr>
        <w:t>Australia’s Disability Strategy 2021</w:t>
      </w:r>
      <w:r w:rsidR="00590E3E">
        <w:rPr>
          <w:rFonts w:cstheme="minorHAnsi"/>
          <w:i/>
          <w:color w:val="auto"/>
          <w:szCs w:val="22"/>
        </w:rPr>
        <w:t>–</w:t>
      </w:r>
      <w:r w:rsidRPr="000B7EE9">
        <w:rPr>
          <w:rFonts w:cstheme="minorHAnsi"/>
          <w:i/>
          <w:color w:val="auto"/>
          <w:szCs w:val="22"/>
        </w:rPr>
        <w:t>2031</w:t>
      </w:r>
      <w:r w:rsidRPr="00D80A0C">
        <w:rPr>
          <w:rFonts w:cstheme="minorHAnsi"/>
          <w:color w:val="auto"/>
          <w:szCs w:val="22"/>
        </w:rPr>
        <w:t xml:space="preserve"> launched on 3</w:t>
      </w:r>
      <w:r w:rsidR="007C1445">
        <w:rPr>
          <w:rFonts w:cstheme="minorHAnsi"/>
          <w:color w:val="auto"/>
          <w:szCs w:val="22"/>
        </w:rPr>
        <w:t> </w:t>
      </w:r>
      <w:r w:rsidRPr="00D80A0C">
        <w:rPr>
          <w:rFonts w:cstheme="minorHAnsi"/>
          <w:color w:val="auto"/>
          <w:szCs w:val="22"/>
        </w:rPr>
        <w:t>December</w:t>
      </w:r>
      <w:r w:rsidR="007C1445">
        <w:rPr>
          <w:rFonts w:cstheme="minorHAnsi"/>
          <w:color w:val="auto"/>
          <w:szCs w:val="22"/>
        </w:rPr>
        <w:t> </w:t>
      </w:r>
      <w:r w:rsidRPr="00D80A0C">
        <w:rPr>
          <w:rFonts w:cstheme="minorHAnsi"/>
          <w:color w:val="auto"/>
          <w:szCs w:val="22"/>
        </w:rPr>
        <w:t>2021.</w:t>
      </w:r>
    </w:p>
    <w:p w14:paraId="0CD626D1" w14:textId="36AEAE7E" w:rsidR="00D80A0C" w:rsidRPr="00D80A0C" w:rsidRDefault="00D80A0C" w:rsidP="00D80A0C">
      <w:pPr>
        <w:pStyle w:val="BodyText"/>
        <w:rPr>
          <w:rFonts w:cstheme="minorHAnsi"/>
          <w:color w:val="auto"/>
          <w:szCs w:val="22"/>
        </w:rPr>
      </w:pPr>
      <w:r w:rsidRPr="00D80A0C">
        <w:rPr>
          <w:rFonts w:cstheme="minorHAnsi"/>
          <w:color w:val="auto"/>
          <w:szCs w:val="22"/>
        </w:rPr>
        <w:t xml:space="preserve">Up </w:t>
      </w:r>
      <w:r w:rsidRPr="007C1445">
        <w:rPr>
          <w:rFonts w:cstheme="minorHAnsi"/>
          <w:color w:val="auto"/>
          <w:szCs w:val="22"/>
        </w:rPr>
        <w:t xml:space="preserve">to </w:t>
      </w:r>
      <w:r w:rsidRPr="00B77997">
        <w:rPr>
          <w:rFonts w:cstheme="minorHAnsi"/>
          <w:color w:val="auto"/>
          <w:szCs w:val="22"/>
        </w:rPr>
        <w:t>$</w:t>
      </w:r>
      <w:r w:rsidR="00B77997">
        <w:rPr>
          <w:rFonts w:cstheme="minorHAnsi"/>
          <w:color w:val="auto"/>
          <w:szCs w:val="22"/>
        </w:rPr>
        <w:t>315,000</w:t>
      </w:r>
      <w:r w:rsidR="007C1445">
        <w:rPr>
          <w:rFonts w:cstheme="minorHAnsi"/>
          <w:color w:val="auto"/>
          <w:szCs w:val="22"/>
        </w:rPr>
        <w:t xml:space="preserve"> </w:t>
      </w:r>
      <w:r w:rsidRPr="00D80A0C">
        <w:rPr>
          <w:rFonts w:cstheme="minorHAnsi"/>
          <w:color w:val="auto"/>
          <w:szCs w:val="22"/>
        </w:rPr>
        <w:t xml:space="preserve">(GST exclusive) over one year </w:t>
      </w:r>
      <w:r w:rsidR="00B77997">
        <w:rPr>
          <w:rFonts w:cstheme="minorHAnsi"/>
          <w:color w:val="auto"/>
          <w:szCs w:val="22"/>
        </w:rPr>
        <w:t>was</w:t>
      </w:r>
      <w:r w:rsidRPr="00D80A0C">
        <w:rPr>
          <w:rFonts w:cstheme="minorHAnsi"/>
          <w:color w:val="auto"/>
          <w:szCs w:val="22"/>
        </w:rPr>
        <w:t xml:space="preserve"> </w:t>
      </w:r>
      <w:r w:rsidR="00B77997">
        <w:rPr>
          <w:rFonts w:cstheme="minorHAnsi"/>
          <w:color w:val="auto"/>
          <w:szCs w:val="22"/>
        </w:rPr>
        <w:t xml:space="preserve">advised in the Grant Opportunity Guidelines as being </w:t>
      </w:r>
      <w:r w:rsidRPr="00D80A0C">
        <w:rPr>
          <w:rFonts w:cstheme="minorHAnsi"/>
          <w:color w:val="auto"/>
          <w:szCs w:val="22"/>
        </w:rPr>
        <w:t>available for this grant opportunity, starting from 1 July</w:t>
      </w:r>
      <w:r w:rsidR="00590E3E">
        <w:rPr>
          <w:rFonts w:cstheme="minorHAnsi"/>
          <w:color w:val="auto"/>
          <w:szCs w:val="22"/>
        </w:rPr>
        <w:t xml:space="preserve"> 2023 and ceasing 30 June 2024.</w:t>
      </w:r>
    </w:p>
    <w:p w14:paraId="0E9BE17E" w14:textId="2830199A" w:rsidR="00D80A0C" w:rsidRPr="00D80A0C" w:rsidRDefault="00D80A0C" w:rsidP="00D80A0C">
      <w:pPr>
        <w:pStyle w:val="BodyText"/>
        <w:rPr>
          <w:rFonts w:cstheme="minorHAnsi"/>
          <w:color w:val="auto"/>
          <w:szCs w:val="22"/>
        </w:rPr>
      </w:pPr>
      <w:r w:rsidRPr="00D80A0C">
        <w:rPr>
          <w:rFonts w:cstheme="minorHAnsi"/>
          <w:color w:val="auto"/>
          <w:szCs w:val="22"/>
        </w:rPr>
        <w:t>The application period opened on 14 March 2023 and closed on 27 April 2023. Applicants could apply for up to a maximum of $10,000 (GST exclusive) in funding over the funding period. Successful organisations may have receiv</w:t>
      </w:r>
      <w:r w:rsidR="00590E3E">
        <w:rPr>
          <w:rFonts w:cstheme="minorHAnsi"/>
          <w:color w:val="auto"/>
          <w:szCs w:val="22"/>
        </w:rPr>
        <w:t>ed less funding than requested.</w:t>
      </w:r>
    </w:p>
    <w:p w14:paraId="721BD403" w14:textId="09E611F3" w:rsidR="00A232AB" w:rsidRDefault="00D80A0C" w:rsidP="00901A61">
      <w:pPr>
        <w:pStyle w:val="BodyText"/>
      </w:pPr>
      <w:r w:rsidRPr="00D80A0C">
        <w:rPr>
          <w:rFonts w:cstheme="minorHAnsi"/>
          <w:color w:val="auto"/>
          <w:szCs w:val="22"/>
        </w:rPr>
        <w:t xml:space="preserve">This feedback is provided to help grant applicants understand what made a strong application for this grant round, and how to </w:t>
      </w:r>
      <w:r w:rsidR="00590E3E">
        <w:rPr>
          <w:rFonts w:cstheme="minorHAnsi"/>
          <w:color w:val="auto"/>
          <w:szCs w:val="22"/>
        </w:rPr>
        <w:t>strengthen future applications.</w:t>
      </w:r>
    </w:p>
    <w:p w14:paraId="0A895F0A" w14:textId="06AE9340" w:rsidR="00F85F98" w:rsidRDefault="00F85F98" w:rsidP="00590E3E">
      <w:pPr>
        <w:pStyle w:val="BodyText"/>
        <w:keepNext/>
        <w:keepLines/>
        <w:rPr>
          <w:rFonts w:ascii="Arial" w:eastAsiaTheme="majorEastAsia" w:hAnsi="Arial" w:cs="Arial"/>
          <w:bCs/>
          <w:color w:val="C00000"/>
          <w:sz w:val="36"/>
          <w:szCs w:val="28"/>
        </w:rPr>
      </w:pPr>
      <w:r w:rsidRPr="00A232AB">
        <w:rPr>
          <w:rFonts w:ascii="Arial" w:eastAsiaTheme="majorEastAsia" w:hAnsi="Arial" w:cs="Arial"/>
          <w:bCs/>
          <w:color w:val="C00000"/>
          <w:sz w:val="36"/>
          <w:szCs w:val="28"/>
        </w:rPr>
        <w:lastRenderedPageBreak/>
        <w:t>Selection Process</w:t>
      </w:r>
    </w:p>
    <w:p w14:paraId="133187BE" w14:textId="26E5F3BE" w:rsidR="007450CD" w:rsidRDefault="007450CD" w:rsidP="00590E3E">
      <w:pPr>
        <w:pStyle w:val="BodyText"/>
        <w:keepNext/>
        <w:keepLines/>
        <w:rPr>
          <w:color w:val="auto"/>
        </w:rPr>
      </w:pPr>
      <w:r>
        <w:rPr>
          <w:color w:val="auto"/>
        </w:rPr>
        <w:t>The Community Grants Hub undertook the screening for organisation eligibility and compliance against the requirements outlined in the Grant Opportunity Guidelines. This information was provided to the Department of Social Services, wh</w:t>
      </w:r>
      <w:r w:rsidR="00B77997">
        <w:rPr>
          <w:color w:val="auto"/>
        </w:rPr>
        <w:t>ich</w:t>
      </w:r>
      <w:r>
        <w:rPr>
          <w:color w:val="auto"/>
        </w:rPr>
        <w:t xml:space="preserve"> provided the final decision on whether an application did not meet the eligibility and/or compliance criteria. The Community Grants Hub undertook the preliminary assessment of all eligible and compliant applications using an open</w:t>
      </w:r>
      <w:r w:rsidR="00ED31A1">
        <w:rPr>
          <w:color w:val="auto"/>
        </w:rPr>
        <w:t xml:space="preserve"> competitive selection process.</w:t>
      </w:r>
    </w:p>
    <w:p w14:paraId="1F1C13F9" w14:textId="307B2BF1" w:rsidR="000B7EE9" w:rsidRDefault="000B7EE9" w:rsidP="007450CD">
      <w:pPr>
        <w:pStyle w:val="BodyText"/>
        <w:rPr>
          <w:color w:val="auto"/>
        </w:rPr>
      </w:pPr>
      <w:r>
        <w:t xml:space="preserve">All eligible and compliant applications were then assessed against the </w:t>
      </w:r>
      <w:r w:rsidR="00ED31A1">
        <w:t>3</w:t>
      </w:r>
      <w:r>
        <w:t xml:space="preserve"> equally weighte</w:t>
      </w:r>
      <w:r w:rsidR="00ED31A1">
        <w:t>d assessment criteria.</w:t>
      </w:r>
    </w:p>
    <w:p w14:paraId="0AEE5C46" w14:textId="57948A4B" w:rsidR="00B3065F" w:rsidRDefault="007450CD" w:rsidP="007450CD">
      <w:pPr>
        <w:pStyle w:val="BodyText"/>
      </w:pPr>
      <w:r>
        <w:rPr>
          <w:color w:val="auto"/>
        </w:rPr>
        <w:t xml:space="preserve">Following preliminary assessment, all assessed applications were referred to the Department of Social Services for consideration by </w:t>
      </w:r>
      <w:r w:rsidR="00B77997">
        <w:t>a</w:t>
      </w:r>
      <w:r w:rsidR="00B3065F">
        <w:t xml:space="preserve"> </w:t>
      </w:r>
      <w:r w:rsidR="00B3065F" w:rsidRPr="003766F5">
        <w:t xml:space="preserve">Selection Advisory Panel </w:t>
      </w:r>
      <w:r w:rsidR="004D5195">
        <w:t>(the Panel)</w:t>
      </w:r>
      <w:r w:rsidR="00B3065F">
        <w:t xml:space="preserve">. </w:t>
      </w:r>
      <w:r w:rsidR="00F33F4E">
        <w:t>The Panel comprised officers with a mix of relevant policy, program and delivery expertise from the Department of Social Services.</w:t>
      </w:r>
    </w:p>
    <w:p w14:paraId="78A29304" w14:textId="514DF236" w:rsidR="000B7EE9" w:rsidRDefault="000B7EE9" w:rsidP="007450CD">
      <w:pPr>
        <w:pStyle w:val="BodyText"/>
      </w:pPr>
      <w:r>
        <w:t>A total of 61 applications were assessed, making the selection of successful grant recipients competitive.</w:t>
      </w:r>
    </w:p>
    <w:p w14:paraId="367F1533" w14:textId="77777777" w:rsidR="00B3065F" w:rsidRPr="00B3065F" w:rsidRDefault="00B3065F" w:rsidP="00B3065F">
      <w:pPr>
        <w:pStyle w:val="BodyText"/>
        <w:rPr>
          <w:color w:val="auto"/>
        </w:rPr>
      </w:pPr>
      <w:r w:rsidRPr="00B3065F">
        <w:rPr>
          <w:color w:val="auto"/>
        </w:rPr>
        <w:t>The Panel recommended applicants that met the eligibility criteria based on the strength of their responses to the selection criteria and their ability to meet the grant requirements outlined in the Grant Opportunity Guidelines. Specifically, the Panel recommended applicants that best:</w:t>
      </w:r>
    </w:p>
    <w:p w14:paraId="445D1D6B" w14:textId="4B767EEF" w:rsidR="00B3065F" w:rsidRPr="00B3065F" w:rsidRDefault="00B3065F" w:rsidP="002068B7">
      <w:pPr>
        <w:pStyle w:val="BodyText"/>
        <w:numPr>
          <w:ilvl w:val="0"/>
          <w:numId w:val="25"/>
        </w:numPr>
        <w:rPr>
          <w:color w:val="auto"/>
        </w:rPr>
      </w:pPr>
      <w:r w:rsidRPr="00B3065F">
        <w:rPr>
          <w:color w:val="auto"/>
        </w:rPr>
        <w:t>aligned their activities with the objectives of the grant</w:t>
      </w:r>
    </w:p>
    <w:p w14:paraId="433E6E2F" w14:textId="46933CA7" w:rsidR="00B3065F" w:rsidRPr="00B3065F" w:rsidRDefault="00B3065F" w:rsidP="002068B7">
      <w:pPr>
        <w:pStyle w:val="BodyText"/>
        <w:numPr>
          <w:ilvl w:val="0"/>
          <w:numId w:val="26"/>
        </w:numPr>
        <w:rPr>
          <w:color w:val="auto"/>
        </w:rPr>
      </w:pPr>
      <w:r w:rsidRPr="00B3065F">
        <w:rPr>
          <w:color w:val="auto"/>
        </w:rPr>
        <w:t>represented value for money</w:t>
      </w:r>
    </w:p>
    <w:p w14:paraId="3D102774" w14:textId="714A74EC" w:rsidR="004D5195" w:rsidRPr="000B7EE9" w:rsidRDefault="00B3065F" w:rsidP="002068B7">
      <w:pPr>
        <w:pStyle w:val="BodyText"/>
        <w:numPr>
          <w:ilvl w:val="0"/>
          <w:numId w:val="27"/>
        </w:numPr>
        <w:rPr>
          <w:rStyle w:val="ui-provider"/>
          <w:color w:val="auto"/>
        </w:rPr>
      </w:pPr>
      <w:r w:rsidRPr="00B3065F">
        <w:rPr>
          <w:color w:val="auto"/>
        </w:rPr>
        <w:t xml:space="preserve">demonstrated experience and expertise </w:t>
      </w:r>
      <w:r w:rsidR="004D5195">
        <w:rPr>
          <w:color w:val="auto"/>
        </w:rPr>
        <w:t>to administer the grant funding</w:t>
      </w:r>
      <w:r w:rsidR="000B7EE9">
        <w:rPr>
          <w:color w:val="auto"/>
        </w:rPr>
        <w:t>.</w:t>
      </w:r>
    </w:p>
    <w:p w14:paraId="2C1B6388" w14:textId="647D2328" w:rsidR="004D5195" w:rsidRDefault="004D5195" w:rsidP="004D5195">
      <w:pPr>
        <w:pStyle w:val="BodyText"/>
        <w:rPr>
          <w:rStyle w:val="ui-provider"/>
        </w:rPr>
      </w:pPr>
      <w:r>
        <w:rPr>
          <w:rStyle w:val="ui-provider"/>
        </w:rPr>
        <w:t>Where applications did not meet the requirements outlined in the Grant Opportunity Guidelines, applicants were noti</w:t>
      </w:r>
      <w:r w:rsidR="00ED31A1">
        <w:rPr>
          <w:rStyle w:val="ui-provider"/>
        </w:rPr>
        <w:t>fied of the outcome in writing.</w:t>
      </w:r>
    </w:p>
    <w:p w14:paraId="48CA5081" w14:textId="77777777" w:rsidR="007450CD" w:rsidRDefault="007450CD" w:rsidP="00E86AD5">
      <w:pPr>
        <w:pStyle w:val="BodyText"/>
      </w:pPr>
    </w:p>
    <w:p w14:paraId="53723BD0" w14:textId="77777777" w:rsidR="00F85F98" w:rsidRPr="009A2F51" w:rsidRDefault="00F85F98" w:rsidP="00F85F98">
      <w:pPr>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14:paraId="3002156C" w14:textId="42E8AB85" w:rsidR="007F00B8" w:rsidRDefault="000A57BC" w:rsidP="007F00B8">
      <w:pPr>
        <w:pStyle w:val="BodyText"/>
      </w:pPr>
      <w:r>
        <w:t xml:space="preserve">Assessment of </w:t>
      </w:r>
      <w:r w:rsidR="00ED31A1">
        <w:t>a</w:t>
      </w:r>
      <w:r w:rsidR="007F00B8">
        <w:t>pplications w</w:t>
      </w:r>
      <w:r>
        <w:t xml:space="preserve">as in accordance </w:t>
      </w:r>
      <w:r w:rsidR="004D5195">
        <w:t>with</w:t>
      </w:r>
      <w:r>
        <w:t xml:space="preserve"> </w:t>
      </w:r>
      <w:r w:rsidR="007F00B8">
        <w:t xml:space="preserve">the procedure detailed in the Grant Opportunity Guidelines and outlined </w:t>
      </w:r>
      <w:r w:rsidR="00ED31A1">
        <w:t>in the selection process above.</w:t>
      </w:r>
    </w:p>
    <w:p w14:paraId="7934E905" w14:textId="7BFFE25F" w:rsidR="004D5195" w:rsidRDefault="004D5195" w:rsidP="007F00B8">
      <w:pPr>
        <w:pStyle w:val="BodyText"/>
      </w:pPr>
      <w:r>
        <w:rPr>
          <w:rFonts w:asciiTheme="majorHAnsi" w:hAnsiTheme="majorHAnsi" w:cstheme="majorHAnsi"/>
        </w:rPr>
        <w:t>Of 61 applications, t</w:t>
      </w:r>
      <w:r w:rsidRPr="00455CA7">
        <w:rPr>
          <w:rFonts w:asciiTheme="majorHAnsi" w:hAnsiTheme="majorHAnsi" w:cstheme="majorHAnsi"/>
        </w:rPr>
        <w:t>he Panel</w:t>
      </w:r>
      <w:r w:rsidRPr="00455CA7">
        <w:rPr>
          <w:rFonts w:asciiTheme="majorHAnsi" w:hAnsiTheme="majorHAnsi" w:cstheme="majorHAnsi"/>
          <w:color w:val="917700" w:themeColor="accent3" w:themeShade="80"/>
        </w:rPr>
        <w:t xml:space="preserve"> </w:t>
      </w:r>
      <w:r>
        <w:rPr>
          <w:rFonts w:asciiTheme="majorHAnsi" w:hAnsiTheme="majorHAnsi" w:cstheme="majorHAnsi"/>
        </w:rPr>
        <w:t xml:space="preserve">recommended </w:t>
      </w:r>
      <w:r>
        <w:rPr>
          <w:rFonts w:asciiTheme="majorHAnsi" w:hAnsiTheme="majorHAnsi" w:cstheme="majorHAnsi"/>
          <w:color w:val="auto"/>
        </w:rPr>
        <w:t>39</w:t>
      </w:r>
      <w:r w:rsidRPr="0089205D">
        <w:rPr>
          <w:rFonts w:asciiTheme="majorHAnsi" w:hAnsiTheme="majorHAnsi" w:cstheme="majorHAnsi"/>
          <w:color w:val="auto"/>
        </w:rPr>
        <w:t xml:space="preserve"> organisations </w:t>
      </w:r>
      <w:r w:rsidRPr="00617E84">
        <w:rPr>
          <w:rFonts w:asciiTheme="majorHAnsi" w:hAnsiTheme="majorHAnsi" w:cstheme="majorHAnsi"/>
        </w:rPr>
        <w:t xml:space="preserve">to the </w:t>
      </w:r>
      <w:r>
        <w:rPr>
          <w:rFonts w:asciiTheme="majorHAnsi" w:hAnsiTheme="majorHAnsi" w:cstheme="majorHAnsi"/>
        </w:rPr>
        <w:t xml:space="preserve">delegate for funding. The delegate made </w:t>
      </w:r>
      <w:r w:rsidRPr="00455CA7">
        <w:rPr>
          <w:rFonts w:asciiTheme="majorHAnsi" w:hAnsiTheme="majorHAnsi" w:cstheme="majorHAnsi"/>
        </w:rPr>
        <w:t>the fi</w:t>
      </w:r>
      <w:r>
        <w:rPr>
          <w:rFonts w:asciiTheme="majorHAnsi" w:hAnsiTheme="majorHAnsi" w:cstheme="majorHAnsi"/>
        </w:rPr>
        <w:t xml:space="preserve">nal decision to approve the grant, including the </w:t>
      </w:r>
      <w:r w:rsidRPr="00455CA7">
        <w:rPr>
          <w:rFonts w:asciiTheme="majorHAnsi" w:hAnsiTheme="majorHAnsi" w:cstheme="majorHAnsi"/>
        </w:rPr>
        <w:t>grant funding amount to be awarded</w:t>
      </w:r>
      <w:r w:rsidR="00ED31A1">
        <w:rPr>
          <w:rFonts w:asciiTheme="majorHAnsi" w:hAnsiTheme="majorHAnsi" w:cstheme="majorHAnsi"/>
        </w:rPr>
        <w:t>.</w:t>
      </w:r>
    </w:p>
    <w:p w14:paraId="6A5CA1EB" w14:textId="591B7572" w:rsidR="007450CD" w:rsidRDefault="004D5195" w:rsidP="007F00B8">
      <w:pPr>
        <w:pStyle w:val="BodyText"/>
        <w:rPr>
          <w:b/>
        </w:rPr>
      </w:pPr>
      <w:r>
        <w:t>The following feedback outlines how individual responses to specific assessment criteria could have been strengthened.</w:t>
      </w:r>
    </w:p>
    <w:p w14:paraId="15976E54" w14:textId="5B917DC6" w:rsidR="00AE69BA" w:rsidRDefault="00AE69BA">
      <w:pPr>
        <w:spacing w:line="240" w:lineRule="auto"/>
        <w:rPr>
          <w:b/>
        </w:rPr>
      </w:pPr>
      <w:r>
        <w:rPr>
          <w:b/>
        </w:rPr>
        <w:br w:type="page"/>
      </w:r>
    </w:p>
    <w:p w14:paraId="15AA445B" w14:textId="6280231B" w:rsidR="004D5195" w:rsidRPr="00142623" w:rsidRDefault="004D5195" w:rsidP="00316948">
      <w:pPr>
        <w:pStyle w:val="Heading2"/>
        <w:spacing w:before="0"/>
      </w:pPr>
      <w:r>
        <w:lastRenderedPageBreak/>
        <w:t xml:space="preserve">Criterion 1 - </w:t>
      </w:r>
      <w:r w:rsidRPr="00122555">
        <w:t>National disability focus</w:t>
      </w:r>
    </w:p>
    <w:tbl>
      <w:tblPr>
        <w:tblStyle w:val="CGHTableBanded"/>
        <w:tblW w:w="0" w:type="auto"/>
        <w:tblLook w:val="04A0" w:firstRow="1" w:lastRow="0" w:firstColumn="1" w:lastColumn="0" w:noHBand="0" w:noVBand="1"/>
        <w:tblCaption w:val="Criterion 1 National disability focus"/>
        <w:tblDescription w:val="Enter your answers to criterion 1"/>
      </w:tblPr>
      <w:tblGrid>
        <w:gridCol w:w="3969"/>
        <w:gridCol w:w="5669"/>
      </w:tblGrid>
      <w:tr w:rsidR="004D5195" w14:paraId="3BE5EF3F" w14:textId="77777777" w:rsidTr="00447F5E">
        <w:trPr>
          <w:cnfStyle w:val="100000000000" w:firstRow="1" w:lastRow="0" w:firstColumn="0" w:lastColumn="0" w:oddVBand="0" w:evenVBand="0" w:oddHBand="0" w:evenHBand="0" w:firstRowFirstColumn="0" w:firstRowLastColumn="0" w:lastRowFirstColumn="0" w:lastRowLastColumn="0"/>
          <w:trHeight w:val="472"/>
          <w:tblHeader/>
        </w:trPr>
        <w:tc>
          <w:tcPr>
            <w:tcW w:w="3969" w:type="dxa"/>
            <w:vAlign w:val="center"/>
          </w:tcPr>
          <w:p w14:paraId="400D19BF" w14:textId="77777777" w:rsidR="004D5195" w:rsidRPr="002E52EA" w:rsidRDefault="004D5195" w:rsidP="0055521D">
            <w:pPr>
              <w:spacing w:line="240" w:lineRule="auto"/>
              <w:ind w:left="57" w:right="57"/>
            </w:pPr>
            <w:r w:rsidRPr="002E52EA">
              <w:t>Strength</w:t>
            </w:r>
          </w:p>
        </w:tc>
        <w:tc>
          <w:tcPr>
            <w:tcW w:w="5669" w:type="dxa"/>
            <w:vAlign w:val="center"/>
          </w:tcPr>
          <w:p w14:paraId="51A18130" w14:textId="77777777" w:rsidR="004D5195" w:rsidRPr="00454EB4" w:rsidRDefault="004D5195" w:rsidP="0055521D">
            <w:pPr>
              <w:spacing w:line="240" w:lineRule="auto"/>
              <w:ind w:left="57" w:right="57"/>
              <w:rPr>
                <w:b/>
              </w:rPr>
            </w:pPr>
            <w:r w:rsidRPr="00454EB4">
              <w:rPr>
                <w:b/>
              </w:rPr>
              <w:t>Example</w:t>
            </w:r>
          </w:p>
        </w:tc>
      </w:tr>
      <w:tr w:rsidR="004D5195" w14:paraId="4ADA1A44" w14:textId="77777777" w:rsidTr="0055521D">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7F18116F" w14:textId="3A1864E7" w:rsidR="004D5195" w:rsidRPr="002E52EA" w:rsidRDefault="002E52EA" w:rsidP="002E52EA">
            <w:pPr>
              <w:spacing w:before="40" w:after="120"/>
              <w:ind w:right="57"/>
              <w:rPr>
                <w:rFonts w:ascii="Arial" w:eastAsia="Arial" w:hAnsi="Arial" w:cs="Arial"/>
                <w:color w:val="auto"/>
                <w:szCs w:val="22"/>
              </w:rPr>
            </w:pPr>
            <w:r w:rsidRPr="002E52EA">
              <w:rPr>
                <w:rFonts w:ascii="Arial" w:eastAsia="Arial" w:hAnsi="Arial" w:cs="Arial"/>
                <w:color w:val="auto"/>
                <w:szCs w:val="22"/>
              </w:rPr>
              <w:t>Strong applications clearly:</w:t>
            </w:r>
          </w:p>
          <w:p w14:paraId="5961CF73" w14:textId="0F525CA6" w:rsidR="004D5195" w:rsidRPr="002E52EA" w:rsidRDefault="004D5195" w:rsidP="002E52EA">
            <w:pPr>
              <w:numPr>
                <w:ilvl w:val="0"/>
                <w:numId w:val="24"/>
              </w:numPr>
              <w:spacing w:before="40" w:after="120"/>
              <w:ind w:right="57"/>
              <w:rPr>
                <w:rFonts w:ascii="Arial" w:eastAsia="Arial" w:hAnsi="Arial" w:cs="Arial"/>
                <w:color w:val="auto"/>
                <w:szCs w:val="22"/>
              </w:rPr>
            </w:pPr>
            <w:r w:rsidRPr="002E52EA">
              <w:rPr>
                <w:rFonts w:ascii="Arial" w:eastAsia="Arial" w:hAnsi="Arial" w:cs="Arial"/>
                <w:color w:val="auto"/>
                <w:szCs w:val="22"/>
              </w:rPr>
              <w:t xml:space="preserve">demonstrated how the conference aligned with one or more of the outcome areas of </w:t>
            </w:r>
            <w:hyperlink r:id="rId12" w:history="1">
              <w:r w:rsidRPr="002E52EA">
                <w:rPr>
                  <w:rStyle w:val="Hyperlink"/>
                  <w:rFonts w:ascii="Arial" w:eastAsia="Arial" w:hAnsi="Arial" w:cs="Arial"/>
                  <w:i/>
                  <w:color w:val="auto"/>
                  <w:szCs w:val="22"/>
                  <w:u w:val="none"/>
                </w:rPr>
                <w:t>Australia’s Disability Strategy 2021</w:t>
              </w:r>
              <w:r w:rsidR="002E52EA" w:rsidRPr="002E52EA">
                <w:rPr>
                  <w:rStyle w:val="Hyperlink"/>
                  <w:rFonts w:ascii="Arial" w:eastAsia="Arial" w:hAnsi="Arial" w:cs="Arial"/>
                  <w:i/>
                  <w:color w:val="auto"/>
                  <w:szCs w:val="22"/>
                  <w:u w:val="none"/>
                </w:rPr>
                <w:t>–</w:t>
              </w:r>
              <w:r w:rsidRPr="002E52EA">
                <w:rPr>
                  <w:rStyle w:val="Hyperlink"/>
                  <w:rFonts w:ascii="Arial" w:eastAsia="Arial" w:hAnsi="Arial" w:cs="Arial"/>
                  <w:i/>
                  <w:color w:val="auto"/>
                  <w:szCs w:val="22"/>
                  <w:u w:val="none"/>
                </w:rPr>
                <w:t>2031</w:t>
              </w:r>
            </w:hyperlink>
          </w:p>
          <w:p w14:paraId="18605FFF" w14:textId="5AF8A763" w:rsidR="004D5195" w:rsidRPr="002E52EA" w:rsidRDefault="004D5195" w:rsidP="002E52EA">
            <w:pPr>
              <w:numPr>
                <w:ilvl w:val="0"/>
                <w:numId w:val="24"/>
              </w:numPr>
              <w:spacing w:before="40" w:after="120"/>
              <w:ind w:right="57"/>
              <w:rPr>
                <w:rFonts w:ascii="Arial" w:eastAsia="Arial" w:hAnsi="Arial" w:cs="Arial"/>
                <w:iCs/>
                <w:color w:val="auto"/>
                <w:szCs w:val="22"/>
              </w:rPr>
            </w:pPr>
            <w:r w:rsidRPr="002E52EA">
              <w:rPr>
                <w:rFonts w:ascii="Arial" w:eastAsia="Arial" w:hAnsi="Arial" w:cs="Arial"/>
                <w:color w:val="auto"/>
                <w:szCs w:val="22"/>
              </w:rPr>
              <w:t>described the focus of the conference and what the expected outcomes are</w:t>
            </w:r>
          </w:p>
          <w:p w14:paraId="444F7EB8" w14:textId="77777777" w:rsidR="004D5195" w:rsidRPr="002E52EA" w:rsidRDefault="004D5195" w:rsidP="002E52EA">
            <w:pPr>
              <w:numPr>
                <w:ilvl w:val="0"/>
                <w:numId w:val="24"/>
              </w:numPr>
              <w:spacing w:before="40" w:after="120"/>
              <w:ind w:right="57"/>
              <w:rPr>
                <w:rFonts w:ascii="Arial" w:eastAsia="Arial" w:hAnsi="Arial" w:cs="Arial"/>
                <w:iCs/>
                <w:color w:val="auto"/>
                <w:szCs w:val="22"/>
              </w:rPr>
            </w:pPr>
            <w:r w:rsidRPr="002E52EA">
              <w:rPr>
                <w:rFonts w:ascii="Arial" w:eastAsia="Arial" w:hAnsi="Arial" w:cs="Arial"/>
                <w:color w:val="auto"/>
                <w:szCs w:val="22"/>
              </w:rPr>
              <w:t>demonstrated how the conference has a national focus.</w:t>
            </w:r>
          </w:p>
          <w:p w14:paraId="38BD44D1" w14:textId="77777777" w:rsidR="004D5195" w:rsidRPr="002E52EA" w:rsidRDefault="004D5195" w:rsidP="002E52EA">
            <w:pPr>
              <w:spacing w:before="40" w:after="120"/>
              <w:ind w:left="113" w:right="57"/>
              <w:rPr>
                <w:rFonts w:ascii="Arial" w:eastAsia="Arial" w:hAnsi="Arial" w:cs="Arial"/>
                <w:color w:val="auto"/>
                <w:szCs w:val="22"/>
              </w:rPr>
            </w:pPr>
          </w:p>
        </w:tc>
        <w:tc>
          <w:tcPr>
            <w:tcW w:w="5669" w:type="dxa"/>
          </w:tcPr>
          <w:p w14:paraId="5005D5F3" w14:textId="77777777" w:rsidR="004D5195" w:rsidRDefault="004D5195" w:rsidP="002E52EA">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0AEDA4D2" w14:textId="31405B49" w:rsidR="004D5195" w:rsidRDefault="00D50211" w:rsidP="002E52EA">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H</w:t>
            </w:r>
            <w:r w:rsidR="004D5195" w:rsidRPr="006C076C">
              <w:rPr>
                <w:rFonts w:ascii="Arial" w:eastAsia="Arial" w:hAnsi="Arial" w:cs="Arial"/>
                <w:color w:val="auto"/>
              </w:rPr>
              <w:t>ow the conference s</w:t>
            </w:r>
            <w:r w:rsidR="004D5195">
              <w:rPr>
                <w:rFonts w:ascii="Arial" w:eastAsia="Arial" w:hAnsi="Arial" w:cs="Arial"/>
                <w:color w:val="auto"/>
              </w:rPr>
              <w:t xml:space="preserve">upports the aims of </w:t>
            </w:r>
            <w:r w:rsidR="004D5195" w:rsidRPr="006A4737">
              <w:rPr>
                <w:rFonts w:ascii="Arial" w:eastAsia="Arial" w:hAnsi="Arial" w:cs="Arial"/>
                <w:i/>
                <w:color w:val="auto"/>
              </w:rPr>
              <w:t>Australia’s Disability Strategy</w:t>
            </w:r>
            <w:r w:rsidR="006A4737" w:rsidRPr="006A4737">
              <w:rPr>
                <w:rFonts w:ascii="Arial" w:eastAsia="Arial" w:hAnsi="Arial" w:cs="Arial"/>
                <w:i/>
                <w:color w:val="auto"/>
              </w:rPr>
              <w:t xml:space="preserve"> 2021</w:t>
            </w:r>
            <w:r w:rsidR="00AE69BA">
              <w:rPr>
                <w:rFonts w:ascii="Arial" w:eastAsia="Arial" w:hAnsi="Arial" w:cs="Arial"/>
                <w:i/>
                <w:color w:val="auto"/>
              </w:rPr>
              <w:t>–</w:t>
            </w:r>
            <w:r w:rsidR="006A4737" w:rsidRPr="006A4737">
              <w:rPr>
                <w:rFonts w:ascii="Arial" w:eastAsia="Arial" w:hAnsi="Arial" w:cs="Arial"/>
                <w:i/>
                <w:color w:val="auto"/>
              </w:rPr>
              <w:t>2031</w:t>
            </w:r>
            <w:r w:rsidR="004D5195" w:rsidRPr="006C076C">
              <w:rPr>
                <w:rFonts w:ascii="Arial" w:eastAsia="Arial" w:hAnsi="Arial" w:cs="Arial"/>
                <w:color w:val="auto"/>
              </w:rPr>
              <w:t xml:space="preserve"> </w:t>
            </w:r>
            <w:r w:rsidR="006A4737">
              <w:rPr>
                <w:rFonts w:ascii="Arial" w:eastAsia="Arial" w:hAnsi="Arial" w:cs="Arial"/>
                <w:color w:val="auto"/>
              </w:rPr>
              <w:t xml:space="preserve">(ADS) </w:t>
            </w:r>
            <w:r w:rsidR="004D5195" w:rsidRPr="006C076C">
              <w:rPr>
                <w:rFonts w:ascii="Arial" w:eastAsia="Arial" w:hAnsi="Arial" w:cs="Arial"/>
                <w:color w:val="auto"/>
              </w:rPr>
              <w:t xml:space="preserve">by referencing specific outcome areas of the </w:t>
            </w:r>
            <w:r w:rsidR="006A4737">
              <w:rPr>
                <w:rFonts w:ascii="Arial" w:eastAsia="Arial" w:hAnsi="Arial" w:cs="Arial"/>
                <w:color w:val="auto"/>
              </w:rPr>
              <w:t>ADS</w:t>
            </w:r>
            <w:r w:rsidR="004D5195" w:rsidRPr="006C076C">
              <w:rPr>
                <w:rFonts w:ascii="Arial" w:eastAsia="Arial" w:hAnsi="Arial" w:cs="Arial"/>
                <w:color w:val="auto"/>
              </w:rPr>
              <w:t xml:space="preserve"> and explaining how the conference would promote those outcome areas.</w:t>
            </w:r>
          </w:p>
          <w:p w14:paraId="59D8C216" w14:textId="7D133B1B" w:rsidR="004D5195" w:rsidRDefault="00D50211" w:rsidP="002E52EA">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T</w:t>
            </w:r>
            <w:r w:rsidR="004D5195" w:rsidRPr="00142623">
              <w:rPr>
                <w:rFonts w:ascii="Arial" w:eastAsia="Arial" w:hAnsi="Arial" w:cs="Arial"/>
                <w:color w:val="auto"/>
              </w:rPr>
              <w:t xml:space="preserve">he benefits the conference will provide to </w:t>
            </w:r>
            <w:r w:rsidR="00AE69BA">
              <w:rPr>
                <w:rFonts w:ascii="Arial" w:eastAsia="Arial" w:hAnsi="Arial" w:cs="Arial"/>
                <w:color w:val="auto"/>
              </w:rPr>
              <w:t>the target group – for example:</w:t>
            </w:r>
          </w:p>
          <w:p w14:paraId="65CF7DB5" w14:textId="3654BC20" w:rsidR="002068B7" w:rsidRDefault="002068B7" w:rsidP="002E52EA">
            <w:pPr>
              <w:pStyle w:val="ListParagraph"/>
              <w:numPr>
                <w:ilvl w:val="0"/>
                <w:numId w:val="22"/>
              </w:numPr>
              <w:spacing w:before="40" w:after="120"/>
              <w:ind w:right="57"/>
              <w:rPr>
                <w:rFonts w:ascii="Arial" w:eastAsia="Arial" w:hAnsi="Arial" w:cs="Arial"/>
                <w:color w:val="auto"/>
              </w:rPr>
            </w:pPr>
            <w:r>
              <w:rPr>
                <w:rFonts w:ascii="Arial" w:eastAsia="Arial" w:hAnsi="Arial" w:cs="Arial"/>
                <w:color w:val="auto"/>
              </w:rPr>
              <w:t xml:space="preserve">provide an </w:t>
            </w:r>
            <w:r w:rsidRPr="00142623">
              <w:rPr>
                <w:rFonts w:ascii="Arial" w:eastAsia="Arial" w:hAnsi="Arial" w:cs="Arial"/>
                <w:color w:val="auto"/>
              </w:rPr>
              <w:t>opportunity for people with d</w:t>
            </w:r>
            <w:r>
              <w:rPr>
                <w:rFonts w:ascii="Arial" w:eastAsia="Arial" w:hAnsi="Arial" w:cs="Arial"/>
                <w:color w:val="auto"/>
              </w:rPr>
              <w:t>isability to obtain</w:t>
            </w:r>
            <w:r w:rsidRPr="00142623">
              <w:rPr>
                <w:rFonts w:ascii="Arial" w:eastAsia="Arial" w:hAnsi="Arial" w:cs="Arial"/>
                <w:color w:val="auto"/>
              </w:rPr>
              <w:t xml:space="preserve"> knowledge of, and to be able to share, the latest information/resear</w:t>
            </w:r>
            <w:r>
              <w:rPr>
                <w:rFonts w:ascii="Arial" w:eastAsia="Arial" w:hAnsi="Arial" w:cs="Arial"/>
                <w:color w:val="auto"/>
              </w:rPr>
              <w:t>ch relevant to the target group</w:t>
            </w:r>
          </w:p>
          <w:p w14:paraId="6BC1EDF1" w14:textId="64D587C2" w:rsidR="002068B7" w:rsidRDefault="002068B7" w:rsidP="002E52EA">
            <w:pPr>
              <w:pStyle w:val="ListParagraph"/>
              <w:numPr>
                <w:ilvl w:val="0"/>
                <w:numId w:val="22"/>
              </w:numPr>
              <w:spacing w:before="40" w:after="120"/>
              <w:ind w:right="57"/>
              <w:rPr>
                <w:rFonts w:ascii="Arial" w:eastAsia="Arial" w:hAnsi="Arial" w:cs="Arial"/>
                <w:color w:val="auto"/>
              </w:rPr>
            </w:pPr>
            <w:r>
              <w:rPr>
                <w:rFonts w:ascii="Arial" w:eastAsia="Arial" w:hAnsi="Arial" w:cs="Arial"/>
                <w:color w:val="auto"/>
              </w:rPr>
              <w:t>provide an opportunity for people with disability to contribute to policy development</w:t>
            </w:r>
          </w:p>
          <w:p w14:paraId="6EC5FEA8" w14:textId="3A4021A5" w:rsidR="002068B7" w:rsidRDefault="002068B7" w:rsidP="002E52EA">
            <w:pPr>
              <w:pStyle w:val="ListParagraph"/>
              <w:numPr>
                <w:ilvl w:val="0"/>
                <w:numId w:val="22"/>
              </w:numPr>
              <w:spacing w:before="40" w:after="120"/>
              <w:ind w:right="57"/>
              <w:rPr>
                <w:rFonts w:ascii="Arial" w:eastAsia="Arial" w:hAnsi="Arial" w:cs="Arial"/>
                <w:color w:val="auto"/>
              </w:rPr>
            </w:pPr>
            <w:r w:rsidRPr="00142623">
              <w:rPr>
                <w:rFonts w:ascii="Arial" w:eastAsia="Arial" w:hAnsi="Arial" w:cs="Arial"/>
                <w:color w:val="auto"/>
              </w:rPr>
              <w:t>connect</w:t>
            </w:r>
            <w:r>
              <w:rPr>
                <w:rFonts w:ascii="Arial" w:eastAsia="Arial" w:hAnsi="Arial" w:cs="Arial"/>
                <w:color w:val="auto"/>
              </w:rPr>
              <w:t xml:space="preserve"> people with disability</w:t>
            </w:r>
            <w:r w:rsidRPr="00142623">
              <w:rPr>
                <w:rFonts w:ascii="Arial" w:eastAsia="Arial" w:hAnsi="Arial" w:cs="Arial"/>
                <w:color w:val="auto"/>
              </w:rPr>
              <w:t xml:space="preserve"> sharing a similar experienc</w:t>
            </w:r>
            <w:r>
              <w:rPr>
                <w:rFonts w:ascii="Arial" w:eastAsia="Arial" w:hAnsi="Arial" w:cs="Arial"/>
                <w:color w:val="auto"/>
              </w:rPr>
              <w:t>e, build relationships, and so on</w:t>
            </w:r>
          </w:p>
          <w:p w14:paraId="495786E4" w14:textId="47462D66" w:rsidR="002068B7" w:rsidRPr="002068B7" w:rsidRDefault="002068B7" w:rsidP="002E52EA">
            <w:pPr>
              <w:pStyle w:val="ListParagraph"/>
              <w:numPr>
                <w:ilvl w:val="0"/>
                <w:numId w:val="22"/>
              </w:numPr>
              <w:spacing w:before="40" w:after="120"/>
              <w:ind w:right="57"/>
              <w:rPr>
                <w:rFonts w:ascii="Arial" w:eastAsia="Arial" w:hAnsi="Arial" w:cs="Arial"/>
                <w:color w:val="auto"/>
              </w:rPr>
            </w:pPr>
            <w:r w:rsidRPr="00142623">
              <w:rPr>
                <w:rFonts w:ascii="Arial" w:eastAsia="Arial" w:hAnsi="Arial" w:cs="Arial"/>
                <w:color w:val="auto"/>
              </w:rPr>
              <w:t>live streaming conference content to be available to people with disability</w:t>
            </w:r>
            <w:r>
              <w:rPr>
                <w:rFonts w:ascii="Arial" w:eastAsia="Arial" w:hAnsi="Arial" w:cs="Arial"/>
                <w:color w:val="auto"/>
              </w:rPr>
              <w:t xml:space="preserve"> </w:t>
            </w:r>
            <w:r w:rsidRPr="00142623">
              <w:rPr>
                <w:rFonts w:ascii="Arial" w:eastAsia="Arial" w:hAnsi="Arial" w:cs="Arial"/>
                <w:color w:val="auto"/>
              </w:rPr>
              <w:t>unable to attend in person</w:t>
            </w:r>
            <w:r>
              <w:rPr>
                <w:rFonts w:ascii="Arial" w:eastAsia="Arial" w:hAnsi="Arial" w:cs="Arial"/>
                <w:color w:val="auto"/>
              </w:rPr>
              <w:t>.</w:t>
            </w:r>
          </w:p>
          <w:p w14:paraId="1773878F" w14:textId="7F6DA12B" w:rsidR="004D5195" w:rsidRDefault="00D50211" w:rsidP="002E52EA">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H</w:t>
            </w:r>
            <w:r w:rsidR="004D5195" w:rsidRPr="001B0F59">
              <w:rPr>
                <w:rFonts w:ascii="Arial" w:eastAsia="Arial" w:hAnsi="Arial" w:cs="Arial"/>
                <w:color w:val="auto"/>
              </w:rPr>
              <w:t xml:space="preserve">ow the conference </w:t>
            </w:r>
            <w:r w:rsidR="004D5195">
              <w:rPr>
                <w:rFonts w:ascii="Arial" w:eastAsia="Arial" w:hAnsi="Arial" w:cs="Arial"/>
                <w:color w:val="auto"/>
              </w:rPr>
              <w:t>meets the</w:t>
            </w:r>
            <w:r w:rsidR="004D5195" w:rsidRPr="001B0F59">
              <w:rPr>
                <w:rFonts w:ascii="Arial" w:eastAsia="Arial" w:hAnsi="Arial" w:cs="Arial"/>
                <w:color w:val="auto"/>
              </w:rPr>
              <w:t xml:space="preserve"> national</w:t>
            </w:r>
            <w:r w:rsidR="004D5195">
              <w:rPr>
                <w:rFonts w:ascii="Arial" w:eastAsia="Arial" w:hAnsi="Arial" w:cs="Arial"/>
                <w:color w:val="auto"/>
              </w:rPr>
              <w:t>, disability</w:t>
            </w:r>
            <w:r w:rsidR="004D5195" w:rsidRPr="001B0F59">
              <w:rPr>
                <w:rFonts w:ascii="Arial" w:eastAsia="Arial" w:hAnsi="Arial" w:cs="Arial"/>
                <w:color w:val="auto"/>
              </w:rPr>
              <w:t xml:space="preserve"> focus</w:t>
            </w:r>
            <w:r w:rsidR="004D5195">
              <w:rPr>
                <w:rFonts w:ascii="Arial" w:eastAsia="Arial" w:hAnsi="Arial" w:cs="Arial"/>
                <w:color w:val="auto"/>
              </w:rPr>
              <w:t xml:space="preserve"> outlined in section 5.1 </w:t>
            </w:r>
            <w:r w:rsidR="004D5195">
              <w:rPr>
                <w:rFonts w:ascii="Arial" w:eastAsia="Arial" w:hAnsi="Arial" w:cs="Arial"/>
                <w:i/>
                <w:color w:val="auto"/>
              </w:rPr>
              <w:t>Eligible grant activities</w:t>
            </w:r>
            <w:r w:rsidR="002068B7">
              <w:rPr>
                <w:rFonts w:ascii="Arial" w:eastAsia="Arial" w:hAnsi="Arial" w:cs="Arial"/>
                <w:color w:val="auto"/>
              </w:rPr>
              <w:t xml:space="preserve"> – for example:</w:t>
            </w:r>
          </w:p>
          <w:p w14:paraId="2BCCF1BF" w14:textId="63CDE965" w:rsidR="002E52EA" w:rsidRDefault="002E52EA" w:rsidP="002E52EA">
            <w:pPr>
              <w:pStyle w:val="ListParagraph"/>
              <w:numPr>
                <w:ilvl w:val="1"/>
                <w:numId w:val="23"/>
              </w:numPr>
              <w:spacing w:before="40" w:after="120"/>
              <w:ind w:left="850" w:right="57"/>
              <w:rPr>
                <w:rFonts w:ascii="Arial" w:eastAsia="Arial" w:hAnsi="Arial" w:cs="Arial"/>
                <w:color w:val="auto"/>
              </w:rPr>
            </w:pPr>
            <w:r>
              <w:rPr>
                <w:rFonts w:ascii="Arial" w:eastAsia="Arial" w:hAnsi="Arial" w:cs="Arial"/>
                <w:color w:val="auto"/>
              </w:rPr>
              <w:t>demonstrating how the majority of the conference schedule focuses on national issues</w:t>
            </w:r>
          </w:p>
          <w:p w14:paraId="6D7FC2B9" w14:textId="58F61DD2" w:rsidR="002E52EA" w:rsidRDefault="002E52EA" w:rsidP="002E52EA">
            <w:pPr>
              <w:pStyle w:val="ListParagraph"/>
              <w:numPr>
                <w:ilvl w:val="1"/>
                <w:numId w:val="23"/>
              </w:numPr>
              <w:spacing w:before="40" w:after="120"/>
              <w:ind w:left="850" w:right="57"/>
              <w:rPr>
                <w:rFonts w:ascii="Arial" w:eastAsia="Arial" w:hAnsi="Arial" w:cs="Arial"/>
                <w:color w:val="auto"/>
              </w:rPr>
            </w:pPr>
            <w:r>
              <w:rPr>
                <w:rFonts w:ascii="Arial" w:eastAsia="Arial" w:hAnsi="Arial" w:cs="Arial"/>
                <w:color w:val="auto"/>
              </w:rPr>
              <w:t>a strategy to ensure people with disability from around Australia have the opportunity to participate</w:t>
            </w:r>
          </w:p>
          <w:p w14:paraId="2B8C926D" w14:textId="36356C55" w:rsidR="004D5195" w:rsidRPr="002E52EA" w:rsidRDefault="002E52EA" w:rsidP="002E52EA">
            <w:pPr>
              <w:pStyle w:val="ListParagraph"/>
              <w:numPr>
                <w:ilvl w:val="1"/>
                <w:numId w:val="23"/>
              </w:numPr>
              <w:spacing w:before="40" w:after="120"/>
              <w:ind w:left="850" w:right="57"/>
              <w:rPr>
                <w:rFonts w:ascii="Arial" w:eastAsia="Arial" w:hAnsi="Arial" w:cs="Arial"/>
                <w:color w:val="auto"/>
              </w:rPr>
            </w:pPr>
            <w:r>
              <w:rPr>
                <w:rFonts w:ascii="Arial" w:eastAsia="Arial" w:hAnsi="Arial" w:cs="Arial"/>
                <w:color w:val="auto"/>
              </w:rPr>
              <w:t>demonstrating how at least half of the schedule focuses on people with disability and issues affecting the lifetime wellbeing and social participation of people with disability.</w:t>
            </w:r>
          </w:p>
        </w:tc>
      </w:tr>
    </w:tbl>
    <w:p w14:paraId="2C2E8529" w14:textId="77777777" w:rsidR="004D5195" w:rsidRDefault="004D5195" w:rsidP="004D5195">
      <w:pPr>
        <w:pStyle w:val="ListBullet"/>
        <w:numPr>
          <w:ilvl w:val="0"/>
          <w:numId w:val="0"/>
        </w:numPr>
        <w:ind w:left="360" w:hanging="360"/>
        <w:rPr>
          <w:b/>
        </w:rPr>
      </w:pPr>
    </w:p>
    <w:p w14:paraId="0FB7434C" w14:textId="025FF7DD" w:rsidR="00AE69BA" w:rsidRDefault="00AE69BA">
      <w:pPr>
        <w:spacing w:line="240" w:lineRule="auto"/>
        <w:rPr>
          <w:rFonts w:ascii="Arial" w:eastAsia="Times New Roman" w:hAnsi="Arial"/>
          <w:b/>
          <w:iCs/>
          <w:color w:val="auto"/>
          <w:sz w:val="20"/>
        </w:rPr>
      </w:pPr>
      <w:r>
        <w:rPr>
          <w:b/>
        </w:rPr>
        <w:br w:type="page"/>
      </w:r>
    </w:p>
    <w:p w14:paraId="2BB98738" w14:textId="5A360F52" w:rsidR="004D5195" w:rsidRPr="00316948" w:rsidRDefault="004D5195" w:rsidP="00316948">
      <w:pPr>
        <w:pStyle w:val="Heading2"/>
        <w:spacing w:before="0"/>
      </w:pPr>
      <w:r w:rsidRPr="00081B3C">
        <w:lastRenderedPageBreak/>
        <w:t>Criterion 2 -</w:t>
      </w:r>
      <w:r>
        <w:t xml:space="preserve"> </w:t>
      </w:r>
      <w:r w:rsidRPr="00265D4E">
        <w:t>Maximising the inclusion and participation of people with disability</w:t>
      </w:r>
    </w:p>
    <w:tbl>
      <w:tblPr>
        <w:tblStyle w:val="CGHTableBanded"/>
        <w:tblW w:w="0" w:type="auto"/>
        <w:tblLook w:val="04A0" w:firstRow="1" w:lastRow="0" w:firstColumn="1" w:lastColumn="0" w:noHBand="0" w:noVBand="1"/>
        <w:tblCaption w:val="Criterion 2 Maximising the inclusion and participation of people with disability"/>
        <w:tblDescription w:val="Enter your answer to criterion 2"/>
      </w:tblPr>
      <w:tblGrid>
        <w:gridCol w:w="4817"/>
        <w:gridCol w:w="4821"/>
      </w:tblGrid>
      <w:tr w:rsidR="004D5195" w:rsidRPr="00454EB4" w14:paraId="0BF452DC" w14:textId="77777777" w:rsidTr="00447F5E">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7854C8F" w14:textId="77777777" w:rsidR="004D5195" w:rsidRPr="00454EB4" w:rsidRDefault="004D5195" w:rsidP="002E52EA">
            <w:pPr>
              <w:spacing w:before="40" w:after="120"/>
              <w:ind w:left="57" w:right="57"/>
              <w:rPr>
                <w:b/>
              </w:rPr>
            </w:pPr>
            <w:r w:rsidRPr="00454EB4">
              <w:rPr>
                <w:b/>
              </w:rPr>
              <w:t>Strength</w:t>
            </w:r>
          </w:p>
        </w:tc>
        <w:tc>
          <w:tcPr>
            <w:tcW w:w="4821" w:type="dxa"/>
            <w:vAlign w:val="center"/>
          </w:tcPr>
          <w:p w14:paraId="1FD6BBEE" w14:textId="77777777" w:rsidR="004D5195" w:rsidRPr="00454EB4" w:rsidRDefault="004D5195" w:rsidP="002E52EA">
            <w:pPr>
              <w:spacing w:before="40" w:after="120"/>
              <w:ind w:left="57" w:right="57"/>
              <w:rPr>
                <w:b/>
              </w:rPr>
            </w:pPr>
            <w:r w:rsidRPr="00454EB4">
              <w:rPr>
                <w:b/>
              </w:rPr>
              <w:t>Example</w:t>
            </w:r>
          </w:p>
        </w:tc>
      </w:tr>
      <w:tr w:rsidR="004D5195" w:rsidRPr="001C2A82" w14:paraId="6D43CDBC" w14:textId="77777777" w:rsidTr="0055521D">
        <w:trPr>
          <w:cnfStyle w:val="000000100000" w:firstRow="0" w:lastRow="0" w:firstColumn="0" w:lastColumn="0" w:oddVBand="0" w:evenVBand="0" w:oddHBand="1" w:evenHBand="0" w:firstRowFirstColumn="0" w:firstRowLastColumn="0" w:lastRowFirstColumn="0" w:lastRowLastColumn="0"/>
          <w:trHeight w:val="1828"/>
        </w:trPr>
        <w:tc>
          <w:tcPr>
            <w:tcW w:w="4817" w:type="dxa"/>
            <w:vAlign w:val="center"/>
          </w:tcPr>
          <w:p w14:paraId="371B7AA5" w14:textId="77777777" w:rsidR="004D5195" w:rsidRPr="002957F4" w:rsidRDefault="004D5195" w:rsidP="002E52EA">
            <w:pPr>
              <w:spacing w:before="40" w:after="120"/>
              <w:rPr>
                <w:rFonts w:cs="Arial"/>
                <w:b/>
                <w:iCs/>
              </w:rPr>
            </w:pPr>
            <w:r w:rsidRPr="002957F4">
              <w:rPr>
                <w:rFonts w:cs="Arial"/>
                <w:b/>
                <w:iCs/>
              </w:rPr>
              <w:t>When addressing this criterion strong applicants will:</w:t>
            </w:r>
          </w:p>
          <w:p w14:paraId="343CD2AD" w14:textId="77777777" w:rsidR="004D5195" w:rsidRPr="002957F4" w:rsidRDefault="004D5195" w:rsidP="002E52EA">
            <w:pPr>
              <w:spacing w:before="40" w:after="120"/>
              <w:rPr>
                <w:rFonts w:cs="Arial"/>
                <w:b/>
                <w:iCs/>
              </w:rPr>
            </w:pPr>
          </w:p>
          <w:p w14:paraId="1C6AFC4F" w14:textId="77777777" w:rsidR="004D5195" w:rsidRPr="002E52EA" w:rsidRDefault="004D5195" w:rsidP="002E52EA">
            <w:pPr>
              <w:numPr>
                <w:ilvl w:val="0"/>
                <w:numId w:val="24"/>
              </w:numPr>
              <w:spacing w:before="40" w:after="120"/>
              <w:ind w:right="57"/>
              <w:rPr>
                <w:rFonts w:cs="Arial"/>
              </w:rPr>
            </w:pPr>
            <w:r w:rsidRPr="002E52EA">
              <w:rPr>
                <w:rFonts w:cs="Arial"/>
              </w:rPr>
              <w:t>demonstrate how the grant funding will be used to maximise the inclusion and participation of people with disability at the conference</w:t>
            </w:r>
          </w:p>
          <w:p w14:paraId="4F5E24C9" w14:textId="77777777" w:rsidR="004D5195" w:rsidRPr="002E52EA" w:rsidRDefault="004D5195" w:rsidP="002E52EA">
            <w:pPr>
              <w:numPr>
                <w:ilvl w:val="0"/>
                <w:numId w:val="24"/>
              </w:numPr>
              <w:spacing w:before="40" w:after="120"/>
              <w:ind w:right="57"/>
              <w:rPr>
                <w:rFonts w:cs="Arial"/>
              </w:rPr>
            </w:pPr>
            <w:r w:rsidRPr="002E52EA">
              <w:rPr>
                <w:rFonts w:cs="Arial"/>
              </w:rPr>
              <w:t xml:space="preserve">if the NDCI funds are intended for accessibility measures that organisations would be expected to provide as part of their obligations under the </w:t>
            </w:r>
            <w:r w:rsidRPr="002E52EA">
              <w:rPr>
                <w:rFonts w:cs="Arial"/>
                <w:i/>
              </w:rPr>
              <w:t>Disability Discrimination Act 1992</w:t>
            </w:r>
            <w:r w:rsidRPr="002E52EA">
              <w:rPr>
                <w:rFonts w:cs="Arial"/>
              </w:rPr>
              <w:t xml:space="preserve"> (Cth), briefly demonstrate why such adjustments would cause major difficulties or excessive costs for your organisation (refer to section 5.1 Eligible grant activities)</w:t>
            </w:r>
          </w:p>
          <w:p w14:paraId="69B614CC" w14:textId="77777777" w:rsidR="004D5195" w:rsidRPr="002E52EA" w:rsidRDefault="004D5195" w:rsidP="002E52EA">
            <w:pPr>
              <w:numPr>
                <w:ilvl w:val="0"/>
                <w:numId w:val="24"/>
              </w:numPr>
              <w:spacing w:before="40" w:after="120"/>
              <w:ind w:right="57"/>
              <w:rPr>
                <w:rFonts w:cs="Arial"/>
              </w:rPr>
            </w:pPr>
            <w:r w:rsidRPr="002E52EA">
              <w:rPr>
                <w:rFonts w:cs="Arial"/>
              </w:rPr>
              <w:t>where possible outline the potential number of people with disability and their expected role (participant, presenter etc.) and/or carers expected to directly benefit from the grant funding and how they will benefit</w:t>
            </w:r>
          </w:p>
          <w:p w14:paraId="0948D7E4" w14:textId="6392812F" w:rsidR="004D5195" w:rsidRPr="002E52EA" w:rsidRDefault="004D5195" w:rsidP="002E52EA">
            <w:pPr>
              <w:numPr>
                <w:ilvl w:val="0"/>
                <w:numId w:val="24"/>
              </w:numPr>
              <w:spacing w:before="40" w:after="120"/>
              <w:ind w:right="57"/>
              <w:rPr>
                <w:rFonts w:ascii="Arial" w:eastAsia="Arial" w:hAnsi="Arial" w:cs="Arial"/>
                <w:color w:val="auto"/>
                <w:szCs w:val="22"/>
              </w:rPr>
            </w:pPr>
            <w:r w:rsidRPr="002E52EA">
              <w:rPr>
                <w:rFonts w:cs="Arial"/>
              </w:rPr>
              <w:t>outline the expected percentage of delegates to the conference that will be people with disability</w:t>
            </w:r>
          </w:p>
          <w:p w14:paraId="4A8EEA05" w14:textId="77777777" w:rsidR="004D5195" w:rsidRPr="00E063A2" w:rsidRDefault="004D5195" w:rsidP="002E52EA">
            <w:pPr>
              <w:numPr>
                <w:ilvl w:val="0"/>
                <w:numId w:val="24"/>
              </w:numPr>
              <w:spacing w:before="40" w:after="120"/>
              <w:ind w:right="57"/>
              <w:rPr>
                <w:rFonts w:ascii="Arial" w:eastAsia="Arial" w:hAnsi="Arial" w:cs="Arial"/>
                <w:b/>
                <w:color w:val="auto"/>
                <w:szCs w:val="22"/>
              </w:rPr>
            </w:pPr>
            <w:r w:rsidRPr="002E52EA">
              <w:rPr>
                <w:rFonts w:cs="Arial"/>
              </w:rPr>
              <w:t>submit a budget (using the provided template) as an attachment to your application form outlining the expenditure items the grant money will be used for.</w:t>
            </w:r>
          </w:p>
        </w:tc>
        <w:tc>
          <w:tcPr>
            <w:tcW w:w="4821" w:type="dxa"/>
          </w:tcPr>
          <w:p w14:paraId="67B49163" w14:textId="77777777" w:rsidR="004D5195" w:rsidRDefault="004D5195" w:rsidP="002E52EA">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153A7F6C" w14:textId="3621EC1E" w:rsidR="004D5195" w:rsidRPr="000411E3" w:rsidRDefault="00D50211" w:rsidP="002E52EA">
            <w:pPr>
              <w:numPr>
                <w:ilvl w:val="0"/>
                <w:numId w:val="21"/>
              </w:numPr>
              <w:spacing w:before="40" w:after="120"/>
              <w:ind w:right="57"/>
              <w:rPr>
                <w:rFonts w:ascii="Arial" w:eastAsia="Arial" w:hAnsi="Arial" w:cs="Arial"/>
                <w:bCs/>
                <w:color w:val="auto"/>
              </w:rPr>
            </w:pPr>
            <w:r>
              <w:rPr>
                <w:rFonts w:ascii="Arial" w:eastAsia="Arial" w:hAnsi="Arial" w:cs="Arial"/>
                <w:bCs/>
                <w:color w:val="auto"/>
              </w:rPr>
              <w:t>S</w:t>
            </w:r>
            <w:r w:rsidR="004D5195" w:rsidRPr="00142623">
              <w:rPr>
                <w:rFonts w:ascii="Arial" w:eastAsia="Arial" w:hAnsi="Arial" w:cs="Arial"/>
                <w:bCs/>
                <w:color w:val="auto"/>
              </w:rPr>
              <w:t xml:space="preserve">pecific ways grant funds will be used </w:t>
            </w:r>
            <w:r w:rsidR="004D5195">
              <w:rPr>
                <w:rFonts w:ascii="Arial" w:eastAsia="Arial" w:hAnsi="Arial" w:cs="Arial"/>
                <w:bCs/>
                <w:color w:val="auto"/>
              </w:rPr>
              <w:t xml:space="preserve">for eligible items/activities for example: </w:t>
            </w:r>
            <w:r w:rsidR="004D5195" w:rsidRPr="00142623">
              <w:rPr>
                <w:rFonts w:ascii="Arial" w:eastAsia="Arial" w:hAnsi="Arial" w:cs="Arial"/>
                <w:bCs/>
                <w:color w:val="auto"/>
              </w:rPr>
              <w:t xml:space="preserve">assist </w:t>
            </w:r>
            <w:r w:rsidR="004D5195">
              <w:rPr>
                <w:rFonts w:ascii="Arial" w:eastAsia="Arial" w:hAnsi="Arial" w:cs="Arial"/>
                <w:bCs/>
                <w:color w:val="auto"/>
              </w:rPr>
              <w:t xml:space="preserve">people with disability and their carers </w:t>
            </w:r>
            <w:r w:rsidR="004D5195" w:rsidRPr="00142623">
              <w:rPr>
                <w:rFonts w:ascii="Arial" w:eastAsia="Arial" w:hAnsi="Arial" w:cs="Arial"/>
                <w:bCs/>
                <w:color w:val="auto"/>
              </w:rPr>
              <w:t>with costs associated with travel, accommodation, live captioning, accessible materials, technology enhancements so people with disa</w:t>
            </w:r>
            <w:r w:rsidR="00AE69BA">
              <w:rPr>
                <w:rFonts w:ascii="Arial" w:eastAsia="Arial" w:hAnsi="Arial" w:cs="Arial"/>
                <w:bCs/>
                <w:color w:val="auto"/>
              </w:rPr>
              <w:t>bility can participate remotely</w:t>
            </w:r>
            <w:r w:rsidR="002E52EA">
              <w:rPr>
                <w:rFonts w:ascii="Arial" w:eastAsia="Arial" w:hAnsi="Arial" w:cs="Arial"/>
                <w:bCs/>
                <w:color w:val="auto"/>
              </w:rPr>
              <w:t>.</w:t>
            </w:r>
          </w:p>
          <w:p w14:paraId="003720C3" w14:textId="5019EC3D" w:rsidR="004D5195" w:rsidRDefault="00D50211" w:rsidP="002E52EA">
            <w:pPr>
              <w:numPr>
                <w:ilvl w:val="0"/>
                <w:numId w:val="21"/>
              </w:numPr>
              <w:spacing w:before="40" w:after="120"/>
              <w:ind w:right="57"/>
              <w:rPr>
                <w:rFonts w:ascii="Arial" w:eastAsia="Arial" w:hAnsi="Arial" w:cs="Arial"/>
                <w:bCs/>
                <w:color w:val="auto"/>
              </w:rPr>
            </w:pPr>
            <w:r>
              <w:rPr>
                <w:rFonts w:ascii="Arial" w:eastAsia="Arial" w:hAnsi="Arial" w:cs="Arial"/>
                <w:bCs/>
                <w:color w:val="auto"/>
              </w:rPr>
              <w:t>W</w:t>
            </w:r>
            <w:r w:rsidR="004D5195">
              <w:rPr>
                <w:rFonts w:ascii="Arial" w:eastAsia="Arial" w:hAnsi="Arial" w:cs="Arial"/>
                <w:bCs/>
                <w:color w:val="auto"/>
              </w:rPr>
              <w:t xml:space="preserve">here funding was sought for accessibility measures </w:t>
            </w:r>
            <w:r w:rsidR="004D5195" w:rsidRPr="00BA46C8">
              <w:rPr>
                <w:rFonts w:cs="Arial"/>
              </w:rPr>
              <w:t xml:space="preserve">that organisations would be expected to provide as part of their obligations under the </w:t>
            </w:r>
            <w:r w:rsidR="004D5195" w:rsidRPr="00334DB0">
              <w:rPr>
                <w:rFonts w:cs="Arial"/>
                <w:i/>
              </w:rPr>
              <w:t>Disability Discrimination Act 1992</w:t>
            </w:r>
            <w:r w:rsidR="004D5195" w:rsidRPr="00BA46C8">
              <w:rPr>
                <w:rFonts w:cs="Arial"/>
              </w:rPr>
              <w:t xml:space="preserve"> (Cth)</w:t>
            </w:r>
            <w:r w:rsidR="004D5195">
              <w:rPr>
                <w:rFonts w:cs="Arial"/>
              </w:rPr>
              <w:t>, why these adjustments would be difficult for the organisation to fund without the support of the grant funding, for example: the limited funds available within the organisation mean that the accessibility measures could not be fu</w:t>
            </w:r>
            <w:r w:rsidR="002E52EA">
              <w:rPr>
                <w:rFonts w:cs="Arial"/>
              </w:rPr>
              <w:t>nded without the grant funding.</w:t>
            </w:r>
          </w:p>
          <w:p w14:paraId="5DF09A1A" w14:textId="653FE69F" w:rsidR="004D5195" w:rsidRPr="006774CC" w:rsidRDefault="00D50211" w:rsidP="002E52EA">
            <w:pPr>
              <w:numPr>
                <w:ilvl w:val="0"/>
                <w:numId w:val="21"/>
              </w:numPr>
              <w:spacing w:before="40" w:after="120"/>
              <w:ind w:right="57"/>
              <w:rPr>
                <w:rFonts w:ascii="Arial" w:eastAsia="Arial" w:hAnsi="Arial" w:cs="Arial"/>
                <w:bCs/>
                <w:color w:val="auto"/>
              </w:rPr>
            </w:pPr>
            <w:r>
              <w:rPr>
                <w:rFonts w:ascii="Arial" w:eastAsia="Arial" w:hAnsi="Arial" w:cs="Arial"/>
                <w:bCs/>
                <w:color w:val="auto"/>
              </w:rPr>
              <w:t>T</w:t>
            </w:r>
            <w:r w:rsidR="004D5195" w:rsidRPr="00142623">
              <w:rPr>
                <w:rFonts w:ascii="Arial" w:eastAsia="Arial" w:hAnsi="Arial" w:cs="Arial"/>
                <w:bCs/>
                <w:color w:val="auto"/>
              </w:rPr>
              <w:t xml:space="preserve">he number of people with disability </w:t>
            </w:r>
            <w:r w:rsidR="004D5195">
              <w:rPr>
                <w:rFonts w:ascii="Arial" w:eastAsia="Arial" w:hAnsi="Arial" w:cs="Arial"/>
                <w:bCs/>
                <w:color w:val="auto"/>
              </w:rPr>
              <w:t xml:space="preserve">and carers </w:t>
            </w:r>
            <w:r w:rsidR="004D5195" w:rsidRPr="00142623">
              <w:rPr>
                <w:rFonts w:ascii="Arial" w:eastAsia="Arial" w:hAnsi="Arial" w:cs="Arial"/>
                <w:bCs/>
                <w:color w:val="auto"/>
              </w:rPr>
              <w:t xml:space="preserve">expected to attend the conference </w:t>
            </w:r>
            <w:r w:rsidR="004D5195">
              <w:rPr>
                <w:rFonts w:ascii="Arial" w:eastAsia="Arial" w:hAnsi="Arial" w:cs="Arial"/>
                <w:bCs/>
                <w:color w:val="auto"/>
              </w:rPr>
              <w:t>and how the grant funding would be applied to supporting their inclusion and participation, for example: how many delegates/presenters with disability (and carers) would have travel costs supported or subsidised, the number of expected attendees expected to benefit from the provision of Ausla</w:t>
            </w:r>
            <w:r w:rsidR="002E52EA">
              <w:rPr>
                <w:rFonts w:ascii="Arial" w:eastAsia="Arial" w:hAnsi="Arial" w:cs="Arial"/>
                <w:bCs/>
                <w:color w:val="auto"/>
              </w:rPr>
              <w:t>n interpreting.</w:t>
            </w:r>
          </w:p>
          <w:p w14:paraId="7254B94D" w14:textId="2B2367A3" w:rsidR="004D5195" w:rsidRPr="00142623" w:rsidRDefault="00D50211" w:rsidP="002E52EA">
            <w:pPr>
              <w:numPr>
                <w:ilvl w:val="0"/>
                <w:numId w:val="21"/>
              </w:numPr>
              <w:spacing w:before="40" w:after="120"/>
              <w:ind w:right="57"/>
              <w:rPr>
                <w:rFonts w:ascii="Arial" w:eastAsia="Arial" w:hAnsi="Arial" w:cs="Arial"/>
                <w:bCs/>
                <w:color w:val="auto"/>
              </w:rPr>
            </w:pPr>
            <w:r>
              <w:rPr>
                <w:rFonts w:ascii="Arial" w:eastAsia="Arial" w:hAnsi="Arial" w:cs="Arial"/>
                <w:bCs/>
                <w:color w:val="auto"/>
              </w:rPr>
              <w:t>T</w:t>
            </w:r>
            <w:r w:rsidR="004D5195">
              <w:rPr>
                <w:rFonts w:ascii="Arial" w:eastAsia="Arial" w:hAnsi="Arial" w:cs="Arial"/>
                <w:bCs/>
                <w:color w:val="auto"/>
              </w:rPr>
              <w:t>he expected number of delegates and the percentage expected to be people with disability, including with reference to the number of attendees at prior conferences where possible</w:t>
            </w:r>
            <w:r w:rsidR="002E52EA">
              <w:rPr>
                <w:rFonts w:ascii="Arial" w:eastAsia="Arial" w:hAnsi="Arial" w:cs="Arial"/>
                <w:bCs/>
                <w:color w:val="auto"/>
              </w:rPr>
              <w:t>.</w:t>
            </w:r>
          </w:p>
          <w:p w14:paraId="3755AFBE" w14:textId="122E8E49" w:rsidR="004D5195" w:rsidRPr="00E90AB0" w:rsidRDefault="00D50211" w:rsidP="002E52EA">
            <w:pPr>
              <w:keepNext/>
              <w:keepLines/>
              <w:numPr>
                <w:ilvl w:val="0"/>
                <w:numId w:val="21"/>
              </w:numPr>
              <w:spacing w:before="40" w:after="120"/>
              <w:ind w:left="470" w:right="57" w:hanging="357"/>
              <w:rPr>
                <w:rFonts w:ascii="Arial" w:eastAsia="Arial" w:hAnsi="Arial" w:cs="Arial"/>
                <w:color w:val="auto"/>
              </w:rPr>
            </w:pPr>
            <w:r>
              <w:rPr>
                <w:rFonts w:ascii="Arial" w:eastAsia="Arial" w:hAnsi="Arial" w:cs="Arial"/>
                <w:color w:val="auto"/>
              </w:rPr>
              <w:lastRenderedPageBreak/>
              <w:t>T</w:t>
            </w:r>
            <w:r w:rsidR="004D5195">
              <w:rPr>
                <w:rFonts w:ascii="Arial" w:eastAsia="Arial" w:hAnsi="Arial" w:cs="Arial"/>
                <w:color w:val="auto"/>
              </w:rPr>
              <w:t xml:space="preserve">he </w:t>
            </w:r>
            <w:r w:rsidR="004D5195" w:rsidRPr="00142623">
              <w:rPr>
                <w:rFonts w:ascii="Arial" w:eastAsia="Arial" w:hAnsi="Arial" w:cs="Arial"/>
                <w:color w:val="auto"/>
              </w:rPr>
              <w:t>expected costs of each item/activity for which the grant funding will be used</w:t>
            </w:r>
            <w:r w:rsidR="004D5195">
              <w:rPr>
                <w:rFonts w:ascii="Arial" w:eastAsia="Arial" w:hAnsi="Arial" w:cs="Arial"/>
                <w:color w:val="auto"/>
              </w:rPr>
              <w:t>, in the mandatory budget template provided. With the total of the budget matching the total grant funding sought in the application.</w:t>
            </w:r>
          </w:p>
        </w:tc>
      </w:tr>
    </w:tbl>
    <w:p w14:paraId="2F85BD22" w14:textId="77777777" w:rsidR="00316948" w:rsidRDefault="00316948" w:rsidP="006A4737">
      <w:pPr>
        <w:pStyle w:val="Heading2"/>
        <w:spacing w:before="0"/>
      </w:pPr>
    </w:p>
    <w:p w14:paraId="320FFE4F" w14:textId="5C4370E0" w:rsidR="004D5195" w:rsidRPr="00316948" w:rsidRDefault="004D5195" w:rsidP="00316948">
      <w:pPr>
        <w:pStyle w:val="Heading2"/>
        <w:spacing w:before="0"/>
        <w:rPr>
          <w:b w:val="0"/>
        </w:rPr>
      </w:pPr>
      <w:r w:rsidRPr="000411E3">
        <w:t>Criterion 3</w:t>
      </w:r>
      <w:r>
        <w:t xml:space="preserve"> - </w:t>
      </w:r>
      <w:r w:rsidRPr="00F47E2D">
        <w:t>Organisation capacity and capability</w:t>
      </w:r>
    </w:p>
    <w:tbl>
      <w:tblPr>
        <w:tblStyle w:val="CGHTableBanded"/>
        <w:tblW w:w="0" w:type="auto"/>
        <w:tblLook w:val="04A0" w:firstRow="1" w:lastRow="0" w:firstColumn="1" w:lastColumn="0" w:noHBand="0" w:noVBand="1"/>
        <w:tblCaption w:val="Criterion 3 Organisation capacity and capability"/>
        <w:tblDescription w:val="Enter your answer to criterion 3"/>
      </w:tblPr>
      <w:tblGrid>
        <w:gridCol w:w="4817"/>
        <w:gridCol w:w="4821"/>
      </w:tblGrid>
      <w:tr w:rsidR="004D5195" w:rsidRPr="00454EB4" w14:paraId="2E39BA4C" w14:textId="77777777" w:rsidTr="00447F5E">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A9BE6BB" w14:textId="77777777" w:rsidR="004D5195" w:rsidRPr="00454EB4" w:rsidRDefault="004D5195" w:rsidP="0055521D">
            <w:pPr>
              <w:spacing w:line="240" w:lineRule="auto"/>
              <w:ind w:left="57" w:right="57"/>
              <w:rPr>
                <w:b/>
              </w:rPr>
            </w:pPr>
            <w:r w:rsidRPr="00454EB4">
              <w:rPr>
                <w:b/>
              </w:rPr>
              <w:t>Strength</w:t>
            </w:r>
          </w:p>
        </w:tc>
        <w:tc>
          <w:tcPr>
            <w:tcW w:w="4821" w:type="dxa"/>
            <w:vAlign w:val="center"/>
          </w:tcPr>
          <w:p w14:paraId="39EF5918" w14:textId="77777777" w:rsidR="004D5195" w:rsidRPr="00454EB4" w:rsidRDefault="004D5195" w:rsidP="0055521D">
            <w:pPr>
              <w:spacing w:line="240" w:lineRule="auto"/>
              <w:ind w:left="57" w:right="57"/>
              <w:rPr>
                <w:b/>
              </w:rPr>
            </w:pPr>
            <w:r w:rsidRPr="00454EB4">
              <w:rPr>
                <w:b/>
              </w:rPr>
              <w:t>Example</w:t>
            </w:r>
          </w:p>
        </w:tc>
      </w:tr>
      <w:tr w:rsidR="004D5195" w:rsidRPr="001C2A82" w14:paraId="593E4D5A" w14:textId="77777777" w:rsidTr="0055521D">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7ACC182" w14:textId="77777777" w:rsidR="004D5195" w:rsidRPr="002E52EA" w:rsidRDefault="004D5195" w:rsidP="0055521D">
            <w:pPr>
              <w:rPr>
                <w:rFonts w:cs="Arial"/>
                <w:iCs/>
              </w:rPr>
            </w:pPr>
            <w:r w:rsidRPr="002E52EA">
              <w:rPr>
                <w:rFonts w:cs="Arial"/>
                <w:iCs/>
              </w:rPr>
              <w:t>When addressing this criterion strong applicants will:</w:t>
            </w:r>
          </w:p>
          <w:p w14:paraId="39889881" w14:textId="77777777" w:rsidR="004D5195" w:rsidRPr="002E52EA" w:rsidRDefault="004D5195" w:rsidP="004D5195">
            <w:pPr>
              <w:numPr>
                <w:ilvl w:val="0"/>
                <w:numId w:val="24"/>
              </w:numPr>
              <w:spacing w:before="120" w:after="120" w:line="240" w:lineRule="auto"/>
              <w:ind w:left="714" w:right="57" w:hanging="357"/>
              <w:rPr>
                <w:rFonts w:cs="Arial"/>
              </w:rPr>
            </w:pPr>
            <w:r w:rsidRPr="002E52EA">
              <w:rPr>
                <w:rFonts w:cs="Arial"/>
              </w:rPr>
              <w:t>demonstrate your organisation’s capacity and capability to administer the grant</w:t>
            </w:r>
          </w:p>
          <w:p w14:paraId="484F6581" w14:textId="77777777" w:rsidR="004D5195" w:rsidRPr="002E52EA" w:rsidRDefault="004D5195" w:rsidP="004D5195">
            <w:pPr>
              <w:numPr>
                <w:ilvl w:val="0"/>
                <w:numId w:val="24"/>
              </w:numPr>
              <w:spacing w:before="120" w:after="120" w:line="240" w:lineRule="auto"/>
              <w:ind w:left="714" w:right="57" w:hanging="357"/>
              <w:rPr>
                <w:rFonts w:ascii="Arial" w:eastAsia="Arial" w:hAnsi="Arial" w:cs="Arial"/>
                <w:color w:val="auto"/>
                <w:szCs w:val="22"/>
              </w:rPr>
            </w:pPr>
            <w:r w:rsidRPr="002E52EA">
              <w:rPr>
                <w:rFonts w:cs="Arial"/>
              </w:rPr>
              <w:t>include examples of any previous grants, conferences or similar projects your organisation has successfully undertaken</w:t>
            </w:r>
          </w:p>
          <w:p w14:paraId="28F5DB22" w14:textId="77777777" w:rsidR="004D5195" w:rsidRPr="00E063A2" w:rsidRDefault="004D5195" w:rsidP="004D5195">
            <w:pPr>
              <w:numPr>
                <w:ilvl w:val="0"/>
                <w:numId w:val="24"/>
              </w:numPr>
              <w:spacing w:before="120" w:after="120" w:line="240" w:lineRule="auto"/>
              <w:ind w:left="714" w:right="57" w:hanging="357"/>
              <w:rPr>
                <w:rFonts w:ascii="Arial" w:eastAsia="Arial" w:hAnsi="Arial" w:cs="Arial"/>
                <w:b/>
                <w:color w:val="auto"/>
                <w:szCs w:val="22"/>
              </w:rPr>
            </w:pPr>
            <w:r w:rsidRPr="002E52EA">
              <w:rPr>
                <w:rFonts w:cs="Arial"/>
              </w:rPr>
              <w:t>demonstrate the relevant experience, skills and qualifications of members of your organisation in delivering the project.</w:t>
            </w:r>
          </w:p>
        </w:tc>
        <w:tc>
          <w:tcPr>
            <w:tcW w:w="4821" w:type="dxa"/>
          </w:tcPr>
          <w:p w14:paraId="7AE475F3" w14:textId="77777777" w:rsidR="004D5195" w:rsidRDefault="004D5195" w:rsidP="0055521D">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98DD9E0" w14:textId="6E9926FC" w:rsidR="004D5195" w:rsidRDefault="004D5C69" w:rsidP="004D5195">
            <w:pPr>
              <w:numPr>
                <w:ilvl w:val="0"/>
                <w:numId w:val="21"/>
              </w:numPr>
              <w:spacing w:before="60" w:after="120" w:line="240" w:lineRule="auto"/>
              <w:ind w:right="57"/>
              <w:rPr>
                <w:rFonts w:ascii="Arial" w:eastAsia="Arial" w:hAnsi="Arial" w:cs="Arial"/>
                <w:color w:val="auto"/>
              </w:rPr>
            </w:pPr>
            <w:r>
              <w:rPr>
                <w:rFonts w:ascii="Arial" w:eastAsia="Arial" w:hAnsi="Arial" w:cs="Arial"/>
                <w:color w:val="auto"/>
              </w:rPr>
              <w:t>T</w:t>
            </w:r>
            <w:r w:rsidR="004D5195" w:rsidRPr="00142623">
              <w:rPr>
                <w:rFonts w:ascii="Arial" w:eastAsia="Arial" w:hAnsi="Arial" w:cs="Arial"/>
                <w:color w:val="auto"/>
              </w:rPr>
              <w:t>he organisation’s</w:t>
            </w:r>
            <w:r w:rsidR="004D5195">
              <w:rPr>
                <w:rFonts w:ascii="Arial" w:eastAsia="Arial" w:hAnsi="Arial" w:cs="Arial"/>
                <w:color w:val="auto"/>
              </w:rPr>
              <w:t xml:space="preserve"> experience in managing grants, programs or similar conferences by detail</w:t>
            </w:r>
            <w:r w:rsidR="004D5195" w:rsidRPr="00142623">
              <w:rPr>
                <w:rFonts w:ascii="Arial" w:eastAsia="Arial" w:hAnsi="Arial" w:cs="Arial"/>
                <w:color w:val="auto"/>
              </w:rPr>
              <w:t xml:space="preserve">ing </w:t>
            </w:r>
            <w:r w:rsidR="004D5195">
              <w:rPr>
                <w:rFonts w:ascii="Arial" w:eastAsia="Arial" w:hAnsi="Arial" w:cs="Arial"/>
                <w:color w:val="auto"/>
              </w:rPr>
              <w:t xml:space="preserve">recent examples of </w:t>
            </w:r>
            <w:r w:rsidR="004D5195" w:rsidRPr="00142623">
              <w:rPr>
                <w:rFonts w:ascii="Arial" w:eastAsia="Arial" w:hAnsi="Arial" w:cs="Arial"/>
                <w:color w:val="auto"/>
              </w:rPr>
              <w:t xml:space="preserve">the type of </w:t>
            </w:r>
            <w:r w:rsidR="004D5195">
              <w:rPr>
                <w:rFonts w:ascii="Arial" w:eastAsia="Arial" w:hAnsi="Arial" w:cs="Arial"/>
                <w:color w:val="auto"/>
              </w:rPr>
              <w:t>activities</w:t>
            </w:r>
            <w:r w:rsidR="004D5195" w:rsidRPr="00142623">
              <w:rPr>
                <w:rFonts w:ascii="Arial" w:eastAsia="Arial" w:hAnsi="Arial" w:cs="Arial"/>
                <w:color w:val="auto"/>
              </w:rPr>
              <w:t xml:space="preserve"> delivered and how the contractual require</w:t>
            </w:r>
            <w:r w:rsidR="002E52EA">
              <w:rPr>
                <w:rFonts w:ascii="Arial" w:eastAsia="Arial" w:hAnsi="Arial" w:cs="Arial"/>
                <w:color w:val="auto"/>
              </w:rPr>
              <w:t>ments were successfully handled.</w:t>
            </w:r>
          </w:p>
          <w:p w14:paraId="41EC1DBF" w14:textId="58B1E7B9" w:rsidR="004D5195" w:rsidRPr="00142623" w:rsidRDefault="004D5C69" w:rsidP="004D5195">
            <w:pPr>
              <w:numPr>
                <w:ilvl w:val="0"/>
                <w:numId w:val="21"/>
              </w:numPr>
              <w:spacing w:before="60" w:after="120" w:line="240" w:lineRule="auto"/>
              <w:ind w:right="57"/>
              <w:rPr>
                <w:rFonts w:ascii="Arial" w:eastAsia="Arial" w:hAnsi="Arial" w:cs="Arial"/>
                <w:color w:val="auto"/>
              </w:rPr>
            </w:pPr>
            <w:r>
              <w:rPr>
                <w:rFonts w:ascii="Arial" w:eastAsia="Arial" w:hAnsi="Arial" w:cs="Arial"/>
                <w:color w:val="auto"/>
              </w:rPr>
              <w:t>R</w:t>
            </w:r>
            <w:r w:rsidR="004D5195" w:rsidRPr="00142623">
              <w:rPr>
                <w:rFonts w:ascii="Arial" w:eastAsia="Arial" w:hAnsi="Arial" w:cs="Arial"/>
                <w:color w:val="auto"/>
              </w:rPr>
              <w:t>elevant skills and qualifications of individuals who have a key role in organising the conference.</w:t>
            </w:r>
          </w:p>
          <w:p w14:paraId="1A3E0B25" w14:textId="77777777" w:rsidR="004D5195" w:rsidRPr="001C2A82" w:rsidRDefault="004D5195" w:rsidP="0055521D">
            <w:pPr>
              <w:spacing w:before="60" w:after="120" w:line="240" w:lineRule="auto"/>
              <w:ind w:left="113" w:right="57"/>
              <w:rPr>
                <w:rFonts w:ascii="Arial" w:eastAsia="Arial" w:hAnsi="Arial" w:cs="Arial"/>
                <w:color w:val="auto"/>
              </w:rPr>
            </w:pPr>
          </w:p>
        </w:tc>
      </w:tr>
    </w:tbl>
    <w:p w14:paraId="462A5767" w14:textId="77777777" w:rsidR="004D5195" w:rsidRDefault="004D5195" w:rsidP="004D5195">
      <w:pPr>
        <w:pStyle w:val="Heading2"/>
        <w:spacing w:before="0"/>
      </w:pPr>
    </w:p>
    <w:p w14:paraId="6DBD217D" w14:textId="108D604B" w:rsidR="005D5DFD" w:rsidRPr="00203349" w:rsidRDefault="005D5DFD" w:rsidP="005D5DFD">
      <w:pPr>
        <w:pStyle w:val="Heading2"/>
        <w:spacing w:before="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p>
    <w:p w14:paraId="0BBAB82B" w14:textId="36962115" w:rsidR="005D5DFD" w:rsidRDefault="007450CD" w:rsidP="005D5DFD">
      <w:pPr>
        <w:pStyle w:val="BodyText"/>
      </w:pPr>
      <w:r w:rsidRPr="00F702AC">
        <w:rPr>
          <w:color w:val="auto"/>
        </w:rPr>
        <w:t xml:space="preserve">Individual feedback will not be provided for </w:t>
      </w:r>
      <w:r w:rsidR="002E52EA">
        <w:rPr>
          <w:color w:val="auto"/>
        </w:rPr>
        <w:t>this grant opportunity.</w:t>
      </w:r>
    </w:p>
    <w:sectPr w:rsidR="005D5DFD" w:rsidSect="00D91B18">
      <w:headerReference w:type="default" r:id="rId13"/>
      <w:footerReference w:type="default" r:id="rId14"/>
      <w:headerReference w:type="first" r:id="rId15"/>
      <w:footerReference w:type="first" r:id="rId16"/>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BFBE" w14:textId="77777777" w:rsidR="00B57C93" w:rsidRDefault="00B57C93" w:rsidP="00772718">
      <w:pPr>
        <w:spacing w:line="240" w:lineRule="auto"/>
      </w:pPr>
      <w:r>
        <w:separator/>
      </w:r>
    </w:p>
  </w:endnote>
  <w:endnote w:type="continuationSeparator" w:id="0">
    <w:p w14:paraId="69DDE6ED" w14:textId="77777777" w:rsidR="00B57C93" w:rsidRDefault="00B57C9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0A2A7AEC" w:rsidR="00A14495" w:rsidRDefault="00E13525">
    <w:pPr>
      <w:pStyle w:val="Footer"/>
    </w:pPr>
    <w:r>
      <w:fldChar w:fldCharType="begin"/>
    </w:r>
    <w:r>
      <w:instrText xml:space="preserve"> PAGE   \* MERGEFORMAT </w:instrText>
    </w:r>
    <w:r>
      <w:fldChar w:fldCharType="separate"/>
    </w:r>
    <w:r w:rsidR="0002761B">
      <w:rPr>
        <w:noProof/>
      </w:rPr>
      <w:t>5</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7EB5DB2B" w:rsidR="00D91B18" w:rsidRDefault="00D91B18">
    <w:pPr>
      <w:pStyle w:val="Footer"/>
    </w:pPr>
    <w:r>
      <w:fldChar w:fldCharType="begin"/>
    </w:r>
    <w:r>
      <w:instrText xml:space="preserve"> PAGE   \* MERGEFORMAT </w:instrText>
    </w:r>
    <w:r>
      <w:fldChar w:fldCharType="separate"/>
    </w:r>
    <w:r w:rsidR="0002761B">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Approved 18</w:t>
    </w:r>
    <w:r w:rsidR="00D06EAD">
      <w:t>/04/2023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CCB2" w14:textId="77777777" w:rsidR="00B57C93" w:rsidRDefault="00B57C93" w:rsidP="00772718">
      <w:pPr>
        <w:spacing w:line="240" w:lineRule="auto"/>
      </w:pPr>
      <w:r>
        <w:separator/>
      </w:r>
    </w:p>
  </w:footnote>
  <w:footnote w:type="continuationSeparator" w:id="0">
    <w:p w14:paraId="6C75FFB0" w14:textId="77777777" w:rsidR="00B57C93" w:rsidRDefault="00B57C9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03F7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15269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8AF0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0083C8A"/>
    <w:multiLevelType w:val="hybridMultilevel"/>
    <w:tmpl w:val="02F61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1F6052"/>
    <w:multiLevelType w:val="hybridMultilevel"/>
    <w:tmpl w:val="47C0E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276875"/>
    <w:multiLevelType w:val="hybridMultilevel"/>
    <w:tmpl w:val="4E0EBE7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C664C8"/>
    <w:multiLevelType w:val="hybridMultilevel"/>
    <w:tmpl w:val="47B09E14"/>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7760FA8"/>
    <w:multiLevelType w:val="hybridMultilevel"/>
    <w:tmpl w:val="14C8AE04"/>
    <w:lvl w:ilvl="0" w:tplc="D7E62028">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9B5375"/>
    <w:multiLevelType w:val="hybridMultilevel"/>
    <w:tmpl w:val="CAEA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35F4922"/>
    <w:multiLevelType w:val="hybridMultilevel"/>
    <w:tmpl w:val="E16A644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6609D"/>
    <w:multiLevelType w:val="hybridMultilevel"/>
    <w:tmpl w:val="C0C83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C53F4E"/>
    <w:multiLevelType w:val="hybridMultilevel"/>
    <w:tmpl w:val="3716967C"/>
    <w:lvl w:ilvl="0" w:tplc="92040CE4">
      <w:start w:val="1"/>
      <w:numFmt w:val="bullet"/>
      <w:lvlText w:val=""/>
      <w:lvlJc w:val="left"/>
      <w:pPr>
        <w:ind w:left="473" w:hanging="360"/>
      </w:pPr>
      <w:rPr>
        <w:rFonts w:ascii="Wingdings" w:hAnsi="Wingdings" w:hint="default"/>
        <w:color w:val="264F90"/>
      </w:rPr>
    </w:lvl>
    <w:lvl w:ilvl="1" w:tplc="AAE808BE">
      <w:start w:val="1"/>
      <w:numFmt w:val="bullet"/>
      <w:lvlText w:val="−"/>
      <w:lvlJc w:val="left"/>
      <w:pPr>
        <w:ind w:left="1193" w:hanging="360"/>
      </w:pPr>
      <w:rPr>
        <w:rFonts w:ascii="Arial" w:hAnsi="Arial"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DD0A08"/>
    <w:multiLevelType w:val="hybridMultilevel"/>
    <w:tmpl w:val="9E58111A"/>
    <w:lvl w:ilvl="0" w:tplc="AAE808BE">
      <w:start w:val="1"/>
      <w:numFmt w:val="bullet"/>
      <w:lvlText w:val="−"/>
      <w:lvlJc w:val="left"/>
      <w:pPr>
        <w:ind w:left="785" w:hanging="360"/>
      </w:pPr>
      <w:rPr>
        <w:rFonts w:ascii="Arial" w:hAnsi="Aria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5E9F415B"/>
    <w:multiLevelType w:val="hybridMultilevel"/>
    <w:tmpl w:val="10FCE9F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72673"/>
    <w:multiLevelType w:val="hybridMultilevel"/>
    <w:tmpl w:val="F728734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0"/>
  </w:num>
  <w:num w:numId="2">
    <w:abstractNumId w:val="23"/>
  </w:num>
  <w:num w:numId="3">
    <w:abstractNumId w:val="6"/>
  </w:num>
  <w:num w:numId="4">
    <w:abstractNumId w:val="15"/>
  </w:num>
  <w:num w:numId="5">
    <w:abstractNumId w:val="14"/>
  </w:num>
  <w:num w:numId="6">
    <w:abstractNumId w:val="12"/>
  </w:num>
  <w:num w:numId="7">
    <w:abstractNumId w:val="7"/>
  </w:num>
  <w:num w:numId="8">
    <w:abstractNumId w:val="22"/>
  </w:num>
  <w:num w:numId="9">
    <w:abstractNumId w:val="19"/>
  </w:num>
  <w:num w:numId="10">
    <w:abstractNumId w:val="2"/>
  </w:num>
  <w:num w:numId="11">
    <w:abstractNumId w:val="9"/>
  </w:num>
  <w:num w:numId="12">
    <w:abstractNumId w:val="2"/>
  </w:num>
  <w:num w:numId="13">
    <w:abstractNumId w:val="24"/>
  </w:num>
  <w:num w:numId="14">
    <w:abstractNumId w:val="11"/>
  </w:num>
  <w:num w:numId="15">
    <w:abstractNumId w:val="3"/>
  </w:num>
  <w:num w:numId="16">
    <w:abstractNumId w:val="4"/>
  </w:num>
  <w:num w:numId="17">
    <w:abstractNumId w:val="17"/>
  </w:num>
  <w:num w:numId="18">
    <w:abstractNumId w:val="1"/>
  </w:num>
  <w:num w:numId="19">
    <w:abstractNumId w:val="13"/>
  </w:num>
  <w:num w:numId="20">
    <w:abstractNumId w:val="10"/>
  </w:num>
  <w:num w:numId="21">
    <w:abstractNumId w:val="25"/>
  </w:num>
  <w:num w:numId="22">
    <w:abstractNumId w:val="20"/>
  </w:num>
  <w:num w:numId="23">
    <w:abstractNumId w:val="18"/>
  </w:num>
  <w:num w:numId="24">
    <w:abstractNumId w:val="8"/>
  </w:num>
  <w:num w:numId="25">
    <w:abstractNumId w:val="16"/>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761B"/>
    <w:rsid w:val="0003018E"/>
    <w:rsid w:val="00030C4C"/>
    <w:rsid w:val="00033BC3"/>
    <w:rsid w:val="00044E09"/>
    <w:rsid w:val="000455E3"/>
    <w:rsid w:val="0004784D"/>
    <w:rsid w:val="000535A3"/>
    <w:rsid w:val="00053A00"/>
    <w:rsid w:val="00053DC5"/>
    <w:rsid w:val="000551F5"/>
    <w:rsid w:val="000769DF"/>
    <w:rsid w:val="000A4B89"/>
    <w:rsid w:val="000A57BC"/>
    <w:rsid w:val="000B6C00"/>
    <w:rsid w:val="000B7EE9"/>
    <w:rsid w:val="000C1F06"/>
    <w:rsid w:val="000F1DD1"/>
    <w:rsid w:val="000F28B8"/>
    <w:rsid w:val="000F3766"/>
    <w:rsid w:val="00100880"/>
    <w:rsid w:val="00101967"/>
    <w:rsid w:val="00106FC4"/>
    <w:rsid w:val="00111F0C"/>
    <w:rsid w:val="00120B80"/>
    <w:rsid w:val="00145E2D"/>
    <w:rsid w:val="0016612C"/>
    <w:rsid w:val="001763D4"/>
    <w:rsid w:val="00181433"/>
    <w:rsid w:val="001834DD"/>
    <w:rsid w:val="00191BCF"/>
    <w:rsid w:val="00197308"/>
    <w:rsid w:val="001C53CE"/>
    <w:rsid w:val="001C5D96"/>
    <w:rsid w:val="001D341B"/>
    <w:rsid w:val="001E3D2B"/>
    <w:rsid w:val="001E5415"/>
    <w:rsid w:val="001E66CE"/>
    <w:rsid w:val="001F6BE5"/>
    <w:rsid w:val="002068B7"/>
    <w:rsid w:val="00221DC2"/>
    <w:rsid w:val="002277D8"/>
    <w:rsid w:val="00227935"/>
    <w:rsid w:val="00230D18"/>
    <w:rsid w:val="00243004"/>
    <w:rsid w:val="00244B48"/>
    <w:rsid w:val="00256CDA"/>
    <w:rsid w:val="002573D5"/>
    <w:rsid w:val="002600F2"/>
    <w:rsid w:val="00264E26"/>
    <w:rsid w:val="00265D4E"/>
    <w:rsid w:val="00280E74"/>
    <w:rsid w:val="00284E4B"/>
    <w:rsid w:val="002A41E1"/>
    <w:rsid w:val="002B6574"/>
    <w:rsid w:val="002D3419"/>
    <w:rsid w:val="002D4D48"/>
    <w:rsid w:val="002E0AA1"/>
    <w:rsid w:val="002E1CCC"/>
    <w:rsid w:val="002E21D2"/>
    <w:rsid w:val="002E52EA"/>
    <w:rsid w:val="002F7D3C"/>
    <w:rsid w:val="00302D5E"/>
    <w:rsid w:val="00305720"/>
    <w:rsid w:val="0031098A"/>
    <w:rsid w:val="003131AB"/>
    <w:rsid w:val="00316948"/>
    <w:rsid w:val="003217BE"/>
    <w:rsid w:val="0034044F"/>
    <w:rsid w:val="00355FF2"/>
    <w:rsid w:val="0035639D"/>
    <w:rsid w:val="00376001"/>
    <w:rsid w:val="003A17CA"/>
    <w:rsid w:val="003B5410"/>
    <w:rsid w:val="003C58D5"/>
    <w:rsid w:val="003D0647"/>
    <w:rsid w:val="003D1265"/>
    <w:rsid w:val="003D255E"/>
    <w:rsid w:val="003D3B1D"/>
    <w:rsid w:val="003D4B2C"/>
    <w:rsid w:val="003D5DBE"/>
    <w:rsid w:val="003E01D1"/>
    <w:rsid w:val="00404841"/>
    <w:rsid w:val="00410238"/>
    <w:rsid w:val="00412059"/>
    <w:rsid w:val="00421EC4"/>
    <w:rsid w:val="00422E02"/>
    <w:rsid w:val="00425633"/>
    <w:rsid w:val="00441E79"/>
    <w:rsid w:val="00444032"/>
    <w:rsid w:val="0044643A"/>
    <w:rsid w:val="00447F5E"/>
    <w:rsid w:val="00450486"/>
    <w:rsid w:val="00454EB4"/>
    <w:rsid w:val="00461BE1"/>
    <w:rsid w:val="00464243"/>
    <w:rsid w:val="004709E9"/>
    <w:rsid w:val="00472379"/>
    <w:rsid w:val="00483A58"/>
    <w:rsid w:val="00490618"/>
    <w:rsid w:val="004A7A42"/>
    <w:rsid w:val="004B203A"/>
    <w:rsid w:val="004B5F40"/>
    <w:rsid w:val="004C7D16"/>
    <w:rsid w:val="004D0860"/>
    <w:rsid w:val="004D2F72"/>
    <w:rsid w:val="004D5195"/>
    <w:rsid w:val="004D5C69"/>
    <w:rsid w:val="004D700E"/>
    <w:rsid w:val="004D7F17"/>
    <w:rsid w:val="004E0670"/>
    <w:rsid w:val="004E7F37"/>
    <w:rsid w:val="004F203C"/>
    <w:rsid w:val="004F31BA"/>
    <w:rsid w:val="005118E4"/>
    <w:rsid w:val="0051299F"/>
    <w:rsid w:val="00526B85"/>
    <w:rsid w:val="00527FCF"/>
    <w:rsid w:val="005306A1"/>
    <w:rsid w:val="00544751"/>
    <w:rsid w:val="00553A84"/>
    <w:rsid w:val="00563F88"/>
    <w:rsid w:val="00571E8B"/>
    <w:rsid w:val="005838F5"/>
    <w:rsid w:val="0059000C"/>
    <w:rsid w:val="00590E3E"/>
    <w:rsid w:val="005A02A1"/>
    <w:rsid w:val="005B6071"/>
    <w:rsid w:val="005C120F"/>
    <w:rsid w:val="005D5DFD"/>
    <w:rsid w:val="005D7A24"/>
    <w:rsid w:val="005E1395"/>
    <w:rsid w:val="0060402D"/>
    <w:rsid w:val="00616EBA"/>
    <w:rsid w:val="00620574"/>
    <w:rsid w:val="00622B47"/>
    <w:rsid w:val="00632C08"/>
    <w:rsid w:val="00654C42"/>
    <w:rsid w:val="006572E9"/>
    <w:rsid w:val="0067074A"/>
    <w:rsid w:val="00672994"/>
    <w:rsid w:val="006807C9"/>
    <w:rsid w:val="00692EFD"/>
    <w:rsid w:val="00694FDB"/>
    <w:rsid w:val="006A4737"/>
    <w:rsid w:val="006C15C5"/>
    <w:rsid w:val="006D3DAD"/>
    <w:rsid w:val="006D4A4B"/>
    <w:rsid w:val="006E1C6A"/>
    <w:rsid w:val="006E476C"/>
    <w:rsid w:val="006E7BE2"/>
    <w:rsid w:val="006F6096"/>
    <w:rsid w:val="006F7B19"/>
    <w:rsid w:val="0070036D"/>
    <w:rsid w:val="00707E21"/>
    <w:rsid w:val="00716D7B"/>
    <w:rsid w:val="00736A76"/>
    <w:rsid w:val="007405CC"/>
    <w:rsid w:val="007450CD"/>
    <w:rsid w:val="00752C6B"/>
    <w:rsid w:val="00760CE6"/>
    <w:rsid w:val="00762F09"/>
    <w:rsid w:val="007719C9"/>
    <w:rsid w:val="00772718"/>
    <w:rsid w:val="00783705"/>
    <w:rsid w:val="007A3384"/>
    <w:rsid w:val="007C1445"/>
    <w:rsid w:val="007D30A8"/>
    <w:rsid w:val="007D4969"/>
    <w:rsid w:val="007E24C8"/>
    <w:rsid w:val="007F00B8"/>
    <w:rsid w:val="007F6391"/>
    <w:rsid w:val="008006B6"/>
    <w:rsid w:val="00814FB1"/>
    <w:rsid w:val="00820F20"/>
    <w:rsid w:val="0082528A"/>
    <w:rsid w:val="00825754"/>
    <w:rsid w:val="00833758"/>
    <w:rsid w:val="00835210"/>
    <w:rsid w:val="0083589D"/>
    <w:rsid w:val="0084413D"/>
    <w:rsid w:val="00844C2D"/>
    <w:rsid w:val="00845DAA"/>
    <w:rsid w:val="00851FDD"/>
    <w:rsid w:val="0087438E"/>
    <w:rsid w:val="00884668"/>
    <w:rsid w:val="00895EB9"/>
    <w:rsid w:val="008B2B46"/>
    <w:rsid w:val="008B42D2"/>
    <w:rsid w:val="008E05BC"/>
    <w:rsid w:val="008F17B8"/>
    <w:rsid w:val="008F3CCF"/>
    <w:rsid w:val="00901750"/>
    <w:rsid w:val="00901A61"/>
    <w:rsid w:val="00903A60"/>
    <w:rsid w:val="00921840"/>
    <w:rsid w:val="00932108"/>
    <w:rsid w:val="00932C87"/>
    <w:rsid w:val="009331B4"/>
    <w:rsid w:val="009345F1"/>
    <w:rsid w:val="00944BBB"/>
    <w:rsid w:val="0095141C"/>
    <w:rsid w:val="009547B6"/>
    <w:rsid w:val="00961072"/>
    <w:rsid w:val="0096623C"/>
    <w:rsid w:val="00980BE5"/>
    <w:rsid w:val="0098649E"/>
    <w:rsid w:val="009A2F51"/>
    <w:rsid w:val="009A34F3"/>
    <w:rsid w:val="009B6C1C"/>
    <w:rsid w:val="009C4BC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814CB"/>
    <w:rsid w:val="00A90D1B"/>
    <w:rsid w:val="00AC144D"/>
    <w:rsid w:val="00AD70E2"/>
    <w:rsid w:val="00AE69BA"/>
    <w:rsid w:val="00AF55F8"/>
    <w:rsid w:val="00B10ABA"/>
    <w:rsid w:val="00B303E4"/>
    <w:rsid w:val="00B3065F"/>
    <w:rsid w:val="00B420D4"/>
    <w:rsid w:val="00B43CFE"/>
    <w:rsid w:val="00B57910"/>
    <w:rsid w:val="00B57C93"/>
    <w:rsid w:val="00B77997"/>
    <w:rsid w:val="00B91B21"/>
    <w:rsid w:val="00B952F6"/>
    <w:rsid w:val="00BA202A"/>
    <w:rsid w:val="00BC093A"/>
    <w:rsid w:val="00BC2B00"/>
    <w:rsid w:val="00BC4ACC"/>
    <w:rsid w:val="00BC4FCC"/>
    <w:rsid w:val="00BD02F8"/>
    <w:rsid w:val="00C04432"/>
    <w:rsid w:val="00C1488E"/>
    <w:rsid w:val="00C217A8"/>
    <w:rsid w:val="00C244BF"/>
    <w:rsid w:val="00C25C42"/>
    <w:rsid w:val="00C31B1C"/>
    <w:rsid w:val="00C4188F"/>
    <w:rsid w:val="00C819A4"/>
    <w:rsid w:val="00C824AE"/>
    <w:rsid w:val="00C84EA8"/>
    <w:rsid w:val="00C92998"/>
    <w:rsid w:val="00C95B28"/>
    <w:rsid w:val="00CA444B"/>
    <w:rsid w:val="00CA720A"/>
    <w:rsid w:val="00CD0003"/>
    <w:rsid w:val="00CD5925"/>
    <w:rsid w:val="00CE557A"/>
    <w:rsid w:val="00CF00AD"/>
    <w:rsid w:val="00D031B2"/>
    <w:rsid w:val="00D05A86"/>
    <w:rsid w:val="00D06EAD"/>
    <w:rsid w:val="00D1410C"/>
    <w:rsid w:val="00D3434A"/>
    <w:rsid w:val="00D40D16"/>
    <w:rsid w:val="00D433F8"/>
    <w:rsid w:val="00D47415"/>
    <w:rsid w:val="00D50211"/>
    <w:rsid w:val="00D548F0"/>
    <w:rsid w:val="00D57F79"/>
    <w:rsid w:val="00D64FAC"/>
    <w:rsid w:val="00D65704"/>
    <w:rsid w:val="00D668F6"/>
    <w:rsid w:val="00D70B21"/>
    <w:rsid w:val="00D741F9"/>
    <w:rsid w:val="00D80A0C"/>
    <w:rsid w:val="00D81FB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3062A"/>
    <w:rsid w:val="00E47250"/>
    <w:rsid w:val="00E47ADA"/>
    <w:rsid w:val="00E61535"/>
    <w:rsid w:val="00E73F55"/>
    <w:rsid w:val="00E74266"/>
    <w:rsid w:val="00E7480B"/>
    <w:rsid w:val="00E8246B"/>
    <w:rsid w:val="00E84012"/>
    <w:rsid w:val="00E86AD5"/>
    <w:rsid w:val="00E9373C"/>
    <w:rsid w:val="00EA0724"/>
    <w:rsid w:val="00EA6251"/>
    <w:rsid w:val="00EB6414"/>
    <w:rsid w:val="00ED31A1"/>
    <w:rsid w:val="00EE3BA6"/>
    <w:rsid w:val="00EE5747"/>
    <w:rsid w:val="00EF3804"/>
    <w:rsid w:val="00EF5E05"/>
    <w:rsid w:val="00F073CA"/>
    <w:rsid w:val="00F227AF"/>
    <w:rsid w:val="00F266F2"/>
    <w:rsid w:val="00F27370"/>
    <w:rsid w:val="00F33F4E"/>
    <w:rsid w:val="00F40B00"/>
    <w:rsid w:val="00F41AAB"/>
    <w:rsid w:val="00F47E2D"/>
    <w:rsid w:val="00F5341C"/>
    <w:rsid w:val="00F56954"/>
    <w:rsid w:val="00F73ED0"/>
    <w:rsid w:val="00F76062"/>
    <w:rsid w:val="00F85F98"/>
    <w:rsid w:val="00F901E0"/>
    <w:rsid w:val="00F948AF"/>
    <w:rsid w:val="00FA1F45"/>
    <w:rsid w:val="00FA5A7B"/>
    <w:rsid w:val="00FB11B1"/>
    <w:rsid w:val="00FC1C24"/>
    <w:rsid w:val="00FE00E8"/>
    <w:rsid w:val="00FF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sabilitygateway.gov.au/a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6" ma:contentTypeDescription="Create a new document." ma:contentTypeScope="" ma:versionID="7dba5979a8d68c171ce16cb0e39288cd">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465c61957ecd2a1e7038685cfbb88b92"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3:SharedWithUsers" minOccurs="0"/>
                <xsd:element ref="ns3:SharedWithDetails" minOccurs="0"/>
                <xsd:element ref="ns2:Silvijatoreview"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Silvijatoreview" ma:index="21" nillable="true" ma:displayName="Work in progress " ma:default="In  progress" ma:format="Dropdown" ma:internalName="Silvijatoreview">
      <xsd:simpleType>
        <xsd:restriction base="dms:Text">
          <xsd:maxLength value="255"/>
        </xsd:restriction>
      </xsd:simpleType>
    </xsd:element>
    <xsd:element name="Comments" ma:index="22"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8e4504-e3eb-487f-8950-c7897a32b679}"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lvijatoreview xmlns="178084fd-78ef-4070-a466-936eddb55aac">In  progress</Silvijatoreview>
    <TaxCatchAll xmlns="ecead6e6-14a6-4d9b-90e8-a4c8dbd97ed7" xsi:nil="true"/>
    <lcf76f155ced4ddcb4097134ff3c332f xmlns="178084fd-78ef-4070-a466-936eddb55aac">
      <Terms xmlns="http://schemas.microsoft.com/office/infopath/2007/PartnerControls"/>
    </lcf76f155ced4ddcb4097134ff3c332f>
    <Comments xmlns="178084fd-78ef-4070-a466-936eddb55a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077681-6886-4128-9A65-A1FBBEB60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67CBC-1A35-43D3-9195-395BA8F16551}">
  <ds:schemaRefs>
    <ds:schemaRef ds:uri="http://purl.org/dc/terms/"/>
    <ds:schemaRef ds:uri="http://schemas.openxmlformats.org/package/2006/metadata/core-properties"/>
    <ds:schemaRef ds:uri="http://schemas.microsoft.com/office/2006/documentManagement/types"/>
    <ds:schemaRef ds:uri="ecead6e6-14a6-4d9b-90e8-a4c8dbd97ed7"/>
    <ds:schemaRef ds:uri="178084fd-78ef-4070-a466-936eddb55aa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2BCC56-3B61-4440-AAC0-182763B58016}">
  <ds:schemaRefs>
    <ds:schemaRef ds:uri="http://schemas.microsoft.com/sharepoint/v3/contenttype/forms"/>
  </ds:schemaRefs>
</ds:datastoreItem>
</file>

<file path=customXml/itemProps5.xml><?xml version="1.0" encoding="utf-8"?>
<ds:datastoreItem xmlns:ds="http://schemas.openxmlformats.org/officeDocument/2006/customXml" ds:itemID="{39678440-F027-472C-9C31-745B26AE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48</TotalTime>
  <Pages>5</Pages>
  <Words>1385</Words>
  <Characters>8150</Characters>
  <DocSecurity>0</DocSecurity>
  <Lines>214</Lines>
  <Paragraphs>73</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2023-08-03T22:27:00Z</cp:lastPrinted>
  <dcterms:created xsi:type="dcterms:W3CDTF">2023-08-16T23:42:00Z</dcterms:created>
  <dcterms:modified xsi:type="dcterms:W3CDTF">2023-08-17T04:58:00Z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2023-08-17T04:58:04Z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FD7A7634969074467DFEC970120D4C53</vt:lpwstr>
  </property>
  <property fmtid="{D5CDD505-2E9C-101B-9397-08002B2CF9AE}" pid="20" name="PM_Hash_Salt">
    <vt:lpwstr>3883610064CC4152A4C6665F61E08A98</vt:lpwstr>
  </property>
  <property fmtid="{D5CDD505-2E9C-101B-9397-08002B2CF9AE}" pid="21" name="PM_Hash_SHA1">
    <vt:lpwstr>6C3448B77CB0A2C92420F64EC39467EC1DC44C38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0x01010026E276F24DFD374D9FDBBEE3ABC4327E</vt:lpwstr>
  </property>
</Properties>
</file>