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BF68C" w14:textId="77777777" w:rsidR="00A72242" w:rsidRPr="00C26AC3" w:rsidRDefault="0039760F" w:rsidP="00710FBB">
      <w:pPr>
        <w:pStyle w:val="Heading1"/>
        <w:spacing w:before="360"/>
        <w:rPr>
          <w:rFonts w:asciiTheme="majorHAnsi" w:hAnsiTheme="majorHAnsi" w:cstheme="majorHAnsi"/>
          <w:sz w:val="48"/>
          <w:szCs w:val="48"/>
        </w:rPr>
      </w:pPr>
      <w:r w:rsidRPr="007C7AE6">
        <w:rPr>
          <w:rFonts w:ascii="Arial" w:hAnsi="Arial" w:cs="Arial"/>
          <w:kern w:val="28"/>
          <w:sz w:val="48"/>
          <w:szCs w:val="52"/>
        </w:rPr>
        <w:t>Our Marine Parks Grant – Round 4</w:t>
      </w:r>
    </w:p>
    <w:p w14:paraId="7B9E4ABF" w14:textId="77777777" w:rsidR="00A72242" w:rsidRPr="00F85F98" w:rsidRDefault="0074689C" w:rsidP="00A72242">
      <w:pPr>
        <w:numPr>
          <w:ilvl w:val="1"/>
          <w:numId w:val="0"/>
        </w:numPr>
        <w:pBdr>
          <w:bottom w:val="single" w:sz="4" w:space="14" w:color="000000" w:themeColor="text1"/>
        </w:pBdr>
        <w:spacing w:before="120" w:line="240" w:lineRule="auto"/>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719975433"/>
          <w:placeholder>
            <w:docPart w:val="74C1AEBAE7CA45E49B352886B7DE32DA"/>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A72242">
            <w:rPr>
              <w:rFonts w:asciiTheme="majorHAnsi" w:eastAsiaTheme="majorEastAsia" w:hAnsiTheme="majorHAnsi" w:cstheme="majorBidi"/>
              <w:iCs/>
              <w:sz w:val="30"/>
              <w:szCs w:val="24"/>
            </w:rPr>
            <w:t>Feedback for applicants</w:t>
          </w:r>
        </w:sdtContent>
      </w:sdt>
    </w:p>
    <w:p w14:paraId="02A68531" w14:textId="77777777" w:rsidR="00A72242" w:rsidRDefault="00A72242" w:rsidP="00A72242">
      <w:pPr>
        <w:spacing w:before="120" w:after="120"/>
        <w:rPr>
          <w:color w:val="auto"/>
        </w:rPr>
      </w:pPr>
      <w:r w:rsidRPr="00854ACD">
        <w:rPr>
          <w:color w:val="auto"/>
        </w:rPr>
        <w:t xml:space="preserve">The </w:t>
      </w:r>
      <w:r w:rsidR="0039760F" w:rsidRPr="007C7AE6">
        <w:rPr>
          <w:rFonts w:cstheme="minorHAnsi"/>
          <w:color w:val="auto"/>
          <w:szCs w:val="22"/>
        </w:rPr>
        <w:t xml:space="preserve">Department of Climate Change, Energy, the Environment and Water </w:t>
      </w:r>
      <w:r w:rsidR="00517BA3">
        <w:rPr>
          <w:color w:val="auto"/>
        </w:rPr>
        <w:t>(the department) has provided the following general f</w:t>
      </w:r>
      <w:r w:rsidRPr="00854ACD">
        <w:rPr>
          <w:color w:val="auto"/>
        </w:rPr>
        <w:t xml:space="preserve">eedback for applicants of the </w:t>
      </w:r>
      <w:r w:rsidR="0039760F" w:rsidRPr="007C7AE6">
        <w:rPr>
          <w:rFonts w:cstheme="minorHAnsi"/>
          <w:color w:val="auto"/>
          <w:szCs w:val="22"/>
        </w:rPr>
        <w:t>Our Marine Parks Grant – Round 4</w:t>
      </w:r>
      <w:r w:rsidRPr="00854ACD">
        <w:rPr>
          <w:color w:val="auto"/>
        </w:rPr>
        <w:t xml:space="preserve"> grant opportunity.</w:t>
      </w:r>
    </w:p>
    <w:p w14:paraId="49504965" w14:textId="1C0F87F1" w:rsidR="00B26492" w:rsidRPr="00B26492" w:rsidRDefault="00B26492" w:rsidP="00B26492">
      <w:pPr>
        <w:pStyle w:val="BodyText"/>
      </w:pPr>
      <w:r>
        <w:t xml:space="preserve">Assessment of applications was in accordance to the procedure detailed in the </w:t>
      </w:r>
      <w:r w:rsidR="00BE359A">
        <w:t xml:space="preserve">Grant Opportunity Guidelines </w:t>
      </w:r>
      <w:r>
        <w:t xml:space="preserve">and outlined in the selection process below. </w:t>
      </w:r>
    </w:p>
    <w:p w14:paraId="281C820F" w14:textId="77777777" w:rsidR="00A72242" w:rsidRPr="00175236" w:rsidRDefault="00A72242" w:rsidP="00175236">
      <w:pPr>
        <w:pStyle w:val="Heading2"/>
        <w:spacing w:before="240"/>
        <w:rPr>
          <w:b w:val="0"/>
          <w:color w:val="C00000"/>
          <w:sz w:val="36"/>
          <w:szCs w:val="36"/>
        </w:rPr>
      </w:pPr>
      <w:r w:rsidRPr="00175236">
        <w:rPr>
          <w:b w:val="0"/>
          <w:color w:val="C00000"/>
          <w:sz w:val="36"/>
          <w:szCs w:val="36"/>
        </w:rPr>
        <w:t>Overview</w:t>
      </w:r>
    </w:p>
    <w:p w14:paraId="68B6462C" w14:textId="77777777" w:rsidR="00A72242" w:rsidRPr="00C026E3" w:rsidRDefault="00A72242" w:rsidP="00A72242">
      <w:pPr>
        <w:pStyle w:val="BodyText"/>
        <w:spacing w:after="120"/>
        <w:rPr>
          <w:color w:val="auto"/>
        </w:rPr>
      </w:pPr>
      <w:r w:rsidRPr="00C026E3">
        <w:rPr>
          <w:color w:val="auto"/>
        </w:rPr>
        <w:t xml:space="preserve">The application </w:t>
      </w:r>
      <w:r w:rsidR="00B26492" w:rsidRPr="00C026E3">
        <w:rPr>
          <w:color w:val="auto"/>
        </w:rPr>
        <w:t xml:space="preserve">submission </w:t>
      </w:r>
      <w:r w:rsidRPr="00C026E3">
        <w:rPr>
          <w:color w:val="auto"/>
        </w:rPr>
        <w:t xml:space="preserve">period opened on </w:t>
      </w:r>
      <w:r w:rsidR="0039760F" w:rsidRPr="00C026E3">
        <w:t>20 July 2023 and closed on 27 September 2023.</w:t>
      </w:r>
      <w:r w:rsidRPr="00C026E3">
        <w:rPr>
          <w:color w:val="auto"/>
        </w:rPr>
        <w:t xml:space="preserve"> The grant opportunity received </w:t>
      </w:r>
      <w:r w:rsidR="0039760F" w:rsidRPr="00C026E3">
        <w:rPr>
          <w:color w:val="auto"/>
        </w:rPr>
        <w:t>109</w:t>
      </w:r>
      <w:r w:rsidRPr="00C026E3">
        <w:rPr>
          <w:color w:val="auto"/>
        </w:rPr>
        <w:t xml:space="preserve"> applications.</w:t>
      </w:r>
    </w:p>
    <w:p w14:paraId="33AF0630" w14:textId="77777777" w:rsidR="0003653F" w:rsidRPr="00C026E3" w:rsidRDefault="0003653F" w:rsidP="0003653F">
      <w:pPr>
        <w:pStyle w:val="BodyText"/>
        <w:spacing w:after="120"/>
      </w:pPr>
      <w:r w:rsidRPr="00C026E3">
        <w:t>The Our Marine Parks Grants Round 4 grant opportunity will support organisations, including First Nations peoples and organisations, to build their capacity to take an active role in the management of Australian Marine Parks, support evidence-based decision making, and improve ecosystem health.</w:t>
      </w:r>
    </w:p>
    <w:p w14:paraId="5C8D311C" w14:textId="77777777" w:rsidR="0003653F" w:rsidRPr="00C026E3" w:rsidRDefault="0003653F" w:rsidP="0003653F">
      <w:pPr>
        <w:pStyle w:val="BodyText"/>
      </w:pPr>
      <w:r w:rsidRPr="00C026E3">
        <w:t>There was a strong interest in the program and successful applications were of a very high standard. Applications were assessed in accordance with the procedure detailed in the Grant Opportunity Guidelines and outlined in the selection process below.</w:t>
      </w:r>
    </w:p>
    <w:p w14:paraId="2FA1D890" w14:textId="77777777" w:rsidR="0003653F" w:rsidRDefault="0003653F" w:rsidP="0003653F">
      <w:pPr>
        <w:pStyle w:val="BodyText"/>
        <w:spacing w:after="120"/>
        <w:rPr>
          <w:color w:val="auto"/>
        </w:rPr>
      </w:pPr>
      <w:r w:rsidRPr="00C026E3">
        <w:t>This feedback is provided to assist grant applicants to understand what generally comprised a strong application and the content of quality responses to the assessment criteria for this grant opportunity</w:t>
      </w:r>
      <w:r w:rsidR="006A2691" w:rsidRPr="00C026E3">
        <w:t>.</w:t>
      </w:r>
    </w:p>
    <w:p w14:paraId="6EFDDA89" w14:textId="1ADEF13C" w:rsidR="00A72242" w:rsidRPr="00175236" w:rsidRDefault="00A72242" w:rsidP="00175236">
      <w:pPr>
        <w:pStyle w:val="Heading2"/>
        <w:spacing w:before="240"/>
        <w:rPr>
          <w:b w:val="0"/>
          <w:color w:val="C00000"/>
          <w:sz w:val="36"/>
          <w:szCs w:val="36"/>
        </w:rPr>
      </w:pPr>
      <w:r w:rsidRPr="00175236">
        <w:rPr>
          <w:b w:val="0"/>
          <w:color w:val="C00000"/>
          <w:sz w:val="36"/>
          <w:szCs w:val="36"/>
        </w:rPr>
        <w:t xml:space="preserve">Selection </w:t>
      </w:r>
      <w:r w:rsidR="00BE359A">
        <w:rPr>
          <w:b w:val="0"/>
          <w:color w:val="C00000"/>
          <w:sz w:val="36"/>
          <w:szCs w:val="36"/>
        </w:rPr>
        <w:t>p</w:t>
      </w:r>
      <w:r w:rsidR="00BE359A" w:rsidRPr="00175236">
        <w:rPr>
          <w:b w:val="0"/>
          <w:color w:val="C00000"/>
          <w:sz w:val="36"/>
          <w:szCs w:val="36"/>
        </w:rPr>
        <w:t xml:space="preserve">rocess </w:t>
      </w:r>
    </w:p>
    <w:p w14:paraId="1BB5ABE3" w14:textId="3AFAD6D7" w:rsidR="00A72242" w:rsidRPr="00C026E3" w:rsidRDefault="00A72242" w:rsidP="00A72242">
      <w:pPr>
        <w:pStyle w:val="BodyText"/>
        <w:spacing w:after="120"/>
        <w:rPr>
          <w:color w:val="auto"/>
        </w:rPr>
      </w:pPr>
      <w:r>
        <w:t>The Community Grants Hub undertook the</w:t>
      </w:r>
      <w:r w:rsidR="00517BA3">
        <w:t xml:space="preserve"> initial</w:t>
      </w:r>
      <w:r>
        <w:t xml:space="preserve"> screening for organisation eligibility and compliance against th</w:t>
      </w:r>
      <w:r w:rsidR="00517BA3">
        <w:t xml:space="preserve">e requirements outlined in the </w:t>
      </w:r>
      <w:r w:rsidR="00BE359A">
        <w:t>Grant Opportunity Guidelines</w:t>
      </w:r>
      <w:r>
        <w:t>. This information was provided to</w:t>
      </w:r>
      <w:r w:rsidR="00517BA3">
        <w:t xml:space="preserve"> the department</w:t>
      </w:r>
      <w:r w:rsidR="00B26492">
        <w:t>’</w:t>
      </w:r>
      <w:r w:rsidR="00517BA3">
        <w:t xml:space="preserve">s grant opportunity delegate </w:t>
      </w:r>
      <w:r w:rsidR="00B26492">
        <w:rPr>
          <w:color w:val="auto"/>
        </w:rPr>
        <w:t xml:space="preserve">for </w:t>
      </w:r>
      <w:r w:rsidRPr="00854ACD">
        <w:rPr>
          <w:color w:val="auto"/>
        </w:rPr>
        <w:t>final decision</w:t>
      </w:r>
      <w:r w:rsidR="00B26492">
        <w:rPr>
          <w:color w:val="auto"/>
        </w:rPr>
        <w:t>s</w:t>
      </w:r>
      <w:r w:rsidRPr="00854ACD">
        <w:rPr>
          <w:color w:val="auto"/>
        </w:rPr>
        <w:t xml:space="preserve"> on whether an application </w:t>
      </w:r>
      <w:r w:rsidR="00517BA3">
        <w:rPr>
          <w:color w:val="auto"/>
        </w:rPr>
        <w:t>met the eligibility and</w:t>
      </w:r>
      <w:r w:rsidRPr="00854ACD">
        <w:rPr>
          <w:color w:val="auto"/>
        </w:rPr>
        <w:t xml:space="preserve"> </w:t>
      </w:r>
      <w:r w:rsidRPr="00C026E3">
        <w:rPr>
          <w:color w:val="auto"/>
        </w:rPr>
        <w:t>compliance criteria.</w:t>
      </w:r>
    </w:p>
    <w:p w14:paraId="238FEF85" w14:textId="70F28C37" w:rsidR="00110E81" w:rsidRPr="00C026E3" w:rsidRDefault="00517BA3" w:rsidP="00A72242">
      <w:pPr>
        <w:spacing w:before="120" w:after="120"/>
        <w:rPr>
          <w:color w:val="auto"/>
        </w:rPr>
      </w:pPr>
      <w:r w:rsidRPr="00C026E3">
        <w:rPr>
          <w:color w:val="auto"/>
        </w:rPr>
        <w:t xml:space="preserve">The department </w:t>
      </w:r>
      <w:r w:rsidR="00A72242" w:rsidRPr="00C026E3">
        <w:rPr>
          <w:color w:val="auto"/>
        </w:rPr>
        <w:t>assessed and considered eligible and compliant applications through a</w:t>
      </w:r>
      <w:r w:rsidRPr="00C026E3">
        <w:rPr>
          <w:color w:val="auto"/>
        </w:rPr>
        <w:t>n</w:t>
      </w:r>
      <w:r w:rsidR="00A72242" w:rsidRPr="00C026E3">
        <w:rPr>
          <w:color w:val="auto"/>
        </w:rPr>
        <w:t xml:space="preserve"> </w:t>
      </w:r>
      <w:r w:rsidR="00BE359A">
        <w:rPr>
          <w:color w:val="auto"/>
        </w:rPr>
        <w:t>o</w:t>
      </w:r>
      <w:r w:rsidR="00BE359A" w:rsidRPr="00C026E3">
        <w:rPr>
          <w:color w:val="auto"/>
        </w:rPr>
        <w:t xml:space="preserve">pen </w:t>
      </w:r>
      <w:r w:rsidR="00BE359A">
        <w:rPr>
          <w:color w:val="auto"/>
        </w:rPr>
        <w:t>c</w:t>
      </w:r>
      <w:r w:rsidR="00BE359A" w:rsidRPr="00C026E3">
        <w:rPr>
          <w:color w:val="auto"/>
        </w:rPr>
        <w:t xml:space="preserve">ompetitive </w:t>
      </w:r>
      <w:r w:rsidRPr="00C026E3">
        <w:rPr>
          <w:color w:val="auto"/>
        </w:rPr>
        <w:t>grant process. The selection advisory p</w:t>
      </w:r>
      <w:r w:rsidR="00A72242" w:rsidRPr="00C026E3">
        <w:rPr>
          <w:color w:val="auto"/>
        </w:rPr>
        <w:t>anel</w:t>
      </w:r>
      <w:r w:rsidRPr="00C026E3">
        <w:rPr>
          <w:color w:val="auto"/>
        </w:rPr>
        <w:t xml:space="preserve"> (panel) established by the department, </w:t>
      </w:r>
      <w:r w:rsidRPr="00C026E3">
        <w:t xml:space="preserve">comprised of subject matter experts who </w:t>
      </w:r>
      <w:r w:rsidR="00A72242" w:rsidRPr="00C026E3">
        <w:rPr>
          <w:color w:val="auto"/>
        </w:rPr>
        <w:t>assessed applications</w:t>
      </w:r>
      <w:r w:rsidRPr="00C026E3">
        <w:rPr>
          <w:color w:val="auto"/>
        </w:rPr>
        <w:t xml:space="preserve"> </w:t>
      </w:r>
      <w:r w:rsidRPr="00C026E3">
        <w:t>and provided advice to inform the funding recommendations to the Financial Delegate.</w:t>
      </w:r>
      <w:r w:rsidR="00A72242" w:rsidRPr="00C026E3">
        <w:rPr>
          <w:color w:val="auto"/>
        </w:rPr>
        <w:t xml:space="preserve"> </w:t>
      </w:r>
    </w:p>
    <w:p w14:paraId="63E482CD" w14:textId="5EF673F6" w:rsidR="00A72242" w:rsidRPr="00C026E3" w:rsidRDefault="00517BA3" w:rsidP="00A72242">
      <w:pPr>
        <w:spacing w:before="120" w:after="120"/>
      </w:pPr>
      <w:r w:rsidRPr="00C026E3">
        <w:rPr>
          <w:color w:val="auto"/>
        </w:rPr>
        <w:t>When assessing</w:t>
      </w:r>
      <w:r w:rsidR="00A72242" w:rsidRPr="00C026E3">
        <w:rPr>
          <w:color w:val="auto"/>
        </w:rPr>
        <w:t xml:space="preserve"> applications t</w:t>
      </w:r>
      <w:r w:rsidRPr="00C026E3">
        <w:rPr>
          <w:rFonts w:ascii="Arial" w:hAnsi="Arial" w:cs="Arial"/>
          <w:szCs w:val="22"/>
        </w:rPr>
        <w:t>he p</w:t>
      </w:r>
      <w:r w:rsidR="00A72242" w:rsidRPr="00C026E3">
        <w:rPr>
          <w:rFonts w:ascii="Arial" w:hAnsi="Arial" w:cs="Arial"/>
          <w:szCs w:val="22"/>
        </w:rPr>
        <w:t>anel took into consideration a number of factors</w:t>
      </w:r>
      <w:r w:rsidR="00005D00" w:rsidRPr="00C026E3">
        <w:rPr>
          <w:rFonts w:ascii="Arial" w:hAnsi="Arial" w:cs="Arial"/>
          <w:szCs w:val="22"/>
        </w:rPr>
        <w:t xml:space="preserve"> incorporating </w:t>
      </w:r>
      <w:r w:rsidR="00A72242" w:rsidRPr="00C026E3">
        <w:rPr>
          <w:rFonts w:ascii="Arial" w:hAnsi="Arial" w:cs="Arial"/>
          <w:szCs w:val="22"/>
        </w:rPr>
        <w:t>the inclusion/exclusion of late applications, the volume of applications received, mee</w:t>
      </w:r>
      <w:r w:rsidR="00110E81" w:rsidRPr="00C026E3">
        <w:rPr>
          <w:rFonts w:ascii="Arial" w:hAnsi="Arial" w:cs="Arial"/>
          <w:szCs w:val="22"/>
        </w:rPr>
        <w:t xml:space="preserve">ting the identified </w:t>
      </w:r>
      <w:r w:rsidR="00A72242" w:rsidRPr="00C026E3">
        <w:rPr>
          <w:rFonts w:ascii="Arial" w:hAnsi="Arial" w:cs="Arial"/>
          <w:szCs w:val="22"/>
        </w:rPr>
        <w:t>requirements</w:t>
      </w:r>
      <w:r w:rsidR="00110E81" w:rsidRPr="00C026E3">
        <w:rPr>
          <w:rFonts w:ascii="Arial" w:hAnsi="Arial" w:cs="Arial"/>
          <w:szCs w:val="22"/>
        </w:rPr>
        <w:t xml:space="preserve"> outlined in the </w:t>
      </w:r>
      <w:r w:rsidR="00A23D38">
        <w:rPr>
          <w:rFonts w:ascii="Arial" w:hAnsi="Arial" w:cs="Arial"/>
          <w:szCs w:val="22"/>
        </w:rPr>
        <w:t>G</w:t>
      </w:r>
      <w:r w:rsidR="00A23D38" w:rsidRPr="00C026E3">
        <w:rPr>
          <w:rFonts w:ascii="Arial" w:hAnsi="Arial" w:cs="Arial"/>
          <w:szCs w:val="22"/>
        </w:rPr>
        <w:t xml:space="preserve">rant </w:t>
      </w:r>
      <w:r w:rsidR="00A23D38">
        <w:rPr>
          <w:rFonts w:ascii="Arial" w:hAnsi="Arial" w:cs="Arial"/>
          <w:szCs w:val="22"/>
        </w:rPr>
        <w:t>O</w:t>
      </w:r>
      <w:r w:rsidR="00A23D38" w:rsidRPr="00C026E3">
        <w:rPr>
          <w:rFonts w:ascii="Arial" w:hAnsi="Arial" w:cs="Arial"/>
          <w:szCs w:val="22"/>
        </w:rPr>
        <w:t xml:space="preserve">pportunity </w:t>
      </w:r>
      <w:r w:rsidR="00A23D38">
        <w:rPr>
          <w:rFonts w:ascii="Arial" w:hAnsi="Arial" w:cs="Arial"/>
          <w:szCs w:val="22"/>
        </w:rPr>
        <w:t>G</w:t>
      </w:r>
      <w:r w:rsidR="00A23D38" w:rsidRPr="00C026E3">
        <w:rPr>
          <w:rFonts w:ascii="Arial" w:hAnsi="Arial" w:cs="Arial"/>
          <w:szCs w:val="22"/>
        </w:rPr>
        <w:t xml:space="preserve">uidelines </w:t>
      </w:r>
      <w:r w:rsidR="00A72242" w:rsidRPr="00C026E3">
        <w:rPr>
          <w:rFonts w:ascii="Arial" w:hAnsi="Arial" w:cs="Arial"/>
          <w:szCs w:val="22"/>
        </w:rPr>
        <w:t xml:space="preserve">and the available funding envelope. </w:t>
      </w:r>
    </w:p>
    <w:p w14:paraId="507AE93C" w14:textId="77777777" w:rsidR="005D2183" w:rsidRDefault="005D2183">
      <w:pPr>
        <w:spacing w:line="240" w:lineRule="auto"/>
        <w:rPr>
          <w:color w:val="auto"/>
        </w:rPr>
      </w:pPr>
      <w:r>
        <w:rPr>
          <w:color w:val="auto"/>
        </w:rPr>
        <w:br w:type="page"/>
      </w:r>
    </w:p>
    <w:p w14:paraId="165278D1" w14:textId="77777777" w:rsidR="00A72242" w:rsidRPr="00C026E3" w:rsidRDefault="00005D00" w:rsidP="00A72242">
      <w:pPr>
        <w:pStyle w:val="BodyText"/>
        <w:rPr>
          <w:color w:val="auto"/>
        </w:rPr>
      </w:pPr>
      <w:r w:rsidRPr="00C026E3">
        <w:rPr>
          <w:color w:val="auto"/>
        </w:rPr>
        <w:lastRenderedPageBreak/>
        <w:t xml:space="preserve">The panel’s consideration </w:t>
      </w:r>
      <w:r w:rsidR="00A72242" w:rsidRPr="00C026E3">
        <w:rPr>
          <w:color w:val="auto"/>
        </w:rPr>
        <w:t>of assessed applications was, based on:</w:t>
      </w:r>
    </w:p>
    <w:p w14:paraId="74F1B17B" w14:textId="77777777" w:rsidR="006F45C4" w:rsidRPr="00C026E3" w:rsidRDefault="006F45C4" w:rsidP="006F45C4">
      <w:pPr>
        <w:pStyle w:val="ListParagraph"/>
        <w:numPr>
          <w:ilvl w:val="0"/>
          <w:numId w:val="21"/>
        </w:numPr>
        <w:spacing w:before="120" w:after="120"/>
      </w:pPr>
      <w:r w:rsidRPr="00C026E3">
        <w:t>which applications provided strong merit and represented superior value for money while achieving a spread of projects across the type of applicants and across the Australian Marine Parks network, guided by policy objectives and the grant program outcomes, namely:</w:t>
      </w:r>
    </w:p>
    <w:p w14:paraId="7732A76D" w14:textId="77777777" w:rsidR="006F45C4" w:rsidRPr="00C026E3" w:rsidRDefault="006F45C4" w:rsidP="005D2183">
      <w:pPr>
        <w:pStyle w:val="ListBullet"/>
        <w:numPr>
          <w:ilvl w:val="0"/>
          <w:numId w:val="28"/>
        </w:numPr>
        <w:spacing w:before="0" w:after="120" w:line="240" w:lineRule="atLeast"/>
        <w:rPr>
          <w:rFonts w:asciiTheme="minorHAnsi" w:hAnsiTheme="minorHAnsi" w:cstheme="minorBidi"/>
          <w:iCs w:val="0"/>
          <w:sz w:val="22"/>
          <w:szCs w:val="22"/>
          <w:lang w:val="en-US"/>
        </w:rPr>
      </w:pPr>
      <w:r w:rsidRPr="00C026E3">
        <w:rPr>
          <w:rFonts w:asciiTheme="minorHAnsi" w:hAnsiTheme="minorHAnsi" w:cstheme="minorBidi"/>
          <w:iCs w:val="0"/>
          <w:sz w:val="22"/>
          <w:szCs w:val="22"/>
          <w:lang w:val="en-US"/>
        </w:rPr>
        <w:t xml:space="preserve">Active engagement of First Nations peoples in the management and protection of the marine environment in or adjacent to Australian Marine Parks. </w:t>
      </w:r>
    </w:p>
    <w:p w14:paraId="6D4E0897" w14:textId="77777777" w:rsidR="006F45C4" w:rsidRPr="00C026E3" w:rsidRDefault="006F45C4" w:rsidP="005D2183">
      <w:pPr>
        <w:pStyle w:val="ListBullet"/>
        <w:numPr>
          <w:ilvl w:val="0"/>
          <w:numId w:val="28"/>
        </w:numPr>
        <w:spacing w:before="0" w:after="120" w:line="240" w:lineRule="atLeast"/>
        <w:rPr>
          <w:rFonts w:asciiTheme="minorHAnsi" w:hAnsiTheme="minorHAnsi" w:cstheme="minorBidi"/>
          <w:iCs w:val="0"/>
          <w:sz w:val="22"/>
          <w:szCs w:val="22"/>
          <w:lang w:val="en-US"/>
        </w:rPr>
      </w:pPr>
      <w:r w:rsidRPr="00C026E3">
        <w:rPr>
          <w:rFonts w:asciiTheme="minorHAnsi" w:hAnsiTheme="minorHAnsi" w:cstheme="minorBidi"/>
          <w:iCs w:val="0"/>
          <w:sz w:val="22"/>
          <w:szCs w:val="22"/>
          <w:lang w:val="en-US"/>
        </w:rPr>
        <w:t xml:space="preserve">Enhanced capacity of First Nations peoples to manage Sea Country in or adjacent to Australian Marine Parks. </w:t>
      </w:r>
    </w:p>
    <w:p w14:paraId="65AC7CC4" w14:textId="77777777" w:rsidR="006F45C4" w:rsidRPr="00C026E3" w:rsidRDefault="006F45C4" w:rsidP="00007EE6">
      <w:pPr>
        <w:pStyle w:val="ListBullet"/>
        <w:numPr>
          <w:ilvl w:val="0"/>
          <w:numId w:val="28"/>
        </w:numPr>
        <w:spacing w:before="0" w:after="120" w:line="240" w:lineRule="atLeast"/>
        <w:rPr>
          <w:rFonts w:asciiTheme="minorHAnsi" w:hAnsiTheme="minorHAnsi" w:cstheme="minorBidi"/>
          <w:iCs w:val="0"/>
          <w:sz w:val="22"/>
          <w:szCs w:val="22"/>
          <w:lang w:val="en-US"/>
        </w:rPr>
      </w:pPr>
      <w:r w:rsidRPr="00C026E3">
        <w:rPr>
          <w:rFonts w:asciiTheme="minorHAnsi" w:hAnsiTheme="minorHAnsi" w:cstheme="minorBidi"/>
          <w:iCs w:val="0"/>
          <w:sz w:val="22"/>
          <w:szCs w:val="22"/>
          <w:lang w:val="en-US"/>
        </w:rPr>
        <w:t xml:space="preserve">Increased First Nations employment and business associated with the sustainable use and management of Sea Country in or adjacent to Australian Marine Parks. </w:t>
      </w:r>
    </w:p>
    <w:p w14:paraId="253B6B68" w14:textId="77777777" w:rsidR="006F45C4" w:rsidRPr="00C026E3" w:rsidRDefault="006F45C4" w:rsidP="00007EE6">
      <w:pPr>
        <w:pStyle w:val="ListBullet"/>
        <w:numPr>
          <w:ilvl w:val="0"/>
          <w:numId w:val="28"/>
        </w:numPr>
        <w:spacing w:before="0" w:after="120" w:line="240" w:lineRule="atLeast"/>
        <w:rPr>
          <w:rFonts w:asciiTheme="minorHAnsi" w:hAnsiTheme="minorHAnsi" w:cstheme="minorBidi"/>
          <w:iCs w:val="0"/>
          <w:sz w:val="22"/>
          <w:szCs w:val="22"/>
          <w:lang w:val="en-US"/>
        </w:rPr>
      </w:pPr>
      <w:r w:rsidRPr="00C026E3">
        <w:rPr>
          <w:rFonts w:asciiTheme="minorHAnsi" w:hAnsiTheme="minorHAnsi" w:cstheme="minorBidi"/>
          <w:iCs w:val="0"/>
          <w:sz w:val="22"/>
          <w:szCs w:val="22"/>
          <w:lang w:val="en-US"/>
        </w:rPr>
        <w:t xml:space="preserve">Enhanced protection and conservation of biodiversity and other natural, cultural and heritage values of marine parks in the Australian Marine Parks network. </w:t>
      </w:r>
    </w:p>
    <w:p w14:paraId="73944673" w14:textId="77777777" w:rsidR="006F45C4" w:rsidRPr="00C026E3" w:rsidRDefault="006F45C4" w:rsidP="005D2183">
      <w:pPr>
        <w:pStyle w:val="ListBullet"/>
        <w:numPr>
          <w:ilvl w:val="0"/>
          <w:numId w:val="28"/>
        </w:numPr>
        <w:spacing w:before="0" w:after="120" w:line="240" w:lineRule="atLeast"/>
        <w:rPr>
          <w:rFonts w:asciiTheme="minorHAnsi" w:hAnsiTheme="minorHAnsi" w:cstheme="minorBidi"/>
          <w:iCs w:val="0"/>
          <w:sz w:val="22"/>
          <w:szCs w:val="22"/>
          <w:lang w:val="en-US"/>
        </w:rPr>
      </w:pPr>
      <w:r w:rsidRPr="00C026E3">
        <w:rPr>
          <w:rFonts w:asciiTheme="minorHAnsi" w:hAnsiTheme="minorHAnsi" w:cstheme="minorBidi"/>
          <w:iCs w:val="0"/>
          <w:sz w:val="22"/>
          <w:szCs w:val="22"/>
          <w:lang w:val="en-US"/>
        </w:rPr>
        <w:t xml:space="preserve">Improved ecosystem health and resilience, and </w:t>
      </w:r>
      <w:r w:rsidR="005D2183">
        <w:rPr>
          <w:rFonts w:asciiTheme="minorHAnsi" w:hAnsiTheme="minorHAnsi" w:cstheme="minorBidi"/>
          <w:iCs w:val="0"/>
          <w:sz w:val="22"/>
          <w:szCs w:val="22"/>
          <w:lang w:val="en-US"/>
        </w:rPr>
        <w:t xml:space="preserve">a </w:t>
      </w:r>
      <w:r w:rsidRPr="00C026E3">
        <w:rPr>
          <w:rFonts w:asciiTheme="minorHAnsi" w:hAnsiTheme="minorHAnsi" w:cstheme="minorBidi"/>
          <w:iCs w:val="0"/>
          <w:sz w:val="22"/>
          <w:szCs w:val="22"/>
          <w:lang w:val="en-US"/>
        </w:rPr>
        <w:t>greater understanding of Australian Marine Parks values</w:t>
      </w:r>
      <w:r w:rsidR="005D2183">
        <w:rPr>
          <w:rFonts w:asciiTheme="minorHAnsi" w:hAnsiTheme="minorHAnsi" w:cstheme="minorBidi"/>
          <w:iCs w:val="0"/>
          <w:sz w:val="22"/>
          <w:szCs w:val="22"/>
          <w:lang w:val="en-US"/>
        </w:rPr>
        <w:t xml:space="preserve"> and the pressures impacting </w:t>
      </w:r>
      <w:r w:rsidRPr="00C026E3">
        <w:rPr>
          <w:rFonts w:asciiTheme="minorHAnsi" w:hAnsiTheme="minorHAnsi" w:cstheme="minorBidi"/>
          <w:iCs w:val="0"/>
          <w:sz w:val="22"/>
          <w:szCs w:val="22"/>
          <w:lang w:val="en-US"/>
        </w:rPr>
        <w:t xml:space="preserve">them. </w:t>
      </w:r>
    </w:p>
    <w:p w14:paraId="1A5FA988" w14:textId="77777777" w:rsidR="006F45C4" w:rsidRPr="00C026E3" w:rsidRDefault="006F45C4" w:rsidP="005D2183">
      <w:pPr>
        <w:pStyle w:val="ListBullet"/>
        <w:numPr>
          <w:ilvl w:val="0"/>
          <w:numId w:val="28"/>
        </w:numPr>
        <w:spacing w:before="0" w:after="120" w:line="240" w:lineRule="atLeast"/>
        <w:rPr>
          <w:rFonts w:asciiTheme="minorHAnsi" w:hAnsiTheme="minorHAnsi" w:cstheme="minorBidi"/>
          <w:iCs w:val="0"/>
          <w:sz w:val="22"/>
          <w:szCs w:val="22"/>
          <w:lang w:val="en-US"/>
        </w:rPr>
      </w:pPr>
      <w:r w:rsidRPr="00C026E3">
        <w:rPr>
          <w:rFonts w:asciiTheme="minorHAnsi" w:hAnsiTheme="minorHAnsi" w:cstheme="minorBidi"/>
          <w:iCs w:val="0"/>
          <w:sz w:val="22"/>
          <w:szCs w:val="22"/>
          <w:lang w:val="en-US"/>
        </w:rPr>
        <w:t xml:space="preserve">Scientific information to support evidence-based marine park management such as to inform environmental assessments, adaptation and restoration activities and review the preparation of Australian Marine Park management plans. </w:t>
      </w:r>
    </w:p>
    <w:p w14:paraId="62F794B4" w14:textId="77777777" w:rsidR="006F45C4" w:rsidRPr="00C026E3" w:rsidRDefault="006F45C4" w:rsidP="005D2183">
      <w:pPr>
        <w:pStyle w:val="ListBullet"/>
        <w:numPr>
          <w:ilvl w:val="0"/>
          <w:numId w:val="28"/>
        </w:numPr>
        <w:spacing w:before="0" w:after="120" w:line="240" w:lineRule="atLeast"/>
        <w:rPr>
          <w:rFonts w:asciiTheme="minorHAnsi" w:hAnsiTheme="minorHAnsi" w:cstheme="minorBidi"/>
          <w:iCs w:val="0"/>
          <w:sz w:val="22"/>
          <w:szCs w:val="22"/>
          <w:lang w:val="en-US"/>
        </w:rPr>
      </w:pPr>
      <w:r w:rsidRPr="00C026E3">
        <w:rPr>
          <w:rFonts w:asciiTheme="minorHAnsi" w:hAnsiTheme="minorHAnsi" w:cstheme="minorBidi"/>
          <w:iCs w:val="0"/>
          <w:sz w:val="22"/>
          <w:szCs w:val="22"/>
          <w:lang w:val="en-US"/>
        </w:rPr>
        <w:t>Research and monitoring to contribute to the sustainable use and management of Australian Marine Parks.</w:t>
      </w:r>
    </w:p>
    <w:p w14:paraId="4F10B679" w14:textId="1E681839" w:rsidR="006F45C4" w:rsidRPr="00C026E3" w:rsidRDefault="005D2183" w:rsidP="006F45C4">
      <w:pPr>
        <w:pStyle w:val="BodyText"/>
        <w:rPr>
          <w:color w:val="auto"/>
        </w:rPr>
      </w:pPr>
      <w:r>
        <w:rPr>
          <w:rFonts w:cstheme="minorHAnsi"/>
          <w:szCs w:val="22"/>
        </w:rPr>
        <w:t xml:space="preserve">In accordance with the </w:t>
      </w:r>
      <w:r w:rsidR="00833A25">
        <w:rPr>
          <w:rFonts w:cstheme="minorHAnsi"/>
          <w:szCs w:val="22"/>
        </w:rPr>
        <w:t>Grant Opportunity Guidelines</w:t>
      </w:r>
      <w:r>
        <w:rPr>
          <w:rFonts w:cstheme="minorHAnsi"/>
          <w:szCs w:val="22"/>
        </w:rPr>
        <w:t>, t</w:t>
      </w:r>
      <w:r w:rsidR="006F45C4" w:rsidRPr="00C026E3">
        <w:rPr>
          <w:rFonts w:cstheme="minorHAnsi"/>
          <w:szCs w:val="22"/>
        </w:rPr>
        <w:t>he panel’s final recommendations to the decision maker were informed by consideration of the following factors</w:t>
      </w:r>
      <w:r>
        <w:rPr>
          <w:rFonts w:cstheme="minorHAnsi"/>
          <w:szCs w:val="22"/>
        </w:rPr>
        <w:t>:</w:t>
      </w:r>
    </w:p>
    <w:p w14:paraId="4F352E2D" w14:textId="1A7608B1" w:rsidR="006F45C4" w:rsidRPr="00C026E3" w:rsidRDefault="006F45C4" w:rsidP="005D2183">
      <w:pPr>
        <w:pStyle w:val="BodyText"/>
        <w:numPr>
          <w:ilvl w:val="0"/>
          <w:numId w:val="14"/>
        </w:numPr>
        <w:spacing w:before="0" w:after="120" w:line="240" w:lineRule="atLeast"/>
        <w:ind w:left="714" w:hanging="357"/>
        <w:rPr>
          <w:color w:val="auto"/>
        </w:rPr>
      </w:pPr>
      <w:r w:rsidRPr="00C026E3">
        <w:rPr>
          <w:color w:val="auto"/>
        </w:rPr>
        <w:t>the initial merit-based assessment category (</w:t>
      </w:r>
      <w:r w:rsidR="00833A25">
        <w:rPr>
          <w:color w:val="auto"/>
        </w:rPr>
        <w:t>that is,</w:t>
      </w:r>
      <w:r w:rsidRPr="00C026E3">
        <w:rPr>
          <w:color w:val="auto"/>
        </w:rPr>
        <w:t xml:space="preserve"> alignment against the assessment criteria)</w:t>
      </w:r>
      <w:r w:rsidRPr="00C026E3" w:rsidDel="00F61961">
        <w:rPr>
          <w:color w:val="auto"/>
        </w:rPr>
        <w:t xml:space="preserve"> </w:t>
      </w:r>
    </w:p>
    <w:p w14:paraId="4639559B" w14:textId="77777777" w:rsidR="006F45C4" w:rsidRPr="00C026E3" w:rsidRDefault="006F45C4" w:rsidP="005D2183">
      <w:pPr>
        <w:pStyle w:val="BodyText"/>
        <w:numPr>
          <w:ilvl w:val="0"/>
          <w:numId w:val="14"/>
        </w:numPr>
        <w:spacing w:before="0" w:after="120" w:line="240" w:lineRule="atLeast"/>
        <w:ind w:left="714" w:hanging="357"/>
        <w:rPr>
          <w:color w:val="auto"/>
        </w:rPr>
      </w:pPr>
      <w:r w:rsidRPr="00C026E3">
        <w:rPr>
          <w:color w:val="auto"/>
        </w:rPr>
        <w:t>proportionality of costs to expected impact and value with money (noting that projects that demonstrate in-kind support, or leverage additional funding through project partners, will be assessed higher than those that do not)</w:t>
      </w:r>
    </w:p>
    <w:p w14:paraId="2095EC4F" w14:textId="77777777" w:rsidR="006F45C4" w:rsidRPr="00C026E3" w:rsidRDefault="006F45C4" w:rsidP="005D2183">
      <w:pPr>
        <w:pStyle w:val="BodyText"/>
        <w:numPr>
          <w:ilvl w:val="0"/>
          <w:numId w:val="14"/>
        </w:numPr>
        <w:spacing w:before="0" w:after="120" w:line="240" w:lineRule="atLeast"/>
        <w:ind w:left="714" w:hanging="357"/>
        <w:rPr>
          <w:color w:val="auto"/>
        </w:rPr>
      </w:pPr>
      <w:r w:rsidRPr="00C026E3">
        <w:rPr>
          <w:color w:val="auto"/>
        </w:rPr>
        <w:t>wider social and economic impacts</w:t>
      </w:r>
    </w:p>
    <w:p w14:paraId="329753BD" w14:textId="77777777" w:rsidR="006F45C4" w:rsidRPr="00C026E3" w:rsidRDefault="006F45C4" w:rsidP="005D2183">
      <w:pPr>
        <w:pStyle w:val="BodyText"/>
        <w:numPr>
          <w:ilvl w:val="0"/>
          <w:numId w:val="14"/>
        </w:numPr>
        <w:spacing w:before="0" w:after="120" w:line="240" w:lineRule="atLeast"/>
        <w:ind w:left="714" w:hanging="357"/>
        <w:rPr>
          <w:color w:val="auto"/>
        </w:rPr>
      </w:pPr>
      <w:r w:rsidRPr="00C026E3">
        <w:rPr>
          <w:color w:val="auto"/>
        </w:rPr>
        <w:t>contribution to Australia’s international obligations</w:t>
      </w:r>
    </w:p>
    <w:p w14:paraId="7274469C" w14:textId="77777777" w:rsidR="006F45C4" w:rsidRPr="00C026E3" w:rsidRDefault="006F45C4" w:rsidP="005D2183">
      <w:pPr>
        <w:pStyle w:val="BodyText"/>
        <w:numPr>
          <w:ilvl w:val="0"/>
          <w:numId w:val="14"/>
        </w:numPr>
        <w:spacing w:before="0" w:after="120" w:line="240" w:lineRule="atLeast"/>
        <w:ind w:left="714" w:hanging="357"/>
        <w:rPr>
          <w:color w:val="auto"/>
        </w:rPr>
      </w:pPr>
      <w:r w:rsidRPr="00C026E3">
        <w:rPr>
          <w:color w:val="auto"/>
        </w:rPr>
        <w:t>the extent to which the evidence in the application demonstrates it will contribute to meeting the outcomes and objectives of the Our Marine Parks Grant Round 4</w:t>
      </w:r>
    </w:p>
    <w:p w14:paraId="71C5BD6A" w14:textId="77777777" w:rsidR="006F45C4" w:rsidRPr="00C026E3" w:rsidRDefault="006F45C4" w:rsidP="005D2183">
      <w:pPr>
        <w:pStyle w:val="BodyText"/>
        <w:numPr>
          <w:ilvl w:val="0"/>
          <w:numId w:val="14"/>
        </w:numPr>
        <w:spacing w:before="0" w:after="120" w:line="240" w:lineRule="atLeast"/>
        <w:ind w:left="714" w:hanging="357"/>
        <w:rPr>
          <w:color w:val="auto"/>
        </w:rPr>
      </w:pPr>
      <w:r w:rsidRPr="00C026E3">
        <w:rPr>
          <w:color w:val="auto"/>
        </w:rPr>
        <w:t xml:space="preserve">the risks – financial, fraud, delivery and other – that the applicant or project poses for the department or for the Commonwealth </w:t>
      </w:r>
    </w:p>
    <w:p w14:paraId="4A007754" w14:textId="77777777" w:rsidR="006F45C4" w:rsidRPr="00C026E3" w:rsidRDefault="006F45C4" w:rsidP="005D2183">
      <w:pPr>
        <w:pStyle w:val="BodyText"/>
        <w:numPr>
          <w:ilvl w:val="0"/>
          <w:numId w:val="14"/>
        </w:numPr>
        <w:spacing w:before="0" w:after="120" w:line="240" w:lineRule="atLeast"/>
        <w:ind w:left="714" w:hanging="357"/>
        <w:rPr>
          <w:color w:val="auto"/>
        </w:rPr>
      </w:pPr>
      <w:r w:rsidRPr="00C026E3">
        <w:rPr>
          <w:color w:val="auto"/>
        </w:rPr>
        <w:t xml:space="preserve">distribution of grants across type of applicant and Australian Marine Parks </w:t>
      </w:r>
    </w:p>
    <w:p w14:paraId="0EEEBA0B" w14:textId="77777777" w:rsidR="006F45C4" w:rsidRPr="00C026E3" w:rsidRDefault="006F45C4" w:rsidP="005D2183">
      <w:pPr>
        <w:pStyle w:val="BodyText"/>
        <w:numPr>
          <w:ilvl w:val="0"/>
          <w:numId w:val="14"/>
        </w:numPr>
        <w:spacing w:before="0" w:after="120" w:line="240" w:lineRule="atLeast"/>
        <w:ind w:left="714" w:hanging="357"/>
        <w:rPr>
          <w:color w:val="auto"/>
        </w:rPr>
      </w:pPr>
      <w:r w:rsidRPr="00C026E3">
        <w:rPr>
          <w:color w:val="auto"/>
        </w:rPr>
        <w:t xml:space="preserve">how the grant activities will impact on, leverage or be led by First Nations or local community groups </w:t>
      </w:r>
    </w:p>
    <w:p w14:paraId="7763FA61" w14:textId="77777777" w:rsidR="006F45C4" w:rsidRPr="00C026E3" w:rsidRDefault="006F45C4" w:rsidP="005D2183">
      <w:pPr>
        <w:pStyle w:val="BodyText"/>
        <w:numPr>
          <w:ilvl w:val="0"/>
          <w:numId w:val="14"/>
        </w:numPr>
        <w:spacing w:before="0" w:after="120" w:line="240" w:lineRule="atLeast"/>
        <w:ind w:left="714" w:hanging="357"/>
        <w:rPr>
          <w:color w:val="auto"/>
        </w:rPr>
      </w:pPr>
      <w:r w:rsidRPr="00C026E3">
        <w:rPr>
          <w:color w:val="auto"/>
        </w:rPr>
        <w:t>legacy outcomes – that will lead to long term benefits for the management of Australian Marine Parks</w:t>
      </w:r>
    </w:p>
    <w:p w14:paraId="518958E4" w14:textId="77777777" w:rsidR="006F45C4" w:rsidRPr="00C026E3" w:rsidRDefault="006F45C4" w:rsidP="005D2183">
      <w:pPr>
        <w:pStyle w:val="BodyText"/>
        <w:numPr>
          <w:ilvl w:val="0"/>
          <w:numId w:val="14"/>
        </w:numPr>
        <w:spacing w:before="0" w:after="120" w:line="240" w:lineRule="atLeast"/>
        <w:ind w:left="714" w:hanging="357"/>
        <w:rPr>
          <w:color w:val="auto"/>
        </w:rPr>
      </w:pPr>
      <w:r w:rsidRPr="00C026E3">
        <w:rPr>
          <w:color w:val="auto"/>
        </w:rPr>
        <w:t xml:space="preserve">innovation in contributing to achieving the grants objectives </w:t>
      </w:r>
    </w:p>
    <w:p w14:paraId="1D241432" w14:textId="0A2C1C34" w:rsidR="006F45C4" w:rsidRPr="00C026E3" w:rsidRDefault="006F45C4" w:rsidP="005D2183">
      <w:pPr>
        <w:pStyle w:val="BodyText"/>
        <w:numPr>
          <w:ilvl w:val="0"/>
          <w:numId w:val="14"/>
        </w:numPr>
        <w:spacing w:before="0" w:after="120" w:line="240" w:lineRule="atLeast"/>
        <w:ind w:left="714" w:hanging="357"/>
        <w:rPr>
          <w:color w:val="auto"/>
        </w:rPr>
      </w:pPr>
      <w:r w:rsidRPr="00C026E3">
        <w:rPr>
          <w:color w:val="auto"/>
        </w:rPr>
        <w:t>compliance with legislation, policy and industry standards</w:t>
      </w:r>
      <w:r w:rsidR="00833A25">
        <w:rPr>
          <w:color w:val="auto"/>
        </w:rPr>
        <w:t>.</w:t>
      </w:r>
    </w:p>
    <w:p w14:paraId="0C279530" w14:textId="77777777" w:rsidR="006F45C4" w:rsidRPr="00B40455" w:rsidRDefault="00463C42" w:rsidP="006F45C4">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Final approval of the successful projects including the amount of grant funding to be awarded was provided by t</w:t>
      </w:r>
      <w:r w:rsidR="006F45C4" w:rsidRPr="00C026E3">
        <w:rPr>
          <w:rFonts w:ascii="Arial" w:eastAsia="Times New Roman" w:hAnsi="Arial" w:cs="Arial"/>
          <w:color w:val="auto"/>
          <w:szCs w:val="22"/>
        </w:rPr>
        <w:t>he Minister for the Environment.</w:t>
      </w:r>
      <w:r w:rsidR="006F45C4" w:rsidRPr="00B40455">
        <w:rPr>
          <w:rFonts w:ascii="Arial" w:eastAsia="Times New Roman" w:hAnsi="Arial" w:cs="Arial"/>
          <w:color w:val="auto"/>
          <w:szCs w:val="22"/>
        </w:rPr>
        <w:t xml:space="preserve"> </w:t>
      </w:r>
    </w:p>
    <w:p w14:paraId="65930FCD" w14:textId="77777777" w:rsidR="006F45C4" w:rsidRDefault="006F45C4" w:rsidP="00C026E3">
      <w:pPr>
        <w:spacing w:before="120" w:after="120"/>
      </w:pPr>
    </w:p>
    <w:p w14:paraId="55D2229C" w14:textId="3D383ACE" w:rsidR="00A72242" w:rsidRPr="00175236" w:rsidRDefault="00A72242" w:rsidP="00175236">
      <w:pPr>
        <w:pStyle w:val="Heading2"/>
        <w:spacing w:before="240"/>
        <w:rPr>
          <w:b w:val="0"/>
          <w:color w:val="C00000"/>
          <w:sz w:val="36"/>
          <w:szCs w:val="36"/>
        </w:rPr>
      </w:pPr>
      <w:r w:rsidRPr="00175236">
        <w:rPr>
          <w:b w:val="0"/>
          <w:color w:val="C00000"/>
          <w:sz w:val="36"/>
          <w:szCs w:val="36"/>
        </w:rPr>
        <w:t xml:space="preserve">Selection </w:t>
      </w:r>
      <w:r w:rsidR="00833A25">
        <w:rPr>
          <w:b w:val="0"/>
          <w:color w:val="C00000"/>
          <w:sz w:val="36"/>
          <w:szCs w:val="36"/>
        </w:rPr>
        <w:t>r</w:t>
      </w:r>
      <w:r w:rsidR="00833A25" w:rsidRPr="00175236">
        <w:rPr>
          <w:b w:val="0"/>
          <w:color w:val="C00000"/>
          <w:sz w:val="36"/>
          <w:szCs w:val="36"/>
        </w:rPr>
        <w:t>esults</w:t>
      </w:r>
    </w:p>
    <w:p w14:paraId="79868D2A" w14:textId="5B3F0036" w:rsidR="00110E81" w:rsidRPr="0039760F" w:rsidRDefault="00A72242" w:rsidP="00110E81">
      <w:pPr>
        <w:pStyle w:val="BodyText"/>
        <w:rPr>
          <w:color w:val="auto"/>
        </w:rPr>
      </w:pPr>
      <w:r>
        <w:t xml:space="preserve">There was </w:t>
      </w:r>
      <w:r w:rsidR="00B26492">
        <w:t>a strong interest in the grant opportunity</w:t>
      </w:r>
      <w:r>
        <w:t xml:space="preserve"> and applications were of a high </w:t>
      </w:r>
      <w:r w:rsidRPr="0039760F">
        <w:t xml:space="preserve">standard. </w:t>
      </w:r>
      <w:r w:rsidR="00110E81" w:rsidRPr="0039760F">
        <w:rPr>
          <w:color w:val="auto"/>
        </w:rPr>
        <w:t xml:space="preserve">The preferred applicants demonstrated their ability to meet the grant requirements outlined in the </w:t>
      </w:r>
      <w:r w:rsidR="00833A25">
        <w:rPr>
          <w:color w:val="auto"/>
        </w:rPr>
        <w:t>G</w:t>
      </w:r>
      <w:r w:rsidR="00833A25" w:rsidRPr="0039760F">
        <w:rPr>
          <w:color w:val="auto"/>
        </w:rPr>
        <w:t xml:space="preserve">rant </w:t>
      </w:r>
      <w:r w:rsidR="00833A25">
        <w:rPr>
          <w:color w:val="auto"/>
        </w:rPr>
        <w:t>O</w:t>
      </w:r>
      <w:r w:rsidR="00833A25" w:rsidRPr="0039760F">
        <w:rPr>
          <w:color w:val="auto"/>
        </w:rPr>
        <w:t xml:space="preserve">pportunity </w:t>
      </w:r>
      <w:r w:rsidR="00833A25">
        <w:rPr>
          <w:color w:val="auto"/>
        </w:rPr>
        <w:t>G</w:t>
      </w:r>
      <w:r w:rsidR="00833A25" w:rsidRPr="0039760F">
        <w:rPr>
          <w:color w:val="auto"/>
        </w:rPr>
        <w:t xml:space="preserve">uidelines </w:t>
      </w:r>
      <w:r w:rsidR="00110E81" w:rsidRPr="0039760F">
        <w:rPr>
          <w:color w:val="auto"/>
        </w:rPr>
        <w:t>based on the strength of their responses to the assessment criterion.</w:t>
      </w:r>
    </w:p>
    <w:p w14:paraId="39E283F0" w14:textId="62EAF80B" w:rsidR="00110E81" w:rsidRDefault="00110E81" w:rsidP="00110E81">
      <w:pPr>
        <w:pStyle w:val="BodyText"/>
      </w:pPr>
      <w:r w:rsidRPr="0039760F">
        <w:rPr>
          <w:rStyle w:val="ui-provider"/>
          <w:color w:val="auto"/>
        </w:rPr>
        <w:t xml:space="preserve">The Community Grants Hub </w:t>
      </w:r>
      <w:r w:rsidRPr="0039760F">
        <w:rPr>
          <w:rStyle w:val="ui-provider"/>
        </w:rPr>
        <w:t>notified</w:t>
      </w:r>
      <w:r>
        <w:rPr>
          <w:rStyle w:val="ui-provider"/>
        </w:rPr>
        <w:t xml:space="preserve"> applicants of the outcome in writing, where their a</w:t>
      </w:r>
      <w:r w:rsidRPr="007619FC">
        <w:rPr>
          <w:rStyle w:val="ui-provider"/>
        </w:rPr>
        <w:t>pplications did not meet th</w:t>
      </w:r>
      <w:r>
        <w:rPr>
          <w:rStyle w:val="ui-provider"/>
        </w:rPr>
        <w:t xml:space="preserve">e requirements outlined in the </w:t>
      </w:r>
      <w:r w:rsidR="00833A25">
        <w:rPr>
          <w:rStyle w:val="ui-provider"/>
        </w:rPr>
        <w:t>Grant Opportunity G</w:t>
      </w:r>
      <w:r w:rsidR="00833A25" w:rsidRPr="007619FC">
        <w:rPr>
          <w:rStyle w:val="ui-provider"/>
        </w:rPr>
        <w:t>uidelines</w:t>
      </w:r>
      <w:r>
        <w:rPr>
          <w:rStyle w:val="ui-provider"/>
        </w:rPr>
        <w:t xml:space="preserve">. </w:t>
      </w:r>
    </w:p>
    <w:p w14:paraId="41EC5572" w14:textId="77777777" w:rsidR="00A72242" w:rsidRDefault="00A72242" w:rsidP="00A72242">
      <w:pPr>
        <w:pStyle w:val="BodyText"/>
      </w:pPr>
      <w:r>
        <w:t xml:space="preserve">This feedback is </w:t>
      </w:r>
      <w:r w:rsidR="00B26492">
        <w:t xml:space="preserve">provided </w:t>
      </w:r>
      <w:r>
        <w:t>to assist grant applicants to understand</w:t>
      </w:r>
      <w:r w:rsidR="00C85D91">
        <w:t xml:space="preserve"> what </w:t>
      </w:r>
      <w:r>
        <w:t>comprised a strong application and the content of quality responses to the assessment criterion.</w:t>
      </w:r>
    </w:p>
    <w:p w14:paraId="2296C64A" w14:textId="77777777" w:rsidR="00A72242" w:rsidRPr="00175236" w:rsidRDefault="00A72242" w:rsidP="00175236">
      <w:pPr>
        <w:pStyle w:val="Heading3"/>
        <w:spacing w:before="240"/>
        <w:rPr>
          <w:color w:val="C00000"/>
          <w:sz w:val="24"/>
          <w:szCs w:val="24"/>
        </w:rPr>
      </w:pPr>
      <w:r w:rsidRPr="00175236">
        <w:rPr>
          <w:color w:val="C00000"/>
          <w:sz w:val="24"/>
          <w:szCs w:val="24"/>
        </w:rPr>
        <w:t>Criterion 1</w:t>
      </w:r>
    </w:p>
    <w:p w14:paraId="0D41D07D" w14:textId="77777777" w:rsidR="00A72242" w:rsidRDefault="0039760F" w:rsidP="00A72242">
      <w:pPr>
        <w:pStyle w:val="BodyText"/>
        <w:spacing w:before="60"/>
        <w:rPr>
          <w:rFonts w:cstheme="minorHAnsi"/>
          <w:iCs/>
          <w:color w:val="auto"/>
          <w:szCs w:val="22"/>
        </w:rPr>
      </w:pPr>
      <w:r w:rsidRPr="00CE6733">
        <w:rPr>
          <w:rFonts w:cstheme="minorHAnsi"/>
          <w:iCs/>
          <w:color w:val="auto"/>
          <w:szCs w:val="22"/>
        </w:rPr>
        <w:t>Demonstrate</w:t>
      </w:r>
      <w:r>
        <w:rPr>
          <w:rFonts w:cstheme="minorHAnsi"/>
          <w:iCs/>
          <w:color w:val="auto"/>
          <w:szCs w:val="22"/>
        </w:rPr>
        <w:t>d</w:t>
      </w:r>
      <w:r w:rsidRPr="00CE6733">
        <w:rPr>
          <w:rFonts w:cstheme="minorHAnsi"/>
          <w:iCs/>
          <w:color w:val="auto"/>
          <w:szCs w:val="22"/>
        </w:rPr>
        <w:t xml:space="preserve"> how </w:t>
      </w:r>
      <w:r>
        <w:rPr>
          <w:rFonts w:cstheme="minorHAnsi"/>
          <w:iCs/>
          <w:color w:val="auto"/>
          <w:szCs w:val="22"/>
        </w:rPr>
        <w:t>their</w:t>
      </w:r>
      <w:r w:rsidRPr="00CE6733">
        <w:rPr>
          <w:rFonts w:cstheme="minorHAnsi"/>
          <w:iCs/>
          <w:color w:val="auto"/>
          <w:szCs w:val="22"/>
        </w:rPr>
        <w:t xml:space="preserve"> project me</w:t>
      </w:r>
      <w:r>
        <w:rPr>
          <w:rFonts w:cstheme="minorHAnsi"/>
          <w:iCs/>
          <w:color w:val="auto"/>
          <w:szCs w:val="22"/>
        </w:rPr>
        <w:t>t</w:t>
      </w:r>
      <w:r w:rsidRPr="00CE6733">
        <w:rPr>
          <w:rFonts w:cstheme="minorHAnsi"/>
          <w:iCs/>
          <w:color w:val="auto"/>
          <w:szCs w:val="22"/>
        </w:rPr>
        <w:t xml:space="preserve"> one or more of the grant opportunity objectives</w:t>
      </w:r>
      <w:r>
        <w:rPr>
          <w:rFonts w:cstheme="minorHAnsi"/>
          <w:iCs/>
          <w:color w:val="auto"/>
          <w:szCs w:val="22"/>
        </w:rPr>
        <w:t>.</w:t>
      </w:r>
    </w:p>
    <w:p w14:paraId="30E80974" w14:textId="408D8A9A" w:rsidR="0039760F" w:rsidRPr="0039760F" w:rsidRDefault="0039760F" w:rsidP="0039760F">
      <w:pPr>
        <w:pStyle w:val="BodyText"/>
        <w:numPr>
          <w:ilvl w:val="0"/>
          <w:numId w:val="15"/>
        </w:numPr>
        <w:spacing w:before="60"/>
        <w:ind w:left="709"/>
        <w:rPr>
          <w:rFonts w:cstheme="minorHAnsi"/>
          <w:iCs/>
          <w:color w:val="auto"/>
          <w:szCs w:val="22"/>
          <w:lang w:val="en-US"/>
        </w:rPr>
      </w:pPr>
      <w:r w:rsidRPr="0039760F">
        <w:rPr>
          <w:rFonts w:cstheme="minorHAnsi"/>
          <w:iCs/>
          <w:color w:val="auto"/>
          <w:szCs w:val="22"/>
          <w:lang w:val="en-US"/>
        </w:rPr>
        <w:t xml:space="preserve">Clearly articulating the </w:t>
      </w:r>
      <w:r w:rsidRPr="0039760F">
        <w:rPr>
          <w:rFonts w:cstheme="minorHAnsi"/>
          <w:iCs/>
          <w:color w:val="auto"/>
          <w:szCs w:val="22"/>
          <w:u w:val="single"/>
          <w:lang w:val="en-US"/>
        </w:rPr>
        <w:t>need or problem</w:t>
      </w:r>
      <w:r w:rsidR="00833A25">
        <w:rPr>
          <w:rFonts w:cstheme="minorHAnsi"/>
          <w:iCs/>
          <w:color w:val="auto"/>
          <w:szCs w:val="22"/>
          <w:u w:val="single"/>
          <w:lang w:val="en-US"/>
        </w:rPr>
        <w:t>.</w:t>
      </w:r>
    </w:p>
    <w:p w14:paraId="50BF69E7" w14:textId="5858C604" w:rsidR="0039760F" w:rsidRPr="0039760F" w:rsidRDefault="0039760F" w:rsidP="0039760F">
      <w:pPr>
        <w:pStyle w:val="BodyText"/>
        <w:numPr>
          <w:ilvl w:val="0"/>
          <w:numId w:val="15"/>
        </w:numPr>
        <w:spacing w:before="60"/>
        <w:ind w:left="709"/>
        <w:rPr>
          <w:rFonts w:cstheme="minorHAnsi"/>
          <w:iCs/>
          <w:color w:val="auto"/>
          <w:szCs w:val="22"/>
          <w:lang w:val="en-US"/>
        </w:rPr>
      </w:pPr>
      <w:r w:rsidRPr="0039760F">
        <w:rPr>
          <w:rFonts w:cstheme="minorHAnsi"/>
          <w:iCs/>
          <w:color w:val="auto"/>
          <w:szCs w:val="22"/>
          <w:lang w:val="en-US"/>
        </w:rPr>
        <w:t>Outlining the proposed “</w:t>
      </w:r>
      <w:r w:rsidRPr="0039760F">
        <w:rPr>
          <w:rFonts w:cstheme="minorHAnsi"/>
          <w:iCs/>
          <w:color w:val="auto"/>
          <w:szCs w:val="22"/>
          <w:u w:val="single"/>
          <w:lang w:val="en-US"/>
        </w:rPr>
        <w:t>solution</w:t>
      </w:r>
      <w:r w:rsidRPr="0039760F">
        <w:rPr>
          <w:rFonts w:cstheme="minorHAnsi"/>
          <w:iCs/>
          <w:color w:val="auto"/>
          <w:szCs w:val="22"/>
          <w:lang w:val="en-US"/>
        </w:rPr>
        <w:t xml:space="preserve">” (grant activities), and identify their </w:t>
      </w:r>
      <w:r w:rsidRPr="0039760F">
        <w:rPr>
          <w:rFonts w:cstheme="minorHAnsi"/>
          <w:iCs/>
          <w:color w:val="auto"/>
          <w:szCs w:val="22"/>
          <w:u w:val="single"/>
          <w:lang w:val="en-US"/>
        </w:rPr>
        <w:t>expected impact</w:t>
      </w:r>
      <w:r w:rsidRPr="0039760F">
        <w:rPr>
          <w:rFonts w:cstheme="minorHAnsi"/>
          <w:iCs/>
          <w:color w:val="auto"/>
          <w:szCs w:val="22"/>
          <w:lang w:val="en-US"/>
        </w:rPr>
        <w:t>, value or importance, in the context of the Grants Program’s intended objectives (section 2.1</w:t>
      </w:r>
      <w:r w:rsidR="00833A25">
        <w:rPr>
          <w:rFonts w:cstheme="minorHAnsi"/>
          <w:iCs/>
          <w:color w:val="auto"/>
          <w:szCs w:val="22"/>
          <w:lang w:val="en-US"/>
        </w:rPr>
        <w:t xml:space="preserve"> of the Grant Opportunity Guidelines</w:t>
      </w:r>
      <w:r w:rsidRPr="0039760F">
        <w:rPr>
          <w:rFonts w:cstheme="minorHAnsi"/>
          <w:iCs/>
          <w:color w:val="auto"/>
          <w:szCs w:val="22"/>
          <w:lang w:val="en-US"/>
        </w:rPr>
        <w:t>).</w:t>
      </w:r>
    </w:p>
    <w:p w14:paraId="5A4E96B0" w14:textId="77777777" w:rsidR="0039760F" w:rsidRDefault="0039760F" w:rsidP="0039760F">
      <w:pPr>
        <w:pStyle w:val="BodyText"/>
        <w:numPr>
          <w:ilvl w:val="0"/>
          <w:numId w:val="15"/>
        </w:numPr>
        <w:spacing w:before="60"/>
        <w:ind w:left="709"/>
        <w:rPr>
          <w:rFonts w:cstheme="minorHAnsi"/>
          <w:iCs/>
          <w:color w:val="auto"/>
          <w:szCs w:val="22"/>
          <w:lang w:val="en-US"/>
        </w:rPr>
      </w:pPr>
      <w:r w:rsidRPr="0039760F">
        <w:rPr>
          <w:rFonts w:cstheme="minorHAnsi"/>
          <w:iCs/>
          <w:color w:val="auto"/>
          <w:szCs w:val="22"/>
        </w:rPr>
        <w:t xml:space="preserve">Identifying clear, specific and achievable </w:t>
      </w:r>
      <w:r w:rsidRPr="0039760F">
        <w:rPr>
          <w:rFonts w:cstheme="minorHAnsi"/>
          <w:iCs/>
          <w:color w:val="auto"/>
          <w:szCs w:val="22"/>
          <w:u w:val="single"/>
        </w:rPr>
        <w:t>project outcomes</w:t>
      </w:r>
      <w:r w:rsidRPr="0039760F">
        <w:rPr>
          <w:rFonts w:cstheme="minorHAnsi"/>
          <w:iCs/>
          <w:color w:val="auto"/>
          <w:szCs w:val="22"/>
        </w:rPr>
        <w:t xml:space="preserve"> that contribute to the delivery of the Our Marine Parks Grants Round 4 Program objectives</w:t>
      </w:r>
      <w:r w:rsidR="00353586">
        <w:rPr>
          <w:rFonts w:cstheme="minorHAnsi"/>
          <w:iCs/>
          <w:color w:val="auto"/>
          <w:szCs w:val="22"/>
        </w:rPr>
        <w:t>.</w:t>
      </w:r>
    </w:p>
    <w:p w14:paraId="13F7BAA0" w14:textId="55253D72" w:rsidR="0039760F" w:rsidRPr="00C026E3" w:rsidRDefault="0039760F" w:rsidP="0039760F">
      <w:pPr>
        <w:pStyle w:val="BodyText"/>
        <w:numPr>
          <w:ilvl w:val="0"/>
          <w:numId w:val="15"/>
        </w:numPr>
        <w:spacing w:before="60"/>
        <w:ind w:left="709"/>
        <w:rPr>
          <w:rFonts w:cstheme="minorHAnsi"/>
          <w:iCs/>
          <w:color w:val="auto"/>
          <w:szCs w:val="22"/>
          <w:lang w:val="en-US"/>
        </w:rPr>
      </w:pPr>
      <w:r w:rsidRPr="0039760F">
        <w:rPr>
          <w:rFonts w:cstheme="minorHAnsi"/>
          <w:iCs/>
          <w:color w:val="auto"/>
          <w:szCs w:val="22"/>
          <w:lang w:val="en-US"/>
        </w:rPr>
        <w:t xml:space="preserve">Identifying the </w:t>
      </w:r>
      <w:r w:rsidRPr="0039760F">
        <w:rPr>
          <w:rFonts w:cstheme="minorHAnsi"/>
          <w:iCs/>
          <w:color w:val="auto"/>
          <w:szCs w:val="22"/>
          <w:u w:val="single"/>
          <w:lang w:val="en-US"/>
        </w:rPr>
        <w:t>project location</w:t>
      </w:r>
      <w:r w:rsidRPr="0039760F">
        <w:rPr>
          <w:rFonts w:cstheme="minorHAnsi"/>
          <w:iCs/>
          <w:color w:val="auto"/>
          <w:szCs w:val="22"/>
          <w:lang w:val="en-US"/>
        </w:rPr>
        <w:t xml:space="preserve"> within one of more Australian Marine Park(s) as identified at </w:t>
      </w:r>
      <w:r w:rsidRPr="00C026E3">
        <w:rPr>
          <w:rFonts w:cstheme="minorHAnsi"/>
          <w:iCs/>
          <w:color w:val="auto"/>
          <w:szCs w:val="22"/>
          <w:lang w:val="en-US"/>
        </w:rPr>
        <w:t>section 5.2</w:t>
      </w:r>
      <w:r w:rsidR="00833A25">
        <w:rPr>
          <w:rFonts w:cstheme="minorHAnsi"/>
          <w:iCs/>
          <w:color w:val="auto"/>
          <w:szCs w:val="22"/>
          <w:lang w:val="en-US"/>
        </w:rPr>
        <w:t xml:space="preserve"> of the Grant Opportunity Guidelines</w:t>
      </w:r>
      <w:r w:rsidRPr="00C026E3">
        <w:rPr>
          <w:rFonts w:cstheme="minorHAnsi"/>
          <w:iCs/>
          <w:color w:val="auto"/>
          <w:szCs w:val="22"/>
          <w:lang w:val="en-US"/>
        </w:rPr>
        <w:t>.</w:t>
      </w:r>
    </w:p>
    <w:p w14:paraId="21BF5A0D" w14:textId="77777777" w:rsidR="00175236" w:rsidRPr="00C026E3" w:rsidRDefault="00175236" w:rsidP="00A72242">
      <w:pPr>
        <w:pStyle w:val="BodyText"/>
        <w:spacing w:before="60"/>
      </w:pPr>
      <w:r w:rsidRPr="00C026E3">
        <w:t>Strong applications</w:t>
      </w:r>
      <w:r w:rsidR="001A4F56">
        <w:t xml:space="preserve"> demonstrated</w:t>
      </w:r>
      <w:r w:rsidRPr="00C026E3">
        <w:t>:</w:t>
      </w:r>
    </w:p>
    <w:p w14:paraId="44EE7AF7" w14:textId="77777777" w:rsidR="006F45C4" w:rsidRPr="00C026E3" w:rsidRDefault="006F45C4" w:rsidP="00DB27A5">
      <w:pPr>
        <w:pStyle w:val="ListBullet"/>
        <w:numPr>
          <w:ilvl w:val="0"/>
          <w:numId w:val="23"/>
        </w:numPr>
        <w:ind w:left="709"/>
        <w:rPr>
          <w:rFonts w:eastAsia="Arial" w:cs="Arial"/>
          <w:iCs w:val="0"/>
          <w:sz w:val="22"/>
          <w:szCs w:val="22"/>
        </w:rPr>
      </w:pPr>
      <w:r w:rsidRPr="00C026E3">
        <w:rPr>
          <w:rFonts w:eastAsia="Arial" w:cs="Arial"/>
          <w:iCs w:val="0"/>
          <w:sz w:val="22"/>
          <w:szCs w:val="22"/>
        </w:rPr>
        <w:t>clear benefits to Australian Marine Parks</w:t>
      </w:r>
    </w:p>
    <w:p w14:paraId="0BF03232" w14:textId="77777777" w:rsidR="006F45C4" w:rsidRPr="00C026E3" w:rsidRDefault="006F45C4" w:rsidP="00DB27A5">
      <w:pPr>
        <w:pStyle w:val="ListBullet"/>
        <w:numPr>
          <w:ilvl w:val="0"/>
          <w:numId w:val="23"/>
        </w:numPr>
        <w:ind w:left="709"/>
        <w:rPr>
          <w:rFonts w:eastAsia="Arial" w:cs="Arial"/>
          <w:iCs w:val="0"/>
          <w:sz w:val="22"/>
          <w:szCs w:val="22"/>
        </w:rPr>
      </w:pPr>
      <w:r w:rsidRPr="00C026E3">
        <w:rPr>
          <w:rFonts w:eastAsia="Arial" w:cs="Arial"/>
          <w:iCs w:val="0"/>
          <w:sz w:val="22"/>
          <w:szCs w:val="22"/>
        </w:rPr>
        <w:t>how specific activities would achieve the objectives of the grant opportunity</w:t>
      </w:r>
    </w:p>
    <w:p w14:paraId="18C26130" w14:textId="77777777" w:rsidR="006F45C4" w:rsidRPr="00C026E3" w:rsidRDefault="006F45C4" w:rsidP="00DB27A5">
      <w:pPr>
        <w:pStyle w:val="ListBullet"/>
        <w:numPr>
          <w:ilvl w:val="0"/>
          <w:numId w:val="23"/>
        </w:numPr>
        <w:ind w:left="709"/>
        <w:rPr>
          <w:rFonts w:eastAsia="Arial" w:cs="Arial"/>
          <w:iCs w:val="0"/>
          <w:sz w:val="22"/>
          <w:szCs w:val="22"/>
        </w:rPr>
      </w:pPr>
      <w:r w:rsidRPr="00C026E3">
        <w:rPr>
          <w:rFonts w:eastAsia="Arial" w:cs="Arial"/>
          <w:iCs w:val="0"/>
          <w:sz w:val="22"/>
          <w:szCs w:val="22"/>
        </w:rPr>
        <w:t>the activities to be undertaken, project outcomes, monitoring and evaluation, in-kind contributions, and risks and dependencies</w:t>
      </w:r>
    </w:p>
    <w:p w14:paraId="74172AAD" w14:textId="77777777" w:rsidR="006F45C4" w:rsidRPr="00C026E3" w:rsidRDefault="006F45C4" w:rsidP="00DB27A5">
      <w:pPr>
        <w:pStyle w:val="ListBullet"/>
        <w:numPr>
          <w:ilvl w:val="0"/>
          <w:numId w:val="23"/>
        </w:numPr>
        <w:ind w:left="709"/>
        <w:rPr>
          <w:rFonts w:eastAsia="Arial" w:cs="Arial"/>
          <w:iCs w:val="0"/>
          <w:sz w:val="22"/>
          <w:szCs w:val="22"/>
        </w:rPr>
      </w:pPr>
      <w:r w:rsidRPr="00C026E3">
        <w:rPr>
          <w:rFonts w:eastAsia="Arial" w:cs="Arial"/>
          <w:iCs w:val="0"/>
          <w:sz w:val="22"/>
          <w:szCs w:val="22"/>
        </w:rPr>
        <w:t>the need for the project and/or the gaps the project would meet</w:t>
      </w:r>
    </w:p>
    <w:p w14:paraId="37CD308D" w14:textId="77777777" w:rsidR="006F45C4" w:rsidRPr="00C026E3" w:rsidRDefault="006F45C4" w:rsidP="00DB27A5">
      <w:pPr>
        <w:pStyle w:val="ListBullet"/>
        <w:numPr>
          <w:ilvl w:val="0"/>
          <w:numId w:val="23"/>
        </w:numPr>
        <w:ind w:left="709"/>
        <w:rPr>
          <w:rFonts w:eastAsia="Arial" w:cs="Arial"/>
          <w:iCs w:val="0"/>
          <w:sz w:val="22"/>
          <w:szCs w:val="22"/>
        </w:rPr>
      </w:pPr>
      <w:r w:rsidRPr="00C026E3">
        <w:rPr>
          <w:rFonts w:eastAsia="Arial" w:cs="Arial"/>
          <w:iCs w:val="0"/>
          <w:sz w:val="22"/>
          <w:szCs w:val="22"/>
        </w:rPr>
        <w:t>how the proposed project does not duplicate other activities</w:t>
      </w:r>
    </w:p>
    <w:p w14:paraId="55CC54E2" w14:textId="77777777" w:rsidR="006F45C4" w:rsidRPr="001A4F56" w:rsidRDefault="006F45C4" w:rsidP="001A4F56">
      <w:pPr>
        <w:pStyle w:val="ListBullet"/>
        <w:numPr>
          <w:ilvl w:val="0"/>
          <w:numId w:val="23"/>
        </w:numPr>
        <w:ind w:left="709"/>
        <w:rPr>
          <w:rFonts w:eastAsia="Arial" w:cs="Arial"/>
          <w:iCs w:val="0"/>
          <w:sz w:val="22"/>
          <w:szCs w:val="22"/>
        </w:rPr>
      </w:pPr>
      <w:r w:rsidRPr="00C026E3">
        <w:rPr>
          <w:rFonts w:eastAsia="Arial" w:cs="Arial"/>
          <w:iCs w:val="0"/>
          <w:sz w:val="22"/>
          <w:szCs w:val="22"/>
        </w:rPr>
        <w:t>how the proposed project leverages off existing knowledge (if available).</w:t>
      </w:r>
    </w:p>
    <w:p w14:paraId="1AE13CC4" w14:textId="77777777" w:rsidR="00BD595C" w:rsidRPr="00C026E3" w:rsidRDefault="003F6540" w:rsidP="00007EE6">
      <w:pPr>
        <w:pStyle w:val="BodyText"/>
      </w:pPr>
      <w:r>
        <w:t>W</w:t>
      </w:r>
      <w:r w:rsidR="00BD595C">
        <w:t>eaker responses to the criteria</w:t>
      </w:r>
      <w:r w:rsidR="00BD595C" w:rsidRPr="00C026E3">
        <w:t xml:space="preserve"> did not clearly demonstrate </w:t>
      </w:r>
      <w:r w:rsidR="00BD595C" w:rsidRPr="00C026E3">
        <w:rPr>
          <w:rFonts w:ascii="Arial" w:eastAsia="Arial" w:hAnsi="Arial" w:cs="Arial"/>
          <w:color w:val="auto"/>
        </w:rPr>
        <w:t>or did not demonstrate to a comparable degree</w:t>
      </w:r>
      <w:r w:rsidR="00BD595C" w:rsidRPr="00C026E3">
        <w:t>:</w:t>
      </w:r>
    </w:p>
    <w:p w14:paraId="4DE4FCCD" w14:textId="77777777" w:rsidR="006F45C4" w:rsidRPr="00C026E3" w:rsidRDefault="006F45C4" w:rsidP="00DB27A5">
      <w:pPr>
        <w:pStyle w:val="ListBullet"/>
        <w:numPr>
          <w:ilvl w:val="0"/>
          <w:numId w:val="23"/>
        </w:numPr>
        <w:ind w:left="709"/>
        <w:rPr>
          <w:rFonts w:eastAsia="Arial" w:cs="Arial"/>
          <w:iCs w:val="0"/>
          <w:sz w:val="22"/>
          <w:szCs w:val="22"/>
        </w:rPr>
      </w:pPr>
      <w:r w:rsidRPr="00C026E3">
        <w:rPr>
          <w:rFonts w:eastAsia="Arial" w:cs="Arial"/>
          <w:iCs w:val="0"/>
          <w:sz w:val="22"/>
          <w:szCs w:val="22"/>
        </w:rPr>
        <w:t>the specific deliverables of the grant activity, and/or how the grant activity would be implemented</w:t>
      </w:r>
    </w:p>
    <w:p w14:paraId="64C316E4" w14:textId="77777777" w:rsidR="006F45C4" w:rsidRPr="00C026E3" w:rsidRDefault="006F45C4" w:rsidP="00DB27A5">
      <w:pPr>
        <w:pStyle w:val="ListBullet"/>
        <w:numPr>
          <w:ilvl w:val="0"/>
          <w:numId w:val="23"/>
        </w:numPr>
        <w:ind w:left="709"/>
        <w:rPr>
          <w:rFonts w:eastAsia="Arial" w:cs="Arial"/>
          <w:iCs w:val="0"/>
          <w:sz w:val="22"/>
          <w:szCs w:val="22"/>
        </w:rPr>
      </w:pPr>
      <w:r w:rsidRPr="00C026E3">
        <w:rPr>
          <w:rFonts w:eastAsia="Arial" w:cs="Arial"/>
          <w:iCs w:val="0"/>
          <w:sz w:val="22"/>
          <w:szCs w:val="22"/>
        </w:rPr>
        <w:t>how the project activities aligned with the objectives of the grant opportunity and provided benefits to Australian Marine Parks</w:t>
      </w:r>
    </w:p>
    <w:p w14:paraId="2B52218A" w14:textId="77777777" w:rsidR="006F45C4" w:rsidRPr="00C026E3" w:rsidRDefault="006F45C4" w:rsidP="00DB27A5">
      <w:pPr>
        <w:pStyle w:val="ListBullet"/>
        <w:numPr>
          <w:ilvl w:val="0"/>
          <w:numId w:val="23"/>
        </w:numPr>
        <w:ind w:left="709"/>
        <w:rPr>
          <w:rFonts w:eastAsia="Arial" w:cs="Arial"/>
          <w:iCs w:val="0"/>
          <w:sz w:val="22"/>
          <w:szCs w:val="22"/>
        </w:rPr>
      </w:pPr>
      <w:r w:rsidRPr="00C026E3">
        <w:rPr>
          <w:rFonts w:eastAsia="Arial" w:cs="Arial"/>
          <w:iCs w:val="0"/>
          <w:sz w:val="22"/>
          <w:szCs w:val="22"/>
        </w:rPr>
        <w:t xml:space="preserve">how First Nations peoples and/or marine park users’ engagement would be facilitated by the project. </w:t>
      </w:r>
    </w:p>
    <w:p w14:paraId="08DD7684" w14:textId="77777777" w:rsidR="00007EE6" w:rsidRDefault="00007EE6">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33184F17" w14:textId="77777777" w:rsidR="00A72242" w:rsidRPr="00175236" w:rsidRDefault="00A72242" w:rsidP="006F45C4">
      <w:pPr>
        <w:pStyle w:val="Heading3"/>
        <w:spacing w:before="240"/>
        <w:rPr>
          <w:color w:val="C00000"/>
          <w:sz w:val="24"/>
          <w:szCs w:val="24"/>
        </w:rPr>
      </w:pPr>
      <w:r w:rsidRPr="00C026E3">
        <w:rPr>
          <w:color w:val="C00000"/>
          <w:sz w:val="24"/>
          <w:szCs w:val="24"/>
        </w:rPr>
        <w:lastRenderedPageBreak/>
        <w:t>Criterion 2</w:t>
      </w:r>
    </w:p>
    <w:p w14:paraId="469EF47B" w14:textId="77777777" w:rsidR="00C85D91" w:rsidRDefault="0039760F" w:rsidP="00C85D91">
      <w:pPr>
        <w:pStyle w:val="BodyText"/>
        <w:spacing w:before="60"/>
        <w:rPr>
          <w:iCs/>
        </w:rPr>
      </w:pPr>
      <w:r w:rsidRPr="0039760F">
        <w:rPr>
          <w:iCs/>
        </w:rPr>
        <w:t>Demonstrate</w:t>
      </w:r>
      <w:r>
        <w:rPr>
          <w:iCs/>
        </w:rPr>
        <w:t>d</w:t>
      </w:r>
      <w:r w:rsidRPr="0039760F">
        <w:rPr>
          <w:iCs/>
        </w:rPr>
        <w:t xml:space="preserve"> how your project will benefit and engage First Nations peoples and/or the local community and stakeholders</w:t>
      </w:r>
      <w:r>
        <w:rPr>
          <w:iCs/>
        </w:rPr>
        <w:t>.</w:t>
      </w:r>
    </w:p>
    <w:p w14:paraId="5B15E554" w14:textId="07943A56" w:rsidR="0039760F" w:rsidRPr="0039760F" w:rsidRDefault="0039760F" w:rsidP="0039760F">
      <w:pPr>
        <w:pStyle w:val="BodyText"/>
        <w:numPr>
          <w:ilvl w:val="0"/>
          <w:numId w:val="20"/>
        </w:numPr>
        <w:spacing w:before="60" w:after="0"/>
        <w:ind w:hanging="357"/>
        <w:rPr>
          <w:iCs/>
          <w:lang w:val="en-US"/>
        </w:rPr>
      </w:pPr>
      <w:r w:rsidRPr="0039760F">
        <w:rPr>
          <w:iCs/>
          <w:lang w:val="en-US"/>
        </w:rPr>
        <w:t>Engage</w:t>
      </w:r>
      <w:r>
        <w:rPr>
          <w:iCs/>
          <w:lang w:val="en-US"/>
        </w:rPr>
        <w:t>d</w:t>
      </w:r>
      <w:r w:rsidRPr="0039760F">
        <w:rPr>
          <w:iCs/>
          <w:lang w:val="en-US"/>
        </w:rPr>
        <w:t xml:space="preserve"> or otherwise benefit</w:t>
      </w:r>
      <w:r>
        <w:rPr>
          <w:iCs/>
          <w:lang w:val="en-US"/>
        </w:rPr>
        <w:t>ed</w:t>
      </w:r>
      <w:r w:rsidRPr="0039760F">
        <w:rPr>
          <w:iCs/>
          <w:lang w:val="en-US"/>
        </w:rPr>
        <w:t xml:space="preserve"> First Nations peoples and communities and demonstrate</w:t>
      </w:r>
      <w:r>
        <w:rPr>
          <w:iCs/>
          <w:lang w:val="en-US"/>
        </w:rPr>
        <w:t>d</w:t>
      </w:r>
      <w:r w:rsidRPr="0039760F">
        <w:rPr>
          <w:iCs/>
          <w:lang w:val="en-US"/>
        </w:rPr>
        <w:t xml:space="preserve"> support (written correspondence) from an entity or entities with responsibility for representing relevant </w:t>
      </w:r>
      <w:r w:rsidR="00394AA2">
        <w:rPr>
          <w:iCs/>
          <w:lang w:val="en-US"/>
        </w:rPr>
        <w:t>S</w:t>
      </w:r>
      <w:r w:rsidR="00394AA2" w:rsidRPr="0039760F">
        <w:rPr>
          <w:iCs/>
          <w:lang w:val="en-US"/>
        </w:rPr>
        <w:t xml:space="preserve">ea </w:t>
      </w:r>
      <w:r w:rsidR="00394AA2">
        <w:rPr>
          <w:iCs/>
          <w:lang w:val="en-US"/>
        </w:rPr>
        <w:t>C</w:t>
      </w:r>
      <w:r w:rsidR="00394AA2" w:rsidRPr="0039760F">
        <w:rPr>
          <w:iCs/>
          <w:lang w:val="en-US"/>
        </w:rPr>
        <w:t>ountry</w:t>
      </w:r>
      <w:r w:rsidRPr="0039760F">
        <w:rPr>
          <w:iCs/>
          <w:lang w:val="en-US"/>
        </w:rPr>
        <w:t>. The entity could provide guidance on the most appropriate person/organisation to participate in the project. The entity could include:</w:t>
      </w:r>
    </w:p>
    <w:p w14:paraId="720BAEC4" w14:textId="77777777" w:rsidR="0039760F" w:rsidRPr="0039760F" w:rsidRDefault="0039760F" w:rsidP="00007EE6">
      <w:pPr>
        <w:pStyle w:val="BodyText"/>
        <w:numPr>
          <w:ilvl w:val="1"/>
          <w:numId w:val="29"/>
        </w:numPr>
        <w:spacing w:before="60" w:after="0"/>
        <w:rPr>
          <w:iCs/>
          <w:lang w:val="en-US"/>
        </w:rPr>
      </w:pPr>
      <w:r w:rsidRPr="0039760F">
        <w:rPr>
          <w:iCs/>
          <w:lang w:val="en-US"/>
        </w:rPr>
        <w:t>a Registered Native Title Body Corporate</w:t>
      </w:r>
    </w:p>
    <w:p w14:paraId="453C7A95" w14:textId="77777777" w:rsidR="0039760F" w:rsidRPr="0039760F" w:rsidRDefault="0039760F" w:rsidP="00007EE6">
      <w:pPr>
        <w:pStyle w:val="BodyText"/>
        <w:numPr>
          <w:ilvl w:val="1"/>
          <w:numId w:val="29"/>
        </w:numPr>
        <w:spacing w:before="60" w:after="0"/>
        <w:rPr>
          <w:iCs/>
          <w:lang w:val="en-US"/>
        </w:rPr>
      </w:pPr>
      <w:r w:rsidRPr="0039760F">
        <w:rPr>
          <w:iCs/>
          <w:lang w:val="en-US"/>
        </w:rPr>
        <w:t>a Native Title Representative Body (NTRB) or a Native Title Service Provider (NTSP)</w:t>
      </w:r>
    </w:p>
    <w:p w14:paraId="3C3776D4" w14:textId="77777777" w:rsidR="0039760F" w:rsidRPr="0039760F" w:rsidRDefault="0039760F" w:rsidP="00007EE6">
      <w:pPr>
        <w:pStyle w:val="BodyText"/>
        <w:numPr>
          <w:ilvl w:val="1"/>
          <w:numId w:val="29"/>
        </w:numPr>
        <w:spacing w:before="60"/>
        <w:rPr>
          <w:iCs/>
          <w:lang w:val="en-US"/>
        </w:rPr>
      </w:pPr>
      <w:r w:rsidRPr="0039760F">
        <w:rPr>
          <w:iCs/>
          <w:lang w:val="en-US"/>
        </w:rPr>
        <w:t>Aboriginal land councils or corporations established under relevant legislation.</w:t>
      </w:r>
    </w:p>
    <w:p w14:paraId="36D66E8B" w14:textId="77777777" w:rsidR="0039760F" w:rsidRPr="0039760F" w:rsidRDefault="0039760F" w:rsidP="0039760F">
      <w:pPr>
        <w:pStyle w:val="BodyText"/>
        <w:numPr>
          <w:ilvl w:val="0"/>
          <w:numId w:val="20"/>
        </w:numPr>
        <w:spacing w:before="60"/>
        <w:rPr>
          <w:iCs/>
          <w:lang w:val="en-US"/>
        </w:rPr>
      </w:pPr>
      <w:r w:rsidRPr="0039760F">
        <w:rPr>
          <w:iCs/>
          <w:lang w:val="en-US"/>
        </w:rPr>
        <w:t>Describe</w:t>
      </w:r>
      <w:r>
        <w:rPr>
          <w:iCs/>
          <w:lang w:val="en-US"/>
        </w:rPr>
        <w:t>d</w:t>
      </w:r>
      <w:r w:rsidRPr="0039760F">
        <w:rPr>
          <w:iCs/>
          <w:lang w:val="en-US"/>
        </w:rPr>
        <w:t xml:space="preserve"> the broader social benefits of the project for the community, marine user groups or stakeholders.</w:t>
      </w:r>
    </w:p>
    <w:p w14:paraId="5B5BA7EE" w14:textId="472C815F" w:rsidR="0039760F" w:rsidRPr="0039760F" w:rsidRDefault="0039760F" w:rsidP="0039760F">
      <w:pPr>
        <w:pStyle w:val="BodyText"/>
        <w:numPr>
          <w:ilvl w:val="0"/>
          <w:numId w:val="20"/>
        </w:numPr>
        <w:spacing w:before="60"/>
        <w:rPr>
          <w:iCs/>
          <w:lang w:val="en-US"/>
        </w:rPr>
      </w:pPr>
      <w:r w:rsidRPr="0039760F">
        <w:rPr>
          <w:iCs/>
          <w:lang w:val="en-US"/>
        </w:rPr>
        <w:t>Describe</w:t>
      </w:r>
      <w:r>
        <w:rPr>
          <w:iCs/>
          <w:lang w:val="en-US"/>
        </w:rPr>
        <w:t>d</w:t>
      </w:r>
      <w:r w:rsidRPr="0039760F">
        <w:rPr>
          <w:iCs/>
          <w:lang w:val="en-US"/>
        </w:rPr>
        <w:t xml:space="preserve"> how the local community and/or stakeholders will be involved in the project, including through direct participation, capacity building or communication activities.</w:t>
      </w:r>
    </w:p>
    <w:p w14:paraId="664642B4" w14:textId="77777777" w:rsidR="0039760F" w:rsidRPr="0039760F" w:rsidRDefault="0039760F" w:rsidP="00C85D91">
      <w:pPr>
        <w:pStyle w:val="BodyText"/>
        <w:numPr>
          <w:ilvl w:val="0"/>
          <w:numId w:val="20"/>
        </w:numPr>
        <w:spacing w:before="60"/>
        <w:rPr>
          <w:iCs/>
          <w:lang w:val="en-US"/>
        </w:rPr>
      </w:pPr>
      <w:r w:rsidRPr="0039760F">
        <w:rPr>
          <w:iCs/>
          <w:lang w:val="en-US"/>
        </w:rPr>
        <w:t>Demonstrate</w:t>
      </w:r>
      <w:r>
        <w:rPr>
          <w:iCs/>
          <w:lang w:val="en-US"/>
        </w:rPr>
        <w:t>d</w:t>
      </w:r>
      <w:r w:rsidRPr="0039760F">
        <w:rPr>
          <w:iCs/>
          <w:lang w:val="en-US"/>
        </w:rPr>
        <w:t xml:space="preserve"> that your project has the support of First Nations peoples and/or the local community.</w:t>
      </w:r>
    </w:p>
    <w:p w14:paraId="3079ED26" w14:textId="77777777" w:rsidR="00175236" w:rsidRPr="00C026E3" w:rsidRDefault="00BD595C" w:rsidP="00175236">
      <w:pPr>
        <w:pStyle w:val="BodyText"/>
        <w:spacing w:before="60"/>
      </w:pPr>
      <w:r w:rsidRPr="00C026E3">
        <w:t>Strong applications</w:t>
      </w:r>
      <w:r>
        <w:t xml:space="preserve"> demonstrated</w:t>
      </w:r>
      <w:r w:rsidR="00175236" w:rsidRPr="00C026E3">
        <w:t>:</w:t>
      </w:r>
    </w:p>
    <w:p w14:paraId="508BAB03" w14:textId="77777777" w:rsidR="006F45C4" w:rsidRPr="00C026E3" w:rsidRDefault="006F45C4" w:rsidP="006F45C4">
      <w:pPr>
        <w:pStyle w:val="BodyText"/>
        <w:numPr>
          <w:ilvl w:val="0"/>
          <w:numId w:val="24"/>
        </w:numPr>
        <w:spacing w:before="60"/>
      </w:pPr>
      <w:r w:rsidRPr="00C026E3">
        <w:t xml:space="preserve">engagement </w:t>
      </w:r>
      <w:r w:rsidR="00BD595C">
        <w:t xml:space="preserve">with </w:t>
      </w:r>
      <w:r w:rsidRPr="00C026E3">
        <w:t xml:space="preserve">key stakeholders, including First Nations </w:t>
      </w:r>
      <w:r w:rsidR="00BD595C">
        <w:t>peoples and/or community groups</w:t>
      </w:r>
    </w:p>
    <w:p w14:paraId="192C74A0" w14:textId="77777777" w:rsidR="006F45C4" w:rsidRPr="00C026E3" w:rsidRDefault="006F45C4" w:rsidP="006F45C4">
      <w:pPr>
        <w:pStyle w:val="BodyText"/>
        <w:numPr>
          <w:ilvl w:val="0"/>
          <w:numId w:val="24"/>
        </w:numPr>
        <w:spacing w:before="60"/>
      </w:pPr>
      <w:r w:rsidRPr="00C026E3">
        <w:t>genuine engagement with relevant First Nations peoples/organisations and details of how they would be</w:t>
      </w:r>
      <w:r w:rsidR="00BD595C">
        <w:t xml:space="preserve"> involved in project activities</w:t>
      </w:r>
    </w:p>
    <w:p w14:paraId="5982CC21" w14:textId="77777777" w:rsidR="006F45C4" w:rsidRPr="00C026E3" w:rsidRDefault="006F45C4" w:rsidP="006F45C4">
      <w:pPr>
        <w:pStyle w:val="BodyText"/>
        <w:numPr>
          <w:ilvl w:val="0"/>
          <w:numId w:val="24"/>
        </w:numPr>
        <w:spacing w:before="60"/>
      </w:pPr>
      <w:r w:rsidRPr="00C026E3">
        <w:t xml:space="preserve">social, economic or cultural benefits to First Nations people, communities or marine user groups, including employment opportunities and funding </w:t>
      </w:r>
      <w:r w:rsidR="00BD595C">
        <w:t>to undertake project activities</w:t>
      </w:r>
      <w:r w:rsidRPr="00C026E3">
        <w:t xml:space="preserve"> </w:t>
      </w:r>
    </w:p>
    <w:p w14:paraId="09DDFC10" w14:textId="77777777" w:rsidR="006F45C4" w:rsidRPr="00C026E3" w:rsidRDefault="006F45C4" w:rsidP="006F45C4">
      <w:pPr>
        <w:pStyle w:val="BodyText"/>
        <w:numPr>
          <w:ilvl w:val="0"/>
          <w:numId w:val="24"/>
        </w:numPr>
        <w:spacing w:before="60"/>
      </w:pPr>
      <w:r w:rsidRPr="00C026E3">
        <w:t>the partnership ar</w:t>
      </w:r>
      <w:r w:rsidR="00BD595C">
        <w:t>rangements with co-contributors</w:t>
      </w:r>
    </w:p>
    <w:p w14:paraId="241B9EC6" w14:textId="77777777" w:rsidR="006F45C4" w:rsidRPr="00C026E3" w:rsidRDefault="006F45C4" w:rsidP="006F45C4">
      <w:pPr>
        <w:pStyle w:val="BodyText"/>
        <w:numPr>
          <w:ilvl w:val="0"/>
          <w:numId w:val="24"/>
        </w:numPr>
        <w:spacing w:before="60"/>
      </w:pPr>
      <w:r w:rsidRPr="00C026E3">
        <w:t>how stakeholder engagement would occur and how it would lead</w:t>
      </w:r>
      <w:r w:rsidR="00BD595C">
        <w:t xml:space="preserve"> to improved activity outcomes </w:t>
      </w:r>
    </w:p>
    <w:p w14:paraId="52A6C4CE" w14:textId="77777777" w:rsidR="006F45C4" w:rsidRPr="00C026E3" w:rsidRDefault="006F45C4" w:rsidP="006F45C4">
      <w:pPr>
        <w:pStyle w:val="BodyText"/>
        <w:numPr>
          <w:ilvl w:val="0"/>
          <w:numId w:val="24"/>
        </w:numPr>
        <w:spacing w:before="60"/>
      </w:pPr>
      <w:r w:rsidRPr="00C026E3">
        <w:t>provided written letters of support.</w:t>
      </w:r>
    </w:p>
    <w:p w14:paraId="62D8F97C" w14:textId="77777777" w:rsidR="006F45C4" w:rsidRPr="00C026E3" w:rsidRDefault="003F6540" w:rsidP="006F45C4">
      <w:pPr>
        <w:pStyle w:val="BodyText"/>
        <w:spacing w:before="60"/>
      </w:pPr>
      <w:r>
        <w:t>W</w:t>
      </w:r>
      <w:r w:rsidR="00BD595C">
        <w:t>eaker responses to the criteria</w:t>
      </w:r>
      <w:r w:rsidR="006F45C4" w:rsidRPr="00C026E3">
        <w:t xml:space="preserve"> did not clearly demonstrate </w:t>
      </w:r>
      <w:r w:rsidR="006F45C4" w:rsidRPr="00C026E3">
        <w:rPr>
          <w:rFonts w:ascii="Arial" w:eastAsia="Arial" w:hAnsi="Arial" w:cs="Arial"/>
          <w:color w:val="auto"/>
        </w:rPr>
        <w:t>or did not demonstrate to a comparable degree</w:t>
      </w:r>
      <w:r w:rsidR="006F45C4" w:rsidRPr="00C026E3">
        <w:t>:</w:t>
      </w:r>
    </w:p>
    <w:p w14:paraId="38E80468" w14:textId="77777777" w:rsidR="006F45C4" w:rsidRPr="00C026E3" w:rsidRDefault="00BD595C" w:rsidP="006F45C4">
      <w:pPr>
        <w:pStyle w:val="BodyText"/>
        <w:numPr>
          <w:ilvl w:val="0"/>
          <w:numId w:val="24"/>
        </w:numPr>
        <w:spacing w:before="60"/>
      </w:pPr>
      <w:r>
        <w:t>h</w:t>
      </w:r>
      <w:r w:rsidRPr="00C026E3">
        <w:t>igh</w:t>
      </w:r>
      <w:r w:rsidR="006F45C4" w:rsidRPr="00C026E3">
        <w:t xml:space="preserve"> levels of co-contributions from their</w:t>
      </w:r>
      <w:r>
        <w:t xml:space="preserve"> organisation or other partners</w:t>
      </w:r>
    </w:p>
    <w:p w14:paraId="37FDD503" w14:textId="77777777" w:rsidR="006F45C4" w:rsidRPr="00C026E3" w:rsidRDefault="00BD595C" w:rsidP="006F45C4">
      <w:pPr>
        <w:pStyle w:val="BodyText"/>
        <w:numPr>
          <w:ilvl w:val="0"/>
          <w:numId w:val="24"/>
        </w:numPr>
        <w:spacing w:before="60"/>
        <w:rPr>
          <w:rFonts w:ascii="Arial" w:eastAsia="Arial" w:hAnsi="Arial" w:cs="Arial"/>
          <w:color w:val="auto"/>
        </w:rPr>
      </w:pPr>
      <w:r>
        <w:t>h</w:t>
      </w:r>
      <w:r w:rsidRPr="00C026E3">
        <w:t>ow</w:t>
      </w:r>
      <w:r w:rsidR="006F45C4" w:rsidRPr="00C026E3">
        <w:t xml:space="preserve"> key stakeholders, community and/or First Nations groups would be involved in the project.</w:t>
      </w:r>
    </w:p>
    <w:p w14:paraId="1FE195A8" w14:textId="77777777" w:rsidR="00007EE6" w:rsidRDefault="00007EE6">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2C36FF09" w14:textId="77777777" w:rsidR="00A72242" w:rsidRPr="00C026E3" w:rsidRDefault="00A72242" w:rsidP="00175236">
      <w:pPr>
        <w:pStyle w:val="Heading3"/>
        <w:spacing w:before="240"/>
        <w:rPr>
          <w:color w:val="C00000"/>
          <w:sz w:val="24"/>
          <w:szCs w:val="24"/>
        </w:rPr>
      </w:pPr>
      <w:r w:rsidRPr="00C026E3">
        <w:rPr>
          <w:color w:val="C00000"/>
          <w:sz w:val="24"/>
          <w:szCs w:val="24"/>
        </w:rPr>
        <w:lastRenderedPageBreak/>
        <w:t>Criterion 3</w:t>
      </w:r>
    </w:p>
    <w:p w14:paraId="54E2CE2A" w14:textId="77777777" w:rsidR="00C85D91" w:rsidRPr="00C026E3" w:rsidRDefault="0039760F" w:rsidP="00C85D91">
      <w:pPr>
        <w:pStyle w:val="BodyText"/>
        <w:spacing w:before="60"/>
      </w:pPr>
      <w:r w:rsidRPr="00C026E3">
        <w:t>Demonstrated how your project will achieve value for money.</w:t>
      </w:r>
    </w:p>
    <w:p w14:paraId="1C0C0F8E" w14:textId="770D0239" w:rsidR="0039760F" w:rsidRPr="0039760F" w:rsidRDefault="005C32B4" w:rsidP="0039760F">
      <w:pPr>
        <w:numPr>
          <w:ilvl w:val="0"/>
          <w:numId w:val="19"/>
        </w:numPr>
        <w:spacing w:before="60" w:after="140"/>
        <w:ind w:left="709" w:hanging="357"/>
        <w:rPr>
          <w:rFonts w:ascii="Arial" w:eastAsia="Times New Roman" w:hAnsi="Arial" w:cs="Calibri"/>
          <w:color w:val="auto"/>
          <w:szCs w:val="22"/>
          <w:lang w:val="en-US"/>
        </w:rPr>
      </w:pPr>
      <w:r>
        <w:rPr>
          <w:rFonts w:ascii="Arial" w:eastAsia="Times New Roman" w:hAnsi="Arial" w:cs="Calibri"/>
          <w:color w:val="auto"/>
          <w:szCs w:val="22"/>
          <w:lang w:val="en-US"/>
        </w:rPr>
        <w:t>D</w:t>
      </w:r>
      <w:r w:rsidRPr="00C026E3">
        <w:rPr>
          <w:rFonts w:ascii="Arial" w:eastAsia="Times New Roman" w:hAnsi="Arial" w:cs="Calibri"/>
          <w:color w:val="auto"/>
          <w:szCs w:val="22"/>
          <w:lang w:val="en-US"/>
        </w:rPr>
        <w:t xml:space="preserve">emonstrated </w:t>
      </w:r>
      <w:r w:rsidR="0039760F" w:rsidRPr="00C026E3">
        <w:rPr>
          <w:rFonts w:ascii="Arial" w:eastAsia="Times New Roman" w:hAnsi="Arial" w:cs="Calibri"/>
          <w:color w:val="auto"/>
          <w:szCs w:val="22"/>
          <w:lang w:val="en-US"/>
        </w:rPr>
        <w:t>high levels of co-contributions (financial and in-kind) from</w:t>
      </w:r>
      <w:r w:rsidR="0039760F" w:rsidRPr="0039760F">
        <w:rPr>
          <w:rFonts w:ascii="Arial" w:eastAsia="Times New Roman" w:hAnsi="Arial" w:cs="Calibri"/>
          <w:color w:val="auto"/>
          <w:szCs w:val="22"/>
          <w:lang w:val="en-US"/>
        </w:rPr>
        <w:t xml:space="preserve"> your organisation and/or other parties (such as external partners or state or te</w:t>
      </w:r>
      <w:r w:rsidR="00007EE6">
        <w:rPr>
          <w:rFonts w:ascii="Arial" w:eastAsia="Times New Roman" w:hAnsi="Arial" w:cs="Calibri"/>
          <w:color w:val="auto"/>
          <w:szCs w:val="22"/>
          <w:lang w:val="en-US"/>
        </w:rPr>
        <w:t>rritory funding schemes/grants)</w:t>
      </w:r>
      <w:r>
        <w:rPr>
          <w:rFonts w:ascii="Arial" w:eastAsia="Times New Roman" w:hAnsi="Arial" w:cs="Calibri"/>
          <w:color w:val="auto"/>
          <w:szCs w:val="22"/>
          <w:lang w:val="en-US"/>
        </w:rPr>
        <w:t>.</w:t>
      </w:r>
    </w:p>
    <w:p w14:paraId="15BD7C73" w14:textId="36B3AA71" w:rsidR="0039760F" w:rsidRPr="0039760F" w:rsidRDefault="005C32B4" w:rsidP="0039760F">
      <w:pPr>
        <w:numPr>
          <w:ilvl w:val="0"/>
          <w:numId w:val="19"/>
        </w:numPr>
        <w:spacing w:before="60" w:after="140"/>
        <w:ind w:left="709" w:hanging="357"/>
        <w:rPr>
          <w:rFonts w:ascii="Arial" w:eastAsia="Times New Roman" w:hAnsi="Arial" w:cs="Calibri"/>
          <w:color w:val="auto"/>
          <w:szCs w:val="22"/>
          <w:lang w:val="en-US"/>
        </w:rPr>
      </w:pPr>
      <w:r>
        <w:rPr>
          <w:rFonts w:ascii="Arial" w:eastAsia="Times New Roman" w:hAnsi="Arial" w:cs="Calibri"/>
          <w:color w:val="auto"/>
          <w:szCs w:val="22"/>
          <w:lang w:val="en-US"/>
        </w:rPr>
        <w:t>O</w:t>
      </w:r>
      <w:r w:rsidRPr="0039760F">
        <w:rPr>
          <w:rFonts w:ascii="Arial" w:eastAsia="Times New Roman" w:hAnsi="Arial" w:cs="Calibri"/>
          <w:color w:val="auto"/>
          <w:szCs w:val="22"/>
          <w:lang w:val="en-US"/>
        </w:rPr>
        <w:t xml:space="preserve">utlined </w:t>
      </w:r>
      <w:r w:rsidR="0039760F" w:rsidRPr="0039760F">
        <w:rPr>
          <w:rFonts w:ascii="Arial" w:eastAsia="Times New Roman" w:hAnsi="Arial" w:cs="Calibri"/>
          <w:color w:val="auto"/>
          <w:szCs w:val="22"/>
          <w:lang w:val="en-US"/>
        </w:rPr>
        <w:t>how all costs associated with the delivery of your organisation’s activity are price competitive</w:t>
      </w:r>
      <w:r>
        <w:rPr>
          <w:rFonts w:ascii="Arial" w:eastAsia="Times New Roman" w:hAnsi="Arial" w:cs="Calibri"/>
          <w:color w:val="auto"/>
          <w:szCs w:val="22"/>
          <w:lang w:val="en-US"/>
        </w:rPr>
        <w:t>.</w:t>
      </w:r>
    </w:p>
    <w:p w14:paraId="215C14A8" w14:textId="4F936F5E" w:rsidR="0039760F" w:rsidRPr="0039760F" w:rsidRDefault="005C32B4" w:rsidP="0039760F">
      <w:pPr>
        <w:numPr>
          <w:ilvl w:val="0"/>
          <w:numId w:val="19"/>
        </w:numPr>
        <w:spacing w:before="60" w:after="140"/>
        <w:ind w:left="709" w:hanging="357"/>
        <w:rPr>
          <w:rFonts w:ascii="Arial" w:eastAsia="Times New Roman" w:hAnsi="Arial" w:cs="Calibri"/>
          <w:color w:val="auto"/>
          <w:szCs w:val="22"/>
          <w:lang w:val="en-US"/>
        </w:rPr>
      </w:pPr>
      <w:r>
        <w:rPr>
          <w:rFonts w:ascii="Arial" w:eastAsia="Times New Roman" w:hAnsi="Arial" w:cs="Calibri"/>
          <w:color w:val="auto"/>
          <w:szCs w:val="22"/>
          <w:lang w:val="en-US"/>
        </w:rPr>
        <w:t>O</w:t>
      </w:r>
      <w:r w:rsidRPr="0039760F">
        <w:rPr>
          <w:rFonts w:ascii="Arial" w:eastAsia="Times New Roman" w:hAnsi="Arial" w:cs="Calibri"/>
          <w:color w:val="auto"/>
          <w:szCs w:val="22"/>
          <w:lang w:val="en-US"/>
        </w:rPr>
        <w:t xml:space="preserve">utlined </w:t>
      </w:r>
      <w:r w:rsidR="0039760F" w:rsidRPr="0039760F">
        <w:rPr>
          <w:rFonts w:ascii="Arial" w:eastAsia="Times New Roman" w:hAnsi="Arial" w:cs="Calibri"/>
          <w:color w:val="auto"/>
          <w:szCs w:val="22"/>
          <w:lang w:val="en-US"/>
        </w:rPr>
        <w:t>how any large expenditure item (items over $50,000) is justified to achieve the objectives of the project</w:t>
      </w:r>
      <w:r>
        <w:rPr>
          <w:rFonts w:ascii="Arial" w:eastAsia="Times New Roman" w:hAnsi="Arial" w:cs="Calibri"/>
          <w:color w:val="auto"/>
          <w:szCs w:val="22"/>
          <w:lang w:val="en-US"/>
        </w:rPr>
        <w:t>.</w:t>
      </w:r>
    </w:p>
    <w:p w14:paraId="64913271" w14:textId="56A7DD03" w:rsidR="0039760F" w:rsidRPr="0039760F" w:rsidRDefault="005C32B4" w:rsidP="0039760F">
      <w:pPr>
        <w:numPr>
          <w:ilvl w:val="0"/>
          <w:numId w:val="19"/>
        </w:numPr>
        <w:spacing w:before="60" w:after="140"/>
        <w:ind w:left="709" w:hanging="357"/>
        <w:rPr>
          <w:rFonts w:ascii="Arial" w:eastAsia="Times New Roman" w:hAnsi="Arial" w:cs="Calibri"/>
          <w:color w:val="auto"/>
          <w:szCs w:val="22"/>
          <w:lang w:val="en-US"/>
        </w:rPr>
      </w:pPr>
      <w:r>
        <w:rPr>
          <w:rFonts w:ascii="Arial" w:eastAsia="Times New Roman" w:hAnsi="Arial" w:cs="Calibri"/>
          <w:color w:val="auto"/>
          <w:szCs w:val="22"/>
          <w:lang w:val="en-US"/>
        </w:rPr>
        <w:t>I</w:t>
      </w:r>
      <w:r w:rsidRPr="0039760F">
        <w:rPr>
          <w:rFonts w:ascii="Arial" w:eastAsia="Times New Roman" w:hAnsi="Arial" w:cs="Calibri"/>
          <w:color w:val="auto"/>
          <w:szCs w:val="22"/>
          <w:lang w:val="en-US"/>
        </w:rPr>
        <w:t xml:space="preserve">dentified </w:t>
      </w:r>
      <w:r w:rsidR="0039760F" w:rsidRPr="0039760F">
        <w:rPr>
          <w:rFonts w:ascii="Arial" w:eastAsia="Times New Roman" w:hAnsi="Arial" w:cs="Calibri"/>
          <w:color w:val="auto"/>
          <w:szCs w:val="22"/>
          <w:lang w:val="en-US"/>
        </w:rPr>
        <w:t>opportunities for lower cost solutions (that is, partial funding options or cost savings), where appropriate</w:t>
      </w:r>
      <w:r>
        <w:rPr>
          <w:rFonts w:ascii="Arial" w:eastAsia="Times New Roman" w:hAnsi="Arial" w:cs="Calibri"/>
          <w:color w:val="auto"/>
          <w:szCs w:val="22"/>
          <w:lang w:val="en-US"/>
        </w:rPr>
        <w:t>.</w:t>
      </w:r>
    </w:p>
    <w:p w14:paraId="314908D8" w14:textId="4217AA95" w:rsidR="0039760F" w:rsidRPr="0039760F" w:rsidRDefault="005C32B4" w:rsidP="0039760F">
      <w:pPr>
        <w:numPr>
          <w:ilvl w:val="0"/>
          <w:numId w:val="19"/>
        </w:numPr>
        <w:spacing w:before="60" w:after="140"/>
        <w:ind w:left="709" w:hanging="357"/>
        <w:rPr>
          <w:rFonts w:ascii="Arial" w:eastAsia="Times New Roman" w:hAnsi="Arial" w:cs="Calibri"/>
          <w:color w:val="auto"/>
          <w:szCs w:val="22"/>
          <w:lang w:val="en-US"/>
        </w:rPr>
      </w:pPr>
      <w:r>
        <w:rPr>
          <w:rFonts w:ascii="Arial" w:eastAsia="Times New Roman" w:hAnsi="Arial"/>
          <w:color w:val="auto"/>
          <w:szCs w:val="22"/>
        </w:rPr>
        <w:t>F</w:t>
      </w:r>
      <w:r w:rsidRPr="0039760F">
        <w:rPr>
          <w:rFonts w:ascii="Arial" w:eastAsia="Times New Roman" w:hAnsi="Arial"/>
          <w:color w:val="auto"/>
          <w:szCs w:val="22"/>
        </w:rPr>
        <w:t xml:space="preserve">or </w:t>
      </w:r>
      <w:r w:rsidR="0039760F" w:rsidRPr="0039760F">
        <w:rPr>
          <w:rFonts w:ascii="Arial" w:eastAsia="Times New Roman" w:hAnsi="Arial"/>
          <w:color w:val="auto"/>
          <w:szCs w:val="22"/>
        </w:rPr>
        <w:t>research and technological type projects, described how well developed the methods, solutions and technologies are (for example, are they: (1) proven and ready to be applied; (2) at the proof of concept or trial phase; (3) at the initial research phase; or (4) not yet developed). Projects that are more well advanced will be assessed more favourably.</w:t>
      </w:r>
    </w:p>
    <w:p w14:paraId="59E5209B" w14:textId="77777777" w:rsidR="00F01245" w:rsidRPr="00BD595C" w:rsidRDefault="00F01245" w:rsidP="00BD595C">
      <w:pPr>
        <w:pStyle w:val="BodyText"/>
        <w:spacing w:before="60"/>
      </w:pPr>
      <w:r w:rsidRPr="00C026E3">
        <w:rPr>
          <w:rFonts w:ascii="Arial" w:eastAsia="Arial" w:hAnsi="Arial" w:cs="Arial"/>
          <w:color w:val="auto"/>
        </w:rPr>
        <w:t xml:space="preserve">Strong </w:t>
      </w:r>
      <w:r w:rsidR="00BD595C" w:rsidRPr="00C026E3">
        <w:t>applications</w:t>
      </w:r>
      <w:r w:rsidR="00BD595C">
        <w:t xml:space="preserve"> demonstrated</w:t>
      </w:r>
      <w:r w:rsidRPr="00C026E3">
        <w:rPr>
          <w:rFonts w:ascii="Arial" w:eastAsia="Arial" w:hAnsi="Arial" w:cs="Arial"/>
          <w:color w:val="auto"/>
        </w:rPr>
        <w:t>:</w:t>
      </w:r>
    </w:p>
    <w:p w14:paraId="4620C7DB" w14:textId="77777777" w:rsidR="00F01245" w:rsidRPr="00C026E3" w:rsidRDefault="00F01245" w:rsidP="00F01245">
      <w:pPr>
        <w:pStyle w:val="BodyText"/>
        <w:numPr>
          <w:ilvl w:val="0"/>
          <w:numId w:val="25"/>
        </w:numPr>
      </w:pPr>
      <w:r w:rsidRPr="00C026E3">
        <w:rPr>
          <w:rFonts w:ascii="Arial" w:eastAsia="Arial" w:hAnsi="Arial" w:cs="Arial"/>
          <w:color w:val="auto"/>
        </w:rPr>
        <w:t>how</w:t>
      </w:r>
      <w:r w:rsidRPr="00C026E3">
        <w:t xml:space="preserve"> project outcomes would be additional to existing activities</w:t>
      </w:r>
    </w:p>
    <w:p w14:paraId="729FE576" w14:textId="77777777" w:rsidR="00F01245" w:rsidRPr="00C026E3" w:rsidRDefault="00F01245" w:rsidP="00F01245">
      <w:pPr>
        <w:pStyle w:val="BodyText"/>
        <w:numPr>
          <w:ilvl w:val="0"/>
          <w:numId w:val="25"/>
        </w:numPr>
      </w:pPr>
      <w:r w:rsidRPr="00C026E3">
        <w:t>a budget that was value for money, realistic and market value</w:t>
      </w:r>
    </w:p>
    <w:p w14:paraId="7B32D5F3" w14:textId="77777777" w:rsidR="00F01245" w:rsidRPr="00C026E3" w:rsidRDefault="00F01245" w:rsidP="00F01245">
      <w:pPr>
        <w:pStyle w:val="BodyText"/>
        <w:numPr>
          <w:ilvl w:val="0"/>
          <w:numId w:val="25"/>
        </w:numPr>
      </w:pPr>
      <w:r w:rsidRPr="00C026E3">
        <w:t>how the project would benefit the wider community</w:t>
      </w:r>
    </w:p>
    <w:p w14:paraId="6846D5AB" w14:textId="77777777" w:rsidR="00F01245" w:rsidRPr="00C026E3" w:rsidRDefault="00F01245" w:rsidP="00F01245">
      <w:pPr>
        <w:pStyle w:val="BodyText"/>
        <w:numPr>
          <w:ilvl w:val="0"/>
          <w:numId w:val="25"/>
        </w:numPr>
      </w:pPr>
      <w:r w:rsidRPr="00C026E3">
        <w:t>that the budget is proportioned in an effective way to achieve project outcomes</w:t>
      </w:r>
    </w:p>
    <w:p w14:paraId="007FEDD9" w14:textId="77777777" w:rsidR="00F01245" w:rsidRPr="00C026E3" w:rsidRDefault="00F01245" w:rsidP="00F01245">
      <w:pPr>
        <w:pStyle w:val="BodyText"/>
        <w:numPr>
          <w:ilvl w:val="0"/>
          <w:numId w:val="25"/>
        </w:numPr>
      </w:pPr>
      <w:r w:rsidRPr="00C026E3">
        <w:t>the co-contributions of partners involved in the project</w:t>
      </w:r>
      <w:r w:rsidR="00BD595C">
        <w:t xml:space="preserve"> </w:t>
      </w:r>
    </w:p>
    <w:p w14:paraId="46D44073" w14:textId="77777777" w:rsidR="00F01245" w:rsidRPr="00C026E3" w:rsidRDefault="00F01245" w:rsidP="00F01245">
      <w:pPr>
        <w:pStyle w:val="BodyText"/>
        <w:numPr>
          <w:ilvl w:val="0"/>
          <w:numId w:val="25"/>
        </w:numPr>
      </w:pPr>
      <w:r w:rsidRPr="00C026E3">
        <w:t>high in-kind contributions.</w:t>
      </w:r>
    </w:p>
    <w:p w14:paraId="57B95278" w14:textId="77777777" w:rsidR="00BD595C" w:rsidRPr="00C026E3" w:rsidRDefault="003F6540" w:rsidP="00BD595C">
      <w:pPr>
        <w:pStyle w:val="BodyText"/>
        <w:spacing w:before="60"/>
      </w:pPr>
      <w:r>
        <w:t>W</w:t>
      </w:r>
      <w:r w:rsidR="00BD595C">
        <w:t>eaker responses to the criteria</w:t>
      </w:r>
      <w:r w:rsidR="00BD595C" w:rsidRPr="00C026E3">
        <w:t xml:space="preserve"> did not clearly demonstrate </w:t>
      </w:r>
      <w:r w:rsidR="00BD595C" w:rsidRPr="00C026E3">
        <w:rPr>
          <w:rFonts w:ascii="Arial" w:eastAsia="Arial" w:hAnsi="Arial" w:cs="Arial"/>
          <w:color w:val="auto"/>
        </w:rPr>
        <w:t>or did not demonstrate to a comparable degree</w:t>
      </w:r>
      <w:r w:rsidR="00BD595C" w:rsidRPr="00C026E3">
        <w:t>:</w:t>
      </w:r>
    </w:p>
    <w:p w14:paraId="7B9DB0F6" w14:textId="77777777" w:rsidR="00F01245" w:rsidRPr="00C026E3" w:rsidRDefault="00F01245" w:rsidP="00F01245">
      <w:pPr>
        <w:pStyle w:val="BodyText"/>
        <w:numPr>
          <w:ilvl w:val="0"/>
          <w:numId w:val="25"/>
        </w:numPr>
      </w:pPr>
      <w:r w:rsidRPr="00C026E3">
        <w:t>financial or in-kind contributions from the applicant or partners</w:t>
      </w:r>
    </w:p>
    <w:p w14:paraId="6B9AD8BB" w14:textId="77777777" w:rsidR="00F01245" w:rsidRPr="00C026E3" w:rsidRDefault="00F01245" w:rsidP="00F01245">
      <w:pPr>
        <w:pStyle w:val="BodyText"/>
        <w:numPr>
          <w:ilvl w:val="0"/>
          <w:numId w:val="25"/>
        </w:numPr>
      </w:pPr>
      <w:r w:rsidRPr="00C026E3">
        <w:t>reasonable budgeted costs in relation to the project, including administration and capital costs.</w:t>
      </w:r>
    </w:p>
    <w:p w14:paraId="2E797871" w14:textId="77777777" w:rsidR="00007EE6" w:rsidRDefault="00007EE6">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050E604B" w14:textId="77777777" w:rsidR="00A72242" w:rsidRPr="00175236" w:rsidRDefault="00A72242" w:rsidP="00175236">
      <w:pPr>
        <w:pStyle w:val="Heading3"/>
        <w:spacing w:before="240"/>
        <w:rPr>
          <w:color w:val="C00000"/>
          <w:sz w:val="24"/>
          <w:szCs w:val="24"/>
        </w:rPr>
      </w:pPr>
      <w:r w:rsidRPr="00C026E3">
        <w:rPr>
          <w:color w:val="C00000"/>
          <w:sz w:val="24"/>
          <w:szCs w:val="24"/>
        </w:rPr>
        <w:lastRenderedPageBreak/>
        <w:t>Criterion 4</w:t>
      </w:r>
    </w:p>
    <w:p w14:paraId="1390DD8A" w14:textId="08E46A4E" w:rsidR="00C85D91" w:rsidRPr="0039760F" w:rsidRDefault="0039760F" w:rsidP="00C85D91">
      <w:pPr>
        <w:pStyle w:val="BodyText"/>
        <w:spacing w:before="60"/>
        <w:rPr>
          <w:color w:val="auto"/>
          <w:highlight w:val="yellow"/>
        </w:rPr>
      </w:pPr>
      <w:r w:rsidRPr="0039760F">
        <w:rPr>
          <w:color w:val="auto"/>
        </w:rPr>
        <w:t>Demonstrate your capability to deliver the project on time and within budget</w:t>
      </w:r>
      <w:r w:rsidR="005C32B4">
        <w:rPr>
          <w:color w:val="auto"/>
        </w:rPr>
        <w:t>.</w:t>
      </w:r>
    </w:p>
    <w:p w14:paraId="378FA4C4" w14:textId="611E177A" w:rsidR="0039760F" w:rsidRPr="0039760F" w:rsidRDefault="0039760F" w:rsidP="0039760F">
      <w:pPr>
        <w:numPr>
          <w:ilvl w:val="0"/>
          <w:numId w:val="18"/>
        </w:numPr>
        <w:spacing w:before="60" w:after="140"/>
        <w:ind w:left="709" w:hanging="357"/>
        <w:rPr>
          <w:rFonts w:ascii="Arial" w:eastAsia="Times New Roman" w:hAnsi="Arial" w:cs="Calibri"/>
          <w:color w:val="auto"/>
          <w:szCs w:val="22"/>
          <w:lang w:val="en-US"/>
        </w:rPr>
      </w:pPr>
      <w:r w:rsidRPr="0039760F">
        <w:rPr>
          <w:rFonts w:ascii="Arial" w:eastAsia="Times New Roman" w:hAnsi="Arial"/>
          <w:color w:val="auto"/>
          <w:szCs w:val="22"/>
        </w:rPr>
        <w:t>Demonstrated your organisation’s experience or ability to develop and implement similar projects using relevant examples</w:t>
      </w:r>
      <w:r w:rsidR="005C32B4">
        <w:rPr>
          <w:rFonts w:ascii="Arial" w:eastAsia="Times New Roman" w:hAnsi="Arial"/>
          <w:color w:val="auto"/>
          <w:szCs w:val="22"/>
        </w:rPr>
        <w:t>.</w:t>
      </w:r>
    </w:p>
    <w:p w14:paraId="1CB0BE6F" w14:textId="4892F896" w:rsidR="0039760F" w:rsidRPr="0039760F" w:rsidRDefault="0039760F" w:rsidP="0039760F">
      <w:pPr>
        <w:numPr>
          <w:ilvl w:val="0"/>
          <w:numId w:val="18"/>
        </w:numPr>
        <w:spacing w:before="60" w:after="140"/>
        <w:ind w:left="709" w:hanging="357"/>
        <w:rPr>
          <w:rFonts w:ascii="Arial" w:eastAsia="Times New Roman" w:hAnsi="Arial"/>
          <w:color w:val="auto"/>
          <w:szCs w:val="22"/>
        </w:rPr>
      </w:pPr>
      <w:r w:rsidRPr="0039760F">
        <w:rPr>
          <w:rFonts w:ascii="Arial" w:eastAsia="Times New Roman" w:hAnsi="Arial" w:cs="Calibri"/>
          <w:color w:val="auto"/>
          <w:szCs w:val="22"/>
          <w:lang w:val="en-US"/>
        </w:rPr>
        <w:t xml:space="preserve">Described the </w:t>
      </w:r>
      <w:r w:rsidRPr="0039760F">
        <w:rPr>
          <w:rFonts w:ascii="Arial" w:eastAsia="Times New Roman" w:hAnsi="Arial"/>
          <w:color w:val="auto"/>
          <w:szCs w:val="22"/>
        </w:rPr>
        <w:t>relevant skills, experience and qualifications of key personnel and their role in the project</w:t>
      </w:r>
      <w:r w:rsidR="005C32B4">
        <w:rPr>
          <w:rFonts w:ascii="Arial" w:eastAsia="Times New Roman" w:hAnsi="Arial"/>
          <w:color w:val="auto"/>
          <w:szCs w:val="22"/>
        </w:rPr>
        <w:t>.</w:t>
      </w:r>
    </w:p>
    <w:p w14:paraId="438669E3" w14:textId="6D125317" w:rsidR="0039760F" w:rsidRPr="0039760F" w:rsidRDefault="0039760F" w:rsidP="0039760F">
      <w:pPr>
        <w:numPr>
          <w:ilvl w:val="0"/>
          <w:numId w:val="18"/>
        </w:numPr>
        <w:spacing w:before="60" w:after="140"/>
        <w:ind w:left="709" w:hanging="357"/>
        <w:rPr>
          <w:rFonts w:ascii="Arial" w:eastAsia="Times New Roman" w:hAnsi="Arial" w:cs="Calibri"/>
          <w:color w:val="auto"/>
          <w:szCs w:val="22"/>
          <w:lang w:val="en-US"/>
        </w:rPr>
      </w:pPr>
      <w:r w:rsidRPr="0039760F">
        <w:rPr>
          <w:rFonts w:ascii="Arial" w:eastAsia="Times New Roman" w:hAnsi="Arial"/>
          <w:color w:val="auto"/>
          <w:szCs w:val="22"/>
        </w:rPr>
        <w:t>Explained the governance, management, financial and administration systems that your</w:t>
      </w:r>
      <w:r w:rsidRPr="0039760F">
        <w:rPr>
          <w:rFonts w:ascii="Arial" w:eastAsia="Times New Roman" w:hAnsi="Arial" w:cs="Calibri"/>
          <w:color w:val="auto"/>
          <w:szCs w:val="22"/>
        </w:rPr>
        <w:t xml:space="preserve"> organisation will use </w:t>
      </w:r>
      <w:r w:rsidRPr="0039760F">
        <w:rPr>
          <w:rFonts w:ascii="Arial" w:eastAsia="Times New Roman" w:hAnsi="Arial" w:cs="Calibri"/>
          <w:color w:val="000000"/>
          <w:szCs w:val="22"/>
        </w:rPr>
        <w:t>to help deliver the activity on time and within budget</w:t>
      </w:r>
      <w:r w:rsidR="005C32B4">
        <w:rPr>
          <w:rFonts w:ascii="Arial" w:eastAsia="Times New Roman" w:hAnsi="Arial" w:cs="Calibri"/>
          <w:color w:val="000000"/>
          <w:szCs w:val="22"/>
        </w:rPr>
        <w:t>.</w:t>
      </w:r>
    </w:p>
    <w:p w14:paraId="169900D6" w14:textId="77777777" w:rsidR="0039760F" w:rsidRPr="0039760F" w:rsidRDefault="0039760F" w:rsidP="0039760F">
      <w:pPr>
        <w:numPr>
          <w:ilvl w:val="0"/>
          <w:numId w:val="18"/>
        </w:numPr>
        <w:spacing w:before="60" w:after="140"/>
        <w:ind w:left="709" w:hanging="357"/>
        <w:rPr>
          <w:rFonts w:ascii="Arial" w:eastAsia="Times New Roman" w:hAnsi="Arial" w:cs="Calibri"/>
          <w:color w:val="auto"/>
          <w:szCs w:val="22"/>
          <w:lang w:val="en-US"/>
        </w:rPr>
      </w:pPr>
      <w:r w:rsidRPr="0039760F">
        <w:rPr>
          <w:rFonts w:ascii="Arial" w:eastAsia="Times New Roman" w:hAnsi="Arial" w:cs="Calibri"/>
          <w:color w:val="auto"/>
          <w:szCs w:val="22"/>
          <w:lang w:val="en-US"/>
        </w:rPr>
        <w:t>Identified areas of risk or uncertainty relating to project delivery, and how those issues might be handled.</w:t>
      </w:r>
    </w:p>
    <w:p w14:paraId="06C1BD48" w14:textId="77777777" w:rsidR="00BD595C" w:rsidRPr="00C026E3" w:rsidRDefault="00BD595C" w:rsidP="00BD595C">
      <w:pPr>
        <w:pStyle w:val="BodyText"/>
        <w:spacing w:before="60"/>
      </w:pPr>
      <w:r>
        <w:t xml:space="preserve">Strong </w:t>
      </w:r>
      <w:r w:rsidRPr="00C026E3">
        <w:t>applications</w:t>
      </w:r>
      <w:r>
        <w:t xml:space="preserve"> demonstrated</w:t>
      </w:r>
      <w:r w:rsidRPr="00C026E3">
        <w:t>:</w:t>
      </w:r>
    </w:p>
    <w:p w14:paraId="518714B9" w14:textId="77777777" w:rsidR="00F01245" w:rsidRPr="00C026E3" w:rsidRDefault="00F01245" w:rsidP="00F01245">
      <w:pPr>
        <w:pStyle w:val="BodyText"/>
        <w:numPr>
          <w:ilvl w:val="0"/>
          <w:numId w:val="26"/>
        </w:numPr>
        <w:spacing w:before="60"/>
      </w:pPr>
      <w:r w:rsidRPr="00C026E3">
        <w:rPr>
          <w:rFonts w:ascii="Arial" w:eastAsia="Arial" w:hAnsi="Arial" w:cs="Arial"/>
          <w:color w:val="auto"/>
        </w:rPr>
        <w:t>t</w:t>
      </w:r>
      <w:r w:rsidRPr="00C026E3">
        <w:t>he experience of the key personnel and organisation in administering grants and securing outcomes</w:t>
      </w:r>
    </w:p>
    <w:p w14:paraId="4632E56F" w14:textId="77777777" w:rsidR="00F01245" w:rsidRPr="00C026E3" w:rsidRDefault="00F01245" w:rsidP="00F01245">
      <w:pPr>
        <w:pStyle w:val="BodyText"/>
        <w:numPr>
          <w:ilvl w:val="0"/>
          <w:numId w:val="26"/>
        </w:numPr>
        <w:spacing w:before="60"/>
      </w:pPr>
      <w:r w:rsidRPr="00C026E3">
        <w:t>how partner organisations also had the capacity to successfully deliver similar projects</w:t>
      </w:r>
    </w:p>
    <w:p w14:paraId="2998A034" w14:textId="77777777" w:rsidR="00F01245" w:rsidRPr="00C026E3" w:rsidRDefault="00F01245" w:rsidP="00F01245">
      <w:pPr>
        <w:pStyle w:val="BodyText"/>
        <w:numPr>
          <w:ilvl w:val="0"/>
          <w:numId w:val="26"/>
        </w:numPr>
        <w:spacing w:before="60"/>
      </w:pPr>
      <w:r w:rsidRPr="00C026E3">
        <w:t>key personnel with the appropriate skills and experience, and how those key personnel were engaged in the project deliverables</w:t>
      </w:r>
    </w:p>
    <w:p w14:paraId="5F46AC4D" w14:textId="77777777" w:rsidR="00F01245" w:rsidRPr="00C026E3" w:rsidRDefault="00F01245" w:rsidP="00F01245">
      <w:pPr>
        <w:pStyle w:val="BodyText"/>
        <w:numPr>
          <w:ilvl w:val="0"/>
          <w:numId w:val="26"/>
        </w:numPr>
        <w:spacing w:before="60"/>
      </w:pPr>
      <w:r w:rsidRPr="00C026E3">
        <w:t>established governance and administrative arrangements within their organisation and with key partners.</w:t>
      </w:r>
    </w:p>
    <w:p w14:paraId="354CF5C4" w14:textId="77777777" w:rsidR="00BD595C" w:rsidRPr="00C026E3" w:rsidRDefault="003F6540" w:rsidP="00BD595C">
      <w:pPr>
        <w:pStyle w:val="BodyText"/>
        <w:spacing w:before="60"/>
      </w:pPr>
      <w:r>
        <w:t>W</w:t>
      </w:r>
      <w:r w:rsidR="00BD595C">
        <w:t>eaker responses to the criteria</w:t>
      </w:r>
      <w:r w:rsidR="00BD595C" w:rsidRPr="00C026E3">
        <w:t xml:space="preserve"> did not clearly demonstrate </w:t>
      </w:r>
      <w:r w:rsidR="00BD595C" w:rsidRPr="00C026E3">
        <w:rPr>
          <w:rFonts w:ascii="Arial" w:eastAsia="Arial" w:hAnsi="Arial" w:cs="Arial"/>
          <w:color w:val="auto"/>
        </w:rPr>
        <w:t>or did not demonstrate to a comparable degree</w:t>
      </w:r>
      <w:r w:rsidR="00BD595C" w:rsidRPr="00C026E3">
        <w:t>:</w:t>
      </w:r>
    </w:p>
    <w:p w14:paraId="647D3A57" w14:textId="77777777" w:rsidR="00007EE6" w:rsidRDefault="00F01245" w:rsidP="00007EE6">
      <w:pPr>
        <w:pStyle w:val="BodyText"/>
        <w:numPr>
          <w:ilvl w:val="0"/>
          <w:numId w:val="26"/>
        </w:numPr>
        <w:spacing w:before="60"/>
      </w:pPr>
      <w:r w:rsidRPr="00C026E3">
        <w:t>how key personnel would be involved in managing the project and their capabilities</w:t>
      </w:r>
    </w:p>
    <w:p w14:paraId="33340927" w14:textId="77777777" w:rsidR="00F01245" w:rsidRPr="00007EE6" w:rsidRDefault="00F01245" w:rsidP="00007EE6">
      <w:pPr>
        <w:pStyle w:val="BodyText"/>
        <w:numPr>
          <w:ilvl w:val="0"/>
          <w:numId w:val="26"/>
        </w:numPr>
        <w:spacing w:before="60"/>
      </w:pPr>
      <w:r w:rsidRPr="00C026E3">
        <w:t>the organisational systems in place to support the delivery of the project as described in the project plan.</w:t>
      </w:r>
    </w:p>
    <w:p w14:paraId="6E4FE612" w14:textId="77777777" w:rsidR="00A72242" w:rsidRPr="00175236" w:rsidRDefault="00A72242" w:rsidP="00175236">
      <w:pPr>
        <w:pStyle w:val="Heading2"/>
        <w:spacing w:before="240"/>
        <w:rPr>
          <w:b w:val="0"/>
          <w:color w:val="C00000"/>
          <w:sz w:val="36"/>
          <w:szCs w:val="36"/>
        </w:rPr>
      </w:pPr>
      <w:r w:rsidRPr="00175236">
        <w:rPr>
          <w:b w:val="0"/>
          <w:color w:val="C00000"/>
          <w:sz w:val="36"/>
          <w:szCs w:val="36"/>
        </w:rPr>
        <w:t xml:space="preserve">Individual feedback </w:t>
      </w:r>
    </w:p>
    <w:p w14:paraId="7C5959C5" w14:textId="77777777" w:rsidR="0020323D" w:rsidRDefault="00A72242" w:rsidP="00A72242">
      <w:pPr>
        <w:pStyle w:val="BodyText"/>
        <w:rPr>
          <w:color w:val="auto"/>
        </w:rPr>
      </w:pPr>
      <w:r w:rsidRPr="00C85D91">
        <w:rPr>
          <w:color w:val="auto"/>
        </w:rPr>
        <w:t xml:space="preserve">Individual feedback </w:t>
      </w:r>
      <w:r w:rsidR="00C85D91" w:rsidRPr="00C85D91">
        <w:rPr>
          <w:color w:val="auto"/>
        </w:rPr>
        <w:t xml:space="preserve">will </w:t>
      </w:r>
      <w:r w:rsidRPr="00C85D91">
        <w:rPr>
          <w:color w:val="auto"/>
        </w:rPr>
        <w:t xml:space="preserve">be </w:t>
      </w:r>
      <w:r w:rsidR="008170A4">
        <w:rPr>
          <w:color w:val="auto"/>
        </w:rPr>
        <w:t>available on request</w:t>
      </w:r>
      <w:r w:rsidR="006B34AE">
        <w:rPr>
          <w:color w:val="auto"/>
        </w:rPr>
        <w:t xml:space="preserve">. </w:t>
      </w:r>
    </w:p>
    <w:p w14:paraId="0A3A36A1" w14:textId="41051DE9" w:rsidR="00A72242" w:rsidRDefault="00707FB3" w:rsidP="00A72242">
      <w:pPr>
        <w:pStyle w:val="BodyText"/>
        <w:rPr>
          <w:color w:val="auto"/>
        </w:rPr>
      </w:pPr>
      <w:r w:rsidRPr="00C63F18">
        <w:rPr>
          <w:color w:val="auto"/>
        </w:rPr>
        <w:t xml:space="preserve">Applicants seeking individual feedback should submit requests to </w:t>
      </w:r>
      <w:hyperlink r:id="rId9" w:history="1">
        <w:r w:rsidRPr="00F263F1">
          <w:rPr>
            <w:rStyle w:val="Hyperlink"/>
          </w:rPr>
          <w:t>AMPGrants@dcceew.gov.au</w:t>
        </w:r>
      </w:hyperlink>
      <w:r w:rsidRPr="00C63F18">
        <w:rPr>
          <w:color w:val="auto"/>
        </w:rPr>
        <w:t>. Requests for individual feedback will only be accepted within 30 days of receipt of the outcome of your application. Feedback will be provided within 30 days of receipt of the request.</w:t>
      </w:r>
    </w:p>
    <w:p w14:paraId="764E7C27" w14:textId="77777777" w:rsidR="00A72242" w:rsidRDefault="00A72242" w:rsidP="00A72242">
      <w:pPr>
        <w:spacing w:line="240" w:lineRule="auto"/>
        <w:rPr>
          <w:rFonts w:asciiTheme="majorHAnsi" w:eastAsiaTheme="majorEastAsia" w:hAnsiTheme="majorHAnsi" w:cstheme="majorBidi"/>
          <w:b/>
          <w:bCs/>
          <w:sz w:val="24"/>
          <w:szCs w:val="26"/>
        </w:rPr>
      </w:pPr>
    </w:p>
    <w:sectPr w:rsidR="00A72242" w:rsidSect="00F60E81">
      <w:headerReference w:type="default" r:id="rId10"/>
      <w:footerReference w:type="default" r:id="rId11"/>
      <w:headerReference w:type="first" r:id="rId12"/>
      <w:footerReference w:type="first" r:id="rId13"/>
      <w:pgSz w:w="11906" w:h="16838" w:code="9"/>
      <w:pgMar w:top="1588"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A77FE" w14:textId="77777777" w:rsidR="0074689C" w:rsidRDefault="0074689C" w:rsidP="00772718">
      <w:pPr>
        <w:spacing w:line="240" w:lineRule="auto"/>
      </w:pPr>
      <w:r>
        <w:separator/>
      </w:r>
    </w:p>
  </w:endnote>
  <w:endnote w:type="continuationSeparator" w:id="0">
    <w:p w14:paraId="5C770B0E" w14:textId="77777777" w:rsidR="0074689C" w:rsidRDefault="0074689C"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FEF4" w14:textId="7E1F1E98" w:rsidR="00A14495" w:rsidRDefault="00E13525">
    <w:pPr>
      <w:pStyle w:val="Footer"/>
    </w:pPr>
    <w:r>
      <w:fldChar w:fldCharType="begin"/>
    </w:r>
    <w:r>
      <w:instrText xml:space="preserve"> PAGE   \* MERGEFORMAT </w:instrText>
    </w:r>
    <w:r>
      <w:fldChar w:fldCharType="separate"/>
    </w:r>
    <w:r w:rsidR="005A03AB">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4AA2E34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247231"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F60E81">
      <w:tab/>
    </w:r>
    <w:r w:rsidR="00F60E81">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6AF" w14:textId="4189D065" w:rsidR="00D91B18" w:rsidRDefault="00D91B18">
    <w:pPr>
      <w:pStyle w:val="Footer"/>
    </w:pPr>
    <w:r>
      <w:fldChar w:fldCharType="begin"/>
    </w:r>
    <w:r>
      <w:instrText xml:space="preserve"> PAGE   \* MERGEFORMAT </w:instrText>
    </w:r>
    <w:r>
      <w:fldChar w:fldCharType="separate"/>
    </w:r>
    <w:r w:rsidR="005A03AB">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4711F" w14:textId="77777777" w:rsidR="0074689C" w:rsidRDefault="0074689C" w:rsidP="00772718">
      <w:pPr>
        <w:spacing w:line="240" w:lineRule="auto"/>
      </w:pPr>
      <w:r>
        <w:separator/>
      </w:r>
    </w:p>
  </w:footnote>
  <w:footnote w:type="continuationSeparator" w:id="0">
    <w:p w14:paraId="55EBFAE1" w14:textId="77777777" w:rsidR="0074689C" w:rsidRDefault="0074689C"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6681"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49E6A587" wp14:editId="63DC2835">
              <wp:simplePos x="0" y="0"/>
              <wp:positionH relativeFrom="page">
                <wp:posOffset>767715</wp:posOffset>
              </wp:positionH>
              <wp:positionV relativeFrom="page">
                <wp:posOffset>937895</wp:posOffset>
              </wp:positionV>
              <wp:extent cx="6119495" cy="0"/>
              <wp:effectExtent l="0" t="0" r="3365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9B5657"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45pt,73.85pt" to="542.3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306916F8"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271B" w14:textId="77777777" w:rsidR="00D91B18" w:rsidRDefault="0016612C">
    <w:pPr>
      <w:pStyle w:val="Header"/>
    </w:pPr>
    <w:r>
      <w:rPr>
        <w:noProof/>
        <w:lang w:eastAsia="en-AU"/>
      </w:rPr>
      <w:drawing>
        <wp:anchor distT="0" distB="0" distL="114300" distR="114300" simplePos="0" relativeHeight="251673600" behindDoc="0" locked="1" layoutInCell="1" allowOverlap="1" wp14:anchorId="65F65463" wp14:editId="6A6DE720">
          <wp:simplePos x="0" y="0"/>
          <wp:positionH relativeFrom="page">
            <wp:posOffset>4171950</wp:posOffset>
          </wp:positionH>
          <wp:positionV relativeFrom="page">
            <wp:posOffset>9525</wp:posOffset>
          </wp:positionV>
          <wp:extent cx="3374390" cy="813435"/>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439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3610573F" wp14:editId="6177F5A2">
              <wp:simplePos x="0" y="0"/>
              <wp:positionH relativeFrom="page">
                <wp:posOffset>821690</wp:posOffset>
              </wp:positionH>
              <wp:positionV relativeFrom="page">
                <wp:posOffset>102870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074EE0" id="Group 4" o:spid="_x0000_s1026" alt="Title: Australian Government - Community Grants Hub. Improving your grant experience. - Description: Australian Government - Community Grants Hub. Improving your grant experience." style="position:absolute;margin-left:64.7pt;margin-top:8.1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BEFDA5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6AC8A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nh6iQ8wEAADYEAAAOAAAAAAAAAAAAAAAAAC4CAABkcnMv&#10;ZTJvRG9jLnhtbFBLAQItABQABgAIAAAAIQBCuIv/3QAAAAwBAAAPAAAAAAAAAAAAAAAAAE0EAABk&#10;cnMvZG93bnJldi54bWxQSwUGAAAAAAQABADzAAAAVwUAAAAA&#10;" strokecolor="black [3213]" strokeweight=".5pt">
              <w10:wrap anchorx="page" anchory="page"/>
              <w10:anchorlock/>
            </v:line>
          </w:pict>
        </mc:Fallback>
      </mc:AlternateContent>
    </w:r>
    <w:bookmarkStart w:id="0" w:name="_GoBack"/>
    <w:r w:rsidR="00D91B18">
      <w:rPr>
        <w:noProof/>
        <w:lang w:eastAsia="en-AU"/>
      </w:rPr>
      <mc:AlternateContent>
        <mc:Choice Requires="wps">
          <w:drawing>
            <wp:anchor distT="0" distB="0" distL="114300" distR="114300" simplePos="0" relativeHeight="251670528" behindDoc="0" locked="1" layoutInCell="1" allowOverlap="1" wp14:anchorId="2B97F5E7"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7360A3"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6603399"/>
    <w:multiLevelType w:val="hybridMultilevel"/>
    <w:tmpl w:val="4B7AFA9E"/>
    <w:lvl w:ilvl="0" w:tplc="1AF0C476">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EF1A10"/>
    <w:multiLevelType w:val="hybridMultilevel"/>
    <w:tmpl w:val="AEF8D828"/>
    <w:lvl w:ilvl="0" w:tplc="1D00F92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893997"/>
    <w:multiLevelType w:val="hybridMultilevel"/>
    <w:tmpl w:val="21AE88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57599"/>
    <w:multiLevelType w:val="hybridMultilevel"/>
    <w:tmpl w:val="7F1CC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C1E03162"/>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B931DB6"/>
    <w:multiLevelType w:val="hybridMultilevel"/>
    <w:tmpl w:val="2EA010CA"/>
    <w:lvl w:ilvl="0" w:tplc="1D00F924">
      <w:start w:val="1"/>
      <w:numFmt w:val="bullet"/>
      <w:lvlText w:val=""/>
      <w:lvlJc w:val="left"/>
      <w:pPr>
        <w:ind w:left="720" w:hanging="360"/>
      </w:pPr>
      <w:rPr>
        <w:rFonts w:ascii="Symbol" w:hAnsi="Symbol" w:hint="default"/>
        <w:color w:val="auto"/>
      </w:rPr>
    </w:lvl>
    <w:lvl w:ilvl="1" w:tplc="3412264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A2A39AF"/>
    <w:multiLevelType w:val="hybridMultilevel"/>
    <w:tmpl w:val="21A2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B73247"/>
    <w:multiLevelType w:val="hybridMultilevel"/>
    <w:tmpl w:val="C3C60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D3EBC"/>
    <w:multiLevelType w:val="hybridMultilevel"/>
    <w:tmpl w:val="DEA4D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4445700"/>
    <w:multiLevelType w:val="hybridMultilevel"/>
    <w:tmpl w:val="E188E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3E5C157A"/>
    <w:multiLevelType w:val="hybridMultilevel"/>
    <w:tmpl w:val="9476D5E8"/>
    <w:lvl w:ilvl="0" w:tplc="CD3869E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3740E27"/>
    <w:multiLevelType w:val="hybridMultilevel"/>
    <w:tmpl w:val="DDD61C9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9016320"/>
    <w:multiLevelType w:val="hybridMultilevel"/>
    <w:tmpl w:val="0336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FC0A5F"/>
    <w:multiLevelType w:val="hybridMultilevel"/>
    <w:tmpl w:val="743806CC"/>
    <w:lvl w:ilvl="0" w:tplc="34122642">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6"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6C6B47"/>
    <w:multiLevelType w:val="hybridMultilevel"/>
    <w:tmpl w:val="BEC2B65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num w:numId="1">
    <w:abstractNumId w:val="0"/>
  </w:num>
  <w:num w:numId="2">
    <w:abstractNumId w:val="25"/>
  </w:num>
  <w:num w:numId="3">
    <w:abstractNumId w:val="8"/>
  </w:num>
  <w:num w:numId="4">
    <w:abstractNumId w:val="18"/>
  </w:num>
  <w:num w:numId="5">
    <w:abstractNumId w:val="16"/>
  </w:num>
  <w:num w:numId="6">
    <w:abstractNumId w:val="13"/>
  </w:num>
  <w:num w:numId="7">
    <w:abstractNumId w:val="9"/>
  </w:num>
  <w:num w:numId="8">
    <w:abstractNumId w:val="24"/>
  </w:num>
  <w:num w:numId="9">
    <w:abstractNumId w:val="21"/>
  </w:num>
  <w:num w:numId="10">
    <w:abstractNumId w:val="4"/>
  </w:num>
  <w:num w:numId="11">
    <w:abstractNumId w:val="10"/>
  </w:num>
  <w:num w:numId="12">
    <w:abstractNumId w:val="4"/>
  </w:num>
  <w:num w:numId="13">
    <w:abstractNumId w:val="26"/>
  </w:num>
  <w:num w:numId="14">
    <w:abstractNumId w:val="11"/>
  </w:num>
  <w:num w:numId="15">
    <w:abstractNumId w:val="6"/>
  </w:num>
  <w:num w:numId="16">
    <w:abstractNumId w:val="22"/>
  </w:num>
  <w:num w:numId="17">
    <w:abstractNumId w:val="20"/>
  </w:num>
  <w:num w:numId="18">
    <w:abstractNumId w:val="1"/>
  </w:num>
  <w:num w:numId="19">
    <w:abstractNumId w:val="17"/>
  </w:num>
  <w:num w:numId="20">
    <w:abstractNumId w:val="2"/>
  </w:num>
  <w:num w:numId="21">
    <w:abstractNumId w:val="5"/>
  </w:num>
  <w:num w:numId="22">
    <w:abstractNumId w:val="3"/>
  </w:num>
  <w:num w:numId="23">
    <w:abstractNumId w:val="27"/>
  </w:num>
  <w:num w:numId="24">
    <w:abstractNumId w:val="12"/>
  </w:num>
  <w:num w:numId="25">
    <w:abstractNumId w:val="15"/>
  </w:num>
  <w:num w:numId="26">
    <w:abstractNumId w:val="14"/>
  </w:num>
  <w:num w:numId="27">
    <w:abstractNumId w:val="19"/>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5D00"/>
    <w:rsid w:val="00007DE9"/>
    <w:rsid w:val="00007EE6"/>
    <w:rsid w:val="00015AE4"/>
    <w:rsid w:val="0003018E"/>
    <w:rsid w:val="00030C4C"/>
    <w:rsid w:val="00033BC3"/>
    <w:rsid w:val="00034865"/>
    <w:rsid w:val="0003653F"/>
    <w:rsid w:val="00044E09"/>
    <w:rsid w:val="000455E3"/>
    <w:rsid w:val="0004784D"/>
    <w:rsid w:val="0005053E"/>
    <w:rsid w:val="000535A3"/>
    <w:rsid w:val="00053A00"/>
    <w:rsid w:val="00053DC5"/>
    <w:rsid w:val="000551F5"/>
    <w:rsid w:val="000769DF"/>
    <w:rsid w:val="000814E1"/>
    <w:rsid w:val="0008687B"/>
    <w:rsid w:val="000A57BC"/>
    <w:rsid w:val="000B6C00"/>
    <w:rsid w:val="000C1F06"/>
    <w:rsid w:val="000E5175"/>
    <w:rsid w:val="000F1DD1"/>
    <w:rsid w:val="000F28B8"/>
    <w:rsid w:val="000F3766"/>
    <w:rsid w:val="00100880"/>
    <w:rsid w:val="00101F8D"/>
    <w:rsid w:val="00106FC4"/>
    <w:rsid w:val="00110E81"/>
    <w:rsid w:val="00111F0C"/>
    <w:rsid w:val="00120B80"/>
    <w:rsid w:val="00145E2D"/>
    <w:rsid w:val="0016612C"/>
    <w:rsid w:val="00175236"/>
    <w:rsid w:val="001763D4"/>
    <w:rsid w:val="00176FB0"/>
    <w:rsid w:val="00181433"/>
    <w:rsid w:val="001834DD"/>
    <w:rsid w:val="00187B4B"/>
    <w:rsid w:val="00191BCF"/>
    <w:rsid w:val="00194611"/>
    <w:rsid w:val="00197308"/>
    <w:rsid w:val="001A4F56"/>
    <w:rsid w:val="001C53CE"/>
    <w:rsid w:val="001C5D96"/>
    <w:rsid w:val="001D341B"/>
    <w:rsid w:val="001E3D2B"/>
    <w:rsid w:val="001E5415"/>
    <w:rsid w:val="001E66CE"/>
    <w:rsid w:val="001F6BE5"/>
    <w:rsid w:val="0020323D"/>
    <w:rsid w:val="00221DC2"/>
    <w:rsid w:val="0022200F"/>
    <w:rsid w:val="002277D8"/>
    <w:rsid w:val="00230D18"/>
    <w:rsid w:val="00243004"/>
    <w:rsid w:val="00244B48"/>
    <w:rsid w:val="002542DF"/>
    <w:rsid w:val="00256CDA"/>
    <w:rsid w:val="002573D5"/>
    <w:rsid w:val="002600F2"/>
    <w:rsid w:val="00264E26"/>
    <w:rsid w:val="00280E74"/>
    <w:rsid w:val="00282BDC"/>
    <w:rsid w:val="00283F6E"/>
    <w:rsid w:val="00284E4B"/>
    <w:rsid w:val="002A41E1"/>
    <w:rsid w:val="002B6574"/>
    <w:rsid w:val="002D3419"/>
    <w:rsid w:val="002D4D48"/>
    <w:rsid w:val="002D6F36"/>
    <w:rsid w:val="002E0AA1"/>
    <w:rsid w:val="002E1CCC"/>
    <w:rsid w:val="002E21D2"/>
    <w:rsid w:val="002F7D3C"/>
    <w:rsid w:val="00302D5E"/>
    <w:rsid w:val="00305720"/>
    <w:rsid w:val="0031098A"/>
    <w:rsid w:val="003131AB"/>
    <w:rsid w:val="003217BE"/>
    <w:rsid w:val="0034044F"/>
    <w:rsid w:val="0034198E"/>
    <w:rsid w:val="00352EE6"/>
    <w:rsid w:val="00353586"/>
    <w:rsid w:val="00355FF2"/>
    <w:rsid w:val="0035639D"/>
    <w:rsid w:val="0037429D"/>
    <w:rsid w:val="00376001"/>
    <w:rsid w:val="00381B71"/>
    <w:rsid w:val="00394AA2"/>
    <w:rsid w:val="0039760F"/>
    <w:rsid w:val="003A17CA"/>
    <w:rsid w:val="003B5410"/>
    <w:rsid w:val="003D0647"/>
    <w:rsid w:val="003D1265"/>
    <w:rsid w:val="003D255E"/>
    <w:rsid w:val="003D3B1D"/>
    <w:rsid w:val="003D4B2C"/>
    <w:rsid w:val="003D5DBE"/>
    <w:rsid w:val="003E01D1"/>
    <w:rsid w:val="003F6540"/>
    <w:rsid w:val="00404841"/>
    <w:rsid w:val="00405FBD"/>
    <w:rsid w:val="00410238"/>
    <w:rsid w:val="00412059"/>
    <w:rsid w:val="00422E02"/>
    <w:rsid w:val="00425633"/>
    <w:rsid w:val="0043142E"/>
    <w:rsid w:val="00441E79"/>
    <w:rsid w:val="00444032"/>
    <w:rsid w:val="0044643A"/>
    <w:rsid w:val="00450486"/>
    <w:rsid w:val="00453685"/>
    <w:rsid w:val="00454EB4"/>
    <w:rsid w:val="00461BE1"/>
    <w:rsid w:val="00463C42"/>
    <w:rsid w:val="00464243"/>
    <w:rsid w:val="004709E9"/>
    <w:rsid w:val="00472379"/>
    <w:rsid w:val="00483A58"/>
    <w:rsid w:val="00490618"/>
    <w:rsid w:val="004A7A42"/>
    <w:rsid w:val="004B203A"/>
    <w:rsid w:val="004B5F40"/>
    <w:rsid w:val="004C7D16"/>
    <w:rsid w:val="004D0860"/>
    <w:rsid w:val="004D700E"/>
    <w:rsid w:val="004D7F17"/>
    <w:rsid w:val="004E0670"/>
    <w:rsid w:val="004E7F37"/>
    <w:rsid w:val="004F203C"/>
    <w:rsid w:val="004F31BA"/>
    <w:rsid w:val="005116E1"/>
    <w:rsid w:val="005118E4"/>
    <w:rsid w:val="0051299F"/>
    <w:rsid w:val="00517BA3"/>
    <w:rsid w:val="0052075D"/>
    <w:rsid w:val="0052669C"/>
    <w:rsid w:val="00526B85"/>
    <w:rsid w:val="005306A1"/>
    <w:rsid w:val="00544751"/>
    <w:rsid w:val="00553A84"/>
    <w:rsid w:val="00563F88"/>
    <w:rsid w:val="00567197"/>
    <w:rsid w:val="00567B15"/>
    <w:rsid w:val="00571E8B"/>
    <w:rsid w:val="0059000C"/>
    <w:rsid w:val="005948DB"/>
    <w:rsid w:val="005A02A1"/>
    <w:rsid w:val="005A03AB"/>
    <w:rsid w:val="005B1528"/>
    <w:rsid w:val="005B6071"/>
    <w:rsid w:val="005C120F"/>
    <w:rsid w:val="005C18DC"/>
    <w:rsid w:val="005C32B4"/>
    <w:rsid w:val="005D2183"/>
    <w:rsid w:val="005D5DFD"/>
    <w:rsid w:val="005D7A24"/>
    <w:rsid w:val="005E1395"/>
    <w:rsid w:val="005F126D"/>
    <w:rsid w:val="00616EBA"/>
    <w:rsid w:val="00620574"/>
    <w:rsid w:val="00622B47"/>
    <w:rsid w:val="00632C08"/>
    <w:rsid w:val="00654C42"/>
    <w:rsid w:val="006572E9"/>
    <w:rsid w:val="00670592"/>
    <w:rsid w:val="0067074A"/>
    <w:rsid w:val="00672994"/>
    <w:rsid w:val="006807C9"/>
    <w:rsid w:val="00692EFD"/>
    <w:rsid w:val="00694FDB"/>
    <w:rsid w:val="006A2187"/>
    <w:rsid w:val="006A2691"/>
    <w:rsid w:val="006B34AE"/>
    <w:rsid w:val="006C15C5"/>
    <w:rsid w:val="006D3DAD"/>
    <w:rsid w:val="006D4A4B"/>
    <w:rsid w:val="006E1C6A"/>
    <w:rsid w:val="006E476C"/>
    <w:rsid w:val="006F45C4"/>
    <w:rsid w:val="006F6096"/>
    <w:rsid w:val="006F7B19"/>
    <w:rsid w:val="0070036D"/>
    <w:rsid w:val="00707E21"/>
    <w:rsid w:val="00707FB3"/>
    <w:rsid w:val="00710FBB"/>
    <w:rsid w:val="00716D7B"/>
    <w:rsid w:val="00736A76"/>
    <w:rsid w:val="007405CC"/>
    <w:rsid w:val="0074689C"/>
    <w:rsid w:val="007500A1"/>
    <w:rsid w:val="00752C6B"/>
    <w:rsid w:val="00760CE6"/>
    <w:rsid w:val="00762F09"/>
    <w:rsid w:val="007719C9"/>
    <w:rsid w:val="00772718"/>
    <w:rsid w:val="007A3384"/>
    <w:rsid w:val="007A57C4"/>
    <w:rsid w:val="007D30A8"/>
    <w:rsid w:val="007D4969"/>
    <w:rsid w:val="007E24C8"/>
    <w:rsid w:val="007F00B8"/>
    <w:rsid w:val="007F4B9D"/>
    <w:rsid w:val="007F6391"/>
    <w:rsid w:val="008006B6"/>
    <w:rsid w:val="00814FB1"/>
    <w:rsid w:val="008170A4"/>
    <w:rsid w:val="00820F20"/>
    <w:rsid w:val="0082528A"/>
    <w:rsid w:val="00825754"/>
    <w:rsid w:val="00833758"/>
    <w:rsid w:val="00833A25"/>
    <w:rsid w:val="00835210"/>
    <w:rsid w:val="0084413D"/>
    <w:rsid w:val="00844C2D"/>
    <w:rsid w:val="00845DAA"/>
    <w:rsid w:val="00851FDD"/>
    <w:rsid w:val="00854ACD"/>
    <w:rsid w:val="0087438E"/>
    <w:rsid w:val="00884668"/>
    <w:rsid w:val="00895EB9"/>
    <w:rsid w:val="008A0DF1"/>
    <w:rsid w:val="008B2B46"/>
    <w:rsid w:val="008D31D1"/>
    <w:rsid w:val="008E05BC"/>
    <w:rsid w:val="008F17B8"/>
    <w:rsid w:val="008F3CCF"/>
    <w:rsid w:val="00901750"/>
    <w:rsid w:val="00901A61"/>
    <w:rsid w:val="00903A60"/>
    <w:rsid w:val="00906D1F"/>
    <w:rsid w:val="00921840"/>
    <w:rsid w:val="00932C87"/>
    <w:rsid w:val="009331B4"/>
    <w:rsid w:val="009345F1"/>
    <w:rsid w:val="00944BBB"/>
    <w:rsid w:val="00945DF5"/>
    <w:rsid w:val="00946440"/>
    <w:rsid w:val="0095141C"/>
    <w:rsid w:val="009547B6"/>
    <w:rsid w:val="00961072"/>
    <w:rsid w:val="0096623C"/>
    <w:rsid w:val="0097029A"/>
    <w:rsid w:val="00980BE5"/>
    <w:rsid w:val="00981F36"/>
    <w:rsid w:val="009A2F51"/>
    <w:rsid w:val="009A34F3"/>
    <w:rsid w:val="009B6C1C"/>
    <w:rsid w:val="009C37F3"/>
    <w:rsid w:val="009C6C53"/>
    <w:rsid w:val="009E1A74"/>
    <w:rsid w:val="009E6B53"/>
    <w:rsid w:val="009E750F"/>
    <w:rsid w:val="009F4968"/>
    <w:rsid w:val="00A04D96"/>
    <w:rsid w:val="00A0629B"/>
    <w:rsid w:val="00A14495"/>
    <w:rsid w:val="00A16BE1"/>
    <w:rsid w:val="00A232AB"/>
    <w:rsid w:val="00A23D38"/>
    <w:rsid w:val="00A24F65"/>
    <w:rsid w:val="00A27518"/>
    <w:rsid w:val="00A453D7"/>
    <w:rsid w:val="00A454BF"/>
    <w:rsid w:val="00A52E3A"/>
    <w:rsid w:val="00A61A1A"/>
    <w:rsid w:val="00A72242"/>
    <w:rsid w:val="00A814CB"/>
    <w:rsid w:val="00A86258"/>
    <w:rsid w:val="00A90D1B"/>
    <w:rsid w:val="00AA5614"/>
    <w:rsid w:val="00AC144D"/>
    <w:rsid w:val="00AD70E2"/>
    <w:rsid w:val="00AF030C"/>
    <w:rsid w:val="00AF55F8"/>
    <w:rsid w:val="00B10ABA"/>
    <w:rsid w:val="00B26492"/>
    <w:rsid w:val="00B303E4"/>
    <w:rsid w:val="00B36FE8"/>
    <w:rsid w:val="00B420D4"/>
    <w:rsid w:val="00B43CFE"/>
    <w:rsid w:val="00B57910"/>
    <w:rsid w:val="00B91B21"/>
    <w:rsid w:val="00B952F6"/>
    <w:rsid w:val="00BA202A"/>
    <w:rsid w:val="00BB63F2"/>
    <w:rsid w:val="00BC093A"/>
    <w:rsid w:val="00BC2B00"/>
    <w:rsid w:val="00BC4ACC"/>
    <w:rsid w:val="00BC4FCC"/>
    <w:rsid w:val="00BD02F8"/>
    <w:rsid w:val="00BD595C"/>
    <w:rsid w:val="00BE2AE4"/>
    <w:rsid w:val="00BE359A"/>
    <w:rsid w:val="00C026E3"/>
    <w:rsid w:val="00C04432"/>
    <w:rsid w:val="00C06ED8"/>
    <w:rsid w:val="00C1488E"/>
    <w:rsid w:val="00C217A8"/>
    <w:rsid w:val="00C25C42"/>
    <w:rsid w:val="00C26260"/>
    <w:rsid w:val="00C269AE"/>
    <w:rsid w:val="00C26AC3"/>
    <w:rsid w:val="00C31B1C"/>
    <w:rsid w:val="00C4188F"/>
    <w:rsid w:val="00C80959"/>
    <w:rsid w:val="00C819A4"/>
    <w:rsid w:val="00C824AE"/>
    <w:rsid w:val="00C84EA8"/>
    <w:rsid w:val="00C85D91"/>
    <w:rsid w:val="00C92998"/>
    <w:rsid w:val="00C95B28"/>
    <w:rsid w:val="00CA444B"/>
    <w:rsid w:val="00CA720A"/>
    <w:rsid w:val="00CD0003"/>
    <w:rsid w:val="00CD5925"/>
    <w:rsid w:val="00CE557A"/>
    <w:rsid w:val="00CF00AD"/>
    <w:rsid w:val="00CF26B0"/>
    <w:rsid w:val="00D031B2"/>
    <w:rsid w:val="00D05A86"/>
    <w:rsid w:val="00D06EAD"/>
    <w:rsid w:val="00D1410C"/>
    <w:rsid w:val="00D3434A"/>
    <w:rsid w:val="00D40D16"/>
    <w:rsid w:val="00D40FC5"/>
    <w:rsid w:val="00D433F8"/>
    <w:rsid w:val="00D548F0"/>
    <w:rsid w:val="00D57F79"/>
    <w:rsid w:val="00D64FAC"/>
    <w:rsid w:val="00D65704"/>
    <w:rsid w:val="00D668F6"/>
    <w:rsid w:val="00D741F9"/>
    <w:rsid w:val="00D74E37"/>
    <w:rsid w:val="00D84875"/>
    <w:rsid w:val="00D904F0"/>
    <w:rsid w:val="00D91378"/>
    <w:rsid w:val="00D91B18"/>
    <w:rsid w:val="00D930FB"/>
    <w:rsid w:val="00D95D89"/>
    <w:rsid w:val="00DB27A5"/>
    <w:rsid w:val="00DC04B2"/>
    <w:rsid w:val="00DC0747"/>
    <w:rsid w:val="00DC2647"/>
    <w:rsid w:val="00DC316D"/>
    <w:rsid w:val="00DD1408"/>
    <w:rsid w:val="00DD356D"/>
    <w:rsid w:val="00DD6735"/>
    <w:rsid w:val="00DD72DE"/>
    <w:rsid w:val="00DF136A"/>
    <w:rsid w:val="00DF51FA"/>
    <w:rsid w:val="00E0448C"/>
    <w:rsid w:val="00E13525"/>
    <w:rsid w:val="00E467F2"/>
    <w:rsid w:val="00E47250"/>
    <w:rsid w:val="00E47ADA"/>
    <w:rsid w:val="00E61535"/>
    <w:rsid w:val="00E73F55"/>
    <w:rsid w:val="00E74266"/>
    <w:rsid w:val="00E7480B"/>
    <w:rsid w:val="00E8246B"/>
    <w:rsid w:val="00E84012"/>
    <w:rsid w:val="00E86AD5"/>
    <w:rsid w:val="00E9373C"/>
    <w:rsid w:val="00EA0724"/>
    <w:rsid w:val="00EA6251"/>
    <w:rsid w:val="00EB6414"/>
    <w:rsid w:val="00EE3BA6"/>
    <w:rsid w:val="00EE5747"/>
    <w:rsid w:val="00EF3804"/>
    <w:rsid w:val="00EF5E05"/>
    <w:rsid w:val="00EF7FC5"/>
    <w:rsid w:val="00F01245"/>
    <w:rsid w:val="00F073CA"/>
    <w:rsid w:val="00F227AF"/>
    <w:rsid w:val="00F266F2"/>
    <w:rsid w:val="00F27370"/>
    <w:rsid w:val="00F40B00"/>
    <w:rsid w:val="00F41AAB"/>
    <w:rsid w:val="00F5341C"/>
    <w:rsid w:val="00F56954"/>
    <w:rsid w:val="00F57D61"/>
    <w:rsid w:val="00F60E81"/>
    <w:rsid w:val="00F76062"/>
    <w:rsid w:val="00F85F98"/>
    <w:rsid w:val="00F948AF"/>
    <w:rsid w:val="00F94E9C"/>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54696A"/>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C85D9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A232AB"/>
    <w:p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46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MPGrants@dccee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C1AEBAE7CA45E49B352886B7DE32DA"/>
        <w:category>
          <w:name w:val="General"/>
          <w:gallery w:val="placeholder"/>
        </w:category>
        <w:types>
          <w:type w:val="bbPlcHdr"/>
        </w:types>
        <w:behaviors>
          <w:behavior w:val="content"/>
        </w:behaviors>
        <w:guid w:val="{A460E35A-4FD9-4767-AE22-A2A6F7A15DFC}"/>
      </w:docPartPr>
      <w:docPartBody>
        <w:p w:rsidR="00AA0EAD" w:rsidRDefault="006E7688" w:rsidP="006E7688">
          <w:pPr>
            <w:pStyle w:val="74C1AEBAE7CA45E49B352886B7DE32DA"/>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65EF9"/>
    <w:rsid w:val="00190F4F"/>
    <w:rsid w:val="00195186"/>
    <w:rsid w:val="00214ADD"/>
    <w:rsid w:val="002C3D0C"/>
    <w:rsid w:val="003644E1"/>
    <w:rsid w:val="00485865"/>
    <w:rsid w:val="004A7D97"/>
    <w:rsid w:val="00511E6A"/>
    <w:rsid w:val="005621AB"/>
    <w:rsid w:val="005F4C1F"/>
    <w:rsid w:val="00605577"/>
    <w:rsid w:val="006424F2"/>
    <w:rsid w:val="00660A6E"/>
    <w:rsid w:val="006C16DA"/>
    <w:rsid w:val="006C3CB2"/>
    <w:rsid w:val="006E7688"/>
    <w:rsid w:val="00722584"/>
    <w:rsid w:val="007536F7"/>
    <w:rsid w:val="008B794C"/>
    <w:rsid w:val="008E17C3"/>
    <w:rsid w:val="009013CA"/>
    <w:rsid w:val="009C55E0"/>
    <w:rsid w:val="009F30B0"/>
    <w:rsid w:val="00A0186A"/>
    <w:rsid w:val="00A13CF7"/>
    <w:rsid w:val="00A26578"/>
    <w:rsid w:val="00A965B5"/>
    <w:rsid w:val="00AA0EAD"/>
    <w:rsid w:val="00B53281"/>
    <w:rsid w:val="00B874A3"/>
    <w:rsid w:val="00C13B80"/>
    <w:rsid w:val="00D8501B"/>
    <w:rsid w:val="00DB0533"/>
    <w:rsid w:val="00DF3C65"/>
    <w:rsid w:val="00E45C0B"/>
    <w:rsid w:val="00E54047"/>
    <w:rsid w:val="00E84804"/>
    <w:rsid w:val="00EF5D58"/>
    <w:rsid w:val="00F81084"/>
    <w:rsid w:val="00FD0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1AB"/>
    <w:rPr>
      <w:color w:val="808080"/>
    </w:rPr>
  </w:style>
  <w:style w:type="paragraph" w:customStyle="1" w:styleId="74C1AEBAE7CA45E49B352886B7DE32DA">
    <w:name w:val="74C1AEBAE7CA45E49B352886B7DE32DA"/>
    <w:rsid w:val="006E76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31240B-B99C-4F0E-97E7-A093E496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1800</Words>
  <Characters>10825</Characters>
  <Application>Microsoft Office Word</Application>
  <DocSecurity>0</DocSecurity>
  <Lines>201</Lines>
  <Paragraphs>109</Paragraphs>
  <ScaleCrop>false</ScaleCrop>
  <HeadingPairs>
    <vt:vector size="2" baseType="variant">
      <vt:variant>
        <vt:lpstr>Title</vt:lpstr>
      </vt:variant>
      <vt:variant>
        <vt:i4>1</vt:i4>
      </vt:variant>
    </vt:vector>
  </HeadingPairs>
  <TitlesOfParts>
    <vt:vector size="1" baseType="lpstr">
      <vt:lpstr>Our Marine Parks Grants Round 4 - General feedback</vt:lpstr>
    </vt:vector>
  </TitlesOfParts>
  <Company>Australian Government</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Marine Parks Grants Round 4 - General feedback</dc:title>
  <dc:subject>Feedback for applicants</dc:subject>
  <cp:keywords>[SEC=OFFICIAL]</cp:keywords>
  <cp:lastModifiedBy>LAMBERTH, Craig</cp:lastModifiedBy>
  <cp:revision>2</cp:revision>
  <cp:lastPrinted>2021-05-11T22:32:00Z</cp:lastPrinted>
  <dcterms:created xsi:type="dcterms:W3CDTF">2024-02-15T04:12:00Z</dcterms:created>
  <dcterms:modified xsi:type="dcterms:W3CDTF">2024-02-23T02:16:00Z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9CFEDE0AD9FDAE0286D351E87B4647470E8026DF</vt:lpwstr>
  </property>
  <property fmtid="{D5CDD505-2E9C-101B-9397-08002B2CF9AE}" pid="11" name="PM_OriginationTimeStamp">
    <vt:lpwstr>2024-02-23T02:16:23Z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B90AFF07642600160A561F713CCA6A17</vt:lpwstr>
  </property>
  <property fmtid="{D5CDD505-2E9C-101B-9397-08002B2CF9AE}" pid="20" name="PM_Hash_Salt">
    <vt:lpwstr>93DA2DF633B7BFFEA48E010CDBD264D6</vt:lpwstr>
  </property>
  <property fmtid="{D5CDD505-2E9C-101B-9397-08002B2CF9AE}" pid="21" name="PM_Hash_SHA1">
    <vt:lpwstr>E1E0047652107BAB62E4C75EDDED4AF5FB0B8B47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