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38C4" w14:textId="77777777" w:rsidR="00ED6CE5" w:rsidRPr="00ED6CE5" w:rsidRDefault="00ED6CE5" w:rsidP="00ED6CE5">
      <w:pPr>
        <w:spacing w:line="240" w:lineRule="auto"/>
        <w:rPr>
          <w:rFonts w:asciiTheme="majorHAnsi" w:eastAsiaTheme="majorEastAsia" w:hAnsiTheme="majorHAnsi" w:cstheme="majorHAnsi"/>
          <w:bCs/>
          <w:color w:val="CF0A2C" w:themeColor="accent1"/>
          <w:sz w:val="48"/>
          <w:szCs w:val="48"/>
        </w:rPr>
      </w:pPr>
      <w:r w:rsidRPr="00ED6CE5">
        <w:rPr>
          <w:rFonts w:asciiTheme="majorHAnsi" w:eastAsiaTheme="majorEastAsia" w:hAnsiTheme="majorHAnsi" w:cstheme="majorHAnsi"/>
          <w:bCs/>
          <w:color w:val="CF0A2C" w:themeColor="accent1"/>
          <w:sz w:val="48"/>
          <w:szCs w:val="48"/>
        </w:rPr>
        <w:t>First Action Plan Priorities Fund</w:t>
      </w:r>
    </w:p>
    <w:p w14:paraId="5CBDFD03" w14:textId="77777777" w:rsidR="00F71678" w:rsidRDefault="00A511CB" w:rsidP="00ED6CE5">
      <w:pPr>
        <w:numPr>
          <w:ilvl w:val="1"/>
          <w:numId w:val="0"/>
        </w:numPr>
        <w:pBdr>
          <w:bottom w:val="single" w:sz="4" w:space="14" w:color="000000" w:themeColor="text1"/>
        </w:pBdr>
        <w:spacing w:before="120" w:line="240" w:lineRule="auto"/>
        <w:rPr>
          <w:rFonts w:asciiTheme="majorHAnsi" w:eastAsiaTheme="majorEastAsia" w:hAnsiTheme="majorHAnsi" w:cstheme="majorHAnsi"/>
          <w:bCs/>
          <w:color w:val="CF0A2C" w:themeColor="accent1"/>
          <w:sz w:val="48"/>
          <w:szCs w:val="48"/>
        </w:rPr>
      </w:pPr>
      <w:r w:rsidRPr="00A511CB">
        <w:rPr>
          <w:rFonts w:asciiTheme="majorHAnsi" w:eastAsiaTheme="majorEastAsia" w:hAnsiTheme="majorHAnsi" w:cstheme="majorHAnsi"/>
          <w:bCs/>
          <w:color w:val="CF0A2C" w:themeColor="accent1"/>
          <w:sz w:val="48"/>
          <w:szCs w:val="48"/>
        </w:rPr>
        <w:t>National Family, Domestic and Sexual Violence Workforce Survey</w:t>
      </w:r>
    </w:p>
    <w:p w14:paraId="2B35F70A" w14:textId="7B59B737" w:rsidR="00A511CB" w:rsidRPr="00F71678" w:rsidRDefault="00F71678" w:rsidP="00ED6CE5">
      <w:pPr>
        <w:numPr>
          <w:ilvl w:val="1"/>
          <w:numId w:val="0"/>
        </w:numPr>
        <w:pBdr>
          <w:bottom w:val="single" w:sz="4" w:space="14" w:color="000000" w:themeColor="text1"/>
        </w:pBdr>
        <w:spacing w:before="120" w:line="240" w:lineRule="auto"/>
        <w:rPr>
          <w:rFonts w:asciiTheme="majorHAnsi" w:eastAsiaTheme="majorEastAsia" w:hAnsiTheme="majorHAnsi" w:cstheme="majorHAnsi"/>
          <w:bCs/>
          <w:color w:val="auto"/>
          <w:sz w:val="30"/>
          <w:szCs w:val="30"/>
        </w:rPr>
      </w:pPr>
      <w:r w:rsidRPr="00F71678">
        <w:rPr>
          <w:rFonts w:asciiTheme="majorHAnsi" w:eastAsiaTheme="majorEastAsia" w:hAnsiTheme="majorHAnsi" w:cstheme="majorHAnsi"/>
          <w:bCs/>
          <w:color w:val="auto"/>
          <w:sz w:val="30"/>
          <w:szCs w:val="30"/>
        </w:rPr>
        <w:t>Feedback for Applicants</w:t>
      </w:r>
    </w:p>
    <w:p w14:paraId="7790850D" w14:textId="782D9934" w:rsidR="00A72242" w:rsidRDefault="00A72242" w:rsidP="00ED6CE5">
      <w:pPr>
        <w:spacing w:before="120" w:after="120"/>
        <w:rPr>
          <w:color w:val="auto"/>
        </w:rPr>
      </w:pPr>
      <w:bookmarkStart w:id="0" w:name="_Hlk163041232"/>
      <w:r w:rsidRPr="00854ACD">
        <w:rPr>
          <w:color w:val="auto"/>
        </w:rPr>
        <w:t xml:space="preserve">The </w:t>
      </w:r>
      <w:r w:rsidR="00ED6CE5">
        <w:rPr>
          <w:color w:val="auto"/>
        </w:rPr>
        <w:t>Department of Social Services</w:t>
      </w:r>
      <w:r w:rsidRPr="00854ACD">
        <w:rPr>
          <w:color w:val="auto"/>
        </w:rPr>
        <w:t xml:space="preserve"> </w:t>
      </w:r>
      <w:r w:rsidR="00517BA3">
        <w:rPr>
          <w:color w:val="auto"/>
        </w:rPr>
        <w:t>(the department) has provided the following general f</w:t>
      </w:r>
      <w:r w:rsidRPr="00854ACD">
        <w:rPr>
          <w:color w:val="auto"/>
        </w:rPr>
        <w:t xml:space="preserve">eedback for applicants of the </w:t>
      </w:r>
      <w:r w:rsidR="00A511CB" w:rsidRPr="00A511CB">
        <w:rPr>
          <w:color w:val="auto"/>
        </w:rPr>
        <w:t xml:space="preserve">National Family, Domestic and Sexual Violence Workforce Survey </w:t>
      </w:r>
      <w:r w:rsidRPr="00854ACD">
        <w:rPr>
          <w:color w:val="auto"/>
        </w:rPr>
        <w:t>grant opportunity.</w:t>
      </w:r>
    </w:p>
    <w:p w14:paraId="5C0DE5A6" w14:textId="3C0E1C4C" w:rsidR="00B26492" w:rsidRPr="00B26492" w:rsidRDefault="00B26492" w:rsidP="00B26492">
      <w:pPr>
        <w:pStyle w:val="BodyText"/>
      </w:pPr>
      <w:r>
        <w:t xml:space="preserve">Assessment of applications was in accordance </w:t>
      </w:r>
      <w:r w:rsidR="00CA2C70">
        <w:t>with</w:t>
      </w:r>
      <w:r>
        <w:t xml:space="preserve"> the procedure detailed in the grant opportunity guidelines and outlined in the selection process below.</w:t>
      </w:r>
    </w:p>
    <w:bookmarkEnd w:id="0"/>
    <w:p w14:paraId="7E4D3FBA" w14:textId="77777777" w:rsidR="00A72242" w:rsidRPr="00175236" w:rsidRDefault="00A72242" w:rsidP="00175236">
      <w:pPr>
        <w:pStyle w:val="Heading2"/>
        <w:spacing w:before="240"/>
        <w:rPr>
          <w:b w:val="0"/>
          <w:color w:val="C00000"/>
          <w:sz w:val="36"/>
          <w:szCs w:val="36"/>
        </w:rPr>
      </w:pPr>
      <w:r w:rsidRPr="00175236">
        <w:rPr>
          <w:b w:val="0"/>
          <w:color w:val="C00000"/>
          <w:sz w:val="36"/>
          <w:szCs w:val="36"/>
        </w:rPr>
        <w:t>Overview</w:t>
      </w:r>
    </w:p>
    <w:p w14:paraId="7492B415" w14:textId="6A42C6D8" w:rsidR="00A72242" w:rsidRPr="00854ACD" w:rsidRDefault="00A72242" w:rsidP="00A72242">
      <w:pPr>
        <w:pStyle w:val="BodyText"/>
        <w:spacing w:after="120"/>
        <w:rPr>
          <w:color w:val="auto"/>
        </w:rPr>
      </w:pPr>
      <w:bookmarkStart w:id="1" w:name="_Hlk163041205"/>
      <w:r w:rsidRPr="00854ACD">
        <w:rPr>
          <w:color w:val="auto"/>
        </w:rPr>
        <w:t xml:space="preserve">The application </w:t>
      </w:r>
      <w:r w:rsidR="00B26492">
        <w:rPr>
          <w:color w:val="auto"/>
        </w:rPr>
        <w:t xml:space="preserve">submission </w:t>
      </w:r>
      <w:r w:rsidRPr="00854ACD">
        <w:rPr>
          <w:color w:val="auto"/>
        </w:rPr>
        <w:t xml:space="preserve">period </w:t>
      </w:r>
      <w:r w:rsidRPr="00517BA3">
        <w:rPr>
          <w:color w:val="auto"/>
        </w:rPr>
        <w:t xml:space="preserve">opened on </w:t>
      </w:r>
      <w:r w:rsidR="00ED6CE5">
        <w:rPr>
          <w:color w:val="auto"/>
        </w:rPr>
        <w:t>23 January 2024</w:t>
      </w:r>
      <w:r w:rsidRPr="00854ACD">
        <w:rPr>
          <w:color w:val="auto"/>
        </w:rPr>
        <w:t xml:space="preserve"> and closed on </w:t>
      </w:r>
      <w:r w:rsidR="00ED6CE5">
        <w:rPr>
          <w:color w:val="auto"/>
        </w:rPr>
        <w:t>2</w:t>
      </w:r>
      <w:r w:rsidR="001A134C">
        <w:rPr>
          <w:color w:val="auto"/>
        </w:rPr>
        <w:t>0</w:t>
      </w:r>
      <w:r w:rsidR="00ED6CE5">
        <w:rPr>
          <w:color w:val="auto"/>
        </w:rPr>
        <w:t xml:space="preserve"> February 2024.</w:t>
      </w:r>
      <w:r w:rsidRPr="00854ACD">
        <w:rPr>
          <w:color w:val="auto"/>
        </w:rPr>
        <w:t xml:space="preserve"> The grant opportunity received </w:t>
      </w:r>
      <w:r w:rsidR="00ED6CE5">
        <w:rPr>
          <w:color w:val="auto"/>
        </w:rPr>
        <w:t xml:space="preserve">2 </w:t>
      </w:r>
      <w:r w:rsidRPr="00854ACD">
        <w:rPr>
          <w:color w:val="auto"/>
        </w:rPr>
        <w:t>applications.</w:t>
      </w:r>
      <w:bookmarkEnd w:id="1"/>
    </w:p>
    <w:p w14:paraId="427EC43F" w14:textId="208C64AD" w:rsidR="00A511CB" w:rsidRDefault="00A511CB" w:rsidP="00ED6CE5">
      <w:pPr>
        <w:pStyle w:val="Heading2"/>
        <w:spacing w:before="240"/>
        <w:rPr>
          <w:rFonts w:asciiTheme="minorHAnsi" w:eastAsiaTheme="minorHAnsi" w:hAnsiTheme="minorHAnsi" w:cs="Times New Roman"/>
          <w:b w:val="0"/>
          <w:bCs w:val="0"/>
          <w:color w:val="auto"/>
          <w:sz w:val="22"/>
          <w:szCs w:val="20"/>
        </w:rPr>
      </w:pPr>
      <w:r w:rsidRPr="00A511CB">
        <w:rPr>
          <w:rFonts w:asciiTheme="minorHAnsi" w:eastAsiaTheme="minorHAnsi" w:hAnsiTheme="minorHAnsi" w:cs="Times New Roman"/>
          <w:b w:val="0"/>
          <w:bCs w:val="0"/>
          <w:color w:val="auto"/>
          <w:sz w:val="22"/>
          <w:szCs w:val="20"/>
        </w:rPr>
        <w:t>This grant opportunity s</w:t>
      </w:r>
      <w:r w:rsidR="00747952">
        <w:rPr>
          <w:rFonts w:asciiTheme="minorHAnsi" w:eastAsiaTheme="minorHAnsi" w:hAnsiTheme="minorHAnsi" w:cs="Times New Roman"/>
          <w:b w:val="0"/>
          <w:bCs w:val="0"/>
          <w:color w:val="auto"/>
          <w:sz w:val="22"/>
          <w:szCs w:val="20"/>
        </w:rPr>
        <w:t>ought</w:t>
      </w:r>
      <w:r w:rsidRPr="00A511CB">
        <w:rPr>
          <w:rFonts w:asciiTheme="minorHAnsi" w:eastAsiaTheme="minorHAnsi" w:hAnsiTheme="minorHAnsi" w:cs="Times New Roman"/>
          <w:b w:val="0"/>
          <w:bCs w:val="0"/>
          <w:color w:val="auto"/>
          <w:sz w:val="22"/>
          <w:szCs w:val="20"/>
        </w:rPr>
        <w:t xml:space="preserve"> an organisation with the capability and capacity to undertake a national FDSV workforce survey. To build sector and community capacity to identify and support women, children and LGBTIQA+ people who experience gender</w:t>
      </w:r>
      <w:r w:rsidR="00CA2C70">
        <w:rPr>
          <w:rFonts w:asciiTheme="minorHAnsi" w:eastAsiaTheme="minorHAnsi" w:hAnsiTheme="minorHAnsi" w:cs="Times New Roman"/>
          <w:b w:val="0"/>
          <w:bCs w:val="0"/>
          <w:color w:val="auto"/>
          <w:sz w:val="22"/>
          <w:szCs w:val="20"/>
        </w:rPr>
        <w:t>-</w:t>
      </w:r>
      <w:r w:rsidRPr="00A511CB">
        <w:rPr>
          <w:rFonts w:asciiTheme="minorHAnsi" w:eastAsiaTheme="minorHAnsi" w:hAnsiTheme="minorHAnsi" w:cs="Times New Roman"/>
          <w:b w:val="0"/>
          <w:bCs w:val="0"/>
          <w:color w:val="auto"/>
          <w:sz w:val="22"/>
          <w:szCs w:val="20"/>
        </w:rPr>
        <w:t xml:space="preserve">based violence, there needs to be an understanding of the nature, </w:t>
      </w:r>
      <w:proofErr w:type="gramStart"/>
      <w:r w:rsidRPr="00A511CB">
        <w:rPr>
          <w:rFonts w:asciiTheme="minorHAnsi" w:eastAsiaTheme="minorHAnsi" w:hAnsiTheme="minorHAnsi" w:cs="Times New Roman"/>
          <w:b w:val="0"/>
          <w:bCs w:val="0"/>
          <w:color w:val="auto"/>
          <w:sz w:val="22"/>
          <w:szCs w:val="20"/>
        </w:rPr>
        <w:t>size</w:t>
      </w:r>
      <w:proofErr w:type="gramEnd"/>
      <w:r w:rsidRPr="00A511CB">
        <w:rPr>
          <w:rFonts w:asciiTheme="minorHAnsi" w:eastAsiaTheme="minorHAnsi" w:hAnsiTheme="minorHAnsi" w:cs="Times New Roman"/>
          <w:b w:val="0"/>
          <w:bCs w:val="0"/>
          <w:color w:val="auto"/>
          <w:sz w:val="22"/>
          <w:szCs w:val="20"/>
        </w:rPr>
        <w:t xml:space="preserve"> and current capabilities of the workforce. A national survey of FDSV workers – across the 4 National Plan domains of prevention, early intervention, response and recovery and healing – will provide this picture.</w:t>
      </w:r>
    </w:p>
    <w:p w14:paraId="40C6D302" w14:textId="4A231237" w:rsidR="00A72242" w:rsidRPr="00175236" w:rsidRDefault="00A72242" w:rsidP="00ED6CE5">
      <w:pPr>
        <w:pStyle w:val="Heading2"/>
        <w:spacing w:before="240"/>
        <w:rPr>
          <w:b w:val="0"/>
          <w:color w:val="C00000"/>
          <w:sz w:val="36"/>
          <w:szCs w:val="36"/>
        </w:rPr>
      </w:pPr>
      <w:r w:rsidRPr="00175236">
        <w:rPr>
          <w:b w:val="0"/>
          <w:color w:val="C00000"/>
          <w:sz w:val="36"/>
          <w:szCs w:val="36"/>
        </w:rPr>
        <w:t>Selection Process</w:t>
      </w:r>
    </w:p>
    <w:p w14:paraId="2699CF37" w14:textId="6BF69CDD" w:rsidR="00A72242" w:rsidRPr="00854ACD" w:rsidRDefault="00A72242" w:rsidP="00A72242">
      <w:pPr>
        <w:pStyle w:val="BodyText"/>
        <w:spacing w:after="120"/>
        <w:rPr>
          <w:color w:val="auto"/>
        </w:rPr>
      </w:pPr>
      <w:r>
        <w:t xml:space="preserve">The </w:t>
      </w:r>
      <w:r w:rsidR="00747952">
        <w:t>department</w:t>
      </w:r>
      <w:r>
        <w:t xml:space="preserve"> undertook the</w:t>
      </w:r>
      <w:r w:rsidR="00517BA3">
        <w:t xml:space="preserve"> initial</w:t>
      </w:r>
      <w:r>
        <w:t xml:space="preserve"> screening for organisation eligibility and compliance against th</w:t>
      </w:r>
      <w:r w:rsidR="00517BA3">
        <w:t>e requirements outlined in the grant opportunity g</w:t>
      </w:r>
      <w:r>
        <w:t>uidelines. This information was provided to</w:t>
      </w:r>
      <w:r w:rsidR="00517BA3">
        <w:t xml:space="preserve"> the department</w:t>
      </w:r>
      <w:r w:rsidR="00B26492">
        <w:t>’</w:t>
      </w:r>
      <w:r w:rsidR="00517BA3">
        <w:t xml:space="preserve">s grant opportunity delegate </w:t>
      </w:r>
      <w:r w:rsidR="00B26492">
        <w:rPr>
          <w:color w:val="auto"/>
        </w:rPr>
        <w:t xml:space="preserve">for </w:t>
      </w:r>
      <w:r w:rsidRPr="00854ACD">
        <w:rPr>
          <w:color w:val="auto"/>
        </w:rPr>
        <w:t>final decision</w:t>
      </w:r>
      <w:r w:rsidR="00B26492">
        <w:rPr>
          <w:color w:val="auto"/>
        </w:rPr>
        <w:t>s</w:t>
      </w:r>
      <w:r w:rsidRPr="00854ACD">
        <w:rPr>
          <w:color w:val="auto"/>
        </w:rPr>
        <w:t xml:space="preserve"> on whether an application </w:t>
      </w:r>
      <w:r w:rsidR="00517BA3">
        <w:rPr>
          <w:color w:val="auto"/>
        </w:rPr>
        <w:t>met the eligibility and</w:t>
      </w:r>
      <w:r w:rsidRPr="00854ACD">
        <w:rPr>
          <w:color w:val="auto"/>
        </w:rPr>
        <w:t xml:space="preserve"> compliance criteria.</w:t>
      </w:r>
    </w:p>
    <w:p w14:paraId="4E30BF44" w14:textId="66C20386" w:rsidR="00110E81" w:rsidRDefault="00517BA3" w:rsidP="00A72242">
      <w:pPr>
        <w:spacing w:before="120" w:after="120"/>
        <w:rPr>
          <w:color w:val="auto"/>
        </w:rPr>
      </w:pPr>
      <w:r>
        <w:rPr>
          <w:color w:val="auto"/>
        </w:rPr>
        <w:t xml:space="preserve">The </w:t>
      </w:r>
      <w:r w:rsidRPr="00ED6CE5">
        <w:rPr>
          <w:color w:val="auto"/>
        </w:rPr>
        <w:t xml:space="preserve">department </w:t>
      </w:r>
      <w:r w:rsidR="00A72242" w:rsidRPr="00ED6CE5">
        <w:rPr>
          <w:color w:val="auto"/>
        </w:rPr>
        <w:t>assessed and considered all or eligible and compliant applicatio</w:t>
      </w:r>
      <w:r w:rsidR="00A72242" w:rsidRPr="00854ACD">
        <w:rPr>
          <w:color w:val="auto"/>
        </w:rPr>
        <w:t xml:space="preserve">ns through </w:t>
      </w:r>
      <w:r w:rsidR="00ED6CE5">
        <w:rPr>
          <w:color w:val="auto"/>
        </w:rPr>
        <w:t xml:space="preserve">a targeted competitive </w:t>
      </w:r>
      <w:r>
        <w:rPr>
          <w:color w:val="auto"/>
        </w:rPr>
        <w:t>grant process. The selection advisory p</w:t>
      </w:r>
      <w:r w:rsidR="00A72242" w:rsidRPr="00854ACD">
        <w:rPr>
          <w:color w:val="auto"/>
        </w:rPr>
        <w:t>anel</w:t>
      </w:r>
      <w:r>
        <w:rPr>
          <w:color w:val="auto"/>
        </w:rPr>
        <w:t xml:space="preserve"> (panel) </w:t>
      </w:r>
      <w:r w:rsidRPr="00854ACD">
        <w:rPr>
          <w:color w:val="auto"/>
        </w:rPr>
        <w:t>established by</w:t>
      </w:r>
      <w:r>
        <w:rPr>
          <w:color w:val="auto"/>
        </w:rPr>
        <w:t xml:space="preserve"> the department</w:t>
      </w:r>
      <w:r w:rsidRPr="00854ACD">
        <w:rPr>
          <w:color w:val="auto"/>
        </w:rPr>
        <w:t xml:space="preserve">, </w:t>
      </w:r>
      <w:r w:rsidRPr="00E86AD5">
        <w:t xml:space="preserve">comprised </w:t>
      </w:r>
      <w:r>
        <w:t xml:space="preserve">of subject matter experts who </w:t>
      </w:r>
      <w:r w:rsidR="00A72242" w:rsidRPr="00854ACD">
        <w:rPr>
          <w:color w:val="auto"/>
        </w:rPr>
        <w:t>assessed applications</w:t>
      </w:r>
      <w:r>
        <w:rPr>
          <w:color w:val="auto"/>
        </w:rPr>
        <w:t xml:space="preserve"> </w:t>
      </w:r>
      <w:r w:rsidRPr="00E86AD5">
        <w:t xml:space="preserve">and provided advice to inform the funding recommendations to the </w:t>
      </w:r>
      <w:r>
        <w:t xml:space="preserve">Financial </w:t>
      </w:r>
      <w:r w:rsidRPr="00E86AD5">
        <w:t>Delegate.</w:t>
      </w:r>
    </w:p>
    <w:p w14:paraId="42D96BF8" w14:textId="73D5A904" w:rsidR="00A72242" w:rsidRDefault="00517BA3" w:rsidP="00A72242">
      <w:pPr>
        <w:spacing w:before="120" w:after="120"/>
      </w:pPr>
      <w:r>
        <w:rPr>
          <w:color w:val="auto"/>
        </w:rPr>
        <w:t>When assessing</w:t>
      </w:r>
      <w:r w:rsidR="00A72242">
        <w:rPr>
          <w:color w:val="auto"/>
        </w:rPr>
        <w:t xml:space="preserve"> applications t</w:t>
      </w:r>
      <w:r>
        <w:rPr>
          <w:rFonts w:ascii="Arial" w:hAnsi="Arial" w:cs="Arial"/>
          <w:szCs w:val="22"/>
        </w:rPr>
        <w:t>he p</w:t>
      </w:r>
      <w:r w:rsidR="00A72242">
        <w:rPr>
          <w:rFonts w:ascii="Arial" w:hAnsi="Arial" w:cs="Arial"/>
          <w:szCs w:val="22"/>
        </w:rPr>
        <w:t xml:space="preserve">anel took into consideration </w:t>
      </w:r>
      <w:proofErr w:type="gramStart"/>
      <w:r w:rsidR="00A72242">
        <w:rPr>
          <w:rFonts w:ascii="Arial" w:hAnsi="Arial" w:cs="Arial"/>
          <w:szCs w:val="22"/>
        </w:rPr>
        <w:t>a number of</w:t>
      </w:r>
      <w:proofErr w:type="gramEnd"/>
      <w:r w:rsidR="00A72242">
        <w:rPr>
          <w:rFonts w:ascii="Arial" w:hAnsi="Arial" w:cs="Arial"/>
          <w:szCs w:val="22"/>
        </w:rPr>
        <w:t xml:space="preserve"> factors</w:t>
      </w:r>
      <w:r w:rsidR="00005D00">
        <w:rPr>
          <w:rFonts w:ascii="Arial" w:hAnsi="Arial" w:cs="Arial"/>
          <w:szCs w:val="22"/>
        </w:rPr>
        <w:t xml:space="preserve"> incorporating </w:t>
      </w:r>
      <w:r w:rsidR="00A72242">
        <w:rPr>
          <w:rFonts w:ascii="Arial" w:hAnsi="Arial" w:cs="Arial"/>
          <w:szCs w:val="22"/>
        </w:rPr>
        <w:t>the inclusion /exclusion of late applications, the volume of applications received, mee</w:t>
      </w:r>
      <w:r w:rsidR="00110E81">
        <w:rPr>
          <w:rFonts w:ascii="Arial" w:hAnsi="Arial" w:cs="Arial"/>
          <w:szCs w:val="22"/>
        </w:rPr>
        <w:t xml:space="preserve">ting the identified </w:t>
      </w:r>
      <w:r w:rsidR="00A72242">
        <w:rPr>
          <w:rFonts w:ascii="Arial" w:hAnsi="Arial" w:cs="Arial"/>
          <w:szCs w:val="22"/>
        </w:rPr>
        <w:t>requirements</w:t>
      </w:r>
      <w:r w:rsidR="00110E81">
        <w:rPr>
          <w:rFonts w:ascii="Arial" w:hAnsi="Arial" w:cs="Arial"/>
          <w:szCs w:val="22"/>
        </w:rPr>
        <w:t xml:space="preserve"> outlined in the grant opportunity guidelines</w:t>
      </w:r>
      <w:r w:rsidR="00A72242">
        <w:rPr>
          <w:rFonts w:ascii="Arial" w:hAnsi="Arial" w:cs="Arial"/>
          <w:szCs w:val="22"/>
        </w:rPr>
        <w:t xml:space="preserve"> and the available funding envelope.</w:t>
      </w:r>
    </w:p>
    <w:p w14:paraId="2A0FDB11" w14:textId="2D4C4A5D" w:rsidR="00A72242" w:rsidRPr="005B1528" w:rsidRDefault="00005D00" w:rsidP="00A72242">
      <w:pPr>
        <w:pStyle w:val="BodyText"/>
        <w:rPr>
          <w:color w:val="auto"/>
        </w:rPr>
      </w:pPr>
      <w:bookmarkStart w:id="2" w:name="_Hlk163041300"/>
      <w:r>
        <w:rPr>
          <w:color w:val="auto"/>
        </w:rPr>
        <w:t xml:space="preserve">The panel’s consideration </w:t>
      </w:r>
      <w:r w:rsidR="00A72242" w:rsidRPr="005B1528">
        <w:rPr>
          <w:color w:val="auto"/>
        </w:rPr>
        <w:t>of assessed applications was, based on:</w:t>
      </w:r>
      <w:bookmarkEnd w:id="2"/>
    </w:p>
    <w:p w14:paraId="3D53EA13" w14:textId="528F7C3B" w:rsidR="00A72242" w:rsidRPr="00ED6CE5" w:rsidRDefault="00005D00" w:rsidP="00B6559B">
      <w:pPr>
        <w:pStyle w:val="ListParagraph"/>
        <w:numPr>
          <w:ilvl w:val="0"/>
          <w:numId w:val="18"/>
        </w:numPr>
        <w:rPr>
          <w:color w:val="auto"/>
        </w:rPr>
      </w:pPr>
      <w:r w:rsidRPr="00ED6CE5">
        <w:rPr>
          <w:color w:val="auto"/>
        </w:rPr>
        <w:t>compliance with</w:t>
      </w:r>
      <w:r w:rsidR="00A72242" w:rsidRPr="00ED6CE5">
        <w:rPr>
          <w:color w:val="auto"/>
        </w:rPr>
        <w:t xml:space="preserve"> </w:t>
      </w:r>
      <w:r w:rsidRPr="00ED6CE5">
        <w:rPr>
          <w:color w:val="auto"/>
        </w:rPr>
        <w:t>the grant opportunity guidelines</w:t>
      </w:r>
    </w:p>
    <w:p w14:paraId="5747BF01" w14:textId="30C07BD0" w:rsidR="00A72242" w:rsidRPr="00ED6CE5" w:rsidRDefault="00005D00" w:rsidP="00B6559B">
      <w:pPr>
        <w:pStyle w:val="ListParagraph"/>
        <w:numPr>
          <w:ilvl w:val="0"/>
          <w:numId w:val="18"/>
        </w:numPr>
        <w:rPr>
          <w:color w:val="auto"/>
        </w:rPr>
      </w:pPr>
      <w:r w:rsidRPr="00ED6CE5">
        <w:rPr>
          <w:color w:val="auto"/>
        </w:rPr>
        <w:t>s</w:t>
      </w:r>
      <w:r w:rsidR="00A72242" w:rsidRPr="00ED6CE5">
        <w:rPr>
          <w:color w:val="auto"/>
        </w:rPr>
        <w:t xml:space="preserve">uitability against the eligibility criteria in the </w:t>
      </w:r>
      <w:r w:rsidRPr="00ED6CE5">
        <w:rPr>
          <w:color w:val="auto"/>
        </w:rPr>
        <w:t>grant opportunity guidelines</w:t>
      </w:r>
    </w:p>
    <w:p w14:paraId="76777CFA" w14:textId="39235418" w:rsidR="00A72242" w:rsidRPr="00ED6CE5" w:rsidRDefault="00005D00" w:rsidP="00B6559B">
      <w:pPr>
        <w:pStyle w:val="ListParagraph"/>
        <w:numPr>
          <w:ilvl w:val="0"/>
          <w:numId w:val="18"/>
        </w:numPr>
        <w:rPr>
          <w:color w:val="auto"/>
        </w:rPr>
      </w:pPr>
      <w:r w:rsidRPr="00ED6CE5">
        <w:rPr>
          <w:color w:val="auto"/>
        </w:rPr>
        <w:t>h</w:t>
      </w:r>
      <w:r w:rsidR="00A72242" w:rsidRPr="00ED6CE5">
        <w:rPr>
          <w:color w:val="auto"/>
        </w:rPr>
        <w:t xml:space="preserve">ow well </w:t>
      </w:r>
      <w:r w:rsidRPr="00ED6CE5">
        <w:rPr>
          <w:color w:val="auto"/>
        </w:rPr>
        <w:t xml:space="preserve">the applications responses </w:t>
      </w:r>
      <w:r w:rsidR="00A72242" w:rsidRPr="00ED6CE5">
        <w:rPr>
          <w:color w:val="auto"/>
        </w:rPr>
        <w:t xml:space="preserve">met the assessment </w:t>
      </w:r>
      <w:proofErr w:type="gramStart"/>
      <w:r w:rsidR="00A72242" w:rsidRPr="00ED6CE5">
        <w:rPr>
          <w:color w:val="auto"/>
        </w:rPr>
        <w:t>criterion</w:t>
      </w:r>
      <w:proofErr w:type="gramEnd"/>
    </w:p>
    <w:p w14:paraId="61026713" w14:textId="7BD50DF7" w:rsidR="00A72242" w:rsidRPr="00ED6CE5" w:rsidRDefault="00005D00" w:rsidP="00B6559B">
      <w:pPr>
        <w:pStyle w:val="ListParagraph"/>
        <w:numPr>
          <w:ilvl w:val="0"/>
          <w:numId w:val="18"/>
        </w:numPr>
        <w:rPr>
          <w:color w:val="auto"/>
        </w:rPr>
      </w:pPr>
      <w:r w:rsidRPr="00ED6CE5">
        <w:rPr>
          <w:color w:val="auto"/>
        </w:rPr>
        <w:t>t</w:t>
      </w:r>
      <w:r w:rsidR="00A72242" w:rsidRPr="00ED6CE5">
        <w:rPr>
          <w:color w:val="auto"/>
        </w:rPr>
        <w:t xml:space="preserve">he extent </w:t>
      </w:r>
      <w:r w:rsidRPr="00ED6CE5">
        <w:rPr>
          <w:color w:val="auto"/>
        </w:rPr>
        <w:t xml:space="preserve">applications compared against </w:t>
      </w:r>
      <w:r w:rsidR="00A72242" w:rsidRPr="00ED6CE5">
        <w:rPr>
          <w:color w:val="auto"/>
        </w:rPr>
        <w:t xml:space="preserve">other </w:t>
      </w:r>
      <w:proofErr w:type="gramStart"/>
      <w:r w:rsidR="00A72242" w:rsidRPr="00ED6CE5">
        <w:rPr>
          <w:color w:val="auto"/>
        </w:rPr>
        <w:t>applications</w:t>
      </w:r>
      <w:proofErr w:type="gramEnd"/>
    </w:p>
    <w:p w14:paraId="34391F3E" w14:textId="0CA9CA5A" w:rsidR="00A72242" w:rsidRPr="00ED6CE5" w:rsidRDefault="00005D00" w:rsidP="00B6559B">
      <w:pPr>
        <w:pStyle w:val="ListParagraph"/>
        <w:numPr>
          <w:ilvl w:val="0"/>
          <w:numId w:val="18"/>
        </w:numPr>
        <w:rPr>
          <w:color w:val="auto"/>
        </w:rPr>
      </w:pPr>
      <w:r w:rsidRPr="00ED6CE5">
        <w:rPr>
          <w:color w:val="auto"/>
        </w:rPr>
        <w:t>a</w:t>
      </w:r>
      <w:r w:rsidR="00A72242" w:rsidRPr="00ED6CE5">
        <w:rPr>
          <w:color w:val="auto"/>
        </w:rPr>
        <w:t>lignment to the developmental</w:t>
      </w:r>
      <w:r w:rsidRPr="00ED6CE5">
        <w:rPr>
          <w:color w:val="auto"/>
        </w:rPr>
        <w:t xml:space="preserve"> plan outline and other requested</w:t>
      </w:r>
      <w:r w:rsidR="00A72242" w:rsidRPr="00ED6CE5">
        <w:rPr>
          <w:color w:val="auto"/>
        </w:rPr>
        <w:t xml:space="preserve"> attachments</w:t>
      </w:r>
    </w:p>
    <w:p w14:paraId="0E70511D" w14:textId="667EDAFA" w:rsidR="00A72242" w:rsidRPr="00ED6CE5" w:rsidRDefault="00005D00" w:rsidP="00B6559B">
      <w:pPr>
        <w:pStyle w:val="ListParagraph"/>
        <w:numPr>
          <w:ilvl w:val="0"/>
          <w:numId w:val="18"/>
        </w:numPr>
        <w:rPr>
          <w:color w:val="auto"/>
        </w:rPr>
      </w:pPr>
      <w:r w:rsidRPr="00ED6CE5">
        <w:rPr>
          <w:color w:val="auto"/>
        </w:rPr>
        <w:t>w</w:t>
      </w:r>
      <w:r w:rsidR="00A72242" w:rsidRPr="00ED6CE5">
        <w:rPr>
          <w:color w:val="auto"/>
        </w:rPr>
        <w:t>hether it provided value with relevant money</w:t>
      </w:r>
    </w:p>
    <w:p w14:paraId="05E472DF" w14:textId="3FC7DC4D" w:rsidR="00A72242" w:rsidRPr="00ED6CE5" w:rsidRDefault="00005D00" w:rsidP="00B6559B">
      <w:pPr>
        <w:pStyle w:val="ListParagraph"/>
        <w:numPr>
          <w:ilvl w:val="0"/>
          <w:numId w:val="18"/>
        </w:numPr>
        <w:rPr>
          <w:color w:val="auto"/>
        </w:rPr>
      </w:pPr>
      <w:r w:rsidRPr="00ED6CE5">
        <w:rPr>
          <w:color w:val="auto"/>
        </w:rPr>
        <w:t>h</w:t>
      </w:r>
      <w:r w:rsidR="00A72242" w:rsidRPr="00ED6CE5">
        <w:rPr>
          <w:color w:val="auto"/>
        </w:rPr>
        <w:t xml:space="preserve">ow the proposed activities </w:t>
      </w:r>
      <w:r w:rsidR="00A511CB">
        <w:rPr>
          <w:color w:val="auto"/>
        </w:rPr>
        <w:t xml:space="preserve">aligned with the objectives of the grant </w:t>
      </w:r>
      <w:proofErr w:type="gramStart"/>
      <w:r w:rsidR="00A511CB">
        <w:rPr>
          <w:color w:val="auto"/>
        </w:rPr>
        <w:t>opportunity</w:t>
      </w:r>
      <w:proofErr w:type="gramEnd"/>
    </w:p>
    <w:p w14:paraId="34711446" w14:textId="360D4ACB" w:rsidR="00E43182" w:rsidRPr="00747952" w:rsidRDefault="00A72242" w:rsidP="00B6559B">
      <w:pPr>
        <w:pStyle w:val="ListParagraph"/>
        <w:numPr>
          <w:ilvl w:val="0"/>
          <w:numId w:val="18"/>
        </w:numPr>
        <w:rPr>
          <w:color w:val="auto"/>
        </w:rPr>
      </w:pPr>
      <w:r w:rsidRPr="00ED6CE5">
        <w:rPr>
          <w:color w:val="auto"/>
        </w:rPr>
        <w:lastRenderedPageBreak/>
        <w:t xml:space="preserve">identified </w:t>
      </w:r>
      <w:r w:rsidR="00005D00" w:rsidRPr="00ED6CE5">
        <w:rPr>
          <w:color w:val="auto"/>
        </w:rPr>
        <w:t xml:space="preserve">risks </w:t>
      </w:r>
      <w:r w:rsidRPr="00ED6CE5">
        <w:rPr>
          <w:color w:val="auto"/>
        </w:rPr>
        <w:t>and t</w:t>
      </w:r>
      <w:r w:rsidR="00005D00" w:rsidRPr="00ED6CE5">
        <w:rPr>
          <w:color w:val="auto"/>
        </w:rPr>
        <w:t>he proposed mitigation strategies for the d</w:t>
      </w:r>
      <w:r w:rsidRPr="00ED6CE5">
        <w:rPr>
          <w:color w:val="auto"/>
        </w:rPr>
        <w:t>epartment and the Commonwealth</w:t>
      </w:r>
      <w:r w:rsidR="00A511CB">
        <w:rPr>
          <w:color w:val="auto"/>
        </w:rPr>
        <w:t>.</w:t>
      </w:r>
    </w:p>
    <w:p w14:paraId="4867D31C" w14:textId="26235498" w:rsidR="00A72242" w:rsidRPr="00175236" w:rsidRDefault="00A72242" w:rsidP="00175236">
      <w:pPr>
        <w:pStyle w:val="Heading2"/>
        <w:spacing w:before="240"/>
        <w:rPr>
          <w:b w:val="0"/>
          <w:color w:val="C00000"/>
          <w:sz w:val="36"/>
          <w:szCs w:val="36"/>
        </w:rPr>
      </w:pPr>
      <w:r w:rsidRPr="00175236">
        <w:rPr>
          <w:b w:val="0"/>
          <w:color w:val="C00000"/>
          <w:sz w:val="36"/>
          <w:szCs w:val="36"/>
        </w:rPr>
        <w:t>Selection Results</w:t>
      </w:r>
    </w:p>
    <w:p w14:paraId="1C72359D" w14:textId="3A0D34C2" w:rsidR="00110E81" w:rsidRPr="00942976" w:rsidRDefault="00747952" w:rsidP="00110E81">
      <w:pPr>
        <w:pStyle w:val="BodyText"/>
        <w:rPr>
          <w:color w:val="auto"/>
        </w:rPr>
      </w:pPr>
      <w:r>
        <w:t>Both</w:t>
      </w:r>
      <w:r w:rsidR="00A72242">
        <w:t xml:space="preserve"> applications </w:t>
      </w:r>
      <w:r>
        <w:t xml:space="preserve">received for this grant opportunity </w:t>
      </w:r>
      <w:r w:rsidR="00A72242">
        <w:t xml:space="preserve">were of a high standard. </w:t>
      </w:r>
      <w:r w:rsidR="00110E81" w:rsidRPr="001A134C">
        <w:rPr>
          <w:color w:val="auto"/>
        </w:rPr>
        <w:t>The preferred applicant demonstrated their ability to meet the grant requirements outlined in the grant opportunity guidelines based on the strength of their responses to the assessment criterion.</w:t>
      </w:r>
    </w:p>
    <w:p w14:paraId="647F8BB2" w14:textId="3AF8BF74" w:rsidR="00110E81" w:rsidRDefault="00110E81" w:rsidP="00110E81">
      <w:pPr>
        <w:pStyle w:val="BodyText"/>
      </w:pPr>
      <w:r w:rsidRPr="001A134C">
        <w:rPr>
          <w:rStyle w:val="ui-provider"/>
          <w:color w:val="auto"/>
        </w:rPr>
        <w:t xml:space="preserve">The department </w:t>
      </w:r>
      <w:r w:rsidRPr="001A134C">
        <w:rPr>
          <w:rStyle w:val="ui-provider"/>
        </w:rPr>
        <w:t>notified applicants</w:t>
      </w:r>
      <w:r>
        <w:rPr>
          <w:rStyle w:val="ui-provider"/>
        </w:rPr>
        <w:t xml:space="preserve"> of the outcome in writing, where their a</w:t>
      </w:r>
      <w:r w:rsidRPr="007619FC">
        <w:rPr>
          <w:rStyle w:val="ui-provider"/>
        </w:rPr>
        <w:t>pplications did not meet th</w:t>
      </w:r>
      <w:r>
        <w:rPr>
          <w:rStyle w:val="ui-provider"/>
        </w:rPr>
        <w:t>e requirements outlined in the grant opportunity g</w:t>
      </w:r>
      <w:r w:rsidRPr="007619FC">
        <w:rPr>
          <w:rStyle w:val="ui-provider"/>
        </w:rPr>
        <w:t>uidelines</w:t>
      </w:r>
      <w:r>
        <w:rPr>
          <w:rStyle w:val="ui-provider"/>
        </w:rPr>
        <w:t>.</w:t>
      </w:r>
    </w:p>
    <w:p w14:paraId="672F764B" w14:textId="4FBC1F93" w:rsidR="00A72242" w:rsidRDefault="00A72242" w:rsidP="00A72242">
      <w:pPr>
        <w:pStyle w:val="BodyText"/>
      </w:pPr>
      <w:r>
        <w:t xml:space="preserve">This feedback is </w:t>
      </w:r>
      <w:r w:rsidR="00B26492">
        <w:t xml:space="preserve">provided </w:t>
      </w:r>
      <w:r>
        <w:t>to assist grant applicants to understand</w:t>
      </w:r>
      <w:r w:rsidR="00C85D91">
        <w:t xml:space="preserve"> what </w:t>
      </w:r>
      <w:r>
        <w:t>comprised a strong application and the content of quality responses to the assessment criterion.</w:t>
      </w:r>
    </w:p>
    <w:p w14:paraId="22D9FB15" w14:textId="77777777" w:rsidR="00A72242" w:rsidRPr="00175236" w:rsidRDefault="00A72242" w:rsidP="00175236">
      <w:pPr>
        <w:pStyle w:val="Heading3"/>
        <w:spacing w:before="240"/>
        <w:rPr>
          <w:color w:val="C00000"/>
          <w:sz w:val="24"/>
          <w:szCs w:val="24"/>
        </w:rPr>
      </w:pPr>
      <w:r w:rsidRPr="00175236">
        <w:rPr>
          <w:color w:val="C00000"/>
          <w:sz w:val="24"/>
          <w:szCs w:val="24"/>
        </w:rPr>
        <w:t>Criterion 1</w:t>
      </w:r>
    </w:p>
    <w:p w14:paraId="317C07B1" w14:textId="77777777" w:rsidR="001A134C" w:rsidRDefault="001A134C" w:rsidP="00A72242">
      <w:pPr>
        <w:pStyle w:val="BodyText"/>
        <w:spacing w:before="60"/>
      </w:pPr>
      <w:r w:rsidRPr="001A134C">
        <w:t xml:space="preserve">Detail your organisation’s experience, </w:t>
      </w:r>
      <w:proofErr w:type="gramStart"/>
      <w:r w:rsidRPr="001A134C">
        <w:t>expertise</w:t>
      </w:r>
      <w:proofErr w:type="gramEnd"/>
      <w:r w:rsidRPr="001A134C">
        <w:t xml:space="preserve"> and resources available to deliver the activity.</w:t>
      </w:r>
    </w:p>
    <w:p w14:paraId="12951F59" w14:textId="5FAAAB57" w:rsidR="00175236" w:rsidRPr="00175236" w:rsidRDefault="00175236" w:rsidP="00A72242">
      <w:pPr>
        <w:pStyle w:val="BodyText"/>
        <w:spacing w:before="60"/>
      </w:pPr>
      <w:r w:rsidRPr="00175236">
        <w:t>Strong applications:</w:t>
      </w:r>
    </w:p>
    <w:p w14:paraId="73EF62D7" w14:textId="48C7FB19" w:rsidR="001A134C" w:rsidRPr="00B6559B" w:rsidRDefault="00B6559B" w:rsidP="00B6559B">
      <w:pPr>
        <w:pStyle w:val="ListParagraph"/>
        <w:numPr>
          <w:ilvl w:val="0"/>
          <w:numId w:val="18"/>
        </w:numPr>
        <w:rPr>
          <w:color w:val="auto"/>
        </w:rPr>
      </w:pPr>
      <w:r w:rsidRPr="00B6559B">
        <w:rPr>
          <w:color w:val="auto"/>
        </w:rPr>
        <w:t xml:space="preserve">had </w:t>
      </w:r>
      <w:r w:rsidR="00B12105" w:rsidRPr="00B6559B">
        <w:rPr>
          <w:color w:val="auto"/>
        </w:rPr>
        <w:t xml:space="preserve">working knowledge of the different types of FDSV: family violence, intimate partner violence, sexual violence, exploitation, </w:t>
      </w:r>
      <w:proofErr w:type="gramStart"/>
      <w:r w:rsidR="00B12105" w:rsidRPr="00B6559B">
        <w:rPr>
          <w:color w:val="auto"/>
        </w:rPr>
        <w:t>neglect</w:t>
      </w:r>
      <w:proofErr w:type="gramEnd"/>
      <w:r w:rsidR="00B12105" w:rsidRPr="00B6559B">
        <w:rPr>
          <w:color w:val="auto"/>
        </w:rPr>
        <w:t xml:space="preserve"> and emotional abuse (such as extreme social isolation)</w:t>
      </w:r>
    </w:p>
    <w:p w14:paraId="1380E0F7" w14:textId="64270A6E" w:rsidR="00B12105" w:rsidRPr="00B6559B" w:rsidRDefault="00B6559B" w:rsidP="00B6559B">
      <w:pPr>
        <w:pStyle w:val="ListParagraph"/>
        <w:numPr>
          <w:ilvl w:val="0"/>
          <w:numId w:val="18"/>
        </w:numPr>
        <w:rPr>
          <w:color w:val="auto"/>
        </w:rPr>
      </w:pPr>
      <w:r w:rsidRPr="00B6559B">
        <w:rPr>
          <w:color w:val="auto"/>
        </w:rPr>
        <w:t xml:space="preserve">provided </w:t>
      </w:r>
      <w:r w:rsidR="00B12105" w:rsidRPr="00B6559B">
        <w:rPr>
          <w:color w:val="auto"/>
        </w:rPr>
        <w:t xml:space="preserve">evidence of prior experience in delivering similar grants or programs; or how their organisation’s prior experience proves capability to deliver this </w:t>
      </w:r>
      <w:proofErr w:type="gramStart"/>
      <w:r w:rsidR="00B12105" w:rsidRPr="00B6559B">
        <w:rPr>
          <w:color w:val="auto"/>
        </w:rPr>
        <w:t>grant</w:t>
      </w:r>
      <w:proofErr w:type="gramEnd"/>
    </w:p>
    <w:p w14:paraId="5034C11A" w14:textId="12CAE5EC" w:rsidR="00B12105" w:rsidRPr="00B6559B" w:rsidRDefault="00B6559B" w:rsidP="00B6559B">
      <w:pPr>
        <w:pStyle w:val="ListParagraph"/>
        <w:numPr>
          <w:ilvl w:val="0"/>
          <w:numId w:val="18"/>
        </w:numPr>
        <w:rPr>
          <w:color w:val="auto"/>
        </w:rPr>
      </w:pPr>
      <w:r w:rsidRPr="00B6559B">
        <w:rPr>
          <w:color w:val="auto"/>
        </w:rPr>
        <w:t xml:space="preserve">detailed </w:t>
      </w:r>
      <w:r w:rsidR="00B12105" w:rsidRPr="00B6559B">
        <w:rPr>
          <w:color w:val="auto"/>
        </w:rPr>
        <w:t>their ability to develop a national survey whilst still enabling enough guidance for specific tailoring for different contexts.</w:t>
      </w:r>
    </w:p>
    <w:p w14:paraId="7342B966" w14:textId="77777777" w:rsidR="00B12105" w:rsidRPr="00B12105" w:rsidRDefault="00B12105" w:rsidP="00B12105">
      <w:pPr>
        <w:pStyle w:val="ListParagraph"/>
        <w:rPr>
          <w:rFonts w:ascii="Arial" w:eastAsia="Arial" w:hAnsi="Arial" w:cs="Arial"/>
          <w:color w:val="auto"/>
          <w:szCs w:val="22"/>
        </w:rPr>
      </w:pPr>
    </w:p>
    <w:p w14:paraId="7C5E1D50" w14:textId="73A1FC56" w:rsidR="00A72242" w:rsidRPr="001A134C" w:rsidRDefault="00A72242" w:rsidP="001A134C">
      <w:pPr>
        <w:pStyle w:val="BodyText"/>
        <w:spacing w:before="60"/>
        <w:rPr>
          <w:rFonts w:ascii="Arial" w:eastAsia="Arial" w:hAnsi="Arial" w:cs="Arial"/>
          <w:b/>
          <w:bCs/>
          <w:color w:val="auto"/>
          <w:szCs w:val="22"/>
        </w:rPr>
      </w:pPr>
      <w:r w:rsidRPr="001A134C">
        <w:rPr>
          <w:b/>
          <w:bCs/>
          <w:color w:val="C00000"/>
          <w:sz w:val="24"/>
          <w:szCs w:val="24"/>
        </w:rPr>
        <w:t>Criterion 2</w:t>
      </w:r>
    </w:p>
    <w:p w14:paraId="039ADC19" w14:textId="2CE6A2C0" w:rsidR="001A134C" w:rsidRDefault="001A134C" w:rsidP="001A134C">
      <w:pPr>
        <w:pStyle w:val="BodyText"/>
        <w:spacing w:before="60"/>
      </w:pPr>
      <w:r>
        <w:t>Detail your national reach and how you will ensure that the appropriate workforce organisations are consulted in this grant opportunity.</w:t>
      </w:r>
    </w:p>
    <w:p w14:paraId="0242BCA9" w14:textId="280FDCEB" w:rsidR="00175236" w:rsidRPr="00175236" w:rsidRDefault="00175236" w:rsidP="001A134C">
      <w:pPr>
        <w:pStyle w:val="BodyText"/>
        <w:spacing w:before="60"/>
      </w:pPr>
      <w:r w:rsidRPr="00175236">
        <w:t>Strong applications:</w:t>
      </w:r>
    </w:p>
    <w:p w14:paraId="389A0A6A" w14:textId="38CA886A" w:rsidR="00B12105" w:rsidRPr="00B6559B" w:rsidRDefault="00B6559B" w:rsidP="00B6559B">
      <w:pPr>
        <w:pStyle w:val="ListParagraph"/>
        <w:numPr>
          <w:ilvl w:val="0"/>
          <w:numId w:val="18"/>
        </w:numPr>
        <w:rPr>
          <w:color w:val="auto"/>
        </w:rPr>
      </w:pPr>
      <w:r w:rsidRPr="00B6559B">
        <w:rPr>
          <w:color w:val="auto"/>
        </w:rPr>
        <w:t xml:space="preserve">detailed </w:t>
      </w:r>
      <w:r w:rsidR="00B12105" w:rsidRPr="00B6559B">
        <w:rPr>
          <w:color w:val="auto"/>
        </w:rPr>
        <w:t xml:space="preserve">how governments and organisations will be included in the consultation process to develop the survey, collect the data and present the </w:t>
      </w:r>
      <w:proofErr w:type="gramStart"/>
      <w:r w:rsidR="00B12105" w:rsidRPr="00B6559B">
        <w:rPr>
          <w:color w:val="auto"/>
        </w:rPr>
        <w:t>data</w:t>
      </w:r>
      <w:proofErr w:type="gramEnd"/>
    </w:p>
    <w:p w14:paraId="77646521" w14:textId="2CCFBE76" w:rsidR="00B12105" w:rsidRPr="00B6559B" w:rsidRDefault="00B6559B" w:rsidP="00B6559B">
      <w:pPr>
        <w:pStyle w:val="ListParagraph"/>
        <w:numPr>
          <w:ilvl w:val="0"/>
          <w:numId w:val="18"/>
        </w:numPr>
        <w:rPr>
          <w:color w:val="auto"/>
        </w:rPr>
      </w:pPr>
      <w:r w:rsidRPr="00B6559B">
        <w:rPr>
          <w:color w:val="auto"/>
        </w:rPr>
        <w:t xml:space="preserve">detailed </w:t>
      </w:r>
      <w:r w:rsidR="00B12105" w:rsidRPr="00B6559B">
        <w:rPr>
          <w:color w:val="auto"/>
        </w:rPr>
        <w:t>how different levels within the FDSV workforce may require different approaches, such as management versus the frontline workers.</w:t>
      </w:r>
    </w:p>
    <w:p w14:paraId="2D368E1B" w14:textId="56758854" w:rsidR="00A72242" w:rsidRPr="00175236" w:rsidRDefault="00A72242" w:rsidP="00175236">
      <w:pPr>
        <w:pStyle w:val="Heading3"/>
        <w:spacing w:before="240"/>
        <w:rPr>
          <w:color w:val="C00000"/>
          <w:sz w:val="24"/>
          <w:szCs w:val="24"/>
        </w:rPr>
      </w:pPr>
      <w:r w:rsidRPr="00175236">
        <w:rPr>
          <w:color w:val="C00000"/>
          <w:sz w:val="24"/>
          <w:szCs w:val="24"/>
        </w:rPr>
        <w:t>Criterion 3</w:t>
      </w:r>
    </w:p>
    <w:p w14:paraId="7DA21E12" w14:textId="77777777" w:rsidR="001A134C" w:rsidRDefault="001A134C" w:rsidP="00175236">
      <w:pPr>
        <w:pStyle w:val="BodyText"/>
        <w:spacing w:before="60"/>
      </w:pPr>
      <w:r w:rsidRPr="001A134C">
        <w:t xml:space="preserve">Detail how you will scope, </w:t>
      </w:r>
      <w:proofErr w:type="gramStart"/>
      <w:r w:rsidRPr="001A134C">
        <w:t>consult</w:t>
      </w:r>
      <w:proofErr w:type="gramEnd"/>
      <w:r w:rsidRPr="001A134C">
        <w:t xml:space="preserve"> and deliver on the objectives of this grant opportunity.</w:t>
      </w:r>
    </w:p>
    <w:p w14:paraId="2D10E75F" w14:textId="02AB3879" w:rsidR="00175236" w:rsidRPr="00175236" w:rsidRDefault="00175236" w:rsidP="00175236">
      <w:pPr>
        <w:pStyle w:val="BodyText"/>
        <w:spacing w:before="60"/>
      </w:pPr>
      <w:r w:rsidRPr="00175236">
        <w:t>Strong applications:</w:t>
      </w:r>
    </w:p>
    <w:p w14:paraId="6B8B8BDF" w14:textId="4CE0124A" w:rsidR="00B12105" w:rsidRPr="00B6559B" w:rsidRDefault="00B6559B" w:rsidP="00B6559B">
      <w:pPr>
        <w:pStyle w:val="ListParagraph"/>
        <w:numPr>
          <w:ilvl w:val="0"/>
          <w:numId w:val="18"/>
        </w:numPr>
        <w:rPr>
          <w:color w:val="auto"/>
        </w:rPr>
      </w:pPr>
      <w:r w:rsidRPr="00B6559B">
        <w:rPr>
          <w:color w:val="auto"/>
        </w:rPr>
        <w:t xml:space="preserve">demonstrated the methodology to be used to scope, </w:t>
      </w:r>
      <w:proofErr w:type="gramStart"/>
      <w:r w:rsidRPr="00B6559B">
        <w:rPr>
          <w:color w:val="auto"/>
        </w:rPr>
        <w:t>consult</w:t>
      </w:r>
      <w:proofErr w:type="gramEnd"/>
      <w:r w:rsidRPr="00B6559B">
        <w:rPr>
          <w:color w:val="auto"/>
        </w:rPr>
        <w:t xml:space="preserve"> and deliver the survey, while considering cultural appropriateness</w:t>
      </w:r>
    </w:p>
    <w:p w14:paraId="1E2FD0AF" w14:textId="4B2A7B2C" w:rsidR="00B12105" w:rsidRPr="00B6559B" w:rsidRDefault="00B6559B" w:rsidP="00B6559B">
      <w:pPr>
        <w:pStyle w:val="ListParagraph"/>
        <w:numPr>
          <w:ilvl w:val="0"/>
          <w:numId w:val="18"/>
        </w:numPr>
        <w:rPr>
          <w:color w:val="auto"/>
        </w:rPr>
      </w:pPr>
      <w:r w:rsidRPr="00B6559B">
        <w:rPr>
          <w:color w:val="auto"/>
        </w:rPr>
        <w:t xml:space="preserve">demonstrated the appropriate skillsets of the organisation to analyse and present the survey data in a formal final </w:t>
      </w:r>
      <w:proofErr w:type="gramStart"/>
      <w:r w:rsidRPr="00B6559B">
        <w:rPr>
          <w:color w:val="auto"/>
        </w:rPr>
        <w:t>report</w:t>
      </w:r>
      <w:proofErr w:type="gramEnd"/>
    </w:p>
    <w:p w14:paraId="4B119B65" w14:textId="37C41C1B" w:rsidR="00B12105" w:rsidRPr="00B6559B" w:rsidRDefault="00B6559B" w:rsidP="00B6559B">
      <w:pPr>
        <w:pStyle w:val="ListParagraph"/>
        <w:numPr>
          <w:ilvl w:val="0"/>
          <w:numId w:val="18"/>
        </w:numPr>
        <w:rPr>
          <w:color w:val="auto"/>
        </w:rPr>
      </w:pPr>
      <w:r w:rsidRPr="00B6559B">
        <w:rPr>
          <w:color w:val="auto"/>
        </w:rPr>
        <w:t xml:space="preserve">considered if ethics approval is required for all or some of the </w:t>
      </w:r>
      <w:proofErr w:type="gramStart"/>
      <w:r w:rsidRPr="00B6559B">
        <w:rPr>
          <w:color w:val="auto"/>
        </w:rPr>
        <w:t>cohorts</w:t>
      </w:r>
      <w:proofErr w:type="gramEnd"/>
    </w:p>
    <w:p w14:paraId="61B6F9D4" w14:textId="16BB43DC" w:rsidR="00B12105" w:rsidRPr="00B6559B" w:rsidRDefault="00B6559B" w:rsidP="00B6559B">
      <w:pPr>
        <w:pStyle w:val="ListParagraph"/>
        <w:numPr>
          <w:ilvl w:val="0"/>
          <w:numId w:val="18"/>
        </w:numPr>
        <w:rPr>
          <w:color w:val="auto"/>
        </w:rPr>
      </w:pPr>
      <w:r w:rsidRPr="00B6559B">
        <w:rPr>
          <w:color w:val="auto"/>
        </w:rPr>
        <w:t>clearly articulated how the objectives of their organisation/consortium align with those of the grant and of the national plan.</w:t>
      </w:r>
    </w:p>
    <w:p w14:paraId="0A3D6B31" w14:textId="6DE959A8" w:rsidR="00A72242" w:rsidRPr="00175236" w:rsidRDefault="00A72242" w:rsidP="00175236">
      <w:pPr>
        <w:pStyle w:val="Heading2"/>
        <w:spacing w:before="240"/>
        <w:rPr>
          <w:b w:val="0"/>
          <w:color w:val="C00000"/>
          <w:sz w:val="36"/>
          <w:szCs w:val="36"/>
        </w:rPr>
      </w:pPr>
      <w:r w:rsidRPr="00175236">
        <w:rPr>
          <w:b w:val="0"/>
          <w:color w:val="C00000"/>
          <w:sz w:val="36"/>
          <w:szCs w:val="36"/>
        </w:rPr>
        <w:t xml:space="preserve">Individual feedback </w:t>
      </w:r>
    </w:p>
    <w:p w14:paraId="210E84EB" w14:textId="27ADD9FC" w:rsidR="00A72242" w:rsidRPr="00747952" w:rsidRDefault="000E5175" w:rsidP="00747952">
      <w:pPr>
        <w:pStyle w:val="BodyText"/>
        <w:rPr>
          <w:color w:val="auto"/>
        </w:rPr>
      </w:pPr>
      <w:r w:rsidRPr="000E5175">
        <w:rPr>
          <w:color w:val="auto"/>
        </w:rPr>
        <w:t>Individual feedback will not be provided for this grant opportunity</w:t>
      </w:r>
      <w:r>
        <w:rPr>
          <w:color w:val="auto"/>
        </w:rPr>
        <w:t>.</w:t>
      </w:r>
    </w:p>
    <w:sectPr w:rsidR="00A72242" w:rsidRPr="00747952" w:rsidSect="006D1DC1">
      <w:headerReference w:type="default" r:id="rId9"/>
      <w:pgSz w:w="11906" w:h="16838" w:code="9"/>
      <w:pgMar w:top="1247" w:right="1134" w:bottom="851" w:left="1134" w:header="57" w:footer="284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770DF" w14:textId="77777777" w:rsidR="006D1DC1" w:rsidRDefault="006D1DC1" w:rsidP="00772718">
      <w:pPr>
        <w:spacing w:line="240" w:lineRule="auto"/>
      </w:pPr>
      <w:r>
        <w:separator/>
      </w:r>
    </w:p>
  </w:endnote>
  <w:endnote w:type="continuationSeparator" w:id="0">
    <w:p w14:paraId="149A686D" w14:textId="77777777" w:rsidR="006D1DC1" w:rsidRDefault="006D1DC1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AE2BB" w14:textId="77777777" w:rsidR="006D1DC1" w:rsidRDefault="006D1DC1" w:rsidP="00772718">
      <w:pPr>
        <w:spacing w:line="240" w:lineRule="auto"/>
      </w:pPr>
      <w:r>
        <w:separator/>
      </w:r>
    </w:p>
  </w:footnote>
  <w:footnote w:type="continuationSeparator" w:id="0">
    <w:p w14:paraId="22C8EE69" w14:textId="77777777" w:rsidR="006D1DC1" w:rsidRDefault="006D1DC1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57E7" w14:textId="47BCA105" w:rsidR="00A14495" w:rsidRDefault="00244B48">
    <w:pPr>
      <w:pStyle w:val="Header"/>
    </w:pPr>
    <w:r>
      <w:rPr>
        <w:noProof/>
        <w:lang w:eastAsia="en-AU"/>
      </w:rPr>
      <w:drawing>
        <wp:inline distT="0" distB="0" distL="0" distR="0" wp14:anchorId="01A1B0B4" wp14:editId="2A7A268B">
          <wp:extent cx="6039485" cy="647700"/>
          <wp:effectExtent l="0" t="0" r="0" b="0"/>
          <wp:docPr id="3" name="Picture 3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48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D12E7"/>
    <w:multiLevelType w:val="multilevel"/>
    <w:tmpl w:val="2BD2A5E2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2EE42CC"/>
    <w:multiLevelType w:val="hybridMultilevel"/>
    <w:tmpl w:val="E4AC206A"/>
    <w:lvl w:ilvl="0" w:tplc="C872347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41B5F"/>
    <w:multiLevelType w:val="hybridMultilevel"/>
    <w:tmpl w:val="6720B8BE"/>
    <w:lvl w:ilvl="0" w:tplc="0750DE5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2A2A39AF"/>
    <w:multiLevelType w:val="hybridMultilevel"/>
    <w:tmpl w:val="21A29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95079"/>
    <w:multiLevelType w:val="hybridMultilevel"/>
    <w:tmpl w:val="13D0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9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59115E3"/>
    <w:multiLevelType w:val="hybridMultilevel"/>
    <w:tmpl w:val="F56CD28C"/>
    <w:lvl w:ilvl="0" w:tplc="B080C6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64F9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016320"/>
    <w:multiLevelType w:val="hybridMultilevel"/>
    <w:tmpl w:val="03369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176E5"/>
    <w:multiLevelType w:val="hybridMultilevel"/>
    <w:tmpl w:val="F1F26F22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3A3B13"/>
    <w:multiLevelType w:val="hybridMultilevel"/>
    <w:tmpl w:val="FFDA0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F3259"/>
    <w:multiLevelType w:val="hybridMultilevel"/>
    <w:tmpl w:val="7A08EA10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16" w15:restartNumberingAfterBreak="0">
    <w:nsid w:val="6E201D21"/>
    <w:multiLevelType w:val="hybridMultilevel"/>
    <w:tmpl w:val="6C208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076881">
    <w:abstractNumId w:val="0"/>
  </w:num>
  <w:num w:numId="2" w16cid:durableId="61220899">
    <w:abstractNumId w:val="15"/>
  </w:num>
  <w:num w:numId="3" w16cid:durableId="262491724">
    <w:abstractNumId w:val="3"/>
  </w:num>
  <w:num w:numId="4" w16cid:durableId="1089228471">
    <w:abstractNumId w:val="9"/>
  </w:num>
  <w:num w:numId="5" w16cid:durableId="964459040">
    <w:abstractNumId w:val="8"/>
  </w:num>
  <w:num w:numId="6" w16cid:durableId="1105231837">
    <w:abstractNumId w:val="7"/>
  </w:num>
  <w:num w:numId="7" w16cid:durableId="979656907">
    <w:abstractNumId w:val="4"/>
  </w:num>
  <w:num w:numId="8" w16cid:durableId="203564263">
    <w:abstractNumId w:val="14"/>
  </w:num>
  <w:num w:numId="9" w16cid:durableId="2077507769">
    <w:abstractNumId w:val="12"/>
  </w:num>
  <w:num w:numId="10" w16cid:durableId="666641433">
    <w:abstractNumId w:val="1"/>
  </w:num>
  <w:num w:numId="11" w16cid:durableId="1610820251">
    <w:abstractNumId w:val="5"/>
  </w:num>
  <w:num w:numId="12" w16cid:durableId="2097704348">
    <w:abstractNumId w:val="1"/>
  </w:num>
  <w:num w:numId="13" w16cid:durableId="1976174604">
    <w:abstractNumId w:val="16"/>
  </w:num>
  <w:num w:numId="14" w16cid:durableId="1727337244">
    <w:abstractNumId w:val="6"/>
  </w:num>
  <w:num w:numId="15" w16cid:durableId="1740128912">
    <w:abstractNumId w:val="2"/>
  </w:num>
  <w:num w:numId="16" w16cid:durableId="1746949379">
    <w:abstractNumId w:val="13"/>
  </w:num>
  <w:num w:numId="17" w16cid:durableId="2119443870">
    <w:abstractNumId w:val="11"/>
  </w:num>
  <w:num w:numId="18" w16cid:durableId="15012337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04"/>
    <w:rsid w:val="00000555"/>
    <w:rsid w:val="00000A51"/>
    <w:rsid w:val="00004A79"/>
    <w:rsid w:val="00005D00"/>
    <w:rsid w:val="00007DE9"/>
    <w:rsid w:val="00014447"/>
    <w:rsid w:val="00015AE4"/>
    <w:rsid w:val="0003018E"/>
    <w:rsid w:val="00030C4C"/>
    <w:rsid w:val="00033BC3"/>
    <w:rsid w:val="00044E09"/>
    <w:rsid w:val="000455E3"/>
    <w:rsid w:val="0004784D"/>
    <w:rsid w:val="000535A3"/>
    <w:rsid w:val="00053A00"/>
    <w:rsid w:val="00053DC5"/>
    <w:rsid w:val="000551F5"/>
    <w:rsid w:val="000769DF"/>
    <w:rsid w:val="000A57BC"/>
    <w:rsid w:val="000B6C00"/>
    <w:rsid w:val="000C1F06"/>
    <w:rsid w:val="000C545E"/>
    <w:rsid w:val="000E5175"/>
    <w:rsid w:val="000F1DD1"/>
    <w:rsid w:val="000F28B8"/>
    <w:rsid w:val="000F3766"/>
    <w:rsid w:val="00100880"/>
    <w:rsid w:val="00101F8D"/>
    <w:rsid w:val="00106FC4"/>
    <w:rsid w:val="00110E81"/>
    <w:rsid w:val="00111F0C"/>
    <w:rsid w:val="00120B80"/>
    <w:rsid w:val="001454BC"/>
    <w:rsid w:val="00145E2D"/>
    <w:rsid w:val="0016612C"/>
    <w:rsid w:val="00175236"/>
    <w:rsid w:val="001763D4"/>
    <w:rsid w:val="00176FB0"/>
    <w:rsid w:val="00181433"/>
    <w:rsid w:val="001834DD"/>
    <w:rsid w:val="00191BCF"/>
    <w:rsid w:val="00197308"/>
    <w:rsid w:val="001A134C"/>
    <w:rsid w:val="001C53CE"/>
    <w:rsid w:val="001C5D96"/>
    <w:rsid w:val="001D341B"/>
    <w:rsid w:val="001E3D2B"/>
    <w:rsid w:val="001E5415"/>
    <w:rsid w:val="001E66CE"/>
    <w:rsid w:val="001F6BE5"/>
    <w:rsid w:val="00221DC2"/>
    <w:rsid w:val="0022200F"/>
    <w:rsid w:val="002277D8"/>
    <w:rsid w:val="00230D18"/>
    <w:rsid w:val="00243004"/>
    <w:rsid w:val="00244B48"/>
    <w:rsid w:val="00256CDA"/>
    <w:rsid w:val="002573D5"/>
    <w:rsid w:val="002600F2"/>
    <w:rsid w:val="00264E26"/>
    <w:rsid w:val="00280E74"/>
    <w:rsid w:val="00282BDC"/>
    <w:rsid w:val="00283F6E"/>
    <w:rsid w:val="00284E4B"/>
    <w:rsid w:val="002A41E1"/>
    <w:rsid w:val="002B6574"/>
    <w:rsid w:val="002D3419"/>
    <w:rsid w:val="002D4D48"/>
    <w:rsid w:val="002E0AA1"/>
    <w:rsid w:val="002E1CCC"/>
    <w:rsid w:val="002E21D2"/>
    <w:rsid w:val="002F7D3C"/>
    <w:rsid w:val="00302D5E"/>
    <w:rsid w:val="00305720"/>
    <w:rsid w:val="0031098A"/>
    <w:rsid w:val="003131AB"/>
    <w:rsid w:val="003217BE"/>
    <w:rsid w:val="0034044F"/>
    <w:rsid w:val="0034198E"/>
    <w:rsid w:val="00352EE6"/>
    <w:rsid w:val="00355FF2"/>
    <w:rsid w:val="0035639D"/>
    <w:rsid w:val="00376001"/>
    <w:rsid w:val="003A17CA"/>
    <w:rsid w:val="003B5410"/>
    <w:rsid w:val="003D0647"/>
    <w:rsid w:val="003D1265"/>
    <w:rsid w:val="003D255E"/>
    <w:rsid w:val="003D3B1D"/>
    <w:rsid w:val="003D4B2C"/>
    <w:rsid w:val="003D5DBE"/>
    <w:rsid w:val="003E01D1"/>
    <w:rsid w:val="00404841"/>
    <w:rsid w:val="00410238"/>
    <w:rsid w:val="00412059"/>
    <w:rsid w:val="00422E02"/>
    <w:rsid w:val="00425633"/>
    <w:rsid w:val="0043142E"/>
    <w:rsid w:val="00441E79"/>
    <w:rsid w:val="00444032"/>
    <w:rsid w:val="0044643A"/>
    <w:rsid w:val="00450486"/>
    <w:rsid w:val="00454EB4"/>
    <w:rsid w:val="00461BE1"/>
    <w:rsid w:val="00464243"/>
    <w:rsid w:val="004709E9"/>
    <w:rsid w:val="00472379"/>
    <w:rsid w:val="00483A58"/>
    <w:rsid w:val="00490618"/>
    <w:rsid w:val="004A7A42"/>
    <w:rsid w:val="004B203A"/>
    <w:rsid w:val="004B5F40"/>
    <w:rsid w:val="004C7D16"/>
    <w:rsid w:val="004D0860"/>
    <w:rsid w:val="004D700E"/>
    <w:rsid w:val="004D7F17"/>
    <w:rsid w:val="004E0670"/>
    <w:rsid w:val="004E7F37"/>
    <w:rsid w:val="004F203C"/>
    <w:rsid w:val="004F31BA"/>
    <w:rsid w:val="005116E1"/>
    <w:rsid w:val="005118E4"/>
    <w:rsid w:val="0051299F"/>
    <w:rsid w:val="00514CE8"/>
    <w:rsid w:val="00517BA3"/>
    <w:rsid w:val="0052075D"/>
    <w:rsid w:val="00526B85"/>
    <w:rsid w:val="005306A1"/>
    <w:rsid w:val="00544751"/>
    <w:rsid w:val="00553A84"/>
    <w:rsid w:val="00563F88"/>
    <w:rsid w:val="00571E8B"/>
    <w:rsid w:val="00587095"/>
    <w:rsid w:val="0059000C"/>
    <w:rsid w:val="005948DB"/>
    <w:rsid w:val="005A02A1"/>
    <w:rsid w:val="005B1528"/>
    <w:rsid w:val="005B6071"/>
    <w:rsid w:val="005C120F"/>
    <w:rsid w:val="005D5DFD"/>
    <w:rsid w:val="005D7A24"/>
    <w:rsid w:val="005E1395"/>
    <w:rsid w:val="00616EBA"/>
    <w:rsid w:val="00620574"/>
    <w:rsid w:val="00622B47"/>
    <w:rsid w:val="00632C08"/>
    <w:rsid w:val="00654C42"/>
    <w:rsid w:val="006572E9"/>
    <w:rsid w:val="00670592"/>
    <w:rsid w:val="0067074A"/>
    <w:rsid w:val="00672994"/>
    <w:rsid w:val="006807C9"/>
    <w:rsid w:val="00692EFD"/>
    <w:rsid w:val="00694FDB"/>
    <w:rsid w:val="006A2187"/>
    <w:rsid w:val="006C15C5"/>
    <w:rsid w:val="006D1DC1"/>
    <w:rsid w:val="006D3DAD"/>
    <w:rsid w:val="006D4A4B"/>
    <w:rsid w:val="006E1C6A"/>
    <w:rsid w:val="006E476C"/>
    <w:rsid w:val="006F6096"/>
    <w:rsid w:val="006F7B19"/>
    <w:rsid w:val="0070036D"/>
    <w:rsid w:val="00707E21"/>
    <w:rsid w:val="00716D7B"/>
    <w:rsid w:val="007317E1"/>
    <w:rsid w:val="00736A76"/>
    <w:rsid w:val="007405CC"/>
    <w:rsid w:val="00747952"/>
    <w:rsid w:val="00752C6B"/>
    <w:rsid w:val="00760CE6"/>
    <w:rsid w:val="00762F09"/>
    <w:rsid w:val="007719C9"/>
    <w:rsid w:val="00772718"/>
    <w:rsid w:val="007731DB"/>
    <w:rsid w:val="007A3384"/>
    <w:rsid w:val="007A57C4"/>
    <w:rsid w:val="007D30A8"/>
    <w:rsid w:val="007D4969"/>
    <w:rsid w:val="007E24C8"/>
    <w:rsid w:val="007F00B8"/>
    <w:rsid w:val="007F6391"/>
    <w:rsid w:val="007F6764"/>
    <w:rsid w:val="008006B6"/>
    <w:rsid w:val="00814FB1"/>
    <w:rsid w:val="00820F20"/>
    <w:rsid w:val="0082528A"/>
    <w:rsid w:val="00825754"/>
    <w:rsid w:val="00833758"/>
    <w:rsid w:val="00835210"/>
    <w:rsid w:val="0084413D"/>
    <w:rsid w:val="00844C2D"/>
    <w:rsid w:val="00845DAA"/>
    <w:rsid w:val="00851FDD"/>
    <w:rsid w:val="00854ACD"/>
    <w:rsid w:val="0087438E"/>
    <w:rsid w:val="00884668"/>
    <w:rsid w:val="00895EB9"/>
    <w:rsid w:val="008B2B46"/>
    <w:rsid w:val="008D31D1"/>
    <w:rsid w:val="008E05BC"/>
    <w:rsid w:val="008F17B8"/>
    <w:rsid w:val="008F3CCF"/>
    <w:rsid w:val="00901750"/>
    <w:rsid w:val="00901A61"/>
    <w:rsid w:val="00903A60"/>
    <w:rsid w:val="00921840"/>
    <w:rsid w:val="00932C87"/>
    <w:rsid w:val="009331B4"/>
    <w:rsid w:val="009345F1"/>
    <w:rsid w:val="00944BBB"/>
    <w:rsid w:val="00945DF5"/>
    <w:rsid w:val="00946440"/>
    <w:rsid w:val="0095141C"/>
    <w:rsid w:val="009547B6"/>
    <w:rsid w:val="00961072"/>
    <w:rsid w:val="0096623C"/>
    <w:rsid w:val="0097029A"/>
    <w:rsid w:val="00980BE5"/>
    <w:rsid w:val="00981F36"/>
    <w:rsid w:val="009A2F51"/>
    <w:rsid w:val="009A34F3"/>
    <w:rsid w:val="009A6241"/>
    <w:rsid w:val="009B6C1C"/>
    <w:rsid w:val="009C37F3"/>
    <w:rsid w:val="009C6C53"/>
    <w:rsid w:val="009E1A74"/>
    <w:rsid w:val="009E6B53"/>
    <w:rsid w:val="009E750F"/>
    <w:rsid w:val="009F4968"/>
    <w:rsid w:val="00A04D96"/>
    <w:rsid w:val="00A0629B"/>
    <w:rsid w:val="00A14495"/>
    <w:rsid w:val="00A16BE1"/>
    <w:rsid w:val="00A232AB"/>
    <w:rsid w:val="00A24F65"/>
    <w:rsid w:val="00A453D7"/>
    <w:rsid w:val="00A454BF"/>
    <w:rsid w:val="00A511CB"/>
    <w:rsid w:val="00A52E3A"/>
    <w:rsid w:val="00A61A1A"/>
    <w:rsid w:val="00A72242"/>
    <w:rsid w:val="00A814CB"/>
    <w:rsid w:val="00A86258"/>
    <w:rsid w:val="00A90D1B"/>
    <w:rsid w:val="00AC144D"/>
    <w:rsid w:val="00AD0B85"/>
    <w:rsid w:val="00AD70E2"/>
    <w:rsid w:val="00AF55F8"/>
    <w:rsid w:val="00B10ABA"/>
    <w:rsid w:val="00B12105"/>
    <w:rsid w:val="00B26492"/>
    <w:rsid w:val="00B303E4"/>
    <w:rsid w:val="00B36FE8"/>
    <w:rsid w:val="00B420D4"/>
    <w:rsid w:val="00B43CFE"/>
    <w:rsid w:val="00B57910"/>
    <w:rsid w:val="00B6559B"/>
    <w:rsid w:val="00B91B21"/>
    <w:rsid w:val="00B952F6"/>
    <w:rsid w:val="00BA202A"/>
    <w:rsid w:val="00BC093A"/>
    <w:rsid w:val="00BC2B00"/>
    <w:rsid w:val="00BC4ACC"/>
    <w:rsid w:val="00BC4FCC"/>
    <w:rsid w:val="00BD02F8"/>
    <w:rsid w:val="00BE2AE4"/>
    <w:rsid w:val="00C04432"/>
    <w:rsid w:val="00C06ED8"/>
    <w:rsid w:val="00C1488E"/>
    <w:rsid w:val="00C217A8"/>
    <w:rsid w:val="00C25C42"/>
    <w:rsid w:val="00C25D87"/>
    <w:rsid w:val="00C26AC3"/>
    <w:rsid w:val="00C31B1C"/>
    <w:rsid w:val="00C4188F"/>
    <w:rsid w:val="00C52691"/>
    <w:rsid w:val="00C80959"/>
    <w:rsid w:val="00C819A4"/>
    <w:rsid w:val="00C824AE"/>
    <w:rsid w:val="00C84EA8"/>
    <w:rsid w:val="00C85D91"/>
    <w:rsid w:val="00C92998"/>
    <w:rsid w:val="00C95B28"/>
    <w:rsid w:val="00CA2C70"/>
    <w:rsid w:val="00CA444B"/>
    <w:rsid w:val="00CA720A"/>
    <w:rsid w:val="00CD0003"/>
    <w:rsid w:val="00CD5925"/>
    <w:rsid w:val="00CE557A"/>
    <w:rsid w:val="00CF00AD"/>
    <w:rsid w:val="00CF2618"/>
    <w:rsid w:val="00CF26B0"/>
    <w:rsid w:val="00D031B2"/>
    <w:rsid w:val="00D05A86"/>
    <w:rsid w:val="00D06EAD"/>
    <w:rsid w:val="00D1410C"/>
    <w:rsid w:val="00D3434A"/>
    <w:rsid w:val="00D40D16"/>
    <w:rsid w:val="00D40FC5"/>
    <w:rsid w:val="00D433F8"/>
    <w:rsid w:val="00D548F0"/>
    <w:rsid w:val="00D57F79"/>
    <w:rsid w:val="00D64FAC"/>
    <w:rsid w:val="00D65704"/>
    <w:rsid w:val="00D668F6"/>
    <w:rsid w:val="00D741F9"/>
    <w:rsid w:val="00D84875"/>
    <w:rsid w:val="00D904F0"/>
    <w:rsid w:val="00D91378"/>
    <w:rsid w:val="00D91B18"/>
    <w:rsid w:val="00D930FB"/>
    <w:rsid w:val="00D95D89"/>
    <w:rsid w:val="00DC0747"/>
    <w:rsid w:val="00DC2647"/>
    <w:rsid w:val="00DC316D"/>
    <w:rsid w:val="00DD1408"/>
    <w:rsid w:val="00DD356D"/>
    <w:rsid w:val="00DD6735"/>
    <w:rsid w:val="00DD72DE"/>
    <w:rsid w:val="00DF136A"/>
    <w:rsid w:val="00DF51FA"/>
    <w:rsid w:val="00E0448C"/>
    <w:rsid w:val="00E13525"/>
    <w:rsid w:val="00E279A6"/>
    <w:rsid w:val="00E43182"/>
    <w:rsid w:val="00E467F2"/>
    <w:rsid w:val="00E47250"/>
    <w:rsid w:val="00E47ADA"/>
    <w:rsid w:val="00E55391"/>
    <w:rsid w:val="00E61535"/>
    <w:rsid w:val="00E73F55"/>
    <w:rsid w:val="00E74266"/>
    <w:rsid w:val="00E7480B"/>
    <w:rsid w:val="00E8246B"/>
    <w:rsid w:val="00E84012"/>
    <w:rsid w:val="00E86AD5"/>
    <w:rsid w:val="00E9373C"/>
    <w:rsid w:val="00EA0724"/>
    <w:rsid w:val="00EA6251"/>
    <w:rsid w:val="00EB6414"/>
    <w:rsid w:val="00ED6CE5"/>
    <w:rsid w:val="00EE3BA6"/>
    <w:rsid w:val="00EE5747"/>
    <w:rsid w:val="00EF3804"/>
    <w:rsid w:val="00EF5E05"/>
    <w:rsid w:val="00F073CA"/>
    <w:rsid w:val="00F227AF"/>
    <w:rsid w:val="00F266F2"/>
    <w:rsid w:val="00F27370"/>
    <w:rsid w:val="00F40B00"/>
    <w:rsid w:val="00F41AAB"/>
    <w:rsid w:val="00F42246"/>
    <w:rsid w:val="00F5341C"/>
    <w:rsid w:val="00F56954"/>
    <w:rsid w:val="00F60E81"/>
    <w:rsid w:val="00F71678"/>
    <w:rsid w:val="00F76062"/>
    <w:rsid w:val="00F85F98"/>
    <w:rsid w:val="00F948AF"/>
    <w:rsid w:val="00F94E9C"/>
    <w:rsid w:val="00FA1F45"/>
    <w:rsid w:val="00FA5A7B"/>
    <w:rsid w:val="00FB11B1"/>
    <w:rsid w:val="00FC1C24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792FA7"/>
  <w15:docId w15:val="{1C25D4A1-CD35-4492-BA54-656D63F1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96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rsid w:val="00C85D91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10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4F3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563F88"/>
    <w:rPr>
      <w:rFonts w:asciiTheme="minorHAnsi" w:hAnsiTheme="minorHAnsi"/>
      <w:color w:val="000000" w:themeColor="text1"/>
      <w:sz w:val="22"/>
    </w:rPr>
  </w:style>
  <w:style w:type="paragraph" w:styleId="ListBullet">
    <w:name w:val="List Bullet"/>
    <w:basedOn w:val="Normal"/>
    <w:uiPriority w:val="99"/>
    <w:rsid w:val="00A232AB"/>
    <w:pPr>
      <w:numPr>
        <w:numId w:val="15"/>
      </w:numPr>
      <w:spacing w:before="40" w:after="80"/>
    </w:pPr>
    <w:rPr>
      <w:rFonts w:ascii="Arial" w:eastAsia="Times New Roman" w:hAnsi="Arial"/>
      <w:iCs/>
      <w:color w:val="auto"/>
      <w:sz w:val="20"/>
    </w:rPr>
  </w:style>
  <w:style w:type="character" w:customStyle="1" w:styleId="ui-provider">
    <w:name w:val="ui-provider"/>
    <w:basedOn w:val="DefaultParagraphFont"/>
    <w:rsid w:val="00E86AD5"/>
  </w:style>
  <w:style w:type="table" w:styleId="PlainTable1">
    <w:name w:val="Plain Table 1"/>
    <w:basedOn w:val="TableNormal"/>
    <w:uiPriority w:val="41"/>
    <w:rsid w:val="007E24C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464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soffice\2003Templates\Community%20Grants%20Hub%20Templates\Fact%20sheet%20template%20-%20orange%20(External).DOTX" TargetMode="External"/></Relationship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C27EF5-24CD-47B0-9664-7EDB3FBD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template - orange (External)</Template>
  <TotalTime>29</TotalTime>
  <Pages>2</Pages>
  <Words>734</Words>
  <Characters>4431</Characters>
  <DocSecurity>0</DocSecurity>
  <Lines>80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Feedback - First Action Plan Priorities Fund</vt:lpstr>
    </vt:vector>
  </TitlesOfParts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Feedback - Workforce survey</dc:title>
  <cp:lastPrinted>2024-04-30T04:43:00Z</cp:lastPrinted>
  <dcterms:created xsi:type="dcterms:W3CDTF">2024-04-30T03:43:00Z</dcterms:created>
  <dcterms:modified xsi:type="dcterms:W3CDTF">2024-04-30T06:08:00Z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2D0FEABC5F2243A0970BD8AD930023A3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A9C6099F5A9AED2AE95A20266EC5652BEFE7C2CB</vt:lpwstr>
  </property>
  <property fmtid="{D5CDD505-2E9C-101B-9397-08002B2CF9AE}" pid="11" name="PM_OriginationTimeStamp">
    <vt:lpwstr>2024-02-20T07:59:00Z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C6371B399C38A2A534AE946D18E79388</vt:lpwstr>
  </property>
  <property fmtid="{D5CDD505-2E9C-101B-9397-08002B2CF9AE}" pid="20" name="PM_Hash_Salt">
    <vt:lpwstr>BF684128367F81968280385D7B703179</vt:lpwstr>
  </property>
  <property fmtid="{D5CDD505-2E9C-101B-9397-08002B2CF9AE}" pid="21" name="PM_Hash_SHA1">
    <vt:lpwstr>70FB794F39E10A5D2AF83534EA25B555CEF7B8D0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9C44AC8A9FE30F77494967A39119C3D545033702ACEA0C4C7F158465FACA5F0D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HMAC">
    <vt:lpwstr>v=2022.1;a=SHA256;h=DC1CA50FD8FA20E8711513EC6762CE60E9649626F42A2409499512381F2C7905</vt:lpwstr>
  </property>
  <property fmtid="{D5CDD505-2E9C-101B-9397-08002B2CF9AE}" pid="28" name="MSIP_Label_eb34d90b-fc41-464d-af60-f74d721d0790_SetDate">
    <vt:lpwstr>2024-02-20T07:59:00Z</vt:lpwstr>
  </property>
  <property fmtid="{D5CDD505-2E9C-101B-9397-08002B2CF9AE}" pid="29" name="MSIP_Label_eb34d90b-fc41-464d-af60-f74d721d0790_Name">
    <vt:lpwstr>OFFICIAL</vt:lpwstr>
  </property>
  <property fmtid="{D5CDD505-2E9C-101B-9397-08002B2CF9AE}" pid="30" name="MSIP_Label_eb34d90b-fc41-464d-af60-f74d721d0790_SiteId">
    <vt:lpwstr>61e36dd1-ca6e-4d61-aa0a-2b4eb88317a3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Enabled">
    <vt:lpwstr>true</vt:lpwstr>
  </property>
  <property fmtid="{D5CDD505-2E9C-101B-9397-08002B2CF9AE}" pid="33" name="MSIP_Label_eb34d90b-fc41-464d-af60-f74d721d0790_Method">
    <vt:lpwstr>Privileged</vt:lpwstr>
  </property>
  <property fmtid="{D5CDD505-2E9C-101B-9397-08002B2CF9AE}" pid="34" name="MSIP_Label_eb34d90b-fc41-464d-af60-f74d721d0790_ActionId">
    <vt:lpwstr>1a051abcba1a4920b7cd6538de8b4338</vt:lpwstr>
  </property>
  <property fmtid="{D5CDD505-2E9C-101B-9397-08002B2CF9AE}" pid="35" name="PMUuid">
    <vt:lpwstr>v=2022.2;d=gov.au;g=46DD6D7C-8107-577B-BC6E-F348953B2E44</vt:lpwstr>
  </property>
</Properties>
</file>