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5232" w14:textId="77777777" w:rsidR="007F511B" w:rsidRPr="00A04083" w:rsidRDefault="007F511B" w:rsidP="00A04083">
      <w:pPr>
        <w:pStyle w:val="Heading1"/>
        <w:spacing w:before="0" w:after="120"/>
        <w:rPr>
          <w:rFonts w:asciiTheme="majorHAnsi" w:hAnsiTheme="majorHAnsi" w:cstheme="majorHAnsi"/>
        </w:rPr>
      </w:pPr>
      <w:r w:rsidRPr="00A04083">
        <w:rPr>
          <w:rFonts w:asciiTheme="majorHAnsi" w:hAnsiTheme="majorHAnsi" w:cstheme="majorHAnsi"/>
        </w:rPr>
        <w:t>Increasing Capacity of Crisis Accommodation Services for Aboriginal and Torres Strait Islander Peoples</w:t>
      </w:r>
    </w:p>
    <w:p w14:paraId="73C28B81" w14:textId="47492BC8" w:rsidR="0032204D" w:rsidRPr="00F85F98" w:rsidRDefault="00A042C3" w:rsidP="004A2237">
      <w:pPr>
        <w:numPr>
          <w:ilvl w:val="1"/>
          <w:numId w:val="0"/>
        </w:numPr>
        <w:pBdr>
          <w:bottom w:val="single" w:sz="4" w:space="6" w:color="000000" w:themeColor="text1"/>
        </w:pBdr>
        <w:spacing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096EBF50" w14:textId="247A1F5E" w:rsidR="0032204D" w:rsidRDefault="0032204D" w:rsidP="00A042C3">
      <w:pPr>
        <w:spacing w:before="40" w:after="120"/>
        <w:rPr>
          <w:color w:val="auto"/>
        </w:rPr>
      </w:pPr>
      <w:r w:rsidRPr="00854ACD">
        <w:rPr>
          <w:color w:val="auto"/>
        </w:rPr>
        <w:t xml:space="preserve">The </w:t>
      </w:r>
      <w:r w:rsidR="007E128C">
        <w:rPr>
          <w:color w:val="auto"/>
        </w:rPr>
        <w:t>Department of Social Services</w:t>
      </w:r>
      <w:r w:rsidRPr="00854ACD">
        <w:rPr>
          <w:color w:val="auto"/>
        </w:rPr>
        <w:t xml:space="preserve"> </w:t>
      </w:r>
      <w:r>
        <w:rPr>
          <w:color w:val="auto"/>
        </w:rPr>
        <w:t>(the department) has provided the following general f</w:t>
      </w:r>
      <w:r w:rsidRPr="00854ACD">
        <w:rPr>
          <w:color w:val="auto"/>
        </w:rPr>
        <w:t xml:space="preserve">eedback for applicants of the </w:t>
      </w:r>
      <w:r w:rsidR="007E128C" w:rsidRPr="007E128C">
        <w:rPr>
          <w:color w:val="auto"/>
        </w:rPr>
        <w:t>Increasing Capacity of Crisis Accommodation Services for Aboriginal and Torres Strait Islander Peoples</w:t>
      </w:r>
      <w:r w:rsidR="007E128C">
        <w:rPr>
          <w:color w:val="auto"/>
        </w:rPr>
        <w:t xml:space="preserve"> </w:t>
      </w:r>
      <w:r w:rsidRPr="00854ACD">
        <w:rPr>
          <w:color w:val="auto"/>
        </w:rPr>
        <w:t>grant opportunity.</w:t>
      </w:r>
    </w:p>
    <w:p w14:paraId="78AE25D1" w14:textId="20D9A5AA" w:rsidR="0032204D" w:rsidRPr="00B26492" w:rsidRDefault="0032204D" w:rsidP="00A042C3">
      <w:pPr>
        <w:pStyle w:val="BodyText"/>
        <w:spacing w:before="40" w:after="120"/>
      </w:pPr>
      <w:r>
        <w:t xml:space="preserve">Assessment of applications was in accordance </w:t>
      </w:r>
      <w:r w:rsidR="00EE56B2">
        <w:t>with</w:t>
      </w:r>
      <w:r>
        <w:t xml:space="preserve"> the procedure detailed in the </w:t>
      </w:r>
      <w:r w:rsidR="00A042C3">
        <w:t>G</w:t>
      </w:r>
      <w:r>
        <w:t xml:space="preserve">rant </w:t>
      </w:r>
      <w:r w:rsidR="00A042C3">
        <w:t>O</w:t>
      </w:r>
      <w:r>
        <w:t xml:space="preserve">pportunity </w:t>
      </w:r>
      <w:r w:rsidR="00A042C3">
        <w:t>G</w:t>
      </w:r>
      <w:r>
        <w:t>uidelines</w:t>
      </w:r>
      <w:r w:rsidR="004A2237">
        <w:t xml:space="preserve"> (the guidelines)</w:t>
      </w:r>
      <w:r>
        <w:t xml:space="preserve"> and outlined in the selection process below.</w:t>
      </w:r>
    </w:p>
    <w:p w14:paraId="4BEDC740" w14:textId="77777777" w:rsidR="0032204D" w:rsidRPr="00A04083" w:rsidRDefault="0032204D" w:rsidP="00A042C3">
      <w:pPr>
        <w:pStyle w:val="Heading2"/>
        <w:spacing w:before="40" w:line="280" w:lineRule="atLeast"/>
        <w:rPr>
          <w:color w:val="C00000"/>
          <w:sz w:val="28"/>
          <w:szCs w:val="28"/>
        </w:rPr>
      </w:pPr>
      <w:r w:rsidRPr="00A04083">
        <w:rPr>
          <w:color w:val="C00000"/>
          <w:sz w:val="28"/>
          <w:szCs w:val="28"/>
        </w:rPr>
        <w:t>Overview</w:t>
      </w:r>
    </w:p>
    <w:p w14:paraId="7C01B3B2" w14:textId="6F2DFD41" w:rsidR="0032204D" w:rsidRDefault="0032204D" w:rsidP="00A042C3">
      <w:pPr>
        <w:pStyle w:val="BodyText"/>
        <w:spacing w:before="40" w:after="120"/>
        <w:rPr>
          <w:color w:val="auto"/>
        </w:rPr>
      </w:pPr>
      <w:r w:rsidRPr="00854ACD">
        <w:rPr>
          <w:color w:val="auto"/>
        </w:rPr>
        <w:t xml:space="preserve">The application </w:t>
      </w:r>
      <w:r>
        <w:rPr>
          <w:color w:val="auto"/>
        </w:rPr>
        <w:t xml:space="preserve">submission </w:t>
      </w:r>
      <w:r w:rsidRPr="00854ACD">
        <w:rPr>
          <w:color w:val="auto"/>
        </w:rPr>
        <w:t xml:space="preserve">period </w:t>
      </w:r>
      <w:r w:rsidRPr="00517BA3">
        <w:rPr>
          <w:color w:val="auto"/>
        </w:rPr>
        <w:t xml:space="preserve">opened on </w:t>
      </w:r>
      <w:r w:rsidR="007E128C" w:rsidRPr="007E128C">
        <w:rPr>
          <w:color w:val="auto"/>
        </w:rPr>
        <w:t>18 December 2023</w:t>
      </w:r>
      <w:r w:rsidR="007E128C">
        <w:rPr>
          <w:color w:val="auto"/>
        </w:rPr>
        <w:t xml:space="preserve"> </w:t>
      </w:r>
      <w:r w:rsidRPr="00854ACD">
        <w:rPr>
          <w:color w:val="auto"/>
        </w:rPr>
        <w:t xml:space="preserve">and closed on </w:t>
      </w:r>
      <w:r w:rsidR="00652F29" w:rsidRPr="00652F29">
        <w:rPr>
          <w:color w:val="auto"/>
        </w:rPr>
        <w:t>16 February 2024</w:t>
      </w:r>
      <w:r w:rsidR="00652F29">
        <w:rPr>
          <w:color w:val="auto"/>
        </w:rPr>
        <w:t>.</w:t>
      </w:r>
    </w:p>
    <w:p w14:paraId="42756950" w14:textId="77E94F24" w:rsidR="00652F29" w:rsidRPr="00D468E0" w:rsidRDefault="00652F29" w:rsidP="00A042C3">
      <w:pPr>
        <w:pStyle w:val="BodyText"/>
        <w:spacing w:before="40" w:after="120"/>
      </w:pPr>
      <w:r w:rsidRPr="00D468E0">
        <w:t>Increasing Capacity of Crisis Accommodation Services for Aboriginal and Torres Strait Islander Peoples (the program) is a program to support urgent attention to increase the capacity of Aboriginal and Torres Strait Islander shelter and accommodation services, especially in regional and remote areas.</w:t>
      </w:r>
    </w:p>
    <w:p w14:paraId="03CBC560" w14:textId="43F4E7CB" w:rsidR="00EE56B2" w:rsidRDefault="00652F29" w:rsidP="00A042C3">
      <w:pPr>
        <w:pStyle w:val="BodyText"/>
        <w:spacing w:before="40" w:after="120"/>
      </w:pPr>
      <w:r w:rsidRPr="00D468E0">
        <w:t xml:space="preserve">The program is designed to centre Aboriginal and Torres Strait Islander cultural knowledge, </w:t>
      </w:r>
      <w:proofErr w:type="gramStart"/>
      <w:r w:rsidRPr="00D468E0">
        <w:t>frameworks</w:t>
      </w:r>
      <w:proofErr w:type="gramEnd"/>
      <w:r w:rsidRPr="00D468E0">
        <w:t xml:space="preserve"> and responses in the way that services are designed and delivered to better meet the needs of Aboriginal and Torres Strait Islander peoples with multiple and complex needs. This includes a focus on the Action Plan Framework developed by the </w:t>
      </w:r>
      <w:r w:rsidR="002619E2" w:rsidRPr="00D468E0">
        <w:t>Aboriginal and Torres Strait Islander</w:t>
      </w:r>
      <w:r w:rsidRPr="00D468E0">
        <w:t xml:space="preserve"> Advisory Council that sets out the vision for the Action Plan.</w:t>
      </w:r>
    </w:p>
    <w:p w14:paraId="0468E255" w14:textId="4C8E13B6" w:rsidR="0032204D" w:rsidRPr="00A04083" w:rsidRDefault="0032204D" w:rsidP="00A042C3">
      <w:pPr>
        <w:pStyle w:val="Heading2"/>
        <w:spacing w:before="40" w:line="280" w:lineRule="atLeast"/>
        <w:rPr>
          <w:color w:val="C00000"/>
          <w:sz w:val="28"/>
          <w:szCs w:val="28"/>
        </w:rPr>
      </w:pPr>
      <w:r w:rsidRPr="00A04083">
        <w:rPr>
          <w:color w:val="C00000"/>
          <w:sz w:val="28"/>
          <w:szCs w:val="28"/>
        </w:rPr>
        <w:t>Selection Process</w:t>
      </w:r>
    </w:p>
    <w:p w14:paraId="46BF8915" w14:textId="02425170" w:rsidR="0032204D" w:rsidRPr="00854ACD" w:rsidRDefault="0032204D" w:rsidP="00A042C3">
      <w:pPr>
        <w:pStyle w:val="BodyText"/>
        <w:spacing w:before="40" w:after="120"/>
        <w:rPr>
          <w:color w:val="auto"/>
        </w:rPr>
      </w:pPr>
      <w:r>
        <w:t xml:space="preserve">The Community Grants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37E8634B" w14:textId="5C75332B" w:rsidR="00D05B2E" w:rsidRDefault="00D05B2E" w:rsidP="00A042C3">
      <w:pPr>
        <w:spacing w:before="40" w:after="120"/>
        <w:rPr>
          <w:color w:val="auto"/>
        </w:rPr>
      </w:pPr>
      <w:r>
        <w:rPr>
          <w:color w:val="auto"/>
        </w:rPr>
        <w:t xml:space="preserve">The Hub </w:t>
      </w:r>
      <w:r w:rsidR="0032204D">
        <w:rPr>
          <w:color w:val="auto"/>
        </w:rPr>
        <w:t xml:space="preserve">undertook the </w:t>
      </w:r>
      <w:r w:rsidR="00A232AB" w:rsidRPr="005B1528">
        <w:rPr>
          <w:color w:val="auto"/>
        </w:rPr>
        <w:t>preliminary assessment</w:t>
      </w:r>
      <w:r>
        <w:rPr>
          <w:color w:val="auto"/>
        </w:rPr>
        <w:t xml:space="preserve"> on all applications </w:t>
      </w:r>
      <w:r w:rsidRPr="00854ACD">
        <w:rPr>
          <w:color w:val="auto"/>
        </w:rPr>
        <w:t xml:space="preserve">through a </w:t>
      </w:r>
      <w:r w:rsidR="004A2237">
        <w:rPr>
          <w:color w:val="auto"/>
        </w:rPr>
        <w:t>c</w:t>
      </w:r>
      <w:r w:rsidR="00652F29" w:rsidRPr="00652F29">
        <w:rPr>
          <w:color w:val="auto"/>
        </w:rPr>
        <w:t>losed non-competitive</w:t>
      </w:r>
      <w:r w:rsidR="00652F29">
        <w:rPr>
          <w:color w:val="auto"/>
        </w:rPr>
        <w:t xml:space="preserve"> </w:t>
      </w:r>
      <w:r w:rsidRPr="00854ACD">
        <w:rPr>
          <w:color w:val="auto"/>
        </w:rPr>
        <w:t>grant process</w:t>
      </w:r>
      <w:r>
        <w:rPr>
          <w:color w:val="auto"/>
        </w:rPr>
        <w:t xml:space="preserve">. </w:t>
      </w:r>
      <w:r w:rsidR="0032204D">
        <w:rPr>
          <w:color w:val="auto"/>
        </w:rPr>
        <w:t>Applications which had undergone preliminary assessment were provided to the department’s selection advisory p</w:t>
      </w:r>
      <w:r w:rsidR="0032204D" w:rsidRPr="00854ACD">
        <w:rPr>
          <w:color w:val="auto"/>
        </w:rPr>
        <w:t>anel</w:t>
      </w:r>
      <w:r w:rsidR="0032204D">
        <w:rPr>
          <w:color w:val="auto"/>
        </w:rPr>
        <w:t xml:space="preserve"> (panel) for deliberation.</w:t>
      </w:r>
    </w:p>
    <w:p w14:paraId="2A1ABC18" w14:textId="0196FBDF" w:rsidR="0032204D" w:rsidRDefault="0032204D" w:rsidP="00A042C3">
      <w:pPr>
        <w:spacing w:before="40" w:after="120"/>
        <w:rPr>
          <w:color w:val="auto"/>
        </w:rPr>
      </w:pPr>
      <w:r>
        <w:rPr>
          <w:color w:val="auto"/>
        </w:rPr>
        <w:t>The p</w:t>
      </w:r>
      <w:r w:rsidRPr="00854ACD">
        <w:rPr>
          <w:color w:val="auto"/>
        </w:rPr>
        <w:t>anel</w:t>
      </w:r>
      <w:r>
        <w:rPr>
          <w:color w:val="auto"/>
        </w:rPr>
        <w:t xml:space="preserve">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5EAEB80A" w14:textId="184949D2" w:rsidR="0032204D" w:rsidRDefault="0032204D" w:rsidP="00A042C3">
      <w:pPr>
        <w:spacing w:before="40" w:after="120"/>
      </w:pPr>
      <w:r>
        <w:rPr>
          <w:color w:val="auto"/>
        </w:rPr>
        <w:t>When assessing and deliberating on applications t</w:t>
      </w:r>
      <w:r>
        <w:rPr>
          <w:rFonts w:ascii="Arial" w:hAnsi="Arial" w:cs="Arial"/>
          <w:szCs w:val="22"/>
        </w:rPr>
        <w:t xml:space="preserve">he panel took into consideration </w:t>
      </w:r>
      <w:r w:rsidR="004A2237">
        <w:rPr>
          <w:rFonts w:ascii="Arial" w:hAnsi="Arial" w:cs="Arial"/>
          <w:szCs w:val="22"/>
        </w:rPr>
        <w:t>several</w:t>
      </w:r>
      <w:r>
        <w:rPr>
          <w:rFonts w:ascii="Arial" w:hAnsi="Arial" w:cs="Arial"/>
          <w:szCs w:val="22"/>
        </w:rPr>
        <w:t xml:space="preserve"> factors </w:t>
      </w:r>
      <w:r w:rsidR="004A2237">
        <w:rPr>
          <w:rFonts w:ascii="Arial" w:hAnsi="Arial" w:cs="Arial"/>
          <w:szCs w:val="22"/>
        </w:rPr>
        <w:t xml:space="preserve">including </w:t>
      </w:r>
      <w:r>
        <w:rPr>
          <w:rFonts w:ascii="Arial" w:hAnsi="Arial" w:cs="Arial"/>
          <w:szCs w:val="22"/>
        </w:rPr>
        <w:t>the inclusion or exclusion of late applications, the volume of applications received, meeting the identified requirements outlined in the guidelines and the available funding envelope.</w:t>
      </w:r>
    </w:p>
    <w:p w14:paraId="6FD730DF" w14:textId="6EF7CDF9" w:rsidR="0032204D" w:rsidRPr="005B1528" w:rsidRDefault="0032204D" w:rsidP="00A042C3">
      <w:pPr>
        <w:pStyle w:val="BodyText"/>
        <w:spacing w:before="40" w:after="120"/>
        <w:rPr>
          <w:color w:val="auto"/>
        </w:rPr>
      </w:pPr>
      <w:r>
        <w:rPr>
          <w:color w:val="auto"/>
        </w:rPr>
        <w:t xml:space="preserve">The panel’s consideration </w:t>
      </w:r>
      <w:r w:rsidRPr="005B1528">
        <w:rPr>
          <w:color w:val="auto"/>
        </w:rPr>
        <w:t>of assessed applications was, based on:</w:t>
      </w:r>
    </w:p>
    <w:p w14:paraId="2D7AC1AA" w14:textId="0DA55D53" w:rsidR="0032204D" w:rsidRPr="00D468E0" w:rsidRDefault="0032204D" w:rsidP="00A042C3">
      <w:pPr>
        <w:pStyle w:val="BodyText"/>
        <w:numPr>
          <w:ilvl w:val="0"/>
          <w:numId w:val="14"/>
        </w:numPr>
        <w:spacing w:before="40" w:after="120"/>
        <w:rPr>
          <w:color w:val="auto"/>
        </w:rPr>
      </w:pPr>
      <w:r w:rsidRPr="00D468E0">
        <w:rPr>
          <w:color w:val="auto"/>
        </w:rPr>
        <w:t>compliance with the guidelines</w:t>
      </w:r>
    </w:p>
    <w:p w14:paraId="59646AE7" w14:textId="07FB1390" w:rsidR="0032204D" w:rsidRPr="00D468E0" w:rsidRDefault="0032204D" w:rsidP="00A042C3">
      <w:pPr>
        <w:pStyle w:val="BodyText"/>
        <w:numPr>
          <w:ilvl w:val="0"/>
          <w:numId w:val="14"/>
        </w:numPr>
        <w:spacing w:before="40" w:after="120"/>
        <w:rPr>
          <w:color w:val="auto"/>
        </w:rPr>
      </w:pPr>
      <w:r w:rsidRPr="00D468E0">
        <w:rPr>
          <w:color w:val="auto"/>
        </w:rPr>
        <w:t>suitability against the eligibility criteria</w:t>
      </w:r>
      <w:r w:rsidR="004A2237">
        <w:rPr>
          <w:color w:val="auto"/>
        </w:rPr>
        <w:t xml:space="preserve"> outlined</w:t>
      </w:r>
      <w:r w:rsidRPr="00D468E0">
        <w:rPr>
          <w:color w:val="auto"/>
        </w:rPr>
        <w:t xml:space="preserve"> in the guidelines</w:t>
      </w:r>
    </w:p>
    <w:p w14:paraId="3B5C2642" w14:textId="77777777" w:rsidR="002619E2" w:rsidRPr="00D468E0" w:rsidRDefault="002619E2" w:rsidP="00A042C3">
      <w:pPr>
        <w:pStyle w:val="BodyText"/>
        <w:numPr>
          <w:ilvl w:val="0"/>
          <w:numId w:val="14"/>
        </w:numPr>
        <w:spacing w:before="40" w:after="120"/>
        <w:rPr>
          <w:color w:val="auto"/>
        </w:rPr>
      </w:pPr>
      <w:r w:rsidRPr="00D468E0">
        <w:rPr>
          <w:color w:val="auto"/>
        </w:rPr>
        <w:t>alignment with the grant opportunity objectives</w:t>
      </w:r>
    </w:p>
    <w:p w14:paraId="7C65F914" w14:textId="5FFDCADB" w:rsidR="0032204D" w:rsidRPr="00D468E0" w:rsidRDefault="0032204D" w:rsidP="00A042C3">
      <w:pPr>
        <w:pStyle w:val="ListParagraph"/>
        <w:numPr>
          <w:ilvl w:val="0"/>
          <w:numId w:val="14"/>
        </w:numPr>
        <w:spacing w:before="40" w:after="120"/>
        <w:rPr>
          <w:color w:val="auto"/>
        </w:rPr>
      </w:pPr>
      <w:r w:rsidRPr="00D468E0">
        <w:rPr>
          <w:color w:val="auto"/>
        </w:rPr>
        <w:t>how well the application responses met the assessment criterion</w:t>
      </w:r>
    </w:p>
    <w:p w14:paraId="0C8E2742" w14:textId="7EB47392" w:rsidR="0032204D" w:rsidRPr="00D468E0" w:rsidRDefault="002619E2" w:rsidP="00A042C3">
      <w:pPr>
        <w:pStyle w:val="BodyText"/>
        <w:numPr>
          <w:ilvl w:val="0"/>
          <w:numId w:val="14"/>
        </w:numPr>
        <w:spacing w:before="40" w:after="120"/>
        <w:rPr>
          <w:color w:val="auto"/>
        </w:rPr>
      </w:pPr>
      <w:r w:rsidRPr="00D468E0">
        <w:rPr>
          <w:color w:val="auto"/>
        </w:rPr>
        <w:t>how the services and/or project w</w:t>
      </w:r>
      <w:r w:rsidR="004F152B">
        <w:rPr>
          <w:color w:val="auto"/>
        </w:rPr>
        <w:t>ould</w:t>
      </w:r>
      <w:r w:rsidRPr="00D468E0">
        <w:rPr>
          <w:color w:val="auto"/>
        </w:rPr>
        <w:t xml:space="preserve"> be delivered</w:t>
      </w:r>
    </w:p>
    <w:p w14:paraId="466E08F5" w14:textId="3732F55E" w:rsidR="002619E2" w:rsidRPr="00D468E0" w:rsidRDefault="002619E2" w:rsidP="00A042C3">
      <w:pPr>
        <w:pStyle w:val="BodyText"/>
        <w:keepNext/>
        <w:keepLines/>
        <w:numPr>
          <w:ilvl w:val="0"/>
          <w:numId w:val="14"/>
        </w:numPr>
        <w:ind w:left="714" w:hanging="357"/>
        <w:rPr>
          <w:color w:val="auto"/>
        </w:rPr>
      </w:pPr>
      <w:r w:rsidRPr="00D468E0">
        <w:rPr>
          <w:color w:val="auto"/>
        </w:rPr>
        <w:lastRenderedPageBreak/>
        <w:t>any existing and/or potential market failure</w:t>
      </w:r>
    </w:p>
    <w:p w14:paraId="4484BA83" w14:textId="24B21E08" w:rsidR="0032204D" w:rsidRPr="00D468E0" w:rsidRDefault="0032204D" w:rsidP="00A042C3">
      <w:pPr>
        <w:pStyle w:val="BodyText"/>
        <w:keepNext/>
        <w:keepLines/>
        <w:numPr>
          <w:ilvl w:val="0"/>
          <w:numId w:val="14"/>
        </w:numPr>
        <w:ind w:left="714" w:hanging="357"/>
        <w:rPr>
          <w:color w:val="auto"/>
        </w:rPr>
      </w:pPr>
      <w:r w:rsidRPr="00D468E0">
        <w:rPr>
          <w:color w:val="auto"/>
        </w:rPr>
        <w:t xml:space="preserve">whether </w:t>
      </w:r>
      <w:r w:rsidR="002619E2" w:rsidRPr="00D468E0">
        <w:rPr>
          <w:color w:val="auto"/>
        </w:rPr>
        <w:t>the proposal</w:t>
      </w:r>
      <w:r w:rsidRPr="00D468E0">
        <w:rPr>
          <w:color w:val="auto"/>
        </w:rPr>
        <w:t xml:space="preserve"> provided value </w:t>
      </w:r>
      <w:r w:rsidR="002619E2" w:rsidRPr="00D468E0">
        <w:rPr>
          <w:color w:val="auto"/>
        </w:rPr>
        <w:t>for</w:t>
      </w:r>
      <w:r w:rsidRPr="00D468E0">
        <w:rPr>
          <w:color w:val="auto"/>
        </w:rPr>
        <w:t xml:space="preserve"> money</w:t>
      </w:r>
    </w:p>
    <w:p w14:paraId="5505058A" w14:textId="2BDA8B32" w:rsidR="0032204D" w:rsidRPr="00D468E0" w:rsidRDefault="004F152B" w:rsidP="0032204D">
      <w:pPr>
        <w:pStyle w:val="BodyText"/>
        <w:numPr>
          <w:ilvl w:val="0"/>
          <w:numId w:val="14"/>
        </w:numPr>
        <w:rPr>
          <w:color w:val="auto"/>
        </w:rPr>
      </w:pPr>
      <w:r>
        <w:rPr>
          <w:color w:val="auto"/>
        </w:rPr>
        <w:t xml:space="preserve">the </w:t>
      </w:r>
      <w:r w:rsidR="002619E2" w:rsidRPr="00D468E0">
        <w:rPr>
          <w:color w:val="auto"/>
        </w:rPr>
        <w:t>capability of the organisation to deliver</w:t>
      </w:r>
      <w:r w:rsidR="00A042C3">
        <w:rPr>
          <w:color w:val="auto"/>
        </w:rPr>
        <w:t>.</w:t>
      </w:r>
    </w:p>
    <w:p w14:paraId="064689BD" w14:textId="77777777" w:rsidR="0032204D" w:rsidRPr="00A04083" w:rsidRDefault="0032204D" w:rsidP="00A04083">
      <w:pPr>
        <w:pStyle w:val="Heading2"/>
        <w:spacing w:before="120"/>
        <w:rPr>
          <w:color w:val="C00000"/>
          <w:sz w:val="28"/>
          <w:szCs w:val="28"/>
        </w:rPr>
      </w:pPr>
      <w:r w:rsidRPr="00A04083">
        <w:rPr>
          <w:color w:val="C00000"/>
          <w:sz w:val="28"/>
          <w:szCs w:val="28"/>
        </w:rPr>
        <w:t>Selection Results</w:t>
      </w:r>
    </w:p>
    <w:p w14:paraId="5B1ED70C" w14:textId="165E594C" w:rsidR="0032204D" w:rsidRPr="00942976" w:rsidRDefault="0032204D" w:rsidP="00B34842">
      <w:pPr>
        <w:pStyle w:val="BodyText"/>
        <w:spacing w:before="40" w:after="120"/>
        <w:rPr>
          <w:color w:val="auto"/>
        </w:rPr>
      </w:pPr>
      <w:r w:rsidRPr="00D468E0">
        <w:t xml:space="preserve">There was a strong interest in the grant opportunity and applications were of a high standard. </w:t>
      </w:r>
      <w:r w:rsidRPr="00D468E0">
        <w:rPr>
          <w:color w:val="auto"/>
        </w:rPr>
        <w:t>The preferred applicants demonstrated their ability to meet the grant requirements outlined in the guidelines based on the strength of their responses to the assessment criterion.</w:t>
      </w:r>
    </w:p>
    <w:p w14:paraId="492CDAD3" w14:textId="7A1ABDF9" w:rsidR="0032204D" w:rsidRDefault="0032204D" w:rsidP="00B34842">
      <w:pPr>
        <w:pStyle w:val="BodyText"/>
        <w:spacing w:before="40" w:after="120"/>
      </w:pPr>
      <w:r w:rsidRPr="00797A5B">
        <w:rPr>
          <w:rStyle w:val="ui-provider"/>
          <w:color w:val="auto"/>
        </w:rPr>
        <w:t xml:space="preserve">The Community Grants Hub </w:t>
      </w:r>
      <w:r w:rsidRPr="00797A5B">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58D3A6F8" w14:textId="77777777" w:rsidR="0032204D" w:rsidRDefault="0032204D" w:rsidP="00B34842">
      <w:pPr>
        <w:pStyle w:val="BodyText"/>
        <w:spacing w:before="40" w:after="120"/>
      </w:pPr>
      <w:r>
        <w:t>This feedback is provided to assist grant applicants to understand what comprised a strong application and the content of quality responses to the assessment criterion.</w:t>
      </w:r>
    </w:p>
    <w:p w14:paraId="4AB95B86" w14:textId="08A0E466" w:rsidR="0032204D" w:rsidRPr="00A04083" w:rsidRDefault="0032204D" w:rsidP="00B34842">
      <w:pPr>
        <w:pStyle w:val="Heading3"/>
        <w:spacing w:before="40"/>
        <w:rPr>
          <w:color w:val="C00000"/>
          <w:sz w:val="24"/>
          <w:szCs w:val="24"/>
        </w:rPr>
      </w:pPr>
      <w:r w:rsidRPr="00A04083">
        <w:rPr>
          <w:color w:val="C00000"/>
          <w:sz w:val="24"/>
          <w:szCs w:val="24"/>
        </w:rPr>
        <w:t>Criterion 1</w:t>
      </w:r>
    </w:p>
    <w:p w14:paraId="45A3C09E" w14:textId="2A8BA563" w:rsidR="007F511B" w:rsidRPr="00797A5B" w:rsidRDefault="007F511B" w:rsidP="00B34842">
      <w:pPr>
        <w:pStyle w:val="Default"/>
        <w:spacing w:before="40" w:after="120" w:line="280" w:lineRule="atLeast"/>
        <w:rPr>
          <w:sz w:val="22"/>
          <w:szCs w:val="22"/>
        </w:rPr>
      </w:pPr>
      <w:r w:rsidRPr="00797A5B">
        <w:rPr>
          <w:b/>
          <w:bCs/>
          <w:sz w:val="22"/>
          <w:szCs w:val="22"/>
        </w:rPr>
        <w:t>In what ways will your organisation increase capacity of crisis accommodation services?</w:t>
      </w:r>
    </w:p>
    <w:p w14:paraId="362154BA" w14:textId="6EF6FE3A" w:rsidR="007F511B" w:rsidRPr="00797A5B" w:rsidRDefault="007F511B" w:rsidP="00B34842">
      <w:pPr>
        <w:pStyle w:val="BodyText"/>
        <w:spacing w:before="40" w:after="120"/>
        <w:rPr>
          <w:bCs/>
        </w:rPr>
      </w:pPr>
      <w:r w:rsidRPr="00797A5B">
        <w:rPr>
          <w:bCs/>
        </w:rPr>
        <w:t>Tell us about some of the challenges in your community impacting Aboriginal and Torres Strait Islander peoples and the need for change.</w:t>
      </w:r>
    </w:p>
    <w:p w14:paraId="6F6E7A91" w14:textId="1483F22E" w:rsidR="007F4ECB" w:rsidRPr="00731417" w:rsidRDefault="007F4ECB" w:rsidP="00B34842">
      <w:pPr>
        <w:pStyle w:val="Default"/>
        <w:spacing w:before="40" w:after="120" w:line="280" w:lineRule="atLeast"/>
        <w:rPr>
          <w:color w:val="C00000"/>
          <w:sz w:val="22"/>
          <w:szCs w:val="22"/>
        </w:rPr>
      </w:pPr>
      <w:r w:rsidRPr="00731417">
        <w:rPr>
          <w:color w:val="C00000"/>
          <w:sz w:val="22"/>
          <w:szCs w:val="22"/>
        </w:rPr>
        <w:t>Strong applications:</w:t>
      </w:r>
    </w:p>
    <w:p w14:paraId="4892F916" w14:textId="2BF9D5CB" w:rsidR="007F511B" w:rsidRPr="00797A5B" w:rsidRDefault="007F511B" w:rsidP="00B34842">
      <w:pPr>
        <w:pStyle w:val="BodyText"/>
        <w:numPr>
          <w:ilvl w:val="0"/>
          <w:numId w:val="20"/>
        </w:numPr>
        <w:spacing w:before="40" w:after="120"/>
        <w:rPr>
          <w:bCs/>
        </w:rPr>
      </w:pPr>
      <w:r w:rsidRPr="00797A5B">
        <w:rPr>
          <w:bCs/>
        </w:rPr>
        <w:t>Describe</w:t>
      </w:r>
      <w:r w:rsidR="007E128C" w:rsidRPr="00797A5B">
        <w:rPr>
          <w:bCs/>
        </w:rPr>
        <w:t>d</w:t>
      </w:r>
      <w:r w:rsidRPr="00797A5B">
        <w:rPr>
          <w:bCs/>
        </w:rPr>
        <w:t xml:space="preserve"> the primary areas where Aboriginal and Torres Strait Islander community members </w:t>
      </w:r>
      <w:r w:rsidR="007E128C" w:rsidRPr="00797A5B">
        <w:rPr>
          <w:bCs/>
        </w:rPr>
        <w:t>were</w:t>
      </w:r>
      <w:r w:rsidRPr="00797A5B">
        <w:rPr>
          <w:bCs/>
        </w:rPr>
        <w:t xml:space="preserve"> looking to lead and drive solutions, centred in local culture and knowledge.</w:t>
      </w:r>
    </w:p>
    <w:p w14:paraId="496AAC4A" w14:textId="1BFF4B56" w:rsidR="007F511B" w:rsidRPr="00797A5B" w:rsidRDefault="007F511B" w:rsidP="00B34842">
      <w:pPr>
        <w:pStyle w:val="BodyText"/>
        <w:numPr>
          <w:ilvl w:val="0"/>
          <w:numId w:val="20"/>
        </w:numPr>
        <w:spacing w:before="40" w:after="120"/>
        <w:rPr>
          <w:bCs/>
        </w:rPr>
      </w:pPr>
      <w:r w:rsidRPr="00797A5B">
        <w:rPr>
          <w:bCs/>
        </w:rPr>
        <w:t>Provide</w:t>
      </w:r>
      <w:r w:rsidR="007E128C" w:rsidRPr="00797A5B">
        <w:rPr>
          <w:bCs/>
        </w:rPr>
        <w:t>d</w:t>
      </w:r>
      <w:r w:rsidRPr="00797A5B">
        <w:rPr>
          <w:bCs/>
        </w:rPr>
        <w:t xml:space="preserve"> examples of how Aboriginal and Torres Strait Islander community members </w:t>
      </w:r>
      <w:r w:rsidR="007E128C" w:rsidRPr="00797A5B">
        <w:rPr>
          <w:bCs/>
        </w:rPr>
        <w:t>were</w:t>
      </w:r>
      <w:r w:rsidRPr="00797A5B">
        <w:rPr>
          <w:bCs/>
        </w:rPr>
        <w:t xml:space="preserve"> coming together to develop community-led services and/or programs to support and prevent violence against women and children by challenging gender stereotypes and promoting healthy relationships.</w:t>
      </w:r>
    </w:p>
    <w:p w14:paraId="1C6070EC" w14:textId="69C3EA45" w:rsidR="007F511B" w:rsidRPr="00797A5B" w:rsidRDefault="007F511B" w:rsidP="00B34842">
      <w:pPr>
        <w:pStyle w:val="BodyText"/>
        <w:numPr>
          <w:ilvl w:val="0"/>
          <w:numId w:val="20"/>
        </w:numPr>
        <w:spacing w:before="40" w:after="120"/>
        <w:rPr>
          <w:bCs/>
        </w:rPr>
      </w:pPr>
      <w:r w:rsidRPr="00797A5B">
        <w:rPr>
          <w:bCs/>
        </w:rPr>
        <w:t>Describe</w:t>
      </w:r>
      <w:r w:rsidR="007E128C" w:rsidRPr="00797A5B">
        <w:rPr>
          <w:bCs/>
        </w:rPr>
        <w:t>d</w:t>
      </w:r>
      <w:r w:rsidRPr="00797A5B">
        <w:rPr>
          <w:bCs/>
        </w:rPr>
        <w:t xml:space="preserve"> how </w:t>
      </w:r>
      <w:r w:rsidR="007E128C" w:rsidRPr="00797A5B">
        <w:rPr>
          <w:bCs/>
        </w:rPr>
        <w:t>their</w:t>
      </w:r>
      <w:r w:rsidRPr="00797A5B">
        <w:rPr>
          <w:bCs/>
        </w:rPr>
        <w:t xml:space="preserve"> project w</w:t>
      </w:r>
      <w:r w:rsidR="007E128C" w:rsidRPr="00797A5B">
        <w:rPr>
          <w:bCs/>
        </w:rPr>
        <w:t xml:space="preserve">ould </w:t>
      </w:r>
      <w:r w:rsidRPr="00797A5B">
        <w:rPr>
          <w:bCs/>
        </w:rPr>
        <w:t>engage with the community and align the model with local priorities.</w:t>
      </w:r>
    </w:p>
    <w:p w14:paraId="3AD8BFA3" w14:textId="3954155A" w:rsidR="007F511B" w:rsidRPr="00797A5B" w:rsidRDefault="007F511B" w:rsidP="00B34842">
      <w:pPr>
        <w:pStyle w:val="BodyText"/>
        <w:numPr>
          <w:ilvl w:val="0"/>
          <w:numId w:val="20"/>
        </w:numPr>
        <w:spacing w:before="40" w:after="120"/>
        <w:rPr>
          <w:bCs/>
        </w:rPr>
      </w:pPr>
      <w:r w:rsidRPr="00797A5B">
        <w:rPr>
          <w:bCs/>
        </w:rPr>
        <w:t>Explain</w:t>
      </w:r>
      <w:r w:rsidR="007E128C" w:rsidRPr="00797A5B">
        <w:rPr>
          <w:bCs/>
        </w:rPr>
        <w:t>ed</w:t>
      </w:r>
      <w:r w:rsidRPr="00797A5B">
        <w:rPr>
          <w:bCs/>
        </w:rPr>
        <w:t xml:space="preserve"> how the organisation incorporate</w:t>
      </w:r>
      <w:r w:rsidR="007E128C" w:rsidRPr="00797A5B">
        <w:rPr>
          <w:bCs/>
        </w:rPr>
        <w:t>d</w:t>
      </w:r>
      <w:r w:rsidRPr="00797A5B">
        <w:rPr>
          <w:bCs/>
        </w:rPr>
        <w:t xml:space="preserve"> specialist support services met the needs of Aboriginal and Torres Strait Islander peoples.</w:t>
      </w:r>
    </w:p>
    <w:p w14:paraId="283CA902" w14:textId="688B0BE4" w:rsidR="007F511B" w:rsidRPr="00797A5B" w:rsidRDefault="007F511B" w:rsidP="00B34842">
      <w:pPr>
        <w:pStyle w:val="BodyText"/>
        <w:numPr>
          <w:ilvl w:val="0"/>
          <w:numId w:val="20"/>
        </w:numPr>
        <w:spacing w:before="40" w:after="120"/>
        <w:rPr>
          <w:bCs/>
        </w:rPr>
      </w:pPr>
      <w:r w:rsidRPr="00797A5B">
        <w:rPr>
          <w:bCs/>
        </w:rPr>
        <w:t>Provide</w:t>
      </w:r>
      <w:r w:rsidR="007E128C" w:rsidRPr="00797A5B">
        <w:rPr>
          <w:bCs/>
        </w:rPr>
        <w:t>d</w:t>
      </w:r>
      <w:r w:rsidRPr="00797A5B">
        <w:rPr>
          <w:bCs/>
        </w:rPr>
        <w:t xml:space="preserve"> evidence of </w:t>
      </w:r>
      <w:r w:rsidR="007E128C" w:rsidRPr="00797A5B">
        <w:rPr>
          <w:bCs/>
        </w:rPr>
        <w:t>their</w:t>
      </w:r>
      <w:r w:rsidRPr="00797A5B">
        <w:rPr>
          <w:bCs/>
        </w:rPr>
        <w:t xml:space="preserve"> organisation’s existing links with relevant services and stakeholders in the community.</w:t>
      </w:r>
    </w:p>
    <w:p w14:paraId="014E2354" w14:textId="77777777" w:rsidR="00731417" w:rsidRDefault="00731417">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4C66868E" w14:textId="5470AA9D" w:rsidR="0032204D" w:rsidRPr="00A04083" w:rsidRDefault="0032204D" w:rsidP="00A04083">
      <w:pPr>
        <w:pStyle w:val="Heading3"/>
        <w:spacing w:before="120"/>
        <w:rPr>
          <w:color w:val="C00000"/>
          <w:sz w:val="24"/>
          <w:szCs w:val="24"/>
        </w:rPr>
      </w:pPr>
      <w:r w:rsidRPr="00A04083">
        <w:rPr>
          <w:color w:val="C00000"/>
          <w:sz w:val="24"/>
          <w:szCs w:val="24"/>
        </w:rPr>
        <w:lastRenderedPageBreak/>
        <w:t>Criterion 2</w:t>
      </w:r>
    </w:p>
    <w:p w14:paraId="0855CCF1" w14:textId="77777777" w:rsidR="007F511B" w:rsidRPr="00731FF1" w:rsidRDefault="007F511B" w:rsidP="00731FF1">
      <w:pPr>
        <w:pStyle w:val="BodyText"/>
        <w:spacing w:after="120"/>
        <w:rPr>
          <w:b/>
        </w:rPr>
      </w:pPr>
      <w:r w:rsidRPr="00731FF1">
        <w:rPr>
          <w:b/>
        </w:rPr>
        <w:t>What will you do with the grant funding if successful?</w:t>
      </w:r>
    </w:p>
    <w:p w14:paraId="53FC5DDE" w14:textId="1DE8856A" w:rsidR="007F511B" w:rsidRPr="00731FF1" w:rsidRDefault="007F511B" w:rsidP="00731FF1">
      <w:pPr>
        <w:pStyle w:val="BodyText"/>
        <w:spacing w:after="120"/>
        <w:rPr>
          <w:bCs/>
        </w:rPr>
      </w:pPr>
      <w:r w:rsidRPr="00731FF1">
        <w:rPr>
          <w:bCs/>
        </w:rPr>
        <w:t>Describe your proposed service, program or campaign and how it will support increasing capacity</w:t>
      </w:r>
      <w:r w:rsidR="00797A5B">
        <w:rPr>
          <w:bCs/>
        </w:rPr>
        <w:t xml:space="preserve"> </w:t>
      </w:r>
      <w:r w:rsidRPr="00731FF1">
        <w:rPr>
          <w:bCs/>
        </w:rPr>
        <w:t>of crisis accommodation services for Aboriginal and Torres Strait Islander peoples in your area.</w:t>
      </w:r>
    </w:p>
    <w:p w14:paraId="6EBC99B2" w14:textId="43AFD3A5" w:rsidR="007F4ECB" w:rsidRPr="00A04083" w:rsidRDefault="007F4ECB" w:rsidP="007F4ECB">
      <w:pPr>
        <w:pStyle w:val="BodyText"/>
        <w:spacing w:after="120"/>
        <w:rPr>
          <w:bCs/>
          <w:color w:val="C00000"/>
        </w:rPr>
      </w:pPr>
      <w:r w:rsidRPr="00A04083">
        <w:rPr>
          <w:bCs/>
          <w:color w:val="C00000"/>
        </w:rPr>
        <w:t>Strong applications:</w:t>
      </w:r>
    </w:p>
    <w:p w14:paraId="77C0BC7A" w14:textId="6BB08A75" w:rsidR="007F511B" w:rsidRPr="00731FF1" w:rsidRDefault="007F511B" w:rsidP="00731FF1">
      <w:pPr>
        <w:pStyle w:val="BodyText"/>
        <w:numPr>
          <w:ilvl w:val="0"/>
          <w:numId w:val="20"/>
        </w:numPr>
        <w:spacing w:after="120"/>
        <w:rPr>
          <w:bCs/>
        </w:rPr>
      </w:pPr>
      <w:r w:rsidRPr="00731FF1">
        <w:rPr>
          <w:bCs/>
        </w:rPr>
        <w:t>Describe</w:t>
      </w:r>
      <w:r w:rsidR="00731FF1" w:rsidRPr="00731FF1">
        <w:rPr>
          <w:bCs/>
        </w:rPr>
        <w:t>d</w:t>
      </w:r>
      <w:r w:rsidRPr="00731FF1">
        <w:rPr>
          <w:bCs/>
        </w:rPr>
        <w:t xml:space="preserve"> the specific actions </w:t>
      </w:r>
      <w:r w:rsidR="00731FF1" w:rsidRPr="00731FF1">
        <w:rPr>
          <w:bCs/>
        </w:rPr>
        <w:t>they</w:t>
      </w:r>
      <w:r w:rsidRPr="00731FF1">
        <w:rPr>
          <w:bCs/>
        </w:rPr>
        <w:t xml:space="preserve"> would pursue to support increasing capacity of crisis accommodation services for Aboriginal and Torres Strait Islander peoples in </w:t>
      </w:r>
      <w:r w:rsidR="00731FF1" w:rsidRPr="00731FF1">
        <w:rPr>
          <w:bCs/>
        </w:rPr>
        <w:t>their</w:t>
      </w:r>
      <w:r w:rsidRPr="00731FF1">
        <w:rPr>
          <w:bCs/>
        </w:rPr>
        <w:t xml:space="preserve"> area.</w:t>
      </w:r>
    </w:p>
    <w:p w14:paraId="380B86BD" w14:textId="1B398BEF" w:rsidR="007F511B" w:rsidRPr="00731FF1" w:rsidRDefault="007F511B" w:rsidP="00731FF1">
      <w:pPr>
        <w:pStyle w:val="BodyText"/>
        <w:numPr>
          <w:ilvl w:val="0"/>
          <w:numId w:val="20"/>
        </w:numPr>
        <w:spacing w:after="120"/>
        <w:rPr>
          <w:bCs/>
        </w:rPr>
      </w:pPr>
      <w:r w:rsidRPr="00731FF1">
        <w:rPr>
          <w:bCs/>
        </w:rPr>
        <w:t>Describe</w:t>
      </w:r>
      <w:r w:rsidR="00731FF1">
        <w:rPr>
          <w:bCs/>
        </w:rPr>
        <w:t>d</w:t>
      </w:r>
      <w:r w:rsidRPr="00731FF1">
        <w:rPr>
          <w:bCs/>
        </w:rPr>
        <w:t xml:space="preserve"> how the project </w:t>
      </w:r>
      <w:r w:rsidR="00731FF1">
        <w:rPr>
          <w:bCs/>
        </w:rPr>
        <w:t>would</w:t>
      </w:r>
      <w:r w:rsidRPr="00731FF1">
        <w:rPr>
          <w:bCs/>
        </w:rPr>
        <w:t xml:space="preserve"> deliver on the objectives and outcomes of this grant round and contribute to Target 13 (by 2031, reduce the rate of all forms of family violence and abuse against Aboriginal and Torres Strait Islander women and children by at least by 50%, as progress towards zero) in the National Agreement on Closing the Gap.</w:t>
      </w:r>
    </w:p>
    <w:p w14:paraId="2D3CC239" w14:textId="44FF81B6" w:rsidR="007F511B" w:rsidRPr="00731FF1" w:rsidRDefault="007F511B" w:rsidP="00731FF1">
      <w:pPr>
        <w:pStyle w:val="BodyText"/>
        <w:numPr>
          <w:ilvl w:val="0"/>
          <w:numId w:val="20"/>
        </w:numPr>
        <w:spacing w:after="120"/>
        <w:rPr>
          <w:bCs/>
        </w:rPr>
      </w:pPr>
      <w:r w:rsidRPr="00731FF1">
        <w:rPr>
          <w:bCs/>
        </w:rPr>
        <w:t>Provide</w:t>
      </w:r>
      <w:r w:rsidR="00731FF1">
        <w:rPr>
          <w:bCs/>
        </w:rPr>
        <w:t>d</w:t>
      </w:r>
      <w:r w:rsidRPr="00731FF1">
        <w:rPr>
          <w:bCs/>
        </w:rPr>
        <w:t xml:space="preserve"> examples of how community members </w:t>
      </w:r>
      <w:r w:rsidR="00731FF1">
        <w:rPr>
          <w:bCs/>
        </w:rPr>
        <w:t>w</w:t>
      </w:r>
      <w:r w:rsidR="00A04083">
        <w:rPr>
          <w:bCs/>
        </w:rPr>
        <w:t>ould</w:t>
      </w:r>
      <w:r w:rsidRPr="00731FF1">
        <w:rPr>
          <w:bCs/>
        </w:rPr>
        <w:t xml:space="preserve"> com</w:t>
      </w:r>
      <w:r w:rsidR="00A04083">
        <w:rPr>
          <w:bCs/>
        </w:rPr>
        <w:t>e</w:t>
      </w:r>
      <w:r w:rsidRPr="00731FF1">
        <w:rPr>
          <w:bCs/>
        </w:rPr>
        <w:t xml:space="preserve"> together to gather information.</w:t>
      </w:r>
    </w:p>
    <w:p w14:paraId="0EF3DC14" w14:textId="69DC4FD7" w:rsidR="007F511B" w:rsidRPr="00731FF1" w:rsidRDefault="007F511B" w:rsidP="00731FF1">
      <w:pPr>
        <w:pStyle w:val="BodyText"/>
        <w:numPr>
          <w:ilvl w:val="0"/>
          <w:numId w:val="20"/>
        </w:numPr>
        <w:spacing w:after="120"/>
        <w:rPr>
          <w:bCs/>
        </w:rPr>
      </w:pPr>
      <w:r w:rsidRPr="00731FF1">
        <w:rPr>
          <w:bCs/>
        </w:rPr>
        <w:t>Describe</w:t>
      </w:r>
      <w:r w:rsidR="00731FF1">
        <w:rPr>
          <w:bCs/>
        </w:rPr>
        <w:t>d</w:t>
      </w:r>
      <w:r w:rsidRPr="00731FF1">
        <w:rPr>
          <w:bCs/>
        </w:rPr>
        <w:t xml:space="preserve"> how </w:t>
      </w:r>
      <w:r w:rsidR="00731FF1">
        <w:rPr>
          <w:bCs/>
        </w:rPr>
        <w:t>their</w:t>
      </w:r>
      <w:r w:rsidRPr="00731FF1">
        <w:rPr>
          <w:bCs/>
        </w:rPr>
        <w:t xml:space="preserve"> project, plan or strategy </w:t>
      </w:r>
      <w:r w:rsidR="00731FF1">
        <w:rPr>
          <w:bCs/>
        </w:rPr>
        <w:t>would</w:t>
      </w:r>
      <w:r w:rsidRPr="00731FF1">
        <w:rPr>
          <w:bCs/>
        </w:rPr>
        <w:t xml:space="preserve"> continue to be Aboriginal and Torres Strait Islander led and centred around Aboriginal and Torres Strait Islander ways of knowing and being.</w:t>
      </w:r>
    </w:p>
    <w:p w14:paraId="157B3D32" w14:textId="7722EA5A" w:rsidR="00514A28" w:rsidRPr="00731FF1" w:rsidRDefault="007F511B" w:rsidP="00731FF1">
      <w:pPr>
        <w:pStyle w:val="BodyText"/>
        <w:numPr>
          <w:ilvl w:val="0"/>
          <w:numId w:val="20"/>
        </w:numPr>
        <w:spacing w:after="120"/>
        <w:rPr>
          <w:bCs/>
        </w:rPr>
      </w:pPr>
      <w:r w:rsidRPr="00731FF1">
        <w:rPr>
          <w:bCs/>
        </w:rPr>
        <w:t>Describe</w:t>
      </w:r>
      <w:r w:rsidR="00731FF1">
        <w:rPr>
          <w:bCs/>
        </w:rPr>
        <w:t>d</w:t>
      </w:r>
      <w:r w:rsidRPr="00731FF1">
        <w:rPr>
          <w:bCs/>
        </w:rPr>
        <w:t xml:space="preserve"> </w:t>
      </w:r>
      <w:r w:rsidR="00731FF1">
        <w:rPr>
          <w:bCs/>
        </w:rPr>
        <w:t>their</w:t>
      </w:r>
      <w:r w:rsidRPr="00731FF1">
        <w:rPr>
          <w:bCs/>
        </w:rPr>
        <w:t xml:space="preserve"> plan to collaborate with relevant services, stakeholders or organisations to achieve </w:t>
      </w:r>
      <w:r w:rsidR="0093274E">
        <w:rPr>
          <w:bCs/>
        </w:rPr>
        <w:t>their</w:t>
      </w:r>
      <w:r w:rsidRPr="00731FF1">
        <w:rPr>
          <w:bCs/>
        </w:rPr>
        <w:t xml:space="preserve"> project’s aims. If so, who and why? Includ</w:t>
      </w:r>
      <w:r w:rsidR="00A04083">
        <w:rPr>
          <w:bCs/>
        </w:rPr>
        <w:t>ing</w:t>
      </w:r>
      <w:r w:rsidRPr="00731FF1">
        <w:rPr>
          <w:bCs/>
        </w:rPr>
        <w:t xml:space="preserve"> information about the way partners would work, for example Memoranda of Understanding, Service Agreements </w:t>
      </w:r>
      <w:r w:rsidR="00B34842">
        <w:rPr>
          <w:bCs/>
        </w:rPr>
        <w:t>and so on</w:t>
      </w:r>
      <w:r w:rsidR="00A04083">
        <w:rPr>
          <w:bCs/>
        </w:rPr>
        <w:t>.</w:t>
      </w:r>
    </w:p>
    <w:p w14:paraId="66C90A3E" w14:textId="483D9145" w:rsidR="0032204D" w:rsidRPr="00A04083" w:rsidRDefault="0032204D" w:rsidP="00A04083">
      <w:pPr>
        <w:pStyle w:val="Heading3"/>
        <w:spacing w:before="120"/>
        <w:rPr>
          <w:color w:val="C00000"/>
          <w:sz w:val="24"/>
          <w:szCs w:val="24"/>
        </w:rPr>
      </w:pPr>
      <w:r w:rsidRPr="00A04083">
        <w:rPr>
          <w:color w:val="C00000"/>
          <w:sz w:val="24"/>
          <w:szCs w:val="24"/>
        </w:rPr>
        <w:t>Criterion 3</w:t>
      </w:r>
    </w:p>
    <w:p w14:paraId="6D613EB3" w14:textId="77777777" w:rsidR="007F511B" w:rsidRPr="00FC7B90" w:rsidRDefault="007F511B" w:rsidP="007F511B">
      <w:pPr>
        <w:pStyle w:val="Default"/>
        <w:rPr>
          <w:sz w:val="22"/>
          <w:szCs w:val="22"/>
        </w:rPr>
      </w:pPr>
      <w:r w:rsidRPr="00FC7B90">
        <w:rPr>
          <w:b/>
          <w:bCs/>
          <w:sz w:val="22"/>
          <w:szCs w:val="22"/>
        </w:rPr>
        <w:t xml:space="preserve">How will you do it? </w:t>
      </w:r>
    </w:p>
    <w:p w14:paraId="46AF4693" w14:textId="40B1DBC7" w:rsidR="007F511B" w:rsidRPr="00797A5B" w:rsidRDefault="007F511B" w:rsidP="00797A5B">
      <w:pPr>
        <w:pStyle w:val="BodyText"/>
        <w:spacing w:after="120"/>
        <w:rPr>
          <w:bCs/>
        </w:rPr>
      </w:pPr>
      <w:r w:rsidRPr="00797A5B">
        <w:rPr>
          <w:bCs/>
        </w:rPr>
        <w:t>Describe how your organisation will del</w:t>
      </w:r>
      <w:r w:rsidR="00B34842">
        <w:rPr>
          <w:bCs/>
        </w:rPr>
        <w:t>i</w:t>
      </w:r>
      <w:r w:rsidRPr="00797A5B">
        <w:rPr>
          <w:bCs/>
        </w:rPr>
        <w:t>ver the project.</w:t>
      </w:r>
    </w:p>
    <w:p w14:paraId="2F9950E2" w14:textId="77777777" w:rsidR="007F4ECB" w:rsidRPr="00731417" w:rsidRDefault="007F4ECB" w:rsidP="007F4ECB">
      <w:pPr>
        <w:pStyle w:val="BodyText"/>
        <w:spacing w:after="120"/>
        <w:rPr>
          <w:bCs/>
          <w:color w:val="C00000"/>
        </w:rPr>
      </w:pPr>
      <w:r w:rsidRPr="00731417">
        <w:rPr>
          <w:bCs/>
          <w:color w:val="C00000"/>
        </w:rPr>
        <w:t xml:space="preserve">Strong applications: </w:t>
      </w:r>
    </w:p>
    <w:p w14:paraId="41EFEC2A" w14:textId="02494194" w:rsidR="007F511B" w:rsidRPr="00FC7B90" w:rsidRDefault="007F511B" w:rsidP="007F4ECB">
      <w:pPr>
        <w:pStyle w:val="BodyText"/>
        <w:numPr>
          <w:ilvl w:val="0"/>
          <w:numId w:val="21"/>
        </w:numPr>
        <w:spacing w:after="120"/>
        <w:rPr>
          <w:szCs w:val="22"/>
        </w:rPr>
      </w:pPr>
      <w:r w:rsidRPr="007F4ECB">
        <w:rPr>
          <w:bCs/>
        </w:rPr>
        <w:t>Provide</w:t>
      </w:r>
      <w:r w:rsidR="00FC7B90" w:rsidRPr="007F4ECB">
        <w:rPr>
          <w:bCs/>
        </w:rPr>
        <w:t>d</w:t>
      </w:r>
      <w:r w:rsidRPr="007F4ECB">
        <w:rPr>
          <w:bCs/>
        </w:rPr>
        <w:t xml:space="preserve"> a description of the proposed project and activities and how it </w:t>
      </w:r>
      <w:r w:rsidR="00FC7B90" w:rsidRPr="007F4ECB">
        <w:rPr>
          <w:bCs/>
        </w:rPr>
        <w:t>addressed</w:t>
      </w:r>
      <w:r w:rsidRPr="007F4ECB">
        <w:rPr>
          <w:bCs/>
        </w:rPr>
        <w:t xml:space="preserve"> the objectives and outcomes of the grant activities including how the initiative w</w:t>
      </w:r>
      <w:r w:rsidR="00FC7B90" w:rsidRPr="007F4ECB">
        <w:rPr>
          <w:bCs/>
        </w:rPr>
        <w:t>ould</w:t>
      </w:r>
      <w:r w:rsidRPr="007F4ECB">
        <w:rPr>
          <w:bCs/>
        </w:rPr>
        <w:t xml:space="preserve"> be designed, implemented and evaluated. (What data </w:t>
      </w:r>
      <w:r w:rsidR="00FC7B90" w:rsidRPr="007F4ECB">
        <w:rPr>
          <w:bCs/>
        </w:rPr>
        <w:t>would be used</w:t>
      </w:r>
      <w:r w:rsidRPr="007F4ECB">
        <w:rPr>
          <w:bCs/>
        </w:rPr>
        <w:t>, and what success look</w:t>
      </w:r>
      <w:r w:rsidR="00FC7B90" w:rsidRPr="007F4ECB">
        <w:rPr>
          <w:bCs/>
        </w:rPr>
        <w:t>ed</w:t>
      </w:r>
      <w:r w:rsidRPr="007F4ECB">
        <w:rPr>
          <w:bCs/>
        </w:rPr>
        <w:t xml:space="preserve"> like in </w:t>
      </w:r>
      <w:r w:rsidR="00FC7B90" w:rsidRPr="007F4ECB">
        <w:rPr>
          <w:bCs/>
        </w:rPr>
        <w:t>their</w:t>
      </w:r>
      <w:r w:rsidRPr="007F4ECB">
        <w:rPr>
          <w:bCs/>
        </w:rPr>
        <w:t xml:space="preserve"> local</w:t>
      </w:r>
      <w:r w:rsidRPr="00FC7B90">
        <w:rPr>
          <w:szCs w:val="22"/>
        </w:rPr>
        <w:t xml:space="preserve"> context?)</w:t>
      </w:r>
    </w:p>
    <w:p w14:paraId="2C43E30C" w14:textId="4F658DE7" w:rsidR="007F511B" w:rsidRPr="00FC7B90" w:rsidRDefault="007F511B" w:rsidP="007F511B">
      <w:pPr>
        <w:pStyle w:val="Default"/>
        <w:numPr>
          <w:ilvl w:val="0"/>
          <w:numId w:val="19"/>
        </w:numPr>
        <w:spacing w:after="172"/>
        <w:rPr>
          <w:sz w:val="22"/>
          <w:szCs w:val="22"/>
        </w:rPr>
      </w:pPr>
      <w:r w:rsidRPr="00FC7B90">
        <w:rPr>
          <w:sz w:val="22"/>
          <w:szCs w:val="22"/>
        </w:rPr>
        <w:t>Include</w:t>
      </w:r>
      <w:r w:rsidR="00FC7B90">
        <w:rPr>
          <w:sz w:val="22"/>
          <w:szCs w:val="22"/>
        </w:rPr>
        <w:t>d</w:t>
      </w:r>
      <w:r w:rsidRPr="00FC7B90">
        <w:rPr>
          <w:sz w:val="22"/>
          <w:szCs w:val="22"/>
        </w:rPr>
        <w:t xml:space="preserve"> information about who w</w:t>
      </w:r>
      <w:r w:rsidR="00FC7B90">
        <w:rPr>
          <w:sz w:val="22"/>
          <w:szCs w:val="22"/>
        </w:rPr>
        <w:t xml:space="preserve">ould </w:t>
      </w:r>
      <w:r w:rsidRPr="00FC7B90">
        <w:rPr>
          <w:sz w:val="22"/>
          <w:szCs w:val="22"/>
        </w:rPr>
        <w:t xml:space="preserve">run the </w:t>
      </w:r>
      <w:r w:rsidR="00C91928" w:rsidRPr="00FC7B90">
        <w:rPr>
          <w:sz w:val="22"/>
          <w:szCs w:val="22"/>
        </w:rPr>
        <w:t>day-to-day</w:t>
      </w:r>
      <w:r w:rsidRPr="00FC7B90">
        <w:rPr>
          <w:sz w:val="22"/>
          <w:szCs w:val="22"/>
        </w:rPr>
        <w:t xml:space="preserve"> operation of the project (for example, staff, budgets) and how major decisions </w:t>
      </w:r>
      <w:r w:rsidR="00FC7B90" w:rsidRPr="00FC7B90">
        <w:rPr>
          <w:sz w:val="22"/>
          <w:szCs w:val="22"/>
        </w:rPr>
        <w:t>w</w:t>
      </w:r>
      <w:r w:rsidR="00FC7B90">
        <w:rPr>
          <w:sz w:val="22"/>
          <w:szCs w:val="22"/>
        </w:rPr>
        <w:t>ould</w:t>
      </w:r>
      <w:r w:rsidRPr="00FC7B90">
        <w:rPr>
          <w:sz w:val="22"/>
          <w:szCs w:val="22"/>
        </w:rPr>
        <w:t xml:space="preserve"> be made (for example, decision-making structure) over time.</w:t>
      </w:r>
    </w:p>
    <w:p w14:paraId="436A0A64" w14:textId="0601A72C" w:rsidR="007F511B" w:rsidRPr="00FC7B90" w:rsidRDefault="007F511B" w:rsidP="007F511B">
      <w:pPr>
        <w:pStyle w:val="Default"/>
        <w:numPr>
          <w:ilvl w:val="0"/>
          <w:numId w:val="19"/>
        </w:numPr>
        <w:spacing w:after="172"/>
        <w:rPr>
          <w:sz w:val="22"/>
          <w:szCs w:val="22"/>
        </w:rPr>
      </w:pPr>
      <w:r w:rsidRPr="00FC7B90">
        <w:rPr>
          <w:sz w:val="22"/>
          <w:szCs w:val="22"/>
        </w:rPr>
        <w:t>Demonstrate</w:t>
      </w:r>
      <w:r w:rsidR="00FC7B90">
        <w:rPr>
          <w:sz w:val="22"/>
          <w:szCs w:val="22"/>
        </w:rPr>
        <w:t>d</w:t>
      </w:r>
      <w:r w:rsidRPr="00FC7B90">
        <w:rPr>
          <w:sz w:val="22"/>
          <w:szCs w:val="22"/>
        </w:rPr>
        <w:t xml:space="preserve"> </w:t>
      </w:r>
      <w:r w:rsidR="00195C37">
        <w:rPr>
          <w:sz w:val="22"/>
          <w:szCs w:val="22"/>
        </w:rPr>
        <w:t xml:space="preserve">how their </w:t>
      </w:r>
      <w:r w:rsidRPr="00FC7B90">
        <w:rPr>
          <w:sz w:val="22"/>
          <w:szCs w:val="22"/>
        </w:rPr>
        <w:t xml:space="preserve">specialist support services are client-centred, trauma-informed, </w:t>
      </w:r>
      <w:r w:rsidR="00195C37" w:rsidRPr="00FC7B90">
        <w:rPr>
          <w:sz w:val="22"/>
          <w:szCs w:val="22"/>
        </w:rPr>
        <w:t>accessible,</w:t>
      </w:r>
      <w:r w:rsidRPr="00FC7B90">
        <w:rPr>
          <w:sz w:val="22"/>
          <w:szCs w:val="22"/>
        </w:rPr>
        <w:t xml:space="preserve"> and culturally appropriate.</w:t>
      </w:r>
    </w:p>
    <w:p w14:paraId="561D7FA9" w14:textId="0876FBB5" w:rsidR="007F511B" w:rsidRPr="00FC7B90" w:rsidRDefault="007F511B" w:rsidP="007F511B">
      <w:pPr>
        <w:pStyle w:val="Default"/>
        <w:numPr>
          <w:ilvl w:val="0"/>
          <w:numId w:val="19"/>
        </w:numPr>
        <w:spacing w:after="172"/>
        <w:rPr>
          <w:sz w:val="22"/>
          <w:szCs w:val="22"/>
        </w:rPr>
      </w:pPr>
      <w:r w:rsidRPr="00FC7B90">
        <w:rPr>
          <w:sz w:val="22"/>
          <w:szCs w:val="22"/>
        </w:rPr>
        <w:t>Describe</w:t>
      </w:r>
      <w:r w:rsidR="00FC7B90">
        <w:rPr>
          <w:sz w:val="22"/>
          <w:szCs w:val="22"/>
        </w:rPr>
        <w:t>d</w:t>
      </w:r>
      <w:r w:rsidRPr="00FC7B90">
        <w:rPr>
          <w:sz w:val="22"/>
          <w:szCs w:val="22"/>
        </w:rPr>
        <w:t xml:space="preserve"> how </w:t>
      </w:r>
      <w:r w:rsidR="00FC7B90">
        <w:rPr>
          <w:sz w:val="22"/>
          <w:szCs w:val="22"/>
        </w:rPr>
        <w:t>their</w:t>
      </w:r>
      <w:r w:rsidRPr="00FC7B90">
        <w:rPr>
          <w:sz w:val="22"/>
          <w:szCs w:val="22"/>
        </w:rPr>
        <w:t xml:space="preserve"> organisation w</w:t>
      </w:r>
      <w:r w:rsidR="00FC7B90">
        <w:rPr>
          <w:sz w:val="22"/>
          <w:szCs w:val="22"/>
        </w:rPr>
        <w:t xml:space="preserve">ould </w:t>
      </w:r>
      <w:r w:rsidRPr="00FC7B90">
        <w:rPr>
          <w:sz w:val="22"/>
          <w:szCs w:val="22"/>
        </w:rPr>
        <w:t>create and support culturally responsive and safe environments and processes for staff and community members who support</w:t>
      </w:r>
      <w:r w:rsidR="00FC7B90">
        <w:rPr>
          <w:sz w:val="22"/>
          <w:szCs w:val="22"/>
        </w:rPr>
        <w:t>ed</w:t>
      </w:r>
      <w:r w:rsidRPr="00FC7B90">
        <w:rPr>
          <w:sz w:val="22"/>
          <w:szCs w:val="22"/>
        </w:rPr>
        <w:t xml:space="preserve"> the project.</w:t>
      </w:r>
    </w:p>
    <w:p w14:paraId="44B74E5C" w14:textId="57A3157C" w:rsidR="007F511B" w:rsidRPr="00FC7B90" w:rsidRDefault="00CE56F3" w:rsidP="007F511B">
      <w:pPr>
        <w:pStyle w:val="Default"/>
        <w:numPr>
          <w:ilvl w:val="0"/>
          <w:numId w:val="19"/>
        </w:numPr>
        <w:rPr>
          <w:sz w:val="22"/>
          <w:szCs w:val="22"/>
        </w:rPr>
      </w:pPr>
      <w:r>
        <w:rPr>
          <w:sz w:val="22"/>
          <w:szCs w:val="22"/>
        </w:rPr>
        <w:t>Outlined i</w:t>
      </w:r>
      <w:r w:rsidR="007F511B" w:rsidRPr="00FC7B90">
        <w:rPr>
          <w:sz w:val="22"/>
          <w:szCs w:val="22"/>
        </w:rPr>
        <w:t xml:space="preserve">f </w:t>
      </w:r>
      <w:r w:rsidR="00FC7B90">
        <w:rPr>
          <w:sz w:val="22"/>
          <w:szCs w:val="22"/>
        </w:rPr>
        <w:t>their</w:t>
      </w:r>
      <w:r w:rsidR="007F511B" w:rsidRPr="00FC7B90">
        <w:rPr>
          <w:sz w:val="22"/>
          <w:szCs w:val="22"/>
        </w:rPr>
        <w:t xml:space="preserve"> organisation w</w:t>
      </w:r>
      <w:r w:rsidR="00FC7B90">
        <w:rPr>
          <w:sz w:val="22"/>
          <w:szCs w:val="22"/>
        </w:rPr>
        <w:t>ould</w:t>
      </w:r>
      <w:r w:rsidR="007F511B" w:rsidRPr="00FC7B90">
        <w:rPr>
          <w:sz w:val="22"/>
          <w:szCs w:val="22"/>
        </w:rPr>
        <w:t xml:space="preserve"> </w:t>
      </w:r>
      <w:r>
        <w:rPr>
          <w:sz w:val="22"/>
          <w:szCs w:val="22"/>
        </w:rPr>
        <w:t xml:space="preserve">be </w:t>
      </w:r>
      <w:r w:rsidR="007F511B" w:rsidRPr="00FC7B90">
        <w:rPr>
          <w:sz w:val="22"/>
          <w:szCs w:val="22"/>
        </w:rPr>
        <w:t>seek</w:t>
      </w:r>
      <w:r>
        <w:rPr>
          <w:sz w:val="22"/>
          <w:szCs w:val="22"/>
        </w:rPr>
        <w:t>ing</w:t>
      </w:r>
      <w:r w:rsidR="007F511B" w:rsidRPr="00FC7B90">
        <w:rPr>
          <w:sz w:val="22"/>
          <w:szCs w:val="22"/>
        </w:rPr>
        <w:t xml:space="preserve"> </w:t>
      </w:r>
      <w:r w:rsidR="00FC7B90">
        <w:rPr>
          <w:sz w:val="22"/>
          <w:szCs w:val="22"/>
        </w:rPr>
        <w:t xml:space="preserve">additional </w:t>
      </w:r>
      <w:r w:rsidR="007F511B" w:rsidRPr="00FC7B90">
        <w:rPr>
          <w:sz w:val="22"/>
          <w:szCs w:val="22"/>
        </w:rPr>
        <w:t xml:space="preserve">financial, </w:t>
      </w:r>
      <w:proofErr w:type="gramStart"/>
      <w:r w:rsidR="007F511B" w:rsidRPr="00FC7B90">
        <w:rPr>
          <w:sz w:val="22"/>
          <w:szCs w:val="22"/>
        </w:rPr>
        <w:t>in-kind</w:t>
      </w:r>
      <w:proofErr w:type="gramEnd"/>
      <w:r w:rsidR="007F511B" w:rsidRPr="00FC7B90">
        <w:rPr>
          <w:sz w:val="22"/>
          <w:szCs w:val="22"/>
        </w:rPr>
        <w:t xml:space="preserve"> or logistical support from other organisations to maximise impact or strengthen the financial sustainability of the project over the long term (for example, non-government-organisations, philanthropic funders, service providers, local/state/territory governments).</w:t>
      </w:r>
    </w:p>
    <w:p w14:paraId="7649DA0C" w14:textId="032C2A1A" w:rsidR="0032204D" w:rsidRPr="00A04083" w:rsidRDefault="0032204D" w:rsidP="00A04083">
      <w:pPr>
        <w:pStyle w:val="Heading2"/>
        <w:spacing w:before="120"/>
        <w:rPr>
          <w:color w:val="C00000"/>
          <w:sz w:val="28"/>
          <w:szCs w:val="28"/>
        </w:rPr>
      </w:pPr>
      <w:r w:rsidRPr="00A04083">
        <w:rPr>
          <w:color w:val="C00000"/>
          <w:sz w:val="28"/>
          <w:szCs w:val="28"/>
        </w:rPr>
        <w:t>Individual feedback</w:t>
      </w:r>
    </w:p>
    <w:p w14:paraId="3C3DB03A" w14:textId="267C21DF" w:rsidR="005948DB" w:rsidRDefault="0032204D" w:rsidP="00195C37">
      <w:pPr>
        <w:pStyle w:val="BodyText"/>
        <w:rPr>
          <w:rFonts w:asciiTheme="majorHAnsi" w:eastAsiaTheme="majorEastAsia" w:hAnsiTheme="majorHAnsi" w:cstheme="majorBidi"/>
          <w:b/>
          <w:bCs/>
          <w:sz w:val="24"/>
          <w:szCs w:val="26"/>
        </w:rPr>
      </w:pPr>
      <w:r w:rsidRPr="00797A5B">
        <w:rPr>
          <w:color w:val="auto"/>
        </w:rPr>
        <w:t xml:space="preserve">Individual feedback will be provided for this grant opportunity. To request individual feedback please follow the instructions as set out in the </w:t>
      </w:r>
      <w:r w:rsidR="00797A5B" w:rsidRPr="00797A5B">
        <w:rPr>
          <w:color w:val="auto"/>
        </w:rPr>
        <w:t>section 9.1 of the</w:t>
      </w:r>
      <w:r w:rsidRPr="00797A5B">
        <w:rPr>
          <w:color w:val="auto"/>
        </w:rPr>
        <w:t xml:space="preserve"> </w:t>
      </w:r>
      <w:r w:rsidR="004F152B">
        <w:rPr>
          <w:color w:val="auto"/>
        </w:rPr>
        <w:t>g</w:t>
      </w:r>
      <w:r w:rsidRPr="00797A5B">
        <w:rPr>
          <w:color w:val="auto"/>
        </w:rPr>
        <w:t>uidelines.</w:t>
      </w:r>
    </w:p>
    <w:sectPr w:rsidR="005948DB" w:rsidSect="009B0F09">
      <w:headerReference w:type="default" r:id="rId9"/>
      <w:footerReference w:type="default" r:id="rId10"/>
      <w:headerReference w:type="first" r:id="rId11"/>
      <w:footerReference w:type="first" r:id="rId12"/>
      <w:pgSz w:w="11906" w:h="16838" w:code="9"/>
      <w:pgMar w:top="1304" w:right="1134" w:bottom="737" w:left="1134" w:header="680"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2B11" w14:textId="77777777" w:rsidR="009B0F09" w:rsidRDefault="009B0F09" w:rsidP="00772718">
      <w:pPr>
        <w:spacing w:line="240" w:lineRule="auto"/>
      </w:pPr>
      <w:r>
        <w:separator/>
      </w:r>
    </w:p>
  </w:endnote>
  <w:endnote w:type="continuationSeparator" w:id="0">
    <w:p w14:paraId="1191581E" w14:textId="77777777" w:rsidR="009B0F09" w:rsidRDefault="009B0F09"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37E0E772" w:rsidR="00A14495" w:rsidRDefault="00E13525">
    <w:pPr>
      <w:pStyle w:val="Footer"/>
    </w:pPr>
    <w:r>
      <w:fldChar w:fldCharType="begin"/>
    </w:r>
    <w:r>
      <w:instrText xml:space="preserve"> PAGE   \* MERGEFORMAT </w:instrText>
    </w:r>
    <w:r>
      <w:fldChar w:fldCharType="separate"/>
    </w:r>
    <w:r w:rsidR="00C80477">
      <w:rPr>
        <w:noProof/>
      </w:rPr>
      <w:t>2</w:t>
    </w:r>
    <w:r>
      <w:fldChar w:fldCharType="end"/>
    </w:r>
    <w:r>
      <w:t xml:space="preserve">  </w:t>
    </w:r>
    <w:r w:rsidR="00D06EAD">
      <w:t xml:space="preserve">| </w:t>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DD6459"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rsidR="00F60E81">
      <w:tab/>
    </w:r>
    <w:r w:rsidR="004F32A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4A1BE26C" w:rsidR="00D91B18" w:rsidRDefault="00D91B18">
    <w:pPr>
      <w:pStyle w:val="Footer"/>
    </w:pPr>
    <w:r>
      <w:fldChar w:fldCharType="begin"/>
    </w:r>
    <w:r>
      <w:instrText xml:space="preserve"> PAGE   \* MERGEFORMAT </w:instrText>
    </w:r>
    <w:r>
      <w:fldChar w:fldCharType="separate"/>
    </w:r>
    <w:r w:rsidR="00C80477">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523F" w14:textId="77777777" w:rsidR="009B0F09" w:rsidRDefault="009B0F09" w:rsidP="00772718">
      <w:pPr>
        <w:spacing w:line="240" w:lineRule="auto"/>
      </w:pPr>
      <w:r>
        <w:separator/>
      </w:r>
    </w:p>
  </w:footnote>
  <w:footnote w:type="continuationSeparator" w:id="0">
    <w:p w14:paraId="40EFB911" w14:textId="77777777" w:rsidR="009B0F09" w:rsidRDefault="009B0F09"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643D59D9">
              <wp:simplePos x="0" y="0"/>
              <wp:positionH relativeFrom="page">
                <wp:posOffset>720090</wp:posOffset>
              </wp:positionH>
              <wp:positionV relativeFrom="page">
                <wp:posOffset>706755</wp:posOffset>
              </wp:positionV>
              <wp:extent cx="6119495"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57C988"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55.65pt" to="53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NU2nhfeAAAADAEAAA8AAABkcnMvZG93&#10;bnJldi54bWxMj0FvwjAMhe+T9h8iT9ptpIENUNcUAdJ22TgAk3Y1jWmrNU7VBOj+/VJpEtz87Kfn&#10;72WL3jbiTJ2vHWtQowQEceFMzaWGr/3b0xyED8gGG8ek4Zc8LPL7uwxT4y68pfMulCKGsE9RQxVC&#10;m0rpi4os+pFriePt6DqLIcqulKbDSwy3jRwnyVRarDl+qLCldUXFz+5kNXyPP/Zb9c7lhl5sezTL&#10;+WbFn1o/PvTLVxCB+nA1w4Af0SGPTAd3YuNFE7WaPEfrMKgJiMGRzGYKxOF/JfNM3pbI/wAAAP//&#10;AwBQSwECLQAUAAYACAAAACEAtoM4kv4AAADhAQAAEwAAAAAAAAAAAAAAAAAAAAAAW0NvbnRlbnRf&#10;VHlwZXNdLnhtbFBLAQItABQABgAIAAAAIQA4/SH/1gAAAJQBAAALAAAAAAAAAAAAAAAAAC8BAABf&#10;cmVscy8ucmVsc1BLAQItABQABgAIAAAAIQDC3mFv9QEAADgEAAAOAAAAAAAAAAAAAAAAAC4CAABk&#10;cnMvZTJvRG9jLnhtbFBLAQItABQABgAIAAAAIQDVNp4X3gAAAAwBAAAPAAAAAAAAAAAAAAAAAE8E&#10;AABkcnMvZG93bnJldi54bWxQSwUGAAAAAAQABADzAAAAWgU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19302C92">
          <wp:simplePos x="0" y="0"/>
          <wp:positionH relativeFrom="page">
            <wp:posOffset>619125</wp:posOffset>
          </wp:positionH>
          <wp:positionV relativeFrom="page">
            <wp:posOffset>38100</wp:posOffset>
          </wp:positionV>
          <wp:extent cx="6343650" cy="647700"/>
          <wp:effectExtent l="0" t="0" r="0"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34365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70CB0063" w:rsidR="00D91B18" w:rsidRDefault="004A2237">
    <w:pPr>
      <w:pStyle w:val="Header"/>
    </w:pPr>
    <w:r>
      <w:rPr>
        <w:noProof/>
        <w:lang w:eastAsia="en-AU"/>
      </w:rPr>
      <w:drawing>
        <wp:anchor distT="0" distB="0" distL="114300" distR="114300" simplePos="0" relativeHeight="251671552" behindDoc="0" locked="0" layoutInCell="1" allowOverlap="1" wp14:anchorId="3F985EC1" wp14:editId="638B796B">
          <wp:simplePos x="0" y="0"/>
          <wp:positionH relativeFrom="column">
            <wp:posOffset>-62865</wp:posOffset>
          </wp:positionH>
          <wp:positionV relativeFrom="paragraph">
            <wp:posOffset>-412750</wp:posOffset>
          </wp:positionV>
          <wp:extent cx="6120130" cy="923925"/>
          <wp:effectExtent l="0" t="0" r="0" b="9525"/>
          <wp:wrapThrough wrapText="bothSides">
            <wp:wrapPolygon edited="0">
              <wp:start x="0" y="0"/>
              <wp:lineTo x="0" y="21377"/>
              <wp:lineTo x="21515" y="21377"/>
              <wp:lineTo x="21515" y="0"/>
              <wp:lineTo x="0" y="0"/>
            </wp:wrapPolygon>
          </wp:wrapThrough>
          <wp:docPr id="2068767636" name="Picture 2" descr="Australian Government and 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767636" name="Picture 2" descr="Australian Government and Community Grants Hub Logo"/>
                  <pic:cNvPicPr/>
                </pic:nvPicPr>
                <pic:blipFill>
                  <a:blip r:embed="rId1"/>
                  <a:stretch>
                    <a:fillRect/>
                  </a:stretch>
                </pic:blipFill>
                <pic:spPr>
                  <a:xfrm>
                    <a:off x="0" y="0"/>
                    <a:ext cx="6120130" cy="923925"/>
                  </a:xfrm>
                  <a:prstGeom prst="rect">
                    <a:avLst/>
                  </a:prstGeom>
                </pic:spPr>
              </pic:pic>
            </a:graphicData>
          </a:graphic>
        </wp:anchor>
      </w:drawing>
    </w:r>
    <w:r w:rsidR="00D91B18">
      <w:rPr>
        <w:noProof/>
        <w:lang w:eastAsia="en-AU"/>
      </w:rPr>
      <mc:AlternateContent>
        <mc:Choice Requires="wps">
          <w:drawing>
            <wp:anchor distT="0" distB="0" distL="114300" distR="114300" simplePos="0" relativeHeight="251669504" behindDoc="0" locked="1" layoutInCell="1" allowOverlap="1" wp14:anchorId="7B2DE097" wp14:editId="20818E00">
              <wp:simplePos x="0" y="0"/>
              <wp:positionH relativeFrom="page">
                <wp:posOffset>737235</wp:posOffset>
              </wp:positionH>
              <wp:positionV relativeFrom="page">
                <wp:posOffset>952500</wp:posOffset>
              </wp:positionV>
              <wp:extent cx="6119495"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935C3"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05pt,75pt" to="5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BCuIv/3QAAAAwBAAAPAAAAZHJzL2Rvd25y&#10;ZXYueG1sTI9BS8NAEIXvgv9hGcGb3U2htcZsShX0oj20FbxOs9MkmJ0N2W0b/71TEPQ2b+bx5nvF&#10;cvSdOtEQ28AWsokBRVwF13Jt4WP3crcAFROywy4wWfimCMvy+qrA3IUzb+i0TbWSEI45WmhS6nOt&#10;Y9WQxzgJPbHcDmHwmEQOtXYDniXcd3pqzFx7bFk+NNjTc0PV1/boLXxO33ab7JXrNc18f3CrxfqJ&#10;3629vRlXj6ASjenPDBd8QYdSmPbhyC6qTnQ2z8Qqw8xIqYvD3D9Im/3vSpeF/l+i/AEAAP//AwBQ&#10;SwECLQAUAAYACAAAACEAtoM4kv4AAADhAQAAEwAAAAAAAAAAAAAAAAAAAAAAW0NvbnRlbnRfVHlw&#10;ZXNdLnhtbFBLAQItABQABgAIAAAAIQA4/SH/1gAAAJQBAAALAAAAAAAAAAAAAAAAAC8BAABfcmVs&#10;cy8ucmVsc1BLAQItABQABgAIAAAAIQDnh6iQ8wEAADYEAAAOAAAAAAAAAAAAAAAAAC4CAABkcnMv&#10;ZTJvRG9jLnhtbFBLAQItABQABgAIAAAAIQBCuIv/3QAAAAwBAAAPAAAAAAAAAAAAAAAAAE0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735471"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B7A"/>
    <w:multiLevelType w:val="hybridMultilevel"/>
    <w:tmpl w:val="7090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6E24407"/>
    <w:multiLevelType w:val="hybridMultilevel"/>
    <w:tmpl w:val="AEDCBD52"/>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7482A54"/>
    <w:multiLevelType w:val="hybridMultilevel"/>
    <w:tmpl w:val="355A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A39AF"/>
    <w:multiLevelType w:val="hybridMultilevel"/>
    <w:tmpl w:val="4D3EAD6A"/>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21DA9"/>
    <w:multiLevelType w:val="hybridMultilevel"/>
    <w:tmpl w:val="17C2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8"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61293F"/>
    <w:multiLevelType w:val="hybridMultilevel"/>
    <w:tmpl w:val="2DB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9679">
    <w:abstractNumId w:val="1"/>
  </w:num>
  <w:num w:numId="2" w16cid:durableId="24839294">
    <w:abstractNumId w:val="17"/>
  </w:num>
  <w:num w:numId="3" w16cid:durableId="69231256">
    <w:abstractNumId w:val="5"/>
  </w:num>
  <w:num w:numId="4" w16cid:durableId="978848968">
    <w:abstractNumId w:val="13"/>
  </w:num>
  <w:num w:numId="5" w16cid:durableId="1499036746">
    <w:abstractNumId w:val="12"/>
  </w:num>
  <w:num w:numId="6" w16cid:durableId="2075856369">
    <w:abstractNumId w:val="10"/>
  </w:num>
  <w:num w:numId="7" w16cid:durableId="1717778381">
    <w:abstractNumId w:val="6"/>
  </w:num>
  <w:num w:numId="8" w16cid:durableId="1267077055">
    <w:abstractNumId w:val="16"/>
  </w:num>
  <w:num w:numId="9" w16cid:durableId="1374034352">
    <w:abstractNumId w:val="14"/>
  </w:num>
  <w:num w:numId="10" w16cid:durableId="1201088789">
    <w:abstractNumId w:val="3"/>
  </w:num>
  <w:num w:numId="11" w16cid:durableId="1413963922">
    <w:abstractNumId w:val="7"/>
  </w:num>
  <w:num w:numId="12" w16cid:durableId="178928967">
    <w:abstractNumId w:val="3"/>
  </w:num>
  <w:num w:numId="13" w16cid:durableId="1425759107">
    <w:abstractNumId w:val="18"/>
  </w:num>
  <w:num w:numId="14" w16cid:durableId="841434226">
    <w:abstractNumId w:val="9"/>
  </w:num>
  <w:num w:numId="15" w16cid:durableId="2106224261">
    <w:abstractNumId w:val="4"/>
  </w:num>
  <w:num w:numId="16" w16cid:durableId="102850491">
    <w:abstractNumId w:val="15"/>
  </w:num>
  <w:num w:numId="17" w16cid:durableId="1362902698">
    <w:abstractNumId w:val="11"/>
  </w:num>
  <w:num w:numId="18" w16cid:durableId="1905989974">
    <w:abstractNumId w:val="8"/>
  </w:num>
  <w:num w:numId="19" w16cid:durableId="1597782309">
    <w:abstractNumId w:val="0"/>
  </w:num>
  <w:num w:numId="20" w16cid:durableId="1672679618">
    <w:abstractNumId w:val="2"/>
  </w:num>
  <w:num w:numId="21" w16cid:durableId="11352224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0DD7"/>
    <w:rsid w:val="00004A79"/>
    <w:rsid w:val="00007DE9"/>
    <w:rsid w:val="00015AE4"/>
    <w:rsid w:val="0003018E"/>
    <w:rsid w:val="00030C4C"/>
    <w:rsid w:val="00033BC3"/>
    <w:rsid w:val="00044E09"/>
    <w:rsid w:val="000455E3"/>
    <w:rsid w:val="0004784D"/>
    <w:rsid w:val="000535A3"/>
    <w:rsid w:val="00053A00"/>
    <w:rsid w:val="00053DC5"/>
    <w:rsid w:val="000551F5"/>
    <w:rsid w:val="000769DF"/>
    <w:rsid w:val="000A57BC"/>
    <w:rsid w:val="000B6C00"/>
    <w:rsid w:val="000C1F06"/>
    <w:rsid w:val="000F1DD1"/>
    <w:rsid w:val="000F28B8"/>
    <w:rsid w:val="000F3766"/>
    <w:rsid w:val="00100880"/>
    <w:rsid w:val="00106FC4"/>
    <w:rsid w:val="00111F0C"/>
    <w:rsid w:val="00120B80"/>
    <w:rsid w:val="001363F3"/>
    <w:rsid w:val="00145E2D"/>
    <w:rsid w:val="00147E61"/>
    <w:rsid w:val="00150744"/>
    <w:rsid w:val="0016612C"/>
    <w:rsid w:val="001763D4"/>
    <w:rsid w:val="00180CC2"/>
    <w:rsid w:val="00181433"/>
    <w:rsid w:val="001834DD"/>
    <w:rsid w:val="00191BCF"/>
    <w:rsid w:val="00195C37"/>
    <w:rsid w:val="00197308"/>
    <w:rsid w:val="001A6061"/>
    <w:rsid w:val="001B78A7"/>
    <w:rsid w:val="001C53CE"/>
    <w:rsid w:val="001C5D96"/>
    <w:rsid w:val="001D341B"/>
    <w:rsid w:val="001E3D2B"/>
    <w:rsid w:val="001E5415"/>
    <w:rsid w:val="001E66CE"/>
    <w:rsid w:val="001F6BE5"/>
    <w:rsid w:val="0022039C"/>
    <w:rsid w:val="00221DC2"/>
    <w:rsid w:val="002277D8"/>
    <w:rsid w:val="00230D18"/>
    <w:rsid w:val="00243004"/>
    <w:rsid w:val="00244B48"/>
    <w:rsid w:val="00251FD7"/>
    <w:rsid w:val="00256CDA"/>
    <w:rsid w:val="002573D5"/>
    <w:rsid w:val="002600F2"/>
    <w:rsid w:val="002619E2"/>
    <w:rsid w:val="00264E26"/>
    <w:rsid w:val="00280E74"/>
    <w:rsid w:val="00284E4B"/>
    <w:rsid w:val="002A41E1"/>
    <w:rsid w:val="002B6574"/>
    <w:rsid w:val="002D3419"/>
    <w:rsid w:val="002D4D48"/>
    <w:rsid w:val="002E0AA1"/>
    <w:rsid w:val="002E1CCC"/>
    <w:rsid w:val="002E21D2"/>
    <w:rsid w:val="002F7D3C"/>
    <w:rsid w:val="00302D5E"/>
    <w:rsid w:val="00305720"/>
    <w:rsid w:val="0031098A"/>
    <w:rsid w:val="003131AB"/>
    <w:rsid w:val="003217BE"/>
    <w:rsid w:val="0032204D"/>
    <w:rsid w:val="0034044F"/>
    <w:rsid w:val="00352EE6"/>
    <w:rsid w:val="00355FF2"/>
    <w:rsid w:val="0035639D"/>
    <w:rsid w:val="003659D2"/>
    <w:rsid w:val="00376001"/>
    <w:rsid w:val="00383333"/>
    <w:rsid w:val="003A17CA"/>
    <w:rsid w:val="003B412F"/>
    <w:rsid w:val="003B5410"/>
    <w:rsid w:val="003D0647"/>
    <w:rsid w:val="003D1265"/>
    <w:rsid w:val="003D255E"/>
    <w:rsid w:val="003D3B1D"/>
    <w:rsid w:val="003D4B2C"/>
    <w:rsid w:val="003D5DBE"/>
    <w:rsid w:val="003E01D1"/>
    <w:rsid w:val="00404841"/>
    <w:rsid w:val="00410238"/>
    <w:rsid w:val="00412059"/>
    <w:rsid w:val="00412C37"/>
    <w:rsid w:val="00422E02"/>
    <w:rsid w:val="00425633"/>
    <w:rsid w:val="00441E79"/>
    <w:rsid w:val="00444032"/>
    <w:rsid w:val="0044643A"/>
    <w:rsid w:val="00450486"/>
    <w:rsid w:val="00454EB4"/>
    <w:rsid w:val="00461BE1"/>
    <w:rsid w:val="00464243"/>
    <w:rsid w:val="00467923"/>
    <w:rsid w:val="004709E9"/>
    <w:rsid w:val="00472379"/>
    <w:rsid w:val="00483A58"/>
    <w:rsid w:val="00490618"/>
    <w:rsid w:val="00493669"/>
    <w:rsid w:val="004A2237"/>
    <w:rsid w:val="004A7A42"/>
    <w:rsid w:val="004B203A"/>
    <w:rsid w:val="004B5F40"/>
    <w:rsid w:val="004C7D16"/>
    <w:rsid w:val="004D0860"/>
    <w:rsid w:val="004D700E"/>
    <w:rsid w:val="004D7F17"/>
    <w:rsid w:val="004E0670"/>
    <w:rsid w:val="004E7F37"/>
    <w:rsid w:val="004F152B"/>
    <w:rsid w:val="004F203C"/>
    <w:rsid w:val="004F31BA"/>
    <w:rsid w:val="004F32AB"/>
    <w:rsid w:val="005118E4"/>
    <w:rsid w:val="0051299F"/>
    <w:rsid w:val="00514A28"/>
    <w:rsid w:val="0052075D"/>
    <w:rsid w:val="00526B85"/>
    <w:rsid w:val="005306A1"/>
    <w:rsid w:val="00544751"/>
    <w:rsid w:val="00553A84"/>
    <w:rsid w:val="00563F88"/>
    <w:rsid w:val="00571E8B"/>
    <w:rsid w:val="00585D6B"/>
    <w:rsid w:val="0059000C"/>
    <w:rsid w:val="005948DB"/>
    <w:rsid w:val="005A02A1"/>
    <w:rsid w:val="005B1528"/>
    <w:rsid w:val="005B6071"/>
    <w:rsid w:val="005C120F"/>
    <w:rsid w:val="005D5DFD"/>
    <w:rsid w:val="005D7A24"/>
    <w:rsid w:val="005E1395"/>
    <w:rsid w:val="00616EBA"/>
    <w:rsid w:val="00620574"/>
    <w:rsid w:val="00622B47"/>
    <w:rsid w:val="00632C08"/>
    <w:rsid w:val="00652F29"/>
    <w:rsid w:val="00654C42"/>
    <w:rsid w:val="006572E9"/>
    <w:rsid w:val="0067074A"/>
    <w:rsid w:val="00672994"/>
    <w:rsid w:val="006807C9"/>
    <w:rsid w:val="00690706"/>
    <w:rsid w:val="00692EFD"/>
    <w:rsid w:val="00692F44"/>
    <w:rsid w:val="0069370B"/>
    <w:rsid w:val="00694FDB"/>
    <w:rsid w:val="006A2BF4"/>
    <w:rsid w:val="006C15C5"/>
    <w:rsid w:val="006D3DAD"/>
    <w:rsid w:val="006D4A4B"/>
    <w:rsid w:val="006E1C6A"/>
    <w:rsid w:val="006E476C"/>
    <w:rsid w:val="006F553E"/>
    <w:rsid w:val="006F6096"/>
    <w:rsid w:val="006F7B19"/>
    <w:rsid w:val="006F7FD8"/>
    <w:rsid w:val="0070036D"/>
    <w:rsid w:val="00707E21"/>
    <w:rsid w:val="00716D7B"/>
    <w:rsid w:val="00731417"/>
    <w:rsid w:val="00731FF1"/>
    <w:rsid w:val="00736A76"/>
    <w:rsid w:val="007405CC"/>
    <w:rsid w:val="00745750"/>
    <w:rsid w:val="00752C6B"/>
    <w:rsid w:val="00760CE6"/>
    <w:rsid w:val="00762F09"/>
    <w:rsid w:val="007719C9"/>
    <w:rsid w:val="00772718"/>
    <w:rsid w:val="00797A5B"/>
    <w:rsid w:val="007A3384"/>
    <w:rsid w:val="007D30A8"/>
    <w:rsid w:val="007D4969"/>
    <w:rsid w:val="007E128C"/>
    <w:rsid w:val="007E24C8"/>
    <w:rsid w:val="007F00B8"/>
    <w:rsid w:val="007F4ECB"/>
    <w:rsid w:val="007F511B"/>
    <w:rsid w:val="007F6391"/>
    <w:rsid w:val="008006B6"/>
    <w:rsid w:val="00814FB1"/>
    <w:rsid w:val="00820F20"/>
    <w:rsid w:val="0082528A"/>
    <w:rsid w:val="00825754"/>
    <w:rsid w:val="00833758"/>
    <w:rsid w:val="00835210"/>
    <w:rsid w:val="0084413D"/>
    <w:rsid w:val="00844C2D"/>
    <w:rsid w:val="00845DAA"/>
    <w:rsid w:val="00851FDD"/>
    <w:rsid w:val="00854ACD"/>
    <w:rsid w:val="0087438E"/>
    <w:rsid w:val="00877016"/>
    <w:rsid w:val="00880AE5"/>
    <w:rsid w:val="00884668"/>
    <w:rsid w:val="00895EB9"/>
    <w:rsid w:val="008B2B46"/>
    <w:rsid w:val="008D31D1"/>
    <w:rsid w:val="008E05BC"/>
    <w:rsid w:val="008F17B8"/>
    <w:rsid w:val="008F3CCF"/>
    <w:rsid w:val="00901750"/>
    <w:rsid w:val="00901A61"/>
    <w:rsid w:val="00903A60"/>
    <w:rsid w:val="00921840"/>
    <w:rsid w:val="0093274E"/>
    <w:rsid w:val="00932C87"/>
    <w:rsid w:val="009331B4"/>
    <w:rsid w:val="009345F1"/>
    <w:rsid w:val="00944BBB"/>
    <w:rsid w:val="00945757"/>
    <w:rsid w:val="00945DF5"/>
    <w:rsid w:val="0095141C"/>
    <w:rsid w:val="009547B6"/>
    <w:rsid w:val="00961072"/>
    <w:rsid w:val="0096623C"/>
    <w:rsid w:val="00980BE5"/>
    <w:rsid w:val="00980F43"/>
    <w:rsid w:val="009A2F51"/>
    <w:rsid w:val="009A34F3"/>
    <w:rsid w:val="009B0F09"/>
    <w:rsid w:val="009B6829"/>
    <w:rsid w:val="009B6C1C"/>
    <w:rsid w:val="009C37F3"/>
    <w:rsid w:val="009C6C53"/>
    <w:rsid w:val="009D4C9F"/>
    <w:rsid w:val="009D585B"/>
    <w:rsid w:val="009E1A74"/>
    <w:rsid w:val="009E6B53"/>
    <w:rsid w:val="009E750F"/>
    <w:rsid w:val="009F4968"/>
    <w:rsid w:val="00A04083"/>
    <w:rsid w:val="00A042C3"/>
    <w:rsid w:val="00A04D96"/>
    <w:rsid w:val="00A0629B"/>
    <w:rsid w:val="00A14495"/>
    <w:rsid w:val="00A16BE1"/>
    <w:rsid w:val="00A232AB"/>
    <w:rsid w:val="00A24F65"/>
    <w:rsid w:val="00A453D7"/>
    <w:rsid w:val="00A454BF"/>
    <w:rsid w:val="00A52E3A"/>
    <w:rsid w:val="00A61A1A"/>
    <w:rsid w:val="00A72242"/>
    <w:rsid w:val="00A814CB"/>
    <w:rsid w:val="00A84B4C"/>
    <w:rsid w:val="00A86258"/>
    <w:rsid w:val="00A90D1B"/>
    <w:rsid w:val="00AC144D"/>
    <w:rsid w:val="00AC3626"/>
    <w:rsid w:val="00AD70E2"/>
    <w:rsid w:val="00AF55F8"/>
    <w:rsid w:val="00B10ABA"/>
    <w:rsid w:val="00B12AA2"/>
    <w:rsid w:val="00B303E4"/>
    <w:rsid w:val="00B30FFC"/>
    <w:rsid w:val="00B34842"/>
    <w:rsid w:val="00B420D4"/>
    <w:rsid w:val="00B43CFE"/>
    <w:rsid w:val="00B57910"/>
    <w:rsid w:val="00B60A85"/>
    <w:rsid w:val="00B91B21"/>
    <w:rsid w:val="00B952F6"/>
    <w:rsid w:val="00BA202A"/>
    <w:rsid w:val="00BC093A"/>
    <w:rsid w:val="00BC2B00"/>
    <w:rsid w:val="00BC4ACC"/>
    <w:rsid w:val="00BC4FCC"/>
    <w:rsid w:val="00BD02F8"/>
    <w:rsid w:val="00C04432"/>
    <w:rsid w:val="00C06ED8"/>
    <w:rsid w:val="00C1488E"/>
    <w:rsid w:val="00C217A8"/>
    <w:rsid w:val="00C25C42"/>
    <w:rsid w:val="00C31B1C"/>
    <w:rsid w:val="00C333E3"/>
    <w:rsid w:val="00C4188F"/>
    <w:rsid w:val="00C435BE"/>
    <w:rsid w:val="00C80477"/>
    <w:rsid w:val="00C819A4"/>
    <w:rsid w:val="00C824AE"/>
    <w:rsid w:val="00C84EA8"/>
    <w:rsid w:val="00C91928"/>
    <w:rsid w:val="00C92998"/>
    <w:rsid w:val="00C95B28"/>
    <w:rsid w:val="00CA444B"/>
    <w:rsid w:val="00CA720A"/>
    <w:rsid w:val="00CD0003"/>
    <w:rsid w:val="00CD5746"/>
    <w:rsid w:val="00CD5925"/>
    <w:rsid w:val="00CE0775"/>
    <w:rsid w:val="00CE557A"/>
    <w:rsid w:val="00CE56F3"/>
    <w:rsid w:val="00CF00AD"/>
    <w:rsid w:val="00D031B2"/>
    <w:rsid w:val="00D05A86"/>
    <w:rsid w:val="00D05B2E"/>
    <w:rsid w:val="00D06EAD"/>
    <w:rsid w:val="00D1410C"/>
    <w:rsid w:val="00D204CE"/>
    <w:rsid w:val="00D24893"/>
    <w:rsid w:val="00D3434A"/>
    <w:rsid w:val="00D40D16"/>
    <w:rsid w:val="00D433F8"/>
    <w:rsid w:val="00D468E0"/>
    <w:rsid w:val="00D548F0"/>
    <w:rsid w:val="00D57F79"/>
    <w:rsid w:val="00D64FAC"/>
    <w:rsid w:val="00D65704"/>
    <w:rsid w:val="00D668F6"/>
    <w:rsid w:val="00D741F9"/>
    <w:rsid w:val="00D84875"/>
    <w:rsid w:val="00D904F0"/>
    <w:rsid w:val="00D91378"/>
    <w:rsid w:val="00D91B18"/>
    <w:rsid w:val="00D930FB"/>
    <w:rsid w:val="00D93C32"/>
    <w:rsid w:val="00D95D89"/>
    <w:rsid w:val="00DC0747"/>
    <w:rsid w:val="00DC2647"/>
    <w:rsid w:val="00DC316D"/>
    <w:rsid w:val="00DD1408"/>
    <w:rsid w:val="00DD356D"/>
    <w:rsid w:val="00DD6735"/>
    <w:rsid w:val="00DD72DE"/>
    <w:rsid w:val="00DF0265"/>
    <w:rsid w:val="00DF136A"/>
    <w:rsid w:val="00DF51FA"/>
    <w:rsid w:val="00E03BA4"/>
    <w:rsid w:val="00E0448C"/>
    <w:rsid w:val="00E13525"/>
    <w:rsid w:val="00E410ED"/>
    <w:rsid w:val="00E433A0"/>
    <w:rsid w:val="00E47250"/>
    <w:rsid w:val="00E47ADA"/>
    <w:rsid w:val="00E61535"/>
    <w:rsid w:val="00E73F55"/>
    <w:rsid w:val="00E74266"/>
    <w:rsid w:val="00E7480B"/>
    <w:rsid w:val="00E75ADB"/>
    <w:rsid w:val="00E8246B"/>
    <w:rsid w:val="00E84012"/>
    <w:rsid w:val="00E86AD5"/>
    <w:rsid w:val="00E912BE"/>
    <w:rsid w:val="00E9373C"/>
    <w:rsid w:val="00EA0724"/>
    <w:rsid w:val="00EA6251"/>
    <w:rsid w:val="00EB6414"/>
    <w:rsid w:val="00ED2669"/>
    <w:rsid w:val="00ED7CC7"/>
    <w:rsid w:val="00EE3BA6"/>
    <w:rsid w:val="00EE56B2"/>
    <w:rsid w:val="00EE5747"/>
    <w:rsid w:val="00EF3804"/>
    <w:rsid w:val="00EF5E05"/>
    <w:rsid w:val="00F05C5C"/>
    <w:rsid w:val="00F073CA"/>
    <w:rsid w:val="00F227AF"/>
    <w:rsid w:val="00F23143"/>
    <w:rsid w:val="00F266F2"/>
    <w:rsid w:val="00F27370"/>
    <w:rsid w:val="00F40B00"/>
    <w:rsid w:val="00F41AAB"/>
    <w:rsid w:val="00F5341C"/>
    <w:rsid w:val="00F56954"/>
    <w:rsid w:val="00F60E81"/>
    <w:rsid w:val="00F76062"/>
    <w:rsid w:val="00F85F98"/>
    <w:rsid w:val="00F948AF"/>
    <w:rsid w:val="00FA0E97"/>
    <w:rsid w:val="00FA0F28"/>
    <w:rsid w:val="00FA1F45"/>
    <w:rsid w:val="00FA5A7B"/>
    <w:rsid w:val="00FB11B1"/>
    <w:rsid w:val="00FB6A70"/>
    <w:rsid w:val="00FC1C24"/>
    <w:rsid w:val="00FC7B90"/>
    <w:rsid w:val="00FE00E8"/>
    <w:rsid w:val="00FE3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220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837770371">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209418477">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 w:id="1990279984">
      <w:bodyDiv w:val="1"/>
      <w:marLeft w:val="0"/>
      <w:marRight w:val="0"/>
      <w:marTop w:val="0"/>
      <w:marBottom w:val="0"/>
      <w:divBdr>
        <w:top w:val="none" w:sz="0" w:space="0" w:color="auto"/>
        <w:left w:val="none" w:sz="0" w:space="0" w:color="auto"/>
        <w:bottom w:val="none" w:sz="0" w:space="0" w:color="auto"/>
        <w:right w:val="none" w:sz="0" w:space="0" w:color="auto"/>
      </w:divBdr>
    </w:div>
    <w:div w:id="206945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4CCFDE-0BD4-40FB-A08C-010702D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6378</Characters>
  <Application>Microsoft Office Word</Application>
  <DocSecurity>0</DocSecurity>
  <Lines>110</Lines>
  <Paragraphs>55</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2024-05-14T22:48:00Z</dcterms:created>
  <dcterms:modified xsi:type="dcterms:W3CDTF">2024-05-14T22:48:00Z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v=2022.1;a=SHA256;h=5C91863560886DAB128237F55735BB2FA4E11FDB78C34CFC114E7B2271C5C893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2023-10-17T07:02:06Z</vt:lpwstr>
  </property>
  <property fmtid="{D5CDD505-2E9C-101B-9397-08002B2CF9AE}" pid="13" name="MSIP_Label_eb34d90b-fc41-464d-af60-f74d721d0790_SetDate">
    <vt:lpwstr>2023-10-17T07:02:06Z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A6F7B09E41FE9C68B1AEA4C785DDA93D</vt:lpwstr>
  </property>
  <property fmtid="{D5CDD505-2E9C-101B-9397-08002B2CF9AE}" pid="22" name="PM_Hash_Salt">
    <vt:lpwstr>16777444E8E0128DD12B0EB1A38EF55A</vt:lpwstr>
  </property>
  <property fmtid="{D5CDD505-2E9C-101B-9397-08002B2CF9AE}" pid="23" name="PM_Hash_SHA1">
    <vt:lpwstr>D4CEA5ACCC260397195BF30B9D1D003B4108BDAD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10b0df93eaf34ad3be2241dcb46dfd60</vt:lpwstr>
  </property>
  <property fmtid="{D5CDD505-2E9C-101B-9397-08002B2CF9AE}" pid="34" name="PMUuid">
    <vt:lpwstr>v=2022.2;d=gov.au;g=46DD6D7C-8107-577B-BC6E-F348953B2E44</vt:lpwstr>
  </property>
  <property fmtid="{D5CDD505-2E9C-101B-9397-08002B2CF9AE}" pid="35" name="PM_Caveats_Count">
    <vt:lpwstr>0</vt:lpwstr>
  </property>
</Properties>
</file>