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A893F" w14:textId="77777777" w:rsidR="004A079A" w:rsidRDefault="004A079A" w:rsidP="00DC7252">
      <w:pPr>
        <w:numPr>
          <w:ilvl w:val="1"/>
          <w:numId w:val="0"/>
        </w:numPr>
        <w:pBdr>
          <w:bottom w:val="single" w:sz="4" w:space="8" w:color="000000" w:themeColor="text1"/>
        </w:pBdr>
        <w:spacing w:before="40" w:after="120"/>
        <w:rPr>
          <w:rFonts w:asciiTheme="majorHAnsi" w:eastAsiaTheme="majorEastAsia" w:hAnsiTheme="majorHAnsi" w:cstheme="majorHAnsi"/>
          <w:bCs/>
          <w:color w:val="CF0A2C" w:themeColor="accent1"/>
          <w:sz w:val="48"/>
          <w:szCs w:val="48"/>
        </w:rPr>
      </w:pPr>
      <w:r w:rsidRPr="004A079A">
        <w:rPr>
          <w:rFonts w:asciiTheme="majorHAnsi" w:eastAsiaTheme="majorEastAsia" w:hAnsiTheme="majorHAnsi" w:cstheme="majorHAnsi"/>
          <w:bCs/>
          <w:color w:val="CF0A2C" w:themeColor="accent1"/>
          <w:sz w:val="48"/>
          <w:szCs w:val="48"/>
        </w:rPr>
        <w:t>First Nations Playgroups</w:t>
      </w:r>
    </w:p>
    <w:p w14:paraId="4CD7381D" w14:textId="0B8CDCCE" w:rsidR="00A72242" w:rsidRPr="00F85F98" w:rsidRDefault="00DC7252" w:rsidP="00DC7252">
      <w:pPr>
        <w:numPr>
          <w:ilvl w:val="1"/>
          <w:numId w:val="0"/>
        </w:numPr>
        <w:pBdr>
          <w:bottom w:val="single" w:sz="4" w:space="8" w:color="000000" w:themeColor="text1"/>
        </w:pBdr>
        <w:spacing w:before="40" w:after="120"/>
        <w:rPr>
          <w:rFonts w:asciiTheme="majorHAnsi" w:eastAsiaTheme="majorEastAsia" w:hAnsiTheme="majorHAnsi" w:cstheme="majorBidi"/>
          <w:iCs/>
          <w:sz w:val="30"/>
          <w:szCs w:val="24"/>
        </w:rPr>
      </w:pPr>
      <w:r>
        <w:rPr>
          <w:rFonts w:asciiTheme="majorHAnsi" w:eastAsiaTheme="majorEastAsia" w:hAnsiTheme="majorHAnsi" w:cstheme="majorBidi"/>
          <w:iCs/>
          <w:sz w:val="30"/>
          <w:szCs w:val="24"/>
        </w:rPr>
        <w:t>Feedback for applicants</w:t>
      </w:r>
    </w:p>
    <w:p w14:paraId="7790850D" w14:textId="488D7844" w:rsidR="00A72242" w:rsidRDefault="00A72242" w:rsidP="00A72242">
      <w:pPr>
        <w:spacing w:before="120" w:after="120"/>
        <w:rPr>
          <w:color w:val="auto"/>
        </w:rPr>
      </w:pPr>
      <w:r w:rsidRPr="00854ACD">
        <w:rPr>
          <w:color w:val="auto"/>
        </w:rPr>
        <w:t xml:space="preserve">The </w:t>
      </w:r>
      <w:r w:rsidR="004A079A">
        <w:rPr>
          <w:color w:val="auto"/>
        </w:rPr>
        <w:t>Department of Social Services</w:t>
      </w:r>
      <w:r w:rsidRPr="00854ACD">
        <w:rPr>
          <w:color w:val="auto"/>
        </w:rPr>
        <w:t xml:space="preserve"> </w:t>
      </w:r>
      <w:r w:rsidR="00517BA3">
        <w:rPr>
          <w:color w:val="auto"/>
        </w:rPr>
        <w:t>(the department) has provided the following general f</w:t>
      </w:r>
      <w:r w:rsidRPr="00854ACD">
        <w:rPr>
          <w:color w:val="auto"/>
        </w:rPr>
        <w:t xml:space="preserve">eedback for applicants of the </w:t>
      </w:r>
      <w:r w:rsidR="004A079A" w:rsidRPr="004A079A">
        <w:rPr>
          <w:color w:val="auto"/>
        </w:rPr>
        <w:t>First Nations Playgroups</w:t>
      </w:r>
      <w:r w:rsidRPr="00854ACD">
        <w:rPr>
          <w:color w:val="auto"/>
        </w:rPr>
        <w:t xml:space="preserve"> grant opportunity.</w:t>
      </w:r>
    </w:p>
    <w:p w14:paraId="5C0DE5A6" w14:textId="0033181C" w:rsidR="00B26492" w:rsidRPr="00B26492" w:rsidRDefault="00B26492" w:rsidP="00B26492">
      <w:pPr>
        <w:pStyle w:val="BodyText"/>
      </w:pPr>
      <w:r>
        <w:t xml:space="preserve">Assessment of applications was in accordance </w:t>
      </w:r>
      <w:r w:rsidR="00FA24D1">
        <w:t>with</w:t>
      </w:r>
      <w:r>
        <w:t xml:space="preserve"> the procedure detailed in the grant opportunity guidelines</w:t>
      </w:r>
      <w:r w:rsidR="00DA48A1">
        <w:t xml:space="preserve"> (guidelines)</w:t>
      </w:r>
      <w:r>
        <w:t xml:space="preserve"> and outlined in the selection process below.</w:t>
      </w:r>
    </w:p>
    <w:p w14:paraId="7E4D3FBA" w14:textId="77777777" w:rsidR="00A72242" w:rsidRPr="00175236" w:rsidRDefault="00A72242" w:rsidP="00175236">
      <w:pPr>
        <w:pStyle w:val="Heading2"/>
        <w:spacing w:before="240"/>
        <w:rPr>
          <w:b w:val="0"/>
          <w:color w:val="C00000"/>
          <w:sz w:val="36"/>
          <w:szCs w:val="36"/>
        </w:rPr>
      </w:pPr>
      <w:r w:rsidRPr="00175236">
        <w:rPr>
          <w:b w:val="0"/>
          <w:color w:val="C00000"/>
          <w:sz w:val="36"/>
          <w:szCs w:val="36"/>
        </w:rPr>
        <w:t>Overview</w:t>
      </w:r>
    </w:p>
    <w:p w14:paraId="7492B415" w14:textId="4330A60A" w:rsidR="00A72242" w:rsidRPr="00854ACD" w:rsidRDefault="00A72242" w:rsidP="00A72242">
      <w:pPr>
        <w:pStyle w:val="BodyText"/>
        <w:spacing w:after="120"/>
        <w:rPr>
          <w:color w:val="auto"/>
        </w:rPr>
      </w:pPr>
      <w:r w:rsidRPr="00854ACD">
        <w:rPr>
          <w:color w:val="auto"/>
        </w:rPr>
        <w:t xml:space="preserve">The application </w:t>
      </w:r>
      <w:r w:rsidR="00B26492">
        <w:rPr>
          <w:color w:val="auto"/>
        </w:rPr>
        <w:t xml:space="preserve">submission </w:t>
      </w:r>
      <w:r w:rsidRPr="00854ACD">
        <w:rPr>
          <w:color w:val="auto"/>
        </w:rPr>
        <w:t xml:space="preserve">period </w:t>
      </w:r>
      <w:r w:rsidRPr="00517BA3">
        <w:rPr>
          <w:color w:val="auto"/>
        </w:rPr>
        <w:t xml:space="preserve">opened on </w:t>
      </w:r>
      <w:r w:rsidR="009B1343">
        <w:t xml:space="preserve">4 April 2024 </w:t>
      </w:r>
      <w:r w:rsidRPr="00854ACD">
        <w:rPr>
          <w:color w:val="auto"/>
        </w:rPr>
        <w:t xml:space="preserve">and closed on </w:t>
      </w:r>
      <w:r w:rsidR="009B1343">
        <w:t>24 April 202</w:t>
      </w:r>
      <w:r w:rsidR="009B1343" w:rsidRPr="009B1343">
        <w:t>4</w:t>
      </w:r>
      <w:r w:rsidRPr="009B1343">
        <w:rPr>
          <w:color w:val="auto"/>
        </w:rPr>
        <w:t>.</w:t>
      </w:r>
    </w:p>
    <w:p w14:paraId="465A0E3E" w14:textId="3C5EAC7E" w:rsidR="00545F59" w:rsidRPr="00545F59" w:rsidRDefault="00545F59" w:rsidP="00545F59">
      <w:pPr>
        <w:pStyle w:val="BodyText"/>
        <w:spacing w:after="120"/>
        <w:rPr>
          <w:color w:val="auto"/>
        </w:rPr>
      </w:pPr>
      <w:r w:rsidRPr="00545F59">
        <w:rPr>
          <w:color w:val="auto"/>
        </w:rPr>
        <w:t>The First Nations Playgroups program</w:t>
      </w:r>
      <w:r>
        <w:rPr>
          <w:color w:val="auto"/>
        </w:rPr>
        <w:t xml:space="preserve"> </w:t>
      </w:r>
      <w:r w:rsidRPr="00545F59">
        <w:rPr>
          <w:color w:val="auto"/>
        </w:rPr>
        <w:t>provide</w:t>
      </w:r>
      <w:r w:rsidR="00DA48A1">
        <w:rPr>
          <w:color w:val="auto"/>
        </w:rPr>
        <w:t>s</w:t>
      </w:r>
      <w:r>
        <w:rPr>
          <w:color w:val="auto"/>
        </w:rPr>
        <w:t xml:space="preserve"> </w:t>
      </w:r>
      <w:r w:rsidRPr="00545F59">
        <w:rPr>
          <w:color w:val="auto"/>
        </w:rPr>
        <w:t>funding to support Aboriginal Community-Controlled Organisations (ACCOs) to deliver playgroups in their communities. The playgroups act as a key engagement activity for First Nations families, improv</w:t>
      </w:r>
      <w:r w:rsidR="00DA48A1">
        <w:rPr>
          <w:color w:val="auto"/>
        </w:rPr>
        <w:t>ing</w:t>
      </w:r>
      <w:r w:rsidRPr="00545F59">
        <w:rPr>
          <w:color w:val="auto"/>
        </w:rPr>
        <w:t xml:space="preserve"> the early development and wellbeing of First Nations children, improv</w:t>
      </w:r>
      <w:r w:rsidR="00DA48A1">
        <w:rPr>
          <w:color w:val="auto"/>
        </w:rPr>
        <w:t>ing</w:t>
      </w:r>
      <w:r w:rsidRPr="00545F59">
        <w:rPr>
          <w:color w:val="auto"/>
        </w:rPr>
        <w:t xml:space="preserve"> parent-child </w:t>
      </w:r>
      <w:proofErr w:type="gramStart"/>
      <w:r w:rsidRPr="00545F59">
        <w:rPr>
          <w:color w:val="auto"/>
        </w:rPr>
        <w:t>relationships</w:t>
      </w:r>
      <w:proofErr w:type="gramEnd"/>
      <w:r w:rsidRPr="00545F59">
        <w:rPr>
          <w:color w:val="auto"/>
        </w:rPr>
        <w:t xml:space="preserve"> and increas</w:t>
      </w:r>
      <w:r w:rsidR="00DA48A1">
        <w:rPr>
          <w:color w:val="auto"/>
        </w:rPr>
        <w:t>ing</w:t>
      </w:r>
      <w:r w:rsidRPr="00545F59">
        <w:rPr>
          <w:color w:val="auto"/>
        </w:rPr>
        <w:t xml:space="preserve"> feelings of belonging and connection to family, </w:t>
      </w:r>
      <w:r w:rsidR="00DA48A1" w:rsidRPr="00545F59">
        <w:rPr>
          <w:color w:val="auto"/>
        </w:rPr>
        <w:t>community,</w:t>
      </w:r>
      <w:r w:rsidRPr="00545F59">
        <w:rPr>
          <w:color w:val="auto"/>
        </w:rPr>
        <w:t xml:space="preserve"> and culture, particularly for children from vulnerable or disadvantaged families. By working closely with other community services, playgroups can contribute to improved effectiveness of service delivery in their respective communities and contribute to achieving improved outcomes for First Nations children and families.</w:t>
      </w:r>
    </w:p>
    <w:p w14:paraId="07E14994" w14:textId="3C9CE59A" w:rsidR="00545F59" w:rsidRPr="00545F59" w:rsidRDefault="00545F59" w:rsidP="00545F59">
      <w:pPr>
        <w:pStyle w:val="BodyText"/>
        <w:spacing w:after="120"/>
        <w:rPr>
          <w:color w:val="auto"/>
        </w:rPr>
      </w:pPr>
      <w:r w:rsidRPr="00545F59">
        <w:rPr>
          <w:color w:val="auto"/>
        </w:rPr>
        <w:t xml:space="preserve">This grant opportunity supports Target </w:t>
      </w:r>
      <w:r w:rsidR="00DC7252">
        <w:rPr>
          <w:color w:val="auto"/>
        </w:rPr>
        <w:t>4</w:t>
      </w:r>
      <w:r w:rsidRPr="00545F59">
        <w:rPr>
          <w:color w:val="auto"/>
        </w:rPr>
        <w:t xml:space="preserve"> of the Commonwealth Government’s Closing the Gap Implementation Plan, which is:</w:t>
      </w:r>
    </w:p>
    <w:p w14:paraId="68D05934" w14:textId="7C117C68" w:rsidR="00545F59" w:rsidRDefault="00545F59" w:rsidP="00DC7252">
      <w:pPr>
        <w:pStyle w:val="BodyText"/>
        <w:numPr>
          <w:ilvl w:val="0"/>
          <w:numId w:val="23"/>
        </w:numPr>
        <w:spacing w:after="120"/>
        <w:rPr>
          <w:color w:val="auto"/>
        </w:rPr>
      </w:pPr>
      <w:r w:rsidRPr="00545F59">
        <w:rPr>
          <w:color w:val="auto"/>
        </w:rPr>
        <w:t xml:space="preserve">By 2031, increase the proportion of Aboriginal and Torres Strait Islander children assessed as developmentally on track in all </w:t>
      </w:r>
      <w:r w:rsidR="00DC7252">
        <w:rPr>
          <w:color w:val="auto"/>
        </w:rPr>
        <w:t>5</w:t>
      </w:r>
      <w:r w:rsidRPr="00545F59">
        <w:rPr>
          <w:color w:val="auto"/>
        </w:rPr>
        <w:t xml:space="preserve"> domains of the Australian Early Development Census (AEDC) to 55</w:t>
      </w:r>
      <w:r w:rsidR="00DC7252">
        <w:rPr>
          <w:color w:val="auto"/>
        </w:rPr>
        <w:t>%</w:t>
      </w:r>
      <w:r w:rsidR="006A0AB1">
        <w:rPr>
          <w:color w:val="auto"/>
        </w:rPr>
        <w:t>.</w:t>
      </w:r>
    </w:p>
    <w:p w14:paraId="2DCC1077" w14:textId="6968F3B9" w:rsidR="00545F59" w:rsidRDefault="00000000" w:rsidP="00545F59">
      <w:pPr>
        <w:rPr>
          <w:rStyle w:val="highlightedtextChar"/>
          <w:rFonts w:ascii="Arial" w:hAnsi="Arial" w:cs="Arial"/>
          <w:b w:val="0"/>
          <w:iCs w:val="0"/>
          <w:color w:val="auto"/>
          <w:sz w:val="20"/>
        </w:rPr>
      </w:pPr>
      <w:hyperlink r:id="rId9" w:history="1">
        <w:r w:rsidR="00545F59">
          <w:rPr>
            <w:rStyle w:val="Hyperlink"/>
          </w:rPr>
          <w:t>Closing the Gap targets and outcomes | Closing the Gap</w:t>
        </w:r>
      </w:hyperlink>
      <w:r w:rsidR="00DC7252">
        <w:rPr>
          <w:rStyle w:val="FootnoteReference"/>
          <w:color w:val="0000FF" w:themeColor="hyperlink"/>
          <w:u w:val="single"/>
        </w:rPr>
        <w:footnoteReference w:id="1"/>
      </w:r>
    </w:p>
    <w:p w14:paraId="0756A095" w14:textId="365C3FB8" w:rsidR="00545F59" w:rsidRPr="00545F59" w:rsidRDefault="00545F59" w:rsidP="00545F59">
      <w:pPr>
        <w:pStyle w:val="BodyText"/>
        <w:spacing w:after="120"/>
        <w:rPr>
          <w:color w:val="auto"/>
        </w:rPr>
      </w:pPr>
      <w:r w:rsidRPr="00545F59">
        <w:rPr>
          <w:color w:val="auto"/>
        </w:rPr>
        <w:t xml:space="preserve">It will also contribute to Priority Reform </w:t>
      </w:r>
      <w:r w:rsidR="00DC7252">
        <w:rPr>
          <w:color w:val="auto"/>
        </w:rPr>
        <w:t>2</w:t>
      </w:r>
      <w:r w:rsidRPr="00545F59">
        <w:rPr>
          <w:color w:val="auto"/>
        </w:rPr>
        <w:t xml:space="preserve"> of the National Agreement on Closing the Gap Priority Reforms, which aims to build the Aboriginal Community-Controlled Sector.</w:t>
      </w:r>
    </w:p>
    <w:p w14:paraId="3266757F" w14:textId="0C0554EE" w:rsidR="00545F59" w:rsidRDefault="00000000" w:rsidP="00545F59">
      <w:pPr>
        <w:rPr>
          <w:rFonts w:cs="Arial"/>
        </w:rPr>
      </w:pPr>
      <w:hyperlink r:id="rId10" w:history="1">
        <w:r w:rsidR="00545F59" w:rsidRPr="008557D8">
          <w:rPr>
            <w:rStyle w:val="Hyperlink"/>
          </w:rPr>
          <w:t>Priority Reforms | Closing the Gap</w:t>
        </w:r>
      </w:hyperlink>
      <w:r w:rsidR="00DC7252">
        <w:rPr>
          <w:rStyle w:val="FootnoteReference"/>
          <w:color w:val="0000FF" w:themeColor="hyperlink"/>
          <w:u w:val="single"/>
        </w:rPr>
        <w:footnoteReference w:id="2"/>
      </w:r>
    </w:p>
    <w:p w14:paraId="740C44B2" w14:textId="4108571C" w:rsidR="00EB201A" w:rsidRDefault="00545F59" w:rsidP="00545F59">
      <w:pPr>
        <w:pStyle w:val="BodyText"/>
        <w:spacing w:after="120"/>
        <w:rPr>
          <w:color w:val="auto"/>
        </w:rPr>
      </w:pPr>
      <w:r w:rsidRPr="00545F59">
        <w:rPr>
          <w:color w:val="auto"/>
        </w:rPr>
        <w:t>The grant will run over 3 years from 2023–24 to 2025–26 financial years.</w:t>
      </w:r>
    </w:p>
    <w:p w14:paraId="5FAA8B2E" w14:textId="77777777" w:rsidR="00E75A26" w:rsidRDefault="00E75A26">
      <w:pPr>
        <w:spacing w:line="240" w:lineRule="auto"/>
        <w:rPr>
          <w:rFonts w:asciiTheme="majorHAnsi" w:eastAsiaTheme="majorEastAsia" w:hAnsiTheme="majorHAnsi" w:cstheme="majorBidi"/>
          <w:bCs/>
          <w:color w:val="C00000"/>
          <w:sz w:val="36"/>
          <w:szCs w:val="36"/>
        </w:rPr>
      </w:pPr>
      <w:r>
        <w:rPr>
          <w:b/>
          <w:color w:val="C00000"/>
          <w:sz w:val="36"/>
          <w:szCs w:val="36"/>
        </w:rPr>
        <w:br w:type="page"/>
      </w:r>
    </w:p>
    <w:p w14:paraId="40C6D302" w14:textId="76461CF6" w:rsidR="00A72242" w:rsidRPr="00175236" w:rsidRDefault="000E1D61" w:rsidP="000E1D61">
      <w:pPr>
        <w:pStyle w:val="Heading2"/>
        <w:spacing w:before="240"/>
        <w:rPr>
          <w:b w:val="0"/>
          <w:color w:val="C00000"/>
          <w:sz w:val="36"/>
          <w:szCs w:val="36"/>
        </w:rPr>
      </w:pPr>
      <w:r w:rsidRPr="00175236">
        <w:rPr>
          <w:b w:val="0"/>
          <w:color w:val="C00000"/>
          <w:sz w:val="36"/>
          <w:szCs w:val="36"/>
        </w:rPr>
        <w:lastRenderedPageBreak/>
        <w:t>Selection</w:t>
      </w:r>
      <w:r w:rsidR="00A72242" w:rsidRPr="00175236">
        <w:rPr>
          <w:b w:val="0"/>
          <w:color w:val="C00000"/>
          <w:sz w:val="36"/>
          <w:szCs w:val="36"/>
        </w:rPr>
        <w:t xml:space="preserve"> Process</w:t>
      </w:r>
    </w:p>
    <w:p w14:paraId="616054A3" w14:textId="77777777" w:rsidR="006361F3" w:rsidRDefault="006361F3" w:rsidP="00A72242">
      <w:pPr>
        <w:spacing w:before="120" w:after="120"/>
      </w:pPr>
      <w:r w:rsidRPr="006361F3">
        <w:t>The Community Grants Hub undertook the initial screening for organisation eligibility and compliance against the requirements outlined in the guidelines. This information was provided to the department’s grant opportunity delegate for final decisions on whether an application met the eligibility and compliance criteria.</w:t>
      </w:r>
    </w:p>
    <w:p w14:paraId="3F3CA496" w14:textId="7AD20F09" w:rsidR="006361F3" w:rsidRDefault="00517BA3" w:rsidP="00A72242">
      <w:pPr>
        <w:spacing w:before="120" w:after="120"/>
        <w:rPr>
          <w:color w:val="auto"/>
        </w:rPr>
      </w:pPr>
      <w:r>
        <w:rPr>
          <w:color w:val="auto"/>
        </w:rPr>
        <w:t xml:space="preserve">The department </w:t>
      </w:r>
      <w:r w:rsidR="00A72242" w:rsidRPr="00854ACD">
        <w:rPr>
          <w:color w:val="auto"/>
        </w:rPr>
        <w:t xml:space="preserve">assessed and considered </w:t>
      </w:r>
      <w:r w:rsidR="00A72242" w:rsidRPr="00684326">
        <w:rPr>
          <w:color w:val="auto"/>
        </w:rPr>
        <w:t xml:space="preserve">all </w:t>
      </w:r>
      <w:r w:rsidR="00A72242" w:rsidRPr="00854ACD">
        <w:rPr>
          <w:color w:val="auto"/>
        </w:rPr>
        <w:t xml:space="preserve">applications through </w:t>
      </w:r>
      <w:r w:rsidRPr="009B1343">
        <w:rPr>
          <w:color w:val="auto"/>
        </w:rPr>
        <w:t>a</w:t>
      </w:r>
      <w:r w:rsidR="00A72242" w:rsidRPr="00854ACD">
        <w:rPr>
          <w:color w:val="auto"/>
        </w:rPr>
        <w:t xml:space="preserve"> </w:t>
      </w:r>
      <w:r w:rsidR="00080262">
        <w:rPr>
          <w:color w:val="auto"/>
        </w:rPr>
        <w:t>t</w:t>
      </w:r>
      <w:r w:rsidR="009B1343" w:rsidRPr="009B1343">
        <w:rPr>
          <w:color w:val="auto"/>
        </w:rPr>
        <w:t>argeted competitive</w:t>
      </w:r>
      <w:r>
        <w:rPr>
          <w:color w:val="auto"/>
        </w:rPr>
        <w:t xml:space="preserve"> grant process.</w:t>
      </w:r>
    </w:p>
    <w:p w14:paraId="4E30BF44" w14:textId="6797CE45" w:rsidR="00110E81" w:rsidRDefault="00517BA3" w:rsidP="00A72242">
      <w:pPr>
        <w:spacing w:before="120" w:after="120"/>
        <w:rPr>
          <w:color w:val="auto"/>
        </w:rPr>
      </w:pPr>
      <w:r>
        <w:rPr>
          <w:color w:val="auto"/>
        </w:rPr>
        <w:t>The selection advisory p</w:t>
      </w:r>
      <w:r w:rsidR="00A72242" w:rsidRPr="00854ACD">
        <w:rPr>
          <w:color w:val="auto"/>
        </w:rPr>
        <w:t>anel</w:t>
      </w:r>
      <w:r>
        <w:rPr>
          <w:color w:val="auto"/>
        </w:rPr>
        <w:t xml:space="preserve"> (panel) </w:t>
      </w:r>
      <w:r w:rsidRPr="00854ACD">
        <w:rPr>
          <w:color w:val="auto"/>
        </w:rPr>
        <w:t>established by</w:t>
      </w:r>
      <w:r>
        <w:rPr>
          <w:color w:val="auto"/>
        </w:rPr>
        <w:t xml:space="preserve"> the department</w:t>
      </w:r>
      <w:r w:rsidRPr="00854ACD">
        <w:rPr>
          <w:color w:val="auto"/>
        </w:rPr>
        <w:t xml:space="preserve">, </w:t>
      </w:r>
      <w:r w:rsidRPr="00E86AD5">
        <w:t xml:space="preserve">comprised </w:t>
      </w:r>
      <w:r>
        <w:t xml:space="preserve">of subject matter experts who </w:t>
      </w:r>
      <w:r w:rsidR="00A72242" w:rsidRPr="00854ACD">
        <w:rPr>
          <w:color w:val="auto"/>
        </w:rPr>
        <w:t>assessed applications</w:t>
      </w:r>
      <w:r>
        <w:rPr>
          <w:color w:val="auto"/>
        </w:rPr>
        <w:t xml:space="preserve"> </w:t>
      </w:r>
      <w:r w:rsidRPr="00E86AD5">
        <w:t xml:space="preserve">and provided advice to inform the funding recommendations to the </w:t>
      </w:r>
      <w:r>
        <w:t xml:space="preserve">Financial </w:t>
      </w:r>
      <w:r w:rsidRPr="00E86AD5">
        <w:t>Delegate.</w:t>
      </w:r>
    </w:p>
    <w:p w14:paraId="7B51AAFB" w14:textId="45D10C9A" w:rsidR="006361F3" w:rsidRDefault="006361F3" w:rsidP="006361F3">
      <w:pPr>
        <w:spacing w:before="120" w:after="120"/>
      </w:pPr>
      <w:r>
        <w:rPr>
          <w:color w:val="auto"/>
        </w:rPr>
        <w:t>When assessing and deliberating on applications t</w:t>
      </w:r>
      <w:r>
        <w:rPr>
          <w:rFonts w:ascii="Arial" w:hAnsi="Arial" w:cs="Arial"/>
          <w:szCs w:val="22"/>
        </w:rPr>
        <w:t>he panel took into consideration several factors including the inclusion or exclusion of late applications, the volume of applications received and meeting the identified requirements outlined in the guidelines and the available funding envelope.</w:t>
      </w:r>
    </w:p>
    <w:p w14:paraId="6B344D76" w14:textId="77777777" w:rsidR="006361F3" w:rsidRPr="005B1528" w:rsidRDefault="006361F3" w:rsidP="006361F3">
      <w:pPr>
        <w:pStyle w:val="BodyText"/>
        <w:rPr>
          <w:color w:val="auto"/>
        </w:rPr>
      </w:pPr>
      <w:r>
        <w:rPr>
          <w:color w:val="auto"/>
        </w:rPr>
        <w:t xml:space="preserve">The panel’s consideration </w:t>
      </w:r>
      <w:r w:rsidRPr="005B1528">
        <w:rPr>
          <w:color w:val="auto"/>
        </w:rPr>
        <w:t>of assessed applications was, based on:</w:t>
      </w:r>
    </w:p>
    <w:p w14:paraId="508C9915" w14:textId="4EE52BC2" w:rsidR="006361F3" w:rsidRPr="00885FD7" w:rsidRDefault="006361F3" w:rsidP="006361F3">
      <w:pPr>
        <w:pStyle w:val="BodyText"/>
        <w:numPr>
          <w:ilvl w:val="0"/>
          <w:numId w:val="14"/>
        </w:numPr>
        <w:rPr>
          <w:color w:val="auto"/>
        </w:rPr>
      </w:pPr>
      <w:r w:rsidRPr="00885FD7">
        <w:rPr>
          <w:color w:val="auto"/>
        </w:rPr>
        <w:t>meeting the compliance requirements outlined in the guidelines</w:t>
      </w:r>
    </w:p>
    <w:p w14:paraId="3CD9A627" w14:textId="085D676D" w:rsidR="006361F3" w:rsidRPr="00885FD7" w:rsidRDefault="006361F3" w:rsidP="006361F3">
      <w:pPr>
        <w:pStyle w:val="BodyText"/>
        <w:numPr>
          <w:ilvl w:val="0"/>
          <w:numId w:val="14"/>
        </w:numPr>
        <w:rPr>
          <w:color w:val="auto"/>
        </w:rPr>
      </w:pPr>
      <w:r w:rsidRPr="00885FD7">
        <w:rPr>
          <w:color w:val="auto"/>
        </w:rPr>
        <w:t>meeting the eligibility requirements outline</w:t>
      </w:r>
      <w:r w:rsidR="006A0AB1">
        <w:rPr>
          <w:color w:val="auto"/>
        </w:rPr>
        <w:t>d</w:t>
      </w:r>
      <w:r w:rsidRPr="00885FD7">
        <w:rPr>
          <w:color w:val="auto"/>
        </w:rPr>
        <w:t xml:space="preserve"> in the guidelines</w:t>
      </w:r>
    </w:p>
    <w:p w14:paraId="04C7F2C0" w14:textId="77777777" w:rsidR="006361F3" w:rsidRPr="00885FD7" w:rsidRDefault="006361F3" w:rsidP="006361F3">
      <w:pPr>
        <w:pStyle w:val="ListParagraph"/>
        <w:numPr>
          <w:ilvl w:val="0"/>
          <w:numId w:val="14"/>
        </w:numPr>
        <w:rPr>
          <w:color w:val="auto"/>
        </w:rPr>
      </w:pPr>
      <w:r w:rsidRPr="00885FD7">
        <w:rPr>
          <w:color w:val="auto"/>
        </w:rPr>
        <w:t>how well the responses met the assessment criteria</w:t>
      </w:r>
    </w:p>
    <w:p w14:paraId="0BACD1CD" w14:textId="186D5A13" w:rsidR="006361F3" w:rsidRPr="00885FD7" w:rsidRDefault="006361F3" w:rsidP="006361F3">
      <w:pPr>
        <w:pStyle w:val="BodyText"/>
        <w:numPr>
          <w:ilvl w:val="0"/>
          <w:numId w:val="14"/>
        </w:numPr>
        <w:rPr>
          <w:color w:val="auto"/>
        </w:rPr>
      </w:pPr>
      <w:r w:rsidRPr="00885FD7">
        <w:rPr>
          <w:color w:val="auto"/>
        </w:rPr>
        <w:t>the provision and appropriateness of the requested attachments</w:t>
      </w:r>
    </w:p>
    <w:p w14:paraId="7FF957BF" w14:textId="6702C84A" w:rsidR="006361F3" w:rsidRPr="00885FD7" w:rsidRDefault="006361F3" w:rsidP="006361F3">
      <w:pPr>
        <w:pStyle w:val="BodyText"/>
        <w:numPr>
          <w:ilvl w:val="0"/>
          <w:numId w:val="14"/>
        </w:numPr>
        <w:rPr>
          <w:color w:val="auto"/>
        </w:rPr>
      </w:pPr>
      <w:r w:rsidRPr="00885FD7">
        <w:rPr>
          <w:color w:val="auto"/>
        </w:rPr>
        <w:t>whether the project demonstrated value with relevant money</w:t>
      </w:r>
    </w:p>
    <w:p w14:paraId="3AE2A939" w14:textId="45DE9F83" w:rsidR="00684326" w:rsidRPr="00885FD7" w:rsidRDefault="006361F3" w:rsidP="00684326">
      <w:pPr>
        <w:pStyle w:val="BodyText"/>
        <w:numPr>
          <w:ilvl w:val="0"/>
          <w:numId w:val="14"/>
        </w:numPr>
        <w:rPr>
          <w:color w:val="auto"/>
        </w:rPr>
      </w:pPr>
      <w:r w:rsidRPr="00885FD7">
        <w:rPr>
          <w:color w:val="auto"/>
        </w:rPr>
        <w:t>identified risks and the proposed mitigation strategies for the department and the Commonwealth</w:t>
      </w:r>
      <w:r w:rsidR="00DC7252">
        <w:rPr>
          <w:color w:val="auto"/>
        </w:rPr>
        <w:t>.</w:t>
      </w:r>
    </w:p>
    <w:p w14:paraId="4867D31C" w14:textId="0A78EE03" w:rsidR="00A72242" w:rsidRPr="00175236" w:rsidRDefault="00A72242" w:rsidP="006361F3">
      <w:pPr>
        <w:pStyle w:val="Heading2"/>
        <w:spacing w:before="240"/>
        <w:rPr>
          <w:b w:val="0"/>
          <w:color w:val="C00000"/>
          <w:sz w:val="36"/>
          <w:szCs w:val="36"/>
        </w:rPr>
      </w:pPr>
      <w:r w:rsidRPr="00175236">
        <w:rPr>
          <w:b w:val="0"/>
          <w:color w:val="C00000"/>
          <w:sz w:val="36"/>
          <w:szCs w:val="36"/>
        </w:rPr>
        <w:t>Selection Results</w:t>
      </w:r>
    </w:p>
    <w:p w14:paraId="1C72359D" w14:textId="2190601A" w:rsidR="00110E81" w:rsidRPr="00942976" w:rsidRDefault="00A72242" w:rsidP="00110E81">
      <w:pPr>
        <w:pStyle w:val="BodyText"/>
        <w:rPr>
          <w:color w:val="auto"/>
        </w:rPr>
      </w:pPr>
      <w:r>
        <w:t xml:space="preserve">There was </w:t>
      </w:r>
      <w:r w:rsidR="00B26492">
        <w:t>a strong interest in the grant opportunity</w:t>
      </w:r>
      <w:r>
        <w:t xml:space="preserve"> and applications were of a high standard. </w:t>
      </w:r>
      <w:r w:rsidR="00110E81" w:rsidRPr="00885FD7">
        <w:rPr>
          <w:color w:val="auto"/>
        </w:rPr>
        <w:t>The</w:t>
      </w:r>
      <w:r w:rsidR="00885FD7" w:rsidRPr="00885FD7">
        <w:rPr>
          <w:color w:val="auto"/>
        </w:rPr>
        <w:t xml:space="preserve"> </w:t>
      </w:r>
      <w:r w:rsidR="00DA48A1">
        <w:rPr>
          <w:color w:val="auto"/>
        </w:rPr>
        <w:t xml:space="preserve">successful </w:t>
      </w:r>
      <w:r w:rsidR="00110E81" w:rsidRPr="00885FD7">
        <w:rPr>
          <w:color w:val="auto"/>
        </w:rPr>
        <w:t>applicants</w:t>
      </w:r>
      <w:r w:rsidR="00885FD7">
        <w:rPr>
          <w:color w:val="auto"/>
        </w:rPr>
        <w:t xml:space="preserve"> </w:t>
      </w:r>
      <w:r w:rsidR="00110E81" w:rsidRPr="00942976">
        <w:rPr>
          <w:color w:val="auto"/>
        </w:rPr>
        <w:t xml:space="preserve">demonstrated </w:t>
      </w:r>
      <w:r w:rsidR="00110E81">
        <w:rPr>
          <w:color w:val="auto"/>
        </w:rPr>
        <w:t xml:space="preserve">their </w:t>
      </w:r>
      <w:r w:rsidR="00110E81" w:rsidRPr="00942976">
        <w:rPr>
          <w:color w:val="auto"/>
        </w:rPr>
        <w:t>ability to meet the gran</w:t>
      </w:r>
      <w:r w:rsidR="00110E81">
        <w:rPr>
          <w:color w:val="auto"/>
        </w:rPr>
        <w:t>t requirements outlined in the g</w:t>
      </w:r>
      <w:r w:rsidR="00110E81" w:rsidRPr="00942976">
        <w:rPr>
          <w:color w:val="auto"/>
        </w:rPr>
        <w:t>uidelines</w:t>
      </w:r>
      <w:r w:rsidR="00110E81">
        <w:rPr>
          <w:color w:val="auto"/>
        </w:rPr>
        <w:t xml:space="preserve"> </w:t>
      </w:r>
      <w:r w:rsidR="00110E81" w:rsidRPr="00942976">
        <w:rPr>
          <w:color w:val="auto"/>
        </w:rPr>
        <w:t>based on the strength of their respo</w:t>
      </w:r>
      <w:r w:rsidR="00110E81">
        <w:rPr>
          <w:color w:val="auto"/>
        </w:rPr>
        <w:t>nses to the assessment criterion.</w:t>
      </w:r>
    </w:p>
    <w:p w14:paraId="2D61EA89" w14:textId="23FBA707" w:rsidR="006361F3" w:rsidRDefault="006361F3" w:rsidP="006361F3">
      <w:pPr>
        <w:pStyle w:val="BodyText"/>
      </w:pPr>
      <w:r>
        <w:t>This feedback is provided to assist grant applicants to understand what comprised a strong application and what w</w:t>
      </w:r>
      <w:r w:rsidR="00885FD7">
        <w:t>ere</w:t>
      </w:r>
      <w:r>
        <w:t xml:space="preserve"> quality responses to the assessment criteria.</w:t>
      </w:r>
    </w:p>
    <w:p w14:paraId="5992ECE1" w14:textId="77777777" w:rsidR="00E75A26" w:rsidRDefault="00E75A26">
      <w:pPr>
        <w:spacing w:line="240" w:lineRule="auto"/>
        <w:rPr>
          <w:rFonts w:asciiTheme="majorHAnsi" w:eastAsiaTheme="majorEastAsia" w:hAnsiTheme="majorHAnsi" w:cstheme="majorBidi"/>
          <w:b/>
          <w:bCs/>
          <w:color w:val="C00000"/>
          <w:sz w:val="24"/>
          <w:szCs w:val="24"/>
        </w:rPr>
      </w:pPr>
      <w:r>
        <w:rPr>
          <w:color w:val="C00000"/>
          <w:sz w:val="24"/>
          <w:szCs w:val="24"/>
        </w:rPr>
        <w:br w:type="page"/>
      </w:r>
    </w:p>
    <w:p w14:paraId="22D9FB15" w14:textId="24AE9B92" w:rsidR="00A72242" w:rsidRPr="00175236" w:rsidRDefault="00A72242" w:rsidP="00175236">
      <w:pPr>
        <w:pStyle w:val="Heading3"/>
        <w:spacing w:before="240"/>
        <w:rPr>
          <w:color w:val="C00000"/>
          <w:sz w:val="24"/>
          <w:szCs w:val="24"/>
        </w:rPr>
      </w:pPr>
      <w:r w:rsidRPr="00175236">
        <w:rPr>
          <w:color w:val="C00000"/>
          <w:sz w:val="24"/>
          <w:szCs w:val="24"/>
        </w:rPr>
        <w:lastRenderedPageBreak/>
        <w:t>Criterion 1</w:t>
      </w:r>
    </w:p>
    <w:p w14:paraId="5DFDFBC3" w14:textId="3AC38044" w:rsidR="009B1343" w:rsidRPr="00E75A26" w:rsidRDefault="009B1343" w:rsidP="009B1343">
      <w:pPr>
        <w:pStyle w:val="BodyText"/>
        <w:spacing w:before="60"/>
        <w:rPr>
          <w:b/>
          <w:bCs/>
        </w:rPr>
      </w:pPr>
      <w:r w:rsidRPr="00E75A26">
        <w:rPr>
          <w:b/>
          <w:bCs/>
        </w:rPr>
        <w:t>Describ</w:t>
      </w:r>
      <w:r w:rsidR="00764938" w:rsidRPr="00E75A26">
        <w:rPr>
          <w:b/>
          <w:bCs/>
        </w:rPr>
        <w:t>e</w:t>
      </w:r>
      <w:r w:rsidRPr="00E75A26">
        <w:rPr>
          <w:b/>
          <w:bCs/>
        </w:rPr>
        <w:t xml:space="preserve"> the proposed playgroup and/or toy library activities to be delivered in</w:t>
      </w:r>
      <w:r w:rsidR="00764938" w:rsidRPr="00E75A26">
        <w:rPr>
          <w:b/>
          <w:bCs/>
        </w:rPr>
        <w:t xml:space="preserve"> your</w:t>
      </w:r>
      <w:r w:rsidRPr="00E75A26">
        <w:rPr>
          <w:b/>
          <w:bCs/>
        </w:rPr>
        <w:t xml:space="preserve"> communi</w:t>
      </w:r>
      <w:r w:rsidR="00764938" w:rsidRPr="00E75A26">
        <w:rPr>
          <w:b/>
          <w:bCs/>
        </w:rPr>
        <w:t>ty</w:t>
      </w:r>
      <w:r w:rsidRPr="00E75A26">
        <w:rPr>
          <w:b/>
          <w:bCs/>
        </w:rPr>
        <w:t>.</w:t>
      </w:r>
    </w:p>
    <w:p w14:paraId="73B03D68" w14:textId="791C7ABB" w:rsidR="009B1343" w:rsidRDefault="009B1343" w:rsidP="009B1343">
      <w:pPr>
        <w:pStyle w:val="BodyText"/>
        <w:spacing w:before="60"/>
      </w:pPr>
      <w:r>
        <w:t>When addressing the criterion a</w:t>
      </w:r>
      <w:r w:rsidR="2064DC09">
        <w:t>pplica</w:t>
      </w:r>
      <w:r w:rsidR="00E75A26">
        <w:t>nts</w:t>
      </w:r>
      <w:r>
        <w:t>:</w:t>
      </w:r>
    </w:p>
    <w:p w14:paraId="24DA00CD" w14:textId="549D4374" w:rsidR="009B1343" w:rsidRDefault="00887388" w:rsidP="009B1343">
      <w:pPr>
        <w:pStyle w:val="BodyText"/>
        <w:numPr>
          <w:ilvl w:val="0"/>
          <w:numId w:val="18"/>
        </w:numPr>
        <w:spacing w:before="60"/>
      </w:pPr>
      <w:r>
        <w:t>demonstrated</w:t>
      </w:r>
      <w:r w:rsidR="009B1343">
        <w:t xml:space="preserve"> </w:t>
      </w:r>
      <w:r>
        <w:t>they</w:t>
      </w:r>
      <w:r w:rsidR="009B1343">
        <w:t xml:space="preserve"> underst</w:t>
      </w:r>
      <w:r>
        <w:t>ood</w:t>
      </w:r>
      <w:r w:rsidR="009B1343">
        <w:t xml:space="preserve"> early childhood learning and development needs of First</w:t>
      </w:r>
      <w:r w:rsidR="00F91DD0">
        <w:t> </w:t>
      </w:r>
      <w:r w:rsidR="009B1343">
        <w:t xml:space="preserve">Nations children and families in </w:t>
      </w:r>
      <w:r>
        <w:t>their</w:t>
      </w:r>
      <w:r w:rsidR="009B1343">
        <w:t xml:space="preserve"> </w:t>
      </w:r>
      <w:proofErr w:type="gramStart"/>
      <w:r w:rsidR="009B1343">
        <w:t>community</w:t>
      </w:r>
      <w:proofErr w:type="gramEnd"/>
    </w:p>
    <w:p w14:paraId="4EDD659C" w14:textId="3031AC28" w:rsidR="009B1343" w:rsidRDefault="00887388" w:rsidP="009B1343">
      <w:pPr>
        <w:pStyle w:val="BodyText"/>
        <w:numPr>
          <w:ilvl w:val="0"/>
          <w:numId w:val="18"/>
        </w:numPr>
        <w:spacing w:before="60"/>
      </w:pPr>
      <w:r>
        <w:t>d</w:t>
      </w:r>
      <w:r w:rsidR="009B1343">
        <w:t>escribe</w:t>
      </w:r>
      <w:r>
        <w:t>d</w:t>
      </w:r>
      <w:r w:rsidR="009B1343">
        <w:t xml:space="preserve"> how the proposed playgroup activities and/or toy library w</w:t>
      </w:r>
      <w:r>
        <w:t>ould</w:t>
      </w:r>
      <w:r w:rsidR="009B1343">
        <w:t xml:space="preserve"> benefit </w:t>
      </w:r>
      <w:r>
        <w:t>their</w:t>
      </w:r>
      <w:r w:rsidR="009B1343">
        <w:t xml:space="preserve"> community, including how </w:t>
      </w:r>
      <w:r>
        <w:t>they would</w:t>
      </w:r>
      <w:r w:rsidR="009B1343">
        <w:t xml:space="preserve"> measure and evaluate the </w:t>
      </w:r>
      <w:proofErr w:type="gramStart"/>
      <w:r w:rsidR="009B1343">
        <w:t>benefits</w:t>
      </w:r>
      <w:proofErr w:type="gramEnd"/>
    </w:p>
    <w:p w14:paraId="13CEE0CE" w14:textId="31730FA0" w:rsidR="009B1343" w:rsidRDefault="00820984" w:rsidP="009B1343">
      <w:pPr>
        <w:pStyle w:val="BodyText"/>
        <w:numPr>
          <w:ilvl w:val="0"/>
          <w:numId w:val="18"/>
        </w:numPr>
        <w:spacing w:before="60"/>
      </w:pPr>
      <w:r>
        <w:t>w</w:t>
      </w:r>
      <w:r w:rsidR="00887388">
        <w:t>here applicable</w:t>
      </w:r>
      <w:r w:rsidR="009B1343">
        <w:t>, explain</w:t>
      </w:r>
      <w:r w:rsidR="00887388">
        <w:t>ed</w:t>
      </w:r>
      <w:r w:rsidR="009B1343">
        <w:t xml:space="preserve"> how </w:t>
      </w:r>
      <w:r w:rsidR="00887388">
        <w:t xml:space="preserve">their activities would </w:t>
      </w:r>
      <w:r w:rsidR="009B1343">
        <w:t>target priority groups and/or activities listed under Intended Outcome</w:t>
      </w:r>
      <w:r w:rsidR="00DA48A1">
        <w:t>s</w:t>
      </w:r>
      <w:r w:rsidR="009B1343">
        <w:t xml:space="preserve"> Number 5, which include</w:t>
      </w:r>
      <w:r w:rsidR="00887388">
        <w:t>d</w:t>
      </w:r>
      <w:r w:rsidR="009B1343">
        <w:t>:</w:t>
      </w:r>
    </w:p>
    <w:p w14:paraId="5D327888" w14:textId="5FF99968" w:rsidR="009B1343" w:rsidRDefault="009B1343" w:rsidP="00887388">
      <w:pPr>
        <w:pStyle w:val="BodyText"/>
        <w:numPr>
          <w:ilvl w:val="1"/>
          <w:numId w:val="18"/>
        </w:numPr>
        <w:spacing w:before="60"/>
      </w:pPr>
      <w:r>
        <w:t>promot</w:t>
      </w:r>
      <w:r w:rsidR="00080262">
        <w:t>ing</w:t>
      </w:r>
      <w:r>
        <w:t xml:space="preserve"> and shar</w:t>
      </w:r>
      <w:r w:rsidR="00080262">
        <w:t>ing</w:t>
      </w:r>
      <w:r>
        <w:t xml:space="preserve"> outcomes from pilots to demonstrate the strengths of different cultural ways in which playgroups can be offered in a range of settings, including:</w:t>
      </w:r>
    </w:p>
    <w:p w14:paraId="5D8490A7" w14:textId="2584A22A" w:rsidR="009B1343" w:rsidRDefault="009B1343" w:rsidP="009B1343">
      <w:pPr>
        <w:pStyle w:val="BodyText"/>
        <w:numPr>
          <w:ilvl w:val="2"/>
          <w:numId w:val="18"/>
        </w:numPr>
        <w:spacing w:before="60"/>
      </w:pPr>
      <w:r>
        <w:t>intergenerational activities supporting the participation of grandparents and elders</w:t>
      </w:r>
    </w:p>
    <w:p w14:paraId="55A11934" w14:textId="1743D0F6" w:rsidR="009B1343" w:rsidRDefault="009B1343" w:rsidP="009B1343">
      <w:pPr>
        <w:pStyle w:val="BodyText"/>
        <w:numPr>
          <w:ilvl w:val="2"/>
          <w:numId w:val="18"/>
        </w:numPr>
        <w:spacing w:before="60"/>
      </w:pPr>
      <w:r>
        <w:t>supported playgroups offering foundation supports to children experiencing developmental delays</w:t>
      </w:r>
    </w:p>
    <w:p w14:paraId="55E6361A" w14:textId="4DD92E6B" w:rsidR="009B1343" w:rsidRDefault="009B1343" w:rsidP="009B1343">
      <w:pPr>
        <w:pStyle w:val="BodyText"/>
        <w:numPr>
          <w:ilvl w:val="2"/>
          <w:numId w:val="18"/>
        </w:numPr>
        <w:spacing w:before="60"/>
      </w:pPr>
      <w:r>
        <w:t>trauma informed playgroups open to families with experience of family violence</w:t>
      </w:r>
    </w:p>
    <w:p w14:paraId="1FDA7789" w14:textId="6D27C875" w:rsidR="009B1343" w:rsidRDefault="009B1343" w:rsidP="009B1343">
      <w:pPr>
        <w:pStyle w:val="BodyText"/>
        <w:numPr>
          <w:ilvl w:val="2"/>
          <w:numId w:val="18"/>
        </w:numPr>
        <w:spacing w:before="60"/>
      </w:pPr>
      <w:r>
        <w:t xml:space="preserve">playgroups supporting young </w:t>
      </w:r>
      <w:proofErr w:type="gramStart"/>
      <w:r>
        <w:t>parents</w:t>
      </w:r>
      <w:proofErr w:type="gramEnd"/>
    </w:p>
    <w:p w14:paraId="174314C0" w14:textId="4509790A" w:rsidR="0016672D" w:rsidRDefault="009B1343" w:rsidP="009B1343">
      <w:pPr>
        <w:pStyle w:val="BodyText"/>
        <w:numPr>
          <w:ilvl w:val="2"/>
          <w:numId w:val="18"/>
        </w:numPr>
        <w:spacing w:before="60"/>
      </w:pPr>
      <w:r>
        <w:t>playgroups supporting father’s and father figures.</w:t>
      </w:r>
    </w:p>
    <w:p w14:paraId="12951F59" w14:textId="5F633FCD" w:rsidR="00175236" w:rsidRPr="00175236" w:rsidRDefault="00175236" w:rsidP="009B1343">
      <w:pPr>
        <w:pStyle w:val="BodyText"/>
        <w:spacing w:before="60"/>
      </w:pPr>
      <w:r w:rsidRPr="00175236">
        <w:t>Strong applications:</w:t>
      </w:r>
    </w:p>
    <w:p w14:paraId="56C8F6D6" w14:textId="3739B0E6" w:rsidR="00350000" w:rsidRPr="00885FD7" w:rsidRDefault="00DA48A1" w:rsidP="00350000">
      <w:pPr>
        <w:pStyle w:val="BodyText"/>
        <w:numPr>
          <w:ilvl w:val="0"/>
          <w:numId w:val="17"/>
        </w:numPr>
        <w:spacing w:before="60" w:after="0"/>
        <w:ind w:left="714" w:hanging="357"/>
      </w:pPr>
      <w:r>
        <w:rPr>
          <w:rFonts w:ascii="Arial" w:eastAsia="Arial" w:hAnsi="Arial" w:cs="Arial"/>
          <w:color w:val="auto"/>
          <w:szCs w:val="22"/>
        </w:rPr>
        <w:t>p</w:t>
      </w:r>
      <w:r w:rsidR="00350000">
        <w:rPr>
          <w:rFonts w:ascii="Arial" w:eastAsia="Arial" w:hAnsi="Arial" w:cs="Arial"/>
          <w:color w:val="auto"/>
          <w:szCs w:val="22"/>
        </w:rPr>
        <w:t xml:space="preserve">rovided a detailed description of their proposed playgroup and/or toy library activities, displaying an understanding of all </w:t>
      </w:r>
      <w:r w:rsidR="00350000" w:rsidRPr="00533FC6">
        <w:rPr>
          <w:rFonts w:ascii="Arial" w:eastAsia="Arial" w:hAnsi="Arial" w:cs="Arial"/>
          <w:color w:val="auto"/>
          <w:szCs w:val="22"/>
        </w:rPr>
        <w:t>subcomponents</w:t>
      </w:r>
      <w:r w:rsidR="00350000">
        <w:rPr>
          <w:rFonts w:ascii="Arial" w:eastAsia="Arial" w:hAnsi="Arial" w:cs="Arial"/>
          <w:color w:val="auto"/>
          <w:szCs w:val="22"/>
        </w:rPr>
        <w:t xml:space="preserve"> under </w:t>
      </w:r>
      <w:r w:rsidR="0016672D">
        <w:rPr>
          <w:rFonts w:ascii="Arial" w:eastAsia="Arial" w:hAnsi="Arial" w:cs="Arial"/>
          <w:color w:val="auto"/>
          <w:szCs w:val="22"/>
        </w:rPr>
        <w:t>c</w:t>
      </w:r>
      <w:r w:rsidR="00350000">
        <w:rPr>
          <w:rFonts w:ascii="Arial" w:eastAsia="Arial" w:hAnsi="Arial" w:cs="Arial"/>
          <w:color w:val="auto"/>
          <w:szCs w:val="22"/>
        </w:rPr>
        <w:t xml:space="preserve">riterion </w:t>
      </w:r>
      <w:proofErr w:type="gramStart"/>
      <w:r w:rsidR="00350000">
        <w:rPr>
          <w:rFonts w:ascii="Arial" w:eastAsia="Arial" w:hAnsi="Arial" w:cs="Arial"/>
          <w:color w:val="auto"/>
          <w:szCs w:val="22"/>
        </w:rPr>
        <w:t>1</w:t>
      </w:r>
      <w:proofErr w:type="gramEnd"/>
    </w:p>
    <w:p w14:paraId="76B260F5" w14:textId="3B442AC4" w:rsidR="00350000" w:rsidRPr="00885FD7" w:rsidRDefault="00DA48A1" w:rsidP="00350000">
      <w:pPr>
        <w:pStyle w:val="BodyText"/>
        <w:numPr>
          <w:ilvl w:val="0"/>
          <w:numId w:val="17"/>
        </w:numPr>
        <w:spacing w:before="60" w:after="0"/>
        <w:ind w:left="714" w:hanging="357"/>
      </w:pPr>
      <w:r>
        <w:rPr>
          <w:rFonts w:ascii="Arial" w:eastAsia="Arial" w:hAnsi="Arial" w:cs="Arial"/>
          <w:color w:val="auto"/>
          <w:szCs w:val="22"/>
        </w:rPr>
        <w:t>e</w:t>
      </w:r>
      <w:r w:rsidR="00350000">
        <w:rPr>
          <w:rFonts w:ascii="Arial" w:eastAsia="Arial" w:hAnsi="Arial" w:cs="Arial"/>
          <w:color w:val="auto"/>
          <w:szCs w:val="22"/>
        </w:rPr>
        <w:t>xplained in detail how their activities would target priority groups and/or activities listed under Intended Outcomes Number 5.</w:t>
      </w:r>
    </w:p>
    <w:p w14:paraId="7C5E1D50" w14:textId="77777777" w:rsidR="00A72242" w:rsidRPr="00175236" w:rsidRDefault="00A72242" w:rsidP="00175236">
      <w:pPr>
        <w:pStyle w:val="Heading3"/>
        <w:spacing w:before="240"/>
        <w:rPr>
          <w:color w:val="C00000"/>
          <w:sz w:val="24"/>
          <w:szCs w:val="24"/>
        </w:rPr>
      </w:pPr>
      <w:r w:rsidRPr="00175236">
        <w:rPr>
          <w:color w:val="C00000"/>
          <w:sz w:val="24"/>
          <w:szCs w:val="24"/>
        </w:rPr>
        <w:t>Criterion 2</w:t>
      </w:r>
    </w:p>
    <w:p w14:paraId="727C6275" w14:textId="1705D6DD" w:rsidR="00E87CE6" w:rsidRPr="00E75A26" w:rsidRDefault="00E87CE6" w:rsidP="00596D8F">
      <w:pPr>
        <w:pStyle w:val="BodyText"/>
        <w:rPr>
          <w:b/>
          <w:bCs/>
        </w:rPr>
      </w:pPr>
      <w:r w:rsidRPr="00E75A26">
        <w:rPr>
          <w:b/>
          <w:bCs/>
          <w:w w:val="105"/>
        </w:rPr>
        <w:t>Demonstrate your organisation's capability to deliver the project.</w:t>
      </w:r>
    </w:p>
    <w:p w14:paraId="28DA1A51" w14:textId="5610959B" w:rsidR="00E87CE6" w:rsidRDefault="00E87CE6" w:rsidP="3F2E6BFE">
      <w:pPr>
        <w:pStyle w:val="BodyText"/>
        <w:spacing w:before="176"/>
        <w:rPr>
          <w:color w:val="030303"/>
        </w:rPr>
      </w:pPr>
      <w:r>
        <w:rPr>
          <w:color w:val="030303"/>
          <w:w w:val="105"/>
        </w:rPr>
        <w:t>When addressing the criterion a</w:t>
      </w:r>
      <w:r w:rsidR="3E037C43">
        <w:rPr>
          <w:color w:val="030303"/>
          <w:w w:val="105"/>
        </w:rPr>
        <w:t>pplica</w:t>
      </w:r>
      <w:r w:rsidR="00E75A26">
        <w:rPr>
          <w:color w:val="030303"/>
          <w:w w:val="105"/>
        </w:rPr>
        <w:t>nts</w:t>
      </w:r>
      <w:r>
        <w:rPr>
          <w:color w:val="030303"/>
          <w:w w:val="105"/>
        </w:rPr>
        <w:t>:</w:t>
      </w:r>
    </w:p>
    <w:p w14:paraId="23F8FA1B" w14:textId="5548336C" w:rsidR="00E87CE6" w:rsidRPr="00596D8F" w:rsidRDefault="00596D8F" w:rsidP="00596D8F">
      <w:pPr>
        <w:pStyle w:val="BodyText"/>
        <w:numPr>
          <w:ilvl w:val="0"/>
          <w:numId w:val="18"/>
        </w:numPr>
        <w:spacing w:before="60"/>
      </w:pPr>
      <w:r w:rsidRPr="00596D8F">
        <w:t>d</w:t>
      </w:r>
      <w:r w:rsidR="00E87CE6" w:rsidRPr="00596D8F">
        <w:t>emonstrated their organisation</w:t>
      </w:r>
      <w:r w:rsidR="00080262">
        <w:t xml:space="preserve"> had</w:t>
      </w:r>
      <w:r w:rsidR="00E87CE6" w:rsidRPr="00596D8F">
        <w:t xml:space="preserve"> </w:t>
      </w:r>
      <w:r w:rsidRPr="00596D8F">
        <w:t xml:space="preserve">existing </w:t>
      </w:r>
      <w:r w:rsidR="00E87CE6" w:rsidRPr="00596D8F">
        <w:t xml:space="preserve">skills/experience in delivering early childhood education and care (ECEC) </w:t>
      </w:r>
      <w:proofErr w:type="gramStart"/>
      <w:r w:rsidR="00E87CE6" w:rsidRPr="00596D8F">
        <w:t>activities</w:t>
      </w:r>
      <w:proofErr w:type="gramEnd"/>
    </w:p>
    <w:p w14:paraId="219FA451" w14:textId="1927626D" w:rsidR="00E87CE6" w:rsidRPr="00596D8F" w:rsidRDefault="00080262" w:rsidP="00596D8F">
      <w:pPr>
        <w:pStyle w:val="BodyText"/>
        <w:numPr>
          <w:ilvl w:val="0"/>
          <w:numId w:val="18"/>
        </w:numPr>
        <w:spacing w:before="60"/>
      </w:pPr>
      <w:r>
        <w:t>described</w:t>
      </w:r>
      <w:r w:rsidR="00596D8F" w:rsidRPr="00596D8F">
        <w:t xml:space="preserve"> their</w:t>
      </w:r>
      <w:r w:rsidR="00E87CE6" w:rsidRPr="00596D8F">
        <w:t xml:space="preserve"> </w:t>
      </w:r>
      <w:r w:rsidR="0016672D">
        <w:t xml:space="preserve">organisations </w:t>
      </w:r>
      <w:r w:rsidR="00E87CE6" w:rsidRPr="00596D8F">
        <w:t xml:space="preserve">previous experience in successfully delivering similar programs, or other services to </w:t>
      </w:r>
      <w:r>
        <w:t>the</w:t>
      </w:r>
      <w:r w:rsidR="00E87CE6" w:rsidRPr="00596D8F">
        <w:t xml:space="preserve"> community.</w:t>
      </w:r>
    </w:p>
    <w:p w14:paraId="0242BCA9" w14:textId="77777777" w:rsidR="00175236" w:rsidRPr="00175236" w:rsidRDefault="00175236" w:rsidP="00175236">
      <w:pPr>
        <w:pStyle w:val="BodyText"/>
        <w:spacing w:before="60"/>
      </w:pPr>
      <w:r w:rsidRPr="00175236">
        <w:t>Strong applications:</w:t>
      </w:r>
    </w:p>
    <w:p w14:paraId="4BEB38F3" w14:textId="17C9D23A" w:rsidR="00B568B3" w:rsidRPr="00B568B3" w:rsidRDefault="00E75A26" w:rsidP="00350000">
      <w:pPr>
        <w:pStyle w:val="BodyText"/>
        <w:numPr>
          <w:ilvl w:val="0"/>
          <w:numId w:val="17"/>
        </w:numPr>
        <w:spacing w:before="60" w:after="0"/>
        <w:ind w:left="714" w:hanging="357"/>
      </w:pPr>
      <w:r>
        <w:rPr>
          <w:rFonts w:ascii="Arial" w:eastAsia="Arial" w:hAnsi="Arial" w:cs="Arial"/>
          <w:color w:val="auto"/>
          <w:szCs w:val="22"/>
        </w:rPr>
        <w:t>p</w:t>
      </w:r>
      <w:r w:rsidR="00B568B3">
        <w:rPr>
          <w:rFonts w:ascii="Arial" w:eastAsia="Arial" w:hAnsi="Arial" w:cs="Arial"/>
          <w:color w:val="auto"/>
          <w:szCs w:val="22"/>
        </w:rPr>
        <w:t xml:space="preserve">rovided comprehensive detail regarding </w:t>
      </w:r>
      <w:r w:rsidR="00350000" w:rsidRPr="00533FC6">
        <w:rPr>
          <w:rFonts w:ascii="Arial" w:eastAsia="Arial" w:hAnsi="Arial" w:cs="Arial"/>
          <w:color w:val="auto"/>
          <w:szCs w:val="22"/>
        </w:rPr>
        <w:t>their organisation</w:t>
      </w:r>
      <w:r w:rsidR="00350000">
        <w:rPr>
          <w:rFonts w:ascii="Arial" w:eastAsia="Arial" w:hAnsi="Arial" w:cs="Arial"/>
          <w:color w:val="auto"/>
          <w:szCs w:val="22"/>
        </w:rPr>
        <w:t>s</w:t>
      </w:r>
      <w:r w:rsidR="00350000" w:rsidRPr="00533FC6">
        <w:t xml:space="preserve"> </w:t>
      </w:r>
      <w:r w:rsidR="00350000" w:rsidRPr="00533FC6">
        <w:rPr>
          <w:rFonts w:ascii="Arial" w:eastAsia="Arial" w:hAnsi="Arial" w:cs="Arial"/>
          <w:color w:val="auto"/>
          <w:szCs w:val="22"/>
        </w:rPr>
        <w:t xml:space="preserve">existing skills/experience in delivering early childhood education and care (ECEC) </w:t>
      </w:r>
      <w:proofErr w:type="gramStart"/>
      <w:r w:rsidR="00350000" w:rsidRPr="00533FC6">
        <w:rPr>
          <w:rFonts w:ascii="Arial" w:eastAsia="Arial" w:hAnsi="Arial" w:cs="Arial"/>
          <w:color w:val="auto"/>
          <w:szCs w:val="22"/>
        </w:rPr>
        <w:t>activities</w:t>
      </w:r>
      <w:proofErr w:type="gramEnd"/>
    </w:p>
    <w:p w14:paraId="4A721C3E" w14:textId="7EBF43DD" w:rsidR="00350000" w:rsidRPr="00885FD7" w:rsidRDefault="00E75A26" w:rsidP="00350000">
      <w:pPr>
        <w:pStyle w:val="BodyText"/>
        <w:numPr>
          <w:ilvl w:val="0"/>
          <w:numId w:val="17"/>
        </w:numPr>
        <w:spacing w:before="60" w:after="0"/>
        <w:ind w:left="714" w:hanging="357"/>
      </w:pPr>
      <w:r>
        <w:rPr>
          <w:rFonts w:ascii="Arial" w:eastAsia="Arial" w:hAnsi="Arial" w:cs="Arial"/>
          <w:color w:val="auto"/>
          <w:szCs w:val="22"/>
        </w:rPr>
        <w:t>p</w:t>
      </w:r>
      <w:r w:rsidR="00350000">
        <w:rPr>
          <w:rFonts w:ascii="Arial" w:eastAsia="Arial" w:hAnsi="Arial" w:cs="Arial"/>
          <w:color w:val="auto"/>
          <w:szCs w:val="22"/>
        </w:rPr>
        <w:t>rovide</w:t>
      </w:r>
      <w:r w:rsidR="00B568B3">
        <w:rPr>
          <w:rFonts w:ascii="Arial" w:eastAsia="Arial" w:hAnsi="Arial" w:cs="Arial"/>
          <w:color w:val="auto"/>
          <w:szCs w:val="22"/>
        </w:rPr>
        <w:t>d</w:t>
      </w:r>
      <w:r w:rsidR="00350000">
        <w:rPr>
          <w:rFonts w:ascii="Arial" w:eastAsia="Arial" w:hAnsi="Arial" w:cs="Arial"/>
          <w:color w:val="auto"/>
          <w:szCs w:val="22"/>
        </w:rPr>
        <w:t xml:space="preserve"> a comprehensive description of their organisations </w:t>
      </w:r>
      <w:r w:rsidR="00350000" w:rsidRPr="00E6764E">
        <w:rPr>
          <w:rFonts w:ascii="Arial" w:eastAsia="Arial" w:hAnsi="Arial" w:cs="Arial"/>
          <w:color w:val="auto"/>
          <w:szCs w:val="22"/>
        </w:rPr>
        <w:t>previous experience in successfully delivering similar programs, or other services to the</w:t>
      </w:r>
      <w:r w:rsidR="00B568B3">
        <w:rPr>
          <w:rFonts w:ascii="Arial" w:eastAsia="Arial" w:hAnsi="Arial" w:cs="Arial"/>
          <w:color w:val="auto"/>
          <w:szCs w:val="22"/>
        </w:rPr>
        <w:t>ir</w:t>
      </w:r>
      <w:r w:rsidR="00350000" w:rsidRPr="00E6764E">
        <w:rPr>
          <w:rFonts w:ascii="Arial" w:eastAsia="Arial" w:hAnsi="Arial" w:cs="Arial"/>
          <w:color w:val="auto"/>
          <w:szCs w:val="22"/>
        </w:rPr>
        <w:t xml:space="preserve"> community</w:t>
      </w:r>
      <w:r w:rsidR="00B568B3">
        <w:rPr>
          <w:rFonts w:ascii="Arial" w:eastAsia="Arial" w:hAnsi="Arial" w:cs="Arial"/>
          <w:color w:val="auto"/>
          <w:szCs w:val="22"/>
        </w:rPr>
        <w:t>.</w:t>
      </w:r>
    </w:p>
    <w:p w14:paraId="6E9FF7B8" w14:textId="77777777" w:rsidR="00E75A26" w:rsidRDefault="00E75A26">
      <w:pPr>
        <w:spacing w:line="240" w:lineRule="auto"/>
        <w:rPr>
          <w:rFonts w:asciiTheme="majorHAnsi" w:eastAsiaTheme="majorEastAsia" w:hAnsiTheme="majorHAnsi" w:cstheme="majorBidi"/>
          <w:b/>
          <w:bCs/>
          <w:color w:val="C00000"/>
          <w:sz w:val="24"/>
          <w:szCs w:val="24"/>
        </w:rPr>
      </w:pPr>
      <w:r>
        <w:rPr>
          <w:color w:val="C00000"/>
          <w:sz w:val="24"/>
          <w:szCs w:val="24"/>
        </w:rPr>
        <w:br w:type="page"/>
      </w:r>
    </w:p>
    <w:p w14:paraId="73ECA809" w14:textId="12E17707" w:rsidR="00596D8F" w:rsidRDefault="00A72242" w:rsidP="00596D8F">
      <w:pPr>
        <w:pStyle w:val="Heading3"/>
        <w:spacing w:before="240"/>
        <w:rPr>
          <w:color w:val="C00000"/>
          <w:sz w:val="24"/>
          <w:szCs w:val="24"/>
        </w:rPr>
      </w:pPr>
      <w:r w:rsidRPr="00175236">
        <w:rPr>
          <w:color w:val="C00000"/>
          <w:sz w:val="24"/>
          <w:szCs w:val="24"/>
        </w:rPr>
        <w:lastRenderedPageBreak/>
        <w:t>Criterion 3</w:t>
      </w:r>
    </w:p>
    <w:p w14:paraId="13D984CD" w14:textId="7CF6A33B" w:rsidR="00596D8F" w:rsidRPr="00E75A26" w:rsidRDefault="00596D8F" w:rsidP="00596D8F">
      <w:pPr>
        <w:pStyle w:val="BodyText"/>
        <w:rPr>
          <w:b/>
          <w:bCs/>
          <w:color w:val="C00000"/>
          <w:sz w:val="24"/>
          <w:szCs w:val="24"/>
        </w:rPr>
      </w:pPr>
      <w:r w:rsidRPr="00E75A26">
        <w:rPr>
          <w:b/>
          <w:bCs/>
          <w:w w:val="105"/>
        </w:rPr>
        <w:t>Describe</w:t>
      </w:r>
      <w:r w:rsidRPr="00E75A26">
        <w:rPr>
          <w:b/>
          <w:bCs/>
          <w:spacing w:val="-2"/>
          <w:w w:val="105"/>
        </w:rPr>
        <w:t xml:space="preserve"> </w:t>
      </w:r>
      <w:r w:rsidRPr="00E75A26">
        <w:rPr>
          <w:b/>
          <w:bCs/>
          <w:w w:val="105"/>
        </w:rPr>
        <w:t>how</w:t>
      </w:r>
      <w:r w:rsidRPr="00E75A26">
        <w:rPr>
          <w:b/>
          <w:bCs/>
          <w:spacing w:val="-6"/>
          <w:w w:val="105"/>
        </w:rPr>
        <w:t xml:space="preserve"> </w:t>
      </w:r>
      <w:r w:rsidRPr="00E75A26">
        <w:rPr>
          <w:b/>
          <w:bCs/>
          <w:w w:val="105"/>
        </w:rPr>
        <w:t>your</w:t>
      </w:r>
      <w:r w:rsidRPr="00E75A26">
        <w:rPr>
          <w:b/>
          <w:bCs/>
          <w:spacing w:val="-7"/>
          <w:w w:val="105"/>
        </w:rPr>
        <w:t xml:space="preserve"> </w:t>
      </w:r>
      <w:r w:rsidRPr="00E75A26">
        <w:rPr>
          <w:b/>
          <w:bCs/>
          <w:w w:val="105"/>
        </w:rPr>
        <w:t>organisation</w:t>
      </w:r>
      <w:r w:rsidRPr="00E75A26">
        <w:rPr>
          <w:b/>
          <w:bCs/>
          <w:spacing w:val="4"/>
          <w:w w:val="105"/>
        </w:rPr>
        <w:t xml:space="preserve"> </w:t>
      </w:r>
      <w:r w:rsidRPr="00E75A26">
        <w:rPr>
          <w:b/>
          <w:bCs/>
          <w:w w:val="105"/>
        </w:rPr>
        <w:t>could</w:t>
      </w:r>
      <w:r w:rsidRPr="00E75A26">
        <w:rPr>
          <w:b/>
          <w:bCs/>
          <w:spacing w:val="-5"/>
          <w:w w:val="105"/>
        </w:rPr>
        <w:t xml:space="preserve"> </w:t>
      </w:r>
      <w:r w:rsidRPr="00E75A26">
        <w:rPr>
          <w:b/>
          <w:bCs/>
          <w:w w:val="105"/>
        </w:rPr>
        <w:t>establish/utilise</w:t>
      </w:r>
      <w:r w:rsidRPr="00E75A26">
        <w:rPr>
          <w:b/>
          <w:bCs/>
          <w:spacing w:val="-23"/>
          <w:w w:val="105"/>
        </w:rPr>
        <w:t xml:space="preserve"> </w:t>
      </w:r>
      <w:r w:rsidRPr="00E75A26">
        <w:rPr>
          <w:b/>
          <w:bCs/>
          <w:w w:val="105"/>
        </w:rPr>
        <w:t>relationships with other organisations in your</w:t>
      </w:r>
      <w:r w:rsidRPr="00E75A26">
        <w:rPr>
          <w:b/>
          <w:bCs/>
          <w:spacing w:val="29"/>
          <w:w w:val="105"/>
        </w:rPr>
        <w:t xml:space="preserve"> </w:t>
      </w:r>
      <w:r w:rsidRPr="00E75A26">
        <w:rPr>
          <w:b/>
          <w:bCs/>
          <w:w w:val="105"/>
        </w:rPr>
        <w:t>community.</w:t>
      </w:r>
    </w:p>
    <w:p w14:paraId="1AC879BA" w14:textId="1CE10E57" w:rsidR="00596D8F" w:rsidRDefault="00596D8F" w:rsidP="00596D8F">
      <w:pPr>
        <w:pStyle w:val="BodyText"/>
        <w:spacing w:before="150"/>
      </w:pPr>
      <w:r>
        <w:rPr>
          <w:color w:val="030303"/>
          <w:w w:val="105"/>
        </w:rPr>
        <w:t>When addressing the criterion a</w:t>
      </w:r>
      <w:r w:rsidR="1A12D6CB">
        <w:rPr>
          <w:color w:val="030303"/>
          <w:w w:val="105"/>
        </w:rPr>
        <w:t>pplica</w:t>
      </w:r>
      <w:r w:rsidR="00E75A26">
        <w:rPr>
          <w:color w:val="030303"/>
          <w:w w:val="105"/>
        </w:rPr>
        <w:t>nts</w:t>
      </w:r>
      <w:r>
        <w:rPr>
          <w:color w:val="232323"/>
          <w:w w:val="105"/>
        </w:rPr>
        <w:t>:</w:t>
      </w:r>
    </w:p>
    <w:p w14:paraId="17F29277" w14:textId="4E0BB037" w:rsidR="00596D8F" w:rsidRPr="00596D8F" w:rsidRDefault="00596D8F" w:rsidP="00596D8F">
      <w:pPr>
        <w:pStyle w:val="BodyText"/>
        <w:numPr>
          <w:ilvl w:val="0"/>
          <w:numId w:val="18"/>
        </w:numPr>
        <w:spacing w:before="60"/>
      </w:pPr>
      <w:r w:rsidRPr="00596D8F">
        <w:t>demonstrated how their organisation could establish and/or utilise relationships with other local service providers to achieve enhanced outcomes for First Nations families and children.</w:t>
      </w:r>
    </w:p>
    <w:p w14:paraId="2D10E75F" w14:textId="77777777" w:rsidR="00175236" w:rsidRPr="00175236" w:rsidRDefault="00175236" w:rsidP="00175236">
      <w:pPr>
        <w:pStyle w:val="BodyText"/>
        <w:spacing w:before="60"/>
      </w:pPr>
      <w:r w:rsidRPr="00175236">
        <w:t>Strong applications:</w:t>
      </w:r>
    </w:p>
    <w:p w14:paraId="44DAF692" w14:textId="0A2AA066" w:rsidR="00350000" w:rsidRPr="00B568B3" w:rsidRDefault="00E75A26" w:rsidP="00350000">
      <w:pPr>
        <w:pStyle w:val="BodyText"/>
        <w:numPr>
          <w:ilvl w:val="0"/>
          <w:numId w:val="17"/>
        </w:numPr>
        <w:spacing w:before="60" w:after="0"/>
        <w:ind w:left="714" w:hanging="357"/>
      </w:pPr>
      <w:r>
        <w:rPr>
          <w:rFonts w:ascii="Arial" w:eastAsia="Arial" w:hAnsi="Arial" w:cs="Arial"/>
          <w:color w:val="auto"/>
          <w:szCs w:val="22"/>
        </w:rPr>
        <w:t>d</w:t>
      </w:r>
      <w:r w:rsidR="00350000">
        <w:rPr>
          <w:rFonts w:ascii="Arial" w:eastAsia="Arial" w:hAnsi="Arial" w:cs="Arial"/>
          <w:color w:val="auto"/>
          <w:szCs w:val="22"/>
        </w:rPr>
        <w:t>escribed a deep knowledge and understanding of the service environment their organisation operate</w:t>
      </w:r>
      <w:r>
        <w:rPr>
          <w:rFonts w:ascii="Arial" w:eastAsia="Arial" w:hAnsi="Arial" w:cs="Arial"/>
          <w:color w:val="auto"/>
          <w:szCs w:val="22"/>
        </w:rPr>
        <w:t>d</w:t>
      </w:r>
      <w:r w:rsidR="00350000">
        <w:rPr>
          <w:rFonts w:ascii="Arial" w:eastAsia="Arial" w:hAnsi="Arial" w:cs="Arial"/>
          <w:color w:val="auto"/>
          <w:szCs w:val="22"/>
        </w:rPr>
        <w:t xml:space="preserve"> in</w:t>
      </w:r>
      <w:r w:rsidR="00B568B3">
        <w:rPr>
          <w:rFonts w:ascii="Arial" w:eastAsia="Arial" w:hAnsi="Arial" w:cs="Arial"/>
          <w:color w:val="auto"/>
          <w:szCs w:val="22"/>
        </w:rPr>
        <w:t>, i</w:t>
      </w:r>
      <w:r w:rsidR="00350000">
        <w:rPr>
          <w:rFonts w:ascii="Arial" w:eastAsia="Arial" w:hAnsi="Arial" w:cs="Arial"/>
          <w:color w:val="auto"/>
          <w:szCs w:val="22"/>
        </w:rPr>
        <w:t xml:space="preserve">ncluding how the organisation </w:t>
      </w:r>
      <w:r>
        <w:rPr>
          <w:rFonts w:ascii="Arial" w:eastAsia="Arial" w:hAnsi="Arial" w:cs="Arial"/>
          <w:color w:val="auto"/>
          <w:szCs w:val="22"/>
        </w:rPr>
        <w:t>w</w:t>
      </w:r>
      <w:r w:rsidR="00350000">
        <w:rPr>
          <w:rFonts w:ascii="Arial" w:eastAsia="Arial" w:hAnsi="Arial" w:cs="Arial"/>
          <w:color w:val="auto"/>
          <w:szCs w:val="22"/>
        </w:rPr>
        <w:t xml:space="preserve">ould establish new relationships as well as enhancing current relationships within the </w:t>
      </w:r>
      <w:proofErr w:type="gramStart"/>
      <w:r w:rsidR="00350000">
        <w:rPr>
          <w:rFonts w:ascii="Arial" w:eastAsia="Arial" w:hAnsi="Arial" w:cs="Arial"/>
          <w:color w:val="auto"/>
          <w:szCs w:val="22"/>
        </w:rPr>
        <w:t>community</w:t>
      </w:r>
      <w:proofErr w:type="gramEnd"/>
    </w:p>
    <w:p w14:paraId="065476C7" w14:textId="20581710" w:rsidR="00B568B3" w:rsidRPr="00885FD7" w:rsidRDefault="00E75A26" w:rsidP="00350000">
      <w:pPr>
        <w:pStyle w:val="BodyText"/>
        <w:numPr>
          <w:ilvl w:val="0"/>
          <w:numId w:val="17"/>
        </w:numPr>
        <w:spacing w:before="60" w:after="0"/>
        <w:ind w:left="714" w:hanging="357"/>
      </w:pPr>
      <w:r>
        <w:t>p</w:t>
      </w:r>
      <w:r w:rsidR="00B568B3">
        <w:t xml:space="preserve">rovided specific details of organisations </w:t>
      </w:r>
      <w:r>
        <w:t>they were</w:t>
      </w:r>
      <w:r w:rsidR="00B568B3">
        <w:t xml:space="preserve"> currently working with and/or intend</w:t>
      </w:r>
      <w:r>
        <w:t>ed</w:t>
      </w:r>
      <w:r w:rsidR="00B568B3">
        <w:t xml:space="preserve"> to work with </w:t>
      </w:r>
      <w:proofErr w:type="gramStart"/>
      <w:r w:rsidR="00B568B3">
        <w:t>during the course of</w:t>
      </w:r>
      <w:proofErr w:type="gramEnd"/>
      <w:r w:rsidR="00B568B3">
        <w:t xml:space="preserve"> the grant activity.</w:t>
      </w:r>
    </w:p>
    <w:p w14:paraId="0A3D6B31" w14:textId="6DE959A8" w:rsidR="00A72242" w:rsidRPr="00175236" w:rsidRDefault="00A72242" w:rsidP="00175236">
      <w:pPr>
        <w:pStyle w:val="Heading2"/>
        <w:spacing w:before="240"/>
        <w:rPr>
          <w:b w:val="0"/>
          <w:color w:val="C00000"/>
          <w:sz w:val="36"/>
          <w:szCs w:val="36"/>
        </w:rPr>
      </w:pPr>
      <w:r w:rsidRPr="00175236">
        <w:rPr>
          <w:b w:val="0"/>
          <w:color w:val="C00000"/>
          <w:sz w:val="36"/>
          <w:szCs w:val="36"/>
        </w:rPr>
        <w:t xml:space="preserve">Individual feedback </w:t>
      </w:r>
    </w:p>
    <w:p w14:paraId="210E84EB" w14:textId="6E798884" w:rsidR="00A72242" w:rsidRPr="00DC7252" w:rsidRDefault="000E5175" w:rsidP="00DC7252">
      <w:pPr>
        <w:pStyle w:val="BodyText"/>
        <w:rPr>
          <w:color w:val="auto"/>
        </w:rPr>
      </w:pPr>
      <w:r w:rsidRPr="000E5175">
        <w:rPr>
          <w:color w:val="auto"/>
        </w:rPr>
        <w:t>Individual feedback will not be provided for this grant opportunity</w:t>
      </w:r>
      <w:r>
        <w:rPr>
          <w:color w:val="auto"/>
        </w:rPr>
        <w:t>.</w:t>
      </w:r>
    </w:p>
    <w:sectPr w:rsidR="00A72242" w:rsidRPr="00DC7252" w:rsidSect="002B41A2">
      <w:headerReference w:type="default" r:id="rId11"/>
      <w:footerReference w:type="default" r:id="rId12"/>
      <w:headerReference w:type="first" r:id="rId13"/>
      <w:footerReference w:type="first" r:id="rId14"/>
      <w:pgSz w:w="11906" w:h="16838" w:code="9"/>
      <w:pgMar w:top="1247" w:right="1134" w:bottom="851" w:left="1134" w:header="57" w:footer="284"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A90CD" w14:textId="77777777" w:rsidR="009E57C7" w:rsidRDefault="009E57C7" w:rsidP="00772718">
      <w:pPr>
        <w:spacing w:line="240" w:lineRule="auto"/>
      </w:pPr>
      <w:r>
        <w:separator/>
      </w:r>
    </w:p>
  </w:endnote>
  <w:endnote w:type="continuationSeparator" w:id="0">
    <w:p w14:paraId="3CAECABB" w14:textId="77777777" w:rsidR="009E57C7" w:rsidRDefault="009E57C7"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CDBEE" w14:textId="67F6B1F6" w:rsidR="00A14495" w:rsidRDefault="00E13525">
    <w:pPr>
      <w:pStyle w:val="Footer"/>
    </w:pPr>
    <w:r>
      <w:fldChar w:fldCharType="begin"/>
    </w:r>
    <w:r>
      <w:instrText xml:space="preserve"> PAGE   \* MERGEFORMAT </w:instrText>
    </w:r>
    <w:r>
      <w:fldChar w:fldCharType="separate"/>
    </w:r>
    <w:r w:rsidR="00E43182">
      <w:rPr>
        <w:noProof/>
      </w:rPr>
      <w:t>4</w:t>
    </w:r>
    <w:r>
      <w:fldChar w:fldCharType="end"/>
    </w:r>
    <w:r>
      <w:t xml:space="preserve"> </w:t>
    </w:r>
    <w:r w:rsidR="00D06EAD">
      <w:t xml:space="preserve">| </w:t>
    </w:r>
    <w:r w:rsidRPr="00A454BF">
      <w:t>Community Grants Hub</w:t>
    </w:r>
    <w:r w:rsidR="00F60E81">
      <w:tab/>
    </w:r>
    <w:r w:rsidR="00F60E81">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145BB" w14:textId="7E1629E4" w:rsidR="00D91B18" w:rsidRDefault="00D91B18">
    <w:pPr>
      <w:pStyle w:val="Footer"/>
    </w:pPr>
    <w:r>
      <w:fldChar w:fldCharType="begin"/>
    </w:r>
    <w:r>
      <w:instrText xml:space="preserve"> PAGE   \* MERGEFORMAT </w:instrText>
    </w:r>
    <w:r>
      <w:fldChar w:fldCharType="separate"/>
    </w:r>
    <w:r w:rsidR="00E43182">
      <w:rPr>
        <w:noProof/>
      </w:rPr>
      <w:t>1</w:t>
    </w:r>
    <w:r>
      <w:fldChar w:fldCharType="end"/>
    </w:r>
    <w:r>
      <w:t xml:space="preserve"> </w:t>
    </w:r>
    <w:r w:rsidR="00D06EAD">
      <w:t xml:space="preserve">| </w:t>
    </w:r>
    <w:r w:rsidRPr="00A454BF">
      <w:t>Community Grants Hub</w:t>
    </w:r>
    <w:r w:rsidR="00FC1C24">
      <w:tab/>
    </w:r>
    <w:r w:rsidR="00FC1C2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E149A" w14:textId="77777777" w:rsidR="009E57C7" w:rsidRDefault="009E57C7" w:rsidP="00772718">
      <w:pPr>
        <w:spacing w:line="240" w:lineRule="auto"/>
      </w:pPr>
      <w:r>
        <w:separator/>
      </w:r>
    </w:p>
  </w:footnote>
  <w:footnote w:type="continuationSeparator" w:id="0">
    <w:p w14:paraId="5C9730C2" w14:textId="77777777" w:rsidR="009E57C7" w:rsidRDefault="009E57C7" w:rsidP="00772718">
      <w:pPr>
        <w:spacing w:line="240" w:lineRule="auto"/>
      </w:pPr>
      <w:r>
        <w:continuationSeparator/>
      </w:r>
    </w:p>
  </w:footnote>
  <w:footnote w:id="1">
    <w:p w14:paraId="7A5AF2B2" w14:textId="3492CF03" w:rsidR="00DC7252" w:rsidRDefault="00DC7252">
      <w:pPr>
        <w:pStyle w:val="FootnoteText"/>
      </w:pPr>
      <w:r>
        <w:rPr>
          <w:rStyle w:val="FootnoteReference"/>
        </w:rPr>
        <w:footnoteRef/>
      </w:r>
      <w:r>
        <w:t xml:space="preserve"> </w:t>
      </w:r>
      <w:r w:rsidRPr="00DC7252">
        <w:t>https://www.closingthegap.gov.au/national-agreement/targets</w:t>
      </w:r>
    </w:p>
  </w:footnote>
  <w:footnote w:id="2">
    <w:p w14:paraId="4397F531" w14:textId="1BB12787" w:rsidR="00DC7252" w:rsidRDefault="00DC7252">
      <w:pPr>
        <w:pStyle w:val="FootnoteText"/>
      </w:pPr>
      <w:r>
        <w:rPr>
          <w:rStyle w:val="FootnoteReference"/>
        </w:rPr>
        <w:footnoteRef/>
      </w:r>
      <w:r>
        <w:t xml:space="preserve"> </w:t>
      </w:r>
      <w:r w:rsidRPr="00DC7252">
        <w:t>https://www.closingthegap.gov.au/national-agreement/priority-reforms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D57E7" w14:textId="47BCA105" w:rsidR="00A14495" w:rsidRDefault="00244B48">
    <w:pPr>
      <w:pStyle w:val="Header"/>
    </w:pPr>
    <w:r>
      <w:rPr>
        <w:noProof/>
        <w:lang w:eastAsia="en-AU"/>
      </w:rPr>
      <w:drawing>
        <wp:inline distT="0" distB="0" distL="0" distR="0" wp14:anchorId="01A1B0B4" wp14:editId="2A7A268B">
          <wp:extent cx="6039485" cy="647700"/>
          <wp:effectExtent l="0" t="0" r="0" b="0"/>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6039485" cy="6477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E419C" w14:textId="325E0117" w:rsidR="00D91B18" w:rsidRDefault="009A6241">
    <w:pPr>
      <w:pStyle w:val="Header"/>
    </w:pPr>
    <w:r>
      <w:rPr>
        <w:noProof/>
        <w:lang w:eastAsia="en-AU"/>
      </w:rPr>
      <w:drawing>
        <wp:inline distT="0" distB="0" distL="0" distR="0" wp14:anchorId="6845920D" wp14:editId="45DBD4D0">
          <wp:extent cx="5833210" cy="972000"/>
          <wp:effectExtent l="0" t="0" r="0" b="0"/>
          <wp:docPr id="76" name="Picture 76"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Hub one picture for letter head.JPG"/>
                  <pic:cNvPicPr/>
                </pic:nvPicPr>
                <pic:blipFill>
                  <a:blip r:embed="rId1">
                    <a:extLst>
                      <a:ext uri="{28A0092B-C50C-407E-A947-70E740481C1C}">
                        <a14:useLocalDpi xmlns:a14="http://schemas.microsoft.com/office/drawing/2010/main" val="0"/>
                      </a:ext>
                    </a:extLst>
                  </a:blip>
                  <a:stretch>
                    <a:fillRect/>
                  </a:stretch>
                </pic:blipFill>
                <pic:spPr>
                  <a:xfrm>
                    <a:off x="0" y="0"/>
                    <a:ext cx="5833210" cy="972000"/>
                  </a:xfrm>
                  <a:prstGeom prst="rect">
                    <a:avLst/>
                  </a:prstGeom>
                </pic:spPr>
              </pic:pic>
            </a:graphicData>
          </a:graphic>
        </wp:inline>
      </w:drawing>
    </w:r>
    <w:r w:rsidR="00D91B18">
      <w:rPr>
        <w:noProof/>
        <w:lang w:eastAsia="en-AU"/>
      </w:rPr>
      <mc:AlternateContent>
        <mc:Choice Requires="wps">
          <w:drawing>
            <wp:inline distT="0" distB="0" distL="0" distR="0" wp14:anchorId="00E26458" wp14:editId="2A18476D">
              <wp:extent cx="6119495" cy="0"/>
              <wp:effectExtent l="0" t="0" r="33655" b="19050"/>
              <wp:docPr id="1" name="Straight Connector 1" descr="Line&#10;"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14="http://schemas.microsoft.com/office/drawing/2010/main" xmlns:pic="http://schemas.openxmlformats.org/drawingml/2006/picture" xmlns:a="http://schemas.openxmlformats.org/drawingml/2006/main">
          <w:pict w14:anchorId="53BBEA80">
            <v:line id="Straight Connector 1" style="visibility:visible;mso-wrap-style:square;mso-left-percent:-10001;mso-top-percent:-10001;mso-position-horizontal:absolute;mso-position-horizontal-relative:char;mso-position-vertical:absolute;mso-position-vertical-relative:line;mso-left-percent:-10001;mso-top-percent:-10001" alt="Title: Graphic Element - Description: Line&#10;" o:spid="_x0000_s1026" strokecolor="black [3213]" strokeweight=".5pt" from="0,0" to="481.85pt,0" w14:anchorId="0114B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">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A90312F"/>
    <w:multiLevelType w:val="hybridMultilevel"/>
    <w:tmpl w:val="1FCEA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7" w15:restartNumberingAfterBreak="0">
    <w:nsid w:val="2A2A39AF"/>
    <w:multiLevelType w:val="hybridMultilevel"/>
    <w:tmpl w:val="21A29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DF11F1"/>
    <w:multiLevelType w:val="hybridMultilevel"/>
    <w:tmpl w:val="E1CCE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1"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47E31D66"/>
    <w:multiLevelType w:val="hybridMultilevel"/>
    <w:tmpl w:val="04545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9016320"/>
    <w:multiLevelType w:val="hybridMultilevel"/>
    <w:tmpl w:val="03369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56E2597C"/>
    <w:multiLevelType w:val="hybridMultilevel"/>
    <w:tmpl w:val="92D09E0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A3A3B13"/>
    <w:multiLevelType w:val="hybridMultilevel"/>
    <w:tmpl w:val="FFDA0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6D1336A7"/>
    <w:multiLevelType w:val="hybridMultilevel"/>
    <w:tmpl w:val="E40E9456"/>
    <w:lvl w:ilvl="0" w:tplc="280CD4B2">
      <w:numFmt w:val="bullet"/>
      <w:lvlText w:val="■"/>
      <w:lvlJc w:val="left"/>
      <w:pPr>
        <w:ind w:left="1837" w:hanging="420"/>
      </w:pPr>
      <w:rPr>
        <w:rFonts w:hint="default"/>
        <w:w w:val="102"/>
      </w:rPr>
    </w:lvl>
    <w:lvl w:ilvl="1" w:tplc="57F83752">
      <w:numFmt w:val="bullet"/>
      <w:lvlText w:val="•"/>
      <w:lvlJc w:val="left"/>
      <w:pPr>
        <w:ind w:left="2547" w:hanging="420"/>
      </w:pPr>
      <w:rPr>
        <w:rFonts w:hint="default"/>
      </w:rPr>
    </w:lvl>
    <w:lvl w:ilvl="2" w:tplc="BB30927C">
      <w:numFmt w:val="bullet"/>
      <w:lvlText w:val="•"/>
      <w:lvlJc w:val="left"/>
      <w:pPr>
        <w:ind w:left="3561" w:hanging="420"/>
      </w:pPr>
      <w:rPr>
        <w:rFonts w:hint="default"/>
      </w:rPr>
    </w:lvl>
    <w:lvl w:ilvl="3" w:tplc="3AA2AD16">
      <w:numFmt w:val="bullet"/>
      <w:lvlText w:val="•"/>
      <w:lvlJc w:val="left"/>
      <w:pPr>
        <w:ind w:left="4575" w:hanging="420"/>
      </w:pPr>
      <w:rPr>
        <w:rFonts w:hint="default"/>
      </w:rPr>
    </w:lvl>
    <w:lvl w:ilvl="4" w:tplc="A84028D6">
      <w:numFmt w:val="bullet"/>
      <w:lvlText w:val="•"/>
      <w:lvlJc w:val="left"/>
      <w:pPr>
        <w:ind w:left="5589" w:hanging="420"/>
      </w:pPr>
      <w:rPr>
        <w:rFonts w:hint="default"/>
      </w:rPr>
    </w:lvl>
    <w:lvl w:ilvl="5" w:tplc="E73EC9A2">
      <w:numFmt w:val="bullet"/>
      <w:lvlText w:val="•"/>
      <w:lvlJc w:val="left"/>
      <w:pPr>
        <w:ind w:left="6603" w:hanging="420"/>
      </w:pPr>
      <w:rPr>
        <w:rFonts w:hint="default"/>
      </w:rPr>
    </w:lvl>
    <w:lvl w:ilvl="6" w:tplc="ECBEC5F2">
      <w:numFmt w:val="bullet"/>
      <w:lvlText w:val="•"/>
      <w:lvlJc w:val="left"/>
      <w:pPr>
        <w:ind w:left="7617" w:hanging="420"/>
      </w:pPr>
      <w:rPr>
        <w:rFonts w:hint="default"/>
      </w:rPr>
    </w:lvl>
    <w:lvl w:ilvl="7" w:tplc="531CD5EE">
      <w:numFmt w:val="bullet"/>
      <w:lvlText w:val="•"/>
      <w:lvlJc w:val="left"/>
      <w:pPr>
        <w:ind w:left="8631" w:hanging="420"/>
      </w:pPr>
      <w:rPr>
        <w:rFonts w:hint="default"/>
      </w:rPr>
    </w:lvl>
    <w:lvl w:ilvl="8" w:tplc="913C30FC">
      <w:numFmt w:val="bullet"/>
      <w:lvlText w:val="•"/>
      <w:lvlJc w:val="left"/>
      <w:pPr>
        <w:ind w:left="9645" w:hanging="420"/>
      </w:pPr>
      <w:rPr>
        <w:rFonts w:hint="default"/>
      </w:rPr>
    </w:lvl>
  </w:abstractNum>
  <w:abstractNum w:abstractNumId="19"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20"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CD72008"/>
    <w:multiLevelType w:val="hybridMultilevel"/>
    <w:tmpl w:val="5CB64436"/>
    <w:lvl w:ilvl="0" w:tplc="0C090001">
      <w:start w:val="1"/>
      <w:numFmt w:val="bullet"/>
      <w:lvlText w:val=""/>
      <w:lvlJc w:val="left"/>
      <w:pPr>
        <w:ind w:left="720" w:hanging="360"/>
      </w:pPr>
      <w:rPr>
        <w:rFonts w:ascii="Symbol" w:hAnsi="Symbol" w:hint="default"/>
      </w:rPr>
    </w:lvl>
    <w:lvl w:ilvl="1" w:tplc="34122642">
      <w:start w:val="1"/>
      <w:numFmt w:val="bullet"/>
      <w:lvlText w:val=""/>
      <w:lvlJc w:val="left"/>
      <w:pPr>
        <w:ind w:left="1069" w:hanging="360"/>
      </w:pPr>
      <w:rPr>
        <w:rFonts w:ascii="Symbol" w:hAnsi="Symbol" w:hint="default"/>
      </w:rPr>
    </w:lvl>
    <w:lvl w:ilvl="2" w:tplc="3DC2A322">
      <w:start w:val="1"/>
      <w:numFmt w:val="lowerRoman"/>
      <w:lvlText w:val="%3."/>
      <w:lvlJc w:val="left"/>
      <w:pPr>
        <w:ind w:left="1353" w:hanging="360"/>
      </w:pPr>
      <w:rPr>
        <w:rFonts w:asciiTheme="minorHAnsi" w:eastAsiaTheme="minorHAnsi" w:hAnsiTheme="minorHAnsi" w:cs="Times New Roman"/>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13991893">
    <w:abstractNumId w:val="0"/>
  </w:num>
  <w:num w:numId="2" w16cid:durableId="1963490406">
    <w:abstractNumId w:val="19"/>
  </w:num>
  <w:num w:numId="3" w16cid:durableId="308554380">
    <w:abstractNumId w:val="4"/>
  </w:num>
  <w:num w:numId="4" w16cid:durableId="164129869">
    <w:abstractNumId w:val="11"/>
  </w:num>
  <w:num w:numId="5" w16cid:durableId="1559899794">
    <w:abstractNumId w:val="10"/>
  </w:num>
  <w:num w:numId="6" w16cid:durableId="110319887">
    <w:abstractNumId w:val="8"/>
  </w:num>
  <w:num w:numId="7" w16cid:durableId="1829249867">
    <w:abstractNumId w:val="5"/>
  </w:num>
  <w:num w:numId="8" w16cid:durableId="1572736015">
    <w:abstractNumId w:val="17"/>
  </w:num>
  <w:num w:numId="9" w16cid:durableId="2080202887">
    <w:abstractNumId w:val="14"/>
  </w:num>
  <w:num w:numId="10" w16cid:durableId="551238210">
    <w:abstractNumId w:val="1"/>
  </w:num>
  <w:num w:numId="11" w16cid:durableId="1519738678">
    <w:abstractNumId w:val="6"/>
  </w:num>
  <w:num w:numId="12" w16cid:durableId="29650812">
    <w:abstractNumId w:val="1"/>
  </w:num>
  <w:num w:numId="13" w16cid:durableId="329142372">
    <w:abstractNumId w:val="20"/>
  </w:num>
  <w:num w:numId="14" w16cid:durableId="1809128244">
    <w:abstractNumId w:val="7"/>
  </w:num>
  <w:num w:numId="15" w16cid:durableId="169950055">
    <w:abstractNumId w:val="2"/>
  </w:num>
  <w:num w:numId="16" w16cid:durableId="154272970">
    <w:abstractNumId w:val="16"/>
  </w:num>
  <w:num w:numId="17" w16cid:durableId="1376194646">
    <w:abstractNumId w:val="13"/>
  </w:num>
  <w:num w:numId="18" w16cid:durableId="1025255245">
    <w:abstractNumId w:val="21"/>
  </w:num>
  <w:num w:numId="19" w16cid:durableId="529102190">
    <w:abstractNumId w:val="18"/>
  </w:num>
  <w:num w:numId="20" w16cid:durableId="1142817635">
    <w:abstractNumId w:val="3"/>
  </w:num>
  <w:num w:numId="21" w16cid:durableId="687953250">
    <w:abstractNumId w:val="15"/>
  </w:num>
  <w:num w:numId="22" w16cid:durableId="571617881">
    <w:abstractNumId w:val="9"/>
  </w:num>
  <w:num w:numId="23" w16cid:durableId="11080872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004"/>
    <w:rsid w:val="00000555"/>
    <w:rsid w:val="00000A51"/>
    <w:rsid w:val="00004A79"/>
    <w:rsid w:val="00005D00"/>
    <w:rsid w:val="00007DE9"/>
    <w:rsid w:val="00015AE4"/>
    <w:rsid w:val="00025082"/>
    <w:rsid w:val="0003018E"/>
    <w:rsid w:val="00030C4C"/>
    <w:rsid w:val="00033BC3"/>
    <w:rsid w:val="00044E09"/>
    <w:rsid w:val="000455E3"/>
    <w:rsid w:val="0004784D"/>
    <w:rsid w:val="000535A3"/>
    <w:rsid w:val="00053A00"/>
    <w:rsid w:val="00053DC5"/>
    <w:rsid w:val="000551F5"/>
    <w:rsid w:val="000769DF"/>
    <w:rsid w:val="00080262"/>
    <w:rsid w:val="000A57BC"/>
    <w:rsid w:val="000B6C00"/>
    <w:rsid w:val="000C1F06"/>
    <w:rsid w:val="000D189F"/>
    <w:rsid w:val="000E1D61"/>
    <w:rsid w:val="000E5175"/>
    <w:rsid w:val="000F1DD1"/>
    <w:rsid w:val="000F28B8"/>
    <w:rsid w:val="000F3766"/>
    <w:rsid w:val="00100880"/>
    <w:rsid w:val="00101F8D"/>
    <w:rsid w:val="00102556"/>
    <w:rsid w:val="00106FC4"/>
    <w:rsid w:val="00110E81"/>
    <w:rsid w:val="00111F0C"/>
    <w:rsid w:val="00120B80"/>
    <w:rsid w:val="00121529"/>
    <w:rsid w:val="00145E2D"/>
    <w:rsid w:val="00154C65"/>
    <w:rsid w:val="00155C5E"/>
    <w:rsid w:val="0016612C"/>
    <w:rsid w:val="0016672D"/>
    <w:rsid w:val="00175236"/>
    <w:rsid w:val="001763D4"/>
    <w:rsid w:val="00176FB0"/>
    <w:rsid w:val="00181433"/>
    <w:rsid w:val="001834DD"/>
    <w:rsid w:val="00191BCF"/>
    <w:rsid w:val="00197308"/>
    <w:rsid w:val="001C53CE"/>
    <w:rsid w:val="001C5D96"/>
    <w:rsid w:val="001C7E58"/>
    <w:rsid w:val="001D341B"/>
    <w:rsid w:val="001E3D2B"/>
    <w:rsid w:val="001E5415"/>
    <w:rsid w:val="001E66CE"/>
    <w:rsid w:val="001F6BE5"/>
    <w:rsid w:val="001F7605"/>
    <w:rsid w:val="00221DC2"/>
    <w:rsid w:val="0022200F"/>
    <w:rsid w:val="002277D8"/>
    <w:rsid w:val="00230D18"/>
    <w:rsid w:val="00243004"/>
    <w:rsid w:val="00244B48"/>
    <w:rsid w:val="00256CDA"/>
    <w:rsid w:val="002573D5"/>
    <w:rsid w:val="002600F2"/>
    <w:rsid w:val="00264E26"/>
    <w:rsid w:val="00280E74"/>
    <w:rsid w:val="00282BDC"/>
    <w:rsid w:val="00283F6E"/>
    <w:rsid w:val="00284E4B"/>
    <w:rsid w:val="002A41E1"/>
    <w:rsid w:val="002B41A2"/>
    <w:rsid w:val="002B6574"/>
    <w:rsid w:val="002D3419"/>
    <w:rsid w:val="002D4D48"/>
    <w:rsid w:val="002E0AA1"/>
    <w:rsid w:val="002E1CCC"/>
    <w:rsid w:val="002E21D2"/>
    <w:rsid w:val="002F7D3C"/>
    <w:rsid w:val="00302D5E"/>
    <w:rsid w:val="00305720"/>
    <w:rsid w:val="0031098A"/>
    <w:rsid w:val="003131AB"/>
    <w:rsid w:val="003217BE"/>
    <w:rsid w:val="0034044F"/>
    <w:rsid w:val="0034198E"/>
    <w:rsid w:val="00350000"/>
    <w:rsid w:val="00352EE6"/>
    <w:rsid w:val="00355FF2"/>
    <w:rsid w:val="0035639D"/>
    <w:rsid w:val="00375149"/>
    <w:rsid w:val="00376001"/>
    <w:rsid w:val="003A17CA"/>
    <w:rsid w:val="003B5410"/>
    <w:rsid w:val="003D0647"/>
    <w:rsid w:val="003D1265"/>
    <w:rsid w:val="003D255E"/>
    <w:rsid w:val="003D3B1D"/>
    <w:rsid w:val="003D4B2C"/>
    <w:rsid w:val="003D5DBE"/>
    <w:rsid w:val="003E01D1"/>
    <w:rsid w:val="00404841"/>
    <w:rsid w:val="00410238"/>
    <w:rsid w:val="00412059"/>
    <w:rsid w:val="00422E02"/>
    <w:rsid w:val="00425633"/>
    <w:rsid w:val="0043142E"/>
    <w:rsid w:val="00441E79"/>
    <w:rsid w:val="00444032"/>
    <w:rsid w:val="0044643A"/>
    <w:rsid w:val="00450486"/>
    <w:rsid w:val="00454EB4"/>
    <w:rsid w:val="00461BE1"/>
    <w:rsid w:val="00464243"/>
    <w:rsid w:val="004709E9"/>
    <w:rsid w:val="00472379"/>
    <w:rsid w:val="00483A58"/>
    <w:rsid w:val="00490618"/>
    <w:rsid w:val="004A079A"/>
    <w:rsid w:val="004A7A42"/>
    <w:rsid w:val="004B203A"/>
    <w:rsid w:val="004B4B93"/>
    <w:rsid w:val="004B5F40"/>
    <w:rsid w:val="004C7D16"/>
    <w:rsid w:val="004D0860"/>
    <w:rsid w:val="004D700E"/>
    <w:rsid w:val="004D7F17"/>
    <w:rsid w:val="004E0670"/>
    <w:rsid w:val="004E7F37"/>
    <w:rsid w:val="004F203C"/>
    <w:rsid w:val="004F31BA"/>
    <w:rsid w:val="005116E1"/>
    <w:rsid w:val="005118E4"/>
    <w:rsid w:val="0051299F"/>
    <w:rsid w:val="00514CE8"/>
    <w:rsid w:val="00517BA3"/>
    <w:rsid w:val="0052075D"/>
    <w:rsid w:val="00526B85"/>
    <w:rsid w:val="005306A1"/>
    <w:rsid w:val="00544751"/>
    <w:rsid w:val="00545F59"/>
    <w:rsid w:val="00553A84"/>
    <w:rsid w:val="005621AB"/>
    <w:rsid w:val="00563F88"/>
    <w:rsid w:val="00571E8B"/>
    <w:rsid w:val="0059000C"/>
    <w:rsid w:val="005948DB"/>
    <w:rsid w:val="00596D8F"/>
    <w:rsid w:val="005A02A1"/>
    <w:rsid w:val="005B1528"/>
    <w:rsid w:val="005B6071"/>
    <w:rsid w:val="005C120F"/>
    <w:rsid w:val="005D5DFD"/>
    <w:rsid w:val="005D7A24"/>
    <w:rsid w:val="005E1395"/>
    <w:rsid w:val="00616EBA"/>
    <w:rsid w:val="00620574"/>
    <w:rsid w:val="00622B47"/>
    <w:rsid w:val="00632C08"/>
    <w:rsid w:val="006361F3"/>
    <w:rsid w:val="00654C42"/>
    <w:rsid w:val="006572E9"/>
    <w:rsid w:val="00670592"/>
    <w:rsid w:val="0067074A"/>
    <w:rsid w:val="00672994"/>
    <w:rsid w:val="006807C9"/>
    <w:rsid w:val="00684326"/>
    <w:rsid w:val="00692EFD"/>
    <w:rsid w:val="00694FDB"/>
    <w:rsid w:val="006A0AB1"/>
    <w:rsid w:val="006A13AC"/>
    <w:rsid w:val="006A2187"/>
    <w:rsid w:val="006C15C5"/>
    <w:rsid w:val="006D3DAD"/>
    <w:rsid w:val="006D4A4B"/>
    <w:rsid w:val="006E1C6A"/>
    <w:rsid w:val="006E476C"/>
    <w:rsid w:val="006E7688"/>
    <w:rsid w:val="006F6096"/>
    <w:rsid w:val="006F7B19"/>
    <w:rsid w:val="0070036D"/>
    <w:rsid w:val="00707E21"/>
    <w:rsid w:val="00716D7B"/>
    <w:rsid w:val="00724222"/>
    <w:rsid w:val="00736A76"/>
    <w:rsid w:val="007405CC"/>
    <w:rsid w:val="00752C6B"/>
    <w:rsid w:val="00760CE6"/>
    <w:rsid w:val="00762F09"/>
    <w:rsid w:val="00764938"/>
    <w:rsid w:val="007719C9"/>
    <w:rsid w:val="00772718"/>
    <w:rsid w:val="00791FFD"/>
    <w:rsid w:val="007A3384"/>
    <w:rsid w:val="007A57C4"/>
    <w:rsid w:val="007D30A8"/>
    <w:rsid w:val="007D4969"/>
    <w:rsid w:val="007E24C8"/>
    <w:rsid w:val="007F00B8"/>
    <w:rsid w:val="007F6391"/>
    <w:rsid w:val="008006B6"/>
    <w:rsid w:val="00814FB1"/>
    <w:rsid w:val="0081572F"/>
    <w:rsid w:val="00816932"/>
    <w:rsid w:val="00820984"/>
    <w:rsid w:val="00820F20"/>
    <w:rsid w:val="0082528A"/>
    <w:rsid w:val="00825754"/>
    <w:rsid w:val="00833758"/>
    <w:rsid w:val="00835210"/>
    <w:rsid w:val="0084413D"/>
    <w:rsid w:val="00844C2D"/>
    <w:rsid w:val="00845DAA"/>
    <w:rsid w:val="00851FDD"/>
    <w:rsid w:val="00854ACD"/>
    <w:rsid w:val="0087438E"/>
    <w:rsid w:val="00884668"/>
    <w:rsid w:val="00885FD7"/>
    <w:rsid w:val="00887388"/>
    <w:rsid w:val="00895EB9"/>
    <w:rsid w:val="008B0E91"/>
    <w:rsid w:val="008B2B46"/>
    <w:rsid w:val="008D31D1"/>
    <w:rsid w:val="008E05BC"/>
    <w:rsid w:val="008F17B8"/>
    <w:rsid w:val="008F3CCF"/>
    <w:rsid w:val="00901750"/>
    <w:rsid w:val="00901A61"/>
    <w:rsid w:val="00903A60"/>
    <w:rsid w:val="00921840"/>
    <w:rsid w:val="0092600A"/>
    <w:rsid w:val="00932C87"/>
    <w:rsid w:val="009331B4"/>
    <w:rsid w:val="009345F1"/>
    <w:rsid w:val="00944BBB"/>
    <w:rsid w:val="00945DF5"/>
    <w:rsid w:val="00946440"/>
    <w:rsid w:val="0095141C"/>
    <w:rsid w:val="009547B6"/>
    <w:rsid w:val="00961072"/>
    <w:rsid w:val="0096623C"/>
    <w:rsid w:val="0097029A"/>
    <w:rsid w:val="00980BE5"/>
    <w:rsid w:val="00981F36"/>
    <w:rsid w:val="009A2F51"/>
    <w:rsid w:val="009A34F3"/>
    <w:rsid w:val="009A6241"/>
    <w:rsid w:val="009B1343"/>
    <w:rsid w:val="009B6C1C"/>
    <w:rsid w:val="009C37F3"/>
    <w:rsid w:val="009C6C53"/>
    <w:rsid w:val="009E1A74"/>
    <w:rsid w:val="009E57C7"/>
    <w:rsid w:val="009E6B53"/>
    <w:rsid w:val="009E750F"/>
    <w:rsid w:val="009F4968"/>
    <w:rsid w:val="00A04D96"/>
    <w:rsid w:val="00A0629B"/>
    <w:rsid w:val="00A14495"/>
    <w:rsid w:val="00A16BE1"/>
    <w:rsid w:val="00A17F4B"/>
    <w:rsid w:val="00A232AB"/>
    <w:rsid w:val="00A24F65"/>
    <w:rsid w:val="00A453D7"/>
    <w:rsid w:val="00A454BF"/>
    <w:rsid w:val="00A52E3A"/>
    <w:rsid w:val="00A61A1A"/>
    <w:rsid w:val="00A62B16"/>
    <w:rsid w:val="00A72242"/>
    <w:rsid w:val="00A814CB"/>
    <w:rsid w:val="00A86258"/>
    <w:rsid w:val="00A90D1B"/>
    <w:rsid w:val="00AC144D"/>
    <w:rsid w:val="00AD70E2"/>
    <w:rsid w:val="00AF55F8"/>
    <w:rsid w:val="00B10ABA"/>
    <w:rsid w:val="00B26492"/>
    <w:rsid w:val="00B303E4"/>
    <w:rsid w:val="00B36FE8"/>
    <w:rsid w:val="00B420D4"/>
    <w:rsid w:val="00B43CFE"/>
    <w:rsid w:val="00B55678"/>
    <w:rsid w:val="00B568B3"/>
    <w:rsid w:val="00B57910"/>
    <w:rsid w:val="00B91B21"/>
    <w:rsid w:val="00B952F6"/>
    <w:rsid w:val="00BA202A"/>
    <w:rsid w:val="00BC093A"/>
    <w:rsid w:val="00BC2B00"/>
    <w:rsid w:val="00BC4ACC"/>
    <w:rsid w:val="00BC4FCC"/>
    <w:rsid w:val="00BD02F8"/>
    <w:rsid w:val="00BE2AE4"/>
    <w:rsid w:val="00BF79CA"/>
    <w:rsid w:val="00C04432"/>
    <w:rsid w:val="00C06ED8"/>
    <w:rsid w:val="00C1488E"/>
    <w:rsid w:val="00C217A8"/>
    <w:rsid w:val="00C25C42"/>
    <w:rsid w:val="00C26AC3"/>
    <w:rsid w:val="00C31B1C"/>
    <w:rsid w:val="00C4188F"/>
    <w:rsid w:val="00C47C4D"/>
    <w:rsid w:val="00C80959"/>
    <w:rsid w:val="00C819A4"/>
    <w:rsid w:val="00C824AE"/>
    <w:rsid w:val="00C84EA8"/>
    <w:rsid w:val="00C85D91"/>
    <w:rsid w:val="00C92998"/>
    <w:rsid w:val="00C95B28"/>
    <w:rsid w:val="00CA444B"/>
    <w:rsid w:val="00CA720A"/>
    <w:rsid w:val="00CD0003"/>
    <w:rsid w:val="00CD0906"/>
    <w:rsid w:val="00CD5925"/>
    <w:rsid w:val="00CE557A"/>
    <w:rsid w:val="00CF00AD"/>
    <w:rsid w:val="00CF26B0"/>
    <w:rsid w:val="00D031B2"/>
    <w:rsid w:val="00D05A86"/>
    <w:rsid w:val="00D06EAD"/>
    <w:rsid w:val="00D1410C"/>
    <w:rsid w:val="00D3434A"/>
    <w:rsid w:val="00D40D16"/>
    <w:rsid w:val="00D40FC5"/>
    <w:rsid w:val="00D433F8"/>
    <w:rsid w:val="00D548F0"/>
    <w:rsid w:val="00D57F79"/>
    <w:rsid w:val="00D64FAC"/>
    <w:rsid w:val="00D65704"/>
    <w:rsid w:val="00D668F6"/>
    <w:rsid w:val="00D741F9"/>
    <w:rsid w:val="00D84875"/>
    <w:rsid w:val="00D904F0"/>
    <w:rsid w:val="00D91378"/>
    <w:rsid w:val="00D91B18"/>
    <w:rsid w:val="00D930FB"/>
    <w:rsid w:val="00D95D89"/>
    <w:rsid w:val="00DA48A1"/>
    <w:rsid w:val="00DC0747"/>
    <w:rsid w:val="00DC2647"/>
    <w:rsid w:val="00DC316D"/>
    <w:rsid w:val="00DC7252"/>
    <w:rsid w:val="00DD1408"/>
    <w:rsid w:val="00DD356D"/>
    <w:rsid w:val="00DD6735"/>
    <w:rsid w:val="00DD72DE"/>
    <w:rsid w:val="00DF136A"/>
    <w:rsid w:val="00DF51FA"/>
    <w:rsid w:val="00E0448C"/>
    <w:rsid w:val="00E13525"/>
    <w:rsid w:val="00E301F5"/>
    <w:rsid w:val="00E43182"/>
    <w:rsid w:val="00E467F2"/>
    <w:rsid w:val="00E47250"/>
    <w:rsid w:val="00E47ADA"/>
    <w:rsid w:val="00E61535"/>
    <w:rsid w:val="00E73F55"/>
    <w:rsid w:val="00E74266"/>
    <w:rsid w:val="00E7480B"/>
    <w:rsid w:val="00E75A26"/>
    <w:rsid w:val="00E8246B"/>
    <w:rsid w:val="00E84012"/>
    <w:rsid w:val="00E86AD5"/>
    <w:rsid w:val="00E87CE6"/>
    <w:rsid w:val="00E9373C"/>
    <w:rsid w:val="00EA0724"/>
    <w:rsid w:val="00EA4975"/>
    <w:rsid w:val="00EA6251"/>
    <w:rsid w:val="00EB201A"/>
    <w:rsid w:val="00EB6414"/>
    <w:rsid w:val="00EE3BA6"/>
    <w:rsid w:val="00EE5747"/>
    <w:rsid w:val="00EF3804"/>
    <w:rsid w:val="00EF5E05"/>
    <w:rsid w:val="00F073CA"/>
    <w:rsid w:val="00F227AF"/>
    <w:rsid w:val="00F266F2"/>
    <w:rsid w:val="00F27370"/>
    <w:rsid w:val="00F40B00"/>
    <w:rsid w:val="00F41AAB"/>
    <w:rsid w:val="00F5341C"/>
    <w:rsid w:val="00F56954"/>
    <w:rsid w:val="00F60E81"/>
    <w:rsid w:val="00F76062"/>
    <w:rsid w:val="00F85F98"/>
    <w:rsid w:val="00F91DD0"/>
    <w:rsid w:val="00F948AF"/>
    <w:rsid w:val="00F94E9C"/>
    <w:rsid w:val="00FA1F45"/>
    <w:rsid w:val="00FA24D1"/>
    <w:rsid w:val="00FA5A7B"/>
    <w:rsid w:val="00FB11B1"/>
    <w:rsid w:val="00FC1C24"/>
    <w:rsid w:val="00FD5684"/>
    <w:rsid w:val="00FE00E8"/>
    <w:rsid w:val="1A12D6CB"/>
    <w:rsid w:val="2064DC09"/>
    <w:rsid w:val="3E037C43"/>
    <w:rsid w:val="3F2E6B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792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96"/>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6"/>
    <w:rsid w:val="00C85D91"/>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semiHidden/>
    <w:unhideWhenUsed/>
    <w:rsid w:val="00F85F98"/>
    <w:pPr>
      <w:spacing w:line="240" w:lineRule="auto"/>
    </w:pPr>
    <w:rPr>
      <w:sz w:val="20"/>
    </w:rPr>
  </w:style>
  <w:style w:type="character" w:customStyle="1" w:styleId="CommentTextChar">
    <w:name w:val="Comment Text Char"/>
    <w:basedOn w:val="DefaultParagraphFont"/>
    <w:link w:val="CommentText"/>
    <w:uiPriority w:val="99"/>
    <w:semiHidden/>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9A34F3"/>
    <w:rPr>
      <w:b/>
      <w:bCs/>
    </w:rPr>
  </w:style>
  <w:style w:type="character" w:customStyle="1" w:styleId="CommentSubjectChar">
    <w:name w:val="Comment Subject Char"/>
    <w:basedOn w:val="CommentTextChar"/>
    <w:link w:val="CommentSubject"/>
    <w:uiPriority w:val="99"/>
    <w:semiHidden/>
    <w:rsid w:val="009A34F3"/>
    <w:rPr>
      <w:rFonts w:asciiTheme="minorHAnsi" w:hAnsiTheme="minorHAnsi"/>
      <w:b/>
      <w:bCs/>
      <w:color w:val="000000" w:themeColor="text1"/>
    </w:rPr>
  </w:style>
  <w:style w:type="paragraph" w:styleId="Revision">
    <w:name w:val="Revision"/>
    <w:hidden/>
    <w:uiPriority w:val="99"/>
    <w:semiHidden/>
    <w:rsid w:val="00563F88"/>
    <w:rPr>
      <w:rFonts w:asciiTheme="minorHAnsi" w:hAnsiTheme="minorHAnsi"/>
      <w:color w:val="000000" w:themeColor="text1"/>
      <w:sz w:val="22"/>
    </w:rPr>
  </w:style>
  <w:style w:type="paragraph" w:styleId="ListBullet">
    <w:name w:val="List Bullet"/>
    <w:basedOn w:val="Normal"/>
    <w:uiPriority w:val="99"/>
    <w:rsid w:val="00A232AB"/>
    <w:pPr>
      <w:numPr>
        <w:numId w:val="15"/>
      </w:numPr>
      <w:spacing w:before="40" w:after="80"/>
    </w:pPr>
    <w:rPr>
      <w:rFonts w:ascii="Arial" w:eastAsia="Times New Roman" w:hAnsi="Arial"/>
      <w:iCs/>
      <w:color w:val="auto"/>
      <w:sz w:val="20"/>
    </w:rPr>
  </w:style>
  <w:style w:type="character" w:customStyle="1" w:styleId="ui-provider">
    <w:name w:val="ui-provider"/>
    <w:basedOn w:val="DefaultParagraphFont"/>
    <w:rsid w:val="00E86AD5"/>
  </w:style>
  <w:style w:type="table" w:styleId="PlainTable1">
    <w:name w:val="Plain Table 1"/>
    <w:basedOn w:val="TableNormal"/>
    <w:uiPriority w:val="41"/>
    <w:rsid w:val="007E24C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946440"/>
    <w:rPr>
      <w:color w:val="800080" w:themeColor="followedHyperlink"/>
      <w:u w:val="single"/>
    </w:rPr>
  </w:style>
  <w:style w:type="paragraph" w:customStyle="1" w:styleId="highlightedtext">
    <w:name w:val="highlighted text"/>
    <w:basedOn w:val="Normal"/>
    <w:link w:val="highlightedtextChar"/>
    <w:qFormat/>
    <w:rsid w:val="00545F59"/>
    <w:pPr>
      <w:pBdr>
        <w:top w:val="single" w:sz="4" w:space="1" w:color="auto"/>
        <w:left w:val="single" w:sz="4" w:space="4" w:color="auto"/>
        <w:bottom w:val="single" w:sz="4" w:space="1" w:color="auto"/>
        <w:right w:val="single" w:sz="4" w:space="4" w:color="auto"/>
      </w:pBdr>
      <w:suppressAutoHyphens/>
      <w:spacing w:before="180"/>
      <w:jc w:val="center"/>
    </w:pPr>
    <w:rPr>
      <w:rFonts w:cstheme="minorBidi"/>
      <w:b/>
      <w:iCs/>
      <w:color w:val="917700" w:themeColor="accent3" w:themeShade="80"/>
      <w:szCs w:val="22"/>
    </w:rPr>
  </w:style>
  <w:style w:type="character" w:customStyle="1" w:styleId="highlightedtextChar">
    <w:name w:val="highlighted text Char"/>
    <w:basedOn w:val="DefaultParagraphFont"/>
    <w:link w:val="highlightedtext"/>
    <w:rsid w:val="00545F59"/>
    <w:rPr>
      <w:rFonts w:asciiTheme="minorHAnsi" w:hAnsiTheme="minorHAnsi" w:cstheme="minorBidi"/>
      <w:b/>
      <w:iCs/>
      <w:color w:val="917700" w:themeColor="accent3" w:themeShade="80"/>
      <w:sz w:val="22"/>
      <w:szCs w:val="22"/>
    </w:rPr>
  </w:style>
  <w:style w:type="character" w:styleId="FootnoteReference">
    <w:name w:val="footnote reference"/>
    <w:basedOn w:val="DefaultParagraphFont"/>
    <w:uiPriority w:val="99"/>
    <w:semiHidden/>
    <w:unhideWhenUsed/>
    <w:rsid w:val="00DC72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98182">
      <w:bodyDiv w:val="1"/>
      <w:marLeft w:val="0"/>
      <w:marRight w:val="0"/>
      <w:marTop w:val="0"/>
      <w:marBottom w:val="0"/>
      <w:divBdr>
        <w:top w:val="none" w:sz="0" w:space="0" w:color="auto"/>
        <w:left w:val="none" w:sz="0" w:space="0" w:color="auto"/>
        <w:bottom w:val="none" w:sz="0" w:space="0" w:color="auto"/>
        <w:right w:val="none" w:sz="0" w:space="0" w:color="auto"/>
      </w:divBdr>
    </w:div>
    <w:div w:id="972490492">
      <w:bodyDiv w:val="1"/>
      <w:marLeft w:val="0"/>
      <w:marRight w:val="0"/>
      <w:marTop w:val="0"/>
      <w:marBottom w:val="0"/>
      <w:divBdr>
        <w:top w:val="none" w:sz="0" w:space="0" w:color="auto"/>
        <w:left w:val="none" w:sz="0" w:space="0" w:color="auto"/>
        <w:bottom w:val="none" w:sz="0" w:space="0" w:color="auto"/>
        <w:right w:val="none" w:sz="0" w:space="0" w:color="auto"/>
      </w:divBdr>
    </w:div>
    <w:div w:id="186725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closingthegap.gov.au/national-agreement/priority-reforms" TargetMode="External"/><Relationship Id="rId4" Type="http://schemas.openxmlformats.org/officeDocument/2006/relationships/styles" Target="styles.xml"/><Relationship Id="rId9" Type="http://schemas.openxmlformats.org/officeDocument/2006/relationships/hyperlink" Target="https://www.closingthegap.gov.au/national-agreement/target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C27EF5-24CD-47B0-9664-7EDB3FBD1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931</Words>
  <Characters>5960</Characters>
  <Application>Microsoft Office Word</Application>
  <DocSecurity>0</DocSecurity>
  <Lines>110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cp:lastModifiedBy/>
  <cp:revision>1</cp:revision>
  <dcterms:created xsi:type="dcterms:W3CDTF">2024-06-07T03:37:00Z</dcterms:created>
  <dcterms:modified xsi:type="dcterms:W3CDTF">2024-06-07T03:37:00Z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v=2022.1;a=SHA256;h=DD7C73131583D6AD742DF86423202CABBEC882D1995B9D9463511BB6592AC54D</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9CFEDE0AD9FDAE0286D351E87B4647470E8026DF</vt:lpwstr>
  </property>
  <property fmtid="{D5CDD505-2E9C-101B-9397-08002B2CF9AE}" pid="9" name="PM_Originating_FileId">
    <vt:lpwstr>2D0FEABC5F2243A0970BD8AD930023A3</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2024-02-20T07:59:00Z</vt:lpwstr>
  </property>
  <property fmtid="{D5CDD505-2E9C-101B-9397-08002B2CF9AE}" pid="13" name="MSIP_Label_eb34d90b-fc41-464d-af60-f74d721d0790_SetDate">
    <vt:lpwstr>2024-02-20T07:59:00Z</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MSIP_Label_eb34d90b-fc41-464d-af60-f74d721d0790_Name">
    <vt:lpwstr>OFFICIAL</vt:lpwstr>
  </property>
  <property fmtid="{D5CDD505-2E9C-101B-9397-08002B2CF9AE}" pid="18" name="PM_Note">
    <vt:lpwstr/>
  </property>
  <property fmtid="{D5CDD505-2E9C-101B-9397-08002B2CF9AE}" pid="19" name="PM_Markers">
    <vt:lpwstr/>
  </property>
  <property fmtid="{D5CDD505-2E9C-101B-9397-08002B2CF9AE}" pid="20" name="PM_Hash_Version">
    <vt:lpwstr>2022.1</vt:lpwstr>
  </property>
  <property fmtid="{D5CDD505-2E9C-101B-9397-08002B2CF9AE}" pid="21" name="PM_Hash_Salt_Prev">
    <vt:lpwstr>F3384D77450E2B8DC5FADAD84F91313C</vt:lpwstr>
  </property>
  <property fmtid="{D5CDD505-2E9C-101B-9397-08002B2CF9AE}" pid="22" name="PM_Hash_Salt">
    <vt:lpwstr>F07122F40E584CFE34CEB11D31B20EBB</vt:lpwstr>
  </property>
  <property fmtid="{D5CDD505-2E9C-101B-9397-08002B2CF9AE}" pid="23" name="PM_Hash_SHA1">
    <vt:lpwstr>AADD27E1FA155656516803D34C379903012026CE</vt:lpwstr>
  </property>
  <property fmtid="{D5CDD505-2E9C-101B-9397-08002B2CF9AE}" pid="24" name="PM_SecurityClassification_Prev">
    <vt:lpwstr>OFFICIAL</vt:lpwstr>
  </property>
  <property fmtid="{D5CDD505-2E9C-101B-9397-08002B2CF9AE}" pid="25" name="PM_Qualifier_Prev">
    <vt:lpwstr/>
  </property>
  <property fmtid="{D5CDD505-2E9C-101B-9397-08002B2CF9AE}" pid="26" name="PM_Display">
    <vt:lpwstr>OFFICIAL</vt:lpwstr>
  </property>
  <property fmtid="{D5CDD505-2E9C-101B-9397-08002B2CF9AE}" pid="27" name="PM_OriginatorUserAccountName_SHA256">
    <vt:lpwstr>56084DE7D87471392F5BD2235C8043EAEC8018D05D094D5A8468DE8533D8A2CE</vt:lpwstr>
  </property>
  <property fmtid="{D5CDD505-2E9C-101B-9397-08002B2CF9AE}" pid="28" name="PM_OriginatorDomainName_SHA256">
    <vt:lpwstr>E83A2A66C4061446A7E3732E8D44762184B6B377D962B96C83DC624302585857</vt:lpwstr>
  </property>
  <property fmtid="{D5CDD505-2E9C-101B-9397-08002B2CF9AE}" pid="29" name="MSIP_Label_eb34d90b-fc41-464d-af60-f74d721d0790_SiteId">
    <vt:lpwstr>61e36dd1-ca6e-4d61-aa0a-2b4eb88317a3</vt:lpwstr>
  </property>
  <property fmtid="{D5CDD505-2E9C-101B-9397-08002B2CF9AE}" pid="30" name="MSIP_Label_eb34d90b-fc41-464d-af60-f74d721d0790_Enabled">
    <vt:lpwstr>true</vt:lpwstr>
  </property>
  <property fmtid="{D5CDD505-2E9C-101B-9397-08002B2CF9AE}" pid="31" name="MSIP_Label_eb34d90b-fc41-464d-af60-f74d721d0790_ContentBits">
    <vt:lpwstr>0</vt:lpwstr>
  </property>
  <property fmtid="{D5CDD505-2E9C-101B-9397-08002B2CF9AE}" pid="32" name="MSIP_Label_eb34d90b-fc41-464d-af60-f74d721d0790_Method">
    <vt:lpwstr>Privileged</vt:lpwstr>
  </property>
  <property fmtid="{D5CDD505-2E9C-101B-9397-08002B2CF9AE}" pid="33" name="MSIP_Label_eb34d90b-fc41-464d-af60-f74d721d0790_ActionId">
    <vt:lpwstr>2c8ef4ef6d5647769ba548d196859af7</vt:lpwstr>
  </property>
  <property fmtid="{D5CDD505-2E9C-101B-9397-08002B2CF9AE}" pid="34" name="PMUuid">
    <vt:lpwstr>v=2022.2;d=gov.au;g=46DD6D7C-8107-577B-BC6E-F348953B2E44</vt:lpwstr>
  </property>
  <property fmtid="{D5CDD505-2E9C-101B-9397-08002B2CF9AE}" pid="35" name="PM_Caveats_Count">
    <vt:lpwstr>0</vt:lpwstr>
  </property>
</Properties>
</file>