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2C8D2" w14:textId="14EDDF9B" w:rsidR="008C3DBC" w:rsidRPr="004A219E" w:rsidRDefault="00146699" w:rsidP="004A219E">
      <w:pPr>
        <w:pStyle w:val="BodyText"/>
      </w:pPr>
      <w:r>
        <w:rPr>
          <w:noProof/>
        </w:rPr>
        <w:drawing>
          <wp:anchor distT="0" distB="0" distL="114300" distR="114300" simplePos="0" relativeHeight="251658240" behindDoc="0" locked="0" layoutInCell="1" allowOverlap="1" wp14:anchorId="588987DD" wp14:editId="56054933">
            <wp:simplePos x="0" y="0"/>
            <wp:positionH relativeFrom="margin">
              <wp:align>center</wp:align>
            </wp:positionH>
            <wp:positionV relativeFrom="paragraph">
              <wp:posOffset>17145</wp:posOffset>
            </wp:positionV>
            <wp:extent cx="7027545" cy="1389313"/>
            <wp:effectExtent l="0" t="0" r="1905" b="1905"/>
            <wp:wrapSquare wrapText="bothSides"/>
            <wp:docPr id="167967707" name="Picture 1" descr="Australian Government&#10;Community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7707" name="Picture 1" descr="Australian Government&#10;Community Grants Hub"/>
                    <pic:cNvPicPr/>
                  </pic:nvPicPr>
                  <pic:blipFill>
                    <a:blip r:embed="rId12"/>
                    <a:stretch>
                      <a:fillRect/>
                    </a:stretch>
                  </pic:blipFill>
                  <pic:spPr>
                    <a:xfrm>
                      <a:off x="0" y="0"/>
                      <a:ext cx="7027545" cy="1389313"/>
                    </a:xfrm>
                    <a:prstGeom prst="rect">
                      <a:avLst/>
                    </a:prstGeom>
                  </pic:spPr>
                </pic:pic>
              </a:graphicData>
            </a:graphic>
          </wp:anchor>
        </w:drawing>
      </w:r>
      <w:r w:rsidR="008C3DBC" w:rsidRPr="008C3DBC">
        <w:rPr>
          <w:rFonts w:asciiTheme="majorHAnsi" w:eastAsiaTheme="majorEastAsia" w:hAnsiTheme="majorHAnsi" w:cstheme="majorHAnsi"/>
          <w:bCs/>
          <w:color w:val="A6192E"/>
          <w:sz w:val="52"/>
          <w:szCs w:val="52"/>
        </w:rPr>
        <w:t xml:space="preserve">Paid Employment Pathways – </w:t>
      </w:r>
      <w:proofErr w:type="spellStart"/>
      <w:r w:rsidR="008C3DBC" w:rsidRPr="008C3DBC">
        <w:rPr>
          <w:rFonts w:asciiTheme="majorHAnsi" w:eastAsiaTheme="majorEastAsia" w:hAnsiTheme="majorHAnsi" w:cstheme="majorHAnsi"/>
          <w:bCs/>
          <w:color w:val="A6192E"/>
          <w:sz w:val="52"/>
          <w:szCs w:val="52"/>
        </w:rPr>
        <w:t>WorkFoundations</w:t>
      </w:r>
      <w:proofErr w:type="spellEnd"/>
    </w:p>
    <w:p w14:paraId="1160723B" w14:textId="7B770905" w:rsidR="00A92ECD" w:rsidRPr="00F85F98" w:rsidRDefault="0008753C" w:rsidP="00A92ECD">
      <w:pPr>
        <w:numPr>
          <w:ilvl w:val="1"/>
          <w:numId w:val="0"/>
        </w:numPr>
        <w:pBdr>
          <w:bottom w:val="single" w:sz="4" w:space="5" w:color="000000" w:themeColor="text1"/>
        </w:pBdr>
        <w:spacing w:before="120" w:line="240" w:lineRule="auto"/>
        <w:rPr>
          <w:rFonts w:asciiTheme="majorHAnsi" w:eastAsiaTheme="majorEastAsia" w:hAnsiTheme="majorHAnsi" w:cstheme="majorBidi"/>
          <w:iCs/>
          <w:sz w:val="30"/>
          <w:szCs w:val="24"/>
        </w:rPr>
      </w:pPr>
      <w:r>
        <w:rPr>
          <w:rFonts w:asciiTheme="majorHAnsi" w:eastAsiaTheme="majorEastAsia" w:hAnsiTheme="majorHAnsi" w:cstheme="majorBidi"/>
          <w:iCs/>
          <w:sz w:val="30"/>
          <w:szCs w:val="24"/>
        </w:rPr>
        <w:t>Feedback for applicants</w:t>
      </w:r>
    </w:p>
    <w:p w14:paraId="0E97F633" w14:textId="42CCB6D7" w:rsidR="00A92ECD" w:rsidRDefault="00A92ECD" w:rsidP="00A92ECD">
      <w:pPr>
        <w:spacing w:before="120" w:after="120"/>
        <w:rPr>
          <w:color w:val="auto"/>
        </w:rPr>
      </w:pPr>
      <w:r w:rsidRPr="00854ACD">
        <w:rPr>
          <w:color w:val="auto"/>
        </w:rPr>
        <w:t xml:space="preserve">The </w:t>
      </w:r>
      <w:r w:rsidR="00F92DCB" w:rsidRPr="00F92DCB">
        <w:rPr>
          <w:color w:val="auto"/>
        </w:rPr>
        <w:t xml:space="preserve">Department of Employment and Workplace Relations </w:t>
      </w:r>
      <w:r>
        <w:rPr>
          <w:color w:val="auto"/>
        </w:rPr>
        <w:t>(the department) has provided the following general f</w:t>
      </w:r>
      <w:r w:rsidRPr="00854ACD">
        <w:rPr>
          <w:color w:val="auto"/>
        </w:rPr>
        <w:t xml:space="preserve">eedback for applicants of the </w:t>
      </w:r>
      <w:r w:rsidR="00F92DCB" w:rsidRPr="00F92DCB">
        <w:rPr>
          <w:color w:val="auto"/>
        </w:rPr>
        <w:t xml:space="preserve">Paid Employment Pathways – </w:t>
      </w:r>
      <w:proofErr w:type="spellStart"/>
      <w:r w:rsidR="00F92DCB" w:rsidRPr="00F92DCB">
        <w:rPr>
          <w:color w:val="auto"/>
        </w:rPr>
        <w:t>WorkFoundations</w:t>
      </w:r>
      <w:proofErr w:type="spellEnd"/>
      <w:r w:rsidR="00F92DCB">
        <w:rPr>
          <w:color w:val="auto"/>
        </w:rPr>
        <w:t xml:space="preserve"> </w:t>
      </w:r>
      <w:r w:rsidRPr="00854ACD">
        <w:rPr>
          <w:color w:val="auto"/>
        </w:rPr>
        <w:t>grant opportunity.</w:t>
      </w:r>
    </w:p>
    <w:p w14:paraId="76CCC210" w14:textId="5CEC0C53" w:rsidR="00A92ECD" w:rsidRPr="00B26492" w:rsidRDefault="00A92ECD" w:rsidP="00A92ECD">
      <w:pPr>
        <w:pStyle w:val="BodyText"/>
      </w:pPr>
      <w:r>
        <w:t xml:space="preserve">Assessment of applications was in accordance with the procedure detailed in the </w:t>
      </w:r>
      <w:r w:rsidR="001A11D3">
        <w:t>G</w:t>
      </w:r>
      <w:r>
        <w:t xml:space="preserve">rant </w:t>
      </w:r>
      <w:r w:rsidR="001A11D3">
        <w:t>O</w:t>
      </w:r>
      <w:r>
        <w:t xml:space="preserve">pportunity </w:t>
      </w:r>
      <w:r w:rsidR="001A11D3">
        <w:t>G</w:t>
      </w:r>
      <w:r>
        <w:t>uidelines (the guidelines) and outlined in the selection process below.</w:t>
      </w:r>
    </w:p>
    <w:p w14:paraId="1312E72A" w14:textId="3D1E9B9B" w:rsidR="00B952F6" w:rsidRDefault="00A92ECD" w:rsidP="00222526">
      <w:pPr>
        <w:pStyle w:val="Heading2"/>
        <w:rPr>
          <w:rFonts w:asciiTheme="majorHAnsi" w:hAnsiTheme="majorHAnsi" w:cstheme="majorHAnsi"/>
        </w:rPr>
      </w:pPr>
      <w:r w:rsidRPr="00A92ECD">
        <w:rPr>
          <w:rFonts w:asciiTheme="majorHAnsi" w:hAnsiTheme="majorHAnsi" w:cstheme="majorHAnsi"/>
        </w:rPr>
        <w:t>Overview</w:t>
      </w:r>
    </w:p>
    <w:p w14:paraId="2FE881E2" w14:textId="05CB7C5E" w:rsidR="00F92DCB" w:rsidRPr="004A219E" w:rsidRDefault="00A92ECD" w:rsidP="001A11D3">
      <w:pPr>
        <w:pStyle w:val="BodyText"/>
        <w:spacing w:before="40" w:after="120"/>
        <w:rPr>
          <w:color w:val="auto"/>
        </w:rPr>
      </w:pPr>
      <w:r w:rsidRPr="004A219E">
        <w:rPr>
          <w:color w:val="auto"/>
        </w:rPr>
        <w:t xml:space="preserve">The application submission period opened on </w:t>
      </w:r>
      <w:r w:rsidR="00F92DCB" w:rsidRPr="004A219E">
        <w:rPr>
          <w:color w:val="auto"/>
        </w:rPr>
        <w:t xml:space="preserve">14 January 2025 </w:t>
      </w:r>
      <w:r w:rsidRPr="004A219E">
        <w:rPr>
          <w:color w:val="auto"/>
        </w:rPr>
        <w:t xml:space="preserve">and closed on </w:t>
      </w:r>
      <w:r w:rsidR="00F92DCB" w:rsidRPr="004A219E">
        <w:rPr>
          <w:color w:val="auto"/>
        </w:rPr>
        <w:t>11 February 2025.</w:t>
      </w:r>
    </w:p>
    <w:p w14:paraId="085C7A9E" w14:textId="48FAFF0D" w:rsidR="00FC3D81" w:rsidRPr="004A219E" w:rsidRDefault="00DF339C" w:rsidP="001A11D3">
      <w:pPr>
        <w:spacing w:before="40" w:after="120"/>
      </w:pPr>
      <w:r w:rsidRPr="004A219E">
        <w:rPr>
          <w:color w:val="auto"/>
        </w:rPr>
        <w:t xml:space="preserve">The </w:t>
      </w:r>
      <w:r w:rsidR="009B3A28" w:rsidRPr="004A219E">
        <w:rPr>
          <w:color w:val="auto"/>
        </w:rPr>
        <w:t xml:space="preserve">funding round </w:t>
      </w:r>
      <w:r w:rsidR="00FC3D81" w:rsidRPr="004A219E">
        <w:rPr>
          <w:color w:val="auto"/>
        </w:rPr>
        <w:t xml:space="preserve">aims to </w:t>
      </w:r>
      <w:r w:rsidR="00FC3D81" w:rsidRPr="004A219E">
        <w:t xml:space="preserve">explore different ways of assisting job seekers transition into work whilst addressing their significant or complex vocational and/or non-vocational barriers to employment. Through funding social enterprises and value aligned organisations to design and deliver these paid employment pathway placements with integrated wrap around services, diverse approaches will be </w:t>
      </w:r>
      <w:r w:rsidR="007F3328" w:rsidRPr="004A219E">
        <w:t>asses</w:t>
      </w:r>
      <w:r w:rsidR="00EF12C2" w:rsidRPr="004A219E">
        <w:t>s</w:t>
      </w:r>
      <w:r w:rsidR="007F3328" w:rsidRPr="004A219E">
        <w:t>ed</w:t>
      </w:r>
      <w:r w:rsidR="00FC3D81" w:rsidRPr="004A219E">
        <w:t>.</w:t>
      </w:r>
    </w:p>
    <w:p w14:paraId="5ED8AFE0" w14:textId="7B3226EB" w:rsidR="00FC3D81" w:rsidRPr="004A219E" w:rsidRDefault="00FC3D81" w:rsidP="001A11D3">
      <w:pPr>
        <w:spacing w:before="40" w:after="120"/>
      </w:pPr>
      <w:r w:rsidRPr="004A219E">
        <w:t xml:space="preserve">All </w:t>
      </w:r>
      <w:proofErr w:type="spellStart"/>
      <w:r w:rsidRPr="004A219E">
        <w:t>WorkFoundation</w:t>
      </w:r>
      <w:proofErr w:type="spellEnd"/>
      <w:r w:rsidRPr="004A219E">
        <w:t xml:space="preserve"> placements </w:t>
      </w:r>
      <w:r w:rsidR="005D0DC5" w:rsidRPr="004A219E">
        <w:t xml:space="preserve">will be </w:t>
      </w:r>
      <w:r w:rsidRPr="004A219E">
        <w:t xml:space="preserve">real jobs, paid at the relevant award or enterprise agreement rate, with legal entitlements including superannuation and leave. Placements will have an overall duration of </w:t>
      </w:r>
      <w:r w:rsidR="006632CC">
        <w:t>6</w:t>
      </w:r>
      <w:r w:rsidRPr="004A219E">
        <w:t xml:space="preserve"> months </w:t>
      </w:r>
      <w:r w:rsidR="00194265" w:rsidRPr="004A219E">
        <w:t>(in total</w:t>
      </w:r>
      <w:proofErr w:type="gramStart"/>
      <w:r w:rsidR="00194265" w:rsidRPr="004A219E">
        <w:t>)</w:t>
      </w:r>
      <w:proofErr w:type="gramEnd"/>
      <w:r w:rsidR="00194265" w:rsidRPr="004A219E">
        <w:t xml:space="preserve"> </w:t>
      </w:r>
      <w:r w:rsidRPr="004A219E">
        <w:t>and participation will be voluntary for eligible job seekers.</w:t>
      </w:r>
    </w:p>
    <w:p w14:paraId="5570F49E" w14:textId="1DC90DDB" w:rsidR="004D7CE9" w:rsidRPr="004A219E" w:rsidRDefault="004D7CE9" w:rsidP="001A11D3">
      <w:pPr>
        <w:spacing w:before="40" w:after="120"/>
        <w:rPr>
          <w:rFonts w:cs="Arial"/>
        </w:rPr>
      </w:pPr>
      <w:r w:rsidRPr="004A219E">
        <w:rPr>
          <w:rFonts w:cs="Arial"/>
        </w:rPr>
        <w:t xml:space="preserve">The intent of </w:t>
      </w:r>
      <w:proofErr w:type="spellStart"/>
      <w:r w:rsidR="00EF2A73" w:rsidRPr="004A219E">
        <w:rPr>
          <w:rFonts w:cs="Arial"/>
        </w:rPr>
        <w:t>WorkFoundations</w:t>
      </w:r>
      <w:proofErr w:type="spellEnd"/>
      <w:r w:rsidR="00EF2A73" w:rsidRPr="004A219E">
        <w:rPr>
          <w:rFonts w:cs="Arial"/>
        </w:rPr>
        <w:t xml:space="preserve"> </w:t>
      </w:r>
      <w:r w:rsidRPr="004A219E">
        <w:rPr>
          <w:rFonts w:cs="Arial"/>
        </w:rPr>
        <w:t>is to deliver outcomes that:</w:t>
      </w:r>
    </w:p>
    <w:p w14:paraId="036D7408" w14:textId="77777777" w:rsidR="0005492A" w:rsidRPr="004A219E" w:rsidRDefault="0005492A" w:rsidP="001A11D3">
      <w:pPr>
        <w:numPr>
          <w:ilvl w:val="0"/>
          <w:numId w:val="9"/>
        </w:numPr>
        <w:spacing w:before="40" w:after="120"/>
        <w:ind w:hanging="357"/>
      </w:pPr>
      <w:r w:rsidRPr="004A219E">
        <w:t xml:space="preserve">fully support and </w:t>
      </w:r>
      <w:proofErr w:type="gramStart"/>
      <w:r w:rsidRPr="004A219E">
        <w:t>provide assistance to</w:t>
      </w:r>
      <w:proofErr w:type="gramEnd"/>
      <w:r w:rsidRPr="004A219E">
        <w:t xml:space="preserve"> the participant during the placement, including:</w:t>
      </w:r>
    </w:p>
    <w:p w14:paraId="190916E6" w14:textId="39502E9A" w:rsidR="0005492A" w:rsidRPr="004A219E" w:rsidRDefault="0005492A" w:rsidP="001A11D3">
      <w:pPr>
        <w:pStyle w:val="ListParagraph"/>
        <w:numPr>
          <w:ilvl w:val="1"/>
          <w:numId w:val="11"/>
        </w:numPr>
        <w:spacing w:before="40" w:after="120"/>
        <w:contextualSpacing w:val="0"/>
      </w:pPr>
      <w:r w:rsidRPr="004A219E">
        <w:t>leveraging resources from available suppliers, for example public housing services or financial counselling</w:t>
      </w:r>
    </w:p>
    <w:p w14:paraId="0CC02DAE" w14:textId="5418ACED" w:rsidR="0005492A" w:rsidRPr="004A219E" w:rsidRDefault="0005492A" w:rsidP="001A11D3">
      <w:pPr>
        <w:pStyle w:val="ListParagraph"/>
        <w:numPr>
          <w:ilvl w:val="1"/>
          <w:numId w:val="11"/>
        </w:numPr>
        <w:spacing w:before="40" w:after="120"/>
        <w:contextualSpacing w:val="0"/>
      </w:pPr>
      <w:r w:rsidRPr="004A219E">
        <w:t>sourcing and providing appropriate vocational and/or non-vocational services</w:t>
      </w:r>
    </w:p>
    <w:p w14:paraId="43A5218F" w14:textId="51AED7EA" w:rsidR="0005492A" w:rsidRPr="004A219E" w:rsidRDefault="0005492A" w:rsidP="001A11D3">
      <w:pPr>
        <w:pStyle w:val="ListParagraph"/>
        <w:numPr>
          <w:ilvl w:val="1"/>
          <w:numId w:val="11"/>
        </w:numPr>
        <w:spacing w:before="40" w:after="120"/>
        <w:contextualSpacing w:val="0"/>
      </w:pPr>
      <w:r w:rsidRPr="004A219E">
        <w:t>holding regular check-ins to stay in touch and identify any emerging issues</w:t>
      </w:r>
    </w:p>
    <w:p w14:paraId="31055161" w14:textId="37CFCF79" w:rsidR="0005492A" w:rsidRPr="004A219E" w:rsidRDefault="0005492A" w:rsidP="001A11D3">
      <w:pPr>
        <w:pStyle w:val="ListParagraph"/>
        <w:numPr>
          <w:ilvl w:val="1"/>
          <w:numId w:val="11"/>
        </w:numPr>
        <w:spacing w:before="40" w:after="120"/>
        <w:contextualSpacing w:val="0"/>
      </w:pPr>
      <w:r w:rsidRPr="004A219E">
        <w:t xml:space="preserve">providing a mechanism to raise matters in a safe way. This could be about their placement, safety, wages, availability and type of support, </w:t>
      </w:r>
      <w:r w:rsidR="001A11D3">
        <w:t>and so on.</w:t>
      </w:r>
    </w:p>
    <w:p w14:paraId="771562ED" w14:textId="77777777" w:rsidR="00271DB3" w:rsidRPr="004A219E" w:rsidRDefault="00271DB3" w:rsidP="001A11D3">
      <w:pPr>
        <w:numPr>
          <w:ilvl w:val="0"/>
          <w:numId w:val="9"/>
        </w:numPr>
        <w:spacing w:before="40" w:after="120"/>
      </w:pPr>
      <w:r w:rsidRPr="004A219E">
        <w:t>assist the participant transition, on completion of the placement, into the next stages of their employment pathway by:</w:t>
      </w:r>
    </w:p>
    <w:p w14:paraId="0A8118D5" w14:textId="77777777" w:rsidR="00271DB3" w:rsidRPr="004A219E" w:rsidRDefault="00271DB3" w:rsidP="001A11D3">
      <w:pPr>
        <w:pStyle w:val="ListParagraph"/>
        <w:numPr>
          <w:ilvl w:val="1"/>
          <w:numId w:val="12"/>
        </w:numPr>
        <w:spacing w:before="40" w:after="120"/>
        <w:contextualSpacing w:val="0"/>
      </w:pPr>
      <w:r w:rsidRPr="004A219E">
        <w:t>providing feedback to them so they can consider future options and pathways, such as drawing out learnings, personal growth, new skills learnt, and opportunities to grow</w:t>
      </w:r>
    </w:p>
    <w:p w14:paraId="15A26B3D" w14:textId="77777777" w:rsidR="00271DB3" w:rsidRPr="004A219E" w:rsidRDefault="00271DB3" w:rsidP="001A11D3">
      <w:pPr>
        <w:pStyle w:val="ListParagraph"/>
        <w:numPr>
          <w:ilvl w:val="1"/>
          <w:numId w:val="12"/>
        </w:numPr>
        <w:spacing w:before="40" w:after="120"/>
        <w:contextualSpacing w:val="0"/>
      </w:pPr>
      <w:r w:rsidRPr="004A219E">
        <w:t>linking them with employment opportunities which could be offering an ongoing role with the host employer or a different role with another employer</w:t>
      </w:r>
    </w:p>
    <w:p w14:paraId="12F8BE0F" w14:textId="77777777" w:rsidR="00271DB3" w:rsidRPr="004A219E" w:rsidRDefault="00271DB3" w:rsidP="001A11D3">
      <w:pPr>
        <w:pStyle w:val="ListParagraph"/>
        <w:numPr>
          <w:ilvl w:val="1"/>
          <w:numId w:val="12"/>
        </w:numPr>
        <w:spacing w:before="40" w:after="120"/>
        <w:contextualSpacing w:val="0"/>
      </w:pPr>
      <w:r w:rsidRPr="004A219E">
        <w:t>facilitating transition back to the participant’s employment service provider if necessary.</w:t>
      </w:r>
    </w:p>
    <w:p w14:paraId="60AE8AA6" w14:textId="38FBCD71" w:rsidR="00152380" w:rsidRPr="004A219E" w:rsidRDefault="00152380" w:rsidP="001A11D3">
      <w:pPr>
        <w:spacing w:before="40" w:after="120"/>
        <w:rPr>
          <w:rFonts w:cs="Arial"/>
        </w:rPr>
      </w:pPr>
      <w:r w:rsidRPr="004A219E">
        <w:lastRenderedPageBreak/>
        <w:t xml:space="preserve">Applicants </w:t>
      </w:r>
      <w:r w:rsidR="004500F0" w:rsidRPr="004A219E">
        <w:t xml:space="preserve">were </w:t>
      </w:r>
      <w:r w:rsidRPr="004A219E">
        <w:t xml:space="preserve">asked to detail the services and activities that will be made available to job seekers in their application. They should be specifically targeted to engage job seekers with barriers to employment, in ways that deliver sustained benefits to their business and increase their capability to provide an intermediary labour market. </w:t>
      </w:r>
      <w:r w:rsidRPr="004A219E">
        <w:rPr>
          <w:rFonts w:cs="Arial"/>
        </w:rPr>
        <w:t>The design and associated outcomes for all</w:t>
      </w:r>
      <w:r w:rsidR="00AB7AD4" w:rsidRPr="004A219E">
        <w:rPr>
          <w:rFonts w:cs="Arial"/>
        </w:rPr>
        <w:t xml:space="preserve"> placements </w:t>
      </w:r>
      <w:r w:rsidRPr="004A219E">
        <w:rPr>
          <w:rFonts w:cs="Arial"/>
        </w:rPr>
        <w:t>will inform an overarching evaluation of the effectiveness of different approaches to assist eligible job seekers build their work readiness, increase their employability and transition into long-term secure employment.</w:t>
      </w:r>
    </w:p>
    <w:p w14:paraId="0475C9F0" w14:textId="3E97D19B" w:rsidR="008230BB" w:rsidRPr="004A219E" w:rsidRDefault="008230BB" w:rsidP="001A11D3">
      <w:pPr>
        <w:spacing w:before="40" w:after="120"/>
        <w:rPr>
          <w:rFonts w:cs="Arial"/>
        </w:rPr>
      </w:pPr>
      <w:r w:rsidRPr="004A219E">
        <w:rPr>
          <w:rFonts w:cs="Arial"/>
        </w:rPr>
        <w:t>Up to $5 million (GST exclusive) per financial year, will be made available to fund projects in both 2025</w:t>
      </w:r>
      <w:r w:rsidR="001A11D3">
        <w:rPr>
          <w:rFonts w:cs="Arial"/>
        </w:rPr>
        <w:t>–</w:t>
      </w:r>
      <w:r w:rsidRPr="004A219E">
        <w:rPr>
          <w:rFonts w:cs="Arial"/>
        </w:rPr>
        <w:t>26 and 2026</w:t>
      </w:r>
      <w:r w:rsidR="006632CC">
        <w:rPr>
          <w:rFonts w:cs="Arial"/>
        </w:rPr>
        <w:t>–</w:t>
      </w:r>
      <w:r w:rsidRPr="004A219E">
        <w:rPr>
          <w:rFonts w:cs="Arial"/>
        </w:rPr>
        <w:t>27. Funded grant activities may run across financial years or may be contained within one financial year. The Department of Employment and Workplace Relations will only offer one grant opportunity round during the lifetime of this grant opportunity. All grant activities must be completed by 30</w:t>
      </w:r>
      <w:r w:rsidR="00D0606B">
        <w:rPr>
          <w:rFonts w:cs="Arial"/>
        </w:rPr>
        <w:t xml:space="preserve"> </w:t>
      </w:r>
      <w:r w:rsidRPr="004A219E">
        <w:rPr>
          <w:rFonts w:cs="Arial"/>
        </w:rPr>
        <w:t>June 2027.</w:t>
      </w:r>
    </w:p>
    <w:p w14:paraId="51AF20E1" w14:textId="26850814" w:rsidR="00A92ECD" w:rsidRPr="004A219E" w:rsidRDefault="00A92ECD" w:rsidP="00A92ECD">
      <w:pPr>
        <w:pStyle w:val="Heading2"/>
        <w:rPr>
          <w:rFonts w:asciiTheme="majorHAnsi" w:hAnsiTheme="majorHAnsi" w:cstheme="majorHAnsi"/>
        </w:rPr>
      </w:pPr>
      <w:r w:rsidRPr="004A219E">
        <w:rPr>
          <w:rFonts w:asciiTheme="majorHAnsi" w:hAnsiTheme="majorHAnsi" w:cstheme="majorHAnsi"/>
        </w:rPr>
        <w:t>Selection Process</w:t>
      </w:r>
    </w:p>
    <w:p w14:paraId="01AF615A" w14:textId="77777777" w:rsidR="00A92ECD" w:rsidRPr="004A219E" w:rsidRDefault="00A92ECD" w:rsidP="00A92ECD">
      <w:pPr>
        <w:pStyle w:val="BodyText"/>
        <w:spacing w:after="120"/>
        <w:rPr>
          <w:color w:val="auto"/>
        </w:rPr>
      </w:pPr>
      <w:r w:rsidRPr="004A219E">
        <w:t xml:space="preserve">The Community Grants Hub (the Hub) undertook the initial screening for organisation eligibility and compliance against the requirements outlined in the guidelines. This information was provided to the department’s grant opportunity delegate </w:t>
      </w:r>
      <w:r w:rsidRPr="004A219E">
        <w:rPr>
          <w:color w:val="auto"/>
        </w:rPr>
        <w:t>for final decisions on whether an application met the eligibility and compliance criteria.</w:t>
      </w:r>
    </w:p>
    <w:p w14:paraId="403670EB" w14:textId="7F42C251" w:rsidR="00A92ECD" w:rsidRPr="004A219E" w:rsidRDefault="00A92ECD" w:rsidP="00A92ECD">
      <w:pPr>
        <w:spacing w:before="120" w:after="120"/>
        <w:rPr>
          <w:color w:val="auto"/>
        </w:rPr>
      </w:pPr>
      <w:r w:rsidRPr="004A219E">
        <w:rPr>
          <w:color w:val="auto"/>
        </w:rPr>
        <w:t>The department assessed and considered all eligible and compliant applications through an Open Competitive grant process.</w:t>
      </w:r>
    </w:p>
    <w:p w14:paraId="0396BC32" w14:textId="3F25AB44" w:rsidR="00A92ECD" w:rsidRPr="004A219E" w:rsidRDefault="00A92ECD" w:rsidP="00A92ECD">
      <w:pPr>
        <w:spacing w:before="120" w:after="120"/>
        <w:rPr>
          <w:color w:val="auto"/>
        </w:rPr>
      </w:pPr>
      <w:r w:rsidRPr="004A219E">
        <w:rPr>
          <w:color w:val="auto"/>
        </w:rPr>
        <w:t xml:space="preserve">The selection advisory panel (panel) established by the department, </w:t>
      </w:r>
      <w:r w:rsidRPr="004A219E">
        <w:t xml:space="preserve">comprised of subject matter experts who </w:t>
      </w:r>
      <w:r w:rsidRPr="004A219E">
        <w:rPr>
          <w:color w:val="auto"/>
        </w:rPr>
        <w:t xml:space="preserve">assessed applications </w:t>
      </w:r>
      <w:r w:rsidRPr="004A219E">
        <w:t>and provided advice to inform the funding recommendations to the Financial Delegate.</w:t>
      </w:r>
    </w:p>
    <w:p w14:paraId="662401D6" w14:textId="77777777" w:rsidR="000C7C00" w:rsidRPr="004A219E" w:rsidRDefault="000C7C00" w:rsidP="000C7C00">
      <w:pPr>
        <w:pStyle w:val="BodyText"/>
        <w:rPr>
          <w:color w:val="auto"/>
        </w:rPr>
      </w:pPr>
      <w:r w:rsidRPr="004A219E">
        <w:rPr>
          <w:color w:val="auto"/>
        </w:rPr>
        <w:t>The panel’s consideration of assessed applications was, based on:</w:t>
      </w:r>
    </w:p>
    <w:p w14:paraId="0E6761FC" w14:textId="77777777" w:rsidR="000C7C00" w:rsidRPr="004A219E" w:rsidRDefault="000C7C00" w:rsidP="000C7C00">
      <w:pPr>
        <w:pStyle w:val="BodyText"/>
        <w:numPr>
          <w:ilvl w:val="0"/>
          <w:numId w:val="7"/>
        </w:numPr>
        <w:rPr>
          <w:color w:val="auto"/>
        </w:rPr>
      </w:pPr>
      <w:r w:rsidRPr="004A219E">
        <w:rPr>
          <w:color w:val="auto"/>
        </w:rPr>
        <w:t>Meeting the compliance requirements outlined in the guidelines</w:t>
      </w:r>
    </w:p>
    <w:p w14:paraId="2F26C1F6" w14:textId="77777777" w:rsidR="000C7C00" w:rsidRPr="004A219E" w:rsidRDefault="000C7C00" w:rsidP="000C7C00">
      <w:pPr>
        <w:pStyle w:val="BodyText"/>
        <w:numPr>
          <w:ilvl w:val="0"/>
          <w:numId w:val="7"/>
        </w:numPr>
        <w:rPr>
          <w:color w:val="auto"/>
        </w:rPr>
      </w:pPr>
      <w:r w:rsidRPr="004A219E">
        <w:rPr>
          <w:color w:val="auto"/>
        </w:rPr>
        <w:t>Meeting the eligibility requirements outline in the guidelines</w:t>
      </w:r>
    </w:p>
    <w:p w14:paraId="7CEBC3CB" w14:textId="6D7C5576" w:rsidR="000C7C00" w:rsidRPr="004A219E" w:rsidRDefault="00863EFD" w:rsidP="000C7C00">
      <w:pPr>
        <w:pStyle w:val="BodyText"/>
        <w:numPr>
          <w:ilvl w:val="0"/>
          <w:numId w:val="7"/>
        </w:numPr>
        <w:rPr>
          <w:color w:val="auto"/>
        </w:rPr>
      </w:pPr>
      <w:r w:rsidRPr="004A219E">
        <w:rPr>
          <w:color w:val="auto"/>
        </w:rPr>
        <w:t>H</w:t>
      </w:r>
      <w:r w:rsidR="000C7C00" w:rsidRPr="004A219E">
        <w:rPr>
          <w:color w:val="auto"/>
        </w:rPr>
        <w:t>ow well the responses met the assessment criteria</w:t>
      </w:r>
    </w:p>
    <w:p w14:paraId="7BC3433F" w14:textId="2C7B4582" w:rsidR="000C7C00" w:rsidRPr="004A219E" w:rsidRDefault="00863EFD" w:rsidP="000C7C00">
      <w:pPr>
        <w:pStyle w:val="BodyText"/>
        <w:numPr>
          <w:ilvl w:val="0"/>
          <w:numId w:val="7"/>
        </w:numPr>
        <w:rPr>
          <w:color w:val="auto"/>
        </w:rPr>
      </w:pPr>
      <w:r w:rsidRPr="004A219E">
        <w:rPr>
          <w:color w:val="auto"/>
        </w:rPr>
        <w:t>T</w:t>
      </w:r>
      <w:r w:rsidR="000C7C00" w:rsidRPr="004A219E">
        <w:rPr>
          <w:color w:val="auto"/>
        </w:rPr>
        <w:t>he volume of applications received and the extent to which applications compared against other applications</w:t>
      </w:r>
    </w:p>
    <w:p w14:paraId="0CF7B583" w14:textId="2C4BCA2B" w:rsidR="000C7C00" w:rsidRPr="004A219E" w:rsidRDefault="000C7C00" w:rsidP="000C7C00">
      <w:pPr>
        <w:pStyle w:val="BodyText"/>
        <w:numPr>
          <w:ilvl w:val="0"/>
          <w:numId w:val="7"/>
        </w:numPr>
        <w:rPr>
          <w:color w:val="auto"/>
        </w:rPr>
      </w:pPr>
      <w:r w:rsidRPr="004A219E">
        <w:rPr>
          <w:color w:val="auto"/>
        </w:rPr>
        <w:t xml:space="preserve"> </w:t>
      </w:r>
      <w:r w:rsidR="00863EFD" w:rsidRPr="004A219E">
        <w:rPr>
          <w:color w:val="auto"/>
        </w:rPr>
        <w:t>T</w:t>
      </w:r>
      <w:r w:rsidRPr="004A219E">
        <w:rPr>
          <w:color w:val="auto"/>
        </w:rPr>
        <w:t>he provision and appropriateness of the requested attachments</w:t>
      </w:r>
    </w:p>
    <w:p w14:paraId="15FB0C2E" w14:textId="77777777" w:rsidR="000C7C00" w:rsidRPr="004A219E" w:rsidRDefault="000C7C00" w:rsidP="000C7C00">
      <w:pPr>
        <w:pStyle w:val="BodyText"/>
        <w:numPr>
          <w:ilvl w:val="0"/>
          <w:numId w:val="7"/>
        </w:numPr>
        <w:rPr>
          <w:color w:val="auto"/>
        </w:rPr>
      </w:pPr>
      <w:r w:rsidRPr="004A219E">
        <w:rPr>
          <w:color w:val="auto"/>
        </w:rPr>
        <w:t>Whether the project demonstrated value with relevant money</w:t>
      </w:r>
    </w:p>
    <w:p w14:paraId="5B0EECEB" w14:textId="3D8D9492" w:rsidR="000C7C00" w:rsidRPr="004A219E" w:rsidRDefault="00863EFD" w:rsidP="000C7C00">
      <w:pPr>
        <w:pStyle w:val="BodyText"/>
        <w:numPr>
          <w:ilvl w:val="0"/>
          <w:numId w:val="7"/>
        </w:numPr>
        <w:rPr>
          <w:color w:val="auto"/>
        </w:rPr>
      </w:pPr>
      <w:r w:rsidRPr="004A219E">
        <w:rPr>
          <w:color w:val="auto"/>
        </w:rPr>
        <w:t>H</w:t>
      </w:r>
      <w:r w:rsidR="000C7C00" w:rsidRPr="004A219E">
        <w:rPr>
          <w:color w:val="auto"/>
        </w:rPr>
        <w:t xml:space="preserve">ow the proposed activities compared to </w:t>
      </w:r>
      <w:r w:rsidR="00FD41D4" w:rsidRPr="004A219E">
        <w:rPr>
          <w:color w:val="auto"/>
        </w:rPr>
        <w:t>the intent of the program</w:t>
      </w:r>
      <w:r w:rsidR="0099594F" w:rsidRPr="004A219E">
        <w:rPr>
          <w:color w:val="auto"/>
        </w:rPr>
        <w:t xml:space="preserve"> </w:t>
      </w:r>
    </w:p>
    <w:p w14:paraId="2BCCB81B" w14:textId="71C60673" w:rsidR="000C7C00" w:rsidRPr="004A219E" w:rsidRDefault="00863EFD" w:rsidP="00A92ECD">
      <w:pPr>
        <w:pStyle w:val="BodyText"/>
        <w:numPr>
          <w:ilvl w:val="0"/>
          <w:numId w:val="7"/>
        </w:numPr>
        <w:rPr>
          <w:color w:val="auto"/>
        </w:rPr>
      </w:pPr>
      <w:r w:rsidRPr="004A219E">
        <w:rPr>
          <w:color w:val="auto"/>
        </w:rPr>
        <w:t>I</w:t>
      </w:r>
      <w:r w:rsidR="000C7C00" w:rsidRPr="004A219E">
        <w:rPr>
          <w:color w:val="auto"/>
        </w:rPr>
        <w:t>dentified risks and the proposed mitigation strategies for the department and the Commonwealth</w:t>
      </w:r>
      <w:r w:rsidR="001A11D3">
        <w:rPr>
          <w:color w:val="auto"/>
        </w:rPr>
        <w:t>.</w:t>
      </w:r>
    </w:p>
    <w:p w14:paraId="2BD2B93F" w14:textId="0DA5C6EA" w:rsidR="00A92ECD" w:rsidRPr="004A219E" w:rsidRDefault="00A92ECD" w:rsidP="00A92ECD">
      <w:pPr>
        <w:pStyle w:val="Heading2"/>
        <w:rPr>
          <w:color w:val="C00000"/>
          <w:sz w:val="28"/>
          <w:szCs w:val="28"/>
        </w:rPr>
      </w:pPr>
      <w:r w:rsidRPr="004A219E">
        <w:rPr>
          <w:rFonts w:asciiTheme="majorHAnsi" w:hAnsiTheme="majorHAnsi" w:cstheme="majorHAnsi"/>
        </w:rPr>
        <w:t>Selection Results</w:t>
      </w:r>
    </w:p>
    <w:p w14:paraId="4E197D67" w14:textId="0FDC2660" w:rsidR="00A92ECD" w:rsidRPr="004A219E" w:rsidRDefault="00A92ECD" w:rsidP="00A92ECD">
      <w:pPr>
        <w:pStyle w:val="BodyText"/>
        <w:rPr>
          <w:color w:val="auto"/>
        </w:rPr>
      </w:pPr>
      <w:r w:rsidRPr="004A219E">
        <w:t xml:space="preserve">There was a strong interest in the grant opportunity and applications were of a high standard. </w:t>
      </w:r>
      <w:r w:rsidRPr="004A219E">
        <w:rPr>
          <w:color w:val="auto"/>
        </w:rPr>
        <w:t>The preferred applicants demonstrated their ability to meet the grant requirements outlined in the guidelines based on the strength of their responses to the assessment criteria.</w:t>
      </w:r>
    </w:p>
    <w:p w14:paraId="42ECB840" w14:textId="54F260B0" w:rsidR="00A92ECD" w:rsidRPr="004A219E" w:rsidRDefault="00A92ECD" w:rsidP="00A92ECD">
      <w:pPr>
        <w:pStyle w:val="BodyText"/>
      </w:pPr>
      <w:r w:rsidRPr="004A219E">
        <w:rPr>
          <w:rStyle w:val="ui-provider"/>
          <w:color w:val="auto"/>
        </w:rPr>
        <w:t>The Hub</w:t>
      </w:r>
      <w:r w:rsidR="00F92DCB" w:rsidRPr="004A219E">
        <w:rPr>
          <w:rStyle w:val="ui-provider"/>
          <w:color w:val="auto"/>
        </w:rPr>
        <w:t xml:space="preserve"> </w:t>
      </w:r>
      <w:r w:rsidRPr="004A219E">
        <w:rPr>
          <w:rStyle w:val="ui-provider"/>
        </w:rPr>
        <w:t>notified applicants of the outcome in writing, where their applications did not meet the requirements outlined in the guidelines.</w:t>
      </w:r>
    </w:p>
    <w:p w14:paraId="0E65554E" w14:textId="28AF646B" w:rsidR="00A92ECD" w:rsidRDefault="00A92ECD" w:rsidP="00A92ECD">
      <w:pPr>
        <w:pStyle w:val="BodyText"/>
      </w:pPr>
      <w:r w:rsidRPr="004A219E">
        <w:t xml:space="preserve">This feedback is provided to assist grant applicants to understand what comprised a strong application and what </w:t>
      </w:r>
      <w:r w:rsidR="00060405" w:rsidRPr="004A219E">
        <w:t>were</w:t>
      </w:r>
      <w:r w:rsidRPr="004A219E">
        <w:t xml:space="preserve"> quality responses to the assessment criteria.</w:t>
      </w:r>
    </w:p>
    <w:p w14:paraId="50F85618" w14:textId="77777777" w:rsidR="00A92ECD" w:rsidRPr="004A219E" w:rsidRDefault="00A92ECD" w:rsidP="001A11D3">
      <w:pPr>
        <w:pStyle w:val="Heading2"/>
        <w:keepNext/>
        <w:keepLines/>
        <w:rPr>
          <w:rFonts w:asciiTheme="majorHAnsi" w:hAnsiTheme="majorHAnsi" w:cstheme="majorHAnsi"/>
        </w:rPr>
      </w:pPr>
      <w:r w:rsidRPr="004A219E">
        <w:rPr>
          <w:rFonts w:asciiTheme="majorHAnsi" w:hAnsiTheme="majorHAnsi" w:cstheme="majorHAnsi"/>
        </w:rPr>
        <w:lastRenderedPageBreak/>
        <w:t>Criterion 1</w:t>
      </w:r>
    </w:p>
    <w:p w14:paraId="14EA4C9B" w14:textId="77777777" w:rsidR="009C1723" w:rsidRPr="004A219E" w:rsidRDefault="009C1723" w:rsidP="001A11D3">
      <w:pPr>
        <w:pStyle w:val="Heading4"/>
        <w:spacing w:before="40" w:after="120" w:line="280" w:lineRule="atLeast"/>
        <w:rPr>
          <w:rFonts w:asciiTheme="majorHAnsi" w:hAnsiTheme="majorHAnsi" w:cstheme="majorHAnsi"/>
          <w:b w:val="0"/>
          <w:iCs w:val="0"/>
          <w:color w:val="000000" w:themeColor="text1"/>
          <w:szCs w:val="28"/>
        </w:rPr>
      </w:pPr>
      <w:r w:rsidRPr="004A219E">
        <w:rPr>
          <w:rFonts w:asciiTheme="majorHAnsi" w:hAnsiTheme="majorHAnsi" w:cstheme="majorHAnsi"/>
          <w:b w:val="0"/>
          <w:iCs w:val="0"/>
          <w:color w:val="000000" w:themeColor="text1"/>
          <w:szCs w:val="28"/>
        </w:rPr>
        <w:t>Detail the intent, design, and delivery of the paid employment placement and wrap around services with a focus on explaining how this will assist each job seeker address their barriers to employment, increase their employability and support their transition into the workforce.</w:t>
      </w:r>
    </w:p>
    <w:p w14:paraId="095F8D53" w14:textId="2B5092FA" w:rsidR="00F92DCB" w:rsidRPr="004A219E" w:rsidRDefault="00F92DCB" w:rsidP="001A11D3">
      <w:pPr>
        <w:pStyle w:val="Heading4"/>
        <w:spacing w:before="40" w:after="120" w:line="280" w:lineRule="atLeast"/>
        <w:rPr>
          <w:rFonts w:asciiTheme="minorHAnsi" w:eastAsiaTheme="minorHAnsi" w:hAnsiTheme="minorHAnsi" w:cs="Times New Roman"/>
          <w:b w:val="0"/>
          <w:bCs w:val="0"/>
          <w:iCs w:val="0"/>
          <w:color w:val="000000" w:themeColor="text1"/>
          <w:sz w:val="22"/>
        </w:rPr>
      </w:pPr>
      <w:r w:rsidRPr="004A219E">
        <w:rPr>
          <w:rFonts w:asciiTheme="minorHAnsi" w:eastAsiaTheme="minorHAnsi" w:hAnsiTheme="minorHAnsi" w:cs="Times New Roman"/>
          <w:b w:val="0"/>
          <w:bCs w:val="0"/>
          <w:iCs w:val="0"/>
          <w:color w:val="000000" w:themeColor="text1"/>
          <w:sz w:val="22"/>
        </w:rPr>
        <w:t>When addressing the criterion, strong applicants have:</w:t>
      </w:r>
    </w:p>
    <w:p w14:paraId="36502301" w14:textId="29BBBCCC" w:rsidR="00F92DCB" w:rsidRPr="004A219E" w:rsidRDefault="00F92DCB" w:rsidP="001A11D3">
      <w:pPr>
        <w:pStyle w:val="BodyText"/>
        <w:numPr>
          <w:ilvl w:val="0"/>
          <w:numId w:val="8"/>
        </w:numPr>
        <w:spacing w:before="40" w:after="120"/>
      </w:pPr>
      <w:r w:rsidRPr="004A219E">
        <w:t>describe</w:t>
      </w:r>
      <w:r w:rsidR="00D75763" w:rsidRPr="004A219E">
        <w:t>d</w:t>
      </w:r>
      <w:r w:rsidRPr="004A219E">
        <w:t xml:space="preserve"> the activity objectives and how they</w:t>
      </w:r>
      <w:r w:rsidR="00D75763" w:rsidRPr="004A219E">
        <w:t xml:space="preserve"> will</w:t>
      </w:r>
      <w:r w:rsidRPr="004A219E">
        <w:t xml:space="preserve"> align with the objectives of the </w:t>
      </w:r>
      <w:proofErr w:type="spellStart"/>
      <w:r w:rsidRPr="004A219E">
        <w:t>WorkFoundations</w:t>
      </w:r>
      <w:proofErr w:type="spellEnd"/>
      <w:r w:rsidRPr="004A219E">
        <w:t xml:space="preserve"> program</w:t>
      </w:r>
    </w:p>
    <w:p w14:paraId="0C230CF0" w14:textId="2DEC47AC" w:rsidR="00D75763" w:rsidRPr="004A219E" w:rsidRDefault="00D75763" w:rsidP="001A11D3">
      <w:pPr>
        <w:pStyle w:val="BodyText"/>
        <w:numPr>
          <w:ilvl w:val="0"/>
          <w:numId w:val="8"/>
        </w:numPr>
        <w:spacing w:before="40" w:after="120"/>
      </w:pPr>
      <w:r w:rsidRPr="004A219E">
        <w:t>described the intended outcomes and the key deliverables for both the job seeker and employer</w:t>
      </w:r>
    </w:p>
    <w:p w14:paraId="300F3DDC" w14:textId="1B4C0110" w:rsidR="00D75763" w:rsidRPr="004A219E" w:rsidRDefault="00D75763" w:rsidP="001A11D3">
      <w:pPr>
        <w:pStyle w:val="BodyText"/>
        <w:numPr>
          <w:ilvl w:val="0"/>
          <w:numId w:val="8"/>
        </w:numPr>
        <w:spacing w:before="40" w:after="120"/>
      </w:pPr>
      <w:r w:rsidRPr="004A219E">
        <w:t>explained how the activity was designed, and how it will remain appropriate to meet the needs of the job seeker and employer, including:</w:t>
      </w:r>
    </w:p>
    <w:p w14:paraId="53C4FAC3" w14:textId="4C8D36EB" w:rsidR="00D75763" w:rsidRPr="004A219E" w:rsidRDefault="00D75763" w:rsidP="001A11D3">
      <w:pPr>
        <w:pStyle w:val="BodyText"/>
        <w:numPr>
          <w:ilvl w:val="1"/>
          <w:numId w:val="14"/>
        </w:numPr>
        <w:spacing w:before="40" w:after="120"/>
      </w:pPr>
      <w:r w:rsidRPr="004A219E">
        <w:t>who was involved in the design and why</w:t>
      </w:r>
    </w:p>
    <w:p w14:paraId="6F1C66FA" w14:textId="19106510" w:rsidR="00D75763" w:rsidRPr="004A219E" w:rsidRDefault="00D75763" w:rsidP="001A11D3">
      <w:pPr>
        <w:pStyle w:val="BodyText"/>
        <w:numPr>
          <w:ilvl w:val="1"/>
          <w:numId w:val="14"/>
        </w:numPr>
        <w:spacing w:before="40" w:after="120"/>
      </w:pPr>
      <w:r w:rsidRPr="004A219E">
        <w:t xml:space="preserve">whether there </w:t>
      </w:r>
      <w:r w:rsidR="00656AA9" w:rsidRPr="004A219E">
        <w:t xml:space="preserve">is </w:t>
      </w:r>
      <w:r w:rsidRPr="004A219E">
        <w:t>a target demographic within the cohort and why</w:t>
      </w:r>
    </w:p>
    <w:p w14:paraId="2FA77969" w14:textId="2501E0EB" w:rsidR="00D75763" w:rsidRPr="004A219E" w:rsidRDefault="00D75763" w:rsidP="001A11D3">
      <w:pPr>
        <w:pStyle w:val="BodyText"/>
        <w:numPr>
          <w:ilvl w:val="1"/>
          <w:numId w:val="14"/>
        </w:numPr>
        <w:spacing w:before="40" w:after="120"/>
      </w:pPr>
      <w:r w:rsidRPr="004A219E">
        <w:t>what informed the design of each placement and selection and costing of wrap around services</w:t>
      </w:r>
    </w:p>
    <w:p w14:paraId="2BB3621E" w14:textId="541E637F" w:rsidR="00D75763" w:rsidRPr="004A219E" w:rsidRDefault="00D75763" w:rsidP="001A11D3">
      <w:pPr>
        <w:pStyle w:val="BodyText"/>
        <w:numPr>
          <w:ilvl w:val="1"/>
          <w:numId w:val="14"/>
        </w:numPr>
        <w:spacing w:before="40" w:after="120"/>
      </w:pPr>
      <w:r w:rsidRPr="004A219E">
        <w:t>how each key element benefits the job seeker and the employer to achieve success.</w:t>
      </w:r>
    </w:p>
    <w:p w14:paraId="53F17227" w14:textId="5E7930F1" w:rsidR="00F92DCB" w:rsidRPr="004A219E" w:rsidRDefault="00D75763" w:rsidP="001A11D3">
      <w:pPr>
        <w:pStyle w:val="BodyText"/>
        <w:numPr>
          <w:ilvl w:val="0"/>
          <w:numId w:val="8"/>
        </w:numPr>
        <w:spacing w:before="40" w:after="120"/>
      </w:pPr>
      <w:r w:rsidRPr="004A219E">
        <w:t>described the key aspects of delivery, such as the user experience, from the perspectives of both the job seeker and the employer.</w:t>
      </w:r>
    </w:p>
    <w:p w14:paraId="0D941E64" w14:textId="1C751D4A" w:rsidR="00A92ECD" w:rsidRPr="004A219E" w:rsidRDefault="00A92ECD" w:rsidP="001A11D3">
      <w:pPr>
        <w:pStyle w:val="Heading4"/>
        <w:spacing w:before="40" w:after="120" w:line="280" w:lineRule="atLeast"/>
        <w:rPr>
          <w:rFonts w:asciiTheme="majorHAnsi" w:hAnsiTheme="majorHAnsi" w:cstheme="majorHAnsi"/>
        </w:rPr>
      </w:pPr>
      <w:r w:rsidRPr="004A219E">
        <w:rPr>
          <w:rFonts w:asciiTheme="majorHAnsi" w:hAnsiTheme="majorHAnsi" w:cstheme="majorHAnsi"/>
        </w:rPr>
        <w:t>Strong applications:</w:t>
      </w:r>
    </w:p>
    <w:p w14:paraId="5EAADF2B" w14:textId="57C7A346" w:rsidR="00B3093C" w:rsidRPr="004A219E" w:rsidRDefault="00E307CD" w:rsidP="001A11D3">
      <w:pPr>
        <w:pStyle w:val="BodyText"/>
        <w:numPr>
          <w:ilvl w:val="0"/>
          <w:numId w:val="6"/>
        </w:numPr>
        <w:spacing w:before="40" w:after="120"/>
      </w:pPr>
      <w:r w:rsidRPr="004A219E">
        <w:t>d</w:t>
      </w:r>
      <w:r w:rsidR="00F95559" w:rsidRPr="004A219E">
        <w:t xml:space="preserve">emonstrated the intent of the program </w:t>
      </w:r>
      <w:r w:rsidR="00781B95" w:rsidRPr="004A219E">
        <w:t xml:space="preserve">by </w:t>
      </w:r>
      <w:r w:rsidR="005C7224" w:rsidRPr="004A219E">
        <w:t xml:space="preserve">treating the </w:t>
      </w:r>
      <w:proofErr w:type="spellStart"/>
      <w:r w:rsidR="005C7224" w:rsidRPr="004A219E">
        <w:t>WorkFoundations</w:t>
      </w:r>
      <w:proofErr w:type="spellEnd"/>
      <w:r w:rsidR="005C7224" w:rsidRPr="004A219E">
        <w:t xml:space="preserve"> placement as </w:t>
      </w:r>
      <w:r w:rsidR="00EA60D4" w:rsidRPr="004A219E">
        <w:t xml:space="preserve">paid </w:t>
      </w:r>
      <w:r w:rsidR="00E41010" w:rsidRPr="004A219E">
        <w:t xml:space="preserve">employment </w:t>
      </w:r>
      <w:r w:rsidR="00EA60D4" w:rsidRPr="004A219E">
        <w:t xml:space="preserve">and </w:t>
      </w:r>
      <w:r w:rsidR="005C7224" w:rsidRPr="004A219E">
        <w:t>employing the participant</w:t>
      </w:r>
      <w:r w:rsidR="00EA60D4" w:rsidRPr="004A219E">
        <w:t xml:space="preserve"> from the onset.</w:t>
      </w:r>
    </w:p>
    <w:p w14:paraId="7830AF61" w14:textId="20CF9C5C" w:rsidR="00455FB6" w:rsidRPr="004A219E" w:rsidRDefault="00A36C1F" w:rsidP="001A11D3">
      <w:pPr>
        <w:pStyle w:val="BodyText"/>
        <w:numPr>
          <w:ilvl w:val="0"/>
          <w:numId w:val="6"/>
        </w:numPr>
        <w:spacing w:before="40" w:after="120"/>
      </w:pPr>
      <w:r w:rsidRPr="004A219E">
        <w:t xml:space="preserve">will deliver </w:t>
      </w:r>
      <w:r w:rsidR="00A74889" w:rsidRPr="004A219E">
        <w:t xml:space="preserve">wrap around services </w:t>
      </w:r>
      <w:r w:rsidR="007407B4" w:rsidRPr="004A219E">
        <w:t xml:space="preserve">integrated </w:t>
      </w:r>
      <w:r w:rsidR="00455FB6" w:rsidRPr="004A219E">
        <w:t xml:space="preserve">with their </w:t>
      </w:r>
      <w:proofErr w:type="spellStart"/>
      <w:r w:rsidR="00434F42" w:rsidRPr="004A219E">
        <w:t>WorkFoundations</w:t>
      </w:r>
      <w:proofErr w:type="spellEnd"/>
      <w:r w:rsidR="00434F42" w:rsidRPr="004A219E">
        <w:t xml:space="preserve"> </w:t>
      </w:r>
      <w:r w:rsidR="00A74889" w:rsidRPr="004A219E">
        <w:t>placement</w:t>
      </w:r>
      <w:r w:rsidR="00455FB6" w:rsidRPr="004A219E">
        <w:t>.</w:t>
      </w:r>
    </w:p>
    <w:p w14:paraId="32D2AB78" w14:textId="69846E5E" w:rsidR="00921998" w:rsidRPr="004A219E" w:rsidRDefault="00CA7584" w:rsidP="001A11D3">
      <w:pPr>
        <w:pStyle w:val="BodyText"/>
        <w:numPr>
          <w:ilvl w:val="0"/>
          <w:numId w:val="6"/>
        </w:numPr>
        <w:spacing w:before="40" w:after="120"/>
      </w:pPr>
      <w:r w:rsidRPr="004A219E">
        <w:t>e</w:t>
      </w:r>
      <w:r w:rsidR="009E0432" w:rsidRPr="004A219E">
        <w:t xml:space="preserve">xplained </w:t>
      </w:r>
      <w:r w:rsidR="009F36D7" w:rsidRPr="004A219E">
        <w:t xml:space="preserve">how </w:t>
      </w:r>
      <w:r w:rsidR="009E0432" w:rsidRPr="004A219E">
        <w:t xml:space="preserve">the </w:t>
      </w:r>
      <w:r w:rsidR="009F36D7" w:rsidRPr="004A219E">
        <w:t>participant</w:t>
      </w:r>
      <w:r w:rsidR="0046660F" w:rsidRPr="004A219E">
        <w:t xml:space="preserve"> will progress through the placement </w:t>
      </w:r>
      <w:r w:rsidR="00A96DBF" w:rsidRPr="004A219E">
        <w:t xml:space="preserve">and </w:t>
      </w:r>
      <w:r w:rsidR="000756DE" w:rsidRPr="004A219E">
        <w:t xml:space="preserve">what </w:t>
      </w:r>
      <w:r w:rsidR="00EC401B" w:rsidRPr="004A219E">
        <w:t xml:space="preserve">positive </w:t>
      </w:r>
      <w:r w:rsidR="000756DE" w:rsidRPr="004A219E">
        <w:t>outcome</w:t>
      </w:r>
      <w:r w:rsidR="00EC401B" w:rsidRPr="004A219E">
        <w:t>s</w:t>
      </w:r>
      <w:r w:rsidR="000756DE" w:rsidRPr="004A219E">
        <w:t xml:space="preserve"> will </w:t>
      </w:r>
      <w:r w:rsidR="00EC401B" w:rsidRPr="004A219E">
        <w:t xml:space="preserve">be </w:t>
      </w:r>
      <w:r w:rsidR="000756DE" w:rsidRPr="004A219E">
        <w:t>achieve</w:t>
      </w:r>
      <w:r w:rsidR="00EC401B" w:rsidRPr="004A219E">
        <w:t>d</w:t>
      </w:r>
      <w:r w:rsidR="00921998" w:rsidRPr="004A219E">
        <w:t xml:space="preserve"> for </w:t>
      </w:r>
      <w:r w:rsidR="004444B5" w:rsidRPr="004A219E">
        <w:t>the participant and the employer</w:t>
      </w:r>
      <w:r w:rsidR="00EC401B" w:rsidRPr="004A219E">
        <w:t xml:space="preserve"> </w:t>
      </w:r>
      <w:r w:rsidR="00FA6E51" w:rsidRPr="004A219E">
        <w:t xml:space="preserve">on completion of the </w:t>
      </w:r>
      <w:r w:rsidR="00EC401B" w:rsidRPr="004A219E">
        <w:t>placement</w:t>
      </w:r>
      <w:r w:rsidR="000756DE" w:rsidRPr="004A219E">
        <w:t>.</w:t>
      </w:r>
    </w:p>
    <w:p w14:paraId="2AC39AE2" w14:textId="57AE266D" w:rsidR="006D0753" w:rsidRPr="004A219E" w:rsidRDefault="00CA7584" w:rsidP="001A11D3">
      <w:pPr>
        <w:pStyle w:val="BodyText"/>
        <w:numPr>
          <w:ilvl w:val="0"/>
          <w:numId w:val="6"/>
        </w:numPr>
        <w:spacing w:before="40" w:after="120"/>
      </w:pPr>
      <w:r w:rsidRPr="004A219E">
        <w:t xml:space="preserve">clearly </w:t>
      </w:r>
      <w:r w:rsidR="00AF39CE" w:rsidRPr="004A219E">
        <w:t>d</w:t>
      </w:r>
      <w:r w:rsidR="00F978E7" w:rsidRPr="004A219E">
        <w:t xml:space="preserve">emonstrated </w:t>
      </w:r>
      <w:r w:rsidR="00EA2695" w:rsidRPr="004A219E">
        <w:t xml:space="preserve">individuality </w:t>
      </w:r>
      <w:r w:rsidR="00471994" w:rsidRPr="004A219E">
        <w:t xml:space="preserve">and tailored </w:t>
      </w:r>
      <w:r w:rsidR="00B36C9C" w:rsidRPr="004A219E">
        <w:t xml:space="preserve">the </w:t>
      </w:r>
      <w:r w:rsidR="00471994" w:rsidRPr="004A219E">
        <w:t xml:space="preserve">design </w:t>
      </w:r>
      <w:r w:rsidRPr="004A219E">
        <w:t xml:space="preserve">of their </w:t>
      </w:r>
      <w:r w:rsidR="006D0753" w:rsidRPr="004A219E">
        <w:t xml:space="preserve">application </w:t>
      </w:r>
      <w:r w:rsidR="00B36C9C" w:rsidRPr="004A219E">
        <w:t xml:space="preserve">to </w:t>
      </w:r>
      <w:r w:rsidR="001B3E6F" w:rsidRPr="004A219E">
        <w:t>eligible regions and cohorts</w:t>
      </w:r>
      <w:r w:rsidR="00FE327A" w:rsidRPr="004A219E">
        <w:t>.</w:t>
      </w:r>
    </w:p>
    <w:p w14:paraId="3133EF1F" w14:textId="4F04F57E" w:rsidR="005743A9" w:rsidRPr="004A219E" w:rsidRDefault="00864A9E" w:rsidP="001A11D3">
      <w:pPr>
        <w:pStyle w:val="BodyText"/>
        <w:numPr>
          <w:ilvl w:val="0"/>
          <w:numId w:val="6"/>
        </w:numPr>
        <w:spacing w:before="40" w:after="120"/>
      </w:pPr>
      <w:r w:rsidRPr="004A219E">
        <w:t>limited</w:t>
      </w:r>
      <w:r w:rsidR="00573BBA" w:rsidRPr="004A219E">
        <w:t xml:space="preserve"> duplicating </w:t>
      </w:r>
      <w:r w:rsidR="00446ABD" w:rsidRPr="004A219E">
        <w:t xml:space="preserve">existing </w:t>
      </w:r>
      <w:r w:rsidR="00467D51" w:rsidRPr="004A219E">
        <w:t xml:space="preserve">government funded </w:t>
      </w:r>
      <w:r w:rsidR="00446ABD" w:rsidRPr="004A219E">
        <w:t xml:space="preserve">programs </w:t>
      </w:r>
      <w:r w:rsidR="008C3D0B" w:rsidRPr="004A219E">
        <w:t>seeking to achieve similar outcomes.</w:t>
      </w:r>
    </w:p>
    <w:p w14:paraId="72BD7455" w14:textId="4CC61A05" w:rsidR="00570377" w:rsidRPr="004A219E" w:rsidRDefault="00631A30" w:rsidP="001A11D3">
      <w:pPr>
        <w:pStyle w:val="BodyText"/>
        <w:numPr>
          <w:ilvl w:val="0"/>
          <w:numId w:val="6"/>
        </w:numPr>
        <w:spacing w:before="40" w:after="120"/>
      </w:pPr>
      <w:r w:rsidRPr="004A219E">
        <w:t>a</w:t>
      </w:r>
      <w:r w:rsidR="003D084F" w:rsidRPr="004A219E">
        <w:t xml:space="preserve">rticulated </w:t>
      </w:r>
      <w:r w:rsidRPr="004A219E">
        <w:t>w</w:t>
      </w:r>
      <w:r w:rsidR="005743A9" w:rsidRPr="004A219E">
        <w:t xml:space="preserve">hat </w:t>
      </w:r>
      <w:r w:rsidR="00931AD8" w:rsidRPr="004A219E">
        <w:t xml:space="preserve">suitable </w:t>
      </w:r>
      <w:r w:rsidR="005743A9" w:rsidRPr="004A219E">
        <w:t xml:space="preserve">wrap around services </w:t>
      </w:r>
      <w:r w:rsidR="00931AD8" w:rsidRPr="004A219E">
        <w:t>would be</w:t>
      </w:r>
      <w:r w:rsidR="00060E3C" w:rsidRPr="004A219E">
        <w:t xml:space="preserve">, provided a </w:t>
      </w:r>
      <w:r w:rsidR="008D101C" w:rsidRPr="004A219E">
        <w:t xml:space="preserve">list of </w:t>
      </w:r>
      <w:r w:rsidR="0087433D" w:rsidRPr="004A219E">
        <w:t xml:space="preserve">who their </w:t>
      </w:r>
      <w:r w:rsidR="008D101C" w:rsidRPr="004A219E">
        <w:t>tailored s</w:t>
      </w:r>
      <w:r w:rsidR="009D64BF" w:rsidRPr="004A219E">
        <w:t xml:space="preserve">ervices </w:t>
      </w:r>
      <w:r w:rsidR="0087433D" w:rsidRPr="004A219E">
        <w:t xml:space="preserve">would include </w:t>
      </w:r>
      <w:r w:rsidR="005743A9" w:rsidRPr="004A219E">
        <w:t>and</w:t>
      </w:r>
      <w:r w:rsidR="00AF39CE" w:rsidRPr="004A219E">
        <w:t xml:space="preserve"> knew </w:t>
      </w:r>
      <w:r w:rsidR="0089409A" w:rsidRPr="004A219E">
        <w:t>why they are important for these participants</w:t>
      </w:r>
      <w:r w:rsidR="00060E3C" w:rsidRPr="004A219E">
        <w:t>.</w:t>
      </w:r>
    </w:p>
    <w:p w14:paraId="3EFBA87B" w14:textId="66E1219B" w:rsidR="00322489" w:rsidRPr="004A219E" w:rsidRDefault="00A239F1" w:rsidP="001A11D3">
      <w:pPr>
        <w:pStyle w:val="BodyText"/>
        <w:numPr>
          <w:ilvl w:val="0"/>
          <w:numId w:val="6"/>
        </w:numPr>
        <w:spacing w:before="40" w:after="120"/>
      </w:pPr>
      <w:r w:rsidRPr="004A219E">
        <w:t>u</w:t>
      </w:r>
      <w:r w:rsidR="00322489" w:rsidRPr="004A219E">
        <w:t xml:space="preserve">nderstood that they </w:t>
      </w:r>
      <w:r w:rsidR="00484FC2" w:rsidRPr="004A219E">
        <w:t xml:space="preserve">will be responsible for the participant for the duration of the placement and </w:t>
      </w:r>
      <w:r w:rsidRPr="004A219E">
        <w:t>that the involvement of the employment service provider will be minimal</w:t>
      </w:r>
      <w:r w:rsidR="00B00033" w:rsidRPr="004A219E">
        <w:t>.</w:t>
      </w:r>
    </w:p>
    <w:p w14:paraId="065EA4CB" w14:textId="65A4C9A3" w:rsidR="00A92ECD" w:rsidRPr="004A219E" w:rsidRDefault="00A92ECD" w:rsidP="001A11D3">
      <w:pPr>
        <w:pStyle w:val="BodyText"/>
        <w:numPr>
          <w:ilvl w:val="0"/>
          <w:numId w:val="6"/>
        </w:numPr>
        <w:spacing w:before="40" w:after="120"/>
      </w:pPr>
      <w:r w:rsidRPr="004A219E">
        <w:rPr>
          <w:rFonts w:ascii="Arial" w:eastAsia="Arial" w:hAnsi="Arial" w:cs="Arial"/>
          <w:color w:val="auto"/>
          <w:szCs w:val="22"/>
        </w:rPr>
        <w:t xml:space="preserve">include a </w:t>
      </w:r>
      <w:r w:rsidRPr="004A219E">
        <w:rPr>
          <w:rFonts w:ascii="Arial" w:eastAsia="Arial" w:hAnsi="Arial" w:cs="Arial"/>
          <w:color w:val="auto"/>
        </w:rPr>
        <w:t>point around the key strengths provided across applications in addressing attribute, ensure they are in past tense</w:t>
      </w:r>
      <w:r w:rsidR="001A11D3">
        <w:rPr>
          <w:rFonts w:ascii="Arial" w:eastAsia="Arial" w:hAnsi="Arial" w:cs="Arial"/>
          <w:color w:val="auto"/>
        </w:rPr>
        <w:t>, such as,</w:t>
      </w:r>
      <w:r w:rsidRPr="004A219E">
        <w:rPr>
          <w:rFonts w:ascii="Arial" w:eastAsia="Arial" w:hAnsi="Arial" w:cs="Arial"/>
          <w:color w:val="auto"/>
        </w:rPr>
        <w:t xml:space="preserve"> will</w:t>
      </w:r>
      <w:r w:rsidR="001A11D3">
        <w:rPr>
          <w:rFonts w:ascii="Arial" w:eastAsia="Arial" w:hAnsi="Arial" w:cs="Arial"/>
          <w:color w:val="auto"/>
        </w:rPr>
        <w:t>,</w:t>
      </w:r>
      <w:r w:rsidRPr="004A219E">
        <w:rPr>
          <w:rFonts w:ascii="Arial" w:eastAsia="Arial" w:hAnsi="Arial" w:cs="Arial"/>
          <w:color w:val="auto"/>
        </w:rPr>
        <w:t xml:space="preserve"> becomes</w:t>
      </w:r>
      <w:r w:rsidR="001A11D3">
        <w:rPr>
          <w:rFonts w:ascii="Arial" w:eastAsia="Arial" w:hAnsi="Arial" w:cs="Arial"/>
          <w:color w:val="auto"/>
        </w:rPr>
        <w:t>,</w:t>
      </w:r>
      <w:r w:rsidRPr="004A219E">
        <w:rPr>
          <w:rFonts w:ascii="Arial" w:eastAsia="Arial" w:hAnsi="Arial" w:cs="Arial"/>
          <w:color w:val="auto"/>
        </w:rPr>
        <w:t xml:space="preserve"> would </w:t>
      </w:r>
      <w:r w:rsidR="001A11D3">
        <w:rPr>
          <w:rFonts w:ascii="Arial" w:eastAsia="Arial" w:hAnsi="Arial" w:cs="Arial"/>
          <w:color w:val="auto"/>
        </w:rPr>
        <w:t>and so on</w:t>
      </w:r>
      <w:r w:rsidRPr="004A219E">
        <w:rPr>
          <w:rFonts w:ascii="Arial" w:eastAsia="Arial" w:hAnsi="Arial" w:cs="Arial"/>
          <w:color w:val="auto"/>
        </w:rPr>
        <w:t>.</w:t>
      </w:r>
    </w:p>
    <w:p w14:paraId="177A5DED" w14:textId="76517120" w:rsidR="00A92ECD" w:rsidRPr="004A219E" w:rsidRDefault="00A92ECD" w:rsidP="001A11D3">
      <w:pPr>
        <w:pStyle w:val="Heading2"/>
        <w:keepNext/>
        <w:keepLines/>
        <w:rPr>
          <w:rFonts w:asciiTheme="majorHAnsi" w:hAnsiTheme="majorHAnsi" w:cstheme="majorHAnsi"/>
        </w:rPr>
      </w:pPr>
      <w:r w:rsidRPr="004A219E">
        <w:rPr>
          <w:rFonts w:asciiTheme="majorHAnsi" w:hAnsiTheme="majorHAnsi" w:cstheme="majorHAnsi"/>
        </w:rPr>
        <w:t>Criterion 2</w:t>
      </w:r>
    </w:p>
    <w:p w14:paraId="780578A2" w14:textId="77777777" w:rsidR="009C1723" w:rsidRPr="004A219E" w:rsidRDefault="009C1723" w:rsidP="001A11D3">
      <w:pPr>
        <w:pStyle w:val="BodyText"/>
        <w:keepNext/>
        <w:keepLines/>
        <w:spacing w:before="60"/>
        <w:rPr>
          <w:sz w:val="28"/>
          <w:szCs w:val="28"/>
        </w:rPr>
      </w:pPr>
      <w:r w:rsidRPr="004A219E">
        <w:rPr>
          <w:rFonts w:asciiTheme="majorHAnsi" w:eastAsiaTheme="majorEastAsia" w:hAnsiTheme="majorHAnsi" w:cstheme="majorHAnsi"/>
          <w:bCs/>
          <w:sz w:val="28"/>
          <w:szCs w:val="28"/>
        </w:rPr>
        <w:t>Demonstrate your organisation’s capability and capacity to deliver the activity, including relevant experience delivering similar activities to the target cohort.</w:t>
      </w:r>
    </w:p>
    <w:p w14:paraId="49FC1C64" w14:textId="652E38BF" w:rsidR="009C1723" w:rsidRPr="004A219E" w:rsidRDefault="009C1723" w:rsidP="001A11D3">
      <w:pPr>
        <w:pStyle w:val="BodyText"/>
        <w:keepNext/>
        <w:keepLines/>
        <w:spacing w:before="60"/>
      </w:pPr>
      <w:r w:rsidRPr="004A219E">
        <w:t>When addressing the criterion, strong applicants have:</w:t>
      </w:r>
    </w:p>
    <w:p w14:paraId="687E920C" w14:textId="74562BAE" w:rsidR="009C1723" w:rsidRPr="004A219E" w:rsidRDefault="009C1723" w:rsidP="001A11D3">
      <w:pPr>
        <w:pStyle w:val="Heading4"/>
        <w:numPr>
          <w:ilvl w:val="0"/>
          <w:numId w:val="6"/>
        </w:numPr>
        <w:rPr>
          <w:rFonts w:asciiTheme="minorHAnsi" w:eastAsiaTheme="minorHAnsi" w:hAnsiTheme="minorHAnsi" w:cs="Times New Roman"/>
          <w:b w:val="0"/>
          <w:bCs w:val="0"/>
          <w:iCs w:val="0"/>
          <w:color w:val="000000" w:themeColor="text1"/>
          <w:sz w:val="22"/>
        </w:rPr>
      </w:pPr>
      <w:r w:rsidRPr="004A219E">
        <w:rPr>
          <w:rFonts w:asciiTheme="minorHAnsi" w:eastAsiaTheme="minorHAnsi" w:hAnsiTheme="minorHAnsi" w:cs="Times New Roman"/>
          <w:b w:val="0"/>
          <w:bCs w:val="0"/>
          <w:iCs w:val="0"/>
          <w:color w:val="000000" w:themeColor="text1"/>
          <w:sz w:val="22"/>
        </w:rPr>
        <w:t>described their organisational capability and capacity to deliver the activity, including:</w:t>
      </w:r>
    </w:p>
    <w:p w14:paraId="5AB5B43E" w14:textId="2EB6158C" w:rsidR="009C1723" w:rsidRPr="004A219E" w:rsidRDefault="009C1723" w:rsidP="00521CB7">
      <w:pPr>
        <w:pStyle w:val="Heading4"/>
        <w:numPr>
          <w:ilvl w:val="1"/>
          <w:numId w:val="16"/>
        </w:numPr>
        <w:rPr>
          <w:rFonts w:asciiTheme="minorHAnsi" w:eastAsiaTheme="minorHAnsi" w:hAnsiTheme="minorHAnsi" w:cs="Times New Roman"/>
          <w:b w:val="0"/>
          <w:bCs w:val="0"/>
          <w:iCs w:val="0"/>
          <w:color w:val="000000" w:themeColor="text1"/>
          <w:sz w:val="22"/>
        </w:rPr>
      </w:pPr>
      <w:r w:rsidRPr="004A219E">
        <w:rPr>
          <w:rFonts w:asciiTheme="minorHAnsi" w:eastAsiaTheme="minorHAnsi" w:hAnsiTheme="minorHAnsi" w:cs="Times New Roman"/>
          <w:b w:val="0"/>
          <w:bCs w:val="0"/>
          <w:iCs w:val="0"/>
          <w:color w:val="000000" w:themeColor="text1"/>
          <w:sz w:val="22"/>
        </w:rPr>
        <w:t xml:space="preserve">experience in transitioning unemployed job seekers with barriers to employment into the workforce through programs tailored for each job seeker, such as therapeutic case management, specialised wrap around services, pre-employment training, </w:t>
      </w:r>
      <w:r w:rsidR="001A11D3">
        <w:rPr>
          <w:rFonts w:asciiTheme="minorHAnsi" w:eastAsiaTheme="minorHAnsi" w:hAnsiTheme="minorHAnsi" w:cs="Times New Roman"/>
          <w:b w:val="0"/>
          <w:bCs w:val="0"/>
          <w:iCs w:val="0"/>
          <w:color w:val="000000" w:themeColor="text1"/>
          <w:sz w:val="22"/>
        </w:rPr>
        <w:t>and so on</w:t>
      </w:r>
    </w:p>
    <w:p w14:paraId="07D09F38" w14:textId="21C2003C" w:rsidR="009C1723" w:rsidRPr="004A219E" w:rsidRDefault="009C1723" w:rsidP="00521CB7">
      <w:pPr>
        <w:pStyle w:val="Heading4"/>
        <w:numPr>
          <w:ilvl w:val="1"/>
          <w:numId w:val="16"/>
        </w:numPr>
        <w:rPr>
          <w:rFonts w:asciiTheme="minorHAnsi" w:eastAsiaTheme="minorHAnsi" w:hAnsiTheme="minorHAnsi" w:cs="Times New Roman"/>
          <w:b w:val="0"/>
          <w:bCs w:val="0"/>
          <w:iCs w:val="0"/>
          <w:color w:val="000000" w:themeColor="text1"/>
          <w:sz w:val="22"/>
        </w:rPr>
      </w:pPr>
      <w:r w:rsidRPr="004A219E">
        <w:rPr>
          <w:rFonts w:asciiTheme="minorHAnsi" w:eastAsiaTheme="minorHAnsi" w:hAnsiTheme="minorHAnsi" w:cs="Times New Roman"/>
          <w:b w:val="0"/>
          <w:bCs w:val="0"/>
          <w:iCs w:val="0"/>
          <w:color w:val="000000" w:themeColor="text1"/>
          <w:sz w:val="22"/>
        </w:rPr>
        <w:t>experience identifying, understanding and delivering the required wrap around services</w:t>
      </w:r>
    </w:p>
    <w:p w14:paraId="165B1B43" w14:textId="2A8FB971" w:rsidR="009C1723" w:rsidRPr="004A219E" w:rsidRDefault="009C1723" w:rsidP="00521CB7">
      <w:pPr>
        <w:pStyle w:val="Heading4"/>
        <w:numPr>
          <w:ilvl w:val="1"/>
          <w:numId w:val="16"/>
        </w:numPr>
        <w:rPr>
          <w:rFonts w:asciiTheme="minorHAnsi" w:eastAsiaTheme="minorHAnsi" w:hAnsiTheme="minorHAnsi" w:cs="Times New Roman"/>
          <w:b w:val="0"/>
          <w:bCs w:val="0"/>
          <w:iCs w:val="0"/>
          <w:color w:val="000000" w:themeColor="text1"/>
          <w:sz w:val="22"/>
        </w:rPr>
      </w:pPr>
      <w:r w:rsidRPr="004A219E">
        <w:rPr>
          <w:rFonts w:asciiTheme="minorHAnsi" w:eastAsiaTheme="minorHAnsi" w:hAnsiTheme="minorHAnsi" w:cs="Times New Roman"/>
          <w:b w:val="0"/>
          <w:bCs w:val="0"/>
          <w:iCs w:val="0"/>
          <w:color w:val="000000" w:themeColor="text1"/>
          <w:sz w:val="22"/>
        </w:rPr>
        <w:t>anticipated resource requirements, organisational structure and delivery arrangements, roles and responsibility of key staff, qualifications and experience in delivering similar projects.</w:t>
      </w:r>
    </w:p>
    <w:p w14:paraId="4D3A18D7" w14:textId="66480D6C" w:rsidR="009C1723" w:rsidRPr="004A219E" w:rsidRDefault="009C1723" w:rsidP="009C1723">
      <w:pPr>
        <w:pStyle w:val="BodyText"/>
        <w:numPr>
          <w:ilvl w:val="0"/>
          <w:numId w:val="6"/>
        </w:numPr>
      </w:pPr>
      <w:r w:rsidRPr="004A219E">
        <w:t>described how you will engage other key stakeholders critical to delivering the activity, including employment services providers, employers, allied health professionals and other service networks. This included outlining their connection with the local community and demonstrating their ability to work collaboratively with stakeholders.</w:t>
      </w:r>
    </w:p>
    <w:p w14:paraId="7AB21B51" w14:textId="0F56DF95" w:rsidR="009C1723" w:rsidRPr="004A219E" w:rsidRDefault="009C1723" w:rsidP="009C1723">
      <w:pPr>
        <w:pStyle w:val="BodyText"/>
        <w:numPr>
          <w:ilvl w:val="0"/>
          <w:numId w:val="6"/>
        </w:numPr>
      </w:pPr>
      <w:r w:rsidRPr="004A219E">
        <w:t>provided examples or case studies of previous projects and/or activities addressing the target cohort and the associated workforce challenges that are similar in scale and complexity.</w:t>
      </w:r>
    </w:p>
    <w:p w14:paraId="51201260" w14:textId="77777777" w:rsidR="009C1723" w:rsidRPr="004A219E" w:rsidRDefault="009C1723" w:rsidP="009C1723">
      <w:pPr>
        <w:pStyle w:val="BodyText"/>
        <w:ind w:left="360"/>
        <w:rPr>
          <w:u w:val="single"/>
        </w:rPr>
      </w:pPr>
      <w:r w:rsidRPr="004A219E">
        <w:rPr>
          <w:u w:val="single"/>
        </w:rPr>
        <w:t>Additional requirement for Business stream</w:t>
      </w:r>
    </w:p>
    <w:p w14:paraId="397A8593" w14:textId="499A7C9C" w:rsidR="009C1723" w:rsidRPr="004A219E" w:rsidRDefault="009C1723" w:rsidP="009C1723">
      <w:pPr>
        <w:pStyle w:val="BodyText"/>
        <w:numPr>
          <w:ilvl w:val="0"/>
          <w:numId w:val="6"/>
        </w:numPr>
      </w:pPr>
      <w:r w:rsidRPr="004A219E">
        <w:t xml:space="preserve">explained how the successful completion of a </w:t>
      </w:r>
      <w:proofErr w:type="spellStart"/>
      <w:r w:rsidRPr="004A219E">
        <w:t>WorkFoundations</w:t>
      </w:r>
      <w:proofErr w:type="spellEnd"/>
      <w:r w:rsidRPr="004A219E">
        <w:t xml:space="preserve"> placement will lead to an offer of ongoing, sustainable employment with their organisation.</w:t>
      </w:r>
    </w:p>
    <w:p w14:paraId="03D4DC73" w14:textId="77777777" w:rsidR="009C1723" w:rsidRPr="004A219E" w:rsidRDefault="009C1723" w:rsidP="009C1723">
      <w:pPr>
        <w:pStyle w:val="BodyText"/>
        <w:ind w:left="360"/>
        <w:rPr>
          <w:u w:val="single"/>
        </w:rPr>
      </w:pPr>
      <w:r w:rsidRPr="004A219E">
        <w:rPr>
          <w:u w:val="single"/>
        </w:rPr>
        <w:t>Additional requirement for Social Enterprise stream</w:t>
      </w:r>
    </w:p>
    <w:p w14:paraId="3304E98A" w14:textId="20E5118D" w:rsidR="009C1723" w:rsidRPr="004A219E" w:rsidRDefault="009C1723" w:rsidP="009C1723">
      <w:pPr>
        <w:pStyle w:val="BodyText"/>
        <w:numPr>
          <w:ilvl w:val="0"/>
          <w:numId w:val="6"/>
        </w:numPr>
      </w:pPr>
      <w:r w:rsidRPr="004A219E">
        <w:t xml:space="preserve">demonstrated clear links with local employers who have capacity to offer ongoing sustainable employment if the </w:t>
      </w:r>
      <w:proofErr w:type="spellStart"/>
      <w:r w:rsidRPr="004A219E">
        <w:t>WorkFoundations</w:t>
      </w:r>
      <w:proofErr w:type="spellEnd"/>
      <w:r w:rsidRPr="004A219E">
        <w:t xml:space="preserve"> placement does not lead to an offer of ongoing, sustainable employment with the social enterprise.</w:t>
      </w:r>
    </w:p>
    <w:p w14:paraId="702F0751" w14:textId="5D836F8B" w:rsidR="00A92ECD" w:rsidRPr="004A219E" w:rsidRDefault="00A92ECD" w:rsidP="009C1723">
      <w:pPr>
        <w:pStyle w:val="Heading4"/>
        <w:rPr>
          <w:rFonts w:asciiTheme="majorHAnsi" w:hAnsiTheme="majorHAnsi" w:cstheme="majorHAnsi"/>
        </w:rPr>
      </w:pPr>
      <w:r w:rsidRPr="004A219E">
        <w:rPr>
          <w:rFonts w:asciiTheme="majorHAnsi" w:hAnsiTheme="majorHAnsi" w:cstheme="majorHAnsi"/>
        </w:rPr>
        <w:t>Strong applications:</w:t>
      </w:r>
    </w:p>
    <w:p w14:paraId="193288E7" w14:textId="1A656D89" w:rsidR="00E22394" w:rsidRPr="004A219E" w:rsidRDefault="00E9246C" w:rsidP="00A92ECD">
      <w:pPr>
        <w:pStyle w:val="BodyText"/>
        <w:numPr>
          <w:ilvl w:val="0"/>
          <w:numId w:val="6"/>
        </w:numPr>
        <w:spacing w:before="60"/>
      </w:pPr>
      <w:r w:rsidRPr="004A219E">
        <w:t xml:space="preserve">addressed </w:t>
      </w:r>
      <w:r w:rsidR="00937953" w:rsidRPr="004A219E">
        <w:t xml:space="preserve">all </w:t>
      </w:r>
      <w:r w:rsidR="00A679D6" w:rsidRPr="004A219E">
        <w:t xml:space="preserve">aspects </w:t>
      </w:r>
      <w:r w:rsidR="00937953" w:rsidRPr="004A219E">
        <w:t>of the selection criterion.</w:t>
      </w:r>
    </w:p>
    <w:p w14:paraId="14E1BDD2" w14:textId="52F50755" w:rsidR="002C2E70" w:rsidRPr="004A219E" w:rsidRDefault="00572A40" w:rsidP="00A92ECD">
      <w:pPr>
        <w:pStyle w:val="BodyText"/>
        <w:numPr>
          <w:ilvl w:val="0"/>
          <w:numId w:val="6"/>
        </w:numPr>
        <w:spacing w:before="60"/>
      </w:pPr>
      <w:r w:rsidRPr="004A219E">
        <w:t>p</w:t>
      </w:r>
      <w:r w:rsidR="002C2E70" w:rsidRPr="004A219E">
        <w:t>rovided a clear organisational structure</w:t>
      </w:r>
      <w:r w:rsidR="008D6225" w:rsidRPr="004A219E">
        <w:t xml:space="preserve"> and e</w:t>
      </w:r>
      <w:r w:rsidR="006B29D0" w:rsidRPr="004A219E">
        <w:t xml:space="preserve">xplained </w:t>
      </w:r>
      <w:r w:rsidR="000B24C5" w:rsidRPr="004A219E">
        <w:t xml:space="preserve">who </w:t>
      </w:r>
      <w:r w:rsidR="00CA5E3C" w:rsidRPr="004A219E">
        <w:t xml:space="preserve">within their organisation will </w:t>
      </w:r>
      <w:r w:rsidR="005F5113" w:rsidRPr="004A219E">
        <w:t>the point of contact for</w:t>
      </w:r>
      <w:r w:rsidR="00CA5E3C" w:rsidRPr="004A219E">
        <w:t xml:space="preserve"> the </w:t>
      </w:r>
      <w:r w:rsidR="006B29D0" w:rsidRPr="004A219E">
        <w:t xml:space="preserve">delivery of the </w:t>
      </w:r>
      <w:r w:rsidR="00CA5E3C" w:rsidRPr="004A219E">
        <w:t>program</w:t>
      </w:r>
      <w:r w:rsidR="00F32E43" w:rsidRPr="004A219E">
        <w:t xml:space="preserve"> including their experience and qualifications</w:t>
      </w:r>
      <w:r w:rsidR="0064430D" w:rsidRPr="004A219E">
        <w:t>.</w:t>
      </w:r>
    </w:p>
    <w:p w14:paraId="1ED068FA" w14:textId="2B7E8E02" w:rsidR="00962917" w:rsidRPr="004A219E" w:rsidRDefault="00E42099" w:rsidP="00A92ECD">
      <w:pPr>
        <w:pStyle w:val="BodyText"/>
        <w:numPr>
          <w:ilvl w:val="0"/>
          <w:numId w:val="6"/>
        </w:numPr>
        <w:spacing w:before="60"/>
      </w:pPr>
      <w:r w:rsidRPr="004A219E">
        <w:t xml:space="preserve">provided </w:t>
      </w:r>
      <w:r w:rsidR="009D3E1E" w:rsidRPr="004A219E">
        <w:t>detailed case studies that showcased a participant</w:t>
      </w:r>
      <w:r w:rsidR="007323DF" w:rsidRPr="004A219E">
        <w:t>’</w:t>
      </w:r>
      <w:r w:rsidR="009D3E1E" w:rsidRPr="004A219E">
        <w:t>s journey</w:t>
      </w:r>
      <w:r w:rsidR="00897D0A" w:rsidRPr="004A219E">
        <w:t xml:space="preserve"> and the</w:t>
      </w:r>
      <w:r w:rsidR="008D6225" w:rsidRPr="004A219E">
        <w:t xml:space="preserve"> applicants </w:t>
      </w:r>
      <w:r w:rsidR="00897D0A" w:rsidRPr="004A219E">
        <w:t xml:space="preserve">experience delivering similar </w:t>
      </w:r>
      <w:r w:rsidR="0097157A" w:rsidRPr="004A219E">
        <w:t>programs</w:t>
      </w:r>
      <w:r w:rsidR="002C24EF" w:rsidRPr="004A219E">
        <w:t>.</w:t>
      </w:r>
    </w:p>
    <w:p w14:paraId="09137902" w14:textId="1D2739FF" w:rsidR="00572A40" w:rsidRPr="004A219E" w:rsidRDefault="0062393D" w:rsidP="00A92ECD">
      <w:pPr>
        <w:pStyle w:val="BodyText"/>
        <w:numPr>
          <w:ilvl w:val="0"/>
          <w:numId w:val="6"/>
        </w:numPr>
        <w:spacing w:before="60"/>
      </w:pPr>
      <w:r w:rsidRPr="004A219E">
        <w:t>underst</w:t>
      </w:r>
      <w:r w:rsidR="00572A40" w:rsidRPr="004A219E">
        <w:t xml:space="preserve">ood </w:t>
      </w:r>
      <w:r w:rsidRPr="004A219E">
        <w:t xml:space="preserve">the </w:t>
      </w:r>
      <w:r w:rsidR="00D82EB0" w:rsidRPr="004A219E">
        <w:t xml:space="preserve">requirement </w:t>
      </w:r>
      <w:r w:rsidR="009101BF" w:rsidRPr="004A219E">
        <w:t xml:space="preserve">for tailored </w:t>
      </w:r>
      <w:r w:rsidR="000441F5" w:rsidRPr="004A219E">
        <w:t>wrap around services</w:t>
      </w:r>
      <w:r w:rsidR="00B562E4" w:rsidRPr="004A219E">
        <w:t xml:space="preserve"> that address the </w:t>
      </w:r>
      <w:r w:rsidR="00193AA9" w:rsidRPr="004A219E">
        <w:t xml:space="preserve">complex </w:t>
      </w:r>
      <w:r w:rsidR="00B562E4" w:rsidRPr="004A219E">
        <w:t xml:space="preserve">needs of the </w:t>
      </w:r>
      <w:r w:rsidR="00193AA9" w:rsidRPr="004A219E">
        <w:t xml:space="preserve">participants eligible to participate in </w:t>
      </w:r>
      <w:proofErr w:type="spellStart"/>
      <w:r w:rsidR="00193AA9" w:rsidRPr="004A219E">
        <w:t>WorkFoundations</w:t>
      </w:r>
      <w:proofErr w:type="spellEnd"/>
      <w:r w:rsidR="008869AF" w:rsidRPr="004A219E">
        <w:t>.</w:t>
      </w:r>
    </w:p>
    <w:p w14:paraId="4AFDF160" w14:textId="04E8B79E" w:rsidR="00CA5E3C" w:rsidRPr="004A219E" w:rsidRDefault="00E86F08" w:rsidP="00A92ECD">
      <w:pPr>
        <w:pStyle w:val="BodyText"/>
        <w:numPr>
          <w:ilvl w:val="0"/>
          <w:numId w:val="6"/>
        </w:numPr>
        <w:spacing w:before="60"/>
      </w:pPr>
      <w:r w:rsidRPr="004A219E">
        <w:t xml:space="preserve">demonstrated clear </w:t>
      </w:r>
      <w:r w:rsidR="00C8078A" w:rsidRPr="004A219E">
        <w:t xml:space="preserve">stakeholder </w:t>
      </w:r>
      <w:r w:rsidRPr="004A219E">
        <w:t xml:space="preserve">engagement strategies </w:t>
      </w:r>
      <w:r w:rsidR="00762F26" w:rsidRPr="004A219E">
        <w:t xml:space="preserve">and confirmed </w:t>
      </w:r>
      <w:r w:rsidR="000B4F16" w:rsidRPr="004A219E">
        <w:t xml:space="preserve">who </w:t>
      </w:r>
      <w:r w:rsidR="000B24C5" w:rsidRPr="004A219E">
        <w:t>their</w:t>
      </w:r>
      <w:r w:rsidR="002969AA" w:rsidRPr="004A219E">
        <w:t xml:space="preserve"> </w:t>
      </w:r>
      <w:proofErr w:type="spellStart"/>
      <w:r w:rsidR="002969AA" w:rsidRPr="004A219E">
        <w:t>WorkFoundations</w:t>
      </w:r>
      <w:proofErr w:type="spellEnd"/>
      <w:r w:rsidR="002969AA" w:rsidRPr="004A219E">
        <w:t xml:space="preserve"> </w:t>
      </w:r>
      <w:r w:rsidR="00D54F4A" w:rsidRPr="004A219E">
        <w:t xml:space="preserve">partners </w:t>
      </w:r>
      <w:r w:rsidR="000B24C5" w:rsidRPr="004A219E">
        <w:t>will include</w:t>
      </w:r>
      <w:r w:rsidR="00C8078A" w:rsidRPr="004A219E">
        <w:t>.</w:t>
      </w:r>
    </w:p>
    <w:p w14:paraId="5A0CA5B9" w14:textId="118625E5" w:rsidR="00541EE5" w:rsidRPr="004A219E" w:rsidRDefault="00BF33E7" w:rsidP="00A92ECD">
      <w:pPr>
        <w:pStyle w:val="BodyText"/>
        <w:numPr>
          <w:ilvl w:val="0"/>
          <w:numId w:val="6"/>
        </w:numPr>
        <w:spacing w:before="60"/>
      </w:pPr>
      <w:r w:rsidRPr="004A219E">
        <w:t>identif</w:t>
      </w:r>
      <w:r w:rsidR="000D2ED7" w:rsidRPr="004A219E">
        <w:t xml:space="preserve">ied </w:t>
      </w:r>
      <w:r w:rsidR="002969AA" w:rsidRPr="004A219E">
        <w:t xml:space="preserve">specific </w:t>
      </w:r>
      <w:r w:rsidR="008A59D1" w:rsidRPr="004A219E">
        <w:t>employment opportunities</w:t>
      </w:r>
      <w:r w:rsidR="00D32B98" w:rsidRPr="004A219E">
        <w:t xml:space="preserve">, </w:t>
      </w:r>
      <w:r w:rsidR="002969AA" w:rsidRPr="004A219E">
        <w:t xml:space="preserve">clear </w:t>
      </w:r>
      <w:r w:rsidR="00D32B98" w:rsidRPr="004A219E">
        <w:t>employment pathways</w:t>
      </w:r>
      <w:r w:rsidR="00A57F1B" w:rsidRPr="004A219E">
        <w:t xml:space="preserve">, demonstrated </w:t>
      </w:r>
      <w:r w:rsidR="003F513D" w:rsidRPr="004A219E">
        <w:t>links to employers</w:t>
      </w:r>
      <w:r w:rsidR="00A57F1B" w:rsidRPr="004A219E">
        <w:t xml:space="preserve"> and their commitment to employment outcomes</w:t>
      </w:r>
      <w:r w:rsidR="004756F6" w:rsidRPr="004A219E">
        <w:t>.</w:t>
      </w:r>
    </w:p>
    <w:p w14:paraId="72B64A38" w14:textId="0EC432A8" w:rsidR="00A92ECD" w:rsidRPr="00521CB7" w:rsidRDefault="00A92ECD" w:rsidP="00A92ECD">
      <w:pPr>
        <w:pStyle w:val="BodyText"/>
        <w:numPr>
          <w:ilvl w:val="0"/>
          <w:numId w:val="6"/>
        </w:numPr>
        <w:spacing w:before="60"/>
      </w:pPr>
      <w:r w:rsidRPr="004A219E">
        <w:rPr>
          <w:rFonts w:ascii="Arial" w:eastAsia="Arial" w:hAnsi="Arial" w:cs="Arial"/>
          <w:color w:val="auto"/>
          <w:szCs w:val="22"/>
        </w:rPr>
        <w:t xml:space="preserve">include a </w:t>
      </w:r>
      <w:r w:rsidRPr="004A219E">
        <w:rPr>
          <w:rFonts w:ascii="Arial" w:eastAsia="Arial" w:hAnsi="Arial" w:cs="Arial"/>
          <w:color w:val="auto"/>
        </w:rPr>
        <w:t>point around the key strengths provided across applications in addressing attribute, ensure they are in past tense</w:t>
      </w:r>
      <w:r w:rsidR="001A11D3">
        <w:rPr>
          <w:rFonts w:ascii="Arial" w:eastAsia="Arial" w:hAnsi="Arial" w:cs="Arial"/>
          <w:color w:val="auto"/>
        </w:rPr>
        <w:t xml:space="preserve">, such as, </w:t>
      </w:r>
      <w:r w:rsidRPr="004A219E">
        <w:rPr>
          <w:rFonts w:ascii="Arial" w:eastAsia="Arial" w:hAnsi="Arial" w:cs="Arial"/>
          <w:color w:val="auto"/>
        </w:rPr>
        <w:t>will</w:t>
      </w:r>
      <w:r w:rsidR="001A11D3">
        <w:rPr>
          <w:rFonts w:ascii="Arial" w:eastAsia="Arial" w:hAnsi="Arial" w:cs="Arial"/>
          <w:color w:val="auto"/>
        </w:rPr>
        <w:t>,</w:t>
      </w:r>
      <w:r w:rsidRPr="004A219E">
        <w:rPr>
          <w:rFonts w:ascii="Arial" w:eastAsia="Arial" w:hAnsi="Arial" w:cs="Arial"/>
          <w:color w:val="auto"/>
        </w:rPr>
        <w:t xml:space="preserve"> becomes</w:t>
      </w:r>
      <w:r w:rsidR="001A11D3">
        <w:rPr>
          <w:rFonts w:ascii="Arial" w:eastAsia="Arial" w:hAnsi="Arial" w:cs="Arial"/>
          <w:color w:val="auto"/>
        </w:rPr>
        <w:t>,</w:t>
      </w:r>
      <w:r w:rsidRPr="004A219E">
        <w:rPr>
          <w:rFonts w:ascii="Arial" w:eastAsia="Arial" w:hAnsi="Arial" w:cs="Arial"/>
          <w:color w:val="auto"/>
        </w:rPr>
        <w:t xml:space="preserve"> would </w:t>
      </w:r>
      <w:r w:rsidR="001A11D3">
        <w:rPr>
          <w:rFonts w:ascii="Arial" w:eastAsia="Arial" w:hAnsi="Arial" w:cs="Arial"/>
          <w:color w:val="auto"/>
        </w:rPr>
        <w:t>and so on</w:t>
      </w:r>
      <w:r w:rsidRPr="004A219E">
        <w:rPr>
          <w:rFonts w:ascii="Arial" w:eastAsia="Arial" w:hAnsi="Arial" w:cs="Arial"/>
          <w:color w:val="auto"/>
        </w:rPr>
        <w:t>.</w:t>
      </w:r>
    </w:p>
    <w:p w14:paraId="7474FE44" w14:textId="17D8111A" w:rsidR="00A92ECD" w:rsidRPr="004A219E" w:rsidRDefault="00A92ECD" w:rsidP="001A11D3">
      <w:pPr>
        <w:pStyle w:val="Heading2"/>
        <w:keepNext/>
        <w:keepLines/>
        <w:rPr>
          <w:rFonts w:asciiTheme="majorHAnsi" w:hAnsiTheme="majorHAnsi" w:cstheme="majorHAnsi"/>
        </w:rPr>
      </w:pPr>
      <w:r w:rsidRPr="004A219E">
        <w:rPr>
          <w:rFonts w:asciiTheme="majorHAnsi" w:hAnsiTheme="majorHAnsi" w:cstheme="majorHAnsi"/>
        </w:rPr>
        <w:t>Individual feedback</w:t>
      </w:r>
    </w:p>
    <w:p w14:paraId="3C186CE1" w14:textId="00F4F869" w:rsidR="00A92ECD" w:rsidRPr="004A219E" w:rsidRDefault="00A92ECD" w:rsidP="001A11D3">
      <w:pPr>
        <w:pStyle w:val="BodyText"/>
        <w:keepNext/>
        <w:keepLines/>
        <w:spacing w:before="40" w:after="120"/>
        <w:rPr>
          <w:color w:val="auto"/>
        </w:rPr>
      </w:pPr>
      <w:r w:rsidRPr="004A219E">
        <w:rPr>
          <w:color w:val="auto"/>
        </w:rPr>
        <w:t xml:space="preserve">To request individual feedback please follow the instructions as set out in the Grant Opportunity Guidelines section </w:t>
      </w:r>
      <w:r w:rsidR="00B138B5" w:rsidRPr="004A219E">
        <w:rPr>
          <w:color w:val="auto"/>
        </w:rPr>
        <w:t>9.1</w:t>
      </w:r>
      <w:r w:rsidRPr="004A219E">
        <w:rPr>
          <w:color w:val="auto"/>
        </w:rPr>
        <w:t>.</w:t>
      </w:r>
    </w:p>
    <w:p w14:paraId="39F2D985" w14:textId="77777777" w:rsidR="00E6658C" w:rsidRPr="004A219E" w:rsidRDefault="00EE49D4" w:rsidP="001A11D3">
      <w:pPr>
        <w:shd w:val="clear" w:color="auto" w:fill="FFFFFF" w:themeFill="background1"/>
        <w:spacing w:before="40" w:after="120"/>
      </w:pPr>
      <w:r w:rsidRPr="004A219E">
        <w:t>Section 9.1 states:</w:t>
      </w:r>
    </w:p>
    <w:p w14:paraId="3D595A0B" w14:textId="26EBAA59" w:rsidR="00EE49D4" w:rsidRPr="004A219E" w:rsidRDefault="00EE49D4" w:rsidP="001A11D3">
      <w:pPr>
        <w:shd w:val="clear" w:color="auto" w:fill="FFFFFF" w:themeFill="background1"/>
        <w:spacing w:before="40" w:after="120"/>
        <w:rPr>
          <w:b/>
          <w:bCs/>
        </w:rPr>
      </w:pPr>
      <w:r w:rsidRPr="004A219E">
        <w:t xml:space="preserve">Individual feedback will be available upon request. Applicants seeking individual feedback should submit requests to the Department of Employment and Workplace Relations at </w:t>
      </w:r>
      <w:hyperlink r:id="rId13" w:history="1">
        <w:r w:rsidRPr="004A219E">
          <w:rPr>
            <w:rStyle w:val="Hyperlink"/>
          </w:rPr>
          <w:t>WorkFoundations@dewr.gov.au</w:t>
        </w:r>
      </w:hyperlink>
      <w:r w:rsidRPr="004A219E">
        <w:t>.</w:t>
      </w:r>
    </w:p>
    <w:p w14:paraId="27E0312A" w14:textId="77777777" w:rsidR="00EE49D4" w:rsidRPr="004A219E" w:rsidRDefault="00EE49D4" w:rsidP="001A11D3">
      <w:pPr>
        <w:shd w:val="clear" w:color="auto" w:fill="FFFFFF" w:themeFill="background1"/>
        <w:spacing w:before="40" w:after="120"/>
      </w:pPr>
      <w:r w:rsidRPr="004A219E">
        <w:t>Requests for individual feedback will only be accepted within 28 days of receipt of the outcome of your application. Feedback will be provided within 60 days of receipt of the request.</w:t>
      </w:r>
    </w:p>
    <w:p w14:paraId="23F9B31E" w14:textId="12D9D426" w:rsidR="00EE49D4" w:rsidRPr="00D0606B" w:rsidRDefault="00DC00D5" w:rsidP="001A11D3">
      <w:pPr>
        <w:shd w:val="clear" w:color="auto" w:fill="FFFFFF" w:themeFill="background1"/>
        <w:spacing w:before="40" w:after="120"/>
      </w:pPr>
      <w:r w:rsidRPr="004A219E">
        <w:t xml:space="preserve">Please note the above </w:t>
      </w:r>
      <w:r w:rsidR="006A7F98" w:rsidRPr="004A219E">
        <w:t>timeframes taken from the Grant Opportunity Guidelines may change</w:t>
      </w:r>
      <w:r w:rsidR="002E5A48" w:rsidRPr="004A219E">
        <w:t>.</w:t>
      </w:r>
    </w:p>
    <w:sectPr w:rsidR="00EE49D4" w:rsidRPr="00D0606B" w:rsidSect="00A92ECD">
      <w:headerReference w:type="default" r:id="rId14"/>
      <w:footerReference w:type="default" r:id="rId15"/>
      <w:headerReference w:type="first" r:id="rId16"/>
      <w:footerReference w:type="first" r:id="rId17"/>
      <w:pgSz w:w="11906" w:h="16838" w:code="9"/>
      <w:pgMar w:top="426" w:right="1134" w:bottom="1247" w:left="1134" w:header="283" w:footer="283"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8718F" w14:textId="77777777" w:rsidR="00AF4E73" w:rsidRDefault="00AF4E73" w:rsidP="00772718">
      <w:pPr>
        <w:spacing w:line="240" w:lineRule="auto"/>
      </w:pPr>
      <w:r>
        <w:separator/>
      </w:r>
    </w:p>
  </w:endnote>
  <w:endnote w:type="continuationSeparator" w:id="0">
    <w:p w14:paraId="4B405AAF" w14:textId="77777777" w:rsidR="00AF4E73" w:rsidRDefault="00AF4E73" w:rsidP="00772718">
      <w:pPr>
        <w:spacing w:line="240" w:lineRule="auto"/>
      </w:pPr>
      <w:r>
        <w:continuationSeparator/>
      </w:r>
    </w:p>
  </w:endnote>
  <w:endnote w:type="continuationNotice" w:id="1">
    <w:p w14:paraId="022D8FCA" w14:textId="77777777" w:rsidR="00AF4E73" w:rsidRDefault="00AF4E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C872" w14:textId="2FEA0482" w:rsidR="003A3D76" w:rsidRDefault="003A3D76">
    <w:pPr>
      <w:pStyle w:val="Footer"/>
    </w:pPr>
  </w:p>
  <w:p w14:paraId="6F695BAD" w14:textId="03DB213C" w:rsidR="00A92ECD" w:rsidRPr="00753305" w:rsidRDefault="0093532D" w:rsidP="0093532D">
    <w:pPr>
      <w:pStyle w:val="Header"/>
      <w:jc w:val="center"/>
      <w:rPr>
        <w:b w:val="0"/>
        <w:bCs/>
        <w:color w:val="FF0000"/>
        <w:sz w:val="20"/>
      </w:rPr>
    </w:pPr>
    <w:r w:rsidRPr="00753305">
      <w:rPr>
        <w:b w:val="0"/>
        <w:bCs/>
        <w:color w:val="FF0000"/>
        <w:sz w:val="20"/>
      </w:rPr>
      <w:t>OFFICIAL</w:t>
    </w:r>
  </w:p>
  <w:p w14:paraId="383482CC" w14:textId="30C7AB5B" w:rsidR="00A14495" w:rsidRDefault="00E13525">
    <w:pPr>
      <w:pStyle w:val="Footer"/>
    </w:pPr>
    <w:r>
      <w:fldChar w:fldCharType="begin"/>
    </w:r>
    <w:r>
      <w:instrText xml:space="preserve"> PAGE   \* MERGEFORMAT </w:instrText>
    </w:r>
    <w:r>
      <w:fldChar w:fldCharType="separate"/>
    </w:r>
    <w:r w:rsidR="00085E16">
      <w:rPr>
        <w:noProof/>
      </w:rPr>
      <w:t>2</w:t>
    </w:r>
    <w:r>
      <w:fldChar w:fldCharType="end"/>
    </w:r>
    <w:r>
      <w:t xml:space="preserve">  </w:t>
    </w:r>
    <w:r w:rsidRPr="00A454BF">
      <w:t>|  Community Grants Hub</w:t>
    </w:r>
    <w:r w:rsidR="003A3D76">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4607" w14:textId="3FBBBA3B" w:rsidR="003A3D76" w:rsidRDefault="006632CC">
    <w:pPr>
      <w:pStyle w:val="Footer"/>
    </w:pPr>
    <w:r>
      <w:pict w14:anchorId="2CC68FC6">
        <v:rect id="_x0000_i1025" style="width:0;height:1.5pt" o:hralign="center" o:hrstd="t" o:hr="t" fillcolor="#a0a0a0" stroked="f"/>
      </w:pict>
    </w:r>
  </w:p>
  <w:p w14:paraId="1F405EB9" w14:textId="392C2E1D" w:rsidR="003A3D76" w:rsidRPr="00753305" w:rsidRDefault="0093532D" w:rsidP="0093532D">
    <w:pPr>
      <w:pStyle w:val="Header"/>
      <w:jc w:val="center"/>
      <w:rPr>
        <w:b w:val="0"/>
        <w:bCs/>
        <w:color w:val="FF0000"/>
        <w:sz w:val="20"/>
      </w:rPr>
    </w:pPr>
    <w:r w:rsidRPr="00753305">
      <w:rPr>
        <w:b w:val="0"/>
        <w:bCs/>
        <w:color w:val="FF0000"/>
        <w:sz w:val="20"/>
      </w:rPr>
      <w:t>OFFICIAL</w:t>
    </w:r>
  </w:p>
  <w:p w14:paraId="037EB36E" w14:textId="11BE8111" w:rsidR="00D91B18" w:rsidRPr="00531CD5" w:rsidRDefault="00D91B18">
    <w:pPr>
      <w:pStyle w:val="Footer"/>
    </w:pPr>
    <w:r>
      <w:fldChar w:fldCharType="begin"/>
    </w:r>
    <w:r>
      <w:instrText xml:space="preserve"> PAGE   \* MERGEFORMAT </w:instrText>
    </w:r>
    <w:r>
      <w:fldChar w:fldCharType="separate"/>
    </w:r>
    <w:r w:rsidR="00085E16">
      <w:rPr>
        <w:noProof/>
      </w:rPr>
      <w:t>1</w:t>
    </w:r>
    <w:r>
      <w:fldChar w:fldCharType="end"/>
    </w:r>
    <w:r>
      <w:t xml:space="preserve">  </w:t>
    </w:r>
    <w:r w:rsidRPr="00A454BF">
      <w:t>|  Community Grants Hub</w:t>
    </w:r>
    <w:r w:rsidR="003A3D7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57090" w14:textId="77777777" w:rsidR="00AF4E73" w:rsidRDefault="00AF4E73" w:rsidP="00772718">
      <w:pPr>
        <w:spacing w:line="240" w:lineRule="auto"/>
      </w:pPr>
      <w:r>
        <w:separator/>
      </w:r>
    </w:p>
  </w:footnote>
  <w:footnote w:type="continuationSeparator" w:id="0">
    <w:p w14:paraId="500ACAED" w14:textId="77777777" w:rsidR="00AF4E73" w:rsidRDefault="00AF4E73" w:rsidP="00772718">
      <w:pPr>
        <w:spacing w:line="240" w:lineRule="auto"/>
      </w:pPr>
      <w:r>
        <w:continuationSeparator/>
      </w:r>
    </w:p>
  </w:footnote>
  <w:footnote w:type="continuationNotice" w:id="1">
    <w:p w14:paraId="2EA13212" w14:textId="77777777" w:rsidR="00AF4E73" w:rsidRDefault="00AF4E7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B4D2" w14:textId="5D9938EF" w:rsidR="002073AA" w:rsidRPr="00753305" w:rsidRDefault="002073AA" w:rsidP="002073AA">
    <w:pPr>
      <w:pStyle w:val="Header"/>
      <w:jc w:val="center"/>
      <w:rPr>
        <w:b w:val="0"/>
        <w:bCs/>
        <w:color w:val="FF0000"/>
        <w:sz w:val="20"/>
      </w:rPr>
    </w:pPr>
    <w:r w:rsidRPr="00753305">
      <w:rPr>
        <w:b w:val="0"/>
        <w:bCs/>
        <w:color w:val="FF0000"/>
        <w:sz w:val="20"/>
      </w:rPr>
      <w:t>OFFICIAL</w:t>
    </w:r>
  </w:p>
  <w:p w14:paraId="2B841FD7" w14:textId="77777777" w:rsidR="002073AA" w:rsidRDefault="00207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11E0" w14:textId="77777777" w:rsidR="00D0606B" w:rsidRPr="00753305" w:rsidRDefault="00D0606B" w:rsidP="00D0606B">
    <w:pPr>
      <w:pStyle w:val="Header"/>
      <w:jc w:val="center"/>
      <w:rPr>
        <w:b w:val="0"/>
        <w:bCs/>
        <w:color w:val="FF0000"/>
        <w:sz w:val="20"/>
      </w:rPr>
    </w:pPr>
    <w:r w:rsidRPr="00753305">
      <w:rPr>
        <w:b w:val="0"/>
        <w:bCs/>
        <w:color w:val="FF0000"/>
        <w:sz w:val="20"/>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047D5A83"/>
    <w:multiLevelType w:val="hybridMultilevel"/>
    <w:tmpl w:val="01A2098E"/>
    <w:lvl w:ilvl="0" w:tplc="FFFFFFFF">
      <w:start w:val="1"/>
      <w:numFmt w:val="bullet"/>
      <w:lvlText w:val=""/>
      <w:lvlJc w:val="left"/>
      <w:pPr>
        <w:ind w:left="360" w:hanging="360"/>
      </w:pPr>
      <w:rPr>
        <w:rFonts w:ascii="Wingdings" w:hAnsi="Wingdings" w:hint="default"/>
      </w:rPr>
    </w:lvl>
    <w:lvl w:ilvl="1" w:tplc="DAC2D07A">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673AB2"/>
    <w:multiLevelType w:val="hybridMultilevel"/>
    <w:tmpl w:val="7F8A71DC"/>
    <w:lvl w:ilvl="0" w:tplc="0C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06C2544"/>
    <w:multiLevelType w:val="hybridMultilevel"/>
    <w:tmpl w:val="CCE891B4"/>
    <w:lvl w:ilvl="0" w:tplc="FFFFFFFF">
      <w:start w:val="1"/>
      <w:numFmt w:val="bullet"/>
      <w:lvlText w:val="-"/>
      <w:lvlJc w:val="left"/>
      <w:pPr>
        <w:ind w:left="720" w:hanging="360"/>
      </w:pPr>
      <w:rPr>
        <w:rFonts w:ascii="Courier New" w:hAnsi="Courier New" w:hint="default"/>
      </w:rPr>
    </w:lvl>
    <w:lvl w:ilvl="1" w:tplc="DAC2D07A">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1600D7"/>
    <w:multiLevelType w:val="hybridMultilevel"/>
    <w:tmpl w:val="D332D3F4"/>
    <w:lvl w:ilvl="0" w:tplc="DAC2D07A">
      <w:start w:val="1"/>
      <w:numFmt w:val="bullet"/>
      <w:lvlText w:val="-"/>
      <w:lvlJc w:val="left"/>
      <w:pPr>
        <w:ind w:left="1440" w:hanging="360"/>
      </w:pPr>
      <w:rPr>
        <w:rFonts w:ascii="Courier New" w:hAnsi="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2A2A39AF"/>
    <w:multiLevelType w:val="hybridMultilevel"/>
    <w:tmpl w:val="6C927A82"/>
    <w:lvl w:ilvl="0" w:tplc="92040CE4">
      <w:start w:val="1"/>
      <w:numFmt w:val="bullet"/>
      <w:lvlText w:val=""/>
      <w:lvlJc w:val="left"/>
      <w:pPr>
        <w:ind w:left="720" w:hanging="360"/>
      </w:pPr>
      <w:rPr>
        <w:rFonts w:ascii="Wingdings" w:hAnsi="Wingdings" w:hint="default"/>
        <w:color w:val="264F90"/>
      </w:rPr>
    </w:lvl>
    <w:lvl w:ilvl="1" w:tplc="C35AFBEC">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A7289E"/>
    <w:multiLevelType w:val="hybridMultilevel"/>
    <w:tmpl w:val="3FA29ACA"/>
    <w:lvl w:ilvl="0" w:tplc="FFFFFFFF">
      <w:start w:val="1"/>
      <w:numFmt w:val="bullet"/>
      <w:lvlText w:val=""/>
      <w:lvlJc w:val="left"/>
      <w:pPr>
        <w:ind w:left="360" w:hanging="360"/>
      </w:pPr>
      <w:rPr>
        <w:rFonts w:ascii="Wingdings" w:hAnsi="Wingdings" w:hint="default"/>
      </w:rPr>
    </w:lvl>
    <w:lvl w:ilvl="1" w:tplc="DAC2D07A">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9" w15:restartNumberingAfterBreak="0">
    <w:nsid w:val="41B572D5"/>
    <w:multiLevelType w:val="hybridMultilevel"/>
    <w:tmpl w:val="61B6DA06"/>
    <w:lvl w:ilvl="0" w:tplc="DAC2D07A">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4D502CB0"/>
    <w:multiLevelType w:val="hybridMultilevel"/>
    <w:tmpl w:val="7DC212AC"/>
    <w:lvl w:ilvl="0" w:tplc="FFFFFFFF">
      <w:start w:val="1"/>
      <w:numFmt w:val="bullet"/>
      <w:lvlText w:val="-"/>
      <w:lvlJc w:val="left"/>
      <w:pPr>
        <w:ind w:left="1440" w:hanging="360"/>
      </w:pPr>
      <w:rPr>
        <w:rFonts w:ascii="Courier New" w:hAnsi="Courier New" w:hint="default"/>
      </w:rPr>
    </w:lvl>
    <w:lvl w:ilvl="1" w:tplc="DAC2D07A">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68461B0D"/>
    <w:multiLevelType w:val="hybridMultilevel"/>
    <w:tmpl w:val="8D989334"/>
    <w:lvl w:ilvl="0" w:tplc="92040CE4">
      <w:start w:val="1"/>
      <w:numFmt w:val="bullet"/>
      <w:lvlText w:val=""/>
      <w:lvlJc w:val="left"/>
      <w:pPr>
        <w:ind w:left="357" w:hanging="360"/>
      </w:pPr>
      <w:rPr>
        <w:rFonts w:ascii="Wingdings" w:hAnsi="Wingdings" w:hint="default"/>
        <w:color w:val="264F90"/>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13"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num w:numId="1" w16cid:durableId="492836538">
    <w:abstractNumId w:val="0"/>
  </w:num>
  <w:num w:numId="2" w16cid:durableId="1493981043">
    <w:abstractNumId w:val="13"/>
  </w:num>
  <w:num w:numId="3" w16cid:durableId="999308129">
    <w:abstractNumId w:val="5"/>
  </w:num>
  <w:num w:numId="4" w16cid:durableId="439571975">
    <w:abstractNumId w:val="10"/>
  </w:num>
  <w:num w:numId="5" w16cid:durableId="250505642">
    <w:abstractNumId w:val="8"/>
  </w:num>
  <w:num w:numId="6" w16cid:durableId="1809128244">
    <w:abstractNumId w:val="6"/>
  </w:num>
  <w:num w:numId="7" w16cid:durableId="619802809">
    <w:abstractNumId w:val="6"/>
  </w:num>
  <w:num w:numId="8" w16cid:durableId="1171068610">
    <w:abstractNumId w:val="6"/>
  </w:num>
  <w:num w:numId="9" w16cid:durableId="1531525042">
    <w:abstractNumId w:val="12"/>
  </w:num>
  <w:num w:numId="10" w16cid:durableId="2083520714">
    <w:abstractNumId w:val="2"/>
  </w:num>
  <w:num w:numId="11" w16cid:durableId="1645352161">
    <w:abstractNumId w:val="7"/>
  </w:num>
  <w:num w:numId="12" w16cid:durableId="566575608">
    <w:abstractNumId w:val="1"/>
  </w:num>
  <w:num w:numId="13" w16cid:durableId="1370035928">
    <w:abstractNumId w:val="4"/>
  </w:num>
  <w:num w:numId="14" w16cid:durableId="699473793">
    <w:abstractNumId w:val="11"/>
  </w:num>
  <w:num w:numId="15" w16cid:durableId="2133672492">
    <w:abstractNumId w:val="9"/>
  </w:num>
  <w:num w:numId="16" w16cid:durableId="1266226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CD"/>
    <w:rsid w:val="00000555"/>
    <w:rsid w:val="00000A51"/>
    <w:rsid w:val="00002EE1"/>
    <w:rsid w:val="00004A79"/>
    <w:rsid w:val="00007DE9"/>
    <w:rsid w:val="00015AE4"/>
    <w:rsid w:val="0003018E"/>
    <w:rsid w:val="00033AE7"/>
    <w:rsid w:val="00033BC3"/>
    <w:rsid w:val="0003494C"/>
    <w:rsid w:val="000441F5"/>
    <w:rsid w:val="00044E09"/>
    <w:rsid w:val="0004784D"/>
    <w:rsid w:val="00053A00"/>
    <w:rsid w:val="0005492A"/>
    <w:rsid w:val="00054E0A"/>
    <w:rsid w:val="00055D1D"/>
    <w:rsid w:val="00060405"/>
    <w:rsid w:val="00060E3C"/>
    <w:rsid w:val="00063E32"/>
    <w:rsid w:val="00070A43"/>
    <w:rsid w:val="000756DE"/>
    <w:rsid w:val="0008095F"/>
    <w:rsid w:val="00085E16"/>
    <w:rsid w:val="0008753C"/>
    <w:rsid w:val="000A26BC"/>
    <w:rsid w:val="000A5E31"/>
    <w:rsid w:val="000B24C5"/>
    <w:rsid w:val="000B4F16"/>
    <w:rsid w:val="000B6C00"/>
    <w:rsid w:val="000C1F06"/>
    <w:rsid w:val="000C7C00"/>
    <w:rsid w:val="000D2ED7"/>
    <w:rsid w:val="000D4512"/>
    <w:rsid w:val="000F1DD1"/>
    <w:rsid w:val="000F28B8"/>
    <w:rsid w:val="000F3766"/>
    <w:rsid w:val="00102136"/>
    <w:rsid w:val="00106FC4"/>
    <w:rsid w:val="00111F0C"/>
    <w:rsid w:val="0011274B"/>
    <w:rsid w:val="00122051"/>
    <w:rsid w:val="00131498"/>
    <w:rsid w:val="00133A1A"/>
    <w:rsid w:val="001450BF"/>
    <w:rsid w:val="00145E2D"/>
    <w:rsid w:val="00146699"/>
    <w:rsid w:val="00146DF3"/>
    <w:rsid w:val="00152380"/>
    <w:rsid w:val="001652DE"/>
    <w:rsid w:val="0016612C"/>
    <w:rsid w:val="00171634"/>
    <w:rsid w:val="001763D4"/>
    <w:rsid w:val="00176C5C"/>
    <w:rsid w:val="00181433"/>
    <w:rsid w:val="001834DD"/>
    <w:rsid w:val="00193278"/>
    <w:rsid w:val="00193AA9"/>
    <w:rsid w:val="00194265"/>
    <w:rsid w:val="001970A6"/>
    <w:rsid w:val="001A11D3"/>
    <w:rsid w:val="001B1DFE"/>
    <w:rsid w:val="001B2036"/>
    <w:rsid w:val="001B3E6F"/>
    <w:rsid w:val="001B7E69"/>
    <w:rsid w:val="001C53CE"/>
    <w:rsid w:val="001C5D96"/>
    <w:rsid w:val="001C7FD2"/>
    <w:rsid w:val="001D0AE5"/>
    <w:rsid w:val="001D341B"/>
    <w:rsid w:val="001E3D2B"/>
    <w:rsid w:val="001E4B4B"/>
    <w:rsid w:val="001E66CE"/>
    <w:rsid w:val="001F0301"/>
    <w:rsid w:val="0020033E"/>
    <w:rsid w:val="00202CCD"/>
    <w:rsid w:val="002073AA"/>
    <w:rsid w:val="0020760E"/>
    <w:rsid w:val="00214B63"/>
    <w:rsid w:val="00221DC2"/>
    <w:rsid w:val="00222526"/>
    <w:rsid w:val="00244B48"/>
    <w:rsid w:val="002526A8"/>
    <w:rsid w:val="002540D5"/>
    <w:rsid w:val="002573D5"/>
    <w:rsid w:val="00260578"/>
    <w:rsid w:val="00264E26"/>
    <w:rsid w:val="00271DB3"/>
    <w:rsid w:val="00280E74"/>
    <w:rsid w:val="0028476C"/>
    <w:rsid w:val="0029163B"/>
    <w:rsid w:val="002969AA"/>
    <w:rsid w:val="002A41E1"/>
    <w:rsid w:val="002B0209"/>
    <w:rsid w:val="002B6574"/>
    <w:rsid w:val="002C05CF"/>
    <w:rsid w:val="002C24EF"/>
    <w:rsid w:val="002C2E70"/>
    <w:rsid w:val="002D4D48"/>
    <w:rsid w:val="002D6D1C"/>
    <w:rsid w:val="002E21D2"/>
    <w:rsid w:val="002E5A48"/>
    <w:rsid w:val="002F7D3C"/>
    <w:rsid w:val="002F7E7C"/>
    <w:rsid w:val="00305720"/>
    <w:rsid w:val="00310CCB"/>
    <w:rsid w:val="003131AB"/>
    <w:rsid w:val="003217BE"/>
    <w:rsid w:val="00322489"/>
    <w:rsid w:val="00337DD6"/>
    <w:rsid w:val="00341253"/>
    <w:rsid w:val="003448C5"/>
    <w:rsid w:val="003510B9"/>
    <w:rsid w:val="00364596"/>
    <w:rsid w:val="003A3D76"/>
    <w:rsid w:val="003A4B96"/>
    <w:rsid w:val="003C303C"/>
    <w:rsid w:val="003D0647"/>
    <w:rsid w:val="003D084F"/>
    <w:rsid w:val="003D1265"/>
    <w:rsid w:val="003D3B1D"/>
    <w:rsid w:val="003D5DBE"/>
    <w:rsid w:val="003F513D"/>
    <w:rsid w:val="00404841"/>
    <w:rsid w:val="00412059"/>
    <w:rsid w:val="004233BF"/>
    <w:rsid w:val="00424190"/>
    <w:rsid w:val="00425633"/>
    <w:rsid w:val="00426B2D"/>
    <w:rsid w:val="00434F42"/>
    <w:rsid w:val="00441E79"/>
    <w:rsid w:val="00442261"/>
    <w:rsid w:val="00443BFA"/>
    <w:rsid w:val="004444B5"/>
    <w:rsid w:val="00446ABD"/>
    <w:rsid w:val="004500F0"/>
    <w:rsid w:val="00450486"/>
    <w:rsid w:val="00455FB6"/>
    <w:rsid w:val="0046660F"/>
    <w:rsid w:val="004675B9"/>
    <w:rsid w:val="00467D51"/>
    <w:rsid w:val="004709E9"/>
    <w:rsid w:val="00471994"/>
    <w:rsid w:val="004756F6"/>
    <w:rsid w:val="00483A58"/>
    <w:rsid w:val="00484E0F"/>
    <w:rsid w:val="00484FC2"/>
    <w:rsid w:val="004902A6"/>
    <w:rsid w:val="00490A2A"/>
    <w:rsid w:val="004A219E"/>
    <w:rsid w:val="004A6459"/>
    <w:rsid w:val="004B5F40"/>
    <w:rsid w:val="004C3FDB"/>
    <w:rsid w:val="004C6A93"/>
    <w:rsid w:val="004C7D16"/>
    <w:rsid w:val="004D6C49"/>
    <w:rsid w:val="004D6F58"/>
    <w:rsid w:val="004D700E"/>
    <w:rsid w:val="004D73AD"/>
    <w:rsid w:val="004D7CE9"/>
    <w:rsid w:val="004D7F17"/>
    <w:rsid w:val="004E0670"/>
    <w:rsid w:val="004E4E4F"/>
    <w:rsid w:val="004E70C6"/>
    <w:rsid w:val="004E7F37"/>
    <w:rsid w:val="004F12CA"/>
    <w:rsid w:val="004F1C0D"/>
    <w:rsid w:val="004F31BA"/>
    <w:rsid w:val="004F5D0D"/>
    <w:rsid w:val="00504054"/>
    <w:rsid w:val="0051299F"/>
    <w:rsid w:val="005133C9"/>
    <w:rsid w:val="00514692"/>
    <w:rsid w:val="00516268"/>
    <w:rsid w:val="00521CB7"/>
    <w:rsid w:val="00526B85"/>
    <w:rsid w:val="005306A1"/>
    <w:rsid w:val="00531CD5"/>
    <w:rsid w:val="005365AD"/>
    <w:rsid w:val="00541EE5"/>
    <w:rsid w:val="00545E6A"/>
    <w:rsid w:val="00547DC7"/>
    <w:rsid w:val="00555491"/>
    <w:rsid w:val="00570377"/>
    <w:rsid w:val="00572A40"/>
    <w:rsid w:val="00573BBA"/>
    <w:rsid w:val="005743A9"/>
    <w:rsid w:val="005834F4"/>
    <w:rsid w:val="0059000C"/>
    <w:rsid w:val="005A02A1"/>
    <w:rsid w:val="005A7C7D"/>
    <w:rsid w:val="005B0176"/>
    <w:rsid w:val="005B4848"/>
    <w:rsid w:val="005C5D6C"/>
    <w:rsid w:val="005C7224"/>
    <w:rsid w:val="005D0DC5"/>
    <w:rsid w:val="005D7A24"/>
    <w:rsid w:val="005F5113"/>
    <w:rsid w:val="00606D84"/>
    <w:rsid w:val="006076A9"/>
    <w:rsid w:val="00616EBA"/>
    <w:rsid w:val="006212C1"/>
    <w:rsid w:val="0062393D"/>
    <w:rsid w:val="00626B19"/>
    <w:rsid w:val="00631A30"/>
    <w:rsid w:val="00632C08"/>
    <w:rsid w:val="006355C5"/>
    <w:rsid w:val="0064430D"/>
    <w:rsid w:val="00654C42"/>
    <w:rsid w:val="0065547C"/>
    <w:rsid w:val="00656AA9"/>
    <w:rsid w:val="006632CC"/>
    <w:rsid w:val="0067074A"/>
    <w:rsid w:val="00672994"/>
    <w:rsid w:val="00672AF2"/>
    <w:rsid w:val="00673821"/>
    <w:rsid w:val="0068425D"/>
    <w:rsid w:val="006A7F98"/>
    <w:rsid w:val="006B21AA"/>
    <w:rsid w:val="006B29D0"/>
    <w:rsid w:val="006B3675"/>
    <w:rsid w:val="006C15C5"/>
    <w:rsid w:val="006C524C"/>
    <w:rsid w:val="006D0753"/>
    <w:rsid w:val="006D3DAD"/>
    <w:rsid w:val="006D74F6"/>
    <w:rsid w:val="006F53B8"/>
    <w:rsid w:val="006F7B19"/>
    <w:rsid w:val="007164A1"/>
    <w:rsid w:val="00730FB8"/>
    <w:rsid w:val="007323DF"/>
    <w:rsid w:val="0073539A"/>
    <w:rsid w:val="00736A76"/>
    <w:rsid w:val="007407B4"/>
    <w:rsid w:val="007444F9"/>
    <w:rsid w:val="00752775"/>
    <w:rsid w:val="00752C6B"/>
    <w:rsid w:val="00753305"/>
    <w:rsid w:val="00760CE6"/>
    <w:rsid w:val="00762F26"/>
    <w:rsid w:val="007719C9"/>
    <w:rsid w:val="00771FA5"/>
    <w:rsid w:val="00772718"/>
    <w:rsid w:val="00772B78"/>
    <w:rsid w:val="007755D0"/>
    <w:rsid w:val="00775681"/>
    <w:rsid w:val="00780509"/>
    <w:rsid w:val="00781B95"/>
    <w:rsid w:val="007828ED"/>
    <w:rsid w:val="00787D4D"/>
    <w:rsid w:val="00792E50"/>
    <w:rsid w:val="00793C96"/>
    <w:rsid w:val="007B562F"/>
    <w:rsid w:val="007D30A8"/>
    <w:rsid w:val="007E499B"/>
    <w:rsid w:val="007F23DA"/>
    <w:rsid w:val="007F3328"/>
    <w:rsid w:val="007F4290"/>
    <w:rsid w:val="008010FB"/>
    <w:rsid w:val="00803D49"/>
    <w:rsid w:val="00806C54"/>
    <w:rsid w:val="00807E9E"/>
    <w:rsid w:val="00814FB1"/>
    <w:rsid w:val="00820F20"/>
    <w:rsid w:val="008230BB"/>
    <w:rsid w:val="0082528A"/>
    <w:rsid w:val="00825754"/>
    <w:rsid w:val="008275F9"/>
    <w:rsid w:val="00835210"/>
    <w:rsid w:val="00837E4A"/>
    <w:rsid w:val="00844C2D"/>
    <w:rsid w:val="00854EAB"/>
    <w:rsid w:val="00862778"/>
    <w:rsid w:val="00863EFD"/>
    <w:rsid w:val="00864A9E"/>
    <w:rsid w:val="008677F5"/>
    <w:rsid w:val="00872BBD"/>
    <w:rsid w:val="0087433D"/>
    <w:rsid w:val="0087438E"/>
    <w:rsid w:val="008825E6"/>
    <w:rsid w:val="00882979"/>
    <w:rsid w:val="00884668"/>
    <w:rsid w:val="008869AF"/>
    <w:rsid w:val="0089409A"/>
    <w:rsid w:val="00897D0A"/>
    <w:rsid w:val="008A59D1"/>
    <w:rsid w:val="008B2B46"/>
    <w:rsid w:val="008C3D0B"/>
    <w:rsid w:val="008C3DBC"/>
    <w:rsid w:val="008D101C"/>
    <w:rsid w:val="008D6225"/>
    <w:rsid w:val="008E03F7"/>
    <w:rsid w:val="008E05BC"/>
    <w:rsid w:val="008F3CCF"/>
    <w:rsid w:val="00900B24"/>
    <w:rsid w:val="009101BF"/>
    <w:rsid w:val="00921840"/>
    <w:rsid w:val="00921998"/>
    <w:rsid w:val="009235EC"/>
    <w:rsid w:val="00930F01"/>
    <w:rsid w:val="00931AD8"/>
    <w:rsid w:val="00932C87"/>
    <w:rsid w:val="009331B4"/>
    <w:rsid w:val="0093377B"/>
    <w:rsid w:val="009345F1"/>
    <w:rsid w:val="0093532D"/>
    <w:rsid w:val="00937953"/>
    <w:rsid w:val="00940541"/>
    <w:rsid w:val="0094120D"/>
    <w:rsid w:val="00944BBB"/>
    <w:rsid w:val="009547B6"/>
    <w:rsid w:val="00961072"/>
    <w:rsid w:val="00962917"/>
    <w:rsid w:val="0097157A"/>
    <w:rsid w:val="00976883"/>
    <w:rsid w:val="0098786C"/>
    <w:rsid w:val="0099594F"/>
    <w:rsid w:val="009B064E"/>
    <w:rsid w:val="009B070D"/>
    <w:rsid w:val="009B3A28"/>
    <w:rsid w:val="009C1723"/>
    <w:rsid w:val="009D2BC4"/>
    <w:rsid w:val="009D3E1E"/>
    <w:rsid w:val="009D64BF"/>
    <w:rsid w:val="009E0432"/>
    <w:rsid w:val="009E4CE9"/>
    <w:rsid w:val="009E750F"/>
    <w:rsid w:val="009F36D7"/>
    <w:rsid w:val="00A04D96"/>
    <w:rsid w:val="00A0629B"/>
    <w:rsid w:val="00A0661D"/>
    <w:rsid w:val="00A14495"/>
    <w:rsid w:val="00A16BE1"/>
    <w:rsid w:val="00A16F5C"/>
    <w:rsid w:val="00A239F1"/>
    <w:rsid w:val="00A36C1F"/>
    <w:rsid w:val="00A40994"/>
    <w:rsid w:val="00A42311"/>
    <w:rsid w:val="00A454BF"/>
    <w:rsid w:val="00A45E3E"/>
    <w:rsid w:val="00A52E3A"/>
    <w:rsid w:val="00A57F1B"/>
    <w:rsid w:val="00A679D6"/>
    <w:rsid w:val="00A7196B"/>
    <w:rsid w:val="00A729E3"/>
    <w:rsid w:val="00A74889"/>
    <w:rsid w:val="00A814CB"/>
    <w:rsid w:val="00A90D1B"/>
    <w:rsid w:val="00A92ECD"/>
    <w:rsid w:val="00A96DBF"/>
    <w:rsid w:val="00A9778F"/>
    <w:rsid w:val="00AB7AD4"/>
    <w:rsid w:val="00AC3503"/>
    <w:rsid w:val="00AF39CE"/>
    <w:rsid w:val="00AF4E73"/>
    <w:rsid w:val="00AF55F8"/>
    <w:rsid w:val="00B00033"/>
    <w:rsid w:val="00B10ABA"/>
    <w:rsid w:val="00B138B5"/>
    <w:rsid w:val="00B246D3"/>
    <w:rsid w:val="00B308B6"/>
    <w:rsid w:val="00B3093C"/>
    <w:rsid w:val="00B33899"/>
    <w:rsid w:val="00B36C9C"/>
    <w:rsid w:val="00B420D4"/>
    <w:rsid w:val="00B53EA2"/>
    <w:rsid w:val="00B562E4"/>
    <w:rsid w:val="00B57910"/>
    <w:rsid w:val="00B80D68"/>
    <w:rsid w:val="00B81E40"/>
    <w:rsid w:val="00B87D78"/>
    <w:rsid w:val="00B952F6"/>
    <w:rsid w:val="00BA6494"/>
    <w:rsid w:val="00BC093A"/>
    <w:rsid w:val="00BC4ACC"/>
    <w:rsid w:val="00BC4FCC"/>
    <w:rsid w:val="00BD02F8"/>
    <w:rsid w:val="00BE114F"/>
    <w:rsid w:val="00BF22AE"/>
    <w:rsid w:val="00BF33E7"/>
    <w:rsid w:val="00C0461A"/>
    <w:rsid w:val="00C217A8"/>
    <w:rsid w:val="00C26BEF"/>
    <w:rsid w:val="00C30916"/>
    <w:rsid w:val="00C37F20"/>
    <w:rsid w:val="00C4188F"/>
    <w:rsid w:val="00C422D1"/>
    <w:rsid w:val="00C470E8"/>
    <w:rsid w:val="00C670FD"/>
    <w:rsid w:val="00C8078A"/>
    <w:rsid w:val="00C819A4"/>
    <w:rsid w:val="00C824AE"/>
    <w:rsid w:val="00C84293"/>
    <w:rsid w:val="00C84EA8"/>
    <w:rsid w:val="00C92998"/>
    <w:rsid w:val="00C95320"/>
    <w:rsid w:val="00CA385D"/>
    <w:rsid w:val="00CA5E3C"/>
    <w:rsid w:val="00CA720A"/>
    <w:rsid w:val="00CA7584"/>
    <w:rsid w:val="00CB72FE"/>
    <w:rsid w:val="00CB77AB"/>
    <w:rsid w:val="00CC5A10"/>
    <w:rsid w:val="00CD1597"/>
    <w:rsid w:val="00CD5752"/>
    <w:rsid w:val="00CD5925"/>
    <w:rsid w:val="00CD5E65"/>
    <w:rsid w:val="00CD5F97"/>
    <w:rsid w:val="00CE557A"/>
    <w:rsid w:val="00CF164B"/>
    <w:rsid w:val="00D002B2"/>
    <w:rsid w:val="00D031B2"/>
    <w:rsid w:val="00D0606B"/>
    <w:rsid w:val="00D068FF"/>
    <w:rsid w:val="00D11183"/>
    <w:rsid w:val="00D1410C"/>
    <w:rsid w:val="00D173BA"/>
    <w:rsid w:val="00D32B98"/>
    <w:rsid w:val="00D40D16"/>
    <w:rsid w:val="00D52F45"/>
    <w:rsid w:val="00D548F0"/>
    <w:rsid w:val="00D54F4A"/>
    <w:rsid w:val="00D578D1"/>
    <w:rsid w:val="00D57F79"/>
    <w:rsid w:val="00D64FAC"/>
    <w:rsid w:val="00D65704"/>
    <w:rsid w:val="00D668F6"/>
    <w:rsid w:val="00D70FD2"/>
    <w:rsid w:val="00D75763"/>
    <w:rsid w:val="00D82108"/>
    <w:rsid w:val="00D82EB0"/>
    <w:rsid w:val="00D84875"/>
    <w:rsid w:val="00D903BD"/>
    <w:rsid w:val="00D904F0"/>
    <w:rsid w:val="00D91378"/>
    <w:rsid w:val="00D91B18"/>
    <w:rsid w:val="00D96086"/>
    <w:rsid w:val="00DA307F"/>
    <w:rsid w:val="00DC00D5"/>
    <w:rsid w:val="00DC0747"/>
    <w:rsid w:val="00DC2647"/>
    <w:rsid w:val="00DC4D55"/>
    <w:rsid w:val="00DD0AA9"/>
    <w:rsid w:val="00DD1408"/>
    <w:rsid w:val="00DD356D"/>
    <w:rsid w:val="00DD43D9"/>
    <w:rsid w:val="00DD4715"/>
    <w:rsid w:val="00DD6735"/>
    <w:rsid w:val="00DF136A"/>
    <w:rsid w:val="00DF339C"/>
    <w:rsid w:val="00DF7EDE"/>
    <w:rsid w:val="00E01715"/>
    <w:rsid w:val="00E0448C"/>
    <w:rsid w:val="00E1131E"/>
    <w:rsid w:val="00E13525"/>
    <w:rsid w:val="00E22394"/>
    <w:rsid w:val="00E25D7D"/>
    <w:rsid w:val="00E307CD"/>
    <w:rsid w:val="00E33265"/>
    <w:rsid w:val="00E41010"/>
    <w:rsid w:val="00E42099"/>
    <w:rsid w:val="00E47250"/>
    <w:rsid w:val="00E50876"/>
    <w:rsid w:val="00E61535"/>
    <w:rsid w:val="00E6658C"/>
    <w:rsid w:val="00E776DE"/>
    <w:rsid w:val="00E80636"/>
    <w:rsid w:val="00E834E8"/>
    <w:rsid w:val="00E84012"/>
    <w:rsid w:val="00E8523D"/>
    <w:rsid w:val="00E86F08"/>
    <w:rsid w:val="00E874D3"/>
    <w:rsid w:val="00E9246C"/>
    <w:rsid w:val="00E9373C"/>
    <w:rsid w:val="00EA0724"/>
    <w:rsid w:val="00EA2695"/>
    <w:rsid w:val="00EA60D4"/>
    <w:rsid w:val="00EA6251"/>
    <w:rsid w:val="00EB6414"/>
    <w:rsid w:val="00EC401B"/>
    <w:rsid w:val="00EC60D7"/>
    <w:rsid w:val="00ED5F4C"/>
    <w:rsid w:val="00EE49D4"/>
    <w:rsid w:val="00EE5747"/>
    <w:rsid w:val="00EF12C2"/>
    <w:rsid w:val="00EF2A73"/>
    <w:rsid w:val="00EF3804"/>
    <w:rsid w:val="00EF5E05"/>
    <w:rsid w:val="00F10252"/>
    <w:rsid w:val="00F16DFF"/>
    <w:rsid w:val="00F227AF"/>
    <w:rsid w:val="00F27370"/>
    <w:rsid w:val="00F276CB"/>
    <w:rsid w:val="00F32E43"/>
    <w:rsid w:val="00F34D1C"/>
    <w:rsid w:val="00F40B00"/>
    <w:rsid w:val="00F5341C"/>
    <w:rsid w:val="00F56954"/>
    <w:rsid w:val="00F71C10"/>
    <w:rsid w:val="00F76DAB"/>
    <w:rsid w:val="00F85C00"/>
    <w:rsid w:val="00F92076"/>
    <w:rsid w:val="00F92DCB"/>
    <w:rsid w:val="00F948AF"/>
    <w:rsid w:val="00F95559"/>
    <w:rsid w:val="00F978E7"/>
    <w:rsid w:val="00FA2809"/>
    <w:rsid w:val="00FA5A7B"/>
    <w:rsid w:val="00FA6E51"/>
    <w:rsid w:val="00FB11B1"/>
    <w:rsid w:val="00FB7A11"/>
    <w:rsid w:val="00FC3D81"/>
    <w:rsid w:val="00FD02E4"/>
    <w:rsid w:val="00FD41D4"/>
    <w:rsid w:val="00FE00E8"/>
    <w:rsid w:val="00FE04EB"/>
    <w:rsid w:val="00FE327A"/>
    <w:rsid w:val="00FF28C6"/>
    <w:rsid w:val="1FDC16DE"/>
    <w:rsid w:val="1FE23366"/>
    <w:rsid w:val="202699C8"/>
    <w:rsid w:val="2C436738"/>
    <w:rsid w:val="69C155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1723F"/>
  <w15:docId w15:val="{4CFE5C40-8D21-4266-A336-DF194B57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rsid w:val="000A5E31"/>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222526"/>
    <w:pPr>
      <w:keepNext/>
      <w:keepLines/>
      <w:spacing w:before="600" w:after="240" w:line="440" w:lineRule="exact"/>
      <w:outlineLvl w:val="0"/>
    </w:pPr>
    <w:rPr>
      <w:rFonts w:ascii="Georgia" w:eastAsiaTheme="majorEastAsia" w:hAnsi="Georgia" w:cstheme="majorBidi"/>
      <w:bCs/>
      <w:color w:val="A6192E"/>
      <w:sz w:val="52"/>
      <w:szCs w:val="52"/>
    </w:rPr>
  </w:style>
  <w:style w:type="paragraph" w:styleId="Heading2">
    <w:name w:val="heading 2"/>
    <w:next w:val="BodyText"/>
    <w:link w:val="Heading2Char"/>
    <w:uiPriority w:val="4"/>
    <w:qFormat/>
    <w:rsid w:val="00803D49"/>
    <w:pPr>
      <w:outlineLvl w:val="1"/>
    </w:pPr>
    <w:rPr>
      <w:rFonts w:ascii="Georgia" w:eastAsiaTheme="majorEastAsia" w:hAnsi="Georgia" w:cstheme="majorBidi"/>
      <w:bCs/>
      <w:color w:val="A6192E"/>
      <w:sz w:val="36"/>
      <w:szCs w:val="52"/>
    </w:rPr>
  </w:style>
  <w:style w:type="paragraph" w:styleId="Heading3">
    <w:name w:val="heading 3"/>
    <w:next w:val="BodyText"/>
    <w:link w:val="Heading3Char"/>
    <w:uiPriority w:val="4"/>
    <w:qFormat/>
    <w:rsid w:val="00146699"/>
    <w:pPr>
      <w:keepNext/>
      <w:keepLines/>
      <w:spacing w:before="400" w:after="120" w:line="280" w:lineRule="atLeast"/>
      <w:outlineLvl w:val="2"/>
    </w:pPr>
    <w:rPr>
      <w:rFonts w:ascii="Georgia" w:eastAsiaTheme="majorEastAsia" w:hAnsi="Georgia" w:cstheme="majorBidi"/>
      <w:bCs/>
      <w:color w:val="000000" w:themeColor="text1"/>
      <w:sz w:val="32"/>
    </w:rPr>
  </w:style>
  <w:style w:type="paragraph" w:styleId="Heading4">
    <w:name w:val="heading 4"/>
    <w:next w:val="BodyText"/>
    <w:link w:val="Heading4Char"/>
    <w:uiPriority w:val="4"/>
    <w:qFormat/>
    <w:rsid w:val="00222526"/>
    <w:pPr>
      <w:keepNext/>
      <w:keepLines/>
      <w:spacing w:before="200"/>
      <w:outlineLvl w:val="3"/>
    </w:pPr>
    <w:rPr>
      <w:rFonts w:ascii="Georgia" w:eastAsiaTheme="majorEastAsia" w:hAnsi="Georgia" w:cstheme="majorBidi"/>
      <w:b/>
      <w:bCs/>
      <w:iCs/>
      <w:sz w:val="28"/>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222526"/>
    <w:rPr>
      <w:rFonts w:ascii="Georgia" w:eastAsiaTheme="majorEastAsia" w:hAnsi="Georgia" w:cstheme="majorBidi"/>
      <w:bCs/>
      <w:color w:val="A6192E"/>
      <w:sz w:val="52"/>
      <w:szCs w:val="52"/>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803D49"/>
    <w:rPr>
      <w:rFonts w:ascii="Georgia" w:eastAsiaTheme="majorEastAsia" w:hAnsi="Georgia" w:cstheme="majorBidi"/>
      <w:bCs/>
      <w:color w:val="A6192E"/>
      <w:sz w:val="36"/>
      <w:szCs w:val="52"/>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146699"/>
    <w:rPr>
      <w:rFonts w:ascii="Georgia" w:eastAsiaTheme="majorEastAsia" w:hAnsi="Georgia" w:cstheme="majorBidi"/>
      <w:bCs/>
      <w:color w:val="000000" w:themeColor="text1"/>
      <w:sz w:val="32"/>
    </w:rPr>
  </w:style>
  <w:style w:type="character" w:customStyle="1" w:styleId="Heading4Char">
    <w:name w:val="Heading 4 Char"/>
    <w:basedOn w:val="DefaultParagraphFont"/>
    <w:link w:val="Heading4"/>
    <w:uiPriority w:val="4"/>
    <w:rsid w:val="00222526"/>
    <w:rPr>
      <w:rFonts w:ascii="Georgia" w:eastAsiaTheme="majorEastAsia" w:hAnsi="Georgia" w:cstheme="majorBidi"/>
      <w:b/>
      <w:bCs/>
      <w:iCs/>
      <w:sz w:val="28"/>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rsid w:val="00222526"/>
    <w:pPr>
      <w:spacing w:after="140" w:line="1000" w:lineRule="exact"/>
      <w:contextualSpacing/>
    </w:pPr>
    <w:rPr>
      <w:rFonts w:ascii="Georgia" w:eastAsiaTheme="majorEastAsia" w:hAnsi="Georgia" w:cstheme="majorBidi"/>
      <w:color w:val="A6192E"/>
      <w:kern w:val="28"/>
      <w:sz w:val="88"/>
      <w:szCs w:val="52"/>
    </w:rPr>
  </w:style>
  <w:style w:type="character" w:customStyle="1" w:styleId="TitleChar">
    <w:name w:val="Title Char"/>
    <w:basedOn w:val="DefaultParagraphFont"/>
    <w:link w:val="Title"/>
    <w:uiPriority w:val="36"/>
    <w:rsid w:val="00222526"/>
    <w:rPr>
      <w:rFonts w:ascii="Georgia" w:eastAsiaTheme="majorEastAsia" w:hAnsi="Georgia" w:cstheme="majorBidi"/>
      <w:color w:val="A6192E"/>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character" w:styleId="UnresolvedMention">
    <w:name w:val="Unresolved Mention"/>
    <w:basedOn w:val="DefaultParagraphFont"/>
    <w:uiPriority w:val="99"/>
    <w:semiHidden/>
    <w:unhideWhenUsed/>
    <w:rsid w:val="004F12CA"/>
    <w:rPr>
      <w:color w:val="605E5C"/>
      <w:shd w:val="clear" w:color="auto" w:fill="E1DFDD"/>
    </w:rPr>
  </w:style>
  <w:style w:type="character" w:styleId="FollowedHyperlink">
    <w:name w:val="FollowedHyperlink"/>
    <w:basedOn w:val="DefaultParagraphFont"/>
    <w:uiPriority w:val="99"/>
    <w:semiHidden/>
    <w:unhideWhenUsed/>
    <w:rsid w:val="00171634"/>
    <w:rPr>
      <w:color w:val="800080" w:themeColor="followedHyperlink"/>
      <w:u w:val="single"/>
    </w:rPr>
  </w:style>
  <w:style w:type="paragraph" w:styleId="IntenseQuote">
    <w:name w:val="Intense Quote"/>
    <w:basedOn w:val="Normal"/>
    <w:next w:val="Normal"/>
    <w:link w:val="IntenseQuoteChar"/>
    <w:uiPriority w:val="99"/>
    <w:qFormat/>
    <w:rsid w:val="00222526"/>
    <w:pPr>
      <w:pBdr>
        <w:top w:val="single" w:sz="4" w:space="10" w:color="CF0A2C" w:themeColor="accent1"/>
        <w:bottom w:val="single" w:sz="4" w:space="10" w:color="CF0A2C" w:themeColor="accent1"/>
      </w:pBdr>
      <w:spacing w:before="360" w:after="360"/>
      <w:ind w:left="864" w:right="864"/>
      <w:jc w:val="center"/>
    </w:pPr>
    <w:rPr>
      <w:i/>
      <w:iCs/>
      <w:color w:val="A6192E"/>
    </w:rPr>
  </w:style>
  <w:style w:type="character" w:customStyle="1" w:styleId="IntenseQuoteChar">
    <w:name w:val="Intense Quote Char"/>
    <w:basedOn w:val="DefaultParagraphFont"/>
    <w:link w:val="IntenseQuote"/>
    <w:uiPriority w:val="99"/>
    <w:rsid w:val="00222526"/>
    <w:rPr>
      <w:rFonts w:asciiTheme="minorHAnsi" w:hAnsiTheme="minorHAnsi"/>
      <w:i/>
      <w:iCs/>
      <w:color w:val="A6192E"/>
      <w:sz w:val="22"/>
    </w:rPr>
  </w:style>
  <w:style w:type="character" w:styleId="IntenseEmphasis">
    <w:name w:val="Intense Emphasis"/>
    <w:basedOn w:val="DefaultParagraphFont"/>
    <w:uiPriority w:val="99"/>
    <w:qFormat/>
    <w:rsid w:val="00222526"/>
    <w:rPr>
      <w:i/>
      <w:iCs/>
      <w:color w:val="A6192E"/>
    </w:rPr>
  </w:style>
  <w:style w:type="table" w:styleId="PlainTable1">
    <w:name w:val="Plain Table 1"/>
    <w:basedOn w:val="TableNormal"/>
    <w:uiPriority w:val="41"/>
    <w:rsid w:val="00A92E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List Paragraph11,Recommendation,Bullet Points,NFP GP Bulleted List,Bullet point,CAB - List Bullet,List Paragraph1,List Paragraph111,L,F5 List Paragraph,Dot pt,CV text,Table text,Medium Grid 1 - Accent 21,Numbered Paragraph,List Paragraph2"/>
    <w:basedOn w:val="Normal"/>
    <w:link w:val="ListParagraphChar"/>
    <w:uiPriority w:val="34"/>
    <w:qFormat/>
    <w:rsid w:val="00A92ECD"/>
    <w:pPr>
      <w:ind w:left="720"/>
      <w:contextualSpacing/>
    </w:pPr>
  </w:style>
  <w:style w:type="character" w:customStyle="1" w:styleId="ui-provider">
    <w:name w:val="ui-provider"/>
    <w:basedOn w:val="DefaultParagraphFont"/>
    <w:rsid w:val="00A92ECD"/>
  </w:style>
  <w:style w:type="paragraph" w:customStyle="1" w:styleId="Default">
    <w:name w:val="Default"/>
    <w:rsid w:val="00A92ECD"/>
    <w:pPr>
      <w:autoSpaceDE w:val="0"/>
      <w:autoSpaceDN w:val="0"/>
      <w:adjustRightInd w:val="0"/>
    </w:pPr>
    <w:rPr>
      <w:rFonts w:ascii="Arial" w:hAnsi="Arial" w:cs="Arial"/>
      <w:color w:val="000000"/>
      <w:sz w:val="24"/>
      <w:szCs w:val="24"/>
    </w:rPr>
  </w:style>
  <w:style w:type="character" w:customStyle="1" w:styleId="ListParagraphChar">
    <w:name w:val="List Paragraph Char"/>
    <w:aliases w:val="List Paragraph11 Char,Recommendation Char,Bullet Points Char,NFP GP Bulleted List Char,Bullet point Char,CAB - List Bullet Char,List Paragraph1 Char,List Paragraph111 Char,L Char,F5 List Paragraph Char,Dot pt Char,CV text Char"/>
    <w:basedOn w:val="DefaultParagraphFont"/>
    <w:link w:val="ListParagraph"/>
    <w:uiPriority w:val="34"/>
    <w:qFormat/>
    <w:locked/>
    <w:rsid w:val="0005492A"/>
    <w:rPr>
      <w:rFonts w:asciiTheme="minorHAnsi" w:hAnsiTheme="minorHAnsi"/>
      <w:color w:val="000000" w:themeColor="text1"/>
      <w:sz w:val="22"/>
    </w:rPr>
  </w:style>
  <w:style w:type="character" w:styleId="CommentReference">
    <w:name w:val="annotation reference"/>
    <w:basedOn w:val="DefaultParagraphFont"/>
    <w:uiPriority w:val="99"/>
    <w:semiHidden/>
    <w:unhideWhenUsed/>
    <w:rsid w:val="00863EFD"/>
    <w:rPr>
      <w:sz w:val="16"/>
      <w:szCs w:val="16"/>
    </w:rPr>
  </w:style>
  <w:style w:type="paragraph" w:styleId="CommentText">
    <w:name w:val="annotation text"/>
    <w:basedOn w:val="Normal"/>
    <w:link w:val="CommentTextChar"/>
    <w:uiPriority w:val="99"/>
    <w:unhideWhenUsed/>
    <w:rsid w:val="00863EFD"/>
    <w:pPr>
      <w:spacing w:line="240" w:lineRule="auto"/>
    </w:pPr>
    <w:rPr>
      <w:sz w:val="20"/>
    </w:rPr>
  </w:style>
  <w:style w:type="character" w:customStyle="1" w:styleId="CommentTextChar">
    <w:name w:val="Comment Text Char"/>
    <w:basedOn w:val="DefaultParagraphFont"/>
    <w:link w:val="CommentText"/>
    <w:uiPriority w:val="99"/>
    <w:rsid w:val="00863EFD"/>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863EFD"/>
    <w:rPr>
      <w:b/>
      <w:bCs/>
    </w:rPr>
  </w:style>
  <w:style w:type="character" w:customStyle="1" w:styleId="CommentSubjectChar">
    <w:name w:val="Comment Subject Char"/>
    <w:basedOn w:val="CommentTextChar"/>
    <w:link w:val="CommentSubject"/>
    <w:uiPriority w:val="99"/>
    <w:semiHidden/>
    <w:rsid w:val="00863EFD"/>
    <w:rPr>
      <w:rFonts w:asciiTheme="minorHAnsi" w:hAnsiTheme="minorHAnsi"/>
      <w:b/>
      <w:bCs/>
      <w:color w:val="000000" w:themeColor="text1"/>
    </w:rPr>
  </w:style>
  <w:style w:type="character" w:styleId="Mention">
    <w:name w:val="Mention"/>
    <w:basedOn w:val="DefaultParagraphFont"/>
    <w:uiPriority w:val="99"/>
    <w:unhideWhenUsed/>
    <w:rsid w:val="00863EFD"/>
    <w:rPr>
      <w:color w:val="2B579A"/>
      <w:shd w:val="clear" w:color="auto" w:fill="E1DFDD"/>
    </w:rPr>
  </w:style>
  <w:style w:type="paragraph" w:styleId="Revision">
    <w:name w:val="Revision"/>
    <w:hidden/>
    <w:uiPriority w:val="99"/>
    <w:semiHidden/>
    <w:rsid w:val="0028476C"/>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1683">
      <w:bodyDiv w:val="1"/>
      <w:marLeft w:val="0"/>
      <w:marRight w:val="0"/>
      <w:marTop w:val="0"/>
      <w:marBottom w:val="0"/>
      <w:divBdr>
        <w:top w:val="none" w:sz="0" w:space="0" w:color="auto"/>
        <w:left w:val="none" w:sz="0" w:space="0" w:color="auto"/>
        <w:bottom w:val="none" w:sz="0" w:space="0" w:color="auto"/>
        <w:right w:val="none" w:sz="0" w:space="0" w:color="auto"/>
      </w:divBdr>
    </w:div>
    <w:div w:id="507141821">
      <w:bodyDiv w:val="1"/>
      <w:marLeft w:val="0"/>
      <w:marRight w:val="0"/>
      <w:marTop w:val="0"/>
      <w:marBottom w:val="0"/>
      <w:divBdr>
        <w:top w:val="none" w:sz="0" w:space="0" w:color="auto"/>
        <w:left w:val="none" w:sz="0" w:space="0" w:color="auto"/>
        <w:bottom w:val="none" w:sz="0" w:space="0" w:color="auto"/>
        <w:right w:val="none" w:sz="0" w:space="0" w:color="auto"/>
      </w:divBdr>
    </w:div>
    <w:div w:id="692921250">
      <w:bodyDiv w:val="1"/>
      <w:marLeft w:val="0"/>
      <w:marRight w:val="0"/>
      <w:marTop w:val="0"/>
      <w:marBottom w:val="0"/>
      <w:divBdr>
        <w:top w:val="none" w:sz="0" w:space="0" w:color="auto"/>
        <w:left w:val="none" w:sz="0" w:space="0" w:color="auto"/>
        <w:bottom w:val="none" w:sz="0" w:space="0" w:color="auto"/>
        <w:right w:val="none" w:sz="0" w:space="0" w:color="auto"/>
      </w:divBdr>
    </w:div>
    <w:div w:id="782847068">
      <w:bodyDiv w:val="1"/>
      <w:marLeft w:val="0"/>
      <w:marRight w:val="0"/>
      <w:marTop w:val="0"/>
      <w:marBottom w:val="0"/>
      <w:divBdr>
        <w:top w:val="none" w:sz="0" w:space="0" w:color="auto"/>
        <w:left w:val="none" w:sz="0" w:space="0" w:color="auto"/>
        <w:bottom w:val="none" w:sz="0" w:space="0" w:color="auto"/>
        <w:right w:val="none" w:sz="0" w:space="0" w:color="auto"/>
      </w:divBdr>
    </w:div>
    <w:div w:id="803541312">
      <w:bodyDiv w:val="1"/>
      <w:marLeft w:val="0"/>
      <w:marRight w:val="0"/>
      <w:marTop w:val="0"/>
      <w:marBottom w:val="0"/>
      <w:divBdr>
        <w:top w:val="none" w:sz="0" w:space="0" w:color="auto"/>
        <w:left w:val="none" w:sz="0" w:space="0" w:color="auto"/>
        <w:bottom w:val="none" w:sz="0" w:space="0" w:color="auto"/>
        <w:right w:val="none" w:sz="0" w:space="0" w:color="auto"/>
      </w:divBdr>
    </w:div>
    <w:div w:id="1175992696">
      <w:bodyDiv w:val="1"/>
      <w:marLeft w:val="0"/>
      <w:marRight w:val="0"/>
      <w:marTop w:val="0"/>
      <w:marBottom w:val="0"/>
      <w:divBdr>
        <w:top w:val="none" w:sz="0" w:space="0" w:color="auto"/>
        <w:left w:val="none" w:sz="0" w:space="0" w:color="auto"/>
        <w:bottom w:val="none" w:sz="0" w:space="0" w:color="auto"/>
        <w:right w:val="none" w:sz="0" w:space="0" w:color="auto"/>
      </w:divBdr>
    </w:div>
    <w:div w:id="1631477889">
      <w:bodyDiv w:val="1"/>
      <w:marLeft w:val="0"/>
      <w:marRight w:val="0"/>
      <w:marTop w:val="0"/>
      <w:marBottom w:val="0"/>
      <w:divBdr>
        <w:top w:val="none" w:sz="0" w:space="0" w:color="auto"/>
        <w:left w:val="none" w:sz="0" w:space="0" w:color="auto"/>
        <w:bottom w:val="none" w:sz="0" w:space="0" w:color="auto"/>
        <w:right w:val="none" w:sz="0" w:space="0" w:color="auto"/>
      </w:divBdr>
    </w:div>
    <w:div w:id="1671179994">
      <w:bodyDiv w:val="1"/>
      <w:marLeft w:val="0"/>
      <w:marRight w:val="0"/>
      <w:marTop w:val="0"/>
      <w:marBottom w:val="0"/>
      <w:divBdr>
        <w:top w:val="none" w:sz="0" w:space="0" w:color="auto"/>
        <w:left w:val="none" w:sz="0" w:space="0" w:color="auto"/>
        <w:bottom w:val="none" w:sz="0" w:space="0" w:color="auto"/>
        <w:right w:val="none" w:sz="0" w:space="0" w:color="auto"/>
      </w:divBdr>
    </w:div>
    <w:div w:id="17393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orkFoundations@dewr.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2016-06-16T00:00:00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E37E424E9E794DB88E9FC4369C2942" ma:contentTypeVersion="12" ma:contentTypeDescription="Create a new document." ma:contentTypeScope="" ma:versionID="91aa683a64c5957facd4dbeb725d8dc3">
  <xsd:schema xmlns:xsd="http://www.w3.org/2001/XMLSchema" xmlns:xs="http://www.w3.org/2001/XMLSchema" xmlns:p="http://schemas.microsoft.com/office/2006/metadata/properties" xmlns:ns2="1a975a86-2730-4fa4-bf0c-21264e06067e" xmlns:ns3="6d50c4e0-6229-4221-82a9-d56a34450bba" targetNamespace="http://schemas.microsoft.com/office/2006/metadata/properties" ma:root="true" ma:fieldsID="21e2ab4f306c7c37f402e77b9dad93c8" ns2:_="" ns3:_="">
    <xsd:import namespace="1a975a86-2730-4fa4-bf0c-21264e06067e"/>
    <xsd:import namespace="6d50c4e0-6229-4221-82a9-d56a34450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75a86-2730-4fa4-bf0c-21264e060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50c4e0-6229-4221-82a9-d56a34450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3061e4-444a-49a6-8a30-8865043b1f61}" ma:internalName="TaxCatchAll" ma:showField="CatchAllData" ma:web="6d50c4e0-6229-4221-82a9-d56a34450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d50c4e0-6229-4221-82a9-d56a34450bba"/>
    <lcf76f155ced4ddcb4097134ff3c332f xmlns="1a975a86-2730-4fa4-bf0c-21264e06067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EC66C9-20CF-4BBF-9DCD-2318401628A9}">
  <ds:schemaRefs>
    <ds:schemaRef ds:uri="http://schemas.microsoft.com/sharepoint/v3/contenttype/forms"/>
  </ds:schemaRefs>
</ds:datastoreItem>
</file>

<file path=customXml/itemProps3.xml><?xml version="1.0" encoding="utf-8"?>
<ds:datastoreItem xmlns:ds="http://schemas.openxmlformats.org/officeDocument/2006/customXml" ds:itemID="{4BA13EF3-F362-4408-BB8B-54E9116F8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75a86-2730-4fa4-bf0c-21264e06067e"/>
    <ds:schemaRef ds:uri="6d50c4e0-6229-4221-82a9-d56a34450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5BD12-FF6D-4679-A232-DAD9BDA0FC1B}">
  <ds:schemaRefs>
    <ds:schemaRef ds:uri="http://schemas.microsoft.com/office/2006/metadata/properties"/>
    <ds:schemaRef ds:uri="1a975a86-2730-4fa4-bf0c-21264e06067e"/>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6d50c4e0-6229-4221-82a9-d56a34450bba"/>
    <ds:schemaRef ds:uri="http://www.w3.org/XML/1998/namespace"/>
    <ds:schemaRef ds:uri="http://purl.org/dc/terms/"/>
  </ds:schemaRefs>
</ds:datastoreItem>
</file>

<file path=customXml/itemProps5.xml><?xml version="1.0" encoding="utf-8"?>
<ds:datastoreItem xmlns:ds="http://schemas.openxmlformats.org/officeDocument/2006/customXml" ds:itemID="{37329AC6-E392-4979-B649-088CE1F8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1604</Words>
  <Characters>9477</Characters>
  <DocSecurity>0</DocSecurity>
  <Lines>160</Lines>
  <Paragraphs>84</Paragraphs>
  <ScaleCrop>false</ScaleCrop>
  <HeadingPairs>
    <vt:vector size="2" baseType="variant">
      <vt:variant>
        <vt:lpstr>Title</vt:lpstr>
      </vt:variant>
      <vt:variant>
        <vt:i4>1</vt:i4>
      </vt:variant>
    </vt:vector>
  </HeadingPairs>
  <TitlesOfParts>
    <vt:vector size="1" baseType="lpstr">
      <vt:lpstr>Paid Employment Pathways – WorkFoundations - General Feedback</vt:lpstr>
    </vt:vector>
  </TitlesOfParts>
  <LinksUpToDate>false</LinksUpToDate>
  <CharactersWithSpaces>10999</CharactersWithSpaces>
  <SharedDoc>false</SharedDoc>
  <HLinks>
    <vt:vector size="6" baseType="variant">
      <vt:variant>
        <vt:i4>7405582</vt:i4>
      </vt:variant>
      <vt:variant>
        <vt:i4>0</vt:i4>
      </vt:variant>
      <vt:variant>
        <vt:i4>0</vt:i4>
      </vt:variant>
      <vt:variant>
        <vt:i4>5</vt:i4>
      </vt:variant>
      <vt:variant>
        <vt:lpwstr>mailto:WorkFoundations@dewr.gov.au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Employment Pathways – WorkFoundations - General Feedback</dc:title>
  <cp:lastPrinted>2025-05-20T05:25:00Z</cp:lastPrinted>
  <dcterms:created xsi:type="dcterms:W3CDTF">2025-05-20T05:24:00Z</dcterms:created>
  <dcterms:modified xsi:type="dcterms:W3CDTF">2025-05-20T23:06:00Z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C497C80042C440F595035F4BC10E7D3D</vt:lpwstr>
  </property>
  <property fmtid="{D5CDD505-2E9C-101B-9397-08002B2CF9AE}" pid="9" name="PM_ProtectiveMarkingValue_Footer">
    <vt:lpwstr>OFFICIAL</vt:lpwstr>
  </property>
  <property fmtid="{D5CDD505-2E9C-101B-9397-08002B2CF9AE}" pid="10" name="PM_Originator_Hash_SHA1">
    <vt:lpwstr>576F151FD6551BB9E29880A866F501F56DFF7E76</vt:lpwstr>
  </property>
  <property fmtid="{D5CDD505-2E9C-101B-9397-08002B2CF9AE}" pid="11" name="PM_OriginationTimeStamp">
    <vt:lpwstr>2024-02-28T03:04:19Z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A5B46DC6643B31EE3D2476F1011A2A57</vt:lpwstr>
  </property>
  <property fmtid="{D5CDD505-2E9C-101B-9397-08002B2CF9AE}" pid="21" name="PM_Hash_Salt">
    <vt:lpwstr>DE8B0626A74ABF8BA0E771EC3EF3A1A6</vt:lpwstr>
  </property>
  <property fmtid="{D5CDD505-2E9C-101B-9397-08002B2CF9AE}" pid="22" name="PM_Hash_SHA1">
    <vt:lpwstr>C6B3BBDFAF0F0216A804649310A35DE89772C95C</vt:lpwstr>
  </property>
  <property fmtid="{D5CDD505-2E9C-101B-9397-08002B2CF9AE}" pid="23" name="PM_OriginatorUserAccountName_SHA256">
    <vt:lpwstr>E74FCD027C54804832A5F4A449BB9243CB405E8CE3E829D124AC8952E499F17E</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v=2022.1;a=SHA256;h=5B384FF355634FE6DCBBF94E096DA7D003E0B11A3E95FDD4CD6B38E61CD81D58</vt:lpwstr>
  </property>
  <property fmtid="{D5CDD505-2E9C-101B-9397-08002B2CF9AE}" pid="28" name="MSIP_Label_eb34d90b-fc41-464d-af60-f74d721d0790_SetDate">
    <vt:lpwstr>2024-02-28T03:04:19Z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17c3facc38b94a928ce167138b304a8d</vt:lpwstr>
  </property>
  <property fmtid="{D5CDD505-2E9C-101B-9397-08002B2CF9AE}" pid="35" name="PMUuid">
    <vt:lpwstr>v=2022.2;d=gov.au;g=46DD6D7C-8107-577B-BC6E-F348953B2E44</vt:lpwstr>
  </property>
  <property fmtid="{D5CDD505-2E9C-101B-9397-08002B2CF9AE}" pid="36" name="ContentTypeId">
    <vt:lpwstr>0x01010044E37E424E9E794DB88E9FC4369C2942</vt:lpwstr>
  </property>
  <property fmtid="{D5CDD505-2E9C-101B-9397-08002B2CF9AE}" pid="37" name="MediaServiceImageTags">
    <vt:lpwstr/>
  </property>
  <property fmtid="{D5CDD505-2E9C-101B-9397-08002B2CF9AE}" pid="38" name="MSIP_Label_79d889eb-932f-4752-8739-64d25806ef64_Enabled">
    <vt:lpwstr>true</vt:lpwstr>
  </property>
  <property fmtid="{D5CDD505-2E9C-101B-9397-08002B2CF9AE}" pid="39" name="MSIP_Label_79d889eb-932f-4752-8739-64d25806ef64_SetDate">
    <vt:lpwstr>2025-04-06T23:06:46Z</vt:lpwstr>
  </property>
  <property fmtid="{D5CDD505-2E9C-101B-9397-08002B2CF9AE}" pid="40" name="MSIP_Label_79d889eb-932f-4752-8739-64d25806ef64_Method">
    <vt:lpwstr>Privileged</vt:lpwstr>
  </property>
  <property fmtid="{D5CDD505-2E9C-101B-9397-08002B2CF9AE}" pid="41" name="MSIP_Label_79d889eb-932f-4752-8739-64d25806ef64_Name">
    <vt:lpwstr>79d889eb-932f-4752-8739-64d25806ef64</vt:lpwstr>
  </property>
  <property fmtid="{D5CDD505-2E9C-101B-9397-08002B2CF9AE}" pid="42" name="MSIP_Label_79d889eb-932f-4752-8739-64d25806ef64_SiteId">
    <vt:lpwstr>dd0cfd15-4558-4b12-8bad-ea26984fc417</vt:lpwstr>
  </property>
  <property fmtid="{D5CDD505-2E9C-101B-9397-08002B2CF9AE}" pid="43" name="MSIP_Label_79d889eb-932f-4752-8739-64d25806ef64_ActionId">
    <vt:lpwstr>91a39e6b-69fd-48c5-9b19-d246410f64e5</vt:lpwstr>
  </property>
  <property fmtid="{D5CDD505-2E9C-101B-9397-08002B2CF9AE}" pid="44" name="MSIP_Label_79d889eb-932f-4752-8739-64d25806ef64_ContentBits">
    <vt:lpwstr>0</vt:lpwstr>
  </property>
  <property fmtid="{D5CDD505-2E9C-101B-9397-08002B2CF9AE}" pid="45" name="MSIP_Label_79d889eb-932f-4752-8739-64d25806ef64_Tag">
    <vt:lpwstr>10, 0, 1, 1</vt:lpwstr>
  </property>
  <property fmtid="{D5CDD505-2E9C-101B-9397-08002B2CF9AE}" pid="46" name="PM_Expires">
    <vt:lpwstr/>
  </property>
  <property fmtid="{D5CDD505-2E9C-101B-9397-08002B2CF9AE}" pid="47" name="PM_DownTo">
    <vt:lpwstr/>
  </property>
</Properties>
</file>