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A6D93" w14:textId="77777777" w:rsidR="00146699" w:rsidRDefault="00146699" w:rsidP="00146699">
      <w:pPr>
        <w:pStyle w:val="BodyText"/>
        <w:ind w:left="-851"/>
      </w:pPr>
      <w:r>
        <w:rPr>
          <w:noProof/>
          <w:lang w:eastAsia="en-AU"/>
        </w:rPr>
        <w:drawing>
          <wp:inline distT="0" distB="0" distL="0" distR="0" wp14:anchorId="588987DD" wp14:editId="3BDF5E10">
            <wp:extent cx="7027545" cy="1389313"/>
            <wp:effectExtent l="0" t="0" r="1905" b="1905"/>
            <wp:docPr id="167967707" name="Picture 1" descr="Australian Government&#10;Community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67707" name="Picture 1" descr="Australian Government&#10;Community Grants Hub"/>
                    <pic:cNvPicPr/>
                  </pic:nvPicPr>
                  <pic:blipFill>
                    <a:blip r:embed="rId9"/>
                    <a:stretch>
                      <a:fillRect/>
                    </a:stretch>
                  </pic:blipFill>
                  <pic:spPr>
                    <a:xfrm>
                      <a:off x="0" y="0"/>
                      <a:ext cx="7109002" cy="1405417"/>
                    </a:xfrm>
                    <a:prstGeom prst="rect">
                      <a:avLst/>
                    </a:prstGeom>
                  </pic:spPr>
                </pic:pic>
              </a:graphicData>
            </a:graphic>
          </wp:inline>
        </w:drawing>
      </w:r>
    </w:p>
    <w:p w14:paraId="5A3A0C6B" w14:textId="77777777" w:rsidR="00025AB9" w:rsidRDefault="00025AB9" w:rsidP="00A92ECD">
      <w:pPr>
        <w:numPr>
          <w:ilvl w:val="1"/>
          <w:numId w:val="0"/>
        </w:numPr>
        <w:pBdr>
          <w:bottom w:val="single" w:sz="4" w:space="5" w:color="000000" w:themeColor="text1"/>
        </w:pBdr>
        <w:spacing w:before="120" w:line="240" w:lineRule="auto"/>
        <w:rPr>
          <w:rFonts w:asciiTheme="majorHAnsi" w:eastAsiaTheme="majorEastAsia" w:hAnsiTheme="majorHAnsi" w:cstheme="majorHAnsi"/>
          <w:bCs/>
          <w:color w:val="A6192E"/>
          <w:sz w:val="52"/>
          <w:szCs w:val="52"/>
        </w:rPr>
      </w:pPr>
      <w:r w:rsidRPr="00025AB9">
        <w:rPr>
          <w:rFonts w:asciiTheme="majorHAnsi" w:eastAsiaTheme="majorEastAsia" w:hAnsiTheme="majorHAnsi" w:cstheme="majorHAnsi"/>
          <w:bCs/>
          <w:color w:val="A6192E"/>
          <w:sz w:val="52"/>
          <w:szCs w:val="52"/>
        </w:rPr>
        <w:t>Financial Wellbeing and Capability Activity - National Debt Helpline</w:t>
      </w:r>
    </w:p>
    <w:p w14:paraId="1160723B" w14:textId="15C229AA" w:rsidR="00A92ECD" w:rsidRPr="0034295E" w:rsidRDefault="0034295E" w:rsidP="00A92ECD">
      <w:pPr>
        <w:numPr>
          <w:ilvl w:val="1"/>
          <w:numId w:val="0"/>
        </w:numPr>
        <w:pBdr>
          <w:bottom w:val="single" w:sz="4" w:space="5" w:color="000000" w:themeColor="text1"/>
        </w:pBdr>
        <w:spacing w:before="120" w:line="240" w:lineRule="auto"/>
        <w:rPr>
          <w:rFonts w:asciiTheme="majorHAnsi" w:eastAsiaTheme="majorEastAsia" w:hAnsiTheme="majorHAnsi" w:cstheme="majorHAnsi"/>
          <w:bCs/>
          <w:color w:val="auto"/>
          <w:sz w:val="30"/>
          <w:szCs w:val="30"/>
        </w:rPr>
      </w:pPr>
      <w:r w:rsidRPr="0034295E">
        <w:rPr>
          <w:rFonts w:asciiTheme="majorHAnsi" w:eastAsiaTheme="majorEastAsia" w:hAnsiTheme="majorHAnsi" w:cstheme="majorHAnsi"/>
          <w:bCs/>
          <w:color w:val="auto"/>
          <w:sz w:val="30"/>
          <w:szCs w:val="30"/>
        </w:rPr>
        <w:t>Feedback for applicants</w:t>
      </w:r>
    </w:p>
    <w:p w14:paraId="0E97F633" w14:textId="08E4F74B" w:rsidR="00A92ECD" w:rsidRDefault="00A92ECD" w:rsidP="00A92ECD">
      <w:pPr>
        <w:spacing w:before="120" w:after="120"/>
        <w:rPr>
          <w:color w:val="auto"/>
        </w:rPr>
      </w:pPr>
      <w:r w:rsidRPr="00854ACD">
        <w:rPr>
          <w:color w:val="auto"/>
        </w:rPr>
        <w:t xml:space="preserve">The </w:t>
      </w:r>
      <w:r w:rsidR="00025AB9" w:rsidRPr="00025AB9">
        <w:rPr>
          <w:color w:val="auto"/>
        </w:rPr>
        <w:t>Department of Social Services</w:t>
      </w:r>
      <w:r w:rsidRPr="00025AB9">
        <w:rPr>
          <w:color w:val="auto"/>
        </w:rPr>
        <w:t xml:space="preserve"> (the</w:t>
      </w:r>
      <w:r>
        <w:rPr>
          <w:color w:val="auto"/>
        </w:rPr>
        <w:t xml:space="preserve"> department) has provided the following general f</w:t>
      </w:r>
      <w:r w:rsidRPr="00854ACD">
        <w:rPr>
          <w:color w:val="auto"/>
        </w:rPr>
        <w:t xml:space="preserve">eedback for applicants of the </w:t>
      </w:r>
      <w:r w:rsidR="00025AB9" w:rsidRPr="00025AB9">
        <w:rPr>
          <w:color w:val="auto"/>
        </w:rPr>
        <w:t>National Debt Helpline</w:t>
      </w:r>
      <w:r w:rsidRPr="00854ACD">
        <w:rPr>
          <w:color w:val="auto"/>
        </w:rPr>
        <w:t xml:space="preserve"> grant opportunity.</w:t>
      </w:r>
    </w:p>
    <w:p w14:paraId="76CCC210" w14:textId="54C51B00" w:rsidR="00A92ECD" w:rsidRPr="00B26492" w:rsidRDefault="00A92ECD" w:rsidP="00A92ECD">
      <w:pPr>
        <w:pStyle w:val="BodyText"/>
      </w:pPr>
      <w:r>
        <w:t>Assessment of applications was in accordance with the procedure detailed in the grant opportunity guidelines (the guidelines) and outlined in the selection process below.</w:t>
      </w:r>
    </w:p>
    <w:p w14:paraId="1312E72A" w14:textId="3D1E9B9B" w:rsidR="00B952F6" w:rsidRDefault="00A92ECD" w:rsidP="00222526">
      <w:pPr>
        <w:pStyle w:val="Heading2"/>
        <w:rPr>
          <w:rFonts w:asciiTheme="majorHAnsi" w:hAnsiTheme="majorHAnsi" w:cstheme="majorHAnsi"/>
        </w:rPr>
      </w:pPr>
      <w:r w:rsidRPr="00A92ECD">
        <w:rPr>
          <w:rFonts w:asciiTheme="majorHAnsi" w:hAnsiTheme="majorHAnsi" w:cstheme="majorHAnsi"/>
        </w:rPr>
        <w:t>Overview</w:t>
      </w:r>
    </w:p>
    <w:p w14:paraId="76935D51" w14:textId="28A9AA57" w:rsidR="00A92ECD" w:rsidRDefault="00A92ECD" w:rsidP="00A92ECD">
      <w:pPr>
        <w:pStyle w:val="BodyText"/>
        <w:spacing w:after="120"/>
        <w:rPr>
          <w:color w:val="auto"/>
        </w:rPr>
      </w:pPr>
      <w:r w:rsidRPr="00854ACD">
        <w:rPr>
          <w:color w:val="auto"/>
        </w:rPr>
        <w:t xml:space="preserve">The application </w:t>
      </w:r>
      <w:r>
        <w:rPr>
          <w:color w:val="auto"/>
        </w:rPr>
        <w:t xml:space="preserve">submission </w:t>
      </w:r>
      <w:r w:rsidRPr="00854ACD">
        <w:rPr>
          <w:color w:val="auto"/>
        </w:rPr>
        <w:t xml:space="preserve">period </w:t>
      </w:r>
      <w:r w:rsidRPr="00517BA3">
        <w:rPr>
          <w:color w:val="auto"/>
        </w:rPr>
        <w:t xml:space="preserve">opened on </w:t>
      </w:r>
      <w:r w:rsidR="00025AB9">
        <w:rPr>
          <w:color w:val="auto"/>
        </w:rPr>
        <w:t>22 October 2024</w:t>
      </w:r>
      <w:r w:rsidRPr="00854ACD">
        <w:rPr>
          <w:color w:val="auto"/>
        </w:rPr>
        <w:t xml:space="preserve"> and closed on </w:t>
      </w:r>
      <w:r w:rsidR="00025AB9">
        <w:rPr>
          <w:color w:val="auto"/>
        </w:rPr>
        <w:t>18 November 2024.</w:t>
      </w:r>
    </w:p>
    <w:p w14:paraId="1D57016B" w14:textId="1B8A622E" w:rsidR="005E4C73" w:rsidRDefault="005E4C73" w:rsidP="00A92ECD">
      <w:pPr>
        <w:pStyle w:val="BodyText"/>
        <w:spacing w:after="120"/>
        <w:rPr>
          <w:color w:val="auto"/>
        </w:rPr>
      </w:pPr>
      <w:r>
        <w:rPr>
          <w:color w:val="auto"/>
        </w:rPr>
        <w:t>T</w:t>
      </w:r>
      <w:r w:rsidRPr="005E4C73">
        <w:rPr>
          <w:color w:val="auto"/>
        </w:rPr>
        <w:t xml:space="preserve">he National Debt Helpline </w:t>
      </w:r>
      <w:r>
        <w:rPr>
          <w:color w:val="auto"/>
        </w:rPr>
        <w:t xml:space="preserve">(NDH) </w:t>
      </w:r>
      <w:r w:rsidRPr="005E4C73">
        <w:rPr>
          <w:color w:val="auto"/>
        </w:rPr>
        <w:t>grant opportunity</w:t>
      </w:r>
      <w:r>
        <w:rPr>
          <w:color w:val="auto"/>
        </w:rPr>
        <w:t xml:space="preserve"> sits under the Financial Wellbeing and Capability Activity with funding</w:t>
      </w:r>
      <w:r w:rsidRPr="005E4C73">
        <w:rPr>
          <w:color w:val="auto"/>
        </w:rPr>
        <w:t xml:space="preserve"> provided over 5 years, from 2025</w:t>
      </w:r>
      <w:r w:rsidR="0034295E">
        <w:rPr>
          <w:color w:val="auto"/>
        </w:rPr>
        <w:t>–</w:t>
      </w:r>
      <w:r w:rsidRPr="005E4C73">
        <w:rPr>
          <w:color w:val="auto"/>
        </w:rPr>
        <w:t>26 to 2029</w:t>
      </w:r>
      <w:r w:rsidR="0034295E">
        <w:rPr>
          <w:color w:val="auto"/>
        </w:rPr>
        <w:t>–</w:t>
      </w:r>
      <w:r w:rsidRPr="005E4C73">
        <w:rPr>
          <w:color w:val="auto"/>
        </w:rPr>
        <w:t>30.</w:t>
      </w:r>
    </w:p>
    <w:p w14:paraId="4E8E73E4" w14:textId="76E62F71" w:rsidR="005E4C73" w:rsidRDefault="005E4C73" w:rsidP="005E4C73">
      <w:pPr>
        <w:pStyle w:val="BodyText"/>
        <w:spacing w:after="120"/>
        <w:rPr>
          <w:color w:val="auto"/>
        </w:rPr>
      </w:pPr>
      <w:r>
        <w:rPr>
          <w:color w:val="auto"/>
        </w:rPr>
        <w:t xml:space="preserve">The NDH </w:t>
      </w:r>
      <w:r w:rsidRPr="005E4C73">
        <w:rPr>
          <w:color w:val="auto"/>
        </w:rPr>
        <w:t xml:space="preserve">is a national telephone service (1800 007 007) that provides access to financial counselling services which support eligible people to address their financial problems through the provision of information, advocacy and negotiation. People can also access information online via </w:t>
      </w:r>
      <w:r w:rsidR="000A096F">
        <w:rPr>
          <w:color w:val="auto"/>
        </w:rPr>
        <w:t xml:space="preserve">the </w:t>
      </w:r>
      <w:hyperlink r:id="rId10" w:history="1">
        <w:r w:rsidR="000A096F" w:rsidRPr="000A096F">
          <w:rPr>
            <w:rStyle w:val="Hyperlink"/>
          </w:rPr>
          <w:t>National Debt Hotline website</w:t>
        </w:r>
      </w:hyperlink>
      <w:r w:rsidR="000A096F">
        <w:rPr>
          <w:rStyle w:val="FootnoteReference"/>
          <w:color w:val="auto"/>
        </w:rPr>
        <w:footnoteReference w:id="1"/>
      </w:r>
      <w:r w:rsidRPr="005E4C73">
        <w:rPr>
          <w:color w:val="auto"/>
        </w:rPr>
        <w:t>, and chat to a financial counsellor online through the NDH chat function on the website.</w:t>
      </w:r>
    </w:p>
    <w:p w14:paraId="6D5C424D" w14:textId="3485D3FA" w:rsidR="004E0F39" w:rsidRDefault="004E0F39" w:rsidP="005E4C73">
      <w:pPr>
        <w:pStyle w:val="BodyText"/>
        <w:spacing w:after="120"/>
        <w:rPr>
          <w:color w:val="auto"/>
        </w:rPr>
      </w:pPr>
      <w:r w:rsidRPr="004E0F39">
        <w:rPr>
          <w:color w:val="auto"/>
        </w:rPr>
        <w:t xml:space="preserve">Financial counsellors provide intensive support through an in-depth assessment of a person's financial situation to understand the extent of the person's financial difficulties and to identify options to address these. They encourage the person to participate in the planning and </w:t>
      </w:r>
      <w:proofErr w:type="gramStart"/>
      <w:r w:rsidRPr="004E0F39">
        <w:rPr>
          <w:color w:val="auto"/>
        </w:rPr>
        <w:t>decision making</w:t>
      </w:r>
      <w:proofErr w:type="gramEnd"/>
      <w:r w:rsidRPr="004E0F39">
        <w:rPr>
          <w:color w:val="auto"/>
        </w:rPr>
        <w:t xml:space="preserve"> process. Financial counsellors may also refer people to other local sources of support and assistance.</w:t>
      </w:r>
    </w:p>
    <w:p w14:paraId="51AF20E1" w14:textId="26850814" w:rsidR="00A92ECD" w:rsidRDefault="00A92ECD" w:rsidP="00A92ECD">
      <w:pPr>
        <w:pStyle w:val="Heading2"/>
        <w:rPr>
          <w:rFonts w:asciiTheme="majorHAnsi" w:hAnsiTheme="majorHAnsi" w:cstheme="majorHAnsi"/>
        </w:rPr>
      </w:pPr>
      <w:r>
        <w:rPr>
          <w:rFonts w:asciiTheme="majorHAnsi" w:hAnsiTheme="majorHAnsi" w:cstheme="majorHAnsi"/>
        </w:rPr>
        <w:t>Selection Process</w:t>
      </w:r>
    </w:p>
    <w:p w14:paraId="01AF615A" w14:textId="77777777" w:rsidR="00A92ECD" w:rsidRPr="00854ACD" w:rsidRDefault="00A92ECD" w:rsidP="00A92ECD">
      <w:pPr>
        <w:pStyle w:val="BodyText"/>
        <w:spacing w:after="120"/>
        <w:rPr>
          <w:color w:val="auto"/>
        </w:rPr>
      </w:pPr>
      <w:r>
        <w:t xml:space="preserve">The Community Grants Hub (the Hub) undertook the initial screening for organisation eligibility and compliance against the requirements outlined in the guidelines. This information was provided to the department’s grant opportunity delegate </w:t>
      </w:r>
      <w:r>
        <w:rPr>
          <w:color w:val="auto"/>
        </w:rPr>
        <w:t xml:space="preserve">for </w:t>
      </w:r>
      <w:r w:rsidRPr="00854ACD">
        <w:rPr>
          <w:color w:val="auto"/>
        </w:rPr>
        <w:t>final decision</w:t>
      </w:r>
      <w:r>
        <w:rPr>
          <w:color w:val="auto"/>
        </w:rPr>
        <w:t>s</w:t>
      </w:r>
      <w:r w:rsidRPr="00854ACD">
        <w:rPr>
          <w:color w:val="auto"/>
        </w:rPr>
        <w:t xml:space="preserve"> on whether an application </w:t>
      </w:r>
      <w:r>
        <w:rPr>
          <w:color w:val="auto"/>
        </w:rPr>
        <w:t>met the eligibility and</w:t>
      </w:r>
      <w:r w:rsidRPr="00854ACD">
        <w:rPr>
          <w:color w:val="auto"/>
        </w:rPr>
        <w:t xml:space="preserve"> compliance criteria.</w:t>
      </w:r>
    </w:p>
    <w:p w14:paraId="403670EB" w14:textId="1CE466BC" w:rsidR="00A92ECD" w:rsidRDefault="00A92ECD" w:rsidP="00A92ECD">
      <w:pPr>
        <w:spacing w:before="120" w:after="120"/>
        <w:rPr>
          <w:color w:val="auto"/>
        </w:rPr>
      </w:pPr>
      <w:r>
        <w:rPr>
          <w:color w:val="auto"/>
        </w:rPr>
        <w:t xml:space="preserve">The department </w:t>
      </w:r>
      <w:r w:rsidRPr="00854ACD">
        <w:rPr>
          <w:color w:val="auto"/>
        </w:rPr>
        <w:t xml:space="preserve">assessed and </w:t>
      </w:r>
      <w:r w:rsidRPr="005D165C">
        <w:rPr>
          <w:color w:val="auto"/>
        </w:rPr>
        <w:t>considered all applications</w:t>
      </w:r>
      <w:r w:rsidRPr="00854ACD">
        <w:rPr>
          <w:color w:val="auto"/>
        </w:rPr>
        <w:t xml:space="preserve"> through </w:t>
      </w:r>
      <w:r w:rsidR="00025AB9">
        <w:rPr>
          <w:color w:val="auto"/>
        </w:rPr>
        <w:t xml:space="preserve">a </w:t>
      </w:r>
      <w:r w:rsidR="00556C53">
        <w:rPr>
          <w:color w:val="auto"/>
        </w:rPr>
        <w:t>c</w:t>
      </w:r>
      <w:r w:rsidR="00025AB9">
        <w:rPr>
          <w:color w:val="auto"/>
        </w:rPr>
        <w:t xml:space="preserve">losed </w:t>
      </w:r>
      <w:r w:rsidR="00556C53">
        <w:rPr>
          <w:color w:val="auto"/>
        </w:rPr>
        <w:t>n</w:t>
      </w:r>
      <w:r w:rsidR="00025AB9">
        <w:rPr>
          <w:color w:val="auto"/>
        </w:rPr>
        <w:t>on-</w:t>
      </w:r>
      <w:r w:rsidR="00556C53">
        <w:rPr>
          <w:color w:val="auto"/>
        </w:rPr>
        <w:t>c</w:t>
      </w:r>
      <w:r w:rsidR="00025AB9">
        <w:rPr>
          <w:color w:val="auto"/>
        </w:rPr>
        <w:t>ompetitive</w:t>
      </w:r>
      <w:r>
        <w:rPr>
          <w:color w:val="auto"/>
        </w:rPr>
        <w:t xml:space="preserve"> grant process.</w:t>
      </w:r>
    </w:p>
    <w:p w14:paraId="0396BC32" w14:textId="0145F2F2" w:rsidR="00A92ECD" w:rsidRDefault="00A92ECD" w:rsidP="00A92ECD">
      <w:pPr>
        <w:spacing w:before="120" w:after="120"/>
        <w:rPr>
          <w:color w:val="auto"/>
        </w:rPr>
      </w:pPr>
      <w:r>
        <w:rPr>
          <w:color w:val="auto"/>
        </w:rPr>
        <w:t>The selection advisory p</w:t>
      </w:r>
      <w:r w:rsidRPr="00854ACD">
        <w:rPr>
          <w:color w:val="auto"/>
        </w:rPr>
        <w:t>anel</w:t>
      </w:r>
      <w:r>
        <w:rPr>
          <w:color w:val="auto"/>
        </w:rPr>
        <w:t xml:space="preserve"> (panel) </w:t>
      </w:r>
      <w:r w:rsidRPr="00854ACD">
        <w:rPr>
          <w:color w:val="auto"/>
        </w:rPr>
        <w:t>established by</w:t>
      </w:r>
      <w:r>
        <w:rPr>
          <w:color w:val="auto"/>
        </w:rPr>
        <w:t xml:space="preserve"> the department</w:t>
      </w:r>
      <w:r w:rsidRPr="00854ACD">
        <w:rPr>
          <w:color w:val="auto"/>
        </w:rPr>
        <w:t xml:space="preserve">, </w:t>
      </w:r>
      <w:r w:rsidRPr="00E86AD5">
        <w:t xml:space="preserve">comprised </w:t>
      </w:r>
      <w:r>
        <w:t xml:space="preserve">of subject matter experts who </w:t>
      </w:r>
      <w:r w:rsidRPr="00854ACD">
        <w:rPr>
          <w:color w:val="auto"/>
        </w:rPr>
        <w:t>assessed applications</w:t>
      </w:r>
      <w:r>
        <w:rPr>
          <w:color w:val="auto"/>
        </w:rPr>
        <w:t xml:space="preserve"> </w:t>
      </w:r>
      <w:r w:rsidRPr="00E86AD5">
        <w:t xml:space="preserve">and provided advice to inform the funding recommendations to the </w:t>
      </w:r>
      <w:r>
        <w:t xml:space="preserve">Financial </w:t>
      </w:r>
      <w:r w:rsidRPr="00E86AD5">
        <w:t>Delegate.</w:t>
      </w:r>
    </w:p>
    <w:p w14:paraId="662401D6" w14:textId="6E98AC90" w:rsidR="000C7C00" w:rsidRPr="005D165C" w:rsidRDefault="000C7C00" w:rsidP="000C7C00">
      <w:pPr>
        <w:pStyle w:val="BodyText"/>
        <w:rPr>
          <w:color w:val="auto"/>
        </w:rPr>
      </w:pPr>
      <w:r w:rsidRPr="000C7C00">
        <w:rPr>
          <w:color w:val="auto"/>
        </w:rPr>
        <w:t xml:space="preserve">The panel’s </w:t>
      </w:r>
      <w:r w:rsidRPr="005D165C">
        <w:rPr>
          <w:color w:val="auto"/>
        </w:rPr>
        <w:t>consideration of assessed applications was based on:</w:t>
      </w:r>
    </w:p>
    <w:p w14:paraId="7CEBC3CB" w14:textId="733215EB" w:rsidR="000C7C00" w:rsidRPr="005D165C" w:rsidRDefault="000C7C00" w:rsidP="000C7C00">
      <w:pPr>
        <w:pStyle w:val="BodyText"/>
        <w:numPr>
          <w:ilvl w:val="0"/>
          <w:numId w:val="7"/>
        </w:numPr>
        <w:rPr>
          <w:color w:val="auto"/>
        </w:rPr>
      </w:pPr>
      <w:r w:rsidRPr="005D165C">
        <w:rPr>
          <w:color w:val="auto"/>
        </w:rPr>
        <w:t>how well the responses met the assessment criteria</w:t>
      </w:r>
    </w:p>
    <w:p w14:paraId="637FBBF3" w14:textId="16EC4A07" w:rsidR="007644E6" w:rsidRPr="005D165C" w:rsidRDefault="007644E6" w:rsidP="000C7C00">
      <w:pPr>
        <w:pStyle w:val="BodyText"/>
        <w:numPr>
          <w:ilvl w:val="0"/>
          <w:numId w:val="7"/>
        </w:numPr>
        <w:rPr>
          <w:color w:val="auto"/>
        </w:rPr>
      </w:pPr>
      <w:r w:rsidRPr="005D165C">
        <w:rPr>
          <w:color w:val="auto"/>
        </w:rPr>
        <w:lastRenderedPageBreak/>
        <w:t>conformance with eligibility criteria</w:t>
      </w:r>
    </w:p>
    <w:p w14:paraId="01E0B61B" w14:textId="0313C8F9" w:rsidR="007644E6" w:rsidRPr="005D165C" w:rsidRDefault="007644E6" w:rsidP="000C7C00">
      <w:pPr>
        <w:pStyle w:val="BodyText"/>
        <w:numPr>
          <w:ilvl w:val="0"/>
          <w:numId w:val="7"/>
        </w:numPr>
        <w:rPr>
          <w:color w:val="auto"/>
        </w:rPr>
      </w:pPr>
      <w:r w:rsidRPr="005D165C">
        <w:rPr>
          <w:color w:val="auto"/>
        </w:rPr>
        <w:t>how the services will be delivered</w:t>
      </w:r>
    </w:p>
    <w:p w14:paraId="15FB0C2E" w14:textId="28D6ADD4" w:rsidR="000C7C00" w:rsidRPr="005D165C" w:rsidRDefault="006C45C8" w:rsidP="000C7C00">
      <w:pPr>
        <w:pStyle w:val="BodyText"/>
        <w:numPr>
          <w:ilvl w:val="0"/>
          <w:numId w:val="7"/>
        </w:numPr>
        <w:rPr>
          <w:color w:val="auto"/>
        </w:rPr>
      </w:pPr>
      <w:r w:rsidRPr="005D165C">
        <w:rPr>
          <w:color w:val="auto"/>
        </w:rPr>
        <w:t>w</w:t>
      </w:r>
      <w:r w:rsidR="000C7C00" w:rsidRPr="005D165C">
        <w:rPr>
          <w:color w:val="auto"/>
        </w:rPr>
        <w:t xml:space="preserve">hether the </w:t>
      </w:r>
      <w:r w:rsidR="007644E6" w:rsidRPr="005D165C">
        <w:rPr>
          <w:color w:val="auto"/>
        </w:rPr>
        <w:t xml:space="preserve">application provides </w:t>
      </w:r>
      <w:r w:rsidR="000C7C00" w:rsidRPr="005D165C">
        <w:rPr>
          <w:color w:val="auto"/>
        </w:rPr>
        <w:t>value with relevant money</w:t>
      </w:r>
      <w:r w:rsidR="007644E6" w:rsidRPr="005D165C">
        <w:rPr>
          <w:color w:val="auto"/>
        </w:rPr>
        <w:t>.</w:t>
      </w:r>
    </w:p>
    <w:p w14:paraId="2BD2B93F" w14:textId="0DA5C6EA" w:rsidR="00A92ECD" w:rsidRPr="00817C12" w:rsidRDefault="00A92ECD" w:rsidP="00A92ECD">
      <w:pPr>
        <w:pStyle w:val="Heading2"/>
        <w:rPr>
          <w:color w:val="C00000"/>
          <w:sz w:val="28"/>
          <w:szCs w:val="28"/>
        </w:rPr>
      </w:pPr>
      <w:r w:rsidRPr="00A92ECD">
        <w:rPr>
          <w:rFonts w:asciiTheme="majorHAnsi" w:hAnsiTheme="majorHAnsi" w:cstheme="majorHAnsi"/>
        </w:rPr>
        <w:t>Selection Results</w:t>
      </w:r>
    </w:p>
    <w:p w14:paraId="5AF5DA2A" w14:textId="5348DB7D" w:rsidR="00D90CAD" w:rsidRPr="00D90CAD" w:rsidRDefault="00A92ECD" w:rsidP="00D90CAD">
      <w:pPr>
        <w:pStyle w:val="BodyText"/>
      </w:pPr>
      <w:r w:rsidRPr="00365D20">
        <w:rPr>
          <w:color w:val="auto"/>
        </w:rPr>
        <w:t>The</w:t>
      </w:r>
      <w:r w:rsidR="00B3182A">
        <w:rPr>
          <w:color w:val="auto"/>
        </w:rPr>
        <w:t xml:space="preserve"> </w:t>
      </w:r>
      <w:r w:rsidR="00B77A17">
        <w:rPr>
          <w:color w:val="auto"/>
        </w:rPr>
        <w:t>successful</w:t>
      </w:r>
      <w:r w:rsidRPr="00365D20">
        <w:rPr>
          <w:color w:val="auto"/>
        </w:rPr>
        <w:t xml:space="preserve"> applicants </w:t>
      </w:r>
      <w:r w:rsidR="00EB13FD">
        <w:t>were of a high standard</w:t>
      </w:r>
      <w:r w:rsidR="00EB13FD" w:rsidRPr="00365D20">
        <w:rPr>
          <w:color w:val="auto"/>
        </w:rPr>
        <w:t xml:space="preserve"> </w:t>
      </w:r>
      <w:r w:rsidR="00EB13FD">
        <w:rPr>
          <w:color w:val="auto"/>
        </w:rPr>
        <w:t xml:space="preserve">and </w:t>
      </w:r>
      <w:r w:rsidRPr="00365D20">
        <w:rPr>
          <w:color w:val="auto"/>
        </w:rPr>
        <w:t>demonstrated their ability to meet the grant requirements outlined in the guidelines.</w:t>
      </w:r>
    </w:p>
    <w:p w14:paraId="0E8B1966" w14:textId="16D3FCF6" w:rsidR="00D90CAD" w:rsidRDefault="00A92ECD" w:rsidP="00D90CAD">
      <w:pPr>
        <w:pStyle w:val="BodyText"/>
      </w:pPr>
      <w:r>
        <w:t xml:space="preserve">This feedback is provided to assist grant applicants to understand what comprised a strong application and what </w:t>
      </w:r>
      <w:r w:rsidR="00ED04E8">
        <w:t xml:space="preserve">the panel considered a </w:t>
      </w:r>
      <w:proofErr w:type="gramStart"/>
      <w:r w:rsidR="00ED04E8">
        <w:t>high</w:t>
      </w:r>
      <w:r>
        <w:t xml:space="preserve"> quality</w:t>
      </w:r>
      <w:proofErr w:type="gramEnd"/>
      <w:r>
        <w:t xml:space="preserve"> response to </w:t>
      </w:r>
      <w:r w:rsidR="00945E33">
        <w:t xml:space="preserve">each </w:t>
      </w:r>
      <w:r>
        <w:t>assessment criteri</w:t>
      </w:r>
      <w:r w:rsidR="00945E33">
        <w:t>on</w:t>
      </w:r>
      <w:r>
        <w:t>.</w:t>
      </w:r>
    </w:p>
    <w:p w14:paraId="50F85618" w14:textId="77777777" w:rsidR="00A92ECD" w:rsidRPr="00A92ECD" w:rsidRDefault="00A92ECD" w:rsidP="00A92ECD">
      <w:pPr>
        <w:pStyle w:val="Heading2"/>
        <w:rPr>
          <w:rFonts w:asciiTheme="majorHAnsi" w:hAnsiTheme="majorHAnsi" w:cstheme="majorHAnsi"/>
        </w:rPr>
      </w:pPr>
      <w:r w:rsidRPr="00A92ECD">
        <w:rPr>
          <w:rFonts w:asciiTheme="majorHAnsi" w:hAnsiTheme="majorHAnsi" w:cstheme="majorHAnsi"/>
        </w:rPr>
        <w:t>Criterion 1</w:t>
      </w:r>
    </w:p>
    <w:p w14:paraId="783F0372" w14:textId="67568388" w:rsidR="000F5432" w:rsidRDefault="00365D20" w:rsidP="00A92ECD">
      <w:pPr>
        <w:pStyle w:val="Heading3"/>
        <w:spacing w:before="240"/>
        <w:rPr>
          <w:rFonts w:asciiTheme="majorHAnsi" w:hAnsiTheme="majorHAnsi" w:cstheme="majorHAnsi"/>
        </w:rPr>
      </w:pPr>
      <w:r w:rsidRPr="00365D20">
        <w:rPr>
          <w:rFonts w:asciiTheme="majorHAnsi" w:hAnsiTheme="majorHAnsi" w:cstheme="majorHAnsi"/>
        </w:rPr>
        <w:t>Describe</w:t>
      </w:r>
      <w:r w:rsidR="000F5432">
        <w:rPr>
          <w:rFonts w:asciiTheme="majorHAnsi" w:hAnsiTheme="majorHAnsi" w:cstheme="majorHAnsi"/>
        </w:rPr>
        <w:t>d</w:t>
      </w:r>
      <w:r w:rsidRPr="00365D20">
        <w:rPr>
          <w:rFonts w:asciiTheme="majorHAnsi" w:hAnsiTheme="majorHAnsi" w:cstheme="majorHAnsi"/>
        </w:rPr>
        <w:t xml:space="preserve"> </w:t>
      </w:r>
      <w:r w:rsidR="000F5432">
        <w:rPr>
          <w:rFonts w:asciiTheme="majorHAnsi" w:hAnsiTheme="majorHAnsi" w:cstheme="majorHAnsi"/>
        </w:rPr>
        <w:t>their</w:t>
      </w:r>
      <w:r w:rsidRPr="00365D20">
        <w:rPr>
          <w:rFonts w:asciiTheme="majorHAnsi" w:hAnsiTheme="majorHAnsi" w:cstheme="majorHAnsi"/>
        </w:rPr>
        <w:t xml:space="preserve"> organisation’s capability to deliver the grant activity to people in financial crisis</w:t>
      </w:r>
    </w:p>
    <w:p w14:paraId="035C693F" w14:textId="1DE9F82C" w:rsidR="00D14741" w:rsidRDefault="00D14741" w:rsidP="00D14741">
      <w:pPr>
        <w:pStyle w:val="BodyText"/>
        <w:spacing w:before="60"/>
      </w:pPr>
      <w:r>
        <w:t>Applicants’ response</w:t>
      </w:r>
      <w:r w:rsidR="00735098">
        <w:t>s</w:t>
      </w:r>
      <w:r>
        <w:t xml:space="preserve"> included information about:</w:t>
      </w:r>
    </w:p>
    <w:p w14:paraId="5BBB9270" w14:textId="248866B1" w:rsidR="00365D20" w:rsidRPr="000F5432" w:rsidRDefault="000F5432" w:rsidP="00A92ECD">
      <w:pPr>
        <w:pStyle w:val="BodyText"/>
        <w:numPr>
          <w:ilvl w:val="0"/>
          <w:numId w:val="6"/>
        </w:numPr>
        <w:spacing w:before="60"/>
      </w:pPr>
      <w:r w:rsidRPr="000F5432">
        <w:t>the</w:t>
      </w:r>
      <w:r w:rsidR="00365D20" w:rsidRPr="000F5432">
        <w:t xml:space="preserve"> organisation’s normal or proposed operations and other relevant services that </w:t>
      </w:r>
      <w:r w:rsidR="00983438">
        <w:t>would</w:t>
      </w:r>
      <w:r w:rsidR="00365D20" w:rsidRPr="000F5432">
        <w:t xml:space="preserve"> be available to individuals engaging with the NDH</w:t>
      </w:r>
    </w:p>
    <w:p w14:paraId="45134811" w14:textId="7D00DCF5" w:rsidR="00365D20" w:rsidRPr="000F5432" w:rsidRDefault="00365D20" w:rsidP="00A92ECD">
      <w:pPr>
        <w:pStyle w:val="BodyText"/>
        <w:numPr>
          <w:ilvl w:val="0"/>
          <w:numId w:val="6"/>
        </w:numPr>
        <w:spacing w:before="60"/>
      </w:pPr>
      <w:r w:rsidRPr="000F5432">
        <w:t xml:space="preserve">the relevant capabilities (experience, skills and qualifications) of staff who </w:t>
      </w:r>
      <w:r w:rsidR="00983438">
        <w:t>would</w:t>
      </w:r>
      <w:r w:rsidRPr="000F5432">
        <w:t xml:space="preserve"> be directly and indirectly delivering the NDH (for example financial counsellors and intake workers)</w:t>
      </w:r>
    </w:p>
    <w:p w14:paraId="373E6007" w14:textId="71C99312" w:rsidR="00365D20" w:rsidRPr="000F5432" w:rsidRDefault="00365D20" w:rsidP="00A92ECD">
      <w:pPr>
        <w:pStyle w:val="BodyText"/>
        <w:numPr>
          <w:ilvl w:val="0"/>
          <w:numId w:val="6"/>
        </w:numPr>
        <w:spacing w:before="60"/>
      </w:pPr>
      <w:r w:rsidRPr="000F5432">
        <w:t>development and training provid</w:t>
      </w:r>
      <w:r w:rsidR="000F5432" w:rsidRPr="000F5432">
        <w:t>ed</w:t>
      </w:r>
      <w:r w:rsidRPr="000F5432">
        <w:t xml:space="preserve"> to staff to ensure they have the necessary skills, qualifications and support to deliver services to people under financial stress</w:t>
      </w:r>
    </w:p>
    <w:p w14:paraId="0FD0DDBC" w14:textId="22F709DF" w:rsidR="00365D20" w:rsidRPr="000F5432" w:rsidRDefault="00365D20" w:rsidP="00A92ECD">
      <w:pPr>
        <w:pStyle w:val="BodyText"/>
        <w:numPr>
          <w:ilvl w:val="0"/>
          <w:numId w:val="6"/>
        </w:numPr>
        <w:spacing w:before="60"/>
      </w:pPr>
      <w:r w:rsidRPr="000F5432">
        <w:t xml:space="preserve">how </w:t>
      </w:r>
      <w:r w:rsidR="000F5432" w:rsidRPr="000F5432">
        <w:t xml:space="preserve">they </w:t>
      </w:r>
      <w:r w:rsidR="00983438">
        <w:t>would</w:t>
      </w:r>
      <w:r w:rsidRPr="000F5432">
        <w:t xml:space="preserve"> participate in sector-wide projects, including the Appointment Booking project and online chat function, that contribute to the capacity and capability building of the financial counselling sector</w:t>
      </w:r>
      <w:r w:rsidR="00D90CAD">
        <w:t>.</w:t>
      </w:r>
    </w:p>
    <w:p w14:paraId="0D941E64" w14:textId="77777777" w:rsidR="00A92ECD" w:rsidRPr="00071B5F" w:rsidRDefault="00A92ECD" w:rsidP="00A92ECD">
      <w:pPr>
        <w:pStyle w:val="Heading4"/>
        <w:rPr>
          <w:rFonts w:asciiTheme="majorHAnsi" w:hAnsiTheme="majorHAnsi" w:cstheme="majorHAnsi"/>
          <w:sz w:val="22"/>
          <w:szCs w:val="16"/>
        </w:rPr>
      </w:pPr>
      <w:r w:rsidRPr="00071B5F">
        <w:rPr>
          <w:rFonts w:asciiTheme="majorHAnsi" w:hAnsiTheme="majorHAnsi" w:cstheme="majorHAnsi"/>
          <w:sz w:val="22"/>
          <w:szCs w:val="16"/>
        </w:rPr>
        <w:t>Strong applications:</w:t>
      </w:r>
    </w:p>
    <w:p w14:paraId="059E411F" w14:textId="25299A11" w:rsidR="00AE5883" w:rsidRPr="00EB13FD" w:rsidRDefault="00AE5883" w:rsidP="006A378A">
      <w:pPr>
        <w:pStyle w:val="BodyText"/>
        <w:numPr>
          <w:ilvl w:val="0"/>
          <w:numId w:val="6"/>
        </w:numPr>
        <w:spacing w:before="60"/>
      </w:pPr>
      <w:r>
        <w:t>addressed all sub-criteria</w:t>
      </w:r>
      <w:r w:rsidR="00735098">
        <w:t>, with some addressed to a high standard,</w:t>
      </w:r>
      <w:r>
        <w:t xml:space="preserve"> and provided data </w:t>
      </w:r>
      <w:r w:rsidR="006A378A">
        <w:t xml:space="preserve">and evidence </w:t>
      </w:r>
      <w:r>
        <w:t>to support claims</w:t>
      </w:r>
    </w:p>
    <w:p w14:paraId="7EA5C285" w14:textId="3CD5A9DD" w:rsidR="001B7F74" w:rsidRPr="001052FE" w:rsidRDefault="001B7F74" w:rsidP="001B7F74">
      <w:pPr>
        <w:pStyle w:val="BodyText"/>
        <w:numPr>
          <w:ilvl w:val="0"/>
          <w:numId w:val="6"/>
        </w:numPr>
        <w:spacing w:before="60"/>
      </w:pPr>
      <w:r>
        <w:rPr>
          <w:rFonts w:ascii="Arial" w:eastAsia="Arial" w:hAnsi="Arial" w:cs="Arial"/>
          <w:color w:val="auto"/>
        </w:rPr>
        <w:t xml:space="preserve">clearly </w:t>
      </w:r>
      <w:r w:rsidR="002B6D5E">
        <w:rPr>
          <w:rFonts w:ascii="Arial" w:eastAsia="Arial" w:hAnsi="Arial" w:cs="Arial"/>
          <w:color w:val="auto"/>
        </w:rPr>
        <w:t>outlined their organisation’s</w:t>
      </w:r>
      <w:r w:rsidRPr="00237B38">
        <w:rPr>
          <w:rFonts w:ascii="Arial" w:eastAsia="Arial" w:hAnsi="Arial" w:cs="Arial"/>
          <w:color w:val="auto"/>
        </w:rPr>
        <w:t xml:space="preserve"> operations </w:t>
      </w:r>
      <w:r w:rsidR="002B6D5E">
        <w:rPr>
          <w:rFonts w:ascii="Arial" w:eastAsia="Arial" w:hAnsi="Arial" w:cs="Arial"/>
          <w:color w:val="auto"/>
        </w:rPr>
        <w:t>and track record, including details of their team and relevant staff qualifications and experience</w:t>
      </w:r>
    </w:p>
    <w:p w14:paraId="28099946" w14:textId="7A44EB46" w:rsidR="00AE5883" w:rsidRPr="00AE5883" w:rsidRDefault="002B6D5E">
      <w:pPr>
        <w:pStyle w:val="ListParagraph"/>
        <w:numPr>
          <w:ilvl w:val="0"/>
          <w:numId w:val="6"/>
        </w:numPr>
      </w:pPr>
      <w:r>
        <w:rPr>
          <w:rFonts w:ascii="Arial" w:eastAsia="Arial" w:hAnsi="Arial" w:cs="Arial"/>
          <w:color w:val="auto"/>
        </w:rPr>
        <w:t xml:space="preserve">provided good detail about </w:t>
      </w:r>
      <w:r w:rsidR="00AE5883" w:rsidRPr="00AE5883">
        <w:t xml:space="preserve">staff induction, training and professional development, </w:t>
      </w:r>
      <w:r>
        <w:t>and</w:t>
      </w:r>
      <w:r w:rsidR="001B7F74">
        <w:t xml:space="preserve"> included information about support for staff</w:t>
      </w:r>
      <w:r w:rsidR="000029D2">
        <w:t>,</w:t>
      </w:r>
      <w:r w:rsidR="001B7F74">
        <w:t xml:space="preserve"> including supervision, coaching and </w:t>
      </w:r>
      <w:r w:rsidR="00CD3C90">
        <w:t>employee assistance programs</w:t>
      </w:r>
      <w:r w:rsidR="000029D2">
        <w:t>, and</w:t>
      </w:r>
    </w:p>
    <w:p w14:paraId="1E29222F" w14:textId="480849C7" w:rsidR="005D165C" w:rsidRPr="001E0906" w:rsidRDefault="001B7F74" w:rsidP="00D90CAD">
      <w:pPr>
        <w:pStyle w:val="BodyText"/>
        <w:numPr>
          <w:ilvl w:val="0"/>
          <w:numId w:val="6"/>
        </w:numPr>
        <w:spacing w:before="60"/>
      </w:pPr>
      <w:r>
        <w:rPr>
          <w:rFonts w:ascii="Arial" w:eastAsia="Arial" w:hAnsi="Arial" w:cs="Arial"/>
          <w:color w:val="auto"/>
        </w:rPr>
        <w:t>d</w:t>
      </w:r>
      <w:r w:rsidR="00AE5883">
        <w:rPr>
          <w:rFonts w:ascii="Arial" w:eastAsia="Arial" w:hAnsi="Arial" w:cs="Arial"/>
          <w:color w:val="auto"/>
        </w:rPr>
        <w:t>etailed support and contribution to sector-wide projects and linkages to the broader sector, with examples.</w:t>
      </w:r>
    </w:p>
    <w:p w14:paraId="177A5DED" w14:textId="76517120" w:rsidR="00A92ECD" w:rsidRPr="00A92ECD" w:rsidRDefault="00A92ECD" w:rsidP="00A92ECD">
      <w:pPr>
        <w:pStyle w:val="Heading2"/>
        <w:rPr>
          <w:rFonts w:asciiTheme="majorHAnsi" w:hAnsiTheme="majorHAnsi" w:cstheme="majorHAnsi"/>
        </w:rPr>
      </w:pPr>
      <w:r w:rsidRPr="00A92ECD">
        <w:rPr>
          <w:rFonts w:asciiTheme="majorHAnsi" w:hAnsiTheme="majorHAnsi" w:cstheme="majorHAnsi"/>
        </w:rPr>
        <w:t xml:space="preserve">Criterion </w:t>
      </w:r>
      <w:r>
        <w:rPr>
          <w:rFonts w:asciiTheme="majorHAnsi" w:hAnsiTheme="majorHAnsi" w:cstheme="majorHAnsi"/>
        </w:rPr>
        <w:t>2</w:t>
      </w:r>
    </w:p>
    <w:p w14:paraId="4C71F855" w14:textId="3F2CC16D" w:rsidR="00A92ECD" w:rsidRPr="00A92ECD" w:rsidRDefault="000F5432" w:rsidP="00A92ECD">
      <w:pPr>
        <w:pStyle w:val="Heading3"/>
        <w:spacing w:before="240"/>
        <w:rPr>
          <w:rFonts w:asciiTheme="majorHAnsi" w:hAnsiTheme="majorHAnsi" w:cstheme="majorHAnsi"/>
        </w:rPr>
      </w:pPr>
      <w:r w:rsidRPr="000F5432">
        <w:rPr>
          <w:rFonts w:asciiTheme="majorHAnsi" w:hAnsiTheme="majorHAnsi" w:cstheme="majorHAnsi"/>
        </w:rPr>
        <w:t>Outline</w:t>
      </w:r>
      <w:r>
        <w:rPr>
          <w:rFonts w:asciiTheme="majorHAnsi" w:hAnsiTheme="majorHAnsi" w:cstheme="majorHAnsi"/>
        </w:rPr>
        <w:t>d the</w:t>
      </w:r>
      <w:r w:rsidRPr="000F5432">
        <w:rPr>
          <w:rFonts w:asciiTheme="majorHAnsi" w:hAnsiTheme="majorHAnsi" w:cstheme="majorHAnsi"/>
        </w:rPr>
        <w:t xml:space="preserve"> organisation’s planned service delivery model and how it met the grant objectives</w:t>
      </w:r>
    </w:p>
    <w:p w14:paraId="45AE3F28" w14:textId="088FAF3F" w:rsidR="00D14741" w:rsidRDefault="00D14741" w:rsidP="00D14741">
      <w:pPr>
        <w:pStyle w:val="BodyText"/>
        <w:spacing w:before="60"/>
      </w:pPr>
      <w:r>
        <w:t>Applicants’ response</w:t>
      </w:r>
      <w:r w:rsidR="00EB13FD">
        <w:t>s</w:t>
      </w:r>
      <w:r>
        <w:t xml:space="preserve"> included information about how the organisation:</w:t>
      </w:r>
    </w:p>
    <w:p w14:paraId="0FAE4B8B" w14:textId="05821027" w:rsidR="000F5432" w:rsidRPr="00983438" w:rsidRDefault="000038BB" w:rsidP="00A92ECD">
      <w:pPr>
        <w:pStyle w:val="BodyText"/>
        <w:numPr>
          <w:ilvl w:val="0"/>
          <w:numId w:val="6"/>
        </w:numPr>
        <w:spacing w:before="60"/>
      </w:pPr>
      <w:r>
        <w:t xml:space="preserve">would </w:t>
      </w:r>
      <w:r w:rsidR="000F5432" w:rsidRPr="00983438">
        <w:t>operate the NDH and ensure</w:t>
      </w:r>
      <w:r w:rsidR="00D14741" w:rsidRPr="00983438">
        <w:t>d</w:t>
      </w:r>
      <w:r w:rsidR="000F5432" w:rsidRPr="00983438">
        <w:t xml:space="preserve"> timely access to a financial counsellor (particularly if </w:t>
      </w:r>
      <w:r w:rsidR="00D14741" w:rsidRPr="00983438">
        <w:t>the</w:t>
      </w:r>
      <w:r w:rsidR="000F5432" w:rsidRPr="00983438">
        <w:t xml:space="preserve"> organisation </w:t>
      </w:r>
      <w:r w:rsidR="00983438">
        <w:t>would</w:t>
      </w:r>
      <w:r w:rsidR="000F5432" w:rsidRPr="00983438">
        <w:t xml:space="preserve"> use intake workers to triage NDH calls)</w:t>
      </w:r>
    </w:p>
    <w:p w14:paraId="213F9FDE" w14:textId="69B24D2E" w:rsidR="000F5432" w:rsidRPr="00983438" w:rsidRDefault="000038BB" w:rsidP="00A92ECD">
      <w:pPr>
        <w:pStyle w:val="BodyText"/>
        <w:numPr>
          <w:ilvl w:val="0"/>
          <w:numId w:val="6"/>
        </w:numPr>
        <w:spacing w:before="60"/>
      </w:pPr>
      <w:r>
        <w:t xml:space="preserve">would </w:t>
      </w:r>
      <w:r w:rsidR="000F5432" w:rsidRPr="00983438">
        <w:t>provide sufficient coverage of the NDH and manage demand</w:t>
      </w:r>
    </w:p>
    <w:p w14:paraId="3CE219B8" w14:textId="06B876B1" w:rsidR="000F5432" w:rsidRPr="00983438" w:rsidRDefault="000F5432" w:rsidP="00A92ECD">
      <w:pPr>
        <w:pStyle w:val="BodyText"/>
        <w:numPr>
          <w:ilvl w:val="0"/>
          <w:numId w:val="6"/>
        </w:numPr>
        <w:spacing w:before="60"/>
      </w:pPr>
      <w:r w:rsidRPr="00983438">
        <w:t xml:space="preserve">ensure that the services </w:t>
      </w:r>
      <w:r w:rsidR="00983438" w:rsidRPr="00983438">
        <w:t>they</w:t>
      </w:r>
      <w:r w:rsidRPr="00983438">
        <w:t xml:space="preserve"> deliver </w:t>
      </w:r>
      <w:r w:rsidR="00983438">
        <w:t>were</w:t>
      </w:r>
      <w:r w:rsidRPr="00983438">
        <w:t xml:space="preserve"> consistent with other NDH organisations, and have assurance processes in place to manage quality and continuous operation of the NDH</w:t>
      </w:r>
    </w:p>
    <w:p w14:paraId="4B50A74D" w14:textId="2104A9F2" w:rsidR="00A92ECD" w:rsidRPr="00983438" w:rsidRDefault="000F5432" w:rsidP="000F5432">
      <w:pPr>
        <w:pStyle w:val="BodyText"/>
        <w:numPr>
          <w:ilvl w:val="0"/>
          <w:numId w:val="6"/>
        </w:numPr>
        <w:spacing w:before="60"/>
      </w:pPr>
      <w:r w:rsidRPr="00983438">
        <w:lastRenderedPageBreak/>
        <w:t>measure and report on outcomes for people who access the NDH.</w:t>
      </w:r>
    </w:p>
    <w:p w14:paraId="702F0751" w14:textId="77777777" w:rsidR="00A92ECD" w:rsidRPr="00071B5F" w:rsidRDefault="00A92ECD" w:rsidP="00A92ECD">
      <w:pPr>
        <w:pStyle w:val="Heading4"/>
        <w:rPr>
          <w:rFonts w:asciiTheme="majorHAnsi" w:hAnsiTheme="majorHAnsi" w:cstheme="majorHAnsi"/>
          <w:sz w:val="22"/>
          <w:szCs w:val="16"/>
        </w:rPr>
      </w:pPr>
      <w:r w:rsidRPr="00071B5F">
        <w:rPr>
          <w:rFonts w:asciiTheme="majorHAnsi" w:hAnsiTheme="majorHAnsi" w:cstheme="majorHAnsi"/>
          <w:sz w:val="22"/>
          <w:szCs w:val="16"/>
        </w:rPr>
        <w:t>Strong applications:</w:t>
      </w:r>
    </w:p>
    <w:p w14:paraId="033883C3" w14:textId="6DAE2543" w:rsidR="00EB13FD" w:rsidRDefault="00EB13FD" w:rsidP="00954E8A">
      <w:pPr>
        <w:pStyle w:val="BodyText"/>
        <w:numPr>
          <w:ilvl w:val="0"/>
          <w:numId w:val="6"/>
        </w:numPr>
        <w:spacing w:before="60"/>
      </w:pPr>
      <w:r w:rsidRPr="00EB13FD">
        <w:t>addressed all sub-criteria, with some addressed to a high standard, and provided data and evidence to support claims</w:t>
      </w:r>
    </w:p>
    <w:p w14:paraId="3153A920" w14:textId="01033BB3" w:rsidR="0096075E" w:rsidRDefault="00E6470C" w:rsidP="001B7F74">
      <w:pPr>
        <w:pStyle w:val="BodyText"/>
        <w:numPr>
          <w:ilvl w:val="0"/>
          <w:numId w:val="6"/>
        </w:numPr>
        <w:spacing w:before="60"/>
      </w:pPr>
      <w:r>
        <w:t>c</w:t>
      </w:r>
      <w:r w:rsidR="0096075E">
        <w:t>learly defined their service delivery model</w:t>
      </w:r>
      <w:r>
        <w:t xml:space="preserve"> and</w:t>
      </w:r>
      <w:r w:rsidRPr="00E6470C">
        <w:t xml:space="preserve"> </w:t>
      </w:r>
      <w:r>
        <w:t xml:space="preserve">current operations, including </w:t>
      </w:r>
      <w:r w:rsidR="006A0648">
        <w:t>detail about NDH resourcing and</w:t>
      </w:r>
      <w:r>
        <w:t xml:space="preserve"> </w:t>
      </w:r>
      <w:r w:rsidR="0096075E">
        <w:t>coverage</w:t>
      </w:r>
    </w:p>
    <w:p w14:paraId="47F8DFCC" w14:textId="6675C351" w:rsidR="00E6470C" w:rsidRPr="00CE6321" w:rsidRDefault="00E6470C" w:rsidP="00E6470C">
      <w:pPr>
        <w:pStyle w:val="ListParagraph"/>
        <w:numPr>
          <w:ilvl w:val="0"/>
          <w:numId w:val="6"/>
        </w:numPr>
      </w:pPr>
      <w:r>
        <w:t xml:space="preserve">detailed </w:t>
      </w:r>
      <w:r w:rsidR="00E61373">
        <w:t xml:space="preserve">how the </w:t>
      </w:r>
      <w:r>
        <w:t xml:space="preserve">early intervention and prevention role of </w:t>
      </w:r>
      <w:r w:rsidR="00E61373">
        <w:t>f</w:t>
      </w:r>
      <w:r>
        <w:t xml:space="preserve">inancial </w:t>
      </w:r>
      <w:r w:rsidR="00E61373">
        <w:t>c</w:t>
      </w:r>
      <w:r>
        <w:t xml:space="preserve">ounsellors, assisting clients to self-advocate and </w:t>
      </w:r>
      <w:r w:rsidRPr="00CE6321">
        <w:t>building longer term capability, aligns with the program intent</w:t>
      </w:r>
    </w:p>
    <w:p w14:paraId="67B770E2" w14:textId="741604C9" w:rsidR="006A378A" w:rsidRDefault="00E6470C" w:rsidP="00983438">
      <w:pPr>
        <w:pStyle w:val="BodyText"/>
        <w:numPr>
          <w:ilvl w:val="0"/>
          <w:numId w:val="6"/>
        </w:numPr>
        <w:spacing w:before="60"/>
      </w:pPr>
      <w:r>
        <w:t>e</w:t>
      </w:r>
      <w:r w:rsidR="0096075E">
        <w:t>xplained quality assurance measures in place to ensure consistency internally and with other NDH providers</w:t>
      </w:r>
      <w:r w:rsidR="006A0648">
        <w:t>, and referenced outcomes framework(s), measuring and reporting</w:t>
      </w:r>
      <w:r w:rsidR="00E61373">
        <w:t>, and</w:t>
      </w:r>
    </w:p>
    <w:p w14:paraId="3550171D" w14:textId="1DE092CD" w:rsidR="00CE6321" w:rsidRPr="00237B38" w:rsidRDefault="00E6470C" w:rsidP="00D90CAD">
      <w:pPr>
        <w:pStyle w:val="BodyText"/>
        <w:numPr>
          <w:ilvl w:val="0"/>
          <w:numId w:val="6"/>
        </w:numPr>
        <w:spacing w:before="60"/>
      </w:pPr>
      <w:r>
        <w:t>detailed client management systems</w:t>
      </w:r>
      <w:r w:rsidR="006A0648">
        <w:t>,</w:t>
      </w:r>
      <w:r>
        <w:t xml:space="preserve"> reporting to the department, with examples</w:t>
      </w:r>
      <w:r w:rsidR="006A0648">
        <w:t xml:space="preserve">, and </w:t>
      </w:r>
      <w:r>
        <w:t>detail on data privacy and consent messaging.</w:t>
      </w:r>
    </w:p>
    <w:p w14:paraId="2D6DC965" w14:textId="2F96D7DB" w:rsidR="00A92ECD" w:rsidRPr="00A92ECD" w:rsidRDefault="00A92ECD" w:rsidP="00A92ECD">
      <w:pPr>
        <w:pStyle w:val="Heading2"/>
        <w:rPr>
          <w:rFonts w:asciiTheme="majorHAnsi" w:hAnsiTheme="majorHAnsi" w:cstheme="majorHAnsi"/>
        </w:rPr>
      </w:pPr>
      <w:r w:rsidRPr="00A92ECD">
        <w:rPr>
          <w:rFonts w:asciiTheme="majorHAnsi" w:hAnsiTheme="majorHAnsi" w:cstheme="majorHAnsi"/>
        </w:rPr>
        <w:t xml:space="preserve">Criterion </w:t>
      </w:r>
      <w:r>
        <w:rPr>
          <w:rFonts w:asciiTheme="majorHAnsi" w:hAnsiTheme="majorHAnsi" w:cstheme="majorHAnsi"/>
        </w:rPr>
        <w:t>3</w:t>
      </w:r>
    </w:p>
    <w:p w14:paraId="67D3E967" w14:textId="099BCF9A" w:rsidR="00A92ECD" w:rsidRPr="00A92ECD" w:rsidRDefault="00983438" w:rsidP="00A92ECD">
      <w:pPr>
        <w:pStyle w:val="Heading3"/>
        <w:spacing w:before="240"/>
        <w:rPr>
          <w:rFonts w:asciiTheme="majorHAnsi" w:hAnsiTheme="majorHAnsi" w:cstheme="majorHAnsi"/>
        </w:rPr>
      </w:pPr>
      <w:r w:rsidRPr="00983438">
        <w:rPr>
          <w:rFonts w:asciiTheme="majorHAnsi" w:hAnsiTheme="majorHAnsi" w:cstheme="majorHAnsi"/>
        </w:rPr>
        <w:t xml:space="preserve">Explained how </w:t>
      </w:r>
      <w:r>
        <w:rPr>
          <w:rFonts w:asciiTheme="majorHAnsi" w:hAnsiTheme="majorHAnsi" w:cstheme="majorHAnsi"/>
        </w:rPr>
        <w:t>their</w:t>
      </w:r>
      <w:r w:rsidRPr="00983438">
        <w:rPr>
          <w:rFonts w:asciiTheme="majorHAnsi" w:hAnsiTheme="majorHAnsi" w:cstheme="majorHAnsi"/>
        </w:rPr>
        <w:t xml:space="preserve"> organisation </w:t>
      </w:r>
      <w:r>
        <w:rPr>
          <w:rFonts w:asciiTheme="majorHAnsi" w:hAnsiTheme="majorHAnsi" w:cstheme="majorHAnsi"/>
        </w:rPr>
        <w:t>would</w:t>
      </w:r>
      <w:r w:rsidRPr="00983438">
        <w:rPr>
          <w:rFonts w:asciiTheme="majorHAnsi" w:hAnsiTheme="majorHAnsi" w:cstheme="majorHAnsi"/>
        </w:rPr>
        <w:t xml:space="preserve"> support vulnerable people with complex needs</w:t>
      </w:r>
    </w:p>
    <w:p w14:paraId="6F981ADB" w14:textId="37DA423D" w:rsidR="00983438" w:rsidRDefault="00983438" w:rsidP="00983438">
      <w:pPr>
        <w:pStyle w:val="BodyText"/>
        <w:spacing w:before="60"/>
      </w:pPr>
      <w:r>
        <w:t>Applicants’ response</w:t>
      </w:r>
      <w:r w:rsidR="00EB13FD">
        <w:t>s</w:t>
      </w:r>
      <w:r>
        <w:t xml:space="preserve"> included information about how the organisation:</w:t>
      </w:r>
    </w:p>
    <w:p w14:paraId="677B4100" w14:textId="4CD867B0" w:rsidR="00983438" w:rsidRPr="00983438" w:rsidRDefault="008F68C8" w:rsidP="00A92ECD">
      <w:pPr>
        <w:pStyle w:val="BodyText"/>
        <w:numPr>
          <w:ilvl w:val="0"/>
          <w:numId w:val="6"/>
        </w:numPr>
        <w:spacing w:before="60"/>
      </w:pPr>
      <w:r>
        <w:t xml:space="preserve">would </w:t>
      </w:r>
      <w:r w:rsidR="00983438" w:rsidRPr="00983438">
        <w:t>determine people’s eligibility to receive NDH services, and how these services would be aligned to community need and adapted as community needs change over time</w:t>
      </w:r>
    </w:p>
    <w:p w14:paraId="32AB69DE" w14:textId="6781DEA6" w:rsidR="00983438" w:rsidRPr="00983438" w:rsidRDefault="00983438" w:rsidP="00A92ECD">
      <w:pPr>
        <w:pStyle w:val="BodyText"/>
        <w:numPr>
          <w:ilvl w:val="0"/>
          <w:numId w:val="6"/>
        </w:numPr>
        <w:spacing w:before="60"/>
      </w:pPr>
      <w:r w:rsidRPr="00983438">
        <w:t>facilitated further financial counselling support for people who needed it</w:t>
      </w:r>
    </w:p>
    <w:p w14:paraId="41A6B6B2" w14:textId="01609060" w:rsidR="00983438" w:rsidRPr="00983438" w:rsidRDefault="00983438" w:rsidP="00A92ECD">
      <w:pPr>
        <w:pStyle w:val="BodyText"/>
        <w:numPr>
          <w:ilvl w:val="0"/>
          <w:numId w:val="6"/>
        </w:numPr>
        <w:spacing w:before="60"/>
      </w:pPr>
      <w:r w:rsidRPr="00983438">
        <w:t>maintained or developed strong collaborative relationships with local support services to ensure people could access additional support for non-financial matters. Other services may include employment services, family and domestic violence services, mental health and disability services, migrant and refugee services, family and relationships services, and housing programs</w:t>
      </w:r>
    </w:p>
    <w:p w14:paraId="4A5CD50D" w14:textId="6B1139B2" w:rsidR="00983438" w:rsidRPr="00983438" w:rsidRDefault="00983438" w:rsidP="00A92ECD">
      <w:pPr>
        <w:pStyle w:val="BodyText"/>
        <w:numPr>
          <w:ilvl w:val="0"/>
          <w:numId w:val="6"/>
        </w:numPr>
        <w:spacing w:before="60"/>
      </w:pPr>
      <w:r w:rsidRPr="00983438">
        <w:t>provided effective referral pathways internally and/or with local support services to address underlying causes of financial stress, such as housing, mental health, substance abuse and gambling issues</w:t>
      </w:r>
      <w:r w:rsidR="00D90CAD">
        <w:t>.</w:t>
      </w:r>
    </w:p>
    <w:p w14:paraId="7851F7DC" w14:textId="77777777" w:rsidR="00A92ECD" w:rsidRPr="00071B5F" w:rsidRDefault="00A92ECD" w:rsidP="00A92ECD">
      <w:pPr>
        <w:pStyle w:val="Heading4"/>
        <w:rPr>
          <w:rFonts w:asciiTheme="majorHAnsi" w:hAnsiTheme="majorHAnsi" w:cstheme="majorHAnsi"/>
          <w:sz w:val="22"/>
          <w:szCs w:val="16"/>
        </w:rPr>
      </w:pPr>
      <w:r w:rsidRPr="00071B5F">
        <w:rPr>
          <w:rFonts w:asciiTheme="majorHAnsi" w:hAnsiTheme="majorHAnsi" w:cstheme="majorHAnsi"/>
          <w:sz w:val="22"/>
          <w:szCs w:val="16"/>
        </w:rPr>
        <w:t>Strong applications:</w:t>
      </w:r>
    </w:p>
    <w:p w14:paraId="033F472F" w14:textId="12A55096" w:rsidR="00EB13FD" w:rsidRDefault="00EB13FD" w:rsidP="00E6470C">
      <w:pPr>
        <w:pStyle w:val="BodyText"/>
        <w:numPr>
          <w:ilvl w:val="0"/>
          <w:numId w:val="6"/>
        </w:numPr>
        <w:spacing w:before="60"/>
      </w:pPr>
      <w:r w:rsidRPr="00EB13FD">
        <w:t>addressed all sub-criteria, with some addressed to a high standard, and provided data and evidence to support claims</w:t>
      </w:r>
    </w:p>
    <w:p w14:paraId="370306A8" w14:textId="126C5835" w:rsidR="00E6470C" w:rsidRDefault="00E6470C" w:rsidP="00E6470C">
      <w:pPr>
        <w:pStyle w:val="BodyText"/>
        <w:numPr>
          <w:ilvl w:val="0"/>
          <w:numId w:val="6"/>
        </w:numPr>
        <w:spacing w:before="60"/>
      </w:pPr>
      <w:r>
        <w:t xml:space="preserve">demonstrated a strong understanding of client eligibility and </w:t>
      </w:r>
      <w:r w:rsidR="00C146B6">
        <w:t>how this is managed through</w:t>
      </w:r>
      <w:r>
        <w:t xml:space="preserve"> their intake process</w:t>
      </w:r>
    </w:p>
    <w:p w14:paraId="17F6665D" w14:textId="7E1E09FA" w:rsidR="00237B38" w:rsidRPr="00EB13FD" w:rsidRDefault="006150D8" w:rsidP="00983438">
      <w:pPr>
        <w:pStyle w:val="BodyText"/>
        <w:numPr>
          <w:ilvl w:val="0"/>
          <w:numId w:val="6"/>
        </w:numPr>
        <w:spacing w:before="60"/>
      </w:pPr>
      <w:r>
        <w:rPr>
          <w:rFonts w:ascii="Arial" w:eastAsia="Arial" w:hAnsi="Arial" w:cs="Arial"/>
          <w:color w:val="auto"/>
        </w:rPr>
        <w:t>outlined</w:t>
      </w:r>
      <w:r w:rsidR="00237B38" w:rsidRPr="00134D53">
        <w:rPr>
          <w:rFonts w:ascii="Arial" w:eastAsia="Arial" w:hAnsi="Arial" w:cs="Arial"/>
          <w:color w:val="auto"/>
        </w:rPr>
        <w:t xml:space="preserve"> strong internal and external referral pathways to support vulnerable people</w:t>
      </w:r>
      <w:r w:rsidR="00AE5883">
        <w:rPr>
          <w:rFonts w:ascii="Arial" w:eastAsia="Arial" w:hAnsi="Arial" w:cs="Arial"/>
          <w:color w:val="auto"/>
        </w:rPr>
        <w:t xml:space="preserve">, </w:t>
      </w:r>
      <w:r>
        <w:rPr>
          <w:rFonts w:ascii="Arial" w:eastAsia="Arial" w:hAnsi="Arial" w:cs="Arial"/>
          <w:color w:val="auto"/>
        </w:rPr>
        <w:t>with examples or case studies of how clients experience the referral process</w:t>
      </w:r>
      <w:r w:rsidR="00E61373">
        <w:rPr>
          <w:rFonts w:ascii="Arial" w:eastAsia="Arial" w:hAnsi="Arial" w:cs="Arial"/>
          <w:color w:val="auto"/>
        </w:rPr>
        <w:t>, and</w:t>
      </w:r>
    </w:p>
    <w:p w14:paraId="72B64A38" w14:textId="0BC28D28" w:rsidR="00A92ECD" w:rsidRDefault="0096075E" w:rsidP="00A92ECD">
      <w:pPr>
        <w:pStyle w:val="BodyText"/>
        <w:numPr>
          <w:ilvl w:val="0"/>
          <w:numId w:val="6"/>
        </w:numPr>
        <w:spacing w:before="60"/>
      </w:pPr>
      <w:r>
        <w:t>demonstrat</w:t>
      </w:r>
      <w:r w:rsidR="00365EE5">
        <w:t>ed an understanding of community needs and described processes in place to support a diverse client cohort.</w:t>
      </w:r>
    </w:p>
    <w:p w14:paraId="7474FE44" w14:textId="563963CB" w:rsidR="00A92ECD" w:rsidRPr="00A92ECD" w:rsidRDefault="00A92ECD" w:rsidP="00A92ECD">
      <w:pPr>
        <w:pStyle w:val="Heading2"/>
        <w:rPr>
          <w:rFonts w:asciiTheme="majorHAnsi" w:hAnsiTheme="majorHAnsi" w:cstheme="majorHAnsi"/>
        </w:rPr>
      </w:pPr>
      <w:r w:rsidRPr="00A92ECD">
        <w:rPr>
          <w:rFonts w:asciiTheme="majorHAnsi" w:hAnsiTheme="majorHAnsi" w:cstheme="majorHAnsi"/>
        </w:rPr>
        <w:t xml:space="preserve">Individual feedback </w:t>
      </w:r>
    </w:p>
    <w:p w14:paraId="474B6407" w14:textId="0BF6AE71" w:rsidR="00A92ECD" w:rsidRPr="003D430A" w:rsidRDefault="00A92ECD" w:rsidP="00A92ECD">
      <w:pPr>
        <w:pStyle w:val="BodyText"/>
        <w:rPr>
          <w:color w:val="auto"/>
        </w:rPr>
      </w:pPr>
      <w:r w:rsidRPr="003D430A">
        <w:rPr>
          <w:color w:val="auto"/>
        </w:rPr>
        <w:t>Individual feedback will not be provided for this grant opportunity.</w:t>
      </w:r>
    </w:p>
    <w:sectPr w:rsidR="00A92ECD" w:rsidRPr="003D430A" w:rsidSect="00D90CAD">
      <w:headerReference w:type="default" r:id="rId11"/>
      <w:footerReference w:type="default" r:id="rId12"/>
      <w:headerReference w:type="first" r:id="rId13"/>
      <w:footerReference w:type="first" r:id="rId14"/>
      <w:pgSz w:w="11906" w:h="16838" w:code="9"/>
      <w:pgMar w:top="426" w:right="1134" w:bottom="709" w:left="1134" w:header="283" w:footer="205"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A3FE0" w14:textId="77777777" w:rsidR="009A5448" w:rsidRDefault="009A5448" w:rsidP="00772718">
      <w:pPr>
        <w:spacing w:line="240" w:lineRule="auto"/>
      </w:pPr>
      <w:r>
        <w:separator/>
      </w:r>
    </w:p>
  </w:endnote>
  <w:endnote w:type="continuationSeparator" w:id="0">
    <w:p w14:paraId="7CBCC51E" w14:textId="77777777" w:rsidR="009A5448" w:rsidRDefault="009A5448" w:rsidP="00772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C872" w14:textId="00398EE2" w:rsidR="003A3D76" w:rsidRDefault="003A3D76">
    <w:pPr>
      <w:pStyle w:val="Footer"/>
    </w:pPr>
  </w:p>
  <w:p w14:paraId="6F695BAD" w14:textId="03DB213C" w:rsidR="00A92ECD" w:rsidRPr="0034295E" w:rsidRDefault="0093532D" w:rsidP="0093532D">
    <w:pPr>
      <w:pStyle w:val="Header"/>
      <w:jc w:val="center"/>
      <w:rPr>
        <w:b w:val="0"/>
        <w:bCs/>
        <w:color w:val="A20000"/>
        <w:sz w:val="20"/>
      </w:rPr>
    </w:pPr>
    <w:r w:rsidRPr="0034295E">
      <w:rPr>
        <w:b w:val="0"/>
        <w:bCs/>
        <w:color w:val="A20000"/>
        <w:sz w:val="20"/>
      </w:rPr>
      <w:t>OFFICIAL</w:t>
    </w:r>
  </w:p>
  <w:p w14:paraId="383482CC" w14:textId="2D3670E7" w:rsidR="00A14495" w:rsidRDefault="00E13525">
    <w:pPr>
      <w:pStyle w:val="Footer"/>
    </w:pPr>
    <w:r>
      <w:fldChar w:fldCharType="begin"/>
    </w:r>
    <w:r>
      <w:instrText xml:space="preserve"> PAGE   \* MERGEFORMAT </w:instrText>
    </w:r>
    <w:r>
      <w:fldChar w:fldCharType="separate"/>
    </w:r>
    <w:r w:rsidR="00934C6F">
      <w:rPr>
        <w:noProof/>
      </w:rPr>
      <w:t>5</w:t>
    </w:r>
    <w:r>
      <w:fldChar w:fldCharType="end"/>
    </w:r>
    <w:r>
      <w:t xml:space="preserve">  </w:t>
    </w:r>
    <w:r w:rsidRPr="00A454BF">
      <w:t>|  Community Grants Hub</w:t>
    </w:r>
    <w:r w:rsidR="003A3D76">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4607" w14:textId="3B2B2255" w:rsidR="003A3D76" w:rsidRDefault="00000000">
    <w:pPr>
      <w:pStyle w:val="Footer"/>
    </w:pPr>
    <w:r>
      <w:pict w14:anchorId="2CC68FC6">
        <v:rect id="_x0000_i1025" style="width:0;height:1.5pt" o:hralign="center" o:hrstd="t" o:hr="t" fillcolor="#a0a0a0" stroked="f"/>
      </w:pict>
    </w:r>
  </w:p>
  <w:p w14:paraId="1F405EB9" w14:textId="392C2E1D" w:rsidR="003A3D76" w:rsidRPr="0034295E" w:rsidRDefault="0093532D" w:rsidP="0093532D">
    <w:pPr>
      <w:pStyle w:val="Header"/>
      <w:jc w:val="center"/>
      <w:rPr>
        <w:b w:val="0"/>
        <w:bCs/>
        <w:color w:val="A20000"/>
        <w:sz w:val="20"/>
      </w:rPr>
    </w:pPr>
    <w:r w:rsidRPr="0034295E">
      <w:rPr>
        <w:b w:val="0"/>
        <w:bCs/>
        <w:color w:val="A20000"/>
        <w:sz w:val="20"/>
      </w:rPr>
      <w:t>OFFICIAL</w:t>
    </w:r>
  </w:p>
  <w:p w14:paraId="037EB36E" w14:textId="51533623" w:rsidR="00D91B18" w:rsidRPr="00531CD5" w:rsidRDefault="00D91B18">
    <w:pPr>
      <w:pStyle w:val="Footer"/>
    </w:pPr>
    <w:r>
      <w:fldChar w:fldCharType="begin"/>
    </w:r>
    <w:r>
      <w:instrText xml:space="preserve"> PAGE   \* MERGEFORMAT </w:instrText>
    </w:r>
    <w:r>
      <w:fldChar w:fldCharType="separate"/>
    </w:r>
    <w:r w:rsidR="00934C6F">
      <w:rPr>
        <w:noProof/>
      </w:rPr>
      <w:t>1</w:t>
    </w:r>
    <w:r>
      <w:fldChar w:fldCharType="end"/>
    </w:r>
    <w:r>
      <w:t xml:space="preserve">  </w:t>
    </w:r>
    <w:r w:rsidRPr="00A454BF">
      <w:t>|  Community Grants Hub</w:t>
    </w:r>
    <w:r w:rsidR="003A3D7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3D515" w14:textId="77777777" w:rsidR="009A5448" w:rsidRDefault="009A5448" w:rsidP="00772718">
      <w:pPr>
        <w:spacing w:line="240" w:lineRule="auto"/>
      </w:pPr>
      <w:r>
        <w:separator/>
      </w:r>
    </w:p>
  </w:footnote>
  <w:footnote w:type="continuationSeparator" w:id="0">
    <w:p w14:paraId="7378FF0E" w14:textId="77777777" w:rsidR="009A5448" w:rsidRDefault="009A5448" w:rsidP="00772718">
      <w:pPr>
        <w:spacing w:line="240" w:lineRule="auto"/>
      </w:pPr>
      <w:r>
        <w:continuationSeparator/>
      </w:r>
    </w:p>
  </w:footnote>
  <w:footnote w:id="1">
    <w:p w14:paraId="4153B653" w14:textId="160F50AD" w:rsidR="000A096F" w:rsidRDefault="000A096F">
      <w:pPr>
        <w:pStyle w:val="FootnoteText"/>
      </w:pPr>
      <w:r>
        <w:rPr>
          <w:rStyle w:val="FootnoteReference"/>
        </w:rPr>
        <w:footnoteRef/>
      </w:r>
      <w:r>
        <w:t xml:space="preserve"> </w:t>
      </w:r>
      <w:r w:rsidRPr="000A096F">
        <w:t>https://ndh.org.au/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B4D2" w14:textId="506B3436" w:rsidR="002073AA" w:rsidRPr="0034295E" w:rsidRDefault="002073AA" w:rsidP="002073AA">
    <w:pPr>
      <w:pStyle w:val="Header"/>
      <w:jc w:val="center"/>
      <w:rPr>
        <w:b w:val="0"/>
        <w:bCs/>
        <w:color w:val="A20000"/>
        <w:sz w:val="20"/>
      </w:rPr>
    </w:pPr>
    <w:r w:rsidRPr="0034295E">
      <w:rPr>
        <w:b w:val="0"/>
        <w:bCs/>
        <w:color w:val="A20000"/>
        <w:sz w:val="20"/>
      </w:rPr>
      <w:t>OFFICIAL</w:t>
    </w:r>
  </w:p>
  <w:p w14:paraId="2B841FD7" w14:textId="77777777" w:rsidR="002073AA" w:rsidRDefault="00207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5FC2" w14:textId="3BBED6BB" w:rsidR="00D91B18" w:rsidRPr="0034295E" w:rsidRDefault="0093532D" w:rsidP="0093532D">
    <w:pPr>
      <w:pStyle w:val="Header"/>
      <w:jc w:val="center"/>
      <w:rPr>
        <w:color w:val="A20000"/>
        <w:sz w:val="20"/>
      </w:rPr>
    </w:pPr>
    <w:bookmarkStart w:id="0" w:name="_Hlk178605458"/>
    <w:bookmarkStart w:id="1" w:name="_Hlk178605459"/>
    <w:r w:rsidRPr="0034295E">
      <w:rPr>
        <w:b w:val="0"/>
        <w:bCs/>
        <w:color w:val="A20000"/>
        <w:sz w:val="20"/>
      </w:rPr>
      <w:t>OFFICIAL</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2A2A39AF"/>
    <w:multiLevelType w:val="hybridMultilevel"/>
    <w:tmpl w:val="6C765F30"/>
    <w:lvl w:ilvl="0" w:tplc="B8040FB6">
      <w:start w:val="1"/>
      <w:numFmt w:val="bullet"/>
      <w:lvlText w:val=""/>
      <w:lvlJc w:val="left"/>
      <w:pPr>
        <w:ind w:left="720" w:hanging="360"/>
      </w:pPr>
      <w:rPr>
        <w:rFonts w:ascii="Wingdings" w:hAnsi="Wingdings" w:hint="default"/>
        <w:b/>
        <w:bCs/>
        <w:color w:val="002060"/>
        <w:sz w:val="22"/>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4"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num w:numId="1" w16cid:durableId="1083798215">
    <w:abstractNumId w:val="0"/>
  </w:num>
  <w:num w:numId="2" w16cid:durableId="980812004">
    <w:abstractNumId w:val="5"/>
  </w:num>
  <w:num w:numId="3" w16cid:durableId="878779547">
    <w:abstractNumId w:val="1"/>
  </w:num>
  <w:num w:numId="4" w16cid:durableId="475878232">
    <w:abstractNumId w:val="4"/>
  </w:num>
  <w:num w:numId="5" w16cid:durableId="1408647017">
    <w:abstractNumId w:val="3"/>
  </w:num>
  <w:num w:numId="6" w16cid:durableId="163597789">
    <w:abstractNumId w:val="2"/>
  </w:num>
  <w:num w:numId="7" w16cid:durableId="1694186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ECD"/>
    <w:rsid w:val="00000555"/>
    <w:rsid w:val="00000A51"/>
    <w:rsid w:val="000029D2"/>
    <w:rsid w:val="000038BB"/>
    <w:rsid w:val="00004A79"/>
    <w:rsid w:val="00007DE9"/>
    <w:rsid w:val="000144DF"/>
    <w:rsid w:val="00015A0C"/>
    <w:rsid w:val="00015AE4"/>
    <w:rsid w:val="00017B7A"/>
    <w:rsid w:val="00025AB9"/>
    <w:rsid w:val="0003018E"/>
    <w:rsid w:val="000339D0"/>
    <w:rsid w:val="00033BC3"/>
    <w:rsid w:val="00044E09"/>
    <w:rsid w:val="0004784D"/>
    <w:rsid w:val="00053A00"/>
    <w:rsid w:val="00071B5F"/>
    <w:rsid w:val="00085E16"/>
    <w:rsid w:val="000A096F"/>
    <w:rsid w:val="000A5948"/>
    <w:rsid w:val="000B14EE"/>
    <w:rsid w:val="000B6C00"/>
    <w:rsid w:val="000C1F06"/>
    <w:rsid w:val="000C7C00"/>
    <w:rsid w:val="000F1DD1"/>
    <w:rsid w:val="000F28B8"/>
    <w:rsid w:val="000F3766"/>
    <w:rsid w:val="000F5432"/>
    <w:rsid w:val="00106FC4"/>
    <w:rsid w:val="00111F0C"/>
    <w:rsid w:val="00133A1A"/>
    <w:rsid w:val="00134D53"/>
    <w:rsid w:val="00145E2D"/>
    <w:rsid w:val="00146699"/>
    <w:rsid w:val="0016612C"/>
    <w:rsid w:val="00171634"/>
    <w:rsid w:val="001763D4"/>
    <w:rsid w:val="00181433"/>
    <w:rsid w:val="001834DD"/>
    <w:rsid w:val="001970A6"/>
    <w:rsid w:val="001A5D3B"/>
    <w:rsid w:val="001B7F74"/>
    <w:rsid w:val="001C53CE"/>
    <w:rsid w:val="001C5D96"/>
    <w:rsid w:val="001D341B"/>
    <w:rsid w:val="001E3D2B"/>
    <w:rsid w:val="001E66CE"/>
    <w:rsid w:val="0020033E"/>
    <w:rsid w:val="002073AA"/>
    <w:rsid w:val="00221DC2"/>
    <w:rsid w:val="00222526"/>
    <w:rsid w:val="00237B38"/>
    <w:rsid w:val="00244B48"/>
    <w:rsid w:val="002526A8"/>
    <w:rsid w:val="002573D5"/>
    <w:rsid w:val="00264E26"/>
    <w:rsid w:val="00280E74"/>
    <w:rsid w:val="002A41E1"/>
    <w:rsid w:val="002B6574"/>
    <w:rsid w:val="002B6D5E"/>
    <w:rsid w:val="002C5BF3"/>
    <w:rsid w:val="002D4D48"/>
    <w:rsid w:val="002D6D1C"/>
    <w:rsid w:val="002E21D2"/>
    <w:rsid w:val="002F7D3C"/>
    <w:rsid w:val="00305720"/>
    <w:rsid w:val="003131AB"/>
    <w:rsid w:val="003217BE"/>
    <w:rsid w:val="0034295E"/>
    <w:rsid w:val="003448C5"/>
    <w:rsid w:val="0036011F"/>
    <w:rsid w:val="00365D20"/>
    <w:rsid w:val="00365EE5"/>
    <w:rsid w:val="003A3D76"/>
    <w:rsid w:val="003B72E4"/>
    <w:rsid w:val="003D0647"/>
    <w:rsid w:val="003D1265"/>
    <w:rsid w:val="003D3B1D"/>
    <w:rsid w:val="003D430A"/>
    <w:rsid w:val="003D5DBE"/>
    <w:rsid w:val="003E1869"/>
    <w:rsid w:val="00404841"/>
    <w:rsid w:val="00407959"/>
    <w:rsid w:val="00412059"/>
    <w:rsid w:val="004233BF"/>
    <w:rsid w:val="00425633"/>
    <w:rsid w:val="004261FB"/>
    <w:rsid w:val="00441E79"/>
    <w:rsid w:val="00450486"/>
    <w:rsid w:val="00450640"/>
    <w:rsid w:val="004675B9"/>
    <w:rsid w:val="004709E9"/>
    <w:rsid w:val="00483A58"/>
    <w:rsid w:val="004902A6"/>
    <w:rsid w:val="004B5F40"/>
    <w:rsid w:val="004C7D16"/>
    <w:rsid w:val="004D700E"/>
    <w:rsid w:val="004D7F17"/>
    <w:rsid w:val="004E0670"/>
    <w:rsid w:val="004E0F39"/>
    <w:rsid w:val="004E70C6"/>
    <w:rsid w:val="004E7F37"/>
    <w:rsid w:val="004F12CA"/>
    <w:rsid w:val="004F31BA"/>
    <w:rsid w:val="0051299F"/>
    <w:rsid w:val="00524C97"/>
    <w:rsid w:val="005255ED"/>
    <w:rsid w:val="00526B85"/>
    <w:rsid w:val="005306A1"/>
    <w:rsid w:val="00531CD5"/>
    <w:rsid w:val="00541C89"/>
    <w:rsid w:val="00556C53"/>
    <w:rsid w:val="00562909"/>
    <w:rsid w:val="00574E52"/>
    <w:rsid w:val="005834F4"/>
    <w:rsid w:val="0058783C"/>
    <w:rsid w:val="0059000C"/>
    <w:rsid w:val="005A02A1"/>
    <w:rsid w:val="005A184C"/>
    <w:rsid w:val="005B4848"/>
    <w:rsid w:val="005D165C"/>
    <w:rsid w:val="005D7A24"/>
    <w:rsid w:val="005E4C73"/>
    <w:rsid w:val="005F4265"/>
    <w:rsid w:val="006150D8"/>
    <w:rsid w:val="00616EBA"/>
    <w:rsid w:val="0062186E"/>
    <w:rsid w:val="00632C08"/>
    <w:rsid w:val="00647465"/>
    <w:rsid w:val="00654074"/>
    <w:rsid w:val="00654C42"/>
    <w:rsid w:val="0065547C"/>
    <w:rsid w:val="00661E8C"/>
    <w:rsid w:val="0066364F"/>
    <w:rsid w:val="00663A0C"/>
    <w:rsid w:val="006701E6"/>
    <w:rsid w:val="0067074A"/>
    <w:rsid w:val="00672994"/>
    <w:rsid w:val="00673821"/>
    <w:rsid w:val="006A0648"/>
    <w:rsid w:val="006A378A"/>
    <w:rsid w:val="006C15C5"/>
    <w:rsid w:val="006C45C8"/>
    <w:rsid w:val="006D3DAD"/>
    <w:rsid w:val="006F53B8"/>
    <w:rsid w:val="006F7B19"/>
    <w:rsid w:val="00704FC8"/>
    <w:rsid w:val="00730FB8"/>
    <w:rsid w:val="00735098"/>
    <w:rsid w:val="00736A76"/>
    <w:rsid w:val="00752C6B"/>
    <w:rsid w:val="00753305"/>
    <w:rsid w:val="00760CE6"/>
    <w:rsid w:val="007644E6"/>
    <w:rsid w:val="007719C9"/>
    <w:rsid w:val="00772718"/>
    <w:rsid w:val="00774BB2"/>
    <w:rsid w:val="007828ED"/>
    <w:rsid w:val="007B562F"/>
    <w:rsid w:val="007D30A8"/>
    <w:rsid w:val="007F4290"/>
    <w:rsid w:val="00803D49"/>
    <w:rsid w:val="00814FB1"/>
    <w:rsid w:val="00820F20"/>
    <w:rsid w:val="0082528A"/>
    <w:rsid w:val="00825754"/>
    <w:rsid w:val="0083502D"/>
    <w:rsid w:val="00835210"/>
    <w:rsid w:val="00837E4A"/>
    <w:rsid w:val="00844C2D"/>
    <w:rsid w:val="008677F5"/>
    <w:rsid w:val="0087438E"/>
    <w:rsid w:val="00884668"/>
    <w:rsid w:val="008B2B46"/>
    <w:rsid w:val="008E05BC"/>
    <w:rsid w:val="008F3CCF"/>
    <w:rsid w:val="008F68C8"/>
    <w:rsid w:val="00900B24"/>
    <w:rsid w:val="00921840"/>
    <w:rsid w:val="00932C87"/>
    <w:rsid w:val="009331B4"/>
    <w:rsid w:val="009345F1"/>
    <w:rsid w:val="00934C6F"/>
    <w:rsid w:val="0093532D"/>
    <w:rsid w:val="00944BBB"/>
    <w:rsid w:val="009451FB"/>
    <w:rsid w:val="00945E33"/>
    <w:rsid w:val="009547B6"/>
    <w:rsid w:val="00954E8A"/>
    <w:rsid w:val="0096075E"/>
    <w:rsid w:val="00961072"/>
    <w:rsid w:val="00983438"/>
    <w:rsid w:val="009A5448"/>
    <w:rsid w:val="009B042B"/>
    <w:rsid w:val="009B66D5"/>
    <w:rsid w:val="009D2BC4"/>
    <w:rsid w:val="009E750F"/>
    <w:rsid w:val="00A04D96"/>
    <w:rsid w:val="00A0629B"/>
    <w:rsid w:val="00A0661D"/>
    <w:rsid w:val="00A14495"/>
    <w:rsid w:val="00A16BE1"/>
    <w:rsid w:val="00A2060F"/>
    <w:rsid w:val="00A42311"/>
    <w:rsid w:val="00A454BF"/>
    <w:rsid w:val="00A52E3A"/>
    <w:rsid w:val="00A7196B"/>
    <w:rsid w:val="00A814CB"/>
    <w:rsid w:val="00A90D1B"/>
    <w:rsid w:val="00A92ECD"/>
    <w:rsid w:val="00AC3503"/>
    <w:rsid w:val="00AE5883"/>
    <w:rsid w:val="00AE68E8"/>
    <w:rsid w:val="00AF55F8"/>
    <w:rsid w:val="00B10ABA"/>
    <w:rsid w:val="00B3182A"/>
    <w:rsid w:val="00B33899"/>
    <w:rsid w:val="00B420D4"/>
    <w:rsid w:val="00B43214"/>
    <w:rsid w:val="00B4449D"/>
    <w:rsid w:val="00B57910"/>
    <w:rsid w:val="00B77A17"/>
    <w:rsid w:val="00B952F6"/>
    <w:rsid w:val="00BC093A"/>
    <w:rsid w:val="00BC4ACC"/>
    <w:rsid w:val="00BC4AE0"/>
    <w:rsid w:val="00BC4FCC"/>
    <w:rsid w:val="00BD02F8"/>
    <w:rsid w:val="00BD15A8"/>
    <w:rsid w:val="00BD5210"/>
    <w:rsid w:val="00BE43AB"/>
    <w:rsid w:val="00C146B6"/>
    <w:rsid w:val="00C217A8"/>
    <w:rsid w:val="00C23B5C"/>
    <w:rsid w:val="00C4188F"/>
    <w:rsid w:val="00C470E8"/>
    <w:rsid w:val="00C674A5"/>
    <w:rsid w:val="00C819A4"/>
    <w:rsid w:val="00C824AE"/>
    <w:rsid w:val="00C84EA8"/>
    <w:rsid w:val="00C92998"/>
    <w:rsid w:val="00CA385D"/>
    <w:rsid w:val="00CA720A"/>
    <w:rsid w:val="00CA7F98"/>
    <w:rsid w:val="00CD1597"/>
    <w:rsid w:val="00CD3C90"/>
    <w:rsid w:val="00CD5925"/>
    <w:rsid w:val="00CE557A"/>
    <w:rsid w:val="00CE6321"/>
    <w:rsid w:val="00D031B2"/>
    <w:rsid w:val="00D078A1"/>
    <w:rsid w:val="00D1410C"/>
    <w:rsid w:val="00D14741"/>
    <w:rsid w:val="00D40D16"/>
    <w:rsid w:val="00D54134"/>
    <w:rsid w:val="00D548F0"/>
    <w:rsid w:val="00D57F79"/>
    <w:rsid w:val="00D64FAC"/>
    <w:rsid w:val="00D65704"/>
    <w:rsid w:val="00D668F6"/>
    <w:rsid w:val="00D84875"/>
    <w:rsid w:val="00D903BD"/>
    <w:rsid w:val="00D904F0"/>
    <w:rsid w:val="00D90CAD"/>
    <w:rsid w:val="00D91378"/>
    <w:rsid w:val="00D91B18"/>
    <w:rsid w:val="00DC0747"/>
    <w:rsid w:val="00DC2647"/>
    <w:rsid w:val="00DC4D55"/>
    <w:rsid w:val="00DD1408"/>
    <w:rsid w:val="00DD356D"/>
    <w:rsid w:val="00DD43D9"/>
    <w:rsid w:val="00DD6735"/>
    <w:rsid w:val="00DF136A"/>
    <w:rsid w:val="00E0448C"/>
    <w:rsid w:val="00E13525"/>
    <w:rsid w:val="00E2047B"/>
    <w:rsid w:val="00E25D7D"/>
    <w:rsid w:val="00E47250"/>
    <w:rsid w:val="00E575B9"/>
    <w:rsid w:val="00E61373"/>
    <w:rsid w:val="00E61535"/>
    <w:rsid w:val="00E6470C"/>
    <w:rsid w:val="00E834E8"/>
    <w:rsid w:val="00E84012"/>
    <w:rsid w:val="00E9373C"/>
    <w:rsid w:val="00EA0724"/>
    <w:rsid w:val="00EA6251"/>
    <w:rsid w:val="00EB13FD"/>
    <w:rsid w:val="00EB6414"/>
    <w:rsid w:val="00EC60D7"/>
    <w:rsid w:val="00ED04E8"/>
    <w:rsid w:val="00EE5747"/>
    <w:rsid w:val="00EF3804"/>
    <w:rsid w:val="00EF5E05"/>
    <w:rsid w:val="00F10252"/>
    <w:rsid w:val="00F227AF"/>
    <w:rsid w:val="00F24AF6"/>
    <w:rsid w:val="00F27370"/>
    <w:rsid w:val="00F34D1C"/>
    <w:rsid w:val="00F40B00"/>
    <w:rsid w:val="00F4735B"/>
    <w:rsid w:val="00F5341C"/>
    <w:rsid w:val="00F56954"/>
    <w:rsid w:val="00F728BB"/>
    <w:rsid w:val="00F72E6B"/>
    <w:rsid w:val="00F758B3"/>
    <w:rsid w:val="00F948AF"/>
    <w:rsid w:val="00F952C5"/>
    <w:rsid w:val="00FA5A7B"/>
    <w:rsid w:val="00FB11B1"/>
    <w:rsid w:val="00FE00E8"/>
    <w:rsid w:val="00FE24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F1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semiHidden/>
    <w:rsid w:val="00146699"/>
    <w:pPr>
      <w:spacing w:line="280" w:lineRule="atLeast"/>
    </w:pPr>
    <w:rPr>
      <w:rFonts w:asciiTheme="minorHAnsi" w:hAnsiTheme="minorHAnsi"/>
      <w:color w:val="000000" w:themeColor="text1"/>
      <w:sz w:val="22"/>
    </w:rPr>
  </w:style>
  <w:style w:type="paragraph" w:styleId="Heading1">
    <w:name w:val="heading 1"/>
    <w:next w:val="BodyText"/>
    <w:link w:val="Heading1Char"/>
    <w:uiPriority w:val="4"/>
    <w:qFormat/>
    <w:rsid w:val="00222526"/>
    <w:pPr>
      <w:keepNext/>
      <w:keepLines/>
      <w:spacing w:before="600" w:after="240" w:line="440" w:lineRule="exact"/>
      <w:outlineLvl w:val="0"/>
    </w:pPr>
    <w:rPr>
      <w:rFonts w:ascii="Georgia" w:eastAsiaTheme="majorEastAsia" w:hAnsi="Georgia" w:cstheme="majorBidi"/>
      <w:bCs/>
      <w:color w:val="A6192E"/>
      <w:sz w:val="52"/>
      <w:szCs w:val="52"/>
    </w:rPr>
  </w:style>
  <w:style w:type="paragraph" w:styleId="Heading2">
    <w:name w:val="heading 2"/>
    <w:next w:val="BodyText"/>
    <w:link w:val="Heading2Char"/>
    <w:uiPriority w:val="4"/>
    <w:qFormat/>
    <w:rsid w:val="00803D49"/>
    <w:pPr>
      <w:outlineLvl w:val="1"/>
    </w:pPr>
    <w:rPr>
      <w:rFonts w:ascii="Georgia" w:eastAsiaTheme="majorEastAsia" w:hAnsi="Georgia" w:cstheme="majorBidi"/>
      <w:bCs/>
      <w:color w:val="A6192E"/>
      <w:sz w:val="36"/>
      <w:szCs w:val="52"/>
    </w:rPr>
  </w:style>
  <w:style w:type="paragraph" w:styleId="Heading3">
    <w:name w:val="heading 3"/>
    <w:next w:val="BodyText"/>
    <w:link w:val="Heading3Char"/>
    <w:uiPriority w:val="4"/>
    <w:qFormat/>
    <w:rsid w:val="00146699"/>
    <w:pPr>
      <w:keepNext/>
      <w:keepLines/>
      <w:spacing w:before="400" w:after="120" w:line="280" w:lineRule="atLeast"/>
      <w:outlineLvl w:val="2"/>
    </w:pPr>
    <w:rPr>
      <w:rFonts w:ascii="Georgia" w:eastAsiaTheme="majorEastAsia" w:hAnsi="Georgia" w:cstheme="majorBidi"/>
      <w:bCs/>
      <w:color w:val="000000" w:themeColor="text1"/>
      <w:sz w:val="32"/>
    </w:rPr>
  </w:style>
  <w:style w:type="paragraph" w:styleId="Heading4">
    <w:name w:val="heading 4"/>
    <w:next w:val="BodyText"/>
    <w:link w:val="Heading4Char"/>
    <w:uiPriority w:val="4"/>
    <w:qFormat/>
    <w:rsid w:val="00222526"/>
    <w:pPr>
      <w:keepNext/>
      <w:keepLines/>
      <w:spacing w:before="200"/>
      <w:outlineLvl w:val="3"/>
    </w:pPr>
    <w:rPr>
      <w:rFonts w:ascii="Georgia" w:eastAsiaTheme="majorEastAsia" w:hAnsi="Georgia" w:cstheme="majorBidi"/>
      <w:b/>
      <w:bCs/>
      <w:iCs/>
      <w:sz w:val="28"/>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222526"/>
    <w:rPr>
      <w:rFonts w:ascii="Georgia" w:eastAsiaTheme="majorEastAsia" w:hAnsi="Georgia" w:cstheme="majorBidi"/>
      <w:bCs/>
      <w:color w:val="A6192E"/>
      <w:sz w:val="52"/>
      <w:szCs w:val="52"/>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803D49"/>
    <w:rPr>
      <w:rFonts w:ascii="Georgia" w:eastAsiaTheme="majorEastAsia" w:hAnsi="Georgia" w:cstheme="majorBidi"/>
      <w:bCs/>
      <w:color w:val="A6192E"/>
      <w:sz w:val="36"/>
      <w:szCs w:val="52"/>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146699"/>
    <w:rPr>
      <w:rFonts w:ascii="Georgia" w:eastAsiaTheme="majorEastAsia" w:hAnsi="Georgia" w:cstheme="majorBidi"/>
      <w:bCs/>
      <w:color w:val="000000" w:themeColor="text1"/>
      <w:sz w:val="32"/>
    </w:rPr>
  </w:style>
  <w:style w:type="character" w:customStyle="1" w:styleId="Heading4Char">
    <w:name w:val="Heading 4 Char"/>
    <w:basedOn w:val="DefaultParagraphFont"/>
    <w:link w:val="Heading4"/>
    <w:uiPriority w:val="4"/>
    <w:rsid w:val="00222526"/>
    <w:rPr>
      <w:rFonts w:ascii="Georgia" w:eastAsiaTheme="majorEastAsia" w:hAnsi="Georgia" w:cstheme="majorBidi"/>
      <w:b/>
      <w:bCs/>
      <w:iCs/>
      <w:sz w:val="28"/>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rsid w:val="00222526"/>
    <w:pPr>
      <w:spacing w:after="140" w:line="1000" w:lineRule="exact"/>
      <w:contextualSpacing/>
    </w:pPr>
    <w:rPr>
      <w:rFonts w:ascii="Georgia" w:eastAsiaTheme="majorEastAsia" w:hAnsi="Georgia" w:cstheme="majorBidi"/>
      <w:color w:val="A6192E"/>
      <w:kern w:val="28"/>
      <w:sz w:val="88"/>
      <w:szCs w:val="52"/>
    </w:rPr>
  </w:style>
  <w:style w:type="character" w:customStyle="1" w:styleId="TitleChar">
    <w:name w:val="Title Char"/>
    <w:basedOn w:val="DefaultParagraphFont"/>
    <w:link w:val="Title"/>
    <w:uiPriority w:val="36"/>
    <w:rsid w:val="00222526"/>
    <w:rPr>
      <w:rFonts w:ascii="Georgia" w:eastAsiaTheme="majorEastAsia" w:hAnsi="Georgia" w:cstheme="majorBidi"/>
      <w:color w:val="A6192E"/>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spacing w:before="0"/>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character" w:customStyle="1" w:styleId="UnresolvedMention1">
    <w:name w:val="Unresolved Mention1"/>
    <w:basedOn w:val="DefaultParagraphFont"/>
    <w:uiPriority w:val="99"/>
    <w:semiHidden/>
    <w:unhideWhenUsed/>
    <w:rsid w:val="004F12CA"/>
    <w:rPr>
      <w:color w:val="605E5C"/>
      <w:shd w:val="clear" w:color="auto" w:fill="E1DFDD"/>
    </w:rPr>
  </w:style>
  <w:style w:type="character" w:styleId="FollowedHyperlink">
    <w:name w:val="FollowedHyperlink"/>
    <w:basedOn w:val="DefaultParagraphFont"/>
    <w:uiPriority w:val="99"/>
    <w:semiHidden/>
    <w:unhideWhenUsed/>
    <w:rsid w:val="00171634"/>
    <w:rPr>
      <w:color w:val="800080" w:themeColor="followedHyperlink"/>
      <w:u w:val="single"/>
    </w:rPr>
  </w:style>
  <w:style w:type="paragraph" w:styleId="IntenseQuote">
    <w:name w:val="Intense Quote"/>
    <w:basedOn w:val="Normal"/>
    <w:next w:val="Normal"/>
    <w:link w:val="IntenseQuoteChar"/>
    <w:uiPriority w:val="99"/>
    <w:qFormat/>
    <w:rsid w:val="00222526"/>
    <w:pPr>
      <w:pBdr>
        <w:top w:val="single" w:sz="4" w:space="10" w:color="CF0A2C" w:themeColor="accent1"/>
        <w:bottom w:val="single" w:sz="4" w:space="10" w:color="CF0A2C" w:themeColor="accent1"/>
      </w:pBdr>
      <w:spacing w:before="360" w:after="360"/>
      <w:ind w:left="864" w:right="864"/>
      <w:jc w:val="center"/>
    </w:pPr>
    <w:rPr>
      <w:i/>
      <w:iCs/>
      <w:color w:val="A6192E"/>
    </w:rPr>
  </w:style>
  <w:style w:type="character" w:customStyle="1" w:styleId="IntenseQuoteChar">
    <w:name w:val="Intense Quote Char"/>
    <w:basedOn w:val="DefaultParagraphFont"/>
    <w:link w:val="IntenseQuote"/>
    <w:uiPriority w:val="99"/>
    <w:rsid w:val="00222526"/>
    <w:rPr>
      <w:rFonts w:asciiTheme="minorHAnsi" w:hAnsiTheme="minorHAnsi"/>
      <w:i/>
      <w:iCs/>
      <w:color w:val="A6192E"/>
      <w:sz w:val="22"/>
    </w:rPr>
  </w:style>
  <w:style w:type="character" w:styleId="IntenseEmphasis">
    <w:name w:val="Intense Emphasis"/>
    <w:basedOn w:val="DefaultParagraphFont"/>
    <w:uiPriority w:val="99"/>
    <w:qFormat/>
    <w:rsid w:val="00222526"/>
    <w:rPr>
      <w:i/>
      <w:iCs/>
      <w:color w:val="A6192E"/>
    </w:rPr>
  </w:style>
  <w:style w:type="table" w:styleId="PlainTable1">
    <w:name w:val="Plain Table 1"/>
    <w:basedOn w:val="TableNormal"/>
    <w:uiPriority w:val="41"/>
    <w:rsid w:val="00A92E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List Paragraph11,Recommendation,Bullet Points,NFP GP Bulleted List,Bullet point"/>
    <w:basedOn w:val="Normal"/>
    <w:uiPriority w:val="34"/>
    <w:qFormat/>
    <w:rsid w:val="00A92ECD"/>
    <w:pPr>
      <w:ind w:left="720"/>
      <w:contextualSpacing/>
    </w:pPr>
  </w:style>
  <w:style w:type="character" w:customStyle="1" w:styleId="ui-provider">
    <w:name w:val="ui-provider"/>
    <w:basedOn w:val="DefaultParagraphFont"/>
    <w:rsid w:val="00A92ECD"/>
  </w:style>
  <w:style w:type="paragraph" w:customStyle="1" w:styleId="Default">
    <w:name w:val="Default"/>
    <w:rsid w:val="00A92EC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E4C73"/>
    <w:rPr>
      <w:rFonts w:asciiTheme="minorHAnsi" w:hAnsiTheme="minorHAnsi"/>
      <w:color w:val="000000" w:themeColor="text1"/>
      <w:sz w:val="22"/>
    </w:rPr>
  </w:style>
  <w:style w:type="character" w:styleId="CommentReference">
    <w:name w:val="annotation reference"/>
    <w:basedOn w:val="DefaultParagraphFont"/>
    <w:uiPriority w:val="99"/>
    <w:semiHidden/>
    <w:unhideWhenUsed/>
    <w:rsid w:val="006C45C8"/>
    <w:rPr>
      <w:sz w:val="16"/>
      <w:szCs w:val="16"/>
    </w:rPr>
  </w:style>
  <w:style w:type="paragraph" w:styleId="CommentText">
    <w:name w:val="annotation text"/>
    <w:basedOn w:val="Normal"/>
    <w:link w:val="CommentTextChar"/>
    <w:uiPriority w:val="99"/>
    <w:unhideWhenUsed/>
    <w:rsid w:val="006C45C8"/>
    <w:pPr>
      <w:spacing w:line="240" w:lineRule="auto"/>
    </w:pPr>
    <w:rPr>
      <w:sz w:val="20"/>
    </w:rPr>
  </w:style>
  <w:style w:type="character" w:customStyle="1" w:styleId="CommentTextChar">
    <w:name w:val="Comment Text Char"/>
    <w:basedOn w:val="DefaultParagraphFont"/>
    <w:link w:val="CommentText"/>
    <w:uiPriority w:val="99"/>
    <w:rsid w:val="006C45C8"/>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6C45C8"/>
    <w:rPr>
      <w:b/>
      <w:bCs/>
    </w:rPr>
  </w:style>
  <w:style w:type="character" w:customStyle="1" w:styleId="CommentSubjectChar">
    <w:name w:val="Comment Subject Char"/>
    <w:basedOn w:val="CommentTextChar"/>
    <w:link w:val="CommentSubject"/>
    <w:uiPriority w:val="99"/>
    <w:semiHidden/>
    <w:rsid w:val="006C45C8"/>
    <w:rPr>
      <w:rFonts w:asciiTheme="minorHAnsi" w:hAnsiTheme="minorHAnsi"/>
      <w:b/>
      <w:bCs/>
      <w:color w:val="000000" w:themeColor="text1"/>
    </w:rPr>
  </w:style>
  <w:style w:type="character" w:styleId="UnresolvedMention">
    <w:name w:val="Unresolved Mention"/>
    <w:basedOn w:val="DefaultParagraphFont"/>
    <w:uiPriority w:val="99"/>
    <w:semiHidden/>
    <w:unhideWhenUsed/>
    <w:rsid w:val="0034295E"/>
    <w:rPr>
      <w:color w:val="605E5C"/>
      <w:shd w:val="clear" w:color="auto" w:fill="E1DFDD"/>
    </w:rPr>
  </w:style>
  <w:style w:type="character" w:styleId="FootnoteReference">
    <w:name w:val="footnote reference"/>
    <w:basedOn w:val="DefaultParagraphFont"/>
    <w:uiPriority w:val="99"/>
    <w:semiHidden/>
    <w:unhideWhenUsed/>
    <w:rsid w:val="000A09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1662">
      <w:bodyDiv w:val="1"/>
      <w:marLeft w:val="0"/>
      <w:marRight w:val="0"/>
      <w:marTop w:val="0"/>
      <w:marBottom w:val="0"/>
      <w:divBdr>
        <w:top w:val="none" w:sz="0" w:space="0" w:color="auto"/>
        <w:left w:val="none" w:sz="0" w:space="0" w:color="auto"/>
        <w:bottom w:val="none" w:sz="0" w:space="0" w:color="auto"/>
        <w:right w:val="none" w:sz="0" w:space="0" w:color="auto"/>
      </w:divBdr>
    </w:div>
    <w:div w:id="219171683">
      <w:bodyDiv w:val="1"/>
      <w:marLeft w:val="0"/>
      <w:marRight w:val="0"/>
      <w:marTop w:val="0"/>
      <w:marBottom w:val="0"/>
      <w:divBdr>
        <w:top w:val="none" w:sz="0" w:space="0" w:color="auto"/>
        <w:left w:val="none" w:sz="0" w:space="0" w:color="auto"/>
        <w:bottom w:val="none" w:sz="0" w:space="0" w:color="auto"/>
        <w:right w:val="none" w:sz="0" w:space="0" w:color="auto"/>
      </w:divBdr>
    </w:div>
    <w:div w:id="507141821">
      <w:bodyDiv w:val="1"/>
      <w:marLeft w:val="0"/>
      <w:marRight w:val="0"/>
      <w:marTop w:val="0"/>
      <w:marBottom w:val="0"/>
      <w:divBdr>
        <w:top w:val="none" w:sz="0" w:space="0" w:color="auto"/>
        <w:left w:val="none" w:sz="0" w:space="0" w:color="auto"/>
        <w:bottom w:val="none" w:sz="0" w:space="0" w:color="auto"/>
        <w:right w:val="none" w:sz="0" w:space="0" w:color="auto"/>
      </w:divBdr>
    </w:div>
    <w:div w:id="692921250">
      <w:bodyDiv w:val="1"/>
      <w:marLeft w:val="0"/>
      <w:marRight w:val="0"/>
      <w:marTop w:val="0"/>
      <w:marBottom w:val="0"/>
      <w:divBdr>
        <w:top w:val="none" w:sz="0" w:space="0" w:color="auto"/>
        <w:left w:val="none" w:sz="0" w:space="0" w:color="auto"/>
        <w:bottom w:val="none" w:sz="0" w:space="0" w:color="auto"/>
        <w:right w:val="none" w:sz="0" w:space="0" w:color="auto"/>
      </w:divBdr>
    </w:div>
    <w:div w:id="1631477889">
      <w:bodyDiv w:val="1"/>
      <w:marLeft w:val="0"/>
      <w:marRight w:val="0"/>
      <w:marTop w:val="0"/>
      <w:marBottom w:val="0"/>
      <w:divBdr>
        <w:top w:val="none" w:sz="0" w:space="0" w:color="auto"/>
        <w:left w:val="none" w:sz="0" w:space="0" w:color="auto"/>
        <w:bottom w:val="none" w:sz="0" w:space="0" w:color="auto"/>
        <w:right w:val="none" w:sz="0" w:space="0" w:color="auto"/>
      </w:divBdr>
    </w:div>
    <w:div w:id="1671179994">
      <w:bodyDiv w:val="1"/>
      <w:marLeft w:val="0"/>
      <w:marRight w:val="0"/>
      <w:marTop w:val="0"/>
      <w:marBottom w:val="0"/>
      <w:divBdr>
        <w:top w:val="none" w:sz="0" w:space="0" w:color="auto"/>
        <w:left w:val="none" w:sz="0" w:space="0" w:color="auto"/>
        <w:bottom w:val="none" w:sz="0" w:space="0" w:color="auto"/>
        <w:right w:val="none" w:sz="0" w:space="0" w:color="auto"/>
      </w:divBdr>
    </w:div>
    <w:div w:id="1718434419">
      <w:bodyDiv w:val="1"/>
      <w:marLeft w:val="0"/>
      <w:marRight w:val="0"/>
      <w:marTop w:val="0"/>
      <w:marBottom w:val="0"/>
      <w:divBdr>
        <w:top w:val="none" w:sz="0" w:space="0" w:color="auto"/>
        <w:left w:val="none" w:sz="0" w:space="0" w:color="auto"/>
        <w:bottom w:val="none" w:sz="0" w:space="0" w:color="auto"/>
        <w:right w:val="none" w:sz="0" w:space="0" w:color="auto"/>
      </w:divBdr>
    </w:div>
    <w:div w:id="173935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ndh.org.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F7686F-BE0A-44D5-9372-DCF962407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6225</Characters>
  <Application>Microsoft Office Word</Application>
  <DocSecurity>0</DocSecurity>
  <Lines>113</Lines>
  <Paragraphs>69</Paragraphs>
  <ScaleCrop>false</ScaleCrop>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Wellbeing and Capability Activity - National Debt Helpline</dc:title>
  <dc:subject/>
  <dc:creator/>
  <cp:keywords>[SEC=OFFICIAL]</cp:keywords>
  <cp:lastModifiedBy/>
  <cp:revision>1</cp:revision>
  <dcterms:created xsi:type="dcterms:W3CDTF">2025-06-26T21:47:00Z</dcterms:created>
  <dcterms:modified xsi:type="dcterms:W3CDTF">2025-06-26T21:47:00Z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InsertionValue">
    <vt:lpwstr>OFFICIAL</vt:lpwstr>
  </property>
  <property fmtid="{D5CDD505-2E9C-101B-9397-08002B2CF9AE}" pid="6" name="PM_Originating_FileId">
    <vt:lpwstr>C497C80042C440F595035F4BC10E7D3D</vt:lpwstr>
  </property>
  <property fmtid="{D5CDD505-2E9C-101B-9397-08002B2CF9AE}" pid="7" name="PM_ProtectiveMarkingValue_Footer">
    <vt:lpwstr>OFFICIAL</vt:lpwstr>
  </property>
  <property fmtid="{D5CDD505-2E9C-101B-9397-08002B2CF9AE}" pid="8" name="PM_Originator_Hash_SHA1">
    <vt:lpwstr>9CFEDE0AD9FDAE0286D351E87B4647470E8026DF</vt:lpwstr>
  </property>
  <property fmtid="{D5CDD505-2E9C-101B-9397-08002B2CF9AE}" pid="9" name="PM_OriginationTimeStamp">
    <vt:lpwstr>2024-02-28T03:04:19Z</vt:lpwstr>
  </property>
  <property fmtid="{D5CDD505-2E9C-101B-9397-08002B2CF9AE}" pid="10" name="PM_ProtectiveMarkingValue_Header">
    <vt:lpwstr>OFFICIAL</vt:lpwstr>
  </property>
  <property fmtid="{D5CDD505-2E9C-101B-9397-08002B2CF9AE}" pid="11" name="PM_ProtectiveMarkingImage_Footer">
    <vt:lpwstr>C:\Program Files (x86)\Common Files\janusNET Shared\janusSEAL\Images\DocumentSlashBlue.png</vt:lpwstr>
  </property>
  <property fmtid="{D5CDD505-2E9C-101B-9397-08002B2CF9AE}" pid="12" name="MSIP_Label_eb34d90b-fc41-464d-af60-f74d721d0790_SetDate">
    <vt:lpwstr>2024-02-28T03:04:19Z</vt:lpwstr>
  </property>
  <property fmtid="{D5CDD505-2E9C-101B-9397-08002B2CF9AE}" pid="13" name="PM_Note">
    <vt:lpwstr/>
  </property>
  <property fmtid="{D5CDD505-2E9C-101B-9397-08002B2CF9AE}" pid="14" name="MSIP_Label_eb34d90b-fc41-464d-af60-f74d721d0790_Name">
    <vt:lpwstr>OFFICIAL</vt:lpwstr>
  </property>
  <property fmtid="{D5CDD505-2E9C-101B-9397-08002B2CF9AE}" pid="15" name="PM_Display">
    <vt:lpwstr>OFFICIAL</vt:lpwstr>
  </property>
  <property fmtid="{D5CDD505-2E9C-101B-9397-08002B2CF9AE}" pid="16" name="PM_Hash_Version">
    <vt:lpwstr>2022.1</vt:lpwstr>
  </property>
  <property fmtid="{D5CDD505-2E9C-101B-9397-08002B2CF9AE}" pid="17" name="PM_Hash_Salt_Prev">
    <vt:lpwstr>81B315801785F3EC2150605E04BBB17D</vt:lpwstr>
  </property>
  <property fmtid="{D5CDD505-2E9C-101B-9397-08002B2CF9AE}" pid="18" name="PM_Hash_Salt">
    <vt:lpwstr>F6A90BED34DA7D48E3EA8DBF59110604</vt:lpwstr>
  </property>
  <property fmtid="{D5CDD505-2E9C-101B-9397-08002B2CF9AE}" pid="19" name="PM_Hash_SHA1">
    <vt:lpwstr>35114E12CDC2B738C11BF93AEF4B56982C21A28D</vt:lpwstr>
  </property>
  <property fmtid="{D5CDD505-2E9C-101B-9397-08002B2CF9AE}" pid="20" name="PM_OriginatorUserAccountName_SHA256">
    <vt:lpwstr>56084DE7D87471392F5BD2235C8043EAEC8018D05D094D5A8468DE8533D8A2CE</vt:lpwstr>
  </property>
  <property fmtid="{D5CDD505-2E9C-101B-9397-08002B2CF9AE}" pid="21" name="PM_OriginatorDomainName_SHA256">
    <vt:lpwstr>E83A2A66C4061446A7E3732E8D44762184B6B377D962B96C83DC624302585857</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MSIP_Label_eb34d90b-fc41-464d-af60-f74d721d0790_SiteId">
    <vt:lpwstr>61e36dd1-ca6e-4d61-aa0a-2b4eb88317a3</vt:lpwstr>
  </property>
  <property fmtid="{D5CDD505-2E9C-101B-9397-08002B2CF9AE}" pid="25" name="MSIP_Label_eb34d90b-fc41-464d-af60-f74d721d0790_ContentBits">
    <vt:lpwstr>0</vt:lpwstr>
  </property>
  <property fmtid="{D5CDD505-2E9C-101B-9397-08002B2CF9AE}" pid="26" name="MSIP_Label_eb34d90b-fc41-464d-af60-f74d721d0790_Enabled">
    <vt:lpwstr>true</vt:lpwstr>
  </property>
  <property fmtid="{D5CDD505-2E9C-101B-9397-08002B2CF9AE}" pid="27" name="MSIP_Label_eb34d90b-fc41-464d-af60-f74d721d0790_Method">
    <vt:lpwstr>Privileged</vt:lpwstr>
  </property>
  <property fmtid="{D5CDD505-2E9C-101B-9397-08002B2CF9AE}" pid="28" name="MSIP_Label_eb34d90b-fc41-464d-af60-f74d721d0790_ActionId">
    <vt:lpwstr>6211a11796e148d8af77d9a0ea0a6fdc</vt:lpwstr>
  </property>
  <property fmtid="{D5CDD505-2E9C-101B-9397-08002B2CF9AE}" pid="29" name="PMUuid">
    <vt:lpwstr>v=2022.2;d=gov.au;g=46DD6D7C-8107-577B-BC6E-F348953B2E44</vt:lpwstr>
  </property>
  <property fmtid="{D5CDD505-2E9C-101B-9397-08002B2CF9AE}" pid="30" name="PM_Namespace">
    <vt:lpwstr>gov.au</vt:lpwstr>
  </property>
  <property fmtid="{D5CDD505-2E9C-101B-9397-08002B2CF9AE}" pid="31" name="PM_Version">
    <vt:lpwstr>2018.4</vt:lpwstr>
  </property>
  <property fmtid="{D5CDD505-2E9C-101B-9397-08002B2CF9AE}" pid="32" name="PM_SecurityClassification">
    <vt:lpwstr>OFFICIAL</vt:lpwstr>
  </property>
  <property fmtid="{D5CDD505-2E9C-101B-9397-08002B2CF9AE}" pid="33" name="PMHMAC">
    <vt:lpwstr>v=2022.1;a=SHA256;h=10AE625F17CC7809C50A897740C4FE49DF1FA6DE971D894A1A68B17EA5D61CFB</vt:lpwstr>
  </property>
  <property fmtid="{D5CDD505-2E9C-101B-9397-08002B2CF9AE}" pid="34" name="PM_Qualifier">
    <vt:lpwstr/>
  </property>
  <property fmtid="{D5CDD505-2E9C-101B-9397-08002B2CF9AE}" pid="35" name="PM_Markers">
    <vt:lpwstr/>
  </property>
  <property fmtid="{D5CDD505-2E9C-101B-9397-08002B2CF9AE}" pid="36" name="PM_Caveats_Count">
    <vt:lpwstr>0</vt:lpwstr>
  </property>
  <property fmtid="{D5CDD505-2E9C-101B-9397-08002B2CF9AE}" pid="37" name="PM_DownTo">
    <vt:lpwstr/>
  </property>
</Properties>
</file>