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E2F3" w14:textId="3E02A13D" w:rsidR="00BD1752" w:rsidRDefault="00BD1752" w:rsidP="00F2671C">
      <w:pPr>
        <w:pStyle w:val="Heading1"/>
        <w:spacing w:before="120" w:after="120"/>
        <w:rPr>
          <w:rFonts w:asciiTheme="majorHAnsi" w:hAnsiTheme="majorHAnsi" w:cstheme="majorHAnsi"/>
          <w:sz w:val="44"/>
          <w:szCs w:val="44"/>
        </w:rPr>
      </w:pPr>
      <w:r w:rsidRPr="00F2671C">
        <w:rPr>
          <w:rFonts w:asciiTheme="majorHAnsi" w:hAnsiTheme="majorHAnsi" w:cstheme="majorHAnsi"/>
          <w:sz w:val="44"/>
          <w:szCs w:val="44"/>
        </w:rPr>
        <w:t>Financial Wellbeing and Capability Activity - Emergency Relief</w:t>
      </w:r>
    </w:p>
    <w:p w14:paraId="6DBB609B" w14:textId="796C6DC1" w:rsidR="004A5639" w:rsidRPr="00E66F4A" w:rsidRDefault="0068372C" w:rsidP="00E66F4A">
      <w:pPr>
        <w:pBdr>
          <w:bottom w:val="single" w:sz="4" w:space="5" w:color="000000" w:themeColor="text1"/>
        </w:pBdr>
        <w:spacing w:before="120" w:line="240" w:lineRule="auto"/>
        <w:rPr>
          <w:rFonts w:asciiTheme="majorHAnsi" w:eastAsiaTheme="majorEastAsia" w:hAnsiTheme="majorHAnsi" w:cstheme="majorHAnsi"/>
          <w:bCs/>
          <w:color w:val="auto"/>
          <w:sz w:val="30"/>
          <w:szCs w:val="30"/>
        </w:rPr>
      </w:pPr>
      <w:r w:rsidRPr="00E66F4A">
        <w:rPr>
          <w:rFonts w:asciiTheme="majorHAnsi" w:eastAsiaTheme="majorEastAsia" w:hAnsiTheme="majorHAnsi" w:cstheme="majorHAnsi"/>
          <w:bCs/>
          <w:color w:val="auto"/>
          <w:sz w:val="30"/>
          <w:szCs w:val="30"/>
        </w:rPr>
        <w:t>Feedback for applicants</w:t>
      </w:r>
    </w:p>
    <w:p w14:paraId="096EBF50" w14:textId="7E758F6C" w:rsidR="0032204D" w:rsidRDefault="0032204D" w:rsidP="00294130">
      <w:pPr>
        <w:spacing w:before="120" w:line="240" w:lineRule="auto"/>
        <w:rPr>
          <w:color w:val="auto"/>
        </w:rPr>
      </w:pPr>
      <w:r w:rsidRPr="00854ACD">
        <w:rPr>
          <w:color w:val="auto"/>
        </w:rPr>
        <w:t xml:space="preserve">The </w:t>
      </w:r>
      <w:r w:rsidR="002D3A76">
        <w:rPr>
          <w:color w:val="auto"/>
        </w:rPr>
        <w:t>Department of Social Services</w:t>
      </w:r>
      <w:r w:rsidRPr="00854ACD">
        <w:rPr>
          <w:color w:val="auto"/>
        </w:rPr>
        <w:t xml:space="preserve"> </w:t>
      </w:r>
      <w:r>
        <w:rPr>
          <w:color w:val="auto"/>
        </w:rPr>
        <w:t>(the department) has provided the following general f</w:t>
      </w:r>
      <w:r w:rsidRPr="00854ACD">
        <w:rPr>
          <w:color w:val="auto"/>
        </w:rPr>
        <w:t xml:space="preserve">eedback for applicants of the </w:t>
      </w:r>
      <w:r w:rsidR="002D3A76" w:rsidRPr="002D3A76">
        <w:rPr>
          <w:color w:val="auto"/>
        </w:rPr>
        <w:t xml:space="preserve">Financial Wellbeing and Capability </w:t>
      </w:r>
      <w:r w:rsidR="002D3A76">
        <w:rPr>
          <w:color w:val="auto"/>
        </w:rPr>
        <w:t xml:space="preserve">(FWC) </w:t>
      </w:r>
      <w:r w:rsidR="002D3A76" w:rsidRPr="002D3A76">
        <w:rPr>
          <w:color w:val="auto"/>
        </w:rPr>
        <w:t>Activity -</w:t>
      </w:r>
      <w:r w:rsidR="002D3A76">
        <w:rPr>
          <w:color w:val="auto"/>
        </w:rPr>
        <w:t xml:space="preserve"> </w:t>
      </w:r>
      <w:r w:rsidR="002D3A76" w:rsidRPr="002D3A76">
        <w:rPr>
          <w:color w:val="auto"/>
        </w:rPr>
        <w:t>Emergency Relief</w:t>
      </w:r>
      <w:r w:rsidR="001B33D2">
        <w:rPr>
          <w:color w:val="auto"/>
        </w:rPr>
        <w:t xml:space="preserve"> (ER)</w:t>
      </w:r>
      <w:r w:rsidR="002D3A76" w:rsidRPr="002D3A76">
        <w:rPr>
          <w:color w:val="auto"/>
        </w:rPr>
        <w:t xml:space="preserve"> </w:t>
      </w:r>
      <w:r w:rsidRPr="00854ACD">
        <w:rPr>
          <w:color w:val="auto"/>
        </w:rPr>
        <w:t>grant opportunity.</w:t>
      </w:r>
    </w:p>
    <w:p w14:paraId="78AE25D1" w14:textId="7F0C2F52" w:rsidR="0032204D" w:rsidRPr="0047300C" w:rsidRDefault="0032204D" w:rsidP="00294130">
      <w:pPr>
        <w:pStyle w:val="BodyText"/>
        <w:spacing w:after="0" w:line="240" w:lineRule="auto"/>
      </w:pPr>
      <w:r w:rsidRPr="0047300C">
        <w:t xml:space="preserve">Assessment of applications was in accordance </w:t>
      </w:r>
      <w:r w:rsidR="00F001B4" w:rsidRPr="0047300C">
        <w:t>with</w:t>
      </w:r>
      <w:r w:rsidRPr="0047300C">
        <w:t xml:space="preserve"> the procedure detailed in the grant opportunity guidelines</w:t>
      </w:r>
      <w:r w:rsidR="00F001B4" w:rsidRPr="0047300C">
        <w:t xml:space="preserve"> (the guidelines)</w:t>
      </w:r>
      <w:r w:rsidRPr="0047300C">
        <w:t xml:space="preserve"> and outlined in the selection process below.</w:t>
      </w:r>
    </w:p>
    <w:p w14:paraId="4BEDC740" w14:textId="77777777" w:rsidR="0032204D" w:rsidRPr="00F2671C" w:rsidRDefault="0032204D" w:rsidP="00BD0B44">
      <w:pPr>
        <w:pStyle w:val="Heading2"/>
        <w:spacing w:before="120"/>
        <w:rPr>
          <w:color w:val="C00000"/>
          <w:sz w:val="28"/>
          <w:szCs w:val="28"/>
        </w:rPr>
      </w:pPr>
      <w:r w:rsidRPr="00F2671C">
        <w:rPr>
          <w:color w:val="C00000"/>
          <w:sz w:val="28"/>
          <w:szCs w:val="28"/>
        </w:rPr>
        <w:t>Overview</w:t>
      </w:r>
    </w:p>
    <w:p w14:paraId="7C01B3B2" w14:textId="11805E32" w:rsidR="0032204D" w:rsidRPr="0047300C" w:rsidRDefault="0032204D" w:rsidP="00294130">
      <w:pPr>
        <w:pStyle w:val="BodyText"/>
        <w:spacing w:after="0" w:line="240" w:lineRule="auto"/>
        <w:rPr>
          <w:color w:val="auto"/>
        </w:rPr>
      </w:pPr>
      <w:r w:rsidRPr="0047300C">
        <w:rPr>
          <w:color w:val="auto"/>
        </w:rPr>
        <w:t xml:space="preserve">The application submission period opened on </w:t>
      </w:r>
      <w:r w:rsidR="002D3A76" w:rsidRPr="0047300C">
        <w:rPr>
          <w:color w:val="auto"/>
        </w:rPr>
        <w:t xml:space="preserve">22 October 2024 </w:t>
      </w:r>
      <w:r w:rsidRPr="0047300C">
        <w:rPr>
          <w:color w:val="auto"/>
        </w:rPr>
        <w:t xml:space="preserve">and closed on </w:t>
      </w:r>
      <w:r w:rsidR="002D3A76" w:rsidRPr="0047300C">
        <w:rPr>
          <w:color w:val="auto"/>
        </w:rPr>
        <w:t>2 December 2024</w:t>
      </w:r>
      <w:r w:rsidRPr="0047300C">
        <w:rPr>
          <w:color w:val="auto"/>
        </w:rPr>
        <w:t>.</w:t>
      </w:r>
    </w:p>
    <w:p w14:paraId="14FE8805" w14:textId="2834F551" w:rsidR="002D3A76" w:rsidRPr="0047300C" w:rsidRDefault="000B064F" w:rsidP="00294130">
      <w:pPr>
        <w:pStyle w:val="BodyText"/>
        <w:spacing w:after="0" w:line="240" w:lineRule="auto"/>
      </w:pPr>
      <w:r>
        <w:t>Through</w:t>
      </w:r>
      <w:r w:rsidR="002D3A76" w:rsidRPr="0047300C">
        <w:t xml:space="preserve"> the </w:t>
      </w:r>
      <w:r w:rsidR="002D3A76" w:rsidRPr="0047300C">
        <w:rPr>
          <w:color w:val="auto"/>
        </w:rPr>
        <w:t>FWC Activity</w:t>
      </w:r>
      <w:r w:rsidR="001D00BE" w:rsidRPr="0047300C">
        <w:rPr>
          <w:color w:val="auto"/>
        </w:rPr>
        <w:t>,</w:t>
      </w:r>
      <w:r w:rsidR="002D3A76" w:rsidRPr="0047300C">
        <w:rPr>
          <w:color w:val="auto"/>
        </w:rPr>
        <w:t xml:space="preserve"> </w:t>
      </w:r>
      <w:r w:rsidR="002D3A76" w:rsidRPr="0047300C">
        <w:t xml:space="preserve">funding is provided for the </w:t>
      </w:r>
      <w:r w:rsidR="001B33D2">
        <w:t>ER</w:t>
      </w:r>
      <w:r w:rsidR="002D3A76" w:rsidRPr="0047300C">
        <w:t xml:space="preserve"> </w:t>
      </w:r>
      <w:r w:rsidR="001B33D2">
        <w:t>g</w:t>
      </w:r>
      <w:r w:rsidR="002D3A76" w:rsidRPr="0047300C">
        <w:t xml:space="preserve">rant </w:t>
      </w:r>
      <w:r w:rsidR="001B33D2">
        <w:t>o</w:t>
      </w:r>
      <w:r w:rsidR="002D3A76" w:rsidRPr="0047300C">
        <w:t>pportunity. ER contributes to FWC Activity outcomes by providing immediate financial or material aid to eligible people</w:t>
      </w:r>
      <w:r w:rsidR="000B7809" w:rsidRPr="0047300C">
        <w:t xml:space="preserve"> experiencing financial crises</w:t>
      </w:r>
      <w:r w:rsidR="002D3A76" w:rsidRPr="0047300C">
        <w:t xml:space="preserve">. Material aid </w:t>
      </w:r>
      <w:r w:rsidR="000B7809" w:rsidRPr="0047300C">
        <w:t>refers to</w:t>
      </w:r>
      <w:r w:rsidR="002D3A76" w:rsidRPr="0047300C">
        <w:t xml:space="preserve"> practical</w:t>
      </w:r>
      <w:r w:rsidR="001D00BE" w:rsidRPr="0047300C">
        <w:t>, physical items</w:t>
      </w:r>
      <w:r w:rsidR="002D3A76" w:rsidRPr="0047300C">
        <w:t xml:space="preserve"> (such as clothes or bedding). Financial aid is financial assistance</w:t>
      </w:r>
      <w:r w:rsidR="000B7809" w:rsidRPr="0047300C">
        <w:t xml:space="preserve"> (</w:t>
      </w:r>
      <w:r w:rsidR="004A5639">
        <w:t>for example,</w:t>
      </w:r>
      <w:r w:rsidR="000B7809" w:rsidRPr="0047300C">
        <w:t xml:space="preserve"> vouchers for supermarkets, utilities or petrol)</w:t>
      </w:r>
      <w:r w:rsidR="002D3A76" w:rsidRPr="0047300C">
        <w:t xml:space="preserve"> and advice</w:t>
      </w:r>
      <w:r w:rsidR="000B7809" w:rsidRPr="0047300C">
        <w:t>.</w:t>
      </w:r>
    </w:p>
    <w:p w14:paraId="3B670644" w14:textId="04AA4BF4" w:rsidR="00E61680" w:rsidRPr="0047300C" w:rsidRDefault="000B7809" w:rsidP="00294130">
      <w:pPr>
        <w:pStyle w:val="BodyText"/>
        <w:spacing w:after="0" w:line="240" w:lineRule="auto"/>
      </w:pPr>
      <w:r w:rsidRPr="0047300C">
        <w:t>ER is</w:t>
      </w:r>
      <w:r w:rsidR="002D3A76" w:rsidRPr="0047300C">
        <w:t xml:space="preserve"> available to people who are not able to pay a bill or </w:t>
      </w:r>
      <w:r w:rsidR="000B064F">
        <w:t xml:space="preserve">who are </w:t>
      </w:r>
      <w:r w:rsidR="002D3A76" w:rsidRPr="0047300C">
        <w:t xml:space="preserve">at imminent risk of </w:t>
      </w:r>
      <w:r w:rsidRPr="0047300C">
        <w:t>being unable to do so.</w:t>
      </w:r>
      <w:r w:rsidR="00A27503" w:rsidRPr="0047300C">
        <w:t xml:space="preserve"> </w:t>
      </w:r>
      <w:r w:rsidR="00E61680" w:rsidRPr="0047300C">
        <w:t>Successful organisations will be required to engage with potential clients to determine if they meet the eligibility criteria. This will provide an opportunity to identify underlying issues which are contributing to an individual’s financial crisis (such as family and domestic violence, mental health issues, housing instability or addiction), undertake triage processes, and facilitate referrals to other support services, where appropriate.</w:t>
      </w:r>
    </w:p>
    <w:p w14:paraId="7A68244F" w14:textId="1430946E" w:rsidR="00E61680" w:rsidRPr="0047300C" w:rsidRDefault="00E61680" w:rsidP="00294130">
      <w:pPr>
        <w:pStyle w:val="BodyText"/>
        <w:spacing w:after="0" w:line="240" w:lineRule="auto"/>
      </w:pPr>
      <w:r w:rsidRPr="0047300C">
        <w:t>The objectives of the grant opportunity</w:t>
      </w:r>
      <w:r w:rsidR="009B43F2">
        <w:t xml:space="preserve"> are</w:t>
      </w:r>
      <w:r w:rsidRPr="0047300C">
        <w:t xml:space="preserve"> </w:t>
      </w:r>
      <w:r w:rsidR="000B064F">
        <w:t>to</w:t>
      </w:r>
      <w:r w:rsidRPr="0047300C">
        <w:t>:</w:t>
      </w:r>
    </w:p>
    <w:p w14:paraId="0845E117" w14:textId="26BAE9B3" w:rsidR="00E61680" w:rsidRPr="0047300C" w:rsidRDefault="00E61680" w:rsidP="00294130">
      <w:pPr>
        <w:pStyle w:val="BodyText"/>
        <w:numPr>
          <w:ilvl w:val="0"/>
          <w:numId w:val="17"/>
        </w:numPr>
        <w:spacing w:after="0" w:line="240" w:lineRule="auto"/>
      </w:pPr>
      <w:r w:rsidRPr="0047300C">
        <w:t xml:space="preserve">assist people to manage their immediate </w:t>
      </w:r>
      <w:proofErr w:type="gramStart"/>
      <w:r w:rsidRPr="0047300C">
        <w:t>crisis situation</w:t>
      </w:r>
      <w:proofErr w:type="gramEnd"/>
    </w:p>
    <w:p w14:paraId="7BD8E287" w14:textId="6BA4322B" w:rsidR="00E61680" w:rsidRPr="0047300C" w:rsidRDefault="00E61680" w:rsidP="00294130">
      <w:pPr>
        <w:pStyle w:val="BodyText"/>
        <w:numPr>
          <w:ilvl w:val="0"/>
          <w:numId w:val="17"/>
        </w:numPr>
        <w:spacing w:after="0" w:line="240" w:lineRule="auto"/>
      </w:pPr>
      <w:r w:rsidRPr="0047300C">
        <w:t>deliver services in a way that maintains the dignity of the individual and their family</w:t>
      </w:r>
    </w:p>
    <w:p w14:paraId="4A775791" w14:textId="15259A07" w:rsidR="00E61680" w:rsidRPr="0047300C" w:rsidRDefault="00E61680" w:rsidP="00294130">
      <w:pPr>
        <w:pStyle w:val="BodyText"/>
        <w:numPr>
          <w:ilvl w:val="0"/>
          <w:numId w:val="17"/>
        </w:numPr>
        <w:spacing w:after="0" w:line="240" w:lineRule="auto"/>
      </w:pPr>
      <w:r w:rsidRPr="0047300C">
        <w:t>refer people to other relevant services, to help them pay bills or reduce the risk of being unable to pay their bills</w:t>
      </w:r>
    </w:p>
    <w:p w14:paraId="5F673FB3" w14:textId="5E92C280" w:rsidR="00E61680" w:rsidRPr="0047300C" w:rsidRDefault="00E61680" w:rsidP="00294130">
      <w:pPr>
        <w:pStyle w:val="BodyText"/>
        <w:numPr>
          <w:ilvl w:val="0"/>
          <w:numId w:val="17"/>
        </w:numPr>
        <w:spacing w:after="0" w:line="240" w:lineRule="auto"/>
      </w:pPr>
      <w:r w:rsidRPr="0047300C">
        <w:t>encourag</w:t>
      </w:r>
      <w:r w:rsidR="000B064F">
        <w:t>e</w:t>
      </w:r>
      <w:r w:rsidRPr="0047300C">
        <w:t xml:space="preserve"> greater self-reliance, through empowering people in immediate financial crisis.</w:t>
      </w:r>
    </w:p>
    <w:p w14:paraId="2DBB5F1E" w14:textId="511D2A20" w:rsidR="00A27503" w:rsidRPr="0047300C" w:rsidRDefault="00A27503" w:rsidP="0047300C">
      <w:pPr>
        <w:pStyle w:val="BodyText"/>
      </w:pPr>
      <w:r w:rsidRPr="0047300C">
        <w:t xml:space="preserve">The program will run over </w:t>
      </w:r>
      <w:r w:rsidR="00863064">
        <w:t>5</w:t>
      </w:r>
      <w:r w:rsidRPr="0047300C">
        <w:t xml:space="preserve"> years, from 2025–26 to 2029–30.</w:t>
      </w:r>
    </w:p>
    <w:p w14:paraId="0468E255" w14:textId="767CE253" w:rsidR="0032204D" w:rsidRPr="00F2671C" w:rsidRDefault="0032204D" w:rsidP="002D3A76">
      <w:pPr>
        <w:pStyle w:val="Heading2"/>
        <w:spacing w:before="120"/>
        <w:rPr>
          <w:color w:val="C00000"/>
          <w:sz w:val="28"/>
          <w:szCs w:val="28"/>
        </w:rPr>
      </w:pPr>
      <w:r w:rsidRPr="00F2671C">
        <w:rPr>
          <w:color w:val="C00000"/>
          <w:sz w:val="28"/>
          <w:szCs w:val="28"/>
        </w:rPr>
        <w:t>Selection Process</w:t>
      </w:r>
    </w:p>
    <w:p w14:paraId="46BF8915" w14:textId="3185B2FA" w:rsidR="0032204D" w:rsidRPr="0047300C" w:rsidRDefault="0032204D" w:rsidP="00294130">
      <w:pPr>
        <w:pStyle w:val="BodyText"/>
        <w:spacing w:after="0" w:line="240" w:lineRule="auto"/>
        <w:rPr>
          <w:color w:val="auto"/>
        </w:rPr>
      </w:pPr>
      <w:bookmarkStart w:id="0" w:name="_Hlk198636969"/>
      <w:r w:rsidRPr="0047300C">
        <w:t xml:space="preserve">The Community Grants Hub </w:t>
      </w:r>
      <w:r w:rsidR="00F45BB8" w:rsidRPr="0047300C">
        <w:t xml:space="preserve">(the Hub) </w:t>
      </w:r>
      <w:r w:rsidRPr="0047300C">
        <w:t xml:space="preserve">undertook the initial screening for organisation eligibility and compliance against the requirements outlined in the guidelines. This information was provided to the department’s grant opportunity delegate </w:t>
      </w:r>
      <w:r w:rsidRPr="0047300C">
        <w:rPr>
          <w:color w:val="auto"/>
        </w:rPr>
        <w:t>for final decisions on whether an application met the eligibility and compliance criteria.</w:t>
      </w:r>
    </w:p>
    <w:p w14:paraId="37E8634B" w14:textId="54D4F98A" w:rsidR="00D05B2E" w:rsidRPr="0047300C" w:rsidRDefault="00D05B2E" w:rsidP="00294130">
      <w:pPr>
        <w:spacing w:before="120" w:line="240" w:lineRule="auto"/>
        <w:rPr>
          <w:color w:val="auto"/>
        </w:rPr>
      </w:pPr>
      <w:bookmarkStart w:id="1" w:name="_Hlk198632884"/>
      <w:r w:rsidRPr="0047300C">
        <w:rPr>
          <w:color w:val="auto"/>
        </w:rPr>
        <w:t xml:space="preserve">The Hub </w:t>
      </w:r>
      <w:r w:rsidR="0032204D" w:rsidRPr="0047300C">
        <w:rPr>
          <w:color w:val="auto"/>
        </w:rPr>
        <w:t xml:space="preserve">undertook the </w:t>
      </w:r>
      <w:r w:rsidR="00A232AB" w:rsidRPr="0047300C">
        <w:rPr>
          <w:color w:val="auto"/>
        </w:rPr>
        <w:t>preliminary assessment</w:t>
      </w:r>
      <w:r w:rsidRPr="0047300C">
        <w:rPr>
          <w:color w:val="auto"/>
        </w:rPr>
        <w:t xml:space="preserve"> on all applications through a</w:t>
      </w:r>
      <w:r w:rsidR="002D3A76" w:rsidRPr="0047300C">
        <w:rPr>
          <w:color w:val="auto"/>
        </w:rPr>
        <w:t>n</w:t>
      </w:r>
      <w:r w:rsidRPr="0047300C">
        <w:rPr>
          <w:color w:val="auto"/>
        </w:rPr>
        <w:t xml:space="preserve"> </w:t>
      </w:r>
      <w:r w:rsidR="00BD0B44" w:rsidRPr="0047300C">
        <w:rPr>
          <w:color w:val="auto"/>
        </w:rPr>
        <w:t>o</w:t>
      </w:r>
      <w:r w:rsidRPr="0047300C">
        <w:rPr>
          <w:color w:val="auto"/>
        </w:rPr>
        <w:t xml:space="preserve">pen </w:t>
      </w:r>
      <w:r w:rsidR="00BD0B44" w:rsidRPr="0047300C">
        <w:rPr>
          <w:color w:val="auto"/>
        </w:rPr>
        <w:t>c</w:t>
      </w:r>
      <w:r w:rsidRPr="0047300C">
        <w:rPr>
          <w:color w:val="auto"/>
        </w:rPr>
        <w:t>ompetitive</w:t>
      </w:r>
      <w:r w:rsidR="002D3A76" w:rsidRPr="0047300C">
        <w:rPr>
          <w:color w:val="auto"/>
        </w:rPr>
        <w:t xml:space="preserve"> </w:t>
      </w:r>
      <w:r w:rsidRPr="0047300C">
        <w:rPr>
          <w:color w:val="auto"/>
        </w:rPr>
        <w:t xml:space="preserve">grant process. </w:t>
      </w:r>
      <w:r w:rsidR="0032204D" w:rsidRPr="0047300C">
        <w:rPr>
          <w:color w:val="auto"/>
        </w:rPr>
        <w:t xml:space="preserve">Applications which </w:t>
      </w:r>
      <w:r w:rsidR="00BD0B44" w:rsidRPr="0047300C">
        <w:rPr>
          <w:color w:val="auto"/>
        </w:rPr>
        <w:t xml:space="preserve">underwent </w:t>
      </w:r>
      <w:r w:rsidR="0032204D" w:rsidRPr="0047300C">
        <w:rPr>
          <w:color w:val="auto"/>
        </w:rPr>
        <w:t>preliminary assessment were provided to the department’s selection advisory panel (panel) for deliberation.</w:t>
      </w:r>
    </w:p>
    <w:p w14:paraId="2A1ABC18" w14:textId="3003827D" w:rsidR="0032204D" w:rsidRPr="0047300C" w:rsidRDefault="0032204D" w:rsidP="00294130">
      <w:pPr>
        <w:spacing w:before="120" w:line="240" w:lineRule="auto"/>
        <w:rPr>
          <w:color w:val="auto"/>
        </w:rPr>
      </w:pPr>
      <w:r w:rsidRPr="0047300C">
        <w:rPr>
          <w:color w:val="auto"/>
        </w:rPr>
        <w:t xml:space="preserve">The panel established by the department, </w:t>
      </w:r>
      <w:r w:rsidRPr="0047300C">
        <w:t xml:space="preserve">comprised of subject matter experts who </w:t>
      </w:r>
      <w:r w:rsidRPr="0047300C">
        <w:rPr>
          <w:color w:val="auto"/>
        </w:rPr>
        <w:t xml:space="preserve">assessed applications </w:t>
      </w:r>
      <w:r w:rsidRPr="0047300C">
        <w:t>and provided advice to inform the funding recommendations to the Financial Delegate.</w:t>
      </w:r>
    </w:p>
    <w:p w14:paraId="05BF619D" w14:textId="7E006673" w:rsidR="002F777D" w:rsidRPr="0047300C" w:rsidRDefault="0032204D" w:rsidP="002F777D">
      <w:pPr>
        <w:pStyle w:val="BodyText"/>
        <w:rPr>
          <w:color w:val="auto"/>
        </w:rPr>
      </w:pPr>
      <w:r w:rsidRPr="0047300C">
        <w:rPr>
          <w:color w:val="auto"/>
        </w:rPr>
        <w:t>The panel’s consideration of assessed applications was based on:</w:t>
      </w:r>
    </w:p>
    <w:bookmarkEnd w:id="0"/>
    <w:bookmarkEnd w:id="1"/>
    <w:p w14:paraId="2D7AC1AA" w14:textId="6F4807A2" w:rsidR="0032204D" w:rsidRPr="0047300C" w:rsidRDefault="00837BA8" w:rsidP="00294130">
      <w:pPr>
        <w:pStyle w:val="BodyText"/>
        <w:numPr>
          <w:ilvl w:val="0"/>
          <w:numId w:val="14"/>
        </w:numPr>
        <w:spacing w:after="0" w:line="240" w:lineRule="auto"/>
        <w:rPr>
          <w:color w:val="auto"/>
        </w:rPr>
      </w:pPr>
      <w:r>
        <w:rPr>
          <w:color w:val="auto"/>
        </w:rPr>
        <w:lastRenderedPageBreak/>
        <w:t>m</w:t>
      </w:r>
      <w:r w:rsidR="00BD0B44" w:rsidRPr="0047300C">
        <w:rPr>
          <w:color w:val="auto"/>
        </w:rPr>
        <w:t xml:space="preserve">eeting the </w:t>
      </w:r>
      <w:r w:rsidR="0032204D" w:rsidRPr="0047300C">
        <w:rPr>
          <w:color w:val="auto"/>
        </w:rPr>
        <w:t>compliance</w:t>
      </w:r>
      <w:r w:rsidR="00BD0B44" w:rsidRPr="0047300C">
        <w:rPr>
          <w:color w:val="auto"/>
        </w:rPr>
        <w:t xml:space="preserve"> requirements outlined in</w:t>
      </w:r>
      <w:r w:rsidR="0032204D" w:rsidRPr="0047300C">
        <w:rPr>
          <w:color w:val="auto"/>
        </w:rPr>
        <w:t xml:space="preserve"> the guidelines</w:t>
      </w:r>
    </w:p>
    <w:p w14:paraId="59646AE7" w14:textId="42EDF6A9" w:rsidR="0032204D" w:rsidRPr="0047300C" w:rsidRDefault="00837BA8" w:rsidP="00294130">
      <w:pPr>
        <w:pStyle w:val="BodyText"/>
        <w:numPr>
          <w:ilvl w:val="0"/>
          <w:numId w:val="14"/>
        </w:numPr>
        <w:spacing w:after="0" w:line="240" w:lineRule="auto"/>
        <w:ind w:left="714" w:hanging="357"/>
        <w:rPr>
          <w:color w:val="auto"/>
        </w:rPr>
      </w:pPr>
      <w:r>
        <w:rPr>
          <w:color w:val="auto"/>
        </w:rPr>
        <w:t>m</w:t>
      </w:r>
      <w:r w:rsidR="00BD0B44" w:rsidRPr="0047300C">
        <w:rPr>
          <w:color w:val="auto"/>
        </w:rPr>
        <w:t xml:space="preserve">eeting the </w:t>
      </w:r>
      <w:r w:rsidR="0032204D" w:rsidRPr="0047300C">
        <w:rPr>
          <w:color w:val="auto"/>
        </w:rPr>
        <w:t>eligibility</w:t>
      </w:r>
      <w:r w:rsidR="00BD0B44" w:rsidRPr="0047300C">
        <w:rPr>
          <w:color w:val="auto"/>
        </w:rPr>
        <w:t xml:space="preserve"> requirements outline</w:t>
      </w:r>
      <w:r w:rsidR="00A27503" w:rsidRPr="0047300C">
        <w:rPr>
          <w:color w:val="auto"/>
        </w:rPr>
        <w:t>d</w:t>
      </w:r>
      <w:r w:rsidR="00BD0B44" w:rsidRPr="0047300C">
        <w:rPr>
          <w:color w:val="auto"/>
        </w:rPr>
        <w:t xml:space="preserve"> in the guidelines</w:t>
      </w:r>
    </w:p>
    <w:p w14:paraId="7C65F914" w14:textId="6A5254BB" w:rsidR="0032204D" w:rsidRPr="0047300C" w:rsidRDefault="00837BA8" w:rsidP="00294130">
      <w:pPr>
        <w:pStyle w:val="ListParagraph"/>
        <w:numPr>
          <w:ilvl w:val="0"/>
          <w:numId w:val="14"/>
        </w:numPr>
        <w:spacing w:before="120" w:line="240" w:lineRule="auto"/>
        <w:ind w:left="714" w:hanging="357"/>
        <w:contextualSpacing w:val="0"/>
        <w:rPr>
          <w:color w:val="auto"/>
        </w:rPr>
      </w:pPr>
      <w:r>
        <w:rPr>
          <w:color w:val="auto"/>
        </w:rPr>
        <w:t>h</w:t>
      </w:r>
      <w:r w:rsidR="0032204D" w:rsidRPr="0047300C">
        <w:rPr>
          <w:color w:val="auto"/>
        </w:rPr>
        <w:t xml:space="preserve">ow well </w:t>
      </w:r>
      <w:r w:rsidR="00BD0B44" w:rsidRPr="0047300C">
        <w:rPr>
          <w:color w:val="auto"/>
        </w:rPr>
        <w:t xml:space="preserve">the </w:t>
      </w:r>
      <w:r w:rsidR="0032204D" w:rsidRPr="0047300C">
        <w:rPr>
          <w:color w:val="auto"/>
        </w:rPr>
        <w:t>responses met the assessment criteri</w:t>
      </w:r>
      <w:r w:rsidR="00BD0B44" w:rsidRPr="0047300C">
        <w:rPr>
          <w:color w:val="auto"/>
        </w:rPr>
        <w:t>a</w:t>
      </w:r>
    </w:p>
    <w:p w14:paraId="6F117A4F" w14:textId="7C492C1F" w:rsidR="0032204D" w:rsidRPr="0047300C" w:rsidRDefault="00837BA8" w:rsidP="00294130">
      <w:pPr>
        <w:pStyle w:val="BodyText"/>
        <w:numPr>
          <w:ilvl w:val="0"/>
          <w:numId w:val="14"/>
        </w:numPr>
        <w:spacing w:after="0" w:line="240" w:lineRule="auto"/>
        <w:ind w:left="714" w:hanging="357"/>
        <w:rPr>
          <w:color w:val="auto"/>
        </w:rPr>
      </w:pPr>
      <w:r>
        <w:rPr>
          <w:rFonts w:ascii="Arial" w:hAnsi="Arial" w:cs="Arial"/>
          <w:szCs w:val="22"/>
        </w:rPr>
        <w:t>t</w:t>
      </w:r>
      <w:r w:rsidR="002F777D" w:rsidRPr="0047300C">
        <w:rPr>
          <w:rFonts w:ascii="Arial" w:hAnsi="Arial" w:cs="Arial"/>
          <w:szCs w:val="22"/>
        </w:rPr>
        <w:t>he volume of applications received</w:t>
      </w:r>
      <w:r w:rsidR="002F777D" w:rsidRPr="0047300C">
        <w:rPr>
          <w:color w:val="auto"/>
        </w:rPr>
        <w:t xml:space="preserve"> and </w:t>
      </w:r>
      <w:r w:rsidR="0032204D" w:rsidRPr="0047300C">
        <w:rPr>
          <w:color w:val="auto"/>
        </w:rPr>
        <w:t xml:space="preserve">the extent </w:t>
      </w:r>
      <w:r w:rsidR="00BD0B44" w:rsidRPr="0047300C">
        <w:rPr>
          <w:color w:val="auto"/>
        </w:rPr>
        <w:t xml:space="preserve">to which </w:t>
      </w:r>
      <w:r w:rsidR="0032204D" w:rsidRPr="0047300C">
        <w:rPr>
          <w:color w:val="auto"/>
        </w:rPr>
        <w:t>applications compared against other applications</w:t>
      </w:r>
    </w:p>
    <w:p w14:paraId="0C8E2742" w14:textId="7A51CDE0" w:rsidR="0032204D" w:rsidRPr="0047300C" w:rsidRDefault="00837BA8" w:rsidP="00294130">
      <w:pPr>
        <w:pStyle w:val="BodyText"/>
        <w:numPr>
          <w:ilvl w:val="0"/>
          <w:numId w:val="14"/>
        </w:numPr>
        <w:spacing w:after="0" w:line="240" w:lineRule="auto"/>
        <w:ind w:left="714" w:hanging="357"/>
        <w:rPr>
          <w:color w:val="auto"/>
        </w:rPr>
      </w:pPr>
      <w:r>
        <w:rPr>
          <w:color w:val="auto"/>
        </w:rPr>
        <w:t>t</w:t>
      </w:r>
      <w:r w:rsidR="00BD0B44" w:rsidRPr="0047300C">
        <w:rPr>
          <w:color w:val="auto"/>
        </w:rPr>
        <w:t xml:space="preserve">he provision and appropriateness of the </w:t>
      </w:r>
      <w:r w:rsidR="0032204D" w:rsidRPr="0047300C">
        <w:rPr>
          <w:color w:val="auto"/>
        </w:rPr>
        <w:t>requested attachments</w:t>
      </w:r>
    </w:p>
    <w:p w14:paraId="4484BA83" w14:textId="46014345" w:rsidR="0032204D" w:rsidRPr="0047300C" w:rsidRDefault="00837BA8" w:rsidP="00294130">
      <w:pPr>
        <w:pStyle w:val="BodyText"/>
        <w:numPr>
          <w:ilvl w:val="0"/>
          <w:numId w:val="14"/>
        </w:numPr>
        <w:spacing w:after="0" w:line="240" w:lineRule="auto"/>
        <w:ind w:left="714" w:hanging="357"/>
        <w:rPr>
          <w:color w:val="auto"/>
        </w:rPr>
      </w:pPr>
      <w:r>
        <w:rPr>
          <w:color w:val="auto"/>
        </w:rPr>
        <w:t>w</w:t>
      </w:r>
      <w:r w:rsidR="0032204D" w:rsidRPr="0047300C">
        <w:rPr>
          <w:color w:val="auto"/>
        </w:rPr>
        <w:t>hether</w:t>
      </w:r>
      <w:r w:rsidR="00BD0B44" w:rsidRPr="0047300C">
        <w:rPr>
          <w:color w:val="auto"/>
        </w:rPr>
        <w:t xml:space="preserve"> the project demonstrated </w:t>
      </w:r>
      <w:r w:rsidR="0032204D" w:rsidRPr="0047300C">
        <w:rPr>
          <w:color w:val="auto"/>
        </w:rPr>
        <w:t>value with relevant money</w:t>
      </w:r>
    </w:p>
    <w:p w14:paraId="5505058A" w14:textId="44BDD1A3" w:rsidR="0032204D" w:rsidRPr="0047300C" w:rsidRDefault="00837BA8" w:rsidP="00294130">
      <w:pPr>
        <w:pStyle w:val="BodyText"/>
        <w:numPr>
          <w:ilvl w:val="0"/>
          <w:numId w:val="14"/>
        </w:numPr>
        <w:spacing w:after="0" w:line="240" w:lineRule="auto"/>
        <w:ind w:left="714" w:hanging="357"/>
        <w:rPr>
          <w:color w:val="auto"/>
        </w:rPr>
      </w:pPr>
      <w:r>
        <w:rPr>
          <w:color w:val="auto"/>
        </w:rPr>
        <w:t>i</w:t>
      </w:r>
      <w:r w:rsidR="0032204D" w:rsidRPr="0047300C">
        <w:rPr>
          <w:color w:val="auto"/>
        </w:rPr>
        <w:t>dentified risks and the proposed mitigation strategies for the department and the Commonwealth</w:t>
      </w:r>
      <w:r w:rsidR="007B7E3D">
        <w:rPr>
          <w:color w:val="auto"/>
        </w:rPr>
        <w:t>.</w:t>
      </w:r>
    </w:p>
    <w:p w14:paraId="455326A7" w14:textId="2BD6D1CD" w:rsidR="00671C0E" w:rsidRPr="00F2671C" w:rsidRDefault="00671C0E" w:rsidP="00F2671C">
      <w:pPr>
        <w:pStyle w:val="Heading2"/>
        <w:spacing w:before="120"/>
        <w:rPr>
          <w:color w:val="C00000"/>
          <w:sz w:val="28"/>
          <w:szCs w:val="28"/>
        </w:rPr>
      </w:pPr>
      <w:r w:rsidRPr="00F2671C">
        <w:rPr>
          <w:color w:val="C00000"/>
          <w:sz w:val="28"/>
          <w:szCs w:val="28"/>
        </w:rPr>
        <w:t>Selection Results</w:t>
      </w:r>
    </w:p>
    <w:p w14:paraId="1E52B474" w14:textId="735B8E6E" w:rsidR="008A4069" w:rsidRPr="0047300C" w:rsidRDefault="00671C0E" w:rsidP="00294130">
      <w:pPr>
        <w:pStyle w:val="BodyText"/>
        <w:spacing w:after="0" w:line="240" w:lineRule="auto"/>
        <w:rPr>
          <w:color w:val="auto"/>
        </w:rPr>
      </w:pPr>
      <w:r w:rsidRPr="0047300C">
        <w:t xml:space="preserve">There was a strong interest in the grant opportunity and applications were of a high standard. </w:t>
      </w:r>
      <w:r w:rsidRPr="0047300C">
        <w:rPr>
          <w:color w:val="auto"/>
        </w:rPr>
        <w:t xml:space="preserve">The preferred applicants demonstrated their ability to meet the grant </w:t>
      </w:r>
      <w:r w:rsidR="008A4069" w:rsidRPr="0047300C">
        <w:rPr>
          <w:color w:val="auto"/>
        </w:rPr>
        <w:t>requirements outlined in the guidelines based on the strength of their responses to the assessment criteria.</w:t>
      </w:r>
    </w:p>
    <w:p w14:paraId="492CDAD3" w14:textId="341A56B9" w:rsidR="0032204D" w:rsidRPr="0047300C" w:rsidRDefault="0032204D" w:rsidP="00294130">
      <w:pPr>
        <w:pStyle w:val="BodyText"/>
        <w:spacing w:after="0" w:line="240" w:lineRule="auto"/>
      </w:pPr>
      <w:r w:rsidRPr="0047300C">
        <w:rPr>
          <w:rStyle w:val="ui-provider"/>
          <w:color w:val="auto"/>
        </w:rPr>
        <w:t xml:space="preserve">The Hub </w:t>
      </w:r>
      <w:r w:rsidRPr="0047300C">
        <w:rPr>
          <w:rStyle w:val="ui-provider"/>
        </w:rPr>
        <w:t>notified applicants of the outcome in writing, where their applications did not meet the requirements outlined in the guidelines.</w:t>
      </w:r>
    </w:p>
    <w:p w14:paraId="58D3A6F8" w14:textId="2CD70010" w:rsidR="0032204D" w:rsidRPr="0047300C" w:rsidRDefault="0032204D" w:rsidP="00294130">
      <w:pPr>
        <w:pStyle w:val="BodyText"/>
        <w:spacing w:after="0" w:line="240" w:lineRule="auto"/>
      </w:pPr>
      <w:r w:rsidRPr="0047300C">
        <w:t>This feedback is provided to assist grant applicants to understand what comprised a strong application and</w:t>
      </w:r>
      <w:r w:rsidR="00817C12" w:rsidRPr="0047300C">
        <w:t xml:space="preserve"> what was </w:t>
      </w:r>
      <w:r w:rsidRPr="0047300C">
        <w:t>quality responses to the assessment criteri</w:t>
      </w:r>
      <w:r w:rsidR="00817C12" w:rsidRPr="0047300C">
        <w:t>a</w:t>
      </w:r>
      <w:r w:rsidRPr="0047300C">
        <w:t>.</w:t>
      </w:r>
    </w:p>
    <w:p w14:paraId="4AB95B86" w14:textId="1F100396" w:rsidR="0032204D" w:rsidRPr="00F2671C" w:rsidRDefault="0032204D" w:rsidP="00F2671C">
      <w:pPr>
        <w:pStyle w:val="Heading3"/>
        <w:spacing w:before="120"/>
        <w:rPr>
          <w:color w:val="C00000"/>
          <w:sz w:val="24"/>
          <w:szCs w:val="24"/>
        </w:rPr>
      </w:pPr>
      <w:r w:rsidRPr="00F2671C">
        <w:rPr>
          <w:color w:val="C00000"/>
          <w:sz w:val="24"/>
          <w:szCs w:val="24"/>
        </w:rPr>
        <w:t>Criterion 1</w:t>
      </w:r>
    </w:p>
    <w:p w14:paraId="008B03EA" w14:textId="717DC80D" w:rsidR="00E61680" w:rsidRPr="0047300C" w:rsidRDefault="00E61680" w:rsidP="00294130">
      <w:pPr>
        <w:pStyle w:val="BodyText"/>
        <w:spacing w:after="0" w:line="240" w:lineRule="auto"/>
        <w:rPr>
          <w:b/>
          <w:bCs/>
        </w:rPr>
      </w:pPr>
      <w:r w:rsidRPr="0047300C">
        <w:rPr>
          <w:b/>
          <w:bCs/>
        </w:rPr>
        <w:t>Demonstrate your organisation’s capability and capacity to deliver ER services to people in crisis.</w:t>
      </w:r>
    </w:p>
    <w:p w14:paraId="5E5B30CE" w14:textId="01709A8E" w:rsidR="00E61680" w:rsidRPr="0047300C" w:rsidRDefault="001C431C" w:rsidP="00294130">
      <w:pPr>
        <w:pStyle w:val="BodyText"/>
        <w:spacing w:after="0" w:line="240" w:lineRule="auto"/>
        <w:rPr>
          <w:rFonts w:cstheme="minorHAnsi"/>
          <w:szCs w:val="22"/>
        </w:rPr>
      </w:pPr>
      <w:bookmarkStart w:id="2" w:name="_Hlk189051390"/>
      <w:r w:rsidRPr="0047300C">
        <w:rPr>
          <w:rFonts w:cstheme="minorHAnsi"/>
          <w:szCs w:val="22"/>
        </w:rPr>
        <w:t xml:space="preserve">Applicant’s responses </w:t>
      </w:r>
      <w:r w:rsidR="00777A95" w:rsidRPr="0047300C">
        <w:rPr>
          <w:rFonts w:cstheme="minorHAnsi"/>
          <w:szCs w:val="22"/>
        </w:rPr>
        <w:t>included</w:t>
      </w:r>
      <w:r w:rsidR="00E61680" w:rsidRPr="0047300C">
        <w:rPr>
          <w:rFonts w:cstheme="minorHAnsi"/>
          <w:szCs w:val="22"/>
        </w:rPr>
        <w:t xml:space="preserve"> information:</w:t>
      </w:r>
    </w:p>
    <w:bookmarkEnd w:id="2"/>
    <w:p w14:paraId="6B6C309D" w14:textId="0B221031" w:rsidR="00E61680" w:rsidRPr="0047300C" w:rsidRDefault="00E33065" w:rsidP="00294130">
      <w:pPr>
        <w:pStyle w:val="BodyText"/>
        <w:numPr>
          <w:ilvl w:val="0"/>
          <w:numId w:val="14"/>
        </w:numPr>
        <w:spacing w:after="0" w:line="240" w:lineRule="auto"/>
        <w:rPr>
          <w:rFonts w:cstheme="minorHAnsi"/>
          <w:szCs w:val="22"/>
        </w:rPr>
      </w:pPr>
      <w:r w:rsidRPr="0047300C">
        <w:rPr>
          <w:rFonts w:cstheme="minorHAnsi"/>
          <w:szCs w:val="22"/>
        </w:rPr>
        <w:t xml:space="preserve">outlining </w:t>
      </w:r>
      <w:r w:rsidR="001C431C" w:rsidRPr="0047300C">
        <w:rPr>
          <w:rFonts w:cstheme="minorHAnsi"/>
          <w:szCs w:val="22"/>
        </w:rPr>
        <w:t>their</w:t>
      </w:r>
      <w:r w:rsidR="00E61680" w:rsidRPr="0047300C">
        <w:rPr>
          <w:rFonts w:cstheme="minorHAnsi"/>
          <w:szCs w:val="22"/>
        </w:rPr>
        <w:t xml:space="preserve"> organisation’s track record, proposed governance structure, and proposed model for delivering </w:t>
      </w:r>
      <w:r w:rsidR="001B33D2">
        <w:rPr>
          <w:rFonts w:cstheme="minorHAnsi"/>
          <w:szCs w:val="22"/>
        </w:rPr>
        <w:t>ER</w:t>
      </w:r>
      <w:r w:rsidR="00E61680" w:rsidRPr="0047300C">
        <w:rPr>
          <w:rFonts w:cstheme="minorHAnsi"/>
          <w:szCs w:val="22"/>
        </w:rPr>
        <w:t xml:space="preserve"> services in the target area (such as type of services, outlet locations, hours of operation, proximity to transport, size, case management approach, approach to servicing rural and remote locations, brokerage and/or partnership arrangements)</w:t>
      </w:r>
    </w:p>
    <w:p w14:paraId="3091F8D0" w14:textId="3FBAF704" w:rsidR="00E61680" w:rsidRPr="0047300C" w:rsidRDefault="00E33065" w:rsidP="00294130">
      <w:pPr>
        <w:pStyle w:val="BodyText"/>
        <w:numPr>
          <w:ilvl w:val="0"/>
          <w:numId w:val="14"/>
        </w:numPr>
        <w:spacing w:after="0" w:line="240" w:lineRule="auto"/>
        <w:rPr>
          <w:rFonts w:cstheme="minorHAnsi"/>
          <w:szCs w:val="22"/>
        </w:rPr>
      </w:pPr>
      <w:r w:rsidRPr="0047300C">
        <w:rPr>
          <w:rFonts w:cstheme="minorHAnsi"/>
          <w:szCs w:val="22"/>
        </w:rPr>
        <w:t xml:space="preserve">outlining </w:t>
      </w:r>
      <w:r w:rsidR="00777A95" w:rsidRPr="0047300C">
        <w:rPr>
          <w:rFonts w:cstheme="minorHAnsi"/>
          <w:szCs w:val="22"/>
        </w:rPr>
        <w:t>h</w:t>
      </w:r>
      <w:r w:rsidR="00E61680" w:rsidRPr="0047300C">
        <w:rPr>
          <w:rFonts w:cstheme="minorHAnsi"/>
          <w:szCs w:val="22"/>
        </w:rPr>
        <w:t>ow</w:t>
      </w:r>
      <w:r w:rsidR="00777A95" w:rsidRPr="0047300C">
        <w:rPr>
          <w:rFonts w:cstheme="minorHAnsi"/>
          <w:szCs w:val="22"/>
        </w:rPr>
        <w:t xml:space="preserve"> their</w:t>
      </w:r>
      <w:r w:rsidR="00E61680" w:rsidRPr="0047300C">
        <w:rPr>
          <w:rFonts w:cstheme="minorHAnsi"/>
          <w:szCs w:val="22"/>
        </w:rPr>
        <w:t xml:space="preserve"> organisation w</w:t>
      </w:r>
      <w:r w:rsidR="00777A95" w:rsidRPr="0047300C">
        <w:rPr>
          <w:rFonts w:cstheme="minorHAnsi"/>
          <w:szCs w:val="22"/>
        </w:rPr>
        <w:t>ould</w:t>
      </w:r>
      <w:r w:rsidR="00E61680" w:rsidRPr="0047300C">
        <w:rPr>
          <w:rFonts w:cstheme="minorHAnsi"/>
          <w:szCs w:val="22"/>
        </w:rPr>
        <w:t xml:space="preserve"> assess clients to determine they are eligible (see client eligibility information under section 2) to receive services under ER and provide services within a framework of engagement</w:t>
      </w:r>
    </w:p>
    <w:p w14:paraId="16E3E4C1" w14:textId="48259113" w:rsidR="00E61680" w:rsidRPr="0047300C" w:rsidRDefault="00E33065" w:rsidP="00294130">
      <w:pPr>
        <w:pStyle w:val="BodyText"/>
        <w:numPr>
          <w:ilvl w:val="0"/>
          <w:numId w:val="14"/>
        </w:numPr>
        <w:spacing w:after="0" w:line="240" w:lineRule="auto"/>
        <w:rPr>
          <w:rFonts w:cstheme="minorHAnsi"/>
          <w:szCs w:val="22"/>
        </w:rPr>
      </w:pPr>
      <w:r w:rsidRPr="0047300C">
        <w:rPr>
          <w:rFonts w:cstheme="minorHAnsi"/>
          <w:szCs w:val="22"/>
        </w:rPr>
        <w:t xml:space="preserve">outlining </w:t>
      </w:r>
      <w:r w:rsidR="00777A95" w:rsidRPr="0047300C">
        <w:rPr>
          <w:rFonts w:cstheme="minorHAnsi"/>
          <w:szCs w:val="22"/>
        </w:rPr>
        <w:t>their</w:t>
      </w:r>
      <w:r w:rsidR="00E61680" w:rsidRPr="0047300C">
        <w:rPr>
          <w:rFonts w:cstheme="minorHAnsi"/>
          <w:szCs w:val="22"/>
        </w:rPr>
        <w:t xml:space="preserve"> organisation’s service delivery locations (noting there should be at least one physical ER outlet in each SA4 service area </w:t>
      </w:r>
      <w:r w:rsidR="00777A95" w:rsidRPr="0047300C">
        <w:rPr>
          <w:rFonts w:cstheme="minorHAnsi"/>
          <w:szCs w:val="22"/>
        </w:rPr>
        <w:t>where the</w:t>
      </w:r>
      <w:r w:rsidR="00E61680" w:rsidRPr="0047300C">
        <w:rPr>
          <w:rFonts w:cstheme="minorHAnsi"/>
          <w:szCs w:val="22"/>
        </w:rPr>
        <w:t xml:space="preserve"> organisation is seeking funding), including a description of their accessibility (for example via nearby public transport)</w:t>
      </w:r>
    </w:p>
    <w:p w14:paraId="3FCB7576" w14:textId="55535F02" w:rsidR="00E61680" w:rsidRPr="0047300C" w:rsidRDefault="00E33065" w:rsidP="00294130">
      <w:pPr>
        <w:pStyle w:val="BodyText"/>
        <w:numPr>
          <w:ilvl w:val="0"/>
          <w:numId w:val="14"/>
        </w:numPr>
        <w:spacing w:after="0" w:line="240" w:lineRule="auto"/>
        <w:rPr>
          <w:rFonts w:cstheme="minorHAnsi"/>
          <w:szCs w:val="22"/>
        </w:rPr>
      </w:pPr>
      <w:r w:rsidRPr="0047300C">
        <w:rPr>
          <w:rFonts w:cstheme="minorHAnsi"/>
          <w:szCs w:val="22"/>
        </w:rPr>
        <w:t xml:space="preserve">outlining </w:t>
      </w:r>
      <w:r w:rsidR="00E61680" w:rsidRPr="0047300C">
        <w:rPr>
          <w:rFonts w:cstheme="minorHAnsi"/>
          <w:szCs w:val="22"/>
        </w:rPr>
        <w:t xml:space="preserve">how </w:t>
      </w:r>
      <w:r w:rsidRPr="0047300C">
        <w:rPr>
          <w:rFonts w:cstheme="minorHAnsi"/>
          <w:szCs w:val="22"/>
        </w:rPr>
        <w:t>their</w:t>
      </w:r>
      <w:r w:rsidR="00E61680" w:rsidRPr="0047300C">
        <w:rPr>
          <w:rFonts w:cstheme="minorHAnsi"/>
          <w:szCs w:val="22"/>
        </w:rPr>
        <w:t xml:space="preserve"> organisation intend</w:t>
      </w:r>
      <w:r w:rsidRPr="0047300C">
        <w:rPr>
          <w:rFonts w:cstheme="minorHAnsi"/>
          <w:szCs w:val="22"/>
        </w:rPr>
        <w:t>ed</w:t>
      </w:r>
      <w:r w:rsidR="00E61680" w:rsidRPr="0047300C">
        <w:rPr>
          <w:rFonts w:cstheme="minorHAnsi"/>
          <w:szCs w:val="22"/>
        </w:rPr>
        <w:t xml:space="preserve"> to respond to increased demand arising from unforeseen crisis events, for example natural disasters</w:t>
      </w:r>
    </w:p>
    <w:p w14:paraId="7B66164A" w14:textId="4F4B4FAA" w:rsidR="00E61680" w:rsidRPr="0047300C" w:rsidRDefault="00E33065" w:rsidP="00294130">
      <w:pPr>
        <w:pStyle w:val="BodyText"/>
        <w:numPr>
          <w:ilvl w:val="0"/>
          <w:numId w:val="14"/>
        </w:numPr>
        <w:spacing w:after="0" w:line="240" w:lineRule="auto"/>
        <w:rPr>
          <w:rFonts w:cstheme="minorHAnsi"/>
          <w:szCs w:val="22"/>
        </w:rPr>
      </w:pPr>
      <w:r w:rsidRPr="0047300C">
        <w:rPr>
          <w:rFonts w:cstheme="minorHAnsi"/>
          <w:szCs w:val="22"/>
        </w:rPr>
        <w:t xml:space="preserve">detailing </w:t>
      </w:r>
      <w:r w:rsidR="00E61680" w:rsidRPr="0047300C">
        <w:rPr>
          <w:rFonts w:cstheme="minorHAnsi"/>
          <w:szCs w:val="22"/>
        </w:rPr>
        <w:t xml:space="preserve">how </w:t>
      </w:r>
      <w:r w:rsidRPr="0047300C">
        <w:rPr>
          <w:rFonts w:cstheme="minorHAnsi"/>
          <w:szCs w:val="22"/>
        </w:rPr>
        <w:t>their</w:t>
      </w:r>
      <w:r w:rsidR="00E61680" w:rsidRPr="0047300C">
        <w:rPr>
          <w:rFonts w:cstheme="minorHAnsi"/>
          <w:szCs w:val="22"/>
        </w:rPr>
        <w:t xml:space="preserve"> organisation’s financial viability w</w:t>
      </w:r>
      <w:r w:rsidRPr="0047300C">
        <w:rPr>
          <w:rFonts w:cstheme="minorHAnsi"/>
          <w:szCs w:val="22"/>
        </w:rPr>
        <w:t>ould</w:t>
      </w:r>
      <w:r w:rsidR="00E61680" w:rsidRPr="0047300C">
        <w:rPr>
          <w:rFonts w:cstheme="minorHAnsi"/>
          <w:szCs w:val="22"/>
        </w:rPr>
        <w:t xml:space="preserve"> leverage other sources of funding, resources and/or support to address the need for ER services</w:t>
      </w:r>
    </w:p>
    <w:p w14:paraId="217AF617" w14:textId="24B1DB7B" w:rsidR="00E61680" w:rsidRPr="0047300C" w:rsidRDefault="00DC4DB9" w:rsidP="00294130">
      <w:pPr>
        <w:pStyle w:val="BodyText"/>
        <w:numPr>
          <w:ilvl w:val="0"/>
          <w:numId w:val="14"/>
        </w:numPr>
        <w:spacing w:after="0" w:line="240" w:lineRule="auto"/>
        <w:rPr>
          <w:rFonts w:cstheme="minorHAnsi"/>
          <w:szCs w:val="22"/>
        </w:rPr>
      </w:pPr>
      <w:r w:rsidRPr="0047300C">
        <w:rPr>
          <w:rFonts w:cstheme="minorHAnsi"/>
          <w:szCs w:val="22"/>
        </w:rPr>
        <w:t>w</w:t>
      </w:r>
      <w:r w:rsidR="00E33065" w:rsidRPr="0047300C">
        <w:rPr>
          <w:rFonts w:cstheme="minorHAnsi"/>
          <w:szCs w:val="22"/>
        </w:rPr>
        <w:t>here relevant</w:t>
      </w:r>
      <w:r w:rsidRPr="0047300C">
        <w:rPr>
          <w:rFonts w:cstheme="minorHAnsi"/>
          <w:szCs w:val="22"/>
        </w:rPr>
        <w:t>,</w:t>
      </w:r>
      <w:r w:rsidR="00E33065" w:rsidRPr="0047300C">
        <w:rPr>
          <w:rFonts w:cstheme="minorHAnsi"/>
          <w:szCs w:val="22"/>
        </w:rPr>
        <w:t xml:space="preserve"> </w:t>
      </w:r>
      <w:r w:rsidRPr="0047300C">
        <w:rPr>
          <w:rFonts w:cstheme="minorHAnsi"/>
          <w:szCs w:val="22"/>
        </w:rPr>
        <w:t xml:space="preserve">outlined the </w:t>
      </w:r>
      <w:r w:rsidR="00E61680" w:rsidRPr="0047300C">
        <w:rPr>
          <w:rFonts w:cstheme="minorHAnsi"/>
          <w:szCs w:val="22"/>
        </w:rPr>
        <w:t>responsibilit</w:t>
      </w:r>
      <w:r w:rsidR="00E33065" w:rsidRPr="0047300C">
        <w:rPr>
          <w:rFonts w:cstheme="minorHAnsi"/>
          <w:szCs w:val="22"/>
        </w:rPr>
        <w:t>ies</w:t>
      </w:r>
      <w:r w:rsidR="00E61680" w:rsidRPr="0047300C">
        <w:rPr>
          <w:rFonts w:cstheme="minorHAnsi"/>
          <w:szCs w:val="22"/>
        </w:rPr>
        <w:t xml:space="preserve"> of </w:t>
      </w:r>
      <w:r w:rsidR="00E33065" w:rsidRPr="0047300C">
        <w:rPr>
          <w:rFonts w:cstheme="minorHAnsi"/>
          <w:szCs w:val="22"/>
        </w:rPr>
        <w:t xml:space="preserve">their </w:t>
      </w:r>
      <w:r w:rsidR="00E61680" w:rsidRPr="0047300C">
        <w:rPr>
          <w:rFonts w:cstheme="minorHAnsi"/>
          <w:szCs w:val="22"/>
        </w:rPr>
        <w:t xml:space="preserve">consortia partners </w:t>
      </w:r>
      <w:r w:rsidR="00E33065" w:rsidRPr="0047300C">
        <w:rPr>
          <w:rFonts w:cstheme="minorHAnsi"/>
          <w:szCs w:val="22"/>
        </w:rPr>
        <w:t>in delivering the activity</w:t>
      </w:r>
      <w:r w:rsidR="007B7E3D">
        <w:rPr>
          <w:rFonts w:cstheme="minorHAnsi"/>
          <w:szCs w:val="22"/>
        </w:rPr>
        <w:t>.</w:t>
      </w:r>
    </w:p>
    <w:p w14:paraId="60F72B37" w14:textId="2A665EA7" w:rsidR="000255CB" w:rsidRPr="007B7E3D" w:rsidRDefault="000255CB" w:rsidP="00294130">
      <w:pPr>
        <w:pStyle w:val="Default"/>
        <w:spacing w:before="120"/>
        <w:rPr>
          <w:b/>
          <w:bCs/>
          <w:color w:val="C00000"/>
          <w:sz w:val="22"/>
          <w:szCs w:val="22"/>
        </w:rPr>
      </w:pPr>
      <w:r w:rsidRPr="007B7E3D">
        <w:rPr>
          <w:b/>
          <w:bCs/>
          <w:color w:val="auto"/>
          <w:sz w:val="22"/>
          <w:szCs w:val="22"/>
        </w:rPr>
        <w:t>Strong applications:</w:t>
      </w:r>
    </w:p>
    <w:p w14:paraId="30039BB9" w14:textId="0519E7FD" w:rsidR="00005A5E" w:rsidRPr="0047300C" w:rsidRDefault="000665E1" w:rsidP="00005A5E">
      <w:pPr>
        <w:pStyle w:val="BodyText"/>
        <w:numPr>
          <w:ilvl w:val="0"/>
          <w:numId w:val="14"/>
        </w:numPr>
        <w:spacing w:after="0" w:line="240" w:lineRule="auto"/>
        <w:ind w:left="714" w:hanging="357"/>
      </w:pPr>
      <w:r w:rsidRPr="0047300C">
        <w:t>provided a detailed description of the</w:t>
      </w:r>
      <w:r w:rsidR="00005A5E" w:rsidRPr="0047300C">
        <w:t xml:space="preserve"> applicant’s </w:t>
      </w:r>
      <w:r w:rsidR="009B43F2">
        <w:t xml:space="preserve">capability and </w:t>
      </w:r>
      <w:r w:rsidRPr="0047300C">
        <w:t>capacity</w:t>
      </w:r>
      <w:r w:rsidR="009B43F2">
        <w:t xml:space="preserve"> </w:t>
      </w:r>
      <w:r w:rsidRPr="0047300C">
        <w:t xml:space="preserve">to deliver </w:t>
      </w:r>
      <w:r w:rsidR="00C631DB" w:rsidRPr="0047300C">
        <w:t xml:space="preserve">ER </w:t>
      </w:r>
      <w:r w:rsidRPr="0047300C">
        <w:t>services</w:t>
      </w:r>
      <w:r w:rsidR="00005A5E" w:rsidRPr="0047300C">
        <w:t>, including by:</w:t>
      </w:r>
    </w:p>
    <w:p w14:paraId="3AD1F83B" w14:textId="2B1FC4CD" w:rsidR="00005A5E" w:rsidRPr="0047300C" w:rsidRDefault="002F407E" w:rsidP="00D47ADF">
      <w:pPr>
        <w:pStyle w:val="BodyText"/>
        <w:numPr>
          <w:ilvl w:val="0"/>
          <w:numId w:val="23"/>
        </w:numPr>
        <w:spacing w:after="0" w:line="240" w:lineRule="auto"/>
      </w:pPr>
      <w:r w:rsidRPr="0047300C">
        <w:t xml:space="preserve">clearly </w:t>
      </w:r>
      <w:r w:rsidR="00005A5E" w:rsidRPr="0047300C">
        <w:t xml:space="preserve">outlining </w:t>
      </w:r>
      <w:r w:rsidR="00FB33B1" w:rsidRPr="0047300C">
        <w:t>th</w:t>
      </w:r>
      <w:r w:rsidR="00843546" w:rsidRPr="0047300C">
        <w:t>e applicant’s</w:t>
      </w:r>
      <w:r w:rsidR="00FB33B1" w:rsidRPr="0047300C">
        <w:t xml:space="preserve"> history of </w:t>
      </w:r>
      <w:r w:rsidR="001B33D2">
        <w:t>ER</w:t>
      </w:r>
      <w:r w:rsidR="00FB33B1" w:rsidRPr="0047300C">
        <w:t xml:space="preserve"> delivery, backed by strong examples and/or data</w:t>
      </w:r>
      <w:r w:rsidR="006871B9" w:rsidRPr="0047300C">
        <w:t xml:space="preserve"> (</w:t>
      </w:r>
      <w:r w:rsidR="004A5639">
        <w:t>for example,</w:t>
      </w:r>
      <w:r w:rsidR="006871B9" w:rsidRPr="0047300C">
        <w:t xml:space="preserve"> by outlining the number of people supported across recent years</w:t>
      </w:r>
      <w:r w:rsidR="003307C3" w:rsidRPr="0047300C">
        <w:t>, and the outcomes achieved for clients</w:t>
      </w:r>
      <w:r w:rsidR="006871B9" w:rsidRPr="0047300C">
        <w:t>)</w:t>
      </w:r>
    </w:p>
    <w:p w14:paraId="2D06D35F" w14:textId="17A65755" w:rsidR="00005A5E" w:rsidRPr="0047300C" w:rsidRDefault="002F407E" w:rsidP="00D47ADF">
      <w:pPr>
        <w:pStyle w:val="BodyText"/>
        <w:numPr>
          <w:ilvl w:val="0"/>
          <w:numId w:val="23"/>
        </w:numPr>
        <w:spacing w:after="0" w:line="240" w:lineRule="auto"/>
      </w:pPr>
      <w:r w:rsidRPr="0047300C">
        <w:t xml:space="preserve">clearly </w:t>
      </w:r>
      <w:r w:rsidR="00005A5E" w:rsidRPr="0047300C">
        <w:t>outlining the</w:t>
      </w:r>
      <w:r w:rsidR="003307C3" w:rsidRPr="0047300C">
        <w:t xml:space="preserve"> applicant’s</w:t>
      </w:r>
      <w:r w:rsidR="00005A5E" w:rsidRPr="0047300C">
        <w:t xml:space="preserve"> proposed </w:t>
      </w:r>
      <w:r w:rsidR="003307C3" w:rsidRPr="0047300C">
        <w:t xml:space="preserve">ER </w:t>
      </w:r>
      <w:r w:rsidR="00005A5E" w:rsidRPr="0047300C">
        <w:t>governance structure</w:t>
      </w:r>
      <w:r w:rsidR="00FB33B1" w:rsidRPr="0047300C">
        <w:t>, with a strong focus on layers of accountability</w:t>
      </w:r>
      <w:r w:rsidR="006871B9" w:rsidRPr="0047300C">
        <w:t xml:space="preserve"> (</w:t>
      </w:r>
      <w:r w:rsidR="004A5639">
        <w:t>for example,</w:t>
      </w:r>
      <w:r w:rsidR="006871B9" w:rsidRPr="0047300C">
        <w:t xml:space="preserve"> by outlining the specific role of the </w:t>
      </w:r>
      <w:r w:rsidR="006871B9" w:rsidRPr="0047300C">
        <w:lastRenderedPageBreak/>
        <w:t>C</w:t>
      </w:r>
      <w:r w:rsidR="005F15D5" w:rsidRPr="0047300C">
        <w:t>hief Executive Officer</w:t>
      </w:r>
      <w:r w:rsidR="006871B9" w:rsidRPr="0047300C">
        <w:t xml:space="preserve"> and board in relation to</w:t>
      </w:r>
      <w:r w:rsidR="003307C3" w:rsidRPr="0047300C">
        <w:t xml:space="preserve"> the management of ER service delivery</w:t>
      </w:r>
      <w:r w:rsidR="006871B9" w:rsidRPr="0047300C">
        <w:t>)</w:t>
      </w:r>
    </w:p>
    <w:p w14:paraId="465B34DC" w14:textId="743811CE" w:rsidR="00FB33B1" w:rsidRPr="0047300C" w:rsidRDefault="002F407E" w:rsidP="00D47ADF">
      <w:pPr>
        <w:pStyle w:val="BodyText"/>
        <w:numPr>
          <w:ilvl w:val="0"/>
          <w:numId w:val="23"/>
        </w:numPr>
        <w:spacing w:after="0" w:line="240" w:lineRule="auto"/>
      </w:pPr>
      <w:r w:rsidRPr="0047300C">
        <w:t xml:space="preserve">clearly </w:t>
      </w:r>
      <w:r w:rsidR="00FB33B1" w:rsidRPr="0047300C">
        <w:t>outlining the skills and experience of ER staff, backed by examples and/or data</w:t>
      </w:r>
      <w:r w:rsidR="006871B9" w:rsidRPr="0047300C">
        <w:t xml:space="preserve"> (</w:t>
      </w:r>
      <w:r w:rsidR="004A5639">
        <w:t>for example,</w:t>
      </w:r>
      <w:r w:rsidR="006871B9" w:rsidRPr="0047300C">
        <w:t xml:space="preserve"> by outlining the</w:t>
      </w:r>
      <w:r w:rsidR="003307C3" w:rsidRPr="0047300C">
        <w:t xml:space="preserve"> qualifications/training of key ER staff</w:t>
      </w:r>
      <w:r w:rsidR="006871B9" w:rsidRPr="0047300C">
        <w:t>)</w:t>
      </w:r>
    </w:p>
    <w:p w14:paraId="2678761A" w14:textId="057E66DF" w:rsidR="002F407E" w:rsidRPr="0047300C" w:rsidRDefault="002F407E" w:rsidP="00D47ADF">
      <w:pPr>
        <w:pStyle w:val="BodyText"/>
        <w:numPr>
          <w:ilvl w:val="0"/>
          <w:numId w:val="23"/>
        </w:numPr>
        <w:spacing w:after="0" w:line="240" w:lineRule="auto"/>
      </w:pPr>
      <w:r w:rsidRPr="0047300C">
        <w:t>clearly identifying the types of support (</w:t>
      </w:r>
      <w:r w:rsidR="004A5639">
        <w:t>for example,</w:t>
      </w:r>
      <w:r w:rsidRPr="0047300C">
        <w:t xml:space="preserve"> case management, material aid, and referrals) that would be offered to ER clients</w:t>
      </w:r>
    </w:p>
    <w:p w14:paraId="733F9796" w14:textId="32B9DEDB" w:rsidR="002F407E" w:rsidRPr="0047300C" w:rsidRDefault="00551CB3" w:rsidP="00D47ADF">
      <w:pPr>
        <w:pStyle w:val="BodyText"/>
        <w:numPr>
          <w:ilvl w:val="0"/>
          <w:numId w:val="23"/>
        </w:numPr>
        <w:spacing w:after="0" w:line="240" w:lineRule="auto"/>
      </w:pPr>
      <w:r w:rsidRPr="0047300C">
        <w:t>c</w:t>
      </w:r>
      <w:r w:rsidR="002F407E" w:rsidRPr="0047300C">
        <w:t>learly identif</w:t>
      </w:r>
      <w:r w:rsidR="003307C3" w:rsidRPr="0047300C">
        <w:t>ying</w:t>
      </w:r>
      <w:r w:rsidR="002F407E" w:rsidRPr="0047300C">
        <w:t xml:space="preserve"> the methods by which ER would be delivered to clients (</w:t>
      </w:r>
      <w:r w:rsidR="004A5639">
        <w:t>for example,</w:t>
      </w:r>
      <w:r w:rsidR="002F407E" w:rsidRPr="0047300C">
        <w:t xml:space="preserve"> via a mix of in-person, telephonic, and online methods)</w:t>
      </w:r>
    </w:p>
    <w:p w14:paraId="17F2D1E6" w14:textId="39442818" w:rsidR="002F407E" w:rsidRPr="0047300C" w:rsidRDefault="00F14A3E" w:rsidP="002F407E">
      <w:pPr>
        <w:pStyle w:val="BodyText"/>
        <w:numPr>
          <w:ilvl w:val="0"/>
          <w:numId w:val="14"/>
        </w:numPr>
        <w:spacing w:after="0" w:line="240" w:lineRule="auto"/>
        <w:ind w:left="714" w:hanging="357"/>
      </w:pPr>
      <w:r w:rsidRPr="0047300C">
        <w:t>p</w:t>
      </w:r>
      <w:r w:rsidR="00FD3C4F" w:rsidRPr="0047300C">
        <w:t xml:space="preserve">rovided a </w:t>
      </w:r>
      <w:r w:rsidR="002F407E" w:rsidRPr="0047300C">
        <w:t>clear description of the intake and assessment processes that would be used to assess individuals’ eligibility for ER support</w:t>
      </w:r>
    </w:p>
    <w:p w14:paraId="5004A5B4" w14:textId="7B1708B5" w:rsidR="00843546" w:rsidRPr="0047300C" w:rsidRDefault="00140F3B" w:rsidP="00843546">
      <w:pPr>
        <w:pStyle w:val="BodyText"/>
        <w:numPr>
          <w:ilvl w:val="0"/>
          <w:numId w:val="14"/>
        </w:numPr>
        <w:spacing w:after="0" w:line="240" w:lineRule="auto"/>
        <w:ind w:left="714" w:hanging="357"/>
      </w:pPr>
      <w:r w:rsidRPr="0047300C">
        <w:t>p</w:t>
      </w:r>
      <w:r w:rsidR="00F14A3E" w:rsidRPr="0047300C">
        <w:t>rovided a detaile</w:t>
      </w:r>
      <w:r w:rsidR="001C3952" w:rsidRPr="0047300C">
        <w:t>d overview</w:t>
      </w:r>
      <w:r w:rsidR="00F14A3E" w:rsidRPr="0047300C">
        <w:t xml:space="preserve"> of </w:t>
      </w:r>
      <w:r w:rsidR="00843546" w:rsidRPr="0047300C">
        <w:t>proposed</w:t>
      </w:r>
      <w:r w:rsidR="001C3952" w:rsidRPr="0047300C">
        <w:t xml:space="preserve"> physical</w:t>
      </w:r>
      <w:r w:rsidR="00F14A3E" w:rsidRPr="0047300C">
        <w:t xml:space="preserve"> service delivery locations</w:t>
      </w:r>
      <w:r w:rsidR="001C3952" w:rsidRPr="0047300C">
        <w:t xml:space="preserve"> (including any proposed outreach locations), including their accessibility via public transport and/or private means of travel</w:t>
      </w:r>
    </w:p>
    <w:p w14:paraId="2AD8320F" w14:textId="53746D7C" w:rsidR="00353B0C" w:rsidRPr="0047300C" w:rsidRDefault="00353B0C" w:rsidP="00843546">
      <w:pPr>
        <w:pStyle w:val="BodyText"/>
        <w:numPr>
          <w:ilvl w:val="0"/>
          <w:numId w:val="14"/>
        </w:numPr>
        <w:spacing w:after="0" w:line="240" w:lineRule="auto"/>
        <w:ind w:left="714" w:hanging="357"/>
      </w:pPr>
      <w:r w:rsidRPr="0047300C">
        <w:t>outlined cogent plans to respond to increased demand arising from unforeseen crisis events</w:t>
      </w:r>
    </w:p>
    <w:p w14:paraId="14B2B2D2" w14:textId="31E2110B" w:rsidR="00353B0C" w:rsidRPr="0047300C" w:rsidRDefault="00353B0C" w:rsidP="00843546">
      <w:pPr>
        <w:pStyle w:val="BodyText"/>
        <w:numPr>
          <w:ilvl w:val="0"/>
          <w:numId w:val="14"/>
        </w:numPr>
        <w:spacing w:after="0" w:line="240" w:lineRule="auto"/>
        <w:ind w:left="714" w:hanging="357"/>
      </w:pPr>
      <w:r w:rsidRPr="0047300C">
        <w:t>provided examples of experience and expertise in responding to increased demand arising from unforeseen crisis events (</w:t>
      </w:r>
      <w:r w:rsidR="004A5639">
        <w:t>for example,</w:t>
      </w:r>
      <w:r w:rsidRPr="0047300C">
        <w:t xml:space="preserve"> by outlining approaches undertaken in response to the coronavirus pandemic or recent natural disasters)</w:t>
      </w:r>
    </w:p>
    <w:p w14:paraId="0702688A" w14:textId="7641282C" w:rsidR="000255CB" w:rsidRPr="0047300C" w:rsidRDefault="00843546" w:rsidP="00F92BFB">
      <w:pPr>
        <w:pStyle w:val="BodyText"/>
        <w:numPr>
          <w:ilvl w:val="0"/>
          <w:numId w:val="14"/>
        </w:numPr>
        <w:spacing w:after="0" w:line="240" w:lineRule="auto"/>
        <w:ind w:left="714" w:hanging="357"/>
      </w:pPr>
      <w:r w:rsidRPr="0047300C">
        <w:rPr>
          <w:rFonts w:ascii="Arial" w:eastAsia="Arial" w:hAnsi="Arial" w:cs="Arial"/>
          <w:color w:val="auto"/>
          <w:szCs w:val="22"/>
        </w:rPr>
        <w:t>o</w:t>
      </w:r>
      <w:r w:rsidR="001C3952" w:rsidRPr="0047300C">
        <w:rPr>
          <w:rFonts w:ascii="Arial" w:eastAsia="Arial" w:hAnsi="Arial" w:cs="Arial"/>
          <w:color w:val="auto"/>
          <w:szCs w:val="22"/>
        </w:rPr>
        <w:t xml:space="preserve">ften included extra detail </w:t>
      </w:r>
      <w:r w:rsidR="00BF28FB" w:rsidRPr="0047300C">
        <w:rPr>
          <w:rFonts w:ascii="Arial" w:eastAsia="Arial" w:hAnsi="Arial" w:cs="Arial"/>
          <w:color w:val="auto"/>
          <w:szCs w:val="22"/>
        </w:rPr>
        <w:t xml:space="preserve">regarding the </w:t>
      </w:r>
      <w:r w:rsidR="005F15D5" w:rsidRPr="0047300C">
        <w:rPr>
          <w:rFonts w:ascii="Arial" w:eastAsia="Arial" w:hAnsi="Arial" w:cs="Arial"/>
          <w:color w:val="auto"/>
          <w:szCs w:val="22"/>
        </w:rPr>
        <w:t xml:space="preserve">applicant’s </w:t>
      </w:r>
      <w:r w:rsidR="00BF28FB" w:rsidRPr="0047300C">
        <w:rPr>
          <w:rFonts w:ascii="Arial" w:eastAsia="Arial" w:hAnsi="Arial" w:cs="Arial"/>
          <w:color w:val="auto"/>
          <w:szCs w:val="22"/>
        </w:rPr>
        <w:t>expertise in assisting specific at-risk cohorts, such as people experiencing homelessness</w:t>
      </w:r>
      <w:r w:rsidRPr="0047300C">
        <w:rPr>
          <w:rFonts w:ascii="Arial" w:eastAsia="Arial" w:hAnsi="Arial" w:cs="Arial"/>
          <w:color w:val="auto"/>
          <w:szCs w:val="22"/>
        </w:rPr>
        <w:t>, or people escaping Family and Domestic Violence</w:t>
      </w:r>
    </w:p>
    <w:p w14:paraId="2C983875" w14:textId="6DD2CFC7" w:rsidR="00843546" w:rsidRPr="0047300C" w:rsidRDefault="00843546" w:rsidP="00F92BFB">
      <w:pPr>
        <w:pStyle w:val="BodyText"/>
        <w:numPr>
          <w:ilvl w:val="0"/>
          <w:numId w:val="14"/>
        </w:numPr>
        <w:spacing w:after="0" w:line="240" w:lineRule="auto"/>
        <w:ind w:left="714" w:hanging="357"/>
      </w:pPr>
      <w:r w:rsidRPr="0047300C">
        <w:rPr>
          <w:rFonts w:ascii="Arial" w:eastAsia="Arial" w:hAnsi="Arial" w:cs="Arial"/>
          <w:color w:val="auto"/>
          <w:szCs w:val="22"/>
        </w:rPr>
        <w:t>generally made full and effective use of the available word/character limit (</w:t>
      </w:r>
      <w:r w:rsidR="004A5639">
        <w:rPr>
          <w:rFonts w:ascii="Arial" w:eastAsia="Arial" w:hAnsi="Arial" w:cs="Arial"/>
          <w:color w:val="auto"/>
          <w:szCs w:val="22"/>
        </w:rPr>
        <w:t>for example,</w:t>
      </w:r>
      <w:r w:rsidRPr="0047300C">
        <w:rPr>
          <w:rFonts w:ascii="Arial" w:eastAsia="Arial" w:hAnsi="Arial" w:cs="Arial"/>
          <w:color w:val="auto"/>
          <w:szCs w:val="22"/>
        </w:rPr>
        <w:t xml:space="preserve"> by including concise, but strong examples to back up key claims)</w:t>
      </w:r>
    </w:p>
    <w:p w14:paraId="67E6D03D" w14:textId="292042C3" w:rsidR="005650ED" w:rsidRPr="0047300C" w:rsidRDefault="005650ED" w:rsidP="00F92BFB">
      <w:pPr>
        <w:pStyle w:val="BodyText"/>
        <w:numPr>
          <w:ilvl w:val="0"/>
          <w:numId w:val="14"/>
        </w:numPr>
        <w:spacing w:after="0" w:line="240" w:lineRule="auto"/>
        <w:ind w:left="714" w:hanging="357"/>
      </w:pPr>
      <w:bookmarkStart w:id="3" w:name="_Hlk189658001"/>
      <w:r w:rsidRPr="0047300C">
        <w:rPr>
          <w:rFonts w:ascii="Arial" w:eastAsia="Arial" w:hAnsi="Arial" w:cs="Arial"/>
          <w:color w:val="auto"/>
          <w:szCs w:val="22"/>
        </w:rPr>
        <w:t xml:space="preserve">where relevant, provided a detailed overview of the proposed role and expertise of </w:t>
      </w:r>
      <w:r w:rsidR="00353B0C" w:rsidRPr="0047300C">
        <w:rPr>
          <w:rFonts w:ascii="Arial" w:eastAsia="Arial" w:hAnsi="Arial" w:cs="Arial"/>
          <w:color w:val="auto"/>
          <w:szCs w:val="22"/>
        </w:rPr>
        <w:t>all</w:t>
      </w:r>
      <w:r w:rsidRPr="0047300C">
        <w:rPr>
          <w:rFonts w:ascii="Arial" w:eastAsia="Arial" w:hAnsi="Arial" w:cs="Arial"/>
          <w:color w:val="auto"/>
          <w:szCs w:val="22"/>
        </w:rPr>
        <w:t xml:space="preserve"> consortia partners</w:t>
      </w:r>
      <w:r w:rsidR="00353B0C" w:rsidRPr="0047300C">
        <w:rPr>
          <w:rFonts w:ascii="Arial" w:eastAsia="Arial" w:hAnsi="Arial" w:cs="Arial"/>
          <w:color w:val="auto"/>
          <w:szCs w:val="22"/>
        </w:rPr>
        <w:t xml:space="preserve"> in relation to the assessment criteria.</w:t>
      </w:r>
    </w:p>
    <w:bookmarkEnd w:id="3"/>
    <w:p w14:paraId="29EC0560" w14:textId="23F74E50" w:rsidR="00817C12" w:rsidRPr="00F2671C" w:rsidRDefault="00817C12" w:rsidP="00817C12">
      <w:pPr>
        <w:pStyle w:val="Heading3"/>
        <w:spacing w:before="120"/>
        <w:rPr>
          <w:color w:val="C00000"/>
          <w:sz w:val="24"/>
          <w:szCs w:val="24"/>
        </w:rPr>
      </w:pPr>
      <w:r w:rsidRPr="00F2671C">
        <w:rPr>
          <w:color w:val="C00000"/>
          <w:sz w:val="24"/>
          <w:szCs w:val="24"/>
        </w:rPr>
        <w:t>Criterion 2</w:t>
      </w:r>
    </w:p>
    <w:p w14:paraId="6A1884EE" w14:textId="17FAA7E5" w:rsidR="00E61680" w:rsidRPr="0047300C" w:rsidRDefault="00E61680" w:rsidP="00E61680">
      <w:pPr>
        <w:pStyle w:val="Default"/>
        <w:rPr>
          <w:sz w:val="22"/>
          <w:szCs w:val="22"/>
        </w:rPr>
      </w:pPr>
      <w:r w:rsidRPr="0047300C">
        <w:rPr>
          <w:b/>
          <w:bCs/>
          <w:sz w:val="22"/>
          <w:szCs w:val="22"/>
        </w:rPr>
        <w:t>Explain how your organisation will work to engage and support vulnerable people with complex needs.</w:t>
      </w:r>
    </w:p>
    <w:p w14:paraId="71F41BB7" w14:textId="0607B212" w:rsidR="00E33065" w:rsidRPr="0047300C" w:rsidRDefault="00E33065" w:rsidP="00294130">
      <w:pPr>
        <w:pStyle w:val="BodyText"/>
        <w:spacing w:after="0" w:line="240" w:lineRule="auto"/>
        <w:rPr>
          <w:rFonts w:cstheme="minorHAnsi"/>
          <w:szCs w:val="22"/>
        </w:rPr>
      </w:pPr>
      <w:r w:rsidRPr="0047300C">
        <w:rPr>
          <w:rFonts w:cstheme="minorHAnsi"/>
          <w:szCs w:val="22"/>
        </w:rPr>
        <w:t>Applicant’s responses included information:</w:t>
      </w:r>
    </w:p>
    <w:p w14:paraId="2239AE02" w14:textId="61A88B34" w:rsidR="00E61680" w:rsidRPr="0047300C" w:rsidRDefault="00DC4DB9" w:rsidP="00F92BFB">
      <w:pPr>
        <w:pStyle w:val="Default"/>
        <w:numPr>
          <w:ilvl w:val="0"/>
          <w:numId w:val="14"/>
        </w:numPr>
        <w:spacing w:before="120"/>
        <w:ind w:left="714" w:hanging="357"/>
        <w:rPr>
          <w:sz w:val="22"/>
          <w:szCs w:val="22"/>
        </w:rPr>
      </w:pPr>
      <w:r w:rsidRPr="0047300C">
        <w:rPr>
          <w:sz w:val="22"/>
          <w:szCs w:val="22"/>
        </w:rPr>
        <w:t>d</w:t>
      </w:r>
      <w:r w:rsidR="00E61680" w:rsidRPr="0047300C">
        <w:rPr>
          <w:sz w:val="22"/>
          <w:szCs w:val="22"/>
        </w:rPr>
        <w:t>etail</w:t>
      </w:r>
      <w:r w:rsidRPr="0047300C">
        <w:rPr>
          <w:sz w:val="22"/>
          <w:szCs w:val="22"/>
        </w:rPr>
        <w:t>ing their</w:t>
      </w:r>
      <w:r w:rsidR="00E61680" w:rsidRPr="0047300C">
        <w:rPr>
          <w:sz w:val="22"/>
          <w:szCs w:val="22"/>
        </w:rPr>
        <w:t xml:space="preserve"> organisation’s expertise in maintaining or developing strong collaborative relationships with local support services (such as family relationship services, job active providers, refugee services, domestic violence services, emergency services, mental health, housing programs and other financial wellbeing and capability services), including in response to natural disasters and other crisis events</w:t>
      </w:r>
    </w:p>
    <w:p w14:paraId="19D536BB" w14:textId="572D5DFA" w:rsidR="00E61680" w:rsidRPr="0047300C" w:rsidRDefault="00DC4DB9" w:rsidP="00F92BFB">
      <w:pPr>
        <w:pStyle w:val="Default"/>
        <w:numPr>
          <w:ilvl w:val="0"/>
          <w:numId w:val="14"/>
        </w:numPr>
        <w:spacing w:before="120"/>
        <w:ind w:left="714" w:hanging="357"/>
        <w:rPr>
          <w:sz w:val="22"/>
          <w:szCs w:val="22"/>
        </w:rPr>
      </w:pPr>
      <w:r w:rsidRPr="0047300C">
        <w:rPr>
          <w:sz w:val="22"/>
          <w:szCs w:val="22"/>
        </w:rPr>
        <w:t>o</w:t>
      </w:r>
      <w:r w:rsidR="00E61680" w:rsidRPr="0047300C">
        <w:rPr>
          <w:sz w:val="22"/>
          <w:szCs w:val="22"/>
        </w:rPr>
        <w:t>utlin</w:t>
      </w:r>
      <w:r w:rsidRPr="0047300C">
        <w:rPr>
          <w:sz w:val="22"/>
          <w:szCs w:val="22"/>
        </w:rPr>
        <w:t>ing</w:t>
      </w:r>
      <w:r w:rsidR="00E61680" w:rsidRPr="0047300C">
        <w:rPr>
          <w:sz w:val="22"/>
          <w:szCs w:val="22"/>
        </w:rPr>
        <w:t xml:space="preserve"> how the activity w</w:t>
      </w:r>
      <w:r w:rsidRPr="0047300C">
        <w:rPr>
          <w:sz w:val="22"/>
          <w:szCs w:val="22"/>
        </w:rPr>
        <w:t xml:space="preserve">ould </w:t>
      </w:r>
      <w:r w:rsidR="00E61680" w:rsidRPr="0047300C">
        <w:rPr>
          <w:sz w:val="22"/>
          <w:szCs w:val="22"/>
        </w:rPr>
        <w:t>benefit effective referral pathways that look beyond the client’s need for immediate financial assistance either internally and/or with local support services to address underlying causes of financial stress (such as mental health, housing, substance abuse, gambling)</w:t>
      </w:r>
    </w:p>
    <w:p w14:paraId="23A159A9" w14:textId="4B03D27E" w:rsidR="00E61680" w:rsidRPr="0047300C" w:rsidRDefault="00DC4DB9" w:rsidP="00F92BFB">
      <w:pPr>
        <w:pStyle w:val="Default"/>
        <w:numPr>
          <w:ilvl w:val="0"/>
          <w:numId w:val="14"/>
        </w:numPr>
        <w:spacing w:before="120"/>
        <w:ind w:left="714" w:hanging="357"/>
        <w:rPr>
          <w:sz w:val="22"/>
          <w:szCs w:val="22"/>
        </w:rPr>
      </w:pPr>
      <w:r w:rsidRPr="0047300C">
        <w:rPr>
          <w:sz w:val="22"/>
          <w:szCs w:val="22"/>
        </w:rPr>
        <w:t>outlining</w:t>
      </w:r>
      <w:r w:rsidR="00E61680" w:rsidRPr="0047300C">
        <w:rPr>
          <w:sz w:val="22"/>
          <w:szCs w:val="22"/>
        </w:rPr>
        <w:t xml:space="preserve"> </w:t>
      </w:r>
      <w:r w:rsidRPr="0047300C">
        <w:rPr>
          <w:sz w:val="22"/>
          <w:szCs w:val="22"/>
        </w:rPr>
        <w:t>their</w:t>
      </w:r>
      <w:r w:rsidR="00E61680" w:rsidRPr="0047300C">
        <w:rPr>
          <w:sz w:val="22"/>
          <w:szCs w:val="22"/>
        </w:rPr>
        <w:t xml:space="preserve"> organisation’s expertise in complex case management (provision of information, referrals to specialist services and other supports, client advocacy and negotiation)</w:t>
      </w:r>
    </w:p>
    <w:p w14:paraId="3E4A8511" w14:textId="57E5E891" w:rsidR="007B7E3D" w:rsidRPr="007B7E3D" w:rsidRDefault="00DC4DB9" w:rsidP="007B7E3D">
      <w:pPr>
        <w:pStyle w:val="BodyText"/>
        <w:numPr>
          <w:ilvl w:val="0"/>
          <w:numId w:val="14"/>
        </w:numPr>
        <w:spacing w:after="0" w:line="240" w:lineRule="auto"/>
        <w:ind w:left="714" w:hanging="357"/>
        <w:rPr>
          <w:rFonts w:cstheme="minorHAnsi"/>
          <w:szCs w:val="22"/>
        </w:rPr>
      </w:pPr>
      <w:r w:rsidRPr="0047300C">
        <w:rPr>
          <w:rFonts w:cstheme="minorHAnsi"/>
          <w:szCs w:val="22"/>
        </w:rPr>
        <w:t>where relevant, outlined the responsibilities of their consortia partners in delivering the activity</w:t>
      </w:r>
      <w:r w:rsidR="007B7E3D">
        <w:rPr>
          <w:rFonts w:cstheme="minorHAnsi"/>
          <w:szCs w:val="22"/>
        </w:rPr>
        <w:t>.</w:t>
      </w:r>
    </w:p>
    <w:p w14:paraId="18769C5D" w14:textId="77777777" w:rsidR="007B7E3D" w:rsidRPr="007B7E3D" w:rsidRDefault="007B7E3D" w:rsidP="007B7E3D">
      <w:pPr>
        <w:pStyle w:val="Default"/>
        <w:spacing w:before="120"/>
        <w:rPr>
          <w:b/>
          <w:bCs/>
          <w:color w:val="C00000"/>
          <w:sz w:val="22"/>
          <w:szCs w:val="22"/>
        </w:rPr>
      </w:pPr>
      <w:r w:rsidRPr="007B7E3D">
        <w:rPr>
          <w:b/>
          <w:bCs/>
          <w:color w:val="auto"/>
          <w:sz w:val="22"/>
          <w:szCs w:val="22"/>
        </w:rPr>
        <w:t>Strong applications:</w:t>
      </w:r>
    </w:p>
    <w:p w14:paraId="22E6D7E6" w14:textId="1223B8F4" w:rsidR="00F5217F" w:rsidRPr="0068372C" w:rsidRDefault="00F5217F" w:rsidP="0068372C">
      <w:pPr>
        <w:pStyle w:val="Default"/>
        <w:numPr>
          <w:ilvl w:val="0"/>
          <w:numId w:val="14"/>
        </w:numPr>
        <w:spacing w:before="120"/>
        <w:ind w:left="714" w:hanging="357"/>
        <w:rPr>
          <w:sz w:val="22"/>
          <w:szCs w:val="22"/>
        </w:rPr>
      </w:pPr>
      <w:r w:rsidRPr="0068372C">
        <w:rPr>
          <w:sz w:val="22"/>
          <w:szCs w:val="22"/>
        </w:rPr>
        <w:t>demonstrated an awareness that collaborative relationships with other support services are central to the effective delivery of ER</w:t>
      </w:r>
    </w:p>
    <w:p w14:paraId="046DA7CB" w14:textId="1E75F5F0" w:rsidR="00F321E1" w:rsidRPr="0068372C" w:rsidRDefault="00F5217F" w:rsidP="0068372C">
      <w:pPr>
        <w:pStyle w:val="Default"/>
        <w:numPr>
          <w:ilvl w:val="0"/>
          <w:numId w:val="14"/>
        </w:numPr>
        <w:spacing w:before="120"/>
        <w:ind w:left="714" w:hanging="357"/>
        <w:rPr>
          <w:sz w:val="22"/>
          <w:szCs w:val="22"/>
        </w:rPr>
      </w:pPr>
      <w:r w:rsidRPr="0068372C">
        <w:rPr>
          <w:sz w:val="22"/>
          <w:szCs w:val="22"/>
        </w:rPr>
        <w:t>provided a detailed overview of the applicant’s history and expertise in developing or maintaining collaborative relationships with other local support services to the benefit of clients, backed by specific, strong examples (</w:t>
      </w:r>
      <w:r w:rsidR="004A5639">
        <w:rPr>
          <w:sz w:val="22"/>
          <w:szCs w:val="22"/>
        </w:rPr>
        <w:t>for example,</w:t>
      </w:r>
      <w:r w:rsidRPr="0068372C">
        <w:rPr>
          <w:sz w:val="22"/>
          <w:szCs w:val="22"/>
        </w:rPr>
        <w:t xml:space="preserve"> by showing how a </w:t>
      </w:r>
      <w:r w:rsidR="003F313D" w:rsidRPr="0068372C">
        <w:rPr>
          <w:sz w:val="22"/>
          <w:szCs w:val="22"/>
        </w:rPr>
        <w:t xml:space="preserve">collaborative </w:t>
      </w:r>
      <w:r w:rsidRPr="0068372C">
        <w:rPr>
          <w:sz w:val="22"/>
          <w:szCs w:val="22"/>
        </w:rPr>
        <w:lastRenderedPageBreak/>
        <w:t>relationship with a local financial counselling organisation</w:t>
      </w:r>
      <w:r w:rsidR="00060E18" w:rsidRPr="0068372C">
        <w:rPr>
          <w:sz w:val="22"/>
          <w:szCs w:val="22"/>
        </w:rPr>
        <w:t xml:space="preserve"> </w:t>
      </w:r>
      <w:r w:rsidR="003F313D" w:rsidRPr="0068372C">
        <w:rPr>
          <w:sz w:val="22"/>
          <w:szCs w:val="22"/>
        </w:rPr>
        <w:t xml:space="preserve">has </w:t>
      </w:r>
      <w:r w:rsidRPr="0068372C">
        <w:rPr>
          <w:sz w:val="22"/>
          <w:szCs w:val="22"/>
        </w:rPr>
        <w:t>ensur</w:t>
      </w:r>
      <w:r w:rsidR="003F313D" w:rsidRPr="0068372C">
        <w:rPr>
          <w:sz w:val="22"/>
          <w:szCs w:val="22"/>
        </w:rPr>
        <w:t>ed</w:t>
      </w:r>
      <w:r w:rsidR="00060E18" w:rsidRPr="0068372C">
        <w:rPr>
          <w:sz w:val="22"/>
          <w:szCs w:val="22"/>
        </w:rPr>
        <w:t xml:space="preserve"> ER</w:t>
      </w:r>
      <w:r w:rsidRPr="0068372C">
        <w:rPr>
          <w:sz w:val="22"/>
          <w:szCs w:val="22"/>
        </w:rPr>
        <w:t xml:space="preserve"> clients in serious debt </w:t>
      </w:r>
      <w:r w:rsidR="003F313D" w:rsidRPr="0068372C">
        <w:rPr>
          <w:sz w:val="22"/>
          <w:szCs w:val="22"/>
        </w:rPr>
        <w:t xml:space="preserve">can </w:t>
      </w:r>
      <w:r w:rsidRPr="0068372C">
        <w:rPr>
          <w:sz w:val="22"/>
          <w:szCs w:val="22"/>
        </w:rPr>
        <w:t>access the</w:t>
      </w:r>
      <w:r w:rsidR="00060E18" w:rsidRPr="0068372C">
        <w:rPr>
          <w:sz w:val="22"/>
          <w:szCs w:val="22"/>
        </w:rPr>
        <w:t xml:space="preserve"> financial</w:t>
      </w:r>
      <w:r w:rsidRPr="0068372C">
        <w:rPr>
          <w:sz w:val="22"/>
          <w:szCs w:val="22"/>
        </w:rPr>
        <w:t xml:space="preserve"> advocacy and</w:t>
      </w:r>
      <w:r w:rsidR="00060E18" w:rsidRPr="0068372C">
        <w:rPr>
          <w:sz w:val="22"/>
          <w:szCs w:val="22"/>
        </w:rPr>
        <w:t xml:space="preserve"> advice </w:t>
      </w:r>
      <w:r w:rsidRPr="0068372C">
        <w:rPr>
          <w:sz w:val="22"/>
          <w:szCs w:val="22"/>
        </w:rPr>
        <w:t>they need)</w:t>
      </w:r>
    </w:p>
    <w:p w14:paraId="16D5511E" w14:textId="71172127" w:rsidR="00F321E1" w:rsidRPr="0068372C" w:rsidRDefault="00F92BFB" w:rsidP="0068372C">
      <w:pPr>
        <w:pStyle w:val="Default"/>
        <w:numPr>
          <w:ilvl w:val="0"/>
          <w:numId w:val="14"/>
        </w:numPr>
        <w:spacing w:before="120"/>
        <w:ind w:left="714" w:hanging="357"/>
        <w:rPr>
          <w:sz w:val="22"/>
          <w:szCs w:val="22"/>
        </w:rPr>
      </w:pPr>
      <w:r w:rsidRPr="0068372C">
        <w:rPr>
          <w:sz w:val="22"/>
          <w:szCs w:val="22"/>
        </w:rPr>
        <w:t>p</w:t>
      </w:r>
      <w:r w:rsidR="00F321E1" w:rsidRPr="0068372C">
        <w:rPr>
          <w:sz w:val="22"/>
          <w:szCs w:val="22"/>
        </w:rPr>
        <w:t>rovided</w:t>
      </w:r>
      <w:r w:rsidR="00060E18" w:rsidRPr="0068372C">
        <w:rPr>
          <w:sz w:val="22"/>
          <w:szCs w:val="22"/>
        </w:rPr>
        <w:t xml:space="preserve"> a comprehensive overview of the applicant’s proposed and/or existing internal and external referral processes, backed (where possible) by strong, specific examples</w:t>
      </w:r>
    </w:p>
    <w:p w14:paraId="5FFF78AD" w14:textId="1F5FB83A" w:rsidR="00060E18" w:rsidRPr="0068372C" w:rsidRDefault="00060E18" w:rsidP="0068372C">
      <w:pPr>
        <w:pStyle w:val="Default"/>
        <w:numPr>
          <w:ilvl w:val="0"/>
          <w:numId w:val="14"/>
        </w:numPr>
        <w:spacing w:before="120"/>
        <w:ind w:left="714" w:hanging="357"/>
        <w:rPr>
          <w:sz w:val="22"/>
          <w:szCs w:val="22"/>
        </w:rPr>
      </w:pPr>
      <w:r w:rsidRPr="0068372C">
        <w:rPr>
          <w:sz w:val="22"/>
          <w:szCs w:val="22"/>
        </w:rPr>
        <w:t xml:space="preserve">generally </w:t>
      </w:r>
      <w:r w:rsidR="00D35992" w:rsidRPr="0068372C">
        <w:rPr>
          <w:sz w:val="22"/>
          <w:szCs w:val="22"/>
        </w:rPr>
        <w:t>cited</w:t>
      </w:r>
      <w:r w:rsidRPr="0068372C">
        <w:rPr>
          <w:sz w:val="22"/>
          <w:szCs w:val="22"/>
        </w:rPr>
        <w:t xml:space="preserve"> specific internal programs </w:t>
      </w:r>
      <w:r w:rsidR="00D35992" w:rsidRPr="0068372C">
        <w:rPr>
          <w:sz w:val="22"/>
          <w:szCs w:val="22"/>
        </w:rPr>
        <w:t>and/or</w:t>
      </w:r>
      <w:r w:rsidRPr="0068372C">
        <w:rPr>
          <w:sz w:val="22"/>
          <w:szCs w:val="22"/>
        </w:rPr>
        <w:t xml:space="preserve"> external organisations t</w:t>
      </w:r>
      <w:r w:rsidR="00D35992" w:rsidRPr="0068372C">
        <w:rPr>
          <w:sz w:val="22"/>
          <w:szCs w:val="22"/>
        </w:rPr>
        <w:t>o which</w:t>
      </w:r>
      <w:r w:rsidRPr="0068372C">
        <w:rPr>
          <w:sz w:val="22"/>
          <w:szCs w:val="22"/>
        </w:rPr>
        <w:t xml:space="preserve"> clients requiring complementary supports would be referred</w:t>
      </w:r>
    </w:p>
    <w:p w14:paraId="6CEE8DC9" w14:textId="362B41A4" w:rsidR="00F321E1" w:rsidRPr="0068372C" w:rsidRDefault="00F92BFB" w:rsidP="0068372C">
      <w:pPr>
        <w:pStyle w:val="Default"/>
        <w:numPr>
          <w:ilvl w:val="0"/>
          <w:numId w:val="14"/>
        </w:numPr>
        <w:spacing w:before="120"/>
        <w:ind w:left="714" w:hanging="357"/>
        <w:rPr>
          <w:sz w:val="22"/>
          <w:szCs w:val="22"/>
        </w:rPr>
      </w:pPr>
      <w:r w:rsidRPr="0068372C">
        <w:rPr>
          <w:sz w:val="22"/>
          <w:szCs w:val="22"/>
        </w:rPr>
        <w:t>c</w:t>
      </w:r>
      <w:r w:rsidR="00F321E1" w:rsidRPr="0068372C">
        <w:rPr>
          <w:sz w:val="22"/>
          <w:szCs w:val="22"/>
        </w:rPr>
        <w:t xml:space="preserve">learly outlined </w:t>
      </w:r>
      <w:r w:rsidR="00D35992" w:rsidRPr="0068372C">
        <w:rPr>
          <w:sz w:val="22"/>
          <w:szCs w:val="22"/>
        </w:rPr>
        <w:t>the applicant</w:t>
      </w:r>
      <w:r w:rsidR="005F15D5" w:rsidRPr="0068372C">
        <w:rPr>
          <w:sz w:val="22"/>
          <w:szCs w:val="22"/>
        </w:rPr>
        <w:t>’s</w:t>
      </w:r>
      <w:r w:rsidR="00D35992" w:rsidRPr="0068372C">
        <w:rPr>
          <w:sz w:val="22"/>
          <w:szCs w:val="22"/>
        </w:rPr>
        <w:t xml:space="preserve"> history and expertise in </w:t>
      </w:r>
      <w:r w:rsidR="00F321E1" w:rsidRPr="0068372C">
        <w:rPr>
          <w:sz w:val="22"/>
          <w:szCs w:val="22"/>
        </w:rPr>
        <w:t xml:space="preserve">complex case </w:t>
      </w:r>
      <w:r w:rsidRPr="0068372C">
        <w:rPr>
          <w:sz w:val="22"/>
          <w:szCs w:val="22"/>
        </w:rPr>
        <w:t>management,</w:t>
      </w:r>
      <w:r w:rsidR="00F321E1" w:rsidRPr="0068372C">
        <w:rPr>
          <w:sz w:val="22"/>
          <w:szCs w:val="22"/>
        </w:rPr>
        <w:t xml:space="preserve"> </w:t>
      </w:r>
      <w:r w:rsidR="00D35992" w:rsidRPr="0068372C">
        <w:rPr>
          <w:sz w:val="22"/>
          <w:szCs w:val="22"/>
        </w:rPr>
        <w:t>including through examples that demonstrated the applicant’s ability to achieve positive outcomes for clients through its case management approach</w:t>
      </w:r>
    </w:p>
    <w:p w14:paraId="227CEC1B" w14:textId="4CB9287A" w:rsidR="00D35992" w:rsidRPr="0068372C" w:rsidRDefault="00D35992" w:rsidP="0068372C">
      <w:pPr>
        <w:pStyle w:val="Default"/>
        <w:numPr>
          <w:ilvl w:val="0"/>
          <w:numId w:val="14"/>
        </w:numPr>
        <w:spacing w:before="120"/>
        <w:ind w:left="714" w:hanging="357"/>
        <w:rPr>
          <w:sz w:val="22"/>
          <w:szCs w:val="22"/>
        </w:rPr>
      </w:pPr>
      <w:r w:rsidRPr="0068372C">
        <w:rPr>
          <w:sz w:val="22"/>
          <w:szCs w:val="22"/>
        </w:rPr>
        <w:t>often described the training and/or qualifications and experience of case managers</w:t>
      </w:r>
    </w:p>
    <w:p w14:paraId="4ED3BB3A" w14:textId="0A9F4326" w:rsidR="00353B0C" w:rsidRPr="0068372C" w:rsidRDefault="00353B0C" w:rsidP="0068372C">
      <w:pPr>
        <w:pStyle w:val="Default"/>
        <w:numPr>
          <w:ilvl w:val="0"/>
          <w:numId w:val="14"/>
        </w:numPr>
        <w:spacing w:before="120"/>
        <w:ind w:left="714" w:hanging="357"/>
        <w:rPr>
          <w:sz w:val="22"/>
          <w:szCs w:val="22"/>
        </w:rPr>
      </w:pPr>
      <w:r w:rsidRPr="0068372C">
        <w:rPr>
          <w:sz w:val="22"/>
          <w:szCs w:val="22"/>
        </w:rPr>
        <w:t>generally made full and effective use of the available word/character limit (</w:t>
      </w:r>
      <w:r w:rsidR="004A5639">
        <w:rPr>
          <w:sz w:val="22"/>
          <w:szCs w:val="22"/>
        </w:rPr>
        <w:t>for example,</w:t>
      </w:r>
      <w:r w:rsidRPr="0068372C">
        <w:rPr>
          <w:sz w:val="22"/>
          <w:szCs w:val="22"/>
        </w:rPr>
        <w:t xml:space="preserve"> by including concise, but strong examples to back up key claims)</w:t>
      </w:r>
    </w:p>
    <w:p w14:paraId="25EC3333" w14:textId="2A3B1247" w:rsidR="00353B0C" w:rsidRPr="0068372C" w:rsidRDefault="00353B0C" w:rsidP="0068372C">
      <w:pPr>
        <w:pStyle w:val="Default"/>
        <w:numPr>
          <w:ilvl w:val="0"/>
          <w:numId w:val="14"/>
        </w:numPr>
        <w:spacing w:before="120"/>
        <w:ind w:left="714" w:hanging="357"/>
        <w:rPr>
          <w:sz w:val="22"/>
          <w:szCs w:val="22"/>
        </w:rPr>
      </w:pPr>
      <w:r w:rsidRPr="0068372C">
        <w:rPr>
          <w:sz w:val="22"/>
          <w:szCs w:val="22"/>
        </w:rPr>
        <w:t>where relevant, provided a detailed overview of the proposed role and expertise of all consortia partners in relation to the assessment criteria.</w:t>
      </w:r>
    </w:p>
    <w:p w14:paraId="7649DA0C" w14:textId="77777777" w:rsidR="0032204D" w:rsidRPr="00F2671C" w:rsidRDefault="0032204D" w:rsidP="00817C12">
      <w:pPr>
        <w:pStyle w:val="Heading2"/>
        <w:spacing w:before="120"/>
        <w:rPr>
          <w:color w:val="C00000"/>
          <w:sz w:val="28"/>
          <w:szCs w:val="28"/>
        </w:rPr>
      </w:pPr>
      <w:r w:rsidRPr="00F2671C">
        <w:rPr>
          <w:color w:val="C00000"/>
          <w:sz w:val="28"/>
          <w:szCs w:val="28"/>
        </w:rPr>
        <w:t xml:space="preserve">Individual feedback </w:t>
      </w:r>
    </w:p>
    <w:p w14:paraId="0A3EE6E3" w14:textId="77777777" w:rsidR="0032204D" w:rsidRPr="00F92BFB" w:rsidRDefault="0032204D" w:rsidP="0032204D">
      <w:pPr>
        <w:pStyle w:val="BodyText"/>
        <w:rPr>
          <w:color w:val="auto"/>
        </w:rPr>
      </w:pPr>
      <w:r w:rsidRPr="0047300C">
        <w:rPr>
          <w:color w:val="auto"/>
        </w:rPr>
        <w:t>Individual feedback will not be provided for this grant opportu</w:t>
      </w:r>
      <w:r w:rsidRPr="00F92BFB">
        <w:rPr>
          <w:color w:val="auto"/>
        </w:rPr>
        <w:t>nity.</w:t>
      </w:r>
    </w:p>
    <w:sectPr w:rsidR="0032204D" w:rsidRPr="00F92BFB" w:rsidSect="001135EF">
      <w:headerReference w:type="default" r:id="rId9"/>
      <w:footerReference w:type="default" r:id="rId10"/>
      <w:headerReference w:type="first" r:id="rId11"/>
      <w:footerReference w:type="first" r:id="rId12"/>
      <w:pgSz w:w="11906" w:h="16838" w:code="9"/>
      <w:pgMar w:top="567" w:right="1134" w:bottom="1021" w:left="1134" w:header="397" w:footer="34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F22A" w14:textId="77777777" w:rsidR="008B2654" w:rsidRDefault="008B2654" w:rsidP="00772718">
      <w:pPr>
        <w:spacing w:line="240" w:lineRule="auto"/>
      </w:pPr>
      <w:r>
        <w:separator/>
      </w:r>
    </w:p>
  </w:endnote>
  <w:endnote w:type="continuationSeparator" w:id="0">
    <w:p w14:paraId="42426044" w14:textId="77777777" w:rsidR="008B2654" w:rsidRDefault="008B2654"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FA12" w14:textId="309A8341" w:rsidR="001135EF" w:rsidRDefault="001135EF" w:rsidP="001135EF">
    <w:pPr>
      <w:pStyle w:val="Footer"/>
      <w:jc w:val="center"/>
    </w:pPr>
    <w:r w:rsidRPr="0056239A">
      <w:rPr>
        <w:color w:val="ED0000"/>
        <w:sz w:val="22"/>
        <w:szCs w:val="22"/>
      </w:rPr>
      <w:t>OFFICIAL</w:t>
    </w:r>
  </w:p>
  <w:p w14:paraId="316CDBEE" w14:textId="2B9872A7" w:rsidR="00A14495" w:rsidRDefault="00E13525">
    <w:pPr>
      <w:pStyle w:val="Footer"/>
    </w:pPr>
    <w:r>
      <w:fldChar w:fldCharType="begin"/>
    </w:r>
    <w:r>
      <w:instrText xml:space="preserve"> PAGE   \* MERGEFORMAT </w:instrText>
    </w:r>
    <w:r>
      <w:fldChar w:fldCharType="separate"/>
    </w:r>
    <w:r w:rsidR="00C80477">
      <w:rPr>
        <w:noProof/>
      </w:rPr>
      <w:t>2</w:t>
    </w:r>
    <w:r>
      <w:fldChar w:fldCharType="end"/>
    </w:r>
    <w:r>
      <w:t xml:space="preserve">  </w:t>
    </w:r>
    <w:r w:rsidR="00D06EAD">
      <w:t xml:space="preserve">| </w:t>
    </w:r>
    <w:r w:rsidRPr="00A454BF">
      <w:t>Community Grants Hub</w:t>
    </w:r>
    <w:r>
      <w:rPr>
        <w:noProof/>
        <w:lang w:eastAsia="en-AU"/>
      </w:rPr>
      <mc:AlternateContent>
        <mc:Choice Requires="wps">
          <w:drawing>
            <wp:anchor distT="0" distB="0" distL="114300" distR="114300" simplePos="0" relativeHeight="251666432" behindDoc="0" locked="1" layoutInCell="1" allowOverlap="1" wp14:anchorId="09480289" wp14:editId="02DCD5EC">
              <wp:simplePos x="0" y="0"/>
              <wp:positionH relativeFrom="margin">
                <wp:align>center</wp:align>
              </wp:positionH>
              <wp:positionV relativeFrom="bottomMargin">
                <wp:align>top</wp:align>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CCF3C"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center;mso-position-horizontal-relative:margin;mso-position-vertical:top;mso-position-vertical-relative:bottom-margin-area;mso-width-percent:0;mso-width-relative:margin" from="0,0" to="48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" strokecolor="black [3213]" strokeweight=".5pt">
              <w10:wrap anchorx="margin" anchory="margin"/>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47C0" w14:textId="54CC0924" w:rsidR="001135EF" w:rsidRPr="0056239A" w:rsidRDefault="001135EF" w:rsidP="001135EF">
    <w:pPr>
      <w:pStyle w:val="Footer"/>
      <w:jc w:val="center"/>
      <w:rPr>
        <w:color w:val="ED0000"/>
        <w:sz w:val="22"/>
        <w:szCs w:val="22"/>
      </w:rPr>
    </w:pPr>
    <w:r w:rsidRPr="0056239A">
      <w:rPr>
        <w:color w:val="ED0000"/>
        <w:sz w:val="22"/>
        <w:szCs w:val="22"/>
      </w:rPr>
      <w:t>OFFICIAL</w:t>
    </w:r>
  </w:p>
  <w:p w14:paraId="0D5145BB" w14:textId="4E3FAE37" w:rsidR="00D91B18" w:rsidRDefault="00D91B18">
    <w:pPr>
      <w:pStyle w:val="Footer"/>
    </w:pPr>
    <w:r>
      <w:fldChar w:fldCharType="begin"/>
    </w:r>
    <w:r>
      <w:instrText xml:space="preserve"> PAGE   \* MERGEFORMAT </w:instrText>
    </w:r>
    <w:r>
      <w:fldChar w:fldCharType="separate"/>
    </w:r>
    <w:r w:rsidR="00C80477">
      <w:rPr>
        <w:noProof/>
      </w:rPr>
      <w:t>1</w:t>
    </w:r>
    <w:r>
      <w:fldChar w:fldCharType="end"/>
    </w:r>
    <w:r>
      <w:t xml:space="preserve">  </w:t>
    </w:r>
    <w:r w:rsidR="00D06EAD">
      <w:t xml:space="preserve">| </w:t>
    </w:r>
    <w:r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870D" w14:textId="77777777" w:rsidR="008B2654" w:rsidRDefault="008B2654" w:rsidP="00772718">
      <w:pPr>
        <w:spacing w:line="240" w:lineRule="auto"/>
      </w:pPr>
      <w:r>
        <w:separator/>
      </w:r>
    </w:p>
  </w:footnote>
  <w:footnote w:type="continuationSeparator" w:id="0">
    <w:p w14:paraId="6480BF1E" w14:textId="77777777" w:rsidR="008B2654" w:rsidRDefault="008B2654"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C387" w14:textId="77777777" w:rsidR="001135EF" w:rsidRPr="0056239A" w:rsidRDefault="001135EF" w:rsidP="001135EF">
    <w:pPr>
      <w:pStyle w:val="Footer"/>
      <w:jc w:val="center"/>
      <w:rPr>
        <w:color w:val="ED0000"/>
        <w:sz w:val="22"/>
        <w:szCs w:val="22"/>
      </w:rPr>
    </w:pPr>
    <w:r w:rsidRPr="0056239A">
      <w:rPr>
        <w:color w:val="ED0000"/>
        <w:sz w:val="22"/>
        <w:szCs w:val="22"/>
      </w:rPr>
      <w:t>OFFICIAL</w:t>
    </w:r>
  </w:p>
  <w:p w14:paraId="2D0420C9" w14:textId="77777777" w:rsidR="001135EF" w:rsidRDefault="001135EF" w:rsidP="001135EF">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731C" w14:textId="77777777" w:rsidR="004B2CE7" w:rsidRPr="0056239A" w:rsidRDefault="004B2CE7" w:rsidP="004B2CE7">
    <w:pPr>
      <w:pStyle w:val="Footer"/>
      <w:jc w:val="center"/>
      <w:rPr>
        <w:color w:val="ED0000"/>
        <w:sz w:val="22"/>
        <w:szCs w:val="22"/>
      </w:rPr>
    </w:pPr>
    <w:r w:rsidRPr="0056239A">
      <w:rPr>
        <w:color w:val="ED0000"/>
        <w:sz w:val="22"/>
        <w:szCs w:val="22"/>
      </w:rPr>
      <w:t>OFFICIAL</w:t>
    </w:r>
  </w:p>
  <w:p w14:paraId="408E419C" w14:textId="67FED422" w:rsidR="00D91B18" w:rsidRDefault="00525DD1" w:rsidP="00BD1752">
    <w:pPr>
      <w:pStyle w:val="Header"/>
      <w:pBdr>
        <w:bottom w:val="single" w:sz="4" w:space="1" w:color="auto"/>
      </w:pBdr>
    </w:pPr>
    <w:r>
      <w:rPr>
        <w:noProof/>
        <w:lang w:eastAsia="en-AU"/>
      </w:rPr>
      <w:drawing>
        <wp:anchor distT="0" distB="0" distL="114300" distR="114300" simplePos="0" relativeHeight="251671552" behindDoc="0" locked="0" layoutInCell="1" allowOverlap="1" wp14:anchorId="350B6741" wp14:editId="0ED01399">
          <wp:simplePos x="0" y="0"/>
          <wp:positionH relativeFrom="column">
            <wp:posOffset>32385</wp:posOffset>
          </wp:positionH>
          <wp:positionV relativeFrom="paragraph">
            <wp:posOffset>140335</wp:posOffset>
          </wp:positionV>
          <wp:extent cx="6120130" cy="942975"/>
          <wp:effectExtent l="0" t="0" r="0" b="9525"/>
          <wp:wrapThrough wrapText="bothSides">
            <wp:wrapPolygon edited="0">
              <wp:start x="0" y="0"/>
              <wp:lineTo x="0" y="21382"/>
              <wp:lineTo x="21515" y="21382"/>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942975"/>
                  </a:xfrm>
                  <a:prstGeom prst="rect">
                    <a:avLst/>
                  </a:prstGeom>
                </pic:spPr>
              </pic:pic>
            </a:graphicData>
          </a:graphic>
          <wp14:sizeRelV relativeFrom="margin">
            <wp14:pctHeight>0</wp14:pctHeight>
          </wp14:sizeRelV>
        </wp:anchor>
      </w:drawing>
    </w:r>
    <w:r w:rsidR="00D91B18">
      <w:rPr>
        <w:noProof/>
        <w:lang w:eastAsia="en-AU"/>
      </w:rPr>
      <mc:AlternateContent>
        <mc:Choice Requires="wps">
          <w:drawing>
            <wp:anchor distT="0" distB="0" distL="114300" distR="114300" simplePos="0" relativeHeight="251669504" behindDoc="0" locked="1" layoutInCell="1" allowOverlap="1" wp14:anchorId="7B2DE097" wp14:editId="01BCCE21">
              <wp:simplePos x="0" y="0"/>
              <wp:positionH relativeFrom="page">
                <wp:posOffset>737235</wp:posOffset>
              </wp:positionH>
              <wp:positionV relativeFrom="page">
                <wp:posOffset>952500</wp:posOffset>
              </wp:positionV>
              <wp:extent cx="6119495" cy="0"/>
              <wp:effectExtent l="0" t="0" r="14605" b="19050"/>
              <wp:wrapNone/>
              <wp:docPr id="1" name="Straight Connector 1" descr="Line&#10;"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BC8286" id="Straight Connector 1" o:spid="_x0000_s1026" alt="Title: Graphic Element - Description: Line&#10;"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8.05pt,75pt" to="53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70528" behindDoc="0" locked="1" layoutInCell="1" allowOverlap="1" wp14:anchorId="75D2B3A0" wp14:editId="0BB5F35D">
              <wp:simplePos x="0" y="0"/>
              <wp:positionH relativeFrom="page">
                <wp:posOffset>719455</wp:posOffset>
              </wp:positionH>
              <wp:positionV relativeFrom="margin">
                <wp:align>bottom</wp:align>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2313D"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bottom;mso-position-vertical-relative:margin;mso-width-percent:0;mso-width-relative:margin" from="56.65pt,0" to="5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" strokecolor="black [3213]" strokeweight=".5pt">
              <w10:wrap anchorx="page"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2900F7"/>
    <w:multiLevelType w:val="hybridMultilevel"/>
    <w:tmpl w:val="EA7C585E"/>
    <w:lvl w:ilvl="0" w:tplc="DAC2D07A">
      <w:start w:val="1"/>
      <w:numFmt w:val="bullet"/>
      <w:lvlText w:val="-"/>
      <w:lvlJc w:val="left"/>
      <w:pPr>
        <w:ind w:left="1434" w:hanging="360"/>
      </w:pPr>
      <w:rPr>
        <w:rFonts w:ascii="Courier New" w:hAnsi="Courier New"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6"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2A2A39AF"/>
    <w:multiLevelType w:val="hybridMultilevel"/>
    <w:tmpl w:val="58CAA6DC"/>
    <w:lvl w:ilvl="0" w:tplc="B8040FB6">
      <w:start w:val="1"/>
      <w:numFmt w:val="bullet"/>
      <w:lvlText w:val=""/>
      <w:lvlJc w:val="left"/>
      <w:pPr>
        <w:ind w:left="720" w:hanging="360"/>
      </w:pPr>
      <w:rPr>
        <w:rFonts w:ascii="Wingdings" w:hAnsi="Wingdings" w:hint="default"/>
        <w:b/>
        <w:bCs/>
        <w:color w:val="00206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81FF6"/>
    <w:multiLevelType w:val="hybridMultilevel"/>
    <w:tmpl w:val="B21C4EEC"/>
    <w:lvl w:ilvl="0" w:tplc="B8040FB6">
      <w:start w:val="1"/>
      <w:numFmt w:val="bullet"/>
      <w:lvlText w:val=""/>
      <w:lvlJc w:val="left"/>
      <w:pPr>
        <w:ind w:left="720" w:hanging="360"/>
      </w:pPr>
      <w:rPr>
        <w:rFonts w:ascii="Wingdings" w:hAnsi="Wingdings" w:hint="default"/>
        <w:b/>
        <w:bCs/>
        <w:color w:val="00206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1" w15:restartNumberingAfterBreak="0">
    <w:nsid w:val="3F9E51E5"/>
    <w:multiLevelType w:val="multilevel"/>
    <w:tmpl w:val="ECA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57401"/>
    <w:multiLevelType w:val="hybridMultilevel"/>
    <w:tmpl w:val="401E12EC"/>
    <w:lvl w:ilvl="0" w:tplc="0C090003">
      <w:start w:val="1"/>
      <w:numFmt w:val="bullet"/>
      <w:lvlText w:val="o"/>
      <w:lvlJc w:val="left"/>
      <w:pPr>
        <w:ind w:left="1434" w:hanging="360"/>
      </w:pPr>
      <w:rPr>
        <w:rFonts w:ascii="Courier New" w:hAnsi="Courier New" w:cs="Courier New"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3"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C9A2984"/>
    <w:multiLevelType w:val="hybridMultilevel"/>
    <w:tmpl w:val="ECA89032"/>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9"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D00A3C"/>
    <w:multiLevelType w:val="hybridMultilevel"/>
    <w:tmpl w:val="AD44A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9956D4"/>
    <w:multiLevelType w:val="hybridMultilevel"/>
    <w:tmpl w:val="DEB685E8"/>
    <w:lvl w:ilvl="0" w:tplc="DAC2D07A">
      <w:start w:val="1"/>
      <w:numFmt w:val="bullet"/>
      <w:lvlText w:val="-"/>
      <w:lvlJc w:val="left"/>
      <w:pPr>
        <w:ind w:left="1434" w:hanging="360"/>
      </w:pPr>
      <w:rPr>
        <w:rFonts w:ascii="Courier New" w:hAnsi="Courier New"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num w:numId="1" w16cid:durableId="600407356">
    <w:abstractNumId w:val="0"/>
  </w:num>
  <w:num w:numId="2" w16cid:durableId="701394891">
    <w:abstractNumId w:val="18"/>
  </w:num>
  <w:num w:numId="3" w16cid:durableId="222526132">
    <w:abstractNumId w:val="3"/>
  </w:num>
  <w:num w:numId="4" w16cid:durableId="588471040">
    <w:abstractNumId w:val="13"/>
  </w:num>
  <w:num w:numId="5" w16cid:durableId="1977449873">
    <w:abstractNumId w:val="10"/>
  </w:num>
  <w:num w:numId="6" w16cid:durableId="703872851">
    <w:abstractNumId w:val="9"/>
  </w:num>
  <w:num w:numId="7" w16cid:durableId="902377665">
    <w:abstractNumId w:val="4"/>
  </w:num>
  <w:num w:numId="8" w16cid:durableId="192115110">
    <w:abstractNumId w:val="16"/>
  </w:num>
  <w:num w:numId="9" w16cid:durableId="1525173105">
    <w:abstractNumId w:val="14"/>
  </w:num>
  <w:num w:numId="10" w16cid:durableId="1194541742">
    <w:abstractNumId w:val="1"/>
  </w:num>
  <w:num w:numId="11" w16cid:durableId="2042974972">
    <w:abstractNumId w:val="6"/>
  </w:num>
  <w:num w:numId="12" w16cid:durableId="1816677711">
    <w:abstractNumId w:val="1"/>
  </w:num>
  <w:num w:numId="13" w16cid:durableId="189076335">
    <w:abstractNumId w:val="19"/>
  </w:num>
  <w:num w:numId="14" w16cid:durableId="1977373658">
    <w:abstractNumId w:val="7"/>
  </w:num>
  <w:num w:numId="15" w16cid:durableId="2055152587">
    <w:abstractNumId w:val="2"/>
  </w:num>
  <w:num w:numId="16" w16cid:durableId="289480834">
    <w:abstractNumId w:val="15"/>
  </w:num>
  <w:num w:numId="17" w16cid:durableId="1292131521">
    <w:abstractNumId w:val="8"/>
  </w:num>
  <w:num w:numId="18" w16cid:durableId="1023824553">
    <w:abstractNumId w:val="11"/>
  </w:num>
  <w:num w:numId="19" w16cid:durableId="453253170">
    <w:abstractNumId w:val="20"/>
  </w:num>
  <w:num w:numId="20" w16cid:durableId="147092333">
    <w:abstractNumId w:val="17"/>
  </w:num>
  <w:num w:numId="21" w16cid:durableId="1012336182">
    <w:abstractNumId w:val="5"/>
  </w:num>
  <w:num w:numId="22" w16cid:durableId="562449280">
    <w:abstractNumId w:val="12"/>
  </w:num>
  <w:num w:numId="23" w16cid:durableId="1017124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5A5E"/>
    <w:rsid w:val="00007DE9"/>
    <w:rsid w:val="00015AE4"/>
    <w:rsid w:val="0001651B"/>
    <w:rsid w:val="000255CB"/>
    <w:rsid w:val="0003018E"/>
    <w:rsid w:val="00030C4C"/>
    <w:rsid w:val="00033BC3"/>
    <w:rsid w:val="000356B6"/>
    <w:rsid w:val="00044E09"/>
    <w:rsid w:val="000455E3"/>
    <w:rsid w:val="0004784D"/>
    <w:rsid w:val="000535A3"/>
    <w:rsid w:val="00053A00"/>
    <w:rsid w:val="00053DC5"/>
    <w:rsid w:val="000551F5"/>
    <w:rsid w:val="00060E18"/>
    <w:rsid w:val="000665E1"/>
    <w:rsid w:val="000709F6"/>
    <w:rsid w:val="000769DF"/>
    <w:rsid w:val="00085C17"/>
    <w:rsid w:val="000A57BC"/>
    <w:rsid w:val="000B064F"/>
    <w:rsid w:val="000B0D14"/>
    <w:rsid w:val="000B25E1"/>
    <w:rsid w:val="000B6C00"/>
    <w:rsid w:val="000B7809"/>
    <w:rsid w:val="000C1F06"/>
    <w:rsid w:val="000D7DBB"/>
    <w:rsid w:val="000F1DD1"/>
    <w:rsid w:val="000F28B8"/>
    <w:rsid w:val="000F3766"/>
    <w:rsid w:val="00100880"/>
    <w:rsid w:val="00106FC4"/>
    <w:rsid w:val="00111F0C"/>
    <w:rsid w:val="001135EF"/>
    <w:rsid w:val="00116DD5"/>
    <w:rsid w:val="00120B80"/>
    <w:rsid w:val="00131216"/>
    <w:rsid w:val="00140F3B"/>
    <w:rsid w:val="00145E2D"/>
    <w:rsid w:val="0016612C"/>
    <w:rsid w:val="001763D4"/>
    <w:rsid w:val="00181206"/>
    <w:rsid w:val="00181433"/>
    <w:rsid w:val="001834DD"/>
    <w:rsid w:val="00191BCF"/>
    <w:rsid w:val="001968B3"/>
    <w:rsid w:val="00197308"/>
    <w:rsid w:val="001B33D2"/>
    <w:rsid w:val="001C3952"/>
    <w:rsid w:val="001C431C"/>
    <w:rsid w:val="001C53CE"/>
    <w:rsid w:val="001C5D96"/>
    <w:rsid w:val="001D00BE"/>
    <w:rsid w:val="001D341B"/>
    <w:rsid w:val="001E3D2B"/>
    <w:rsid w:val="001E5415"/>
    <w:rsid w:val="001E66CE"/>
    <w:rsid w:val="001F5567"/>
    <w:rsid w:val="001F6BE5"/>
    <w:rsid w:val="0020760E"/>
    <w:rsid w:val="00221DC2"/>
    <w:rsid w:val="002277D8"/>
    <w:rsid w:val="00230D18"/>
    <w:rsid w:val="00243004"/>
    <w:rsid w:val="00244B48"/>
    <w:rsid w:val="0025669A"/>
    <w:rsid w:val="00256CDA"/>
    <w:rsid w:val="002573D5"/>
    <w:rsid w:val="002600F2"/>
    <w:rsid w:val="00264E26"/>
    <w:rsid w:val="00280E74"/>
    <w:rsid w:val="00284E4B"/>
    <w:rsid w:val="00294130"/>
    <w:rsid w:val="002A41E1"/>
    <w:rsid w:val="002A79CB"/>
    <w:rsid w:val="002B6574"/>
    <w:rsid w:val="002C2FD5"/>
    <w:rsid w:val="002D3419"/>
    <w:rsid w:val="002D3A76"/>
    <w:rsid w:val="002D4D48"/>
    <w:rsid w:val="002E0AA1"/>
    <w:rsid w:val="002E1CCC"/>
    <w:rsid w:val="002E21D2"/>
    <w:rsid w:val="002F407E"/>
    <w:rsid w:val="002F777D"/>
    <w:rsid w:val="002F7D3C"/>
    <w:rsid w:val="00300EA3"/>
    <w:rsid w:val="00302771"/>
    <w:rsid w:val="00302D5E"/>
    <w:rsid w:val="00304EF8"/>
    <w:rsid w:val="00305720"/>
    <w:rsid w:val="0031098A"/>
    <w:rsid w:val="003131AB"/>
    <w:rsid w:val="003217BE"/>
    <w:rsid w:val="0032204D"/>
    <w:rsid w:val="003307C3"/>
    <w:rsid w:val="0033239E"/>
    <w:rsid w:val="0034044F"/>
    <w:rsid w:val="00352EE6"/>
    <w:rsid w:val="00353B0C"/>
    <w:rsid w:val="00355FF2"/>
    <w:rsid w:val="0035639D"/>
    <w:rsid w:val="00363B15"/>
    <w:rsid w:val="00365900"/>
    <w:rsid w:val="003659D2"/>
    <w:rsid w:val="00376001"/>
    <w:rsid w:val="003A17CA"/>
    <w:rsid w:val="003B412F"/>
    <w:rsid w:val="003B5410"/>
    <w:rsid w:val="003B72E4"/>
    <w:rsid w:val="003D0647"/>
    <w:rsid w:val="003D1265"/>
    <w:rsid w:val="003D255E"/>
    <w:rsid w:val="003D3B1D"/>
    <w:rsid w:val="003D4B2C"/>
    <w:rsid w:val="003D5DBE"/>
    <w:rsid w:val="003E01D1"/>
    <w:rsid w:val="003F2AE7"/>
    <w:rsid w:val="003F313D"/>
    <w:rsid w:val="003F41BB"/>
    <w:rsid w:val="00400BAD"/>
    <w:rsid w:val="00404841"/>
    <w:rsid w:val="00410238"/>
    <w:rsid w:val="00412059"/>
    <w:rsid w:val="00422E02"/>
    <w:rsid w:val="00425633"/>
    <w:rsid w:val="00432EDD"/>
    <w:rsid w:val="00441E79"/>
    <w:rsid w:val="004434EE"/>
    <w:rsid w:val="00444032"/>
    <w:rsid w:val="0044643A"/>
    <w:rsid w:val="00450486"/>
    <w:rsid w:val="00454EB4"/>
    <w:rsid w:val="00461BE1"/>
    <w:rsid w:val="00461BE5"/>
    <w:rsid w:val="00464243"/>
    <w:rsid w:val="00467F87"/>
    <w:rsid w:val="004709E9"/>
    <w:rsid w:val="00472379"/>
    <w:rsid w:val="0047300C"/>
    <w:rsid w:val="00483A58"/>
    <w:rsid w:val="00490618"/>
    <w:rsid w:val="004A5639"/>
    <w:rsid w:val="004A7A42"/>
    <w:rsid w:val="004B0921"/>
    <w:rsid w:val="004B203A"/>
    <w:rsid w:val="004B2CE7"/>
    <w:rsid w:val="004B5F40"/>
    <w:rsid w:val="004C7D16"/>
    <w:rsid w:val="004D0860"/>
    <w:rsid w:val="004D700E"/>
    <w:rsid w:val="004D7F17"/>
    <w:rsid w:val="004E0670"/>
    <w:rsid w:val="004E7F37"/>
    <w:rsid w:val="004F203C"/>
    <w:rsid w:val="004F31BA"/>
    <w:rsid w:val="004F32AB"/>
    <w:rsid w:val="005118E4"/>
    <w:rsid w:val="0051299F"/>
    <w:rsid w:val="005156C3"/>
    <w:rsid w:val="0052075D"/>
    <w:rsid w:val="00525DD1"/>
    <w:rsid w:val="0052686C"/>
    <w:rsid w:val="00526B85"/>
    <w:rsid w:val="005306A1"/>
    <w:rsid w:val="00544751"/>
    <w:rsid w:val="00551CB3"/>
    <w:rsid w:val="00553A84"/>
    <w:rsid w:val="0056239A"/>
    <w:rsid w:val="00563F88"/>
    <w:rsid w:val="005650ED"/>
    <w:rsid w:val="00571E8B"/>
    <w:rsid w:val="00572072"/>
    <w:rsid w:val="00577685"/>
    <w:rsid w:val="0059000C"/>
    <w:rsid w:val="005948DB"/>
    <w:rsid w:val="005A02A1"/>
    <w:rsid w:val="005B1528"/>
    <w:rsid w:val="005B4DF3"/>
    <w:rsid w:val="005B6071"/>
    <w:rsid w:val="005C120F"/>
    <w:rsid w:val="005D5DFD"/>
    <w:rsid w:val="005D7A24"/>
    <w:rsid w:val="005E1395"/>
    <w:rsid w:val="005F15D5"/>
    <w:rsid w:val="006134E2"/>
    <w:rsid w:val="00616EBA"/>
    <w:rsid w:val="00620574"/>
    <w:rsid w:val="00622B47"/>
    <w:rsid w:val="0062340F"/>
    <w:rsid w:val="00632C08"/>
    <w:rsid w:val="00654C42"/>
    <w:rsid w:val="006572E9"/>
    <w:rsid w:val="0067074A"/>
    <w:rsid w:val="00671C0E"/>
    <w:rsid w:val="00672994"/>
    <w:rsid w:val="006805B9"/>
    <w:rsid w:val="006807C9"/>
    <w:rsid w:val="0068372C"/>
    <w:rsid w:val="006871B9"/>
    <w:rsid w:val="00692EFD"/>
    <w:rsid w:val="00694FDB"/>
    <w:rsid w:val="006A55A4"/>
    <w:rsid w:val="006C05CC"/>
    <w:rsid w:val="006C15C5"/>
    <w:rsid w:val="006D3DAD"/>
    <w:rsid w:val="006D4A4B"/>
    <w:rsid w:val="006E1C6A"/>
    <w:rsid w:val="006E476C"/>
    <w:rsid w:val="006F6096"/>
    <w:rsid w:val="006F7B19"/>
    <w:rsid w:val="0070036D"/>
    <w:rsid w:val="00707E21"/>
    <w:rsid w:val="00716D7B"/>
    <w:rsid w:val="00717A91"/>
    <w:rsid w:val="00735AB8"/>
    <w:rsid w:val="00736A76"/>
    <w:rsid w:val="007405CC"/>
    <w:rsid w:val="00752C6B"/>
    <w:rsid w:val="00760CE6"/>
    <w:rsid w:val="00762F09"/>
    <w:rsid w:val="007719C9"/>
    <w:rsid w:val="00772718"/>
    <w:rsid w:val="00777A95"/>
    <w:rsid w:val="007A3384"/>
    <w:rsid w:val="007B7E3D"/>
    <w:rsid w:val="007D30A8"/>
    <w:rsid w:val="007D4969"/>
    <w:rsid w:val="007E24C8"/>
    <w:rsid w:val="007F00B8"/>
    <w:rsid w:val="007F0AE2"/>
    <w:rsid w:val="007F39FA"/>
    <w:rsid w:val="007F6391"/>
    <w:rsid w:val="007F64B6"/>
    <w:rsid w:val="008006B6"/>
    <w:rsid w:val="00801070"/>
    <w:rsid w:val="00814FB1"/>
    <w:rsid w:val="00815991"/>
    <w:rsid w:val="00817C12"/>
    <w:rsid w:val="00820F20"/>
    <w:rsid w:val="0082528A"/>
    <w:rsid w:val="00825754"/>
    <w:rsid w:val="00833758"/>
    <w:rsid w:val="00835210"/>
    <w:rsid w:val="00837BA8"/>
    <w:rsid w:val="00843546"/>
    <w:rsid w:val="0084413D"/>
    <w:rsid w:val="00844C2D"/>
    <w:rsid w:val="00845DAA"/>
    <w:rsid w:val="00851FDD"/>
    <w:rsid w:val="00854ACD"/>
    <w:rsid w:val="00863064"/>
    <w:rsid w:val="0087438E"/>
    <w:rsid w:val="00884668"/>
    <w:rsid w:val="00895EB9"/>
    <w:rsid w:val="008A025A"/>
    <w:rsid w:val="008A4069"/>
    <w:rsid w:val="008B2654"/>
    <w:rsid w:val="008B2B46"/>
    <w:rsid w:val="008D31D1"/>
    <w:rsid w:val="008E05BC"/>
    <w:rsid w:val="008F17B8"/>
    <w:rsid w:val="008F3CCF"/>
    <w:rsid w:val="00901750"/>
    <w:rsid w:val="00901A61"/>
    <w:rsid w:val="00903A60"/>
    <w:rsid w:val="00921840"/>
    <w:rsid w:val="00932C87"/>
    <w:rsid w:val="009331B4"/>
    <w:rsid w:val="009345F1"/>
    <w:rsid w:val="00944BBB"/>
    <w:rsid w:val="00945DF5"/>
    <w:rsid w:val="0095141C"/>
    <w:rsid w:val="009547B6"/>
    <w:rsid w:val="009557E2"/>
    <w:rsid w:val="00961072"/>
    <w:rsid w:val="0096623C"/>
    <w:rsid w:val="0096683F"/>
    <w:rsid w:val="00980BE5"/>
    <w:rsid w:val="00980F43"/>
    <w:rsid w:val="009A2F51"/>
    <w:rsid w:val="009A34F3"/>
    <w:rsid w:val="009B43F2"/>
    <w:rsid w:val="009B6C1C"/>
    <w:rsid w:val="009C37F3"/>
    <w:rsid w:val="009C6C53"/>
    <w:rsid w:val="009E1A74"/>
    <w:rsid w:val="009E6B53"/>
    <w:rsid w:val="009E750F"/>
    <w:rsid w:val="009F4968"/>
    <w:rsid w:val="00A04D96"/>
    <w:rsid w:val="00A0629B"/>
    <w:rsid w:val="00A07A91"/>
    <w:rsid w:val="00A14495"/>
    <w:rsid w:val="00A16BE1"/>
    <w:rsid w:val="00A232AB"/>
    <w:rsid w:val="00A24F65"/>
    <w:rsid w:val="00A27503"/>
    <w:rsid w:val="00A42106"/>
    <w:rsid w:val="00A453D7"/>
    <w:rsid w:val="00A454BF"/>
    <w:rsid w:val="00A52E3A"/>
    <w:rsid w:val="00A61A1A"/>
    <w:rsid w:val="00A65237"/>
    <w:rsid w:val="00A72242"/>
    <w:rsid w:val="00A80D84"/>
    <w:rsid w:val="00A814CB"/>
    <w:rsid w:val="00A86258"/>
    <w:rsid w:val="00A90D1B"/>
    <w:rsid w:val="00AB1045"/>
    <w:rsid w:val="00AC144D"/>
    <w:rsid w:val="00AD70E2"/>
    <w:rsid w:val="00AE3D91"/>
    <w:rsid w:val="00AF117A"/>
    <w:rsid w:val="00AF55F8"/>
    <w:rsid w:val="00B10ABA"/>
    <w:rsid w:val="00B303E4"/>
    <w:rsid w:val="00B34A55"/>
    <w:rsid w:val="00B420D4"/>
    <w:rsid w:val="00B43CFE"/>
    <w:rsid w:val="00B5248B"/>
    <w:rsid w:val="00B57910"/>
    <w:rsid w:val="00B91B21"/>
    <w:rsid w:val="00B952F6"/>
    <w:rsid w:val="00BA202A"/>
    <w:rsid w:val="00BC093A"/>
    <w:rsid w:val="00BC2B00"/>
    <w:rsid w:val="00BC4ACC"/>
    <w:rsid w:val="00BC4FCC"/>
    <w:rsid w:val="00BD02F8"/>
    <w:rsid w:val="00BD0B44"/>
    <w:rsid w:val="00BD1752"/>
    <w:rsid w:val="00BE5A15"/>
    <w:rsid w:val="00BF28FB"/>
    <w:rsid w:val="00C04432"/>
    <w:rsid w:val="00C06ED8"/>
    <w:rsid w:val="00C1488E"/>
    <w:rsid w:val="00C217A8"/>
    <w:rsid w:val="00C25C42"/>
    <w:rsid w:val="00C31B1C"/>
    <w:rsid w:val="00C4188F"/>
    <w:rsid w:val="00C435BE"/>
    <w:rsid w:val="00C631DB"/>
    <w:rsid w:val="00C66EF4"/>
    <w:rsid w:val="00C80477"/>
    <w:rsid w:val="00C819A4"/>
    <w:rsid w:val="00C81C49"/>
    <w:rsid w:val="00C824AE"/>
    <w:rsid w:val="00C84EA8"/>
    <w:rsid w:val="00C92998"/>
    <w:rsid w:val="00C95B28"/>
    <w:rsid w:val="00CA444B"/>
    <w:rsid w:val="00CA720A"/>
    <w:rsid w:val="00CC5C9D"/>
    <w:rsid w:val="00CD0003"/>
    <w:rsid w:val="00CD5746"/>
    <w:rsid w:val="00CD5925"/>
    <w:rsid w:val="00CE0775"/>
    <w:rsid w:val="00CE557A"/>
    <w:rsid w:val="00CF00AD"/>
    <w:rsid w:val="00D031B2"/>
    <w:rsid w:val="00D05A86"/>
    <w:rsid w:val="00D05B2E"/>
    <w:rsid w:val="00D06EAD"/>
    <w:rsid w:val="00D1410C"/>
    <w:rsid w:val="00D15C33"/>
    <w:rsid w:val="00D3434A"/>
    <w:rsid w:val="00D35992"/>
    <w:rsid w:val="00D40D16"/>
    <w:rsid w:val="00D433F8"/>
    <w:rsid w:val="00D47ADF"/>
    <w:rsid w:val="00D523F4"/>
    <w:rsid w:val="00D532C6"/>
    <w:rsid w:val="00D548F0"/>
    <w:rsid w:val="00D57F79"/>
    <w:rsid w:val="00D64FAC"/>
    <w:rsid w:val="00D65704"/>
    <w:rsid w:val="00D668F6"/>
    <w:rsid w:val="00D71F9D"/>
    <w:rsid w:val="00D741F9"/>
    <w:rsid w:val="00D8107F"/>
    <w:rsid w:val="00D84875"/>
    <w:rsid w:val="00D904F0"/>
    <w:rsid w:val="00D91378"/>
    <w:rsid w:val="00D91B18"/>
    <w:rsid w:val="00D930FB"/>
    <w:rsid w:val="00D95D89"/>
    <w:rsid w:val="00DC0747"/>
    <w:rsid w:val="00DC2647"/>
    <w:rsid w:val="00DC316D"/>
    <w:rsid w:val="00DC4DB9"/>
    <w:rsid w:val="00DD1408"/>
    <w:rsid w:val="00DD26B8"/>
    <w:rsid w:val="00DD356D"/>
    <w:rsid w:val="00DD6735"/>
    <w:rsid w:val="00DD72DE"/>
    <w:rsid w:val="00DF136A"/>
    <w:rsid w:val="00DF51FA"/>
    <w:rsid w:val="00DF6291"/>
    <w:rsid w:val="00E0448C"/>
    <w:rsid w:val="00E10B3D"/>
    <w:rsid w:val="00E13525"/>
    <w:rsid w:val="00E1754A"/>
    <w:rsid w:val="00E33065"/>
    <w:rsid w:val="00E47250"/>
    <w:rsid w:val="00E47ADA"/>
    <w:rsid w:val="00E61535"/>
    <w:rsid w:val="00E61680"/>
    <w:rsid w:val="00E66F4A"/>
    <w:rsid w:val="00E73F55"/>
    <w:rsid w:val="00E74266"/>
    <w:rsid w:val="00E7480B"/>
    <w:rsid w:val="00E81410"/>
    <w:rsid w:val="00E8246B"/>
    <w:rsid w:val="00E84012"/>
    <w:rsid w:val="00E86AD5"/>
    <w:rsid w:val="00E87631"/>
    <w:rsid w:val="00E876E3"/>
    <w:rsid w:val="00E9373C"/>
    <w:rsid w:val="00EA0724"/>
    <w:rsid w:val="00EA6251"/>
    <w:rsid w:val="00EB6414"/>
    <w:rsid w:val="00ED2669"/>
    <w:rsid w:val="00EE3BA6"/>
    <w:rsid w:val="00EE5747"/>
    <w:rsid w:val="00EF3518"/>
    <w:rsid w:val="00EF3804"/>
    <w:rsid w:val="00EF5E05"/>
    <w:rsid w:val="00F001B4"/>
    <w:rsid w:val="00F073CA"/>
    <w:rsid w:val="00F14A3E"/>
    <w:rsid w:val="00F16D7E"/>
    <w:rsid w:val="00F227AF"/>
    <w:rsid w:val="00F24AF6"/>
    <w:rsid w:val="00F266F2"/>
    <w:rsid w:val="00F2671C"/>
    <w:rsid w:val="00F26746"/>
    <w:rsid w:val="00F27370"/>
    <w:rsid w:val="00F321E1"/>
    <w:rsid w:val="00F33788"/>
    <w:rsid w:val="00F40B00"/>
    <w:rsid w:val="00F41AAB"/>
    <w:rsid w:val="00F45BB8"/>
    <w:rsid w:val="00F5217F"/>
    <w:rsid w:val="00F5341C"/>
    <w:rsid w:val="00F56954"/>
    <w:rsid w:val="00F60E81"/>
    <w:rsid w:val="00F76062"/>
    <w:rsid w:val="00F85F98"/>
    <w:rsid w:val="00F92BFB"/>
    <w:rsid w:val="00F948AF"/>
    <w:rsid w:val="00FA0662"/>
    <w:rsid w:val="00FA1F45"/>
    <w:rsid w:val="00FA5A7B"/>
    <w:rsid w:val="00FB11B1"/>
    <w:rsid w:val="00FB33B1"/>
    <w:rsid w:val="00FC1C24"/>
    <w:rsid w:val="00FD3C4F"/>
    <w:rsid w:val="00FE00E8"/>
    <w:rsid w:val="00FF6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5570">
      <w:bodyDiv w:val="1"/>
      <w:marLeft w:val="0"/>
      <w:marRight w:val="0"/>
      <w:marTop w:val="0"/>
      <w:marBottom w:val="0"/>
      <w:divBdr>
        <w:top w:val="none" w:sz="0" w:space="0" w:color="auto"/>
        <w:left w:val="none" w:sz="0" w:space="0" w:color="auto"/>
        <w:bottom w:val="none" w:sz="0" w:space="0" w:color="auto"/>
        <w:right w:val="none" w:sz="0" w:space="0" w:color="auto"/>
      </w:divBdr>
    </w:div>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434476403">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8893</Characters>
  <Application>Microsoft Office Word</Application>
  <DocSecurity>0</DocSecurity>
  <Lines>150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Wellbeing and Capability Activity - Emergency Relief</dc:title>
  <dc:subject/>
  <dc:creator/>
  <cp:keywords>[SEC=OFFICIAL]</cp:keywords>
  <cp:lastModifiedBy/>
  <cp:revision>1</cp:revision>
  <dcterms:created xsi:type="dcterms:W3CDTF">2025-06-26T22:01:00Z</dcterms:created>
  <dcterms:modified xsi:type="dcterms:W3CDTF">2025-06-26T22:02:00Z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9CFEDE0AD9FDAE0286D351E87B4647470E8026DF</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ionTimeStamp">
    <vt:lpwstr>2023-10-17T07:02:06Z</vt:lpwstr>
  </property>
  <property fmtid="{D5CDD505-2E9C-101B-9397-08002B2CF9AE}" pid="10" name="PM_ProtectiveMarkingValue_Header">
    <vt:lpwstr>OFFICIAL</vt:lpwstr>
  </property>
  <property fmtid="{D5CDD505-2E9C-101B-9397-08002B2CF9AE}" pid="11" name="MSIP_Label_eb34d90b-fc41-464d-af60-f74d721d0790_SetDate">
    <vt:lpwstr>2023-10-17T07:02:06Z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2022.1</vt:lpwstr>
  </property>
  <property fmtid="{D5CDD505-2E9C-101B-9397-08002B2CF9AE}" pid="16" name="PM_Hash_Salt_Prev">
    <vt:lpwstr>3F195E1CDFCC53004EF639745ACE0041</vt:lpwstr>
  </property>
  <property fmtid="{D5CDD505-2E9C-101B-9397-08002B2CF9AE}" pid="17" name="PM_Hash_Salt">
    <vt:lpwstr>903F5C0352E2824AE909BBB5BC7E519F</vt:lpwstr>
  </property>
  <property fmtid="{D5CDD505-2E9C-101B-9397-08002B2CF9AE}" pid="18" name="PM_Hash_SHA1">
    <vt:lpwstr>872263239082ACE3E6AA1E7ED3CD2A2A8B635B5A</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UserAccountName_SHA256">
    <vt:lpwstr>56084DE7D87471392F5BD2235C8043EAEC8018D05D094D5A8468DE8533D8A2CE</vt:lpwstr>
  </property>
  <property fmtid="{D5CDD505-2E9C-101B-9397-08002B2CF9AE}" pid="23" name="PM_OriginatorDomainName_SHA256">
    <vt:lpwstr>E83A2A66C4061446A7E3732E8D44762184B6B377D962B96C83DC624302585857</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7695bbfd95b649e186e49736d1651a64</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v=2022.1;a=SHA256;h=AF5D2590787FF0223E4E467BDC50B53A31E8A82927B4A5ECDCF1A84872D0E4BB</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