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Pr="00F86C79" w:rsidRDefault="00146699" w:rsidP="00146699">
      <w:pPr>
        <w:pStyle w:val="BodyText"/>
        <w:ind w:left="-851"/>
      </w:pPr>
      <w:r w:rsidRPr="00F86C79">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109002" cy="1405417"/>
                    </a:xfrm>
                    <a:prstGeom prst="rect">
                      <a:avLst/>
                    </a:prstGeom>
                  </pic:spPr>
                </pic:pic>
              </a:graphicData>
            </a:graphic>
          </wp:inline>
        </w:drawing>
      </w:r>
    </w:p>
    <w:p w14:paraId="71B661B9" w14:textId="77777777" w:rsidR="008E0096" w:rsidRPr="004E456F" w:rsidRDefault="008E0096" w:rsidP="008E0096">
      <w:pPr>
        <w:numPr>
          <w:ilvl w:val="1"/>
          <w:numId w:val="0"/>
        </w:numPr>
        <w:pBdr>
          <w:bottom w:val="single" w:sz="4" w:space="5" w:color="000000" w:themeColor="text1"/>
        </w:pBdr>
        <w:spacing w:before="120" w:line="240" w:lineRule="auto"/>
        <w:rPr>
          <w:rFonts w:asciiTheme="majorHAnsi" w:eastAsiaTheme="majorEastAsia" w:hAnsiTheme="majorHAnsi" w:cstheme="majorBidi"/>
          <w:iCs/>
          <w:color w:val="C00000"/>
          <w:sz w:val="52"/>
          <w:szCs w:val="52"/>
        </w:rPr>
      </w:pPr>
      <w:r w:rsidRPr="004E456F">
        <w:rPr>
          <w:rFonts w:asciiTheme="majorHAnsi" w:eastAsiaTheme="majorEastAsia" w:hAnsiTheme="majorHAnsi" w:cstheme="majorBidi"/>
          <w:iCs/>
          <w:color w:val="C00000"/>
          <w:sz w:val="52"/>
          <w:szCs w:val="52"/>
        </w:rPr>
        <w:t>2024–25 Volunteer Grants</w:t>
      </w:r>
    </w:p>
    <w:p w14:paraId="7CCFF19D" w14:textId="71729971" w:rsidR="008E0096" w:rsidRPr="00F85F98" w:rsidRDefault="00972024" w:rsidP="008E0096">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5074FFB5" w14:textId="77777777" w:rsidR="008E0096" w:rsidRPr="004E456F" w:rsidRDefault="008E0096" w:rsidP="008E0096">
      <w:pPr>
        <w:spacing w:before="120" w:after="120"/>
        <w:rPr>
          <w:color w:val="auto"/>
        </w:rPr>
      </w:pPr>
      <w:r w:rsidRPr="004E456F">
        <w:rPr>
          <w:color w:val="auto"/>
        </w:rPr>
        <w:t xml:space="preserve">The </w:t>
      </w:r>
      <w:r w:rsidRPr="004E456F">
        <w:rPr>
          <w:rFonts w:eastAsia="Arial"/>
        </w:rPr>
        <w:t xml:space="preserve">Department of Social Services </w:t>
      </w:r>
      <w:r w:rsidRPr="004E456F">
        <w:rPr>
          <w:color w:val="auto"/>
        </w:rPr>
        <w:t xml:space="preserve">(the </w:t>
      </w:r>
      <w:r>
        <w:rPr>
          <w:color w:val="auto"/>
        </w:rPr>
        <w:t>D</w:t>
      </w:r>
      <w:r w:rsidRPr="004E456F">
        <w:rPr>
          <w:color w:val="auto"/>
        </w:rPr>
        <w:t>epartment) has provided the following general feedback for applicants of the</w:t>
      </w:r>
      <w:r w:rsidRPr="004E456F">
        <w:rPr>
          <w:rFonts w:eastAsia="Arial"/>
        </w:rPr>
        <w:t xml:space="preserve"> </w:t>
      </w:r>
      <w:r w:rsidRPr="00D92FF8">
        <w:rPr>
          <w:color w:val="auto"/>
        </w:rPr>
        <w:t xml:space="preserve">Closed Non-Competitive </w:t>
      </w:r>
      <w:r w:rsidRPr="004E456F">
        <w:rPr>
          <w:color w:val="auto"/>
        </w:rPr>
        <w:t>2024–25 Volunteer Grants grant opportunity.</w:t>
      </w:r>
    </w:p>
    <w:p w14:paraId="33829D58" w14:textId="2E515043" w:rsidR="008E0096" w:rsidRPr="004E456F" w:rsidRDefault="008E0096" w:rsidP="008E0096">
      <w:pPr>
        <w:pStyle w:val="BodyText"/>
      </w:pPr>
      <w:r w:rsidRPr="004E456F">
        <w:t xml:space="preserve">Assessment of applications was in accordance with the procedure detailed in the </w:t>
      </w:r>
      <w:r>
        <w:t>G</w:t>
      </w:r>
      <w:r w:rsidRPr="004E456F">
        <w:t xml:space="preserve">rant </w:t>
      </w:r>
      <w:r>
        <w:t>O</w:t>
      </w:r>
      <w:r w:rsidRPr="004E456F">
        <w:t xml:space="preserve">pportunity </w:t>
      </w:r>
      <w:r>
        <w:t>G</w:t>
      </w:r>
      <w:r w:rsidRPr="004E456F">
        <w:t>uidelines (the guidelines) and outlined in the selection process below.</w:t>
      </w:r>
    </w:p>
    <w:p w14:paraId="34DB0399" w14:textId="77777777" w:rsidR="008E0096" w:rsidRPr="004E456F" w:rsidRDefault="008E0096" w:rsidP="008E0096">
      <w:pPr>
        <w:pStyle w:val="Heading2"/>
        <w:spacing w:before="120"/>
        <w:rPr>
          <w:b/>
          <w:bCs w:val="0"/>
          <w:color w:val="C00000"/>
          <w:szCs w:val="36"/>
        </w:rPr>
      </w:pPr>
      <w:r w:rsidRPr="004E456F">
        <w:rPr>
          <w:bCs w:val="0"/>
          <w:color w:val="C00000"/>
          <w:szCs w:val="36"/>
        </w:rPr>
        <w:t>Overview</w:t>
      </w:r>
    </w:p>
    <w:p w14:paraId="5125DB20" w14:textId="77777777" w:rsidR="008E0096" w:rsidRDefault="008E0096" w:rsidP="008E0096">
      <w:pPr>
        <w:pStyle w:val="BodyText"/>
        <w:spacing w:after="120"/>
        <w:rPr>
          <w:color w:val="auto"/>
        </w:rPr>
      </w:pPr>
      <w:r w:rsidRPr="004E456F">
        <w:rPr>
          <w:color w:val="auto"/>
        </w:rPr>
        <w:t xml:space="preserve">The application submission period opened on </w:t>
      </w:r>
      <w:r w:rsidRPr="004E456F">
        <w:rPr>
          <w:rFonts w:eastAsia="Arial"/>
        </w:rPr>
        <w:t xml:space="preserve">13 March 2025 </w:t>
      </w:r>
      <w:r w:rsidRPr="004E456F">
        <w:rPr>
          <w:color w:val="auto"/>
        </w:rPr>
        <w:t xml:space="preserve">and closed on </w:t>
      </w:r>
      <w:r w:rsidRPr="004E456F">
        <w:rPr>
          <w:rFonts w:eastAsia="Arial"/>
        </w:rPr>
        <w:t>26 March 2025.</w:t>
      </w:r>
    </w:p>
    <w:p w14:paraId="34542C99" w14:textId="77777777" w:rsidR="008E0096" w:rsidRPr="008E0096" w:rsidRDefault="008E0096" w:rsidP="008E0096">
      <w:pPr>
        <w:pStyle w:val="BodyText"/>
        <w:spacing w:after="120"/>
        <w:rPr>
          <w:b/>
          <w:color w:val="auto"/>
          <w:u w:val="single"/>
        </w:rPr>
      </w:pPr>
      <w:r w:rsidRPr="008E0096">
        <w:t>The electorate based, closed, non-competitive selection process was designed to ensure grant funding addresses local priorities and achieves an equitable geographic distribution of funding. Members of Parliament (MPs) in collaboration with their Community Committees, nominated organisations to apply for funding. The Department subsequently invited the nominated organisations to apply. The Department considered all applications in line with the guidelines.</w:t>
      </w:r>
    </w:p>
    <w:p w14:paraId="1C3FB87C" w14:textId="0080E44C" w:rsidR="008E0096" w:rsidRPr="004E456F" w:rsidRDefault="008E0096" w:rsidP="008E0096">
      <w:pPr>
        <w:pStyle w:val="Heading2"/>
        <w:spacing w:before="120"/>
        <w:rPr>
          <w:b/>
          <w:bCs w:val="0"/>
          <w:color w:val="C00000"/>
          <w:szCs w:val="36"/>
        </w:rPr>
      </w:pPr>
      <w:r w:rsidRPr="008E0096">
        <w:rPr>
          <w:bCs w:val="0"/>
          <w:color w:val="C00000"/>
          <w:szCs w:val="36"/>
        </w:rPr>
        <w:t>Selection Process</w:t>
      </w:r>
    </w:p>
    <w:p w14:paraId="53952AC9" w14:textId="77777777" w:rsidR="008E0096" w:rsidRPr="00854ACD" w:rsidRDefault="008E0096" w:rsidP="008E0096">
      <w:pPr>
        <w:pStyle w:val="BodyText"/>
        <w:spacing w:after="120"/>
        <w:rPr>
          <w:color w:val="auto"/>
        </w:rPr>
      </w:pPr>
      <w:r>
        <w:t xml:space="preserve">The Community Grants Hub (the Hub) undertook the initial screening for organisation eligibility and compliance against the requirements outlined in the guidelines. This information was provided to the Department’s grant opportunity delegate </w:t>
      </w:r>
      <w:r>
        <w:rPr>
          <w:color w:val="auto"/>
        </w:rPr>
        <w:t xml:space="preserve">for the </w:t>
      </w:r>
      <w:r w:rsidRPr="00854ACD">
        <w:rPr>
          <w:color w:val="auto"/>
        </w:rPr>
        <w:t xml:space="preserve">final decision on whether an application </w:t>
      </w:r>
      <w:r>
        <w:rPr>
          <w:color w:val="auto"/>
        </w:rPr>
        <w:t>met the eligibility and</w:t>
      </w:r>
      <w:r w:rsidRPr="00854ACD">
        <w:rPr>
          <w:color w:val="auto"/>
        </w:rPr>
        <w:t xml:space="preserve"> compliance criteria.</w:t>
      </w:r>
    </w:p>
    <w:p w14:paraId="1C9754A3" w14:textId="6BC2F5CC" w:rsidR="008E0096" w:rsidRDefault="008E0096" w:rsidP="008E0096">
      <w:pPr>
        <w:spacing w:before="120" w:after="120"/>
        <w:rPr>
          <w:color w:val="auto"/>
        </w:rPr>
      </w:pPr>
      <w:r>
        <w:rPr>
          <w:color w:val="auto"/>
        </w:rPr>
        <w:t xml:space="preserve">The Department </w:t>
      </w:r>
      <w:r w:rsidRPr="00854ACD">
        <w:rPr>
          <w:color w:val="auto"/>
        </w:rPr>
        <w:t xml:space="preserve">assessed and considered </w:t>
      </w:r>
      <w:r w:rsidRPr="00D912C0">
        <w:rPr>
          <w:color w:val="auto"/>
        </w:rPr>
        <w:t xml:space="preserve">all </w:t>
      </w:r>
      <w:r w:rsidRPr="00854ACD">
        <w:rPr>
          <w:color w:val="auto"/>
        </w:rPr>
        <w:t xml:space="preserve">applications through </w:t>
      </w:r>
      <w:r w:rsidRPr="004E456F">
        <w:rPr>
          <w:color w:val="auto"/>
        </w:rPr>
        <w:t xml:space="preserve">a </w:t>
      </w:r>
      <w:r>
        <w:rPr>
          <w:color w:val="auto"/>
        </w:rPr>
        <w:t>c</w:t>
      </w:r>
      <w:r w:rsidRPr="004E456F">
        <w:rPr>
          <w:color w:val="auto"/>
        </w:rPr>
        <w:t xml:space="preserve">losed </w:t>
      </w:r>
      <w:r w:rsidRPr="00D92FF8">
        <w:rPr>
          <w:color w:val="auto"/>
        </w:rPr>
        <w:t>non-competitive</w:t>
      </w:r>
      <w:r w:rsidRPr="004E456F">
        <w:rPr>
          <w:color w:val="auto"/>
        </w:rPr>
        <w:t xml:space="preserve"> grant</w:t>
      </w:r>
      <w:r>
        <w:rPr>
          <w:color w:val="auto"/>
        </w:rPr>
        <w:t xml:space="preserve"> process.</w:t>
      </w:r>
    </w:p>
    <w:p w14:paraId="7496AF1A" w14:textId="77777777" w:rsidR="008E0096" w:rsidRPr="00972024" w:rsidRDefault="008E0096" w:rsidP="008E0096">
      <w:pPr>
        <w:pStyle w:val="BodyText"/>
        <w:rPr>
          <w:color w:val="auto"/>
        </w:rPr>
      </w:pPr>
      <w:r w:rsidRPr="00972024">
        <w:rPr>
          <w:color w:val="auto"/>
        </w:rPr>
        <w:t>Consideration of assessed applications was based on:</w:t>
      </w:r>
    </w:p>
    <w:p w14:paraId="53C879FF" w14:textId="77777777" w:rsidR="008E0096" w:rsidRPr="00972024" w:rsidRDefault="008E0096" w:rsidP="008E0096">
      <w:pPr>
        <w:pStyle w:val="BodyText"/>
        <w:numPr>
          <w:ilvl w:val="0"/>
          <w:numId w:val="6"/>
        </w:numPr>
        <w:rPr>
          <w:color w:val="auto"/>
        </w:rPr>
      </w:pPr>
      <w:r w:rsidRPr="00972024">
        <w:rPr>
          <w:color w:val="auto"/>
        </w:rPr>
        <w:t>Meeting the compliance requirements specified in the guidelines</w:t>
      </w:r>
    </w:p>
    <w:p w14:paraId="4CFD07B9" w14:textId="77777777" w:rsidR="008E0096" w:rsidRPr="00972024" w:rsidRDefault="008E0096" w:rsidP="008E0096">
      <w:pPr>
        <w:pStyle w:val="BodyText"/>
        <w:numPr>
          <w:ilvl w:val="0"/>
          <w:numId w:val="6"/>
        </w:numPr>
        <w:rPr>
          <w:color w:val="auto"/>
        </w:rPr>
      </w:pPr>
      <w:r w:rsidRPr="00972024">
        <w:rPr>
          <w:color w:val="auto"/>
        </w:rPr>
        <w:t>Meeting the eligibility requirements specified in the guidelines</w:t>
      </w:r>
    </w:p>
    <w:p w14:paraId="221E271D" w14:textId="77777777" w:rsidR="008E0096" w:rsidRPr="00972024" w:rsidRDefault="008E0096" w:rsidP="008E0096">
      <w:pPr>
        <w:pStyle w:val="BodyText"/>
        <w:numPr>
          <w:ilvl w:val="0"/>
          <w:numId w:val="6"/>
        </w:numPr>
        <w:rPr>
          <w:color w:val="auto"/>
        </w:rPr>
      </w:pPr>
      <w:r w:rsidRPr="00972024">
        <w:rPr>
          <w:color w:val="auto"/>
        </w:rPr>
        <w:t>Whether the project demonstrated value with relevant money</w:t>
      </w:r>
    </w:p>
    <w:p w14:paraId="79CF5461" w14:textId="085B4E30" w:rsidR="008E0096" w:rsidRPr="00972024" w:rsidRDefault="008E0096" w:rsidP="008E0096">
      <w:pPr>
        <w:pStyle w:val="BodyText"/>
        <w:numPr>
          <w:ilvl w:val="0"/>
          <w:numId w:val="6"/>
        </w:numPr>
        <w:rPr>
          <w:color w:val="auto"/>
        </w:rPr>
      </w:pPr>
      <w:r w:rsidRPr="00972024">
        <w:rPr>
          <w:color w:val="auto"/>
        </w:rPr>
        <w:t>Identified risks and the proposed mitigation strategies</w:t>
      </w:r>
      <w:r w:rsidR="00DD6095">
        <w:rPr>
          <w:color w:val="auto"/>
        </w:rPr>
        <w:t>.</w:t>
      </w:r>
      <w:r w:rsidRPr="00972024">
        <w:rPr>
          <w:b/>
          <w:color w:val="C00000"/>
          <w:sz w:val="36"/>
          <w:szCs w:val="36"/>
        </w:rPr>
        <w:br w:type="page"/>
      </w:r>
    </w:p>
    <w:p w14:paraId="21E50D11" w14:textId="77777777" w:rsidR="008E0096" w:rsidRPr="00972024" w:rsidRDefault="008E0096" w:rsidP="008E0096">
      <w:pPr>
        <w:pStyle w:val="Heading2"/>
        <w:spacing w:before="120"/>
        <w:rPr>
          <w:b/>
          <w:bCs w:val="0"/>
          <w:color w:val="C00000"/>
          <w:szCs w:val="36"/>
        </w:rPr>
      </w:pPr>
      <w:r w:rsidRPr="00972024">
        <w:rPr>
          <w:bCs w:val="0"/>
          <w:color w:val="C00000"/>
          <w:szCs w:val="36"/>
        </w:rPr>
        <w:t>Selection Results</w:t>
      </w:r>
    </w:p>
    <w:p w14:paraId="6B331A84" w14:textId="77777777" w:rsidR="008E0096" w:rsidRPr="004E456F" w:rsidRDefault="008E0096" w:rsidP="008E0096">
      <w:pPr>
        <w:pStyle w:val="BodyText"/>
        <w:rPr>
          <w:color w:val="auto"/>
        </w:rPr>
      </w:pPr>
      <w:r w:rsidRPr="00972024">
        <w:t xml:space="preserve">There was a strong interest in the grant opportunity and applications were of a high standard. </w:t>
      </w:r>
      <w:r w:rsidRPr="00972024">
        <w:rPr>
          <w:color w:val="auto"/>
        </w:rPr>
        <w:t>The successful applicants demonstrated their ability to meet the grant requirements outlined in the</w:t>
      </w:r>
      <w:r w:rsidRPr="004E456F">
        <w:rPr>
          <w:color w:val="auto"/>
        </w:rPr>
        <w:t xml:space="preserve"> guidelines.</w:t>
      </w:r>
    </w:p>
    <w:p w14:paraId="228D35E3" w14:textId="32BDC804" w:rsidR="008E0096" w:rsidRPr="00CF62DA" w:rsidRDefault="008E0096" w:rsidP="008E0096">
      <w:pPr>
        <w:pStyle w:val="BodyText"/>
      </w:pPr>
      <w:r w:rsidRPr="004E456F">
        <w:rPr>
          <w:rStyle w:val="ui-provider"/>
          <w:color w:val="auto"/>
        </w:rPr>
        <w:t>The Hub</w:t>
      </w:r>
      <w:r>
        <w:rPr>
          <w:rStyle w:val="ui-provider"/>
          <w:color w:val="auto"/>
        </w:rPr>
        <w:t xml:space="preserve"> </w:t>
      </w:r>
      <w:r>
        <w:rPr>
          <w:rStyle w:val="ui-provider"/>
        </w:rPr>
        <w:t>notified applicants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1E5909BA" w14:textId="77777777" w:rsidR="008E0096" w:rsidRPr="004E456F" w:rsidRDefault="008E0096" w:rsidP="008E0096">
      <w:pPr>
        <w:pStyle w:val="Heading2"/>
        <w:spacing w:before="120"/>
        <w:rPr>
          <w:b/>
          <w:bCs w:val="0"/>
          <w:color w:val="C00000"/>
          <w:szCs w:val="36"/>
        </w:rPr>
      </w:pPr>
      <w:r w:rsidRPr="004E456F">
        <w:rPr>
          <w:bCs w:val="0"/>
          <w:color w:val="C00000"/>
          <w:szCs w:val="36"/>
        </w:rPr>
        <w:t>General feedback</w:t>
      </w:r>
    </w:p>
    <w:p w14:paraId="58D6EA41" w14:textId="35AF0723" w:rsidR="008E0096" w:rsidRPr="00972024" w:rsidRDefault="008E0096" w:rsidP="00A52EC9">
      <w:pPr>
        <w:pStyle w:val="BodyText"/>
        <w:spacing w:before="40" w:after="120"/>
      </w:pPr>
      <w:r>
        <w:t xml:space="preserve">This feedback is to assist grant applicants to understand for this grant opportunity what generally </w:t>
      </w:r>
      <w:r w:rsidRPr="00972024">
        <w:t>comprised a strong application and provides guidance in completing applications for future rounds.</w:t>
      </w:r>
    </w:p>
    <w:p w14:paraId="47E5969B" w14:textId="77777777" w:rsidR="008E0096" w:rsidRPr="00D5562D" w:rsidRDefault="008E0096" w:rsidP="00A52EC9">
      <w:pPr>
        <w:pStyle w:val="Heading3"/>
        <w:spacing w:before="40"/>
        <w:rPr>
          <w:rFonts w:asciiTheme="majorHAnsi" w:hAnsiTheme="majorHAnsi" w:cstheme="majorHAnsi"/>
          <w:color w:val="C00000"/>
          <w:sz w:val="24"/>
          <w:szCs w:val="24"/>
        </w:rPr>
      </w:pPr>
      <w:r w:rsidRPr="00D5562D">
        <w:rPr>
          <w:rFonts w:asciiTheme="majorHAnsi" w:hAnsiTheme="majorHAnsi" w:cstheme="majorHAnsi"/>
          <w:color w:val="C00000"/>
          <w:sz w:val="24"/>
          <w:szCs w:val="24"/>
        </w:rPr>
        <w:t>Read the supporting information before applying</w:t>
      </w:r>
    </w:p>
    <w:p w14:paraId="4DCF8DBA" w14:textId="77777777" w:rsidR="008E0096" w:rsidRPr="00972024" w:rsidRDefault="008E0096" w:rsidP="00A52EC9">
      <w:pPr>
        <w:pStyle w:val="BodyText"/>
        <w:numPr>
          <w:ilvl w:val="0"/>
          <w:numId w:val="22"/>
        </w:numPr>
        <w:spacing w:before="40" w:after="120"/>
        <w:ind w:left="567" w:hanging="283"/>
      </w:pPr>
      <w:r w:rsidRPr="00972024">
        <w:t xml:space="preserve">It is important to read all the available information provided about the Volunteer Grants grant opportunity when applying for funding, especially the guidelines available on the </w:t>
      </w:r>
      <w:hyperlink r:id="rId13" w:history="1">
        <w:r w:rsidRPr="00972024">
          <w:rPr>
            <w:rStyle w:val="Hyperlink"/>
          </w:rPr>
          <w:t>GrantConnect</w:t>
        </w:r>
      </w:hyperlink>
      <w:r w:rsidRPr="00972024">
        <w:t xml:space="preserve"> website. The guidelines were specific to the 2024–25 Volunteer Grants round and contained information about the purpose of the Volunteer Grants program, eligibility and compliance requirements, timeframes and how to apply.</w:t>
      </w:r>
    </w:p>
    <w:p w14:paraId="2E7CF51C" w14:textId="77777777" w:rsidR="008E0096" w:rsidRPr="00972024" w:rsidRDefault="008E0096" w:rsidP="00A52EC9">
      <w:pPr>
        <w:pStyle w:val="BodyText"/>
        <w:numPr>
          <w:ilvl w:val="0"/>
          <w:numId w:val="22"/>
        </w:numPr>
        <w:spacing w:before="40" w:after="120"/>
        <w:ind w:left="567" w:hanging="283"/>
      </w:pPr>
      <w:r w:rsidRPr="00972024">
        <w:t>The application form also included guidance to help applicants respond to questions.</w:t>
      </w:r>
    </w:p>
    <w:p w14:paraId="0AD3F32A" w14:textId="77777777" w:rsidR="008E0096" w:rsidRPr="00D5562D" w:rsidRDefault="008E0096" w:rsidP="008E0096">
      <w:pPr>
        <w:pStyle w:val="BodyText"/>
        <w:rPr>
          <w:color w:val="C00000"/>
          <w:sz w:val="24"/>
          <w:szCs w:val="24"/>
        </w:rPr>
      </w:pPr>
      <w:r w:rsidRPr="00D5562D">
        <w:rPr>
          <w:rFonts w:asciiTheme="majorHAnsi" w:eastAsiaTheme="majorEastAsia" w:hAnsiTheme="majorHAnsi" w:cstheme="majorBidi"/>
          <w:color w:val="C00000"/>
          <w:sz w:val="24"/>
          <w:szCs w:val="24"/>
        </w:rPr>
        <w:t>Review the application form prior to submission</w:t>
      </w:r>
    </w:p>
    <w:p w14:paraId="00244A62" w14:textId="32ED653E" w:rsidR="008E0096" w:rsidRPr="00972024" w:rsidRDefault="008E0096" w:rsidP="00A52EC9">
      <w:pPr>
        <w:pStyle w:val="Bullet2"/>
        <w:numPr>
          <w:ilvl w:val="0"/>
          <w:numId w:val="23"/>
        </w:numPr>
        <w:spacing w:before="40" w:after="120"/>
        <w:ind w:left="567" w:hanging="357"/>
        <w:rPr>
          <w:rFonts w:asciiTheme="majorHAnsi" w:eastAsiaTheme="majorEastAsia" w:hAnsiTheme="majorHAnsi" w:cstheme="majorBidi"/>
          <w:bCs/>
        </w:rPr>
      </w:pPr>
      <w:r w:rsidRPr="00972024">
        <w:rPr>
          <w:rFonts w:asciiTheme="majorHAnsi" w:eastAsiaTheme="majorEastAsia" w:hAnsiTheme="majorHAnsi" w:cstheme="majorBidi"/>
          <w:bCs/>
        </w:rPr>
        <w:t>Applicants were encouraged to check their application form for completeness and accuracy prior to submission, including:</w:t>
      </w:r>
    </w:p>
    <w:p w14:paraId="0B4646F4" w14:textId="77777777" w:rsidR="008E0096" w:rsidRPr="00972024" w:rsidRDefault="008E0096" w:rsidP="00A52EC9">
      <w:pPr>
        <w:pStyle w:val="Bullet2"/>
        <w:numPr>
          <w:ilvl w:val="0"/>
          <w:numId w:val="24"/>
        </w:numPr>
        <w:spacing w:before="40" w:after="120"/>
        <w:ind w:left="851" w:hanging="357"/>
        <w:rPr>
          <w:rFonts w:asciiTheme="majorHAnsi" w:eastAsiaTheme="majorEastAsia" w:hAnsiTheme="majorHAnsi" w:cstheme="majorBidi"/>
          <w:bCs/>
        </w:rPr>
      </w:pPr>
      <w:r w:rsidRPr="00972024">
        <w:rPr>
          <w:rFonts w:asciiTheme="majorHAnsi" w:eastAsiaTheme="majorEastAsia" w:hAnsiTheme="majorHAnsi" w:cstheme="majorBidi"/>
          <w:bCs/>
        </w:rPr>
        <w:t>all mandatory fields were filled, in particular bank account and contact details</w:t>
      </w:r>
    </w:p>
    <w:p w14:paraId="221CBEB5" w14:textId="77777777" w:rsidR="008E0096" w:rsidRPr="00972024" w:rsidRDefault="008E0096" w:rsidP="00A52EC9">
      <w:pPr>
        <w:pStyle w:val="Bullet2"/>
        <w:numPr>
          <w:ilvl w:val="0"/>
          <w:numId w:val="24"/>
        </w:numPr>
        <w:spacing w:before="40" w:after="120"/>
        <w:ind w:left="851" w:hanging="357"/>
        <w:rPr>
          <w:rFonts w:asciiTheme="majorHAnsi" w:eastAsiaTheme="majorEastAsia" w:hAnsiTheme="majorHAnsi" w:cstheme="majorBidi"/>
          <w:bCs/>
        </w:rPr>
      </w:pPr>
      <w:r w:rsidRPr="00972024">
        <w:rPr>
          <w:rFonts w:asciiTheme="majorHAnsi" w:eastAsiaTheme="majorEastAsia" w:hAnsiTheme="majorHAnsi" w:cstheme="majorBidi"/>
          <w:bCs/>
        </w:rPr>
        <w:t>all questions were answered correctly and saved in the application form</w:t>
      </w:r>
    </w:p>
    <w:p w14:paraId="43CCF338" w14:textId="77777777" w:rsidR="008E0096" w:rsidRPr="00972024" w:rsidRDefault="008E0096" w:rsidP="00A52EC9">
      <w:pPr>
        <w:pStyle w:val="Bullet2"/>
        <w:numPr>
          <w:ilvl w:val="0"/>
          <w:numId w:val="24"/>
        </w:numPr>
        <w:spacing w:before="40" w:after="120"/>
        <w:ind w:left="851" w:hanging="357"/>
        <w:rPr>
          <w:rFonts w:asciiTheme="majorHAnsi" w:eastAsiaTheme="majorEastAsia" w:hAnsiTheme="majorHAnsi" w:cstheme="majorBidi"/>
          <w:bCs/>
        </w:rPr>
      </w:pPr>
      <w:r w:rsidRPr="00972024">
        <w:rPr>
          <w:rFonts w:asciiTheme="majorHAnsi" w:eastAsiaTheme="majorEastAsia" w:hAnsiTheme="majorHAnsi" w:cstheme="majorBidi"/>
          <w:bCs/>
        </w:rPr>
        <w:t>all mandatory attachments were fully completed and saved in the correct section/s of the application form, including evidence of bank account details.</w:t>
      </w:r>
    </w:p>
    <w:p w14:paraId="289B9542" w14:textId="77777777" w:rsidR="008E0096" w:rsidRPr="00972024" w:rsidRDefault="008E0096" w:rsidP="00A52EC9">
      <w:pPr>
        <w:pStyle w:val="Bullet2"/>
        <w:numPr>
          <w:ilvl w:val="0"/>
          <w:numId w:val="25"/>
        </w:numPr>
        <w:spacing w:before="40" w:after="120"/>
        <w:ind w:hanging="357"/>
        <w:rPr>
          <w:rFonts w:asciiTheme="majorHAnsi" w:eastAsiaTheme="majorEastAsia" w:hAnsiTheme="majorHAnsi" w:cstheme="majorBidi"/>
          <w:bCs/>
        </w:rPr>
      </w:pPr>
      <w:r w:rsidRPr="00972024">
        <w:rPr>
          <w:rFonts w:asciiTheme="majorHAnsi" w:eastAsiaTheme="majorEastAsia" w:hAnsiTheme="majorHAnsi" w:cstheme="majorBidi"/>
          <w:bCs/>
        </w:rPr>
        <w:t>Incomplete or missing information may have negatively impacted consideration of the application.</w:t>
      </w:r>
    </w:p>
    <w:p w14:paraId="73B9C1F7" w14:textId="26A50A1E" w:rsidR="008E0096" w:rsidRPr="00972024" w:rsidRDefault="008E0096" w:rsidP="00A52EC9">
      <w:pPr>
        <w:pStyle w:val="Bullet2"/>
        <w:numPr>
          <w:ilvl w:val="0"/>
          <w:numId w:val="25"/>
        </w:numPr>
        <w:spacing w:before="40" w:after="120"/>
        <w:ind w:hanging="357"/>
        <w:rPr>
          <w:rFonts w:asciiTheme="majorHAnsi" w:eastAsiaTheme="majorEastAsia" w:hAnsiTheme="majorHAnsi" w:cstheme="majorBidi"/>
          <w:bCs/>
        </w:rPr>
      </w:pPr>
      <w:r w:rsidRPr="00972024">
        <w:rPr>
          <w:rFonts w:asciiTheme="majorHAnsi" w:eastAsiaTheme="majorEastAsia" w:hAnsiTheme="majorHAnsi" w:cstheme="majorBidi"/>
          <w:bCs/>
        </w:rPr>
        <w:t>Applications not fully or correctly completed as per the guidelines may have been deemed as non-compliant, ineligible or not considered for funding.</w:t>
      </w:r>
    </w:p>
    <w:p w14:paraId="38531B64" w14:textId="26E4F435" w:rsidR="008E0096" w:rsidRPr="00972024" w:rsidRDefault="008E0096" w:rsidP="00A52EC9">
      <w:pPr>
        <w:pStyle w:val="Bullet2"/>
        <w:numPr>
          <w:ilvl w:val="0"/>
          <w:numId w:val="25"/>
        </w:numPr>
        <w:spacing w:before="40" w:after="120"/>
        <w:ind w:hanging="357"/>
        <w:rPr>
          <w:rFonts w:asciiTheme="majorHAnsi" w:eastAsiaTheme="majorEastAsia" w:hAnsiTheme="majorHAnsi" w:cstheme="majorBidi"/>
          <w:bCs/>
        </w:rPr>
      </w:pPr>
      <w:r w:rsidRPr="00972024">
        <w:rPr>
          <w:rFonts w:asciiTheme="majorHAnsi" w:eastAsiaTheme="majorEastAsia" w:hAnsiTheme="majorHAnsi" w:cstheme="majorBidi"/>
          <w:bCs/>
        </w:rPr>
        <w:t xml:space="preserve">The Hub was available via </w:t>
      </w:r>
      <w:hyperlink r:id="rId14" w:history="1">
        <w:r w:rsidRPr="00972024">
          <w:rPr>
            <w:rStyle w:val="Hyperlink"/>
            <w:rFonts w:asciiTheme="majorHAnsi" w:eastAsiaTheme="majorEastAsia" w:hAnsiTheme="majorHAnsi" w:cstheme="majorBidi"/>
            <w:bCs/>
          </w:rPr>
          <w:t>support@communitygrants.gov.au</w:t>
        </w:r>
      </w:hyperlink>
      <w:r w:rsidRPr="00972024">
        <w:rPr>
          <w:rFonts w:asciiTheme="majorHAnsi" w:eastAsiaTheme="majorEastAsia" w:hAnsiTheme="majorHAnsi" w:cstheme="majorBidi"/>
          <w:bCs/>
        </w:rPr>
        <w:t xml:space="preserve"> to</w:t>
      </w:r>
      <w:r w:rsidR="00932BBD">
        <w:rPr>
          <w:rFonts w:asciiTheme="majorHAnsi" w:eastAsiaTheme="majorEastAsia" w:hAnsiTheme="majorHAnsi" w:cstheme="majorBidi"/>
          <w:bCs/>
        </w:rPr>
        <w:t xml:space="preserve"> </w:t>
      </w:r>
      <w:r w:rsidRPr="00972024">
        <w:rPr>
          <w:rFonts w:asciiTheme="majorHAnsi" w:eastAsiaTheme="majorEastAsia" w:hAnsiTheme="majorHAnsi" w:cstheme="majorBidi"/>
          <w:bCs/>
        </w:rPr>
        <w:t>assist with enquiries throughout the 2024–25 Volunteer Grants round.</w:t>
      </w:r>
    </w:p>
    <w:p w14:paraId="674E8C24" w14:textId="77777777" w:rsidR="008E0096" w:rsidRPr="00D5562D" w:rsidRDefault="008E0096" w:rsidP="008E0096">
      <w:pPr>
        <w:pStyle w:val="Heading3"/>
        <w:spacing w:before="120"/>
        <w:rPr>
          <w:rFonts w:asciiTheme="majorHAnsi" w:hAnsiTheme="majorHAnsi" w:cstheme="majorHAnsi"/>
          <w:color w:val="C00000"/>
          <w:sz w:val="24"/>
          <w:szCs w:val="24"/>
        </w:rPr>
      </w:pPr>
      <w:r w:rsidRPr="00D5562D">
        <w:rPr>
          <w:rFonts w:asciiTheme="majorHAnsi" w:hAnsiTheme="majorHAnsi" w:cstheme="majorHAnsi"/>
          <w:color w:val="C00000"/>
          <w:sz w:val="24"/>
          <w:szCs w:val="24"/>
        </w:rPr>
        <w:t>Eligible entity types</w:t>
      </w:r>
    </w:p>
    <w:p w14:paraId="4B631F7D" w14:textId="77777777" w:rsidR="008E0096" w:rsidRPr="00972024" w:rsidRDefault="008E0096" w:rsidP="008E0096">
      <w:pPr>
        <w:pStyle w:val="Bullet2"/>
        <w:numPr>
          <w:ilvl w:val="0"/>
          <w:numId w:val="25"/>
        </w:numPr>
        <w:spacing w:before="40" w:after="120"/>
      </w:pPr>
      <w:bookmarkStart w:id="0" w:name="_Hlk202864007"/>
      <w:r w:rsidRPr="00972024">
        <w:rPr>
          <w:rFonts w:asciiTheme="majorHAnsi" w:eastAsiaTheme="majorEastAsia" w:hAnsiTheme="majorHAnsi" w:cstheme="majorBidi"/>
          <w:bCs/>
        </w:rPr>
        <w:t>Organisations needed to clearly establish their legal entity status to ensure alignment with the eligible entity types outlined in the guidelines.</w:t>
      </w:r>
    </w:p>
    <w:p w14:paraId="34BBD328" w14:textId="2501FBF1" w:rsidR="008E0096" w:rsidRPr="00972024" w:rsidRDefault="008E0096" w:rsidP="008E0096">
      <w:pPr>
        <w:pStyle w:val="BodyText"/>
        <w:numPr>
          <w:ilvl w:val="0"/>
          <w:numId w:val="27"/>
        </w:numPr>
      </w:pPr>
      <w:r w:rsidRPr="00972024">
        <w:t>The applicant’s legal entity name and/or trading name needed to be registered for use under the Australian Business Number (ABN) provided in the application form.</w:t>
      </w:r>
    </w:p>
    <w:p w14:paraId="24A069B8" w14:textId="63D8938D" w:rsidR="008E0096" w:rsidRPr="00972024" w:rsidRDefault="008E0096" w:rsidP="008E0096">
      <w:pPr>
        <w:pStyle w:val="BodyText"/>
        <w:numPr>
          <w:ilvl w:val="0"/>
          <w:numId w:val="27"/>
        </w:numPr>
      </w:pPr>
      <w:r w:rsidRPr="00972024">
        <w:t>Unincorporated associations were required to nominate an individual to accept personal legal liability on behalf of the organisation.</w:t>
      </w:r>
    </w:p>
    <w:p w14:paraId="3904768F" w14:textId="06A16BCE" w:rsidR="008E0096" w:rsidRPr="00972024" w:rsidRDefault="008E0096" w:rsidP="008E0096">
      <w:pPr>
        <w:pStyle w:val="BodyText"/>
        <w:numPr>
          <w:ilvl w:val="0"/>
          <w:numId w:val="27"/>
        </w:numPr>
      </w:pPr>
      <w:r w:rsidRPr="00972024">
        <w:t>Applicants that were assessed as unincorporated associations but applied under another legal entity type were given the option to nominate an individual to accept personal legal liability on behalf of the organisation. If no contact was available to become personally liable on behalf of the organisation, the application was unable to progress and deemed ineligible.</w:t>
      </w:r>
    </w:p>
    <w:p w14:paraId="7B45270F" w14:textId="29A22139" w:rsidR="008E0096" w:rsidRPr="00972024" w:rsidRDefault="008E0096" w:rsidP="008E0096">
      <w:pPr>
        <w:pStyle w:val="BodyText"/>
        <w:numPr>
          <w:ilvl w:val="0"/>
          <w:numId w:val="27"/>
        </w:numPr>
      </w:pPr>
      <w:r w:rsidRPr="00972024">
        <w:t>The Hub may have requested additional supporting documentation to confirm an</w:t>
      </w:r>
      <w:r w:rsidR="0011763D">
        <w:t xml:space="preserve"> </w:t>
      </w:r>
      <w:r w:rsidRPr="00972024">
        <w:t>organisation’s entity type and status, for example, a Certificate of Incorporation or Trust Deed</w:t>
      </w:r>
      <w:bookmarkEnd w:id="0"/>
      <w:r w:rsidRPr="00972024">
        <w:t>.</w:t>
      </w:r>
    </w:p>
    <w:p w14:paraId="26F865DC" w14:textId="3AAE5F03" w:rsidR="008E0096" w:rsidRPr="00972024" w:rsidRDefault="008E0096" w:rsidP="008E0096">
      <w:pPr>
        <w:pStyle w:val="BodyText"/>
        <w:numPr>
          <w:ilvl w:val="0"/>
          <w:numId w:val="27"/>
        </w:numPr>
      </w:pPr>
      <w:r w:rsidRPr="00972024">
        <w:t>As per section 4.1 of the guidelines, sole traders are not eligible to apply for a</w:t>
      </w:r>
      <w:r w:rsidR="0011763D">
        <w:t xml:space="preserve"> </w:t>
      </w:r>
      <w:r w:rsidRPr="00972024">
        <w:t>Volunteer Grant. Where an applicant indicated they were a sole trader, they were requested to provide further information to clarify their legal entity status. If the Department confirmed that the applicant was a sole trader, the application was deemed ineligible.</w:t>
      </w:r>
    </w:p>
    <w:p w14:paraId="226862B2" w14:textId="77777777" w:rsidR="008E0096" w:rsidRPr="00D5562D" w:rsidRDefault="008E0096" w:rsidP="008E0096">
      <w:pPr>
        <w:pStyle w:val="BodyText"/>
        <w:rPr>
          <w:rFonts w:asciiTheme="majorHAnsi" w:eastAsiaTheme="majorEastAsia" w:hAnsiTheme="majorHAnsi" w:cstheme="majorBidi"/>
          <w:color w:val="C00000"/>
          <w:sz w:val="24"/>
          <w:szCs w:val="24"/>
        </w:rPr>
      </w:pPr>
      <w:r w:rsidRPr="00D5562D">
        <w:rPr>
          <w:rFonts w:asciiTheme="majorHAnsi" w:eastAsiaTheme="majorEastAsia" w:hAnsiTheme="majorHAnsi" w:cstheme="majorBidi"/>
          <w:color w:val="C00000"/>
          <w:sz w:val="24"/>
          <w:szCs w:val="24"/>
        </w:rPr>
        <w:t>Volunteer workforce threshold</w:t>
      </w:r>
    </w:p>
    <w:p w14:paraId="199EFBDE" w14:textId="184A4FC8" w:rsidR="008E0096" w:rsidRPr="00972024" w:rsidRDefault="008E0096" w:rsidP="008E0096">
      <w:pPr>
        <w:pStyle w:val="Bullet2"/>
        <w:numPr>
          <w:ilvl w:val="0"/>
          <w:numId w:val="25"/>
        </w:numPr>
        <w:spacing w:before="40" w:after="120"/>
        <w:rPr>
          <w:rFonts w:asciiTheme="majorHAnsi" w:eastAsiaTheme="majorEastAsia" w:hAnsiTheme="majorHAnsi" w:cstheme="majorBidi"/>
          <w:b/>
          <w:bCs/>
        </w:rPr>
      </w:pPr>
      <w:r w:rsidRPr="00972024">
        <w:rPr>
          <w:rFonts w:asciiTheme="majorHAnsi" w:eastAsiaTheme="majorEastAsia" w:hAnsiTheme="majorHAnsi" w:cstheme="majorBidi"/>
          <w:bCs/>
        </w:rPr>
        <w:t>As per section 4.1 of the guidelines, organisations were required to have a minimum of</w:t>
      </w:r>
      <w:r w:rsidR="008E4E40">
        <w:rPr>
          <w:rFonts w:asciiTheme="majorHAnsi" w:eastAsiaTheme="majorEastAsia" w:hAnsiTheme="majorHAnsi" w:cstheme="majorBidi"/>
          <w:bCs/>
        </w:rPr>
        <w:t xml:space="preserve"> </w:t>
      </w:r>
      <w:r w:rsidRPr="00972024">
        <w:rPr>
          <w:rFonts w:asciiTheme="majorHAnsi" w:eastAsiaTheme="majorEastAsia" w:hAnsiTheme="majorHAnsi" w:cstheme="majorBidi"/>
          <w:bCs/>
        </w:rPr>
        <w:t>40% volunteers within their workforce to be eligible for a Volunteer Grant. Applications that did not meet this requirement were deemed ineligible for funding.</w:t>
      </w:r>
    </w:p>
    <w:p w14:paraId="033125C8" w14:textId="31CAAA3C" w:rsidR="008E0096" w:rsidRPr="00D5562D" w:rsidRDefault="008E0096" w:rsidP="008E0096">
      <w:pPr>
        <w:pStyle w:val="BodyText"/>
        <w:rPr>
          <w:rFonts w:asciiTheme="majorHAnsi" w:eastAsiaTheme="majorEastAsia" w:hAnsiTheme="majorHAnsi" w:cstheme="majorBidi"/>
          <w:color w:val="C00000"/>
          <w:sz w:val="24"/>
          <w:szCs w:val="24"/>
        </w:rPr>
      </w:pPr>
      <w:r w:rsidRPr="00D5562D">
        <w:rPr>
          <w:rFonts w:asciiTheme="majorHAnsi" w:eastAsiaTheme="majorEastAsia" w:hAnsiTheme="majorHAnsi" w:cstheme="majorBidi"/>
          <w:color w:val="C00000"/>
          <w:sz w:val="24"/>
          <w:szCs w:val="24"/>
        </w:rPr>
        <w:t>Organisations that applied for Category 2 funding</w:t>
      </w:r>
    </w:p>
    <w:p w14:paraId="0F830AA1" w14:textId="0985B048" w:rsidR="008E0096" w:rsidRPr="00972024" w:rsidRDefault="008E0096" w:rsidP="00D5562D">
      <w:pPr>
        <w:pStyle w:val="BodyText"/>
        <w:numPr>
          <w:ilvl w:val="0"/>
          <w:numId w:val="26"/>
        </w:numPr>
        <w:ind w:left="567" w:hanging="425"/>
        <w:rPr>
          <w:rFonts w:asciiTheme="majorHAnsi" w:eastAsiaTheme="majorEastAsia" w:hAnsiTheme="majorHAnsi" w:cstheme="majorBidi"/>
          <w:color w:val="auto"/>
          <w:szCs w:val="22"/>
        </w:rPr>
      </w:pPr>
      <w:r w:rsidRPr="00972024">
        <w:rPr>
          <w:rFonts w:asciiTheme="majorHAnsi" w:eastAsiaTheme="majorEastAsia" w:hAnsiTheme="majorHAnsi" w:cstheme="majorBidi"/>
          <w:color w:val="auto"/>
          <w:szCs w:val="22"/>
        </w:rPr>
        <w:t>The application required organisations to provide information about the type of volunteers supported by the organisation and volunteer activities run by their organisation. Organisations that selected Category 2 funding in their application but did not select that they support children or parents/carers in response to these questions will receive a Letter of Advice. The letter reiterates the eligibility requirements of purchasing</w:t>
      </w:r>
      <w:r w:rsidR="00D5562D">
        <w:rPr>
          <w:rFonts w:asciiTheme="majorHAnsi" w:eastAsiaTheme="majorEastAsia" w:hAnsiTheme="majorHAnsi" w:cstheme="majorBidi"/>
          <w:color w:val="auto"/>
          <w:szCs w:val="22"/>
        </w:rPr>
        <w:t xml:space="preserve"> </w:t>
      </w:r>
      <w:r w:rsidRPr="00972024">
        <w:rPr>
          <w:rFonts w:asciiTheme="majorHAnsi" w:eastAsiaTheme="majorEastAsia" w:hAnsiTheme="majorHAnsi" w:cstheme="majorBidi"/>
          <w:color w:val="auto"/>
          <w:szCs w:val="22"/>
        </w:rPr>
        <w:t>Category 2 items and advises applicants that they can use Category 1 to purchase communication and insurance items for any of their volunteers.</w:t>
      </w:r>
    </w:p>
    <w:p w14:paraId="313B72F8" w14:textId="77777777" w:rsidR="008E0096" w:rsidRPr="00D5562D" w:rsidRDefault="008E0096" w:rsidP="008E0096">
      <w:pPr>
        <w:pStyle w:val="BodyText"/>
        <w:rPr>
          <w:rFonts w:asciiTheme="majorHAnsi" w:eastAsiaTheme="majorEastAsia" w:hAnsiTheme="majorHAnsi" w:cstheme="majorBidi"/>
          <w:color w:val="C00000"/>
          <w:sz w:val="24"/>
          <w:szCs w:val="24"/>
        </w:rPr>
      </w:pPr>
      <w:r w:rsidRPr="00D5562D">
        <w:rPr>
          <w:rFonts w:asciiTheme="majorHAnsi" w:eastAsiaTheme="majorEastAsia" w:hAnsiTheme="majorHAnsi" w:cstheme="majorBidi"/>
          <w:color w:val="C00000"/>
          <w:sz w:val="24"/>
          <w:szCs w:val="24"/>
        </w:rPr>
        <w:t>Duplicate applications</w:t>
      </w:r>
    </w:p>
    <w:p w14:paraId="50B67294" w14:textId="77777777" w:rsidR="008E0096" w:rsidRPr="00972024" w:rsidRDefault="008E0096" w:rsidP="008E0096">
      <w:pPr>
        <w:pStyle w:val="BodyText"/>
        <w:numPr>
          <w:ilvl w:val="0"/>
          <w:numId w:val="26"/>
        </w:numPr>
        <w:rPr>
          <w:rFonts w:asciiTheme="majorHAnsi" w:eastAsiaTheme="majorEastAsia" w:hAnsiTheme="majorHAnsi" w:cstheme="majorBidi"/>
          <w:color w:val="auto"/>
          <w:szCs w:val="22"/>
        </w:rPr>
      </w:pPr>
      <w:r w:rsidRPr="00972024">
        <w:rPr>
          <w:rFonts w:asciiTheme="majorHAnsi" w:eastAsiaTheme="majorEastAsia" w:hAnsiTheme="majorHAnsi" w:cstheme="majorBidi"/>
          <w:color w:val="auto"/>
          <w:szCs w:val="22"/>
        </w:rPr>
        <w:t>As per section 7 of the guidelines, where an organisation submitted more than one application within the same electorate, only the last application received was assessed. Earlier submissions were excluded from assessment to align with the guidelines and support a fair and transparent assessment process.</w:t>
      </w:r>
    </w:p>
    <w:p w14:paraId="0256737B" w14:textId="68C86ADC" w:rsidR="008E0096" w:rsidRPr="00D5562D" w:rsidRDefault="008E0096" w:rsidP="008E0096">
      <w:pPr>
        <w:pStyle w:val="Heading2"/>
        <w:spacing w:before="120"/>
        <w:rPr>
          <w:rFonts w:asciiTheme="majorHAnsi" w:hAnsiTheme="majorHAnsi" w:cstheme="majorHAnsi"/>
          <w:b/>
          <w:bCs w:val="0"/>
          <w:color w:val="C00000"/>
          <w:szCs w:val="36"/>
        </w:rPr>
      </w:pPr>
      <w:r w:rsidRPr="00D5562D">
        <w:rPr>
          <w:rFonts w:asciiTheme="majorHAnsi" w:hAnsiTheme="majorHAnsi" w:cstheme="majorHAnsi"/>
          <w:bCs w:val="0"/>
          <w:color w:val="C00000"/>
          <w:szCs w:val="36"/>
        </w:rPr>
        <w:t>Individual feedback</w:t>
      </w:r>
    </w:p>
    <w:p w14:paraId="1015D779" w14:textId="4998F5BF" w:rsidR="00A92ECD" w:rsidRDefault="008E0096" w:rsidP="008E0096">
      <w:pPr>
        <w:pStyle w:val="BodyText"/>
        <w:spacing w:before="40" w:after="120"/>
        <w:rPr>
          <w:rFonts w:asciiTheme="majorHAnsi" w:eastAsiaTheme="majorEastAsia" w:hAnsiTheme="majorHAnsi" w:cstheme="majorBidi"/>
          <w:b/>
          <w:bCs/>
          <w:sz w:val="24"/>
          <w:szCs w:val="26"/>
        </w:rPr>
      </w:pPr>
      <w:r w:rsidRPr="00972024">
        <w:rPr>
          <w:color w:val="auto"/>
        </w:rPr>
        <w:t>Individual feedback will not be provided for this grant opportunity.</w:t>
      </w:r>
    </w:p>
    <w:sectPr w:rsidR="00A92ECD" w:rsidSect="00A92ECD">
      <w:headerReference w:type="even" r:id="rId15"/>
      <w:headerReference w:type="default" r:id="rId16"/>
      <w:footerReference w:type="even" r:id="rId17"/>
      <w:footerReference w:type="default" r:id="rId18"/>
      <w:headerReference w:type="first" r:id="rId19"/>
      <w:footerReference w:type="first" r:id="rId20"/>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3652" w14:textId="77777777" w:rsidR="00875B16" w:rsidRDefault="00875B16" w:rsidP="00772718">
      <w:pPr>
        <w:spacing w:line="240" w:lineRule="auto"/>
      </w:pPr>
      <w:r>
        <w:separator/>
      </w:r>
    </w:p>
  </w:endnote>
  <w:endnote w:type="continuationSeparator" w:id="0">
    <w:p w14:paraId="131AFF88" w14:textId="77777777" w:rsidR="00875B16" w:rsidRDefault="00875B16"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77777777" w:rsidR="00673821" w:rsidRDefault="00673821">
    <w:pPr>
      <w:pStyle w:val="Footer"/>
    </w:pPr>
    <w:r>
      <w:rPr>
        <w:noProof/>
      </w:rPr>
      <mc:AlternateContent>
        <mc:Choice Requires="wps">
          <w:drawing>
            <wp:anchor distT="0" distB="0" distL="114300" distR="114300" simplePos="0" relativeHeight="251676672" behindDoc="0" locked="1" layoutInCell="0" allowOverlap="1" wp14:anchorId="32D86629" wp14:editId="21FC22DB">
              <wp:simplePos x="0" y="0"/>
              <wp:positionH relativeFrom="margin">
                <wp:align>center</wp:align>
              </wp:positionH>
              <wp:positionV relativeFrom="bottomMargin">
                <wp:align>center</wp:align>
              </wp:positionV>
              <wp:extent cx="875665" cy="275590"/>
              <wp:effectExtent l="0" t="0" r="0" b="0"/>
              <wp:wrapNone/>
              <wp:docPr id="1485895808"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953BB" w14:textId="1F688F64" w:rsidR="00673821" w:rsidRPr="00673821" w:rsidRDefault="00673821" w:rsidP="00D723B9">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5E39FE">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D86629"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432953BB" w14:textId="1F688F64" w:rsidR="00673821" w:rsidRPr="00673821" w:rsidRDefault="00673821" w:rsidP="00D723B9">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5E39FE">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5BAD" w14:textId="1DF6DA8E" w:rsidR="00A92ECD" w:rsidRPr="00AA5BA5" w:rsidRDefault="00D34244" w:rsidP="00AA5BA5">
    <w:pPr>
      <w:pStyle w:val="Footer"/>
      <w:rPr>
        <w:b w:val="0"/>
        <w:bCs/>
        <w:sz w:val="20"/>
      </w:rPr>
    </w:pPr>
    <w:r>
      <w:rPr>
        <w:noProof/>
      </w:rPr>
      <mc:AlternateContent>
        <mc:Choice Requires="wps">
          <w:drawing>
            <wp:anchor distT="0" distB="0" distL="114300" distR="114300" simplePos="0" relativeHeight="251679744" behindDoc="0" locked="1" layoutInCell="0" allowOverlap="1" wp14:anchorId="19982523" wp14:editId="45631779">
              <wp:simplePos x="0" y="0"/>
              <wp:positionH relativeFrom="margin">
                <wp:align>center</wp:align>
              </wp:positionH>
              <wp:positionV relativeFrom="bottomMargin">
                <wp:align>center</wp:align>
              </wp:positionV>
              <wp:extent cx="875665" cy="275590"/>
              <wp:effectExtent l="0" t="0" r="0" b="0"/>
              <wp:wrapNone/>
              <wp:docPr id="391627801"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13F7A" w14:textId="3DE1987A"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PM_ProtectiveMarkingValue_Footer \* MERGEFORMAT </w:instrText>
                          </w:r>
                          <w:r w:rsidRPr="00D34244">
                            <w:rPr>
                              <w:rFonts w:ascii="Times New Roman" w:hAnsi="Times New Roman"/>
                              <w:color w:val="FF7E00"/>
                              <w:sz w:val="24"/>
                            </w:rPr>
                            <w:fldChar w:fldCharType="separate"/>
                          </w:r>
                          <w:r w:rsidR="005E39FE">
                            <w:rPr>
                              <w:rFonts w:ascii="Times New Roman" w:hAnsi="Times New Roman"/>
                              <w:color w:val="FF7E00"/>
                              <w:sz w:val="24"/>
                            </w:rPr>
                            <w:t>OFFICIAL</w:t>
                          </w:r>
                          <w:r w:rsidRPr="00D34244">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982523" id="_x0000_t202" coordsize="21600,21600" o:spt="202" path="m,l,21600r21600,l21600,xe">
              <v:stroke joinstyle="miter"/>
              <v:path gradientshapeok="t" o:connecttype="rect"/>
            </v:shapetype>
            <v:shape id="janusSEAL SC Footer" o:spid="_x0000_s1029" type="#_x0000_t202" style="position:absolute;margin-left:0;margin-top:0;width:68.95pt;height:21.7pt;z-index:2516797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0D313F7A" w14:textId="3DE1987A"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PM_ProtectiveMarkingValue_Footer \* MERGEFORMAT </w:instrText>
                    </w:r>
                    <w:r w:rsidRPr="00D34244">
                      <w:rPr>
                        <w:rFonts w:ascii="Times New Roman" w:hAnsi="Times New Roman"/>
                        <w:color w:val="FF7E00"/>
                        <w:sz w:val="24"/>
                      </w:rPr>
                      <w:fldChar w:fldCharType="separate"/>
                    </w:r>
                    <w:r w:rsidR="005E39FE">
                      <w:rPr>
                        <w:rFonts w:ascii="Times New Roman" w:hAnsi="Times New Roman"/>
                        <w:color w:val="FF7E00"/>
                        <w:sz w:val="24"/>
                      </w:rPr>
                      <w:t>OFFICIAL</w:t>
                    </w:r>
                    <w:r w:rsidRPr="00D34244">
                      <w:rPr>
                        <w:rFonts w:ascii="Times New Roman" w:hAnsi="Times New Roman"/>
                        <w:color w:val="FF7E00"/>
                        <w:sz w:val="24"/>
                      </w:rPr>
                      <w:fldChar w:fldCharType="end"/>
                    </w:r>
                  </w:p>
                </w:txbxContent>
              </v:textbox>
              <w10:wrap anchorx="margin" anchory="margin"/>
              <w10:anchorlock/>
            </v:shape>
          </w:pict>
        </mc:Fallback>
      </mc:AlternateContent>
    </w: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1106064B" w:rsidR="003A3D76" w:rsidRDefault="00D34244">
    <w:pPr>
      <w:pStyle w:val="Footer"/>
    </w:pPr>
    <w:r>
      <w:rPr>
        <w:noProof/>
      </w:rPr>
      <mc:AlternateContent>
        <mc:Choice Requires="wps">
          <w:drawing>
            <wp:anchor distT="0" distB="0" distL="114300" distR="114300" simplePos="0" relativeHeight="251680768" behindDoc="0" locked="1" layoutInCell="0" allowOverlap="1" wp14:anchorId="2F2C30DB" wp14:editId="2D08BD76">
              <wp:simplePos x="0" y="0"/>
              <wp:positionH relativeFrom="margin">
                <wp:align>center</wp:align>
              </wp:positionH>
              <wp:positionV relativeFrom="bottomMargin">
                <wp:align>center</wp:align>
              </wp:positionV>
              <wp:extent cx="875665" cy="275590"/>
              <wp:effectExtent l="0" t="0" r="0" b="0"/>
              <wp:wrapNone/>
              <wp:docPr id="2043924764"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A92E48" w14:textId="1F4DEE00" w:rsidR="00D34244" w:rsidRPr="00D34244" w:rsidRDefault="00D34244" w:rsidP="00AA5BA5">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PM_ProtectiveMarkingValue_Footer \* MERGEFORMAT </w:instrText>
                          </w:r>
                          <w:r w:rsidRPr="00D34244">
                            <w:rPr>
                              <w:rFonts w:ascii="Times New Roman" w:hAnsi="Times New Roman"/>
                              <w:color w:val="FF7E00"/>
                              <w:sz w:val="24"/>
                            </w:rPr>
                            <w:fldChar w:fldCharType="separate"/>
                          </w:r>
                          <w:r w:rsidR="005E39FE">
                            <w:rPr>
                              <w:rFonts w:ascii="Times New Roman" w:hAnsi="Times New Roman"/>
                              <w:color w:val="FF7E00"/>
                              <w:sz w:val="24"/>
                            </w:rPr>
                            <w:t>OFFICIAL</w:t>
                          </w:r>
                          <w:r w:rsidRPr="00D34244">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2C30DB" id="_x0000_t202" coordsize="21600,21600" o:spt="202" path="m,l,21600r21600,l21600,xe">
              <v:stroke joinstyle="miter"/>
              <v:path gradientshapeok="t" o:connecttype="rect"/>
            </v:shapetype>
            <v:shape id="janusSEAL SC F_FirstPage" o:spid="_x0000_s1031" type="#_x0000_t202" style="position:absolute;margin-left:0;margin-top:0;width:68.95pt;height:21.7pt;z-index:25168076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56A92E48" w14:textId="1F4DEE00" w:rsidR="00D34244" w:rsidRPr="00D34244" w:rsidRDefault="00D34244" w:rsidP="00AA5BA5">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PM_ProtectiveMarkingValue_Footer \* MERGEFORMAT </w:instrText>
                    </w:r>
                    <w:r w:rsidRPr="00D34244">
                      <w:rPr>
                        <w:rFonts w:ascii="Times New Roman" w:hAnsi="Times New Roman"/>
                        <w:color w:val="FF7E00"/>
                        <w:sz w:val="24"/>
                      </w:rPr>
                      <w:fldChar w:fldCharType="separate"/>
                    </w:r>
                    <w:r w:rsidR="005E39FE">
                      <w:rPr>
                        <w:rFonts w:ascii="Times New Roman" w:hAnsi="Times New Roman"/>
                        <w:color w:val="FF7E00"/>
                        <w:sz w:val="24"/>
                      </w:rPr>
                      <w:t>OFFICIAL</w:t>
                    </w:r>
                    <w:r w:rsidRPr="00D34244">
                      <w:rPr>
                        <w:rFonts w:ascii="Times New Roman" w:hAnsi="Times New Roman"/>
                        <w:color w:val="FF7E00"/>
                        <w:sz w:val="24"/>
                      </w:rPr>
                      <w:fldChar w:fldCharType="end"/>
                    </w:r>
                  </w:p>
                </w:txbxContent>
              </v:textbox>
              <w10:wrap anchorx="margin" anchory="margin"/>
              <w10:anchorlock/>
            </v:shape>
          </w:pict>
        </mc:Fallback>
      </mc:AlternateContent>
    </w:r>
    <w:r w:rsidR="005E39FE">
      <w:pict w14:anchorId="2CC68FC6">
        <v:rect id="_x0000_i1025" style="width:0;height:1.5pt" o:hralign="center" o:hrstd="t" o:hr="t" fillcolor="#a0a0a0" stroked="f"/>
      </w:pict>
    </w:r>
  </w:p>
  <w:p w14:paraId="1F405EB9" w14:textId="371432D0" w:rsidR="003A3D76" w:rsidRPr="00AA5BA5" w:rsidRDefault="003A3D76" w:rsidP="00AA5BA5">
    <w:pPr>
      <w:pStyle w:val="Header"/>
      <w:rPr>
        <w:b w:val="0"/>
        <w:bCs/>
        <w:sz w:val="20"/>
      </w:rPr>
    </w:pPr>
  </w:p>
  <w:p w14:paraId="037EB36E" w14:textId="31D33140"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EAF7" w14:textId="77777777" w:rsidR="00875B16" w:rsidRDefault="00875B16" w:rsidP="00772718">
      <w:pPr>
        <w:spacing w:line="240" w:lineRule="auto"/>
      </w:pPr>
      <w:r>
        <w:separator/>
      </w:r>
    </w:p>
  </w:footnote>
  <w:footnote w:type="continuationSeparator" w:id="0">
    <w:p w14:paraId="3F7F2ABC" w14:textId="77777777" w:rsidR="00875B16" w:rsidRDefault="00875B16"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77777777" w:rsidR="00673821" w:rsidRDefault="00673821">
    <w:pPr>
      <w:pStyle w:val="Header"/>
    </w:pPr>
    <w:r>
      <w:rPr>
        <w:noProof/>
      </w:rPr>
      <mc:AlternateContent>
        <mc:Choice Requires="wps">
          <w:drawing>
            <wp:anchor distT="0" distB="0" distL="114300" distR="114300" simplePos="0" relativeHeight="251673600" behindDoc="0" locked="1" layoutInCell="0" allowOverlap="1" wp14:anchorId="05C0B9A2" wp14:editId="6242CB7C">
              <wp:simplePos x="0" y="0"/>
              <wp:positionH relativeFrom="margin">
                <wp:align>center</wp:align>
              </wp:positionH>
              <wp:positionV relativeFrom="topMargin">
                <wp:align>center</wp:align>
              </wp:positionV>
              <wp:extent cx="875665" cy="275590"/>
              <wp:effectExtent l="0" t="0" r="0" b="0"/>
              <wp:wrapNone/>
              <wp:docPr id="381595485"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F9FB4" w14:textId="69A18C5E" w:rsidR="00673821" w:rsidRPr="00673821" w:rsidRDefault="00673821" w:rsidP="00D723B9">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5E39FE">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C0B9A2"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227F9FB4" w14:textId="69A18C5E" w:rsidR="00673821" w:rsidRPr="00673821" w:rsidRDefault="00673821" w:rsidP="00D723B9">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5E39FE">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1FD7" w14:textId="6BD6DDD5" w:rsidR="002073AA" w:rsidRPr="00AA5BA5" w:rsidRDefault="00D34244">
    <w:pPr>
      <w:pStyle w:val="Header"/>
      <w:rPr>
        <w:sz w:val="22"/>
        <w:szCs w:val="22"/>
      </w:rPr>
    </w:pPr>
    <w:r>
      <w:rPr>
        <w:b w:val="0"/>
        <w:bCs/>
        <w:noProof/>
        <w:color w:val="FF0000"/>
        <w:sz w:val="20"/>
      </w:rPr>
      <mc:AlternateContent>
        <mc:Choice Requires="wps">
          <w:drawing>
            <wp:anchor distT="0" distB="0" distL="114300" distR="114300" simplePos="0" relativeHeight="251677696" behindDoc="0" locked="1" layoutInCell="0" allowOverlap="1" wp14:anchorId="2C69DF66" wp14:editId="5ADCD845">
              <wp:simplePos x="0" y="0"/>
              <wp:positionH relativeFrom="margin">
                <wp:align>center</wp:align>
              </wp:positionH>
              <wp:positionV relativeFrom="topMargin">
                <wp:align>center</wp:align>
              </wp:positionV>
              <wp:extent cx="875665" cy="275590"/>
              <wp:effectExtent l="0" t="0" r="0" b="0"/>
              <wp:wrapNone/>
              <wp:docPr id="1250135437"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7316A" w14:textId="1C808345"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PM_ProtectiveMarkingValue_Header \* MERGEFORMAT </w:instrText>
                          </w:r>
                          <w:r w:rsidRPr="00D34244">
                            <w:rPr>
                              <w:rFonts w:ascii="Times New Roman" w:hAnsi="Times New Roman"/>
                              <w:color w:val="FF7E00"/>
                              <w:sz w:val="24"/>
                            </w:rPr>
                            <w:fldChar w:fldCharType="separate"/>
                          </w:r>
                          <w:r w:rsidR="005E39FE">
                            <w:rPr>
                              <w:rFonts w:ascii="Times New Roman" w:hAnsi="Times New Roman"/>
                              <w:color w:val="FF7E00"/>
                              <w:sz w:val="24"/>
                            </w:rPr>
                            <w:t>OFFICIAL</w:t>
                          </w:r>
                          <w:r w:rsidRPr="00D34244">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C69DF66" id="_x0000_t202" coordsize="21600,21600" o:spt="202" path="m,l,21600r21600,l21600,xe">
              <v:stroke joinstyle="miter"/>
              <v:path gradientshapeok="t" o:connecttype="rect"/>
            </v:shapetype>
            <v:shape id="janusSEAL SC Header" o:spid="_x0000_s1027"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5DD7316A" w14:textId="1C808345"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PM_ProtectiveMarkingValue_Header \* MERGEFORMAT </w:instrText>
                    </w:r>
                    <w:r w:rsidRPr="00D34244">
                      <w:rPr>
                        <w:rFonts w:ascii="Times New Roman" w:hAnsi="Times New Roman"/>
                        <w:color w:val="FF7E00"/>
                        <w:sz w:val="24"/>
                      </w:rPr>
                      <w:fldChar w:fldCharType="separate"/>
                    </w:r>
                    <w:r w:rsidR="005E39FE">
                      <w:rPr>
                        <w:rFonts w:ascii="Times New Roman" w:hAnsi="Times New Roman"/>
                        <w:color w:val="FF7E00"/>
                        <w:sz w:val="24"/>
                      </w:rPr>
                      <w:t>OFFICIAL</w:t>
                    </w:r>
                    <w:r w:rsidRPr="00D34244">
                      <w:rPr>
                        <w:rFonts w:ascii="Times New Roman" w:hAnsi="Times New Roman"/>
                        <w:color w:val="FF7E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2BBFAAB7" w:rsidR="00D91B18" w:rsidRPr="00AA5BA5" w:rsidRDefault="00D34244" w:rsidP="00AA5BA5">
    <w:pPr>
      <w:pStyle w:val="Header"/>
      <w:rPr>
        <w:b w:val="0"/>
        <w:bCs/>
        <w:sz w:val="20"/>
      </w:rPr>
    </w:pPr>
    <w:bookmarkStart w:id="1" w:name="_Hlk178605458"/>
    <w:bookmarkStart w:id="2" w:name="_Hlk178605459"/>
    <w:r>
      <w:rPr>
        <w:b w:val="0"/>
        <w:bCs/>
        <w:noProof/>
        <w:color w:val="FF0000"/>
        <w:sz w:val="20"/>
      </w:rPr>
      <mc:AlternateContent>
        <mc:Choice Requires="wps">
          <w:drawing>
            <wp:anchor distT="0" distB="0" distL="114300" distR="114300" simplePos="0" relativeHeight="251678720" behindDoc="0" locked="1" layoutInCell="0" allowOverlap="1" wp14:anchorId="0C553FB4" wp14:editId="66C58F8F">
              <wp:simplePos x="0" y="0"/>
              <wp:positionH relativeFrom="margin">
                <wp:align>center</wp:align>
              </wp:positionH>
              <wp:positionV relativeFrom="topMargin">
                <wp:align>center</wp:align>
              </wp:positionV>
              <wp:extent cx="875665" cy="275590"/>
              <wp:effectExtent l="0" t="0" r="0" b="0"/>
              <wp:wrapNone/>
              <wp:docPr id="916106968"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CE120" w14:textId="5C71E4FA"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PM_ProtectiveMarkingValue_Header \* MERGEFORMAT </w:instrText>
                          </w:r>
                          <w:r w:rsidRPr="00D34244">
                            <w:rPr>
                              <w:rFonts w:ascii="Times New Roman" w:hAnsi="Times New Roman"/>
                              <w:color w:val="FF7E00"/>
                              <w:sz w:val="24"/>
                            </w:rPr>
                            <w:fldChar w:fldCharType="separate"/>
                          </w:r>
                          <w:r w:rsidR="005E39FE">
                            <w:rPr>
                              <w:rFonts w:ascii="Times New Roman" w:hAnsi="Times New Roman"/>
                              <w:color w:val="FF7E00"/>
                              <w:sz w:val="24"/>
                            </w:rPr>
                            <w:t>OFFICIAL</w:t>
                          </w:r>
                          <w:r w:rsidRPr="00D34244">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553FB4" id="_x0000_t202" coordsize="21600,21600" o:spt="202" path="m,l,21600r21600,l21600,xe">
              <v:stroke joinstyle="miter"/>
              <v:path gradientshapeok="t" o:connecttype="rect"/>
            </v:shapetype>
            <v:shape id="janusSEAL SC H_FirstPage" o:spid="_x0000_s1030" type="#_x0000_t202" style="position:absolute;margin-left:0;margin-top:0;width:68.95pt;height:21.7pt;z-index:25167872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5C3CE120" w14:textId="5C71E4FA"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PM_ProtectiveMarkingValue_Header \* MERGEFORMAT </w:instrText>
                    </w:r>
                    <w:r w:rsidRPr="00D34244">
                      <w:rPr>
                        <w:rFonts w:ascii="Times New Roman" w:hAnsi="Times New Roman"/>
                        <w:color w:val="FF7E00"/>
                        <w:sz w:val="24"/>
                      </w:rPr>
                      <w:fldChar w:fldCharType="separate"/>
                    </w:r>
                    <w:r w:rsidR="005E39FE">
                      <w:rPr>
                        <w:rFonts w:ascii="Times New Roman" w:hAnsi="Times New Roman"/>
                        <w:color w:val="FF7E00"/>
                        <w:sz w:val="24"/>
                      </w:rPr>
                      <w:t>OFFICIAL</w:t>
                    </w:r>
                    <w:r w:rsidRPr="00D34244">
                      <w:rPr>
                        <w:rFonts w:ascii="Times New Roman" w:hAnsi="Times New Roman"/>
                        <w:color w:val="FF7E00"/>
                        <w:sz w:val="24"/>
                      </w:rPr>
                      <w:fldChar w:fldCharType="end"/>
                    </w:r>
                  </w:p>
                </w:txbxContent>
              </v:textbox>
              <w10:wrap anchorx="margin" anchory="margin"/>
              <w10:anchorlock/>
            </v:shap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0DF"/>
    <w:multiLevelType w:val="hybridMultilevel"/>
    <w:tmpl w:val="9106F966"/>
    <w:lvl w:ilvl="0" w:tplc="92040CE4">
      <w:start w:val="1"/>
      <w:numFmt w:val="bullet"/>
      <w:lvlText w:val=""/>
      <w:lvlJc w:val="left"/>
      <w:pPr>
        <w:ind w:left="502" w:hanging="360"/>
      </w:pPr>
      <w:rPr>
        <w:rFonts w:ascii="Wingdings" w:hAnsi="Wingdings" w:hint="default"/>
        <w:color w:val="264F90"/>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 w15:restartNumberingAfterBreak="0">
    <w:nsid w:val="0B381FF4"/>
    <w:multiLevelType w:val="hybridMultilevel"/>
    <w:tmpl w:val="8FF060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836388"/>
    <w:multiLevelType w:val="hybridMultilevel"/>
    <w:tmpl w:val="5D526E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A3A6A"/>
    <w:multiLevelType w:val="hybridMultilevel"/>
    <w:tmpl w:val="54640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970432"/>
    <w:multiLevelType w:val="hybridMultilevel"/>
    <w:tmpl w:val="EA766518"/>
    <w:lvl w:ilvl="0" w:tplc="92040CE4">
      <w:start w:val="1"/>
      <w:numFmt w:val="bullet"/>
      <w:lvlText w:val=""/>
      <w:lvlJc w:val="left"/>
      <w:pPr>
        <w:ind w:left="1080" w:hanging="360"/>
      </w:pPr>
      <w:rPr>
        <w:rFonts w:ascii="Wingdings" w:hAnsi="Wingdings" w:hint="default"/>
        <w:color w:val="264F9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E4C7AEA"/>
    <w:multiLevelType w:val="hybridMultilevel"/>
    <w:tmpl w:val="3CECBC08"/>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A2A39AF"/>
    <w:multiLevelType w:val="hybridMultilevel"/>
    <w:tmpl w:val="F9944374"/>
    <w:lvl w:ilvl="0" w:tplc="92040CE4">
      <w:start w:val="1"/>
      <w:numFmt w:val="bullet"/>
      <w:lvlText w:val=""/>
      <w:lvlJc w:val="left"/>
      <w:pPr>
        <w:ind w:left="720" w:hanging="360"/>
      </w:pPr>
      <w:rPr>
        <w:rFonts w:ascii="Wingdings" w:hAnsi="Wingdings" w:hint="default"/>
        <w:color w:val="264F90"/>
      </w:rPr>
    </w:lvl>
    <w:lvl w:ilvl="1" w:tplc="DAC2D07A">
      <w:start w:val="1"/>
      <w:numFmt w:val="bullet"/>
      <w:lvlText w:val="-"/>
      <w:lvlJc w:val="left"/>
      <w:pPr>
        <w:ind w:left="1440" w:hanging="360"/>
      </w:pPr>
      <w:rPr>
        <w:rFonts w:ascii="Courier New" w:hAnsi="Courier New" w:hint="default"/>
      </w:rPr>
    </w:lvl>
    <w:lvl w:ilvl="2" w:tplc="DAC2D07A">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C91B74"/>
    <w:multiLevelType w:val="hybridMultilevel"/>
    <w:tmpl w:val="03368E8E"/>
    <w:lvl w:ilvl="0" w:tplc="92040CE4">
      <w:start w:val="1"/>
      <w:numFmt w:val="bullet"/>
      <w:lvlText w:val=""/>
      <w:lvlJc w:val="left"/>
      <w:pPr>
        <w:ind w:left="1080" w:hanging="360"/>
      </w:pPr>
      <w:rPr>
        <w:rFonts w:ascii="Wingdings" w:hAnsi="Wingdings" w:hint="default"/>
        <w:color w:val="264F9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64772FA"/>
    <w:multiLevelType w:val="hybridMultilevel"/>
    <w:tmpl w:val="C0B8DA3C"/>
    <w:lvl w:ilvl="0" w:tplc="92040CE4">
      <w:start w:val="1"/>
      <w:numFmt w:val="bullet"/>
      <w:lvlText w:val=""/>
      <w:lvlJc w:val="left"/>
      <w:pPr>
        <w:ind w:left="502" w:hanging="360"/>
      </w:pPr>
      <w:rPr>
        <w:rFonts w:ascii="Wingdings" w:hAnsi="Wingdings" w:hint="default"/>
        <w:color w:val="264F90"/>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2"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94E6B20"/>
    <w:multiLevelType w:val="hybridMultilevel"/>
    <w:tmpl w:val="5F56FE0A"/>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01445E"/>
    <w:multiLevelType w:val="hybridMultilevel"/>
    <w:tmpl w:val="6AEC412E"/>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F101B3"/>
    <w:multiLevelType w:val="hybridMultilevel"/>
    <w:tmpl w:val="4D309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1E0B6C"/>
    <w:multiLevelType w:val="hybridMultilevel"/>
    <w:tmpl w:val="B21A109C"/>
    <w:lvl w:ilvl="0" w:tplc="DAC2D07A">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6153E14"/>
    <w:multiLevelType w:val="hybridMultilevel"/>
    <w:tmpl w:val="9EBE68E2"/>
    <w:lvl w:ilvl="0" w:tplc="DAC2D07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7A3B58"/>
    <w:multiLevelType w:val="hybridMultilevel"/>
    <w:tmpl w:val="F4F063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536668"/>
    <w:multiLevelType w:val="hybridMultilevel"/>
    <w:tmpl w:val="DF8A7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21" w15:restartNumberingAfterBreak="0">
    <w:nsid w:val="73107305"/>
    <w:multiLevelType w:val="multilevel"/>
    <w:tmpl w:val="99EEC854"/>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Symbol" w:hAnsi="Symbol" w:hint="default"/>
      </w:rPr>
    </w:lvl>
    <w:lvl w:ilvl="2">
      <w:start w:val="1"/>
      <w:numFmt w:val="bullet"/>
      <w:pStyle w:val="Bullet3"/>
      <w:lvlText w:val="»"/>
      <w:lvlJc w:val="left"/>
      <w:pPr>
        <w:ind w:left="851" w:hanging="284"/>
      </w:pPr>
      <w:rPr>
        <w:rFonts w:ascii="Arial" w:hAnsi="Arial" w:cs="Times New Roman" w:hint="default"/>
      </w:rPr>
    </w:lvl>
    <w:lvl w:ilvl="3">
      <w:start w:val="1"/>
      <w:numFmt w:val="bullet"/>
      <w:lvlText w:val="o"/>
      <w:lvlJc w:val="left"/>
      <w:pPr>
        <w:ind w:left="1136" w:hanging="284"/>
      </w:pPr>
      <w:rPr>
        <w:rFonts w:ascii="Courier New" w:hAnsi="Courier New" w:cs="Courier New" w:hint="default"/>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2" w15:restartNumberingAfterBreak="0">
    <w:nsid w:val="78DB2C4D"/>
    <w:multiLevelType w:val="hybridMultilevel"/>
    <w:tmpl w:val="3028C4B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8FE0C7F"/>
    <w:multiLevelType w:val="multilevel"/>
    <w:tmpl w:val="AA66ADA8"/>
    <w:lvl w:ilvl="0">
      <w:start w:val="1"/>
      <w:numFmt w:val="bullet"/>
      <w:lvlText w:val=""/>
      <w:lvlJc w:val="left"/>
      <w:pPr>
        <w:ind w:left="360" w:hanging="360"/>
      </w:pPr>
      <w:rPr>
        <w:rFonts w:ascii="Wingdings" w:hAnsi="Wingdings" w:hint="default"/>
        <w:b w:val="0"/>
        <w:bCs w:val="0"/>
        <w:color w:val="264F90"/>
        <w:spacing w:val="-1"/>
        <w:w w:val="99"/>
        <w:sz w:val="20"/>
        <w:szCs w:val="20"/>
      </w:rPr>
    </w:lvl>
    <w:lvl w:ilvl="1">
      <w:numFmt w:val="bullet"/>
      <w:lvlText w:val=""/>
      <w:lvlJc w:val="left"/>
      <w:pPr>
        <w:ind w:left="720" w:hanging="360"/>
      </w:pPr>
      <w:rPr>
        <w:rFonts w:ascii="Wingdings" w:hAnsi="Wingdings"/>
        <w:b w:val="0"/>
        <w:color w:val="254F90"/>
        <w:w w:val="99"/>
        <w:sz w:val="20"/>
      </w:rPr>
    </w:lvl>
    <w:lvl w:ilvl="2">
      <w:numFmt w:val="bullet"/>
      <w:lvlText w:val="•"/>
      <w:lvlJc w:val="left"/>
      <w:pPr>
        <w:ind w:left="1659" w:hanging="360"/>
      </w:pPr>
    </w:lvl>
    <w:lvl w:ilvl="3">
      <w:numFmt w:val="bullet"/>
      <w:lvlText w:val="•"/>
      <w:lvlJc w:val="left"/>
      <w:pPr>
        <w:ind w:left="2600" w:hanging="360"/>
      </w:pPr>
    </w:lvl>
    <w:lvl w:ilvl="4">
      <w:numFmt w:val="bullet"/>
      <w:lvlText w:val="•"/>
      <w:lvlJc w:val="left"/>
      <w:pPr>
        <w:ind w:left="3541" w:hanging="360"/>
      </w:pPr>
    </w:lvl>
    <w:lvl w:ilvl="5">
      <w:numFmt w:val="bullet"/>
      <w:lvlText w:val="•"/>
      <w:lvlJc w:val="left"/>
      <w:pPr>
        <w:ind w:left="4481" w:hanging="360"/>
      </w:pPr>
    </w:lvl>
    <w:lvl w:ilvl="6">
      <w:numFmt w:val="bullet"/>
      <w:lvlText w:val="•"/>
      <w:lvlJc w:val="left"/>
      <w:pPr>
        <w:ind w:left="5422" w:hanging="360"/>
      </w:pPr>
    </w:lvl>
    <w:lvl w:ilvl="7">
      <w:numFmt w:val="bullet"/>
      <w:lvlText w:val="•"/>
      <w:lvlJc w:val="left"/>
      <w:pPr>
        <w:ind w:left="6363" w:hanging="360"/>
      </w:pPr>
    </w:lvl>
    <w:lvl w:ilvl="8">
      <w:numFmt w:val="bullet"/>
      <w:lvlText w:val="•"/>
      <w:lvlJc w:val="left"/>
      <w:pPr>
        <w:ind w:left="7303" w:hanging="360"/>
      </w:pPr>
    </w:lvl>
  </w:abstractNum>
  <w:abstractNum w:abstractNumId="24" w15:restartNumberingAfterBreak="0">
    <w:nsid w:val="7FF9361E"/>
    <w:multiLevelType w:val="hybridMultilevel"/>
    <w:tmpl w:val="B680C084"/>
    <w:lvl w:ilvl="0" w:tplc="236A072C">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492836538">
    <w:abstractNumId w:val="1"/>
  </w:num>
  <w:num w:numId="2" w16cid:durableId="1493981043">
    <w:abstractNumId w:val="20"/>
  </w:num>
  <w:num w:numId="3" w16cid:durableId="999308129">
    <w:abstractNumId w:val="7"/>
  </w:num>
  <w:num w:numId="4" w16cid:durableId="439571975">
    <w:abstractNumId w:val="12"/>
  </w:num>
  <w:num w:numId="5" w16cid:durableId="250505642">
    <w:abstractNumId w:val="11"/>
  </w:num>
  <w:num w:numId="6" w16cid:durableId="1809128244">
    <w:abstractNumId w:val="8"/>
  </w:num>
  <w:num w:numId="7" w16cid:durableId="619802809">
    <w:abstractNumId w:val="8"/>
  </w:num>
  <w:num w:numId="8" w16cid:durableId="1455977454">
    <w:abstractNumId w:val="16"/>
  </w:num>
  <w:num w:numId="9" w16cid:durableId="2107144101">
    <w:abstractNumId w:val="17"/>
  </w:num>
  <w:num w:numId="10" w16cid:durableId="317996674">
    <w:abstractNumId w:val="14"/>
  </w:num>
  <w:num w:numId="11" w16cid:durableId="822819979">
    <w:abstractNumId w:val="19"/>
  </w:num>
  <w:num w:numId="12" w16cid:durableId="474226037">
    <w:abstractNumId w:val="18"/>
  </w:num>
  <w:num w:numId="13" w16cid:durableId="1492981935">
    <w:abstractNumId w:val="15"/>
  </w:num>
  <w:num w:numId="14" w16cid:durableId="361978844">
    <w:abstractNumId w:val="23"/>
  </w:num>
  <w:num w:numId="15" w16cid:durableId="82992879">
    <w:abstractNumId w:val="2"/>
  </w:num>
  <w:num w:numId="16" w16cid:durableId="1851524696">
    <w:abstractNumId w:val="22"/>
  </w:num>
  <w:num w:numId="17" w16cid:durableId="1892183072">
    <w:abstractNumId w:val="4"/>
  </w:num>
  <w:num w:numId="18" w16cid:durableId="847714175">
    <w:abstractNumId w:val="3"/>
  </w:num>
  <w:num w:numId="19" w16cid:durableId="1784766128">
    <w:abstractNumId w:val="8"/>
  </w:num>
  <w:num w:numId="20" w16cid:durableId="112990670">
    <w:abstractNumId w:val="6"/>
  </w:num>
  <w:num w:numId="21" w16cid:durableId="1984384774">
    <w:abstractNumId w:val="21"/>
  </w:num>
  <w:num w:numId="22" w16cid:durableId="84961421">
    <w:abstractNumId w:val="9"/>
  </w:num>
  <w:num w:numId="23" w16cid:durableId="1584290195">
    <w:abstractNumId w:val="5"/>
  </w:num>
  <w:num w:numId="24" w16cid:durableId="1286035335">
    <w:abstractNumId w:val="24"/>
  </w:num>
  <w:num w:numId="25" w16cid:durableId="1045368852">
    <w:abstractNumId w:val="10"/>
  </w:num>
  <w:num w:numId="26" w16cid:durableId="1420104423">
    <w:abstractNumId w:val="13"/>
  </w:num>
  <w:num w:numId="27" w16cid:durableId="182203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0C9"/>
    <w:rsid w:val="00000555"/>
    <w:rsid w:val="00000A51"/>
    <w:rsid w:val="00002388"/>
    <w:rsid w:val="00004A79"/>
    <w:rsid w:val="00004CC1"/>
    <w:rsid w:val="00007DE9"/>
    <w:rsid w:val="00010A07"/>
    <w:rsid w:val="00013868"/>
    <w:rsid w:val="00015AE4"/>
    <w:rsid w:val="0003018E"/>
    <w:rsid w:val="000307EB"/>
    <w:rsid w:val="00033BC3"/>
    <w:rsid w:val="00040573"/>
    <w:rsid w:val="000440B9"/>
    <w:rsid w:val="00044E09"/>
    <w:rsid w:val="0004784D"/>
    <w:rsid w:val="00053A00"/>
    <w:rsid w:val="000556EE"/>
    <w:rsid w:val="00060B0A"/>
    <w:rsid w:val="000727A9"/>
    <w:rsid w:val="0007502F"/>
    <w:rsid w:val="00076F30"/>
    <w:rsid w:val="00082A54"/>
    <w:rsid w:val="00085E16"/>
    <w:rsid w:val="00095750"/>
    <w:rsid w:val="000A100F"/>
    <w:rsid w:val="000B69B1"/>
    <w:rsid w:val="000B6A6D"/>
    <w:rsid w:val="000B6C00"/>
    <w:rsid w:val="000C1F06"/>
    <w:rsid w:val="000C7C00"/>
    <w:rsid w:val="000D2BDF"/>
    <w:rsid w:val="000E3241"/>
    <w:rsid w:val="000F1DD1"/>
    <w:rsid w:val="000F28B8"/>
    <w:rsid w:val="000F3766"/>
    <w:rsid w:val="00102D2F"/>
    <w:rsid w:val="0010459E"/>
    <w:rsid w:val="00106FC4"/>
    <w:rsid w:val="0010737B"/>
    <w:rsid w:val="00111F0C"/>
    <w:rsid w:val="0011763D"/>
    <w:rsid w:val="00133A1A"/>
    <w:rsid w:val="001362FC"/>
    <w:rsid w:val="00145E2D"/>
    <w:rsid w:val="00146699"/>
    <w:rsid w:val="0015668A"/>
    <w:rsid w:val="00165A7A"/>
    <w:rsid w:val="0016612C"/>
    <w:rsid w:val="00171634"/>
    <w:rsid w:val="00174BF5"/>
    <w:rsid w:val="001763D4"/>
    <w:rsid w:val="001768A3"/>
    <w:rsid w:val="0017784E"/>
    <w:rsid w:val="00180C14"/>
    <w:rsid w:val="00181433"/>
    <w:rsid w:val="001834DD"/>
    <w:rsid w:val="00183780"/>
    <w:rsid w:val="00183BD7"/>
    <w:rsid w:val="001970A6"/>
    <w:rsid w:val="001B2ED8"/>
    <w:rsid w:val="001B4975"/>
    <w:rsid w:val="001C53CE"/>
    <w:rsid w:val="001C5D96"/>
    <w:rsid w:val="001D341B"/>
    <w:rsid w:val="001D4FD7"/>
    <w:rsid w:val="001D5A69"/>
    <w:rsid w:val="001D72DA"/>
    <w:rsid w:val="001E3D2B"/>
    <w:rsid w:val="001E66CE"/>
    <w:rsid w:val="001F4BC8"/>
    <w:rsid w:val="0020033E"/>
    <w:rsid w:val="002054E1"/>
    <w:rsid w:val="002073AA"/>
    <w:rsid w:val="00211465"/>
    <w:rsid w:val="00221DC2"/>
    <w:rsid w:val="00222526"/>
    <w:rsid w:val="00231DC5"/>
    <w:rsid w:val="00244B48"/>
    <w:rsid w:val="002526A8"/>
    <w:rsid w:val="002573D5"/>
    <w:rsid w:val="00263B1E"/>
    <w:rsid w:val="00264E26"/>
    <w:rsid w:val="00276647"/>
    <w:rsid w:val="00280E74"/>
    <w:rsid w:val="002846E7"/>
    <w:rsid w:val="00285B31"/>
    <w:rsid w:val="002929B6"/>
    <w:rsid w:val="002A41E1"/>
    <w:rsid w:val="002B6574"/>
    <w:rsid w:val="002C6A3C"/>
    <w:rsid w:val="002C714C"/>
    <w:rsid w:val="002D4D48"/>
    <w:rsid w:val="002D5544"/>
    <w:rsid w:val="002D6D1C"/>
    <w:rsid w:val="002E1F9E"/>
    <w:rsid w:val="002E21D2"/>
    <w:rsid w:val="002F7D3C"/>
    <w:rsid w:val="003023AA"/>
    <w:rsid w:val="003048E6"/>
    <w:rsid w:val="00305720"/>
    <w:rsid w:val="00310E8D"/>
    <w:rsid w:val="00311572"/>
    <w:rsid w:val="00313148"/>
    <w:rsid w:val="003131AB"/>
    <w:rsid w:val="003201B0"/>
    <w:rsid w:val="003217BE"/>
    <w:rsid w:val="00321C0F"/>
    <w:rsid w:val="00335AFB"/>
    <w:rsid w:val="0034040D"/>
    <w:rsid w:val="00341FD6"/>
    <w:rsid w:val="0034322E"/>
    <w:rsid w:val="003448C5"/>
    <w:rsid w:val="0035203F"/>
    <w:rsid w:val="00356C31"/>
    <w:rsid w:val="00357EFA"/>
    <w:rsid w:val="003633B3"/>
    <w:rsid w:val="00366C6F"/>
    <w:rsid w:val="00370F2A"/>
    <w:rsid w:val="003810D0"/>
    <w:rsid w:val="00392588"/>
    <w:rsid w:val="003A3D76"/>
    <w:rsid w:val="003A48E1"/>
    <w:rsid w:val="003D0647"/>
    <w:rsid w:val="003D1265"/>
    <w:rsid w:val="003D3B1D"/>
    <w:rsid w:val="003D5DBE"/>
    <w:rsid w:val="003E364C"/>
    <w:rsid w:val="00404841"/>
    <w:rsid w:val="00412059"/>
    <w:rsid w:val="004233BF"/>
    <w:rsid w:val="00424F63"/>
    <w:rsid w:val="00425633"/>
    <w:rsid w:val="004326B7"/>
    <w:rsid w:val="00441E79"/>
    <w:rsid w:val="00450486"/>
    <w:rsid w:val="00451BD9"/>
    <w:rsid w:val="004675B9"/>
    <w:rsid w:val="004709E9"/>
    <w:rsid w:val="00477B25"/>
    <w:rsid w:val="00483A58"/>
    <w:rsid w:val="00484AA6"/>
    <w:rsid w:val="00487601"/>
    <w:rsid w:val="004902A6"/>
    <w:rsid w:val="00494B3A"/>
    <w:rsid w:val="004973CC"/>
    <w:rsid w:val="004B3806"/>
    <w:rsid w:val="004B5F40"/>
    <w:rsid w:val="004C54EC"/>
    <w:rsid w:val="004C5CF0"/>
    <w:rsid w:val="004C71AD"/>
    <w:rsid w:val="004C7D16"/>
    <w:rsid w:val="004D030E"/>
    <w:rsid w:val="004D43C7"/>
    <w:rsid w:val="004D700E"/>
    <w:rsid w:val="004D7F17"/>
    <w:rsid w:val="004E0670"/>
    <w:rsid w:val="004E70C6"/>
    <w:rsid w:val="004E7F37"/>
    <w:rsid w:val="004F05C0"/>
    <w:rsid w:val="004F12CA"/>
    <w:rsid w:val="004F31BA"/>
    <w:rsid w:val="005013A4"/>
    <w:rsid w:val="0051299F"/>
    <w:rsid w:val="005151FF"/>
    <w:rsid w:val="00516542"/>
    <w:rsid w:val="00523BB0"/>
    <w:rsid w:val="00525C6C"/>
    <w:rsid w:val="00526B85"/>
    <w:rsid w:val="005306A1"/>
    <w:rsid w:val="00531CD5"/>
    <w:rsid w:val="00536041"/>
    <w:rsid w:val="005450F9"/>
    <w:rsid w:val="00551F74"/>
    <w:rsid w:val="00567CCA"/>
    <w:rsid w:val="0057219B"/>
    <w:rsid w:val="005834F4"/>
    <w:rsid w:val="0059000C"/>
    <w:rsid w:val="00590CD9"/>
    <w:rsid w:val="005A02A1"/>
    <w:rsid w:val="005B4370"/>
    <w:rsid w:val="005B4848"/>
    <w:rsid w:val="005C1688"/>
    <w:rsid w:val="005C1870"/>
    <w:rsid w:val="005D693D"/>
    <w:rsid w:val="005D7924"/>
    <w:rsid w:val="005D7A24"/>
    <w:rsid w:val="005E39FE"/>
    <w:rsid w:val="005E4E8F"/>
    <w:rsid w:val="00616EBA"/>
    <w:rsid w:val="0063064F"/>
    <w:rsid w:val="00632C08"/>
    <w:rsid w:val="00634D61"/>
    <w:rsid w:val="00650632"/>
    <w:rsid w:val="0065196A"/>
    <w:rsid w:val="00654C42"/>
    <w:rsid w:val="0065547C"/>
    <w:rsid w:val="00660A7E"/>
    <w:rsid w:val="0067074A"/>
    <w:rsid w:val="00672994"/>
    <w:rsid w:val="00673821"/>
    <w:rsid w:val="00683FB1"/>
    <w:rsid w:val="00687459"/>
    <w:rsid w:val="00694F4C"/>
    <w:rsid w:val="006A7406"/>
    <w:rsid w:val="006B00A5"/>
    <w:rsid w:val="006B4865"/>
    <w:rsid w:val="006B5102"/>
    <w:rsid w:val="006B5DEF"/>
    <w:rsid w:val="006C15C5"/>
    <w:rsid w:val="006C330C"/>
    <w:rsid w:val="006C59EC"/>
    <w:rsid w:val="006D3DAD"/>
    <w:rsid w:val="006D5E1E"/>
    <w:rsid w:val="006D7954"/>
    <w:rsid w:val="006F53B8"/>
    <w:rsid w:val="006F7B19"/>
    <w:rsid w:val="007260DD"/>
    <w:rsid w:val="00730FB8"/>
    <w:rsid w:val="00736A76"/>
    <w:rsid w:val="0073756B"/>
    <w:rsid w:val="00740E95"/>
    <w:rsid w:val="00743493"/>
    <w:rsid w:val="007475F8"/>
    <w:rsid w:val="00747948"/>
    <w:rsid w:val="007528BD"/>
    <w:rsid w:val="00752C6B"/>
    <w:rsid w:val="00753305"/>
    <w:rsid w:val="00756873"/>
    <w:rsid w:val="00760CE6"/>
    <w:rsid w:val="007719C9"/>
    <w:rsid w:val="00772718"/>
    <w:rsid w:val="00774D55"/>
    <w:rsid w:val="007828ED"/>
    <w:rsid w:val="00786824"/>
    <w:rsid w:val="007B1E04"/>
    <w:rsid w:val="007B28BD"/>
    <w:rsid w:val="007B562F"/>
    <w:rsid w:val="007C7D9A"/>
    <w:rsid w:val="007D15A4"/>
    <w:rsid w:val="007D297B"/>
    <w:rsid w:val="007D30A8"/>
    <w:rsid w:val="007F4290"/>
    <w:rsid w:val="00803D49"/>
    <w:rsid w:val="008102BA"/>
    <w:rsid w:val="00812010"/>
    <w:rsid w:val="00814FB1"/>
    <w:rsid w:val="00820F20"/>
    <w:rsid w:val="00823F9F"/>
    <w:rsid w:val="0082528A"/>
    <w:rsid w:val="00825754"/>
    <w:rsid w:val="00833E6A"/>
    <w:rsid w:val="00835210"/>
    <w:rsid w:val="00837E4A"/>
    <w:rsid w:val="00844C2D"/>
    <w:rsid w:val="008677F5"/>
    <w:rsid w:val="0087438E"/>
    <w:rsid w:val="00875B16"/>
    <w:rsid w:val="00884668"/>
    <w:rsid w:val="008927A1"/>
    <w:rsid w:val="0089786A"/>
    <w:rsid w:val="008B25BB"/>
    <w:rsid w:val="008B2B46"/>
    <w:rsid w:val="008D375B"/>
    <w:rsid w:val="008E0096"/>
    <w:rsid w:val="008E05BC"/>
    <w:rsid w:val="008E227C"/>
    <w:rsid w:val="008E2917"/>
    <w:rsid w:val="008E4E40"/>
    <w:rsid w:val="008E67A8"/>
    <w:rsid w:val="008F3CCF"/>
    <w:rsid w:val="009002BF"/>
    <w:rsid w:val="00900320"/>
    <w:rsid w:val="00900B24"/>
    <w:rsid w:val="009117C2"/>
    <w:rsid w:val="00921840"/>
    <w:rsid w:val="00930902"/>
    <w:rsid w:val="00932BBD"/>
    <w:rsid w:val="00932C87"/>
    <w:rsid w:val="009331B4"/>
    <w:rsid w:val="009345F1"/>
    <w:rsid w:val="0093532D"/>
    <w:rsid w:val="00944BBB"/>
    <w:rsid w:val="009547B6"/>
    <w:rsid w:val="00960384"/>
    <w:rsid w:val="00961072"/>
    <w:rsid w:val="009647D1"/>
    <w:rsid w:val="00970EBB"/>
    <w:rsid w:val="00972024"/>
    <w:rsid w:val="009769D4"/>
    <w:rsid w:val="009D0D07"/>
    <w:rsid w:val="009D1A5B"/>
    <w:rsid w:val="009D2BC4"/>
    <w:rsid w:val="009E750F"/>
    <w:rsid w:val="009F130C"/>
    <w:rsid w:val="009F1993"/>
    <w:rsid w:val="009F1A73"/>
    <w:rsid w:val="00A021DC"/>
    <w:rsid w:val="00A04895"/>
    <w:rsid w:val="00A04D96"/>
    <w:rsid w:val="00A0629B"/>
    <w:rsid w:val="00A0661D"/>
    <w:rsid w:val="00A14495"/>
    <w:rsid w:val="00A16BE1"/>
    <w:rsid w:val="00A17150"/>
    <w:rsid w:val="00A42311"/>
    <w:rsid w:val="00A454BF"/>
    <w:rsid w:val="00A45C26"/>
    <w:rsid w:val="00A52E3A"/>
    <w:rsid w:val="00A52EC9"/>
    <w:rsid w:val="00A63558"/>
    <w:rsid w:val="00A665DC"/>
    <w:rsid w:val="00A66A6D"/>
    <w:rsid w:val="00A7196B"/>
    <w:rsid w:val="00A778B8"/>
    <w:rsid w:val="00A80206"/>
    <w:rsid w:val="00A814CB"/>
    <w:rsid w:val="00A90D1B"/>
    <w:rsid w:val="00A92ECD"/>
    <w:rsid w:val="00A94421"/>
    <w:rsid w:val="00AA1A3E"/>
    <w:rsid w:val="00AA5BA5"/>
    <w:rsid w:val="00AC2428"/>
    <w:rsid w:val="00AC3503"/>
    <w:rsid w:val="00AC5495"/>
    <w:rsid w:val="00AD0D64"/>
    <w:rsid w:val="00AD3876"/>
    <w:rsid w:val="00AF55F8"/>
    <w:rsid w:val="00B057D9"/>
    <w:rsid w:val="00B10ABA"/>
    <w:rsid w:val="00B10CF4"/>
    <w:rsid w:val="00B134F8"/>
    <w:rsid w:val="00B1510A"/>
    <w:rsid w:val="00B1620E"/>
    <w:rsid w:val="00B2737A"/>
    <w:rsid w:val="00B33899"/>
    <w:rsid w:val="00B420D4"/>
    <w:rsid w:val="00B46BCF"/>
    <w:rsid w:val="00B50C13"/>
    <w:rsid w:val="00B515B1"/>
    <w:rsid w:val="00B57910"/>
    <w:rsid w:val="00B6144E"/>
    <w:rsid w:val="00B62B7F"/>
    <w:rsid w:val="00B663B6"/>
    <w:rsid w:val="00B80E2C"/>
    <w:rsid w:val="00B8545F"/>
    <w:rsid w:val="00B952F6"/>
    <w:rsid w:val="00BB272D"/>
    <w:rsid w:val="00BB405D"/>
    <w:rsid w:val="00BC093A"/>
    <w:rsid w:val="00BC4ACC"/>
    <w:rsid w:val="00BC4FCC"/>
    <w:rsid w:val="00BD02F8"/>
    <w:rsid w:val="00BD1617"/>
    <w:rsid w:val="00BE2C76"/>
    <w:rsid w:val="00BF72E0"/>
    <w:rsid w:val="00C04CA1"/>
    <w:rsid w:val="00C04F5C"/>
    <w:rsid w:val="00C217A8"/>
    <w:rsid w:val="00C26D50"/>
    <w:rsid w:val="00C27A92"/>
    <w:rsid w:val="00C30627"/>
    <w:rsid w:val="00C335A0"/>
    <w:rsid w:val="00C4188F"/>
    <w:rsid w:val="00C46A70"/>
    <w:rsid w:val="00C470E8"/>
    <w:rsid w:val="00C630CC"/>
    <w:rsid w:val="00C71F28"/>
    <w:rsid w:val="00C8009C"/>
    <w:rsid w:val="00C819A4"/>
    <w:rsid w:val="00C824AE"/>
    <w:rsid w:val="00C84EA8"/>
    <w:rsid w:val="00C850BE"/>
    <w:rsid w:val="00C878D0"/>
    <w:rsid w:val="00C92998"/>
    <w:rsid w:val="00CA3539"/>
    <w:rsid w:val="00CA385D"/>
    <w:rsid w:val="00CA6891"/>
    <w:rsid w:val="00CA720A"/>
    <w:rsid w:val="00CB2CAE"/>
    <w:rsid w:val="00CD1597"/>
    <w:rsid w:val="00CD5925"/>
    <w:rsid w:val="00CD628B"/>
    <w:rsid w:val="00CE557A"/>
    <w:rsid w:val="00CF555E"/>
    <w:rsid w:val="00CF6692"/>
    <w:rsid w:val="00CF6ED1"/>
    <w:rsid w:val="00CF76C6"/>
    <w:rsid w:val="00CF7EDC"/>
    <w:rsid w:val="00D031B2"/>
    <w:rsid w:val="00D05F02"/>
    <w:rsid w:val="00D07E3A"/>
    <w:rsid w:val="00D104E3"/>
    <w:rsid w:val="00D10802"/>
    <w:rsid w:val="00D121D9"/>
    <w:rsid w:val="00D12E2D"/>
    <w:rsid w:val="00D1410C"/>
    <w:rsid w:val="00D31B95"/>
    <w:rsid w:val="00D34244"/>
    <w:rsid w:val="00D35033"/>
    <w:rsid w:val="00D40D16"/>
    <w:rsid w:val="00D41853"/>
    <w:rsid w:val="00D548F0"/>
    <w:rsid w:val="00D5562D"/>
    <w:rsid w:val="00D57F79"/>
    <w:rsid w:val="00D6438C"/>
    <w:rsid w:val="00D64FAC"/>
    <w:rsid w:val="00D65704"/>
    <w:rsid w:val="00D668F6"/>
    <w:rsid w:val="00D66E69"/>
    <w:rsid w:val="00D723B9"/>
    <w:rsid w:val="00D77302"/>
    <w:rsid w:val="00D84875"/>
    <w:rsid w:val="00D87C7C"/>
    <w:rsid w:val="00D903BD"/>
    <w:rsid w:val="00D904F0"/>
    <w:rsid w:val="00D91378"/>
    <w:rsid w:val="00D91B18"/>
    <w:rsid w:val="00DA6AAF"/>
    <w:rsid w:val="00DA7680"/>
    <w:rsid w:val="00DB13F6"/>
    <w:rsid w:val="00DB3D8B"/>
    <w:rsid w:val="00DB62C6"/>
    <w:rsid w:val="00DC0747"/>
    <w:rsid w:val="00DC2647"/>
    <w:rsid w:val="00DC4D55"/>
    <w:rsid w:val="00DC66CD"/>
    <w:rsid w:val="00DD1408"/>
    <w:rsid w:val="00DD2891"/>
    <w:rsid w:val="00DD356D"/>
    <w:rsid w:val="00DD43D9"/>
    <w:rsid w:val="00DD5C7F"/>
    <w:rsid w:val="00DD6095"/>
    <w:rsid w:val="00DD6735"/>
    <w:rsid w:val="00DF0800"/>
    <w:rsid w:val="00DF10B4"/>
    <w:rsid w:val="00DF136A"/>
    <w:rsid w:val="00E0448C"/>
    <w:rsid w:val="00E13525"/>
    <w:rsid w:val="00E25D7D"/>
    <w:rsid w:val="00E34B5D"/>
    <w:rsid w:val="00E411FA"/>
    <w:rsid w:val="00E44AA2"/>
    <w:rsid w:val="00E47250"/>
    <w:rsid w:val="00E559DC"/>
    <w:rsid w:val="00E61535"/>
    <w:rsid w:val="00E66855"/>
    <w:rsid w:val="00E70C6E"/>
    <w:rsid w:val="00E715FB"/>
    <w:rsid w:val="00E755AC"/>
    <w:rsid w:val="00E81160"/>
    <w:rsid w:val="00E834E8"/>
    <w:rsid w:val="00E84012"/>
    <w:rsid w:val="00E87737"/>
    <w:rsid w:val="00E9373C"/>
    <w:rsid w:val="00EA0724"/>
    <w:rsid w:val="00EA0D8E"/>
    <w:rsid w:val="00EA2074"/>
    <w:rsid w:val="00EA4869"/>
    <w:rsid w:val="00EA6251"/>
    <w:rsid w:val="00EB1F01"/>
    <w:rsid w:val="00EB6414"/>
    <w:rsid w:val="00EC60D7"/>
    <w:rsid w:val="00ED5A3D"/>
    <w:rsid w:val="00ED5F24"/>
    <w:rsid w:val="00EE2697"/>
    <w:rsid w:val="00EE5747"/>
    <w:rsid w:val="00EF3804"/>
    <w:rsid w:val="00EF5E05"/>
    <w:rsid w:val="00F10252"/>
    <w:rsid w:val="00F1029F"/>
    <w:rsid w:val="00F1068E"/>
    <w:rsid w:val="00F227AF"/>
    <w:rsid w:val="00F27370"/>
    <w:rsid w:val="00F34D1C"/>
    <w:rsid w:val="00F3691A"/>
    <w:rsid w:val="00F407D3"/>
    <w:rsid w:val="00F40B00"/>
    <w:rsid w:val="00F44888"/>
    <w:rsid w:val="00F45F9E"/>
    <w:rsid w:val="00F46CA9"/>
    <w:rsid w:val="00F5341C"/>
    <w:rsid w:val="00F56954"/>
    <w:rsid w:val="00F72466"/>
    <w:rsid w:val="00F7766E"/>
    <w:rsid w:val="00F86C79"/>
    <w:rsid w:val="00F937B2"/>
    <w:rsid w:val="00F948AF"/>
    <w:rsid w:val="00FA0C74"/>
    <w:rsid w:val="00FA5A7B"/>
    <w:rsid w:val="00FA7DCB"/>
    <w:rsid w:val="00FB11B1"/>
    <w:rsid w:val="00FB41C9"/>
    <w:rsid w:val="00FD2A0A"/>
    <w:rsid w:val="00FE00E8"/>
    <w:rsid w:val="00FE2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05C34B0C-5D68-40CA-897B-2D255FF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B2CAE"/>
    <w:rPr>
      <w:sz w:val="16"/>
      <w:szCs w:val="16"/>
    </w:rPr>
  </w:style>
  <w:style w:type="paragraph" w:styleId="CommentText">
    <w:name w:val="annotation text"/>
    <w:basedOn w:val="Normal"/>
    <w:link w:val="CommentTextChar"/>
    <w:uiPriority w:val="99"/>
    <w:unhideWhenUsed/>
    <w:rsid w:val="00CB2CAE"/>
    <w:pPr>
      <w:spacing w:line="240" w:lineRule="auto"/>
    </w:pPr>
    <w:rPr>
      <w:sz w:val="20"/>
    </w:rPr>
  </w:style>
  <w:style w:type="character" w:customStyle="1" w:styleId="CommentTextChar">
    <w:name w:val="Comment Text Char"/>
    <w:basedOn w:val="DefaultParagraphFont"/>
    <w:link w:val="CommentText"/>
    <w:uiPriority w:val="99"/>
    <w:rsid w:val="00CB2CAE"/>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CB2CAE"/>
    <w:rPr>
      <w:b/>
      <w:bCs/>
    </w:rPr>
  </w:style>
  <w:style w:type="character" w:customStyle="1" w:styleId="CommentSubjectChar">
    <w:name w:val="Comment Subject Char"/>
    <w:basedOn w:val="CommentTextChar"/>
    <w:link w:val="CommentSubject"/>
    <w:uiPriority w:val="99"/>
    <w:semiHidden/>
    <w:rsid w:val="00CB2CAE"/>
    <w:rPr>
      <w:rFonts w:asciiTheme="minorHAnsi" w:hAnsiTheme="minorHAnsi"/>
      <w:b/>
      <w:bCs/>
      <w:color w:val="000000" w:themeColor="text1"/>
    </w:rPr>
  </w:style>
  <w:style w:type="paragraph" w:styleId="Revision">
    <w:name w:val="Revision"/>
    <w:hidden/>
    <w:uiPriority w:val="99"/>
    <w:semiHidden/>
    <w:rsid w:val="00B6144E"/>
    <w:rPr>
      <w:rFonts w:asciiTheme="minorHAnsi" w:hAnsiTheme="minorHAnsi"/>
      <w:color w:val="000000" w:themeColor="text1"/>
      <w:sz w:val="22"/>
    </w:rPr>
  </w:style>
  <w:style w:type="paragraph" w:customStyle="1" w:styleId="Bullet1">
    <w:name w:val="Bullet 1"/>
    <w:basedOn w:val="Normal"/>
    <w:qFormat/>
    <w:rsid w:val="008E0096"/>
    <w:pPr>
      <w:numPr>
        <w:numId w:val="21"/>
      </w:numPr>
      <w:suppressAutoHyphens/>
      <w:spacing w:before="120" w:after="60"/>
    </w:pPr>
    <w:rPr>
      <w:rFonts w:cstheme="minorBidi"/>
      <w:color w:val="auto"/>
      <w:szCs w:val="22"/>
    </w:rPr>
  </w:style>
  <w:style w:type="paragraph" w:customStyle="1" w:styleId="Bullet2">
    <w:name w:val="Bullet 2"/>
    <w:basedOn w:val="Bullet1"/>
    <w:qFormat/>
    <w:rsid w:val="008E0096"/>
    <w:pPr>
      <w:numPr>
        <w:ilvl w:val="1"/>
      </w:numPr>
    </w:pPr>
  </w:style>
  <w:style w:type="paragraph" w:customStyle="1" w:styleId="Bullet3">
    <w:name w:val="Bullet 3"/>
    <w:basedOn w:val="Bullet2"/>
    <w:qFormat/>
    <w:rsid w:val="008E0096"/>
    <w:pPr>
      <w:numPr>
        <w:ilvl w:val="2"/>
      </w:numPr>
    </w:pPr>
  </w:style>
  <w:style w:type="numbering" w:customStyle="1" w:styleId="BulletsList">
    <w:name w:val="Bullets List"/>
    <w:uiPriority w:val="99"/>
    <w:rsid w:val="008E0096"/>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31761205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548569467">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ants.gov.au/Fo/Show?FoUuid=5dfb2962-c6ac-4d8b-995d-5de87cfb24f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communitygrants.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6B980A-7172-49C2-A7F3-902BBC56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C66C9-20CF-4BBF-9DCD-2318401628A9}">
  <ds:schemaRefs>
    <ds:schemaRef ds:uri="http://schemas.microsoft.com/sharepoint/v3/contenttype/forms"/>
  </ds:schemaRefs>
</ds:datastoreItem>
</file>

<file path=customXml/itemProps4.xml><?xml version="1.0" encoding="utf-8"?>
<ds:datastoreItem xmlns:ds="http://schemas.openxmlformats.org/officeDocument/2006/customXml" ds:itemID="{EFD5BD12-FF6D-4679-A232-DAD9BDA0FC1B}">
  <ds:schemaRefs>
    <ds:schemaRef ds:uri="7407170d-51d3-4300-86b5-46709795e4a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de5a0c-838e-4fa2-b328-8d94eb1863ff"/>
    <ds:schemaRef ds:uri="http://www.w3.org/XML/1998/namespace"/>
    <ds:schemaRef ds:uri="http://purl.org/dc/dcmitype/"/>
  </ds:schemaRefs>
</ds:datastoreItem>
</file>

<file path=customXml/itemProps5.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927</Words>
  <Characters>5489</Characters>
  <DocSecurity>0</DocSecurity>
  <Lines>91</Lines>
  <Paragraphs>46</Paragraphs>
  <ScaleCrop>false</ScaleCrop>
  <HeadingPairs>
    <vt:vector size="2" baseType="variant">
      <vt:variant>
        <vt:lpstr>Title</vt:lpstr>
      </vt:variant>
      <vt:variant>
        <vt:i4>1</vt:i4>
      </vt:variant>
    </vt:vector>
  </HeadingPairs>
  <TitlesOfParts>
    <vt:vector size="1" baseType="lpstr">
      <vt:lpstr>Veteran Wellbeing Grants (VWG) Program 2024–25 - General feedback</vt:lpstr>
    </vt:vector>
  </TitlesOfParts>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Volunteer Grants - General feedback</dc:title>
  <cp:lastPrinted>2025-05-28T00:05:00Z</cp:lastPrinted>
  <dcterms:created xsi:type="dcterms:W3CDTF">2025-06-18T03:16:00Z</dcterms:created>
  <dcterms:modified xsi:type="dcterms:W3CDTF">2025-07-30T01:07:00Z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576F151FD6551BB9E29880A866F501F56DFF7E76</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4724DA985C6B4D8B0EAADFDD3F47EC68</vt:lpwstr>
  </property>
  <property fmtid="{D5CDD505-2E9C-101B-9397-08002B2CF9AE}" pid="21" name="PM_Hash_Salt">
    <vt:lpwstr>FB2FE459347ADF8158FF6827E1357E5E</vt:lpwstr>
  </property>
  <property fmtid="{D5CDD505-2E9C-101B-9397-08002B2CF9AE}" pid="22" name="PM_Hash_SHA1">
    <vt:lpwstr>D632ACFFB2F4BEAFFDA9B234DDE11EEA04452CE1</vt:lpwstr>
  </property>
  <property fmtid="{D5CDD505-2E9C-101B-9397-08002B2CF9AE}" pid="23" name="PM_OriginatorUserAccountName_SHA256">
    <vt:lpwstr>E74FCD027C54804832A5F4A449BB9243CB405E8CE3E829D124AC8952E499F17E</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v=2022.1;a=SHA256;h=61015405093928486D18B1CB03BE4AD83D3C1C7B843EBAEA85F2A3BEF563E435</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fc0c8f5582a1445d9ff0a21827866861</vt:lpwstr>
  </property>
  <property fmtid="{D5CDD505-2E9C-101B-9397-08002B2CF9AE}" pid="35" name="PMUuid">
    <vt:lpwstr>v=2022.2;d=gov.au;g=46DD6D7C-8107-577B-BC6E-F348953B2E44</vt:lpwstr>
  </property>
  <property fmtid="{D5CDD505-2E9C-101B-9397-08002B2CF9AE}" pid="36" name="ContentTypeId">
    <vt:lpwstr>0x0101009E46FF65C11D434B849394B55C1749B3</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ies>
</file>