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991B6E">
      <w:pPr>
        <w:pStyle w:val="BodyText"/>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9"/>
                    <a:stretch>
                      <a:fillRect/>
                    </a:stretch>
                  </pic:blipFill>
                  <pic:spPr>
                    <a:xfrm>
                      <a:off x="0" y="0"/>
                      <a:ext cx="7109002" cy="1405417"/>
                    </a:xfrm>
                    <a:prstGeom prst="rect">
                      <a:avLst/>
                    </a:prstGeom>
                  </pic:spPr>
                </pic:pic>
              </a:graphicData>
            </a:graphic>
          </wp:inline>
        </w:drawing>
      </w:r>
    </w:p>
    <w:p w14:paraId="151CE1A4" w14:textId="0AAB291E" w:rsidR="00A92ECD" w:rsidRDefault="0096458C" w:rsidP="00DE1694">
      <w:pPr>
        <w:pStyle w:val="Heading1"/>
        <w:spacing w:line="240" w:lineRule="auto"/>
        <w:rPr>
          <w:rFonts w:asciiTheme="majorHAnsi" w:hAnsiTheme="majorHAnsi" w:cstheme="majorHAnsi"/>
        </w:rPr>
      </w:pPr>
      <w:r w:rsidRPr="004E456F">
        <w:rPr>
          <w:rFonts w:asciiTheme="majorHAnsi" w:hAnsiTheme="majorHAnsi"/>
          <w:iCs/>
          <w:color w:val="C00000"/>
        </w:rPr>
        <w:t>2024–25 Volunteer Grants</w:t>
      </w:r>
      <w:r>
        <w:rPr>
          <w:rFonts w:asciiTheme="majorHAnsi" w:hAnsiTheme="majorHAnsi"/>
          <w:iCs/>
          <w:color w:val="C00000"/>
        </w:rPr>
        <w:t>: Hinkler</w:t>
      </w:r>
    </w:p>
    <w:p w14:paraId="32C0E5B4" w14:textId="6919495A" w:rsidR="00466CFC" w:rsidRPr="00466CFC" w:rsidRDefault="00466CFC" w:rsidP="00466CFC">
      <w:pPr>
        <w:pBdr>
          <w:bottom w:val="single" w:sz="4" w:space="5" w:color="000000" w:themeColor="text1"/>
        </w:pBdr>
        <w:spacing w:before="120" w:line="240" w:lineRule="auto"/>
        <w:rPr>
          <w:rFonts w:asciiTheme="majorHAnsi" w:eastAsiaTheme="majorEastAsia" w:hAnsiTheme="majorHAnsi" w:cstheme="majorBidi"/>
          <w:iCs/>
          <w:sz w:val="30"/>
          <w:szCs w:val="24"/>
        </w:rPr>
      </w:pPr>
      <w:r w:rsidRPr="00466CFC">
        <w:rPr>
          <w:rFonts w:asciiTheme="majorHAnsi" w:eastAsiaTheme="majorEastAsia" w:hAnsiTheme="majorHAnsi" w:cstheme="majorBidi"/>
          <w:iCs/>
          <w:sz w:val="30"/>
          <w:szCs w:val="24"/>
        </w:rPr>
        <w:t xml:space="preserve">Feedback for </w:t>
      </w:r>
      <w:r w:rsidR="0096458C">
        <w:rPr>
          <w:rFonts w:asciiTheme="majorHAnsi" w:eastAsiaTheme="majorEastAsia" w:hAnsiTheme="majorHAnsi" w:cstheme="majorBidi"/>
          <w:iCs/>
          <w:sz w:val="30"/>
          <w:szCs w:val="24"/>
        </w:rPr>
        <w:t>a</w:t>
      </w:r>
      <w:r w:rsidRPr="00466CFC">
        <w:rPr>
          <w:rFonts w:asciiTheme="majorHAnsi" w:eastAsiaTheme="majorEastAsia" w:hAnsiTheme="majorHAnsi" w:cstheme="majorBidi"/>
          <w:iCs/>
          <w:sz w:val="30"/>
          <w:szCs w:val="24"/>
        </w:rPr>
        <w:t>pplicants</w:t>
      </w:r>
    </w:p>
    <w:p w14:paraId="28CD4094" w14:textId="2C237640" w:rsidR="0096458C" w:rsidRPr="004E456F" w:rsidRDefault="0096458C" w:rsidP="0096458C">
      <w:pPr>
        <w:spacing w:before="120" w:after="120"/>
        <w:rPr>
          <w:color w:val="auto"/>
        </w:rPr>
      </w:pPr>
      <w:r w:rsidRPr="004E456F">
        <w:rPr>
          <w:color w:val="auto"/>
        </w:rPr>
        <w:t xml:space="preserve">The </w:t>
      </w:r>
      <w:r w:rsidRPr="004E456F">
        <w:rPr>
          <w:rFonts w:eastAsia="Arial"/>
        </w:rPr>
        <w:t xml:space="preserve">Department of Social Services </w:t>
      </w:r>
      <w:r w:rsidRPr="004E456F">
        <w:rPr>
          <w:color w:val="auto"/>
        </w:rPr>
        <w:t xml:space="preserve">(the </w:t>
      </w:r>
      <w:r w:rsidR="00B641EE">
        <w:rPr>
          <w:color w:val="auto"/>
        </w:rPr>
        <w:t>d</w:t>
      </w:r>
      <w:r w:rsidRPr="004E456F">
        <w:rPr>
          <w:color w:val="auto"/>
        </w:rPr>
        <w:t>epartment) has provided the following general feedback for applicants of the</w:t>
      </w:r>
      <w:r w:rsidRPr="004E456F">
        <w:rPr>
          <w:rFonts w:eastAsia="Arial"/>
        </w:rPr>
        <w:t xml:space="preserve"> </w:t>
      </w:r>
      <w:r w:rsidRPr="00D92FF8">
        <w:rPr>
          <w:color w:val="auto"/>
        </w:rPr>
        <w:t xml:space="preserve">Closed Non-Competitive </w:t>
      </w:r>
      <w:r w:rsidRPr="004E456F">
        <w:rPr>
          <w:color w:val="auto"/>
        </w:rPr>
        <w:t>2024–25 Volunteer Grants</w:t>
      </w:r>
      <w:r>
        <w:rPr>
          <w:color w:val="auto"/>
        </w:rPr>
        <w:t>: Hinkler</w:t>
      </w:r>
      <w:r w:rsidRPr="004E456F">
        <w:rPr>
          <w:color w:val="auto"/>
        </w:rPr>
        <w:t xml:space="preserve"> grant opportunity.</w:t>
      </w:r>
    </w:p>
    <w:p w14:paraId="76CCC210" w14:textId="65332E34" w:rsidR="00A92ECD" w:rsidRPr="00B26492" w:rsidRDefault="0096458C" w:rsidP="0096458C">
      <w:pPr>
        <w:pStyle w:val="BodyText"/>
      </w:pPr>
      <w:r w:rsidRPr="004E456F">
        <w:t xml:space="preserve">Assessment of applications was in accordance with the procedure detailed in the </w:t>
      </w:r>
      <w:r>
        <w:t>G</w:t>
      </w:r>
      <w:r w:rsidRPr="004E456F">
        <w:t xml:space="preserve">rant </w:t>
      </w:r>
      <w:r>
        <w:t>O</w:t>
      </w:r>
      <w:r w:rsidRPr="004E456F">
        <w:t xml:space="preserve">pportunity </w:t>
      </w:r>
      <w:r>
        <w:t>G</w:t>
      </w:r>
      <w:r w:rsidRPr="004E456F">
        <w:t>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275DD20A" w14:textId="77777777" w:rsidR="0096458C" w:rsidRPr="0096458C" w:rsidRDefault="0096458C" w:rsidP="0096458C">
      <w:pPr>
        <w:pStyle w:val="BodyText"/>
        <w:spacing w:after="120"/>
        <w:rPr>
          <w:color w:val="auto"/>
        </w:rPr>
      </w:pPr>
      <w:r w:rsidRPr="0096458C">
        <w:rPr>
          <w:color w:val="auto"/>
        </w:rPr>
        <w:t xml:space="preserve">The application submission period opened on </w:t>
      </w:r>
      <w:r w:rsidRPr="0096458C">
        <w:rPr>
          <w:rFonts w:eastAsia="Arial"/>
        </w:rPr>
        <w:t xml:space="preserve">22 September 2025 </w:t>
      </w:r>
      <w:r w:rsidRPr="0096458C">
        <w:rPr>
          <w:color w:val="auto"/>
        </w:rPr>
        <w:t xml:space="preserve">and closed on </w:t>
      </w:r>
      <w:r w:rsidRPr="0096458C">
        <w:rPr>
          <w:rFonts w:eastAsia="Arial"/>
        </w:rPr>
        <w:t>3</w:t>
      </w:r>
      <w:r w:rsidRPr="0096458C">
        <w:rPr>
          <w:rFonts w:eastAsia="Arial"/>
        </w:rPr>
        <w:noBreakHyphen/>
        <w:t>October 2025.</w:t>
      </w:r>
    </w:p>
    <w:p w14:paraId="0E6FE55D" w14:textId="773DFB76" w:rsidR="00A92ECD" w:rsidRPr="00BD5EF2" w:rsidRDefault="0096458C" w:rsidP="0096458C">
      <w:pPr>
        <w:pStyle w:val="BodyText"/>
        <w:spacing w:after="120"/>
      </w:pPr>
      <w:r w:rsidRPr="0096458C">
        <w:t xml:space="preserve">The electorate based, closed, non-competitive selection process was designed to ensure grant funding addresses local priorities and achieves an equitable geographic distribution of funding. The Member of Parliament (MP) in collaboration with his community committee, nominated organisations to apply for funding. Due to the resignation of the previous Federal MP for Hinkler in January 2025, the 2024–25 Volunteer Grants process for this electorate was deferred until a new Federal MP was elected. The nomination period for the MP for Hinkler to submit their nominations closed on 11 July 2025. The </w:t>
      </w:r>
      <w:r w:rsidR="00B641EE">
        <w:t>d</w:t>
      </w:r>
      <w:r w:rsidRPr="0096458C">
        <w:t xml:space="preserve">epartment subsequently invited the nominated organisations to apply. The </w:t>
      </w:r>
      <w:r w:rsidR="00B641EE">
        <w:t>d</w:t>
      </w:r>
      <w:r w:rsidRPr="0096458C">
        <w:t>epartment considered all applications in line with the guidelines.</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5C027D62" w14:textId="297BB20C" w:rsidR="0096458C" w:rsidRPr="00854ACD" w:rsidRDefault="0096458C" w:rsidP="0096458C">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w:t>
      </w:r>
      <w:r w:rsidR="00B641EE">
        <w:t>d</w:t>
      </w:r>
      <w:r>
        <w:t xml:space="preserve">epartment’s grant opportunity delegate </w:t>
      </w:r>
      <w:r>
        <w:rPr>
          <w:color w:val="auto"/>
        </w:rPr>
        <w:t xml:space="preserve">for the </w:t>
      </w:r>
      <w:r w:rsidRPr="00854ACD">
        <w:rPr>
          <w:color w:val="auto"/>
        </w:rPr>
        <w:t xml:space="preserve">final decision on whether an application </w:t>
      </w:r>
      <w:r>
        <w:rPr>
          <w:color w:val="auto"/>
        </w:rPr>
        <w:t>met the eligibility and</w:t>
      </w:r>
      <w:r w:rsidRPr="00854ACD">
        <w:rPr>
          <w:color w:val="auto"/>
        </w:rPr>
        <w:t xml:space="preserve"> compliance criteria.</w:t>
      </w:r>
    </w:p>
    <w:p w14:paraId="6690FD87" w14:textId="3060AF75" w:rsidR="0096458C" w:rsidRDefault="0096458C" w:rsidP="0096458C">
      <w:pPr>
        <w:spacing w:before="120" w:after="120"/>
        <w:rPr>
          <w:color w:val="auto"/>
        </w:rPr>
      </w:pPr>
      <w:r>
        <w:rPr>
          <w:color w:val="auto"/>
        </w:rPr>
        <w:t xml:space="preserve">The </w:t>
      </w:r>
      <w:r w:rsidR="00B641EE">
        <w:rPr>
          <w:color w:val="auto"/>
        </w:rPr>
        <w:t>d</w:t>
      </w:r>
      <w:r>
        <w:rPr>
          <w:color w:val="auto"/>
        </w:rPr>
        <w:t xml:space="preserve">epartment </w:t>
      </w:r>
      <w:r w:rsidRPr="00854ACD">
        <w:rPr>
          <w:color w:val="auto"/>
        </w:rPr>
        <w:t xml:space="preserve">assessed and considered </w:t>
      </w:r>
      <w:r w:rsidRPr="00BC7C1B">
        <w:rPr>
          <w:color w:val="auto"/>
        </w:rPr>
        <w:t xml:space="preserve">all </w:t>
      </w:r>
      <w:r w:rsidRPr="00854ACD">
        <w:rPr>
          <w:color w:val="auto"/>
        </w:rPr>
        <w:t xml:space="preserve">applications through </w:t>
      </w:r>
      <w:r w:rsidRPr="004E456F">
        <w:rPr>
          <w:color w:val="auto"/>
        </w:rPr>
        <w:t xml:space="preserve">a </w:t>
      </w:r>
      <w:r>
        <w:rPr>
          <w:color w:val="auto"/>
        </w:rPr>
        <w:t>c</w:t>
      </w:r>
      <w:r w:rsidRPr="004E456F">
        <w:rPr>
          <w:color w:val="auto"/>
        </w:rPr>
        <w:t xml:space="preserve">losed </w:t>
      </w:r>
      <w:r w:rsidRPr="00D92FF8">
        <w:rPr>
          <w:color w:val="auto"/>
        </w:rPr>
        <w:t>non-competitive</w:t>
      </w:r>
      <w:r w:rsidRPr="004E456F">
        <w:rPr>
          <w:color w:val="auto"/>
        </w:rPr>
        <w:t xml:space="preserve"> grant</w:t>
      </w:r>
      <w:r>
        <w:rPr>
          <w:color w:val="auto"/>
        </w:rPr>
        <w:t xml:space="preserve"> process.</w:t>
      </w:r>
    </w:p>
    <w:p w14:paraId="635B1795" w14:textId="77777777" w:rsidR="0096458C" w:rsidRPr="0096458C" w:rsidRDefault="0096458C" w:rsidP="0096458C">
      <w:pPr>
        <w:pStyle w:val="BodyText"/>
        <w:rPr>
          <w:color w:val="auto"/>
        </w:rPr>
      </w:pPr>
      <w:r w:rsidRPr="0096458C">
        <w:rPr>
          <w:color w:val="auto"/>
        </w:rPr>
        <w:t>Consideration of assessed applications was based on:</w:t>
      </w:r>
    </w:p>
    <w:p w14:paraId="38A48C6A" w14:textId="7DCA43FC" w:rsidR="0096458C" w:rsidRPr="0096458C" w:rsidRDefault="00D563A5" w:rsidP="0096458C">
      <w:pPr>
        <w:pStyle w:val="BodyText"/>
        <w:numPr>
          <w:ilvl w:val="0"/>
          <w:numId w:val="10"/>
        </w:numPr>
        <w:rPr>
          <w:color w:val="auto"/>
        </w:rPr>
      </w:pPr>
      <w:r>
        <w:rPr>
          <w:color w:val="auto"/>
        </w:rPr>
        <w:t>M</w:t>
      </w:r>
      <w:r w:rsidR="0096458C" w:rsidRPr="0096458C">
        <w:rPr>
          <w:color w:val="auto"/>
        </w:rPr>
        <w:t>eeting the compliance requirements specified in the guidelines</w:t>
      </w:r>
      <w:r>
        <w:rPr>
          <w:color w:val="auto"/>
        </w:rPr>
        <w:t>.</w:t>
      </w:r>
    </w:p>
    <w:p w14:paraId="1BAB9DD2" w14:textId="539F2038" w:rsidR="0096458C" w:rsidRPr="0096458C" w:rsidRDefault="0096458C" w:rsidP="0096458C">
      <w:pPr>
        <w:pStyle w:val="BodyText"/>
        <w:numPr>
          <w:ilvl w:val="0"/>
          <w:numId w:val="10"/>
        </w:numPr>
        <w:rPr>
          <w:color w:val="auto"/>
        </w:rPr>
      </w:pPr>
      <w:r w:rsidRPr="0096458C">
        <w:rPr>
          <w:color w:val="auto"/>
        </w:rPr>
        <w:t>Meeting the eligibility requirements specified in the guidelines</w:t>
      </w:r>
      <w:r w:rsidR="00D563A5">
        <w:rPr>
          <w:color w:val="auto"/>
        </w:rPr>
        <w:t>.</w:t>
      </w:r>
    </w:p>
    <w:p w14:paraId="21D23691" w14:textId="4EB9C983" w:rsidR="0096458C" w:rsidRPr="0096458C" w:rsidRDefault="0096458C" w:rsidP="0096458C">
      <w:pPr>
        <w:pStyle w:val="BodyText"/>
        <w:numPr>
          <w:ilvl w:val="0"/>
          <w:numId w:val="10"/>
        </w:numPr>
        <w:rPr>
          <w:color w:val="auto"/>
        </w:rPr>
      </w:pPr>
      <w:r w:rsidRPr="0096458C">
        <w:rPr>
          <w:color w:val="auto"/>
        </w:rPr>
        <w:t>Whether the project demonstrated value with relevant money</w:t>
      </w:r>
    </w:p>
    <w:p w14:paraId="514F0657" w14:textId="058CE6CC" w:rsidR="005B0A0F" w:rsidRPr="0096458C" w:rsidRDefault="0096458C" w:rsidP="0096458C">
      <w:pPr>
        <w:pStyle w:val="BodyText"/>
        <w:numPr>
          <w:ilvl w:val="0"/>
          <w:numId w:val="10"/>
        </w:numPr>
        <w:spacing w:before="40" w:after="120"/>
        <w:rPr>
          <w:color w:val="auto"/>
        </w:rPr>
      </w:pPr>
      <w:r w:rsidRPr="0096458C">
        <w:rPr>
          <w:color w:val="auto"/>
        </w:rPr>
        <w:t>Identified risks and the proposed mitigation strategies</w:t>
      </w:r>
      <w:r w:rsidR="00D563A5">
        <w:rPr>
          <w:color w:val="auto"/>
        </w:rPr>
        <w:t>.</w:t>
      </w:r>
    </w:p>
    <w:p w14:paraId="4FE8856C" w14:textId="77777777" w:rsidR="00865AA2" w:rsidRDefault="00865AA2">
      <w:pPr>
        <w:spacing w:line="240" w:lineRule="auto"/>
        <w:rPr>
          <w:rFonts w:asciiTheme="majorHAnsi" w:eastAsiaTheme="majorEastAsia" w:hAnsiTheme="majorHAnsi" w:cstheme="majorHAnsi"/>
          <w:bCs/>
          <w:color w:val="A6192E"/>
          <w:sz w:val="36"/>
          <w:szCs w:val="52"/>
        </w:rPr>
      </w:pPr>
      <w:r>
        <w:rPr>
          <w:rFonts w:asciiTheme="majorHAnsi" w:hAnsiTheme="majorHAnsi" w:cstheme="majorHAnsi"/>
        </w:rPr>
        <w:br w:type="page"/>
      </w:r>
    </w:p>
    <w:p w14:paraId="2BD2B93F" w14:textId="3A1B99D0" w:rsidR="00A92ECD" w:rsidRPr="00817C12" w:rsidRDefault="00A92ECD" w:rsidP="00A92ECD">
      <w:pPr>
        <w:pStyle w:val="Heading2"/>
        <w:rPr>
          <w:color w:val="C00000"/>
          <w:sz w:val="28"/>
          <w:szCs w:val="28"/>
        </w:rPr>
      </w:pPr>
      <w:r w:rsidRPr="00A92ECD">
        <w:rPr>
          <w:rFonts w:asciiTheme="majorHAnsi" w:hAnsiTheme="majorHAnsi" w:cstheme="majorHAnsi"/>
        </w:rPr>
        <w:lastRenderedPageBreak/>
        <w:t>Selection Results</w:t>
      </w:r>
    </w:p>
    <w:p w14:paraId="26621553" w14:textId="77777777" w:rsidR="0096458C" w:rsidRPr="004E456F" w:rsidRDefault="0096458C" w:rsidP="0096458C">
      <w:pPr>
        <w:pStyle w:val="BodyText"/>
        <w:rPr>
          <w:color w:val="auto"/>
        </w:rPr>
      </w:pPr>
      <w:r>
        <w:t xml:space="preserve">There was a strong interest in the grant opportunity and applications were of a high </w:t>
      </w:r>
      <w:r w:rsidRPr="004E456F">
        <w:t xml:space="preserve">standard. </w:t>
      </w:r>
      <w:r w:rsidRPr="004E456F">
        <w:rPr>
          <w:color w:val="auto"/>
        </w:rPr>
        <w:t xml:space="preserve">The </w:t>
      </w:r>
      <w:r>
        <w:rPr>
          <w:color w:val="auto"/>
        </w:rPr>
        <w:t>successful</w:t>
      </w:r>
      <w:r w:rsidRPr="004E456F">
        <w:rPr>
          <w:color w:val="auto"/>
        </w:rPr>
        <w:t xml:space="preserve"> applicants demonstrated their ability to meet the grant requirements outlined in the guidelines.</w:t>
      </w:r>
    </w:p>
    <w:p w14:paraId="0E65554E" w14:textId="1BD8D078" w:rsidR="00A92ECD" w:rsidRDefault="0096458C" w:rsidP="0096458C">
      <w:pPr>
        <w:pStyle w:val="BodyText"/>
      </w:pPr>
      <w:r w:rsidRPr="004E456F">
        <w:rPr>
          <w:rStyle w:val="ui-provider"/>
          <w:color w:val="auto"/>
        </w:rPr>
        <w:t>The Hub</w:t>
      </w:r>
      <w:r>
        <w:rPr>
          <w:rStyle w:val="ui-provider"/>
          <w:color w:val="auto"/>
        </w:rPr>
        <w:t xml:space="preserve"> </w:t>
      </w:r>
      <w:r>
        <w:rPr>
          <w:rStyle w:val="ui-provider"/>
        </w:rPr>
        <w:t>notified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5CE5F30F" w14:textId="6AAE2F0B" w:rsidR="0096458C" w:rsidRPr="0096458C" w:rsidRDefault="0096458C" w:rsidP="00A92ECD">
      <w:pPr>
        <w:pStyle w:val="Heading2"/>
        <w:rPr>
          <w:rFonts w:asciiTheme="majorHAnsi" w:hAnsiTheme="majorHAnsi" w:cstheme="majorHAnsi"/>
          <w:bCs w:val="0"/>
          <w:color w:val="C00000"/>
          <w:szCs w:val="36"/>
        </w:rPr>
      </w:pPr>
      <w:r w:rsidRPr="0096458C">
        <w:rPr>
          <w:rFonts w:asciiTheme="majorHAnsi" w:hAnsiTheme="majorHAnsi" w:cstheme="majorHAnsi"/>
          <w:bCs w:val="0"/>
          <w:color w:val="C00000"/>
          <w:szCs w:val="36"/>
        </w:rPr>
        <w:t>General feedback</w:t>
      </w:r>
    </w:p>
    <w:p w14:paraId="0BE87E78" w14:textId="045B71CA" w:rsidR="0096458C" w:rsidRPr="0096458C" w:rsidRDefault="0096458C" w:rsidP="0096458C">
      <w:pPr>
        <w:pStyle w:val="BodyText"/>
      </w:pPr>
      <w:r>
        <w:t xml:space="preserve">This feedback is to assist grant applicants to understand for this grant opportunity what generally comprised a strong application and provides guidance in completing applications for </w:t>
      </w:r>
      <w:r w:rsidRPr="0096458C">
        <w:t>future rounds.</w:t>
      </w:r>
    </w:p>
    <w:p w14:paraId="13122642" w14:textId="77777777" w:rsidR="0096458C" w:rsidRPr="0096458C" w:rsidRDefault="0096458C" w:rsidP="0096458C">
      <w:pPr>
        <w:pStyle w:val="Heading3"/>
        <w:spacing w:before="120"/>
        <w:rPr>
          <w:rFonts w:asciiTheme="majorHAnsi" w:hAnsiTheme="majorHAnsi" w:cstheme="majorHAnsi"/>
          <w:b/>
          <w:bCs w:val="0"/>
          <w:color w:val="C00000"/>
          <w:sz w:val="24"/>
          <w:szCs w:val="24"/>
        </w:rPr>
      </w:pPr>
      <w:r w:rsidRPr="0096458C">
        <w:rPr>
          <w:rFonts w:asciiTheme="majorHAnsi" w:hAnsiTheme="majorHAnsi" w:cstheme="majorHAnsi"/>
          <w:b/>
          <w:bCs w:val="0"/>
          <w:color w:val="C00000"/>
          <w:sz w:val="24"/>
          <w:szCs w:val="24"/>
        </w:rPr>
        <w:t>Read the supporting information before applying</w:t>
      </w:r>
    </w:p>
    <w:p w14:paraId="322329D2" w14:textId="64AD0856" w:rsidR="0096458C" w:rsidRPr="0096458C" w:rsidRDefault="0096458C" w:rsidP="0096458C">
      <w:pPr>
        <w:pStyle w:val="BodyText"/>
        <w:numPr>
          <w:ilvl w:val="0"/>
          <w:numId w:val="13"/>
        </w:numPr>
        <w:ind w:left="567" w:hanging="283"/>
      </w:pPr>
      <w:r w:rsidRPr="0096458C">
        <w:t xml:space="preserve">It is important to read all the available information provided about the Volunteer Grants grant opportunity when applying for funding, especially the guidelines available on the </w:t>
      </w:r>
      <w:hyperlink r:id="rId10" w:history="1">
        <w:r w:rsidRPr="0096458C">
          <w:rPr>
            <w:rStyle w:val="Hyperlink"/>
          </w:rPr>
          <w:t>GrantConnect</w:t>
        </w:r>
      </w:hyperlink>
      <w:r w:rsidR="00DD5E47">
        <w:rPr>
          <w:rStyle w:val="FootnoteReference"/>
        </w:rPr>
        <w:footnoteReference w:id="1"/>
      </w:r>
      <w:r w:rsidRPr="0096458C">
        <w:t xml:space="preserve"> website. The guidelines were specific to the 2024–25 Volunteer Grants round and contained information about the purpose of the Volunteer Grants program, eligibility and compliance requirements, timeframes and how to apply.</w:t>
      </w:r>
    </w:p>
    <w:p w14:paraId="53DC9252" w14:textId="6A890F51" w:rsidR="0096458C" w:rsidRPr="0096458C" w:rsidRDefault="0096458C" w:rsidP="0096458C">
      <w:pPr>
        <w:pStyle w:val="BodyText"/>
        <w:numPr>
          <w:ilvl w:val="0"/>
          <w:numId w:val="13"/>
        </w:numPr>
        <w:ind w:left="567" w:hanging="283"/>
        <w:rPr>
          <w:rFonts w:asciiTheme="majorHAnsi" w:hAnsiTheme="majorHAnsi" w:cstheme="majorHAnsi"/>
        </w:rPr>
      </w:pPr>
      <w:r w:rsidRPr="0096458C">
        <w:t>The application form also included guidance to help applicants respond to questions</w:t>
      </w:r>
      <w:r w:rsidR="00DD5E47">
        <w:t>.</w:t>
      </w:r>
    </w:p>
    <w:p w14:paraId="4DD2E478" w14:textId="77777777" w:rsidR="0096458C" w:rsidRPr="0096458C" w:rsidRDefault="0096458C" w:rsidP="0096458C">
      <w:pPr>
        <w:pStyle w:val="BodyText"/>
        <w:rPr>
          <w:color w:val="C00000"/>
          <w:sz w:val="24"/>
          <w:szCs w:val="24"/>
        </w:rPr>
      </w:pPr>
      <w:r w:rsidRPr="0096458C">
        <w:rPr>
          <w:rFonts w:asciiTheme="majorHAnsi" w:eastAsiaTheme="majorEastAsia" w:hAnsiTheme="majorHAnsi" w:cstheme="majorBidi"/>
          <w:b/>
          <w:bCs/>
          <w:color w:val="C00000"/>
          <w:sz w:val="24"/>
          <w:szCs w:val="24"/>
        </w:rPr>
        <w:t>Review the application form prior to submission</w:t>
      </w:r>
    </w:p>
    <w:p w14:paraId="2AC8CF94" w14:textId="0057EC7C" w:rsidR="0096458C" w:rsidRPr="0096458C" w:rsidRDefault="0096458C" w:rsidP="0096458C">
      <w:pPr>
        <w:pStyle w:val="Bullet2"/>
        <w:numPr>
          <w:ilvl w:val="0"/>
          <w:numId w:val="15"/>
        </w:numPr>
        <w:spacing w:before="40" w:after="120"/>
        <w:ind w:left="567"/>
        <w:rPr>
          <w:rFonts w:asciiTheme="majorHAnsi" w:eastAsiaTheme="majorEastAsia" w:hAnsiTheme="majorHAnsi" w:cstheme="majorBidi"/>
          <w:bCs/>
        </w:rPr>
      </w:pPr>
      <w:r w:rsidRPr="0096458C">
        <w:rPr>
          <w:rFonts w:asciiTheme="majorHAnsi" w:eastAsiaTheme="majorEastAsia" w:hAnsiTheme="majorHAnsi" w:cstheme="majorBidi"/>
          <w:bCs/>
        </w:rPr>
        <w:t>Applicants were encouraged to check their application form for completeness and accuracy prior to submission, including:</w:t>
      </w:r>
    </w:p>
    <w:p w14:paraId="74D025FF" w14:textId="77777777" w:rsidR="0096458C" w:rsidRPr="0096458C" w:rsidRDefault="0096458C" w:rsidP="0096458C">
      <w:pPr>
        <w:pStyle w:val="Bullet2"/>
        <w:numPr>
          <w:ilvl w:val="0"/>
          <w:numId w:val="16"/>
        </w:numPr>
        <w:spacing w:before="40" w:after="120"/>
        <w:ind w:left="851"/>
        <w:rPr>
          <w:rFonts w:asciiTheme="majorHAnsi" w:eastAsiaTheme="majorEastAsia" w:hAnsiTheme="majorHAnsi" w:cstheme="majorBidi"/>
          <w:bCs/>
        </w:rPr>
      </w:pPr>
      <w:r w:rsidRPr="0096458C">
        <w:rPr>
          <w:rFonts w:asciiTheme="majorHAnsi" w:eastAsiaTheme="majorEastAsia" w:hAnsiTheme="majorHAnsi" w:cstheme="majorBidi"/>
          <w:bCs/>
        </w:rPr>
        <w:t xml:space="preserve">all mandatory fields were filled, </w:t>
      </w:r>
      <w:proofErr w:type="gramStart"/>
      <w:r w:rsidRPr="0096458C">
        <w:rPr>
          <w:rFonts w:asciiTheme="majorHAnsi" w:eastAsiaTheme="majorEastAsia" w:hAnsiTheme="majorHAnsi" w:cstheme="majorBidi"/>
          <w:bCs/>
        </w:rPr>
        <w:t>in particular bank</w:t>
      </w:r>
      <w:proofErr w:type="gramEnd"/>
      <w:r w:rsidRPr="0096458C">
        <w:rPr>
          <w:rFonts w:asciiTheme="majorHAnsi" w:eastAsiaTheme="majorEastAsia" w:hAnsiTheme="majorHAnsi" w:cstheme="majorBidi"/>
          <w:bCs/>
        </w:rPr>
        <w:t xml:space="preserve"> account and contact details</w:t>
      </w:r>
    </w:p>
    <w:p w14:paraId="704EA18B" w14:textId="77777777" w:rsidR="0096458C" w:rsidRPr="0096458C" w:rsidRDefault="0096458C" w:rsidP="0096458C">
      <w:pPr>
        <w:pStyle w:val="Bullet2"/>
        <w:numPr>
          <w:ilvl w:val="0"/>
          <w:numId w:val="16"/>
        </w:numPr>
        <w:spacing w:before="40" w:after="120"/>
        <w:ind w:left="851"/>
        <w:rPr>
          <w:rFonts w:asciiTheme="majorHAnsi" w:eastAsiaTheme="majorEastAsia" w:hAnsiTheme="majorHAnsi" w:cstheme="majorBidi"/>
          <w:bCs/>
        </w:rPr>
      </w:pPr>
      <w:r w:rsidRPr="0096458C">
        <w:rPr>
          <w:rFonts w:asciiTheme="majorHAnsi" w:eastAsiaTheme="majorEastAsia" w:hAnsiTheme="majorHAnsi" w:cstheme="majorBidi"/>
          <w:bCs/>
        </w:rPr>
        <w:t>all questions were answered correctly and saved in the application form</w:t>
      </w:r>
    </w:p>
    <w:p w14:paraId="13983FB8" w14:textId="77777777" w:rsidR="0096458C" w:rsidRPr="0096458C" w:rsidRDefault="0096458C" w:rsidP="0096458C">
      <w:pPr>
        <w:pStyle w:val="Bullet2"/>
        <w:numPr>
          <w:ilvl w:val="0"/>
          <w:numId w:val="16"/>
        </w:numPr>
        <w:spacing w:before="40" w:after="120"/>
        <w:ind w:left="851"/>
        <w:rPr>
          <w:rFonts w:asciiTheme="majorHAnsi" w:eastAsiaTheme="majorEastAsia" w:hAnsiTheme="majorHAnsi" w:cstheme="majorBidi"/>
          <w:bCs/>
        </w:rPr>
      </w:pPr>
      <w:r w:rsidRPr="0096458C">
        <w:rPr>
          <w:rFonts w:asciiTheme="majorHAnsi" w:eastAsiaTheme="majorEastAsia" w:hAnsiTheme="majorHAnsi" w:cstheme="majorBidi"/>
          <w:bCs/>
        </w:rPr>
        <w:t>all mandatory attachments were fully completed and saved in the correct section/s of the application form, including evidence of bank account details.</w:t>
      </w:r>
    </w:p>
    <w:p w14:paraId="52D130D0" w14:textId="77777777" w:rsidR="0096458C" w:rsidRPr="0096458C" w:rsidRDefault="0096458C" w:rsidP="0096458C">
      <w:pPr>
        <w:pStyle w:val="Bullet2"/>
        <w:numPr>
          <w:ilvl w:val="0"/>
          <w:numId w:val="17"/>
        </w:numPr>
        <w:spacing w:before="40" w:after="120"/>
        <w:rPr>
          <w:rFonts w:asciiTheme="majorHAnsi" w:eastAsiaTheme="majorEastAsia" w:hAnsiTheme="majorHAnsi" w:cstheme="majorBidi"/>
          <w:bCs/>
        </w:rPr>
      </w:pPr>
      <w:r w:rsidRPr="0096458C">
        <w:rPr>
          <w:rFonts w:asciiTheme="majorHAnsi" w:eastAsiaTheme="majorEastAsia" w:hAnsiTheme="majorHAnsi" w:cstheme="majorBidi"/>
          <w:bCs/>
        </w:rPr>
        <w:t>Incomplete or missing information may have negatively impacted consideration of the application.</w:t>
      </w:r>
    </w:p>
    <w:p w14:paraId="3E4A7387" w14:textId="7894DC8A" w:rsidR="0096458C" w:rsidRPr="0096458C" w:rsidRDefault="0096458C" w:rsidP="0096458C">
      <w:pPr>
        <w:pStyle w:val="Bullet2"/>
        <w:numPr>
          <w:ilvl w:val="0"/>
          <w:numId w:val="17"/>
        </w:numPr>
        <w:spacing w:before="40" w:after="120"/>
        <w:rPr>
          <w:rFonts w:asciiTheme="majorHAnsi" w:eastAsiaTheme="majorEastAsia" w:hAnsiTheme="majorHAnsi" w:cstheme="majorBidi"/>
          <w:bCs/>
        </w:rPr>
      </w:pPr>
      <w:r w:rsidRPr="0096458C">
        <w:rPr>
          <w:rFonts w:asciiTheme="majorHAnsi" w:eastAsiaTheme="majorEastAsia" w:hAnsiTheme="majorHAnsi" w:cstheme="majorBidi"/>
          <w:bCs/>
        </w:rPr>
        <w:t>Applications not fully or correctly completed as per the guidelines may have been deemed as non-compliant, ineligible or not considered for funding.</w:t>
      </w:r>
    </w:p>
    <w:p w14:paraId="4CC1C78A" w14:textId="493EE553" w:rsidR="0096458C" w:rsidRPr="0096458C" w:rsidRDefault="0096458C" w:rsidP="0096458C">
      <w:pPr>
        <w:pStyle w:val="BodyText"/>
        <w:rPr>
          <w:rFonts w:asciiTheme="majorHAnsi" w:eastAsiaTheme="majorEastAsia" w:hAnsiTheme="majorHAnsi" w:cstheme="majorBidi"/>
          <w:bCs/>
        </w:rPr>
      </w:pPr>
      <w:r w:rsidRPr="0096458C">
        <w:rPr>
          <w:rFonts w:asciiTheme="majorHAnsi" w:eastAsiaTheme="majorEastAsia" w:hAnsiTheme="majorHAnsi" w:cstheme="majorBidi"/>
          <w:bCs/>
        </w:rPr>
        <w:t xml:space="preserve">The Hub was available via </w:t>
      </w:r>
      <w:hyperlink r:id="rId11" w:history="1">
        <w:r w:rsidRPr="0096458C">
          <w:rPr>
            <w:rStyle w:val="Hyperlink"/>
            <w:rFonts w:asciiTheme="majorHAnsi" w:eastAsiaTheme="majorEastAsia" w:hAnsiTheme="majorHAnsi" w:cstheme="majorBidi"/>
            <w:bCs/>
          </w:rPr>
          <w:t>support@communitygrants.gov.au</w:t>
        </w:r>
      </w:hyperlink>
      <w:r w:rsidRPr="0096458C">
        <w:rPr>
          <w:rFonts w:asciiTheme="majorHAnsi" w:eastAsiaTheme="majorEastAsia" w:hAnsiTheme="majorHAnsi" w:cstheme="majorBidi"/>
          <w:bCs/>
        </w:rPr>
        <w:t xml:space="preserve"> to assist with enquiries throughout the 2024–25 Volunteer Grants: Hinkler round.</w:t>
      </w:r>
    </w:p>
    <w:p w14:paraId="46CDFFFD" w14:textId="77777777" w:rsidR="0096458C" w:rsidRPr="0096458C" w:rsidRDefault="0096458C" w:rsidP="0096458C">
      <w:pPr>
        <w:pStyle w:val="Heading3"/>
        <w:spacing w:before="120"/>
        <w:rPr>
          <w:rFonts w:asciiTheme="majorHAnsi" w:hAnsiTheme="majorHAnsi" w:cstheme="majorHAnsi"/>
          <w:b/>
          <w:bCs w:val="0"/>
          <w:color w:val="C00000"/>
          <w:sz w:val="24"/>
          <w:szCs w:val="24"/>
        </w:rPr>
      </w:pPr>
      <w:r w:rsidRPr="0096458C">
        <w:rPr>
          <w:rFonts w:asciiTheme="majorHAnsi" w:hAnsiTheme="majorHAnsi" w:cstheme="majorHAnsi"/>
          <w:b/>
          <w:bCs w:val="0"/>
          <w:color w:val="C00000"/>
          <w:sz w:val="24"/>
          <w:szCs w:val="24"/>
        </w:rPr>
        <w:t>Eligible entity types</w:t>
      </w:r>
    </w:p>
    <w:p w14:paraId="48A8273E" w14:textId="77777777" w:rsidR="0096458C" w:rsidRPr="0096458C" w:rsidRDefault="0096458C" w:rsidP="0096458C">
      <w:pPr>
        <w:pStyle w:val="Bullet2"/>
        <w:numPr>
          <w:ilvl w:val="0"/>
          <w:numId w:val="17"/>
        </w:numPr>
        <w:spacing w:before="40" w:after="120"/>
      </w:pPr>
      <w:bookmarkStart w:id="0" w:name="_Hlk202864007"/>
      <w:r w:rsidRPr="0096458C">
        <w:rPr>
          <w:rFonts w:asciiTheme="majorHAnsi" w:eastAsiaTheme="majorEastAsia" w:hAnsiTheme="majorHAnsi" w:cstheme="majorBidi"/>
          <w:bCs/>
        </w:rPr>
        <w:t>Organisations needed to clearly establish their legal entity status to ensure alignment with the eligible entity types outlined in the guidelines.</w:t>
      </w:r>
    </w:p>
    <w:p w14:paraId="75F65A39" w14:textId="3D44B6C7" w:rsidR="0096458C" w:rsidRPr="0096458C" w:rsidRDefault="0096458C" w:rsidP="0096458C">
      <w:pPr>
        <w:pStyle w:val="BodyText"/>
        <w:numPr>
          <w:ilvl w:val="0"/>
          <w:numId w:val="18"/>
        </w:numPr>
      </w:pPr>
      <w:r w:rsidRPr="0096458C">
        <w:t>The applicant’s legal entity name and/or trading name needed to be registered for use under the Australian Business Number (ABN) provided in the application form.</w:t>
      </w:r>
    </w:p>
    <w:p w14:paraId="7CB1A9DA" w14:textId="06F041B5" w:rsidR="0096458C" w:rsidRPr="0096458C" w:rsidRDefault="0096458C" w:rsidP="0096458C">
      <w:pPr>
        <w:pStyle w:val="BodyText"/>
      </w:pPr>
      <w:r w:rsidRPr="0096458C">
        <w:t>The Hub may have requested additional supporting documentation to confirm an organisation’s entity type and status, for example, a Certificate of Incorporation or Trust Deed</w:t>
      </w:r>
      <w:bookmarkEnd w:id="0"/>
      <w:r w:rsidRPr="0096458C">
        <w:t>.</w:t>
      </w:r>
    </w:p>
    <w:p w14:paraId="262ADE08" w14:textId="77777777" w:rsidR="0096458C" w:rsidRPr="0096458C" w:rsidRDefault="0096458C" w:rsidP="00DD5E47">
      <w:pPr>
        <w:pStyle w:val="BodyText"/>
        <w:keepNext/>
        <w:keepLines/>
        <w:rPr>
          <w:rFonts w:asciiTheme="majorHAnsi" w:eastAsiaTheme="majorEastAsia" w:hAnsiTheme="majorHAnsi" w:cstheme="majorBidi"/>
          <w:b/>
          <w:bCs/>
          <w:color w:val="C00000"/>
          <w:sz w:val="24"/>
          <w:szCs w:val="24"/>
        </w:rPr>
      </w:pPr>
      <w:r w:rsidRPr="0096458C">
        <w:rPr>
          <w:rFonts w:asciiTheme="majorHAnsi" w:eastAsiaTheme="majorEastAsia" w:hAnsiTheme="majorHAnsi" w:cstheme="majorBidi"/>
          <w:b/>
          <w:bCs/>
          <w:color w:val="C00000"/>
          <w:sz w:val="24"/>
          <w:szCs w:val="24"/>
        </w:rPr>
        <w:lastRenderedPageBreak/>
        <w:t>Duplicate applications</w:t>
      </w:r>
    </w:p>
    <w:p w14:paraId="00C5250C" w14:textId="761F430D" w:rsidR="0096458C" w:rsidRDefault="0096458C" w:rsidP="00DD5E47">
      <w:pPr>
        <w:pStyle w:val="BodyText"/>
        <w:keepNext/>
        <w:keepLines/>
        <w:rPr>
          <w:rFonts w:asciiTheme="majorHAnsi" w:eastAsiaTheme="majorEastAsia" w:hAnsiTheme="majorHAnsi" w:cstheme="majorBidi"/>
          <w:color w:val="auto"/>
          <w:szCs w:val="22"/>
        </w:rPr>
      </w:pPr>
      <w:r w:rsidRPr="0096458C">
        <w:rPr>
          <w:rFonts w:asciiTheme="majorHAnsi" w:eastAsiaTheme="majorEastAsia" w:hAnsiTheme="majorHAnsi" w:cstheme="majorBidi"/>
          <w:color w:val="auto"/>
          <w:szCs w:val="22"/>
        </w:rPr>
        <w:t>As per section 7 of the guidelines, where an organisation submitted more than one application within the same electorate, only the last application received was assessed. Earlier submissions were excluded from assessment to align with the guidelines and support a fair and transparent assessment process.</w:t>
      </w:r>
    </w:p>
    <w:p w14:paraId="7E412632" w14:textId="29E2350E" w:rsidR="0096458C" w:rsidRPr="004E456F" w:rsidRDefault="0096458C" w:rsidP="0096458C">
      <w:pPr>
        <w:pStyle w:val="Heading2"/>
        <w:spacing w:before="120"/>
        <w:rPr>
          <w:b/>
          <w:bCs w:val="0"/>
          <w:color w:val="C00000"/>
          <w:szCs w:val="36"/>
        </w:rPr>
      </w:pPr>
      <w:r w:rsidRPr="004E456F">
        <w:rPr>
          <w:bCs w:val="0"/>
          <w:color w:val="C00000"/>
          <w:szCs w:val="36"/>
        </w:rPr>
        <w:t>Individual feedback</w:t>
      </w:r>
    </w:p>
    <w:p w14:paraId="11F259D1" w14:textId="77777777" w:rsidR="0096458C" w:rsidRPr="004E456F" w:rsidRDefault="0096458C" w:rsidP="0096458C">
      <w:pPr>
        <w:pStyle w:val="BodyText"/>
        <w:rPr>
          <w:color w:val="auto"/>
        </w:rPr>
      </w:pPr>
      <w:r w:rsidRPr="004E456F">
        <w:rPr>
          <w:color w:val="auto"/>
        </w:rPr>
        <w:t>Individual feedback will not be provided for this grant opportunity.</w:t>
      </w:r>
    </w:p>
    <w:sectPr w:rsidR="0096458C" w:rsidRPr="004E456F" w:rsidSect="00A92ECD">
      <w:headerReference w:type="default" r:id="rId12"/>
      <w:footerReference w:type="default" r:id="rId13"/>
      <w:headerReference w:type="first" r:id="rId14"/>
      <w:footerReference w:type="first" r:id="rId15"/>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52B8" w14:textId="77777777" w:rsidR="00F2053D" w:rsidRDefault="00F2053D" w:rsidP="00772718">
      <w:pPr>
        <w:spacing w:line="240" w:lineRule="auto"/>
      </w:pPr>
      <w:r>
        <w:separator/>
      </w:r>
    </w:p>
  </w:endnote>
  <w:endnote w:type="continuationSeparator" w:id="0">
    <w:p w14:paraId="04C2723F" w14:textId="77777777" w:rsidR="00F2053D" w:rsidRDefault="00F2053D"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0BD5C1E7" w:rsidR="003A3D76" w:rsidRDefault="003A3D76">
    <w:pPr>
      <w:pStyle w:val="Footer"/>
    </w:pPr>
  </w:p>
  <w:p w14:paraId="6F695BAD" w14:textId="4BFEC2A0" w:rsidR="00A92ECD" w:rsidRPr="00753305" w:rsidRDefault="00A92ECD" w:rsidP="0093532D">
    <w:pPr>
      <w:pStyle w:val="Header"/>
      <w:jc w:val="center"/>
      <w:rPr>
        <w:b w:val="0"/>
        <w:bCs/>
        <w:color w:val="FF0000"/>
        <w:sz w:val="20"/>
      </w:rPr>
    </w:pP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227C65EE" w:rsidR="003A3D76" w:rsidRDefault="0078004F">
    <w:pPr>
      <w:pStyle w:val="Footer"/>
    </w:pPr>
    <w:r>
      <w:pict w14:anchorId="2CC68FC6">
        <v:rect id="_x0000_i1025" style="width:0;height:1.5pt" o:hralign="center" o:hrstd="t" o:hr="t" fillcolor="#a0a0a0" stroked="f"/>
      </w:pict>
    </w:r>
  </w:p>
  <w:p w14:paraId="1F405EB9" w14:textId="79A1373E" w:rsidR="003A3D76" w:rsidRPr="00753305" w:rsidRDefault="003A3D76" w:rsidP="00DE1694">
    <w:pPr>
      <w:pStyle w:val="Header"/>
      <w:rPr>
        <w:b w:val="0"/>
        <w:bCs/>
        <w:color w:val="FF0000"/>
        <w:sz w:val="20"/>
      </w:rPr>
    </w:pPr>
  </w:p>
  <w:p w14:paraId="037EB36E" w14:textId="11BE8111" w:rsidR="00D91B18" w:rsidRPr="00531CD5" w:rsidRDefault="00D91B18" w:rsidP="007D4263">
    <w:pPr>
      <w:pStyle w:val="Footer"/>
      <w:tabs>
        <w:tab w:val="left" w:pos="4820"/>
      </w:tabs>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7F07" w14:textId="77777777" w:rsidR="00F2053D" w:rsidRDefault="00F2053D" w:rsidP="00772718">
      <w:pPr>
        <w:spacing w:line="240" w:lineRule="auto"/>
      </w:pPr>
      <w:r>
        <w:separator/>
      </w:r>
    </w:p>
  </w:footnote>
  <w:footnote w:type="continuationSeparator" w:id="0">
    <w:p w14:paraId="575D1E45" w14:textId="77777777" w:rsidR="00F2053D" w:rsidRDefault="00F2053D" w:rsidP="00772718">
      <w:pPr>
        <w:spacing w:line="240" w:lineRule="auto"/>
      </w:pPr>
      <w:r>
        <w:continuationSeparator/>
      </w:r>
    </w:p>
  </w:footnote>
  <w:footnote w:id="1">
    <w:p w14:paraId="5D25C0CE" w14:textId="17A33085" w:rsidR="00DD5E47" w:rsidRPr="00DD5E47" w:rsidRDefault="00DD5E47">
      <w:pPr>
        <w:pStyle w:val="FootnoteText"/>
        <w:rPr>
          <w:lang w:val="en-US"/>
        </w:rPr>
      </w:pPr>
      <w:r>
        <w:rPr>
          <w:rStyle w:val="FootnoteReference"/>
        </w:rPr>
        <w:footnoteRef/>
      </w:r>
      <w:r>
        <w:t xml:space="preserve"> </w:t>
      </w:r>
      <w:r w:rsidRPr="00DD5E47">
        <w:t>https://www.grants.gov.au/Fo/Show?FoUuid=5dfb2962-c6ac-4d8b-995d-5de87cfb24f3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7FDA1ADB" w:rsidR="002073AA" w:rsidRPr="00753305" w:rsidRDefault="006932C6" w:rsidP="007D4263">
    <w:pPr>
      <w:pStyle w:val="Header"/>
      <w:tabs>
        <w:tab w:val="left" w:pos="4820"/>
      </w:tabs>
      <w:jc w:val="center"/>
      <w:rPr>
        <w:b w:val="0"/>
        <w:bCs/>
        <w:color w:val="FF0000"/>
        <w:sz w:val="20"/>
      </w:rPr>
    </w:pPr>
    <w:r>
      <w:rPr>
        <w:b w:val="0"/>
        <w:bCs/>
        <w:color w:val="FF0000"/>
        <w:sz w:val="20"/>
      </w:rPr>
      <w:t>OFFICIAL</w:t>
    </w:r>
  </w:p>
  <w:p w14:paraId="2B841FD7" w14:textId="77777777" w:rsidR="002073AA" w:rsidRDefault="0020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3FF74283" w:rsidR="00D91B18" w:rsidRPr="006932C6" w:rsidRDefault="006932C6" w:rsidP="005F35F7">
    <w:pPr>
      <w:pStyle w:val="Header"/>
      <w:jc w:val="center"/>
      <w:rPr>
        <w:b w:val="0"/>
        <w:bCs/>
        <w:color w:val="FF0000"/>
        <w:sz w:val="20"/>
      </w:rPr>
    </w:pPr>
    <w:r w:rsidRPr="006932C6">
      <w:rPr>
        <w:b w:val="0"/>
        <w:bCs/>
        <w:color w:val="FF0000"/>
        <w:sz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0DF"/>
    <w:multiLevelType w:val="hybridMultilevel"/>
    <w:tmpl w:val="5E8A2E46"/>
    <w:lvl w:ilvl="0" w:tplc="92040CE4">
      <w:start w:val="1"/>
      <w:numFmt w:val="bullet"/>
      <w:lvlText w:val=""/>
      <w:lvlJc w:val="left"/>
      <w:pPr>
        <w:ind w:left="502" w:hanging="360"/>
      </w:pPr>
      <w:rPr>
        <w:rFonts w:ascii="Wingdings" w:hAnsi="Wingdings" w:hint="default"/>
        <w:color w:val="264F90"/>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 w15:restartNumberingAfterBreak="0">
    <w:nsid w:val="15103BB2"/>
    <w:multiLevelType w:val="hybridMultilevel"/>
    <w:tmpl w:val="3CB0BFBA"/>
    <w:lvl w:ilvl="0" w:tplc="92040CE4">
      <w:start w:val="1"/>
      <w:numFmt w:val="bullet"/>
      <w:lvlText w:val=""/>
      <w:lvlJc w:val="left"/>
      <w:pPr>
        <w:ind w:left="720" w:hanging="360"/>
      </w:pPr>
      <w:rPr>
        <w:rFonts w:ascii="Wingdings" w:hAnsi="Wingdings" w:hint="default"/>
        <w:color w:val="264F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970432"/>
    <w:multiLevelType w:val="hybridMultilevel"/>
    <w:tmpl w:val="1C28884C"/>
    <w:lvl w:ilvl="0" w:tplc="92040CE4">
      <w:start w:val="1"/>
      <w:numFmt w:val="bullet"/>
      <w:lvlText w:val=""/>
      <w:lvlJc w:val="left"/>
      <w:pPr>
        <w:ind w:left="1080" w:hanging="360"/>
      </w:pPr>
      <w:rPr>
        <w:rFonts w:ascii="Wingdings" w:hAnsi="Wingdings" w:hint="default"/>
        <w:color w:val="264F9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9614133"/>
    <w:multiLevelType w:val="hybridMultilevel"/>
    <w:tmpl w:val="0D0609C2"/>
    <w:lvl w:ilvl="0" w:tplc="92040CE4">
      <w:start w:val="1"/>
      <w:numFmt w:val="bullet"/>
      <w:lvlText w:val=""/>
      <w:lvlJc w:val="left"/>
      <w:pPr>
        <w:ind w:left="720" w:hanging="360"/>
      </w:pPr>
      <w:rPr>
        <w:rFonts w:ascii="Wingdings" w:hAnsi="Wingdings" w:hint="default"/>
        <w:color w:val="264F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A2A39AF"/>
    <w:multiLevelType w:val="hybridMultilevel"/>
    <w:tmpl w:val="95067CEA"/>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B37D51"/>
    <w:multiLevelType w:val="hybridMultilevel"/>
    <w:tmpl w:val="C6568EF2"/>
    <w:lvl w:ilvl="0" w:tplc="79BE0E48">
      <w:start w:val="1"/>
      <w:numFmt w:val="bullet"/>
      <w:lvlText w:val=""/>
      <w:lvlJc w:val="left"/>
      <w:pPr>
        <w:ind w:left="1080" w:hanging="360"/>
      </w:pPr>
      <w:rPr>
        <w:rFonts w:ascii="Symbol" w:hAnsi="Symbol"/>
      </w:rPr>
    </w:lvl>
    <w:lvl w:ilvl="1" w:tplc="2600256C">
      <w:start w:val="1"/>
      <w:numFmt w:val="bullet"/>
      <w:lvlText w:val=""/>
      <w:lvlJc w:val="left"/>
      <w:pPr>
        <w:ind w:left="1080" w:hanging="360"/>
      </w:pPr>
      <w:rPr>
        <w:rFonts w:ascii="Symbol" w:hAnsi="Symbol"/>
      </w:rPr>
    </w:lvl>
    <w:lvl w:ilvl="2" w:tplc="04F4832A">
      <w:start w:val="1"/>
      <w:numFmt w:val="bullet"/>
      <w:lvlText w:val=""/>
      <w:lvlJc w:val="left"/>
      <w:pPr>
        <w:ind w:left="1080" w:hanging="360"/>
      </w:pPr>
      <w:rPr>
        <w:rFonts w:ascii="Symbol" w:hAnsi="Symbol"/>
      </w:rPr>
    </w:lvl>
    <w:lvl w:ilvl="3" w:tplc="7F8212EC">
      <w:start w:val="1"/>
      <w:numFmt w:val="bullet"/>
      <w:lvlText w:val=""/>
      <w:lvlJc w:val="left"/>
      <w:pPr>
        <w:ind w:left="1080" w:hanging="360"/>
      </w:pPr>
      <w:rPr>
        <w:rFonts w:ascii="Symbol" w:hAnsi="Symbol"/>
      </w:rPr>
    </w:lvl>
    <w:lvl w:ilvl="4" w:tplc="25C683BA">
      <w:start w:val="1"/>
      <w:numFmt w:val="bullet"/>
      <w:lvlText w:val=""/>
      <w:lvlJc w:val="left"/>
      <w:pPr>
        <w:ind w:left="1080" w:hanging="360"/>
      </w:pPr>
      <w:rPr>
        <w:rFonts w:ascii="Symbol" w:hAnsi="Symbol"/>
      </w:rPr>
    </w:lvl>
    <w:lvl w:ilvl="5" w:tplc="F22E7B5E">
      <w:start w:val="1"/>
      <w:numFmt w:val="bullet"/>
      <w:lvlText w:val=""/>
      <w:lvlJc w:val="left"/>
      <w:pPr>
        <w:ind w:left="1080" w:hanging="360"/>
      </w:pPr>
      <w:rPr>
        <w:rFonts w:ascii="Symbol" w:hAnsi="Symbol"/>
      </w:rPr>
    </w:lvl>
    <w:lvl w:ilvl="6" w:tplc="22CC7812">
      <w:start w:val="1"/>
      <w:numFmt w:val="bullet"/>
      <w:lvlText w:val=""/>
      <w:lvlJc w:val="left"/>
      <w:pPr>
        <w:ind w:left="1080" w:hanging="360"/>
      </w:pPr>
      <w:rPr>
        <w:rFonts w:ascii="Symbol" w:hAnsi="Symbol"/>
      </w:rPr>
    </w:lvl>
    <w:lvl w:ilvl="7" w:tplc="DC2AB956">
      <w:start w:val="1"/>
      <w:numFmt w:val="bullet"/>
      <w:lvlText w:val=""/>
      <w:lvlJc w:val="left"/>
      <w:pPr>
        <w:ind w:left="1080" w:hanging="360"/>
      </w:pPr>
      <w:rPr>
        <w:rFonts w:ascii="Symbol" w:hAnsi="Symbol"/>
      </w:rPr>
    </w:lvl>
    <w:lvl w:ilvl="8" w:tplc="A426DC08">
      <w:start w:val="1"/>
      <w:numFmt w:val="bullet"/>
      <w:lvlText w:val=""/>
      <w:lvlJc w:val="left"/>
      <w:pPr>
        <w:ind w:left="1080" w:hanging="360"/>
      </w:pPr>
      <w:rPr>
        <w:rFonts w:ascii="Symbol" w:hAnsi="Symbol"/>
      </w:rPr>
    </w:lvl>
  </w:abstractNum>
  <w:abstractNum w:abstractNumId="9" w15:restartNumberingAfterBreak="0">
    <w:nsid w:val="35C91B74"/>
    <w:multiLevelType w:val="hybridMultilevel"/>
    <w:tmpl w:val="3F6EF30E"/>
    <w:lvl w:ilvl="0" w:tplc="92040CE4">
      <w:start w:val="1"/>
      <w:numFmt w:val="bullet"/>
      <w:lvlText w:val=""/>
      <w:lvlJc w:val="left"/>
      <w:pPr>
        <w:ind w:left="1080" w:hanging="360"/>
      </w:pPr>
      <w:rPr>
        <w:rFonts w:ascii="Wingdings" w:hAnsi="Wingdings" w:hint="default"/>
        <w:color w:val="264F9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64772FA"/>
    <w:multiLevelType w:val="hybridMultilevel"/>
    <w:tmpl w:val="3B9C261A"/>
    <w:lvl w:ilvl="0" w:tplc="92040CE4">
      <w:start w:val="1"/>
      <w:numFmt w:val="bullet"/>
      <w:lvlText w:val=""/>
      <w:lvlJc w:val="left"/>
      <w:pPr>
        <w:ind w:left="502" w:hanging="360"/>
      </w:pPr>
      <w:rPr>
        <w:rFonts w:ascii="Wingdings" w:hAnsi="Wingdings" w:hint="default"/>
        <w:color w:val="264F90"/>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2"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4" w15:restartNumberingAfterBreak="0">
    <w:nsid w:val="73107305"/>
    <w:multiLevelType w:val="multilevel"/>
    <w:tmpl w:val="99EEC854"/>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Symbol" w:hAnsi="Symbol" w:hint="default"/>
      </w:rPr>
    </w:lvl>
    <w:lvl w:ilvl="2">
      <w:start w:val="1"/>
      <w:numFmt w:val="bullet"/>
      <w:pStyle w:val="Bullet3"/>
      <w:lvlText w:val="»"/>
      <w:lvlJc w:val="left"/>
      <w:pPr>
        <w:ind w:left="851" w:hanging="284"/>
      </w:pPr>
      <w:rPr>
        <w:rFonts w:ascii="Arial" w:hAnsi="Arial" w:cs="Times New Roman" w:hint="default"/>
      </w:rPr>
    </w:lvl>
    <w:lvl w:ilvl="3">
      <w:start w:val="1"/>
      <w:numFmt w:val="bullet"/>
      <w:lvlText w:val="o"/>
      <w:lvlJc w:val="left"/>
      <w:pPr>
        <w:ind w:left="1136" w:hanging="284"/>
      </w:pPr>
      <w:rPr>
        <w:rFonts w:ascii="Courier New" w:hAnsi="Courier New" w:cs="Courier New" w:hint="default"/>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5" w15:restartNumberingAfterBreak="0">
    <w:nsid w:val="7D416A22"/>
    <w:multiLevelType w:val="hybridMultilevel"/>
    <w:tmpl w:val="B2505A0C"/>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F9361E"/>
    <w:multiLevelType w:val="hybridMultilevel"/>
    <w:tmpl w:val="B680C084"/>
    <w:lvl w:ilvl="0" w:tplc="236A072C">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492836538">
    <w:abstractNumId w:val="1"/>
  </w:num>
  <w:num w:numId="2" w16cid:durableId="1493981043">
    <w:abstractNumId w:val="13"/>
  </w:num>
  <w:num w:numId="3" w16cid:durableId="999308129">
    <w:abstractNumId w:val="6"/>
  </w:num>
  <w:num w:numId="4" w16cid:durableId="439571975">
    <w:abstractNumId w:val="12"/>
  </w:num>
  <w:num w:numId="5" w16cid:durableId="250505642">
    <w:abstractNumId w:val="11"/>
  </w:num>
  <w:num w:numId="6" w16cid:durableId="1809128244">
    <w:abstractNumId w:val="7"/>
  </w:num>
  <w:num w:numId="7" w16cid:durableId="619802809">
    <w:abstractNumId w:val="7"/>
  </w:num>
  <w:num w:numId="8" w16cid:durableId="1899630384">
    <w:abstractNumId w:val="8"/>
  </w:num>
  <w:num w:numId="9" w16cid:durableId="740371241">
    <w:abstractNumId w:val="15"/>
  </w:num>
  <w:num w:numId="10" w16cid:durableId="2032564472">
    <w:abstractNumId w:val="5"/>
  </w:num>
  <w:num w:numId="11" w16cid:durableId="1505586947">
    <w:abstractNumId w:val="2"/>
  </w:num>
  <w:num w:numId="12" w16cid:durableId="1831948549">
    <w:abstractNumId w:val="3"/>
  </w:num>
  <w:num w:numId="13" w16cid:durableId="84961421">
    <w:abstractNumId w:val="9"/>
  </w:num>
  <w:num w:numId="14" w16cid:durableId="1984384774">
    <w:abstractNumId w:val="14"/>
  </w:num>
  <w:num w:numId="15" w16cid:durableId="1584290195">
    <w:abstractNumId w:val="4"/>
  </w:num>
  <w:num w:numId="16" w16cid:durableId="1286035335">
    <w:abstractNumId w:val="16"/>
  </w:num>
  <w:num w:numId="17" w16cid:durableId="1045368852">
    <w:abstractNumId w:val="10"/>
  </w:num>
  <w:num w:numId="18" w16cid:durableId="182203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7DE9"/>
    <w:rsid w:val="00015593"/>
    <w:rsid w:val="00015AE4"/>
    <w:rsid w:val="000258D2"/>
    <w:rsid w:val="0003018E"/>
    <w:rsid w:val="00033BC3"/>
    <w:rsid w:val="00034F96"/>
    <w:rsid w:val="000373C0"/>
    <w:rsid w:val="00044E09"/>
    <w:rsid w:val="0004767C"/>
    <w:rsid w:val="0004784D"/>
    <w:rsid w:val="00053A00"/>
    <w:rsid w:val="00070AEB"/>
    <w:rsid w:val="00080E79"/>
    <w:rsid w:val="00084094"/>
    <w:rsid w:val="00085E16"/>
    <w:rsid w:val="00087416"/>
    <w:rsid w:val="000937E4"/>
    <w:rsid w:val="000B6C00"/>
    <w:rsid w:val="000C1F06"/>
    <w:rsid w:val="000C7C00"/>
    <w:rsid w:val="000D1AA9"/>
    <w:rsid w:val="000F1DD1"/>
    <w:rsid w:val="000F28B8"/>
    <w:rsid w:val="000F3766"/>
    <w:rsid w:val="00106FC4"/>
    <w:rsid w:val="001077AF"/>
    <w:rsid w:val="00111F0C"/>
    <w:rsid w:val="00116C5A"/>
    <w:rsid w:val="00125BA9"/>
    <w:rsid w:val="00133A1A"/>
    <w:rsid w:val="00145E2D"/>
    <w:rsid w:val="00146699"/>
    <w:rsid w:val="00151625"/>
    <w:rsid w:val="0016612C"/>
    <w:rsid w:val="00171634"/>
    <w:rsid w:val="001763D4"/>
    <w:rsid w:val="00181433"/>
    <w:rsid w:val="001834DD"/>
    <w:rsid w:val="001970A6"/>
    <w:rsid w:val="001A2FA8"/>
    <w:rsid w:val="001A3979"/>
    <w:rsid w:val="001B1944"/>
    <w:rsid w:val="001C53CE"/>
    <w:rsid w:val="001C53FA"/>
    <w:rsid w:val="001C5D96"/>
    <w:rsid w:val="001D09F5"/>
    <w:rsid w:val="001D2C18"/>
    <w:rsid w:val="001D341B"/>
    <w:rsid w:val="001E3D2B"/>
    <w:rsid w:val="001E66CE"/>
    <w:rsid w:val="0020033E"/>
    <w:rsid w:val="00203E38"/>
    <w:rsid w:val="002073AA"/>
    <w:rsid w:val="00221DC2"/>
    <w:rsid w:val="00222526"/>
    <w:rsid w:val="00244B48"/>
    <w:rsid w:val="002526A8"/>
    <w:rsid w:val="00252DD4"/>
    <w:rsid w:val="002573D5"/>
    <w:rsid w:val="00263A58"/>
    <w:rsid w:val="00264E26"/>
    <w:rsid w:val="00265016"/>
    <w:rsid w:val="00280E74"/>
    <w:rsid w:val="00282879"/>
    <w:rsid w:val="00283648"/>
    <w:rsid w:val="00295CAB"/>
    <w:rsid w:val="002A370E"/>
    <w:rsid w:val="002A41E1"/>
    <w:rsid w:val="002B6574"/>
    <w:rsid w:val="002D4D48"/>
    <w:rsid w:val="002D6D1C"/>
    <w:rsid w:val="002E21D2"/>
    <w:rsid w:val="002F7D3C"/>
    <w:rsid w:val="00300AE0"/>
    <w:rsid w:val="00302E11"/>
    <w:rsid w:val="00305720"/>
    <w:rsid w:val="003131AB"/>
    <w:rsid w:val="003217BE"/>
    <w:rsid w:val="00327E8E"/>
    <w:rsid w:val="003448C5"/>
    <w:rsid w:val="00381D37"/>
    <w:rsid w:val="003A015F"/>
    <w:rsid w:val="003A1BAB"/>
    <w:rsid w:val="003A3D76"/>
    <w:rsid w:val="003B2407"/>
    <w:rsid w:val="003B2F12"/>
    <w:rsid w:val="003D0647"/>
    <w:rsid w:val="003D1265"/>
    <w:rsid w:val="003D3B1D"/>
    <w:rsid w:val="003D5DBE"/>
    <w:rsid w:val="00404841"/>
    <w:rsid w:val="00411A7F"/>
    <w:rsid w:val="00412059"/>
    <w:rsid w:val="00413937"/>
    <w:rsid w:val="0042200A"/>
    <w:rsid w:val="004233BF"/>
    <w:rsid w:val="00425633"/>
    <w:rsid w:val="004346DA"/>
    <w:rsid w:val="00441E79"/>
    <w:rsid w:val="00450486"/>
    <w:rsid w:val="00453F98"/>
    <w:rsid w:val="004575BA"/>
    <w:rsid w:val="00466CFC"/>
    <w:rsid w:val="004675B9"/>
    <w:rsid w:val="004709E9"/>
    <w:rsid w:val="004804F6"/>
    <w:rsid w:val="00483A58"/>
    <w:rsid w:val="004902A6"/>
    <w:rsid w:val="0049499C"/>
    <w:rsid w:val="004A3AA5"/>
    <w:rsid w:val="004B0CBA"/>
    <w:rsid w:val="004B5F40"/>
    <w:rsid w:val="004C7D16"/>
    <w:rsid w:val="004D700E"/>
    <w:rsid w:val="004D7F17"/>
    <w:rsid w:val="004E0670"/>
    <w:rsid w:val="004E349F"/>
    <w:rsid w:val="004E70C6"/>
    <w:rsid w:val="004E7F37"/>
    <w:rsid w:val="004F12CA"/>
    <w:rsid w:val="004F31BA"/>
    <w:rsid w:val="004F517D"/>
    <w:rsid w:val="004F6E92"/>
    <w:rsid w:val="00504AAC"/>
    <w:rsid w:val="0051299F"/>
    <w:rsid w:val="00516B88"/>
    <w:rsid w:val="00526B85"/>
    <w:rsid w:val="005306A1"/>
    <w:rsid w:val="00531CD5"/>
    <w:rsid w:val="005813A9"/>
    <w:rsid w:val="00583227"/>
    <w:rsid w:val="005834F4"/>
    <w:rsid w:val="0059000C"/>
    <w:rsid w:val="005A02A1"/>
    <w:rsid w:val="005A3B28"/>
    <w:rsid w:val="005B0A0F"/>
    <w:rsid w:val="005B4848"/>
    <w:rsid w:val="005D2AD9"/>
    <w:rsid w:val="005D7A24"/>
    <w:rsid w:val="005F35F7"/>
    <w:rsid w:val="005F4B35"/>
    <w:rsid w:val="00613CEC"/>
    <w:rsid w:val="00616EBA"/>
    <w:rsid w:val="00632C08"/>
    <w:rsid w:val="00633AF8"/>
    <w:rsid w:val="00645F58"/>
    <w:rsid w:val="0064647D"/>
    <w:rsid w:val="00654C42"/>
    <w:rsid w:val="0065547C"/>
    <w:rsid w:val="00661871"/>
    <w:rsid w:val="0067074A"/>
    <w:rsid w:val="00672994"/>
    <w:rsid w:val="00673821"/>
    <w:rsid w:val="00687E62"/>
    <w:rsid w:val="006932C6"/>
    <w:rsid w:val="0069672E"/>
    <w:rsid w:val="006A5015"/>
    <w:rsid w:val="006A527F"/>
    <w:rsid w:val="006B44AB"/>
    <w:rsid w:val="006C15C5"/>
    <w:rsid w:val="006C26C4"/>
    <w:rsid w:val="006D3DAD"/>
    <w:rsid w:val="006F53B8"/>
    <w:rsid w:val="006F7650"/>
    <w:rsid w:val="006F7B19"/>
    <w:rsid w:val="00712C35"/>
    <w:rsid w:val="00721618"/>
    <w:rsid w:val="00722511"/>
    <w:rsid w:val="007273DD"/>
    <w:rsid w:val="00730FB8"/>
    <w:rsid w:val="00736A76"/>
    <w:rsid w:val="00747908"/>
    <w:rsid w:val="00750321"/>
    <w:rsid w:val="00752C6B"/>
    <w:rsid w:val="00753305"/>
    <w:rsid w:val="00760CE6"/>
    <w:rsid w:val="007719C9"/>
    <w:rsid w:val="00772718"/>
    <w:rsid w:val="0078004F"/>
    <w:rsid w:val="00780295"/>
    <w:rsid w:val="00780F28"/>
    <w:rsid w:val="007814D0"/>
    <w:rsid w:val="007828ED"/>
    <w:rsid w:val="00790E64"/>
    <w:rsid w:val="007A71B5"/>
    <w:rsid w:val="007B562F"/>
    <w:rsid w:val="007D30A8"/>
    <w:rsid w:val="007D4263"/>
    <w:rsid w:val="007F4290"/>
    <w:rsid w:val="007F6B9B"/>
    <w:rsid w:val="00803D49"/>
    <w:rsid w:val="00814FB1"/>
    <w:rsid w:val="0082042C"/>
    <w:rsid w:val="00820F20"/>
    <w:rsid w:val="00821205"/>
    <w:rsid w:val="008231CF"/>
    <w:rsid w:val="0082528A"/>
    <w:rsid w:val="00825754"/>
    <w:rsid w:val="008273BE"/>
    <w:rsid w:val="00834002"/>
    <w:rsid w:val="00834865"/>
    <w:rsid w:val="00835210"/>
    <w:rsid w:val="00837E4A"/>
    <w:rsid w:val="00844C2D"/>
    <w:rsid w:val="00861B06"/>
    <w:rsid w:val="00861B3C"/>
    <w:rsid w:val="008635E1"/>
    <w:rsid w:val="00865AA2"/>
    <w:rsid w:val="00865B5A"/>
    <w:rsid w:val="008677F5"/>
    <w:rsid w:val="0087438E"/>
    <w:rsid w:val="008760D7"/>
    <w:rsid w:val="0088133E"/>
    <w:rsid w:val="00884668"/>
    <w:rsid w:val="008A2854"/>
    <w:rsid w:val="008B2B46"/>
    <w:rsid w:val="008C0855"/>
    <w:rsid w:val="008C7743"/>
    <w:rsid w:val="008E05BC"/>
    <w:rsid w:val="008E302A"/>
    <w:rsid w:val="008F3CCF"/>
    <w:rsid w:val="00900B24"/>
    <w:rsid w:val="00901556"/>
    <w:rsid w:val="00903439"/>
    <w:rsid w:val="00906A2B"/>
    <w:rsid w:val="009203B5"/>
    <w:rsid w:val="00921840"/>
    <w:rsid w:val="009221A6"/>
    <w:rsid w:val="00932C87"/>
    <w:rsid w:val="009331B4"/>
    <w:rsid w:val="009345F1"/>
    <w:rsid w:val="0093532D"/>
    <w:rsid w:val="00944BBB"/>
    <w:rsid w:val="009547B6"/>
    <w:rsid w:val="00961072"/>
    <w:rsid w:val="0096458C"/>
    <w:rsid w:val="00964C90"/>
    <w:rsid w:val="00971B22"/>
    <w:rsid w:val="00977A77"/>
    <w:rsid w:val="00984836"/>
    <w:rsid w:val="00991B6E"/>
    <w:rsid w:val="00993B0E"/>
    <w:rsid w:val="009A5708"/>
    <w:rsid w:val="009D2BC4"/>
    <w:rsid w:val="009D6ECC"/>
    <w:rsid w:val="009E750F"/>
    <w:rsid w:val="00A04D96"/>
    <w:rsid w:val="00A0629B"/>
    <w:rsid w:val="00A0661D"/>
    <w:rsid w:val="00A14495"/>
    <w:rsid w:val="00A16BE1"/>
    <w:rsid w:val="00A408AD"/>
    <w:rsid w:val="00A42311"/>
    <w:rsid w:val="00A454BF"/>
    <w:rsid w:val="00A52E3A"/>
    <w:rsid w:val="00A66E7E"/>
    <w:rsid w:val="00A7196B"/>
    <w:rsid w:val="00A74FB2"/>
    <w:rsid w:val="00A76993"/>
    <w:rsid w:val="00A814CB"/>
    <w:rsid w:val="00A90D1B"/>
    <w:rsid w:val="00A92ECD"/>
    <w:rsid w:val="00AA08D8"/>
    <w:rsid w:val="00AA50D1"/>
    <w:rsid w:val="00AC3503"/>
    <w:rsid w:val="00AD1080"/>
    <w:rsid w:val="00AE5F0E"/>
    <w:rsid w:val="00AF4936"/>
    <w:rsid w:val="00AF55F8"/>
    <w:rsid w:val="00B02ED9"/>
    <w:rsid w:val="00B10ABA"/>
    <w:rsid w:val="00B2364E"/>
    <w:rsid w:val="00B30BB7"/>
    <w:rsid w:val="00B33899"/>
    <w:rsid w:val="00B37018"/>
    <w:rsid w:val="00B420D4"/>
    <w:rsid w:val="00B536CC"/>
    <w:rsid w:val="00B57910"/>
    <w:rsid w:val="00B641EE"/>
    <w:rsid w:val="00B77412"/>
    <w:rsid w:val="00B908EF"/>
    <w:rsid w:val="00B92D58"/>
    <w:rsid w:val="00B952F6"/>
    <w:rsid w:val="00B9767A"/>
    <w:rsid w:val="00BA24DF"/>
    <w:rsid w:val="00BC093A"/>
    <w:rsid w:val="00BC4ACC"/>
    <w:rsid w:val="00BC4FCC"/>
    <w:rsid w:val="00BD02F8"/>
    <w:rsid w:val="00BD5EF2"/>
    <w:rsid w:val="00BE2E4F"/>
    <w:rsid w:val="00BF6FBD"/>
    <w:rsid w:val="00C00FCC"/>
    <w:rsid w:val="00C16AE3"/>
    <w:rsid w:val="00C217A8"/>
    <w:rsid w:val="00C2702E"/>
    <w:rsid w:val="00C357CF"/>
    <w:rsid w:val="00C4188F"/>
    <w:rsid w:val="00C470E8"/>
    <w:rsid w:val="00C819A4"/>
    <w:rsid w:val="00C824AE"/>
    <w:rsid w:val="00C84EA8"/>
    <w:rsid w:val="00C92998"/>
    <w:rsid w:val="00CA10C8"/>
    <w:rsid w:val="00CA385D"/>
    <w:rsid w:val="00CA720A"/>
    <w:rsid w:val="00CD1597"/>
    <w:rsid w:val="00CD2058"/>
    <w:rsid w:val="00CD5925"/>
    <w:rsid w:val="00CE557A"/>
    <w:rsid w:val="00D031B2"/>
    <w:rsid w:val="00D1410C"/>
    <w:rsid w:val="00D40D16"/>
    <w:rsid w:val="00D548F0"/>
    <w:rsid w:val="00D563A5"/>
    <w:rsid w:val="00D57F79"/>
    <w:rsid w:val="00D64FAC"/>
    <w:rsid w:val="00D65704"/>
    <w:rsid w:val="00D668F6"/>
    <w:rsid w:val="00D67916"/>
    <w:rsid w:val="00D84875"/>
    <w:rsid w:val="00D903BD"/>
    <w:rsid w:val="00D904F0"/>
    <w:rsid w:val="00D91378"/>
    <w:rsid w:val="00D91B18"/>
    <w:rsid w:val="00DA4F71"/>
    <w:rsid w:val="00DA75DE"/>
    <w:rsid w:val="00DC0747"/>
    <w:rsid w:val="00DC2647"/>
    <w:rsid w:val="00DC4D55"/>
    <w:rsid w:val="00DD1408"/>
    <w:rsid w:val="00DD356D"/>
    <w:rsid w:val="00DD43D9"/>
    <w:rsid w:val="00DD5E47"/>
    <w:rsid w:val="00DD6735"/>
    <w:rsid w:val="00DE1694"/>
    <w:rsid w:val="00DE6701"/>
    <w:rsid w:val="00DF136A"/>
    <w:rsid w:val="00E0096B"/>
    <w:rsid w:val="00E0109C"/>
    <w:rsid w:val="00E0448C"/>
    <w:rsid w:val="00E13525"/>
    <w:rsid w:val="00E25D7D"/>
    <w:rsid w:val="00E36531"/>
    <w:rsid w:val="00E45095"/>
    <w:rsid w:val="00E47250"/>
    <w:rsid w:val="00E53DDC"/>
    <w:rsid w:val="00E61535"/>
    <w:rsid w:val="00E834E8"/>
    <w:rsid w:val="00E84012"/>
    <w:rsid w:val="00E9373C"/>
    <w:rsid w:val="00E946D2"/>
    <w:rsid w:val="00EA0724"/>
    <w:rsid w:val="00EA6251"/>
    <w:rsid w:val="00EB14DE"/>
    <w:rsid w:val="00EB6414"/>
    <w:rsid w:val="00EC60D7"/>
    <w:rsid w:val="00EE5747"/>
    <w:rsid w:val="00EF3804"/>
    <w:rsid w:val="00EF5E05"/>
    <w:rsid w:val="00F10252"/>
    <w:rsid w:val="00F16558"/>
    <w:rsid w:val="00F2053D"/>
    <w:rsid w:val="00F227AF"/>
    <w:rsid w:val="00F27370"/>
    <w:rsid w:val="00F306DA"/>
    <w:rsid w:val="00F34D1C"/>
    <w:rsid w:val="00F40B00"/>
    <w:rsid w:val="00F5341C"/>
    <w:rsid w:val="00F543FA"/>
    <w:rsid w:val="00F56954"/>
    <w:rsid w:val="00F93A6B"/>
    <w:rsid w:val="00F948AF"/>
    <w:rsid w:val="00FA5A7B"/>
    <w:rsid w:val="00FB11B1"/>
    <w:rsid w:val="00FC34C7"/>
    <w:rsid w:val="00FE00E8"/>
    <w:rsid w:val="00FF008C"/>
    <w:rsid w:val="00FF585F"/>
    <w:rsid w:val="00FF5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D4263"/>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7814D0"/>
    <w:rPr>
      <w:sz w:val="16"/>
      <w:szCs w:val="16"/>
    </w:rPr>
  </w:style>
  <w:style w:type="paragraph" w:styleId="CommentText">
    <w:name w:val="annotation text"/>
    <w:basedOn w:val="Normal"/>
    <w:link w:val="CommentTextChar"/>
    <w:uiPriority w:val="99"/>
    <w:unhideWhenUsed/>
    <w:rsid w:val="007814D0"/>
    <w:pPr>
      <w:spacing w:line="240" w:lineRule="auto"/>
    </w:pPr>
    <w:rPr>
      <w:sz w:val="20"/>
    </w:rPr>
  </w:style>
  <w:style w:type="character" w:customStyle="1" w:styleId="CommentTextChar">
    <w:name w:val="Comment Text Char"/>
    <w:basedOn w:val="DefaultParagraphFont"/>
    <w:link w:val="CommentText"/>
    <w:uiPriority w:val="99"/>
    <w:rsid w:val="007814D0"/>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7814D0"/>
    <w:rPr>
      <w:b/>
      <w:bCs/>
    </w:rPr>
  </w:style>
  <w:style w:type="character" w:customStyle="1" w:styleId="CommentSubjectChar">
    <w:name w:val="Comment Subject Char"/>
    <w:basedOn w:val="CommentTextChar"/>
    <w:link w:val="CommentSubject"/>
    <w:uiPriority w:val="99"/>
    <w:semiHidden/>
    <w:rsid w:val="007814D0"/>
    <w:rPr>
      <w:rFonts w:asciiTheme="minorHAnsi" w:hAnsiTheme="minorHAnsi"/>
      <w:b/>
      <w:bCs/>
      <w:color w:val="000000" w:themeColor="text1"/>
    </w:rPr>
  </w:style>
  <w:style w:type="paragraph" w:customStyle="1" w:styleId="ListParagraph1">
    <w:name w:val="List Paragraph1"/>
    <w:basedOn w:val="ListParagraph"/>
    <w:uiPriority w:val="1"/>
    <w:qFormat/>
    <w:rsid w:val="0096458C"/>
    <w:pPr>
      <w:numPr>
        <w:numId w:val="12"/>
      </w:numPr>
      <w:spacing w:after="120" w:line="240" w:lineRule="auto"/>
    </w:pPr>
    <w:rPr>
      <w:rFonts w:eastAsia="Times New Roman"/>
      <w:color w:val="auto"/>
      <w:sz w:val="20"/>
      <w:szCs w:val="21"/>
      <w:lang w:eastAsia="en-AU"/>
    </w:rPr>
  </w:style>
  <w:style w:type="paragraph" w:customStyle="1" w:styleId="Bullet1">
    <w:name w:val="Bullet 1"/>
    <w:basedOn w:val="Normal"/>
    <w:qFormat/>
    <w:rsid w:val="0096458C"/>
    <w:pPr>
      <w:numPr>
        <w:numId w:val="14"/>
      </w:numPr>
      <w:suppressAutoHyphens/>
      <w:spacing w:before="120" w:after="60"/>
    </w:pPr>
    <w:rPr>
      <w:rFonts w:cstheme="minorBidi"/>
      <w:color w:val="auto"/>
      <w:szCs w:val="22"/>
    </w:rPr>
  </w:style>
  <w:style w:type="paragraph" w:customStyle="1" w:styleId="Bullet2">
    <w:name w:val="Bullet 2"/>
    <w:basedOn w:val="Bullet1"/>
    <w:qFormat/>
    <w:rsid w:val="0096458C"/>
    <w:pPr>
      <w:numPr>
        <w:ilvl w:val="1"/>
      </w:numPr>
    </w:pPr>
  </w:style>
  <w:style w:type="paragraph" w:customStyle="1" w:styleId="Bullet3">
    <w:name w:val="Bullet 3"/>
    <w:basedOn w:val="Bullet2"/>
    <w:qFormat/>
    <w:rsid w:val="0096458C"/>
    <w:pPr>
      <w:numPr>
        <w:ilvl w:val="2"/>
      </w:numPr>
    </w:pPr>
  </w:style>
  <w:style w:type="numbering" w:customStyle="1" w:styleId="BulletsList">
    <w:name w:val="Bullets List"/>
    <w:uiPriority w:val="99"/>
    <w:rsid w:val="0096458C"/>
    <w:pPr>
      <w:numPr>
        <w:numId w:val="14"/>
      </w:numPr>
    </w:pPr>
  </w:style>
  <w:style w:type="character" w:styleId="FootnoteReference">
    <w:name w:val="footnote reference"/>
    <w:basedOn w:val="DefaultParagraphFont"/>
    <w:uiPriority w:val="99"/>
    <w:semiHidden/>
    <w:unhideWhenUsed/>
    <w:rsid w:val="00DD5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449">
      <w:bodyDiv w:val="1"/>
      <w:marLeft w:val="0"/>
      <w:marRight w:val="0"/>
      <w:marTop w:val="0"/>
      <w:marBottom w:val="0"/>
      <w:divBdr>
        <w:top w:val="none" w:sz="0" w:space="0" w:color="auto"/>
        <w:left w:val="none" w:sz="0" w:space="0" w:color="auto"/>
        <w:bottom w:val="none" w:sz="0" w:space="0" w:color="auto"/>
        <w:right w:val="none" w:sz="0" w:space="0" w:color="auto"/>
      </w:divBdr>
    </w:div>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345787932">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064379412">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communitygrants.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rants.gov.au/Fo/Show?FoUuid=5dfb2962-c6ac-4d8b-995d-5de87cfb24f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4253</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Volunteer Grants: Hinkler - General Feedback</dc:title>
  <dc:subject/>
  <dc:creator/>
  <cp:keywords>[SEC=UNOFFICIAL]</cp:keywords>
  <cp:lastModifiedBy/>
  <cp:revision>1</cp:revision>
  <dcterms:created xsi:type="dcterms:W3CDTF">2025-12-02T04:40:00Z</dcterms:created>
  <dcterms:modified xsi:type="dcterms:W3CDTF">2025-12-02T04:42:00Z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48c3c0a9-12dd-4b95-92ca-a006af7b6583_ContentBits">
    <vt:lpwstr>3</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48c3c0a9-12dd-4b95-92ca-a006af7b6583_SetDate">
    <vt:lpwstr>2025-12-02T04:42:05Z</vt:lpwstr>
  </property>
  <property fmtid="{D5CDD505-2E9C-101B-9397-08002B2CF9AE}" pid="7" name="PM_Note">
    <vt:lpwstr/>
  </property>
  <property fmtid="{D5CDD505-2E9C-101B-9397-08002B2CF9AE}" pid="8" name="PMHMAC">
    <vt:lpwstr>v=2024.1;a=SHA256;h=884BF75C01A5E780C0BC6F95AE77FC8B03E2B3338000BC33D401BD1A1C4384CD</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2025-12-02T04:42:05Z</vt:lpwstr>
  </property>
  <property fmtid="{D5CDD505-2E9C-101B-9397-08002B2CF9AE}" pid="13" name="MSIP_Label_48c3c0a9-12dd-4b95-92ca-a006af7b6583_Method">
    <vt:lpwstr>Privileged</vt:lpwstr>
  </property>
  <property fmtid="{D5CDD505-2E9C-101B-9397-08002B2CF9AE}" pid="14" name="MSIP_Label_48c3c0a9-12dd-4b95-92ca-a006af7b6583_Name">
    <vt:lpwstr>UNOFFICIAL</vt:lpwstr>
  </property>
  <property fmtid="{D5CDD505-2E9C-101B-9397-08002B2CF9AE}" pid="15" name="PM_Markers">
    <vt:lpwstr/>
  </property>
  <property fmtid="{D5CDD505-2E9C-101B-9397-08002B2CF9AE}" pid="16" name="PM_DownTo">
    <vt:lpwstr/>
  </property>
  <property fmtid="{D5CDD505-2E9C-101B-9397-08002B2CF9AE}" pid="17" name="PM_DisplayValueSecClassificationWithQualifier">
    <vt:lpwstr>UNOFFICIAL</vt:lpwstr>
  </property>
  <property fmtid="{D5CDD505-2E9C-101B-9397-08002B2CF9AE}" pid="18" name="PM_Expires">
    <vt:lpwstr/>
  </property>
  <property fmtid="{D5CDD505-2E9C-101B-9397-08002B2CF9AE}" pid="19" name="PM_InsertionValue">
    <vt:lpwstr>UNOFFICIAL</vt:lpwstr>
  </property>
  <property fmtid="{D5CDD505-2E9C-101B-9397-08002B2CF9AE}" pid="20" name="PM_DowngradeTo">
    <vt:lpwstr/>
  </property>
  <property fmtid="{D5CDD505-2E9C-101B-9397-08002B2CF9AE}" pid="21" name="MSIP_Label_48c3c0a9-12dd-4b95-92ca-a006af7b6583_SiteId">
    <vt:lpwstr>61e36dd1-ca6e-4d61-aa0a-2b4eb88317a3</vt:lpwstr>
  </property>
  <property fmtid="{D5CDD505-2E9C-101B-9397-08002B2CF9AE}" pid="22" name="MSIP_Label_48c3c0a9-12dd-4b95-92ca-a006af7b6583_Enabled">
    <vt:lpwstr>true</vt:lpwstr>
  </property>
  <property fmtid="{D5CDD505-2E9C-101B-9397-08002B2CF9AE}" pid="23" name="MSIP_Label_48c3c0a9-12dd-4b95-92ca-a006af7b6583_ActionId">
    <vt:lpwstr>ad3ef17e3fa04955bf3e14445bad34cf</vt:lpwstr>
  </property>
  <property fmtid="{D5CDD505-2E9C-101B-9397-08002B2CF9AE}" pid="24" name="PM_Originator_Hash_SHA1">
    <vt:lpwstr>DC3EAC6FB4874D452CD0D6E554940955B9FF8C9D</vt:lpwstr>
  </property>
  <property fmtid="{D5CDD505-2E9C-101B-9397-08002B2CF9AE}" pid="25" name="PM_Originating_FileId">
    <vt:lpwstr>E3AF22F3E3C4401FB3A531064AF41ACB</vt:lpwstr>
  </property>
  <property fmtid="{D5CDD505-2E9C-101B-9397-08002B2CF9AE}" pid="26" name="PM_ProtectiveMarkingValue_Footer">
    <vt:lpwstr>UNOFFICIAL</vt:lpwstr>
  </property>
  <property fmtid="{D5CDD505-2E9C-101B-9397-08002B2CF9AE}" pid="27" name="PM_Display">
    <vt:lpwstr>UNOFFICIAL</vt:lpwstr>
  </property>
  <property fmtid="{D5CDD505-2E9C-101B-9397-08002B2CF9AE}" pid="28" name="PM_OriginatorUserAccountName_SHA256">
    <vt:lpwstr>56084DE7D87471392F5BD2235C8043EAEC8018D05D094D5A8468DE8533D8A2CE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v=2022.2;d=gov.au;g=65417EFE-F3B9-5E66-BD91-1E689FEC2EA6</vt:lpwstr>
  </property>
  <property fmtid="{D5CDD505-2E9C-101B-9397-08002B2CF9AE}" pid="31" name="PM_Hash_Version">
    <vt:lpwstr>2024.1</vt:lpwstr>
  </property>
  <property fmtid="{D5CDD505-2E9C-101B-9397-08002B2CF9AE}" pid="32" name="PM_Hash_Salt_Prev">
    <vt:lpwstr>FB1721A476D71BD855DE4F560CFE846B</vt:lpwstr>
  </property>
  <property fmtid="{D5CDD505-2E9C-101B-9397-08002B2CF9AE}" pid="33" name="PM_Hash_Salt">
    <vt:lpwstr>5024272AD8E339BD8B4A85E9B72D8B2A</vt:lpwstr>
  </property>
  <property fmtid="{D5CDD505-2E9C-101B-9397-08002B2CF9AE}" pid="34" name="PM_Hash_SHA1">
    <vt:lpwstr>0BD16B5647EC63C8921B5FD1BC83535B1B740F00</vt:lpwstr>
  </property>
</Properties>
</file>