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9"/>
                    <a:stretch>
                      <a:fillRect/>
                    </a:stretch>
                  </pic:blipFill>
                  <pic:spPr>
                    <a:xfrm>
                      <a:off x="0" y="0"/>
                      <a:ext cx="7109002" cy="1405417"/>
                    </a:xfrm>
                    <a:prstGeom prst="rect">
                      <a:avLst/>
                    </a:prstGeom>
                  </pic:spPr>
                </pic:pic>
              </a:graphicData>
            </a:graphic>
          </wp:inline>
        </w:drawing>
      </w:r>
    </w:p>
    <w:p w14:paraId="3232AB26" w14:textId="77777777" w:rsidR="0056667E" w:rsidRPr="0056667E" w:rsidRDefault="0056667E" w:rsidP="00AB556D">
      <w:pPr>
        <w:pStyle w:val="Heading1"/>
      </w:pPr>
      <w:r w:rsidRPr="0056667E">
        <w:t>Local Jobs Program</w:t>
      </w:r>
    </w:p>
    <w:p w14:paraId="635621B0" w14:textId="4AEE1A2A" w:rsidR="0056667E" w:rsidRDefault="0056667E" w:rsidP="00AB556D">
      <w:pPr>
        <w:pStyle w:val="Heading1"/>
        <w:spacing w:before="120"/>
        <w:rPr>
          <w:iCs/>
        </w:rPr>
      </w:pPr>
      <w:r w:rsidRPr="0056667E">
        <w:t>Local Jobs, Local People</w:t>
      </w:r>
    </w:p>
    <w:p w14:paraId="1160723B" w14:textId="2D4EBE5F" w:rsidR="00A92ECD" w:rsidRPr="00F85F98" w:rsidRDefault="00B37402" w:rsidP="0056667E">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6DE5FC38" w:rsidR="00A92ECD" w:rsidRDefault="00A92ECD" w:rsidP="00CB3AD7">
      <w:pPr>
        <w:spacing w:before="120" w:after="120"/>
        <w:rPr>
          <w:color w:val="auto"/>
        </w:rPr>
      </w:pPr>
      <w:r w:rsidRPr="00854ACD">
        <w:rPr>
          <w:color w:val="auto"/>
        </w:rPr>
        <w:t xml:space="preserve">The </w:t>
      </w:r>
      <w:r w:rsidR="00CB3AD7" w:rsidRPr="00CB3AD7">
        <w:rPr>
          <w:color w:val="auto"/>
        </w:rPr>
        <w:t xml:space="preserve">Department of Employment and Workplace Relations </w:t>
      </w:r>
      <w:r>
        <w:rPr>
          <w:color w:val="auto"/>
        </w:rPr>
        <w:t>(the department) has provided the following general f</w:t>
      </w:r>
      <w:r w:rsidRPr="00854ACD">
        <w:rPr>
          <w:color w:val="auto"/>
        </w:rPr>
        <w:t xml:space="preserve">eedback for applicants of the </w:t>
      </w:r>
      <w:r w:rsidR="00CB3AD7" w:rsidRPr="00CB3AD7">
        <w:rPr>
          <w:color w:val="auto"/>
        </w:rPr>
        <w:t>Local Jobs Program</w:t>
      </w:r>
      <w:r w:rsidR="00CB3AD7">
        <w:rPr>
          <w:color w:val="auto"/>
        </w:rPr>
        <w:t xml:space="preserve"> </w:t>
      </w:r>
      <w:r w:rsidR="00CB3AD7" w:rsidRPr="00CB3AD7">
        <w:rPr>
          <w:color w:val="auto"/>
        </w:rPr>
        <w:t xml:space="preserve">Local </w:t>
      </w:r>
      <w:proofErr w:type="gramStart"/>
      <w:r w:rsidR="00CB3AD7" w:rsidRPr="00CB3AD7">
        <w:rPr>
          <w:color w:val="auto"/>
        </w:rPr>
        <w:t>Jobs,</w:t>
      </w:r>
      <w:proofErr w:type="gramEnd"/>
      <w:r w:rsidR="00CB3AD7" w:rsidRPr="00CB3AD7">
        <w:rPr>
          <w:color w:val="auto"/>
        </w:rPr>
        <w:t xml:space="preserve"> Local People </w:t>
      </w:r>
      <w:r w:rsidRPr="00854ACD">
        <w:rPr>
          <w:color w:val="auto"/>
        </w:rPr>
        <w:t>grant opportunity.</w:t>
      </w:r>
    </w:p>
    <w:p w14:paraId="76CCC210" w14:textId="22B511BE" w:rsidR="00A92ECD" w:rsidRPr="00B26492" w:rsidRDefault="00A92ECD" w:rsidP="00A92ECD">
      <w:pPr>
        <w:pStyle w:val="BodyText"/>
      </w:pPr>
      <w:r>
        <w:t xml:space="preserve">Assessment of applications was in accordance with the procedure detailed in the </w:t>
      </w:r>
      <w:r w:rsidR="00B37402">
        <w:t>G</w:t>
      </w:r>
      <w:r>
        <w:t xml:space="preserve">rant </w:t>
      </w:r>
      <w:r w:rsidR="00B37402">
        <w:t>O</w:t>
      </w:r>
      <w:r>
        <w:t xml:space="preserve">pportunity </w:t>
      </w:r>
      <w:r w:rsidR="00B37402">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17766C3C" w:rsidR="00A92ECD" w:rsidRDefault="00A92ECD" w:rsidP="00A92ECD">
      <w:pPr>
        <w:pStyle w:val="BodyText"/>
        <w:spacing w:after="120"/>
        <w:rPr>
          <w:color w:val="auto"/>
        </w:rPr>
      </w:pPr>
      <w:r w:rsidRPr="4FAA1DD6">
        <w:rPr>
          <w:color w:val="auto"/>
        </w:rPr>
        <w:t xml:space="preserve">The application submission period opened on </w:t>
      </w:r>
      <w:r w:rsidR="00D76CA2" w:rsidRPr="4FAA1DD6">
        <w:rPr>
          <w:color w:val="auto"/>
        </w:rPr>
        <w:t xml:space="preserve">31 July 2025 </w:t>
      </w:r>
      <w:r w:rsidRPr="4FAA1DD6">
        <w:rPr>
          <w:color w:val="auto"/>
        </w:rPr>
        <w:t xml:space="preserve">and closed on </w:t>
      </w:r>
      <w:r w:rsidR="00D76CA2" w:rsidRPr="4FAA1DD6">
        <w:rPr>
          <w:color w:val="auto"/>
        </w:rPr>
        <w:t>24 September 2025</w:t>
      </w:r>
      <w:r w:rsidRPr="4FAA1DD6">
        <w:rPr>
          <w:color w:val="auto"/>
        </w:rPr>
        <w:t>.</w:t>
      </w:r>
    </w:p>
    <w:p w14:paraId="5EC62998" w14:textId="3522F4D7" w:rsidR="009C4F19" w:rsidRPr="005D33D2" w:rsidRDefault="79EAF102" w:rsidP="4FAA1DD6">
      <w:pPr>
        <w:pStyle w:val="BodyText"/>
        <w:spacing w:after="120"/>
        <w:rPr>
          <w:color w:val="auto"/>
        </w:rPr>
      </w:pPr>
      <w:r w:rsidRPr="005D33D2">
        <w:rPr>
          <w:color w:val="auto"/>
        </w:rPr>
        <w:t xml:space="preserve">The Local Jobs, Local People </w:t>
      </w:r>
      <w:proofErr w:type="gramStart"/>
      <w:r w:rsidRPr="005D33D2">
        <w:rPr>
          <w:color w:val="auto"/>
        </w:rPr>
        <w:t>grant</w:t>
      </w:r>
      <w:r w:rsidR="599912F1" w:rsidRPr="005D33D2">
        <w:rPr>
          <w:color w:val="auto"/>
        </w:rPr>
        <w:t>s</w:t>
      </w:r>
      <w:proofErr w:type="gramEnd"/>
      <w:r w:rsidR="599912F1" w:rsidRPr="005D33D2">
        <w:rPr>
          <w:color w:val="auto"/>
        </w:rPr>
        <w:t xml:space="preserve"> </w:t>
      </w:r>
      <w:r w:rsidRPr="005D33D2">
        <w:rPr>
          <w:color w:val="auto"/>
        </w:rPr>
        <w:t>delivered under the Local Jobs Program reflect the Australian Government’s commitment to place-based approaches and community partnerships.</w:t>
      </w:r>
    </w:p>
    <w:p w14:paraId="02C73BD3" w14:textId="1917BB0B" w:rsidR="34464FB7" w:rsidRPr="005D33D2" w:rsidRDefault="79EAF102" w:rsidP="4FAA1DD6">
      <w:pPr>
        <w:pStyle w:val="BodyText"/>
        <w:spacing w:after="120"/>
        <w:rPr>
          <w:color w:val="auto"/>
        </w:rPr>
      </w:pPr>
      <w:r w:rsidRPr="005D33D2">
        <w:rPr>
          <w:color w:val="auto"/>
        </w:rPr>
        <w:t xml:space="preserve">The Local Jobs, Local People </w:t>
      </w:r>
      <w:proofErr w:type="gramStart"/>
      <w:r w:rsidRPr="005D33D2">
        <w:rPr>
          <w:color w:val="auto"/>
        </w:rPr>
        <w:t>grant</w:t>
      </w:r>
      <w:r w:rsidR="599912F1" w:rsidRPr="005D33D2">
        <w:rPr>
          <w:color w:val="auto"/>
        </w:rPr>
        <w:t>s</w:t>
      </w:r>
      <w:proofErr w:type="gramEnd"/>
      <w:r w:rsidRPr="005D33D2">
        <w:rPr>
          <w:color w:val="auto"/>
        </w:rPr>
        <w:t xml:space="preserve"> fund activities </w:t>
      </w:r>
      <w:r w:rsidR="0E322D92" w:rsidRPr="005D33D2">
        <w:rPr>
          <w:color w:val="auto"/>
        </w:rPr>
        <w:t xml:space="preserve">that </w:t>
      </w:r>
      <w:r w:rsidRPr="005D33D2">
        <w:rPr>
          <w:color w:val="auto"/>
        </w:rPr>
        <w:t>aim to address local employment needs and support individuals, prioritising those individuals registered in employment services, into ongoing employment.</w:t>
      </w:r>
    </w:p>
    <w:p w14:paraId="5DB5F7BE" w14:textId="3E6F4DCB" w:rsidR="34464FB7" w:rsidRPr="005D33D2" w:rsidRDefault="34464FB7" w:rsidP="4FAA1DD6">
      <w:pPr>
        <w:pStyle w:val="BodyText"/>
        <w:spacing w:after="120"/>
        <w:rPr>
          <w:color w:val="auto"/>
        </w:rPr>
      </w:pPr>
      <w:r w:rsidRPr="005D33D2">
        <w:rPr>
          <w:color w:val="auto"/>
        </w:rPr>
        <w:t>The objectives of the Local Jobs, Local People grant</w:t>
      </w:r>
      <w:r w:rsidR="00E35FB5" w:rsidRPr="005D33D2">
        <w:rPr>
          <w:color w:val="auto"/>
        </w:rPr>
        <w:t>s</w:t>
      </w:r>
      <w:r w:rsidRPr="005D33D2">
        <w:rPr>
          <w:color w:val="auto"/>
        </w:rPr>
        <w:t xml:space="preserve"> are to:</w:t>
      </w:r>
    </w:p>
    <w:p w14:paraId="27573F99" w14:textId="0884271E" w:rsidR="34464FB7" w:rsidRPr="005D33D2" w:rsidRDefault="007A67E0" w:rsidP="4FAA1DD6">
      <w:pPr>
        <w:pStyle w:val="BodyText"/>
        <w:numPr>
          <w:ilvl w:val="0"/>
          <w:numId w:val="1"/>
        </w:numPr>
        <w:spacing w:after="120"/>
        <w:rPr>
          <w:color w:val="auto"/>
        </w:rPr>
      </w:pPr>
      <w:r w:rsidRPr="005D33D2">
        <w:rPr>
          <w:color w:val="auto"/>
        </w:rPr>
        <w:t>deliver short</w:t>
      </w:r>
      <w:r w:rsidRPr="005D33D2">
        <w:rPr>
          <w:color w:val="auto"/>
        </w:rPr>
        <w:noBreakHyphen/>
        <w:t>term activities that address priorities identified in the relevant Employment Region’s Local Jobs Plan (Local Jobs Plans are available on the Department’s Job Coordinators and Employment</w:t>
      </w:r>
      <w:r w:rsidR="009C4F19" w:rsidRPr="005D33D2">
        <w:rPr>
          <w:color w:val="auto"/>
        </w:rPr>
        <w:t xml:space="preserve"> </w:t>
      </w:r>
      <w:r w:rsidR="34464FB7" w:rsidRPr="005D33D2">
        <w:rPr>
          <w:color w:val="auto"/>
        </w:rPr>
        <w:t>Regions website</w:t>
      </w:r>
      <w:r w:rsidR="009C4F19" w:rsidRPr="005D33D2">
        <w:rPr>
          <w:color w:val="auto"/>
        </w:rPr>
        <w:t>)</w:t>
      </w:r>
    </w:p>
    <w:p w14:paraId="4DD75785" w14:textId="50DD6C5C" w:rsidR="34464FB7" w:rsidRPr="005D33D2" w:rsidRDefault="34464FB7" w:rsidP="00210D62">
      <w:pPr>
        <w:pStyle w:val="BodyText"/>
        <w:numPr>
          <w:ilvl w:val="0"/>
          <w:numId w:val="1"/>
        </w:numPr>
        <w:spacing w:after="120"/>
        <w:rPr>
          <w:color w:val="auto"/>
        </w:rPr>
      </w:pPr>
      <w:r w:rsidRPr="005D33D2">
        <w:rPr>
          <w:color w:val="auto"/>
        </w:rPr>
        <w:t>offer activities leading to ongoing, secure employment or that build clear pathways to employment for community members who experience barriers to employment, such as:</w:t>
      </w:r>
    </w:p>
    <w:p w14:paraId="12099BA5" w14:textId="69FCBA6A" w:rsidR="34464FB7" w:rsidRPr="005D33D2" w:rsidRDefault="34464FB7" w:rsidP="00210D62">
      <w:pPr>
        <w:pStyle w:val="BodyText"/>
        <w:numPr>
          <w:ilvl w:val="1"/>
          <w:numId w:val="1"/>
        </w:numPr>
        <w:spacing w:after="120"/>
        <w:rPr>
          <w:color w:val="auto"/>
        </w:rPr>
      </w:pPr>
      <w:r w:rsidRPr="005D33D2">
        <w:rPr>
          <w:color w:val="auto"/>
        </w:rPr>
        <w:t>First Nations peoples</w:t>
      </w:r>
    </w:p>
    <w:p w14:paraId="5A14B129" w14:textId="7BA2FB28" w:rsidR="006B32EA" w:rsidRPr="005D33D2" w:rsidRDefault="34464FB7" w:rsidP="00210D62">
      <w:pPr>
        <w:pStyle w:val="BodyText"/>
        <w:numPr>
          <w:ilvl w:val="1"/>
          <w:numId w:val="1"/>
        </w:numPr>
        <w:spacing w:after="120"/>
        <w:rPr>
          <w:color w:val="auto"/>
        </w:rPr>
      </w:pPr>
      <w:r w:rsidRPr="005D33D2">
        <w:rPr>
          <w:color w:val="auto"/>
        </w:rPr>
        <w:t>mature age Australians over 45</w:t>
      </w:r>
    </w:p>
    <w:p w14:paraId="574735A3" w14:textId="77777777" w:rsidR="006B32EA" w:rsidRPr="005D33D2" w:rsidRDefault="34464FB7" w:rsidP="00210D62">
      <w:pPr>
        <w:pStyle w:val="BodyText"/>
        <w:numPr>
          <w:ilvl w:val="1"/>
          <w:numId w:val="1"/>
        </w:numPr>
        <w:spacing w:after="120"/>
        <w:rPr>
          <w:color w:val="auto"/>
        </w:rPr>
      </w:pPr>
      <w:r w:rsidRPr="005D33D2">
        <w:rPr>
          <w:color w:val="auto"/>
        </w:rPr>
        <w:t>migrants, refugees and humanitarian visa holders (with work rights)</w:t>
      </w:r>
    </w:p>
    <w:p w14:paraId="363352D3" w14:textId="5992E3AE" w:rsidR="006B32EA" w:rsidRPr="005D33D2" w:rsidRDefault="27AD0676" w:rsidP="00210D62">
      <w:pPr>
        <w:pStyle w:val="BodyText"/>
        <w:numPr>
          <w:ilvl w:val="1"/>
          <w:numId w:val="1"/>
        </w:numPr>
        <w:spacing w:after="120"/>
        <w:rPr>
          <w:color w:val="auto"/>
        </w:rPr>
      </w:pPr>
      <w:r w:rsidRPr="005D33D2">
        <w:rPr>
          <w:color w:val="auto"/>
        </w:rPr>
        <w:t>Y</w:t>
      </w:r>
      <w:r w:rsidR="34464FB7" w:rsidRPr="005D33D2">
        <w:rPr>
          <w:color w:val="auto"/>
        </w:rPr>
        <w:t>oung people up to 24 years of age</w:t>
      </w:r>
      <w:r w:rsidR="009C4F19" w:rsidRPr="005D33D2">
        <w:rPr>
          <w:color w:val="auto"/>
        </w:rPr>
        <w:t>; and</w:t>
      </w:r>
    </w:p>
    <w:p w14:paraId="503482F4" w14:textId="2DC97785" w:rsidR="27AD0676" w:rsidRPr="005D33D2" w:rsidRDefault="34464FB7" w:rsidP="00210D62">
      <w:pPr>
        <w:pStyle w:val="BodyText"/>
        <w:numPr>
          <w:ilvl w:val="0"/>
          <w:numId w:val="1"/>
        </w:numPr>
        <w:spacing w:after="120"/>
        <w:rPr>
          <w:color w:val="auto"/>
        </w:rPr>
      </w:pPr>
      <w:r w:rsidRPr="005D33D2">
        <w:rPr>
          <w:color w:val="auto"/>
        </w:rPr>
        <w:t>help realise the opportunity for local employment in sectors that are critical to Australia’s growth, such as:</w:t>
      </w:r>
    </w:p>
    <w:p w14:paraId="05A34C9F" w14:textId="22F16D58" w:rsidR="27AD0676" w:rsidRPr="005D33D2" w:rsidRDefault="34464FB7" w:rsidP="00210D62">
      <w:pPr>
        <w:pStyle w:val="BodyText"/>
        <w:numPr>
          <w:ilvl w:val="1"/>
          <w:numId w:val="1"/>
        </w:numPr>
        <w:spacing w:after="120"/>
        <w:rPr>
          <w:color w:val="auto"/>
        </w:rPr>
      </w:pPr>
      <w:r w:rsidRPr="005D33D2">
        <w:rPr>
          <w:color w:val="auto"/>
        </w:rPr>
        <w:t>Construction</w:t>
      </w:r>
    </w:p>
    <w:p w14:paraId="30011B75" w14:textId="75CED679" w:rsidR="27AD0676" w:rsidRPr="005D33D2" w:rsidRDefault="34464FB7" w:rsidP="00210D62">
      <w:pPr>
        <w:pStyle w:val="BodyText"/>
        <w:numPr>
          <w:ilvl w:val="1"/>
          <w:numId w:val="1"/>
        </w:numPr>
        <w:spacing w:after="120"/>
        <w:rPr>
          <w:color w:val="auto"/>
        </w:rPr>
      </w:pPr>
      <w:r w:rsidRPr="005D33D2">
        <w:rPr>
          <w:color w:val="auto"/>
        </w:rPr>
        <w:t>Manufacturing</w:t>
      </w:r>
    </w:p>
    <w:p w14:paraId="4806C259" w14:textId="48F01BD8" w:rsidR="006B32EA" w:rsidRPr="005D33D2" w:rsidRDefault="34464FB7" w:rsidP="00210D62">
      <w:pPr>
        <w:pStyle w:val="BodyText"/>
        <w:numPr>
          <w:ilvl w:val="1"/>
          <w:numId w:val="1"/>
        </w:numPr>
        <w:spacing w:after="120"/>
        <w:rPr>
          <w:color w:val="auto"/>
        </w:rPr>
      </w:pPr>
      <w:r w:rsidRPr="005D33D2">
        <w:rPr>
          <w:color w:val="auto"/>
        </w:rPr>
        <w:t>Care and Support</w:t>
      </w:r>
    </w:p>
    <w:p w14:paraId="1EAF6FC5" w14:textId="17590280" w:rsidR="006B32EA" w:rsidRPr="005D33D2" w:rsidRDefault="34464FB7" w:rsidP="00210D62">
      <w:pPr>
        <w:pStyle w:val="BodyText"/>
        <w:numPr>
          <w:ilvl w:val="1"/>
          <w:numId w:val="1"/>
        </w:numPr>
        <w:spacing w:after="120"/>
        <w:rPr>
          <w:color w:val="auto"/>
        </w:rPr>
      </w:pPr>
      <w:r w:rsidRPr="005D33D2">
        <w:rPr>
          <w:color w:val="auto"/>
        </w:rPr>
        <w:t>Digital and Emerging Technologies</w:t>
      </w:r>
    </w:p>
    <w:p w14:paraId="544FA4D2" w14:textId="16FC7F35" w:rsidR="27AD0676" w:rsidRPr="005D33D2" w:rsidRDefault="34464FB7" w:rsidP="00210D62">
      <w:pPr>
        <w:pStyle w:val="BodyText"/>
        <w:numPr>
          <w:ilvl w:val="1"/>
          <w:numId w:val="1"/>
        </w:numPr>
        <w:spacing w:after="120"/>
        <w:rPr>
          <w:color w:val="auto"/>
        </w:rPr>
      </w:pPr>
      <w:r w:rsidRPr="005D33D2">
        <w:rPr>
          <w:color w:val="auto"/>
        </w:rPr>
        <w:t>Energy Transition</w:t>
      </w:r>
      <w:r w:rsidR="00724165" w:rsidRPr="005D33D2">
        <w:rPr>
          <w:color w:val="auto"/>
        </w:rPr>
        <w:t>.</w:t>
      </w:r>
    </w:p>
    <w:p w14:paraId="554BDD0C" w14:textId="57520947" w:rsidR="3BAAC4FB" w:rsidRDefault="3BAAC4FB" w:rsidP="00E35FB5">
      <w:pPr>
        <w:pStyle w:val="BodyText"/>
        <w:spacing w:after="120"/>
      </w:pPr>
      <w:r w:rsidRPr="005D33D2">
        <w:lastRenderedPageBreak/>
        <w:t>Preference was given to proposals that demonstrate</w:t>
      </w:r>
      <w:r w:rsidR="007A67E0" w:rsidRPr="005D33D2">
        <w:t>d effective</w:t>
      </w:r>
      <w:r w:rsidRPr="005D33D2">
        <w:t xml:space="preserve"> partnerships with small and medium sized businesses that have current or emerging employment opportunities, </w:t>
      </w:r>
      <w:r w:rsidR="00724165" w:rsidRPr="005D33D2">
        <w:t xml:space="preserve">including local businesses. </w:t>
      </w:r>
      <w:r w:rsidR="003F5811" w:rsidRPr="005D33D2">
        <w:t>Proposals that</w:t>
      </w:r>
      <w:r w:rsidR="007A67E0" w:rsidRPr="005D33D2">
        <w:t xml:space="preserve"> clearly</w:t>
      </w:r>
      <w:r w:rsidR="003F5811" w:rsidRPr="005D33D2">
        <w:t xml:space="preserve"> </w:t>
      </w:r>
      <w:r w:rsidRPr="005D33D2">
        <w:t>bridge</w:t>
      </w:r>
      <w:r w:rsidR="00DE5227" w:rsidRPr="005D33D2">
        <w:t>d</w:t>
      </w:r>
      <w:r w:rsidRPr="005D33D2">
        <w:t xml:space="preserve"> the gap between local people looking to participate in the labour market and employers’ workforce needs</w:t>
      </w:r>
      <w:r w:rsidR="00DE5227" w:rsidRPr="005D33D2">
        <w:t xml:space="preserve"> were also </w:t>
      </w:r>
      <w:r w:rsidR="00CA7264" w:rsidRPr="005D33D2">
        <w:t>given preference</w:t>
      </w:r>
      <w:r w:rsidRPr="005D33D2">
        <w:t>.</w:t>
      </w:r>
    </w:p>
    <w:p w14:paraId="51AF20E1" w14:textId="32F150D9" w:rsidR="00A92ECD" w:rsidRPr="00E35FB5" w:rsidRDefault="00A92ECD" w:rsidP="00E35FB5">
      <w:pPr>
        <w:pStyle w:val="Heading2"/>
        <w:rPr>
          <w:rFonts w:asciiTheme="majorHAnsi" w:hAnsiTheme="majorHAnsi" w:cstheme="majorHAnsi"/>
        </w:rPr>
      </w:pPr>
      <w:r w:rsidRPr="00E35FB5">
        <w:rPr>
          <w:rFonts w:asciiTheme="majorHAnsi" w:hAnsiTheme="majorHAnsi" w:cstheme="majorHAnsi"/>
        </w:rPr>
        <w:t>Selection Process</w:t>
      </w:r>
    </w:p>
    <w:p w14:paraId="01AF615A" w14:textId="77777777" w:rsidR="00A92ECD" w:rsidRPr="00453071" w:rsidRDefault="00A92ECD" w:rsidP="00A92ECD">
      <w:pPr>
        <w:pStyle w:val="BodyText"/>
        <w:spacing w:after="120"/>
        <w:rPr>
          <w:color w:val="auto"/>
        </w:rPr>
      </w:pPr>
      <w:r w:rsidRPr="00453071">
        <w:t xml:space="preserve">The Community Grants Hub (the Hub) undertook the initial screening for organisation eligibility and compliance against the requirements outlined in the guidelines. This information was provided to the department’s grant opportunity delegate </w:t>
      </w:r>
      <w:r w:rsidRPr="00453071">
        <w:rPr>
          <w:color w:val="auto"/>
        </w:rPr>
        <w:t>for final decisions on whether an application met the eligibility and compliance criteria.</w:t>
      </w:r>
    </w:p>
    <w:p w14:paraId="403670EB" w14:textId="73357761" w:rsidR="00A92ECD" w:rsidRPr="00453071" w:rsidRDefault="00A92ECD" w:rsidP="00A92ECD">
      <w:pPr>
        <w:spacing w:before="120" w:after="120"/>
        <w:rPr>
          <w:color w:val="auto"/>
        </w:rPr>
      </w:pPr>
      <w:r w:rsidRPr="00453071">
        <w:rPr>
          <w:color w:val="auto"/>
        </w:rPr>
        <w:t xml:space="preserve">The department assessed and </w:t>
      </w:r>
      <w:r w:rsidRPr="005D33D2">
        <w:rPr>
          <w:color w:val="auto"/>
        </w:rPr>
        <w:t xml:space="preserve">considered </w:t>
      </w:r>
      <w:r w:rsidR="00453071" w:rsidRPr="005D33D2">
        <w:rPr>
          <w:color w:val="auto"/>
        </w:rPr>
        <w:t xml:space="preserve">all </w:t>
      </w:r>
      <w:r w:rsidRPr="005D33D2">
        <w:rPr>
          <w:color w:val="auto"/>
        </w:rPr>
        <w:t>eligible and compliant applications</w:t>
      </w:r>
      <w:r w:rsidRPr="00453071">
        <w:rPr>
          <w:color w:val="auto"/>
        </w:rPr>
        <w:t xml:space="preserve"> through an</w:t>
      </w:r>
      <w:r w:rsidR="003125DF" w:rsidRPr="00453071">
        <w:rPr>
          <w:color w:val="auto"/>
        </w:rPr>
        <w:t xml:space="preserve"> </w:t>
      </w:r>
      <w:r w:rsidRPr="00453071">
        <w:rPr>
          <w:color w:val="auto"/>
        </w:rPr>
        <w:t>Open Competitive</w:t>
      </w:r>
      <w:r w:rsidR="003125DF" w:rsidRPr="00453071">
        <w:rPr>
          <w:color w:val="auto"/>
        </w:rPr>
        <w:t xml:space="preserve"> </w:t>
      </w:r>
      <w:r w:rsidRPr="00453071">
        <w:rPr>
          <w:color w:val="auto"/>
        </w:rPr>
        <w:t>grant process.</w:t>
      </w:r>
    </w:p>
    <w:p w14:paraId="0396BC32" w14:textId="6531B707" w:rsidR="00A92ECD" w:rsidRPr="00453071" w:rsidRDefault="00A92ECD" w:rsidP="00A92ECD">
      <w:pPr>
        <w:spacing w:before="120" w:after="120"/>
        <w:rPr>
          <w:color w:val="auto"/>
        </w:rPr>
      </w:pPr>
      <w:r w:rsidRPr="00453071">
        <w:rPr>
          <w:color w:val="auto"/>
        </w:rPr>
        <w:t xml:space="preserve">The selection advisory panel (panel) established by the department, </w:t>
      </w:r>
      <w:r w:rsidRPr="00453071">
        <w:t xml:space="preserve">comprised of subject matter experts who </w:t>
      </w:r>
      <w:r w:rsidR="00C26B12" w:rsidRPr="00453071">
        <w:rPr>
          <w:color w:val="auto"/>
        </w:rPr>
        <w:t>considered</w:t>
      </w:r>
      <w:r w:rsidRPr="00453071">
        <w:rPr>
          <w:color w:val="auto"/>
        </w:rPr>
        <w:t xml:space="preserve"> applications </w:t>
      </w:r>
      <w:r w:rsidRPr="00453071">
        <w:t>and provided advice to inform the funding recommendations to the Financial Delegate.</w:t>
      </w:r>
    </w:p>
    <w:p w14:paraId="662401D6" w14:textId="77777777" w:rsidR="000C7C00" w:rsidRPr="005D33D2" w:rsidRDefault="000C7C00" w:rsidP="000C7C00">
      <w:pPr>
        <w:pStyle w:val="BodyText"/>
        <w:rPr>
          <w:color w:val="auto"/>
        </w:rPr>
      </w:pPr>
      <w:r w:rsidRPr="005D33D2">
        <w:rPr>
          <w:color w:val="auto"/>
        </w:rPr>
        <w:t>The panel’s consideration of assessed applications was, based on:</w:t>
      </w:r>
    </w:p>
    <w:p w14:paraId="2FAAF6AF" w14:textId="3F476BDF" w:rsidR="18E03136" w:rsidRPr="005D33D2" w:rsidRDefault="18E03136" w:rsidP="196DC766">
      <w:pPr>
        <w:pStyle w:val="BodyText"/>
        <w:numPr>
          <w:ilvl w:val="0"/>
          <w:numId w:val="8"/>
        </w:numPr>
      </w:pPr>
      <w:r w:rsidRPr="005D33D2">
        <w:t>the quality of the response against the assessment criteria</w:t>
      </w:r>
    </w:p>
    <w:p w14:paraId="0E383A11" w14:textId="32022C2B" w:rsidR="18E03136" w:rsidRPr="005D33D2" w:rsidRDefault="18E03136" w:rsidP="196DC766">
      <w:pPr>
        <w:pStyle w:val="BodyText"/>
        <w:numPr>
          <w:ilvl w:val="0"/>
          <w:numId w:val="8"/>
        </w:numPr>
      </w:pPr>
      <w:r w:rsidRPr="005D33D2">
        <w:t>the overall objectives to be achieved in providing the grant</w:t>
      </w:r>
    </w:p>
    <w:p w14:paraId="0EF204D3" w14:textId="18654584" w:rsidR="18E03136" w:rsidRPr="005D33D2" w:rsidRDefault="18E03136" w:rsidP="196DC766">
      <w:pPr>
        <w:pStyle w:val="BodyText"/>
        <w:numPr>
          <w:ilvl w:val="0"/>
          <w:numId w:val="8"/>
        </w:numPr>
      </w:pPr>
      <w:r w:rsidRPr="005D33D2">
        <w:t>the relative value of the grant sought</w:t>
      </w:r>
    </w:p>
    <w:p w14:paraId="69E33235" w14:textId="00288EE8" w:rsidR="18E03136" w:rsidRPr="005D33D2" w:rsidRDefault="18E03136" w:rsidP="196DC766">
      <w:pPr>
        <w:pStyle w:val="BodyText"/>
        <w:numPr>
          <w:ilvl w:val="0"/>
          <w:numId w:val="8"/>
        </w:numPr>
      </w:pPr>
      <w:r w:rsidRPr="005D33D2">
        <w:t>the extent to which the evidence in the application demonstrates that it will contribute to meeting the objectives and outcomes</w:t>
      </w:r>
    </w:p>
    <w:p w14:paraId="14272812" w14:textId="2EFF055E" w:rsidR="18E03136" w:rsidRPr="005D33D2" w:rsidRDefault="18E03136" w:rsidP="196DC766">
      <w:pPr>
        <w:pStyle w:val="BodyText"/>
        <w:numPr>
          <w:ilvl w:val="0"/>
          <w:numId w:val="8"/>
        </w:numPr>
      </w:pPr>
      <w:r w:rsidRPr="005D33D2">
        <w:t>how the grant activities will target groups or individuals</w:t>
      </w:r>
    </w:p>
    <w:p w14:paraId="444F9CF3" w14:textId="18BDA251" w:rsidR="18E03136" w:rsidRPr="005D33D2" w:rsidRDefault="18E03136" w:rsidP="196DC766">
      <w:pPr>
        <w:pStyle w:val="BodyText"/>
        <w:numPr>
          <w:ilvl w:val="0"/>
          <w:numId w:val="8"/>
        </w:numPr>
      </w:pPr>
      <w:r w:rsidRPr="005D33D2">
        <w:t>the overall mix, maximising the diversity of different models and organisation types, and avoid multiple similar projects in a specific location</w:t>
      </w:r>
    </w:p>
    <w:p w14:paraId="07AA3C7C" w14:textId="03CFE481" w:rsidR="18E03136" w:rsidRPr="005D33D2" w:rsidRDefault="18E03136" w:rsidP="196DC766">
      <w:pPr>
        <w:pStyle w:val="BodyText"/>
        <w:numPr>
          <w:ilvl w:val="0"/>
          <w:numId w:val="8"/>
        </w:numPr>
      </w:pPr>
      <w:r w:rsidRPr="005D33D2">
        <w:t>the risks that the applicant or the grant poses for the department and Commonwealth. For example, any outstanding reports, acquittals or serious breaches relating to any Australian Government funding. A serious breach is one that has resulted in, or warrants, the termination of a grant agreement.</w:t>
      </w:r>
    </w:p>
    <w:p w14:paraId="2BD2B93F" w14:textId="283B224F" w:rsidR="00A92ECD" w:rsidRPr="00817C12" w:rsidRDefault="00A92ECD" w:rsidP="00A92ECD">
      <w:pPr>
        <w:pStyle w:val="Heading2"/>
        <w:rPr>
          <w:color w:val="C00000"/>
          <w:sz w:val="28"/>
          <w:szCs w:val="28"/>
        </w:rPr>
      </w:pPr>
      <w:r w:rsidRPr="00A92ECD">
        <w:rPr>
          <w:rFonts w:asciiTheme="majorHAnsi" w:hAnsiTheme="majorHAnsi" w:cstheme="majorHAnsi"/>
        </w:rPr>
        <w:t xml:space="preserve">Selection </w:t>
      </w:r>
      <w:r w:rsidR="00453071">
        <w:rPr>
          <w:rFonts w:asciiTheme="majorHAnsi" w:hAnsiTheme="majorHAnsi" w:cstheme="majorHAnsi"/>
        </w:rPr>
        <w:t>Results</w:t>
      </w:r>
    </w:p>
    <w:p w14:paraId="5E22E431" w14:textId="639DA52C" w:rsidR="00453071" w:rsidRPr="00942976" w:rsidRDefault="087EFEF8" w:rsidP="00453071">
      <w:pPr>
        <w:pStyle w:val="BodyText"/>
        <w:rPr>
          <w:color w:val="auto"/>
        </w:rPr>
      </w:pPr>
      <w:r>
        <w:t xml:space="preserve">There was a strong interest in the grant opportunity. </w:t>
      </w:r>
      <w:r w:rsidR="007A67E0" w:rsidRPr="007A67E0">
        <w:rPr>
          <w:color w:val="auto"/>
        </w:rPr>
        <w:t xml:space="preserve">Applications varied in quality, </w:t>
      </w:r>
      <w:r w:rsidR="007A67E0">
        <w:rPr>
          <w:color w:val="auto"/>
        </w:rPr>
        <w:t xml:space="preserve">and </w:t>
      </w:r>
      <w:r w:rsidRPr="36D989DA">
        <w:rPr>
          <w:color w:val="auto"/>
        </w:rPr>
        <w:t>preferred applicants demonstrated their ability to meet the grant requirements outlined in the guidelines based on the strength of their responses to the assessment criteria.</w:t>
      </w:r>
    </w:p>
    <w:p w14:paraId="187E35A6" w14:textId="087DABA3" w:rsidR="00453071" w:rsidRDefault="00453071" w:rsidP="00453071">
      <w:pPr>
        <w:pStyle w:val="BodyText"/>
      </w:pPr>
      <w:r w:rsidRPr="196DC766">
        <w:rPr>
          <w:rStyle w:val="ui-provider"/>
          <w:color w:val="auto"/>
        </w:rPr>
        <w:t>Where applicants have not been successful</w:t>
      </w:r>
      <w:r w:rsidR="00210D62">
        <w:rPr>
          <w:rStyle w:val="ui-provider"/>
          <w:color w:val="auto"/>
        </w:rPr>
        <w:t xml:space="preserve"> or their applications did not meet the requirements outlined in the guidelines</w:t>
      </w:r>
      <w:r w:rsidRPr="196DC766">
        <w:rPr>
          <w:rStyle w:val="ui-provider"/>
          <w:color w:val="auto"/>
        </w:rPr>
        <w:t>, the</w:t>
      </w:r>
      <w:r w:rsidR="00784B22">
        <w:rPr>
          <w:rStyle w:val="ui-provider"/>
          <w:color w:val="auto"/>
        </w:rPr>
        <w:t xml:space="preserve"> Hub</w:t>
      </w:r>
      <w:r w:rsidRPr="196DC766">
        <w:rPr>
          <w:rStyle w:val="ui-provider"/>
          <w:color w:val="auto"/>
        </w:rPr>
        <w:t xml:space="preserve"> ha</w:t>
      </w:r>
      <w:r w:rsidR="00784B22">
        <w:rPr>
          <w:rStyle w:val="ui-provider"/>
          <w:color w:val="auto"/>
        </w:rPr>
        <w:t>s</w:t>
      </w:r>
      <w:r w:rsidRPr="196DC766">
        <w:rPr>
          <w:rStyle w:val="ui-provider"/>
          <w:color w:val="auto"/>
        </w:rPr>
        <w:t xml:space="preserve"> notified </w:t>
      </w:r>
      <w:r w:rsidR="00784B22">
        <w:rPr>
          <w:rStyle w:val="ui-provider"/>
          <w:color w:val="auto"/>
        </w:rPr>
        <w:t xml:space="preserve">them </w:t>
      </w:r>
      <w:r w:rsidRPr="196DC766">
        <w:rPr>
          <w:rStyle w:val="ui-provider"/>
          <w:color w:val="auto"/>
        </w:rPr>
        <w:t xml:space="preserve">of </w:t>
      </w:r>
      <w:r w:rsidRPr="196DC766">
        <w:rPr>
          <w:rStyle w:val="ui-provider"/>
        </w:rPr>
        <w:t>the outcome in writing.</w:t>
      </w:r>
    </w:p>
    <w:p w14:paraId="0A47F30A" w14:textId="15F10B05" w:rsidR="00B37402" w:rsidRDefault="00453071" w:rsidP="00453071">
      <w:pPr>
        <w:pStyle w:val="BodyText"/>
      </w:pPr>
      <w:r>
        <w:t>This feedback is provided to assist grant applicants understand the key aspects demonstrated in strong applications.</w:t>
      </w:r>
    </w:p>
    <w:p w14:paraId="5B4075BD" w14:textId="77777777" w:rsidR="00B37402" w:rsidRDefault="00B37402">
      <w:pPr>
        <w:spacing w:line="240" w:lineRule="auto"/>
      </w:pPr>
      <w:r>
        <w:br w:type="page"/>
      </w:r>
    </w:p>
    <w:p w14:paraId="50F85618" w14:textId="77777777" w:rsidR="00A92ECD" w:rsidRDefault="00A92ECD" w:rsidP="00AB556D">
      <w:pPr>
        <w:pStyle w:val="Heading3"/>
        <w:rPr>
          <w:rFonts w:cstheme="majorHAnsi"/>
        </w:rPr>
      </w:pPr>
      <w:r w:rsidRPr="00AB556D">
        <w:lastRenderedPageBreak/>
        <w:t>Criterion</w:t>
      </w:r>
      <w:r w:rsidRPr="00FB165D">
        <w:t xml:space="preserve"> 1</w:t>
      </w:r>
    </w:p>
    <w:p w14:paraId="415DE8EB" w14:textId="77777777" w:rsidR="00F1394E" w:rsidRPr="00FB165D" w:rsidRDefault="00F1394E" w:rsidP="00F1394E">
      <w:pPr>
        <w:pStyle w:val="BodyText"/>
        <w:spacing w:before="60"/>
        <w:rPr>
          <w:b/>
          <w:bCs/>
        </w:rPr>
      </w:pPr>
      <w:r w:rsidRPr="00FB165D">
        <w:rPr>
          <w:b/>
          <w:bCs/>
        </w:rPr>
        <w:t>Activity Proposal</w:t>
      </w:r>
    </w:p>
    <w:p w14:paraId="5B58006F" w14:textId="77777777" w:rsidR="009170E6" w:rsidRDefault="006A4064" w:rsidP="0062105C">
      <w:pPr>
        <w:pStyle w:val="BodyText"/>
        <w:rPr>
          <w:b/>
          <w:bCs/>
          <w:iCs/>
        </w:rPr>
      </w:pPr>
      <w:r w:rsidRPr="006A4064">
        <w:t>What is the activity you are proposing and how does it align with the Local Jobs, Local People grant opportunity’s objectives?</w:t>
      </w:r>
    </w:p>
    <w:p w14:paraId="6B9E769B" w14:textId="00F7499C" w:rsidR="00D22C00" w:rsidRPr="00FB165D" w:rsidRDefault="00D22C00" w:rsidP="00D22C00">
      <w:pPr>
        <w:pStyle w:val="BodyText"/>
      </w:pPr>
      <w:r>
        <w:t>When addressing the criterion, strong applicants:</w:t>
      </w:r>
    </w:p>
    <w:p w14:paraId="3290962D" w14:textId="52F1B2F8" w:rsidR="00065AD0" w:rsidRDefault="00D22C00" w:rsidP="00FB165D">
      <w:pPr>
        <w:pStyle w:val="BodyText"/>
        <w:numPr>
          <w:ilvl w:val="0"/>
          <w:numId w:val="7"/>
        </w:numPr>
        <w:spacing w:after="120"/>
        <w:ind w:left="714" w:hanging="357"/>
      </w:pPr>
      <w:r>
        <w:t xml:space="preserve">Described </w:t>
      </w:r>
      <w:r w:rsidR="00065AD0">
        <w:t>which objective(s) in section 2.1 th</w:t>
      </w:r>
      <w:r w:rsidR="00755A0F">
        <w:t>eir</w:t>
      </w:r>
      <w:r w:rsidR="00065AD0">
        <w:t xml:space="preserve"> activity </w:t>
      </w:r>
      <w:r>
        <w:t>addressed</w:t>
      </w:r>
      <w:r w:rsidR="00065AD0">
        <w:t xml:space="preserve"> including the priority(s) in the relevant Employment Region’s Local Jobs Plan13 the activity addresses</w:t>
      </w:r>
      <w:r w:rsidR="00B37402">
        <w:t>.</w:t>
      </w:r>
    </w:p>
    <w:p w14:paraId="10B10ECE" w14:textId="1D6BAFBC" w:rsidR="77B9D324" w:rsidRDefault="77B9D324" w:rsidP="36D989DA">
      <w:pPr>
        <w:pStyle w:val="BodyText"/>
        <w:numPr>
          <w:ilvl w:val="0"/>
          <w:numId w:val="7"/>
        </w:numPr>
        <w:spacing w:after="120"/>
        <w:ind w:left="714" w:hanging="357"/>
      </w:pPr>
      <w:r>
        <w:t>D</w:t>
      </w:r>
      <w:r w:rsidR="6E3100B7">
        <w:t xml:space="preserve">escribed </w:t>
      </w:r>
      <w:r w:rsidR="4DB5FADA">
        <w:t>how the</w:t>
      </w:r>
      <w:r w:rsidR="0C5C22D4">
        <w:t>ir</w:t>
      </w:r>
      <w:r w:rsidR="4DB5FADA">
        <w:t xml:space="preserve"> activity addresse</w:t>
      </w:r>
      <w:r w:rsidR="6E3100B7">
        <w:t>d</w:t>
      </w:r>
      <w:r w:rsidR="4DB5FADA">
        <w:t xml:space="preserve"> the priority(s). This may </w:t>
      </w:r>
      <w:r w:rsidR="6E3100B7">
        <w:t xml:space="preserve">have </w:t>
      </w:r>
      <w:r w:rsidR="4DB5FADA">
        <w:t>include</w:t>
      </w:r>
      <w:r w:rsidR="0C5C22D4">
        <w:t>d</w:t>
      </w:r>
      <w:r w:rsidR="4DB5FADA">
        <w:t xml:space="preserve"> how the activity help</w:t>
      </w:r>
      <w:r w:rsidR="0A25FBDB">
        <w:t>ed</w:t>
      </w:r>
      <w:r w:rsidR="4DB5FADA">
        <w:t xml:space="preserve"> people gain employment, create</w:t>
      </w:r>
      <w:r w:rsidR="0A25FBDB">
        <w:t>d</w:t>
      </w:r>
      <w:r w:rsidR="4DB5FADA">
        <w:t xml:space="preserve"> clear pathways skilling individuals to take advantage of local employment opportunities, or improve</w:t>
      </w:r>
      <w:r w:rsidR="0A25FBDB">
        <w:t>d</w:t>
      </w:r>
      <w:r w:rsidR="4DB5FADA">
        <w:t xml:space="preserve"> the local labour market</w:t>
      </w:r>
      <w:r w:rsidR="00B37402">
        <w:t>.</w:t>
      </w:r>
    </w:p>
    <w:p w14:paraId="07872AE1" w14:textId="35B47DE7" w:rsidR="04B667BF" w:rsidRDefault="04B667BF" w:rsidP="36D989DA">
      <w:pPr>
        <w:pStyle w:val="BodyText"/>
        <w:numPr>
          <w:ilvl w:val="0"/>
          <w:numId w:val="7"/>
        </w:numPr>
        <w:spacing w:after="120"/>
        <w:ind w:left="714" w:hanging="357"/>
      </w:pPr>
      <w:r w:rsidRPr="36D989DA">
        <w:t>Described how they will engage with stakeholders across the community to achieve outcomes for participants of the activity and build the local labour market</w:t>
      </w:r>
      <w:r w:rsidR="00B37402">
        <w:t>.</w:t>
      </w:r>
    </w:p>
    <w:p w14:paraId="30BCC95A" w14:textId="34ACA8AD" w:rsidR="04B667BF" w:rsidRDefault="04B667BF" w:rsidP="36D989DA">
      <w:pPr>
        <w:pStyle w:val="BodyText"/>
        <w:numPr>
          <w:ilvl w:val="0"/>
          <w:numId w:val="7"/>
        </w:numPr>
        <w:spacing w:after="120"/>
        <w:ind w:left="714" w:hanging="357"/>
      </w:pPr>
      <w:r w:rsidRPr="36D989DA">
        <w:t>Described how they will engage participants for the activity</w:t>
      </w:r>
      <w:r w:rsidR="00B37402">
        <w:t>.</w:t>
      </w:r>
    </w:p>
    <w:p w14:paraId="6D322013" w14:textId="63C6384A" w:rsidR="04B667BF" w:rsidRDefault="04B667BF" w:rsidP="36D989DA">
      <w:pPr>
        <w:pStyle w:val="BodyText"/>
        <w:numPr>
          <w:ilvl w:val="0"/>
          <w:numId w:val="7"/>
        </w:numPr>
        <w:spacing w:after="120"/>
        <w:ind w:left="714" w:hanging="357"/>
      </w:pPr>
      <w:r w:rsidRPr="36D989DA">
        <w:t>Described how the activity complements and does not duplicate other services</w:t>
      </w:r>
      <w:r w:rsidR="00B37402">
        <w:t>.</w:t>
      </w:r>
    </w:p>
    <w:p w14:paraId="0FAF7E65" w14:textId="061CCB70" w:rsidR="04B667BF" w:rsidRDefault="04B667BF" w:rsidP="36D989DA">
      <w:pPr>
        <w:pStyle w:val="BodyText"/>
        <w:numPr>
          <w:ilvl w:val="0"/>
          <w:numId w:val="7"/>
        </w:numPr>
        <w:spacing w:after="120"/>
        <w:ind w:left="714" w:hanging="357"/>
      </w:pPr>
      <w:r w:rsidRPr="36D989DA">
        <w:t>Described anticipated outcomes and benefits for participants beyond the end of the activity.</w:t>
      </w:r>
    </w:p>
    <w:p w14:paraId="0D941E64" w14:textId="07C2E857" w:rsidR="00A92ECD" w:rsidRPr="00B37402" w:rsidRDefault="00A92ECD" w:rsidP="00FB165D">
      <w:pPr>
        <w:pStyle w:val="Default"/>
        <w:rPr>
          <w:rFonts w:asciiTheme="majorHAnsi" w:hAnsiTheme="majorHAnsi" w:cstheme="majorHAnsi"/>
          <w:color w:val="A20000"/>
          <w:sz w:val="22"/>
          <w:szCs w:val="22"/>
        </w:rPr>
      </w:pPr>
      <w:r w:rsidRPr="4FAA1DD6">
        <w:rPr>
          <w:color w:val="C00000"/>
          <w:sz w:val="22"/>
          <w:szCs w:val="22"/>
        </w:rPr>
        <w:t>Strong applications</w:t>
      </w:r>
      <w:r w:rsidRPr="00B37402">
        <w:rPr>
          <w:rFonts w:asciiTheme="majorHAnsi" w:hAnsiTheme="majorHAnsi" w:cstheme="majorBidi"/>
          <w:color w:val="A20000"/>
          <w:sz w:val="22"/>
          <w:szCs w:val="22"/>
        </w:rPr>
        <w:t>:</w:t>
      </w:r>
    </w:p>
    <w:p w14:paraId="487C13D4" w14:textId="60A9028B" w:rsidR="00B9280F" w:rsidRPr="005D33D2" w:rsidRDefault="00B9280F" w:rsidP="00A92ECD">
      <w:pPr>
        <w:pStyle w:val="BodyText"/>
        <w:numPr>
          <w:ilvl w:val="0"/>
          <w:numId w:val="7"/>
        </w:numPr>
        <w:spacing w:before="60"/>
      </w:pPr>
      <w:r w:rsidRPr="005D33D2">
        <w:t>Clearly identified the proposed activity and aligned it with objectives and priorities from the chosen Employment Region's Local Jobs Plan</w:t>
      </w:r>
      <w:r w:rsidR="00596D76" w:rsidRPr="005D33D2">
        <w:t xml:space="preserve"> </w:t>
      </w:r>
      <w:r w:rsidR="1D581E0D" w:rsidRPr="005D33D2">
        <w:t xml:space="preserve">which </w:t>
      </w:r>
      <w:r w:rsidR="00596D76" w:rsidRPr="005D33D2">
        <w:t>creat</w:t>
      </w:r>
      <w:r w:rsidR="6692E9EE" w:rsidRPr="005D33D2">
        <w:t>e</w:t>
      </w:r>
      <w:r w:rsidR="00596D76" w:rsidRPr="005D33D2">
        <w:t xml:space="preserve"> value for the local employment environment</w:t>
      </w:r>
      <w:r w:rsidRPr="005D33D2">
        <w:t>.</w:t>
      </w:r>
    </w:p>
    <w:p w14:paraId="4928B55C" w14:textId="56C6B778" w:rsidR="00B9280F" w:rsidRPr="005D33D2" w:rsidRDefault="00B9280F" w:rsidP="00A92ECD">
      <w:pPr>
        <w:pStyle w:val="BodyText"/>
        <w:numPr>
          <w:ilvl w:val="0"/>
          <w:numId w:val="7"/>
        </w:numPr>
        <w:spacing w:before="60"/>
      </w:pPr>
      <w:r w:rsidRPr="005D33D2">
        <w:t>Provided a compelling rationale for how activities address employment pathways for both priority cohorts and sectors through</w:t>
      </w:r>
      <w:r w:rsidR="00F7638A" w:rsidRPr="005D33D2">
        <w:t xml:space="preserve"> clear</w:t>
      </w:r>
      <w:r w:rsidRPr="005D33D2">
        <w:t xml:space="preserve"> employer connections and job opportunities, </w:t>
      </w:r>
      <w:r w:rsidR="00CA25DB" w:rsidRPr="005D33D2">
        <w:t>wraparound supports</w:t>
      </w:r>
      <w:r w:rsidR="005F301F" w:rsidRPr="005D33D2">
        <w:t xml:space="preserve">, and training ranging from work-readiness </w:t>
      </w:r>
      <w:r w:rsidR="2AEA297F" w:rsidRPr="005D33D2">
        <w:t>to</w:t>
      </w:r>
      <w:r w:rsidR="005F301F" w:rsidRPr="005D33D2">
        <w:t xml:space="preserve"> industry specific accredited training</w:t>
      </w:r>
      <w:r w:rsidR="00D137FD" w:rsidRPr="005D33D2">
        <w:t xml:space="preserve"> that support</w:t>
      </w:r>
      <w:r w:rsidR="16E6A380" w:rsidRPr="005D33D2">
        <w:t>s</w:t>
      </w:r>
      <w:r w:rsidR="00D137FD" w:rsidRPr="005D33D2">
        <w:t xml:space="preserve"> employment pathways</w:t>
      </w:r>
      <w:r w:rsidRPr="005D33D2">
        <w:t>.</w:t>
      </w:r>
    </w:p>
    <w:p w14:paraId="2999FDAB" w14:textId="5081DB99" w:rsidR="005F301F" w:rsidRPr="005D33D2" w:rsidRDefault="005F301F" w:rsidP="00A92ECD">
      <w:pPr>
        <w:pStyle w:val="BodyText"/>
        <w:numPr>
          <w:ilvl w:val="0"/>
          <w:numId w:val="7"/>
        </w:numPr>
        <w:spacing w:before="60"/>
      </w:pPr>
      <w:r w:rsidRPr="005D33D2">
        <w:t xml:space="preserve">Demonstrated a </w:t>
      </w:r>
      <w:r w:rsidR="52C4A054" w:rsidRPr="005D33D2">
        <w:t xml:space="preserve">detailed </w:t>
      </w:r>
      <w:r w:rsidRPr="005D33D2">
        <w:t xml:space="preserve">stakeholder engagement strategy with strong evidence of existing partnerships that are appropriate to support the proposed activities. </w:t>
      </w:r>
    </w:p>
    <w:p w14:paraId="565561F7" w14:textId="3F530A07" w:rsidR="005F301F" w:rsidRPr="005D33D2" w:rsidRDefault="005F301F" w:rsidP="00A92ECD">
      <w:pPr>
        <w:pStyle w:val="BodyText"/>
        <w:numPr>
          <w:ilvl w:val="0"/>
          <w:numId w:val="7"/>
        </w:numPr>
        <w:spacing w:before="60"/>
      </w:pPr>
      <w:r w:rsidRPr="005D33D2">
        <w:t xml:space="preserve">Presented a </w:t>
      </w:r>
      <w:r w:rsidR="392C6DF5" w:rsidRPr="005D33D2">
        <w:t>clear</w:t>
      </w:r>
      <w:r w:rsidRPr="005D33D2">
        <w:t>, realistic strategy for recruiting and engaging participants</w:t>
      </w:r>
      <w:r w:rsidR="002B4FD0" w:rsidRPr="005D33D2">
        <w:t xml:space="preserve"> from target cohorts</w:t>
      </w:r>
      <w:r w:rsidRPr="005D33D2">
        <w:t>.</w:t>
      </w:r>
    </w:p>
    <w:p w14:paraId="1FFEC0BF" w14:textId="466A692A" w:rsidR="00B9280F" w:rsidRPr="005D33D2" w:rsidRDefault="005F301F" w:rsidP="00A92ECD">
      <w:pPr>
        <w:pStyle w:val="BodyText"/>
        <w:numPr>
          <w:ilvl w:val="0"/>
          <w:numId w:val="7"/>
        </w:numPr>
        <w:spacing w:before="60"/>
        <w:rPr>
          <w:strike/>
        </w:rPr>
      </w:pPr>
      <w:r w:rsidRPr="005D33D2">
        <w:t>Provided strong evidence the activity complements existing services without duplication,</w:t>
      </w:r>
      <w:r w:rsidR="00B57B84" w:rsidRPr="005D33D2">
        <w:rPr>
          <w:rFonts w:ascii="Segoe UI" w:hAnsi="Segoe UI" w:cs="Segoe UI"/>
          <w:sz w:val="18"/>
          <w:szCs w:val="18"/>
        </w:rPr>
        <w:t xml:space="preserve"> </w:t>
      </w:r>
      <w:r w:rsidR="00B57B84" w:rsidRPr="005D33D2">
        <w:t>using specific examples to demonstrate how their proposed activity would deliver additional value and avoid duplication of existing services in the region.</w:t>
      </w:r>
    </w:p>
    <w:p w14:paraId="0F879095" w14:textId="74248446" w:rsidR="005F301F" w:rsidRPr="005D33D2" w:rsidRDefault="00751D0A" w:rsidP="00A92ECD">
      <w:pPr>
        <w:pStyle w:val="BodyText"/>
        <w:numPr>
          <w:ilvl w:val="0"/>
          <w:numId w:val="7"/>
        </w:numPr>
        <w:spacing w:before="60"/>
      </w:pPr>
      <w:r w:rsidRPr="005D33D2">
        <w:t xml:space="preserve">Provides clear, achievable long-term outcomes for participants beyond the grant period including </w:t>
      </w:r>
      <w:r w:rsidR="76070FCB" w:rsidRPr="005D33D2">
        <w:t xml:space="preserve">identification of </w:t>
      </w:r>
      <w:r w:rsidRPr="005D33D2">
        <w:t>metrics to track outcomes.</w:t>
      </w:r>
    </w:p>
    <w:p w14:paraId="177A5DED" w14:textId="76517120" w:rsidR="00A92ECD" w:rsidRPr="00FB165D" w:rsidRDefault="00A92ECD" w:rsidP="00AB556D">
      <w:pPr>
        <w:pStyle w:val="Heading3"/>
      </w:pPr>
      <w:r w:rsidRPr="00FB165D">
        <w:t>Criterion 2</w:t>
      </w:r>
    </w:p>
    <w:p w14:paraId="4B7AEC37" w14:textId="45C4E594" w:rsidR="00741FC2" w:rsidRDefault="00741FC2" w:rsidP="00741FC2">
      <w:pPr>
        <w:pStyle w:val="BodyText"/>
        <w:spacing w:before="60"/>
        <w:rPr>
          <w:b/>
          <w:bCs/>
        </w:rPr>
      </w:pPr>
      <w:r w:rsidRPr="00FB165D">
        <w:rPr>
          <w:b/>
          <w:bCs/>
        </w:rPr>
        <w:t>Project Plan</w:t>
      </w:r>
    </w:p>
    <w:p w14:paraId="62452148" w14:textId="116C6DB4" w:rsidR="0062105C" w:rsidRPr="0062105C" w:rsidRDefault="0062105C" w:rsidP="00741FC2">
      <w:pPr>
        <w:pStyle w:val="BodyText"/>
        <w:spacing w:before="60"/>
      </w:pPr>
      <w:r w:rsidRPr="0062105C">
        <w:t>Outline the key details of the activity</w:t>
      </w:r>
      <w:r>
        <w:t>.</w:t>
      </w:r>
    </w:p>
    <w:p w14:paraId="12BADCA1" w14:textId="77777777" w:rsidR="007234F7" w:rsidRPr="00FB165D" w:rsidRDefault="007234F7" w:rsidP="0062105C">
      <w:pPr>
        <w:pStyle w:val="BodyText"/>
        <w:rPr>
          <w:iCs/>
        </w:rPr>
      </w:pPr>
      <w:r w:rsidRPr="00FB165D">
        <w:t>When addressing the criterion, strong applicants:</w:t>
      </w:r>
    </w:p>
    <w:p w14:paraId="140A14A5" w14:textId="7B515AE1" w:rsidR="00747D70" w:rsidRPr="00747D70" w:rsidRDefault="00747D70" w:rsidP="00FB165D">
      <w:pPr>
        <w:pStyle w:val="BodyText"/>
        <w:numPr>
          <w:ilvl w:val="0"/>
          <w:numId w:val="7"/>
        </w:numPr>
        <w:spacing w:after="120"/>
        <w:ind w:left="714" w:hanging="357"/>
        <w:rPr>
          <w:b/>
          <w:bCs/>
          <w:iCs/>
        </w:rPr>
      </w:pPr>
      <w:r>
        <w:t>S</w:t>
      </w:r>
      <w:r w:rsidRPr="00747D70">
        <w:t>pecifie</w:t>
      </w:r>
      <w:r>
        <w:t>d</w:t>
      </w:r>
      <w:r w:rsidRPr="00747D70">
        <w:t xml:space="preserve"> objectives that the activity aim</w:t>
      </w:r>
      <w:r>
        <w:t>ed</w:t>
      </w:r>
      <w:r w:rsidRPr="00747D70">
        <w:t xml:space="preserve"> to achieve</w:t>
      </w:r>
      <w:r w:rsidR="00B37402">
        <w:t>.</w:t>
      </w:r>
    </w:p>
    <w:p w14:paraId="1EBC459B" w14:textId="7B1855C8" w:rsidR="00747D70" w:rsidRPr="00747D70" w:rsidRDefault="00747D70" w:rsidP="00FB165D">
      <w:pPr>
        <w:pStyle w:val="BodyText"/>
        <w:numPr>
          <w:ilvl w:val="0"/>
          <w:numId w:val="7"/>
        </w:numPr>
        <w:spacing w:after="120"/>
        <w:ind w:left="714" w:hanging="357"/>
        <w:rPr>
          <w:b/>
          <w:bCs/>
          <w:iCs/>
        </w:rPr>
      </w:pPr>
      <w:r>
        <w:t xml:space="preserve">Described </w:t>
      </w:r>
      <w:r w:rsidRPr="00747D70">
        <w:t xml:space="preserve">target cohort(s) and number of participants the activity </w:t>
      </w:r>
      <w:r>
        <w:t>was</w:t>
      </w:r>
      <w:r w:rsidRPr="00747D70">
        <w:t xml:space="preserve"> providing support to, or target sector(s) and type of support the activity provides</w:t>
      </w:r>
      <w:r w:rsidR="00B37402">
        <w:t>.</w:t>
      </w:r>
    </w:p>
    <w:p w14:paraId="6A53FDBB" w14:textId="6F9FD729" w:rsidR="00747D70" w:rsidRPr="00747D70" w:rsidRDefault="0018197D" w:rsidP="00FB165D">
      <w:pPr>
        <w:pStyle w:val="BodyText"/>
        <w:numPr>
          <w:ilvl w:val="0"/>
          <w:numId w:val="7"/>
        </w:numPr>
        <w:spacing w:after="120"/>
        <w:ind w:left="714" w:hanging="357"/>
        <w:rPr>
          <w:b/>
          <w:bCs/>
          <w:iCs/>
        </w:rPr>
      </w:pPr>
      <w:r>
        <w:t>Provided an</w:t>
      </w:r>
      <w:r w:rsidR="00747D70">
        <w:t xml:space="preserve"> </w:t>
      </w:r>
      <w:r w:rsidR="00747D70" w:rsidRPr="00747D70">
        <w:t>activity schedule detailing the activity duration, milestones and outcomes, breakdown of each step of the activity, and any dependencies</w:t>
      </w:r>
      <w:r w:rsidR="00B37402">
        <w:t>.</w:t>
      </w:r>
    </w:p>
    <w:p w14:paraId="4C50B4A9" w14:textId="620E2353" w:rsidR="00747D70" w:rsidRPr="00747D70" w:rsidRDefault="00B90AA5" w:rsidP="00FB165D">
      <w:pPr>
        <w:pStyle w:val="BodyText"/>
        <w:numPr>
          <w:ilvl w:val="0"/>
          <w:numId w:val="7"/>
        </w:numPr>
        <w:spacing w:after="120"/>
        <w:ind w:left="714" w:hanging="357"/>
        <w:rPr>
          <w:b/>
          <w:bCs/>
          <w:iCs/>
        </w:rPr>
      </w:pPr>
      <w:r>
        <w:t xml:space="preserve">Outlined </w:t>
      </w:r>
      <w:r w:rsidR="007A183A">
        <w:t xml:space="preserve">their </w:t>
      </w:r>
      <w:r w:rsidR="00747D70" w:rsidRPr="00747D70">
        <w:t>activity scope that clearly outline</w:t>
      </w:r>
      <w:r w:rsidR="007A183A">
        <w:t>d</w:t>
      </w:r>
      <w:r w:rsidR="00747D70" w:rsidRPr="00747D70">
        <w:t xml:space="preserve"> what </w:t>
      </w:r>
      <w:r w:rsidR="007A183A">
        <w:t>was</w:t>
      </w:r>
      <w:r w:rsidR="00747D70" w:rsidRPr="00747D70">
        <w:t xml:space="preserve"> included and excluded</w:t>
      </w:r>
      <w:r w:rsidR="00B37402">
        <w:t>.</w:t>
      </w:r>
    </w:p>
    <w:p w14:paraId="6E67E207" w14:textId="536E027D" w:rsidR="00747D70" w:rsidRPr="00747D70" w:rsidRDefault="00B90AA5" w:rsidP="00FB165D">
      <w:pPr>
        <w:pStyle w:val="BodyText"/>
        <w:numPr>
          <w:ilvl w:val="0"/>
          <w:numId w:val="7"/>
        </w:numPr>
        <w:spacing w:after="120"/>
        <w:ind w:left="714" w:hanging="357"/>
        <w:rPr>
          <w:b/>
          <w:bCs/>
          <w:iCs/>
        </w:rPr>
      </w:pPr>
      <w:r>
        <w:lastRenderedPageBreak/>
        <w:t xml:space="preserve">Outlined </w:t>
      </w:r>
      <w:r w:rsidR="00747D70" w:rsidRPr="00747D70">
        <w:t>roles and responsibilities, including key project partners and individuals and their roles and responsibilities</w:t>
      </w:r>
      <w:r w:rsidR="00B37402">
        <w:t>.</w:t>
      </w:r>
    </w:p>
    <w:p w14:paraId="02347935" w14:textId="3E625F5C" w:rsidR="00747D70" w:rsidRPr="00747D70" w:rsidRDefault="00B90AA5" w:rsidP="00FB165D">
      <w:pPr>
        <w:pStyle w:val="BodyText"/>
        <w:numPr>
          <w:ilvl w:val="0"/>
          <w:numId w:val="7"/>
        </w:numPr>
        <w:spacing w:after="120"/>
        <w:ind w:left="714" w:hanging="357"/>
        <w:rPr>
          <w:b/>
          <w:bCs/>
          <w:iCs/>
        </w:rPr>
      </w:pPr>
      <w:r>
        <w:t xml:space="preserve">Described </w:t>
      </w:r>
      <w:r w:rsidR="00747D70" w:rsidRPr="00747D70">
        <w:t xml:space="preserve">geographical scope of the activity including specifying the employment region(s) the activity </w:t>
      </w:r>
      <w:r w:rsidR="005E52F1">
        <w:t>would</w:t>
      </w:r>
      <w:r w:rsidR="00747D70" w:rsidRPr="00747D70">
        <w:t xml:space="preserve"> take place in</w:t>
      </w:r>
      <w:r w:rsidR="00B37402">
        <w:t>.</w:t>
      </w:r>
    </w:p>
    <w:p w14:paraId="3E405ECC" w14:textId="5D268955" w:rsidR="007234F7" w:rsidRDefault="005E52F1" w:rsidP="00FB165D">
      <w:pPr>
        <w:pStyle w:val="BodyText"/>
        <w:numPr>
          <w:ilvl w:val="0"/>
          <w:numId w:val="7"/>
        </w:numPr>
        <w:spacing w:after="120"/>
        <w:ind w:left="714" w:hanging="357"/>
        <w:rPr>
          <w:b/>
          <w:bCs/>
          <w:iCs/>
        </w:rPr>
      </w:pPr>
      <w:r>
        <w:t xml:space="preserve">Explained </w:t>
      </w:r>
      <w:r w:rsidR="00747D70" w:rsidRPr="00747D70">
        <w:t xml:space="preserve">how </w:t>
      </w:r>
      <w:r>
        <w:t>they will</w:t>
      </w:r>
      <w:r w:rsidR="00747D70" w:rsidRPr="00747D70">
        <w:t xml:space="preserve"> monitor and evaluate the progress and outcomes of the activity.</w:t>
      </w:r>
    </w:p>
    <w:p w14:paraId="5738A02A" w14:textId="72242C5E" w:rsidR="00A92ECD" w:rsidRPr="005D33D2" w:rsidRDefault="00A92ECD" w:rsidP="4FAA1DD6">
      <w:pPr>
        <w:pStyle w:val="Default"/>
        <w:spacing w:before="60"/>
        <w:rPr>
          <w:color w:val="C00000"/>
          <w:sz w:val="22"/>
          <w:szCs w:val="22"/>
        </w:rPr>
      </w:pPr>
      <w:r w:rsidRPr="005D33D2">
        <w:rPr>
          <w:color w:val="C00000"/>
          <w:sz w:val="22"/>
          <w:szCs w:val="22"/>
        </w:rPr>
        <w:t>Strong applications:</w:t>
      </w:r>
    </w:p>
    <w:p w14:paraId="4A616511" w14:textId="32CF1C45" w:rsidR="00751D0A" w:rsidRPr="005D33D2" w:rsidRDefault="00A016E8" w:rsidP="00A92ECD">
      <w:pPr>
        <w:pStyle w:val="BodyText"/>
        <w:numPr>
          <w:ilvl w:val="0"/>
          <w:numId w:val="7"/>
        </w:numPr>
        <w:spacing w:before="60"/>
      </w:pPr>
      <w:r w:rsidRPr="005D33D2">
        <w:t>Provided s</w:t>
      </w:r>
      <w:r w:rsidR="00905CF2" w:rsidRPr="005D33D2">
        <w:t>pecific, measurable objectives</w:t>
      </w:r>
      <w:r w:rsidR="00556ED6" w:rsidRPr="005D33D2">
        <w:t xml:space="preserve"> with defined metrics</w:t>
      </w:r>
      <w:r w:rsidR="00905CF2" w:rsidRPr="005D33D2">
        <w:t xml:space="preserve"> that align directly with grant outcomes.</w:t>
      </w:r>
    </w:p>
    <w:p w14:paraId="5E769175" w14:textId="7D2E5A45" w:rsidR="00DD490A" w:rsidRPr="005D33D2" w:rsidRDefault="61833DC3" w:rsidP="00A92ECD">
      <w:pPr>
        <w:pStyle w:val="BodyText"/>
        <w:numPr>
          <w:ilvl w:val="0"/>
          <w:numId w:val="7"/>
        </w:numPr>
        <w:spacing w:before="60"/>
      </w:pPr>
      <w:r w:rsidRPr="005D33D2">
        <w:t xml:space="preserve">Outlined </w:t>
      </w:r>
      <w:r w:rsidR="6C953367" w:rsidRPr="005D33D2">
        <w:t>w</w:t>
      </w:r>
      <w:r w:rsidR="00DD490A" w:rsidRPr="005D33D2">
        <w:t>ell-defined target groups with realistic participant numbers for the grant size.</w:t>
      </w:r>
    </w:p>
    <w:p w14:paraId="4625EA70" w14:textId="7B282094" w:rsidR="00AD73F1" w:rsidRPr="005D33D2" w:rsidRDefault="51296E3B" w:rsidP="00A92ECD">
      <w:pPr>
        <w:pStyle w:val="BodyText"/>
        <w:numPr>
          <w:ilvl w:val="0"/>
          <w:numId w:val="7"/>
        </w:numPr>
        <w:spacing w:before="60"/>
      </w:pPr>
      <w:r w:rsidRPr="005D33D2">
        <w:t xml:space="preserve">Presented </w:t>
      </w:r>
      <w:r w:rsidR="00DB09E9" w:rsidRPr="005D33D2">
        <w:t xml:space="preserve">a </w:t>
      </w:r>
      <w:r w:rsidR="57EB8B45" w:rsidRPr="005D33D2">
        <w:t xml:space="preserve">clear </w:t>
      </w:r>
      <w:r w:rsidR="00AD73F1" w:rsidRPr="005D33D2">
        <w:t xml:space="preserve">timeline with logical milestones, dependencies, and risk mitigation with </w:t>
      </w:r>
      <w:r w:rsidR="00266138" w:rsidRPr="005D33D2">
        <w:t>the proposed</w:t>
      </w:r>
      <w:r w:rsidR="00AD73F1" w:rsidRPr="005D33D2">
        <w:t xml:space="preserve"> delivery period</w:t>
      </w:r>
      <w:r w:rsidR="000900FD" w:rsidRPr="005D33D2">
        <w:t xml:space="preserve"> being </w:t>
      </w:r>
      <w:r w:rsidR="0083127A" w:rsidRPr="005D33D2">
        <w:t>within the guidelines</w:t>
      </w:r>
      <w:r w:rsidR="000900FD" w:rsidRPr="005D33D2">
        <w:t>.</w:t>
      </w:r>
    </w:p>
    <w:p w14:paraId="07DBE253" w14:textId="5EF1201D" w:rsidR="00AD73F1" w:rsidRPr="005D33D2" w:rsidRDefault="0083127A" w:rsidP="00A92ECD">
      <w:pPr>
        <w:pStyle w:val="BodyText"/>
        <w:numPr>
          <w:ilvl w:val="0"/>
          <w:numId w:val="7"/>
        </w:numPr>
        <w:spacing w:before="60"/>
      </w:pPr>
      <w:r w:rsidRPr="005D33D2">
        <w:t>Had c</w:t>
      </w:r>
      <w:r w:rsidR="00AD73F1" w:rsidRPr="005D33D2">
        <w:t xml:space="preserve">lear boundaries of </w:t>
      </w:r>
      <w:r w:rsidRPr="005D33D2">
        <w:t xml:space="preserve">activities </w:t>
      </w:r>
      <w:r w:rsidR="000900FD" w:rsidRPr="005D33D2">
        <w:t xml:space="preserve">that </w:t>
      </w:r>
      <w:r w:rsidR="00C1391E" w:rsidRPr="005D33D2">
        <w:t>were</w:t>
      </w:r>
      <w:r w:rsidR="00AD73F1" w:rsidRPr="005D33D2">
        <w:t xml:space="preserve"> included</w:t>
      </w:r>
      <w:r w:rsidR="00C1391E" w:rsidRPr="005D33D2">
        <w:t xml:space="preserve"> and e</w:t>
      </w:r>
      <w:r w:rsidR="00AD73F1" w:rsidRPr="005D33D2">
        <w:t>xcluded, appropriate for</w:t>
      </w:r>
      <w:r w:rsidR="00C1391E" w:rsidRPr="005D33D2">
        <w:t xml:space="preserve"> the</w:t>
      </w:r>
      <w:r w:rsidR="00AD73F1" w:rsidRPr="005D33D2">
        <w:t xml:space="preserve"> funding amount </w:t>
      </w:r>
      <w:r w:rsidR="00C1391E" w:rsidRPr="005D33D2">
        <w:t>and within the target range specified in the guidelines.</w:t>
      </w:r>
    </w:p>
    <w:p w14:paraId="53CE328D" w14:textId="37DF796F" w:rsidR="00AD73F1" w:rsidRPr="005D33D2" w:rsidRDefault="6CA621CC" w:rsidP="36D989DA">
      <w:pPr>
        <w:pStyle w:val="BodyText"/>
        <w:numPr>
          <w:ilvl w:val="0"/>
          <w:numId w:val="7"/>
        </w:numPr>
        <w:spacing w:before="60"/>
      </w:pPr>
      <w:r w:rsidRPr="005D33D2">
        <w:t>Detailed</w:t>
      </w:r>
      <w:r w:rsidR="147086ED" w:rsidRPr="005D33D2">
        <w:t xml:space="preserve"> team roles, partner responsibilities, and governance</w:t>
      </w:r>
      <w:r w:rsidR="724D845C" w:rsidRPr="005D33D2">
        <w:t xml:space="preserve"> arrangements t</w:t>
      </w:r>
      <w:r w:rsidR="3057EED5" w:rsidRPr="005D33D2">
        <w:t>hat</w:t>
      </w:r>
      <w:r w:rsidR="724D845C" w:rsidRPr="005D33D2">
        <w:t xml:space="preserve"> </w:t>
      </w:r>
      <w:r w:rsidR="3E2D471C" w:rsidRPr="005D33D2">
        <w:t>ensure</w:t>
      </w:r>
      <w:r w:rsidR="12CDFAB3" w:rsidRPr="005D33D2">
        <w:t xml:space="preserve"> project activities are </w:t>
      </w:r>
      <w:r w:rsidR="54306A8F" w:rsidRPr="005D33D2">
        <w:t xml:space="preserve">tracked and </w:t>
      </w:r>
      <w:r w:rsidR="12CDFAB3" w:rsidRPr="005D33D2">
        <w:t>met</w:t>
      </w:r>
      <w:r w:rsidR="3E2D471C" w:rsidRPr="005D33D2">
        <w:t>.</w:t>
      </w:r>
    </w:p>
    <w:p w14:paraId="25F9CDFD" w14:textId="3AE4E77C" w:rsidR="00515F94" w:rsidRPr="005D33D2" w:rsidRDefault="4D6FA853" w:rsidP="36D989DA">
      <w:pPr>
        <w:pStyle w:val="BodyText"/>
        <w:numPr>
          <w:ilvl w:val="0"/>
          <w:numId w:val="7"/>
        </w:numPr>
        <w:spacing w:before="60"/>
      </w:pPr>
      <w:r w:rsidRPr="005D33D2">
        <w:t>Clearly specified</w:t>
      </w:r>
      <w:r w:rsidR="3E2D471C" w:rsidRPr="005D33D2">
        <w:t xml:space="preserve"> the</w:t>
      </w:r>
      <w:r w:rsidRPr="005D33D2">
        <w:t xml:space="preserve"> Employment Region(s) with strong rationale</w:t>
      </w:r>
      <w:r w:rsidR="3E2D471C" w:rsidRPr="005D33D2">
        <w:t xml:space="preserve"> for the</w:t>
      </w:r>
      <w:r w:rsidR="6C370637" w:rsidRPr="005D33D2">
        <w:t xml:space="preserve"> suitability of the</w:t>
      </w:r>
      <w:r w:rsidR="3E2D471C" w:rsidRPr="005D33D2">
        <w:t xml:space="preserve"> selection(s)</w:t>
      </w:r>
      <w:r w:rsidRPr="005D33D2">
        <w:t>.</w:t>
      </w:r>
    </w:p>
    <w:p w14:paraId="16428132" w14:textId="4CC22B48" w:rsidR="00515F94" w:rsidRPr="005D33D2" w:rsidRDefault="715253F0" w:rsidP="36D989DA">
      <w:pPr>
        <w:pStyle w:val="BodyText"/>
        <w:numPr>
          <w:ilvl w:val="0"/>
          <w:numId w:val="7"/>
        </w:numPr>
        <w:spacing w:before="60"/>
      </w:pPr>
      <w:r w:rsidRPr="005D33D2">
        <w:t>M</w:t>
      </w:r>
      <w:r w:rsidR="13703022" w:rsidRPr="005D33D2">
        <w:t>onitoring and evaluation</w:t>
      </w:r>
      <w:r w:rsidR="04D2F231" w:rsidRPr="005D33D2">
        <w:t xml:space="preserve"> </w:t>
      </w:r>
      <w:r w:rsidR="10E85B7A" w:rsidRPr="005D33D2">
        <w:t>are</w:t>
      </w:r>
      <w:r w:rsidR="13703022" w:rsidRPr="005D33D2">
        <w:t xml:space="preserve"> detailed</w:t>
      </w:r>
      <w:r w:rsidR="42159DB2" w:rsidRPr="005D33D2">
        <w:t xml:space="preserve"> with</w:t>
      </w:r>
      <w:r w:rsidR="13703022" w:rsidRPr="005D33D2">
        <w:t xml:space="preserve"> </w:t>
      </w:r>
      <w:r w:rsidR="4D6FA853" w:rsidRPr="005D33D2">
        <w:t>specific indicators and evaluation methods.</w:t>
      </w:r>
    </w:p>
    <w:p w14:paraId="2D6DC965" w14:textId="28C5684A" w:rsidR="00A92ECD" w:rsidRPr="00FB165D" w:rsidRDefault="00A92ECD" w:rsidP="00AB556D">
      <w:pPr>
        <w:pStyle w:val="Heading3"/>
      </w:pPr>
      <w:r w:rsidRPr="00FB165D">
        <w:t>Criterion 3</w:t>
      </w:r>
    </w:p>
    <w:p w14:paraId="5C6E9EFA" w14:textId="1AD5C87F" w:rsidR="00DA6F3C" w:rsidRDefault="00DA6F3C" w:rsidP="00DA6F3C">
      <w:pPr>
        <w:pStyle w:val="BodyText"/>
        <w:spacing w:before="60"/>
        <w:rPr>
          <w:b/>
          <w:bCs/>
        </w:rPr>
      </w:pPr>
      <w:r w:rsidRPr="00FB165D">
        <w:rPr>
          <w:b/>
          <w:bCs/>
        </w:rPr>
        <w:t>Capability and Capacity</w:t>
      </w:r>
    </w:p>
    <w:p w14:paraId="6B9471FB" w14:textId="15B18AD5" w:rsidR="0062105C" w:rsidRPr="00FB165D" w:rsidRDefault="0062105C" w:rsidP="00DA6F3C">
      <w:pPr>
        <w:pStyle w:val="BodyText"/>
        <w:spacing w:before="60"/>
        <w:rPr>
          <w:b/>
          <w:bCs/>
        </w:rPr>
      </w:pPr>
      <w:r w:rsidRPr="0062105C">
        <w:t>Outline your organisation’s capacity, capability, knowledge, and experience to deliver the activity to a high standard.</w:t>
      </w:r>
    </w:p>
    <w:p w14:paraId="7920029B" w14:textId="77777777" w:rsidR="00B22CE4" w:rsidRPr="00FB165D" w:rsidRDefault="00B22CE4" w:rsidP="00B37402">
      <w:pPr>
        <w:pStyle w:val="BodyText"/>
        <w:rPr>
          <w:b/>
          <w:bCs/>
          <w:iCs/>
        </w:rPr>
      </w:pPr>
      <w:r w:rsidRPr="00FB165D">
        <w:t>When addressing the criterion, strong applicants:</w:t>
      </w:r>
    </w:p>
    <w:p w14:paraId="099F740B" w14:textId="6369F49D" w:rsidR="00D41C90" w:rsidRDefault="00F5222A" w:rsidP="00FB165D">
      <w:pPr>
        <w:pStyle w:val="BodyText"/>
        <w:numPr>
          <w:ilvl w:val="0"/>
          <w:numId w:val="7"/>
        </w:numPr>
        <w:spacing w:after="120"/>
        <w:ind w:left="714" w:hanging="357"/>
      </w:pPr>
      <w:r>
        <w:t>Outlined</w:t>
      </w:r>
      <w:r w:rsidR="0018197D">
        <w:t xml:space="preserve"> </w:t>
      </w:r>
      <w:r w:rsidR="00D41C90">
        <w:t xml:space="preserve">experience delivering or supporting similar projects or relevant transferable expertise, such as case studies showing </w:t>
      </w:r>
      <w:r w:rsidR="00446A57">
        <w:t>their</w:t>
      </w:r>
      <w:r w:rsidR="00D41C90">
        <w:t xml:space="preserve"> organisation’s ability to design, implement, deliver and evolve projects to benefit participants</w:t>
      </w:r>
      <w:r w:rsidR="00B37402">
        <w:t>.</w:t>
      </w:r>
    </w:p>
    <w:p w14:paraId="65EC6F56" w14:textId="72DA2371" w:rsidR="00D41C90" w:rsidRDefault="00F5222A" w:rsidP="00FB165D">
      <w:pPr>
        <w:pStyle w:val="BodyText"/>
        <w:numPr>
          <w:ilvl w:val="0"/>
          <w:numId w:val="7"/>
        </w:numPr>
        <w:spacing w:after="120"/>
        <w:ind w:left="714" w:hanging="357"/>
      </w:pPr>
      <w:r>
        <w:t>Described their</w:t>
      </w:r>
      <w:r w:rsidR="00D41C90">
        <w:t xml:space="preserve"> understanding of and ability to support the cohort(s) or sector(s) </w:t>
      </w:r>
      <w:r w:rsidR="00446A57">
        <w:t>their</w:t>
      </w:r>
      <w:r w:rsidR="00D41C90">
        <w:t xml:space="preserve"> services </w:t>
      </w:r>
      <w:r>
        <w:t>would</w:t>
      </w:r>
      <w:r w:rsidR="00D41C90">
        <w:t xml:space="preserve"> target</w:t>
      </w:r>
      <w:r w:rsidR="00B37402">
        <w:t>.</w:t>
      </w:r>
    </w:p>
    <w:p w14:paraId="2BF69CD4" w14:textId="358EA248" w:rsidR="00D41C90" w:rsidRDefault="00446A57" w:rsidP="00FB165D">
      <w:pPr>
        <w:pStyle w:val="BodyText"/>
        <w:numPr>
          <w:ilvl w:val="0"/>
          <w:numId w:val="7"/>
        </w:numPr>
        <w:spacing w:after="120"/>
        <w:ind w:left="714" w:hanging="357"/>
      </w:pPr>
      <w:r>
        <w:t xml:space="preserve">Outlined </w:t>
      </w:r>
      <w:r w:rsidR="00D41C90">
        <w:t>anticipated resource requirements and delivery arrangements</w:t>
      </w:r>
      <w:r w:rsidR="00B37402">
        <w:t>.</w:t>
      </w:r>
    </w:p>
    <w:p w14:paraId="0F8A5470" w14:textId="3BF4844A" w:rsidR="00D41C90" w:rsidRDefault="004F679F" w:rsidP="00FB165D">
      <w:pPr>
        <w:pStyle w:val="BodyText"/>
        <w:numPr>
          <w:ilvl w:val="0"/>
          <w:numId w:val="7"/>
        </w:numPr>
        <w:spacing w:after="120"/>
        <w:ind w:left="714" w:hanging="357"/>
      </w:pPr>
      <w:r>
        <w:t xml:space="preserve">Summarised </w:t>
      </w:r>
      <w:r w:rsidR="00D41C90">
        <w:t>key individual’s and project partner’s qualifications and experience in delivering similar projects</w:t>
      </w:r>
      <w:r w:rsidR="00B37402">
        <w:t>.</w:t>
      </w:r>
    </w:p>
    <w:p w14:paraId="55F36FDE" w14:textId="2E83E672" w:rsidR="00D41C90" w:rsidRDefault="004F679F" w:rsidP="00FB165D">
      <w:pPr>
        <w:pStyle w:val="BodyText"/>
        <w:numPr>
          <w:ilvl w:val="0"/>
          <w:numId w:val="7"/>
        </w:numPr>
        <w:spacing w:after="120"/>
        <w:ind w:left="714" w:hanging="357"/>
      </w:pPr>
      <w:r>
        <w:t>Outlined their</w:t>
      </w:r>
      <w:r w:rsidR="00D41C90">
        <w:t xml:space="preserve"> deep understanding of the local labour market, and relationships with local community(s)</w:t>
      </w:r>
      <w:r w:rsidR="00B37402">
        <w:t>.</w:t>
      </w:r>
    </w:p>
    <w:p w14:paraId="10F15DCE" w14:textId="5A779316" w:rsidR="00B22CE4" w:rsidRPr="00D41C90" w:rsidRDefault="004F679F" w:rsidP="00FB165D">
      <w:pPr>
        <w:pStyle w:val="BodyText"/>
        <w:numPr>
          <w:ilvl w:val="0"/>
          <w:numId w:val="7"/>
        </w:numPr>
        <w:spacing w:after="120"/>
        <w:ind w:left="714" w:hanging="357"/>
      </w:pPr>
      <w:r>
        <w:t>D</w:t>
      </w:r>
      <w:r w:rsidR="00D41C90">
        <w:t xml:space="preserve">escribe how </w:t>
      </w:r>
      <w:r>
        <w:t>they</w:t>
      </w:r>
      <w:r w:rsidR="00D41C90">
        <w:t xml:space="preserve"> will engage other key stakeholders critical to delivering the activity.</w:t>
      </w:r>
    </w:p>
    <w:p w14:paraId="7851F7DC" w14:textId="5C10F0C3" w:rsidR="00A92ECD" w:rsidRPr="005D33D2" w:rsidRDefault="00A92ECD" w:rsidP="00FB165D">
      <w:pPr>
        <w:pStyle w:val="Default"/>
        <w:rPr>
          <w:color w:val="C00000"/>
          <w:sz w:val="22"/>
          <w:szCs w:val="22"/>
        </w:rPr>
      </w:pPr>
      <w:r w:rsidRPr="005D33D2">
        <w:rPr>
          <w:color w:val="C00000"/>
          <w:sz w:val="22"/>
          <w:szCs w:val="22"/>
        </w:rPr>
        <w:t>Strong applications:</w:t>
      </w:r>
    </w:p>
    <w:p w14:paraId="09D112A9" w14:textId="4211A881" w:rsidR="00454D0F" w:rsidRPr="005D33D2" w:rsidRDefault="00091FEC" w:rsidP="00A92ECD">
      <w:pPr>
        <w:pStyle w:val="BodyText"/>
        <w:numPr>
          <w:ilvl w:val="0"/>
          <w:numId w:val="7"/>
        </w:numPr>
        <w:spacing w:before="60"/>
      </w:pPr>
      <w:r w:rsidRPr="005D33D2">
        <w:t>Demonstrate</w:t>
      </w:r>
      <w:r w:rsidR="004E3CC9" w:rsidRPr="005D33D2">
        <w:t>d</w:t>
      </w:r>
      <w:r w:rsidRPr="005D33D2">
        <w:t xml:space="preserve"> strong organisational experience and expertise with relevant case studies</w:t>
      </w:r>
      <w:r w:rsidR="00591958" w:rsidRPr="005D33D2">
        <w:t xml:space="preserve"> </w:t>
      </w:r>
      <w:r w:rsidR="00740AC6" w:rsidRPr="005D33D2">
        <w:t>that</w:t>
      </w:r>
      <w:r w:rsidR="004C4509" w:rsidRPr="005D33D2">
        <w:t xml:space="preserve"> demonstrate successes and</w:t>
      </w:r>
      <w:r w:rsidR="00740AC6" w:rsidRPr="005D33D2">
        <w:t xml:space="preserve"> align with the grant’s </w:t>
      </w:r>
      <w:r w:rsidR="005760C4" w:rsidRPr="005D33D2">
        <w:t>objectives.</w:t>
      </w:r>
    </w:p>
    <w:p w14:paraId="733A588C" w14:textId="77A3C784" w:rsidR="00091FEC" w:rsidRPr="005D33D2" w:rsidRDefault="008D5365" w:rsidP="00A92ECD">
      <w:pPr>
        <w:pStyle w:val="BodyText"/>
        <w:numPr>
          <w:ilvl w:val="0"/>
          <w:numId w:val="7"/>
        </w:numPr>
        <w:spacing w:before="60"/>
      </w:pPr>
      <w:r w:rsidRPr="005D33D2">
        <w:t>Show</w:t>
      </w:r>
      <w:r w:rsidR="00F260A3" w:rsidRPr="005D33D2">
        <w:t>ed a</w:t>
      </w:r>
      <w:r w:rsidRPr="005D33D2">
        <w:t xml:space="preserve"> </w:t>
      </w:r>
      <w:r w:rsidR="6A8FA4DE" w:rsidRPr="005D33D2">
        <w:t xml:space="preserve">strong </w:t>
      </w:r>
      <w:r w:rsidRPr="005D33D2">
        <w:t>understanding of target cohorts</w:t>
      </w:r>
      <w:r w:rsidR="00740AC6" w:rsidRPr="005D33D2">
        <w:t xml:space="preserve">, </w:t>
      </w:r>
      <w:r w:rsidRPr="005D33D2">
        <w:t>sectors and local labour market</w:t>
      </w:r>
      <w:r w:rsidR="00740AC6" w:rsidRPr="005D33D2">
        <w:t xml:space="preserve">, providing </w:t>
      </w:r>
      <w:r w:rsidR="00556CEB" w:rsidRPr="005D33D2">
        <w:t xml:space="preserve">data and additional </w:t>
      </w:r>
      <w:r w:rsidR="005760C4" w:rsidRPr="005D33D2">
        <w:t>insigh</w:t>
      </w:r>
      <w:r w:rsidR="00D57415" w:rsidRPr="005D33D2">
        <w:t>ts</w:t>
      </w:r>
      <w:r w:rsidR="000E72E5" w:rsidRPr="005D33D2">
        <w:t xml:space="preserve"> such as local research and consultation</w:t>
      </w:r>
      <w:r w:rsidR="044E0A16" w:rsidRPr="005D33D2">
        <w:t>, where relevant</w:t>
      </w:r>
      <w:r w:rsidR="005760C4" w:rsidRPr="005D33D2">
        <w:t>.</w:t>
      </w:r>
    </w:p>
    <w:p w14:paraId="59F46F6C" w14:textId="152C7BE8" w:rsidR="00AF1765" w:rsidRPr="005D33D2" w:rsidRDefault="002D752A" w:rsidP="00533583">
      <w:pPr>
        <w:pStyle w:val="BodyText"/>
        <w:numPr>
          <w:ilvl w:val="0"/>
          <w:numId w:val="7"/>
        </w:numPr>
        <w:spacing w:before="60"/>
      </w:pPr>
      <w:r w:rsidRPr="005D33D2">
        <w:t>D</w:t>
      </w:r>
      <w:r w:rsidR="00AF1765" w:rsidRPr="005D33D2">
        <w:t>emonstrated capacity to appropriately tailor support for target cohorts including cultural competency (where relevant).</w:t>
      </w:r>
    </w:p>
    <w:p w14:paraId="5DF80F58" w14:textId="22B962A8" w:rsidR="007758BC" w:rsidRPr="005D33D2" w:rsidRDefault="007758BC" w:rsidP="00A92ECD">
      <w:pPr>
        <w:pStyle w:val="BodyText"/>
        <w:numPr>
          <w:ilvl w:val="0"/>
          <w:numId w:val="7"/>
        </w:numPr>
        <w:spacing w:before="60"/>
      </w:pPr>
      <w:r w:rsidRPr="005D33D2">
        <w:lastRenderedPageBreak/>
        <w:t>Clearly outline</w:t>
      </w:r>
      <w:r w:rsidR="00D57415" w:rsidRPr="005D33D2">
        <w:t>d</w:t>
      </w:r>
      <w:r w:rsidRPr="005D33D2">
        <w:t xml:space="preserve"> resource requirements and delivery arrangements that demonstrate thorough planning.</w:t>
      </w:r>
    </w:p>
    <w:p w14:paraId="0064B4E0" w14:textId="5802D0A6" w:rsidR="007758BC" w:rsidRPr="005D33D2" w:rsidRDefault="0095383E" w:rsidP="00A92ECD">
      <w:pPr>
        <w:pStyle w:val="BodyText"/>
        <w:numPr>
          <w:ilvl w:val="0"/>
          <w:numId w:val="7"/>
        </w:numPr>
        <w:spacing w:before="60"/>
      </w:pPr>
      <w:r w:rsidRPr="005D33D2">
        <w:t>Included k</w:t>
      </w:r>
      <w:r w:rsidR="007758BC" w:rsidRPr="005D33D2">
        <w:t xml:space="preserve">ey personnel and partners </w:t>
      </w:r>
      <w:r w:rsidR="00B57B84" w:rsidRPr="005D33D2">
        <w:t>with</w:t>
      </w:r>
      <w:r w:rsidR="007758BC" w:rsidRPr="005D33D2">
        <w:t xml:space="preserve"> relevant qualifications and</w:t>
      </w:r>
      <w:r w:rsidR="3A082160" w:rsidRPr="005D33D2">
        <w:t>/or</w:t>
      </w:r>
      <w:r w:rsidR="007758BC" w:rsidRPr="005D33D2">
        <w:t xml:space="preserve"> extensive experience in similar projects.</w:t>
      </w:r>
    </w:p>
    <w:p w14:paraId="327762E4" w14:textId="2F1873A7" w:rsidR="007758BC" w:rsidRPr="005D33D2" w:rsidRDefault="007758BC" w:rsidP="00A92ECD">
      <w:pPr>
        <w:pStyle w:val="BodyText"/>
        <w:numPr>
          <w:ilvl w:val="0"/>
          <w:numId w:val="7"/>
        </w:numPr>
        <w:spacing w:before="60"/>
      </w:pPr>
      <w:r w:rsidRPr="005D33D2">
        <w:t>Demonstrate</w:t>
      </w:r>
      <w:r w:rsidR="00771CB8" w:rsidRPr="005D33D2">
        <w:t>d</w:t>
      </w:r>
      <w:r w:rsidR="00B05959" w:rsidRPr="005D33D2">
        <w:t xml:space="preserve"> a</w:t>
      </w:r>
      <w:r w:rsidRPr="005D33D2">
        <w:t xml:space="preserve"> </w:t>
      </w:r>
      <w:r w:rsidR="009C4F19" w:rsidRPr="005D33D2">
        <w:t>strong</w:t>
      </w:r>
      <w:r w:rsidRPr="005D33D2">
        <w:t xml:space="preserve"> understanding of local labour market conditions and trends</w:t>
      </w:r>
      <w:r w:rsidR="00B05959" w:rsidRPr="005D33D2">
        <w:t xml:space="preserve"> including local industry shifts, employer demand, and regional workforce gaps.</w:t>
      </w:r>
    </w:p>
    <w:p w14:paraId="1745D74F" w14:textId="606F2FDB" w:rsidR="00FA554E" w:rsidRPr="005D33D2" w:rsidRDefault="007C734E" w:rsidP="00A92ECD">
      <w:pPr>
        <w:pStyle w:val="BodyText"/>
        <w:numPr>
          <w:ilvl w:val="0"/>
          <w:numId w:val="7"/>
        </w:numPr>
        <w:spacing w:before="60"/>
      </w:pPr>
      <w:r w:rsidRPr="005D33D2">
        <w:t>Provided a c</w:t>
      </w:r>
      <w:r w:rsidR="00FA554E" w:rsidRPr="005D33D2">
        <w:t>lear strategy for engaging critical stakeholders with evidence of existing partnerships</w:t>
      </w:r>
      <w:r w:rsidRPr="005D33D2">
        <w:t xml:space="preserve"> and proposed governance arrangements</w:t>
      </w:r>
      <w:r w:rsidR="00FA554E" w:rsidRPr="005D33D2">
        <w:t>.</w:t>
      </w:r>
    </w:p>
    <w:p w14:paraId="7474FE44" w14:textId="75DAE01B"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t>Individual feedback</w:t>
      </w:r>
    </w:p>
    <w:p w14:paraId="7E7AEC35" w14:textId="669A3A9C" w:rsidR="00467184" w:rsidRDefault="00B57B84" w:rsidP="00B37402">
      <w:pPr>
        <w:pStyle w:val="BodyText"/>
        <w:spacing w:after="120"/>
        <w:rPr>
          <w:rFonts w:eastAsiaTheme="minorEastAsia"/>
          <w:color w:val="auto"/>
          <w:szCs w:val="22"/>
        </w:rPr>
      </w:pPr>
      <w:r>
        <w:rPr>
          <w:color w:val="auto"/>
        </w:rPr>
        <w:t>Given</w:t>
      </w:r>
      <w:r w:rsidR="00467184" w:rsidRPr="196DC766">
        <w:rPr>
          <w:color w:val="auto"/>
        </w:rPr>
        <w:t xml:space="preserve"> the expected </w:t>
      </w:r>
      <w:r>
        <w:rPr>
          <w:color w:val="auto"/>
        </w:rPr>
        <w:t>level of</w:t>
      </w:r>
      <w:r w:rsidR="00467184" w:rsidRPr="196DC766">
        <w:rPr>
          <w:color w:val="auto"/>
        </w:rPr>
        <w:t xml:space="preserve"> interest in the grant opportunity, the Grant Opportunity Guidelines advised applicants that individual feedback would not be </w:t>
      </w:r>
      <w:r w:rsidR="009C4F19">
        <w:rPr>
          <w:color w:val="auto"/>
        </w:rPr>
        <w:t xml:space="preserve">provided </w:t>
      </w:r>
      <w:r w:rsidR="00467184" w:rsidRPr="196DC766">
        <w:rPr>
          <w:color w:val="auto"/>
        </w:rPr>
        <w:t xml:space="preserve">(see </w:t>
      </w:r>
      <w:r w:rsidR="00467184" w:rsidRPr="00AB7BD7">
        <w:rPr>
          <w:rFonts w:eastAsiaTheme="minorEastAsia"/>
          <w:color w:val="auto"/>
          <w:szCs w:val="22"/>
        </w:rPr>
        <w:t>section 9.1</w:t>
      </w:r>
      <w:r>
        <w:rPr>
          <w:rFonts w:eastAsiaTheme="minorEastAsia"/>
          <w:color w:val="auto"/>
          <w:szCs w:val="22"/>
        </w:rPr>
        <w:t xml:space="preserve"> of the guidelines</w:t>
      </w:r>
      <w:r w:rsidR="00467184" w:rsidRPr="00AB7BD7">
        <w:rPr>
          <w:rFonts w:eastAsiaTheme="minorEastAsia"/>
          <w:color w:val="auto"/>
          <w:szCs w:val="22"/>
        </w:rPr>
        <w:t>).</w:t>
      </w:r>
    </w:p>
    <w:p w14:paraId="4AF7AAB6" w14:textId="0F1BD239" w:rsidR="00467184" w:rsidRDefault="00467184" w:rsidP="00B37402">
      <w:pPr>
        <w:pStyle w:val="BodyText"/>
        <w:spacing w:after="120"/>
        <w:rPr>
          <w:color w:val="auto"/>
        </w:rPr>
      </w:pPr>
      <w:r w:rsidRPr="00AB7BD7">
        <w:rPr>
          <w:rFonts w:eastAsiaTheme="minorEastAsia"/>
          <w:color w:val="auto"/>
          <w:szCs w:val="22"/>
        </w:rPr>
        <w:t>The general feedback</w:t>
      </w:r>
      <w:r w:rsidR="00B57B84">
        <w:rPr>
          <w:rFonts w:eastAsiaTheme="minorEastAsia"/>
          <w:color w:val="auto"/>
          <w:szCs w:val="22"/>
        </w:rPr>
        <w:t xml:space="preserve"> </w:t>
      </w:r>
      <w:r w:rsidR="00B57B84" w:rsidRPr="00B57B84">
        <w:rPr>
          <w:rFonts w:eastAsiaTheme="minorEastAsia"/>
          <w:color w:val="auto"/>
          <w:szCs w:val="22"/>
        </w:rPr>
        <w:t>provided above is intended to support transparency in the selection process and assist organisations to strengthen future applications.</w:t>
      </w:r>
    </w:p>
    <w:sectPr w:rsidR="00467184" w:rsidSect="00A92ECD">
      <w:footerReference w:type="even" r:id="rId10"/>
      <w:footerReference w:type="default" r:id="rId11"/>
      <w:footerReference w:type="first" r:id="rId12"/>
      <w:pgSz w:w="11906" w:h="16838" w:code="9"/>
      <w:pgMar w:top="426" w:right="1134" w:bottom="1247" w:left="1134"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44A11" w14:textId="77777777" w:rsidR="00E473C6" w:rsidRDefault="00E473C6" w:rsidP="00772718">
      <w:pPr>
        <w:spacing w:line="240" w:lineRule="auto"/>
      </w:pPr>
      <w:r>
        <w:separator/>
      </w:r>
    </w:p>
  </w:endnote>
  <w:endnote w:type="continuationSeparator" w:id="0">
    <w:p w14:paraId="37C05607" w14:textId="77777777" w:rsidR="00E473C6" w:rsidRDefault="00E473C6"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683E5" w14:textId="64E45E2F" w:rsidR="00602703" w:rsidRDefault="00602703">
    <w:pPr>
      <w:pStyle w:val="Footer"/>
    </w:pPr>
    <w:r>
      <w:rPr>
        <w:noProof/>
      </w:rPr>
      <mc:AlternateContent>
        <mc:Choice Requires="wps">
          <w:drawing>
            <wp:anchor distT="0" distB="0" distL="114300" distR="114300" simplePos="0" relativeHeight="251661312" behindDoc="0" locked="1" layoutInCell="0" allowOverlap="1" wp14:anchorId="27FE2BF5" wp14:editId="0DC5B69A">
              <wp:simplePos x="0" y="0"/>
              <wp:positionH relativeFrom="margin">
                <wp:align>center</wp:align>
              </wp:positionH>
              <wp:positionV relativeFrom="bottomMargin">
                <wp:align>center</wp:align>
              </wp:positionV>
              <wp:extent cx="1009015" cy="302260"/>
              <wp:effectExtent l="0" t="0" r="0" b="2540"/>
              <wp:wrapNone/>
              <wp:docPr id="1404880361" name="janusSEAL SC F_Even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3C4A61" w14:textId="3B1D52C1" w:rsidR="00602703" w:rsidRPr="00602703" w:rsidRDefault="00602703" w:rsidP="00602703">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FE2BF5" id="_x0000_t202" coordsize="21600,21600" o:spt="202" path="m,l,21600r21600,l21600,xe">
              <v:stroke joinstyle="miter"/>
              <v:path gradientshapeok="t" o:connecttype="rect"/>
            </v:shapetype>
            <v:shape id="janusSEAL SC F_EvenPage" o:spid="_x0000_s1026" type="#_x0000_t202" style="position:absolute;margin-left:0;margin-top:0;width:79.45pt;height:23.8pt;z-index:25166131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" o:allowincell="f" filled="f" stroked="f" strokeweight=".5pt">
              <v:textbox style="mso-fit-shape-to-text:t">
                <w:txbxContent>
                  <w:p w14:paraId="783C4A61" w14:textId="3B1D52C1" w:rsidR="00602703" w:rsidRPr="00602703" w:rsidRDefault="00602703" w:rsidP="00602703">
                    <w:pPr>
                      <w:jc w:val="center"/>
                      <w:rPr>
                        <w:b/>
                        <w:color w:val="FF0000"/>
                        <w:sz w:val="28"/>
                      </w:rPr>
                    </w:pPr>
                    <w:r>
                      <w:rPr>
                        <w:b/>
                        <w:color w:val="FF0000"/>
                        <w:sz w:val="28"/>
                      </w:rPr>
                      <w:t>OFFICIAL</w:t>
                    </w:r>
                  </w:p>
                </w:txbxContent>
              </v:textbox>
              <w10:wrap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362B60A3" w:rsidR="003A3D76" w:rsidRDefault="00602703">
    <w:pPr>
      <w:pStyle w:val="Footer"/>
    </w:pPr>
    <w:r>
      <w:rPr>
        <w:noProof/>
      </w:rPr>
      <mc:AlternateContent>
        <mc:Choice Requires="wps">
          <w:drawing>
            <wp:anchor distT="0" distB="0" distL="114300" distR="114300" simplePos="0" relativeHeight="251659264" behindDoc="0" locked="1" layoutInCell="0" allowOverlap="1" wp14:anchorId="39271765" wp14:editId="2DDF1C89">
              <wp:simplePos x="0" y="0"/>
              <wp:positionH relativeFrom="margin">
                <wp:align>center</wp:align>
              </wp:positionH>
              <wp:positionV relativeFrom="bottomMargin">
                <wp:align>center</wp:align>
              </wp:positionV>
              <wp:extent cx="1009015" cy="302260"/>
              <wp:effectExtent l="0" t="0" r="0" b="2540"/>
              <wp:wrapNone/>
              <wp:docPr id="248957037" name="janusSEAL SC Footer"/>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5D19B7" w14:textId="58687018" w:rsidR="00602703" w:rsidRPr="00602703" w:rsidRDefault="00602703" w:rsidP="00602703">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9271765" id="_x0000_t202" coordsize="21600,21600" o:spt="202" path="m,l,21600r21600,l21600,xe">
              <v:stroke joinstyle="miter"/>
              <v:path gradientshapeok="t" o:connecttype="rect"/>
            </v:shapetype>
            <v:shape id="janusSEAL SC Footer" o:spid="_x0000_s1027" type="#_x0000_t202" style="position:absolute;margin-left:0;margin-top:0;width:79.45pt;height:23.8pt;z-index:251659264;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" o:allowincell="f" filled="f" stroked="f" strokeweight=".5pt">
              <v:textbox style="mso-fit-shape-to-text:t">
                <w:txbxContent>
                  <w:p w14:paraId="7F5D19B7" w14:textId="58687018" w:rsidR="00602703" w:rsidRPr="00602703" w:rsidRDefault="00602703" w:rsidP="00602703">
                    <w:pPr>
                      <w:jc w:val="center"/>
                      <w:rPr>
                        <w:b/>
                        <w:color w:val="FF0000"/>
                        <w:sz w:val="28"/>
                      </w:rPr>
                    </w:pPr>
                    <w:r>
                      <w:rPr>
                        <w:b/>
                        <w:color w:val="FF0000"/>
                        <w:sz w:val="28"/>
                      </w:rPr>
                      <w:t>OFFICIAL</w:t>
                    </w:r>
                  </w:p>
                </w:txbxContent>
              </v:textbox>
              <w10:wrap anchorx="margin" anchory="margin"/>
              <w10:anchorlock/>
            </v:shape>
          </w:pict>
        </mc:Fallback>
      </mc:AlternateConten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0B3B6312" w:rsidR="003A3D76" w:rsidRDefault="00602703">
    <w:pPr>
      <w:pStyle w:val="Footer"/>
    </w:pPr>
    <w:r>
      <w:rPr>
        <w:noProof/>
      </w:rPr>
      <mc:AlternateContent>
        <mc:Choice Requires="wps">
          <w:drawing>
            <wp:anchor distT="0" distB="0" distL="114300" distR="114300" simplePos="0" relativeHeight="251660288" behindDoc="0" locked="1" layoutInCell="0" allowOverlap="1" wp14:anchorId="0054615D" wp14:editId="263A199C">
              <wp:simplePos x="0" y="0"/>
              <wp:positionH relativeFrom="margin">
                <wp:align>center</wp:align>
              </wp:positionH>
              <wp:positionV relativeFrom="bottomMargin">
                <wp:align>center</wp:align>
              </wp:positionV>
              <wp:extent cx="1009015" cy="302260"/>
              <wp:effectExtent l="0" t="0" r="0" b="2540"/>
              <wp:wrapNone/>
              <wp:docPr id="1781176158" name="janusSEAL SC F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6AD86AC" w14:textId="7880798C" w:rsidR="00602703" w:rsidRPr="00602703" w:rsidRDefault="00602703" w:rsidP="00602703">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054615D" id="_x0000_t202" coordsize="21600,21600" o:spt="202" path="m,l,21600r21600,l21600,xe">
              <v:stroke joinstyle="miter"/>
              <v:path gradientshapeok="t" o:connecttype="rect"/>
            </v:shapetype>
            <v:shape id="janusSEAL SC F_FirstPage" o:spid="_x0000_s1028" type="#_x0000_t202" style="position:absolute;margin-left:0;margin-top:0;width:79.45pt;height:23.8pt;z-index:25166028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1Ah2EYAgAAMQQAAA4AAAAAAAAAAAAAAAAALgIAAGRycy9lMm9Eb2MueG1sUEsBAi0AFAAGAAgA&#10;AAAhACBWFSfbAAAABAEAAA8AAAAAAAAAAAAAAAAAcgQAAGRycy9kb3ducmV2LnhtbFBLBQYAAAAA&#10;BAAEAPMAAAB6BQAAAAA=&#10;" o:allowincell="f" filled="f" stroked="f" strokeweight=".5pt">
              <v:textbox style="mso-fit-shape-to-text:t">
                <w:txbxContent>
                  <w:p w14:paraId="56AD86AC" w14:textId="7880798C" w:rsidR="00602703" w:rsidRPr="00602703" w:rsidRDefault="00602703" w:rsidP="00602703">
                    <w:pPr>
                      <w:jc w:val="center"/>
                      <w:rPr>
                        <w:b/>
                        <w:color w:val="FF0000"/>
                        <w:sz w:val="28"/>
                      </w:rPr>
                    </w:pPr>
                    <w:r>
                      <w:rPr>
                        <w:b/>
                        <w:color w:val="FF0000"/>
                        <w:sz w:val="28"/>
                      </w:rPr>
                      <w:t>OFFICIAL</w:t>
                    </w:r>
                  </w:p>
                </w:txbxContent>
              </v:textbox>
              <w10:wrap anchorx="margin" anchory="margin"/>
              <w10:anchorlock/>
            </v:shape>
          </w:pict>
        </mc:Fallback>
      </mc:AlternateContent>
    </w:r>
    <w:r w:rsidR="00000000">
      <w:pict w14:anchorId="2CC68FC6">
        <v:rect id="_x0000_i1025" style="width:0;height:1.5pt" o:hralign="center" o:hrstd="t" o:hr="t" fillcolor="#a0a0a0" stroked="f"/>
      </w:pic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36220" w14:textId="77777777" w:rsidR="00E473C6" w:rsidRDefault="00E473C6" w:rsidP="00772718">
      <w:pPr>
        <w:spacing w:line="240" w:lineRule="auto"/>
      </w:pPr>
      <w:r>
        <w:separator/>
      </w:r>
    </w:p>
  </w:footnote>
  <w:footnote w:type="continuationSeparator" w:id="0">
    <w:p w14:paraId="6EFFA2BB" w14:textId="77777777" w:rsidR="00E473C6" w:rsidRDefault="00E473C6" w:rsidP="0077271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2A2A39AF"/>
    <w:multiLevelType w:val="hybridMultilevel"/>
    <w:tmpl w:val="EDEC3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FE789AF"/>
    <w:multiLevelType w:val="hybridMultilevel"/>
    <w:tmpl w:val="C31A5C8C"/>
    <w:lvl w:ilvl="0" w:tplc="C2BAF5FC">
      <w:start w:val="1"/>
      <w:numFmt w:val="bullet"/>
      <w:lvlText w:val=""/>
      <w:lvlJc w:val="left"/>
      <w:pPr>
        <w:ind w:left="720" w:hanging="360"/>
      </w:pPr>
      <w:rPr>
        <w:rFonts w:ascii="Symbol" w:hAnsi="Symbol" w:hint="default"/>
      </w:rPr>
    </w:lvl>
    <w:lvl w:ilvl="1" w:tplc="888E51EC">
      <w:start w:val="1"/>
      <w:numFmt w:val="bullet"/>
      <w:lvlText w:val="o"/>
      <w:lvlJc w:val="left"/>
      <w:pPr>
        <w:ind w:left="1440" w:hanging="360"/>
      </w:pPr>
      <w:rPr>
        <w:rFonts w:ascii="Courier New" w:hAnsi="Courier New" w:hint="default"/>
      </w:rPr>
    </w:lvl>
    <w:lvl w:ilvl="2" w:tplc="49AA9776">
      <w:start w:val="1"/>
      <w:numFmt w:val="bullet"/>
      <w:lvlText w:val=""/>
      <w:lvlJc w:val="left"/>
      <w:pPr>
        <w:ind w:left="2160" w:hanging="360"/>
      </w:pPr>
      <w:rPr>
        <w:rFonts w:ascii="Wingdings" w:hAnsi="Wingdings" w:hint="default"/>
      </w:rPr>
    </w:lvl>
    <w:lvl w:ilvl="3" w:tplc="3636452C">
      <w:start w:val="1"/>
      <w:numFmt w:val="bullet"/>
      <w:lvlText w:val=""/>
      <w:lvlJc w:val="left"/>
      <w:pPr>
        <w:ind w:left="2880" w:hanging="360"/>
      </w:pPr>
      <w:rPr>
        <w:rFonts w:ascii="Symbol" w:hAnsi="Symbol" w:hint="default"/>
      </w:rPr>
    </w:lvl>
    <w:lvl w:ilvl="4" w:tplc="F50EADF2">
      <w:start w:val="1"/>
      <w:numFmt w:val="bullet"/>
      <w:lvlText w:val="o"/>
      <w:lvlJc w:val="left"/>
      <w:pPr>
        <w:ind w:left="3600" w:hanging="360"/>
      </w:pPr>
      <w:rPr>
        <w:rFonts w:ascii="Courier New" w:hAnsi="Courier New" w:hint="default"/>
      </w:rPr>
    </w:lvl>
    <w:lvl w:ilvl="5" w:tplc="BCDE183C">
      <w:start w:val="1"/>
      <w:numFmt w:val="bullet"/>
      <w:lvlText w:val=""/>
      <w:lvlJc w:val="left"/>
      <w:pPr>
        <w:ind w:left="4320" w:hanging="360"/>
      </w:pPr>
      <w:rPr>
        <w:rFonts w:ascii="Wingdings" w:hAnsi="Wingdings" w:hint="default"/>
      </w:rPr>
    </w:lvl>
    <w:lvl w:ilvl="6" w:tplc="008EAEF0">
      <w:start w:val="1"/>
      <w:numFmt w:val="bullet"/>
      <w:lvlText w:val=""/>
      <w:lvlJc w:val="left"/>
      <w:pPr>
        <w:ind w:left="5040" w:hanging="360"/>
      </w:pPr>
      <w:rPr>
        <w:rFonts w:ascii="Symbol" w:hAnsi="Symbol" w:hint="default"/>
      </w:rPr>
    </w:lvl>
    <w:lvl w:ilvl="7" w:tplc="9AC625C0">
      <w:start w:val="1"/>
      <w:numFmt w:val="bullet"/>
      <w:lvlText w:val="o"/>
      <w:lvlJc w:val="left"/>
      <w:pPr>
        <w:ind w:left="5760" w:hanging="360"/>
      </w:pPr>
      <w:rPr>
        <w:rFonts w:ascii="Courier New" w:hAnsi="Courier New" w:hint="default"/>
      </w:rPr>
    </w:lvl>
    <w:lvl w:ilvl="8" w:tplc="84C8859A">
      <w:start w:val="1"/>
      <w:numFmt w:val="bullet"/>
      <w:lvlText w:val=""/>
      <w:lvlJc w:val="left"/>
      <w:pPr>
        <w:ind w:left="6480" w:hanging="360"/>
      </w:pPr>
      <w:rPr>
        <w:rFonts w:ascii="Wingdings" w:hAnsi="Wingdings" w:hint="default"/>
      </w:rPr>
    </w:lvl>
  </w:abstractNum>
  <w:abstractNum w:abstractNumId="4"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5"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4A4C060B"/>
    <w:multiLevelType w:val="hybridMultilevel"/>
    <w:tmpl w:val="1974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num w:numId="1" w16cid:durableId="1591546349">
    <w:abstractNumId w:val="3"/>
  </w:num>
  <w:num w:numId="2" w16cid:durableId="492836538">
    <w:abstractNumId w:val="0"/>
  </w:num>
  <w:num w:numId="3" w16cid:durableId="1493981043">
    <w:abstractNumId w:val="7"/>
  </w:num>
  <w:num w:numId="4" w16cid:durableId="999308129">
    <w:abstractNumId w:val="1"/>
  </w:num>
  <w:num w:numId="5" w16cid:durableId="439571975">
    <w:abstractNumId w:val="5"/>
  </w:num>
  <w:num w:numId="6" w16cid:durableId="250505642">
    <w:abstractNumId w:val="4"/>
  </w:num>
  <w:num w:numId="7" w16cid:durableId="1809128244">
    <w:abstractNumId w:val="2"/>
  </w:num>
  <w:num w:numId="8" w16cid:durableId="619802809">
    <w:abstractNumId w:val="2"/>
  </w:num>
  <w:num w:numId="9" w16cid:durableId="912470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4D2A"/>
    <w:rsid w:val="00007DE9"/>
    <w:rsid w:val="00011FB9"/>
    <w:rsid w:val="00013EF6"/>
    <w:rsid w:val="00015AE4"/>
    <w:rsid w:val="0003018E"/>
    <w:rsid w:val="00033BC3"/>
    <w:rsid w:val="00034008"/>
    <w:rsid w:val="00044E09"/>
    <w:rsid w:val="0004784D"/>
    <w:rsid w:val="00053A00"/>
    <w:rsid w:val="00057AFC"/>
    <w:rsid w:val="00063CB9"/>
    <w:rsid w:val="00065AD0"/>
    <w:rsid w:val="00084507"/>
    <w:rsid w:val="00085E16"/>
    <w:rsid w:val="000900FD"/>
    <w:rsid w:val="00091FEC"/>
    <w:rsid w:val="000A4222"/>
    <w:rsid w:val="000A7D4E"/>
    <w:rsid w:val="000B6C00"/>
    <w:rsid w:val="000C1855"/>
    <w:rsid w:val="000C1F06"/>
    <w:rsid w:val="000C7C00"/>
    <w:rsid w:val="000D45F8"/>
    <w:rsid w:val="000D5128"/>
    <w:rsid w:val="000E72E5"/>
    <w:rsid w:val="000F1DD1"/>
    <w:rsid w:val="000F28B8"/>
    <w:rsid w:val="000F3766"/>
    <w:rsid w:val="00106FC4"/>
    <w:rsid w:val="00111F0C"/>
    <w:rsid w:val="00133A1A"/>
    <w:rsid w:val="00145E2D"/>
    <w:rsid w:val="00146699"/>
    <w:rsid w:val="001611FB"/>
    <w:rsid w:val="0016612C"/>
    <w:rsid w:val="00171634"/>
    <w:rsid w:val="001763D4"/>
    <w:rsid w:val="00181433"/>
    <w:rsid w:val="0018197D"/>
    <w:rsid w:val="001834DD"/>
    <w:rsid w:val="001970A6"/>
    <w:rsid w:val="00197D0C"/>
    <w:rsid w:val="001A5EAF"/>
    <w:rsid w:val="001B5FCD"/>
    <w:rsid w:val="001C53CE"/>
    <w:rsid w:val="001C5D96"/>
    <w:rsid w:val="001D341B"/>
    <w:rsid w:val="001E3D2B"/>
    <w:rsid w:val="001E66A6"/>
    <w:rsid w:val="001E66CE"/>
    <w:rsid w:val="001F3F29"/>
    <w:rsid w:val="0020033E"/>
    <w:rsid w:val="002073AA"/>
    <w:rsid w:val="00210D62"/>
    <w:rsid w:val="002131D6"/>
    <w:rsid w:val="00213D90"/>
    <w:rsid w:val="00213F44"/>
    <w:rsid w:val="00221DC2"/>
    <w:rsid w:val="00222152"/>
    <w:rsid w:val="00222526"/>
    <w:rsid w:val="00244B48"/>
    <w:rsid w:val="0025022F"/>
    <w:rsid w:val="002526A8"/>
    <w:rsid w:val="002573D5"/>
    <w:rsid w:val="00264E26"/>
    <w:rsid w:val="00266138"/>
    <w:rsid w:val="002706BD"/>
    <w:rsid w:val="00280E74"/>
    <w:rsid w:val="002A0954"/>
    <w:rsid w:val="002A41E1"/>
    <w:rsid w:val="002B4FD0"/>
    <w:rsid w:val="002B6574"/>
    <w:rsid w:val="002C7BA4"/>
    <w:rsid w:val="002D4D48"/>
    <w:rsid w:val="002D6D1C"/>
    <w:rsid w:val="002D7429"/>
    <w:rsid w:val="002D752A"/>
    <w:rsid w:val="002E21D2"/>
    <w:rsid w:val="002F7D3C"/>
    <w:rsid w:val="00305720"/>
    <w:rsid w:val="003125DF"/>
    <w:rsid w:val="003131AB"/>
    <w:rsid w:val="003217BE"/>
    <w:rsid w:val="00321ACC"/>
    <w:rsid w:val="003308CF"/>
    <w:rsid w:val="00337D25"/>
    <w:rsid w:val="003412A9"/>
    <w:rsid w:val="003448C5"/>
    <w:rsid w:val="003608A7"/>
    <w:rsid w:val="00373BC7"/>
    <w:rsid w:val="003A3D76"/>
    <w:rsid w:val="003C44D0"/>
    <w:rsid w:val="003D0647"/>
    <w:rsid w:val="003D1265"/>
    <w:rsid w:val="003D3AFB"/>
    <w:rsid w:val="003D3B1D"/>
    <w:rsid w:val="003D5DBE"/>
    <w:rsid w:val="003F5811"/>
    <w:rsid w:val="00404841"/>
    <w:rsid w:val="00412059"/>
    <w:rsid w:val="00414F83"/>
    <w:rsid w:val="004233BF"/>
    <w:rsid w:val="00425633"/>
    <w:rsid w:val="0042643D"/>
    <w:rsid w:val="004412C6"/>
    <w:rsid w:val="00441E79"/>
    <w:rsid w:val="00446A57"/>
    <w:rsid w:val="00450486"/>
    <w:rsid w:val="00453071"/>
    <w:rsid w:val="00454D0F"/>
    <w:rsid w:val="00467184"/>
    <w:rsid w:val="004675B9"/>
    <w:rsid w:val="004709E9"/>
    <w:rsid w:val="00483A58"/>
    <w:rsid w:val="004902A6"/>
    <w:rsid w:val="004A1640"/>
    <w:rsid w:val="004B2E3F"/>
    <w:rsid w:val="004B5F40"/>
    <w:rsid w:val="004B708C"/>
    <w:rsid w:val="004C4509"/>
    <w:rsid w:val="004C7D16"/>
    <w:rsid w:val="004D700E"/>
    <w:rsid w:val="004D7F17"/>
    <w:rsid w:val="004E0670"/>
    <w:rsid w:val="004E3CC9"/>
    <w:rsid w:val="004E70C6"/>
    <w:rsid w:val="004E7F37"/>
    <w:rsid w:val="004F12CA"/>
    <w:rsid w:val="004F31BA"/>
    <w:rsid w:val="004F679F"/>
    <w:rsid w:val="0051299F"/>
    <w:rsid w:val="0051413D"/>
    <w:rsid w:val="00515F94"/>
    <w:rsid w:val="00526B85"/>
    <w:rsid w:val="005306A1"/>
    <w:rsid w:val="00531CD5"/>
    <w:rsid w:val="00533583"/>
    <w:rsid w:val="00537004"/>
    <w:rsid w:val="00555708"/>
    <w:rsid w:val="00556CEB"/>
    <w:rsid w:val="00556ED6"/>
    <w:rsid w:val="0056667E"/>
    <w:rsid w:val="00573196"/>
    <w:rsid w:val="005760C4"/>
    <w:rsid w:val="005834F4"/>
    <w:rsid w:val="0059000C"/>
    <w:rsid w:val="00591958"/>
    <w:rsid w:val="00593659"/>
    <w:rsid w:val="00594946"/>
    <w:rsid w:val="00596D76"/>
    <w:rsid w:val="005A02A1"/>
    <w:rsid w:val="005A42D8"/>
    <w:rsid w:val="005A6DF5"/>
    <w:rsid w:val="005B238D"/>
    <w:rsid w:val="005B4848"/>
    <w:rsid w:val="005C4CCD"/>
    <w:rsid w:val="005D33D2"/>
    <w:rsid w:val="005D7A24"/>
    <w:rsid w:val="005E52F1"/>
    <w:rsid w:val="005E610E"/>
    <w:rsid w:val="005F301F"/>
    <w:rsid w:val="00602703"/>
    <w:rsid w:val="00616EBA"/>
    <w:rsid w:val="00617C96"/>
    <w:rsid w:val="0062105C"/>
    <w:rsid w:val="00632C08"/>
    <w:rsid w:val="0064565A"/>
    <w:rsid w:val="00650FE3"/>
    <w:rsid w:val="00654C42"/>
    <w:rsid w:val="0065547C"/>
    <w:rsid w:val="00667784"/>
    <w:rsid w:val="0067074A"/>
    <w:rsid w:val="00672994"/>
    <w:rsid w:val="00673821"/>
    <w:rsid w:val="0068623A"/>
    <w:rsid w:val="00692F17"/>
    <w:rsid w:val="006A4064"/>
    <w:rsid w:val="006B32EA"/>
    <w:rsid w:val="006C15C5"/>
    <w:rsid w:val="006D3DAD"/>
    <w:rsid w:val="006F0347"/>
    <w:rsid w:val="006F53B8"/>
    <w:rsid w:val="006F7B19"/>
    <w:rsid w:val="00714F85"/>
    <w:rsid w:val="00722A1D"/>
    <w:rsid w:val="007234F7"/>
    <w:rsid w:val="00724165"/>
    <w:rsid w:val="00730FB8"/>
    <w:rsid w:val="00736A76"/>
    <w:rsid w:val="00740AC6"/>
    <w:rsid w:val="00741FC2"/>
    <w:rsid w:val="00745DCB"/>
    <w:rsid w:val="00747D70"/>
    <w:rsid w:val="00751D0A"/>
    <w:rsid w:val="00752C6B"/>
    <w:rsid w:val="00753305"/>
    <w:rsid w:val="00755A0F"/>
    <w:rsid w:val="00760CE6"/>
    <w:rsid w:val="007719C9"/>
    <w:rsid w:val="00771CB8"/>
    <w:rsid w:val="00772718"/>
    <w:rsid w:val="007758BC"/>
    <w:rsid w:val="007828ED"/>
    <w:rsid w:val="00784B22"/>
    <w:rsid w:val="007A183A"/>
    <w:rsid w:val="007A67E0"/>
    <w:rsid w:val="007B562F"/>
    <w:rsid w:val="007B75EB"/>
    <w:rsid w:val="007C19D2"/>
    <w:rsid w:val="007C33D8"/>
    <w:rsid w:val="007C4870"/>
    <w:rsid w:val="007C734E"/>
    <w:rsid w:val="007D30A8"/>
    <w:rsid w:val="007D7934"/>
    <w:rsid w:val="007F4290"/>
    <w:rsid w:val="008009F5"/>
    <w:rsid w:val="00803D49"/>
    <w:rsid w:val="00814FB1"/>
    <w:rsid w:val="00816468"/>
    <w:rsid w:val="00820F20"/>
    <w:rsid w:val="0082528A"/>
    <w:rsid w:val="00825754"/>
    <w:rsid w:val="0083127A"/>
    <w:rsid w:val="00835210"/>
    <w:rsid w:val="00837E4A"/>
    <w:rsid w:val="00844C2D"/>
    <w:rsid w:val="00850D50"/>
    <w:rsid w:val="00853F42"/>
    <w:rsid w:val="00855D53"/>
    <w:rsid w:val="008642A4"/>
    <w:rsid w:val="008677F5"/>
    <w:rsid w:val="0087438E"/>
    <w:rsid w:val="00884668"/>
    <w:rsid w:val="008909A7"/>
    <w:rsid w:val="008A488F"/>
    <w:rsid w:val="008B2B46"/>
    <w:rsid w:val="008B2E33"/>
    <w:rsid w:val="008B70B0"/>
    <w:rsid w:val="008D4440"/>
    <w:rsid w:val="008D5365"/>
    <w:rsid w:val="008E05BC"/>
    <w:rsid w:val="008F3CCF"/>
    <w:rsid w:val="00900B24"/>
    <w:rsid w:val="00905CF2"/>
    <w:rsid w:val="009170E6"/>
    <w:rsid w:val="00921840"/>
    <w:rsid w:val="00931780"/>
    <w:rsid w:val="00932C87"/>
    <w:rsid w:val="009331B4"/>
    <w:rsid w:val="009345F1"/>
    <w:rsid w:val="0093532D"/>
    <w:rsid w:val="00944BBB"/>
    <w:rsid w:val="0095383E"/>
    <w:rsid w:val="009547B6"/>
    <w:rsid w:val="00961072"/>
    <w:rsid w:val="0096771B"/>
    <w:rsid w:val="009874C2"/>
    <w:rsid w:val="009906D1"/>
    <w:rsid w:val="009924E0"/>
    <w:rsid w:val="009A2930"/>
    <w:rsid w:val="009C40DB"/>
    <w:rsid w:val="009C4F19"/>
    <w:rsid w:val="009C5E60"/>
    <w:rsid w:val="009D2BC4"/>
    <w:rsid w:val="009E27F1"/>
    <w:rsid w:val="009E750F"/>
    <w:rsid w:val="00A016E8"/>
    <w:rsid w:val="00A04D96"/>
    <w:rsid w:val="00A0629B"/>
    <w:rsid w:val="00A0661D"/>
    <w:rsid w:val="00A070F3"/>
    <w:rsid w:val="00A14495"/>
    <w:rsid w:val="00A16BE1"/>
    <w:rsid w:val="00A25FA9"/>
    <w:rsid w:val="00A36D2D"/>
    <w:rsid w:val="00A42311"/>
    <w:rsid w:val="00A454BF"/>
    <w:rsid w:val="00A52E3A"/>
    <w:rsid w:val="00A64C61"/>
    <w:rsid w:val="00A7196B"/>
    <w:rsid w:val="00A76F1C"/>
    <w:rsid w:val="00A814CB"/>
    <w:rsid w:val="00A837C8"/>
    <w:rsid w:val="00A86704"/>
    <w:rsid w:val="00A90D1B"/>
    <w:rsid w:val="00A92ECD"/>
    <w:rsid w:val="00AA0220"/>
    <w:rsid w:val="00AA4310"/>
    <w:rsid w:val="00AA49B8"/>
    <w:rsid w:val="00AB556D"/>
    <w:rsid w:val="00AB5981"/>
    <w:rsid w:val="00AB7BD7"/>
    <w:rsid w:val="00AC3503"/>
    <w:rsid w:val="00AD73F1"/>
    <w:rsid w:val="00AE3886"/>
    <w:rsid w:val="00AE4FC0"/>
    <w:rsid w:val="00AF1765"/>
    <w:rsid w:val="00AF55F8"/>
    <w:rsid w:val="00B05959"/>
    <w:rsid w:val="00B10ABA"/>
    <w:rsid w:val="00B22CE4"/>
    <w:rsid w:val="00B30151"/>
    <w:rsid w:val="00B32E2B"/>
    <w:rsid w:val="00B33899"/>
    <w:rsid w:val="00B37402"/>
    <w:rsid w:val="00B420D4"/>
    <w:rsid w:val="00B448EB"/>
    <w:rsid w:val="00B56DF8"/>
    <w:rsid w:val="00B57910"/>
    <w:rsid w:val="00B57B84"/>
    <w:rsid w:val="00B702BC"/>
    <w:rsid w:val="00B87833"/>
    <w:rsid w:val="00B90AA5"/>
    <w:rsid w:val="00B9280F"/>
    <w:rsid w:val="00B952F6"/>
    <w:rsid w:val="00BC093A"/>
    <w:rsid w:val="00BC4ACC"/>
    <w:rsid w:val="00BC4FCC"/>
    <w:rsid w:val="00BD02F8"/>
    <w:rsid w:val="00BE215E"/>
    <w:rsid w:val="00C060DC"/>
    <w:rsid w:val="00C1391E"/>
    <w:rsid w:val="00C217A8"/>
    <w:rsid w:val="00C26AB5"/>
    <w:rsid w:val="00C26B12"/>
    <w:rsid w:val="00C4188F"/>
    <w:rsid w:val="00C470E8"/>
    <w:rsid w:val="00C544EA"/>
    <w:rsid w:val="00C77845"/>
    <w:rsid w:val="00C77D59"/>
    <w:rsid w:val="00C808D0"/>
    <w:rsid w:val="00C819A4"/>
    <w:rsid w:val="00C824AE"/>
    <w:rsid w:val="00C84775"/>
    <w:rsid w:val="00C84EA8"/>
    <w:rsid w:val="00C92998"/>
    <w:rsid w:val="00C96126"/>
    <w:rsid w:val="00CA25DB"/>
    <w:rsid w:val="00CA385D"/>
    <w:rsid w:val="00CA720A"/>
    <w:rsid w:val="00CA7264"/>
    <w:rsid w:val="00CB2A0F"/>
    <w:rsid w:val="00CB3AD7"/>
    <w:rsid w:val="00CC0FE0"/>
    <w:rsid w:val="00CD1597"/>
    <w:rsid w:val="00CD5925"/>
    <w:rsid w:val="00CE2068"/>
    <w:rsid w:val="00CE557A"/>
    <w:rsid w:val="00D031B2"/>
    <w:rsid w:val="00D137FD"/>
    <w:rsid w:val="00D1410C"/>
    <w:rsid w:val="00D17EA4"/>
    <w:rsid w:val="00D22C00"/>
    <w:rsid w:val="00D40D16"/>
    <w:rsid w:val="00D41C90"/>
    <w:rsid w:val="00D45792"/>
    <w:rsid w:val="00D548F0"/>
    <w:rsid w:val="00D57415"/>
    <w:rsid w:val="00D57F79"/>
    <w:rsid w:val="00D64FAC"/>
    <w:rsid w:val="00D65704"/>
    <w:rsid w:val="00D668F6"/>
    <w:rsid w:val="00D76CA2"/>
    <w:rsid w:val="00D84875"/>
    <w:rsid w:val="00D903BD"/>
    <w:rsid w:val="00D904F0"/>
    <w:rsid w:val="00D91378"/>
    <w:rsid w:val="00D91B18"/>
    <w:rsid w:val="00D93B6D"/>
    <w:rsid w:val="00DA6F3C"/>
    <w:rsid w:val="00DB09E9"/>
    <w:rsid w:val="00DB58C1"/>
    <w:rsid w:val="00DC0747"/>
    <w:rsid w:val="00DC1FF1"/>
    <w:rsid w:val="00DC2647"/>
    <w:rsid w:val="00DC4C6E"/>
    <w:rsid w:val="00DC4D55"/>
    <w:rsid w:val="00DD1408"/>
    <w:rsid w:val="00DD356D"/>
    <w:rsid w:val="00DD43D9"/>
    <w:rsid w:val="00DD4715"/>
    <w:rsid w:val="00DD490A"/>
    <w:rsid w:val="00DD6735"/>
    <w:rsid w:val="00DE4C77"/>
    <w:rsid w:val="00DE5227"/>
    <w:rsid w:val="00DF136A"/>
    <w:rsid w:val="00E03AA3"/>
    <w:rsid w:val="00E0448C"/>
    <w:rsid w:val="00E06478"/>
    <w:rsid w:val="00E12F18"/>
    <w:rsid w:val="00E13525"/>
    <w:rsid w:val="00E236FD"/>
    <w:rsid w:val="00E2385E"/>
    <w:rsid w:val="00E25D7D"/>
    <w:rsid w:val="00E35FB5"/>
    <w:rsid w:val="00E47250"/>
    <w:rsid w:val="00E473C6"/>
    <w:rsid w:val="00E53983"/>
    <w:rsid w:val="00E61535"/>
    <w:rsid w:val="00E834E8"/>
    <w:rsid w:val="00E84012"/>
    <w:rsid w:val="00E9373C"/>
    <w:rsid w:val="00E954EB"/>
    <w:rsid w:val="00EA0724"/>
    <w:rsid w:val="00EA5A14"/>
    <w:rsid w:val="00EA6251"/>
    <w:rsid w:val="00EB0486"/>
    <w:rsid w:val="00EB1AE0"/>
    <w:rsid w:val="00EB6414"/>
    <w:rsid w:val="00EC60D7"/>
    <w:rsid w:val="00EC689E"/>
    <w:rsid w:val="00EE5747"/>
    <w:rsid w:val="00EF3804"/>
    <w:rsid w:val="00EF5E05"/>
    <w:rsid w:val="00F055E5"/>
    <w:rsid w:val="00F10252"/>
    <w:rsid w:val="00F1394E"/>
    <w:rsid w:val="00F17612"/>
    <w:rsid w:val="00F227AF"/>
    <w:rsid w:val="00F260A3"/>
    <w:rsid w:val="00F27370"/>
    <w:rsid w:val="00F34D1C"/>
    <w:rsid w:val="00F40B00"/>
    <w:rsid w:val="00F44186"/>
    <w:rsid w:val="00F5057B"/>
    <w:rsid w:val="00F50735"/>
    <w:rsid w:val="00F5222A"/>
    <w:rsid w:val="00F5341C"/>
    <w:rsid w:val="00F56954"/>
    <w:rsid w:val="00F71CE9"/>
    <w:rsid w:val="00F7638A"/>
    <w:rsid w:val="00F948AF"/>
    <w:rsid w:val="00F97CD8"/>
    <w:rsid w:val="00FA3761"/>
    <w:rsid w:val="00FA38EE"/>
    <w:rsid w:val="00FA554E"/>
    <w:rsid w:val="00FA5A7B"/>
    <w:rsid w:val="00FB11B1"/>
    <w:rsid w:val="00FB165D"/>
    <w:rsid w:val="00FB5704"/>
    <w:rsid w:val="00FD22EC"/>
    <w:rsid w:val="00FE00E8"/>
    <w:rsid w:val="00FF38C2"/>
    <w:rsid w:val="018DC16A"/>
    <w:rsid w:val="01E224C7"/>
    <w:rsid w:val="044E0A16"/>
    <w:rsid w:val="04516708"/>
    <w:rsid w:val="0452F053"/>
    <w:rsid w:val="04B667BF"/>
    <w:rsid w:val="04D2F231"/>
    <w:rsid w:val="05264BCE"/>
    <w:rsid w:val="0716B94E"/>
    <w:rsid w:val="082B7EB0"/>
    <w:rsid w:val="087EFEF8"/>
    <w:rsid w:val="0A25FBDB"/>
    <w:rsid w:val="0A8E5BDD"/>
    <w:rsid w:val="0B2895A5"/>
    <w:rsid w:val="0BDCA523"/>
    <w:rsid w:val="0C5C22D4"/>
    <w:rsid w:val="0E322D92"/>
    <w:rsid w:val="1023ED49"/>
    <w:rsid w:val="10903313"/>
    <w:rsid w:val="10E85B7A"/>
    <w:rsid w:val="12CDFAB3"/>
    <w:rsid w:val="12D0FDBA"/>
    <w:rsid w:val="131B50E5"/>
    <w:rsid w:val="13703022"/>
    <w:rsid w:val="147086ED"/>
    <w:rsid w:val="158E7DF7"/>
    <w:rsid w:val="15D6A5F1"/>
    <w:rsid w:val="1651E3F2"/>
    <w:rsid w:val="16E6A380"/>
    <w:rsid w:val="18648974"/>
    <w:rsid w:val="186E8686"/>
    <w:rsid w:val="18E03136"/>
    <w:rsid w:val="196DC766"/>
    <w:rsid w:val="196F3810"/>
    <w:rsid w:val="1B2090AD"/>
    <w:rsid w:val="1C8F90C6"/>
    <w:rsid w:val="1D581E0D"/>
    <w:rsid w:val="1D9500D8"/>
    <w:rsid w:val="20129650"/>
    <w:rsid w:val="21D1985A"/>
    <w:rsid w:val="22DAE158"/>
    <w:rsid w:val="250BF7A2"/>
    <w:rsid w:val="254B4736"/>
    <w:rsid w:val="2667D8A8"/>
    <w:rsid w:val="27908808"/>
    <w:rsid w:val="27AD0676"/>
    <w:rsid w:val="27AD92CA"/>
    <w:rsid w:val="27F5B9B6"/>
    <w:rsid w:val="282DF080"/>
    <w:rsid w:val="2838C2BF"/>
    <w:rsid w:val="287C4E55"/>
    <w:rsid w:val="28C3F870"/>
    <w:rsid w:val="2AEA297F"/>
    <w:rsid w:val="2F7A98D0"/>
    <w:rsid w:val="3057EED5"/>
    <w:rsid w:val="30B94AF1"/>
    <w:rsid w:val="3288E0A3"/>
    <w:rsid w:val="34464FB7"/>
    <w:rsid w:val="357DC4F8"/>
    <w:rsid w:val="35D80042"/>
    <w:rsid w:val="36D989DA"/>
    <w:rsid w:val="3707845D"/>
    <w:rsid w:val="392C6DF5"/>
    <w:rsid w:val="395F6FDD"/>
    <w:rsid w:val="3A082160"/>
    <w:rsid w:val="3BAAC4FB"/>
    <w:rsid w:val="3D255507"/>
    <w:rsid w:val="3E2D471C"/>
    <w:rsid w:val="3FD3A2E2"/>
    <w:rsid w:val="406ACFF6"/>
    <w:rsid w:val="41CD86B4"/>
    <w:rsid w:val="41D7F7A6"/>
    <w:rsid w:val="42159DB2"/>
    <w:rsid w:val="4483F91D"/>
    <w:rsid w:val="463D58DA"/>
    <w:rsid w:val="4825227D"/>
    <w:rsid w:val="485E2B28"/>
    <w:rsid w:val="4BB48B25"/>
    <w:rsid w:val="4C22C127"/>
    <w:rsid w:val="4D6FA853"/>
    <w:rsid w:val="4DB5FADA"/>
    <w:rsid w:val="4DE50AD3"/>
    <w:rsid w:val="4FAA1DD6"/>
    <w:rsid w:val="50B23789"/>
    <w:rsid w:val="51296E3B"/>
    <w:rsid w:val="51A76123"/>
    <w:rsid w:val="52C4A054"/>
    <w:rsid w:val="54286FB3"/>
    <w:rsid w:val="54306A8F"/>
    <w:rsid w:val="56486A4A"/>
    <w:rsid w:val="57EB8B45"/>
    <w:rsid w:val="595F3320"/>
    <w:rsid w:val="599912F1"/>
    <w:rsid w:val="5B4DEFEA"/>
    <w:rsid w:val="5BA2ADBE"/>
    <w:rsid w:val="5C7F7544"/>
    <w:rsid w:val="5CD031D1"/>
    <w:rsid w:val="5D9CFDE0"/>
    <w:rsid w:val="604543DC"/>
    <w:rsid w:val="60B97E33"/>
    <w:rsid w:val="61833DC3"/>
    <w:rsid w:val="6341CBB6"/>
    <w:rsid w:val="660D4F04"/>
    <w:rsid w:val="6619DF16"/>
    <w:rsid w:val="6692E9EE"/>
    <w:rsid w:val="6A8FA4DE"/>
    <w:rsid w:val="6C370637"/>
    <w:rsid w:val="6C42709B"/>
    <w:rsid w:val="6C5FBF30"/>
    <w:rsid w:val="6C953367"/>
    <w:rsid w:val="6CA621CC"/>
    <w:rsid w:val="6D385F4E"/>
    <w:rsid w:val="6D4E3398"/>
    <w:rsid w:val="6E3100B7"/>
    <w:rsid w:val="6F034466"/>
    <w:rsid w:val="70C3808E"/>
    <w:rsid w:val="715253F0"/>
    <w:rsid w:val="7175AAD5"/>
    <w:rsid w:val="71768B16"/>
    <w:rsid w:val="72097E00"/>
    <w:rsid w:val="724D845C"/>
    <w:rsid w:val="7260FDB1"/>
    <w:rsid w:val="744ADC98"/>
    <w:rsid w:val="74C5AAC1"/>
    <w:rsid w:val="76070FCB"/>
    <w:rsid w:val="76179DC7"/>
    <w:rsid w:val="776E25AC"/>
    <w:rsid w:val="77B9D324"/>
    <w:rsid w:val="77DC37F6"/>
    <w:rsid w:val="7911C576"/>
    <w:rsid w:val="79EAF102"/>
    <w:rsid w:val="7C6F06EF"/>
    <w:rsid w:val="7CED7228"/>
    <w:rsid w:val="7D2E515A"/>
    <w:rsid w:val="7D99557B"/>
    <w:rsid w:val="7DB2FD47"/>
    <w:rsid w:val="7E9A9A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basedOn w:val="Normal"/>
    <w:next w:val="BodyText"/>
    <w:link w:val="Heading1Char"/>
    <w:uiPriority w:val="4"/>
    <w:qFormat/>
    <w:rsid w:val="00AB556D"/>
    <w:pPr>
      <w:spacing w:line="240" w:lineRule="auto"/>
      <w:outlineLvl w:val="0"/>
    </w:pPr>
    <w:rPr>
      <w:rFonts w:asciiTheme="majorHAnsi" w:eastAsiaTheme="majorEastAsia" w:hAnsiTheme="majorHAnsi" w:cstheme="majorHAns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basedOn w:val="Heading2"/>
    <w:next w:val="BodyText"/>
    <w:link w:val="Heading3Char"/>
    <w:uiPriority w:val="4"/>
    <w:qFormat/>
    <w:rsid w:val="00AB556D"/>
    <w:pPr>
      <w:outlineLvl w:val="2"/>
    </w:pPr>
    <w:rPr>
      <w:rFonts w:asciiTheme="majorHAnsi" w:hAnsiTheme="majorHAnsi"/>
      <w:b/>
      <w:color w:val="C00000"/>
      <w:sz w:val="24"/>
      <w:szCs w:val="24"/>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AB556D"/>
    <w:rPr>
      <w:rFonts w:asciiTheme="majorHAnsi" w:eastAsiaTheme="majorEastAsia" w:hAnsiTheme="majorHAnsi" w:cstheme="majorHAns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AB556D"/>
    <w:rPr>
      <w:rFonts w:asciiTheme="majorHAnsi" w:eastAsiaTheme="majorEastAsia" w:hAnsiTheme="majorHAnsi" w:cstheme="majorBidi"/>
      <w:b/>
      <w:bCs/>
      <w:color w:val="C00000"/>
      <w:sz w:val="24"/>
      <w:szCs w:val="24"/>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3"/>
      </w:numPr>
    </w:pPr>
  </w:style>
  <w:style w:type="numbering" w:customStyle="1" w:styleId="Numbers">
    <w:name w:val="Numbers"/>
    <w:basedOn w:val="NoList"/>
    <w:uiPriority w:val="99"/>
    <w:rsid w:val="00C819A4"/>
    <w:pPr>
      <w:numPr>
        <w:numId w:val="4"/>
      </w:numPr>
    </w:pPr>
  </w:style>
  <w:style w:type="paragraph" w:customStyle="1" w:styleId="Bullets1">
    <w:name w:val="Bullets 1"/>
    <w:basedOn w:val="BodyText"/>
    <w:qFormat/>
    <w:rsid w:val="004D700E"/>
    <w:pPr>
      <w:numPr>
        <w:numId w:val="3"/>
      </w:numPr>
    </w:pPr>
  </w:style>
  <w:style w:type="paragraph" w:customStyle="1" w:styleId="Bullets2">
    <w:name w:val="Bullets 2"/>
    <w:basedOn w:val="BodyText"/>
    <w:qFormat/>
    <w:rsid w:val="004D700E"/>
    <w:pPr>
      <w:numPr>
        <w:ilvl w:val="1"/>
        <w:numId w:val="3"/>
      </w:numPr>
    </w:pPr>
  </w:style>
  <w:style w:type="paragraph" w:customStyle="1" w:styleId="Numbers1">
    <w:name w:val="Numbers 1"/>
    <w:basedOn w:val="Heading3"/>
    <w:uiPriority w:val="9"/>
    <w:qFormat/>
    <w:rsid w:val="00C819A4"/>
    <w:pPr>
      <w:numPr>
        <w:numId w:val="4"/>
      </w:numPr>
    </w:pPr>
  </w:style>
  <w:style w:type="paragraph" w:customStyle="1" w:styleId="Numbers2">
    <w:name w:val="Numbers 2"/>
    <w:basedOn w:val="BodyText"/>
    <w:uiPriority w:val="9"/>
    <w:qFormat/>
    <w:rsid w:val="00C819A4"/>
    <w:pPr>
      <w:numPr>
        <w:ilvl w:val="1"/>
        <w:numId w:val="4"/>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3"/>
      </w:numPr>
    </w:pPr>
  </w:style>
  <w:style w:type="paragraph" w:customStyle="1" w:styleId="TableBullets1">
    <w:name w:val="Table Bullets 1"/>
    <w:basedOn w:val="TableText"/>
    <w:uiPriority w:val="20"/>
    <w:qFormat/>
    <w:rsid w:val="004D700E"/>
    <w:pPr>
      <w:numPr>
        <w:ilvl w:val="6"/>
        <w:numId w:val="3"/>
      </w:numPr>
    </w:pPr>
  </w:style>
  <w:style w:type="paragraph" w:customStyle="1" w:styleId="TableNumbers1">
    <w:name w:val="Table Numbers 1"/>
    <w:basedOn w:val="TableText"/>
    <w:uiPriority w:val="20"/>
    <w:semiHidden/>
    <w:qFormat/>
    <w:rsid w:val="00EA6251"/>
    <w:pPr>
      <w:numPr>
        <w:numId w:val="5"/>
      </w:numPr>
    </w:pPr>
  </w:style>
  <w:style w:type="paragraph" w:customStyle="1" w:styleId="TableNumbers2">
    <w:name w:val="Table Numbers 2"/>
    <w:basedOn w:val="TableText"/>
    <w:uiPriority w:val="20"/>
    <w:semiHidden/>
    <w:qFormat/>
    <w:rsid w:val="00EA6251"/>
    <w:pPr>
      <w:numPr>
        <w:ilvl w:val="1"/>
        <w:numId w:val="5"/>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6"/>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4"/>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6"/>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CommentText">
    <w:name w:val="annotation text"/>
    <w:basedOn w:val="Normal"/>
    <w:link w:val="CommentTextChar"/>
    <w:uiPriority w:val="99"/>
    <w:unhideWhenUsed/>
    <w:pPr>
      <w:spacing w:line="240" w:lineRule="auto"/>
    </w:pPr>
    <w:rPr>
      <w:sz w:val="20"/>
    </w:rPr>
  </w:style>
  <w:style w:type="character" w:customStyle="1" w:styleId="CommentTextChar">
    <w:name w:val="Comment Text Char"/>
    <w:basedOn w:val="DefaultParagraphFont"/>
    <w:link w:val="CommentText"/>
    <w:uiPriority w:val="99"/>
    <w:rPr>
      <w:rFonts w:asciiTheme="minorHAnsi" w:hAnsiTheme="minorHAnsi"/>
      <w:color w:val="000000" w:themeColor="text1"/>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B7BD7"/>
    <w:rPr>
      <w:b/>
      <w:bCs/>
    </w:rPr>
  </w:style>
  <w:style w:type="character" w:customStyle="1" w:styleId="CommentSubjectChar">
    <w:name w:val="Comment Subject Char"/>
    <w:basedOn w:val="CommentTextChar"/>
    <w:link w:val="CommentSubject"/>
    <w:uiPriority w:val="99"/>
    <w:semiHidden/>
    <w:rsid w:val="00AB7BD7"/>
    <w:rPr>
      <w:rFonts w:asciiTheme="minorHAnsi" w:hAnsiTheme="minorHAnsi"/>
      <w:b/>
      <w:bCs/>
      <w:color w:val="000000" w:themeColor="text1"/>
    </w:rPr>
  </w:style>
  <w:style w:type="character" w:styleId="Mention">
    <w:name w:val="Mention"/>
    <w:basedOn w:val="DefaultParagraphFont"/>
    <w:uiPriority w:val="99"/>
    <w:unhideWhenUsed/>
    <w:rsid w:val="00AB7BD7"/>
    <w:rPr>
      <w:color w:val="2B579A"/>
      <w:shd w:val="clear" w:color="auto" w:fill="E1DFDD"/>
    </w:rPr>
  </w:style>
  <w:style w:type="paragraph" w:styleId="Revision">
    <w:name w:val="Revision"/>
    <w:hidden/>
    <w:uiPriority w:val="99"/>
    <w:semiHidden/>
    <w:rsid w:val="000900FD"/>
    <w:rPr>
      <w:rFonts w:asciiTheme="minorHAnsi" w:hAnsiTheme="minorHAnsi"/>
      <w:color w:val="000000" w:themeColor="text1"/>
      <w:sz w:val="22"/>
    </w:rPr>
  </w:style>
  <w:style w:type="paragraph" w:customStyle="1" w:styleId="pf0">
    <w:name w:val="pf0"/>
    <w:basedOn w:val="Normal"/>
    <w:rsid w:val="00AF1765"/>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customStyle="1" w:styleId="cf01">
    <w:name w:val="cf01"/>
    <w:basedOn w:val="DefaultParagraphFont"/>
    <w:rsid w:val="00AF17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1437</Words>
  <Characters>9029</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2026-02-18T23:21:00Z</dcterms:created>
  <dcterms:modified xsi:type="dcterms:W3CDTF">2026-02-18T23:21:00Z</dcterms:modified>
  <cp:category/>
</cp:coreProperties>
</file>